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theme/themeOverride30.xml" ContentType="application/vnd.openxmlformats-officedocument.themeOverride+xml"/>
  <Override PartName="/word/charts/chart32.xml" ContentType="application/vnd.openxmlformats-officedocument.drawingml.chart+xml"/>
  <Override PartName="/word/theme/themeOverride31.xml" ContentType="application/vnd.openxmlformats-officedocument.themeOverride+xml"/>
  <Override PartName="/word/charts/chart33.xml" ContentType="application/vnd.openxmlformats-officedocument.drawingml.chart+xml"/>
  <Override PartName="/word/theme/themeOverride32.xml" ContentType="application/vnd.openxmlformats-officedocument.themeOverride+xml"/>
  <Override PartName="/word/charts/chart34.xml" ContentType="application/vnd.openxmlformats-officedocument.drawingml.chart+xml"/>
  <Override PartName="/word/theme/themeOverride33.xml" ContentType="application/vnd.openxmlformats-officedocument.themeOverride+xml"/>
  <Override PartName="/word/charts/chart35.xml" ContentType="application/vnd.openxmlformats-officedocument.drawingml.chart+xml"/>
  <Override PartName="/word/theme/themeOverride34.xml" ContentType="application/vnd.openxmlformats-officedocument.themeOverride+xml"/>
  <Override PartName="/word/charts/chart36.xml" ContentType="application/vnd.openxmlformats-officedocument.drawingml.chart+xml"/>
  <Override PartName="/word/theme/themeOverride35.xml" ContentType="application/vnd.openxmlformats-officedocument.themeOverride+xml"/>
  <Override PartName="/word/charts/chart37.xml" ContentType="application/vnd.openxmlformats-officedocument.drawingml.chart+xml"/>
  <Override PartName="/word/theme/themeOverride36.xml" ContentType="application/vnd.openxmlformats-officedocument.themeOverride+xml"/>
  <Override PartName="/word/charts/chart38.xml" ContentType="application/vnd.openxmlformats-officedocument.drawingml.chart+xml"/>
  <Override PartName="/word/theme/themeOverride37.xml" ContentType="application/vnd.openxmlformats-officedocument.themeOverride+xml"/>
  <Override PartName="/word/charts/chart39.xml" ContentType="application/vnd.openxmlformats-officedocument.drawingml.chart+xml"/>
  <Override PartName="/word/theme/themeOverride38.xml" ContentType="application/vnd.openxmlformats-officedocument.themeOverride+xml"/>
  <Override PartName="/word/charts/chart40.xml" ContentType="application/vnd.openxmlformats-officedocument.drawingml.chart+xml"/>
  <Override PartName="/word/theme/themeOverride39.xml" ContentType="application/vnd.openxmlformats-officedocument.themeOverride+xml"/>
  <Override PartName="/word/charts/chart41.xml" ContentType="application/vnd.openxmlformats-officedocument.drawingml.chart+xml"/>
  <Override PartName="/word/theme/themeOverride40.xml" ContentType="application/vnd.openxmlformats-officedocument.themeOverride+xml"/>
  <Override PartName="/word/charts/chart42.xml" ContentType="application/vnd.openxmlformats-officedocument.drawingml.chart+xml"/>
  <Override PartName="/word/theme/themeOverride41.xml" ContentType="application/vnd.openxmlformats-officedocument.themeOverride+xml"/>
  <Override PartName="/word/charts/chart43.xml" ContentType="application/vnd.openxmlformats-officedocument.drawingml.chart+xml"/>
  <Override PartName="/word/theme/themeOverride42.xml" ContentType="application/vnd.openxmlformats-officedocument.themeOverride+xml"/>
  <Override PartName="/word/charts/chart44.xml" ContentType="application/vnd.openxmlformats-officedocument.drawingml.chart+xml"/>
  <Override PartName="/word/theme/themeOverride43.xml" ContentType="application/vnd.openxmlformats-officedocument.themeOverride+xml"/>
  <Override PartName="/word/charts/chart45.xml" ContentType="application/vnd.openxmlformats-officedocument.drawingml.chart+xml"/>
  <Override PartName="/word/theme/themeOverride44.xml" ContentType="application/vnd.openxmlformats-officedocument.themeOverride+xml"/>
  <Override PartName="/word/charts/chart46.xml" ContentType="application/vnd.openxmlformats-officedocument.drawingml.chart+xml"/>
  <Override PartName="/word/theme/themeOverride4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30" w:type="dxa"/>
        <w:tblInd w:w="-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70"/>
        <w:gridCol w:w="1512"/>
        <w:gridCol w:w="3053"/>
        <w:gridCol w:w="3895"/>
      </w:tblGrid>
      <w:tr w:rsidR="007837D9" w14:paraId="79D6D50B" w14:textId="77777777" w:rsidTr="007837D9">
        <w:trPr>
          <w:trHeight w:val="365"/>
        </w:trPr>
        <w:tc>
          <w:tcPr>
            <w:tcW w:w="1170" w:type="dxa"/>
            <w:tcBorders>
              <w:top w:val="nil"/>
              <w:left w:val="nil"/>
              <w:bottom w:val="single" w:sz="12" w:space="0" w:color="000000"/>
              <w:right w:val="nil"/>
            </w:tcBorders>
            <w:shd w:val="clear" w:color="auto" w:fill="auto"/>
            <w:tcMar>
              <w:top w:w="80" w:type="dxa"/>
              <w:left w:w="80" w:type="dxa"/>
              <w:bottom w:w="80" w:type="dxa"/>
              <w:right w:w="80" w:type="dxa"/>
            </w:tcMar>
          </w:tcPr>
          <w:p w14:paraId="2F91AB6E" w14:textId="77777777" w:rsidR="007837D9" w:rsidRPr="007837D9" w:rsidRDefault="007837D9" w:rsidP="007E3CF1">
            <w:pPr>
              <w:rPr>
                <w:noProof/>
                <w:snapToGrid w:val="0"/>
                <w:kern w:val="22"/>
                <w:bdr w:val="none" w:sz="0" w:space="0" w:color="auto"/>
              </w:rPr>
            </w:pPr>
            <w:r w:rsidRPr="007837D9">
              <w:rPr>
                <w:noProof/>
                <w:snapToGrid w:val="0"/>
                <w:kern w:val="22"/>
                <w:bdr w:val="none" w:sz="0" w:space="0" w:color="auto"/>
              </w:rPr>
              <w:drawing>
                <wp:inline distT="0" distB="0" distL="0" distR="0" wp14:anchorId="41B8083F" wp14:editId="4C213F77">
                  <wp:extent cx="476494" cy="403200"/>
                  <wp:effectExtent l="0" t="0" r="6350" b="3810"/>
                  <wp:docPr id="10" name="Picture 10" descr="Macintosh HD:Users:bilodeau:Desktop:logos:template 2017:u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odeau:Desktop:logos:template 2017:un.e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494" cy="403200"/>
                          </a:xfrm>
                          <a:prstGeom prst="rect">
                            <a:avLst/>
                          </a:prstGeom>
                          <a:noFill/>
                          <a:ln>
                            <a:noFill/>
                          </a:ln>
                        </pic:spPr>
                      </pic:pic>
                    </a:graphicData>
                  </a:graphic>
                </wp:inline>
              </w:drawing>
            </w:r>
          </w:p>
        </w:tc>
        <w:tc>
          <w:tcPr>
            <w:tcW w:w="1512" w:type="dxa"/>
            <w:tcBorders>
              <w:top w:val="nil"/>
              <w:left w:val="nil"/>
              <w:bottom w:val="single" w:sz="12" w:space="0" w:color="000000"/>
              <w:right w:val="nil"/>
            </w:tcBorders>
            <w:shd w:val="clear" w:color="auto" w:fill="auto"/>
            <w:tcMar>
              <w:top w:w="80" w:type="dxa"/>
              <w:left w:w="80" w:type="dxa"/>
              <w:bottom w:w="80" w:type="dxa"/>
              <w:right w:w="80" w:type="dxa"/>
            </w:tcMar>
          </w:tcPr>
          <w:p w14:paraId="026A6B10" w14:textId="77777777" w:rsidR="007837D9" w:rsidRPr="007837D9" w:rsidRDefault="007837D9" w:rsidP="007E3CF1">
            <w:pPr>
              <w:rPr>
                <w:noProof/>
                <w:snapToGrid w:val="0"/>
                <w:kern w:val="22"/>
                <w:bdr w:val="none" w:sz="0" w:space="0" w:color="auto"/>
              </w:rPr>
            </w:pPr>
            <w:r w:rsidRPr="007837D9">
              <w:rPr>
                <w:noProof/>
                <w:snapToGrid w:val="0"/>
                <w:kern w:val="22"/>
                <w:bdr w:val="none" w:sz="0" w:space="0" w:color="auto"/>
              </w:rPr>
              <w:drawing>
                <wp:inline distT="0" distB="0" distL="0" distR="0" wp14:anchorId="328C8542" wp14:editId="53E10453">
                  <wp:extent cx="343700" cy="403200"/>
                  <wp:effectExtent l="0" t="0" r="12065" b="3810"/>
                  <wp:docPr id="16" name="Picture 16" descr="Macintosh HD:Users:bilodeau:Desktop:logos:template 2017:unep-ol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ilodeau:Desktop:logos:template 2017:unep-old.e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700" cy="403200"/>
                          </a:xfrm>
                          <a:prstGeom prst="rect">
                            <a:avLst/>
                          </a:prstGeom>
                          <a:noFill/>
                          <a:ln>
                            <a:noFill/>
                          </a:ln>
                        </pic:spPr>
                      </pic:pic>
                    </a:graphicData>
                  </a:graphic>
                </wp:inline>
              </w:drawing>
            </w:r>
          </w:p>
        </w:tc>
        <w:tc>
          <w:tcPr>
            <w:tcW w:w="6948" w:type="dxa"/>
            <w:gridSpan w:val="2"/>
            <w:tcBorders>
              <w:top w:val="nil"/>
              <w:left w:val="nil"/>
              <w:bottom w:val="single" w:sz="12" w:space="0" w:color="000000"/>
              <w:right w:val="nil"/>
            </w:tcBorders>
            <w:shd w:val="clear" w:color="auto" w:fill="auto"/>
            <w:tcMar>
              <w:top w:w="80" w:type="dxa"/>
              <w:left w:w="80" w:type="dxa"/>
              <w:bottom w:w="80" w:type="dxa"/>
              <w:right w:w="80" w:type="dxa"/>
            </w:tcMar>
          </w:tcPr>
          <w:p w14:paraId="4799FEF5" w14:textId="77777777" w:rsidR="007837D9" w:rsidRPr="007837D9" w:rsidRDefault="007837D9" w:rsidP="007E3CF1">
            <w:pPr>
              <w:jc w:val="right"/>
              <w:rPr>
                <w:rFonts w:ascii="Arial"/>
                <w:b/>
                <w:bCs/>
                <w:snapToGrid w:val="0"/>
                <w:kern w:val="22"/>
                <w:sz w:val="32"/>
                <w:szCs w:val="32"/>
                <w:lang w:val="en-GB"/>
              </w:rPr>
            </w:pPr>
            <w:r w:rsidRPr="007837D9">
              <w:rPr>
                <w:rFonts w:ascii="Arial"/>
                <w:b/>
                <w:bCs/>
                <w:snapToGrid w:val="0"/>
                <w:kern w:val="22"/>
                <w:sz w:val="32"/>
                <w:szCs w:val="32"/>
                <w:lang w:val="en-GB"/>
              </w:rPr>
              <w:t>CBD</w:t>
            </w:r>
          </w:p>
        </w:tc>
      </w:tr>
      <w:tr w:rsidR="0060380C" w:rsidRPr="00DF02C5" w14:paraId="26356F93" w14:textId="77777777" w:rsidTr="007837D9">
        <w:trPr>
          <w:trHeight w:val="1971"/>
        </w:trPr>
        <w:tc>
          <w:tcPr>
            <w:tcW w:w="5735" w:type="dxa"/>
            <w:gridSpan w:val="3"/>
            <w:tcBorders>
              <w:top w:val="single" w:sz="12" w:space="0" w:color="000000"/>
              <w:left w:val="nil"/>
              <w:bottom w:val="single" w:sz="36" w:space="0" w:color="000000"/>
              <w:right w:val="nil"/>
            </w:tcBorders>
            <w:shd w:val="clear" w:color="auto" w:fill="auto"/>
            <w:tcMar>
              <w:top w:w="80" w:type="dxa"/>
              <w:left w:w="80" w:type="dxa"/>
              <w:bottom w:w="80" w:type="dxa"/>
              <w:right w:w="1502" w:type="dxa"/>
            </w:tcMar>
          </w:tcPr>
          <w:p w14:paraId="75A29EB6" w14:textId="77777777" w:rsidR="0060380C" w:rsidRPr="00DF02C5" w:rsidRDefault="00C47A2F" w:rsidP="006613E9">
            <w:pPr>
              <w:rPr>
                <w:snapToGrid w:val="0"/>
                <w:kern w:val="22"/>
                <w:lang w:val="en-GB"/>
              </w:rPr>
            </w:pPr>
            <w:r w:rsidRPr="00DF02C5">
              <w:rPr>
                <w:noProof/>
                <w:snapToGrid w:val="0"/>
                <w:kern w:val="22"/>
              </w:rPr>
              <w:drawing>
                <wp:inline distT="0" distB="0" distL="0" distR="0" wp14:anchorId="5248E31C" wp14:editId="513D8C14">
                  <wp:extent cx="2838450" cy="1073150"/>
                  <wp:effectExtent l="0" t="0" r="0" b="0"/>
                  <wp:docPr id="1" name="officeArt object" descr="Description: CBD_logo_CMYK_black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escription: CBD_logo_CMYK_black [Conver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8450" cy="1073150"/>
                          </a:xfrm>
                          <a:prstGeom prst="rect">
                            <a:avLst/>
                          </a:prstGeom>
                          <a:noFill/>
                          <a:ln>
                            <a:noFill/>
                          </a:ln>
                        </pic:spPr>
                      </pic:pic>
                    </a:graphicData>
                  </a:graphic>
                </wp:inline>
              </w:drawing>
            </w:r>
          </w:p>
        </w:tc>
        <w:tc>
          <w:tcPr>
            <w:tcW w:w="3895" w:type="dxa"/>
            <w:tcBorders>
              <w:top w:val="single" w:sz="12" w:space="0" w:color="000000"/>
              <w:left w:val="nil"/>
              <w:bottom w:val="single" w:sz="36" w:space="0" w:color="000000"/>
              <w:right w:val="nil"/>
            </w:tcBorders>
            <w:shd w:val="clear" w:color="auto" w:fill="auto"/>
            <w:tcMar>
              <w:top w:w="80" w:type="dxa"/>
              <w:left w:w="80" w:type="dxa"/>
              <w:bottom w:w="80" w:type="dxa"/>
              <w:right w:w="80" w:type="dxa"/>
            </w:tcMar>
          </w:tcPr>
          <w:p w14:paraId="7AAFA174" w14:textId="77777777" w:rsidR="0060380C" w:rsidRPr="00DF02C5" w:rsidRDefault="00073F2B" w:rsidP="007837D9">
            <w:pPr>
              <w:ind w:left="1200"/>
              <w:rPr>
                <w:snapToGrid w:val="0"/>
                <w:kern w:val="22"/>
                <w:lang w:val="en-GB"/>
              </w:rPr>
            </w:pPr>
            <w:r w:rsidRPr="00DF02C5">
              <w:rPr>
                <w:snapToGrid w:val="0"/>
                <w:kern w:val="22"/>
                <w:lang w:val="en-GB"/>
              </w:rPr>
              <w:t>Distr.</w:t>
            </w:r>
          </w:p>
          <w:p w14:paraId="3ED1CA5D" w14:textId="77777777" w:rsidR="0060380C" w:rsidRPr="00DF02C5" w:rsidRDefault="00073F2B" w:rsidP="007837D9">
            <w:pPr>
              <w:ind w:left="1200"/>
              <w:rPr>
                <w:snapToGrid w:val="0"/>
                <w:kern w:val="22"/>
                <w:lang w:val="en-GB"/>
              </w:rPr>
            </w:pPr>
            <w:r w:rsidRPr="00DF02C5">
              <w:rPr>
                <w:snapToGrid w:val="0"/>
                <w:kern w:val="22"/>
                <w:lang w:val="en-GB"/>
              </w:rPr>
              <w:t>GENERAL</w:t>
            </w:r>
          </w:p>
          <w:p w14:paraId="114D28EE" w14:textId="77777777" w:rsidR="0060380C" w:rsidRPr="00DF02C5" w:rsidRDefault="0060380C" w:rsidP="007837D9">
            <w:pPr>
              <w:ind w:left="1200"/>
              <w:rPr>
                <w:snapToGrid w:val="0"/>
                <w:kern w:val="22"/>
                <w:lang w:val="en-GB"/>
              </w:rPr>
            </w:pPr>
          </w:p>
          <w:sdt>
            <w:sdtPr>
              <w:rPr>
                <w:rFonts w:eastAsia="SimSun" w:hAnsi="Times New Roman" w:cs="Times New Roman"/>
                <w:color w:val="auto"/>
                <w:kern w:val="22"/>
                <w:szCs w:val="24"/>
                <w:bdr w:val="none" w:sz="0" w:space="0" w:color="auto" w:frame="1"/>
                <w:lang w:val="en-GB"/>
              </w:rPr>
              <w:alias w:val="Subject"/>
              <w:tag w:val=""/>
              <w:id w:val="635840151"/>
              <w:placeholder>
                <w:docPart w:val="5D2967D019FB4BA1826BF5989E00F68C"/>
              </w:placeholder>
              <w:dataBinding w:prefixMappings="xmlns:ns0='http://purl.org/dc/elements/1.1/' xmlns:ns1='http://schemas.openxmlformats.org/package/2006/metadata/core-properties' " w:xpath="/ns1:coreProperties[1]/ns0:subject[1]" w:storeItemID="{6C3C8BC8-F283-45AE-878A-BAB7291924A1}"/>
              <w:text/>
            </w:sdtPr>
            <w:sdtContent>
              <w:p w14:paraId="507E7E2B" w14:textId="781694CA" w:rsidR="008C6EB8" w:rsidRPr="00DF02C5" w:rsidRDefault="0048321F" w:rsidP="007837D9">
                <w:pPr>
                  <w:ind w:left="1200"/>
                  <w:rPr>
                    <w:rFonts w:eastAsia="SimSun" w:hAnsi="Times New Roman" w:cs="Times New Roman"/>
                    <w:color w:val="auto"/>
                    <w:kern w:val="22"/>
                    <w:szCs w:val="24"/>
                    <w:bdr w:val="none" w:sz="0" w:space="0" w:color="auto"/>
                    <w:lang w:val="en-GB"/>
                  </w:rPr>
                </w:pPr>
                <w:r w:rsidRPr="0048321F">
                  <w:rPr>
                    <w:rFonts w:eastAsia="SimSun" w:hAnsi="Times New Roman" w:cs="Times New Roman"/>
                    <w:color w:val="auto"/>
                    <w:kern w:val="22"/>
                    <w:szCs w:val="24"/>
                    <w:bdr w:val="none" w:sz="0" w:space="0" w:color="auto" w:frame="1"/>
                    <w:lang w:val="en-GB"/>
                  </w:rPr>
                  <w:t>CBD/ABS/CC/2/INF/1</w:t>
                </w:r>
              </w:p>
            </w:sdtContent>
          </w:sdt>
          <w:p w14:paraId="0F1A0970" w14:textId="08210C39" w:rsidR="0060380C" w:rsidRPr="00B80AF5" w:rsidRDefault="00B80AF5" w:rsidP="007837D9">
            <w:pPr>
              <w:ind w:left="1200"/>
              <w:rPr>
                <w:snapToGrid w:val="0"/>
                <w:color w:val="auto"/>
                <w:kern w:val="22"/>
                <w:lang w:val="en-GB"/>
              </w:rPr>
            </w:pPr>
            <w:r w:rsidRPr="00B80AF5">
              <w:rPr>
                <w:snapToGrid w:val="0"/>
                <w:color w:val="auto"/>
                <w:kern w:val="22"/>
                <w:lang w:val="en-GB"/>
              </w:rPr>
              <w:t>10</w:t>
            </w:r>
            <w:r w:rsidR="003108E8" w:rsidRPr="00B80AF5">
              <w:rPr>
                <w:snapToGrid w:val="0"/>
                <w:color w:val="auto"/>
                <w:kern w:val="22"/>
                <w:lang w:val="en-GB"/>
              </w:rPr>
              <w:t xml:space="preserve"> </w:t>
            </w:r>
            <w:r w:rsidRPr="00B80AF5">
              <w:rPr>
                <w:snapToGrid w:val="0"/>
                <w:color w:val="auto"/>
                <w:kern w:val="22"/>
                <w:lang w:val="en-GB"/>
              </w:rPr>
              <w:t xml:space="preserve">April </w:t>
            </w:r>
            <w:r w:rsidR="00073F2B" w:rsidRPr="00B80AF5">
              <w:rPr>
                <w:snapToGrid w:val="0"/>
                <w:color w:val="auto"/>
                <w:kern w:val="22"/>
                <w:lang w:val="en-GB"/>
              </w:rPr>
              <w:t>201</w:t>
            </w:r>
            <w:r w:rsidRPr="00B80AF5">
              <w:rPr>
                <w:snapToGrid w:val="0"/>
                <w:color w:val="auto"/>
                <w:kern w:val="22"/>
                <w:lang w:val="en-GB"/>
              </w:rPr>
              <w:t>8</w:t>
            </w:r>
          </w:p>
          <w:p w14:paraId="74E8CE6C" w14:textId="77777777" w:rsidR="0060380C" w:rsidRPr="00DF02C5" w:rsidRDefault="0060380C" w:rsidP="007837D9">
            <w:pPr>
              <w:ind w:left="1200"/>
              <w:rPr>
                <w:snapToGrid w:val="0"/>
                <w:kern w:val="22"/>
                <w:lang w:val="en-GB"/>
              </w:rPr>
            </w:pPr>
          </w:p>
          <w:p w14:paraId="2244030B" w14:textId="01E0EC75" w:rsidR="0060380C" w:rsidRPr="00DF02C5" w:rsidRDefault="00073F2B" w:rsidP="007837D9">
            <w:pPr>
              <w:ind w:left="1200"/>
              <w:rPr>
                <w:snapToGrid w:val="0"/>
                <w:kern w:val="22"/>
                <w:lang w:val="en-GB"/>
              </w:rPr>
            </w:pPr>
            <w:r w:rsidRPr="00DF02C5">
              <w:rPr>
                <w:snapToGrid w:val="0"/>
                <w:kern w:val="22"/>
                <w:lang w:val="en-GB"/>
              </w:rPr>
              <w:t>ENGLISH</w:t>
            </w:r>
            <w:r w:rsidR="00B50576">
              <w:rPr>
                <w:snapToGrid w:val="0"/>
                <w:kern w:val="22"/>
                <w:lang w:val="en-GB"/>
              </w:rPr>
              <w:t xml:space="preserve"> ONLY</w:t>
            </w:r>
          </w:p>
        </w:tc>
      </w:tr>
    </w:tbl>
    <w:p w14:paraId="1F7E21C7" w14:textId="77777777" w:rsidR="008C6EB8" w:rsidRPr="00DF02C5" w:rsidRDefault="008C6EB8" w:rsidP="008C6EB8">
      <w:p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ind w:left="284" w:right="5391" w:hanging="284"/>
        <w:jc w:val="left"/>
        <w:rPr>
          <w:rFonts w:eastAsia="Times New Roman" w:hAnsi="Times New Roman" w:cs="Times New Roman"/>
          <w:color w:val="auto"/>
          <w:kern w:val="22"/>
          <w:szCs w:val="24"/>
          <w:bdr w:val="none" w:sz="0" w:space="0" w:color="auto"/>
          <w:lang w:val="en-GB"/>
        </w:rPr>
      </w:pPr>
      <w:r w:rsidRPr="00DF02C5">
        <w:rPr>
          <w:rFonts w:eastAsia="Times New Roman" w:hAnsi="Times New Roman" w:cs="Times New Roman"/>
          <w:color w:val="auto"/>
          <w:kern w:val="22"/>
          <w:szCs w:val="24"/>
          <w:bdr w:val="none" w:sz="0" w:space="0" w:color="auto"/>
          <w:lang w:val="en-GB"/>
        </w:rPr>
        <w:t>COMPLIANCE COMMITTEE UNDER THE NAGOYA PROTOCOL</w:t>
      </w:r>
    </w:p>
    <w:p w14:paraId="44E280AC" w14:textId="77777777" w:rsidR="008C6EB8" w:rsidRPr="00DF02C5" w:rsidRDefault="008C6EB8" w:rsidP="008C6EB8">
      <w:p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ind w:right="3549"/>
        <w:jc w:val="left"/>
        <w:rPr>
          <w:rFonts w:eastAsia="Times New Roman" w:hAnsi="Times New Roman" w:cs="Times New Roman"/>
          <w:color w:val="auto"/>
          <w:kern w:val="22"/>
          <w:szCs w:val="24"/>
          <w:bdr w:val="none" w:sz="0" w:space="0" w:color="auto"/>
          <w:lang w:val="en-GB"/>
        </w:rPr>
      </w:pPr>
      <w:r w:rsidRPr="00DF02C5">
        <w:rPr>
          <w:rFonts w:eastAsia="Times New Roman" w:hAnsi="Times New Roman" w:cs="Times New Roman"/>
          <w:color w:val="auto"/>
          <w:kern w:val="22"/>
          <w:szCs w:val="24"/>
          <w:bdr w:val="none" w:sz="0" w:space="0" w:color="auto"/>
          <w:lang w:val="en-GB"/>
        </w:rPr>
        <w:t>Second meeting</w:t>
      </w:r>
    </w:p>
    <w:p w14:paraId="406F14DC" w14:textId="77777777" w:rsidR="008C6EB8" w:rsidRPr="00DF02C5" w:rsidRDefault="008C6EB8" w:rsidP="008C6EB8">
      <w:p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ind w:right="3549"/>
        <w:jc w:val="left"/>
        <w:rPr>
          <w:rFonts w:eastAsia="Times New Roman" w:hAnsi="Times New Roman" w:cs="Times New Roman"/>
          <w:color w:val="auto"/>
          <w:kern w:val="22"/>
          <w:szCs w:val="24"/>
          <w:bdr w:val="none" w:sz="0" w:space="0" w:color="auto"/>
          <w:lang w:val="en-GB"/>
        </w:rPr>
      </w:pPr>
      <w:r w:rsidRPr="00DF02C5">
        <w:rPr>
          <w:rFonts w:eastAsia="Times New Roman" w:hAnsi="Times New Roman" w:cs="Times New Roman"/>
          <w:color w:val="auto"/>
          <w:kern w:val="22"/>
          <w:szCs w:val="24"/>
          <w:bdr w:val="none" w:sz="0" w:space="0" w:color="auto"/>
          <w:lang w:val="en-GB"/>
        </w:rPr>
        <w:t>Montreal, Canada, 24-26 April 2018</w:t>
      </w:r>
    </w:p>
    <w:p w14:paraId="0080159E" w14:textId="77777777" w:rsidR="008C6EB8" w:rsidRPr="00DF02C5" w:rsidRDefault="008C6EB8" w:rsidP="008C6EB8">
      <w:p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ind w:right="3549"/>
        <w:jc w:val="left"/>
        <w:rPr>
          <w:rFonts w:eastAsia="Times New Roman" w:hAnsi="Times New Roman" w:cs="Times New Roman"/>
          <w:color w:val="auto"/>
          <w:kern w:val="22"/>
          <w:szCs w:val="24"/>
          <w:bdr w:val="none" w:sz="0" w:space="0" w:color="auto"/>
          <w:lang w:val="en-GB"/>
        </w:rPr>
      </w:pPr>
      <w:r w:rsidRPr="00DF02C5">
        <w:rPr>
          <w:rFonts w:eastAsia="Times New Roman" w:hAnsi="Times New Roman" w:cs="Times New Roman"/>
          <w:color w:val="auto"/>
          <w:kern w:val="22"/>
          <w:szCs w:val="24"/>
          <w:bdr w:val="none" w:sz="0" w:space="0" w:color="auto"/>
          <w:lang w:val="en-GB"/>
        </w:rPr>
        <w:t>Item 2 of the provisional agenda</w:t>
      </w:r>
      <w:r w:rsidRPr="00DF02C5">
        <w:rPr>
          <w:rFonts w:eastAsia="Times New Roman" w:hAnsi="Times New Roman" w:cs="Times New Roman"/>
          <w:color w:val="auto"/>
          <w:kern w:val="22"/>
          <w:szCs w:val="24"/>
          <w:bdr w:val="none" w:sz="0" w:space="0" w:color="auto"/>
          <w:lang w:val="en-GB"/>
        </w:rPr>
        <w:footnoteReference w:customMarkFollows="1" w:id="2"/>
        <w:sym w:font="Symbol" w:char="F02A"/>
      </w:r>
    </w:p>
    <w:p w14:paraId="3027380A" w14:textId="19191016" w:rsidR="00983172" w:rsidRPr="00DF02C5" w:rsidRDefault="0048321F" w:rsidP="008B0F13">
      <w:pPr>
        <w:spacing w:before="240" w:after="120"/>
        <w:jc w:val="center"/>
        <w:rPr>
          <w:b/>
          <w:lang w:val="en-GB"/>
        </w:rPr>
      </w:pPr>
      <w:sdt>
        <w:sdtPr>
          <w:rPr>
            <w:b/>
            <w:bdr w:val="none" w:sz="0" w:space="0" w:color="auto" w:frame="1"/>
            <w:lang w:val="en-GB"/>
          </w:rPr>
          <w:alias w:val="Title"/>
          <w:tag w:val=""/>
          <w:id w:val="-705955292"/>
          <w:placeholder>
            <w:docPart w:val="74401EA97D5D4F9EBBCA8C8A23F86B6A"/>
          </w:placeholder>
          <w:dataBinding w:prefixMappings="xmlns:ns0='http://purl.org/dc/elements/1.1/' xmlns:ns1='http://schemas.openxmlformats.org/package/2006/metadata/core-properties' " w:xpath="/ns1:coreProperties[1]/ns0:title[1]" w:storeItemID="{6C3C8BC8-F283-45AE-878A-BAB7291924A1}"/>
          <w:text/>
        </w:sdtPr>
        <w:sdtContent>
          <w:r w:rsidRPr="0048321F">
            <w:rPr>
              <w:b/>
              <w:bdr w:val="none" w:sz="0" w:space="0" w:color="auto" w:frame="1"/>
              <w:lang w:val="en-GB"/>
            </w:rPr>
            <w:t>DRAFT ANALYSIS OF INFORMATION CONTAINED IN THE INTERIM NATIONAL REPORTS AND INFORMATION PUBLISHED IN THE ACCESS AND BENEFIT-SHARING CLEARING HOUSE</w:t>
          </w:r>
        </w:sdtContent>
      </w:sdt>
      <w:r w:rsidR="008C6EB8" w:rsidRPr="00DF02C5">
        <w:rPr>
          <w:rStyle w:val="FootnoteReference"/>
          <w:b/>
          <w:lang w:val="en-GB"/>
        </w:rPr>
        <w:footnoteReference w:id="3"/>
      </w:r>
    </w:p>
    <w:p w14:paraId="6B9DA269" w14:textId="77777777" w:rsidR="0060380C" w:rsidRPr="00DF02C5" w:rsidRDefault="004E1DB9" w:rsidP="004F70EB">
      <w:pPr>
        <w:jc w:val="center"/>
        <w:rPr>
          <w:i/>
          <w:lang w:val="en-GB"/>
        </w:rPr>
      </w:pPr>
      <w:r w:rsidRPr="00DF02C5">
        <w:rPr>
          <w:i/>
          <w:lang w:val="en-GB"/>
        </w:rPr>
        <w:t>Note by the Executive Secretary</w:t>
      </w:r>
    </w:p>
    <w:p w14:paraId="4BC2F492" w14:textId="77777777" w:rsidR="004F70EB" w:rsidRPr="00DF02C5" w:rsidRDefault="004F70EB" w:rsidP="004F70EB">
      <w:pPr>
        <w:jc w:val="center"/>
        <w:rPr>
          <w:i/>
          <w:lang w:val="en-GB"/>
        </w:rPr>
      </w:pPr>
    </w:p>
    <w:p w14:paraId="112D6FD1" w14:textId="1727522F" w:rsidR="004F70EB" w:rsidRPr="00DF02C5" w:rsidRDefault="004F70EB" w:rsidP="004F70EB">
      <w:pPr>
        <w:jc w:val="center"/>
        <w:rPr>
          <w:i/>
          <w:lang w:val="en-GB"/>
        </w:rPr>
      </w:pPr>
      <w:r w:rsidRPr="00DF02C5">
        <w:rPr>
          <w:i/>
          <w:lang w:val="en-GB"/>
        </w:rPr>
        <w:t>Table of Contents</w:t>
      </w:r>
    </w:p>
    <w:p w14:paraId="4C412C70" w14:textId="17EDDCE4" w:rsidR="008442A7" w:rsidRPr="00B50576" w:rsidRDefault="004E0513" w:rsidP="00B50576">
      <w:pPr>
        <w:pStyle w:val="TOC1"/>
        <w:tabs>
          <w:tab w:val="left" w:pos="440"/>
          <w:tab w:val="right" w:leader="dot" w:pos="9350"/>
        </w:tabs>
        <w:ind w:left="450" w:hanging="450"/>
        <w:rPr>
          <w:rFonts w:asciiTheme="minorHAnsi" w:eastAsiaTheme="minorEastAsia" w:hAnsiTheme="minorHAnsi" w:cstheme="minorBidi"/>
          <w:noProof/>
          <w:color w:val="auto"/>
          <w:bdr w:val="none" w:sz="0" w:space="0" w:color="auto"/>
        </w:rPr>
      </w:pPr>
      <w:r w:rsidRPr="00DF02C5">
        <w:rPr>
          <w:lang w:val="en-GB"/>
        </w:rPr>
        <w:fldChar w:fldCharType="begin"/>
      </w:r>
      <w:r w:rsidRPr="00DF02C5">
        <w:rPr>
          <w:lang w:val="en-GB"/>
        </w:rPr>
        <w:instrText xml:space="preserve"> TOC \o "1-2" \h \z \u </w:instrText>
      </w:r>
      <w:r w:rsidRPr="00DF02C5">
        <w:rPr>
          <w:lang w:val="en-GB"/>
        </w:rPr>
        <w:fldChar w:fldCharType="separate"/>
      </w:r>
      <w:hyperlink w:anchor="_Toc511112597" w:history="1">
        <w:r w:rsidR="008442A7" w:rsidRPr="00B50576">
          <w:rPr>
            <w:rStyle w:val="Hyperlink"/>
            <w:rFonts w:hAnsi="Times New Roman" w:cs="Times New Roman"/>
            <w:bCs/>
            <w:caps/>
            <w:noProof/>
            <w:snapToGrid w:val="0"/>
            <w:kern w:val="22"/>
            <w:lang w:val="en-GB"/>
          </w:rPr>
          <w:t>I.</w:t>
        </w:r>
        <w:r w:rsidR="008442A7" w:rsidRPr="00B50576">
          <w:rPr>
            <w:rFonts w:asciiTheme="minorHAnsi" w:eastAsiaTheme="minorEastAsia" w:hAnsiTheme="minorHAnsi" w:cstheme="minorBidi"/>
            <w:noProof/>
            <w:color w:val="auto"/>
            <w:bdr w:val="none" w:sz="0" w:space="0" w:color="auto"/>
          </w:rPr>
          <w:tab/>
        </w:r>
        <w:r w:rsidR="008442A7" w:rsidRPr="00B50576">
          <w:rPr>
            <w:rStyle w:val="Hyperlink"/>
            <w:rFonts w:hAnsi="Times New Roman" w:cs="Times New Roman"/>
            <w:bCs/>
            <w:caps/>
            <w:noProof/>
            <w:snapToGrid w:val="0"/>
            <w:kern w:val="22"/>
            <w:lang w:val="en-GB"/>
          </w:rPr>
          <w:t>INTRODUCTION</w:t>
        </w:r>
        <w:r w:rsidR="008442A7" w:rsidRPr="00B50576">
          <w:rPr>
            <w:noProof/>
            <w:webHidden/>
          </w:rPr>
          <w:tab/>
        </w:r>
        <w:r w:rsidR="008442A7" w:rsidRPr="00B50576">
          <w:rPr>
            <w:noProof/>
            <w:webHidden/>
          </w:rPr>
          <w:fldChar w:fldCharType="begin"/>
        </w:r>
        <w:r w:rsidR="008442A7" w:rsidRPr="00B50576">
          <w:rPr>
            <w:noProof/>
            <w:webHidden/>
          </w:rPr>
          <w:instrText xml:space="preserve"> PAGEREF _Toc511112597 \h </w:instrText>
        </w:r>
        <w:r w:rsidR="008442A7" w:rsidRPr="00B50576">
          <w:rPr>
            <w:noProof/>
            <w:webHidden/>
          </w:rPr>
        </w:r>
        <w:r w:rsidR="008442A7" w:rsidRPr="00B50576">
          <w:rPr>
            <w:noProof/>
            <w:webHidden/>
          </w:rPr>
          <w:fldChar w:fldCharType="separate"/>
        </w:r>
        <w:r w:rsidR="00B54C38">
          <w:rPr>
            <w:noProof/>
            <w:webHidden/>
          </w:rPr>
          <w:t>3</w:t>
        </w:r>
        <w:r w:rsidR="008442A7" w:rsidRPr="00B50576">
          <w:rPr>
            <w:noProof/>
            <w:webHidden/>
          </w:rPr>
          <w:fldChar w:fldCharType="end"/>
        </w:r>
      </w:hyperlink>
    </w:p>
    <w:p w14:paraId="7B529A54" w14:textId="3D34D5FC" w:rsidR="008442A7" w:rsidRPr="00B50576" w:rsidRDefault="00B50576" w:rsidP="00B50576">
      <w:pPr>
        <w:pStyle w:val="TOC1"/>
        <w:tabs>
          <w:tab w:val="left" w:pos="660"/>
          <w:tab w:val="right" w:leader="dot" w:pos="9350"/>
        </w:tabs>
        <w:ind w:left="450" w:hanging="450"/>
        <w:rPr>
          <w:rFonts w:asciiTheme="minorHAnsi" w:eastAsiaTheme="minorEastAsia" w:hAnsiTheme="minorHAnsi" w:cstheme="minorBidi"/>
          <w:noProof/>
          <w:color w:val="auto"/>
          <w:bdr w:val="none" w:sz="0" w:space="0" w:color="auto"/>
        </w:rPr>
      </w:pPr>
      <w:hyperlink w:anchor="_Toc511112598" w:history="1">
        <w:r w:rsidR="008442A7" w:rsidRPr="00B50576">
          <w:rPr>
            <w:rStyle w:val="Hyperlink"/>
            <w:rFonts w:eastAsia="Times New Roman" w:hAnsi="Times New Roman" w:cs="Times New Roman"/>
            <w:bCs/>
            <w:caps/>
            <w:noProof/>
            <w:snapToGrid w:val="0"/>
            <w:kern w:val="22"/>
            <w:lang w:val="en-GB"/>
          </w:rPr>
          <w:t>II.</w:t>
        </w:r>
        <w:r w:rsidR="008442A7" w:rsidRPr="00B50576">
          <w:rPr>
            <w:rFonts w:asciiTheme="minorHAnsi" w:eastAsiaTheme="minorEastAsia" w:hAnsiTheme="minorHAnsi" w:cstheme="minorBidi"/>
            <w:noProof/>
            <w:color w:val="auto"/>
            <w:bdr w:val="none" w:sz="0" w:space="0" w:color="auto"/>
          </w:rPr>
          <w:tab/>
        </w:r>
        <w:r w:rsidR="008442A7" w:rsidRPr="00B50576">
          <w:rPr>
            <w:rStyle w:val="Hyperlink"/>
            <w:rFonts w:eastAsia="Times New Roman" w:hAnsi="Times New Roman" w:cs="Times New Roman"/>
            <w:bCs/>
            <w:caps/>
            <w:noProof/>
            <w:snapToGrid w:val="0"/>
            <w:kern w:val="22"/>
            <w:lang w:val="en-GB"/>
          </w:rPr>
          <w:t>METHODOLOGY</w:t>
        </w:r>
        <w:r w:rsidR="008442A7" w:rsidRPr="00B50576">
          <w:rPr>
            <w:noProof/>
            <w:webHidden/>
          </w:rPr>
          <w:tab/>
        </w:r>
        <w:r w:rsidR="008442A7" w:rsidRPr="00B50576">
          <w:rPr>
            <w:noProof/>
            <w:webHidden/>
          </w:rPr>
          <w:fldChar w:fldCharType="begin"/>
        </w:r>
        <w:r w:rsidR="008442A7" w:rsidRPr="00B50576">
          <w:rPr>
            <w:noProof/>
            <w:webHidden/>
          </w:rPr>
          <w:instrText xml:space="preserve"> PAGEREF _Toc511112598 \h </w:instrText>
        </w:r>
        <w:r w:rsidR="008442A7" w:rsidRPr="00B50576">
          <w:rPr>
            <w:noProof/>
            <w:webHidden/>
          </w:rPr>
        </w:r>
        <w:r w:rsidR="008442A7" w:rsidRPr="00B50576">
          <w:rPr>
            <w:noProof/>
            <w:webHidden/>
          </w:rPr>
          <w:fldChar w:fldCharType="separate"/>
        </w:r>
        <w:r w:rsidR="00B54C38">
          <w:rPr>
            <w:noProof/>
            <w:webHidden/>
          </w:rPr>
          <w:t>3</w:t>
        </w:r>
        <w:r w:rsidR="008442A7" w:rsidRPr="00B50576">
          <w:rPr>
            <w:noProof/>
            <w:webHidden/>
          </w:rPr>
          <w:fldChar w:fldCharType="end"/>
        </w:r>
      </w:hyperlink>
    </w:p>
    <w:p w14:paraId="2AF779F5" w14:textId="5677FDDB" w:rsidR="008442A7" w:rsidRPr="00B50576" w:rsidRDefault="00B50576" w:rsidP="00B50576">
      <w:pPr>
        <w:pStyle w:val="TOC2"/>
        <w:tabs>
          <w:tab w:val="clear" w:pos="660"/>
          <w:tab w:val="left" w:pos="900"/>
        </w:tabs>
        <w:ind w:left="900" w:hanging="450"/>
        <w:rPr>
          <w:rFonts w:asciiTheme="minorHAnsi" w:eastAsiaTheme="minorEastAsia" w:hAnsiTheme="minorHAnsi" w:cstheme="minorBidi"/>
          <w:b w:val="0"/>
          <w:bCs w:val="0"/>
          <w:iCs w:val="0"/>
          <w:color w:val="auto"/>
          <w:bdr w:val="none" w:sz="0" w:space="0" w:color="auto"/>
          <w:lang w:val="en-US"/>
        </w:rPr>
      </w:pPr>
      <w:hyperlink w:anchor="_Toc511112599" w:history="1">
        <w:r w:rsidR="008442A7" w:rsidRPr="00B50576">
          <w:rPr>
            <w:rStyle w:val="Hyperlink"/>
            <w:b w:val="0"/>
          </w:rPr>
          <w:t>A.</w:t>
        </w:r>
        <w:r w:rsidR="008442A7" w:rsidRPr="00B50576">
          <w:rPr>
            <w:rFonts w:asciiTheme="minorHAnsi" w:eastAsiaTheme="minorEastAsia" w:hAnsiTheme="minorHAnsi" w:cstheme="minorBidi"/>
            <w:b w:val="0"/>
            <w:bCs w:val="0"/>
            <w:iCs w:val="0"/>
            <w:color w:val="auto"/>
            <w:bdr w:val="none" w:sz="0" w:space="0" w:color="auto"/>
            <w:lang w:val="en-US"/>
          </w:rPr>
          <w:tab/>
        </w:r>
        <w:r w:rsidR="008442A7" w:rsidRPr="00B50576">
          <w:rPr>
            <w:rStyle w:val="Hyperlink"/>
            <w:b w:val="0"/>
          </w:rPr>
          <w:t>Sources of information</w:t>
        </w:r>
        <w:r w:rsidR="008442A7" w:rsidRPr="00B50576">
          <w:rPr>
            <w:b w:val="0"/>
            <w:webHidden/>
          </w:rPr>
          <w:tab/>
        </w:r>
        <w:r w:rsidR="008442A7" w:rsidRPr="00B50576">
          <w:rPr>
            <w:b w:val="0"/>
            <w:webHidden/>
          </w:rPr>
          <w:fldChar w:fldCharType="begin"/>
        </w:r>
        <w:r w:rsidR="008442A7" w:rsidRPr="00B50576">
          <w:rPr>
            <w:b w:val="0"/>
            <w:webHidden/>
          </w:rPr>
          <w:instrText xml:space="preserve"> PAGEREF _Toc511112599 \h </w:instrText>
        </w:r>
        <w:r w:rsidR="008442A7" w:rsidRPr="00B50576">
          <w:rPr>
            <w:b w:val="0"/>
            <w:webHidden/>
          </w:rPr>
        </w:r>
        <w:r w:rsidR="008442A7" w:rsidRPr="00B50576">
          <w:rPr>
            <w:b w:val="0"/>
            <w:webHidden/>
          </w:rPr>
          <w:fldChar w:fldCharType="separate"/>
        </w:r>
        <w:r w:rsidR="00B54C38">
          <w:rPr>
            <w:b w:val="0"/>
            <w:webHidden/>
          </w:rPr>
          <w:t>3</w:t>
        </w:r>
        <w:r w:rsidR="008442A7" w:rsidRPr="00B50576">
          <w:rPr>
            <w:b w:val="0"/>
            <w:webHidden/>
          </w:rPr>
          <w:fldChar w:fldCharType="end"/>
        </w:r>
      </w:hyperlink>
    </w:p>
    <w:p w14:paraId="730E85FD" w14:textId="57F9C30D" w:rsidR="008442A7" w:rsidRPr="00B50576" w:rsidRDefault="00B50576" w:rsidP="00B50576">
      <w:pPr>
        <w:pStyle w:val="TOC2"/>
        <w:tabs>
          <w:tab w:val="clear" w:pos="660"/>
          <w:tab w:val="left" w:pos="900"/>
        </w:tabs>
        <w:ind w:left="900" w:hanging="450"/>
        <w:rPr>
          <w:rFonts w:asciiTheme="minorHAnsi" w:eastAsiaTheme="minorEastAsia" w:hAnsiTheme="minorHAnsi" w:cstheme="minorBidi"/>
          <w:b w:val="0"/>
          <w:bCs w:val="0"/>
          <w:iCs w:val="0"/>
          <w:color w:val="auto"/>
          <w:bdr w:val="none" w:sz="0" w:space="0" w:color="auto"/>
          <w:lang w:val="en-US"/>
        </w:rPr>
      </w:pPr>
      <w:hyperlink w:anchor="_Toc511112600" w:history="1">
        <w:r w:rsidR="008442A7" w:rsidRPr="00B50576">
          <w:rPr>
            <w:rStyle w:val="Hyperlink"/>
            <w:b w:val="0"/>
          </w:rPr>
          <w:t>B.</w:t>
        </w:r>
        <w:r w:rsidR="008442A7" w:rsidRPr="00B50576">
          <w:rPr>
            <w:rFonts w:asciiTheme="minorHAnsi" w:eastAsiaTheme="minorEastAsia" w:hAnsiTheme="minorHAnsi" w:cstheme="minorBidi"/>
            <w:b w:val="0"/>
            <w:bCs w:val="0"/>
            <w:iCs w:val="0"/>
            <w:color w:val="auto"/>
            <w:bdr w:val="none" w:sz="0" w:space="0" w:color="auto"/>
            <w:lang w:val="en-US"/>
          </w:rPr>
          <w:tab/>
        </w:r>
        <w:r w:rsidR="008442A7" w:rsidRPr="00B50576">
          <w:rPr>
            <w:rStyle w:val="Hyperlink"/>
            <w:b w:val="0"/>
          </w:rPr>
          <w:t>Limitations</w:t>
        </w:r>
        <w:r w:rsidR="008442A7" w:rsidRPr="00B50576">
          <w:rPr>
            <w:b w:val="0"/>
            <w:webHidden/>
          </w:rPr>
          <w:tab/>
        </w:r>
        <w:r w:rsidR="008442A7" w:rsidRPr="00B50576">
          <w:rPr>
            <w:b w:val="0"/>
            <w:webHidden/>
          </w:rPr>
          <w:fldChar w:fldCharType="begin"/>
        </w:r>
        <w:r w:rsidR="008442A7" w:rsidRPr="00B50576">
          <w:rPr>
            <w:b w:val="0"/>
            <w:webHidden/>
          </w:rPr>
          <w:instrText xml:space="preserve"> PAGEREF _Toc511112600 \h </w:instrText>
        </w:r>
        <w:r w:rsidR="008442A7" w:rsidRPr="00B50576">
          <w:rPr>
            <w:b w:val="0"/>
            <w:webHidden/>
          </w:rPr>
        </w:r>
        <w:r w:rsidR="008442A7" w:rsidRPr="00B50576">
          <w:rPr>
            <w:b w:val="0"/>
            <w:webHidden/>
          </w:rPr>
          <w:fldChar w:fldCharType="separate"/>
        </w:r>
        <w:r w:rsidR="00B54C38">
          <w:rPr>
            <w:b w:val="0"/>
            <w:webHidden/>
          </w:rPr>
          <w:t>5</w:t>
        </w:r>
        <w:r w:rsidR="008442A7" w:rsidRPr="00B50576">
          <w:rPr>
            <w:b w:val="0"/>
            <w:webHidden/>
          </w:rPr>
          <w:fldChar w:fldCharType="end"/>
        </w:r>
      </w:hyperlink>
    </w:p>
    <w:p w14:paraId="0F3740E3" w14:textId="56D5523F" w:rsidR="008442A7" w:rsidRPr="00B50576" w:rsidRDefault="00B50576" w:rsidP="00B50576">
      <w:pPr>
        <w:pStyle w:val="TOC2"/>
        <w:tabs>
          <w:tab w:val="clear" w:pos="660"/>
          <w:tab w:val="left" w:pos="900"/>
        </w:tabs>
        <w:ind w:left="900" w:hanging="450"/>
        <w:rPr>
          <w:rFonts w:asciiTheme="minorHAnsi" w:eastAsiaTheme="minorEastAsia" w:hAnsiTheme="minorHAnsi" w:cstheme="minorBidi"/>
          <w:b w:val="0"/>
          <w:bCs w:val="0"/>
          <w:iCs w:val="0"/>
          <w:color w:val="auto"/>
          <w:bdr w:val="none" w:sz="0" w:space="0" w:color="auto"/>
          <w:lang w:val="en-US"/>
        </w:rPr>
      </w:pPr>
      <w:hyperlink w:anchor="_Toc511112601" w:history="1">
        <w:r w:rsidR="008442A7" w:rsidRPr="00B50576">
          <w:rPr>
            <w:rStyle w:val="Hyperlink"/>
            <w:b w:val="0"/>
          </w:rPr>
          <w:t>C.</w:t>
        </w:r>
        <w:r w:rsidR="008442A7" w:rsidRPr="00B50576">
          <w:rPr>
            <w:rFonts w:asciiTheme="minorHAnsi" w:eastAsiaTheme="minorEastAsia" w:hAnsiTheme="minorHAnsi" w:cstheme="minorBidi"/>
            <w:b w:val="0"/>
            <w:bCs w:val="0"/>
            <w:iCs w:val="0"/>
            <w:color w:val="auto"/>
            <w:bdr w:val="none" w:sz="0" w:space="0" w:color="auto"/>
            <w:lang w:val="en-US"/>
          </w:rPr>
          <w:tab/>
        </w:r>
        <w:r w:rsidR="008442A7" w:rsidRPr="00B50576">
          <w:rPr>
            <w:rStyle w:val="Hyperlink"/>
            <w:b w:val="0"/>
          </w:rPr>
          <w:t>Methodological notes</w:t>
        </w:r>
        <w:r w:rsidR="008442A7" w:rsidRPr="00B50576">
          <w:rPr>
            <w:b w:val="0"/>
            <w:webHidden/>
          </w:rPr>
          <w:tab/>
        </w:r>
        <w:r w:rsidR="008442A7" w:rsidRPr="00B50576">
          <w:rPr>
            <w:b w:val="0"/>
            <w:webHidden/>
          </w:rPr>
          <w:fldChar w:fldCharType="begin"/>
        </w:r>
        <w:r w:rsidR="008442A7" w:rsidRPr="00B50576">
          <w:rPr>
            <w:b w:val="0"/>
            <w:webHidden/>
          </w:rPr>
          <w:instrText xml:space="preserve"> PAGEREF _Toc511112601 \h </w:instrText>
        </w:r>
        <w:r w:rsidR="008442A7" w:rsidRPr="00B50576">
          <w:rPr>
            <w:b w:val="0"/>
            <w:webHidden/>
          </w:rPr>
        </w:r>
        <w:r w:rsidR="008442A7" w:rsidRPr="00B50576">
          <w:rPr>
            <w:b w:val="0"/>
            <w:webHidden/>
          </w:rPr>
          <w:fldChar w:fldCharType="separate"/>
        </w:r>
        <w:r w:rsidR="00B54C38">
          <w:rPr>
            <w:b w:val="0"/>
            <w:webHidden/>
          </w:rPr>
          <w:t>5</w:t>
        </w:r>
        <w:r w:rsidR="008442A7" w:rsidRPr="00B50576">
          <w:rPr>
            <w:b w:val="0"/>
            <w:webHidden/>
          </w:rPr>
          <w:fldChar w:fldCharType="end"/>
        </w:r>
      </w:hyperlink>
    </w:p>
    <w:p w14:paraId="55C0EF3F" w14:textId="5231FE70" w:rsidR="008442A7" w:rsidRPr="00B50576" w:rsidRDefault="00B50576" w:rsidP="00B50576">
      <w:pPr>
        <w:pStyle w:val="TOC1"/>
        <w:tabs>
          <w:tab w:val="left" w:pos="660"/>
          <w:tab w:val="right" w:leader="dot" w:pos="9350"/>
        </w:tabs>
        <w:ind w:left="450" w:hanging="450"/>
        <w:rPr>
          <w:rFonts w:asciiTheme="minorHAnsi" w:eastAsiaTheme="minorEastAsia" w:hAnsiTheme="minorHAnsi" w:cstheme="minorBidi"/>
          <w:noProof/>
          <w:color w:val="auto"/>
          <w:bdr w:val="none" w:sz="0" w:space="0" w:color="auto"/>
        </w:rPr>
      </w:pPr>
      <w:hyperlink w:anchor="_Toc511112602" w:history="1">
        <w:r w:rsidR="008442A7" w:rsidRPr="00B50576">
          <w:rPr>
            <w:rStyle w:val="Hyperlink"/>
            <w:rFonts w:eastAsia="Times New Roman" w:hAnsi="Times New Roman" w:cs="Times New Roman"/>
            <w:bCs/>
            <w:caps/>
            <w:noProof/>
            <w:snapToGrid w:val="0"/>
            <w:kern w:val="22"/>
            <w:lang w:val="en-GB"/>
          </w:rPr>
          <w:t>III.</w:t>
        </w:r>
        <w:r w:rsidR="008442A7" w:rsidRPr="00B50576">
          <w:rPr>
            <w:rFonts w:asciiTheme="minorHAnsi" w:eastAsiaTheme="minorEastAsia" w:hAnsiTheme="minorHAnsi" w:cstheme="minorBidi"/>
            <w:noProof/>
            <w:color w:val="auto"/>
            <w:bdr w:val="none" w:sz="0" w:space="0" w:color="auto"/>
          </w:rPr>
          <w:tab/>
        </w:r>
        <w:r w:rsidR="008442A7" w:rsidRPr="00B50576">
          <w:rPr>
            <w:rStyle w:val="Hyperlink"/>
            <w:rFonts w:eastAsia="Times New Roman" w:hAnsi="Times New Roman" w:cs="Times New Roman"/>
            <w:bCs/>
            <w:caps/>
            <w:noProof/>
            <w:snapToGrid w:val="0"/>
            <w:kern w:val="22"/>
            <w:lang w:val="en-GB"/>
          </w:rPr>
          <w:t>Analysis of information provided by countries</w:t>
        </w:r>
        <w:r w:rsidR="008442A7" w:rsidRPr="00B50576">
          <w:rPr>
            <w:noProof/>
            <w:webHidden/>
          </w:rPr>
          <w:tab/>
        </w:r>
        <w:r w:rsidR="008442A7" w:rsidRPr="00B50576">
          <w:rPr>
            <w:noProof/>
            <w:webHidden/>
          </w:rPr>
          <w:fldChar w:fldCharType="begin"/>
        </w:r>
        <w:r w:rsidR="008442A7" w:rsidRPr="00B50576">
          <w:rPr>
            <w:noProof/>
            <w:webHidden/>
          </w:rPr>
          <w:instrText xml:space="preserve"> PAGEREF _Toc511112602 \h </w:instrText>
        </w:r>
        <w:r w:rsidR="008442A7" w:rsidRPr="00B50576">
          <w:rPr>
            <w:noProof/>
            <w:webHidden/>
          </w:rPr>
        </w:r>
        <w:r w:rsidR="008442A7" w:rsidRPr="00B50576">
          <w:rPr>
            <w:noProof/>
            <w:webHidden/>
          </w:rPr>
          <w:fldChar w:fldCharType="separate"/>
        </w:r>
        <w:r w:rsidR="00B54C38">
          <w:rPr>
            <w:noProof/>
            <w:webHidden/>
          </w:rPr>
          <w:t>6</w:t>
        </w:r>
        <w:r w:rsidR="008442A7" w:rsidRPr="00B50576">
          <w:rPr>
            <w:noProof/>
            <w:webHidden/>
          </w:rPr>
          <w:fldChar w:fldCharType="end"/>
        </w:r>
      </w:hyperlink>
    </w:p>
    <w:p w14:paraId="65A73939" w14:textId="3A645C6A" w:rsidR="008442A7" w:rsidRPr="00B50576" w:rsidRDefault="00B50576" w:rsidP="00B50576">
      <w:pPr>
        <w:pStyle w:val="TOC2"/>
        <w:tabs>
          <w:tab w:val="clear" w:pos="660"/>
          <w:tab w:val="left" w:pos="990"/>
        </w:tabs>
        <w:ind w:left="990" w:hanging="450"/>
        <w:jc w:val="left"/>
        <w:rPr>
          <w:rFonts w:asciiTheme="minorHAnsi" w:eastAsiaTheme="minorEastAsia" w:hAnsiTheme="minorHAnsi" w:cstheme="minorBidi"/>
          <w:b w:val="0"/>
          <w:bCs w:val="0"/>
          <w:iCs w:val="0"/>
          <w:color w:val="auto"/>
          <w:bdr w:val="none" w:sz="0" w:space="0" w:color="auto"/>
          <w:lang w:val="en-US"/>
        </w:rPr>
      </w:pPr>
      <w:hyperlink w:anchor="_Toc511112603" w:history="1">
        <w:r w:rsidR="008442A7" w:rsidRPr="00B50576">
          <w:rPr>
            <w:rStyle w:val="Hyperlink"/>
            <w:rFonts w:eastAsia="Calibri"/>
            <w:b w:val="0"/>
            <w:snapToGrid w:val="0"/>
            <w:kern w:val="22"/>
          </w:rPr>
          <w:t>A.</w:t>
        </w:r>
        <w:r w:rsidR="008442A7" w:rsidRPr="00B50576">
          <w:rPr>
            <w:rFonts w:asciiTheme="minorHAnsi" w:eastAsiaTheme="minorEastAsia" w:hAnsiTheme="minorHAnsi" w:cstheme="minorBidi"/>
            <w:b w:val="0"/>
            <w:bCs w:val="0"/>
            <w:iCs w:val="0"/>
            <w:color w:val="auto"/>
            <w:bdr w:val="none" w:sz="0" w:space="0" w:color="auto"/>
            <w:lang w:val="en-US"/>
          </w:rPr>
          <w:tab/>
        </w:r>
        <w:r w:rsidR="008442A7" w:rsidRPr="00B50576">
          <w:rPr>
            <w:rStyle w:val="Hyperlink"/>
            <w:rFonts w:eastAsia="Calibri"/>
            <w:b w:val="0"/>
            <w:snapToGrid w:val="0"/>
            <w:kern w:val="22"/>
          </w:rPr>
          <w:t>Institutional structures for the implementation of the Protocol (questions 3 to 10)</w:t>
        </w:r>
        <w:r w:rsidR="008442A7" w:rsidRPr="00B50576">
          <w:rPr>
            <w:b w:val="0"/>
            <w:webHidden/>
          </w:rPr>
          <w:tab/>
        </w:r>
        <w:r w:rsidR="008442A7" w:rsidRPr="00B50576">
          <w:rPr>
            <w:b w:val="0"/>
            <w:webHidden/>
          </w:rPr>
          <w:fldChar w:fldCharType="begin"/>
        </w:r>
        <w:r w:rsidR="008442A7" w:rsidRPr="00B50576">
          <w:rPr>
            <w:b w:val="0"/>
            <w:webHidden/>
          </w:rPr>
          <w:instrText xml:space="preserve"> PAGEREF _Toc511112603 \h </w:instrText>
        </w:r>
        <w:r w:rsidR="008442A7" w:rsidRPr="00B50576">
          <w:rPr>
            <w:b w:val="0"/>
            <w:webHidden/>
          </w:rPr>
        </w:r>
        <w:r w:rsidR="008442A7" w:rsidRPr="00B50576">
          <w:rPr>
            <w:b w:val="0"/>
            <w:webHidden/>
          </w:rPr>
          <w:fldChar w:fldCharType="separate"/>
        </w:r>
        <w:r w:rsidR="00B54C38">
          <w:rPr>
            <w:b w:val="0"/>
            <w:webHidden/>
          </w:rPr>
          <w:t>6</w:t>
        </w:r>
        <w:r w:rsidR="008442A7" w:rsidRPr="00B50576">
          <w:rPr>
            <w:b w:val="0"/>
            <w:webHidden/>
          </w:rPr>
          <w:fldChar w:fldCharType="end"/>
        </w:r>
      </w:hyperlink>
    </w:p>
    <w:p w14:paraId="5B4B2AC7" w14:textId="1F66575C" w:rsidR="008442A7" w:rsidRPr="00B50576" w:rsidRDefault="00B50576" w:rsidP="00B50576">
      <w:pPr>
        <w:pStyle w:val="TOC2"/>
        <w:tabs>
          <w:tab w:val="clear" w:pos="660"/>
          <w:tab w:val="left" w:pos="990"/>
        </w:tabs>
        <w:ind w:left="990" w:hanging="450"/>
        <w:jc w:val="left"/>
        <w:rPr>
          <w:rFonts w:asciiTheme="minorHAnsi" w:eastAsiaTheme="minorEastAsia" w:hAnsiTheme="minorHAnsi" w:cstheme="minorBidi"/>
          <w:b w:val="0"/>
          <w:bCs w:val="0"/>
          <w:iCs w:val="0"/>
          <w:color w:val="auto"/>
          <w:bdr w:val="none" w:sz="0" w:space="0" w:color="auto"/>
          <w:lang w:val="en-US"/>
        </w:rPr>
      </w:pPr>
      <w:hyperlink w:anchor="_Toc511112604" w:history="1">
        <w:r w:rsidR="008442A7" w:rsidRPr="00B50576">
          <w:rPr>
            <w:rStyle w:val="Hyperlink"/>
            <w:rFonts w:eastAsia="Calibri"/>
            <w:b w:val="0"/>
            <w:snapToGrid w:val="0"/>
            <w:kern w:val="22"/>
          </w:rPr>
          <w:t>B.</w:t>
        </w:r>
        <w:r w:rsidR="008442A7" w:rsidRPr="00B50576">
          <w:rPr>
            <w:rFonts w:asciiTheme="minorHAnsi" w:eastAsiaTheme="minorEastAsia" w:hAnsiTheme="minorHAnsi" w:cstheme="minorBidi"/>
            <w:b w:val="0"/>
            <w:bCs w:val="0"/>
            <w:iCs w:val="0"/>
            <w:color w:val="auto"/>
            <w:bdr w:val="none" w:sz="0" w:space="0" w:color="auto"/>
            <w:lang w:val="en-US"/>
          </w:rPr>
          <w:tab/>
        </w:r>
        <w:r w:rsidR="008442A7" w:rsidRPr="00B50576">
          <w:rPr>
            <w:rStyle w:val="Hyperlink"/>
            <w:rFonts w:eastAsia="Calibri"/>
            <w:b w:val="0"/>
            <w:snapToGrid w:val="0"/>
            <w:kern w:val="22"/>
          </w:rPr>
          <w:t>ABS measures: Access to genetic resources (Article 6) (questions 11 to 19)</w:t>
        </w:r>
        <w:r w:rsidR="008442A7" w:rsidRPr="00B50576">
          <w:rPr>
            <w:b w:val="0"/>
            <w:webHidden/>
          </w:rPr>
          <w:tab/>
        </w:r>
        <w:r w:rsidR="008442A7" w:rsidRPr="00B50576">
          <w:rPr>
            <w:b w:val="0"/>
            <w:webHidden/>
          </w:rPr>
          <w:fldChar w:fldCharType="begin"/>
        </w:r>
        <w:r w:rsidR="008442A7" w:rsidRPr="00B50576">
          <w:rPr>
            <w:b w:val="0"/>
            <w:webHidden/>
          </w:rPr>
          <w:instrText xml:space="preserve"> PAGEREF _Toc511112604 \h </w:instrText>
        </w:r>
        <w:r w:rsidR="008442A7" w:rsidRPr="00B50576">
          <w:rPr>
            <w:b w:val="0"/>
            <w:webHidden/>
          </w:rPr>
        </w:r>
        <w:r w:rsidR="008442A7" w:rsidRPr="00B50576">
          <w:rPr>
            <w:b w:val="0"/>
            <w:webHidden/>
          </w:rPr>
          <w:fldChar w:fldCharType="separate"/>
        </w:r>
        <w:r w:rsidR="00B54C38">
          <w:rPr>
            <w:b w:val="0"/>
            <w:webHidden/>
          </w:rPr>
          <w:t>20</w:t>
        </w:r>
        <w:r w:rsidR="008442A7" w:rsidRPr="00B50576">
          <w:rPr>
            <w:b w:val="0"/>
            <w:webHidden/>
          </w:rPr>
          <w:fldChar w:fldCharType="end"/>
        </w:r>
      </w:hyperlink>
    </w:p>
    <w:p w14:paraId="6DB503C9" w14:textId="31029777" w:rsidR="008442A7" w:rsidRPr="00B50576" w:rsidRDefault="00B50576" w:rsidP="00B50576">
      <w:pPr>
        <w:pStyle w:val="TOC2"/>
        <w:tabs>
          <w:tab w:val="clear" w:pos="660"/>
          <w:tab w:val="left" w:pos="990"/>
        </w:tabs>
        <w:ind w:left="990" w:hanging="450"/>
        <w:jc w:val="left"/>
        <w:rPr>
          <w:rFonts w:asciiTheme="minorHAnsi" w:eastAsiaTheme="minorEastAsia" w:hAnsiTheme="minorHAnsi" w:cstheme="minorBidi"/>
          <w:b w:val="0"/>
          <w:bCs w:val="0"/>
          <w:iCs w:val="0"/>
          <w:color w:val="auto"/>
          <w:bdr w:val="none" w:sz="0" w:space="0" w:color="auto"/>
          <w:lang w:val="en-US"/>
        </w:rPr>
      </w:pPr>
      <w:hyperlink w:anchor="_Toc511112605" w:history="1">
        <w:r w:rsidR="008442A7" w:rsidRPr="00B50576">
          <w:rPr>
            <w:rStyle w:val="Hyperlink"/>
            <w:rFonts w:eastAsia="Calibri"/>
            <w:b w:val="0"/>
            <w:snapToGrid w:val="0"/>
            <w:kern w:val="22"/>
          </w:rPr>
          <w:t>C.</w:t>
        </w:r>
        <w:r w:rsidR="008442A7" w:rsidRPr="00B50576">
          <w:rPr>
            <w:rFonts w:asciiTheme="minorHAnsi" w:eastAsiaTheme="minorEastAsia" w:hAnsiTheme="minorHAnsi" w:cstheme="minorBidi"/>
            <w:b w:val="0"/>
            <w:bCs w:val="0"/>
            <w:iCs w:val="0"/>
            <w:color w:val="auto"/>
            <w:bdr w:val="none" w:sz="0" w:space="0" w:color="auto"/>
            <w:lang w:val="en-US"/>
          </w:rPr>
          <w:tab/>
        </w:r>
        <w:r w:rsidR="008442A7" w:rsidRPr="00B50576">
          <w:rPr>
            <w:rStyle w:val="Hyperlink"/>
            <w:rFonts w:eastAsia="Calibri"/>
            <w:b w:val="0"/>
            <w:snapToGrid w:val="0"/>
            <w:kern w:val="22"/>
          </w:rPr>
          <w:t>ABS measures: Fair and equitable benefit-sharing (Article 5) (questions 20 to 23)</w:t>
        </w:r>
        <w:r w:rsidR="008442A7" w:rsidRPr="00B50576">
          <w:rPr>
            <w:b w:val="0"/>
            <w:webHidden/>
          </w:rPr>
          <w:tab/>
        </w:r>
        <w:r w:rsidR="008442A7" w:rsidRPr="00B50576">
          <w:rPr>
            <w:b w:val="0"/>
            <w:webHidden/>
          </w:rPr>
          <w:fldChar w:fldCharType="begin"/>
        </w:r>
        <w:r w:rsidR="008442A7" w:rsidRPr="00B50576">
          <w:rPr>
            <w:b w:val="0"/>
            <w:webHidden/>
          </w:rPr>
          <w:instrText xml:space="preserve"> PAGEREF _Toc511112605 \h </w:instrText>
        </w:r>
        <w:r w:rsidR="008442A7" w:rsidRPr="00B50576">
          <w:rPr>
            <w:b w:val="0"/>
            <w:webHidden/>
          </w:rPr>
        </w:r>
        <w:r w:rsidR="008442A7" w:rsidRPr="00B50576">
          <w:rPr>
            <w:b w:val="0"/>
            <w:webHidden/>
          </w:rPr>
          <w:fldChar w:fldCharType="separate"/>
        </w:r>
        <w:r w:rsidR="00B54C38">
          <w:rPr>
            <w:b w:val="0"/>
            <w:webHidden/>
          </w:rPr>
          <w:t>30</w:t>
        </w:r>
        <w:r w:rsidR="008442A7" w:rsidRPr="00B50576">
          <w:rPr>
            <w:b w:val="0"/>
            <w:webHidden/>
          </w:rPr>
          <w:fldChar w:fldCharType="end"/>
        </w:r>
      </w:hyperlink>
    </w:p>
    <w:p w14:paraId="545F1AA6" w14:textId="38E6F322" w:rsidR="008442A7" w:rsidRPr="00B50576" w:rsidRDefault="00B50576" w:rsidP="00B50576">
      <w:pPr>
        <w:pStyle w:val="TOC2"/>
        <w:tabs>
          <w:tab w:val="clear" w:pos="660"/>
          <w:tab w:val="left" w:pos="990"/>
        </w:tabs>
        <w:ind w:left="990" w:hanging="450"/>
        <w:jc w:val="left"/>
        <w:rPr>
          <w:rFonts w:asciiTheme="minorHAnsi" w:eastAsiaTheme="minorEastAsia" w:hAnsiTheme="minorHAnsi" w:cstheme="minorBidi"/>
          <w:b w:val="0"/>
          <w:bCs w:val="0"/>
          <w:iCs w:val="0"/>
          <w:color w:val="auto"/>
          <w:bdr w:val="none" w:sz="0" w:space="0" w:color="auto"/>
          <w:lang w:val="en-US"/>
        </w:rPr>
      </w:pPr>
      <w:hyperlink w:anchor="_Toc511112606" w:history="1">
        <w:r w:rsidR="008442A7" w:rsidRPr="00B50576">
          <w:rPr>
            <w:rStyle w:val="Hyperlink"/>
            <w:rFonts w:eastAsia="Calibri"/>
            <w:b w:val="0"/>
            <w:snapToGrid w:val="0"/>
            <w:kern w:val="22"/>
          </w:rPr>
          <w:t>D.</w:t>
        </w:r>
        <w:r w:rsidR="008442A7" w:rsidRPr="00B50576">
          <w:rPr>
            <w:rFonts w:asciiTheme="minorHAnsi" w:eastAsiaTheme="minorEastAsia" w:hAnsiTheme="minorHAnsi" w:cstheme="minorBidi"/>
            <w:b w:val="0"/>
            <w:bCs w:val="0"/>
            <w:iCs w:val="0"/>
            <w:color w:val="auto"/>
            <w:bdr w:val="none" w:sz="0" w:space="0" w:color="auto"/>
            <w:lang w:val="en-US"/>
          </w:rPr>
          <w:tab/>
        </w:r>
        <w:r w:rsidR="008442A7" w:rsidRPr="00B50576">
          <w:rPr>
            <w:rStyle w:val="Hyperlink"/>
            <w:rFonts w:eastAsia="Calibri"/>
            <w:b w:val="0"/>
            <w:snapToGrid w:val="0"/>
            <w:kern w:val="22"/>
          </w:rPr>
          <w:t>ABS measures: Compliance with domestic legislation or regulatory requirements on ABS (Article 15 and 16) and monitoring the utilization of genetic re</w:t>
        </w:r>
        <w:r>
          <w:rPr>
            <w:rStyle w:val="Hyperlink"/>
            <w:rFonts w:eastAsia="Calibri"/>
            <w:b w:val="0"/>
            <w:snapToGrid w:val="0"/>
            <w:kern w:val="22"/>
          </w:rPr>
          <w:t>sources (Article 17) (questions </w:t>
        </w:r>
        <w:r w:rsidR="008442A7" w:rsidRPr="00B50576">
          <w:rPr>
            <w:rStyle w:val="Hyperlink"/>
            <w:rFonts w:eastAsia="Calibri"/>
            <w:b w:val="0"/>
            <w:snapToGrid w:val="0"/>
            <w:kern w:val="22"/>
          </w:rPr>
          <w:t>24 to 30)</w:t>
        </w:r>
        <w:r w:rsidR="008442A7" w:rsidRPr="00B50576">
          <w:rPr>
            <w:b w:val="0"/>
            <w:webHidden/>
          </w:rPr>
          <w:tab/>
        </w:r>
        <w:r w:rsidR="008442A7" w:rsidRPr="00B50576">
          <w:rPr>
            <w:b w:val="0"/>
            <w:webHidden/>
          </w:rPr>
          <w:fldChar w:fldCharType="begin"/>
        </w:r>
        <w:r w:rsidR="008442A7" w:rsidRPr="00B50576">
          <w:rPr>
            <w:b w:val="0"/>
            <w:webHidden/>
          </w:rPr>
          <w:instrText xml:space="preserve"> PAGEREF _Toc511112606 \h </w:instrText>
        </w:r>
        <w:r w:rsidR="008442A7" w:rsidRPr="00B50576">
          <w:rPr>
            <w:b w:val="0"/>
            <w:webHidden/>
          </w:rPr>
        </w:r>
        <w:r w:rsidR="008442A7" w:rsidRPr="00B50576">
          <w:rPr>
            <w:b w:val="0"/>
            <w:webHidden/>
          </w:rPr>
          <w:fldChar w:fldCharType="separate"/>
        </w:r>
        <w:r w:rsidR="00B54C38">
          <w:rPr>
            <w:b w:val="0"/>
            <w:webHidden/>
          </w:rPr>
          <w:t>36</w:t>
        </w:r>
        <w:r w:rsidR="008442A7" w:rsidRPr="00B50576">
          <w:rPr>
            <w:b w:val="0"/>
            <w:webHidden/>
          </w:rPr>
          <w:fldChar w:fldCharType="end"/>
        </w:r>
      </w:hyperlink>
    </w:p>
    <w:p w14:paraId="5F8E2A0B" w14:textId="00FC9A61" w:rsidR="008442A7" w:rsidRPr="00B50576" w:rsidRDefault="00B50576" w:rsidP="00B50576">
      <w:pPr>
        <w:pStyle w:val="TOC2"/>
        <w:tabs>
          <w:tab w:val="clear" w:pos="660"/>
          <w:tab w:val="left" w:pos="990"/>
        </w:tabs>
        <w:ind w:left="990" w:hanging="450"/>
        <w:jc w:val="left"/>
        <w:rPr>
          <w:rFonts w:asciiTheme="minorHAnsi" w:eastAsiaTheme="minorEastAsia" w:hAnsiTheme="minorHAnsi" w:cstheme="minorBidi"/>
          <w:b w:val="0"/>
          <w:bCs w:val="0"/>
          <w:iCs w:val="0"/>
          <w:color w:val="auto"/>
          <w:bdr w:val="none" w:sz="0" w:space="0" w:color="auto"/>
          <w:lang w:val="en-US"/>
        </w:rPr>
      </w:pPr>
      <w:hyperlink w:anchor="_Toc511112607" w:history="1">
        <w:r w:rsidR="008442A7" w:rsidRPr="00B50576">
          <w:rPr>
            <w:rStyle w:val="Hyperlink"/>
            <w:rFonts w:eastAsia="Calibri"/>
            <w:b w:val="0"/>
            <w:snapToGrid w:val="0"/>
          </w:rPr>
          <w:t>E.</w:t>
        </w:r>
        <w:r w:rsidR="008442A7" w:rsidRPr="00B50576">
          <w:rPr>
            <w:rFonts w:asciiTheme="minorHAnsi" w:eastAsiaTheme="minorEastAsia" w:hAnsiTheme="minorHAnsi" w:cstheme="minorBidi"/>
            <w:b w:val="0"/>
            <w:bCs w:val="0"/>
            <w:iCs w:val="0"/>
            <w:color w:val="auto"/>
            <w:bdr w:val="none" w:sz="0" w:space="0" w:color="auto"/>
            <w:lang w:val="en-US"/>
          </w:rPr>
          <w:tab/>
        </w:r>
        <w:r w:rsidR="008442A7" w:rsidRPr="00B50576">
          <w:rPr>
            <w:rStyle w:val="Hyperlink"/>
            <w:rFonts w:eastAsia="Calibri"/>
            <w:b w:val="0"/>
            <w:snapToGrid w:val="0"/>
          </w:rPr>
          <w:t xml:space="preserve">ABS measures: Compliance with mutually agreed terms (Article 18) </w:t>
        </w:r>
        <w:r w:rsidR="008442A7" w:rsidRPr="00B50576">
          <w:rPr>
            <w:rStyle w:val="Hyperlink"/>
            <w:rFonts w:eastAsia="Calibri"/>
            <w:b w:val="0"/>
            <w:snapToGrid w:val="0"/>
            <w:kern w:val="22"/>
          </w:rPr>
          <w:t>(questions 31 to 34)</w:t>
        </w:r>
        <w:r w:rsidR="008442A7" w:rsidRPr="00B50576">
          <w:rPr>
            <w:b w:val="0"/>
            <w:webHidden/>
          </w:rPr>
          <w:tab/>
        </w:r>
        <w:r w:rsidR="008442A7" w:rsidRPr="00B50576">
          <w:rPr>
            <w:b w:val="0"/>
            <w:webHidden/>
          </w:rPr>
          <w:fldChar w:fldCharType="begin"/>
        </w:r>
        <w:r w:rsidR="008442A7" w:rsidRPr="00B50576">
          <w:rPr>
            <w:b w:val="0"/>
            <w:webHidden/>
          </w:rPr>
          <w:instrText xml:space="preserve"> PAGEREF _Toc511112607 \h </w:instrText>
        </w:r>
        <w:r w:rsidR="008442A7" w:rsidRPr="00B50576">
          <w:rPr>
            <w:b w:val="0"/>
            <w:webHidden/>
          </w:rPr>
        </w:r>
        <w:r w:rsidR="008442A7" w:rsidRPr="00B50576">
          <w:rPr>
            <w:b w:val="0"/>
            <w:webHidden/>
          </w:rPr>
          <w:fldChar w:fldCharType="separate"/>
        </w:r>
        <w:r w:rsidR="00B54C38">
          <w:rPr>
            <w:b w:val="0"/>
            <w:webHidden/>
          </w:rPr>
          <w:t>47</w:t>
        </w:r>
        <w:r w:rsidR="008442A7" w:rsidRPr="00B50576">
          <w:rPr>
            <w:b w:val="0"/>
            <w:webHidden/>
          </w:rPr>
          <w:fldChar w:fldCharType="end"/>
        </w:r>
      </w:hyperlink>
    </w:p>
    <w:p w14:paraId="6BEFDCBB" w14:textId="19C0E94A" w:rsidR="008442A7" w:rsidRPr="00B50576" w:rsidRDefault="00B50576" w:rsidP="00B50576">
      <w:pPr>
        <w:pStyle w:val="TOC2"/>
        <w:tabs>
          <w:tab w:val="clear" w:pos="660"/>
          <w:tab w:val="left" w:pos="990"/>
        </w:tabs>
        <w:ind w:left="990" w:hanging="450"/>
        <w:jc w:val="left"/>
        <w:rPr>
          <w:rFonts w:asciiTheme="minorHAnsi" w:eastAsiaTheme="minorEastAsia" w:hAnsiTheme="minorHAnsi" w:cstheme="minorBidi"/>
          <w:b w:val="0"/>
          <w:bCs w:val="0"/>
          <w:iCs w:val="0"/>
          <w:color w:val="auto"/>
          <w:bdr w:val="none" w:sz="0" w:space="0" w:color="auto"/>
          <w:lang w:val="en-US"/>
        </w:rPr>
      </w:pPr>
      <w:hyperlink w:anchor="_Toc511112608" w:history="1">
        <w:r w:rsidR="008442A7" w:rsidRPr="00B50576">
          <w:rPr>
            <w:rStyle w:val="Hyperlink"/>
            <w:rFonts w:eastAsia="Calibri"/>
            <w:b w:val="0"/>
            <w:snapToGrid w:val="0"/>
          </w:rPr>
          <w:t>F.</w:t>
        </w:r>
        <w:r w:rsidR="008442A7" w:rsidRPr="00B50576">
          <w:rPr>
            <w:rFonts w:asciiTheme="minorHAnsi" w:eastAsiaTheme="minorEastAsia" w:hAnsiTheme="minorHAnsi" w:cstheme="minorBidi"/>
            <w:b w:val="0"/>
            <w:bCs w:val="0"/>
            <w:iCs w:val="0"/>
            <w:color w:val="auto"/>
            <w:bdr w:val="none" w:sz="0" w:space="0" w:color="auto"/>
            <w:lang w:val="en-US"/>
          </w:rPr>
          <w:tab/>
        </w:r>
        <w:r w:rsidR="008442A7" w:rsidRPr="00B50576">
          <w:rPr>
            <w:rStyle w:val="Hyperlink"/>
            <w:rFonts w:eastAsia="Calibri"/>
            <w:b w:val="0"/>
            <w:snapToGrid w:val="0"/>
          </w:rPr>
          <w:t>Special considerations: Article 8 (questions 35 to 36)</w:t>
        </w:r>
        <w:r w:rsidR="008442A7" w:rsidRPr="00B50576">
          <w:rPr>
            <w:b w:val="0"/>
            <w:webHidden/>
          </w:rPr>
          <w:tab/>
        </w:r>
        <w:r w:rsidR="008442A7" w:rsidRPr="00B50576">
          <w:rPr>
            <w:b w:val="0"/>
            <w:webHidden/>
          </w:rPr>
          <w:fldChar w:fldCharType="begin"/>
        </w:r>
        <w:r w:rsidR="008442A7" w:rsidRPr="00B50576">
          <w:rPr>
            <w:b w:val="0"/>
            <w:webHidden/>
          </w:rPr>
          <w:instrText xml:space="preserve"> PAGEREF _Toc511112608 \h </w:instrText>
        </w:r>
        <w:r w:rsidR="008442A7" w:rsidRPr="00B50576">
          <w:rPr>
            <w:b w:val="0"/>
            <w:webHidden/>
          </w:rPr>
        </w:r>
        <w:r w:rsidR="008442A7" w:rsidRPr="00B50576">
          <w:rPr>
            <w:b w:val="0"/>
            <w:webHidden/>
          </w:rPr>
          <w:fldChar w:fldCharType="separate"/>
        </w:r>
        <w:r w:rsidR="00B54C38">
          <w:rPr>
            <w:b w:val="0"/>
            <w:webHidden/>
          </w:rPr>
          <w:t>53</w:t>
        </w:r>
        <w:r w:rsidR="008442A7" w:rsidRPr="00B50576">
          <w:rPr>
            <w:b w:val="0"/>
            <w:webHidden/>
          </w:rPr>
          <w:fldChar w:fldCharType="end"/>
        </w:r>
      </w:hyperlink>
    </w:p>
    <w:p w14:paraId="6BF3F1FC" w14:textId="6B9A4EF5" w:rsidR="008442A7" w:rsidRPr="00B50576" w:rsidRDefault="00B50576" w:rsidP="00B50576">
      <w:pPr>
        <w:pStyle w:val="TOC2"/>
        <w:tabs>
          <w:tab w:val="clear" w:pos="660"/>
          <w:tab w:val="left" w:pos="990"/>
        </w:tabs>
        <w:ind w:left="990" w:hanging="450"/>
        <w:jc w:val="left"/>
        <w:rPr>
          <w:rFonts w:asciiTheme="minorHAnsi" w:eastAsiaTheme="minorEastAsia" w:hAnsiTheme="minorHAnsi" w:cstheme="minorBidi"/>
          <w:b w:val="0"/>
          <w:bCs w:val="0"/>
          <w:iCs w:val="0"/>
          <w:color w:val="auto"/>
          <w:bdr w:val="none" w:sz="0" w:space="0" w:color="auto"/>
          <w:lang w:val="en-US"/>
        </w:rPr>
      </w:pPr>
      <w:hyperlink w:anchor="_Toc511112609" w:history="1">
        <w:r w:rsidR="008442A7" w:rsidRPr="00B50576">
          <w:rPr>
            <w:rStyle w:val="Hyperlink"/>
            <w:rFonts w:eastAsia="Calibri"/>
            <w:b w:val="0"/>
            <w:snapToGrid w:val="0"/>
          </w:rPr>
          <w:t>G.</w:t>
        </w:r>
        <w:r w:rsidR="008442A7" w:rsidRPr="00B50576">
          <w:rPr>
            <w:rFonts w:asciiTheme="minorHAnsi" w:eastAsiaTheme="minorEastAsia" w:hAnsiTheme="minorHAnsi" w:cstheme="minorBidi"/>
            <w:b w:val="0"/>
            <w:bCs w:val="0"/>
            <w:iCs w:val="0"/>
            <w:color w:val="auto"/>
            <w:bdr w:val="none" w:sz="0" w:space="0" w:color="auto"/>
            <w:lang w:val="en-US"/>
          </w:rPr>
          <w:tab/>
        </w:r>
        <w:r w:rsidR="008442A7" w:rsidRPr="00B50576">
          <w:rPr>
            <w:rStyle w:val="Hyperlink"/>
            <w:rFonts w:eastAsia="Calibri"/>
            <w:b w:val="0"/>
            <w:snapToGrid w:val="0"/>
          </w:rPr>
          <w:t>Provisions related to indigenous and local communities: Articl</w:t>
        </w:r>
        <w:r w:rsidR="008B0F13">
          <w:rPr>
            <w:rStyle w:val="Hyperlink"/>
            <w:rFonts w:eastAsia="Calibri"/>
            <w:b w:val="0"/>
            <w:snapToGrid w:val="0"/>
          </w:rPr>
          <w:t>es 6, 7 and 12 (questions 37 to </w:t>
        </w:r>
        <w:r w:rsidR="008442A7" w:rsidRPr="00B50576">
          <w:rPr>
            <w:rStyle w:val="Hyperlink"/>
            <w:rFonts w:eastAsia="Calibri"/>
            <w:b w:val="0"/>
            <w:snapToGrid w:val="0"/>
          </w:rPr>
          <w:t>44)</w:t>
        </w:r>
        <w:r w:rsidR="008442A7" w:rsidRPr="00B50576">
          <w:rPr>
            <w:b w:val="0"/>
            <w:webHidden/>
          </w:rPr>
          <w:tab/>
        </w:r>
        <w:r w:rsidR="008442A7" w:rsidRPr="00B50576">
          <w:rPr>
            <w:b w:val="0"/>
            <w:webHidden/>
          </w:rPr>
          <w:fldChar w:fldCharType="begin"/>
        </w:r>
        <w:r w:rsidR="008442A7" w:rsidRPr="00B50576">
          <w:rPr>
            <w:b w:val="0"/>
            <w:webHidden/>
          </w:rPr>
          <w:instrText xml:space="preserve"> PAGEREF _Toc511112609 \h </w:instrText>
        </w:r>
        <w:r w:rsidR="008442A7" w:rsidRPr="00B50576">
          <w:rPr>
            <w:b w:val="0"/>
            <w:webHidden/>
          </w:rPr>
        </w:r>
        <w:r w:rsidR="008442A7" w:rsidRPr="00B50576">
          <w:rPr>
            <w:b w:val="0"/>
            <w:webHidden/>
          </w:rPr>
          <w:fldChar w:fldCharType="separate"/>
        </w:r>
        <w:r w:rsidR="00B54C38">
          <w:rPr>
            <w:b w:val="0"/>
            <w:webHidden/>
          </w:rPr>
          <w:t>60</w:t>
        </w:r>
        <w:r w:rsidR="008442A7" w:rsidRPr="00B50576">
          <w:rPr>
            <w:b w:val="0"/>
            <w:webHidden/>
          </w:rPr>
          <w:fldChar w:fldCharType="end"/>
        </w:r>
      </w:hyperlink>
    </w:p>
    <w:p w14:paraId="08973AB9" w14:textId="6A75C5B9" w:rsidR="008442A7" w:rsidRPr="00B50576" w:rsidRDefault="00B50576" w:rsidP="00B50576">
      <w:pPr>
        <w:pStyle w:val="TOC2"/>
        <w:tabs>
          <w:tab w:val="clear" w:pos="660"/>
          <w:tab w:val="left" w:pos="990"/>
        </w:tabs>
        <w:ind w:left="990" w:hanging="450"/>
        <w:jc w:val="left"/>
        <w:rPr>
          <w:rFonts w:asciiTheme="minorHAnsi" w:eastAsiaTheme="minorEastAsia" w:hAnsiTheme="minorHAnsi" w:cstheme="minorBidi"/>
          <w:b w:val="0"/>
          <w:bCs w:val="0"/>
          <w:iCs w:val="0"/>
          <w:color w:val="auto"/>
          <w:bdr w:val="none" w:sz="0" w:space="0" w:color="auto"/>
          <w:lang w:val="en-US"/>
        </w:rPr>
      </w:pPr>
      <w:hyperlink w:anchor="_Toc511112610" w:history="1">
        <w:r w:rsidR="008442A7" w:rsidRPr="00B50576">
          <w:rPr>
            <w:rStyle w:val="Hyperlink"/>
            <w:rFonts w:eastAsia="Calibri"/>
            <w:b w:val="0"/>
            <w:snapToGrid w:val="0"/>
          </w:rPr>
          <w:t>H.</w:t>
        </w:r>
        <w:r w:rsidR="008442A7" w:rsidRPr="00B50576">
          <w:rPr>
            <w:rFonts w:asciiTheme="minorHAnsi" w:eastAsiaTheme="minorEastAsia" w:hAnsiTheme="minorHAnsi" w:cstheme="minorBidi"/>
            <w:b w:val="0"/>
            <w:bCs w:val="0"/>
            <w:iCs w:val="0"/>
            <w:color w:val="auto"/>
            <w:bdr w:val="none" w:sz="0" w:space="0" w:color="auto"/>
            <w:lang w:val="en-US"/>
          </w:rPr>
          <w:tab/>
        </w:r>
        <w:r w:rsidR="008442A7" w:rsidRPr="00B50576">
          <w:rPr>
            <w:rStyle w:val="Hyperlink"/>
            <w:rFonts w:eastAsia="Calibri"/>
            <w:b w:val="0"/>
            <w:snapToGrid w:val="0"/>
          </w:rPr>
          <w:t>Contribution to conservation and sustainable use: Article 9 (question 45 to 47)</w:t>
        </w:r>
        <w:r w:rsidR="008442A7" w:rsidRPr="00B50576">
          <w:rPr>
            <w:b w:val="0"/>
            <w:webHidden/>
          </w:rPr>
          <w:tab/>
        </w:r>
        <w:r w:rsidR="008442A7" w:rsidRPr="00B50576">
          <w:rPr>
            <w:b w:val="0"/>
            <w:webHidden/>
          </w:rPr>
          <w:fldChar w:fldCharType="begin"/>
        </w:r>
        <w:r w:rsidR="008442A7" w:rsidRPr="00B50576">
          <w:rPr>
            <w:b w:val="0"/>
            <w:webHidden/>
          </w:rPr>
          <w:instrText xml:space="preserve"> PAGEREF _Toc511112610 \h </w:instrText>
        </w:r>
        <w:r w:rsidR="008442A7" w:rsidRPr="00B50576">
          <w:rPr>
            <w:b w:val="0"/>
            <w:webHidden/>
          </w:rPr>
        </w:r>
        <w:r w:rsidR="008442A7" w:rsidRPr="00B50576">
          <w:rPr>
            <w:b w:val="0"/>
            <w:webHidden/>
          </w:rPr>
          <w:fldChar w:fldCharType="separate"/>
        </w:r>
        <w:r w:rsidR="00B54C38">
          <w:rPr>
            <w:b w:val="0"/>
            <w:webHidden/>
          </w:rPr>
          <w:t>70</w:t>
        </w:r>
        <w:r w:rsidR="008442A7" w:rsidRPr="00B50576">
          <w:rPr>
            <w:b w:val="0"/>
            <w:webHidden/>
          </w:rPr>
          <w:fldChar w:fldCharType="end"/>
        </w:r>
      </w:hyperlink>
    </w:p>
    <w:p w14:paraId="2CB48D85" w14:textId="6FB23DA6" w:rsidR="008442A7" w:rsidRPr="00B50576" w:rsidRDefault="00B50576" w:rsidP="00B50576">
      <w:pPr>
        <w:pStyle w:val="TOC2"/>
        <w:tabs>
          <w:tab w:val="clear" w:pos="660"/>
          <w:tab w:val="left" w:pos="990"/>
        </w:tabs>
        <w:ind w:left="990" w:hanging="450"/>
        <w:jc w:val="left"/>
        <w:rPr>
          <w:rFonts w:asciiTheme="minorHAnsi" w:eastAsiaTheme="minorEastAsia" w:hAnsiTheme="minorHAnsi" w:cstheme="minorBidi"/>
          <w:b w:val="0"/>
          <w:bCs w:val="0"/>
          <w:iCs w:val="0"/>
          <w:color w:val="auto"/>
          <w:bdr w:val="none" w:sz="0" w:space="0" w:color="auto"/>
          <w:lang w:val="en-US"/>
        </w:rPr>
      </w:pPr>
      <w:hyperlink w:anchor="_Toc511112611" w:history="1">
        <w:r w:rsidR="008442A7" w:rsidRPr="00B50576">
          <w:rPr>
            <w:rStyle w:val="Hyperlink"/>
            <w:rFonts w:eastAsia="Calibri"/>
            <w:b w:val="0"/>
            <w:snapToGrid w:val="0"/>
          </w:rPr>
          <w:t>I.</w:t>
        </w:r>
        <w:r w:rsidR="008442A7" w:rsidRPr="00B50576">
          <w:rPr>
            <w:rFonts w:asciiTheme="minorHAnsi" w:eastAsiaTheme="minorEastAsia" w:hAnsiTheme="minorHAnsi" w:cstheme="minorBidi"/>
            <w:b w:val="0"/>
            <w:bCs w:val="0"/>
            <w:iCs w:val="0"/>
            <w:color w:val="auto"/>
            <w:bdr w:val="none" w:sz="0" w:space="0" w:color="auto"/>
            <w:lang w:val="en-US"/>
          </w:rPr>
          <w:tab/>
        </w:r>
        <w:r w:rsidR="008442A7" w:rsidRPr="00B50576">
          <w:rPr>
            <w:rStyle w:val="Hyperlink"/>
            <w:rFonts w:eastAsia="Calibri"/>
            <w:b w:val="0"/>
            <w:snapToGrid w:val="0"/>
          </w:rPr>
          <w:t>Transboundary cooperation (Article 11) (questions 48 to 50)</w:t>
        </w:r>
        <w:r w:rsidR="008442A7" w:rsidRPr="00B50576">
          <w:rPr>
            <w:b w:val="0"/>
            <w:webHidden/>
          </w:rPr>
          <w:tab/>
        </w:r>
        <w:r w:rsidR="008442A7" w:rsidRPr="00B50576">
          <w:rPr>
            <w:b w:val="0"/>
            <w:webHidden/>
          </w:rPr>
          <w:fldChar w:fldCharType="begin"/>
        </w:r>
        <w:r w:rsidR="008442A7" w:rsidRPr="00B50576">
          <w:rPr>
            <w:b w:val="0"/>
            <w:webHidden/>
          </w:rPr>
          <w:instrText xml:space="preserve"> PAGEREF _Toc511112611 \h </w:instrText>
        </w:r>
        <w:r w:rsidR="008442A7" w:rsidRPr="00B50576">
          <w:rPr>
            <w:b w:val="0"/>
            <w:webHidden/>
          </w:rPr>
        </w:r>
        <w:r w:rsidR="008442A7" w:rsidRPr="00B50576">
          <w:rPr>
            <w:b w:val="0"/>
            <w:webHidden/>
          </w:rPr>
          <w:fldChar w:fldCharType="separate"/>
        </w:r>
        <w:r w:rsidR="00B54C38">
          <w:rPr>
            <w:b w:val="0"/>
            <w:webHidden/>
          </w:rPr>
          <w:t>72</w:t>
        </w:r>
        <w:r w:rsidR="008442A7" w:rsidRPr="00B50576">
          <w:rPr>
            <w:b w:val="0"/>
            <w:webHidden/>
          </w:rPr>
          <w:fldChar w:fldCharType="end"/>
        </w:r>
      </w:hyperlink>
    </w:p>
    <w:p w14:paraId="25A5F7A4" w14:textId="369520A9" w:rsidR="008442A7" w:rsidRPr="00B50576" w:rsidRDefault="00B50576" w:rsidP="00B50576">
      <w:pPr>
        <w:pStyle w:val="TOC2"/>
        <w:tabs>
          <w:tab w:val="clear" w:pos="660"/>
          <w:tab w:val="left" w:pos="990"/>
        </w:tabs>
        <w:ind w:left="990" w:hanging="450"/>
        <w:jc w:val="left"/>
        <w:rPr>
          <w:rFonts w:asciiTheme="minorHAnsi" w:eastAsiaTheme="minorEastAsia" w:hAnsiTheme="minorHAnsi" w:cstheme="minorBidi"/>
          <w:b w:val="0"/>
          <w:bCs w:val="0"/>
          <w:iCs w:val="0"/>
          <w:color w:val="auto"/>
          <w:bdr w:val="none" w:sz="0" w:space="0" w:color="auto"/>
          <w:lang w:val="en-US"/>
        </w:rPr>
      </w:pPr>
      <w:hyperlink w:anchor="_Toc511112612" w:history="1">
        <w:r w:rsidR="008442A7" w:rsidRPr="00B50576">
          <w:rPr>
            <w:rStyle w:val="Hyperlink"/>
            <w:rFonts w:eastAsia="Calibri"/>
            <w:b w:val="0"/>
            <w:snapToGrid w:val="0"/>
          </w:rPr>
          <w:t>J.</w:t>
        </w:r>
        <w:r w:rsidR="008442A7" w:rsidRPr="00B50576">
          <w:rPr>
            <w:rFonts w:asciiTheme="minorHAnsi" w:eastAsiaTheme="minorEastAsia" w:hAnsiTheme="minorHAnsi" w:cstheme="minorBidi"/>
            <w:b w:val="0"/>
            <w:bCs w:val="0"/>
            <w:iCs w:val="0"/>
            <w:color w:val="auto"/>
            <w:bdr w:val="none" w:sz="0" w:space="0" w:color="auto"/>
            <w:lang w:val="en-US"/>
          </w:rPr>
          <w:tab/>
        </w:r>
        <w:r w:rsidR="008442A7" w:rsidRPr="00B50576">
          <w:rPr>
            <w:rStyle w:val="Hyperlink"/>
            <w:rFonts w:eastAsia="Calibri"/>
            <w:b w:val="0"/>
            <w:snapToGrid w:val="0"/>
          </w:rPr>
          <w:t>Model contractual clauses, codes of conduct, guidelines and best practices and/or standards (Article 19 and 20) (questions 51 to 53)</w:t>
        </w:r>
        <w:r w:rsidR="008442A7" w:rsidRPr="00B50576">
          <w:rPr>
            <w:b w:val="0"/>
            <w:webHidden/>
          </w:rPr>
          <w:tab/>
        </w:r>
        <w:r w:rsidR="008442A7" w:rsidRPr="00B50576">
          <w:rPr>
            <w:b w:val="0"/>
            <w:webHidden/>
          </w:rPr>
          <w:fldChar w:fldCharType="begin"/>
        </w:r>
        <w:r w:rsidR="008442A7" w:rsidRPr="00B50576">
          <w:rPr>
            <w:b w:val="0"/>
            <w:webHidden/>
          </w:rPr>
          <w:instrText xml:space="preserve"> PAGEREF _Toc511112612 \h </w:instrText>
        </w:r>
        <w:r w:rsidR="008442A7" w:rsidRPr="00B50576">
          <w:rPr>
            <w:b w:val="0"/>
            <w:webHidden/>
          </w:rPr>
        </w:r>
        <w:r w:rsidR="008442A7" w:rsidRPr="00B50576">
          <w:rPr>
            <w:b w:val="0"/>
            <w:webHidden/>
          </w:rPr>
          <w:fldChar w:fldCharType="separate"/>
        </w:r>
        <w:r w:rsidR="00B54C38">
          <w:rPr>
            <w:b w:val="0"/>
            <w:webHidden/>
          </w:rPr>
          <w:t>76</w:t>
        </w:r>
        <w:r w:rsidR="008442A7" w:rsidRPr="00B50576">
          <w:rPr>
            <w:b w:val="0"/>
            <w:webHidden/>
          </w:rPr>
          <w:fldChar w:fldCharType="end"/>
        </w:r>
      </w:hyperlink>
    </w:p>
    <w:p w14:paraId="6B1A1DA0" w14:textId="7106A6E2" w:rsidR="008442A7" w:rsidRPr="00B50576" w:rsidRDefault="00B50576" w:rsidP="00B50576">
      <w:pPr>
        <w:pStyle w:val="TOC2"/>
        <w:tabs>
          <w:tab w:val="clear" w:pos="660"/>
          <w:tab w:val="left" w:pos="990"/>
        </w:tabs>
        <w:ind w:left="990" w:hanging="450"/>
        <w:jc w:val="left"/>
        <w:rPr>
          <w:rFonts w:asciiTheme="minorHAnsi" w:eastAsiaTheme="minorEastAsia" w:hAnsiTheme="minorHAnsi" w:cstheme="minorBidi"/>
          <w:b w:val="0"/>
          <w:bCs w:val="0"/>
          <w:iCs w:val="0"/>
          <w:color w:val="auto"/>
          <w:bdr w:val="none" w:sz="0" w:space="0" w:color="auto"/>
          <w:lang w:val="en-US"/>
        </w:rPr>
      </w:pPr>
      <w:hyperlink w:anchor="_Toc511112613" w:history="1">
        <w:r w:rsidR="008442A7" w:rsidRPr="00B50576">
          <w:rPr>
            <w:rStyle w:val="Hyperlink"/>
            <w:rFonts w:eastAsia="Calibri"/>
            <w:b w:val="0"/>
            <w:snapToGrid w:val="0"/>
          </w:rPr>
          <w:t>K.</w:t>
        </w:r>
        <w:r w:rsidR="008442A7" w:rsidRPr="00B50576">
          <w:rPr>
            <w:rFonts w:asciiTheme="minorHAnsi" w:eastAsiaTheme="minorEastAsia" w:hAnsiTheme="minorHAnsi" w:cstheme="minorBidi"/>
            <w:b w:val="0"/>
            <w:bCs w:val="0"/>
            <w:iCs w:val="0"/>
            <w:color w:val="auto"/>
            <w:bdr w:val="none" w:sz="0" w:space="0" w:color="auto"/>
            <w:lang w:val="en-US"/>
          </w:rPr>
          <w:tab/>
        </w:r>
        <w:r w:rsidR="008442A7" w:rsidRPr="00B50576">
          <w:rPr>
            <w:rStyle w:val="Hyperlink"/>
            <w:rFonts w:eastAsia="Calibri"/>
            <w:b w:val="0"/>
            <w:snapToGrid w:val="0"/>
          </w:rPr>
          <w:t>Awareness-raising and capacity (Article 21 and 22) (questions 54 to 58)</w:t>
        </w:r>
        <w:r w:rsidR="008442A7" w:rsidRPr="00B50576">
          <w:rPr>
            <w:b w:val="0"/>
            <w:webHidden/>
          </w:rPr>
          <w:tab/>
        </w:r>
        <w:r w:rsidR="008442A7" w:rsidRPr="00B50576">
          <w:rPr>
            <w:b w:val="0"/>
            <w:webHidden/>
          </w:rPr>
          <w:fldChar w:fldCharType="begin"/>
        </w:r>
        <w:r w:rsidR="008442A7" w:rsidRPr="00B50576">
          <w:rPr>
            <w:b w:val="0"/>
            <w:webHidden/>
          </w:rPr>
          <w:instrText xml:space="preserve"> PAGEREF _Toc511112613 \h </w:instrText>
        </w:r>
        <w:r w:rsidR="008442A7" w:rsidRPr="00B50576">
          <w:rPr>
            <w:b w:val="0"/>
            <w:webHidden/>
          </w:rPr>
        </w:r>
        <w:r w:rsidR="008442A7" w:rsidRPr="00B50576">
          <w:rPr>
            <w:b w:val="0"/>
            <w:webHidden/>
          </w:rPr>
          <w:fldChar w:fldCharType="separate"/>
        </w:r>
        <w:r w:rsidR="00B54C38">
          <w:rPr>
            <w:b w:val="0"/>
            <w:webHidden/>
          </w:rPr>
          <w:t>79</w:t>
        </w:r>
        <w:r w:rsidR="008442A7" w:rsidRPr="00B50576">
          <w:rPr>
            <w:b w:val="0"/>
            <w:webHidden/>
          </w:rPr>
          <w:fldChar w:fldCharType="end"/>
        </w:r>
      </w:hyperlink>
    </w:p>
    <w:p w14:paraId="63EF752A" w14:textId="4AFB325D" w:rsidR="008442A7" w:rsidRPr="00B50576" w:rsidRDefault="00B50576" w:rsidP="00B50576">
      <w:pPr>
        <w:pStyle w:val="TOC2"/>
        <w:tabs>
          <w:tab w:val="clear" w:pos="660"/>
          <w:tab w:val="left" w:pos="990"/>
        </w:tabs>
        <w:ind w:left="990" w:hanging="450"/>
        <w:jc w:val="left"/>
        <w:rPr>
          <w:rFonts w:asciiTheme="minorHAnsi" w:eastAsiaTheme="minorEastAsia" w:hAnsiTheme="minorHAnsi" w:cstheme="minorBidi"/>
          <w:b w:val="0"/>
          <w:bCs w:val="0"/>
          <w:iCs w:val="0"/>
          <w:color w:val="auto"/>
          <w:bdr w:val="none" w:sz="0" w:space="0" w:color="auto"/>
          <w:lang w:val="en-US"/>
        </w:rPr>
      </w:pPr>
      <w:hyperlink w:anchor="_Toc511112614" w:history="1">
        <w:r w:rsidR="008442A7" w:rsidRPr="00B50576">
          <w:rPr>
            <w:rStyle w:val="Hyperlink"/>
            <w:rFonts w:eastAsia="Calibri"/>
            <w:b w:val="0"/>
            <w:snapToGrid w:val="0"/>
          </w:rPr>
          <w:t>L.</w:t>
        </w:r>
        <w:r w:rsidR="008442A7" w:rsidRPr="00B50576">
          <w:rPr>
            <w:rFonts w:asciiTheme="minorHAnsi" w:eastAsiaTheme="minorEastAsia" w:hAnsiTheme="minorHAnsi" w:cstheme="minorBidi"/>
            <w:b w:val="0"/>
            <w:bCs w:val="0"/>
            <w:iCs w:val="0"/>
            <w:color w:val="auto"/>
            <w:bdr w:val="none" w:sz="0" w:space="0" w:color="auto"/>
            <w:lang w:val="en-US"/>
          </w:rPr>
          <w:tab/>
        </w:r>
        <w:r w:rsidR="008442A7" w:rsidRPr="00B50576">
          <w:rPr>
            <w:rStyle w:val="Hyperlink"/>
            <w:rFonts w:eastAsia="Calibri"/>
            <w:b w:val="0"/>
            <w:snapToGrid w:val="0"/>
          </w:rPr>
          <w:t>Technology transfer, collaboration and cooperation (Article 23) (question 59)</w:t>
        </w:r>
        <w:r w:rsidR="008442A7" w:rsidRPr="00B50576">
          <w:rPr>
            <w:b w:val="0"/>
            <w:webHidden/>
          </w:rPr>
          <w:tab/>
        </w:r>
        <w:r w:rsidR="008442A7" w:rsidRPr="00B50576">
          <w:rPr>
            <w:b w:val="0"/>
            <w:webHidden/>
          </w:rPr>
          <w:fldChar w:fldCharType="begin"/>
        </w:r>
        <w:r w:rsidR="008442A7" w:rsidRPr="00B50576">
          <w:rPr>
            <w:b w:val="0"/>
            <w:webHidden/>
          </w:rPr>
          <w:instrText xml:space="preserve"> PAGEREF _Toc511112614 \h </w:instrText>
        </w:r>
        <w:r w:rsidR="008442A7" w:rsidRPr="00B50576">
          <w:rPr>
            <w:b w:val="0"/>
            <w:webHidden/>
          </w:rPr>
        </w:r>
        <w:r w:rsidR="008442A7" w:rsidRPr="00B50576">
          <w:rPr>
            <w:b w:val="0"/>
            <w:webHidden/>
          </w:rPr>
          <w:fldChar w:fldCharType="separate"/>
        </w:r>
        <w:r w:rsidR="00B54C38">
          <w:rPr>
            <w:b w:val="0"/>
            <w:webHidden/>
          </w:rPr>
          <w:t>85</w:t>
        </w:r>
        <w:r w:rsidR="008442A7" w:rsidRPr="00B50576">
          <w:rPr>
            <w:b w:val="0"/>
            <w:webHidden/>
          </w:rPr>
          <w:fldChar w:fldCharType="end"/>
        </w:r>
      </w:hyperlink>
    </w:p>
    <w:p w14:paraId="746EB7A1" w14:textId="4EDFEC22" w:rsidR="008442A7" w:rsidRPr="00B50576" w:rsidRDefault="00B50576" w:rsidP="00B50576">
      <w:pPr>
        <w:pStyle w:val="TOC2"/>
        <w:tabs>
          <w:tab w:val="clear" w:pos="660"/>
          <w:tab w:val="left" w:pos="990"/>
        </w:tabs>
        <w:ind w:left="990" w:hanging="450"/>
        <w:jc w:val="left"/>
        <w:rPr>
          <w:rFonts w:asciiTheme="minorHAnsi" w:eastAsiaTheme="minorEastAsia" w:hAnsiTheme="minorHAnsi" w:cstheme="minorBidi"/>
          <w:b w:val="0"/>
          <w:bCs w:val="0"/>
          <w:iCs w:val="0"/>
          <w:color w:val="auto"/>
          <w:bdr w:val="none" w:sz="0" w:space="0" w:color="auto"/>
          <w:lang w:val="en-US"/>
        </w:rPr>
      </w:pPr>
      <w:hyperlink w:anchor="_Toc511112615" w:history="1">
        <w:r w:rsidR="008442A7" w:rsidRPr="00B50576">
          <w:rPr>
            <w:rStyle w:val="Hyperlink"/>
            <w:rFonts w:eastAsia="Calibri"/>
            <w:b w:val="0"/>
            <w:snapToGrid w:val="0"/>
          </w:rPr>
          <w:t>M.</w:t>
        </w:r>
        <w:r w:rsidR="008442A7" w:rsidRPr="00B50576">
          <w:rPr>
            <w:rFonts w:asciiTheme="minorHAnsi" w:eastAsiaTheme="minorEastAsia" w:hAnsiTheme="minorHAnsi" w:cstheme="minorBidi"/>
            <w:b w:val="0"/>
            <w:bCs w:val="0"/>
            <w:iCs w:val="0"/>
            <w:color w:val="auto"/>
            <w:bdr w:val="none" w:sz="0" w:space="0" w:color="auto"/>
            <w:lang w:val="en-US"/>
          </w:rPr>
          <w:tab/>
        </w:r>
        <w:r w:rsidR="008442A7" w:rsidRPr="00B50576">
          <w:rPr>
            <w:rStyle w:val="Hyperlink"/>
            <w:rFonts w:eastAsia="Calibri"/>
            <w:b w:val="0"/>
            <w:snapToGrid w:val="0"/>
          </w:rPr>
          <w:t>Optional additional information (questions 60 to 65)</w:t>
        </w:r>
        <w:r w:rsidR="008442A7" w:rsidRPr="00B50576">
          <w:rPr>
            <w:b w:val="0"/>
            <w:webHidden/>
          </w:rPr>
          <w:tab/>
        </w:r>
        <w:r w:rsidR="008442A7" w:rsidRPr="00B50576">
          <w:rPr>
            <w:b w:val="0"/>
            <w:webHidden/>
          </w:rPr>
          <w:fldChar w:fldCharType="begin"/>
        </w:r>
        <w:r w:rsidR="008442A7" w:rsidRPr="00B50576">
          <w:rPr>
            <w:b w:val="0"/>
            <w:webHidden/>
          </w:rPr>
          <w:instrText xml:space="preserve"> PAGEREF _Toc511112615 \h </w:instrText>
        </w:r>
        <w:r w:rsidR="008442A7" w:rsidRPr="00B50576">
          <w:rPr>
            <w:b w:val="0"/>
            <w:webHidden/>
          </w:rPr>
        </w:r>
        <w:r w:rsidR="008442A7" w:rsidRPr="00B50576">
          <w:rPr>
            <w:b w:val="0"/>
            <w:webHidden/>
          </w:rPr>
          <w:fldChar w:fldCharType="separate"/>
        </w:r>
        <w:r w:rsidR="00B54C38">
          <w:rPr>
            <w:b w:val="0"/>
            <w:webHidden/>
          </w:rPr>
          <w:t>87</w:t>
        </w:r>
        <w:r w:rsidR="008442A7" w:rsidRPr="00B50576">
          <w:rPr>
            <w:b w:val="0"/>
            <w:webHidden/>
          </w:rPr>
          <w:fldChar w:fldCharType="end"/>
        </w:r>
      </w:hyperlink>
    </w:p>
    <w:p w14:paraId="5687807E" w14:textId="4DCEA280" w:rsidR="008442A7" w:rsidRPr="00B50576" w:rsidRDefault="00B50576" w:rsidP="00B50576">
      <w:pPr>
        <w:pStyle w:val="TOC2"/>
        <w:tabs>
          <w:tab w:val="clear" w:pos="660"/>
          <w:tab w:val="left" w:pos="990"/>
        </w:tabs>
        <w:ind w:left="990" w:hanging="450"/>
        <w:jc w:val="left"/>
        <w:rPr>
          <w:rFonts w:asciiTheme="minorHAnsi" w:eastAsiaTheme="minorEastAsia" w:hAnsiTheme="minorHAnsi" w:cstheme="minorBidi"/>
          <w:b w:val="0"/>
          <w:bCs w:val="0"/>
          <w:iCs w:val="0"/>
          <w:color w:val="auto"/>
          <w:bdr w:val="none" w:sz="0" w:space="0" w:color="auto"/>
          <w:lang w:val="en-US"/>
        </w:rPr>
      </w:pPr>
      <w:hyperlink w:anchor="_Toc511112616" w:history="1">
        <w:r w:rsidR="008442A7" w:rsidRPr="00B50576">
          <w:rPr>
            <w:rStyle w:val="Hyperlink"/>
            <w:rFonts w:eastAsia="Calibri"/>
            <w:b w:val="0"/>
            <w:snapToGrid w:val="0"/>
          </w:rPr>
          <w:t>N.</w:t>
        </w:r>
        <w:r w:rsidR="008442A7" w:rsidRPr="00B50576">
          <w:rPr>
            <w:rFonts w:asciiTheme="minorHAnsi" w:eastAsiaTheme="minorEastAsia" w:hAnsiTheme="minorHAnsi" w:cstheme="minorBidi"/>
            <w:b w:val="0"/>
            <w:bCs w:val="0"/>
            <w:iCs w:val="0"/>
            <w:color w:val="auto"/>
            <w:bdr w:val="none" w:sz="0" w:space="0" w:color="auto"/>
            <w:lang w:val="en-US"/>
          </w:rPr>
          <w:tab/>
        </w:r>
        <w:r w:rsidR="008442A7" w:rsidRPr="00B50576">
          <w:rPr>
            <w:rStyle w:val="Hyperlink"/>
            <w:rFonts w:eastAsia="Calibri"/>
            <w:b w:val="0"/>
            <w:snapToGrid w:val="0"/>
          </w:rPr>
          <w:t>Comments on the reporting format (question 66)</w:t>
        </w:r>
        <w:r w:rsidR="008442A7" w:rsidRPr="00B50576">
          <w:rPr>
            <w:b w:val="0"/>
            <w:webHidden/>
          </w:rPr>
          <w:tab/>
        </w:r>
        <w:r w:rsidR="008442A7" w:rsidRPr="00B50576">
          <w:rPr>
            <w:b w:val="0"/>
            <w:webHidden/>
          </w:rPr>
          <w:fldChar w:fldCharType="begin"/>
        </w:r>
        <w:r w:rsidR="008442A7" w:rsidRPr="00B50576">
          <w:rPr>
            <w:b w:val="0"/>
            <w:webHidden/>
          </w:rPr>
          <w:instrText xml:space="preserve"> PAGEREF _Toc511112616 \h </w:instrText>
        </w:r>
        <w:r w:rsidR="008442A7" w:rsidRPr="00B50576">
          <w:rPr>
            <w:b w:val="0"/>
            <w:webHidden/>
          </w:rPr>
        </w:r>
        <w:r w:rsidR="008442A7" w:rsidRPr="00B50576">
          <w:rPr>
            <w:b w:val="0"/>
            <w:webHidden/>
          </w:rPr>
          <w:fldChar w:fldCharType="separate"/>
        </w:r>
        <w:r w:rsidR="00B54C38">
          <w:rPr>
            <w:b w:val="0"/>
            <w:webHidden/>
          </w:rPr>
          <w:t>91</w:t>
        </w:r>
        <w:r w:rsidR="008442A7" w:rsidRPr="00B50576">
          <w:rPr>
            <w:b w:val="0"/>
            <w:webHidden/>
          </w:rPr>
          <w:fldChar w:fldCharType="end"/>
        </w:r>
      </w:hyperlink>
    </w:p>
    <w:p w14:paraId="25A4154E" w14:textId="77777777" w:rsidR="004E0513" w:rsidRPr="00DF02C5" w:rsidRDefault="004E0513" w:rsidP="004E0513">
      <w:pPr>
        <w:pStyle w:val="Heading2"/>
        <w:rPr>
          <w:rFonts w:eastAsia="Arial Unicode MS"/>
          <w:lang w:val="en-GB"/>
        </w:rPr>
      </w:pPr>
      <w:r w:rsidRPr="00DF02C5">
        <w:rPr>
          <w:rFonts w:eastAsia="Arial Unicode MS"/>
          <w:lang w:val="en-GB"/>
        </w:rPr>
        <w:fldChar w:fldCharType="end"/>
      </w:r>
    </w:p>
    <w:p w14:paraId="7D28BE10" w14:textId="77777777" w:rsidR="00B50B4C" w:rsidRPr="00DF02C5" w:rsidRDefault="00B50B4C">
      <w:pPr>
        <w:pBdr>
          <w:top w:val="none" w:sz="0" w:space="0" w:color="auto"/>
          <w:left w:val="none" w:sz="0" w:space="0" w:color="auto"/>
          <w:bottom w:val="none" w:sz="0" w:space="0" w:color="auto"/>
          <w:right w:val="none" w:sz="0" w:space="0" w:color="auto"/>
          <w:between w:val="none" w:sz="0" w:space="0" w:color="auto"/>
          <w:bar w:val="none" w:sz="0" w:color="auto"/>
        </w:pBdr>
        <w:jc w:val="left"/>
        <w:rPr>
          <w:rFonts w:hAnsi="Times New Roman" w:cs="Times New Roman"/>
          <w:b/>
          <w:bCs/>
          <w:caps/>
          <w:snapToGrid w:val="0"/>
          <w:kern w:val="22"/>
          <w:lang w:val="en-GB"/>
        </w:rPr>
      </w:pPr>
      <w:r w:rsidRPr="00DF02C5">
        <w:rPr>
          <w:rFonts w:hAnsi="Times New Roman" w:cs="Times New Roman"/>
          <w:b/>
          <w:bCs/>
          <w:caps/>
          <w:snapToGrid w:val="0"/>
          <w:kern w:val="22"/>
          <w:lang w:val="en-GB"/>
        </w:rPr>
        <w:br w:type="page"/>
      </w:r>
    </w:p>
    <w:p w14:paraId="60660338" w14:textId="6EF3BB42" w:rsidR="00966889" w:rsidRPr="00DF02C5" w:rsidRDefault="0049703E" w:rsidP="003500AA">
      <w:pPr>
        <w:keepNext/>
        <w:tabs>
          <w:tab w:val="left" w:pos="720"/>
        </w:tabs>
        <w:spacing w:before="360" w:after="120"/>
        <w:jc w:val="center"/>
        <w:outlineLvl w:val="0"/>
        <w:rPr>
          <w:rFonts w:eastAsia="Times New Roman" w:hAnsi="Times New Roman" w:cs="Times New Roman"/>
          <w:b/>
          <w:bCs/>
          <w:caps/>
          <w:snapToGrid w:val="0"/>
          <w:kern w:val="22"/>
          <w:lang w:val="en-GB"/>
        </w:rPr>
      </w:pPr>
      <w:bookmarkStart w:id="0" w:name="_Toc511112597"/>
      <w:r w:rsidRPr="00DF02C5">
        <w:rPr>
          <w:rFonts w:hAnsi="Times New Roman" w:cs="Times New Roman"/>
          <w:b/>
          <w:bCs/>
          <w:caps/>
          <w:snapToGrid w:val="0"/>
          <w:kern w:val="22"/>
          <w:lang w:val="en-GB"/>
        </w:rPr>
        <w:lastRenderedPageBreak/>
        <w:t>I.</w:t>
      </w:r>
      <w:r w:rsidRPr="00DF02C5">
        <w:rPr>
          <w:rFonts w:hAnsi="Times New Roman" w:cs="Times New Roman"/>
          <w:b/>
          <w:bCs/>
          <w:caps/>
          <w:snapToGrid w:val="0"/>
          <w:kern w:val="22"/>
          <w:lang w:val="en-GB"/>
        </w:rPr>
        <w:tab/>
        <w:t>INTRODUCTION</w:t>
      </w:r>
      <w:bookmarkEnd w:id="0"/>
    </w:p>
    <w:p w14:paraId="522AB1AA" w14:textId="5D9CBCEB" w:rsidR="00966889" w:rsidRPr="00DF02C5" w:rsidRDefault="00966889" w:rsidP="00966889">
      <w:pPr>
        <w:numPr>
          <w:ilvl w:val="0"/>
          <w:numId w:val="1"/>
        </w:numPr>
        <w:spacing w:before="120" w:after="120"/>
        <w:rPr>
          <w:rFonts w:cs="Times New Roman"/>
          <w:lang w:val="en-GB"/>
        </w:rPr>
      </w:pPr>
      <w:r w:rsidRPr="00DF02C5">
        <w:rPr>
          <w:rFonts w:cs="Times New Roman"/>
          <w:lang w:val="en-GB"/>
        </w:rPr>
        <w:t>Article 29 of the Protocol requires</w:t>
      </w:r>
      <w:r w:rsidR="00B80AF5">
        <w:rPr>
          <w:rFonts w:cs="Times New Roman"/>
          <w:lang w:val="en-GB"/>
        </w:rPr>
        <w:t xml:space="preserve"> each Party</w:t>
      </w:r>
      <w:r w:rsidRPr="00DF02C5">
        <w:rPr>
          <w:rFonts w:cs="Times New Roman"/>
          <w:lang w:val="en-GB"/>
        </w:rPr>
        <w:t xml:space="preserve"> to monitor the implementation of </w:t>
      </w:r>
      <w:r w:rsidR="00B80AF5">
        <w:rPr>
          <w:rFonts w:cs="Times New Roman"/>
          <w:lang w:val="en-GB"/>
        </w:rPr>
        <w:t xml:space="preserve">its </w:t>
      </w:r>
      <w:r w:rsidRPr="00DF02C5">
        <w:rPr>
          <w:rFonts w:cs="Times New Roman"/>
          <w:lang w:val="en-GB"/>
        </w:rPr>
        <w:t>obligations under th</w:t>
      </w:r>
      <w:r w:rsidR="00B80AF5">
        <w:rPr>
          <w:rFonts w:cs="Times New Roman"/>
          <w:lang w:val="en-GB"/>
        </w:rPr>
        <w:t>e Nagoya</w:t>
      </w:r>
      <w:r w:rsidRPr="00DF02C5">
        <w:rPr>
          <w:rFonts w:cs="Times New Roman"/>
          <w:lang w:val="en-GB"/>
        </w:rPr>
        <w:t xml:space="preserve"> Protocol and to report to the Conference of the Parties serving as the meeting of the Parties to the Protocol (COP-MOP) on measures that it has taken to implement the Protocol. </w:t>
      </w:r>
    </w:p>
    <w:p w14:paraId="4AEEAB3C" w14:textId="546F8672" w:rsidR="00966889" w:rsidRPr="00DF02C5" w:rsidRDefault="00966889" w:rsidP="00966889">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lang w:val="en-GB"/>
        </w:rPr>
      </w:pPr>
      <w:r w:rsidRPr="00DF02C5">
        <w:rPr>
          <w:rFonts w:cs="Times New Roman"/>
          <w:lang w:val="en-GB"/>
        </w:rPr>
        <w:t>The first meeting of COP-MOP</w:t>
      </w:r>
      <w:r w:rsidR="0048321F">
        <w:rPr>
          <w:rFonts w:cs="Times New Roman"/>
          <w:lang w:val="en-GB"/>
        </w:rPr>
        <w:t>,</w:t>
      </w:r>
      <w:r w:rsidRPr="00DF02C5" w:rsidDel="00B0388F">
        <w:rPr>
          <w:rFonts w:cs="Times New Roman"/>
          <w:lang w:val="en-GB"/>
        </w:rPr>
        <w:t xml:space="preserve"> </w:t>
      </w:r>
      <w:r w:rsidRPr="00DF02C5">
        <w:rPr>
          <w:rFonts w:cs="Times New Roman"/>
          <w:lang w:val="en-GB"/>
        </w:rPr>
        <w:t>in decision NP-1/3</w:t>
      </w:r>
      <w:r w:rsidR="0048321F">
        <w:rPr>
          <w:rFonts w:cs="Times New Roman"/>
          <w:lang w:val="en-GB"/>
        </w:rPr>
        <w:t>,</w:t>
      </w:r>
      <w:r w:rsidRPr="00DF02C5">
        <w:rPr>
          <w:rFonts w:cs="Times New Roman"/>
          <w:lang w:val="en-GB"/>
        </w:rPr>
        <w:t xml:space="preserve"> agreed on the format and guidelines for submission of an interim national report on the implementation of the Nagoya Protocol, and requested Parties to the Protocol to submit the report twelve months prior to the third meeting of COP-MOP. The decision also welcomed submissions of relevant information by non-Parties. Interim national reports were due to be submitted by 1 November 2017.</w:t>
      </w:r>
      <w:r w:rsidRPr="00DF02C5">
        <w:rPr>
          <w:rFonts w:hAnsi="Times New Roman" w:cs="Times New Roman"/>
          <w:snapToGrid w:val="0"/>
          <w:kern w:val="22"/>
          <w:vertAlign w:val="superscript"/>
          <w:lang w:val="en-GB"/>
        </w:rPr>
        <w:t xml:space="preserve"> </w:t>
      </w:r>
      <w:r w:rsidRPr="00DF02C5">
        <w:rPr>
          <w:rFonts w:hAnsi="Times New Roman" w:cs="Times New Roman"/>
          <w:snapToGrid w:val="0"/>
          <w:kern w:val="22"/>
          <w:vertAlign w:val="superscript"/>
          <w:lang w:val="en-GB"/>
        </w:rPr>
        <w:footnoteReference w:id="4"/>
      </w:r>
    </w:p>
    <w:p w14:paraId="61CABDDA" w14:textId="6F5F9F27" w:rsidR="0049703E" w:rsidRPr="00DF02C5" w:rsidRDefault="0049703E" w:rsidP="00966889">
      <w:pPr>
        <w:numPr>
          <w:ilvl w:val="0"/>
          <w:numId w:val="1"/>
        </w:numPr>
        <w:spacing w:before="120" w:after="120"/>
        <w:rPr>
          <w:rFonts w:hAnsi="Times New Roman" w:cs="Times New Roman"/>
          <w:snapToGrid w:val="0"/>
          <w:kern w:val="22"/>
          <w:lang w:val="en-GB"/>
        </w:rPr>
      </w:pPr>
      <w:r w:rsidRPr="00DF02C5">
        <w:rPr>
          <w:rFonts w:hAnsi="Times New Roman" w:cs="Times New Roman"/>
          <w:snapToGrid w:val="0"/>
          <w:kern w:val="22"/>
          <w:lang w:val="en-GB"/>
        </w:rPr>
        <w:t xml:space="preserve">COP-MOP requested the Executive Secretary to consolidate information contained in the interim national reports received from Parties and information published in the Access and Benefit-sharing Clearing-House (ABS Clearing-House) for the consideration of the third meeting of COP-MOP, as a contribution to the assessment and review of the effectiveness of the Protocol by COP-MOP, pursuant to Article 31, as well as to make submissions by non-Parties available for the information of the third meeting of </w:t>
      </w:r>
      <w:r w:rsidR="00966889" w:rsidRPr="00DF02C5">
        <w:rPr>
          <w:rFonts w:hAnsi="Times New Roman" w:cs="Times New Roman"/>
          <w:snapToGrid w:val="0"/>
          <w:kern w:val="22"/>
          <w:lang w:val="en-GB"/>
        </w:rPr>
        <w:t xml:space="preserve">COP-MOP </w:t>
      </w:r>
      <w:r w:rsidR="0048321F">
        <w:rPr>
          <w:rFonts w:hAnsi="Times New Roman" w:cs="Times New Roman"/>
          <w:snapToGrid w:val="0"/>
          <w:kern w:val="22"/>
          <w:lang w:val="en-GB"/>
        </w:rPr>
        <w:t>(decision NP-1/3, para.</w:t>
      </w:r>
      <w:r w:rsidRPr="00DF02C5">
        <w:rPr>
          <w:rFonts w:hAnsi="Times New Roman" w:cs="Times New Roman"/>
          <w:snapToGrid w:val="0"/>
          <w:kern w:val="22"/>
          <w:lang w:val="en-GB"/>
        </w:rPr>
        <w:t xml:space="preserve"> 6).</w:t>
      </w:r>
    </w:p>
    <w:p w14:paraId="222D870F" w14:textId="1F54CC55" w:rsidR="0049703E" w:rsidRPr="00DF02C5" w:rsidRDefault="00B80AF5" w:rsidP="0049703E">
      <w:pPr>
        <w:numPr>
          <w:ilvl w:val="0"/>
          <w:numId w:val="1"/>
        </w:numPr>
        <w:spacing w:before="120" w:after="120"/>
        <w:rPr>
          <w:rFonts w:hAnsi="Times New Roman" w:cs="Times New Roman"/>
          <w:snapToGrid w:val="0"/>
          <w:kern w:val="22"/>
          <w:lang w:val="en-GB"/>
        </w:rPr>
      </w:pPr>
      <w:r>
        <w:rPr>
          <w:rFonts w:hAnsi="Times New Roman" w:cs="Times New Roman"/>
          <w:snapToGrid w:val="0"/>
          <w:kern w:val="22"/>
          <w:lang w:val="en-GB"/>
        </w:rPr>
        <w:t>In addition</w:t>
      </w:r>
      <w:r w:rsidR="00AD1BFA" w:rsidRPr="00DF02C5">
        <w:rPr>
          <w:rFonts w:hAnsi="Times New Roman" w:cs="Times New Roman"/>
          <w:snapToGrid w:val="0"/>
          <w:kern w:val="22"/>
          <w:lang w:val="en-GB"/>
        </w:rPr>
        <w:t xml:space="preserve"> to its contribution to </w:t>
      </w:r>
      <w:r w:rsidR="009934D4" w:rsidRPr="00DF02C5">
        <w:rPr>
          <w:rFonts w:hAnsi="Times New Roman" w:cs="Times New Roman"/>
          <w:snapToGrid w:val="0"/>
          <w:kern w:val="22"/>
          <w:lang w:val="en-GB"/>
        </w:rPr>
        <w:t xml:space="preserve">the </w:t>
      </w:r>
      <w:r w:rsidR="00AD1BFA" w:rsidRPr="00DF02C5">
        <w:rPr>
          <w:rFonts w:hAnsi="Times New Roman" w:cs="Times New Roman"/>
          <w:snapToGrid w:val="0"/>
          <w:kern w:val="22"/>
          <w:lang w:val="en-GB"/>
        </w:rPr>
        <w:t>assessment and review</w:t>
      </w:r>
      <w:r w:rsidR="009934D4" w:rsidRPr="00DF02C5">
        <w:rPr>
          <w:rFonts w:hAnsi="Times New Roman" w:cs="Times New Roman"/>
          <w:snapToGrid w:val="0"/>
          <w:kern w:val="22"/>
          <w:lang w:val="en-GB"/>
        </w:rPr>
        <w:t xml:space="preserve"> of the Protocol, this analysis will inform </w:t>
      </w:r>
      <w:r w:rsidR="0049703E" w:rsidRPr="00DF02C5">
        <w:rPr>
          <w:rFonts w:hAnsi="Times New Roman" w:cs="Times New Roman"/>
          <w:snapToGrid w:val="0"/>
          <w:kern w:val="22"/>
          <w:lang w:val="en-GB"/>
        </w:rPr>
        <w:t>di</w:t>
      </w:r>
      <w:r w:rsidR="009934D4" w:rsidRPr="00DF02C5">
        <w:rPr>
          <w:rFonts w:hAnsi="Times New Roman" w:cs="Times New Roman"/>
          <w:snapToGrid w:val="0"/>
          <w:kern w:val="22"/>
          <w:lang w:val="en-GB"/>
        </w:rPr>
        <w:t xml:space="preserve">scussions on substantive items, </w:t>
      </w:r>
      <w:r w:rsidR="0049703E" w:rsidRPr="00DF02C5">
        <w:rPr>
          <w:rFonts w:hAnsi="Times New Roman" w:cs="Times New Roman"/>
          <w:snapToGrid w:val="0"/>
          <w:kern w:val="22"/>
          <w:lang w:val="en-GB"/>
        </w:rPr>
        <w:t xml:space="preserve">such as compliance with the Protocol, monitoring and reporting, the global multilateral benefit-sharing mechanism, </w:t>
      </w:r>
      <w:r w:rsidR="003B0EE4" w:rsidRPr="00DF02C5">
        <w:rPr>
          <w:rFonts w:hAnsi="Times New Roman" w:cs="Times New Roman"/>
          <w:snapToGrid w:val="0"/>
          <w:kern w:val="22"/>
          <w:lang w:val="en-GB"/>
        </w:rPr>
        <w:t xml:space="preserve">and </w:t>
      </w:r>
      <w:r>
        <w:rPr>
          <w:rFonts w:hAnsi="Times New Roman" w:cs="Times New Roman"/>
          <w:snapToGrid w:val="0"/>
          <w:kern w:val="22"/>
          <w:lang w:val="en-GB"/>
        </w:rPr>
        <w:t>resource mobilization</w:t>
      </w:r>
      <w:r w:rsidR="0049703E" w:rsidRPr="00DF02C5">
        <w:rPr>
          <w:rFonts w:hAnsi="Times New Roman" w:cs="Times New Roman"/>
          <w:snapToGrid w:val="0"/>
          <w:kern w:val="22"/>
          <w:lang w:val="en-GB"/>
        </w:rPr>
        <w:t xml:space="preserve"> at the third meeting of the Parties to the Protocol. Information is therefore presented according to relevant articles of the Protocol. The analysis aims to identify the progress in, and constraints to, the implementation of the Protocol at the national level. Given the wealth of information provided, the note also provides examples of approaches taken and activities carried out by countries to implement different aspects of the Protocol. Where</w:t>
      </w:r>
      <w:r w:rsidR="009934D4" w:rsidRPr="00DF02C5">
        <w:rPr>
          <w:rFonts w:hAnsi="Times New Roman" w:cs="Times New Roman"/>
          <w:snapToGrid w:val="0"/>
          <w:kern w:val="22"/>
          <w:lang w:val="en-GB"/>
        </w:rPr>
        <w:t xml:space="preserve"> relevant</w:t>
      </w:r>
      <w:r w:rsidR="0049703E" w:rsidRPr="00DF02C5">
        <w:rPr>
          <w:rFonts w:hAnsi="Times New Roman" w:cs="Times New Roman"/>
          <w:snapToGrid w:val="0"/>
          <w:kern w:val="22"/>
          <w:lang w:val="en-GB"/>
        </w:rPr>
        <w:t xml:space="preserve">, implications of the </w:t>
      </w:r>
      <w:r w:rsidR="009934D4" w:rsidRPr="00DF02C5">
        <w:rPr>
          <w:rFonts w:hAnsi="Times New Roman" w:cs="Times New Roman"/>
          <w:snapToGrid w:val="0"/>
          <w:kern w:val="22"/>
          <w:lang w:val="en-GB"/>
        </w:rPr>
        <w:t xml:space="preserve">information </w:t>
      </w:r>
      <w:r w:rsidR="0049703E" w:rsidRPr="00DF02C5">
        <w:rPr>
          <w:rFonts w:hAnsi="Times New Roman" w:cs="Times New Roman"/>
          <w:snapToGrid w:val="0"/>
          <w:kern w:val="22"/>
          <w:lang w:val="en-GB"/>
        </w:rPr>
        <w:t>provided in the interim reports are discussed in more depth in the pre-session documents of relevant agenda items.</w:t>
      </w:r>
    </w:p>
    <w:p w14:paraId="5777CAC8" w14:textId="55D1039B" w:rsidR="0049703E" w:rsidRPr="00DF02C5" w:rsidRDefault="0049703E" w:rsidP="0049703E">
      <w:pPr>
        <w:numPr>
          <w:ilvl w:val="0"/>
          <w:numId w:val="1"/>
        </w:numPr>
        <w:spacing w:before="120" w:after="120"/>
        <w:rPr>
          <w:rFonts w:hAnsi="Times New Roman" w:cs="Times New Roman"/>
          <w:snapToGrid w:val="0"/>
          <w:kern w:val="22"/>
          <w:lang w:val="en-GB"/>
        </w:rPr>
      </w:pPr>
      <w:r w:rsidRPr="00DF02C5">
        <w:rPr>
          <w:rFonts w:hAnsi="Times New Roman" w:cs="Times New Roman"/>
          <w:snapToGrid w:val="0"/>
          <w:kern w:val="22"/>
          <w:lang w:val="en-GB"/>
        </w:rPr>
        <w:t>In addition, an information document providing a statistical overview of the responses by Parties and non-Parties to each of the questions of the report will also be made available for the meeting (</w:t>
      </w:r>
      <w:r w:rsidR="00635D47" w:rsidRPr="00DF02C5">
        <w:rPr>
          <w:rFonts w:hAnsi="Times New Roman" w:cs="Times New Roman"/>
          <w:snapToGrid w:val="0"/>
          <w:kern w:val="22"/>
          <w:lang w:val="en-GB"/>
        </w:rPr>
        <w:t>CBD/ABS/CC/2/INF/2)</w:t>
      </w:r>
      <w:r w:rsidR="0048321F">
        <w:rPr>
          <w:rFonts w:hAnsi="Times New Roman" w:cs="Times New Roman"/>
          <w:snapToGrid w:val="0"/>
          <w:kern w:val="22"/>
          <w:lang w:val="en-GB"/>
        </w:rPr>
        <w:t>.</w:t>
      </w:r>
    </w:p>
    <w:p w14:paraId="5AAA0174" w14:textId="498F4C52" w:rsidR="00D420F7" w:rsidRPr="00DF02C5" w:rsidRDefault="0009440F" w:rsidP="0009440F">
      <w:pPr>
        <w:numPr>
          <w:ilvl w:val="0"/>
          <w:numId w:val="1"/>
        </w:numPr>
        <w:spacing w:before="120" w:after="120"/>
        <w:rPr>
          <w:rFonts w:hAnsi="Times New Roman" w:cs="Times New Roman"/>
          <w:snapToGrid w:val="0"/>
          <w:kern w:val="22"/>
          <w:lang w:val="en-GB"/>
        </w:rPr>
      </w:pPr>
      <w:r w:rsidRPr="00DF02C5">
        <w:rPr>
          <w:rFonts w:hAnsi="Times New Roman" w:cs="Times New Roman"/>
          <w:snapToGrid w:val="0"/>
          <w:kern w:val="22"/>
          <w:lang w:val="en-GB"/>
        </w:rPr>
        <w:t>The methodology used is presented in section II of the present document, including sources of information, limitations of the analysis and some methodological note. Section III contains the analysis of the information provided by countries in answer to each of the questions of the report format.</w:t>
      </w:r>
    </w:p>
    <w:p w14:paraId="29AB2D01" w14:textId="77777777" w:rsidR="0049703E" w:rsidRPr="00DF02C5" w:rsidRDefault="0049703E" w:rsidP="003500AA">
      <w:pPr>
        <w:keepNext/>
        <w:spacing w:before="360" w:after="120"/>
        <w:jc w:val="center"/>
        <w:outlineLvl w:val="0"/>
        <w:rPr>
          <w:rFonts w:eastAsia="Times New Roman" w:hAnsi="Times New Roman" w:cs="Times New Roman"/>
          <w:b/>
          <w:bCs/>
          <w:caps/>
          <w:snapToGrid w:val="0"/>
          <w:kern w:val="22"/>
          <w:lang w:val="en-GB"/>
        </w:rPr>
      </w:pPr>
      <w:bookmarkStart w:id="1" w:name="_Toc511112598"/>
      <w:r w:rsidRPr="00DF02C5">
        <w:rPr>
          <w:rFonts w:eastAsia="Times New Roman" w:hAnsi="Times New Roman" w:cs="Times New Roman"/>
          <w:b/>
          <w:bCs/>
          <w:caps/>
          <w:snapToGrid w:val="0"/>
          <w:kern w:val="22"/>
          <w:lang w:val="en-GB"/>
        </w:rPr>
        <w:t>II.</w:t>
      </w:r>
      <w:r w:rsidRPr="00DF02C5">
        <w:rPr>
          <w:rFonts w:eastAsia="Times New Roman" w:hAnsi="Times New Roman" w:cs="Times New Roman"/>
          <w:b/>
          <w:bCs/>
          <w:caps/>
          <w:snapToGrid w:val="0"/>
          <w:kern w:val="22"/>
          <w:lang w:val="en-GB"/>
        </w:rPr>
        <w:tab/>
        <w:t>METHODOLOGY</w:t>
      </w:r>
      <w:bookmarkEnd w:id="1"/>
    </w:p>
    <w:p w14:paraId="26EA4ABE" w14:textId="77777777" w:rsidR="0049703E" w:rsidRPr="00DF02C5" w:rsidRDefault="0049703E" w:rsidP="003500AA">
      <w:pPr>
        <w:keepNext/>
        <w:numPr>
          <w:ilvl w:val="0"/>
          <w:numId w:val="12"/>
        </w:numPr>
        <w:tabs>
          <w:tab w:val="left" w:pos="720"/>
        </w:tabs>
        <w:spacing w:before="240" w:after="120"/>
        <w:jc w:val="center"/>
        <w:outlineLvl w:val="1"/>
        <w:rPr>
          <w:rFonts w:eastAsia="Times New Roman" w:hAnsi="Times New Roman" w:cs="Times New Roman"/>
          <w:b/>
          <w:bCs/>
          <w:iCs/>
          <w:lang w:val="en-GB"/>
        </w:rPr>
      </w:pPr>
      <w:bookmarkStart w:id="2" w:name="_Toc511112599"/>
      <w:r w:rsidRPr="00DF02C5">
        <w:rPr>
          <w:rFonts w:eastAsia="Times New Roman" w:hAnsi="Times New Roman" w:cs="Times New Roman"/>
          <w:b/>
          <w:bCs/>
          <w:iCs/>
          <w:lang w:val="en-GB"/>
        </w:rPr>
        <w:t>Sources of information</w:t>
      </w:r>
      <w:bookmarkEnd w:id="2"/>
      <w:r w:rsidRPr="00DF02C5">
        <w:rPr>
          <w:rFonts w:eastAsia="Times New Roman" w:hAnsi="Times New Roman" w:cs="Times New Roman"/>
          <w:b/>
          <w:bCs/>
          <w:iCs/>
          <w:lang w:val="en-GB"/>
        </w:rPr>
        <w:t xml:space="preserve"> </w:t>
      </w:r>
    </w:p>
    <w:p w14:paraId="05422A87" w14:textId="77777777" w:rsidR="0049703E" w:rsidRPr="0048321F" w:rsidRDefault="0049703E" w:rsidP="0035576A">
      <w:pPr>
        <w:numPr>
          <w:ilvl w:val="6"/>
          <w:numId w:val="1"/>
        </w:numPr>
        <w:spacing w:before="240" w:after="120"/>
        <w:jc w:val="center"/>
        <w:rPr>
          <w:rFonts w:cs="Times New Roman"/>
          <w:i/>
          <w:lang w:val="en-GB"/>
        </w:rPr>
      </w:pPr>
      <w:r w:rsidRPr="0048321F">
        <w:rPr>
          <w:rFonts w:cs="Times New Roman"/>
          <w:i/>
          <w:lang w:val="en-GB"/>
        </w:rPr>
        <w:t>Interim national reports</w:t>
      </w:r>
    </w:p>
    <w:p w14:paraId="1B18D362" w14:textId="681E0A2E" w:rsidR="00635D47" w:rsidRPr="00DF02C5" w:rsidRDefault="00577044" w:rsidP="00635D47">
      <w:pPr>
        <w:numPr>
          <w:ilvl w:val="0"/>
          <w:numId w:val="1"/>
        </w:numPr>
        <w:spacing w:before="120" w:after="120"/>
        <w:rPr>
          <w:rFonts w:cs="Times New Roman"/>
          <w:lang w:val="en-GB"/>
        </w:rPr>
      </w:pPr>
      <w:r>
        <w:rPr>
          <w:rFonts w:hAnsi="Times New Roman" w:cs="Times New Roman"/>
          <w:snapToGrid w:val="0"/>
          <w:kern w:val="22"/>
          <w:lang w:val="en-GB"/>
        </w:rPr>
        <w:t>Up to and including</w:t>
      </w:r>
      <w:r w:rsidR="00966889" w:rsidRPr="00DF02C5">
        <w:rPr>
          <w:rFonts w:hAnsi="Times New Roman" w:cs="Times New Roman"/>
          <w:snapToGrid w:val="0"/>
          <w:kern w:val="22"/>
          <w:lang w:val="en-GB"/>
        </w:rPr>
        <w:t xml:space="preserve"> 22 of February 2018, 69 interim national reports have been received from Parties.</w:t>
      </w:r>
      <w:r w:rsidR="00966889" w:rsidRPr="00DF02C5">
        <w:rPr>
          <w:rFonts w:hAnsi="Times New Roman" w:cs="Times New Roman"/>
          <w:snapToGrid w:val="0"/>
          <w:kern w:val="22"/>
          <w:vertAlign w:val="superscript"/>
          <w:lang w:val="en-GB"/>
        </w:rPr>
        <w:footnoteReference w:id="5"/>
      </w:r>
      <w:r w:rsidR="00966889" w:rsidRPr="00DF02C5">
        <w:rPr>
          <w:rFonts w:hAnsi="Times New Roman" w:cs="Times New Roman"/>
          <w:snapToGrid w:val="0"/>
          <w:kern w:val="22"/>
          <w:lang w:val="en-GB"/>
        </w:rPr>
        <w:t xml:space="preserve"> </w:t>
      </w:r>
    </w:p>
    <w:p w14:paraId="50C8AFEF" w14:textId="77777777" w:rsidR="0049703E" w:rsidRPr="00DF02C5" w:rsidRDefault="0049703E" w:rsidP="0049703E">
      <w:pPr>
        <w:numPr>
          <w:ilvl w:val="0"/>
          <w:numId w:val="1"/>
        </w:numPr>
        <w:spacing w:before="120" w:after="120"/>
        <w:rPr>
          <w:rFonts w:hAnsi="Times New Roman" w:cs="Times New Roman"/>
          <w:snapToGrid w:val="0"/>
          <w:color w:val="auto"/>
          <w:kern w:val="22"/>
          <w:lang w:val="en-GB"/>
        </w:rPr>
      </w:pPr>
      <w:r w:rsidRPr="00DF02C5">
        <w:rPr>
          <w:rFonts w:cs="Times New Roman"/>
          <w:lang w:val="en-GB"/>
        </w:rPr>
        <w:t xml:space="preserve">The </w:t>
      </w:r>
      <w:r w:rsidRPr="00DF02C5">
        <w:rPr>
          <w:rFonts w:cs="Times New Roman"/>
          <w:color w:val="auto"/>
          <w:lang w:val="en-GB"/>
        </w:rPr>
        <w:t xml:space="preserve">distribution of these reports among the United Nations regional groups is as follows: </w:t>
      </w:r>
    </w:p>
    <w:p w14:paraId="3E124934" w14:textId="77777777" w:rsidR="0049703E" w:rsidRPr="00DF02C5" w:rsidRDefault="0049703E" w:rsidP="005038A2">
      <w:pPr>
        <w:numPr>
          <w:ilvl w:val="1"/>
          <w:numId w:val="1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Africa: 27 reports received (69% of 47 Parties of that region);</w:t>
      </w:r>
    </w:p>
    <w:p w14:paraId="5E8F2083" w14:textId="77777777" w:rsidR="0049703E" w:rsidRPr="00DF02C5" w:rsidRDefault="0049703E" w:rsidP="005038A2">
      <w:pPr>
        <w:numPr>
          <w:ilvl w:val="1"/>
          <w:numId w:val="1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 xml:space="preserve">Asia and Pacific: 13 reports received (50% of 26 Parties of that region); </w:t>
      </w:r>
    </w:p>
    <w:p w14:paraId="33DF2C83" w14:textId="77777777" w:rsidR="0049703E" w:rsidRPr="00DF02C5" w:rsidRDefault="0049703E" w:rsidP="005038A2">
      <w:pPr>
        <w:numPr>
          <w:ilvl w:val="1"/>
          <w:numId w:val="1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lastRenderedPageBreak/>
        <w:t xml:space="preserve">Latin America and the Caribbean (GRULAC): 8 reports received (67% of 13 Parties of that region); </w:t>
      </w:r>
    </w:p>
    <w:p w14:paraId="13BB7F26" w14:textId="77777777" w:rsidR="0049703E" w:rsidRPr="00DF02C5" w:rsidRDefault="0049703E" w:rsidP="005038A2">
      <w:pPr>
        <w:numPr>
          <w:ilvl w:val="1"/>
          <w:numId w:val="1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 xml:space="preserve">Central and Eastern Europe (CEE): 7 reports (88% of 8 Parties of that region); </w:t>
      </w:r>
    </w:p>
    <w:p w14:paraId="1B099B51" w14:textId="77777777" w:rsidR="0049703E" w:rsidRPr="00D412D0" w:rsidRDefault="0049703E" w:rsidP="005038A2">
      <w:pPr>
        <w:numPr>
          <w:ilvl w:val="1"/>
          <w:numId w:val="11"/>
        </w:numPr>
        <w:spacing w:before="120" w:after="120"/>
        <w:ind w:firstLine="720"/>
        <w:rPr>
          <w:rFonts w:hAnsi="Times New Roman" w:cs="Times New Roman"/>
          <w:snapToGrid w:val="0"/>
          <w:color w:val="auto"/>
          <w:kern w:val="22"/>
          <w:lang w:val="en-GB"/>
        </w:rPr>
      </w:pPr>
      <w:r w:rsidRPr="00D412D0">
        <w:rPr>
          <w:rFonts w:hAnsi="Times New Roman" w:cs="Times New Roman"/>
          <w:snapToGrid w:val="0"/>
          <w:color w:val="auto"/>
          <w:kern w:val="22"/>
          <w:lang w:val="en-GB"/>
        </w:rPr>
        <w:t xml:space="preserve">Western Europe and Others Group (WEOG): 14 reports (93% of 15 Parties of that group). </w:t>
      </w:r>
    </w:p>
    <w:p w14:paraId="6F528066" w14:textId="69328C96" w:rsidR="00635D47" w:rsidRPr="00D412D0" w:rsidRDefault="00635D47" w:rsidP="00635D47">
      <w:pPr>
        <w:numPr>
          <w:ilvl w:val="0"/>
          <w:numId w:val="1"/>
        </w:numPr>
        <w:spacing w:before="120" w:after="120"/>
        <w:rPr>
          <w:rFonts w:cs="Times New Roman"/>
          <w:color w:val="auto"/>
          <w:lang w:val="en-GB"/>
        </w:rPr>
      </w:pPr>
      <w:r w:rsidRPr="00D412D0">
        <w:rPr>
          <w:rFonts w:cs="Times New Roman"/>
          <w:color w:val="auto"/>
          <w:lang w:val="en-GB"/>
        </w:rPr>
        <w:t xml:space="preserve">In addition, 6 non-Parties submitted their national reports. Information provided by non-Parties is also made available for </w:t>
      </w:r>
      <w:r w:rsidR="00D412D0" w:rsidRPr="00D412D0">
        <w:rPr>
          <w:rFonts w:cs="Times New Roman"/>
          <w:color w:val="auto"/>
          <w:lang w:val="en-GB"/>
        </w:rPr>
        <w:t xml:space="preserve">the </w:t>
      </w:r>
      <w:r w:rsidRPr="00D412D0">
        <w:rPr>
          <w:rFonts w:cs="Times New Roman"/>
          <w:color w:val="auto"/>
          <w:lang w:val="en-GB"/>
        </w:rPr>
        <w:t xml:space="preserve">information of </w:t>
      </w:r>
      <w:r w:rsidR="00D412D0" w:rsidRPr="00D412D0">
        <w:rPr>
          <w:rFonts w:cs="Times New Roman"/>
          <w:color w:val="auto"/>
          <w:lang w:val="en-GB"/>
        </w:rPr>
        <w:t xml:space="preserve">participants in </w:t>
      </w:r>
      <w:r w:rsidRPr="00D412D0">
        <w:rPr>
          <w:rFonts w:cs="Times New Roman"/>
          <w:color w:val="auto"/>
          <w:lang w:val="en-GB"/>
        </w:rPr>
        <w:t xml:space="preserve">the meeting and is included in the analysis below. </w:t>
      </w:r>
    </w:p>
    <w:p w14:paraId="78E2645B" w14:textId="23F56190" w:rsidR="00635D47" w:rsidRPr="00D412D0" w:rsidRDefault="00635D47" w:rsidP="00635D47">
      <w:pPr>
        <w:numPr>
          <w:ilvl w:val="0"/>
          <w:numId w:val="1"/>
        </w:numPr>
        <w:spacing w:before="120" w:after="120"/>
        <w:rPr>
          <w:rFonts w:cs="Times New Roman"/>
          <w:color w:val="auto"/>
          <w:lang w:val="en-GB"/>
        </w:rPr>
      </w:pPr>
      <w:r w:rsidRPr="00D412D0">
        <w:rPr>
          <w:rFonts w:cs="Times New Roman"/>
          <w:color w:val="auto"/>
          <w:lang w:val="en-GB"/>
        </w:rPr>
        <w:t xml:space="preserve">All interim national reports received are available online on the ABS Clearing-House at the following link: https://absch.cbd.int/reports, </w:t>
      </w:r>
      <w:proofErr w:type="gramStart"/>
      <w:r w:rsidRPr="00D412D0">
        <w:rPr>
          <w:rFonts w:cs="Times New Roman"/>
          <w:color w:val="auto"/>
          <w:lang w:val="en-GB"/>
        </w:rPr>
        <w:t>with the exception of</w:t>
      </w:r>
      <w:proofErr w:type="gramEnd"/>
      <w:r w:rsidRPr="00D412D0">
        <w:rPr>
          <w:rFonts w:cs="Times New Roman"/>
          <w:color w:val="auto"/>
          <w:lang w:val="en-GB"/>
        </w:rPr>
        <w:t xml:space="preserve"> one report </w:t>
      </w:r>
      <w:r w:rsidR="0048321F" w:rsidRPr="00D412D0">
        <w:rPr>
          <w:rFonts w:cs="Times New Roman"/>
          <w:color w:val="auto"/>
          <w:lang w:val="en-GB"/>
        </w:rPr>
        <w:t>which</w:t>
      </w:r>
      <w:r w:rsidRPr="00D412D0">
        <w:rPr>
          <w:rFonts w:cs="Times New Roman"/>
          <w:color w:val="auto"/>
          <w:lang w:val="en-GB"/>
        </w:rPr>
        <w:t xml:space="preserve"> was submitted offline</w:t>
      </w:r>
      <w:r w:rsidR="0048321F" w:rsidRPr="00D412D0">
        <w:rPr>
          <w:rFonts w:cs="Times New Roman"/>
          <w:color w:val="auto"/>
          <w:lang w:val="en-GB"/>
        </w:rPr>
        <w:t>.</w:t>
      </w:r>
      <w:r w:rsidR="00AD1BFA" w:rsidRPr="00D412D0">
        <w:rPr>
          <w:rStyle w:val="FootnoteReference"/>
          <w:rFonts w:cs="Times New Roman"/>
          <w:color w:val="auto"/>
          <w:lang w:val="en-GB"/>
        </w:rPr>
        <w:footnoteReference w:id="6"/>
      </w:r>
      <w:r w:rsidRPr="00D412D0">
        <w:rPr>
          <w:rFonts w:cs="Times New Roman"/>
          <w:color w:val="auto"/>
          <w:lang w:val="en-GB"/>
        </w:rPr>
        <w:t xml:space="preserve"> The ABS Clearing-House also hosts a report analyser tool that enables the analysis of information contained in the interim national report by question, country/</w:t>
      </w:r>
      <w:proofErr w:type="spellStart"/>
      <w:r w:rsidRPr="00D412D0">
        <w:rPr>
          <w:rFonts w:cs="Times New Roman"/>
          <w:color w:val="auto"/>
          <w:lang w:val="en-GB"/>
        </w:rPr>
        <w:t>ies</w:t>
      </w:r>
      <w:proofErr w:type="spellEnd"/>
      <w:r w:rsidRPr="00D412D0">
        <w:rPr>
          <w:rFonts w:cs="Times New Roman"/>
          <w:color w:val="auto"/>
          <w:lang w:val="en-GB"/>
        </w:rPr>
        <w:t xml:space="preserve"> or region. </w:t>
      </w:r>
    </w:p>
    <w:p w14:paraId="48E4B882" w14:textId="6A8D1A15" w:rsidR="0049703E" w:rsidRPr="00D412D0" w:rsidRDefault="00635D47" w:rsidP="0049703E">
      <w:pPr>
        <w:numPr>
          <w:ilvl w:val="0"/>
          <w:numId w:val="1"/>
        </w:numPr>
        <w:spacing w:before="120" w:after="120"/>
        <w:rPr>
          <w:rFonts w:cs="Times New Roman"/>
          <w:color w:val="auto"/>
          <w:lang w:val="en-GB"/>
        </w:rPr>
      </w:pPr>
      <w:r w:rsidRPr="00D412D0">
        <w:rPr>
          <w:rFonts w:cs="Times New Roman"/>
          <w:color w:val="auto"/>
          <w:lang w:val="en-GB"/>
        </w:rPr>
        <w:t xml:space="preserve">A list of countries that submitted the interim national report </w:t>
      </w:r>
      <w:r w:rsidR="00B80AF5" w:rsidRPr="00D412D0">
        <w:rPr>
          <w:rFonts w:cs="Times New Roman"/>
          <w:color w:val="auto"/>
          <w:lang w:val="en-GB"/>
        </w:rPr>
        <w:t xml:space="preserve">by 22 February 2018 </w:t>
      </w:r>
      <w:r w:rsidRPr="00D412D0">
        <w:rPr>
          <w:rFonts w:cs="Times New Roman"/>
          <w:color w:val="auto"/>
          <w:lang w:val="en-GB"/>
        </w:rPr>
        <w:t xml:space="preserve">can </w:t>
      </w:r>
      <w:r w:rsidR="00B055F2" w:rsidRPr="00D412D0">
        <w:rPr>
          <w:rFonts w:cs="Times New Roman"/>
          <w:color w:val="auto"/>
          <w:lang w:val="en-GB"/>
        </w:rPr>
        <w:t>be found in a</w:t>
      </w:r>
      <w:r w:rsidRPr="00D412D0">
        <w:rPr>
          <w:rFonts w:cs="Times New Roman"/>
          <w:color w:val="auto"/>
          <w:lang w:val="en-GB"/>
        </w:rPr>
        <w:t xml:space="preserve">nnex I </w:t>
      </w:r>
      <w:r w:rsidR="00B055F2" w:rsidRPr="00D412D0">
        <w:rPr>
          <w:rFonts w:cs="Times New Roman"/>
          <w:color w:val="auto"/>
          <w:lang w:val="en-GB"/>
        </w:rPr>
        <w:t>to</w:t>
      </w:r>
      <w:r w:rsidRPr="00D412D0">
        <w:rPr>
          <w:rFonts w:cs="Times New Roman"/>
          <w:color w:val="auto"/>
          <w:lang w:val="en-GB"/>
        </w:rPr>
        <w:t xml:space="preserve"> document CBD/ABS/CC/2/INF/2.</w:t>
      </w:r>
    </w:p>
    <w:p w14:paraId="09873935" w14:textId="77777777" w:rsidR="0049703E" w:rsidRPr="00D412D0" w:rsidRDefault="0049703E" w:rsidP="00D412D0">
      <w:pPr>
        <w:numPr>
          <w:ilvl w:val="0"/>
          <w:numId w:val="11"/>
        </w:numPr>
        <w:spacing w:before="240" w:after="120"/>
        <w:jc w:val="center"/>
        <w:rPr>
          <w:rFonts w:cs="Times New Roman"/>
          <w:i/>
          <w:color w:val="auto"/>
          <w:lang w:val="en-GB"/>
        </w:rPr>
      </w:pPr>
      <w:r w:rsidRPr="00D412D0">
        <w:rPr>
          <w:rFonts w:cs="Times New Roman"/>
          <w:i/>
          <w:color w:val="auto"/>
          <w:lang w:val="en-GB"/>
        </w:rPr>
        <w:t>Access and Benefit-sharing Clearing-House</w:t>
      </w:r>
    </w:p>
    <w:p w14:paraId="23AA61E6" w14:textId="13333557" w:rsidR="0049703E" w:rsidRPr="00D412D0" w:rsidRDefault="00B54C38" w:rsidP="0049703E">
      <w:pPr>
        <w:numPr>
          <w:ilvl w:val="0"/>
          <w:numId w:val="1"/>
        </w:numPr>
        <w:spacing w:before="120" w:after="120"/>
        <w:rPr>
          <w:rFonts w:cs="Times New Roman"/>
          <w:color w:val="auto"/>
          <w:lang w:val="en-GB"/>
        </w:rPr>
      </w:pPr>
      <w:r w:rsidRPr="00D412D0">
        <w:rPr>
          <w:rFonts w:cs="Times New Roman"/>
          <w:color w:val="auto"/>
          <w:lang w:val="en-GB"/>
        </w:rPr>
        <w:t>The following table summariz</w:t>
      </w:r>
      <w:r w:rsidR="0049703E" w:rsidRPr="00D412D0">
        <w:rPr>
          <w:rFonts w:cs="Times New Roman"/>
          <w:color w:val="auto"/>
          <w:lang w:val="en-GB"/>
        </w:rPr>
        <w:t>es the information made available to the ABS Clearing-House by Parties and non-Parties by 22 February 2018.</w:t>
      </w:r>
    </w:p>
    <w:p w14:paraId="5A7A7E82" w14:textId="46E21A57" w:rsidR="0049703E" w:rsidRPr="00DF02C5" w:rsidRDefault="007D5F65" w:rsidP="007D5F65">
      <w:pPr>
        <w:pStyle w:val="Caption"/>
        <w:rPr>
          <w:lang w:val="en-GB"/>
        </w:rPr>
      </w:pPr>
      <w:r w:rsidRPr="00DF02C5">
        <w:rPr>
          <w:lang w:val="en-GB"/>
        </w:rPr>
        <w:t xml:space="preserve">Table </w:t>
      </w:r>
      <w:r w:rsidRPr="00DF02C5">
        <w:rPr>
          <w:lang w:val="en-GB"/>
        </w:rPr>
        <w:fldChar w:fldCharType="begin"/>
      </w:r>
      <w:r w:rsidRPr="00DF02C5">
        <w:rPr>
          <w:lang w:val="en-GB"/>
        </w:rPr>
        <w:instrText xml:space="preserve"> SEQ Table \* ARABIC </w:instrText>
      </w:r>
      <w:r w:rsidRPr="00DF02C5">
        <w:rPr>
          <w:lang w:val="en-GB"/>
        </w:rPr>
        <w:fldChar w:fldCharType="separate"/>
      </w:r>
      <w:r w:rsidRPr="00DF02C5">
        <w:rPr>
          <w:noProof/>
          <w:lang w:val="en-GB"/>
        </w:rPr>
        <w:t>1</w:t>
      </w:r>
      <w:r w:rsidRPr="00DF02C5">
        <w:rPr>
          <w:lang w:val="en-GB"/>
        </w:rPr>
        <w:fldChar w:fldCharType="end"/>
      </w:r>
      <w:r w:rsidRPr="00DF02C5">
        <w:rPr>
          <w:lang w:val="en-GB"/>
        </w:rPr>
        <w:t>:</w:t>
      </w:r>
      <w:r w:rsidR="001D57CA" w:rsidRPr="00DF02C5">
        <w:rPr>
          <w:lang w:val="en-GB"/>
        </w:rPr>
        <w:t xml:space="preserve"> </w:t>
      </w:r>
      <w:r w:rsidR="0049703E" w:rsidRPr="00DF02C5">
        <w:rPr>
          <w:lang w:val="en-GB"/>
        </w:rPr>
        <w:t xml:space="preserve">Number of national records made available in the ABS Clearing-House </w:t>
      </w:r>
      <w:r w:rsidR="001D57CA" w:rsidRPr="00DF02C5">
        <w:rPr>
          <w:lang w:val="en-GB"/>
        </w:rPr>
        <w:t>(</w:t>
      </w:r>
      <w:r w:rsidR="00577044">
        <w:rPr>
          <w:lang w:val="en-GB"/>
        </w:rPr>
        <w:t xml:space="preserve">up to </w:t>
      </w:r>
      <w:r w:rsidR="0049703E" w:rsidRPr="00DF02C5">
        <w:rPr>
          <w:lang w:val="en-GB"/>
        </w:rPr>
        <w:t>22 February 2018</w:t>
      </w:r>
      <w:r w:rsidR="001D57CA" w:rsidRPr="00DF02C5">
        <w:rPr>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2160"/>
        <w:gridCol w:w="1980"/>
        <w:gridCol w:w="2237"/>
      </w:tblGrid>
      <w:tr w:rsidR="0049703E" w:rsidRPr="00DF02C5" w14:paraId="1A5A8C59" w14:textId="77777777" w:rsidTr="00B37C87">
        <w:trPr>
          <w:cantSplit/>
          <w:trHeight w:val="560"/>
          <w:jc w:val="center"/>
        </w:trPr>
        <w:tc>
          <w:tcPr>
            <w:tcW w:w="2760" w:type="dxa"/>
            <w:shd w:val="clear" w:color="auto" w:fill="auto"/>
          </w:tcPr>
          <w:p w14:paraId="285425C8" w14:textId="77777777" w:rsidR="0049703E" w:rsidRPr="00DF02C5" w:rsidRDefault="0049703E" w:rsidP="0049703E">
            <w:pPr>
              <w:keepNext/>
              <w:keepLines/>
              <w:jc w:val="center"/>
              <w:rPr>
                <w:bCs/>
                <w:i/>
                <w:iCs/>
                <w:snapToGrid w:val="0"/>
                <w:kern w:val="22"/>
                <w:sz w:val="18"/>
                <w:szCs w:val="18"/>
                <w:lang w:val="en-GB"/>
              </w:rPr>
            </w:pPr>
            <w:r w:rsidRPr="00DF02C5">
              <w:rPr>
                <w:bCs/>
                <w:i/>
                <w:iCs/>
                <w:snapToGrid w:val="0"/>
                <w:kern w:val="22"/>
                <w:sz w:val="18"/>
                <w:szCs w:val="18"/>
                <w:lang w:val="en-GB"/>
              </w:rPr>
              <w:t>Type of information</w:t>
            </w:r>
          </w:p>
        </w:tc>
        <w:tc>
          <w:tcPr>
            <w:tcW w:w="2160" w:type="dxa"/>
            <w:shd w:val="clear" w:color="auto" w:fill="auto"/>
          </w:tcPr>
          <w:p w14:paraId="3F3A3A5B" w14:textId="77777777" w:rsidR="0049703E" w:rsidRPr="00DF02C5" w:rsidRDefault="0049703E" w:rsidP="0049703E">
            <w:pPr>
              <w:keepNext/>
              <w:keepLines/>
              <w:jc w:val="center"/>
              <w:rPr>
                <w:bCs/>
                <w:i/>
                <w:iCs/>
                <w:snapToGrid w:val="0"/>
                <w:kern w:val="22"/>
                <w:sz w:val="18"/>
                <w:szCs w:val="18"/>
                <w:lang w:val="en-GB"/>
              </w:rPr>
            </w:pPr>
            <w:r w:rsidRPr="00DF02C5">
              <w:rPr>
                <w:bCs/>
                <w:i/>
                <w:iCs/>
                <w:snapToGrid w:val="0"/>
                <w:kern w:val="22"/>
                <w:sz w:val="18"/>
                <w:szCs w:val="18"/>
                <w:lang w:val="en-GB"/>
              </w:rPr>
              <w:t>Number of records published</w:t>
            </w:r>
          </w:p>
        </w:tc>
        <w:tc>
          <w:tcPr>
            <w:tcW w:w="1980" w:type="dxa"/>
            <w:shd w:val="clear" w:color="auto" w:fill="auto"/>
          </w:tcPr>
          <w:p w14:paraId="37DD8096" w14:textId="77777777" w:rsidR="0049703E" w:rsidRPr="00DF02C5" w:rsidRDefault="0049703E" w:rsidP="0049703E">
            <w:pPr>
              <w:keepNext/>
              <w:keepLines/>
              <w:jc w:val="center"/>
              <w:rPr>
                <w:bCs/>
                <w:i/>
                <w:iCs/>
                <w:snapToGrid w:val="0"/>
                <w:kern w:val="22"/>
                <w:sz w:val="18"/>
                <w:szCs w:val="18"/>
                <w:lang w:val="en-GB"/>
              </w:rPr>
            </w:pPr>
            <w:r w:rsidRPr="00DF02C5">
              <w:rPr>
                <w:bCs/>
                <w:i/>
                <w:iCs/>
                <w:snapToGrid w:val="0"/>
                <w:kern w:val="22"/>
                <w:sz w:val="18"/>
                <w:szCs w:val="18"/>
                <w:lang w:val="en-GB"/>
              </w:rPr>
              <w:t>Number of Parties that published records</w:t>
            </w:r>
          </w:p>
        </w:tc>
        <w:tc>
          <w:tcPr>
            <w:tcW w:w="2237" w:type="dxa"/>
            <w:shd w:val="clear" w:color="auto" w:fill="auto"/>
          </w:tcPr>
          <w:p w14:paraId="479AD7ED" w14:textId="77777777" w:rsidR="0049703E" w:rsidRPr="00DF02C5" w:rsidRDefault="0049703E" w:rsidP="0049703E">
            <w:pPr>
              <w:keepNext/>
              <w:keepLines/>
              <w:jc w:val="center"/>
              <w:rPr>
                <w:bCs/>
                <w:i/>
                <w:iCs/>
                <w:snapToGrid w:val="0"/>
                <w:kern w:val="22"/>
                <w:sz w:val="18"/>
                <w:szCs w:val="18"/>
                <w:lang w:val="en-GB"/>
              </w:rPr>
            </w:pPr>
            <w:r w:rsidRPr="00DF02C5">
              <w:rPr>
                <w:bCs/>
                <w:i/>
                <w:iCs/>
                <w:snapToGrid w:val="0"/>
                <w:kern w:val="22"/>
                <w:sz w:val="18"/>
                <w:szCs w:val="18"/>
                <w:lang w:val="en-GB"/>
              </w:rPr>
              <w:t>Number of non-Parties that published records</w:t>
            </w:r>
          </w:p>
        </w:tc>
      </w:tr>
      <w:tr w:rsidR="0049703E" w:rsidRPr="00DF02C5" w14:paraId="1683DBF7" w14:textId="77777777" w:rsidTr="00B37C87">
        <w:trPr>
          <w:cantSplit/>
          <w:trHeight w:val="305"/>
          <w:jc w:val="center"/>
        </w:trPr>
        <w:tc>
          <w:tcPr>
            <w:tcW w:w="2760" w:type="dxa"/>
            <w:shd w:val="clear" w:color="auto" w:fill="auto"/>
          </w:tcPr>
          <w:p w14:paraId="1EC6DF5E" w14:textId="77777777" w:rsidR="0049703E" w:rsidRPr="00DF02C5" w:rsidRDefault="0049703E" w:rsidP="0049703E">
            <w:pPr>
              <w:keepNext/>
              <w:keepLines/>
              <w:rPr>
                <w:bCs/>
                <w:i/>
                <w:iCs/>
                <w:snapToGrid w:val="0"/>
                <w:kern w:val="22"/>
                <w:sz w:val="18"/>
                <w:szCs w:val="18"/>
                <w:lang w:val="en-GB"/>
              </w:rPr>
            </w:pPr>
            <w:r w:rsidRPr="00DF02C5">
              <w:rPr>
                <w:snapToGrid w:val="0"/>
                <w:kern w:val="22"/>
                <w:sz w:val="18"/>
                <w:szCs w:val="18"/>
                <w:lang w:val="en-GB"/>
              </w:rPr>
              <w:t>National Focal Point</w:t>
            </w:r>
          </w:p>
        </w:tc>
        <w:tc>
          <w:tcPr>
            <w:tcW w:w="2160" w:type="dxa"/>
            <w:shd w:val="clear" w:color="auto" w:fill="auto"/>
          </w:tcPr>
          <w:p w14:paraId="4E73D2FE" w14:textId="77777777" w:rsidR="0049703E" w:rsidRPr="00DF02C5" w:rsidRDefault="0049703E" w:rsidP="0049703E">
            <w:pPr>
              <w:keepNext/>
              <w:keepLines/>
              <w:jc w:val="center"/>
              <w:rPr>
                <w:bCs/>
                <w:iCs/>
                <w:snapToGrid w:val="0"/>
                <w:kern w:val="22"/>
                <w:sz w:val="18"/>
                <w:szCs w:val="18"/>
                <w:lang w:val="en-GB"/>
              </w:rPr>
            </w:pPr>
            <w:r w:rsidRPr="00DF02C5">
              <w:rPr>
                <w:bCs/>
                <w:iCs/>
                <w:snapToGrid w:val="0"/>
                <w:kern w:val="22"/>
                <w:sz w:val="18"/>
                <w:szCs w:val="18"/>
                <w:lang w:val="en-GB"/>
              </w:rPr>
              <w:t>176</w:t>
            </w:r>
          </w:p>
        </w:tc>
        <w:tc>
          <w:tcPr>
            <w:tcW w:w="1980" w:type="dxa"/>
            <w:shd w:val="clear" w:color="auto" w:fill="auto"/>
          </w:tcPr>
          <w:p w14:paraId="4C723CCE" w14:textId="77777777" w:rsidR="0049703E" w:rsidRPr="00DF02C5" w:rsidRDefault="0049703E" w:rsidP="0049703E">
            <w:pPr>
              <w:keepNext/>
              <w:keepLines/>
              <w:jc w:val="center"/>
              <w:rPr>
                <w:bCs/>
                <w:iCs/>
                <w:snapToGrid w:val="0"/>
                <w:kern w:val="22"/>
                <w:sz w:val="18"/>
                <w:szCs w:val="18"/>
                <w:lang w:val="en-GB"/>
              </w:rPr>
            </w:pPr>
            <w:r w:rsidRPr="00DF02C5">
              <w:rPr>
                <w:bCs/>
                <w:iCs/>
                <w:snapToGrid w:val="0"/>
                <w:kern w:val="22"/>
                <w:sz w:val="18"/>
                <w:szCs w:val="18"/>
                <w:lang w:val="en-GB"/>
              </w:rPr>
              <w:t>103</w:t>
            </w:r>
          </w:p>
        </w:tc>
        <w:tc>
          <w:tcPr>
            <w:tcW w:w="2237" w:type="dxa"/>
            <w:shd w:val="clear" w:color="auto" w:fill="auto"/>
          </w:tcPr>
          <w:p w14:paraId="55937F34" w14:textId="77777777" w:rsidR="0049703E" w:rsidRPr="00DF02C5" w:rsidRDefault="0049703E" w:rsidP="0049703E">
            <w:pPr>
              <w:keepNext/>
              <w:keepLines/>
              <w:jc w:val="center"/>
              <w:rPr>
                <w:bCs/>
                <w:iCs/>
                <w:snapToGrid w:val="0"/>
                <w:kern w:val="22"/>
                <w:sz w:val="18"/>
                <w:szCs w:val="18"/>
                <w:lang w:val="en-GB"/>
              </w:rPr>
            </w:pPr>
            <w:r w:rsidRPr="00DF02C5">
              <w:rPr>
                <w:bCs/>
                <w:iCs/>
                <w:snapToGrid w:val="0"/>
                <w:kern w:val="22"/>
                <w:sz w:val="18"/>
                <w:szCs w:val="18"/>
                <w:lang w:val="en-GB"/>
              </w:rPr>
              <w:t>67</w:t>
            </w:r>
          </w:p>
        </w:tc>
      </w:tr>
      <w:tr w:rsidR="0049703E" w:rsidRPr="00DF02C5" w14:paraId="13FDC1DE" w14:textId="77777777" w:rsidTr="00B37C87">
        <w:trPr>
          <w:cantSplit/>
          <w:jc w:val="center"/>
        </w:trPr>
        <w:tc>
          <w:tcPr>
            <w:tcW w:w="2760" w:type="dxa"/>
            <w:shd w:val="clear" w:color="auto" w:fill="auto"/>
          </w:tcPr>
          <w:p w14:paraId="5B9A3FB0" w14:textId="77777777" w:rsidR="0049703E" w:rsidRPr="00DF02C5" w:rsidRDefault="0049703E" w:rsidP="0049703E">
            <w:pPr>
              <w:keepNext/>
              <w:keepLines/>
              <w:rPr>
                <w:b/>
                <w:bCs/>
                <w:snapToGrid w:val="0"/>
                <w:kern w:val="22"/>
                <w:sz w:val="18"/>
                <w:szCs w:val="18"/>
                <w:lang w:val="en-GB"/>
              </w:rPr>
            </w:pPr>
            <w:r w:rsidRPr="00DF02C5">
              <w:rPr>
                <w:snapToGrid w:val="0"/>
                <w:kern w:val="22"/>
                <w:sz w:val="18"/>
                <w:szCs w:val="18"/>
                <w:lang w:val="en-GB"/>
              </w:rPr>
              <w:t>Competent national authorities</w:t>
            </w:r>
          </w:p>
        </w:tc>
        <w:tc>
          <w:tcPr>
            <w:tcW w:w="2160" w:type="dxa"/>
            <w:shd w:val="clear" w:color="auto" w:fill="auto"/>
            <w:vAlign w:val="bottom"/>
          </w:tcPr>
          <w:p w14:paraId="478A1C2D" w14:textId="77777777" w:rsidR="0049703E" w:rsidRPr="00DF02C5" w:rsidRDefault="0049703E" w:rsidP="0049703E">
            <w:pPr>
              <w:keepNext/>
              <w:keepLines/>
              <w:jc w:val="center"/>
              <w:rPr>
                <w:snapToGrid w:val="0"/>
                <w:kern w:val="22"/>
                <w:sz w:val="18"/>
                <w:szCs w:val="18"/>
                <w:lang w:val="en-GB"/>
              </w:rPr>
            </w:pPr>
            <w:r w:rsidRPr="00DF02C5">
              <w:rPr>
                <w:snapToGrid w:val="0"/>
                <w:kern w:val="22"/>
                <w:sz w:val="18"/>
                <w:szCs w:val="18"/>
                <w:lang w:val="en-GB"/>
              </w:rPr>
              <w:t>68</w:t>
            </w:r>
          </w:p>
        </w:tc>
        <w:tc>
          <w:tcPr>
            <w:tcW w:w="1980" w:type="dxa"/>
            <w:shd w:val="clear" w:color="auto" w:fill="auto"/>
            <w:vAlign w:val="bottom"/>
          </w:tcPr>
          <w:p w14:paraId="1867D101" w14:textId="77777777" w:rsidR="0049703E" w:rsidRPr="00DF02C5" w:rsidRDefault="0049703E" w:rsidP="0049703E">
            <w:pPr>
              <w:keepNext/>
              <w:keepLines/>
              <w:jc w:val="center"/>
              <w:rPr>
                <w:snapToGrid w:val="0"/>
                <w:kern w:val="22"/>
                <w:sz w:val="18"/>
                <w:szCs w:val="18"/>
                <w:lang w:val="en-GB"/>
              </w:rPr>
            </w:pPr>
            <w:r w:rsidRPr="00DF02C5">
              <w:rPr>
                <w:snapToGrid w:val="0"/>
                <w:kern w:val="22"/>
                <w:sz w:val="18"/>
                <w:szCs w:val="18"/>
                <w:lang w:val="en-GB"/>
              </w:rPr>
              <w:t>45</w:t>
            </w:r>
          </w:p>
        </w:tc>
        <w:tc>
          <w:tcPr>
            <w:tcW w:w="2237" w:type="dxa"/>
            <w:shd w:val="clear" w:color="auto" w:fill="auto"/>
            <w:vAlign w:val="bottom"/>
          </w:tcPr>
          <w:p w14:paraId="61C9C0FE" w14:textId="77777777" w:rsidR="0049703E" w:rsidRPr="00DF02C5" w:rsidRDefault="0049703E" w:rsidP="0049703E">
            <w:pPr>
              <w:keepNext/>
              <w:keepLines/>
              <w:jc w:val="center"/>
              <w:rPr>
                <w:snapToGrid w:val="0"/>
                <w:kern w:val="22"/>
                <w:sz w:val="18"/>
                <w:szCs w:val="18"/>
                <w:lang w:val="en-GB"/>
              </w:rPr>
            </w:pPr>
            <w:r w:rsidRPr="00DF02C5">
              <w:rPr>
                <w:snapToGrid w:val="0"/>
                <w:kern w:val="22"/>
                <w:sz w:val="18"/>
                <w:szCs w:val="18"/>
                <w:lang w:val="en-GB"/>
              </w:rPr>
              <w:t>7</w:t>
            </w:r>
          </w:p>
        </w:tc>
      </w:tr>
      <w:tr w:rsidR="0049703E" w:rsidRPr="00DF02C5" w14:paraId="4B769732" w14:textId="77777777" w:rsidTr="00B37C87">
        <w:trPr>
          <w:cantSplit/>
          <w:jc w:val="center"/>
        </w:trPr>
        <w:tc>
          <w:tcPr>
            <w:tcW w:w="2760" w:type="dxa"/>
            <w:shd w:val="clear" w:color="auto" w:fill="auto"/>
          </w:tcPr>
          <w:p w14:paraId="09032337" w14:textId="77777777" w:rsidR="0049703E" w:rsidRPr="00DF02C5" w:rsidRDefault="0049703E" w:rsidP="0049703E">
            <w:pPr>
              <w:keepNext/>
              <w:keepLines/>
              <w:rPr>
                <w:b/>
                <w:bCs/>
                <w:snapToGrid w:val="0"/>
                <w:kern w:val="22"/>
                <w:sz w:val="18"/>
                <w:szCs w:val="18"/>
                <w:lang w:val="en-GB"/>
              </w:rPr>
            </w:pPr>
            <w:r w:rsidRPr="00DF02C5">
              <w:rPr>
                <w:snapToGrid w:val="0"/>
                <w:kern w:val="22"/>
                <w:sz w:val="18"/>
                <w:szCs w:val="18"/>
                <w:lang w:val="en-GB"/>
              </w:rPr>
              <w:t>ABS measures</w:t>
            </w:r>
          </w:p>
        </w:tc>
        <w:tc>
          <w:tcPr>
            <w:tcW w:w="2160" w:type="dxa"/>
            <w:shd w:val="clear" w:color="auto" w:fill="auto"/>
            <w:vAlign w:val="bottom"/>
          </w:tcPr>
          <w:p w14:paraId="586AA5FB" w14:textId="77777777" w:rsidR="0049703E" w:rsidRPr="00DF02C5" w:rsidRDefault="0049703E" w:rsidP="0049703E">
            <w:pPr>
              <w:keepNext/>
              <w:keepLines/>
              <w:jc w:val="center"/>
              <w:rPr>
                <w:snapToGrid w:val="0"/>
                <w:kern w:val="22"/>
                <w:sz w:val="18"/>
                <w:szCs w:val="18"/>
                <w:lang w:val="en-GB"/>
              </w:rPr>
            </w:pPr>
            <w:r w:rsidRPr="00DF02C5">
              <w:rPr>
                <w:snapToGrid w:val="0"/>
                <w:kern w:val="22"/>
                <w:sz w:val="18"/>
                <w:szCs w:val="18"/>
                <w:lang w:val="en-GB"/>
              </w:rPr>
              <w:t>205</w:t>
            </w:r>
          </w:p>
        </w:tc>
        <w:tc>
          <w:tcPr>
            <w:tcW w:w="1980" w:type="dxa"/>
            <w:shd w:val="clear" w:color="auto" w:fill="auto"/>
            <w:vAlign w:val="bottom"/>
          </w:tcPr>
          <w:p w14:paraId="0E6E8672" w14:textId="77777777" w:rsidR="0049703E" w:rsidRPr="00DF02C5" w:rsidRDefault="0049703E" w:rsidP="0049703E">
            <w:pPr>
              <w:keepNext/>
              <w:keepLines/>
              <w:jc w:val="center"/>
              <w:rPr>
                <w:snapToGrid w:val="0"/>
                <w:kern w:val="22"/>
                <w:sz w:val="18"/>
                <w:szCs w:val="18"/>
                <w:lang w:val="en-GB"/>
              </w:rPr>
            </w:pPr>
            <w:r w:rsidRPr="00DF02C5">
              <w:rPr>
                <w:snapToGrid w:val="0"/>
                <w:kern w:val="22"/>
                <w:sz w:val="18"/>
                <w:szCs w:val="18"/>
                <w:lang w:val="en-GB"/>
              </w:rPr>
              <w:t>45</w:t>
            </w:r>
          </w:p>
        </w:tc>
        <w:tc>
          <w:tcPr>
            <w:tcW w:w="2237" w:type="dxa"/>
            <w:shd w:val="clear" w:color="auto" w:fill="auto"/>
            <w:vAlign w:val="bottom"/>
          </w:tcPr>
          <w:p w14:paraId="41288B58" w14:textId="77777777" w:rsidR="0049703E" w:rsidRPr="00DF02C5" w:rsidRDefault="0049703E" w:rsidP="0049703E">
            <w:pPr>
              <w:keepNext/>
              <w:keepLines/>
              <w:jc w:val="center"/>
              <w:rPr>
                <w:snapToGrid w:val="0"/>
                <w:kern w:val="22"/>
                <w:sz w:val="18"/>
                <w:szCs w:val="18"/>
                <w:lang w:val="en-GB"/>
              </w:rPr>
            </w:pPr>
            <w:r w:rsidRPr="00DF02C5">
              <w:rPr>
                <w:snapToGrid w:val="0"/>
                <w:kern w:val="22"/>
                <w:sz w:val="18"/>
                <w:szCs w:val="18"/>
                <w:lang w:val="en-GB"/>
              </w:rPr>
              <w:t>5</w:t>
            </w:r>
          </w:p>
        </w:tc>
      </w:tr>
      <w:tr w:rsidR="0049703E" w:rsidRPr="00DF02C5" w14:paraId="1EF4CEAE" w14:textId="77777777" w:rsidTr="00B37C87">
        <w:trPr>
          <w:cantSplit/>
          <w:jc w:val="center"/>
        </w:trPr>
        <w:tc>
          <w:tcPr>
            <w:tcW w:w="2760" w:type="dxa"/>
            <w:shd w:val="clear" w:color="auto" w:fill="auto"/>
          </w:tcPr>
          <w:p w14:paraId="1F93260B" w14:textId="77777777" w:rsidR="0049703E" w:rsidRPr="00DF02C5" w:rsidRDefault="0049703E" w:rsidP="0049703E">
            <w:pPr>
              <w:keepNext/>
              <w:keepLines/>
              <w:rPr>
                <w:b/>
                <w:bCs/>
                <w:snapToGrid w:val="0"/>
                <w:kern w:val="22"/>
                <w:sz w:val="18"/>
                <w:szCs w:val="18"/>
                <w:lang w:val="en-GB"/>
              </w:rPr>
            </w:pPr>
            <w:r w:rsidRPr="00DF02C5">
              <w:rPr>
                <w:snapToGrid w:val="0"/>
                <w:kern w:val="22"/>
                <w:sz w:val="18"/>
                <w:szCs w:val="18"/>
                <w:lang w:val="en-GB"/>
              </w:rPr>
              <w:t>Checkpoints</w:t>
            </w:r>
          </w:p>
        </w:tc>
        <w:tc>
          <w:tcPr>
            <w:tcW w:w="2160" w:type="dxa"/>
            <w:shd w:val="clear" w:color="auto" w:fill="auto"/>
            <w:vAlign w:val="bottom"/>
          </w:tcPr>
          <w:p w14:paraId="6B273568" w14:textId="77777777" w:rsidR="0049703E" w:rsidRPr="00DF02C5" w:rsidRDefault="0049703E" w:rsidP="0049703E">
            <w:pPr>
              <w:keepNext/>
              <w:keepLines/>
              <w:jc w:val="center"/>
              <w:rPr>
                <w:snapToGrid w:val="0"/>
                <w:kern w:val="22"/>
                <w:sz w:val="18"/>
                <w:szCs w:val="18"/>
                <w:lang w:val="en-GB"/>
              </w:rPr>
            </w:pPr>
            <w:r w:rsidRPr="00DF02C5">
              <w:rPr>
                <w:snapToGrid w:val="0"/>
                <w:kern w:val="22"/>
                <w:sz w:val="18"/>
                <w:szCs w:val="18"/>
                <w:lang w:val="en-GB"/>
              </w:rPr>
              <w:t>45</w:t>
            </w:r>
          </w:p>
        </w:tc>
        <w:tc>
          <w:tcPr>
            <w:tcW w:w="1980" w:type="dxa"/>
            <w:shd w:val="clear" w:color="auto" w:fill="auto"/>
            <w:vAlign w:val="bottom"/>
          </w:tcPr>
          <w:p w14:paraId="5A38C693" w14:textId="77777777" w:rsidR="0049703E" w:rsidRPr="00DF02C5" w:rsidRDefault="0049703E" w:rsidP="0049703E">
            <w:pPr>
              <w:keepNext/>
              <w:keepLines/>
              <w:jc w:val="center"/>
              <w:rPr>
                <w:snapToGrid w:val="0"/>
                <w:kern w:val="22"/>
                <w:sz w:val="18"/>
                <w:szCs w:val="18"/>
                <w:lang w:val="en-GB"/>
              </w:rPr>
            </w:pPr>
            <w:r w:rsidRPr="00DF02C5">
              <w:rPr>
                <w:snapToGrid w:val="0"/>
                <w:kern w:val="22"/>
                <w:sz w:val="18"/>
                <w:szCs w:val="18"/>
                <w:lang w:val="en-GB"/>
              </w:rPr>
              <w:t>20</w:t>
            </w:r>
          </w:p>
        </w:tc>
        <w:tc>
          <w:tcPr>
            <w:tcW w:w="2237" w:type="dxa"/>
            <w:shd w:val="clear" w:color="auto" w:fill="auto"/>
            <w:vAlign w:val="bottom"/>
          </w:tcPr>
          <w:p w14:paraId="4F26CF8A" w14:textId="77777777" w:rsidR="0049703E" w:rsidRPr="00DF02C5" w:rsidRDefault="0049703E" w:rsidP="0049703E">
            <w:pPr>
              <w:keepNext/>
              <w:keepLines/>
              <w:jc w:val="center"/>
              <w:rPr>
                <w:snapToGrid w:val="0"/>
                <w:kern w:val="22"/>
                <w:sz w:val="18"/>
                <w:szCs w:val="18"/>
                <w:lang w:val="en-GB"/>
              </w:rPr>
            </w:pPr>
            <w:r w:rsidRPr="00DF02C5">
              <w:rPr>
                <w:snapToGrid w:val="0"/>
                <w:kern w:val="22"/>
                <w:sz w:val="18"/>
                <w:szCs w:val="18"/>
                <w:lang w:val="en-GB"/>
              </w:rPr>
              <w:t>1</w:t>
            </w:r>
          </w:p>
        </w:tc>
      </w:tr>
      <w:tr w:rsidR="0049703E" w:rsidRPr="00DF02C5" w14:paraId="6E8B85C9" w14:textId="77777777" w:rsidTr="00B37C87">
        <w:trPr>
          <w:cantSplit/>
          <w:jc w:val="center"/>
        </w:trPr>
        <w:tc>
          <w:tcPr>
            <w:tcW w:w="2760" w:type="dxa"/>
            <w:shd w:val="clear" w:color="auto" w:fill="auto"/>
          </w:tcPr>
          <w:p w14:paraId="30A9B21E" w14:textId="77777777" w:rsidR="0049703E" w:rsidRPr="00DF02C5" w:rsidRDefault="0049703E" w:rsidP="00FD611D">
            <w:pPr>
              <w:keepNext/>
              <w:keepLines/>
              <w:jc w:val="left"/>
              <w:rPr>
                <w:b/>
                <w:bCs/>
                <w:snapToGrid w:val="0"/>
                <w:kern w:val="22"/>
                <w:sz w:val="18"/>
                <w:szCs w:val="18"/>
                <w:lang w:val="en-GB"/>
              </w:rPr>
            </w:pPr>
            <w:r w:rsidRPr="00DF02C5">
              <w:rPr>
                <w:snapToGrid w:val="0"/>
                <w:kern w:val="22"/>
                <w:sz w:val="18"/>
                <w:szCs w:val="18"/>
                <w:lang w:val="en-GB"/>
              </w:rPr>
              <w:t>Permits or their equivalent constituting an internationally recognized certificate of compliance</w:t>
            </w:r>
          </w:p>
        </w:tc>
        <w:tc>
          <w:tcPr>
            <w:tcW w:w="2160" w:type="dxa"/>
            <w:shd w:val="clear" w:color="auto" w:fill="auto"/>
            <w:vAlign w:val="bottom"/>
          </w:tcPr>
          <w:p w14:paraId="7922F89E" w14:textId="77777777" w:rsidR="0049703E" w:rsidRPr="00DF02C5" w:rsidRDefault="0049703E" w:rsidP="0049703E">
            <w:pPr>
              <w:keepNext/>
              <w:keepLines/>
              <w:jc w:val="center"/>
              <w:rPr>
                <w:snapToGrid w:val="0"/>
                <w:kern w:val="22"/>
                <w:sz w:val="18"/>
                <w:szCs w:val="18"/>
                <w:lang w:val="en-GB"/>
              </w:rPr>
            </w:pPr>
            <w:r w:rsidRPr="00DF02C5">
              <w:rPr>
                <w:snapToGrid w:val="0"/>
                <w:kern w:val="22"/>
                <w:sz w:val="18"/>
                <w:szCs w:val="18"/>
                <w:lang w:val="en-GB"/>
              </w:rPr>
              <w:t>146</w:t>
            </w:r>
          </w:p>
        </w:tc>
        <w:tc>
          <w:tcPr>
            <w:tcW w:w="1980" w:type="dxa"/>
            <w:shd w:val="clear" w:color="auto" w:fill="auto"/>
            <w:vAlign w:val="bottom"/>
          </w:tcPr>
          <w:p w14:paraId="4DA8CFCA" w14:textId="77777777" w:rsidR="0049703E" w:rsidRPr="00DF02C5" w:rsidRDefault="0049703E" w:rsidP="0049703E">
            <w:pPr>
              <w:keepNext/>
              <w:keepLines/>
              <w:jc w:val="center"/>
              <w:rPr>
                <w:snapToGrid w:val="0"/>
                <w:kern w:val="22"/>
                <w:sz w:val="18"/>
                <w:szCs w:val="18"/>
                <w:lang w:val="en-GB"/>
              </w:rPr>
            </w:pPr>
            <w:r w:rsidRPr="00DF02C5">
              <w:rPr>
                <w:snapToGrid w:val="0"/>
                <w:kern w:val="22"/>
                <w:sz w:val="18"/>
                <w:szCs w:val="18"/>
                <w:lang w:val="en-GB"/>
              </w:rPr>
              <w:t>12</w:t>
            </w:r>
          </w:p>
        </w:tc>
        <w:tc>
          <w:tcPr>
            <w:tcW w:w="2237" w:type="dxa"/>
            <w:shd w:val="clear" w:color="auto" w:fill="auto"/>
            <w:vAlign w:val="bottom"/>
          </w:tcPr>
          <w:p w14:paraId="6038651A" w14:textId="77777777" w:rsidR="0049703E" w:rsidRPr="00DF02C5" w:rsidRDefault="0049703E" w:rsidP="0049703E">
            <w:pPr>
              <w:keepNext/>
              <w:keepLines/>
              <w:jc w:val="center"/>
              <w:rPr>
                <w:snapToGrid w:val="0"/>
                <w:kern w:val="22"/>
                <w:sz w:val="18"/>
                <w:szCs w:val="18"/>
                <w:lang w:val="en-GB"/>
              </w:rPr>
            </w:pPr>
            <w:r w:rsidRPr="00DF02C5">
              <w:rPr>
                <w:snapToGrid w:val="0"/>
                <w:kern w:val="22"/>
                <w:sz w:val="18"/>
                <w:szCs w:val="18"/>
                <w:lang w:val="en-GB"/>
              </w:rPr>
              <w:t>0</w:t>
            </w:r>
          </w:p>
        </w:tc>
      </w:tr>
      <w:tr w:rsidR="0049703E" w:rsidRPr="00DF02C5" w14:paraId="11BE40D5" w14:textId="77777777" w:rsidTr="00B37C87">
        <w:trPr>
          <w:cantSplit/>
          <w:jc w:val="center"/>
        </w:trPr>
        <w:tc>
          <w:tcPr>
            <w:tcW w:w="2760" w:type="dxa"/>
            <w:shd w:val="clear" w:color="auto" w:fill="auto"/>
          </w:tcPr>
          <w:p w14:paraId="79986D12" w14:textId="77777777" w:rsidR="0049703E" w:rsidRPr="00DF02C5" w:rsidRDefault="0049703E" w:rsidP="0049703E">
            <w:pPr>
              <w:keepNext/>
              <w:keepLines/>
              <w:rPr>
                <w:snapToGrid w:val="0"/>
                <w:kern w:val="22"/>
                <w:sz w:val="18"/>
                <w:szCs w:val="18"/>
                <w:lang w:val="en-GB"/>
              </w:rPr>
            </w:pPr>
            <w:r w:rsidRPr="00DF02C5">
              <w:rPr>
                <w:snapToGrid w:val="0"/>
                <w:kern w:val="22"/>
                <w:sz w:val="18"/>
                <w:szCs w:val="18"/>
                <w:lang w:val="en-GB"/>
              </w:rPr>
              <w:t>Checkpoint communiqu</w:t>
            </w:r>
            <w:r w:rsidRPr="00FD611D">
              <w:rPr>
                <w:rFonts w:hAnsi="Times New Roman" w:cs="Times New Roman"/>
                <w:snapToGrid w:val="0"/>
                <w:kern w:val="22"/>
                <w:sz w:val="18"/>
                <w:szCs w:val="18"/>
                <w:lang w:val="en-GB"/>
              </w:rPr>
              <w:t>é</w:t>
            </w:r>
            <w:r w:rsidRPr="00DF02C5">
              <w:rPr>
                <w:snapToGrid w:val="0"/>
                <w:kern w:val="22"/>
                <w:sz w:val="18"/>
                <w:szCs w:val="18"/>
                <w:lang w:val="en-GB"/>
              </w:rPr>
              <w:t>s</w:t>
            </w:r>
          </w:p>
        </w:tc>
        <w:tc>
          <w:tcPr>
            <w:tcW w:w="2160" w:type="dxa"/>
            <w:shd w:val="clear" w:color="auto" w:fill="auto"/>
            <w:vAlign w:val="bottom"/>
          </w:tcPr>
          <w:p w14:paraId="679D51E2" w14:textId="77777777" w:rsidR="0049703E" w:rsidRPr="00DF02C5" w:rsidRDefault="0049703E" w:rsidP="0049703E">
            <w:pPr>
              <w:keepNext/>
              <w:keepLines/>
              <w:jc w:val="center"/>
              <w:rPr>
                <w:snapToGrid w:val="0"/>
                <w:kern w:val="22"/>
                <w:sz w:val="18"/>
                <w:szCs w:val="18"/>
                <w:lang w:val="en-GB"/>
              </w:rPr>
            </w:pPr>
            <w:r w:rsidRPr="00DF02C5">
              <w:rPr>
                <w:snapToGrid w:val="0"/>
                <w:kern w:val="22"/>
                <w:sz w:val="18"/>
                <w:szCs w:val="18"/>
                <w:lang w:val="en-GB"/>
              </w:rPr>
              <w:t>0</w:t>
            </w:r>
          </w:p>
        </w:tc>
        <w:tc>
          <w:tcPr>
            <w:tcW w:w="1980" w:type="dxa"/>
            <w:shd w:val="clear" w:color="auto" w:fill="auto"/>
            <w:vAlign w:val="bottom"/>
          </w:tcPr>
          <w:p w14:paraId="195B3F2B" w14:textId="77777777" w:rsidR="0049703E" w:rsidRPr="00DF02C5" w:rsidRDefault="0049703E" w:rsidP="0049703E">
            <w:pPr>
              <w:keepNext/>
              <w:keepLines/>
              <w:jc w:val="center"/>
              <w:rPr>
                <w:snapToGrid w:val="0"/>
                <w:kern w:val="22"/>
                <w:sz w:val="18"/>
                <w:szCs w:val="18"/>
                <w:lang w:val="en-GB"/>
              </w:rPr>
            </w:pPr>
            <w:r w:rsidRPr="00DF02C5">
              <w:rPr>
                <w:snapToGrid w:val="0"/>
                <w:kern w:val="22"/>
                <w:sz w:val="18"/>
                <w:szCs w:val="18"/>
                <w:lang w:val="en-GB"/>
              </w:rPr>
              <w:t>0</w:t>
            </w:r>
          </w:p>
        </w:tc>
        <w:tc>
          <w:tcPr>
            <w:tcW w:w="2237" w:type="dxa"/>
            <w:shd w:val="clear" w:color="auto" w:fill="auto"/>
            <w:vAlign w:val="bottom"/>
          </w:tcPr>
          <w:p w14:paraId="5C9315F5" w14:textId="77777777" w:rsidR="0049703E" w:rsidRPr="00DF02C5" w:rsidRDefault="0049703E" w:rsidP="0049703E">
            <w:pPr>
              <w:keepNext/>
              <w:keepLines/>
              <w:jc w:val="center"/>
              <w:rPr>
                <w:snapToGrid w:val="0"/>
                <w:kern w:val="22"/>
                <w:sz w:val="18"/>
                <w:szCs w:val="18"/>
                <w:lang w:val="en-GB"/>
              </w:rPr>
            </w:pPr>
            <w:r w:rsidRPr="00DF02C5">
              <w:rPr>
                <w:snapToGrid w:val="0"/>
                <w:kern w:val="22"/>
                <w:sz w:val="18"/>
                <w:szCs w:val="18"/>
                <w:lang w:val="en-GB"/>
              </w:rPr>
              <w:t>0</w:t>
            </w:r>
          </w:p>
        </w:tc>
      </w:tr>
    </w:tbl>
    <w:p w14:paraId="4AC9E346" w14:textId="5F9CFDA6" w:rsidR="0049703E" w:rsidRPr="00DF02C5" w:rsidRDefault="0049703E" w:rsidP="0049703E">
      <w:pPr>
        <w:numPr>
          <w:ilvl w:val="0"/>
          <w:numId w:val="1"/>
        </w:numPr>
        <w:spacing w:before="120" w:after="120"/>
        <w:rPr>
          <w:rFonts w:cs="Times New Roman"/>
          <w:color w:val="auto"/>
          <w:lang w:val="en-GB"/>
        </w:rPr>
      </w:pPr>
      <w:r w:rsidRPr="00DF02C5">
        <w:rPr>
          <w:rFonts w:hAnsi="Times New Roman" w:cs="Times New Roman"/>
          <w:snapToGrid w:val="0"/>
          <w:kern w:val="22"/>
          <w:lang w:val="en-GB"/>
        </w:rPr>
        <w:t xml:space="preserve">This information has been considered in the analysis of the first part of the interim national reports </w:t>
      </w:r>
      <w:r w:rsidR="00B80AF5">
        <w:rPr>
          <w:rFonts w:hAnsi="Times New Roman" w:cs="Times New Roman"/>
          <w:snapToGrid w:val="0"/>
          <w:kern w:val="22"/>
          <w:lang w:val="en-GB"/>
        </w:rPr>
        <w:t>en</w:t>
      </w:r>
      <w:r w:rsidRPr="00DF02C5">
        <w:rPr>
          <w:rFonts w:hAnsi="Times New Roman" w:cs="Times New Roman"/>
          <w:snapToGrid w:val="0"/>
          <w:kern w:val="22"/>
          <w:lang w:val="en-GB"/>
        </w:rPr>
        <w:t xml:space="preserve">titled “Institutional structures for the implementation of the Protocol” (section III, A below) which </w:t>
      </w:r>
      <w:r w:rsidR="009934D4" w:rsidRPr="00DF02C5">
        <w:rPr>
          <w:rFonts w:hAnsi="Times New Roman" w:cs="Times New Roman"/>
          <w:snapToGrid w:val="0"/>
          <w:kern w:val="22"/>
          <w:lang w:val="en-GB"/>
        </w:rPr>
        <w:t>takes into account the information published i</w:t>
      </w:r>
      <w:r w:rsidRPr="00DF02C5">
        <w:rPr>
          <w:rFonts w:hAnsi="Times New Roman" w:cs="Times New Roman"/>
          <w:snapToGrid w:val="0"/>
          <w:kern w:val="22"/>
          <w:lang w:val="en-GB"/>
        </w:rPr>
        <w:t>n the ABS Clearing-House and information provided in the interim national reports on establishment of ABS measures, national focal points, competent national authorities, checkpoints and the constitu</w:t>
      </w:r>
      <w:r w:rsidR="00B54C38">
        <w:rPr>
          <w:rFonts w:hAnsi="Times New Roman" w:cs="Times New Roman"/>
          <w:snapToGrid w:val="0"/>
          <w:kern w:val="22"/>
          <w:lang w:val="en-GB"/>
        </w:rPr>
        <w:t>tion of internationally recogniz</w:t>
      </w:r>
      <w:r w:rsidRPr="00DF02C5">
        <w:rPr>
          <w:rFonts w:hAnsi="Times New Roman" w:cs="Times New Roman"/>
          <w:snapToGrid w:val="0"/>
          <w:kern w:val="22"/>
          <w:lang w:val="en-GB"/>
        </w:rPr>
        <w:t xml:space="preserve">ed certificates of compliance.  </w:t>
      </w:r>
    </w:p>
    <w:p w14:paraId="3E20E19A" w14:textId="56FCAA27" w:rsidR="0049703E" w:rsidRPr="00DF02C5" w:rsidRDefault="0049703E" w:rsidP="0049703E">
      <w:pPr>
        <w:numPr>
          <w:ilvl w:val="0"/>
          <w:numId w:val="1"/>
        </w:numPr>
        <w:spacing w:before="120" w:after="120"/>
        <w:rPr>
          <w:rFonts w:hAnsi="Times New Roman" w:cs="Times New Roman"/>
          <w:snapToGrid w:val="0"/>
          <w:kern w:val="22"/>
          <w:lang w:val="en-GB"/>
        </w:rPr>
      </w:pPr>
      <w:r w:rsidRPr="00DF02C5">
        <w:rPr>
          <w:rFonts w:hAnsi="Times New Roman" w:cs="Times New Roman"/>
          <w:snapToGrid w:val="0"/>
          <w:kern w:val="22"/>
          <w:lang w:val="en-GB"/>
        </w:rPr>
        <w:t>In cases where a country has published one of the national records mentioned above but has not included this information in their interim national report, the informatio</w:t>
      </w:r>
      <w:r w:rsidR="00FD611D">
        <w:rPr>
          <w:rFonts w:hAnsi="Times New Roman" w:cs="Times New Roman"/>
          <w:snapToGrid w:val="0"/>
          <w:kern w:val="22"/>
          <w:lang w:val="en-GB"/>
        </w:rPr>
        <w:t>n available in the ABS Clearing</w:t>
      </w:r>
      <w:r w:rsidR="00FD611D">
        <w:rPr>
          <w:rFonts w:hAnsi="Times New Roman" w:cs="Times New Roman"/>
          <w:snapToGrid w:val="0"/>
          <w:kern w:val="22"/>
          <w:lang w:val="en-GB"/>
        </w:rPr>
        <w:noBreakHyphen/>
      </w:r>
      <w:r w:rsidRPr="00DF02C5">
        <w:rPr>
          <w:rFonts w:hAnsi="Times New Roman" w:cs="Times New Roman"/>
          <w:snapToGrid w:val="0"/>
          <w:kern w:val="22"/>
          <w:lang w:val="en-GB"/>
        </w:rPr>
        <w:t xml:space="preserve">House has been used. The analysis also identifies information mentioned in the report which has not yet been published in the ABS Clearing-House.  </w:t>
      </w:r>
    </w:p>
    <w:p w14:paraId="5811F94B" w14:textId="34E85F62" w:rsidR="00082BF4" w:rsidRPr="00D412D0" w:rsidRDefault="00082BF4" w:rsidP="00D412D0">
      <w:pPr>
        <w:numPr>
          <w:ilvl w:val="0"/>
          <w:numId w:val="11"/>
        </w:numPr>
        <w:spacing w:before="240" w:after="120"/>
        <w:jc w:val="center"/>
        <w:rPr>
          <w:rFonts w:cs="Times New Roman"/>
          <w:i/>
          <w:lang w:val="en-GB"/>
        </w:rPr>
      </w:pPr>
      <w:r w:rsidRPr="00D412D0">
        <w:rPr>
          <w:rFonts w:cs="Times New Roman"/>
          <w:i/>
          <w:lang w:val="en-GB"/>
        </w:rPr>
        <w:t>National reports under the Convention and National biodiversity strategies and action plans</w:t>
      </w:r>
    </w:p>
    <w:p w14:paraId="6CA9794E" w14:textId="051AED14" w:rsidR="00082BF4" w:rsidRPr="00DF02C5" w:rsidRDefault="00082BF4" w:rsidP="00082BF4">
      <w:pPr>
        <w:numPr>
          <w:ilvl w:val="0"/>
          <w:numId w:val="1"/>
        </w:numPr>
        <w:spacing w:before="120" w:after="120"/>
        <w:rPr>
          <w:rFonts w:hAnsi="Times New Roman" w:cs="Times New Roman"/>
          <w:i/>
          <w:snapToGrid w:val="0"/>
          <w:kern w:val="22"/>
          <w:lang w:val="en-GB"/>
        </w:rPr>
      </w:pPr>
      <w:r w:rsidRPr="00DF02C5">
        <w:rPr>
          <w:rFonts w:eastAsia="Calibri" w:hAnsi="Times New Roman" w:cs="Times New Roman"/>
          <w:snapToGrid w:val="0"/>
          <w:color w:val="auto"/>
          <w:kern w:val="22"/>
          <w:szCs w:val="24"/>
          <w:bdr w:val="none" w:sz="0" w:space="0" w:color="auto"/>
          <w:lang w:val="en-GB"/>
        </w:rPr>
        <w:t xml:space="preserve">Decision NP-2/4 on assessment and review, identifies in its annex elements to be included in the first assessment and review of the Protocol and the sources of information.  Element (a) </w:t>
      </w:r>
      <w:r w:rsidR="00B80AF5">
        <w:rPr>
          <w:rFonts w:eastAsia="Calibri" w:hAnsi="Times New Roman" w:cs="Times New Roman"/>
          <w:snapToGrid w:val="0"/>
          <w:color w:val="auto"/>
          <w:kern w:val="22"/>
          <w:szCs w:val="24"/>
          <w:bdr w:val="none" w:sz="0" w:space="0" w:color="auto"/>
          <w:lang w:val="en-GB"/>
        </w:rPr>
        <w:t xml:space="preserve">of the annex addresses </w:t>
      </w:r>
      <w:r w:rsidRPr="00DF02C5">
        <w:rPr>
          <w:rFonts w:eastAsia="Calibri" w:hAnsi="Times New Roman" w:cs="Times New Roman"/>
          <w:snapToGrid w:val="0"/>
          <w:color w:val="auto"/>
          <w:kern w:val="22"/>
          <w:szCs w:val="24"/>
          <w:bdr w:val="none" w:sz="0" w:space="0" w:color="auto"/>
          <w:lang w:val="en-GB"/>
        </w:rPr>
        <w:t>the extent of implementation of the provisions of the Protocol and related obligations of Parties, including assessment of progress by Parties in establishing institutional st</w:t>
      </w:r>
      <w:r w:rsidR="00FD611D">
        <w:rPr>
          <w:rFonts w:eastAsia="Calibri" w:hAnsi="Times New Roman" w:cs="Times New Roman"/>
          <w:snapToGrid w:val="0"/>
          <w:color w:val="auto"/>
          <w:kern w:val="22"/>
          <w:szCs w:val="24"/>
          <w:bdr w:val="none" w:sz="0" w:space="0" w:color="auto"/>
          <w:lang w:val="en-GB"/>
        </w:rPr>
        <w:t>ructures and access and benefit</w:t>
      </w:r>
      <w:r w:rsidR="00FD611D">
        <w:rPr>
          <w:rFonts w:eastAsia="Calibri" w:hAnsi="Times New Roman" w:cs="Times New Roman"/>
          <w:snapToGrid w:val="0"/>
          <w:color w:val="auto"/>
          <w:kern w:val="22"/>
          <w:szCs w:val="24"/>
          <w:bdr w:val="none" w:sz="0" w:space="0" w:color="auto"/>
          <w:lang w:val="en-GB"/>
        </w:rPr>
        <w:noBreakHyphen/>
      </w:r>
      <w:r w:rsidRPr="00DF02C5">
        <w:rPr>
          <w:rFonts w:eastAsia="Calibri" w:hAnsi="Times New Roman" w:cs="Times New Roman"/>
          <w:snapToGrid w:val="0"/>
          <w:color w:val="auto"/>
          <w:kern w:val="22"/>
          <w:szCs w:val="24"/>
          <w:bdr w:val="none" w:sz="0" w:space="0" w:color="auto"/>
          <w:lang w:val="en-GB"/>
        </w:rPr>
        <w:t xml:space="preserve">sharing measures to </w:t>
      </w:r>
      <w:r w:rsidRPr="00DF02C5">
        <w:rPr>
          <w:rFonts w:hAnsi="Times New Roman" w:cs="Times New Roman"/>
          <w:snapToGrid w:val="0"/>
          <w:kern w:val="22"/>
          <w:lang w:val="en-GB"/>
        </w:rPr>
        <w:t>implement</w:t>
      </w:r>
      <w:r w:rsidRPr="00DF02C5">
        <w:rPr>
          <w:rFonts w:eastAsia="Calibri" w:hAnsi="Times New Roman" w:cs="Times New Roman"/>
          <w:snapToGrid w:val="0"/>
          <w:color w:val="auto"/>
          <w:kern w:val="22"/>
          <w:szCs w:val="24"/>
          <w:bdr w:val="none" w:sz="0" w:space="0" w:color="auto"/>
          <w:lang w:val="en-GB"/>
        </w:rPr>
        <w:t xml:space="preserve"> the Protocol and includes the following sources of information: Interim national reports; Access and Benefit-sharing Clearing-House (ABS Clearing-House); National </w:t>
      </w:r>
      <w:r w:rsidRPr="00DF02C5">
        <w:rPr>
          <w:rFonts w:eastAsia="Calibri" w:hAnsi="Times New Roman" w:cs="Times New Roman"/>
          <w:snapToGrid w:val="0"/>
          <w:color w:val="auto"/>
          <w:kern w:val="22"/>
          <w:szCs w:val="24"/>
          <w:bdr w:val="none" w:sz="0" w:space="0" w:color="auto"/>
          <w:lang w:val="en-GB"/>
        </w:rPr>
        <w:lastRenderedPageBreak/>
        <w:t>reports under the Convention; National biodiversity strategies and action plans (NBSAPs); and possible targeted survey of focal points and/or users</w:t>
      </w:r>
      <w:r w:rsidR="00AD1BFA" w:rsidRPr="00DF02C5">
        <w:rPr>
          <w:rFonts w:eastAsia="Calibri" w:hAnsi="Times New Roman" w:cs="Times New Roman"/>
          <w:snapToGrid w:val="0"/>
          <w:color w:val="auto"/>
          <w:kern w:val="22"/>
          <w:szCs w:val="24"/>
          <w:bdr w:val="none" w:sz="0" w:space="0" w:color="auto"/>
          <w:lang w:val="en-GB"/>
        </w:rPr>
        <w:t>.</w:t>
      </w:r>
    </w:p>
    <w:p w14:paraId="51A001A6" w14:textId="4BD30C2A" w:rsidR="00082BF4" w:rsidRPr="00DF02C5" w:rsidRDefault="00082BF4" w:rsidP="00AD1BFA">
      <w:pPr>
        <w:numPr>
          <w:ilvl w:val="0"/>
          <w:numId w:val="1"/>
        </w:numPr>
        <w:spacing w:before="120" w:after="120"/>
        <w:rPr>
          <w:rFonts w:hAnsi="Times New Roman" w:cs="Times New Roman"/>
          <w:i/>
          <w:snapToGrid w:val="0"/>
          <w:kern w:val="22"/>
          <w:lang w:val="en-GB"/>
        </w:rPr>
      </w:pPr>
      <w:r w:rsidRPr="00DF02C5">
        <w:rPr>
          <w:rFonts w:eastAsia="Calibri" w:hAnsi="Times New Roman" w:cs="Times New Roman"/>
          <w:snapToGrid w:val="0"/>
          <w:color w:val="auto"/>
          <w:kern w:val="22"/>
          <w:szCs w:val="24"/>
          <w:bdr w:val="none" w:sz="0" w:space="0" w:color="auto"/>
          <w:lang w:val="en-GB"/>
        </w:rPr>
        <w:t xml:space="preserve">In </w:t>
      </w:r>
      <w:r w:rsidR="00FD611D">
        <w:rPr>
          <w:rFonts w:eastAsia="Calibri" w:hAnsi="Times New Roman" w:cs="Times New Roman"/>
          <w:snapToGrid w:val="0"/>
          <w:color w:val="auto"/>
          <w:kern w:val="22"/>
          <w:szCs w:val="24"/>
          <w:bdr w:val="none" w:sz="0" w:space="0" w:color="auto"/>
          <w:lang w:val="en-GB"/>
        </w:rPr>
        <w:t xml:space="preserve">the </w:t>
      </w:r>
      <w:r w:rsidRPr="00DF02C5">
        <w:rPr>
          <w:rFonts w:eastAsia="Calibri" w:hAnsi="Times New Roman" w:cs="Times New Roman"/>
          <w:snapToGrid w:val="0"/>
          <w:color w:val="auto"/>
          <w:kern w:val="22"/>
          <w:szCs w:val="24"/>
          <w:bdr w:val="none" w:sz="0" w:space="0" w:color="auto"/>
          <w:lang w:val="en-GB"/>
        </w:rPr>
        <w:t xml:space="preserve">light of this decision, </w:t>
      </w:r>
      <w:r w:rsidR="00AD1BFA" w:rsidRPr="00DF02C5">
        <w:rPr>
          <w:rFonts w:eastAsia="Calibri" w:hAnsi="Times New Roman" w:cs="Times New Roman"/>
          <w:snapToGrid w:val="0"/>
          <w:color w:val="auto"/>
          <w:kern w:val="22"/>
          <w:szCs w:val="24"/>
          <w:bdr w:val="none" w:sz="0" w:space="0" w:color="auto"/>
          <w:lang w:val="en-GB"/>
        </w:rPr>
        <w:t>f</w:t>
      </w:r>
      <w:r w:rsidRPr="00DF02C5">
        <w:rPr>
          <w:rFonts w:eastAsia="Calibri" w:hAnsi="Times New Roman" w:cs="Times New Roman"/>
          <w:snapToGrid w:val="0"/>
          <w:color w:val="auto"/>
          <w:kern w:val="22"/>
          <w:szCs w:val="24"/>
          <w:bdr w:val="none" w:sz="0" w:space="0" w:color="auto"/>
          <w:lang w:val="en-GB"/>
        </w:rPr>
        <w:t xml:space="preserve">or those </w:t>
      </w:r>
      <w:r w:rsidR="00AD1BFA" w:rsidRPr="00DF02C5">
        <w:rPr>
          <w:rFonts w:eastAsia="Calibri" w:hAnsi="Times New Roman" w:cs="Times New Roman"/>
          <w:snapToGrid w:val="0"/>
          <w:color w:val="auto"/>
          <w:kern w:val="22"/>
          <w:szCs w:val="24"/>
          <w:bdr w:val="none" w:sz="0" w:space="0" w:color="auto"/>
          <w:lang w:val="en-GB"/>
        </w:rPr>
        <w:t xml:space="preserve">countries </w:t>
      </w:r>
      <w:r w:rsidRPr="00DF02C5">
        <w:rPr>
          <w:rFonts w:eastAsia="Calibri" w:hAnsi="Times New Roman" w:cs="Times New Roman"/>
          <w:snapToGrid w:val="0"/>
          <w:color w:val="auto"/>
          <w:kern w:val="22"/>
          <w:szCs w:val="24"/>
          <w:bdr w:val="none" w:sz="0" w:space="0" w:color="auto"/>
          <w:lang w:val="en-GB"/>
        </w:rPr>
        <w:t>that did not submit an interim national report, information provided through the National Biodiversity Strategies and Action Plans (</w:t>
      </w:r>
      <w:r w:rsidRPr="00DF02C5">
        <w:rPr>
          <w:rFonts w:eastAsia="Calibri" w:hAnsi="Times New Roman" w:cs="Times New Roman"/>
          <w:bCs/>
          <w:snapToGrid w:val="0"/>
          <w:color w:val="auto"/>
          <w:kern w:val="22"/>
          <w:szCs w:val="24"/>
          <w:bdr w:val="none" w:sz="0" w:space="0" w:color="auto"/>
          <w:lang w:val="en-GB"/>
        </w:rPr>
        <w:t>NBSAPs</w:t>
      </w:r>
      <w:r w:rsidR="00E5256F" w:rsidRPr="00DF02C5">
        <w:rPr>
          <w:rFonts w:eastAsia="Calibri" w:hAnsi="Times New Roman" w:cs="Times New Roman"/>
          <w:snapToGrid w:val="0"/>
          <w:color w:val="auto"/>
          <w:kern w:val="22"/>
          <w:szCs w:val="24"/>
          <w:bdr w:val="none" w:sz="0" w:space="0" w:color="auto"/>
          <w:lang w:val="en-GB"/>
        </w:rPr>
        <w:t>)</w:t>
      </w:r>
      <w:r w:rsidRPr="00DF02C5">
        <w:rPr>
          <w:rFonts w:eastAsia="Calibri" w:hAnsi="Times New Roman" w:cs="Times New Roman"/>
          <w:snapToGrid w:val="0"/>
          <w:color w:val="auto"/>
          <w:kern w:val="22"/>
          <w:szCs w:val="24"/>
          <w:bdr w:val="none" w:sz="0" w:space="0" w:color="auto"/>
          <w:lang w:val="en-GB"/>
        </w:rPr>
        <w:t xml:space="preserve"> and the fifth national reports on the implementation of the </w:t>
      </w:r>
      <w:r w:rsidR="00DF02C5" w:rsidRPr="00DF02C5">
        <w:rPr>
          <w:rFonts w:eastAsia="Calibri" w:hAnsi="Times New Roman" w:cs="Times New Roman"/>
          <w:snapToGrid w:val="0"/>
          <w:color w:val="auto"/>
          <w:kern w:val="22"/>
          <w:szCs w:val="24"/>
          <w:bdr w:val="none" w:sz="0" w:space="0" w:color="auto"/>
          <w:lang w:val="en-GB"/>
        </w:rPr>
        <w:t>Convention has</w:t>
      </w:r>
      <w:r w:rsidRPr="00DF02C5">
        <w:rPr>
          <w:rFonts w:eastAsia="Calibri" w:hAnsi="Times New Roman" w:cs="Times New Roman"/>
          <w:snapToGrid w:val="0"/>
          <w:color w:val="auto"/>
          <w:kern w:val="22"/>
          <w:szCs w:val="24"/>
          <w:bdr w:val="none" w:sz="0" w:space="0" w:color="auto"/>
          <w:lang w:val="en-GB"/>
        </w:rPr>
        <w:t xml:space="preserve"> been considered</w:t>
      </w:r>
      <w:r w:rsidR="00AD1BFA" w:rsidRPr="00DF02C5">
        <w:rPr>
          <w:rFonts w:eastAsia="Calibri" w:hAnsi="Times New Roman" w:cs="Times New Roman"/>
          <w:snapToGrid w:val="0"/>
          <w:color w:val="auto"/>
          <w:kern w:val="22"/>
          <w:szCs w:val="24"/>
          <w:bdr w:val="none" w:sz="0" w:space="0" w:color="auto"/>
          <w:lang w:val="en-GB"/>
        </w:rPr>
        <w:t xml:space="preserve"> in the analysis of the first part of the interim national reports </w:t>
      </w:r>
      <w:r w:rsidR="00B80AF5">
        <w:rPr>
          <w:rFonts w:eastAsia="Calibri" w:hAnsi="Times New Roman" w:cs="Times New Roman"/>
          <w:snapToGrid w:val="0"/>
          <w:color w:val="auto"/>
          <w:kern w:val="22"/>
          <w:szCs w:val="24"/>
          <w:bdr w:val="none" w:sz="0" w:space="0" w:color="auto"/>
          <w:lang w:val="en-GB"/>
        </w:rPr>
        <w:t>en</w:t>
      </w:r>
      <w:r w:rsidR="00AD1BFA" w:rsidRPr="00DF02C5">
        <w:rPr>
          <w:rFonts w:eastAsia="Calibri" w:hAnsi="Times New Roman" w:cs="Times New Roman"/>
          <w:snapToGrid w:val="0"/>
          <w:color w:val="auto"/>
          <w:kern w:val="22"/>
          <w:szCs w:val="24"/>
          <w:bdr w:val="none" w:sz="0" w:space="0" w:color="auto"/>
          <w:lang w:val="en-GB"/>
        </w:rPr>
        <w:t>titled “Institutional structures for the implementation of the Protocol” (section III, A below).</w:t>
      </w:r>
    </w:p>
    <w:p w14:paraId="0E7B9D60" w14:textId="77777777" w:rsidR="0049703E" w:rsidRPr="00DF02C5" w:rsidRDefault="0049703E" w:rsidP="003500AA">
      <w:pPr>
        <w:keepNext/>
        <w:numPr>
          <w:ilvl w:val="0"/>
          <w:numId w:val="12"/>
        </w:numPr>
        <w:tabs>
          <w:tab w:val="left" w:pos="720"/>
        </w:tabs>
        <w:spacing w:before="240" w:after="120"/>
        <w:jc w:val="center"/>
        <w:outlineLvl w:val="1"/>
        <w:rPr>
          <w:rFonts w:eastAsia="Times New Roman" w:hAnsi="Times New Roman" w:cs="Times New Roman"/>
          <w:b/>
          <w:bCs/>
          <w:iCs/>
          <w:lang w:val="en-GB"/>
        </w:rPr>
      </w:pPr>
      <w:bookmarkStart w:id="3" w:name="_Toc511112600"/>
      <w:r w:rsidRPr="00DF02C5">
        <w:rPr>
          <w:rFonts w:eastAsia="Times New Roman" w:hAnsi="Times New Roman" w:cs="Times New Roman"/>
          <w:b/>
          <w:bCs/>
          <w:iCs/>
          <w:lang w:val="en-GB"/>
        </w:rPr>
        <w:t>Limitations</w:t>
      </w:r>
      <w:bookmarkEnd w:id="3"/>
      <w:r w:rsidRPr="00DF02C5">
        <w:rPr>
          <w:rFonts w:eastAsia="Times New Roman" w:hAnsi="Times New Roman" w:cs="Times New Roman"/>
          <w:b/>
          <w:bCs/>
          <w:iCs/>
          <w:lang w:val="en-GB"/>
        </w:rPr>
        <w:t xml:space="preserve"> </w:t>
      </w:r>
    </w:p>
    <w:p w14:paraId="375129D7" w14:textId="449A131D" w:rsidR="0049703E" w:rsidRPr="00DF02C5" w:rsidRDefault="0049703E" w:rsidP="0049703E">
      <w:pPr>
        <w:numPr>
          <w:ilvl w:val="0"/>
          <w:numId w:val="1"/>
        </w:numPr>
        <w:spacing w:before="120" w:after="120"/>
        <w:rPr>
          <w:rFonts w:hAnsi="Times New Roman" w:cs="Times New Roman"/>
          <w:snapToGrid w:val="0"/>
          <w:color w:val="auto"/>
          <w:kern w:val="22"/>
          <w:lang w:val="en-GB"/>
        </w:rPr>
      </w:pPr>
      <w:r w:rsidRPr="00DF02C5">
        <w:rPr>
          <w:rFonts w:cs="Times New Roman"/>
          <w:color w:val="auto"/>
          <w:lang w:val="en-GB"/>
        </w:rPr>
        <w:t xml:space="preserve">The results presented in this paper should be interpreted </w:t>
      </w:r>
      <w:r w:rsidR="009934D4" w:rsidRPr="00DF02C5">
        <w:rPr>
          <w:rFonts w:cs="Times New Roman"/>
          <w:color w:val="auto"/>
          <w:lang w:val="en-GB"/>
        </w:rPr>
        <w:t xml:space="preserve">in light of </w:t>
      </w:r>
      <w:r w:rsidRPr="00DF02C5">
        <w:rPr>
          <w:rFonts w:cs="Times New Roman"/>
          <w:color w:val="auto"/>
          <w:lang w:val="en-GB"/>
        </w:rPr>
        <w:t xml:space="preserve">the limitations of the analysis as follows. </w:t>
      </w:r>
    </w:p>
    <w:p w14:paraId="3FBEFF43" w14:textId="45A46E6D" w:rsidR="0049703E" w:rsidRPr="00DF02C5" w:rsidRDefault="0049703E" w:rsidP="0049703E">
      <w:pPr>
        <w:numPr>
          <w:ilvl w:val="0"/>
          <w:numId w:val="1"/>
        </w:numPr>
        <w:spacing w:before="120" w:after="120"/>
        <w:rPr>
          <w:rFonts w:hAnsi="Times New Roman" w:cs="Times New Roman"/>
          <w:snapToGrid w:val="0"/>
          <w:color w:val="auto"/>
          <w:kern w:val="22"/>
          <w:lang w:val="en-GB"/>
        </w:rPr>
      </w:pPr>
      <w:r w:rsidRPr="00DF02C5">
        <w:rPr>
          <w:rFonts w:cs="Times New Roman"/>
          <w:color w:val="auto"/>
          <w:lang w:val="en-GB"/>
        </w:rPr>
        <w:t>First, these reports represent 65.5% of the current number of Parties that have ratified the Protocol (</w:t>
      </w:r>
      <w:r w:rsidR="00A822A4" w:rsidRPr="00DF02C5">
        <w:rPr>
          <w:rFonts w:cs="Times New Roman"/>
          <w:color w:val="auto"/>
          <w:lang w:val="en-GB"/>
        </w:rPr>
        <w:t>105</w:t>
      </w:r>
      <w:r w:rsidR="00AD1BFA" w:rsidRPr="00DF02C5">
        <w:rPr>
          <w:rFonts w:cs="Times New Roman"/>
          <w:color w:val="auto"/>
          <w:lang w:val="en-GB"/>
        </w:rPr>
        <w:t xml:space="preserve"> </w:t>
      </w:r>
      <w:r w:rsidR="00577044">
        <w:rPr>
          <w:rFonts w:cs="Times New Roman"/>
          <w:color w:val="auto"/>
          <w:lang w:val="en-GB"/>
        </w:rPr>
        <w:t>up to</w:t>
      </w:r>
      <w:r w:rsidR="00AD1BFA" w:rsidRPr="00DF02C5">
        <w:rPr>
          <w:rFonts w:cs="Times New Roman"/>
          <w:color w:val="auto"/>
          <w:lang w:val="en-GB"/>
        </w:rPr>
        <w:t xml:space="preserve"> 22 February 2018</w:t>
      </w:r>
      <w:r w:rsidR="00A822A4" w:rsidRPr="00DF02C5">
        <w:rPr>
          <w:rFonts w:cs="Times New Roman"/>
          <w:color w:val="auto"/>
          <w:lang w:val="en-GB"/>
        </w:rPr>
        <w:t>)</w:t>
      </w:r>
      <w:r w:rsidR="00AD1BFA" w:rsidRPr="00DF02C5">
        <w:rPr>
          <w:rStyle w:val="FootnoteReference"/>
          <w:rFonts w:cs="Times New Roman"/>
          <w:color w:val="auto"/>
          <w:lang w:val="en-GB"/>
        </w:rPr>
        <w:footnoteReference w:id="7"/>
      </w:r>
      <w:r w:rsidRPr="00DF02C5">
        <w:rPr>
          <w:rFonts w:cs="Times New Roman"/>
          <w:color w:val="auto"/>
          <w:lang w:val="en-GB"/>
        </w:rPr>
        <w:t>, and 6</w:t>
      </w:r>
      <w:r w:rsidR="000A1A42" w:rsidRPr="00DF02C5">
        <w:rPr>
          <w:rFonts w:cs="Times New Roman"/>
          <w:color w:val="auto"/>
          <w:lang w:val="en-GB"/>
        </w:rPr>
        <w:t>.</w:t>
      </w:r>
      <w:r w:rsidRPr="00DF02C5">
        <w:rPr>
          <w:rFonts w:cs="Times New Roman"/>
          <w:color w:val="auto"/>
          <w:lang w:val="en-GB"/>
        </w:rPr>
        <w:t xml:space="preserve">5% of non-Parties (93). </w:t>
      </w:r>
      <w:r w:rsidR="009934D4" w:rsidRPr="00DF02C5">
        <w:rPr>
          <w:rFonts w:cs="Times New Roman"/>
          <w:color w:val="auto"/>
          <w:lang w:val="en-GB"/>
        </w:rPr>
        <w:t>T</w:t>
      </w:r>
      <w:r w:rsidRPr="00DF02C5">
        <w:rPr>
          <w:rFonts w:cs="Times New Roman"/>
          <w:color w:val="auto"/>
          <w:lang w:val="en-GB"/>
        </w:rPr>
        <w:t xml:space="preserve">herefore, results may be biased towards Parties or countries that were in a position to submit their reports for </w:t>
      </w:r>
      <w:r w:rsidR="009934D4" w:rsidRPr="00DF02C5">
        <w:rPr>
          <w:rFonts w:cs="Times New Roman"/>
          <w:color w:val="auto"/>
          <w:lang w:val="en-GB"/>
        </w:rPr>
        <w:t xml:space="preserve">various </w:t>
      </w:r>
      <w:r w:rsidRPr="00DF02C5">
        <w:rPr>
          <w:rFonts w:cs="Times New Roman"/>
          <w:color w:val="auto"/>
          <w:lang w:val="en-GB"/>
        </w:rPr>
        <w:t>reason</w:t>
      </w:r>
      <w:r w:rsidR="009934D4" w:rsidRPr="00DF02C5">
        <w:rPr>
          <w:rFonts w:cs="Times New Roman"/>
          <w:color w:val="auto"/>
          <w:lang w:val="en-GB"/>
        </w:rPr>
        <w:t>s</w:t>
      </w:r>
      <w:r w:rsidRPr="00DF02C5">
        <w:rPr>
          <w:rFonts w:cs="Times New Roman"/>
          <w:color w:val="auto"/>
          <w:lang w:val="en-GB"/>
        </w:rPr>
        <w:t>, such as stronger monitoring and reporting capacities, language</w:t>
      </w:r>
      <w:r w:rsidR="009934D4" w:rsidRPr="00DF02C5">
        <w:rPr>
          <w:rFonts w:cs="Times New Roman"/>
          <w:color w:val="auto"/>
          <w:lang w:val="en-GB"/>
        </w:rPr>
        <w:t xml:space="preserve"> capacities</w:t>
      </w:r>
      <w:r w:rsidRPr="00DF02C5">
        <w:rPr>
          <w:rFonts w:cs="Times New Roman"/>
          <w:color w:val="auto"/>
          <w:lang w:val="en-GB"/>
        </w:rPr>
        <w:t xml:space="preserve"> or determination to comply with the reporting requirement. </w:t>
      </w:r>
    </w:p>
    <w:p w14:paraId="1D53853C" w14:textId="30E9000A" w:rsidR="0049703E" w:rsidRPr="00DF02C5" w:rsidRDefault="0049703E" w:rsidP="0049703E">
      <w:pPr>
        <w:numPr>
          <w:ilvl w:val="0"/>
          <w:numId w:val="1"/>
        </w:numPr>
        <w:spacing w:before="120" w:after="120"/>
        <w:rPr>
          <w:rFonts w:cs="Times New Roman"/>
          <w:color w:val="auto"/>
          <w:lang w:val="en-GB"/>
        </w:rPr>
      </w:pPr>
      <w:r w:rsidRPr="00DF02C5">
        <w:rPr>
          <w:rFonts w:cs="Times New Roman"/>
          <w:color w:val="auto"/>
          <w:lang w:val="en-GB"/>
        </w:rPr>
        <w:t xml:space="preserve">Additionally, the reports vary in terms of the amount of information submitted. Some reports provided little information to explain the answers to each question. Variations between the types of information provided for the same question </w:t>
      </w:r>
      <w:r w:rsidR="009934D4" w:rsidRPr="00DF02C5">
        <w:rPr>
          <w:rFonts w:cs="Times New Roman"/>
          <w:color w:val="auto"/>
          <w:lang w:val="en-GB"/>
        </w:rPr>
        <w:t xml:space="preserve">were </w:t>
      </w:r>
      <w:r w:rsidRPr="00DF02C5">
        <w:rPr>
          <w:rFonts w:cs="Times New Roman"/>
          <w:color w:val="auto"/>
          <w:lang w:val="en-GB"/>
        </w:rPr>
        <w:t xml:space="preserve">also </w:t>
      </w:r>
      <w:r w:rsidR="00BD60A0" w:rsidRPr="00DF02C5">
        <w:rPr>
          <w:rFonts w:cs="Times New Roman"/>
          <w:color w:val="auto"/>
          <w:lang w:val="en-GB"/>
        </w:rPr>
        <w:t>observed (e.g. some countries shared information about</w:t>
      </w:r>
      <w:r w:rsidRPr="00DF02C5">
        <w:rPr>
          <w:rFonts w:cs="Times New Roman"/>
          <w:color w:val="auto"/>
          <w:lang w:val="en-GB"/>
        </w:rPr>
        <w:t xml:space="preserve"> their plans </w:t>
      </w:r>
      <w:r w:rsidR="009934D4" w:rsidRPr="00DF02C5">
        <w:rPr>
          <w:rFonts w:cs="Times New Roman"/>
          <w:color w:val="auto"/>
          <w:lang w:val="en-GB"/>
        </w:rPr>
        <w:t xml:space="preserve">for </w:t>
      </w:r>
      <w:r w:rsidRPr="00DF02C5">
        <w:rPr>
          <w:rFonts w:cs="Times New Roman"/>
          <w:color w:val="auto"/>
          <w:lang w:val="en-GB"/>
        </w:rPr>
        <w:t>implementing a provision, while others reflected on the difficulties encountered).</w:t>
      </w:r>
    </w:p>
    <w:p w14:paraId="282B04BF" w14:textId="4F95DEA6" w:rsidR="0049703E" w:rsidRPr="00DF02C5" w:rsidRDefault="0049703E" w:rsidP="0049703E">
      <w:pPr>
        <w:numPr>
          <w:ilvl w:val="0"/>
          <w:numId w:val="1"/>
        </w:numPr>
        <w:spacing w:before="120" w:after="120"/>
        <w:rPr>
          <w:rFonts w:hAnsi="Times New Roman" w:cs="Times New Roman"/>
          <w:snapToGrid w:val="0"/>
          <w:kern w:val="22"/>
          <w:bdr w:val="none" w:sz="0" w:space="0" w:color="auto"/>
          <w:lang w:val="en-GB"/>
        </w:rPr>
      </w:pPr>
      <w:r w:rsidRPr="00DF02C5">
        <w:rPr>
          <w:rFonts w:hAnsi="Times New Roman" w:cs="Times New Roman"/>
          <w:snapToGrid w:val="0"/>
          <w:kern w:val="22"/>
          <w:lang w:val="en-GB"/>
        </w:rPr>
        <w:t>An examination of the answers also highlights some weaknesses in the interim report format that appear to have led to ambiguous and inconsistent responses. For instance, when asked whether a country has taken measures to implement a given article, some answered “yes” while others answered “no” on the basis of having a draft ABS measure or plans to address the issue in the future. There are also instances where countries answered “yes” but the narrative text seems to indicate that the answer is “no” and vice versa. In addition, a closer look at the responses leaves the impression t</w:t>
      </w:r>
      <w:r w:rsidR="009934D4" w:rsidRPr="00DF02C5">
        <w:rPr>
          <w:rFonts w:hAnsi="Times New Roman" w:cs="Times New Roman"/>
          <w:snapToGrid w:val="0"/>
          <w:kern w:val="22"/>
          <w:lang w:val="en-GB"/>
        </w:rPr>
        <w:t xml:space="preserve">hat countries have understood </w:t>
      </w:r>
      <w:r w:rsidRPr="00DF02C5">
        <w:rPr>
          <w:rFonts w:hAnsi="Times New Roman" w:cs="Times New Roman"/>
          <w:snapToGrid w:val="0"/>
          <w:kern w:val="22"/>
          <w:lang w:val="en-GB"/>
        </w:rPr>
        <w:t xml:space="preserve">certain questions in different ways. </w:t>
      </w:r>
    </w:p>
    <w:p w14:paraId="6794AA39" w14:textId="75B348E9" w:rsidR="0049703E" w:rsidRPr="00DF02C5" w:rsidRDefault="0049703E" w:rsidP="0049703E">
      <w:pPr>
        <w:numPr>
          <w:ilvl w:val="0"/>
          <w:numId w:val="1"/>
        </w:numPr>
        <w:spacing w:before="120" w:after="120"/>
        <w:rPr>
          <w:rFonts w:hAnsi="Times New Roman" w:cs="Times New Roman"/>
          <w:snapToGrid w:val="0"/>
          <w:kern w:val="22"/>
          <w:bdr w:val="none" w:sz="0" w:space="0" w:color="auto"/>
          <w:lang w:val="en-GB"/>
        </w:rPr>
      </w:pPr>
      <w:r w:rsidRPr="00DF02C5">
        <w:rPr>
          <w:rFonts w:cs="Times New Roman"/>
          <w:color w:val="auto"/>
          <w:lang w:val="en-GB"/>
        </w:rPr>
        <w:t>It should also be noted that each question is analysed independently, and as a consequence only the answers provided to that specific question are consider</w:t>
      </w:r>
      <w:r w:rsidR="009934D4" w:rsidRPr="00DF02C5">
        <w:rPr>
          <w:rFonts w:cs="Times New Roman"/>
          <w:color w:val="auto"/>
          <w:lang w:val="en-GB"/>
        </w:rPr>
        <w:t>ed</w:t>
      </w:r>
      <w:r w:rsidRPr="00DF02C5">
        <w:rPr>
          <w:rFonts w:cs="Times New Roman"/>
          <w:color w:val="auto"/>
          <w:lang w:val="en-GB"/>
        </w:rPr>
        <w:t xml:space="preserve">. As a consequence, information provided about a country should be interpreted within the context of their entire report and not only </w:t>
      </w:r>
      <w:r w:rsidR="00B80AF5">
        <w:rPr>
          <w:rFonts w:cs="Times New Roman"/>
          <w:color w:val="auto"/>
          <w:lang w:val="en-GB"/>
        </w:rPr>
        <w:t xml:space="preserve">based </w:t>
      </w:r>
      <w:r w:rsidRPr="00DF02C5">
        <w:rPr>
          <w:rFonts w:cs="Times New Roman"/>
          <w:color w:val="auto"/>
          <w:lang w:val="en-GB"/>
        </w:rPr>
        <w:t>on the answer provided to a specific question.</w:t>
      </w:r>
    </w:p>
    <w:p w14:paraId="4D534DA8" w14:textId="77777777" w:rsidR="0049703E" w:rsidRPr="00DF02C5" w:rsidRDefault="0049703E" w:rsidP="003500AA">
      <w:pPr>
        <w:keepNext/>
        <w:numPr>
          <w:ilvl w:val="0"/>
          <w:numId w:val="12"/>
        </w:numPr>
        <w:tabs>
          <w:tab w:val="left" w:pos="720"/>
        </w:tabs>
        <w:spacing w:before="240" w:after="120"/>
        <w:jc w:val="center"/>
        <w:outlineLvl w:val="1"/>
        <w:rPr>
          <w:rFonts w:eastAsia="Times New Roman" w:hAnsi="Times New Roman" w:cs="Times New Roman"/>
          <w:b/>
          <w:bCs/>
          <w:iCs/>
          <w:lang w:val="en-GB"/>
        </w:rPr>
      </w:pPr>
      <w:bookmarkStart w:id="4" w:name="_Toc511112601"/>
      <w:r w:rsidRPr="00DF02C5">
        <w:rPr>
          <w:rFonts w:eastAsia="Times New Roman" w:hAnsi="Times New Roman" w:cs="Times New Roman"/>
          <w:b/>
          <w:bCs/>
          <w:iCs/>
          <w:lang w:val="en-GB"/>
        </w:rPr>
        <w:t>Methodologic</w:t>
      </w:r>
      <w:bookmarkStart w:id="5" w:name="_GoBack"/>
      <w:bookmarkEnd w:id="5"/>
      <w:r w:rsidRPr="00DF02C5">
        <w:rPr>
          <w:rFonts w:eastAsia="Times New Roman" w:hAnsi="Times New Roman" w:cs="Times New Roman"/>
          <w:b/>
          <w:bCs/>
          <w:iCs/>
          <w:lang w:val="en-GB"/>
        </w:rPr>
        <w:t>al notes</w:t>
      </w:r>
      <w:bookmarkEnd w:id="4"/>
    </w:p>
    <w:p w14:paraId="0FD71707" w14:textId="514F7B5F" w:rsidR="0049703E" w:rsidRPr="00721B77" w:rsidRDefault="0049703E" w:rsidP="0049703E">
      <w:pPr>
        <w:numPr>
          <w:ilvl w:val="0"/>
          <w:numId w:val="1"/>
        </w:numPr>
        <w:spacing w:before="120" w:after="120"/>
        <w:rPr>
          <w:rFonts w:hAnsi="Times New Roman" w:cs="Times New Roman"/>
          <w:snapToGrid w:val="0"/>
          <w:kern w:val="22"/>
          <w:lang w:val="en-GB"/>
        </w:rPr>
      </w:pPr>
      <w:r w:rsidRPr="00DF02C5">
        <w:rPr>
          <w:rFonts w:cs="Times New Roman"/>
          <w:color w:val="auto"/>
          <w:lang w:val="en-GB"/>
        </w:rPr>
        <w:t>In light of the above, the following analysis provides</w:t>
      </w:r>
      <w:r w:rsidRPr="00DF02C5">
        <w:rPr>
          <w:rFonts w:hAnsi="Times New Roman" w:cs="Times New Roman"/>
          <w:snapToGrid w:val="0"/>
          <w:kern w:val="22"/>
          <w:lang w:val="en-GB"/>
        </w:rPr>
        <w:t xml:space="preserve">: (a) </w:t>
      </w:r>
      <w:r w:rsidRPr="00DF02C5">
        <w:rPr>
          <w:rFonts w:cs="Times New Roman"/>
          <w:color w:val="auto"/>
          <w:lang w:val="en-GB"/>
        </w:rPr>
        <w:t xml:space="preserve">quantitative information (numeric and in percentage) based on the </w:t>
      </w:r>
      <w:r w:rsidRPr="00DF02C5">
        <w:rPr>
          <w:rFonts w:hAnsi="Times New Roman" w:cs="Times New Roman"/>
          <w:snapToGrid w:val="0"/>
          <w:color w:val="auto"/>
          <w:kern w:val="22"/>
          <w:lang w:val="en-GB"/>
        </w:rPr>
        <w:t>“</w:t>
      </w:r>
      <w:r w:rsidRPr="00DF02C5">
        <w:rPr>
          <w:rFonts w:cs="Times New Roman"/>
          <w:color w:val="auto"/>
          <w:lang w:val="en-GB"/>
        </w:rPr>
        <w:t>yes</w:t>
      </w:r>
      <w:r w:rsidRPr="00DF02C5">
        <w:rPr>
          <w:rFonts w:hAnsi="Times New Roman" w:cs="Times New Roman"/>
          <w:snapToGrid w:val="0"/>
          <w:color w:val="auto"/>
          <w:kern w:val="22"/>
          <w:lang w:val="en-GB"/>
        </w:rPr>
        <w:t>”</w:t>
      </w:r>
      <w:r w:rsidRPr="00DF02C5">
        <w:rPr>
          <w:rFonts w:cs="Times New Roman"/>
          <w:color w:val="auto"/>
          <w:lang w:val="en-GB"/>
        </w:rPr>
        <w:t>/</w:t>
      </w:r>
      <w:r w:rsidRPr="00DF02C5">
        <w:rPr>
          <w:rFonts w:hAnsi="Times New Roman" w:cs="Times New Roman"/>
          <w:snapToGrid w:val="0"/>
          <w:color w:val="auto"/>
          <w:kern w:val="22"/>
          <w:lang w:val="en-GB"/>
        </w:rPr>
        <w:t>“</w:t>
      </w:r>
      <w:r w:rsidRPr="00DF02C5">
        <w:rPr>
          <w:rFonts w:cs="Times New Roman"/>
          <w:color w:val="auto"/>
          <w:lang w:val="en-GB"/>
        </w:rPr>
        <w:t>no</w:t>
      </w:r>
      <w:r w:rsidRPr="00DF02C5">
        <w:rPr>
          <w:rFonts w:hAnsi="Times New Roman" w:cs="Times New Roman"/>
          <w:snapToGrid w:val="0"/>
          <w:color w:val="auto"/>
          <w:kern w:val="22"/>
          <w:lang w:val="en-GB"/>
        </w:rPr>
        <w:t>”</w:t>
      </w:r>
      <w:r w:rsidRPr="00DF02C5">
        <w:rPr>
          <w:rFonts w:cs="Times New Roman"/>
          <w:color w:val="auto"/>
          <w:lang w:val="en-GB"/>
        </w:rPr>
        <w:t xml:space="preserve"> responses; and (b) </w:t>
      </w:r>
      <w:r w:rsidRPr="00DF02C5">
        <w:rPr>
          <w:rFonts w:hAnsi="Times New Roman" w:cs="Times New Roman"/>
          <w:snapToGrid w:val="0"/>
          <w:color w:val="auto"/>
          <w:kern w:val="22"/>
          <w:lang w:val="en-GB"/>
        </w:rPr>
        <w:t xml:space="preserve">a qualitative analysis based on the information provided in the text entries. </w:t>
      </w:r>
      <w:r w:rsidRPr="00DF02C5">
        <w:rPr>
          <w:rFonts w:hAnsi="Times New Roman" w:cs="Times New Roman"/>
          <w:snapToGrid w:val="0"/>
          <w:kern w:val="22"/>
          <w:lang w:val="en-GB"/>
        </w:rPr>
        <w:t xml:space="preserve"> </w:t>
      </w:r>
      <w:r w:rsidR="009934D4" w:rsidRPr="00DF02C5">
        <w:rPr>
          <w:rFonts w:hAnsi="Times New Roman" w:cs="Times New Roman"/>
          <w:snapToGrid w:val="0"/>
          <w:color w:val="auto"/>
          <w:kern w:val="22"/>
          <w:lang w:val="en-GB"/>
        </w:rPr>
        <w:t>The qualitative analysi</w:t>
      </w:r>
      <w:r w:rsidRPr="00DF02C5">
        <w:rPr>
          <w:rFonts w:hAnsi="Times New Roman" w:cs="Times New Roman"/>
          <w:snapToGrid w:val="0"/>
          <w:color w:val="auto"/>
          <w:kern w:val="22"/>
          <w:lang w:val="en-GB"/>
        </w:rPr>
        <w:t xml:space="preserve">s provides an indication of different types of </w:t>
      </w:r>
      <w:r w:rsidRPr="00721B77">
        <w:rPr>
          <w:rFonts w:hAnsi="Times New Roman" w:cs="Times New Roman"/>
          <w:snapToGrid w:val="0"/>
          <w:color w:val="auto"/>
          <w:kern w:val="22"/>
          <w:lang w:val="en-GB"/>
        </w:rPr>
        <w:t xml:space="preserve">information provided </w:t>
      </w:r>
      <w:r w:rsidR="00EB2983" w:rsidRPr="00721B77">
        <w:rPr>
          <w:rFonts w:hAnsi="Times New Roman" w:cs="Times New Roman"/>
          <w:snapToGrid w:val="0"/>
          <w:color w:val="auto"/>
          <w:kern w:val="22"/>
          <w:lang w:val="en-GB"/>
        </w:rPr>
        <w:t>in response to a question</w:t>
      </w:r>
      <w:r w:rsidRPr="00721B77">
        <w:rPr>
          <w:rFonts w:hAnsi="Times New Roman" w:cs="Times New Roman"/>
          <w:snapToGrid w:val="0"/>
          <w:color w:val="auto"/>
          <w:kern w:val="22"/>
          <w:lang w:val="en-GB"/>
        </w:rPr>
        <w:t>.</w:t>
      </w:r>
    </w:p>
    <w:p w14:paraId="499B17B9" w14:textId="640F32AB" w:rsidR="0049703E" w:rsidRPr="00721B77" w:rsidRDefault="0049703E" w:rsidP="0049703E">
      <w:pPr>
        <w:numPr>
          <w:ilvl w:val="0"/>
          <w:numId w:val="1"/>
        </w:numPr>
        <w:spacing w:before="120" w:after="120"/>
        <w:rPr>
          <w:rFonts w:hAnsi="Times New Roman" w:cs="Times New Roman"/>
          <w:snapToGrid w:val="0"/>
          <w:kern w:val="22"/>
          <w:lang w:val="en-GB"/>
        </w:rPr>
      </w:pPr>
      <w:r w:rsidRPr="00721B77">
        <w:rPr>
          <w:rFonts w:cs="Times New Roman"/>
          <w:color w:val="auto"/>
          <w:lang w:val="en-GB"/>
        </w:rPr>
        <w:t xml:space="preserve">The quantitative analysis provides disaggregated data of the </w:t>
      </w:r>
      <w:r w:rsidRPr="00721B77">
        <w:rPr>
          <w:rFonts w:hAnsi="Times New Roman" w:cs="Times New Roman"/>
          <w:snapToGrid w:val="0"/>
          <w:color w:val="auto"/>
          <w:kern w:val="22"/>
          <w:lang w:val="en-GB"/>
        </w:rPr>
        <w:t>“</w:t>
      </w:r>
      <w:r w:rsidRPr="00721B77">
        <w:rPr>
          <w:rFonts w:cs="Times New Roman"/>
          <w:color w:val="auto"/>
          <w:lang w:val="en-GB"/>
        </w:rPr>
        <w:t>yes</w:t>
      </w:r>
      <w:r w:rsidRPr="00721B77">
        <w:rPr>
          <w:rFonts w:hAnsi="Times New Roman" w:cs="Times New Roman"/>
          <w:snapToGrid w:val="0"/>
          <w:color w:val="auto"/>
          <w:kern w:val="22"/>
          <w:lang w:val="en-GB"/>
        </w:rPr>
        <w:t>”</w:t>
      </w:r>
      <w:r w:rsidRPr="00721B77">
        <w:rPr>
          <w:rFonts w:cs="Times New Roman"/>
          <w:color w:val="auto"/>
          <w:lang w:val="en-GB"/>
        </w:rPr>
        <w:t>/</w:t>
      </w:r>
      <w:r w:rsidRPr="00721B77">
        <w:rPr>
          <w:rFonts w:hAnsi="Times New Roman" w:cs="Times New Roman"/>
          <w:snapToGrid w:val="0"/>
          <w:color w:val="auto"/>
          <w:kern w:val="22"/>
          <w:lang w:val="en-GB"/>
        </w:rPr>
        <w:t>“</w:t>
      </w:r>
      <w:r w:rsidRPr="00721B77">
        <w:rPr>
          <w:rFonts w:cs="Times New Roman"/>
          <w:color w:val="auto"/>
          <w:lang w:val="en-GB"/>
        </w:rPr>
        <w:t>no</w:t>
      </w:r>
      <w:r w:rsidRPr="00721B77">
        <w:rPr>
          <w:rFonts w:hAnsi="Times New Roman" w:cs="Times New Roman"/>
          <w:snapToGrid w:val="0"/>
          <w:color w:val="auto"/>
          <w:kern w:val="22"/>
          <w:lang w:val="en-GB"/>
        </w:rPr>
        <w:t>”</w:t>
      </w:r>
      <w:r w:rsidRPr="00721B77">
        <w:rPr>
          <w:rFonts w:cs="Times New Roman"/>
          <w:color w:val="auto"/>
          <w:lang w:val="en-GB"/>
        </w:rPr>
        <w:t xml:space="preserve"> responses provided by Parties and by non-Parties and a breakdown of the information by CBD regions.</w:t>
      </w:r>
      <w:r w:rsidRPr="00721B77">
        <w:rPr>
          <w:rFonts w:hAnsi="Times New Roman" w:cs="Times New Roman"/>
          <w:color w:val="auto"/>
          <w:bdr w:val="none" w:sz="0" w:space="0" w:color="auto"/>
          <w:lang w:val="en-GB"/>
        </w:rPr>
        <w:t xml:space="preserve"> </w:t>
      </w:r>
    </w:p>
    <w:p w14:paraId="5DE9E62D" w14:textId="59CF66B2" w:rsidR="0049703E" w:rsidRPr="00DF02C5" w:rsidRDefault="0049703E" w:rsidP="0049703E">
      <w:pPr>
        <w:numPr>
          <w:ilvl w:val="0"/>
          <w:numId w:val="1"/>
        </w:numPr>
        <w:spacing w:before="120" w:after="120"/>
        <w:rPr>
          <w:rFonts w:hAnsi="Times New Roman" w:cs="Times New Roman"/>
          <w:snapToGrid w:val="0"/>
          <w:kern w:val="22"/>
          <w:bdr w:val="none" w:sz="0" w:space="0" w:color="auto"/>
          <w:lang w:val="en-GB"/>
        </w:rPr>
      </w:pPr>
      <w:r w:rsidRPr="00DF02C5">
        <w:rPr>
          <w:rFonts w:cs="Times New Roman"/>
          <w:color w:val="auto"/>
          <w:lang w:val="en-GB"/>
        </w:rPr>
        <w:t xml:space="preserve">With a view to facilitate the use of the interim national report as a tool for exchange of information and experience between countries, the qualitative analysis also includes examples of some of the information provided by countries and </w:t>
      </w:r>
      <w:r w:rsidR="00B80AF5">
        <w:rPr>
          <w:rFonts w:cs="Times New Roman"/>
          <w:color w:val="auto"/>
          <w:lang w:val="en-GB"/>
        </w:rPr>
        <w:t xml:space="preserve">identified </w:t>
      </w:r>
      <w:r w:rsidRPr="00DF02C5">
        <w:rPr>
          <w:rFonts w:cs="Times New Roman"/>
          <w:color w:val="auto"/>
          <w:lang w:val="en-GB"/>
        </w:rPr>
        <w:t xml:space="preserve">countries that provided similar information or adopted similar approaches to implementation of the Protocol. </w:t>
      </w:r>
    </w:p>
    <w:p w14:paraId="7130419C" w14:textId="2A2AECB3" w:rsidR="0049703E" w:rsidRPr="00DF02C5" w:rsidRDefault="0049703E" w:rsidP="0049703E">
      <w:pPr>
        <w:numPr>
          <w:ilvl w:val="0"/>
          <w:numId w:val="1"/>
        </w:numPr>
        <w:spacing w:before="120" w:after="120"/>
        <w:rPr>
          <w:rFonts w:hAnsi="Times New Roman" w:cs="Times New Roman"/>
          <w:snapToGrid w:val="0"/>
          <w:kern w:val="22"/>
          <w:bdr w:val="none" w:sz="0" w:space="0" w:color="auto"/>
          <w:lang w:val="en-GB"/>
        </w:rPr>
      </w:pPr>
      <w:r w:rsidRPr="00DF02C5">
        <w:rPr>
          <w:rFonts w:hAnsi="Times New Roman" w:cs="Times New Roman"/>
          <w:snapToGrid w:val="0"/>
          <w:kern w:val="22"/>
          <w:bdr w:val="none" w:sz="0" w:space="0" w:color="auto"/>
          <w:lang w:val="en-GB"/>
        </w:rPr>
        <w:t xml:space="preserve">Given the </w:t>
      </w:r>
      <w:r w:rsidRPr="00DF02C5">
        <w:rPr>
          <w:rFonts w:cs="Times New Roman"/>
          <w:color w:val="auto"/>
          <w:lang w:val="en-GB"/>
        </w:rPr>
        <w:t>amount</w:t>
      </w:r>
      <w:r w:rsidRPr="00DF02C5">
        <w:rPr>
          <w:rFonts w:hAnsi="Times New Roman" w:cs="Times New Roman"/>
          <w:snapToGrid w:val="0"/>
          <w:kern w:val="22"/>
          <w:bdr w:val="none" w:sz="0" w:space="0" w:color="auto"/>
          <w:lang w:val="en-GB"/>
        </w:rPr>
        <w:t xml:space="preserve"> of information analysed and the ambiguity of some</w:t>
      </w:r>
      <w:r w:rsidR="00E266DE" w:rsidRPr="00DF02C5">
        <w:rPr>
          <w:rFonts w:hAnsi="Times New Roman" w:cs="Times New Roman"/>
          <w:snapToGrid w:val="0"/>
          <w:kern w:val="22"/>
          <w:bdr w:val="none" w:sz="0" w:space="0" w:color="auto"/>
          <w:lang w:val="en-GB"/>
        </w:rPr>
        <w:t xml:space="preserve"> of the answers</w:t>
      </w:r>
      <w:r w:rsidRPr="00DF02C5">
        <w:rPr>
          <w:rFonts w:hAnsi="Times New Roman" w:cs="Times New Roman"/>
          <w:snapToGrid w:val="0"/>
          <w:kern w:val="22"/>
          <w:bdr w:val="none" w:sz="0" w:space="0" w:color="auto"/>
          <w:lang w:val="en-GB"/>
        </w:rPr>
        <w:t xml:space="preserve"> provided, the lists of countries that</w:t>
      </w:r>
      <w:r w:rsidRPr="00DF02C5">
        <w:rPr>
          <w:rFonts w:cs="Times New Roman"/>
          <w:color w:val="auto"/>
          <w:lang w:val="en-GB"/>
        </w:rPr>
        <w:t xml:space="preserve"> provided similar information or adopted similar approaches to implementation</w:t>
      </w:r>
      <w:r w:rsidRPr="00DF02C5">
        <w:rPr>
          <w:rFonts w:hAnsi="Times New Roman" w:cs="Times New Roman"/>
          <w:snapToGrid w:val="0"/>
          <w:kern w:val="22"/>
          <w:bdr w:val="none" w:sz="0" w:space="0" w:color="auto"/>
          <w:lang w:val="en-GB"/>
        </w:rPr>
        <w:t xml:space="preserve"> are </w:t>
      </w:r>
      <w:r w:rsidRPr="00DF02C5">
        <w:rPr>
          <w:rFonts w:hAnsi="Times New Roman" w:cs="Times New Roman"/>
          <w:snapToGrid w:val="0"/>
          <w:kern w:val="22"/>
          <w:bdr w:val="none" w:sz="0" w:space="0" w:color="auto"/>
          <w:lang w:val="en-GB"/>
        </w:rPr>
        <w:lastRenderedPageBreak/>
        <w:t xml:space="preserve">indicative and non-exhaustive. </w:t>
      </w:r>
      <w:r w:rsidRPr="00DF02C5">
        <w:rPr>
          <w:rFonts w:cs="Times New Roman"/>
          <w:lang w:val="en-GB"/>
        </w:rPr>
        <w:t>It should be noted that such examples are included to facilitate the sharing of information and should not be interpreted outside the framework of the complete report submitted by the country.</w:t>
      </w:r>
    </w:p>
    <w:p w14:paraId="6351E1C6" w14:textId="061DB559" w:rsidR="0049703E" w:rsidRPr="00DF02C5" w:rsidRDefault="0049703E" w:rsidP="0049703E">
      <w:pPr>
        <w:numPr>
          <w:ilvl w:val="0"/>
          <w:numId w:val="1"/>
        </w:numPr>
        <w:spacing w:before="120" w:after="120"/>
        <w:rPr>
          <w:rFonts w:hAnsi="Times New Roman" w:cs="Times New Roman"/>
          <w:snapToGrid w:val="0"/>
          <w:kern w:val="22"/>
          <w:bdr w:val="none" w:sz="0" w:space="0" w:color="auto"/>
          <w:lang w:val="en-GB"/>
        </w:rPr>
      </w:pPr>
      <w:r w:rsidRPr="00DF02C5">
        <w:rPr>
          <w:rFonts w:cs="Times New Roman"/>
          <w:color w:val="auto"/>
          <w:lang w:val="en-GB"/>
        </w:rPr>
        <w:t xml:space="preserve">The narrative analysis does not differentiate between the information provided by Parties and non-Parties. The word </w:t>
      </w:r>
      <w:r w:rsidRPr="00DF02C5">
        <w:rPr>
          <w:rFonts w:hAnsi="Times New Roman" w:cs="Times New Roman"/>
          <w:snapToGrid w:val="0"/>
          <w:color w:val="auto"/>
          <w:kern w:val="22"/>
          <w:lang w:val="en-GB"/>
        </w:rPr>
        <w:t>“</w:t>
      </w:r>
      <w:r w:rsidRPr="00DF02C5">
        <w:rPr>
          <w:rFonts w:cs="Times New Roman"/>
          <w:color w:val="auto"/>
          <w:lang w:val="en-GB"/>
        </w:rPr>
        <w:t>country</w:t>
      </w:r>
      <w:r w:rsidRPr="00DF02C5">
        <w:rPr>
          <w:rFonts w:hAnsi="Times New Roman" w:cs="Times New Roman"/>
          <w:snapToGrid w:val="0"/>
          <w:color w:val="auto"/>
          <w:kern w:val="22"/>
          <w:lang w:val="en-GB"/>
        </w:rPr>
        <w:t>”</w:t>
      </w:r>
      <w:r w:rsidRPr="00DF02C5">
        <w:rPr>
          <w:rFonts w:cs="Times New Roman"/>
          <w:color w:val="auto"/>
          <w:lang w:val="en-GB"/>
        </w:rPr>
        <w:t xml:space="preserve"> is used when the analysis incorporated both Parties and non-Parties.</w:t>
      </w:r>
      <w:r w:rsidR="00E266DE" w:rsidRPr="00DF02C5">
        <w:rPr>
          <w:rFonts w:cs="Times New Roman"/>
          <w:color w:val="auto"/>
          <w:vertAlign w:val="superscript"/>
          <w:lang w:val="en-GB"/>
        </w:rPr>
        <w:t xml:space="preserve"> </w:t>
      </w:r>
      <w:r w:rsidR="00E266DE" w:rsidRPr="00DF02C5">
        <w:rPr>
          <w:rFonts w:cs="Times New Roman"/>
          <w:color w:val="auto"/>
          <w:vertAlign w:val="superscript"/>
          <w:lang w:val="en-GB"/>
        </w:rPr>
        <w:footnoteReference w:id="8"/>
      </w:r>
    </w:p>
    <w:p w14:paraId="574F5C8B" w14:textId="77777777" w:rsidR="0049703E" w:rsidRPr="00DF02C5" w:rsidRDefault="0049703E" w:rsidP="003500AA">
      <w:pPr>
        <w:keepNext/>
        <w:spacing w:before="360" w:after="120"/>
        <w:jc w:val="center"/>
        <w:outlineLvl w:val="0"/>
        <w:rPr>
          <w:rFonts w:eastAsia="Times New Roman" w:hAnsi="Times New Roman" w:cs="Times New Roman"/>
          <w:b/>
          <w:bCs/>
          <w:caps/>
          <w:snapToGrid w:val="0"/>
          <w:kern w:val="22"/>
          <w:lang w:val="en-GB"/>
        </w:rPr>
      </w:pPr>
      <w:bookmarkStart w:id="6" w:name="_Toc511112602"/>
      <w:r w:rsidRPr="00DF02C5">
        <w:rPr>
          <w:rFonts w:eastAsia="Times New Roman" w:hAnsi="Times New Roman" w:cs="Times New Roman"/>
          <w:b/>
          <w:bCs/>
          <w:caps/>
          <w:snapToGrid w:val="0"/>
          <w:kern w:val="22"/>
          <w:lang w:val="en-GB"/>
        </w:rPr>
        <w:t>III.</w:t>
      </w:r>
      <w:r w:rsidRPr="00DF02C5">
        <w:rPr>
          <w:rFonts w:eastAsia="Times New Roman" w:hAnsi="Times New Roman" w:cs="Times New Roman"/>
          <w:b/>
          <w:bCs/>
          <w:caps/>
          <w:snapToGrid w:val="0"/>
          <w:kern w:val="22"/>
          <w:lang w:val="en-GB"/>
        </w:rPr>
        <w:tab/>
        <w:t>Analysis of information provided by countries</w:t>
      </w:r>
      <w:bookmarkEnd w:id="6"/>
    </w:p>
    <w:p w14:paraId="1A9E24C1" w14:textId="77777777" w:rsidR="0049703E" w:rsidRPr="00DF02C5" w:rsidRDefault="0049703E" w:rsidP="0035576A">
      <w:pPr>
        <w:keepNext/>
        <w:numPr>
          <w:ilvl w:val="0"/>
          <w:numId w:val="10"/>
        </w:numPr>
        <w:tabs>
          <w:tab w:val="left" w:pos="1701"/>
        </w:tabs>
        <w:spacing w:before="240" w:after="120"/>
        <w:ind w:left="1701" w:right="810" w:hanging="851"/>
        <w:jc w:val="left"/>
        <w:outlineLvl w:val="1"/>
        <w:rPr>
          <w:rFonts w:eastAsia="Calibri" w:hAnsi="Times New Roman" w:cs="Times New Roman"/>
          <w:b/>
          <w:bCs/>
          <w:iCs/>
          <w:snapToGrid w:val="0"/>
          <w:kern w:val="22"/>
          <w:lang w:val="en-GB"/>
        </w:rPr>
      </w:pPr>
      <w:bookmarkStart w:id="7" w:name="_Toc511112603"/>
      <w:r w:rsidRPr="00DF02C5">
        <w:rPr>
          <w:rFonts w:eastAsia="Calibri" w:hAnsi="Times New Roman" w:cs="Times New Roman"/>
          <w:b/>
          <w:bCs/>
          <w:iCs/>
          <w:snapToGrid w:val="0"/>
          <w:kern w:val="22"/>
          <w:lang w:val="en-GB"/>
        </w:rPr>
        <w:t>Institutional structures for the implementation of the Protocol (questions 3 to 10)</w:t>
      </w:r>
      <w:bookmarkEnd w:id="7"/>
    </w:p>
    <w:p w14:paraId="3FF4B4F0" w14:textId="771F91C7" w:rsidR="0049703E" w:rsidRPr="00DF02C5" w:rsidRDefault="0049703E" w:rsidP="00F937B9">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 xml:space="preserve">The assessment of progress made by countries and the analysis of information found in this section, is based on the information provided by countries in their interim national reports and information published in the ABS Clearing-House. </w:t>
      </w:r>
      <w:r w:rsidR="00F937B9" w:rsidRPr="00DF02C5">
        <w:rPr>
          <w:rFonts w:hAnsi="Times New Roman" w:cs="Times New Roman"/>
          <w:snapToGrid w:val="0"/>
          <w:color w:val="auto"/>
          <w:kern w:val="22"/>
          <w:lang w:val="en-GB"/>
        </w:rPr>
        <w:t xml:space="preserve">For those Parties that did not submit an interim national report, information provided through the NBSAPs and the fifth national reports on the implementation of the Convention has been considered. </w:t>
      </w:r>
      <w:r w:rsidRPr="00DF02C5">
        <w:rPr>
          <w:rFonts w:hAnsi="Times New Roman" w:cs="Times New Roman"/>
          <w:snapToGrid w:val="0"/>
          <w:color w:val="auto"/>
          <w:kern w:val="22"/>
          <w:lang w:val="en-GB"/>
        </w:rPr>
        <w:t xml:space="preserve">Therefore, the information presented in this section takes into account the total of Parties and non-Parties to the Protocol and not only those countries that submitted an interim national report. </w:t>
      </w:r>
    </w:p>
    <w:p w14:paraId="29CE3733" w14:textId="4FC786BD" w:rsidR="0049703E" w:rsidRPr="00DF02C5" w:rsidRDefault="0049703E" w:rsidP="0049703E">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 xml:space="preserve">Each question of this section of the report invites countries to provide a summary of the main difficulties and challenges encountered. Taking into account the overlap and duplication of the information provided under different questions, subsection 7 below on “Additional information” </w:t>
      </w:r>
      <w:r w:rsidR="00F937B9" w:rsidRPr="00DF02C5">
        <w:rPr>
          <w:rFonts w:hAnsi="Times New Roman" w:cs="Times New Roman"/>
          <w:snapToGrid w:val="0"/>
          <w:color w:val="auto"/>
          <w:kern w:val="22"/>
          <w:lang w:val="en-GB"/>
        </w:rPr>
        <w:t xml:space="preserve">addresses </w:t>
      </w:r>
      <w:r w:rsidRPr="00DF02C5">
        <w:rPr>
          <w:rFonts w:hAnsi="Times New Roman" w:cs="Times New Roman"/>
          <w:snapToGrid w:val="0"/>
          <w:color w:val="auto"/>
          <w:kern w:val="22"/>
          <w:lang w:val="en-GB"/>
        </w:rPr>
        <w:t xml:space="preserve">all the challenges and difficulties identified to put in place the institutional structures for the implementation of the Protocol.  </w:t>
      </w:r>
    </w:p>
    <w:p w14:paraId="17155934" w14:textId="475D90DD" w:rsidR="0049703E" w:rsidRPr="0035576A" w:rsidRDefault="00711362" w:rsidP="0035576A">
      <w:pPr>
        <w:pStyle w:val="Para1"/>
        <w:numPr>
          <w:ilvl w:val="0"/>
          <w:numId w:val="85"/>
        </w:numPr>
        <w:spacing w:before="240" w:line="228" w:lineRule="auto"/>
        <w:rPr>
          <w:rFonts w:eastAsia="Calibri" w:hAnsi="Times New Roman"/>
          <w:i/>
          <w:snapToGrid w:val="0"/>
          <w:kern w:val="22"/>
          <w:bdr w:val="none" w:sz="0" w:space="0" w:color="auto"/>
          <w:lang w:val="en-GB"/>
        </w:rPr>
      </w:pPr>
      <w:r w:rsidRPr="0035576A">
        <w:rPr>
          <w:rFonts w:eastAsia="Calibri" w:hAnsi="Times New Roman"/>
          <w:i/>
          <w:snapToGrid w:val="0"/>
          <w:kern w:val="22"/>
          <w:bdr w:val="none" w:sz="0" w:space="0" w:color="auto"/>
          <w:lang w:val="en-GB"/>
        </w:rPr>
        <w:t>Has your country made available information to the ABS Clearing-Hou</w:t>
      </w:r>
      <w:r w:rsidR="0009440F" w:rsidRPr="0035576A">
        <w:rPr>
          <w:rFonts w:eastAsia="Calibri" w:hAnsi="Times New Roman"/>
          <w:i/>
          <w:snapToGrid w:val="0"/>
          <w:kern w:val="22"/>
          <w:bdr w:val="none" w:sz="0" w:space="0" w:color="auto"/>
          <w:lang w:val="en-GB"/>
        </w:rPr>
        <w:t>se as provided in Article 14.2?</w:t>
      </w:r>
      <w:r w:rsidR="00E53A27" w:rsidRPr="0035576A">
        <w:rPr>
          <w:rFonts w:eastAsia="Calibri" w:hAnsi="Times New Roman"/>
          <w:i/>
          <w:snapToGrid w:val="0"/>
          <w:kern w:val="22"/>
          <w:bdr w:val="none" w:sz="0" w:space="0" w:color="auto"/>
          <w:lang w:val="en-GB"/>
        </w:rPr>
        <w:t xml:space="preserve"> (</w:t>
      </w:r>
      <w:r w:rsidR="00E96A2F" w:rsidRPr="0035576A">
        <w:rPr>
          <w:rFonts w:eastAsia="Calibri" w:hAnsi="Times New Roman"/>
          <w:i/>
          <w:snapToGrid w:val="0"/>
          <w:kern w:val="22"/>
          <w:bdr w:val="none" w:sz="0" w:space="0" w:color="auto"/>
          <w:lang w:val="en-GB"/>
        </w:rPr>
        <w:t xml:space="preserve">question </w:t>
      </w:r>
      <w:r w:rsidR="0049703E" w:rsidRPr="0035576A">
        <w:rPr>
          <w:rFonts w:eastAsia="Calibri" w:hAnsi="Times New Roman"/>
          <w:i/>
          <w:snapToGrid w:val="0"/>
          <w:kern w:val="22"/>
          <w:bdr w:val="none" w:sz="0" w:space="0" w:color="auto"/>
          <w:lang w:val="en-GB"/>
        </w:rPr>
        <w:t>3)</w:t>
      </w:r>
    </w:p>
    <w:p w14:paraId="0EF3509D" w14:textId="6D419F88" w:rsidR="00710BF0" w:rsidRPr="00DF02C5" w:rsidRDefault="00577044" w:rsidP="00393914">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SimSun"/>
          <w:kern w:val="22"/>
          <w:lang w:val="en-GB"/>
        </w:rPr>
      </w:pPr>
      <w:r>
        <w:rPr>
          <w:rFonts w:eastAsia="SimSun"/>
          <w:kern w:val="22"/>
          <w:lang w:val="en-GB"/>
        </w:rPr>
        <w:t>Up to</w:t>
      </w:r>
      <w:r w:rsidR="00710BF0" w:rsidRPr="00DF02C5">
        <w:rPr>
          <w:rFonts w:eastAsia="SimSun"/>
          <w:kern w:val="22"/>
          <w:lang w:val="en-GB"/>
        </w:rPr>
        <w:t xml:space="preserve"> 22 February 2018, 54 Parties and 8 non-Parties have published </w:t>
      </w:r>
      <w:r w:rsidR="00710BF0" w:rsidRPr="00DF02C5">
        <w:rPr>
          <w:kern w:val="22"/>
          <w:lang w:val="en-GB"/>
        </w:rPr>
        <w:t>ABS measures, competent national authorities, checkpoints or internationally recognized certificates of compliance</w:t>
      </w:r>
      <w:r w:rsidR="00710BF0" w:rsidRPr="00DF02C5">
        <w:rPr>
          <w:rFonts w:eastAsia="SimSun"/>
          <w:kern w:val="22"/>
          <w:lang w:val="en-GB"/>
        </w:rPr>
        <w:t xml:space="preserve"> in the ABS Clearing-House.</w:t>
      </w:r>
      <w:r w:rsidR="00710BF0" w:rsidRPr="00DF02C5">
        <w:rPr>
          <w:rStyle w:val="FootnoteReference"/>
          <w:rFonts w:eastAsia="SimSun"/>
          <w:kern w:val="22"/>
          <w:lang w:val="en-GB"/>
        </w:rPr>
        <w:footnoteReference w:id="9"/>
      </w:r>
    </w:p>
    <w:p w14:paraId="4A7CF1BA" w14:textId="2A731B60" w:rsidR="0009440F" w:rsidRPr="00DF02C5" w:rsidRDefault="00F937B9" w:rsidP="0009440F">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lang w:val="en-GB"/>
        </w:rPr>
      </w:pPr>
      <w:r w:rsidRPr="00DF02C5">
        <w:rPr>
          <w:rFonts w:eastAsia="SimSun" w:hAnsi="Times New Roman"/>
          <w:color w:val="auto"/>
          <w:kern w:val="22"/>
          <w:szCs w:val="24"/>
          <w:bdr w:val="none" w:sz="0" w:space="0" w:color="auto"/>
          <w:lang w:val="en-GB"/>
        </w:rPr>
        <w:t xml:space="preserve">46 Parties and </w:t>
      </w:r>
      <w:r w:rsidR="00F517EA" w:rsidRPr="00DF02C5">
        <w:rPr>
          <w:rFonts w:eastAsia="SimSun" w:hAnsi="Times New Roman"/>
          <w:color w:val="auto"/>
          <w:kern w:val="22"/>
          <w:szCs w:val="24"/>
          <w:bdr w:val="none" w:sz="0" w:space="0" w:color="auto"/>
          <w:lang w:val="en-GB"/>
        </w:rPr>
        <w:t>15</w:t>
      </w:r>
      <w:r w:rsidRPr="00DF02C5">
        <w:rPr>
          <w:rFonts w:eastAsia="SimSun" w:hAnsi="Times New Roman"/>
          <w:color w:val="auto"/>
          <w:kern w:val="22"/>
          <w:szCs w:val="24"/>
          <w:bdr w:val="none" w:sz="0" w:space="0" w:color="auto"/>
          <w:lang w:val="en-GB"/>
        </w:rPr>
        <w:t xml:space="preserve"> non-Parties indicated in the interim national report, NBSAP or fifth national report having </w:t>
      </w:r>
      <w:r w:rsidRPr="00DF02C5">
        <w:rPr>
          <w:rFonts w:eastAsia="SimSun"/>
          <w:kern w:val="22"/>
          <w:lang w:val="en-GB"/>
        </w:rPr>
        <w:t>ABS</w:t>
      </w:r>
      <w:r w:rsidRPr="00DF02C5">
        <w:rPr>
          <w:rFonts w:eastAsia="SimSun" w:hAnsi="Times New Roman"/>
          <w:color w:val="auto"/>
          <w:kern w:val="22"/>
          <w:szCs w:val="24"/>
          <w:bdr w:val="none" w:sz="0" w:space="0" w:color="auto"/>
          <w:lang w:val="en-GB"/>
        </w:rPr>
        <w:t xml:space="preserve"> measures, </w:t>
      </w:r>
      <w:r w:rsidRPr="00DF02C5">
        <w:rPr>
          <w:rFonts w:eastAsia="SimSun"/>
          <w:kern w:val="22"/>
          <w:lang w:val="en-GB"/>
        </w:rPr>
        <w:t>competent</w:t>
      </w:r>
      <w:r w:rsidRPr="00DF02C5">
        <w:rPr>
          <w:rFonts w:eastAsia="SimSun" w:hAnsi="Times New Roman"/>
          <w:color w:val="auto"/>
          <w:kern w:val="22"/>
          <w:szCs w:val="24"/>
          <w:bdr w:val="none" w:sz="0" w:space="0" w:color="auto"/>
          <w:lang w:val="en-GB"/>
        </w:rPr>
        <w:t xml:space="preserve"> national authorities, checkpoints or permits or their equivalents that have not yet been made available to the ABS Clearing-House.</w:t>
      </w:r>
      <w:r w:rsidRPr="00DF02C5">
        <w:rPr>
          <w:rStyle w:val="FootnoteReference"/>
          <w:lang w:val="en-GB"/>
        </w:rPr>
        <w:footnoteReference w:id="10"/>
      </w:r>
      <w:r w:rsidRPr="00DF02C5">
        <w:rPr>
          <w:rStyle w:val="FootnoteReference"/>
          <w:lang w:val="en-GB"/>
        </w:rPr>
        <w:t xml:space="preserve"> </w:t>
      </w:r>
      <w:r w:rsidR="0009440F" w:rsidRPr="00DF02C5">
        <w:rPr>
          <w:lang w:val="en-GB"/>
        </w:rPr>
        <w:t xml:space="preserve">Some </w:t>
      </w:r>
      <w:r w:rsidR="00DF02C5" w:rsidRPr="00DF02C5">
        <w:rPr>
          <w:lang w:val="en-GB"/>
        </w:rPr>
        <w:t>countries also</w:t>
      </w:r>
      <w:r w:rsidR="0009440F" w:rsidRPr="00DF02C5">
        <w:rPr>
          <w:lang w:val="en-GB"/>
        </w:rPr>
        <w:t xml:space="preserve"> indicated their plans for developing a national clearing-house.</w:t>
      </w:r>
    </w:p>
    <w:p w14:paraId="583260F0" w14:textId="6B195943" w:rsidR="00F937B9" w:rsidRPr="00DF02C5" w:rsidRDefault="007D5F65" w:rsidP="007D5F65">
      <w:pPr>
        <w:pStyle w:val="Caption"/>
        <w:keepNext/>
        <w:keepLines/>
        <w:rPr>
          <w:lang w:val="en-GB"/>
        </w:rPr>
      </w:pPr>
      <w:r w:rsidRPr="00DF02C5">
        <w:rPr>
          <w:lang w:val="en-GB"/>
        </w:rPr>
        <w:lastRenderedPageBreak/>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00E5256F" w:rsidRPr="00DF02C5">
        <w:rPr>
          <w:noProof/>
          <w:lang w:val="en-GB"/>
        </w:rPr>
        <w:t>1</w:t>
      </w:r>
      <w:r w:rsidRPr="00DF02C5">
        <w:rPr>
          <w:lang w:val="en-GB"/>
        </w:rPr>
        <w:fldChar w:fldCharType="end"/>
      </w:r>
      <w:r w:rsidR="00F937B9" w:rsidRPr="00DF02C5">
        <w:rPr>
          <w:lang w:val="en-GB"/>
        </w:rPr>
        <w:t>: Status of progress by Parties in publishing information in the ABS Clearing-</w:t>
      </w:r>
      <w:r w:rsidR="00DF02C5" w:rsidRPr="00DF02C5">
        <w:rPr>
          <w:lang w:val="en-GB"/>
        </w:rPr>
        <w:t xml:space="preserve">House </w:t>
      </w:r>
      <w:r w:rsidR="00F937B9" w:rsidRPr="00DF02C5">
        <w:rPr>
          <w:lang w:val="en-GB"/>
        </w:rPr>
        <w:br/>
        <w:t>(</w:t>
      </w:r>
      <w:r w:rsidR="00577044">
        <w:rPr>
          <w:lang w:val="en-GB"/>
        </w:rPr>
        <w:t xml:space="preserve">up to </w:t>
      </w:r>
      <w:r w:rsidR="00F937B9" w:rsidRPr="00DF02C5">
        <w:rPr>
          <w:lang w:val="en-GB"/>
        </w:rPr>
        <w:t>22 February 2018)</w:t>
      </w:r>
    </w:p>
    <w:p w14:paraId="1FBDBE84" w14:textId="1C6B8E75" w:rsidR="00F937B9" w:rsidRPr="00DF02C5" w:rsidRDefault="0009440F" w:rsidP="00F937B9">
      <w:pPr>
        <w:pStyle w:val="ListParagraph"/>
        <w:spacing w:before="120" w:after="120"/>
        <w:jc w:val="center"/>
        <w:rPr>
          <w:rFonts w:eastAsia="SimSun"/>
          <w:kern w:val="22"/>
          <w:lang w:val="en-GB"/>
        </w:rPr>
      </w:pPr>
      <w:r w:rsidRPr="00DF02C5">
        <w:rPr>
          <w:noProof/>
        </w:rPr>
        <w:drawing>
          <wp:inline distT="0" distB="0" distL="0" distR="0" wp14:anchorId="6544E6A8" wp14:editId="5C35ABAF">
            <wp:extent cx="3857625" cy="2047875"/>
            <wp:effectExtent l="0" t="0" r="9525" b="952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9800E2A" w14:textId="77777777" w:rsidR="00196B7B" w:rsidRPr="00DF02C5" w:rsidRDefault="00196B7B" w:rsidP="00196B7B">
      <w:pPr>
        <w:spacing w:before="120" w:after="120"/>
        <w:rPr>
          <w:rFonts w:hAnsi="Times New Roman" w:cs="Times New Roman"/>
          <w:snapToGrid w:val="0"/>
          <w:color w:val="auto"/>
          <w:kern w:val="22"/>
          <w:lang w:val="en-GB"/>
        </w:rPr>
      </w:pPr>
    </w:p>
    <w:p w14:paraId="61585CD2" w14:textId="178BD84B" w:rsidR="0049703E" w:rsidRPr="0035576A" w:rsidRDefault="00F82A92" w:rsidP="0035576A">
      <w:pPr>
        <w:pStyle w:val="Para1"/>
        <w:numPr>
          <w:ilvl w:val="0"/>
          <w:numId w:val="85"/>
        </w:numPr>
        <w:spacing w:before="240" w:line="228" w:lineRule="auto"/>
        <w:rPr>
          <w:rFonts w:eastAsia="Calibri" w:hAnsi="Times New Roman"/>
          <w:i/>
          <w:snapToGrid w:val="0"/>
          <w:kern w:val="22"/>
          <w:bdr w:val="none" w:sz="0" w:space="0" w:color="auto"/>
          <w:lang w:val="en-GB"/>
        </w:rPr>
      </w:pPr>
      <w:r w:rsidRPr="0035576A">
        <w:rPr>
          <w:rFonts w:eastAsia="Calibri" w:hAnsi="Times New Roman"/>
          <w:i/>
          <w:snapToGrid w:val="0"/>
          <w:kern w:val="22"/>
          <w:bdr w:val="none" w:sz="0" w:space="0" w:color="auto"/>
          <w:lang w:val="en-GB"/>
        </w:rPr>
        <w:t xml:space="preserve">Has your country taken legislative, administrative and policy measures on ABS? </w:t>
      </w:r>
      <w:r w:rsidR="0049703E" w:rsidRPr="0035576A">
        <w:rPr>
          <w:rFonts w:eastAsia="Calibri" w:hAnsi="Times New Roman"/>
          <w:i/>
          <w:snapToGrid w:val="0"/>
          <w:kern w:val="22"/>
          <w:bdr w:val="none" w:sz="0" w:space="0" w:color="auto"/>
          <w:lang w:val="en-GB"/>
        </w:rPr>
        <w:t>(question 4)</w:t>
      </w:r>
    </w:p>
    <w:p w14:paraId="5C5ECCC3" w14:textId="77777777" w:rsidR="0049703E" w:rsidRPr="00DF02C5" w:rsidRDefault="0049703E" w:rsidP="00393914">
      <w:pPr>
        <w:numPr>
          <w:ilvl w:val="1"/>
          <w:numId w:val="1"/>
        </w:numPr>
        <w:spacing w:before="120" w:after="120"/>
        <w:rPr>
          <w:rFonts w:hAnsi="Times New Roman" w:cs="Times New Roman"/>
          <w:i/>
          <w:snapToGrid w:val="0"/>
          <w:color w:val="auto"/>
          <w:kern w:val="22"/>
          <w:lang w:val="en-GB"/>
        </w:rPr>
      </w:pPr>
      <w:r w:rsidRPr="00DF02C5">
        <w:rPr>
          <w:rFonts w:hAnsi="Times New Roman" w:cs="Times New Roman"/>
          <w:i/>
          <w:snapToGrid w:val="0"/>
          <w:color w:val="auto"/>
          <w:kern w:val="22"/>
          <w:lang w:val="en-GB"/>
        </w:rPr>
        <w:t>Progress in establishing ABS legislative, administrative or policy measures to implement the provisions of the Protocol by Parties</w:t>
      </w:r>
    </w:p>
    <w:p w14:paraId="3BE24469" w14:textId="3F7018C6" w:rsidR="0049703E" w:rsidRPr="00DF02C5" w:rsidRDefault="0049703E" w:rsidP="00393914">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Of the countries that have ratified the Protocol</w:t>
      </w:r>
      <w:r w:rsidR="0084651B" w:rsidRPr="00DF02C5">
        <w:rPr>
          <w:rFonts w:hAnsi="Times New Roman" w:cs="Times New Roman"/>
          <w:snapToGrid w:val="0"/>
          <w:color w:val="auto"/>
          <w:kern w:val="22"/>
          <w:lang w:val="en-GB"/>
        </w:rPr>
        <w:t>, 75 (71</w:t>
      </w:r>
      <w:r w:rsidRPr="00DF02C5">
        <w:rPr>
          <w:rFonts w:hAnsi="Times New Roman" w:cs="Times New Roman"/>
          <w:snapToGrid w:val="0"/>
          <w:color w:val="auto"/>
          <w:kern w:val="22"/>
          <w:lang w:val="en-GB"/>
        </w:rPr>
        <w:t xml:space="preserve">% of 105 Parties) have </w:t>
      </w:r>
      <w:r w:rsidRPr="00DF02C5">
        <w:rPr>
          <w:rFonts w:hAnsi="Times New Roman" w:cs="Times New Roman"/>
          <w:snapToGrid w:val="0"/>
          <w:kern w:val="22"/>
          <w:lang w:val="en-GB"/>
        </w:rPr>
        <w:t>published measures in the ABS Clearing-House</w:t>
      </w:r>
      <w:r w:rsidRPr="00DF02C5">
        <w:rPr>
          <w:rFonts w:hAnsi="Times New Roman" w:cs="Times New Roman"/>
          <w:snapToGrid w:val="0"/>
          <w:color w:val="auto"/>
          <w:kern w:val="22"/>
          <w:lang w:val="en-GB"/>
        </w:rPr>
        <w:t xml:space="preserve"> or reported having ABS measures established</w:t>
      </w:r>
      <w:r w:rsidR="0084651B" w:rsidRPr="00DF02C5">
        <w:rPr>
          <w:rFonts w:hAnsi="Times New Roman" w:cs="Times New Roman"/>
          <w:snapToGrid w:val="0"/>
          <w:color w:val="auto"/>
          <w:kern w:val="22"/>
          <w:lang w:val="en-GB"/>
        </w:rPr>
        <w:t xml:space="preserve"> in the interim national report, NBSAP or fifth national report</w:t>
      </w:r>
      <w:r w:rsidRPr="00DF02C5">
        <w:rPr>
          <w:rFonts w:hAnsi="Times New Roman" w:cs="Times New Roman"/>
          <w:snapToGrid w:val="0"/>
          <w:kern w:val="22"/>
          <w:lang w:val="en-GB"/>
        </w:rPr>
        <w:t>. Information provided or</w:t>
      </w:r>
      <w:r w:rsidR="00A76A54" w:rsidRPr="00DF02C5">
        <w:rPr>
          <w:rFonts w:hAnsi="Times New Roman" w:cs="Times New Roman"/>
          <w:snapToGrid w:val="0"/>
          <w:kern w:val="22"/>
          <w:lang w:val="en-GB"/>
        </w:rPr>
        <w:t xml:space="preserve"> available varies among Parties. F</w:t>
      </w:r>
      <w:r w:rsidRPr="00DF02C5">
        <w:rPr>
          <w:rFonts w:hAnsi="Times New Roman" w:cs="Times New Roman"/>
          <w:snapToGrid w:val="0"/>
          <w:kern w:val="22"/>
          <w:lang w:val="en-GB"/>
        </w:rPr>
        <w:t>or example</w:t>
      </w:r>
      <w:r w:rsidRPr="00DF02C5">
        <w:rPr>
          <w:rFonts w:hAnsi="Times New Roman" w:cs="Times New Roman"/>
          <w:snapToGrid w:val="0"/>
          <w:color w:val="auto"/>
          <w:kern w:val="22"/>
          <w:lang w:val="en-GB"/>
        </w:rPr>
        <w:t xml:space="preserve"> some of the measures identified by Parties seem to address directly ABS issues, while other measures appear to be of a more general nature or of relevance to ABS. Also, not all Parties provided information on their ongoing work or </w:t>
      </w:r>
      <w:r w:rsidR="0009440F" w:rsidRPr="00DF02C5">
        <w:rPr>
          <w:rFonts w:hAnsi="Times New Roman" w:cs="Times New Roman"/>
          <w:snapToGrid w:val="0"/>
          <w:color w:val="auto"/>
          <w:kern w:val="22"/>
          <w:lang w:val="en-GB"/>
        </w:rPr>
        <w:t>plan</w:t>
      </w:r>
      <w:r w:rsidRPr="00DF02C5">
        <w:rPr>
          <w:rFonts w:hAnsi="Times New Roman" w:cs="Times New Roman"/>
          <w:snapToGrid w:val="0"/>
          <w:color w:val="auto"/>
          <w:kern w:val="22"/>
          <w:lang w:val="en-GB"/>
        </w:rPr>
        <w:t xml:space="preserve"> to develop additional measures. Based on the available information, the following provides an indicative overview of progress made by Parties</w:t>
      </w:r>
      <w:r w:rsidRPr="00DF02C5">
        <w:rPr>
          <w:rFonts w:hAnsi="Times New Roman" w:cs="Times New Roman"/>
          <w:snapToGrid w:val="0"/>
          <w:kern w:val="22"/>
          <w:lang w:val="en-GB"/>
        </w:rPr>
        <w:t xml:space="preserve">: </w:t>
      </w:r>
    </w:p>
    <w:p w14:paraId="72673560" w14:textId="4B17EA48" w:rsidR="0049703E" w:rsidRPr="00DF02C5" w:rsidRDefault="0084651B" w:rsidP="005038A2">
      <w:pPr>
        <w:numPr>
          <w:ilvl w:val="1"/>
          <w:numId w:val="11"/>
        </w:numPr>
        <w:spacing w:before="120" w:after="120"/>
        <w:ind w:firstLine="720"/>
        <w:rPr>
          <w:rFonts w:hAnsi="Times New Roman" w:cs="Times New Roman"/>
          <w:snapToGrid w:val="0"/>
          <w:color w:val="auto"/>
          <w:kern w:val="22"/>
          <w:lang w:val="en-GB"/>
        </w:rPr>
      </w:pPr>
      <w:r w:rsidRPr="00DF02C5">
        <w:rPr>
          <w:rFonts w:hAnsi="Times New Roman" w:cs="Times New Roman"/>
          <w:snapToGrid w:val="0"/>
          <w:kern w:val="22"/>
          <w:lang w:val="en-GB"/>
        </w:rPr>
        <w:t>16</w:t>
      </w:r>
      <w:r w:rsidR="0049703E" w:rsidRPr="00DF02C5">
        <w:rPr>
          <w:rFonts w:hAnsi="Times New Roman" w:cs="Times New Roman"/>
          <w:snapToGrid w:val="0"/>
          <w:kern w:val="22"/>
          <w:lang w:val="en-GB"/>
        </w:rPr>
        <w:t xml:space="preserve"> Parties have adopted one or more ABS measures</w:t>
      </w:r>
      <w:r w:rsidR="0035576A">
        <w:rPr>
          <w:rFonts w:hAnsi="Times New Roman" w:cs="Times New Roman"/>
          <w:snapToGrid w:val="0"/>
          <w:kern w:val="22"/>
          <w:lang w:val="en-GB"/>
        </w:rPr>
        <w:t>;</w:t>
      </w:r>
      <w:r w:rsidR="0049703E" w:rsidRPr="00DF02C5">
        <w:rPr>
          <w:rFonts w:hAnsi="Times New Roman" w:cs="Times New Roman"/>
          <w:snapToGrid w:val="0"/>
          <w:kern w:val="22"/>
          <w:vertAlign w:val="superscript"/>
          <w:lang w:val="en-GB"/>
        </w:rPr>
        <w:footnoteReference w:id="11"/>
      </w:r>
      <w:r w:rsidR="0049703E" w:rsidRPr="00DF02C5">
        <w:rPr>
          <w:rFonts w:hAnsi="Times New Roman" w:cs="Times New Roman"/>
          <w:snapToGrid w:val="0"/>
          <w:kern w:val="22"/>
          <w:lang w:val="en-GB"/>
        </w:rPr>
        <w:t xml:space="preserve"> </w:t>
      </w:r>
    </w:p>
    <w:p w14:paraId="7C779DC8" w14:textId="71CA0358" w:rsidR="0049703E" w:rsidRPr="00DF02C5" w:rsidRDefault="0084651B" w:rsidP="005038A2">
      <w:pPr>
        <w:numPr>
          <w:ilvl w:val="1"/>
          <w:numId w:val="11"/>
        </w:numPr>
        <w:spacing w:before="120" w:after="120"/>
        <w:ind w:firstLine="720"/>
        <w:rPr>
          <w:rFonts w:hAnsi="Times New Roman" w:cs="Times New Roman"/>
          <w:snapToGrid w:val="0"/>
          <w:color w:val="auto"/>
          <w:kern w:val="22"/>
          <w:lang w:val="en-GB"/>
        </w:rPr>
      </w:pPr>
      <w:r w:rsidRPr="00DF02C5">
        <w:rPr>
          <w:rFonts w:hAnsi="Times New Roman" w:cs="Times New Roman"/>
          <w:snapToGrid w:val="0"/>
          <w:kern w:val="22"/>
          <w:lang w:val="en-GB"/>
        </w:rPr>
        <w:t>42</w:t>
      </w:r>
      <w:r w:rsidR="0049703E" w:rsidRPr="00DF02C5">
        <w:rPr>
          <w:rFonts w:hAnsi="Times New Roman" w:cs="Times New Roman"/>
          <w:snapToGrid w:val="0"/>
          <w:kern w:val="22"/>
          <w:lang w:val="en-GB"/>
        </w:rPr>
        <w:t xml:space="preserve"> Parties have some measures in place and are currently revising existing or developing new ABS measures</w:t>
      </w:r>
      <w:r w:rsidR="0035576A">
        <w:rPr>
          <w:rFonts w:hAnsi="Times New Roman" w:cs="Times New Roman"/>
          <w:snapToGrid w:val="0"/>
          <w:kern w:val="22"/>
          <w:lang w:val="en-GB"/>
        </w:rPr>
        <w:t>;</w:t>
      </w:r>
      <w:r w:rsidR="0049703E" w:rsidRPr="00DF02C5">
        <w:rPr>
          <w:rFonts w:hAnsi="Times New Roman" w:cs="Times New Roman"/>
          <w:snapToGrid w:val="0"/>
          <w:kern w:val="22"/>
          <w:vertAlign w:val="superscript"/>
          <w:lang w:val="en-GB"/>
        </w:rPr>
        <w:footnoteReference w:id="12"/>
      </w:r>
      <w:r w:rsidR="0049703E" w:rsidRPr="00DF02C5">
        <w:rPr>
          <w:rFonts w:hAnsi="Times New Roman" w:cs="Times New Roman"/>
          <w:snapToGrid w:val="0"/>
          <w:kern w:val="22"/>
          <w:lang w:val="en-GB"/>
        </w:rPr>
        <w:t xml:space="preserve"> </w:t>
      </w:r>
    </w:p>
    <w:p w14:paraId="13ECEFE1" w14:textId="24721A55" w:rsidR="0049703E" w:rsidRPr="00DF02C5" w:rsidRDefault="0084651B" w:rsidP="005038A2">
      <w:pPr>
        <w:numPr>
          <w:ilvl w:val="1"/>
          <w:numId w:val="11"/>
        </w:numPr>
        <w:spacing w:before="120" w:after="120"/>
        <w:ind w:firstLine="720"/>
        <w:rPr>
          <w:rFonts w:hAnsi="Times New Roman" w:cs="Times New Roman"/>
          <w:snapToGrid w:val="0"/>
          <w:color w:val="auto"/>
          <w:kern w:val="22"/>
          <w:lang w:val="en-GB"/>
        </w:rPr>
      </w:pPr>
      <w:r w:rsidRPr="00DF02C5">
        <w:rPr>
          <w:rFonts w:hAnsi="Times New Roman" w:cs="Times New Roman"/>
          <w:snapToGrid w:val="0"/>
          <w:kern w:val="22"/>
          <w:lang w:val="en-GB"/>
        </w:rPr>
        <w:t>10</w:t>
      </w:r>
      <w:r w:rsidR="0049703E" w:rsidRPr="00DF02C5">
        <w:rPr>
          <w:rFonts w:hAnsi="Times New Roman" w:cs="Times New Roman"/>
          <w:snapToGrid w:val="0"/>
          <w:kern w:val="22"/>
          <w:lang w:val="en-GB"/>
        </w:rPr>
        <w:t xml:space="preserve"> Parties have some measures in place and are planning to develop </w:t>
      </w:r>
      <w:r w:rsidR="00BD60A0" w:rsidRPr="00DF02C5">
        <w:rPr>
          <w:rFonts w:hAnsi="Times New Roman" w:cs="Times New Roman"/>
          <w:snapToGrid w:val="0"/>
          <w:kern w:val="22"/>
          <w:lang w:val="en-GB"/>
        </w:rPr>
        <w:t xml:space="preserve">additional </w:t>
      </w:r>
      <w:r w:rsidR="0049703E" w:rsidRPr="00DF02C5">
        <w:rPr>
          <w:rFonts w:hAnsi="Times New Roman" w:cs="Times New Roman"/>
          <w:snapToGrid w:val="0"/>
          <w:kern w:val="22"/>
          <w:lang w:val="en-GB"/>
        </w:rPr>
        <w:t>ABS measures</w:t>
      </w:r>
      <w:r w:rsidR="0035576A">
        <w:rPr>
          <w:rFonts w:hAnsi="Times New Roman" w:cs="Times New Roman"/>
          <w:snapToGrid w:val="0"/>
          <w:kern w:val="22"/>
          <w:lang w:val="en-GB"/>
        </w:rPr>
        <w:t>;</w:t>
      </w:r>
      <w:r w:rsidR="0049703E" w:rsidRPr="00DF02C5">
        <w:rPr>
          <w:rFonts w:hAnsi="Times New Roman" w:cs="Times New Roman"/>
          <w:snapToGrid w:val="0"/>
          <w:kern w:val="22"/>
          <w:vertAlign w:val="superscript"/>
          <w:lang w:val="en-GB"/>
        </w:rPr>
        <w:footnoteReference w:id="13"/>
      </w:r>
      <w:r w:rsidR="0049703E" w:rsidRPr="00DF02C5">
        <w:rPr>
          <w:rFonts w:hAnsi="Times New Roman" w:cs="Times New Roman"/>
          <w:snapToGrid w:val="0"/>
          <w:kern w:val="22"/>
          <w:lang w:val="en-GB"/>
        </w:rPr>
        <w:t xml:space="preserve"> </w:t>
      </w:r>
    </w:p>
    <w:p w14:paraId="03BB45B6" w14:textId="0DB7D600" w:rsidR="0049703E" w:rsidRPr="00DF02C5" w:rsidRDefault="0049703E" w:rsidP="005038A2">
      <w:pPr>
        <w:numPr>
          <w:ilvl w:val="1"/>
          <w:numId w:val="11"/>
        </w:numPr>
        <w:spacing w:before="120" w:after="120"/>
        <w:ind w:firstLine="720"/>
        <w:rPr>
          <w:rFonts w:hAnsi="Times New Roman" w:cs="Times New Roman"/>
          <w:snapToGrid w:val="0"/>
          <w:color w:val="auto"/>
          <w:kern w:val="22"/>
          <w:lang w:val="en-GB"/>
        </w:rPr>
      </w:pPr>
      <w:r w:rsidRPr="00DF02C5">
        <w:rPr>
          <w:rFonts w:hAnsi="Times New Roman" w:cs="Times New Roman"/>
          <w:snapToGrid w:val="0"/>
          <w:kern w:val="22"/>
          <w:lang w:val="en-GB"/>
        </w:rPr>
        <w:t>2 Parties have some related measures in place, however there is no indication in the report that they are developing more</w:t>
      </w:r>
      <w:r w:rsidR="0035576A">
        <w:rPr>
          <w:rFonts w:hAnsi="Times New Roman" w:cs="Times New Roman"/>
          <w:snapToGrid w:val="0"/>
          <w:kern w:val="22"/>
          <w:lang w:val="en-GB"/>
        </w:rPr>
        <w:t>;</w:t>
      </w:r>
      <w:r w:rsidRPr="00DF02C5">
        <w:rPr>
          <w:rFonts w:hAnsi="Times New Roman" w:cs="Times New Roman"/>
          <w:snapToGrid w:val="0"/>
          <w:kern w:val="22"/>
          <w:vertAlign w:val="superscript"/>
          <w:lang w:val="en-GB"/>
        </w:rPr>
        <w:footnoteReference w:id="14"/>
      </w:r>
      <w:r w:rsidRPr="00DF02C5">
        <w:rPr>
          <w:rFonts w:hAnsi="Times New Roman" w:cs="Times New Roman"/>
          <w:snapToGrid w:val="0"/>
          <w:kern w:val="22"/>
          <w:lang w:val="en-GB"/>
        </w:rPr>
        <w:t xml:space="preserve">  </w:t>
      </w:r>
    </w:p>
    <w:p w14:paraId="426E08B8" w14:textId="6AE66468" w:rsidR="0049703E" w:rsidRPr="00DF02C5" w:rsidRDefault="0049703E" w:rsidP="005038A2">
      <w:pPr>
        <w:numPr>
          <w:ilvl w:val="1"/>
          <w:numId w:val="11"/>
        </w:numPr>
        <w:spacing w:before="120" w:after="120"/>
        <w:ind w:firstLine="720"/>
        <w:rPr>
          <w:rFonts w:hAnsi="Times New Roman" w:cs="Times New Roman"/>
          <w:snapToGrid w:val="0"/>
          <w:color w:val="auto"/>
          <w:kern w:val="22"/>
          <w:lang w:val="en-GB"/>
        </w:rPr>
      </w:pPr>
      <w:r w:rsidRPr="00DF02C5">
        <w:rPr>
          <w:rFonts w:hAnsi="Times New Roman" w:cs="Times New Roman"/>
          <w:snapToGrid w:val="0"/>
          <w:kern w:val="22"/>
          <w:lang w:val="en-GB"/>
        </w:rPr>
        <w:t>1 Party reported having measures in place</w:t>
      </w:r>
      <w:r w:rsidR="00A76A54" w:rsidRPr="00DF02C5">
        <w:rPr>
          <w:rFonts w:hAnsi="Times New Roman" w:cs="Times New Roman"/>
          <w:snapToGrid w:val="0"/>
          <w:kern w:val="22"/>
          <w:lang w:val="en-GB"/>
        </w:rPr>
        <w:t xml:space="preserve"> (answered “yes” to the question)</w:t>
      </w:r>
      <w:r w:rsidRPr="00DF02C5">
        <w:rPr>
          <w:rFonts w:hAnsi="Times New Roman" w:cs="Times New Roman"/>
          <w:snapToGrid w:val="0"/>
          <w:kern w:val="22"/>
          <w:lang w:val="en-GB"/>
        </w:rPr>
        <w:t xml:space="preserve"> but did not provide further information in their </w:t>
      </w:r>
      <w:r w:rsidR="00A76A54" w:rsidRPr="00DF02C5">
        <w:rPr>
          <w:rFonts w:hAnsi="Times New Roman" w:cs="Times New Roman"/>
          <w:snapToGrid w:val="0"/>
          <w:kern w:val="22"/>
          <w:lang w:val="en-GB"/>
        </w:rPr>
        <w:t xml:space="preserve">interim national </w:t>
      </w:r>
      <w:r w:rsidRPr="00DF02C5">
        <w:rPr>
          <w:rFonts w:hAnsi="Times New Roman" w:cs="Times New Roman"/>
          <w:snapToGrid w:val="0"/>
          <w:kern w:val="22"/>
          <w:lang w:val="en-GB"/>
        </w:rPr>
        <w:t>report</w:t>
      </w:r>
      <w:r w:rsidR="0035576A">
        <w:rPr>
          <w:rFonts w:hAnsi="Times New Roman" w:cs="Times New Roman"/>
          <w:snapToGrid w:val="0"/>
          <w:kern w:val="22"/>
          <w:lang w:val="en-GB"/>
        </w:rPr>
        <w:t>;</w:t>
      </w:r>
      <w:r w:rsidRPr="00DF02C5">
        <w:rPr>
          <w:rFonts w:hAnsi="Times New Roman" w:cs="Times New Roman"/>
          <w:snapToGrid w:val="0"/>
          <w:kern w:val="22"/>
          <w:vertAlign w:val="superscript"/>
          <w:lang w:val="en-GB"/>
        </w:rPr>
        <w:footnoteReference w:id="15"/>
      </w:r>
      <w:r w:rsidRPr="00DF02C5">
        <w:rPr>
          <w:rFonts w:hAnsi="Times New Roman" w:cs="Times New Roman"/>
          <w:snapToGrid w:val="0"/>
          <w:kern w:val="22"/>
          <w:lang w:val="en-GB"/>
        </w:rPr>
        <w:t xml:space="preserve"> and </w:t>
      </w:r>
    </w:p>
    <w:p w14:paraId="12515E20" w14:textId="0637D9E9" w:rsidR="0049703E" w:rsidRPr="00DF02C5" w:rsidRDefault="0049703E" w:rsidP="005038A2">
      <w:pPr>
        <w:numPr>
          <w:ilvl w:val="1"/>
          <w:numId w:val="11"/>
        </w:numPr>
        <w:spacing w:before="120" w:after="120"/>
        <w:ind w:firstLine="720"/>
        <w:rPr>
          <w:rFonts w:hAnsi="Times New Roman" w:cs="Times New Roman"/>
          <w:snapToGrid w:val="0"/>
          <w:color w:val="auto"/>
          <w:kern w:val="22"/>
          <w:lang w:val="en-GB"/>
        </w:rPr>
      </w:pPr>
      <w:r w:rsidRPr="00DF02C5">
        <w:rPr>
          <w:rFonts w:hAnsi="Times New Roman" w:cs="Times New Roman"/>
          <w:snapToGrid w:val="0"/>
          <w:kern w:val="22"/>
          <w:lang w:val="en-GB"/>
        </w:rPr>
        <w:lastRenderedPageBreak/>
        <w:t>4 Parties have published measures in the ABS Clearing-House but have not submitted the interim national report</w:t>
      </w:r>
      <w:r w:rsidR="00511F13" w:rsidRPr="00DF02C5">
        <w:rPr>
          <w:rFonts w:hAnsi="Times New Roman" w:cs="Times New Roman"/>
          <w:snapToGrid w:val="0"/>
          <w:kern w:val="22"/>
          <w:lang w:val="en-GB"/>
        </w:rPr>
        <w:t>,</w:t>
      </w:r>
      <w:r w:rsidR="00511F13" w:rsidRPr="00DF02C5">
        <w:rPr>
          <w:lang w:val="en-GB"/>
        </w:rPr>
        <w:t xml:space="preserve"> </w:t>
      </w:r>
      <w:r w:rsidR="00511F13" w:rsidRPr="00DF02C5">
        <w:rPr>
          <w:rFonts w:hAnsi="Times New Roman" w:cs="Times New Roman"/>
          <w:snapToGrid w:val="0"/>
          <w:kern w:val="22"/>
          <w:lang w:val="en-GB"/>
        </w:rPr>
        <w:t>NBSAP or fifth national report. T</w:t>
      </w:r>
      <w:r w:rsidRPr="00DF02C5">
        <w:rPr>
          <w:rFonts w:hAnsi="Times New Roman" w:cs="Times New Roman"/>
          <w:snapToGrid w:val="0"/>
          <w:kern w:val="22"/>
          <w:lang w:val="en-GB"/>
        </w:rPr>
        <w:t xml:space="preserve">herefore there is no indication whether they are planning to develop </w:t>
      </w:r>
      <w:r w:rsidR="00BD60A0" w:rsidRPr="00DF02C5">
        <w:rPr>
          <w:rFonts w:hAnsi="Times New Roman" w:cs="Times New Roman"/>
          <w:snapToGrid w:val="0"/>
          <w:kern w:val="22"/>
          <w:lang w:val="en-GB"/>
        </w:rPr>
        <w:t xml:space="preserve">additional </w:t>
      </w:r>
      <w:r w:rsidRPr="00DF02C5">
        <w:rPr>
          <w:rFonts w:hAnsi="Times New Roman" w:cs="Times New Roman"/>
          <w:snapToGrid w:val="0"/>
          <w:kern w:val="22"/>
          <w:lang w:val="en-GB"/>
        </w:rPr>
        <w:t>measures.</w:t>
      </w:r>
      <w:r w:rsidRPr="00DF02C5">
        <w:rPr>
          <w:rFonts w:hAnsi="Times New Roman" w:cs="Times New Roman"/>
          <w:snapToGrid w:val="0"/>
          <w:kern w:val="22"/>
          <w:vertAlign w:val="superscript"/>
          <w:lang w:val="en-GB"/>
        </w:rPr>
        <w:footnoteReference w:id="16"/>
      </w:r>
      <w:r w:rsidRPr="00DF02C5">
        <w:rPr>
          <w:rFonts w:hAnsi="Times New Roman" w:cs="Times New Roman"/>
          <w:snapToGrid w:val="0"/>
          <w:kern w:val="22"/>
          <w:lang w:val="en-GB"/>
        </w:rPr>
        <w:t xml:space="preserve"> </w:t>
      </w:r>
    </w:p>
    <w:p w14:paraId="5694BEF3" w14:textId="4F3AE739" w:rsidR="0049703E" w:rsidRPr="00DF02C5" w:rsidRDefault="00A76A54" w:rsidP="00393914">
      <w:pPr>
        <w:numPr>
          <w:ilvl w:val="0"/>
          <w:numId w:val="1"/>
        </w:numPr>
        <w:spacing w:before="120" w:after="120"/>
        <w:rPr>
          <w:rFonts w:hAnsi="Times New Roman" w:cs="Times New Roman"/>
          <w:snapToGrid w:val="0"/>
          <w:kern w:val="22"/>
          <w:lang w:val="en-GB"/>
        </w:rPr>
      </w:pPr>
      <w:r w:rsidRPr="00DF02C5">
        <w:rPr>
          <w:rFonts w:hAnsi="Times New Roman" w:cs="Times New Roman"/>
          <w:snapToGrid w:val="0"/>
          <w:kern w:val="22"/>
          <w:lang w:val="en-GB"/>
        </w:rPr>
        <w:t>A total of 26 Parties (25</w:t>
      </w:r>
      <w:r w:rsidR="0049703E" w:rsidRPr="00DF02C5">
        <w:rPr>
          <w:rFonts w:hAnsi="Times New Roman" w:cs="Times New Roman"/>
          <w:snapToGrid w:val="0"/>
          <w:kern w:val="22"/>
          <w:lang w:val="en-GB"/>
        </w:rPr>
        <w:t>% of 105 Parties) reported not having ABS measures in place and did not have measures published in the ABS Clearing-House. Based on the available information from these Parties:</w:t>
      </w:r>
    </w:p>
    <w:p w14:paraId="236E5B80" w14:textId="30C9570E" w:rsidR="0049703E" w:rsidRPr="00DF02C5" w:rsidRDefault="00A76A54" w:rsidP="00393914">
      <w:pPr>
        <w:numPr>
          <w:ilvl w:val="1"/>
          <w:numId w:val="1"/>
        </w:numPr>
        <w:spacing w:before="120" w:after="120"/>
        <w:ind w:firstLine="720"/>
        <w:rPr>
          <w:rFonts w:hAnsi="Times New Roman" w:cs="Times New Roman"/>
          <w:snapToGrid w:val="0"/>
          <w:kern w:val="22"/>
          <w:lang w:val="en-GB"/>
        </w:rPr>
      </w:pPr>
      <w:r w:rsidRPr="00DF02C5">
        <w:rPr>
          <w:rFonts w:hAnsi="Times New Roman" w:cs="Times New Roman"/>
          <w:snapToGrid w:val="0"/>
          <w:kern w:val="22"/>
          <w:lang w:val="en-GB"/>
        </w:rPr>
        <w:t>1</w:t>
      </w:r>
      <w:r w:rsidR="0049703E" w:rsidRPr="00DF02C5">
        <w:rPr>
          <w:rFonts w:hAnsi="Times New Roman" w:cs="Times New Roman"/>
          <w:snapToGrid w:val="0"/>
          <w:kern w:val="22"/>
          <w:lang w:val="en-GB"/>
        </w:rPr>
        <w:t xml:space="preserve">2 Parties </w:t>
      </w:r>
      <w:r w:rsidR="0049703E" w:rsidRPr="00DF02C5">
        <w:rPr>
          <w:rFonts w:hAnsi="Times New Roman" w:cs="Times New Roman"/>
          <w:snapToGrid w:val="0"/>
          <w:color w:val="auto"/>
          <w:kern w:val="22"/>
          <w:lang w:val="en-GB"/>
        </w:rPr>
        <w:t>are currently developing measures</w:t>
      </w:r>
      <w:r w:rsidR="00C551D4">
        <w:rPr>
          <w:rFonts w:hAnsi="Times New Roman" w:cs="Times New Roman"/>
          <w:snapToGrid w:val="0"/>
          <w:color w:val="auto"/>
          <w:kern w:val="22"/>
          <w:lang w:val="en-GB"/>
        </w:rPr>
        <w:t>;</w:t>
      </w:r>
      <w:r w:rsidR="0049703E" w:rsidRPr="00DF02C5">
        <w:rPr>
          <w:rFonts w:hAnsi="Times New Roman" w:cs="Times New Roman"/>
          <w:snapToGrid w:val="0"/>
          <w:color w:val="auto"/>
          <w:kern w:val="22"/>
          <w:vertAlign w:val="superscript"/>
          <w:lang w:val="en-GB"/>
        </w:rPr>
        <w:footnoteReference w:id="17"/>
      </w:r>
      <w:r w:rsidR="0049703E" w:rsidRPr="00DF02C5">
        <w:rPr>
          <w:rFonts w:hAnsi="Times New Roman" w:cs="Times New Roman"/>
          <w:snapToGrid w:val="0"/>
          <w:color w:val="auto"/>
          <w:kern w:val="22"/>
          <w:lang w:val="en-GB"/>
        </w:rPr>
        <w:t xml:space="preserve"> </w:t>
      </w:r>
    </w:p>
    <w:p w14:paraId="5BB91491" w14:textId="0C4F18FC" w:rsidR="0049703E" w:rsidRPr="00DF02C5" w:rsidRDefault="00A76A54" w:rsidP="00393914">
      <w:pPr>
        <w:numPr>
          <w:ilvl w:val="1"/>
          <w:numId w:val="1"/>
        </w:numPr>
        <w:spacing w:before="120" w:after="120"/>
        <w:ind w:firstLine="720"/>
        <w:rPr>
          <w:rFonts w:hAnsi="Times New Roman" w:cs="Times New Roman"/>
          <w:snapToGrid w:val="0"/>
          <w:kern w:val="22"/>
          <w:lang w:val="en-GB"/>
        </w:rPr>
      </w:pPr>
      <w:r w:rsidRPr="00DF02C5">
        <w:rPr>
          <w:rFonts w:hAnsi="Times New Roman" w:cs="Times New Roman"/>
          <w:snapToGrid w:val="0"/>
          <w:color w:val="auto"/>
          <w:kern w:val="22"/>
          <w:lang w:val="en-GB"/>
        </w:rPr>
        <w:t>13</w:t>
      </w:r>
      <w:r w:rsidR="0049703E" w:rsidRPr="00DF02C5">
        <w:rPr>
          <w:rFonts w:hAnsi="Times New Roman" w:cs="Times New Roman"/>
          <w:snapToGrid w:val="0"/>
          <w:color w:val="auto"/>
          <w:kern w:val="22"/>
          <w:lang w:val="en-GB"/>
        </w:rPr>
        <w:t xml:space="preserve"> Parties are planning to develop ABS measures;</w:t>
      </w:r>
      <w:r w:rsidR="0049703E" w:rsidRPr="00DF02C5">
        <w:rPr>
          <w:rFonts w:hAnsi="Times New Roman" w:cs="Times New Roman"/>
          <w:snapToGrid w:val="0"/>
          <w:color w:val="auto"/>
          <w:kern w:val="22"/>
          <w:vertAlign w:val="superscript"/>
          <w:lang w:val="en-GB"/>
        </w:rPr>
        <w:footnoteReference w:id="18"/>
      </w:r>
      <w:r w:rsidR="0049703E" w:rsidRPr="00DF02C5">
        <w:rPr>
          <w:rFonts w:hAnsi="Times New Roman" w:cs="Times New Roman"/>
          <w:snapToGrid w:val="0"/>
          <w:color w:val="auto"/>
          <w:kern w:val="22"/>
          <w:lang w:val="en-GB"/>
        </w:rPr>
        <w:t xml:space="preserve"> </w:t>
      </w:r>
    </w:p>
    <w:p w14:paraId="6656DB0F" w14:textId="22D93CF2" w:rsidR="0049703E" w:rsidRPr="00DF02C5" w:rsidRDefault="0049703E" w:rsidP="00393914">
      <w:pPr>
        <w:numPr>
          <w:ilvl w:val="1"/>
          <w:numId w:val="1"/>
        </w:numPr>
        <w:spacing w:before="120" w:after="120"/>
        <w:ind w:firstLine="720"/>
        <w:rPr>
          <w:rFonts w:hAnsi="Times New Roman" w:cs="Times New Roman"/>
          <w:snapToGrid w:val="0"/>
          <w:kern w:val="22"/>
          <w:lang w:val="en-GB"/>
        </w:rPr>
      </w:pPr>
      <w:r w:rsidRPr="00DF02C5">
        <w:rPr>
          <w:rFonts w:hAnsi="Times New Roman" w:cs="Times New Roman"/>
          <w:snapToGrid w:val="0"/>
          <w:color w:val="auto"/>
          <w:kern w:val="22"/>
          <w:lang w:val="en-GB"/>
        </w:rPr>
        <w:t xml:space="preserve">1 Party did not provide further information in its </w:t>
      </w:r>
      <w:r w:rsidR="00A76A54" w:rsidRPr="00DF02C5">
        <w:rPr>
          <w:rFonts w:hAnsi="Times New Roman" w:cs="Times New Roman"/>
          <w:snapToGrid w:val="0"/>
          <w:color w:val="auto"/>
          <w:kern w:val="22"/>
          <w:lang w:val="en-GB"/>
        </w:rPr>
        <w:t xml:space="preserve">interim national </w:t>
      </w:r>
      <w:r w:rsidRPr="00DF02C5">
        <w:rPr>
          <w:rFonts w:hAnsi="Times New Roman" w:cs="Times New Roman"/>
          <w:snapToGrid w:val="0"/>
          <w:color w:val="auto"/>
          <w:kern w:val="22"/>
          <w:lang w:val="en-GB"/>
        </w:rPr>
        <w:t>report.</w:t>
      </w:r>
      <w:r w:rsidRPr="00DF02C5">
        <w:rPr>
          <w:rFonts w:hAnsi="Times New Roman" w:cs="Times New Roman"/>
          <w:snapToGrid w:val="0"/>
          <w:color w:val="auto"/>
          <w:kern w:val="22"/>
          <w:vertAlign w:val="superscript"/>
          <w:lang w:val="en-GB"/>
        </w:rPr>
        <w:footnoteReference w:id="19"/>
      </w:r>
    </w:p>
    <w:p w14:paraId="11B410CD" w14:textId="3C9A4111" w:rsidR="0049703E" w:rsidRPr="00DF02C5" w:rsidRDefault="006E67F2" w:rsidP="00393914">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 xml:space="preserve">The following </w:t>
      </w:r>
      <w:r w:rsidR="00B37C87" w:rsidRPr="00DF02C5">
        <w:rPr>
          <w:rFonts w:hAnsi="Times New Roman" w:cs="Times New Roman"/>
          <w:snapToGrid w:val="0"/>
          <w:color w:val="auto"/>
          <w:kern w:val="22"/>
          <w:lang w:val="en-GB"/>
        </w:rPr>
        <w:t>graphs offer</w:t>
      </w:r>
      <w:r w:rsidR="0049703E" w:rsidRPr="00DF02C5">
        <w:rPr>
          <w:rFonts w:hAnsi="Times New Roman" w:cs="Times New Roman"/>
          <w:snapToGrid w:val="0"/>
          <w:color w:val="auto"/>
          <w:kern w:val="22"/>
          <w:lang w:val="en-GB"/>
        </w:rPr>
        <w:t xml:space="preserve"> an overview of the information provided above. </w:t>
      </w:r>
    </w:p>
    <w:p w14:paraId="5AC6C5AA" w14:textId="451D973B" w:rsidR="00A76A54" w:rsidRPr="00DF02C5" w:rsidRDefault="007D5F65" w:rsidP="007D5F65">
      <w:pPr>
        <w:pStyle w:val="Caption"/>
        <w:keepNext/>
        <w:keepLines/>
        <w:rPr>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00E5256F" w:rsidRPr="00DF02C5">
        <w:rPr>
          <w:noProof/>
          <w:lang w:val="en-GB"/>
        </w:rPr>
        <w:t>2</w:t>
      </w:r>
      <w:r w:rsidRPr="00DF02C5">
        <w:rPr>
          <w:lang w:val="en-GB"/>
        </w:rPr>
        <w:fldChar w:fldCharType="end"/>
      </w:r>
      <w:r w:rsidR="00A76A54" w:rsidRPr="00DF02C5">
        <w:rPr>
          <w:lang w:val="en-GB"/>
        </w:rPr>
        <w:t>: Status of progress by Parties that have ABS measures in place (</w:t>
      </w:r>
      <w:r w:rsidR="00577044">
        <w:rPr>
          <w:lang w:val="en-GB"/>
        </w:rPr>
        <w:t xml:space="preserve">up to </w:t>
      </w:r>
      <w:r w:rsidR="00A76A54" w:rsidRPr="00DF02C5">
        <w:rPr>
          <w:lang w:val="en-GB"/>
        </w:rPr>
        <w:t>22 February 2018)</w:t>
      </w:r>
    </w:p>
    <w:p w14:paraId="746A6A2E" w14:textId="4A26FFE0" w:rsidR="00A76A54" w:rsidRPr="00DF02C5" w:rsidRDefault="00A76A54" w:rsidP="001D7DBC">
      <w:pPr>
        <w:spacing w:before="120" w:after="120"/>
        <w:jc w:val="center"/>
        <w:rPr>
          <w:rFonts w:eastAsia="SimSun"/>
          <w:kern w:val="22"/>
          <w:lang w:val="en-GB"/>
        </w:rPr>
      </w:pPr>
      <w:r w:rsidRPr="00DF02C5">
        <w:rPr>
          <w:rFonts w:eastAsia="SimSun"/>
          <w:noProof/>
          <w:kern w:val="22"/>
        </w:rPr>
        <w:drawing>
          <wp:inline distT="0" distB="0" distL="0" distR="0" wp14:anchorId="42222D76" wp14:editId="123F0B30">
            <wp:extent cx="4762500" cy="2447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9912" cy="2451735"/>
                    </a:xfrm>
                    <a:prstGeom prst="rect">
                      <a:avLst/>
                    </a:prstGeom>
                    <a:noFill/>
                  </pic:spPr>
                </pic:pic>
              </a:graphicData>
            </a:graphic>
          </wp:inline>
        </w:drawing>
      </w:r>
    </w:p>
    <w:p w14:paraId="31784BA4" w14:textId="77777777" w:rsidR="00A76A54" w:rsidRPr="00DF02C5" w:rsidRDefault="00A76A54" w:rsidP="00A76A54">
      <w:pPr>
        <w:spacing w:before="120" w:after="120"/>
        <w:jc w:val="center"/>
        <w:rPr>
          <w:i/>
          <w:lang w:val="en-GB"/>
        </w:rPr>
      </w:pPr>
    </w:p>
    <w:p w14:paraId="6EFA9FD4" w14:textId="70BB822D" w:rsidR="00A76A54" w:rsidRPr="00DF02C5" w:rsidRDefault="007D5F65" w:rsidP="00E5256F">
      <w:pPr>
        <w:pStyle w:val="Caption"/>
        <w:keepNext/>
        <w:keepLines/>
        <w:rPr>
          <w:lang w:val="en-GB"/>
        </w:rPr>
      </w:pPr>
      <w:r w:rsidRPr="00DF02C5">
        <w:rPr>
          <w:lang w:val="en-GB"/>
        </w:rPr>
        <w:lastRenderedPageBreak/>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00E5256F" w:rsidRPr="00DF02C5">
        <w:rPr>
          <w:noProof/>
          <w:lang w:val="en-GB"/>
        </w:rPr>
        <w:t>3</w:t>
      </w:r>
      <w:r w:rsidRPr="00DF02C5">
        <w:rPr>
          <w:lang w:val="en-GB"/>
        </w:rPr>
        <w:fldChar w:fldCharType="end"/>
      </w:r>
      <w:r w:rsidR="00A76A54" w:rsidRPr="00DF02C5">
        <w:rPr>
          <w:lang w:val="en-GB"/>
        </w:rPr>
        <w:t>: Status of progress by Parties that do not have ABS measures in place (</w:t>
      </w:r>
      <w:r w:rsidR="00577044">
        <w:rPr>
          <w:lang w:val="en-GB"/>
        </w:rPr>
        <w:t>up to</w:t>
      </w:r>
      <w:r w:rsidR="00A76A54" w:rsidRPr="00DF02C5">
        <w:rPr>
          <w:lang w:val="en-GB"/>
        </w:rPr>
        <w:t xml:space="preserve"> 22 February 2018)</w:t>
      </w:r>
    </w:p>
    <w:p w14:paraId="1FD26C46" w14:textId="405DB4BF" w:rsidR="00A76A54" w:rsidRPr="00DF02C5" w:rsidRDefault="00A76A54" w:rsidP="00A76A54">
      <w:pPr>
        <w:spacing w:before="120" w:after="120"/>
        <w:jc w:val="center"/>
        <w:rPr>
          <w:rFonts w:eastAsia="SimSun"/>
          <w:i/>
          <w:color w:val="auto"/>
          <w:kern w:val="22"/>
          <w:lang w:val="en-GB"/>
        </w:rPr>
      </w:pPr>
      <w:r w:rsidRPr="00DF02C5">
        <w:rPr>
          <w:rFonts w:eastAsia="SimSun"/>
          <w:i/>
          <w:noProof/>
          <w:color w:val="auto"/>
          <w:kern w:val="22"/>
        </w:rPr>
        <w:drawing>
          <wp:inline distT="0" distB="0" distL="0" distR="0" wp14:anchorId="3436E53B" wp14:editId="6A155199">
            <wp:extent cx="4581525" cy="24469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7398" cy="2444750"/>
                    </a:xfrm>
                    <a:prstGeom prst="rect">
                      <a:avLst/>
                    </a:prstGeom>
                    <a:noFill/>
                  </pic:spPr>
                </pic:pic>
              </a:graphicData>
            </a:graphic>
          </wp:inline>
        </w:drawing>
      </w:r>
    </w:p>
    <w:p w14:paraId="2D6DE67F" w14:textId="77777777" w:rsidR="0049703E" w:rsidRPr="00DF02C5" w:rsidRDefault="0049703E" w:rsidP="0049703E">
      <w:pPr>
        <w:rPr>
          <w:rFonts w:hAnsi="Times New Roman"/>
          <w:snapToGrid w:val="0"/>
          <w:color w:val="auto"/>
          <w:kern w:val="22"/>
          <w:lang w:val="en-GB"/>
        </w:rPr>
      </w:pPr>
    </w:p>
    <w:p w14:paraId="6C30608A" w14:textId="77777777" w:rsidR="0049703E" w:rsidRPr="00DF02C5" w:rsidRDefault="0049703E" w:rsidP="005038A2">
      <w:pPr>
        <w:numPr>
          <w:ilvl w:val="0"/>
          <w:numId w:val="17"/>
        </w:numPr>
        <w:spacing w:before="120" w:after="120"/>
        <w:rPr>
          <w:rFonts w:hAnsi="Times New Roman" w:cs="Times New Roman"/>
          <w:i/>
          <w:snapToGrid w:val="0"/>
          <w:color w:val="auto"/>
          <w:kern w:val="22"/>
          <w:lang w:val="en-GB"/>
        </w:rPr>
      </w:pPr>
      <w:r w:rsidRPr="00DF02C5">
        <w:rPr>
          <w:rFonts w:hAnsi="Times New Roman" w:cs="Times New Roman"/>
          <w:i/>
          <w:snapToGrid w:val="0"/>
          <w:color w:val="auto"/>
          <w:kern w:val="22"/>
          <w:lang w:val="en-GB"/>
        </w:rPr>
        <w:t>Progress in establishing ABS legislative, administrative or policy measures to implement the provisions of the Protocol by  non-Parties</w:t>
      </w:r>
    </w:p>
    <w:p w14:paraId="16F47623" w14:textId="407D529A" w:rsidR="0049703E" w:rsidRPr="00DF02C5" w:rsidRDefault="0009440F" w:rsidP="00A4785E">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 xml:space="preserve">Thirty </w:t>
      </w:r>
      <w:r w:rsidR="0049703E" w:rsidRPr="00DF02C5">
        <w:rPr>
          <w:rFonts w:hAnsi="Times New Roman" w:cs="Times New Roman"/>
          <w:snapToGrid w:val="0"/>
          <w:color w:val="auto"/>
          <w:kern w:val="22"/>
          <w:lang w:val="en-GB"/>
        </w:rPr>
        <w:t xml:space="preserve">non-Parties reported having ABS measures in place </w:t>
      </w:r>
      <w:r w:rsidR="00A4785E" w:rsidRPr="00DF02C5">
        <w:rPr>
          <w:rFonts w:hAnsi="Times New Roman" w:cs="Times New Roman"/>
          <w:snapToGrid w:val="0"/>
          <w:color w:val="auto"/>
          <w:kern w:val="22"/>
          <w:lang w:val="en-GB"/>
        </w:rPr>
        <w:t xml:space="preserve">in the interim national report, NBSAP or fifth national report </w:t>
      </w:r>
      <w:r w:rsidR="0049703E" w:rsidRPr="00DF02C5">
        <w:rPr>
          <w:rFonts w:hAnsi="Times New Roman" w:cs="Times New Roman"/>
          <w:snapToGrid w:val="0"/>
          <w:color w:val="auto"/>
          <w:kern w:val="22"/>
          <w:lang w:val="en-GB"/>
        </w:rPr>
        <w:t xml:space="preserve">or have published measures in the ABS Clearing-House. Based on the available information, the following provides an overview of progress made by non-Parties: </w:t>
      </w:r>
    </w:p>
    <w:p w14:paraId="3B64D4B0" w14:textId="294E1405" w:rsidR="0049703E" w:rsidRPr="00DF02C5" w:rsidRDefault="00A4785E" w:rsidP="00A4785E">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3</w:t>
      </w:r>
      <w:r w:rsidR="0049703E" w:rsidRPr="00DF02C5">
        <w:rPr>
          <w:rFonts w:hAnsi="Times New Roman" w:cs="Times New Roman"/>
          <w:snapToGrid w:val="0"/>
          <w:color w:val="auto"/>
          <w:kern w:val="22"/>
          <w:lang w:val="en-GB"/>
        </w:rPr>
        <w:t xml:space="preserve"> non-Parties have adopted one or more ABS measures and there is no indication in the report that they are developing more</w:t>
      </w:r>
      <w:r w:rsidR="00C551D4">
        <w:rPr>
          <w:rFonts w:hAnsi="Times New Roman" w:cs="Times New Roman"/>
          <w:snapToGrid w:val="0"/>
          <w:color w:val="auto"/>
          <w:kern w:val="22"/>
          <w:lang w:val="en-GB"/>
        </w:rPr>
        <w:t>;</w:t>
      </w:r>
      <w:r w:rsidR="0049703E" w:rsidRPr="00DF02C5">
        <w:rPr>
          <w:rFonts w:hAnsi="Times New Roman" w:cs="Times New Roman"/>
          <w:snapToGrid w:val="0"/>
          <w:color w:val="auto"/>
          <w:kern w:val="22"/>
          <w:vertAlign w:val="superscript"/>
          <w:lang w:val="en-GB"/>
        </w:rPr>
        <w:footnoteReference w:id="20"/>
      </w:r>
    </w:p>
    <w:p w14:paraId="264031B7" w14:textId="3CF1AE31" w:rsidR="0049703E" w:rsidRPr="00DF02C5" w:rsidRDefault="00A4785E" w:rsidP="00A4785E">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7 non-Parties have</w:t>
      </w:r>
      <w:r w:rsidR="0049703E" w:rsidRPr="00DF02C5">
        <w:rPr>
          <w:rFonts w:hAnsi="Times New Roman" w:cs="Times New Roman"/>
          <w:snapToGrid w:val="0"/>
          <w:color w:val="auto"/>
          <w:kern w:val="22"/>
          <w:lang w:val="en-GB"/>
        </w:rPr>
        <w:t xml:space="preserve"> some measures in place and is currently revising existing or developing new ABS measures</w:t>
      </w:r>
      <w:r w:rsidR="00C551D4">
        <w:rPr>
          <w:rFonts w:hAnsi="Times New Roman" w:cs="Times New Roman"/>
          <w:snapToGrid w:val="0"/>
          <w:color w:val="auto"/>
          <w:kern w:val="22"/>
          <w:lang w:val="en-GB"/>
        </w:rPr>
        <w:t>;</w:t>
      </w:r>
      <w:r w:rsidR="0049703E" w:rsidRPr="00DF02C5">
        <w:rPr>
          <w:rFonts w:hAnsi="Times New Roman" w:cs="Times New Roman"/>
          <w:snapToGrid w:val="0"/>
          <w:color w:val="auto"/>
          <w:kern w:val="22"/>
          <w:vertAlign w:val="superscript"/>
          <w:lang w:val="en-GB"/>
        </w:rPr>
        <w:footnoteReference w:id="21"/>
      </w:r>
      <w:r w:rsidR="0049703E" w:rsidRPr="00DF02C5">
        <w:rPr>
          <w:rFonts w:hAnsi="Times New Roman" w:cs="Times New Roman"/>
          <w:snapToGrid w:val="0"/>
          <w:color w:val="auto"/>
          <w:kern w:val="22"/>
          <w:lang w:val="en-GB"/>
        </w:rPr>
        <w:t xml:space="preserve"> </w:t>
      </w:r>
    </w:p>
    <w:p w14:paraId="07C001CA" w14:textId="5C40090F" w:rsidR="0049703E" w:rsidRPr="00DF02C5" w:rsidRDefault="003C0B56" w:rsidP="00A4785E">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13</w:t>
      </w:r>
      <w:r w:rsidR="00A4785E" w:rsidRPr="00DF02C5">
        <w:rPr>
          <w:rFonts w:hAnsi="Times New Roman" w:cs="Times New Roman"/>
          <w:snapToGrid w:val="0"/>
          <w:color w:val="auto"/>
          <w:kern w:val="22"/>
          <w:lang w:val="en-GB"/>
        </w:rPr>
        <w:t xml:space="preserve"> non-Parties have</w:t>
      </w:r>
      <w:r w:rsidR="00C551D4">
        <w:rPr>
          <w:rFonts w:hAnsi="Times New Roman" w:cs="Times New Roman"/>
          <w:snapToGrid w:val="0"/>
          <w:color w:val="auto"/>
          <w:kern w:val="22"/>
          <w:lang w:val="en-GB"/>
        </w:rPr>
        <w:t xml:space="preserve"> some measures in place and is </w:t>
      </w:r>
      <w:r w:rsidR="0049703E" w:rsidRPr="00DF02C5">
        <w:rPr>
          <w:rFonts w:hAnsi="Times New Roman" w:cs="Times New Roman"/>
          <w:snapToGrid w:val="0"/>
          <w:color w:val="auto"/>
          <w:kern w:val="22"/>
          <w:lang w:val="en-GB"/>
        </w:rPr>
        <w:t xml:space="preserve">planning to develop </w:t>
      </w:r>
      <w:r w:rsidR="00BD60A0" w:rsidRPr="00DF02C5">
        <w:rPr>
          <w:rFonts w:hAnsi="Times New Roman" w:cs="Times New Roman"/>
          <w:snapToGrid w:val="0"/>
          <w:color w:val="auto"/>
          <w:kern w:val="22"/>
          <w:lang w:val="en-GB"/>
        </w:rPr>
        <w:t xml:space="preserve">additional </w:t>
      </w:r>
      <w:r w:rsidR="0049703E" w:rsidRPr="00DF02C5">
        <w:rPr>
          <w:rFonts w:hAnsi="Times New Roman" w:cs="Times New Roman"/>
          <w:snapToGrid w:val="0"/>
          <w:color w:val="auto"/>
          <w:kern w:val="22"/>
          <w:lang w:val="en-GB"/>
        </w:rPr>
        <w:t>ABS measures</w:t>
      </w:r>
      <w:r w:rsidR="00C551D4">
        <w:rPr>
          <w:rFonts w:hAnsi="Times New Roman" w:cs="Times New Roman"/>
          <w:snapToGrid w:val="0"/>
          <w:color w:val="auto"/>
          <w:kern w:val="22"/>
          <w:lang w:val="en-GB"/>
        </w:rPr>
        <w:t>;</w:t>
      </w:r>
      <w:r w:rsidR="0049703E" w:rsidRPr="00DF02C5">
        <w:rPr>
          <w:rFonts w:hAnsi="Times New Roman" w:cs="Times New Roman"/>
          <w:snapToGrid w:val="0"/>
          <w:color w:val="auto"/>
          <w:kern w:val="22"/>
          <w:vertAlign w:val="superscript"/>
          <w:lang w:val="en-GB"/>
        </w:rPr>
        <w:footnoteReference w:id="22"/>
      </w:r>
      <w:r w:rsidR="0049703E" w:rsidRPr="00DF02C5">
        <w:rPr>
          <w:rFonts w:hAnsi="Times New Roman" w:cs="Times New Roman"/>
          <w:snapToGrid w:val="0"/>
          <w:color w:val="auto"/>
          <w:kern w:val="22"/>
          <w:lang w:val="en-GB"/>
        </w:rPr>
        <w:t xml:space="preserve"> </w:t>
      </w:r>
    </w:p>
    <w:p w14:paraId="6C1160B9" w14:textId="552198D1" w:rsidR="0049703E" w:rsidRPr="00DF02C5" w:rsidRDefault="0049703E" w:rsidP="00A4785E">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2 non-Parties have some related measures in place, however there is no indication in the report that they are developing more</w:t>
      </w:r>
      <w:r w:rsidR="00C551D4">
        <w:rPr>
          <w:rFonts w:hAnsi="Times New Roman" w:cs="Times New Roman"/>
          <w:snapToGrid w:val="0"/>
          <w:color w:val="auto"/>
          <w:kern w:val="22"/>
          <w:lang w:val="en-GB"/>
        </w:rPr>
        <w:t>;</w:t>
      </w:r>
      <w:r w:rsidRPr="00DF02C5">
        <w:rPr>
          <w:rFonts w:hAnsi="Times New Roman" w:cs="Times New Roman"/>
          <w:snapToGrid w:val="0"/>
          <w:color w:val="auto"/>
          <w:kern w:val="22"/>
          <w:vertAlign w:val="superscript"/>
          <w:lang w:val="en-GB"/>
        </w:rPr>
        <w:footnoteReference w:id="23"/>
      </w:r>
      <w:r w:rsidR="00C551D4">
        <w:rPr>
          <w:rFonts w:hAnsi="Times New Roman" w:cs="Times New Roman"/>
          <w:snapToGrid w:val="0"/>
          <w:color w:val="auto"/>
          <w:kern w:val="22"/>
          <w:lang w:val="en-GB"/>
        </w:rPr>
        <w:t xml:space="preserve"> </w:t>
      </w:r>
      <w:r w:rsidRPr="00DF02C5">
        <w:rPr>
          <w:rFonts w:hAnsi="Times New Roman" w:cs="Times New Roman"/>
          <w:snapToGrid w:val="0"/>
          <w:color w:val="auto"/>
          <w:kern w:val="22"/>
          <w:lang w:val="en-GB"/>
        </w:rPr>
        <w:t>and</w:t>
      </w:r>
    </w:p>
    <w:p w14:paraId="4E3ED586" w14:textId="77777777" w:rsidR="00774F8E" w:rsidRPr="00DF02C5" w:rsidRDefault="003C0B56" w:rsidP="00774F8E">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3</w:t>
      </w:r>
      <w:r w:rsidR="0049703E" w:rsidRPr="00DF02C5">
        <w:rPr>
          <w:rFonts w:hAnsi="Times New Roman" w:cs="Times New Roman"/>
          <w:snapToGrid w:val="0"/>
          <w:color w:val="auto"/>
          <w:kern w:val="22"/>
          <w:lang w:val="en-GB"/>
        </w:rPr>
        <w:t xml:space="preserve"> non-Parties have published measures in the ABS Clearing-House but have not submitted information </w:t>
      </w:r>
      <w:r w:rsidRPr="00DF02C5">
        <w:rPr>
          <w:rFonts w:hAnsi="Times New Roman" w:cs="Times New Roman"/>
          <w:snapToGrid w:val="0"/>
          <w:color w:val="auto"/>
          <w:kern w:val="22"/>
          <w:lang w:val="en-GB"/>
        </w:rPr>
        <w:t>interim national report, NBSAP or fifth national report. T</w:t>
      </w:r>
      <w:r w:rsidR="0049703E" w:rsidRPr="00DF02C5">
        <w:rPr>
          <w:rFonts w:hAnsi="Times New Roman" w:cs="Times New Roman"/>
          <w:snapToGrid w:val="0"/>
          <w:color w:val="auto"/>
          <w:kern w:val="22"/>
          <w:lang w:val="en-GB"/>
        </w:rPr>
        <w:t>herefore</w:t>
      </w:r>
      <w:r w:rsidRPr="00DF02C5">
        <w:rPr>
          <w:rFonts w:hAnsi="Times New Roman" w:cs="Times New Roman"/>
          <w:snapToGrid w:val="0"/>
          <w:color w:val="auto"/>
          <w:kern w:val="22"/>
          <w:lang w:val="en-GB"/>
        </w:rPr>
        <w:t>,</w:t>
      </w:r>
      <w:r w:rsidR="0049703E" w:rsidRPr="00DF02C5">
        <w:rPr>
          <w:rFonts w:hAnsi="Times New Roman" w:cs="Times New Roman"/>
          <w:snapToGrid w:val="0"/>
          <w:color w:val="auto"/>
          <w:kern w:val="22"/>
          <w:lang w:val="en-GB"/>
        </w:rPr>
        <w:t xml:space="preserve"> there is no indication whether they are planning to develop </w:t>
      </w:r>
      <w:r w:rsidR="00BD60A0" w:rsidRPr="00DF02C5">
        <w:rPr>
          <w:rFonts w:hAnsi="Times New Roman" w:cs="Times New Roman"/>
          <w:snapToGrid w:val="0"/>
          <w:color w:val="auto"/>
          <w:kern w:val="22"/>
          <w:lang w:val="en-GB"/>
        </w:rPr>
        <w:t xml:space="preserve">additional </w:t>
      </w:r>
      <w:r w:rsidR="0049703E" w:rsidRPr="00DF02C5">
        <w:rPr>
          <w:rFonts w:hAnsi="Times New Roman" w:cs="Times New Roman"/>
          <w:snapToGrid w:val="0"/>
          <w:color w:val="auto"/>
          <w:kern w:val="22"/>
          <w:lang w:val="en-GB"/>
        </w:rPr>
        <w:t>measures.</w:t>
      </w:r>
      <w:r w:rsidR="0049703E" w:rsidRPr="00DF02C5">
        <w:rPr>
          <w:rFonts w:hAnsi="Times New Roman" w:cs="Times New Roman"/>
          <w:snapToGrid w:val="0"/>
          <w:color w:val="auto"/>
          <w:kern w:val="22"/>
          <w:vertAlign w:val="superscript"/>
          <w:lang w:val="en-GB"/>
        </w:rPr>
        <w:footnoteReference w:id="24"/>
      </w:r>
    </w:p>
    <w:p w14:paraId="0FA130A9" w14:textId="5B925403" w:rsidR="00511F13" w:rsidRPr="00DF02C5" w:rsidRDefault="00511F13" w:rsidP="00774F8E">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lastRenderedPageBreak/>
        <w:t xml:space="preserve">In addition, </w:t>
      </w:r>
      <w:r w:rsidR="0009440F" w:rsidRPr="00DF02C5">
        <w:rPr>
          <w:rFonts w:hAnsi="Times New Roman" w:cs="Times New Roman"/>
          <w:snapToGrid w:val="0"/>
          <w:color w:val="auto"/>
          <w:kern w:val="22"/>
          <w:lang w:val="en-GB"/>
        </w:rPr>
        <w:t xml:space="preserve">13 </w:t>
      </w:r>
      <w:r w:rsidRPr="00DF02C5">
        <w:rPr>
          <w:rFonts w:hAnsi="Times New Roman" w:cs="Times New Roman"/>
          <w:snapToGrid w:val="0"/>
          <w:color w:val="auto"/>
          <w:kern w:val="22"/>
          <w:lang w:val="en-GB"/>
        </w:rPr>
        <w:t>non-Parties</w:t>
      </w:r>
      <w:r w:rsidRPr="00DF02C5">
        <w:rPr>
          <w:rStyle w:val="FootnoteReference"/>
          <w:rFonts w:hAnsi="Times New Roman" w:cs="Times New Roman"/>
          <w:snapToGrid w:val="0"/>
          <w:color w:val="auto"/>
          <w:kern w:val="22"/>
          <w:lang w:val="en-GB"/>
        </w:rPr>
        <w:footnoteReference w:id="25"/>
      </w:r>
      <w:r w:rsidRPr="00DF02C5">
        <w:rPr>
          <w:rFonts w:hAnsi="Times New Roman" w:cs="Times New Roman"/>
          <w:snapToGrid w:val="0"/>
          <w:color w:val="auto"/>
          <w:kern w:val="22"/>
          <w:lang w:val="en-GB"/>
        </w:rPr>
        <w:t xml:space="preserve"> are currently developing ABS measures and other 25</w:t>
      </w:r>
      <w:r w:rsidRPr="00DF02C5">
        <w:rPr>
          <w:rStyle w:val="FootnoteReference"/>
          <w:rFonts w:hAnsi="Times New Roman" w:cs="Times New Roman"/>
          <w:snapToGrid w:val="0"/>
          <w:color w:val="auto"/>
          <w:kern w:val="22"/>
          <w:lang w:val="en-GB"/>
        </w:rPr>
        <w:footnoteReference w:id="26"/>
      </w:r>
      <w:r w:rsidRPr="00DF02C5">
        <w:rPr>
          <w:rFonts w:hAnsi="Times New Roman" w:cs="Times New Roman"/>
          <w:snapToGrid w:val="0"/>
          <w:color w:val="auto"/>
          <w:kern w:val="22"/>
          <w:lang w:val="en-GB"/>
        </w:rPr>
        <w:t xml:space="preserve"> are planning to do so.</w:t>
      </w:r>
    </w:p>
    <w:p w14:paraId="2DC8C8AB" w14:textId="2A7E5542" w:rsidR="00CD25EA" w:rsidRPr="00DF02C5" w:rsidRDefault="0049703E" w:rsidP="005038A2">
      <w:pPr>
        <w:numPr>
          <w:ilvl w:val="0"/>
          <w:numId w:val="17"/>
        </w:numPr>
        <w:spacing w:before="120" w:after="120"/>
        <w:rPr>
          <w:rFonts w:hAnsi="Times New Roman" w:cs="Times New Roman"/>
          <w:i/>
          <w:snapToGrid w:val="0"/>
          <w:color w:val="auto"/>
          <w:kern w:val="22"/>
          <w:lang w:val="en-GB"/>
        </w:rPr>
      </w:pPr>
      <w:r w:rsidRPr="00DF02C5">
        <w:rPr>
          <w:rFonts w:hAnsi="Times New Roman" w:cs="Times New Roman"/>
          <w:i/>
          <w:snapToGrid w:val="0"/>
          <w:color w:val="auto"/>
          <w:kern w:val="22"/>
          <w:lang w:val="en-GB"/>
        </w:rPr>
        <w:t>Approaches taken by countries in establishing ABS legislative, administrative or policy measures</w:t>
      </w:r>
    </w:p>
    <w:p w14:paraId="4CEA3193" w14:textId="4837C20D" w:rsidR="0049703E" w:rsidRPr="00DF02C5" w:rsidRDefault="0049703E" w:rsidP="00393914">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 xml:space="preserve">Information provided to the ABS Clearing-House and in the </w:t>
      </w:r>
      <w:r w:rsidR="00CF75AA" w:rsidRPr="00DF02C5">
        <w:rPr>
          <w:rFonts w:hAnsi="Times New Roman" w:cs="Times New Roman"/>
          <w:snapToGrid w:val="0"/>
          <w:color w:val="auto"/>
          <w:kern w:val="22"/>
          <w:lang w:val="en-GB"/>
        </w:rPr>
        <w:t xml:space="preserve">interim national </w:t>
      </w:r>
      <w:r w:rsidRPr="00DF02C5">
        <w:rPr>
          <w:rFonts w:hAnsi="Times New Roman" w:cs="Times New Roman"/>
          <w:snapToGrid w:val="0"/>
          <w:color w:val="auto"/>
          <w:kern w:val="22"/>
          <w:lang w:val="en-GB"/>
        </w:rPr>
        <w:t xml:space="preserve">reports indicates that different approaches have been taken to establish measures to implement the Protocol. The following provides some indicative examples of these different approaches.  </w:t>
      </w:r>
    </w:p>
    <w:p w14:paraId="7B4128B2" w14:textId="1C590591" w:rsidR="0049703E" w:rsidRPr="00DF02C5" w:rsidRDefault="0049703E" w:rsidP="00186BFD">
      <w:pPr>
        <w:numPr>
          <w:ilvl w:val="0"/>
          <w:numId w:val="1"/>
        </w:numPr>
        <w:spacing w:before="120" w:after="120"/>
        <w:rPr>
          <w:rFonts w:hAnsi="Times New Roman" w:cs="Times New Roman"/>
          <w:i/>
          <w:snapToGrid w:val="0"/>
          <w:color w:val="auto"/>
          <w:kern w:val="22"/>
          <w:lang w:val="en-GB"/>
        </w:rPr>
      </w:pPr>
      <w:r w:rsidRPr="00DF02C5">
        <w:rPr>
          <w:rFonts w:hAnsi="Times New Roman" w:cs="Times New Roman"/>
          <w:i/>
          <w:snapToGrid w:val="0"/>
          <w:color w:val="auto"/>
          <w:kern w:val="22"/>
          <w:lang w:val="en-GB"/>
        </w:rPr>
        <w:t>ABS strategies, policies and action plans</w:t>
      </w:r>
      <w:r w:rsidR="00186BFD" w:rsidRPr="00DF02C5">
        <w:rPr>
          <w:rFonts w:hAnsi="Times New Roman" w:cs="Times New Roman"/>
          <w:i/>
          <w:snapToGrid w:val="0"/>
          <w:color w:val="auto"/>
          <w:kern w:val="22"/>
          <w:lang w:val="en-GB"/>
        </w:rPr>
        <w:t xml:space="preserve">: </w:t>
      </w:r>
      <w:r w:rsidRPr="00DF02C5">
        <w:rPr>
          <w:rFonts w:hAnsi="Times New Roman" w:cs="Times New Roman"/>
          <w:snapToGrid w:val="0"/>
          <w:color w:val="auto"/>
          <w:kern w:val="22"/>
          <w:lang w:val="en-GB"/>
        </w:rPr>
        <w:t xml:space="preserve">With a view to developing a national vision for ABS, some countries have adopted strategies, policies and action plans as a precursor to the development of further ABS measures.  </w:t>
      </w:r>
    </w:p>
    <w:p w14:paraId="0DC32895" w14:textId="7B182FFA" w:rsidR="0049703E" w:rsidRPr="00DF02C5" w:rsidRDefault="0049703E" w:rsidP="00393914">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 xml:space="preserve">For example, </w:t>
      </w:r>
      <w:proofErr w:type="gramStart"/>
      <w:r w:rsidRPr="00DF02C5">
        <w:rPr>
          <w:rFonts w:hAnsi="Times New Roman" w:cs="Times New Roman"/>
          <w:snapToGrid w:val="0"/>
          <w:color w:val="auto"/>
          <w:kern w:val="22"/>
          <w:lang w:val="en-GB"/>
        </w:rPr>
        <w:t>a number of</w:t>
      </w:r>
      <w:proofErr w:type="gramEnd"/>
      <w:r w:rsidRPr="00DF02C5">
        <w:rPr>
          <w:rFonts w:hAnsi="Times New Roman" w:cs="Times New Roman"/>
          <w:snapToGrid w:val="0"/>
          <w:color w:val="auto"/>
          <w:kern w:val="22"/>
          <w:lang w:val="en-GB"/>
        </w:rPr>
        <w:t xml:space="preserve"> countries have developed a specific ABS policy or strategy</w:t>
      </w:r>
      <w:r w:rsidRPr="00DF02C5">
        <w:rPr>
          <w:rFonts w:hAnsi="Times New Roman" w:cs="Times New Roman"/>
          <w:snapToGrid w:val="0"/>
          <w:color w:val="auto"/>
          <w:kern w:val="22"/>
          <w:vertAlign w:val="superscript"/>
          <w:lang w:val="en-GB"/>
        </w:rPr>
        <w:footnoteReference w:id="27"/>
      </w:r>
      <w:r w:rsidRPr="00DF02C5">
        <w:rPr>
          <w:rFonts w:hAnsi="Times New Roman" w:cs="Times New Roman"/>
          <w:snapToGrid w:val="0"/>
          <w:color w:val="auto"/>
          <w:kern w:val="22"/>
          <w:lang w:val="en-GB"/>
        </w:rPr>
        <w:t xml:space="preserve"> and some have developed ABS actions plans</w:t>
      </w:r>
      <w:r w:rsidR="00C551D4">
        <w:rPr>
          <w:rFonts w:hAnsi="Times New Roman" w:cs="Times New Roman"/>
          <w:snapToGrid w:val="0"/>
          <w:color w:val="auto"/>
          <w:kern w:val="22"/>
          <w:lang w:val="en-GB"/>
        </w:rPr>
        <w:t>.</w:t>
      </w:r>
      <w:r w:rsidRPr="00DF02C5">
        <w:rPr>
          <w:rFonts w:hAnsi="Times New Roman" w:cs="Times New Roman"/>
          <w:snapToGrid w:val="0"/>
          <w:color w:val="auto"/>
          <w:kern w:val="22"/>
          <w:vertAlign w:val="superscript"/>
          <w:lang w:val="en-GB"/>
        </w:rPr>
        <w:footnoteReference w:id="28"/>
      </w:r>
      <w:r w:rsidRPr="00DF02C5">
        <w:rPr>
          <w:rFonts w:hAnsi="Times New Roman" w:cs="Times New Roman"/>
          <w:snapToGrid w:val="0"/>
          <w:color w:val="auto"/>
          <w:kern w:val="22"/>
          <w:lang w:val="en-GB"/>
        </w:rPr>
        <w:t xml:space="preserve"> Several countries have opted for integrating an ABS component in National Biodiversity Strategy and Action Plans (NBSAPs)</w:t>
      </w:r>
      <w:r w:rsidR="00C551D4" w:rsidRPr="00C551D4">
        <w:rPr>
          <w:rFonts w:hAnsi="Times New Roman" w:cs="Times New Roman"/>
          <w:snapToGrid w:val="0"/>
          <w:color w:val="auto"/>
          <w:kern w:val="22"/>
          <w:lang w:val="en-GB"/>
        </w:rPr>
        <w:t>,</w:t>
      </w:r>
      <w:r w:rsidRPr="00DF02C5">
        <w:rPr>
          <w:rFonts w:hAnsi="Times New Roman" w:cs="Times New Roman"/>
          <w:snapToGrid w:val="0"/>
          <w:color w:val="auto"/>
          <w:kern w:val="22"/>
          <w:vertAlign w:val="superscript"/>
          <w:lang w:val="en-GB"/>
        </w:rPr>
        <w:footnoteReference w:id="29"/>
      </w:r>
      <w:r w:rsidRPr="00DF02C5">
        <w:rPr>
          <w:rFonts w:hAnsi="Times New Roman" w:cs="Times New Roman"/>
          <w:snapToGrid w:val="0"/>
          <w:color w:val="auto"/>
          <w:kern w:val="22"/>
          <w:lang w:val="en-GB"/>
        </w:rPr>
        <w:t xml:space="preserve"> and others have integrated ABS in broader policy instruments, such as environmental or biodiversity policy</w:t>
      </w:r>
      <w:r w:rsidR="00C551D4">
        <w:rPr>
          <w:rFonts w:hAnsi="Times New Roman" w:cs="Times New Roman"/>
          <w:snapToGrid w:val="0"/>
          <w:color w:val="auto"/>
          <w:kern w:val="22"/>
          <w:lang w:val="en-GB"/>
        </w:rPr>
        <w:t>,</w:t>
      </w:r>
      <w:r w:rsidRPr="00DF02C5">
        <w:rPr>
          <w:rFonts w:hAnsi="Times New Roman" w:cs="Times New Roman"/>
          <w:snapToGrid w:val="0"/>
          <w:color w:val="auto"/>
          <w:kern w:val="22"/>
          <w:vertAlign w:val="superscript"/>
          <w:lang w:val="en-GB"/>
        </w:rPr>
        <w:footnoteReference w:id="30"/>
      </w:r>
      <w:r w:rsidRPr="00DF02C5">
        <w:rPr>
          <w:rFonts w:hAnsi="Times New Roman" w:cs="Times New Roman"/>
          <w:snapToGrid w:val="0"/>
          <w:color w:val="auto"/>
          <w:kern w:val="22"/>
          <w:lang w:val="en-GB"/>
        </w:rPr>
        <w:t xml:space="preserve"> social and economic development</w:t>
      </w:r>
      <w:r w:rsidR="00C551D4">
        <w:rPr>
          <w:rFonts w:hAnsi="Times New Roman" w:cs="Times New Roman"/>
          <w:snapToGrid w:val="0"/>
          <w:color w:val="auto"/>
          <w:kern w:val="22"/>
          <w:lang w:val="en-GB"/>
        </w:rPr>
        <w:t>,</w:t>
      </w:r>
      <w:r w:rsidRPr="00DF02C5">
        <w:rPr>
          <w:rFonts w:hAnsi="Times New Roman" w:cs="Times New Roman"/>
          <w:snapToGrid w:val="0"/>
          <w:color w:val="auto"/>
          <w:kern w:val="22"/>
          <w:vertAlign w:val="superscript"/>
          <w:lang w:val="en-GB"/>
        </w:rPr>
        <w:footnoteReference w:id="31"/>
      </w:r>
      <w:r w:rsidRPr="00DF02C5">
        <w:rPr>
          <w:rFonts w:hAnsi="Times New Roman" w:cs="Times New Roman"/>
          <w:snapToGrid w:val="0"/>
          <w:color w:val="auto"/>
          <w:kern w:val="22"/>
          <w:lang w:val="en-GB"/>
        </w:rPr>
        <w:t xml:space="preserve"> or sustainable development instruments.</w:t>
      </w:r>
      <w:r w:rsidRPr="00DF02C5">
        <w:rPr>
          <w:rFonts w:hAnsi="Times New Roman" w:cs="Times New Roman"/>
          <w:snapToGrid w:val="0"/>
          <w:color w:val="auto"/>
          <w:kern w:val="22"/>
          <w:vertAlign w:val="superscript"/>
          <w:lang w:val="en-GB"/>
        </w:rPr>
        <w:footnoteReference w:id="32"/>
      </w:r>
    </w:p>
    <w:p w14:paraId="64A9FEFB" w14:textId="75A70183" w:rsidR="0049703E" w:rsidRPr="00DF02C5" w:rsidRDefault="00186BFD" w:rsidP="00186BFD">
      <w:pPr>
        <w:numPr>
          <w:ilvl w:val="0"/>
          <w:numId w:val="1"/>
        </w:numPr>
        <w:spacing w:before="120" w:after="120"/>
        <w:rPr>
          <w:rFonts w:hAnsi="Times New Roman" w:cs="Times New Roman"/>
          <w:i/>
          <w:snapToGrid w:val="0"/>
          <w:color w:val="auto"/>
          <w:kern w:val="22"/>
          <w:lang w:val="en-GB"/>
        </w:rPr>
      </w:pPr>
      <w:r w:rsidRPr="00DF02C5">
        <w:rPr>
          <w:rFonts w:hAnsi="Times New Roman" w:cs="Times New Roman"/>
          <w:i/>
          <w:snapToGrid w:val="0"/>
          <w:color w:val="auto"/>
          <w:kern w:val="22"/>
          <w:lang w:val="en-GB"/>
        </w:rPr>
        <w:t xml:space="preserve">Stand-alone ABS legislation: </w:t>
      </w:r>
      <w:r w:rsidR="0049703E" w:rsidRPr="00DF02C5">
        <w:rPr>
          <w:rFonts w:hAnsi="Times New Roman" w:cs="Times New Roman"/>
          <w:snapToGrid w:val="0"/>
          <w:color w:val="auto"/>
          <w:kern w:val="22"/>
          <w:lang w:val="en-GB"/>
        </w:rPr>
        <w:t>In establishing ABS measures, some c</w:t>
      </w:r>
      <w:r w:rsidR="006067D8" w:rsidRPr="00DF02C5">
        <w:rPr>
          <w:rFonts w:hAnsi="Times New Roman" w:cs="Times New Roman"/>
          <w:snapToGrid w:val="0"/>
          <w:color w:val="auto"/>
          <w:kern w:val="22"/>
          <w:lang w:val="en-GB"/>
        </w:rPr>
        <w:t xml:space="preserve">ountries have decided to </w:t>
      </w:r>
      <w:r w:rsidR="0009440F" w:rsidRPr="00DF02C5">
        <w:rPr>
          <w:rFonts w:hAnsi="Times New Roman" w:cs="Times New Roman"/>
          <w:snapToGrid w:val="0"/>
          <w:color w:val="auto"/>
          <w:kern w:val="22"/>
          <w:lang w:val="en-GB"/>
        </w:rPr>
        <w:t>adopt stand</w:t>
      </w:r>
      <w:r w:rsidR="0049703E" w:rsidRPr="00DF02C5">
        <w:rPr>
          <w:rFonts w:hAnsi="Times New Roman" w:cs="Times New Roman"/>
          <w:snapToGrid w:val="0"/>
          <w:color w:val="auto"/>
          <w:kern w:val="22"/>
          <w:lang w:val="en-GB"/>
        </w:rPr>
        <w:t>-alone ABS legislation. For instance, China and Morocco are working on draft stand-alone measures to regulate ABS. Often ABS laws have remained focused on establishing general principles, mandates and procedures with specific aspects of applications left to regulations. For example:</w:t>
      </w:r>
    </w:p>
    <w:p w14:paraId="68A7BC92" w14:textId="77777777" w:rsidR="0049703E" w:rsidRPr="00DF02C5" w:rsidRDefault="0049703E" w:rsidP="00186BFD">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 xml:space="preserve">Ethiopia has issued Access to Genetic Resources and Community Knowledge, and Community Rights Proclamation (No. 482/2006) and Regulation (No.169/2009) to implement fair and equitable sharing of benefits arising from the utilization of the genetic resources and community knowledge; </w:t>
      </w:r>
    </w:p>
    <w:p w14:paraId="67E8E93D" w14:textId="3DD04A35" w:rsidR="0049703E" w:rsidRPr="00DF02C5" w:rsidRDefault="0049703E" w:rsidP="0049703E">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Uganda adopted their national legislation on access to genetic resources and benefit-sharing in 2005 and developed guidelines for accessing genetic resources and benefit-sharing in 2007.</w:t>
      </w:r>
    </w:p>
    <w:p w14:paraId="6D48BB80" w14:textId="208A17DF" w:rsidR="0049703E" w:rsidRPr="00DF02C5" w:rsidRDefault="00186BFD" w:rsidP="00393914">
      <w:pPr>
        <w:numPr>
          <w:ilvl w:val="0"/>
          <w:numId w:val="1"/>
        </w:numPr>
        <w:spacing w:before="120" w:after="120"/>
        <w:rPr>
          <w:rFonts w:hAnsi="Times New Roman" w:cs="Times New Roman"/>
          <w:snapToGrid w:val="0"/>
          <w:color w:val="auto"/>
          <w:kern w:val="22"/>
          <w:lang w:val="en-GB"/>
        </w:rPr>
      </w:pPr>
      <w:r w:rsidRPr="00DF02C5">
        <w:rPr>
          <w:rFonts w:hAnsi="Times New Roman" w:cs="Times New Roman"/>
          <w:i/>
          <w:snapToGrid w:val="0"/>
          <w:color w:val="auto"/>
          <w:kern w:val="22"/>
          <w:lang w:val="en-GB"/>
        </w:rPr>
        <w:t>ABS framework composed of different sectoral legislation</w:t>
      </w:r>
      <w:r w:rsidRPr="00DF02C5">
        <w:rPr>
          <w:rFonts w:hAnsi="Times New Roman" w:cs="Times New Roman"/>
          <w:snapToGrid w:val="0"/>
          <w:color w:val="auto"/>
          <w:kern w:val="22"/>
          <w:lang w:val="en-GB"/>
        </w:rPr>
        <w:t xml:space="preserve">: </w:t>
      </w:r>
      <w:r w:rsidR="0049703E" w:rsidRPr="00DF02C5">
        <w:rPr>
          <w:rFonts w:hAnsi="Times New Roman" w:cs="Times New Roman"/>
          <w:snapToGrid w:val="0"/>
          <w:color w:val="auto"/>
          <w:kern w:val="22"/>
          <w:lang w:val="en-GB"/>
        </w:rPr>
        <w:t>Some countries have an ABS framework which is composed of several laws addressing different aspects of ABS. For example:</w:t>
      </w:r>
    </w:p>
    <w:p w14:paraId="1A4DFE63" w14:textId="77777777" w:rsidR="0049703E" w:rsidRPr="00DF02C5" w:rsidRDefault="0049703E" w:rsidP="00186BFD">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The Norwegian ABS Framework consists of the Nature Diversity Act, the Marine Resources Act, The Patents Act, and the Act relating to the Plant Breeder’s Right;</w:t>
      </w:r>
    </w:p>
    <w:p w14:paraId="3D24CA32" w14:textId="77777777" w:rsidR="0049703E" w:rsidRPr="00DF02C5" w:rsidRDefault="0049703E" w:rsidP="00186BFD">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Peru’s ABS framework includes eleven relevant measures (as provided in the ABS Clearing-House), including regional measures (Andean Community decisions 391 and 486), as well as different regulations and decrees addressing genetic resources  and traditional knowledge and other related issues;</w:t>
      </w:r>
    </w:p>
    <w:p w14:paraId="476DBCC6" w14:textId="77777777" w:rsidR="0049703E" w:rsidRPr="00DF02C5" w:rsidRDefault="0049703E" w:rsidP="00186BFD">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 xml:space="preserve">Sudan has two proposed laws relevant to ABS, one on access to genetic resources and associated traditional knowledge and benefit-sharing and the other on plant genetic resources to address access and benefit-sharing issues. These laws are in addition to other measures, such as the Forests and </w:t>
      </w:r>
      <w:r w:rsidRPr="00DF02C5">
        <w:rPr>
          <w:rFonts w:hAnsi="Times New Roman" w:cs="Times New Roman"/>
          <w:snapToGrid w:val="0"/>
          <w:color w:val="auto"/>
          <w:kern w:val="22"/>
          <w:lang w:val="en-GB"/>
        </w:rPr>
        <w:lastRenderedPageBreak/>
        <w:t xml:space="preserve">Renewable Natural Resources Act of 2002 and the 2006 Forest Policy (Amendment 2015 under approval), that emphasize the importance of access and benefit-sharing and contain specific clauses in this regard. </w:t>
      </w:r>
    </w:p>
    <w:p w14:paraId="293AA29E" w14:textId="48FD7729" w:rsidR="0049703E" w:rsidRPr="00DF02C5" w:rsidRDefault="0049703E" w:rsidP="002E7376">
      <w:pPr>
        <w:numPr>
          <w:ilvl w:val="0"/>
          <w:numId w:val="1"/>
        </w:numPr>
        <w:spacing w:before="120" w:after="120"/>
        <w:rPr>
          <w:rFonts w:hAnsi="Times New Roman" w:cs="Times New Roman"/>
          <w:i/>
          <w:snapToGrid w:val="0"/>
          <w:color w:val="auto"/>
          <w:kern w:val="22"/>
          <w:lang w:val="en-GB"/>
        </w:rPr>
      </w:pPr>
      <w:r w:rsidRPr="00DF02C5">
        <w:rPr>
          <w:rFonts w:hAnsi="Times New Roman" w:cs="Times New Roman"/>
          <w:i/>
          <w:snapToGrid w:val="0"/>
          <w:color w:val="auto"/>
          <w:kern w:val="22"/>
          <w:lang w:val="en-GB"/>
        </w:rPr>
        <w:t>Revising the general environmental</w:t>
      </w:r>
      <w:r w:rsidR="00186BFD" w:rsidRPr="00DF02C5">
        <w:rPr>
          <w:rFonts w:hAnsi="Times New Roman" w:cs="Times New Roman"/>
          <w:i/>
          <w:snapToGrid w:val="0"/>
          <w:color w:val="auto"/>
          <w:kern w:val="22"/>
          <w:lang w:val="en-GB"/>
        </w:rPr>
        <w:t xml:space="preserve"> legislation to incorporate ABS: </w:t>
      </w:r>
      <w:r w:rsidRPr="00DF02C5">
        <w:rPr>
          <w:rFonts w:hAnsi="Times New Roman" w:cs="Times New Roman"/>
          <w:snapToGrid w:val="0"/>
          <w:color w:val="auto"/>
          <w:kern w:val="22"/>
          <w:lang w:val="en-GB"/>
        </w:rPr>
        <w:t>Some countries have revised their biodiversity or environmental laws to incorporate chapters addressing ABS. For instance:</w:t>
      </w:r>
    </w:p>
    <w:p w14:paraId="497D3D1F" w14:textId="77777777" w:rsidR="0049703E" w:rsidRPr="00DF02C5" w:rsidRDefault="0049703E" w:rsidP="00186BFD">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Antigua and Barbuda’s ABS legislation was included as part of their broader Environmental Protection Law of 2015 (Part VIII);</w:t>
      </w:r>
    </w:p>
    <w:p w14:paraId="649EB12A" w14:textId="77777777" w:rsidR="0049703E" w:rsidRPr="00DF02C5" w:rsidRDefault="0049703E" w:rsidP="00186BFD">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 xml:space="preserve">The Democratic Republic of the Congo included a chapter on “biological and genetic resources and traditional knowledge” in a 2014 update to its general conservation law; </w:t>
      </w:r>
    </w:p>
    <w:p w14:paraId="36FF8F78" w14:textId="5E34ECE4" w:rsidR="0049703E" w:rsidRPr="00DF02C5" w:rsidRDefault="0049703E" w:rsidP="00186BFD">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 xml:space="preserve">Dominican Republic revised their biodiversity sectorial law (333-15) to serve as a legal basis for developing </w:t>
      </w:r>
      <w:r w:rsidR="00BD60A0" w:rsidRPr="00DF02C5">
        <w:rPr>
          <w:rFonts w:hAnsi="Times New Roman" w:cs="Times New Roman"/>
          <w:snapToGrid w:val="0"/>
          <w:color w:val="auto"/>
          <w:kern w:val="22"/>
          <w:lang w:val="en-GB"/>
        </w:rPr>
        <w:t>additional</w:t>
      </w:r>
      <w:r w:rsidRPr="00DF02C5">
        <w:rPr>
          <w:rFonts w:hAnsi="Times New Roman" w:cs="Times New Roman"/>
          <w:snapToGrid w:val="0"/>
          <w:color w:val="auto"/>
          <w:kern w:val="22"/>
          <w:lang w:val="en-GB"/>
        </w:rPr>
        <w:t xml:space="preserve"> measures on ABS; </w:t>
      </w:r>
    </w:p>
    <w:p w14:paraId="052FC810" w14:textId="77777777" w:rsidR="0049703E" w:rsidRPr="00DF02C5" w:rsidRDefault="0049703E" w:rsidP="00186BFD">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 xml:space="preserve">In Malawi, the 2017 revised Environment Management Act contains substantial provisions to regulate and promote ABS. The Act also provides for the development of regulations and guidelines for ABS issues in Malawi. </w:t>
      </w:r>
    </w:p>
    <w:p w14:paraId="3DC3CD93" w14:textId="20754ADD" w:rsidR="0049703E" w:rsidRPr="00DF02C5" w:rsidRDefault="002E7376" w:rsidP="002E7376">
      <w:pPr>
        <w:numPr>
          <w:ilvl w:val="0"/>
          <w:numId w:val="1"/>
        </w:numPr>
        <w:spacing w:before="120" w:after="120"/>
        <w:rPr>
          <w:rFonts w:hAnsi="Times New Roman" w:cs="Times New Roman"/>
          <w:snapToGrid w:val="0"/>
          <w:color w:val="auto"/>
          <w:kern w:val="22"/>
          <w:lang w:val="en-GB"/>
        </w:rPr>
      </w:pPr>
      <w:r w:rsidRPr="00DF02C5">
        <w:rPr>
          <w:rFonts w:hAnsi="Times New Roman" w:cs="Times New Roman"/>
          <w:i/>
          <w:snapToGrid w:val="0"/>
          <w:color w:val="auto"/>
          <w:kern w:val="22"/>
          <w:lang w:val="en-GB"/>
        </w:rPr>
        <w:t>Adopting ABS regulations under broader legislation:</w:t>
      </w:r>
      <w:r w:rsidRPr="00DF02C5">
        <w:rPr>
          <w:rFonts w:hAnsi="Times New Roman" w:cs="Times New Roman"/>
          <w:snapToGrid w:val="0"/>
          <w:color w:val="auto"/>
          <w:kern w:val="22"/>
          <w:lang w:val="en-GB"/>
        </w:rPr>
        <w:t xml:space="preserve"> </w:t>
      </w:r>
      <w:r w:rsidR="0049703E" w:rsidRPr="00DF02C5">
        <w:rPr>
          <w:rFonts w:hAnsi="Times New Roman" w:cs="Times New Roman"/>
          <w:snapToGrid w:val="0"/>
          <w:color w:val="auto"/>
          <w:kern w:val="22"/>
          <w:lang w:val="en-GB"/>
        </w:rPr>
        <w:t>Very often countries have adopted ABS regulations on the basis of a broader environmental or biodiversity legislation; for example:</w:t>
      </w:r>
    </w:p>
    <w:p w14:paraId="1BB24CC2" w14:textId="77777777" w:rsidR="0049703E" w:rsidRPr="00DF02C5" w:rsidRDefault="0049703E" w:rsidP="00186BFD">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Burkina Faso is preparing a draft law to implement the Nagoya Protocol under the agro-silvo-pastoral, halieutic and wildlife law (No 14/003);</w:t>
      </w:r>
    </w:p>
    <w:p w14:paraId="2237657A" w14:textId="77777777" w:rsidR="0049703E" w:rsidRPr="00DF02C5" w:rsidRDefault="0049703E" w:rsidP="00186BFD">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 xml:space="preserve">In South Africa, Chapter 6 of the National Environmental Management Act was given effect by the Regulations on Bioprospecting, Access and Benefit Sharing (BABS Regulations) which entered into force on 1 April 2008. These Regulations have since been amended and came into force on 19 May 2015; </w:t>
      </w:r>
    </w:p>
    <w:p w14:paraId="423CB93C" w14:textId="77777777" w:rsidR="0049703E" w:rsidRPr="00DF02C5" w:rsidRDefault="0049703E" w:rsidP="00186BFD">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Switzerland’s Nagoya Ordinance (which entered into force 1 February 2016) is based on specific articles of the Federal Act on the Protection of Nature and Cultural Heritage;</w:t>
      </w:r>
    </w:p>
    <w:p w14:paraId="2E9B0A51" w14:textId="77777777" w:rsidR="0049703E" w:rsidRPr="00DF02C5" w:rsidRDefault="0049703E" w:rsidP="00186BFD">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 xml:space="preserve">Spain’s 2007 Natural Heritage and Biodiversity Law updated by Law 33/2015, created the basis for adopting Decree 124/2017 on access to genetic resources originating from wild taxa and control of their use.  </w:t>
      </w:r>
    </w:p>
    <w:p w14:paraId="092F1C80" w14:textId="65501ED4" w:rsidR="0049703E" w:rsidRPr="00DF02C5" w:rsidRDefault="002E7376" w:rsidP="0009440F">
      <w:pPr>
        <w:numPr>
          <w:ilvl w:val="0"/>
          <w:numId w:val="1"/>
        </w:numPr>
        <w:spacing w:before="120" w:after="120"/>
        <w:rPr>
          <w:rFonts w:hAnsi="Times New Roman" w:cs="Times New Roman"/>
          <w:snapToGrid w:val="0"/>
          <w:color w:val="auto"/>
          <w:kern w:val="22"/>
          <w:lang w:val="en-GB"/>
        </w:rPr>
      </w:pPr>
      <w:r w:rsidRPr="00DF02C5">
        <w:rPr>
          <w:rFonts w:hAnsi="Times New Roman" w:cs="Times New Roman"/>
          <w:i/>
          <w:snapToGrid w:val="0"/>
          <w:color w:val="auto"/>
          <w:kern w:val="22"/>
          <w:lang w:val="en-GB"/>
        </w:rPr>
        <w:t>Using administrative measures:</w:t>
      </w:r>
      <w:r w:rsidRPr="00DF02C5">
        <w:rPr>
          <w:rFonts w:hAnsi="Times New Roman" w:cs="Times New Roman"/>
          <w:snapToGrid w:val="0"/>
          <w:color w:val="auto"/>
          <w:kern w:val="22"/>
          <w:lang w:val="en-GB"/>
        </w:rPr>
        <w:t xml:space="preserve"> </w:t>
      </w:r>
      <w:r w:rsidR="0049703E" w:rsidRPr="00DF02C5">
        <w:rPr>
          <w:rFonts w:hAnsi="Times New Roman" w:cs="Times New Roman"/>
          <w:snapToGrid w:val="0"/>
          <w:color w:val="auto"/>
          <w:kern w:val="22"/>
          <w:lang w:val="en-GB"/>
        </w:rPr>
        <w:t>Some countries have opted for adopting administrative measures to implement ABS. For instance, Comoros reported having taken administrative measures and Swaziland has developed administrative guidelines.</w:t>
      </w:r>
      <w:r w:rsidR="0009440F" w:rsidRPr="00DF02C5">
        <w:rPr>
          <w:rFonts w:hAnsi="Times New Roman" w:cs="Times New Roman"/>
          <w:snapToGrid w:val="0"/>
          <w:color w:val="auto"/>
          <w:kern w:val="22"/>
          <w:lang w:val="en-GB"/>
        </w:rPr>
        <w:t xml:space="preserve"> </w:t>
      </w:r>
      <w:r w:rsidR="0049703E" w:rsidRPr="00DF02C5">
        <w:rPr>
          <w:rFonts w:hAnsi="Times New Roman" w:cs="Times New Roman"/>
          <w:snapToGrid w:val="0"/>
          <w:color w:val="auto"/>
          <w:kern w:val="22"/>
          <w:lang w:val="en-GB"/>
        </w:rPr>
        <w:t>Other countries have used administrative measures to complement the existing framework, such as :</w:t>
      </w:r>
    </w:p>
    <w:p w14:paraId="6F652055" w14:textId="6B315910" w:rsidR="0049703E" w:rsidRPr="00DF02C5" w:rsidRDefault="0049703E" w:rsidP="002E7376">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Bhutan has an ABS Policy from 2015 and is revising the Biodiversity Act of Bhutan 2003. In addition, Bhutan issued fi</w:t>
      </w:r>
      <w:r w:rsidR="00B54C38">
        <w:rPr>
          <w:rFonts w:hAnsi="Times New Roman" w:cs="Times New Roman"/>
          <w:snapToGrid w:val="0"/>
          <w:color w:val="auto"/>
          <w:kern w:val="22"/>
          <w:lang w:val="en-GB"/>
        </w:rPr>
        <w:t xml:space="preserve">ve executive orders </w:t>
      </w:r>
      <w:proofErr w:type="gramStart"/>
      <w:r w:rsidR="00B54C38">
        <w:rPr>
          <w:rFonts w:hAnsi="Times New Roman" w:cs="Times New Roman"/>
          <w:snapToGrid w:val="0"/>
          <w:color w:val="auto"/>
          <w:kern w:val="22"/>
          <w:lang w:val="en-GB"/>
        </w:rPr>
        <w:t>with regard</w:t>
      </w:r>
      <w:r w:rsidRPr="00DF02C5">
        <w:rPr>
          <w:rFonts w:hAnsi="Times New Roman" w:cs="Times New Roman"/>
          <w:snapToGrid w:val="0"/>
          <w:color w:val="auto"/>
          <w:kern w:val="22"/>
          <w:lang w:val="en-GB"/>
        </w:rPr>
        <w:t xml:space="preserve"> to</w:t>
      </w:r>
      <w:proofErr w:type="gramEnd"/>
      <w:r w:rsidRPr="00DF02C5">
        <w:rPr>
          <w:rFonts w:hAnsi="Times New Roman" w:cs="Times New Roman"/>
          <w:snapToGrid w:val="0"/>
          <w:color w:val="auto"/>
          <w:kern w:val="22"/>
          <w:lang w:val="en-GB"/>
        </w:rPr>
        <w:t xml:space="preserve"> ABS in the country;</w:t>
      </w:r>
    </w:p>
    <w:p w14:paraId="159641CF" w14:textId="77777777" w:rsidR="0049703E" w:rsidRPr="00DF02C5" w:rsidRDefault="0049703E" w:rsidP="002E7376">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India enacted the Biological Diversity Act in 2002 and notified the Rules (Biological Diversity Rules) in 2004 to give effect to the provisions of the Convention including those relating to ABS. The Nagoya Protocol is also being implemented through the Biological Diversity Act, 2002 at the national level. For the implementation of several of the provisions of this Act, several notifications have been issued so far as well as the Guidelines on Access to Biological Resources and Associated Knowledge and Benefit Sharing Regulations of 2014.</w:t>
      </w:r>
    </w:p>
    <w:p w14:paraId="5B2B7308" w14:textId="5C80F1A5" w:rsidR="0049703E" w:rsidRPr="00DF02C5" w:rsidRDefault="006067D8" w:rsidP="002E7376">
      <w:pPr>
        <w:numPr>
          <w:ilvl w:val="0"/>
          <w:numId w:val="1"/>
        </w:numPr>
        <w:spacing w:before="120" w:after="120"/>
        <w:rPr>
          <w:rFonts w:hAnsi="Times New Roman" w:cs="Times New Roman"/>
          <w:snapToGrid w:val="0"/>
          <w:color w:val="auto"/>
          <w:kern w:val="22"/>
          <w:lang w:val="en-GB"/>
        </w:rPr>
      </w:pPr>
      <w:r w:rsidRPr="00DF02C5">
        <w:rPr>
          <w:rFonts w:hAnsi="Times New Roman" w:cs="Times New Roman"/>
          <w:i/>
          <w:snapToGrid w:val="0"/>
          <w:color w:val="auto"/>
          <w:kern w:val="22"/>
          <w:lang w:val="en-GB"/>
        </w:rPr>
        <w:t xml:space="preserve">Interim </w:t>
      </w:r>
      <w:r w:rsidR="002E7376" w:rsidRPr="00DF02C5">
        <w:rPr>
          <w:rFonts w:hAnsi="Times New Roman" w:cs="Times New Roman"/>
          <w:i/>
          <w:snapToGrid w:val="0"/>
          <w:color w:val="auto"/>
          <w:kern w:val="22"/>
          <w:lang w:val="en-GB"/>
        </w:rPr>
        <w:t>measures:</w:t>
      </w:r>
      <w:r w:rsidR="002E7376" w:rsidRPr="00DF02C5">
        <w:rPr>
          <w:rFonts w:hAnsi="Times New Roman" w:cs="Times New Roman"/>
          <w:snapToGrid w:val="0"/>
          <w:color w:val="auto"/>
          <w:kern w:val="22"/>
          <w:lang w:val="en-GB"/>
        </w:rPr>
        <w:t xml:space="preserve"> </w:t>
      </w:r>
      <w:r w:rsidR="0049703E" w:rsidRPr="00DF02C5">
        <w:rPr>
          <w:rFonts w:hAnsi="Times New Roman" w:cs="Times New Roman"/>
          <w:snapToGrid w:val="0"/>
          <w:color w:val="auto"/>
          <w:kern w:val="22"/>
          <w:lang w:val="en-GB"/>
        </w:rPr>
        <w:t>Two countries reported having adopted interim measures while a more developed framework is being put in place:</w:t>
      </w:r>
    </w:p>
    <w:p w14:paraId="2CE8D518" w14:textId="77777777" w:rsidR="0049703E" w:rsidRPr="00DF02C5" w:rsidRDefault="0049703E" w:rsidP="006067D8">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Benin adopted a national ABS strategy which calls for the creation of a law, but, as this was considered a lengthy process, in the meantime, Benin has drafted and adopted interim directives with a view to bring legal certainty and transparency to access to genetic resources and associated traditional knowledge. These guidelines are to be reviewed as more experience is acquired;</w:t>
      </w:r>
    </w:p>
    <w:p w14:paraId="7B43D5BA" w14:textId="77777777" w:rsidR="0049703E" w:rsidRPr="00DF02C5" w:rsidRDefault="0049703E" w:rsidP="006067D8">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lastRenderedPageBreak/>
        <w:t xml:space="preserve">Uruguay is presently elaborating an ABS legal framework as stipulated in the General Law of Protection of the Environment Nº 17.283. Until the national legal framework is in place, the Ministry of Housing, Territorial Planning and the Environment approved a Ministerial Resolution to regulate access and benefit-sharing of genetic resources as a temporary measure.  </w:t>
      </w:r>
    </w:p>
    <w:p w14:paraId="51F13A0E" w14:textId="100CFEEA" w:rsidR="0049703E" w:rsidRPr="00DF02C5" w:rsidRDefault="002E7376" w:rsidP="002E7376">
      <w:pPr>
        <w:numPr>
          <w:ilvl w:val="0"/>
          <w:numId w:val="1"/>
        </w:numPr>
        <w:spacing w:before="120" w:after="120"/>
        <w:rPr>
          <w:rFonts w:hAnsi="Times New Roman" w:cs="Times New Roman"/>
          <w:snapToGrid w:val="0"/>
          <w:color w:val="auto"/>
          <w:kern w:val="22"/>
          <w:lang w:val="en-GB"/>
        </w:rPr>
      </w:pPr>
      <w:r w:rsidRPr="00DF02C5">
        <w:rPr>
          <w:rFonts w:hAnsi="Times New Roman" w:cs="Times New Roman"/>
          <w:i/>
          <w:snapToGrid w:val="0"/>
          <w:color w:val="auto"/>
          <w:kern w:val="22"/>
          <w:lang w:val="en-GB"/>
        </w:rPr>
        <w:t>Regional measures complemented by national measures</w:t>
      </w:r>
      <w:r w:rsidRPr="00DF02C5">
        <w:rPr>
          <w:rFonts w:hAnsi="Times New Roman" w:cs="Times New Roman"/>
          <w:snapToGrid w:val="0"/>
          <w:color w:val="auto"/>
          <w:kern w:val="22"/>
          <w:lang w:val="en-GB"/>
        </w:rPr>
        <w:t xml:space="preserve">: </w:t>
      </w:r>
      <w:r w:rsidR="0049703E" w:rsidRPr="00DF02C5">
        <w:rPr>
          <w:rFonts w:hAnsi="Times New Roman" w:cs="Times New Roman"/>
          <w:snapToGrid w:val="0"/>
          <w:color w:val="auto"/>
          <w:kern w:val="22"/>
          <w:lang w:val="en-GB"/>
        </w:rPr>
        <w:t>Some regions have adopted a regional approach to the establishment of measures to be further complemented by national measures. This would be the case, for instance, of the European Union and its Member States as well as the Andean Community.</w:t>
      </w:r>
    </w:p>
    <w:p w14:paraId="2E4D0B38" w14:textId="5AA085B7" w:rsidR="0049703E" w:rsidRPr="00DF02C5" w:rsidRDefault="0049703E" w:rsidP="00393914">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 xml:space="preserve">The European Union reported that the European Union (EU) has a specific legal framework due to its character as a regional economic integration organisation and the division of competences between the EU and the Member States. The European Union has adopted the following measures: (a) Regulation (EU) 511/2014 on compliance measures for users from the Nagoya Protocol on Access to Genetic Resources and Fair and Equitable Sharing of Benefits Arising from their Utilisation in the Union; (b) the Commission Implementing Regulation (EU) 2015/1866 laying down detailed rules for the implementation of Regulation (EU) 511/2014 as regards register of collections, monitoring user compliance and best practices; and (c) </w:t>
      </w:r>
      <w:r w:rsidR="006067D8" w:rsidRPr="00DF02C5">
        <w:rPr>
          <w:rFonts w:hAnsi="Times New Roman" w:cs="Times New Roman"/>
          <w:snapToGrid w:val="0"/>
          <w:color w:val="auto"/>
          <w:kern w:val="22"/>
          <w:lang w:val="en-GB"/>
        </w:rPr>
        <w:t>Commission Notice-</w:t>
      </w:r>
      <w:r w:rsidRPr="00DF02C5">
        <w:rPr>
          <w:rFonts w:hAnsi="Times New Roman" w:cs="Times New Roman"/>
          <w:snapToGrid w:val="0"/>
          <w:color w:val="auto"/>
          <w:kern w:val="22"/>
          <w:lang w:val="en-GB"/>
        </w:rPr>
        <w:t xml:space="preserve">Guidance document on the scope of application and core obligations of Regulation (EU) 511/2014 (2016/C 313/1). Some Member States, in addition to the EU measures, reported on the development of national measures to implement the Protocol. </w:t>
      </w:r>
      <w:r w:rsidRPr="00DF02C5">
        <w:rPr>
          <w:rFonts w:hAnsi="Times New Roman" w:cs="Times New Roman"/>
          <w:snapToGrid w:val="0"/>
          <w:color w:val="auto"/>
          <w:kern w:val="22"/>
          <w:vertAlign w:val="superscript"/>
          <w:lang w:val="en-GB"/>
        </w:rPr>
        <w:footnoteReference w:id="33"/>
      </w:r>
    </w:p>
    <w:p w14:paraId="35735697" w14:textId="7D4F8E69" w:rsidR="00E96A2F" w:rsidRPr="00C551D4" w:rsidRDefault="00E95886" w:rsidP="00C551D4">
      <w:pPr>
        <w:pStyle w:val="Para1"/>
        <w:numPr>
          <w:ilvl w:val="0"/>
          <w:numId w:val="85"/>
        </w:numPr>
        <w:spacing w:before="240" w:line="228" w:lineRule="auto"/>
        <w:rPr>
          <w:rFonts w:eastAsia="Calibri" w:hAnsi="Times New Roman"/>
          <w:i/>
          <w:snapToGrid w:val="0"/>
          <w:kern w:val="22"/>
          <w:bdr w:val="none" w:sz="0" w:space="0" w:color="auto"/>
          <w:lang w:val="en-GB"/>
        </w:rPr>
      </w:pPr>
      <w:r w:rsidRPr="00C551D4">
        <w:rPr>
          <w:rFonts w:eastAsia="Calibri" w:hAnsi="Times New Roman"/>
          <w:i/>
          <w:snapToGrid w:val="0"/>
          <w:kern w:val="22"/>
          <w:bdr w:val="none" w:sz="0" w:space="0" w:color="auto"/>
          <w:lang w:val="en-GB"/>
        </w:rPr>
        <w:t>Has your country designated a national focal point as provided in Article 13? (</w:t>
      </w:r>
      <w:r w:rsidR="00F70A4D" w:rsidRPr="00C551D4">
        <w:rPr>
          <w:rFonts w:eastAsia="Calibri" w:hAnsi="Times New Roman"/>
          <w:i/>
          <w:snapToGrid w:val="0"/>
          <w:kern w:val="22"/>
          <w:bdr w:val="none" w:sz="0" w:space="0" w:color="auto"/>
          <w:lang w:val="en-GB"/>
        </w:rPr>
        <w:t>q</w:t>
      </w:r>
      <w:r w:rsidR="0049703E" w:rsidRPr="00C551D4">
        <w:rPr>
          <w:rFonts w:eastAsia="Calibri" w:hAnsi="Times New Roman"/>
          <w:i/>
          <w:snapToGrid w:val="0"/>
          <w:kern w:val="22"/>
          <w:bdr w:val="none" w:sz="0" w:space="0" w:color="auto"/>
          <w:lang w:val="en-GB"/>
        </w:rPr>
        <w:t>uestion 5</w:t>
      </w:r>
      <w:r w:rsidRPr="00C551D4">
        <w:rPr>
          <w:rFonts w:eastAsia="Calibri" w:hAnsi="Times New Roman"/>
          <w:i/>
          <w:snapToGrid w:val="0"/>
          <w:kern w:val="22"/>
          <w:bdr w:val="none" w:sz="0" w:space="0" w:color="auto"/>
          <w:lang w:val="en-GB"/>
        </w:rPr>
        <w:t>)</w:t>
      </w:r>
      <w:r w:rsidR="0049703E" w:rsidRPr="00C551D4">
        <w:rPr>
          <w:rFonts w:eastAsia="Calibri" w:hAnsi="Times New Roman"/>
          <w:i/>
          <w:snapToGrid w:val="0"/>
          <w:kern w:val="22"/>
          <w:bdr w:val="none" w:sz="0" w:space="0" w:color="auto"/>
          <w:lang w:val="en-GB"/>
        </w:rPr>
        <w:t xml:space="preserve"> </w:t>
      </w:r>
    </w:p>
    <w:p w14:paraId="29E8CD43" w14:textId="3D24EC4C" w:rsidR="0049703E" w:rsidRPr="00DF02C5" w:rsidRDefault="0049703E" w:rsidP="00393914">
      <w:pPr>
        <w:numPr>
          <w:ilvl w:val="0"/>
          <w:numId w:val="1"/>
        </w:numPr>
        <w:spacing w:before="120" w:after="120"/>
        <w:rPr>
          <w:rFonts w:hAnsi="Times New Roman" w:cs="Times New Roman"/>
          <w:color w:val="auto"/>
          <w:kern w:val="22"/>
          <w:bdr w:val="none" w:sz="0" w:space="0" w:color="auto"/>
          <w:lang w:val="en-GB"/>
        </w:rPr>
      </w:pPr>
      <w:r w:rsidRPr="00DF02C5">
        <w:rPr>
          <w:rFonts w:hAnsi="Times New Roman" w:cs="Times New Roman"/>
          <w:color w:val="auto"/>
          <w:kern w:val="22"/>
          <w:lang w:val="en-GB"/>
        </w:rPr>
        <w:t>As</w:t>
      </w:r>
      <w:r w:rsidRPr="00DF02C5">
        <w:rPr>
          <w:rFonts w:hAnsi="Times New Roman" w:cs="Times New Roman"/>
          <w:color w:val="auto"/>
          <w:kern w:val="22"/>
          <w:bdr w:val="none" w:sz="0" w:space="0" w:color="auto"/>
          <w:lang w:val="en-GB"/>
        </w:rPr>
        <w:t xml:space="preserve"> of 22 February 2018, most countries, both Parties and non-Parties, have designated a NFP. As presented in the table </w:t>
      </w:r>
      <w:r w:rsidRPr="00DF02C5">
        <w:rPr>
          <w:rFonts w:hAnsi="Times New Roman" w:cs="Times New Roman"/>
          <w:snapToGrid w:val="0"/>
          <w:color w:val="auto"/>
          <w:kern w:val="22"/>
          <w:lang w:val="en-GB"/>
        </w:rPr>
        <w:t>below</w:t>
      </w:r>
      <w:r w:rsidRPr="00DF02C5">
        <w:rPr>
          <w:rFonts w:hAnsi="Times New Roman" w:cs="Times New Roman"/>
          <w:color w:val="auto"/>
          <w:kern w:val="22"/>
          <w:bdr w:val="none" w:sz="0" w:space="0" w:color="auto"/>
          <w:lang w:val="en-GB"/>
        </w:rPr>
        <w:t>, 103 Parties to the Nagoya Protocol designated a national focal point for ABS (98% of Parties)</w:t>
      </w:r>
      <w:r w:rsidRPr="00DF02C5">
        <w:rPr>
          <w:rFonts w:hAnsi="Times New Roman" w:cs="Times New Roman"/>
          <w:color w:val="auto"/>
          <w:kern w:val="22"/>
          <w:bdr w:val="none" w:sz="0" w:space="0" w:color="auto"/>
          <w:vertAlign w:val="superscript"/>
          <w:lang w:val="en-GB"/>
        </w:rPr>
        <w:t xml:space="preserve"> </w:t>
      </w:r>
      <w:r w:rsidRPr="00DF02C5">
        <w:rPr>
          <w:rFonts w:hAnsi="Times New Roman" w:cs="Times New Roman"/>
          <w:color w:val="auto"/>
          <w:kern w:val="22"/>
          <w:bdr w:val="none" w:sz="0" w:space="0" w:color="auto"/>
          <w:vertAlign w:val="superscript"/>
          <w:lang w:val="en-GB"/>
        </w:rPr>
        <w:footnoteReference w:id="34"/>
      </w:r>
      <w:r w:rsidRPr="00DF02C5">
        <w:rPr>
          <w:rFonts w:hAnsi="Times New Roman" w:cs="Times New Roman"/>
          <w:color w:val="auto"/>
          <w:kern w:val="22"/>
          <w:bdr w:val="none" w:sz="0" w:space="0" w:color="auto"/>
          <w:lang w:val="en-GB"/>
        </w:rPr>
        <w:t xml:space="preserve"> and only two</w:t>
      </w:r>
      <w:r w:rsidR="00E95886" w:rsidRPr="00DF02C5">
        <w:rPr>
          <w:rFonts w:hAnsi="Times New Roman" w:cs="Times New Roman"/>
          <w:color w:val="auto"/>
          <w:kern w:val="22"/>
          <w:bdr w:val="none" w:sz="0" w:space="0" w:color="auto"/>
          <w:lang w:val="en-GB"/>
        </w:rPr>
        <w:t xml:space="preserve"> Parties</w:t>
      </w:r>
      <w:r w:rsidRPr="00DF02C5">
        <w:rPr>
          <w:rFonts w:eastAsia="Calibri" w:hAnsi="Times New Roman" w:cs="Times New Roman"/>
          <w:snapToGrid w:val="0"/>
          <w:color w:val="auto"/>
          <w:kern w:val="22"/>
          <w:bdr w:val="none" w:sz="0" w:space="0" w:color="auto"/>
          <w:vertAlign w:val="superscript"/>
          <w:lang w:val="en-GB"/>
        </w:rPr>
        <w:footnoteReference w:id="35"/>
      </w:r>
      <w:r w:rsidRPr="00DF02C5">
        <w:rPr>
          <w:rFonts w:hAnsi="Times New Roman" w:cs="Times New Roman"/>
          <w:color w:val="auto"/>
          <w:kern w:val="22"/>
          <w:bdr w:val="none" w:sz="0" w:space="0" w:color="auto"/>
          <w:lang w:val="en-GB"/>
        </w:rPr>
        <w:t xml:space="preserve"> had not. 67 non-Parties have designated a NFP on ABS.</w:t>
      </w:r>
    </w:p>
    <w:p w14:paraId="63175A2E" w14:textId="4D4546F5" w:rsidR="0049703E" w:rsidRPr="00DF02C5" w:rsidRDefault="007D5F65" w:rsidP="007D5F65">
      <w:pPr>
        <w:pStyle w:val="Caption"/>
        <w:rPr>
          <w:rFonts w:hAnsi="Times New Roman" w:cs="Times New Roman"/>
          <w:kern w:val="22"/>
          <w:bdr w:val="none" w:sz="0" w:space="0" w:color="auto"/>
          <w:lang w:val="en-GB"/>
        </w:rPr>
      </w:pPr>
      <w:r w:rsidRPr="00DF02C5">
        <w:rPr>
          <w:lang w:val="en-GB"/>
        </w:rPr>
        <w:t xml:space="preserve">Table </w:t>
      </w:r>
      <w:r w:rsidRPr="00DF02C5">
        <w:rPr>
          <w:lang w:val="en-GB"/>
        </w:rPr>
        <w:fldChar w:fldCharType="begin"/>
      </w:r>
      <w:r w:rsidRPr="00DF02C5">
        <w:rPr>
          <w:lang w:val="en-GB"/>
        </w:rPr>
        <w:instrText xml:space="preserve"> SEQ Table \* ARABIC </w:instrText>
      </w:r>
      <w:r w:rsidRPr="00DF02C5">
        <w:rPr>
          <w:lang w:val="en-GB"/>
        </w:rPr>
        <w:fldChar w:fldCharType="separate"/>
      </w:r>
      <w:r w:rsidRPr="00DF02C5">
        <w:rPr>
          <w:noProof/>
          <w:lang w:val="en-GB"/>
        </w:rPr>
        <w:t>2</w:t>
      </w:r>
      <w:r w:rsidRPr="00DF02C5">
        <w:rPr>
          <w:lang w:val="en-GB"/>
        </w:rPr>
        <w:fldChar w:fldCharType="end"/>
      </w:r>
      <w:r w:rsidRPr="00DF02C5">
        <w:rPr>
          <w:lang w:val="en-GB"/>
        </w:rPr>
        <w:t xml:space="preserve">: </w:t>
      </w:r>
      <w:r w:rsidR="0049703E" w:rsidRPr="00DF02C5">
        <w:rPr>
          <w:rFonts w:hAnsi="Times New Roman" w:cs="Times New Roman"/>
          <w:kern w:val="22"/>
          <w:lang w:val="en-GB"/>
        </w:rPr>
        <w:t xml:space="preserve">Progress in designating a national focal point </w:t>
      </w:r>
      <w:r w:rsidR="00577044">
        <w:rPr>
          <w:rFonts w:hAnsi="Times New Roman" w:cs="Times New Roman"/>
          <w:kern w:val="22"/>
          <w:lang w:val="en-GB"/>
        </w:rPr>
        <w:t>up to</w:t>
      </w:r>
      <w:r w:rsidR="0049703E" w:rsidRPr="00DF02C5">
        <w:rPr>
          <w:rFonts w:hAnsi="Times New Roman" w:cs="Times New Roman"/>
          <w:kern w:val="22"/>
          <w:lang w:val="en-GB"/>
        </w:rPr>
        <w:t xml:space="preserve"> 22 February 2018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818"/>
        <w:gridCol w:w="1800"/>
        <w:gridCol w:w="1800"/>
      </w:tblGrid>
      <w:tr w:rsidR="0049703E" w:rsidRPr="00DF02C5" w14:paraId="75B48C68" w14:textId="77777777" w:rsidTr="00B37C87">
        <w:trPr>
          <w:jc w:val="center"/>
        </w:trPr>
        <w:tc>
          <w:tcPr>
            <w:tcW w:w="1818" w:type="dxa"/>
            <w:shd w:val="clear" w:color="auto" w:fill="auto"/>
          </w:tcPr>
          <w:p w14:paraId="11EB848F" w14:textId="77777777" w:rsidR="0049703E" w:rsidRPr="00DF02C5" w:rsidRDefault="0049703E" w:rsidP="0049703E">
            <w:pPr>
              <w:keepLines/>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hAnsi="Times New Roman" w:cs="Times New Roman"/>
                <w:b/>
                <w:color w:val="auto"/>
                <w:kern w:val="22"/>
                <w:sz w:val="18"/>
                <w:szCs w:val="18"/>
                <w:bdr w:val="none" w:sz="0" w:space="0" w:color="auto"/>
                <w:lang w:val="en-GB"/>
              </w:rPr>
            </w:pPr>
          </w:p>
        </w:tc>
        <w:tc>
          <w:tcPr>
            <w:tcW w:w="1818" w:type="dxa"/>
            <w:shd w:val="clear" w:color="auto" w:fill="auto"/>
          </w:tcPr>
          <w:p w14:paraId="1349205E" w14:textId="77777777" w:rsidR="0049703E" w:rsidRPr="00DF02C5" w:rsidRDefault="0049703E" w:rsidP="0049703E">
            <w:pPr>
              <w:keepLines/>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hAnsi="Times New Roman" w:cs="Times New Roman"/>
                <w:b/>
                <w:color w:val="auto"/>
                <w:kern w:val="22"/>
                <w:sz w:val="18"/>
                <w:szCs w:val="18"/>
                <w:bdr w:val="none" w:sz="0" w:space="0" w:color="auto"/>
                <w:lang w:val="en-GB"/>
              </w:rPr>
            </w:pPr>
            <w:r w:rsidRPr="00DF02C5">
              <w:rPr>
                <w:rFonts w:hAnsi="Times New Roman" w:cs="Times New Roman"/>
                <w:b/>
                <w:color w:val="auto"/>
                <w:kern w:val="22"/>
                <w:sz w:val="18"/>
                <w:szCs w:val="18"/>
                <w:bdr w:val="none" w:sz="0" w:space="0" w:color="auto"/>
                <w:lang w:val="en-GB"/>
              </w:rPr>
              <w:t>Parties to the Nagoya Protocol</w:t>
            </w:r>
          </w:p>
        </w:tc>
        <w:tc>
          <w:tcPr>
            <w:tcW w:w="1800" w:type="dxa"/>
            <w:shd w:val="clear" w:color="auto" w:fill="auto"/>
          </w:tcPr>
          <w:p w14:paraId="776B7563" w14:textId="77777777" w:rsidR="0049703E" w:rsidRPr="00DF02C5" w:rsidRDefault="0049703E" w:rsidP="0049703E">
            <w:pPr>
              <w:keepLines/>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hAnsi="Times New Roman" w:cs="Times New Roman"/>
                <w:b/>
                <w:color w:val="auto"/>
                <w:kern w:val="22"/>
                <w:sz w:val="18"/>
                <w:szCs w:val="18"/>
                <w:bdr w:val="none" w:sz="0" w:space="0" w:color="auto"/>
                <w:lang w:val="en-GB"/>
              </w:rPr>
            </w:pPr>
            <w:r w:rsidRPr="00DF02C5">
              <w:rPr>
                <w:rFonts w:hAnsi="Times New Roman" w:cs="Times New Roman"/>
                <w:b/>
                <w:color w:val="auto"/>
                <w:kern w:val="22"/>
                <w:sz w:val="18"/>
                <w:szCs w:val="18"/>
                <w:bdr w:val="none" w:sz="0" w:space="0" w:color="auto"/>
                <w:lang w:val="en-GB"/>
              </w:rPr>
              <w:t>Non-Parties to the Nagoya Protocol</w:t>
            </w:r>
          </w:p>
        </w:tc>
        <w:tc>
          <w:tcPr>
            <w:tcW w:w="1800" w:type="dxa"/>
            <w:shd w:val="clear" w:color="auto" w:fill="auto"/>
          </w:tcPr>
          <w:p w14:paraId="70833C7D" w14:textId="77777777" w:rsidR="0049703E" w:rsidRPr="00DF02C5" w:rsidRDefault="0049703E" w:rsidP="0049703E">
            <w:pPr>
              <w:keepLines/>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hAnsi="Times New Roman" w:cs="Times New Roman"/>
                <w:b/>
                <w:color w:val="auto"/>
                <w:kern w:val="22"/>
                <w:sz w:val="18"/>
                <w:szCs w:val="18"/>
                <w:bdr w:val="none" w:sz="0" w:space="0" w:color="auto"/>
                <w:lang w:val="en-GB"/>
              </w:rPr>
            </w:pPr>
            <w:r w:rsidRPr="00DF02C5">
              <w:rPr>
                <w:rFonts w:hAnsi="Times New Roman" w:cs="Times New Roman"/>
                <w:b/>
                <w:color w:val="auto"/>
                <w:kern w:val="22"/>
                <w:sz w:val="18"/>
                <w:szCs w:val="18"/>
                <w:bdr w:val="none" w:sz="0" w:space="0" w:color="auto"/>
                <w:lang w:val="en-GB"/>
              </w:rPr>
              <w:t>Total Countries</w:t>
            </w:r>
          </w:p>
        </w:tc>
      </w:tr>
      <w:tr w:rsidR="0049703E" w:rsidRPr="00DF02C5" w14:paraId="1648AEF0" w14:textId="77777777" w:rsidTr="00B37C87">
        <w:trPr>
          <w:jc w:val="center"/>
        </w:trPr>
        <w:tc>
          <w:tcPr>
            <w:tcW w:w="1818" w:type="dxa"/>
            <w:shd w:val="clear" w:color="auto" w:fill="auto"/>
          </w:tcPr>
          <w:p w14:paraId="2A7B5B82" w14:textId="77777777" w:rsidR="0049703E" w:rsidRPr="00DF02C5" w:rsidRDefault="0049703E" w:rsidP="0049703E">
            <w:pPr>
              <w:keepLines/>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left"/>
              <w:rPr>
                <w:rFonts w:hAnsi="Times New Roman" w:cs="Times New Roman"/>
                <w:color w:val="auto"/>
                <w:kern w:val="22"/>
                <w:sz w:val="18"/>
                <w:szCs w:val="18"/>
                <w:bdr w:val="none" w:sz="0" w:space="0" w:color="auto"/>
                <w:lang w:val="en-GB"/>
              </w:rPr>
            </w:pPr>
            <w:r w:rsidRPr="00DF02C5">
              <w:rPr>
                <w:rFonts w:hAnsi="Times New Roman" w:cs="Times New Roman"/>
                <w:color w:val="auto"/>
                <w:kern w:val="22"/>
                <w:sz w:val="18"/>
                <w:szCs w:val="18"/>
                <w:bdr w:val="none" w:sz="0" w:space="0" w:color="auto"/>
                <w:lang w:val="en-GB"/>
              </w:rPr>
              <w:t>Designated NFP</w:t>
            </w:r>
          </w:p>
        </w:tc>
        <w:tc>
          <w:tcPr>
            <w:tcW w:w="1818" w:type="dxa"/>
            <w:shd w:val="clear" w:color="auto" w:fill="auto"/>
          </w:tcPr>
          <w:p w14:paraId="59724917" w14:textId="77777777" w:rsidR="0049703E" w:rsidRPr="00DF02C5" w:rsidRDefault="0049703E" w:rsidP="0049703E">
            <w:pPr>
              <w:keepLines/>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hAnsi="Times New Roman" w:cs="Times New Roman"/>
                <w:color w:val="auto"/>
                <w:kern w:val="22"/>
                <w:sz w:val="18"/>
                <w:szCs w:val="18"/>
                <w:bdr w:val="none" w:sz="0" w:space="0" w:color="auto"/>
                <w:lang w:val="en-GB"/>
              </w:rPr>
            </w:pPr>
            <w:r w:rsidRPr="00DF02C5">
              <w:rPr>
                <w:rFonts w:hAnsi="Times New Roman" w:cs="Times New Roman"/>
                <w:color w:val="auto"/>
                <w:kern w:val="22"/>
                <w:sz w:val="18"/>
                <w:szCs w:val="18"/>
                <w:bdr w:val="none" w:sz="0" w:space="0" w:color="auto"/>
                <w:lang w:val="en-GB"/>
              </w:rPr>
              <w:t>103 (98%)</w:t>
            </w:r>
          </w:p>
        </w:tc>
        <w:tc>
          <w:tcPr>
            <w:tcW w:w="1800" w:type="dxa"/>
            <w:shd w:val="clear" w:color="auto" w:fill="auto"/>
          </w:tcPr>
          <w:p w14:paraId="106AE068" w14:textId="77777777" w:rsidR="0049703E" w:rsidRPr="00DF02C5" w:rsidRDefault="0049703E" w:rsidP="0049703E">
            <w:pPr>
              <w:keepLines/>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hAnsi="Times New Roman" w:cs="Times New Roman"/>
                <w:color w:val="auto"/>
                <w:kern w:val="22"/>
                <w:sz w:val="18"/>
                <w:szCs w:val="18"/>
                <w:bdr w:val="none" w:sz="0" w:space="0" w:color="auto"/>
                <w:lang w:val="en-GB"/>
              </w:rPr>
            </w:pPr>
            <w:r w:rsidRPr="00DF02C5">
              <w:rPr>
                <w:rFonts w:hAnsi="Times New Roman" w:cs="Times New Roman"/>
                <w:color w:val="auto"/>
                <w:kern w:val="22"/>
                <w:sz w:val="18"/>
                <w:szCs w:val="18"/>
                <w:bdr w:val="none" w:sz="0" w:space="0" w:color="auto"/>
                <w:lang w:val="en-GB"/>
              </w:rPr>
              <w:t>67 (72%)</w:t>
            </w:r>
          </w:p>
        </w:tc>
        <w:tc>
          <w:tcPr>
            <w:tcW w:w="1800" w:type="dxa"/>
            <w:shd w:val="clear" w:color="auto" w:fill="auto"/>
          </w:tcPr>
          <w:p w14:paraId="6F2FC295" w14:textId="77777777" w:rsidR="0049703E" w:rsidRPr="00DF02C5" w:rsidRDefault="0049703E" w:rsidP="0049703E">
            <w:pPr>
              <w:keepLines/>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hAnsi="Times New Roman" w:cs="Times New Roman"/>
                <w:b/>
                <w:color w:val="auto"/>
                <w:kern w:val="22"/>
                <w:sz w:val="18"/>
                <w:szCs w:val="18"/>
                <w:bdr w:val="none" w:sz="0" w:space="0" w:color="auto"/>
                <w:lang w:val="en-GB"/>
              </w:rPr>
            </w:pPr>
            <w:r w:rsidRPr="00DF02C5">
              <w:rPr>
                <w:rFonts w:hAnsi="Times New Roman" w:cs="Times New Roman"/>
                <w:b/>
                <w:color w:val="auto"/>
                <w:kern w:val="22"/>
                <w:sz w:val="18"/>
                <w:szCs w:val="18"/>
                <w:bdr w:val="none" w:sz="0" w:space="0" w:color="auto"/>
                <w:lang w:val="en-GB"/>
              </w:rPr>
              <w:t>170 (86%)</w:t>
            </w:r>
          </w:p>
        </w:tc>
      </w:tr>
      <w:tr w:rsidR="0049703E" w:rsidRPr="00DF02C5" w14:paraId="49AFE3E6" w14:textId="77777777" w:rsidTr="00B37C87">
        <w:trPr>
          <w:jc w:val="center"/>
        </w:trPr>
        <w:tc>
          <w:tcPr>
            <w:tcW w:w="1818" w:type="dxa"/>
            <w:shd w:val="clear" w:color="auto" w:fill="auto"/>
          </w:tcPr>
          <w:p w14:paraId="7D6BFABC" w14:textId="77777777" w:rsidR="0049703E" w:rsidRPr="00DF02C5" w:rsidRDefault="0049703E" w:rsidP="0049703E">
            <w:pPr>
              <w:keepLines/>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left"/>
              <w:rPr>
                <w:rFonts w:hAnsi="Times New Roman" w:cs="Times New Roman"/>
                <w:color w:val="auto"/>
                <w:kern w:val="22"/>
                <w:sz w:val="18"/>
                <w:szCs w:val="18"/>
                <w:bdr w:val="none" w:sz="0" w:space="0" w:color="auto"/>
                <w:lang w:val="en-GB"/>
              </w:rPr>
            </w:pPr>
            <w:r w:rsidRPr="00DF02C5">
              <w:rPr>
                <w:rFonts w:hAnsi="Times New Roman" w:cs="Times New Roman"/>
                <w:color w:val="auto"/>
                <w:kern w:val="22"/>
                <w:sz w:val="18"/>
                <w:szCs w:val="18"/>
                <w:bdr w:val="none" w:sz="0" w:space="0" w:color="auto"/>
                <w:lang w:val="en-GB"/>
              </w:rPr>
              <w:t>No designated NFP</w:t>
            </w:r>
          </w:p>
        </w:tc>
        <w:tc>
          <w:tcPr>
            <w:tcW w:w="1818" w:type="dxa"/>
            <w:shd w:val="clear" w:color="auto" w:fill="auto"/>
          </w:tcPr>
          <w:p w14:paraId="327EFE6D" w14:textId="77777777" w:rsidR="0049703E" w:rsidRPr="00DF02C5" w:rsidRDefault="0049703E" w:rsidP="0049703E">
            <w:pPr>
              <w:keepLines/>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hAnsi="Times New Roman" w:cs="Times New Roman"/>
                <w:color w:val="auto"/>
                <w:kern w:val="22"/>
                <w:sz w:val="18"/>
                <w:szCs w:val="18"/>
                <w:bdr w:val="none" w:sz="0" w:space="0" w:color="auto"/>
                <w:lang w:val="en-GB"/>
              </w:rPr>
            </w:pPr>
            <w:r w:rsidRPr="00DF02C5">
              <w:rPr>
                <w:rFonts w:hAnsi="Times New Roman" w:cs="Times New Roman"/>
                <w:color w:val="auto"/>
                <w:kern w:val="22"/>
                <w:sz w:val="18"/>
                <w:szCs w:val="18"/>
                <w:bdr w:val="none" w:sz="0" w:space="0" w:color="auto"/>
                <w:lang w:val="en-GB"/>
              </w:rPr>
              <w:t>2 (2%)</w:t>
            </w:r>
          </w:p>
        </w:tc>
        <w:tc>
          <w:tcPr>
            <w:tcW w:w="1800" w:type="dxa"/>
            <w:shd w:val="clear" w:color="auto" w:fill="auto"/>
          </w:tcPr>
          <w:p w14:paraId="4CF3664D" w14:textId="77777777" w:rsidR="0049703E" w:rsidRPr="00DF02C5" w:rsidRDefault="0049703E" w:rsidP="0049703E">
            <w:pPr>
              <w:keepLines/>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hAnsi="Times New Roman" w:cs="Times New Roman"/>
                <w:color w:val="auto"/>
                <w:kern w:val="22"/>
                <w:sz w:val="18"/>
                <w:szCs w:val="18"/>
                <w:bdr w:val="none" w:sz="0" w:space="0" w:color="auto"/>
                <w:lang w:val="en-GB"/>
              </w:rPr>
            </w:pPr>
            <w:r w:rsidRPr="00DF02C5">
              <w:rPr>
                <w:rFonts w:hAnsi="Times New Roman" w:cs="Times New Roman"/>
                <w:color w:val="auto"/>
                <w:kern w:val="22"/>
                <w:sz w:val="18"/>
                <w:szCs w:val="18"/>
                <w:bdr w:val="none" w:sz="0" w:space="0" w:color="auto"/>
                <w:lang w:val="en-GB"/>
              </w:rPr>
              <w:t>26 (28%)</w:t>
            </w:r>
          </w:p>
        </w:tc>
        <w:tc>
          <w:tcPr>
            <w:tcW w:w="1800" w:type="dxa"/>
            <w:shd w:val="clear" w:color="auto" w:fill="auto"/>
          </w:tcPr>
          <w:p w14:paraId="30A8757C" w14:textId="77777777" w:rsidR="0049703E" w:rsidRPr="00DF02C5" w:rsidRDefault="0049703E" w:rsidP="0049703E">
            <w:pPr>
              <w:keepLines/>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hAnsi="Times New Roman" w:cs="Times New Roman"/>
                <w:b/>
                <w:color w:val="auto"/>
                <w:kern w:val="22"/>
                <w:sz w:val="18"/>
                <w:szCs w:val="18"/>
                <w:bdr w:val="none" w:sz="0" w:space="0" w:color="auto"/>
                <w:lang w:val="en-GB"/>
              </w:rPr>
            </w:pPr>
            <w:r w:rsidRPr="00DF02C5">
              <w:rPr>
                <w:rFonts w:hAnsi="Times New Roman" w:cs="Times New Roman"/>
                <w:b/>
                <w:color w:val="auto"/>
                <w:kern w:val="22"/>
                <w:sz w:val="18"/>
                <w:szCs w:val="18"/>
                <w:bdr w:val="none" w:sz="0" w:space="0" w:color="auto"/>
                <w:lang w:val="en-GB"/>
              </w:rPr>
              <w:t>28 (14%)</w:t>
            </w:r>
          </w:p>
        </w:tc>
      </w:tr>
    </w:tbl>
    <w:p w14:paraId="7BC6BDD3" w14:textId="77777777" w:rsidR="0049703E" w:rsidRPr="00DF02C5" w:rsidRDefault="0049703E" w:rsidP="0049703E">
      <w:pPr>
        <w:spacing w:before="120" w:after="120"/>
        <w:jc w:val="center"/>
        <w:rPr>
          <w:rFonts w:hAnsi="Times New Roman" w:cs="Times New Roman"/>
          <w:b/>
          <w:kern w:val="22"/>
          <w:bdr w:val="none" w:sz="0" w:space="0" w:color="auto"/>
          <w:lang w:val="en-GB"/>
        </w:rPr>
      </w:pPr>
    </w:p>
    <w:p w14:paraId="126D4E9A" w14:textId="77777777" w:rsidR="0049703E" w:rsidRPr="00DF02C5" w:rsidRDefault="0049703E" w:rsidP="00393914">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 xml:space="preserve">The approach taken by most countries was to designate someone in the ministry in charge of environment or in a related institution (these could include agencies, departments, councils, offices or authorities). This was true for 78% of all countries that have a NFP (132 countries). </w:t>
      </w:r>
    </w:p>
    <w:p w14:paraId="066D22AB" w14:textId="77777777" w:rsidR="0049703E" w:rsidRPr="00DF02C5" w:rsidRDefault="0049703E" w:rsidP="00393914">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 xml:space="preserve">Other types of institutions that are commonly designated as NFPs are those related to science, technology, and research, which was the case for 9 countries, ministries of agriculture and/or forests (9 countries) and  ministries of foreign relations or foreign affairs (8 countries). </w:t>
      </w:r>
    </w:p>
    <w:p w14:paraId="23D7C0DB" w14:textId="4CE6DC61" w:rsidR="0049703E" w:rsidRPr="00C551D4" w:rsidRDefault="00E95886" w:rsidP="00C551D4">
      <w:pPr>
        <w:pStyle w:val="Para1"/>
        <w:keepNext/>
        <w:numPr>
          <w:ilvl w:val="0"/>
          <w:numId w:val="85"/>
        </w:numPr>
        <w:spacing w:before="240" w:line="228" w:lineRule="auto"/>
        <w:rPr>
          <w:rFonts w:eastAsia="Calibri" w:hAnsi="Times New Roman"/>
          <w:i/>
          <w:snapToGrid w:val="0"/>
          <w:kern w:val="22"/>
          <w:bdr w:val="none" w:sz="0" w:space="0" w:color="auto"/>
          <w:lang w:val="en-GB"/>
        </w:rPr>
      </w:pPr>
      <w:r w:rsidRPr="00C551D4">
        <w:rPr>
          <w:rFonts w:eastAsia="Calibri" w:hAnsi="Times New Roman"/>
          <w:i/>
          <w:snapToGrid w:val="0"/>
          <w:kern w:val="22"/>
          <w:bdr w:val="none" w:sz="0" w:space="0" w:color="auto"/>
          <w:lang w:val="en-GB"/>
        </w:rPr>
        <w:lastRenderedPageBreak/>
        <w:t>Has your country designated one or more competent national authority as provided in Article 13</w:t>
      </w:r>
      <w:r w:rsidR="0049703E" w:rsidRPr="00C551D4">
        <w:rPr>
          <w:rFonts w:eastAsia="Calibri" w:hAnsi="Times New Roman"/>
          <w:i/>
          <w:snapToGrid w:val="0"/>
          <w:kern w:val="22"/>
          <w:bdr w:val="none" w:sz="0" w:space="0" w:color="auto"/>
          <w:lang w:val="en-GB"/>
        </w:rPr>
        <w:t xml:space="preserve"> (question </w:t>
      </w:r>
      <w:proofErr w:type="gramStart"/>
      <w:r w:rsidR="0049703E" w:rsidRPr="00C551D4">
        <w:rPr>
          <w:rFonts w:eastAsia="Calibri" w:hAnsi="Times New Roman"/>
          <w:i/>
          <w:snapToGrid w:val="0"/>
          <w:kern w:val="22"/>
          <w:bdr w:val="none" w:sz="0" w:space="0" w:color="auto"/>
          <w:lang w:val="en-GB"/>
        </w:rPr>
        <w:t>6)</w:t>
      </w:r>
      <w:proofErr w:type="gramEnd"/>
    </w:p>
    <w:p w14:paraId="7A49A519" w14:textId="66C35B59" w:rsidR="00E95886" w:rsidRPr="00C551D4" w:rsidRDefault="0049703E" w:rsidP="00855DF0">
      <w:pPr>
        <w:numPr>
          <w:ilvl w:val="0"/>
          <w:numId w:val="1"/>
        </w:numPr>
        <w:spacing w:before="120" w:after="120"/>
        <w:rPr>
          <w:rFonts w:hAnsi="Times New Roman" w:cs="Times New Roman"/>
          <w:snapToGrid w:val="0"/>
          <w:color w:val="auto"/>
          <w:kern w:val="22"/>
          <w:lang w:val="en-GB"/>
        </w:rPr>
      </w:pPr>
      <w:r w:rsidRPr="00C551D4">
        <w:rPr>
          <w:rFonts w:hAnsi="Times New Roman" w:cs="Times New Roman"/>
          <w:snapToGrid w:val="0"/>
          <w:color w:val="auto"/>
          <w:kern w:val="22"/>
          <w:lang w:val="en-GB"/>
        </w:rPr>
        <w:t xml:space="preserve">As of 22 February 2018, according to the information included in the ABS Clearing-House and in the interim national reports, </w:t>
      </w:r>
      <w:r w:rsidR="00635AF8" w:rsidRPr="00C551D4">
        <w:rPr>
          <w:rFonts w:hAnsi="Times New Roman" w:cs="Times New Roman"/>
          <w:snapToGrid w:val="0"/>
          <w:color w:val="auto"/>
          <w:kern w:val="22"/>
          <w:lang w:val="en-GB"/>
        </w:rPr>
        <w:t>65</w:t>
      </w:r>
      <w:r w:rsidRPr="00C551D4">
        <w:rPr>
          <w:rFonts w:hAnsi="Times New Roman" w:cs="Times New Roman"/>
          <w:snapToGrid w:val="0"/>
          <w:color w:val="auto"/>
          <w:kern w:val="22"/>
          <w:lang w:val="en-GB"/>
        </w:rPr>
        <w:t xml:space="preserve"> countries ha</w:t>
      </w:r>
      <w:r w:rsidR="00855DF0" w:rsidRPr="00C551D4">
        <w:rPr>
          <w:rFonts w:hAnsi="Times New Roman" w:cs="Times New Roman"/>
          <w:snapToGrid w:val="0"/>
          <w:color w:val="auto"/>
          <w:kern w:val="22"/>
          <w:lang w:val="en-GB"/>
        </w:rPr>
        <w:t>d</w:t>
      </w:r>
      <w:r w:rsidRPr="00C551D4">
        <w:rPr>
          <w:rFonts w:hAnsi="Times New Roman" w:cs="Times New Roman"/>
          <w:snapToGrid w:val="0"/>
          <w:color w:val="auto"/>
          <w:kern w:val="22"/>
          <w:lang w:val="en-GB"/>
        </w:rPr>
        <w:t xml:space="preserve"> established one or more competent national authorities (CNAs) as follows:</w:t>
      </w:r>
    </w:p>
    <w:p w14:paraId="19BAABB4" w14:textId="55C419AC" w:rsidR="0049703E" w:rsidRPr="00C551D4" w:rsidRDefault="00E95886" w:rsidP="00855DF0">
      <w:pPr>
        <w:numPr>
          <w:ilvl w:val="1"/>
          <w:numId w:val="1"/>
        </w:numPr>
        <w:spacing w:before="120" w:after="120"/>
        <w:ind w:firstLine="720"/>
        <w:rPr>
          <w:rFonts w:hAnsi="Times New Roman" w:cs="Times New Roman"/>
          <w:snapToGrid w:val="0"/>
          <w:color w:val="auto"/>
          <w:kern w:val="22"/>
          <w:lang w:val="en-GB"/>
        </w:rPr>
      </w:pPr>
      <w:r w:rsidRPr="00C551D4">
        <w:rPr>
          <w:rFonts w:hAnsi="Times New Roman" w:cs="Times New Roman"/>
          <w:snapToGrid w:val="0"/>
          <w:color w:val="auto"/>
          <w:kern w:val="22"/>
          <w:lang w:val="en-GB"/>
        </w:rPr>
        <w:t>57 Parties (54</w:t>
      </w:r>
      <w:r w:rsidR="0049703E" w:rsidRPr="00C551D4">
        <w:rPr>
          <w:rFonts w:hAnsi="Times New Roman" w:cs="Times New Roman"/>
          <w:snapToGrid w:val="0"/>
          <w:color w:val="auto"/>
          <w:kern w:val="22"/>
          <w:lang w:val="en-GB"/>
        </w:rPr>
        <w:t>%) design</w:t>
      </w:r>
      <w:r w:rsidRPr="00C551D4">
        <w:rPr>
          <w:rFonts w:hAnsi="Times New Roman" w:cs="Times New Roman"/>
          <w:snapToGrid w:val="0"/>
          <w:color w:val="auto"/>
          <w:kern w:val="22"/>
          <w:lang w:val="en-GB"/>
        </w:rPr>
        <w:t>ated one or more CNAs. Out of 57</w:t>
      </w:r>
      <w:r w:rsidR="0049703E" w:rsidRPr="00C551D4">
        <w:rPr>
          <w:rFonts w:hAnsi="Times New Roman" w:cs="Times New Roman"/>
          <w:snapToGrid w:val="0"/>
          <w:color w:val="auto"/>
          <w:kern w:val="22"/>
          <w:lang w:val="en-GB"/>
        </w:rPr>
        <w:t xml:space="preserve"> Parties, 45</w:t>
      </w:r>
      <w:r w:rsidR="0049703E" w:rsidRPr="00C551D4">
        <w:rPr>
          <w:rFonts w:hAnsi="Times New Roman" w:cs="Times New Roman"/>
          <w:snapToGrid w:val="0"/>
          <w:color w:val="auto"/>
          <w:kern w:val="22"/>
          <w:vertAlign w:val="superscript"/>
          <w:lang w:val="en-GB"/>
        </w:rPr>
        <w:footnoteReference w:id="36"/>
      </w:r>
      <w:r w:rsidR="0049703E" w:rsidRPr="00C551D4">
        <w:rPr>
          <w:rFonts w:hAnsi="Times New Roman" w:cs="Times New Roman"/>
          <w:snapToGrid w:val="0"/>
          <w:color w:val="auto"/>
          <w:kern w:val="22"/>
          <w:lang w:val="en-GB"/>
        </w:rPr>
        <w:t xml:space="preserve"> made this information available to the ABS Clearing-House</w:t>
      </w:r>
      <w:r w:rsidR="0049703E" w:rsidRPr="00C551D4">
        <w:rPr>
          <w:rFonts w:hAnsi="Times New Roman" w:cs="Times New Roman"/>
          <w:snapToGrid w:val="0"/>
          <w:color w:val="auto"/>
          <w:kern w:val="22"/>
          <w:vertAlign w:val="superscript"/>
          <w:lang w:val="en-GB"/>
        </w:rPr>
        <w:footnoteReference w:id="37"/>
      </w:r>
      <w:r w:rsidR="0049703E" w:rsidRPr="00C551D4">
        <w:rPr>
          <w:rFonts w:hAnsi="Times New Roman" w:cs="Times New Roman"/>
          <w:snapToGrid w:val="0"/>
          <w:color w:val="auto"/>
          <w:kern w:val="22"/>
          <w:lang w:val="en-GB"/>
        </w:rPr>
        <w:t xml:space="preserve"> and 11 Parties</w:t>
      </w:r>
      <w:r w:rsidR="0049703E" w:rsidRPr="00C551D4">
        <w:rPr>
          <w:rFonts w:hAnsi="Times New Roman" w:cs="Times New Roman"/>
          <w:snapToGrid w:val="0"/>
          <w:color w:val="auto"/>
          <w:kern w:val="22"/>
          <w:vertAlign w:val="superscript"/>
          <w:lang w:val="en-GB"/>
        </w:rPr>
        <w:footnoteReference w:id="38"/>
      </w:r>
      <w:r w:rsidR="0049703E" w:rsidRPr="00C551D4">
        <w:rPr>
          <w:rFonts w:hAnsi="Times New Roman" w:cs="Times New Roman"/>
          <w:snapToGrid w:val="0"/>
          <w:color w:val="auto"/>
          <w:kern w:val="22"/>
          <w:lang w:val="en-GB"/>
        </w:rPr>
        <w:t xml:space="preserve"> identified CNAs in their interim </w:t>
      </w:r>
      <w:r w:rsidR="00664529" w:rsidRPr="00C551D4">
        <w:rPr>
          <w:rFonts w:hAnsi="Times New Roman" w:cs="Times New Roman"/>
          <w:snapToGrid w:val="0"/>
          <w:color w:val="auto"/>
          <w:kern w:val="22"/>
          <w:lang w:val="en-GB"/>
        </w:rPr>
        <w:t>national report</w:t>
      </w:r>
      <w:r w:rsidRPr="00C551D4">
        <w:rPr>
          <w:rFonts w:hAnsi="Times New Roman" w:cs="Times New Roman"/>
          <w:snapToGrid w:val="0"/>
          <w:color w:val="auto"/>
          <w:kern w:val="22"/>
          <w:lang w:val="en-GB"/>
        </w:rPr>
        <w:t xml:space="preserve">, NBSAP or fifth national report </w:t>
      </w:r>
      <w:r w:rsidR="00855DF0" w:rsidRPr="00C551D4">
        <w:rPr>
          <w:rFonts w:hAnsi="Times New Roman" w:cs="Times New Roman"/>
          <w:snapToGrid w:val="0"/>
          <w:color w:val="auto"/>
          <w:kern w:val="22"/>
          <w:lang w:val="en-GB"/>
        </w:rPr>
        <w:t>but had</w:t>
      </w:r>
      <w:r w:rsidR="0049703E" w:rsidRPr="00C551D4">
        <w:rPr>
          <w:rFonts w:hAnsi="Times New Roman" w:cs="Times New Roman"/>
          <w:snapToGrid w:val="0"/>
          <w:color w:val="auto"/>
          <w:kern w:val="22"/>
          <w:lang w:val="en-GB"/>
        </w:rPr>
        <w:t xml:space="preserve"> not yet made available this informa</w:t>
      </w:r>
      <w:r w:rsidR="00C551D4">
        <w:rPr>
          <w:rFonts w:hAnsi="Times New Roman" w:cs="Times New Roman"/>
          <w:snapToGrid w:val="0"/>
          <w:color w:val="auto"/>
          <w:kern w:val="22"/>
          <w:lang w:val="en-GB"/>
        </w:rPr>
        <w:t>tion in the ABS Clearing-House;</w:t>
      </w:r>
    </w:p>
    <w:p w14:paraId="2959CD84" w14:textId="2F5BD000" w:rsidR="0049703E" w:rsidRPr="00DF02C5" w:rsidRDefault="00635AF8" w:rsidP="00855DF0">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8</w:t>
      </w:r>
      <w:r w:rsidR="0049703E" w:rsidRPr="00DF02C5">
        <w:rPr>
          <w:rFonts w:hAnsi="Times New Roman" w:cs="Times New Roman"/>
          <w:snapToGrid w:val="0"/>
          <w:color w:val="auto"/>
          <w:kern w:val="22"/>
          <w:lang w:val="en-GB"/>
        </w:rPr>
        <w:t xml:space="preserve"> non-</w:t>
      </w:r>
      <w:r w:rsidRPr="00DF02C5">
        <w:rPr>
          <w:rFonts w:hAnsi="Times New Roman" w:cs="Times New Roman"/>
          <w:snapToGrid w:val="0"/>
          <w:color w:val="auto"/>
          <w:kern w:val="22"/>
          <w:lang w:val="en-GB"/>
        </w:rPr>
        <w:t>Parties</w:t>
      </w:r>
      <w:r w:rsidR="00855DF0" w:rsidRPr="00DF02C5">
        <w:rPr>
          <w:rFonts w:hAnsi="Times New Roman" w:cs="Times New Roman"/>
          <w:snapToGrid w:val="0"/>
          <w:color w:val="auto"/>
          <w:kern w:val="22"/>
          <w:lang w:val="en-GB"/>
        </w:rPr>
        <w:t xml:space="preserve"> had</w:t>
      </w:r>
      <w:r w:rsidR="0030669E" w:rsidRPr="00DF02C5">
        <w:rPr>
          <w:rFonts w:hAnsi="Times New Roman" w:cs="Times New Roman"/>
          <w:snapToGrid w:val="0"/>
          <w:color w:val="auto"/>
          <w:kern w:val="22"/>
          <w:lang w:val="en-GB"/>
        </w:rPr>
        <w:t xml:space="preserve"> designated one or more CNA </w:t>
      </w:r>
      <w:r w:rsidR="000A1A42" w:rsidRPr="00DF02C5">
        <w:rPr>
          <w:rFonts w:hAnsi="Times New Roman" w:cs="Times New Roman"/>
          <w:snapToGrid w:val="0"/>
          <w:color w:val="auto"/>
          <w:kern w:val="22"/>
          <w:lang w:val="en-GB"/>
        </w:rPr>
        <w:t>and published</w:t>
      </w:r>
      <w:r w:rsidR="0030669E" w:rsidRPr="00DF02C5">
        <w:rPr>
          <w:rFonts w:hAnsi="Times New Roman" w:cs="Times New Roman"/>
          <w:snapToGrid w:val="0"/>
          <w:color w:val="auto"/>
          <w:kern w:val="22"/>
          <w:lang w:val="en-GB"/>
        </w:rPr>
        <w:t xml:space="preserve"> the information</w:t>
      </w:r>
      <w:r w:rsidR="0049703E" w:rsidRPr="00DF02C5">
        <w:rPr>
          <w:rFonts w:hAnsi="Times New Roman" w:cs="Times New Roman"/>
          <w:snapToGrid w:val="0"/>
          <w:color w:val="auto"/>
          <w:kern w:val="22"/>
          <w:lang w:val="en-GB"/>
        </w:rPr>
        <w:t xml:space="preserve"> in the ABS</w:t>
      </w:r>
      <w:r w:rsidR="00BD1A56" w:rsidRPr="00DF02C5">
        <w:rPr>
          <w:rFonts w:hAnsi="Times New Roman" w:cs="Times New Roman"/>
          <w:snapToGrid w:val="0"/>
          <w:color w:val="auto"/>
          <w:kern w:val="22"/>
          <w:lang w:val="en-GB"/>
        </w:rPr>
        <w:t xml:space="preserve"> </w:t>
      </w:r>
      <w:r w:rsidR="0049703E" w:rsidRPr="00DF02C5">
        <w:rPr>
          <w:rFonts w:hAnsi="Times New Roman" w:cs="Times New Roman"/>
          <w:snapToGrid w:val="0"/>
          <w:color w:val="auto"/>
          <w:kern w:val="22"/>
          <w:lang w:val="en-GB"/>
        </w:rPr>
        <w:t>Clearing</w:t>
      </w:r>
      <w:r w:rsidR="00BD1A56" w:rsidRPr="00DF02C5">
        <w:rPr>
          <w:rFonts w:hAnsi="Times New Roman" w:cs="Times New Roman"/>
          <w:snapToGrid w:val="0"/>
          <w:color w:val="auto"/>
          <w:kern w:val="22"/>
          <w:lang w:val="en-GB"/>
        </w:rPr>
        <w:t>-</w:t>
      </w:r>
      <w:r w:rsidR="0049703E" w:rsidRPr="00DF02C5">
        <w:rPr>
          <w:rFonts w:hAnsi="Times New Roman" w:cs="Times New Roman"/>
          <w:snapToGrid w:val="0"/>
          <w:color w:val="auto"/>
          <w:kern w:val="22"/>
          <w:lang w:val="en-GB"/>
        </w:rPr>
        <w:t>House.</w:t>
      </w:r>
      <w:r w:rsidR="0049703E" w:rsidRPr="00DF02C5">
        <w:rPr>
          <w:rFonts w:hAnsi="Times New Roman" w:cs="Times New Roman"/>
          <w:snapToGrid w:val="0"/>
          <w:color w:val="auto"/>
          <w:kern w:val="22"/>
          <w:vertAlign w:val="superscript"/>
          <w:lang w:val="en-GB"/>
        </w:rPr>
        <w:footnoteReference w:id="39"/>
      </w:r>
      <w:r w:rsidR="0049703E" w:rsidRPr="00DF02C5">
        <w:rPr>
          <w:rFonts w:hAnsi="Times New Roman" w:cs="Times New Roman"/>
          <w:snapToGrid w:val="0"/>
          <w:color w:val="auto"/>
          <w:kern w:val="22"/>
          <w:lang w:val="en-GB"/>
        </w:rPr>
        <w:t xml:space="preserve"> </w:t>
      </w:r>
    </w:p>
    <w:p w14:paraId="752E1279" w14:textId="0BF3C2B1" w:rsidR="0049703E" w:rsidRPr="00DF02C5" w:rsidRDefault="00E95886" w:rsidP="00393914">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In their reports, 9</w:t>
      </w:r>
      <w:r w:rsidR="0049703E" w:rsidRPr="00DF02C5">
        <w:rPr>
          <w:rFonts w:hAnsi="Times New Roman" w:cs="Times New Roman"/>
          <w:snapToGrid w:val="0"/>
          <w:color w:val="auto"/>
          <w:kern w:val="22"/>
          <w:lang w:val="en-GB"/>
        </w:rPr>
        <w:t xml:space="preserve"> Parties</w:t>
      </w:r>
      <w:r w:rsidR="0049703E" w:rsidRPr="00DF02C5">
        <w:rPr>
          <w:rFonts w:hAnsi="Times New Roman" w:cs="Times New Roman"/>
          <w:snapToGrid w:val="0"/>
          <w:color w:val="auto"/>
          <w:kern w:val="22"/>
          <w:vertAlign w:val="superscript"/>
          <w:lang w:val="en-GB"/>
        </w:rPr>
        <w:footnoteReference w:id="40"/>
      </w:r>
      <w:r w:rsidR="0049703E" w:rsidRPr="00DF02C5">
        <w:rPr>
          <w:rFonts w:hAnsi="Times New Roman" w:cs="Times New Roman"/>
          <w:snapToGrid w:val="0"/>
          <w:color w:val="auto"/>
          <w:kern w:val="22"/>
          <w:lang w:val="en-GB"/>
        </w:rPr>
        <w:t xml:space="preserve"> and one non-Party</w:t>
      </w:r>
      <w:r w:rsidR="0049703E" w:rsidRPr="00DF02C5">
        <w:rPr>
          <w:rFonts w:hAnsi="Times New Roman" w:cs="Times New Roman"/>
          <w:snapToGrid w:val="0"/>
          <w:color w:val="auto"/>
          <w:kern w:val="22"/>
          <w:vertAlign w:val="superscript"/>
          <w:lang w:val="en-GB"/>
        </w:rPr>
        <w:footnoteReference w:id="41"/>
      </w:r>
      <w:r w:rsidR="0049703E" w:rsidRPr="00DF02C5">
        <w:rPr>
          <w:rFonts w:hAnsi="Times New Roman" w:cs="Times New Roman"/>
          <w:snapToGrid w:val="0"/>
          <w:color w:val="auto"/>
          <w:kern w:val="22"/>
          <w:lang w:val="en-GB"/>
        </w:rPr>
        <w:t xml:space="preserve"> reported on work underway towards the designation of one or more CNAs; and another </w:t>
      </w:r>
      <w:r w:rsidRPr="00DF02C5">
        <w:rPr>
          <w:rFonts w:hAnsi="Times New Roman" w:cs="Times New Roman"/>
          <w:snapToGrid w:val="0"/>
          <w:color w:val="auto"/>
          <w:kern w:val="22"/>
          <w:lang w:val="en-GB"/>
        </w:rPr>
        <w:t xml:space="preserve">5 </w:t>
      </w:r>
      <w:r w:rsidR="0049703E" w:rsidRPr="00DF02C5">
        <w:rPr>
          <w:rFonts w:hAnsi="Times New Roman" w:cs="Times New Roman"/>
          <w:snapToGrid w:val="0"/>
          <w:color w:val="auto"/>
          <w:kern w:val="22"/>
          <w:lang w:val="en-GB"/>
        </w:rPr>
        <w:t>Parties</w:t>
      </w:r>
      <w:r w:rsidR="0049703E" w:rsidRPr="00DF02C5">
        <w:rPr>
          <w:rFonts w:hAnsi="Times New Roman" w:cs="Times New Roman"/>
          <w:snapToGrid w:val="0"/>
          <w:color w:val="auto"/>
          <w:kern w:val="22"/>
          <w:vertAlign w:val="superscript"/>
          <w:lang w:val="en-GB"/>
        </w:rPr>
        <w:footnoteReference w:id="42"/>
      </w:r>
      <w:r w:rsidR="00855DF0" w:rsidRPr="00DF02C5">
        <w:rPr>
          <w:rFonts w:hAnsi="Times New Roman" w:cs="Times New Roman"/>
          <w:snapToGrid w:val="0"/>
          <w:color w:val="auto"/>
          <w:kern w:val="22"/>
          <w:lang w:val="en-GB"/>
        </w:rPr>
        <w:t xml:space="preserve"> were </w:t>
      </w:r>
      <w:r w:rsidR="0049703E" w:rsidRPr="00DF02C5">
        <w:rPr>
          <w:rFonts w:hAnsi="Times New Roman" w:cs="Times New Roman"/>
          <w:snapToGrid w:val="0"/>
          <w:color w:val="auto"/>
          <w:kern w:val="22"/>
          <w:lang w:val="en-GB"/>
        </w:rPr>
        <w:t>planning to do so.</w:t>
      </w:r>
    </w:p>
    <w:p w14:paraId="33C78918" w14:textId="6358425A" w:rsidR="00E95886" w:rsidRPr="00DF02C5" w:rsidRDefault="007D5F65" w:rsidP="00E5256F">
      <w:pPr>
        <w:pStyle w:val="Caption"/>
        <w:keepNext/>
        <w:keepLines/>
        <w:rPr>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00E5256F" w:rsidRPr="00DF02C5">
        <w:rPr>
          <w:noProof/>
          <w:lang w:val="en-GB"/>
        </w:rPr>
        <w:t>4</w:t>
      </w:r>
      <w:r w:rsidRPr="00DF02C5">
        <w:rPr>
          <w:lang w:val="en-GB"/>
        </w:rPr>
        <w:fldChar w:fldCharType="end"/>
      </w:r>
      <w:r w:rsidR="00E95886" w:rsidRPr="00DF02C5">
        <w:rPr>
          <w:lang w:val="en-GB"/>
        </w:rPr>
        <w:t xml:space="preserve">: Status of progress </w:t>
      </w:r>
      <w:r w:rsidR="00A4785E" w:rsidRPr="00DF02C5">
        <w:rPr>
          <w:lang w:val="en-GB"/>
        </w:rPr>
        <w:t xml:space="preserve">by </w:t>
      </w:r>
      <w:r w:rsidR="00CD25EA" w:rsidRPr="00DF02C5">
        <w:rPr>
          <w:lang w:val="en-GB"/>
        </w:rPr>
        <w:t xml:space="preserve">countries </w:t>
      </w:r>
      <w:r w:rsidR="00E95886" w:rsidRPr="00DF02C5">
        <w:rPr>
          <w:lang w:val="en-GB"/>
        </w:rPr>
        <w:t>in the designation of one or more competent national autho</w:t>
      </w:r>
      <w:r w:rsidR="00545B3C" w:rsidRPr="00DF02C5">
        <w:rPr>
          <w:lang w:val="en-GB"/>
        </w:rPr>
        <w:t>rities (</w:t>
      </w:r>
      <w:r w:rsidR="00577044">
        <w:rPr>
          <w:lang w:val="en-GB"/>
        </w:rPr>
        <w:t>up to</w:t>
      </w:r>
      <w:r w:rsidR="00545B3C" w:rsidRPr="00DF02C5">
        <w:rPr>
          <w:lang w:val="en-GB"/>
        </w:rPr>
        <w:t xml:space="preserve"> 22 February 2018)</w:t>
      </w:r>
    </w:p>
    <w:p w14:paraId="180847BF" w14:textId="6C9AF366" w:rsidR="00E95886" w:rsidRPr="00DF02C5" w:rsidRDefault="00545B3C" w:rsidP="00545B3C">
      <w:pPr>
        <w:spacing w:before="120" w:after="120"/>
        <w:jc w:val="center"/>
        <w:rPr>
          <w:rFonts w:hAnsi="Times New Roman" w:cs="Times New Roman"/>
          <w:snapToGrid w:val="0"/>
          <w:color w:val="auto"/>
          <w:kern w:val="22"/>
          <w:lang w:val="en-GB"/>
        </w:rPr>
      </w:pPr>
      <w:r w:rsidRPr="00DF02C5">
        <w:rPr>
          <w:noProof/>
        </w:rPr>
        <w:drawing>
          <wp:inline distT="0" distB="0" distL="0" distR="0" wp14:anchorId="0F788F10" wp14:editId="7B46ED73">
            <wp:extent cx="4000500" cy="2362200"/>
            <wp:effectExtent l="0" t="0" r="0" b="0"/>
            <wp:docPr id="24" name="Chart 1" descr="cid:image002.png@01D3CC2C.655D7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2.png@01D3CC2C.655D7F9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003667" cy="2364070"/>
                    </a:xfrm>
                    <a:prstGeom prst="rect">
                      <a:avLst/>
                    </a:prstGeom>
                    <a:noFill/>
                    <a:ln>
                      <a:noFill/>
                    </a:ln>
                  </pic:spPr>
                </pic:pic>
              </a:graphicData>
            </a:graphic>
          </wp:inline>
        </w:drawing>
      </w:r>
    </w:p>
    <w:p w14:paraId="03879DC7" w14:textId="68BA7FC4" w:rsidR="0049703E" w:rsidRPr="00DF02C5" w:rsidRDefault="0049703E" w:rsidP="00393914">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 xml:space="preserve">An examination of </w:t>
      </w:r>
      <w:r w:rsidR="00855DF0" w:rsidRPr="00DF02C5">
        <w:rPr>
          <w:rFonts w:hAnsi="Times New Roman" w:cs="Times New Roman"/>
          <w:snapToGrid w:val="0"/>
          <w:color w:val="auto"/>
          <w:kern w:val="22"/>
          <w:lang w:val="en-GB"/>
        </w:rPr>
        <w:t xml:space="preserve">available </w:t>
      </w:r>
      <w:r w:rsidRPr="00DF02C5">
        <w:rPr>
          <w:rFonts w:hAnsi="Times New Roman" w:cs="Times New Roman"/>
          <w:snapToGrid w:val="0"/>
          <w:color w:val="auto"/>
          <w:kern w:val="22"/>
          <w:lang w:val="en-GB"/>
        </w:rPr>
        <w:t>information</w:t>
      </w:r>
      <w:r w:rsidR="00855DF0" w:rsidRPr="00DF02C5">
        <w:rPr>
          <w:rFonts w:hAnsi="Times New Roman" w:cs="Times New Roman"/>
          <w:snapToGrid w:val="0"/>
          <w:color w:val="auto"/>
          <w:kern w:val="22"/>
          <w:lang w:val="en-GB"/>
        </w:rPr>
        <w:t xml:space="preserve"> in the interim national report and the ABS Clearing-House</w:t>
      </w:r>
      <w:r w:rsidRPr="00DF02C5">
        <w:rPr>
          <w:rFonts w:hAnsi="Times New Roman" w:cs="Times New Roman"/>
          <w:snapToGrid w:val="0"/>
          <w:color w:val="auto"/>
          <w:kern w:val="22"/>
          <w:lang w:val="en-GB"/>
        </w:rPr>
        <w:t xml:space="preserve"> reveals that the majority of countries with a CNA designated a single CNA for the Protocol (44 countries); while 16 countries designated more than one CNA.</w:t>
      </w:r>
      <w:r w:rsidRPr="00DF02C5">
        <w:rPr>
          <w:rFonts w:hAnsi="Times New Roman" w:cs="Times New Roman"/>
          <w:snapToGrid w:val="0"/>
          <w:color w:val="auto"/>
          <w:kern w:val="22"/>
          <w:vertAlign w:val="superscript"/>
          <w:lang w:val="en-GB"/>
        </w:rPr>
        <w:footnoteReference w:id="43"/>
      </w:r>
      <w:r w:rsidRPr="00DF02C5">
        <w:rPr>
          <w:rFonts w:cs="Times New Roman"/>
          <w:lang w:val="en-GB"/>
        </w:rPr>
        <w:t xml:space="preserve"> </w:t>
      </w:r>
      <w:r w:rsidRPr="00DF02C5">
        <w:rPr>
          <w:rFonts w:hAnsi="Times New Roman" w:cs="Times New Roman"/>
          <w:snapToGrid w:val="0"/>
          <w:color w:val="auto"/>
          <w:kern w:val="22"/>
          <w:lang w:val="en-GB"/>
        </w:rPr>
        <w:t>For 43 countries th</w:t>
      </w:r>
      <w:r w:rsidR="00855DF0" w:rsidRPr="00DF02C5">
        <w:rPr>
          <w:rFonts w:hAnsi="Times New Roman" w:cs="Times New Roman"/>
          <w:snapToGrid w:val="0"/>
          <w:color w:val="auto"/>
          <w:kern w:val="22"/>
          <w:lang w:val="en-GB"/>
        </w:rPr>
        <w:t xml:space="preserve">e NFPs also fulfil the role of </w:t>
      </w:r>
      <w:r w:rsidR="00E53A27" w:rsidRPr="00DF02C5">
        <w:rPr>
          <w:rFonts w:hAnsi="Times New Roman" w:cs="Times New Roman"/>
          <w:snapToGrid w:val="0"/>
          <w:color w:val="auto"/>
          <w:kern w:val="22"/>
          <w:lang w:val="en-GB"/>
        </w:rPr>
        <w:t>CNA.</w:t>
      </w:r>
    </w:p>
    <w:p w14:paraId="04BC8B7A" w14:textId="46B2D339" w:rsidR="0049703E" w:rsidRPr="00DF02C5" w:rsidRDefault="0049703E" w:rsidP="00393914">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lastRenderedPageBreak/>
        <w:t>One country explained that designating a CNA was not applicable for</w:t>
      </w:r>
      <w:r w:rsidR="00855DF0" w:rsidRPr="00DF02C5">
        <w:rPr>
          <w:rFonts w:hAnsi="Times New Roman" w:cs="Times New Roman"/>
          <w:snapToGrid w:val="0"/>
          <w:color w:val="auto"/>
          <w:kern w:val="22"/>
          <w:lang w:val="en-GB"/>
        </w:rPr>
        <w:t xml:space="preserve"> them</w:t>
      </w:r>
      <w:r w:rsidRPr="00DF02C5">
        <w:rPr>
          <w:rFonts w:hAnsi="Times New Roman" w:cs="Times New Roman"/>
          <w:snapToGrid w:val="0"/>
          <w:color w:val="auto"/>
          <w:kern w:val="22"/>
          <w:lang w:val="en-GB"/>
        </w:rPr>
        <w:t xml:space="preserve">, since they made a determination not to </w:t>
      </w:r>
      <w:r w:rsidR="00855DF0" w:rsidRPr="00DF02C5">
        <w:rPr>
          <w:rFonts w:hAnsi="Times New Roman" w:cs="Times New Roman"/>
          <w:snapToGrid w:val="0"/>
          <w:color w:val="auto"/>
          <w:kern w:val="22"/>
          <w:lang w:val="en-GB"/>
        </w:rPr>
        <w:t xml:space="preserve">established </w:t>
      </w:r>
      <w:r w:rsidRPr="00DF02C5">
        <w:rPr>
          <w:rFonts w:hAnsi="Times New Roman" w:cs="Times New Roman"/>
          <w:snapToGrid w:val="0"/>
          <w:color w:val="auto"/>
          <w:kern w:val="22"/>
          <w:lang w:val="en-GB"/>
        </w:rPr>
        <w:t>access measures based on Article 6.1 for the time being.</w:t>
      </w:r>
      <w:r w:rsidRPr="00DF02C5">
        <w:rPr>
          <w:rFonts w:hAnsi="Times New Roman" w:cs="Times New Roman"/>
          <w:snapToGrid w:val="0"/>
          <w:color w:val="auto"/>
          <w:kern w:val="22"/>
          <w:vertAlign w:val="superscript"/>
          <w:lang w:val="en-GB"/>
        </w:rPr>
        <w:footnoteReference w:id="44"/>
      </w:r>
    </w:p>
    <w:p w14:paraId="503F72EE" w14:textId="3B5B3349" w:rsidR="0049703E" w:rsidRPr="00DF02C5" w:rsidRDefault="0049703E" w:rsidP="00393914">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Of the 16 countries that have multiple CNAs, some have designated the CNAs based on the type of genetic resources that are being accessed or the sectors involved.</w:t>
      </w:r>
      <w:r w:rsidR="00855DF0" w:rsidRPr="00DF02C5">
        <w:rPr>
          <w:rStyle w:val="FootnoteReference"/>
          <w:rFonts w:hAnsi="Times New Roman" w:cs="Times New Roman"/>
          <w:snapToGrid w:val="0"/>
          <w:color w:val="auto"/>
          <w:kern w:val="22"/>
          <w:lang w:val="en-GB"/>
        </w:rPr>
        <w:footnoteReference w:id="45"/>
      </w:r>
      <w:r w:rsidRPr="00DF02C5">
        <w:rPr>
          <w:rFonts w:hAnsi="Times New Roman" w:cs="Times New Roman"/>
          <w:snapToGrid w:val="0"/>
          <w:color w:val="auto"/>
          <w:kern w:val="22"/>
          <w:lang w:val="en-GB"/>
        </w:rPr>
        <w:t xml:space="preserve"> Some of the sectors typically involved are wild genetic resources, microorganisms, forest, fisheries, agriculture and livestock, science and technology or traditional knowledge. For example:</w:t>
      </w:r>
    </w:p>
    <w:p w14:paraId="2D28E35D" w14:textId="4AADFC17" w:rsidR="0049703E" w:rsidRPr="00DF02C5" w:rsidRDefault="00B54C38" w:rsidP="00855DF0">
      <w:pPr>
        <w:numPr>
          <w:ilvl w:val="1"/>
          <w:numId w:val="1"/>
        </w:numPr>
        <w:spacing w:before="120" w:after="120"/>
        <w:ind w:firstLine="720"/>
        <w:rPr>
          <w:rFonts w:hAnsi="Times New Roman" w:cs="Times New Roman"/>
          <w:snapToGrid w:val="0"/>
          <w:color w:val="auto"/>
          <w:kern w:val="22"/>
          <w:lang w:val="en-GB"/>
        </w:rPr>
      </w:pPr>
      <w:r>
        <w:rPr>
          <w:rFonts w:hAnsi="Times New Roman" w:cs="Times New Roman"/>
          <w:snapToGrid w:val="0"/>
          <w:color w:val="auto"/>
          <w:kern w:val="22"/>
          <w:lang w:val="en-GB"/>
        </w:rPr>
        <w:t xml:space="preserve">Bulgaria has three CNAs: </w:t>
      </w:r>
      <w:proofErr w:type="gramStart"/>
      <w:r w:rsidR="0049703E" w:rsidRPr="00DF02C5">
        <w:rPr>
          <w:rFonts w:hAnsi="Times New Roman" w:cs="Times New Roman"/>
          <w:snapToGrid w:val="0"/>
          <w:color w:val="auto"/>
          <w:kern w:val="22"/>
          <w:lang w:val="en-GB"/>
        </w:rPr>
        <w:t>the</w:t>
      </w:r>
      <w:proofErr w:type="gramEnd"/>
      <w:r w:rsidR="0049703E" w:rsidRPr="00DF02C5">
        <w:rPr>
          <w:rFonts w:hAnsi="Times New Roman" w:cs="Times New Roman"/>
          <w:snapToGrid w:val="0"/>
          <w:color w:val="auto"/>
          <w:kern w:val="22"/>
          <w:lang w:val="en-GB"/>
        </w:rPr>
        <w:t xml:space="preserve"> Ministry of Environment and Water for genetic resources from wild species and</w:t>
      </w:r>
      <w:r w:rsidR="00855DF0" w:rsidRPr="00DF02C5">
        <w:rPr>
          <w:rFonts w:hAnsi="Times New Roman" w:cs="Times New Roman"/>
          <w:snapToGrid w:val="0"/>
          <w:color w:val="auto"/>
          <w:kern w:val="22"/>
          <w:lang w:val="en-GB"/>
        </w:rPr>
        <w:t xml:space="preserve"> serves as a</w:t>
      </w:r>
      <w:r w:rsidR="0049703E" w:rsidRPr="00DF02C5">
        <w:rPr>
          <w:rFonts w:hAnsi="Times New Roman" w:cs="Times New Roman"/>
          <w:snapToGrid w:val="0"/>
          <w:color w:val="auto"/>
          <w:kern w:val="22"/>
          <w:lang w:val="en-GB"/>
        </w:rPr>
        <w:t xml:space="preserve"> coordinating authority; the Ministry of Agriculture Food and Forests for a</w:t>
      </w:r>
      <w:r w:rsidR="00855DF0" w:rsidRPr="00DF02C5">
        <w:rPr>
          <w:rFonts w:hAnsi="Times New Roman" w:cs="Times New Roman"/>
          <w:snapToGrid w:val="0"/>
          <w:color w:val="auto"/>
          <w:kern w:val="22"/>
          <w:lang w:val="en-GB"/>
        </w:rPr>
        <w:t xml:space="preserve">griculture and forest </w:t>
      </w:r>
      <w:r w:rsidR="0049703E" w:rsidRPr="00DF02C5">
        <w:rPr>
          <w:rFonts w:hAnsi="Times New Roman" w:cs="Times New Roman"/>
          <w:snapToGrid w:val="0"/>
          <w:color w:val="auto"/>
          <w:kern w:val="22"/>
          <w:lang w:val="en-GB"/>
        </w:rPr>
        <w:t>genetic resources; and the Ministry of economics for industrial microbiological genetic resources;</w:t>
      </w:r>
    </w:p>
    <w:p w14:paraId="14A72487" w14:textId="77777777" w:rsidR="0049703E" w:rsidRPr="00DF02C5" w:rsidRDefault="0049703E" w:rsidP="00855DF0">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Peru has designated five CNAs. The Ministry of Environment is the CNA responsible for approving the national policy and the guidelines and norms for the management of the genetic resources, while other CNAs (ministries and institutes) are designated as administrative and execution authorities responsible for handling the permitting process and signature of access contracts within their sectors (e.g. agriculture, fisheries, traditional knowledge).</w:t>
      </w:r>
    </w:p>
    <w:p w14:paraId="6B311C4B" w14:textId="77777777" w:rsidR="0049703E" w:rsidRPr="00DF02C5" w:rsidRDefault="0049703E" w:rsidP="00393914">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Other Parties have multiple CNAs related to various territorial jurisdictions or based on where the genetic resource was accessed. For example:</w:t>
      </w:r>
    </w:p>
    <w:p w14:paraId="56174D80" w14:textId="77777777" w:rsidR="0049703E" w:rsidRPr="00DF02C5" w:rsidRDefault="0049703E" w:rsidP="00855DF0">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Cambodia designated a CNA for access to genetic resources nationwide and another more specifically dealing with access in protected areas. Mexico also designated a CNA to deal specifically with access to genetic resources in protected areas;</w:t>
      </w:r>
    </w:p>
    <w:p w14:paraId="570502B0" w14:textId="77777777" w:rsidR="0049703E" w:rsidRPr="00DF02C5" w:rsidRDefault="0049703E" w:rsidP="00855DF0">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France and Portugal foresee the establishment of distinct CNAs for overseas territories.</w:t>
      </w:r>
    </w:p>
    <w:p w14:paraId="4D221FC4" w14:textId="13ECF371" w:rsidR="00787D0A" w:rsidRPr="00C551D4" w:rsidRDefault="00635AF8" w:rsidP="00C551D4">
      <w:pPr>
        <w:pStyle w:val="Para1"/>
        <w:numPr>
          <w:ilvl w:val="0"/>
          <w:numId w:val="85"/>
        </w:numPr>
        <w:spacing w:before="240" w:line="228" w:lineRule="auto"/>
        <w:ind w:hanging="540"/>
        <w:rPr>
          <w:rFonts w:eastAsia="Calibri" w:hAnsi="Times New Roman"/>
          <w:i/>
          <w:snapToGrid w:val="0"/>
          <w:kern w:val="22"/>
          <w:bdr w:val="none" w:sz="0" w:space="0" w:color="auto"/>
          <w:lang w:val="en-GB"/>
        </w:rPr>
      </w:pPr>
      <w:r w:rsidRPr="00C551D4">
        <w:rPr>
          <w:rFonts w:eastAsia="Calibri" w:hAnsi="Times New Roman"/>
          <w:i/>
          <w:snapToGrid w:val="0"/>
          <w:kern w:val="22"/>
          <w:bdr w:val="none" w:sz="0" w:space="0" w:color="auto"/>
          <w:lang w:val="en-GB"/>
        </w:rPr>
        <w:t>Has your country made available to the ABS Clearing-House permits or their equivalents issued at the time of access as evidence of the decision to grant prior informed consent (PIC) and of the establishment of mutually agreed terms (MAT)?/ Has your country made available to the ABS Clearing-House permits or their equivalent for the constitution</w:t>
      </w:r>
      <w:r w:rsidR="00B54C38">
        <w:rPr>
          <w:rFonts w:eastAsia="Calibri" w:hAnsi="Times New Roman"/>
          <w:i/>
          <w:snapToGrid w:val="0"/>
          <w:kern w:val="22"/>
          <w:bdr w:val="none" w:sz="0" w:space="0" w:color="auto"/>
          <w:lang w:val="en-GB"/>
        </w:rPr>
        <w:t xml:space="preserve"> of the internationally recogniz</w:t>
      </w:r>
      <w:r w:rsidRPr="00C551D4">
        <w:rPr>
          <w:rFonts w:eastAsia="Calibri" w:hAnsi="Times New Roman"/>
          <w:i/>
          <w:snapToGrid w:val="0"/>
          <w:kern w:val="22"/>
          <w:bdr w:val="none" w:sz="0" w:space="0" w:color="auto"/>
          <w:lang w:val="en-GB"/>
        </w:rPr>
        <w:t xml:space="preserve">ed certificate of compliance (IRCC)?/ Number of permits or their equivalents made available through the ABS-Clearing-House since the entry into force of the Protocol for your country </w:t>
      </w:r>
      <w:r w:rsidR="0049703E" w:rsidRPr="00C551D4">
        <w:rPr>
          <w:rFonts w:eastAsia="Calibri" w:hAnsi="Times New Roman"/>
          <w:i/>
          <w:snapToGrid w:val="0"/>
          <w:kern w:val="22"/>
          <w:bdr w:val="none" w:sz="0" w:space="0" w:color="auto"/>
          <w:lang w:val="en-GB"/>
        </w:rPr>
        <w:t>e (question</w:t>
      </w:r>
      <w:r w:rsidRPr="00C551D4">
        <w:rPr>
          <w:rFonts w:eastAsia="Calibri" w:hAnsi="Times New Roman"/>
          <w:i/>
          <w:snapToGrid w:val="0"/>
          <w:kern w:val="22"/>
          <w:bdr w:val="none" w:sz="0" w:space="0" w:color="auto"/>
          <w:lang w:val="en-GB"/>
        </w:rPr>
        <w:t>s</w:t>
      </w:r>
      <w:r w:rsidR="0049703E" w:rsidRPr="00C551D4">
        <w:rPr>
          <w:rFonts w:eastAsia="Calibri" w:hAnsi="Times New Roman"/>
          <w:i/>
          <w:snapToGrid w:val="0"/>
          <w:kern w:val="22"/>
          <w:bdr w:val="none" w:sz="0" w:space="0" w:color="auto"/>
          <w:lang w:val="en-GB"/>
        </w:rPr>
        <w:t xml:space="preserve"> 7, 8 and question 16)</w:t>
      </w:r>
    </w:p>
    <w:p w14:paraId="6D5BACB9" w14:textId="6D837C0B" w:rsidR="0049703E" w:rsidRPr="00DF02C5" w:rsidRDefault="00635AF8" w:rsidP="00635AF8">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Given the similarities between questions 7, 8 and 16, the answers are presented together. In particular, t</w:t>
      </w:r>
      <w:r w:rsidR="0049703E" w:rsidRPr="00DF02C5">
        <w:rPr>
          <w:rFonts w:hAnsi="Times New Roman" w:cs="Times New Roman"/>
          <w:snapToGrid w:val="0"/>
          <w:color w:val="auto"/>
          <w:kern w:val="22"/>
          <w:lang w:val="en-GB"/>
        </w:rPr>
        <w:t>he following table provides an overview of information provided in answers to question 7 and 8 of the reports and the information available in the ABS Clearing-House.</w:t>
      </w:r>
    </w:p>
    <w:p w14:paraId="70FE2286" w14:textId="46ACC4B6" w:rsidR="0049703E" w:rsidRPr="00DF02C5" w:rsidRDefault="007D5F65" w:rsidP="00E5256F">
      <w:pPr>
        <w:pStyle w:val="Caption"/>
        <w:keepNext/>
        <w:keepLines/>
        <w:rPr>
          <w:rFonts w:hAnsi="Times New Roman" w:cs="Times New Roman"/>
          <w:snapToGrid w:val="0"/>
          <w:kern w:val="22"/>
          <w:szCs w:val="22"/>
          <w:lang w:val="en-GB"/>
        </w:rPr>
      </w:pPr>
      <w:r w:rsidRPr="00DF02C5">
        <w:rPr>
          <w:lang w:val="en-GB"/>
        </w:rPr>
        <w:t xml:space="preserve">Table </w:t>
      </w:r>
      <w:r w:rsidRPr="00DF02C5">
        <w:rPr>
          <w:lang w:val="en-GB"/>
        </w:rPr>
        <w:fldChar w:fldCharType="begin"/>
      </w:r>
      <w:r w:rsidRPr="00DF02C5">
        <w:rPr>
          <w:lang w:val="en-GB"/>
        </w:rPr>
        <w:instrText xml:space="preserve"> SEQ Table \* ARABIC </w:instrText>
      </w:r>
      <w:r w:rsidRPr="00DF02C5">
        <w:rPr>
          <w:lang w:val="en-GB"/>
        </w:rPr>
        <w:fldChar w:fldCharType="separate"/>
      </w:r>
      <w:r w:rsidRPr="00DF02C5">
        <w:rPr>
          <w:noProof/>
          <w:lang w:val="en-GB"/>
        </w:rPr>
        <w:t>3</w:t>
      </w:r>
      <w:r w:rsidRPr="00DF02C5">
        <w:rPr>
          <w:lang w:val="en-GB"/>
        </w:rPr>
        <w:fldChar w:fldCharType="end"/>
      </w:r>
      <w:r w:rsidR="005909FC" w:rsidRPr="00DF02C5">
        <w:rPr>
          <w:szCs w:val="22"/>
          <w:lang w:val="en-GB"/>
        </w:rPr>
        <w:t xml:space="preserve">: </w:t>
      </w:r>
      <w:r w:rsidR="0049703E" w:rsidRPr="00DF02C5">
        <w:rPr>
          <w:rFonts w:hAnsi="Times New Roman" w:cs="Times New Roman"/>
          <w:snapToGrid w:val="0"/>
          <w:kern w:val="22"/>
          <w:szCs w:val="22"/>
          <w:lang w:val="en-GB"/>
        </w:rPr>
        <w:t xml:space="preserve">Parties with information on permits or their equivalent published in the ABS Clearing-House </w:t>
      </w:r>
      <w:r w:rsidR="00577044">
        <w:rPr>
          <w:rFonts w:hAnsi="Times New Roman" w:cs="Times New Roman"/>
          <w:snapToGrid w:val="0"/>
          <w:kern w:val="22"/>
          <w:szCs w:val="22"/>
          <w:lang w:val="en-GB"/>
        </w:rPr>
        <w:t>up to</w:t>
      </w:r>
      <w:r w:rsidR="0049703E" w:rsidRPr="00DF02C5">
        <w:rPr>
          <w:rFonts w:hAnsi="Times New Roman" w:cs="Times New Roman"/>
          <w:snapToGrid w:val="0"/>
          <w:kern w:val="22"/>
          <w:szCs w:val="22"/>
          <w:lang w:val="en-GB"/>
        </w:rPr>
        <w:t xml:space="preserve"> 22 February 2018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gridCol w:w="2586"/>
      </w:tblGrid>
      <w:tr w:rsidR="0049703E" w:rsidRPr="00DF02C5" w14:paraId="638DCE5C" w14:textId="77777777" w:rsidTr="00B37C87">
        <w:trPr>
          <w:jc w:val="center"/>
        </w:trPr>
        <w:tc>
          <w:tcPr>
            <w:tcW w:w="1915" w:type="dxa"/>
            <w:shd w:val="pct10" w:color="auto" w:fill="auto"/>
          </w:tcPr>
          <w:p w14:paraId="607F6F7B" w14:textId="77777777" w:rsidR="0049703E" w:rsidRPr="00DF02C5" w:rsidRDefault="0049703E" w:rsidP="0049703E">
            <w:pPr>
              <w:jc w:val="center"/>
              <w:rPr>
                <w:rFonts w:hAnsi="Times New Roman" w:cs="Times New Roman"/>
                <w:b/>
                <w:snapToGrid w:val="0"/>
                <w:color w:val="auto"/>
                <w:kern w:val="22"/>
                <w:sz w:val="20"/>
                <w:szCs w:val="20"/>
                <w:lang w:val="en-GB"/>
              </w:rPr>
            </w:pPr>
            <w:r w:rsidRPr="00DF02C5">
              <w:rPr>
                <w:rFonts w:hAnsi="Times New Roman" w:cs="Times New Roman"/>
                <w:b/>
                <w:snapToGrid w:val="0"/>
                <w:color w:val="auto"/>
                <w:kern w:val="22"/>
                <w:sz w:val="20"/>
                <w:szCs w:val="20"/>
                <w:lang w:val="en-GB"/>
              </w:rPr>
              <w:t>Party</w:t>
            </w:r>
          </w:p>
        </w:tc>
        <w:tc>
          <w:tcPr>
            <w:tcW w:w="1915" w:type="dxa"/>
            <w:shd w:val="pct10" w:color="auto" w:fill="auto"/>
          </w:tcPr>
          <w:p w14:paraId="13E4A4D1" w14:textId="77777777" w:rsidR="0049703E" w:rsidRPr="00DF02C5" w:rsidRDefault="0049703E" w:rsidP="0049703E">
            <w:pPr>
              <w:jc w:val="center"/>
              <w:rPr>
                <w:rFonts w:hAnsi="Times New Roman" w:cs="Times New Roman"/>
                <w:b/>
                <w:snapToGrid w:val="0"/>
                <w:color w:val="auto"/>
                <w:kern w:val="22"/>
                <w:sz w:val="20"/>
                <w:szCs w:val="20"/>
                <w:lang w:val="en-GB"/>
              </w:rPr>
            </w:pPr>
            <w:r w:rsidRPr="00DF02C5">
              <w:rPr>
                <w:rFonts w:hAnsi="Times New Roman" w:cs="Times New Roman"/>
                <w:b/>
                <w:snapToGrid w:val="0"/>
                <w:color w:val="auto"/>
                <w:kern w:val="22"/>
                <w:sz w:val="20"/>
                <w:szCs w:val="20"/>
                <w:lang w:val="en-GB"/>
              </w:rPr>
              <w:t>Answer provided to question 7</w:t>
            </w:r>
          </w:p>
        </w:tc>
        <w:tc>
          <w:tcPr>
            <w:tcW w:w="1915" w:type="dxa"/>
            <w:shd w:val="pct10" w:color="auto" w:fill="auto"/>
          </w:tcPr>
          <w:p w14:paraId="4593A551" w14:textId="77777777" w:rsidR="0049703E" w:rsidRPr="00DF02C5" w:rsidRDefault="0049703E" w:rsidP="0049703E">
            <w:pPr>
              <w:jc w:val="center"/>
              <w:rPr>
                <w:rFonts w:hAnsi="Times New Roman" w:cs="Times New Roman"/>
                <w:b/>
                <w:snapToGrid w:val="0"/>
                <w:color w:val="auto"/>
                <w:kern w:val="22"/>
                <w:sz w:val="20"/>
                <w:szCs w:val="20"/>
                <w:lang w:val="en-GB"/>
              </w:rPr>
            </w:pPr>
            <w:r w:rsidRPr="00DF02C5">
              <w:rPr>
                <w:rFonts w:hAnsi="Times New Roman" w:cs="Times New Roman"/>
                <w:b/>
                <w:snapToGrid w:val="0"/>
                <w:color w:val="auto"/>
                <w:kern w:val="22"/>
                <w:sz w:val="20"/>
                <w:szCs w:val="20"/>
                <w:lang w:val="en-GB"/>
              </w:rPr>
              <w:t>Answer provided to question 8</w:t>
            </w:r>
          </w:p>
        </w:tc>
        <w:tc>
          <w:tcPr>
            <w:tcW w:w="2586" w:type="dxa"/>
            <w:shd w:val="pct10" w:color="auto" w:fill="auto"/>
          </w:tcPr>
          <w:p w14:paraId="4C39E187" w14:textId="77777777" w:rsidR="0049703E" w:rsidRPr="00DF02C5" w:rsidRDefault="0049703E" w:rsidP="0049703E">
            <w:pPr>
              <w:jc w:val="center"/>
              <w:rPr>
                <w:rFonts w:hAnsi="Times New Roman" w:cs="Times New Roman"/>
                <w:b/>
                <w:snapToGrid w:val="0"/>
                <w:color w:val="auto"/>
                <w:kern w:val="22"/>
                <w:sz w:val="20"/>
                <w:szCs w:val="20"/>
                <w:lang w:val="en-GB"/>
              </w:rPr>
            </w:pPr>
            <w:r w:rsidRPr="00DF02C5">
              <w:rPr>
                <w:rFonts w:hAnsi="Times New Roman" w:cs="Times New Roman"/>
                <w:b/>
                <w:snapToGrid w:val="0"/>
                <w:color w:val="auto"/>
                <w:kern w:val="22"/>
                <w:sz w:val="20"/>
                <w:szCs w:val="20"/>
                <w:lang w:val="en-GB"/>
              </w:rPr>
              <w:t>Number of IRCC available in the ABS Clearing-House</w:t>
            </w:r>
          </w:p>
        </w:tc>
      </w:tr>
      <w:tr w:rsidR="0049703E" w:rsidRPr="00DF02C5" w14:paraId="6CA1D27F" w14:textId="77777777" w:rsidTr="00B37C87">
        <w:trPr>
          <w:jc w:val="center"/>
        </w:trPr>
        <w:tc>
          <w:tcPr>
            <w:tcW w:w="1915" w:type="dxa"/>
            <w:shd w:val="clear" w:color="auto" w:fill="auto"/>
          </w:tcPr>
          <w:p w14:paraId="523282DA" w14:textId="77777777" w:rsidR="0049703E" w:rsidRPr="00DF02C5" w:rsidRDefault="0049703E" w:rsidP="0049703E">
            <w:pP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Albania</w:t>
            </w:r>
          </w:p>
        </w:tc>
        <w:tc>
          <w:tcPr>
            <w:tcW w:w="1915" w:type="dxa"/>
            <w:shd w:val="clear" w:color="auto" w:fill="auto"/>
          </w:tcPr>
          <w:p w14:paraId="76D2C074"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eastAsia="MS Gothic" w:hAnsi="Times New Roman" w:cs="Times New Roman"/>
                <w:color w:val="auto"/>
                <w:sz w:val="20"/>
                <w:szCs w:val="20"/>
                <w:shd w:val="clear" w:color="auto" w:fill="FFFFFF"/>
                <w:lang w:val="en-GB"/>
              </w:rPr>
              <w:t>Yes</w:t>
            </w:r>
          </w:p>
        </w:tc>
        <w:tc>
          <w:tcPr>
            <w:tcW w:w="1915" w:type="dxa"/>
            <w:shd w:val="clear" w:color="auto" w:fill="auto"/>
          </w:tcPr>
          <w:p w14:paraId="0E2E2B7D"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No</w:t>
            </w:r>
          </w:p>
        </w:tc>
        <w:tc>
          <w:tcPr>
            <w:tcW w:w="2586" w:type="dxa"/>
            <w:shd w:val="clear" w:color="auto" w:fill="auto"/>
          </w:tcPr>
          <w:p w14:paraId="1C470BF1"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0</w:t>
            </w:r>
          </w:p>
        </w:tc>
      </w:tr>
      <w:tr w:rsidR="0049703E" w:rsidRPr="00DF02C5" w14:paraId="482B9F9A" w14:textId="77777777" w:rsidTr="00B37C87">
        <w:trPr>
          <w:jc w:val="center"/>
        </w:trPr>
        <w:tc>
          <w:tcPr>
            <w:tcW w:w="1915" w:type="dxa"/>
            <w:shd w:val="clear" w:color="auto" w:fill="auto"/>
          </w:tcPr>
          <w:p w14:paraId="171549F3" w14:textId="77777777" w:rsidR="0049703E" w:rsidRPr="00DF02C5" w:rsidRDefault="0049703E" w:rsidP="0049703E">
            <w:pP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Belarus</w:t>
            </w:r>
          </w:p>
        </w:tc>
        <w:tc>
          <w:tcPr>
            <w:tcW w:w="1915" w:type="dxa"/>
            <w:shd w:val="clear" w:color="auto" w:fill="auto"/>
          </w:tcPr>
          <w:p w14:paraId="26C2B3D7" w14:textId="77777777" w:rsidR="0049703E" w:rsidRPr="00DF02C5" w:rsidRDefault="0049703E" w:rsidP="0049703E">
            <w:pPr>
              <w:jc w:val="center"/>
              <w:rPr>
                <w:rFonts w:eastAsia="MS Gothic" w:hAnsi="Times New Roman" w:cs="Times New Roman"/>
                <w:color w:val="auto"/>
                <w:sz w:val="20"/>
                <w:szCs w:val="20"/>
                <w:shd w:val="clear" w:color="auto" w:fill="FFFFFF"/>
                <w:lang w:val="en-GB"/>
              </w:rPr>
            </w:pPr>
            <w:r w:rsidRPr="00DF02C5">
              <w:rPr>
                <w:rFonts w:hAnsi="Times New Roman" w:cs="Times New Roman"/>
                <w:snapToGrid w:val="0"/>
                <w:color w:val="auto"/>
                <w:kern w:val="22"/>
                <w:sz w:val="20"/>
                <w:szCs w:val="20"/>
                <w:lang w:val="en-GB"/>
              </w:rPr>
              <w:t xml:space="preserve">Not </w:t>
            </w:r>
            <w:r w:rsidRPr="00DF02C5">
              <w:rPr>
                <w:rFonts w:eastAsia="MS Gothic" w:hAnsi="Times New Roman" w:cs="Times New Roman"/>
                <w:color w:val="auto"/>
                <w:sz w:val="20"/>
                <w:szCs w:val="20"/>
                <w:shd w:val="clear" w:color="auto" w:fill="FFFFFF"/>
                <w:lang w:val="en-GB"/>
              </w:rPr>
              <w:t>applicable</w:t>
            </w:r>
            <w:r w:rsidRPr="00DF02C5">
              <w:rPr>
                <w:rFonts w:hAnsi="Times New Roman" w:cs="Times New Roman"/>
                <w:snapToGrid w:val="0"/>
                <w:color w:val="auto"/>
                <w:kern w:val="22"/>
                <w:sz w:val="20"/>
                <w:szCs w:val="20"/>
                <w:lang w:val="en-GB"/>
              </w:rPr>
              <w:t xml:space="preserve"> since no access requirements are in place</w:t>
            </w:r>
          </w:p>
        </w:tc>
        <w:tc>
          <w:tcPr>
            <w:tcW w:w="1915" w:type="dxa"/>
            <w:shd w:val="clear" w:color="auto" w:fill="auto"/>
          </w:tcPr>
          <w:p w14:paraId="1679FA4D"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Not applicable since no access requirements are in place</w:t>
            </w:r>
          </w:p>
        </w:tc>
        <w:tc>
          <w:tcPr>
            <w:tcW w:w="2586" w:type="dxa"/>
            <w:shd w:val="clear" w:color="auto" w:fill="auto"/>
          </w:tcPr>
          <w:p w14:paraId="6084227B"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1</w:t>
            </w:r>
          </w:p>
        </w:tc>
      </w:tr>
      <w:tr w:rsidR="0049703E" w:rsidRPr="00DF02C5" w14:paraId="2E9BA1B6" w14:textId="77777777" w:rsidTr="00B37C87">
        <w:trPr>
          <w:jc w:val="center"/>
        </w:trPr>
        <w:tc>
          <w:tcPr>
            <w:tcW w:w="1915" w:type="dxa"/>
            <w:shd w:val="clear" w:color="auto" w:fill="auto"/>
          </w:tcPr>
          <w:p w14:paraId="4C96A565" w14:textId="77777777" w:rsidR="0049703E" w:rsidRPr="00DF02C5" w:rsidRDefault="0049703E" w:rsidP="0049703E">
            <w:pP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Bulgaria</w:t>
            </w:r>
          </w:p>
        </w:tc>
        <w:tc>
          <w:tcPr>
            <w:tcW w:w="1915" w:type="dxa"/>
            <w:shd w:val="clear" w:color="auto" w:fill="auto"/>
          </w:tcPr>
          <w:p w14:paraId="4A53F459"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eastAsia="MS Gothic" w:hAnsi="Times New Roman" w:cs="Times New Roman"/>
                <w:color w:val="auto"/>
                <w:sz w:val="20"/>
                <w:szCs w:val="20"/>
                <w:shd w:val="clear" w:color="auto" w:fill="FFFFFF"/>
                <w:lang w:val="en-GB"/>
              </w:rPr>
              <w:t>Yes</w:t>
            </w:r>
          </w:p>
        </w:tc>
        <w:tc>
          <w:tcPr>
            <w:tcW w:w="1915" w:type="dxa"/>
            <w:shd w:val="clear" w:color="auto" w:fill="auto"/>
          </w:tcPr>
          <w:p w14:paraId="11D1E050"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eastAsia="MS Gothic" w:hAnsi="Times New Roman" w:cs="Times New Roman"/>
                <w:color w:val="auto"/>
                <w:sz w:val="20"/>
                <w:szCs w:val="20"/>
                <w:shd w:val="clear" w:color="auto" w:fill="FFFFFF"/>
                <w:lang w:val="en-GB"/>
              </w:rPr>
              <w:t>Yes</w:t>
            </w:r>
          </w:p>
        </w:tc>
        <w:tc>
          <w:tcPr>
            <w:tcW w:w="2586" w:type="dxa"/>
            <w:shd w:val="clear" w:color="auto" w:fill="auto"/>
          </w:tcPr>
          <w:p w14:paraId="3B9718B5"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3</w:t>
            </w:r>
          </w:p>
        </w:tc>
      </w:tr>
      <w:tr w:rsidR="0049703E" w:rsidRPr="00DF02C5" w14:paraId="328B968F" w14:textId="77777777" w:rsidTr="00B37C87">
        <w:trPr>
          <w:jc w:val="center"/>
        </w:trPr>
        <w:tc>
          <w:tcPr>
            <w:tcW w:w="1915" w:type="dxa"/>
            <w:shd w:val="clear" w:color="auto" w:fill="auto"/>
          </w:tcPr>
          <w:p w14:paraId="2397814F" w14:textId="77777777" w:rsidR="0049703E" w:rsidRPr="00DF02C5" w:rsidRDefault="0049703E" w:rsidP="0049703E">
            <w:pP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Dominican Republic</w:t>
            </w:r>
          </w:p>
        </w:tc>
        <w:tc>
          <w:tcPr>
            <w:tcW w:w="1915" w:type="dxa"/>
            <w:shd w:val="clear" w:color="auto" w:fill="auto"/>
          </w:tcPr>
          <w:p w14:paraId="06488467"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eastAsia="MS Gothic" w:hAnsi="Times New Roman" w:cs="Times New Roman"/>
                <w:color w:val="auto"/>
                <w:sz w:val="20"/>
                <w:szCs w:val="20"/>
                <w:shd w:val="clear" w:color="auto" w:fill="FFFFFF"/>
                <w:lang w:val="en-GB"/>
              </w:rPr>
              <w:t>Yes</w:t>
            </w:r>
          </w:p>
        </w:tc>
        <w:tc>
          <w:tcPr>
            <w:tcW w:w="1915" w:type="dxa"/>
            <w:shd w:val="clear" w:color="auto" w:fill="auto"/>
          </w:tcPr>
          <w:p w14:paraId="270C0896"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eastAsia="MS Gothic" w:hAnsi="Times New Roman" w:cs="Times New Roman"/>
                <w:color w:val="auto"/>
                <w:sz w:val="20"/>
                <w:szCs w:val="20"/>
                <w:shd w:val="clear" w:color="auto" w:fill="FFFFFF"/>
                <w:lang w:val="en-GB"/>
              </w:rPr>
              <w:t>Yes</w:t>
            </w:r>
          </w:p>
        </w:tc>
        <w:tc>
          <w:tcPr>
            <w:tcW w:w="2586" w:type="dxa"/>
            <w:shd w:val="clear" w:color="auto" w:fill="auto"/>
          </w:tcPr>
          <w:p w14:paraId="13B21991"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 xml:space="preserve">1 </w:t>
            </w:r>
          </w:p>
        </w:tc>
      </w:tr>
      <w:tr w:rsidR="0049703E" w:rsidRPr="00DF02C5" w14:paraId="67CCB4E0" w14:textId="77777777" w:rsidTr="00B37C87">
        <w:trPr>
          <w:jc w:val="center"/>
        </w:trPr>
        <w:tc>
          <w:tcPr>
            <w:tcW w:w="1915" w:type="dxa"/>
            <w:shd w:val="clear" w:color="auto" w:fill="auto"/>
          </w:tcPr>
          <w:p w14:paraId="301BBF59" w14:textId="77777777" w:rsidR="0049703E" w:rsidRPr="00DF02C5" w:rsidRDefault="0049703E" w:rsidP="0049703E">
            <w:pP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Guatemala</w:t>
            </w:r>
          </w:p>
        </w:tc>
        <w:tc>
          <w:tcPr>
            <w:tcW w:w="1915" w:type="dxa"/>
            <w:shd w:val="clear" w:color="auto" w:fill="auto"/>
          </w:tcPr>
          <w:p w14:paraId="3388732E" w14:textId="77777777" w:rsidR="0049703E" w:rsidRPr="00DF02C5" w:rsidRDefault="0049703E" w:rsidP="0049703E">
            <w:pP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Did not submit report</w:t>
            </w:r>
          </w:p>
        </w:tc>
        <w:tc>
          <w:tcPr>
            <w:tcW w:w="1915" w:type="dxa"/>
            <w:shd w:val="clear" w:color="auto" w:fill="auto"/>
          </w:tcPr>
          <w:p w14:paraId="14B767E2"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Did not submit report</w:t>
            </w:r>
          </w:p>
        </w:tc>
        <w:tc>
          <w:tcPr>
            <w:tcW w:w="2586" w:type="dxa"/>
            <w:shd w:val="clear" w:color="auto" w:fill="auto"/>
          </w:tcPr>
          <w:p w14:paraId="5B18F71B"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2</w:t>
            </w:r>
          </w:p>
        </w:tc>
      </w:tr>
      <w:tr w:rsidR="0049703E" w:rsidRPr="00DF02C5" w14:paraId="6E75276C" w14:textId="77777777" w:rsidTr="00B37C87">
        <w:trPr>
          <w:jc w:val="center"/>
        </w:trPr>
        <w:tc>
          <w:tcPr>
            <w:tcW w:w="1915" w:type="dxa"/>
            <w:shd w:val="clear" w:color="auto" w:fill="auto"/>
          </w:tcPr>
          <w:p w14:paraId="3343EF0F" w14:textId="77777777" w:rsidR="0049703E" w:rsidRPr="00DF02C5" w:rsidRDefault="0049703E" w:rsidP="0049703E">
            <w:pP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India</w:t>
            </w:r>
          </w:p>
        </w:tc>
        <w:tc>
          <w:tcPr>
            <w:tcW w:w="1915" w:type="dxa"/>
            <w:shd w:val="clear" w:color="auto" w:fill="auto"/>
          </w:tcPr>
          <w:p w14:paraId="5036EBB0"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eastAsia="MS Gothic" w:hAnsi="Times New Roman" w:cs="Times New Roman"/>
                <w:color w:val="auto"/>
                <w:sz w:val="20"/>
                <w:szCs w:val="20"/>
                <w:shd w:val="clear" w:color="auto" w:fill="FFFFFF"/>
                <w:lang w:val="en-GB"/>
              </w:rPr>
              <w:t>Yes</w:t>
            </w:r>
          </w:p>
        </w:tc>
        <w:tc>
          <w:tcPr>
            <w:tcW w:w="1915" w:type="dxa"/>
            <w:shd w:val="clear" w:color="auto" w:fill="auto"/>
          </w:tcPr>
          <w:p w14:paraId="65FCA596"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eastAsia="MS Gothic" w:hAnsi="Times New Roman" w:cs="Times New Roman"/>
                <w:color w:val="auto"/>
                <w:sz w:val="20"/>
                <w:szCs w:val="20"/>
                <w:shd w:val="clear" w:color="auto" w:fill="FFFFFF"/>
                <w:lang w:val="en-GB"/>
              </w:rPr>
              <w:t>Yes</w:t>
            </w:r>
          </w:p>
        </w:tc>
        <w:tc>
          <w:tcPr>
            <w:tcW w:w="2586" w:type="dxa"/>
            <w:shd w:val="clear" w:color="auto" w:fill="auto"/>
          </w:tcPr>
          <w:p w14:paraId="286965DA"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86</w:t>
            </w:r>
          </w:p>
        </w:tc>
      </w:tr>
      <w:tr w:rsidR="0049703E" w:rsidRPr="00DF02C5" w14:paraId="1412F0CA" w14:textId="77777777" w:rsidTr="00B37C87">
        <w:trPr>
          <w:jc w:val="center"/>
        </w:trPr>
        <w:tc>
          <w:tcPr>
            <w:tcW w:w="1915" w:type="dxa"/>
            <w:shd w:val="clear" w:color="auto" w:fill="auto"/>
          </w:tcPr>
          <w:p w14:paraId="1F76422A" w14:textId="77777777" w:rsidR="0049703E" w:rsidRPr="00DF02C5" w:rsidRDefault="0049703E" w:rsidP="0049703E">
            <w:pP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lastRenderedPageBreak/>
              <w:t>Kenya</w:t>
            </w:r>
          </w:p>
        </w:tc>
        <w:tc>
          <w:tcPr>
            <w:tcW w:w="1915" w:type="dxa"/>
            <w:shd w:val="clear" w:color="auto" w:fill="auto"/>
          </w:tcPr>
          <w:p w14:paraId="16D4F657"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eastAsia="MS Gothic" w:hAnsi="Times New Roman" w:cs="Times New Roman"/>
                <w:color w:val="auto"/>
                <w:sz w:val="20"/>
                <w:szCs w:val="20"/>
                <w:shd w:val="clear" w:color="auto" w:fill="FFFFFF"/>
                <w:lang w:val="en-GB"/>
              </w:rPr>
              <w:t>Yes</w:t>
            </w:r>
          </w:p>
        </w:tc>
        <w:tc>
          <w:tcPr>
            <w:tcW w:w="1915" w:type="dxa"/>
            <w:shd w:val="clear" w:color="auto" w:fill="auto"/>
          </w:tcPr>
          <w:p w14:paraId="02FB1A1C"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eastAsia="MS Gothic" w:hAnsi="Times New Roman" w:cs="Times New Roman"/>
                <w:color w:val="auto"/>
                <w:sz w:val="20"/>
                <w:szCs w:val="20"/>
                <w:shd w:val="clear" w:color="auto" w:fill="FFFFFF"/>
                <w:lang w:val="en-GB"/>
              </w:rPr>
              <w:t>Yes</w:t>
            </w:r>
          </w:p>
        </w:tc>
        <w:tc>
          <w:tcPr>
            <w:tcW w:w="2586" w:type="dxa"/>
            <w:shd w:val="clear" w:color="auto" w:fill="auto"/>
          </w:tcPr>
          <w:p w14:paraId="762567FB"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5</w:t>
            </w:r>
          </w:p>
        </w:tc>
      </w:tr>
      <w:tr w:rsidR="0049703E" w:rsidRPr="00DF02C5" w14:paraId="19DA880B" w14:textId="77777777" w:rsidTr="00B37C87">
        <w:trPr>
          <w:jc w:val="center"/>
        </w:trPr>
        <w:tc>
          <w:tcPr>
            <w:tcW w:w="1915" w:type="dxa"/>
            <w:shd w:val="clear" w:color="auto" w:fill="auto"/>
          </w:tcPr>
          <w:p w14:paraId="35AC2F4E" w14:textId="77777777" w:rsidR="0049703E" w:rsidRPr="00DF02C5" w:rsidRDefault="0049703E" w:rsidP="0049703E">
            <w:pP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Malta</w:t>
            </w:r>
          </w:p>
        </w:tc>
        <w:tc>
          <w:tcPr>
            <w:tcW w:w="1915" w:type="dxa"/>
            <w:shd w:val="clear" w:color="auto" w:fill="auto"/>
          </w:tcPr>
          <w:p w14:paraId="299F8679"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eastAsia="MS Gothic" w:hAnsi="Times New Roman" w:cs="Times New Roman"/>
                <w:color w:val="auto"/>
                <w:sz w:val="20"/>
                <w:szCs w:val="20"/>
                <w:shd w:val="clear" w:color="auto" w:fill="FFFFFF"/>
                <w:lang w:val="en-GB"/>
              </w:rPr>
              <w:t>Yes</w:t>
            </w:r>
          </w:p>
        </w:tc>
        <w:tc>
          <w:tcPr>
            <w:tcW w:w="1915" w:type="dxa"/>
            <w:shd w:val="clear" w:color="auto" w:fill="auto"/>
          </w:tcPr>
          <w:p w14:paraId="67F6A034"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eastAsia="MS Gothic" w:hAnsi="Times New Roman" w:cs="Times New Roman"/>
                <w:color w:val="auto"/>
                <w:sz w:val="20"/>
                <w:szCs w:val="20"/>
                <w:shd w:val="clear" w:color="auto" w:fill="FFFFFF"/>
                <w:lang w:val="en-GB"/>
              </w:rPr>
              <w:t>Yes</w:t>
            </w:r>
          </w:p>
        </w:tc>
        <w:tc>
          <w:tcPr>
            <w:tcW w:w="2586" w:type="dxa"/>
            <w:shd w:val="clear" w:color="auto" w:fill="auto"/>
          </w:tcPr>
          <w:p w14:paraId="7B6CD955"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 xml:space="preserve">1 </w:t>
            </w:r>
          </w:p>
        </w:tc>
      </w:tr>
      <w:tr w:rsidR="0049703E" w:rsidRPr="00DF02C5" w14:paraId="105C705B" w14:textId="77777777" w:rsidTr="00B37C87">
        <w:trPr>
          <w:jc w:val="center"/>
        </w:trPr>
        <w:tc>
          <w:tcPr>
            <w:tcW w:w="1915" w:type="dxa"/>
            <w:shd w:val="clear" w:color="auto" w:fill="auto"/>
          </w:tcPr>
          <w:p w14:paraId="6FA1D2B4" w14:textId="77777777" w:rsidR="0049703E" w:rsidRPr="00DF02C5" w:rsidRDefault="0049703E" w:rsidP="0049703E">
            <w:pP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Mexico</w:t>
            </w:r>
          </w:p>
        </w:tc>
        <w:tc>
          <w:tcPr>
            <w:tcW w:w="1915" w:type="dxa"/>
            <w:shd w:val="clear" w:color="auto" w:fill="auto"/>
          </w:tcPr>
          <w:p w14:paraId="2E1D32E3"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eastAsia="MS Gothic" w:hAnsi="Times New Roman" w:cs="Times New Roman"/>
                <w:color w:val="auto"/>
                <w:sz w:val="20"/>
                <w:szCs w:val="20"/>
                <w:shd w:val="clear" w:color="auto" w:fill="FFFFFF"/>
                <w:lang w:val="en-GB"/>
              </w:rPr>
              <w:t>Yes</w:t>
            </w:r>
          </w:p>
        </w:tc>
        <w:tc>
          <w:tcPr>
            <w:tcW w:w="1915" w:type="dxa"/>
            <w:shd w:val="clear" w:color="auto" w:fill="auto"/>
          </w:tcPr>
          <w:p w14:paraId="3135ECBB"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eastAsia="MS Gothic" w:hAnsi="Times New Roman" w:cs="Times New Roman"/>
                <w:color w:val="auto"/>
                <w:sz w:val="20"/>
                <w:szCs w:val="20"/>
                <w:shd w:val="clear" w:color="auto" w:fill="FFFFFF"/>
                <w:lang w:val="en-GB"/>
              </w:rPr>
              <w:t>Yes</w:t>
            </w:r>
          </w:p>
        </w:tc>
        <w:tc>
          <w:tcPr>
            <w:tcW w:w="2586" w:type="dxa"/>
            <w:shd w:val="clear" w:color="auto" w:fill="auto"/>
          </w:tcPr>
          <w:p w14:paraId="7CC79999"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3</w:t>
            </w:r>
          </w:p>
        </w:tc>
      </w:tr>
      <w:tr w:rsidR="0049703E" w:rsidRPr="00DF02C5" w14:paraId="55073178" w14:textId="77777777" w:rsidTr="00B37C87">
        <w:trPr>
          <w:jc w:val="center"/>
        </w:trPr>
        <w:tc>
          <w:tcPr>
            <w:tcW w:w="1915" w:type="dxa"/>
            <w:shd w:val="clear" w:color="auto" w:fill="auto"/>
          </w:tcPr>
          <w:p w14:paraId="454F0A95" w14:textId="77777777" w:rsidR="0049703E" w:rsidRPr="00DF02C5" w:rsidRDefault="0049703E" w:rsidP="0049703E">
            <w:pP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Panama</w:t>
            </w:r>
          </w:p>
        </w:tc>
        <w:tc>
          <w:tcPr>
            <w:tcW w:w="1915" w:type="dxa"/>
            <w:shd w:val="clear" w:color="auto" w:fill="auto"/>
          </w:tcPr>
          <w:p w14:paraId="0455C076"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eastAsia="MS Gothic" w:hAnsi="Times New Roman" w:cs="Times New Roman"/>
                <w:color w:val="auto"/>
                <w:sz w:val="20"/>
                <w:szCs w:val="20"/>
                <w:shd w:val="clear" w:color="auto" w:fill="FFFFFF"/>
                <w:lang w:val="en-GB"/>
              </w:rPr>
              <w:t>Yes</w:t>
            </w:r>
          </w:p>
        </w:tc>
        <w:tc>
          <w:tcPr>
            <w:tcW w:w="1915" w:type="dxa"/>
            <w:shd w:val="clear" w:color="auto" w:fill="auto"/>
          </w:tcPr>
          <w:p w14:paraId="68C52989"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eastAsia="MS Gothic" w:hAnsi="Times New Roman" w:cs="Times New Roman"/>
                <w:color w:val="auto"/>
                <w:sz w:val="20"/>
                <w:szCs w:val="20"/>
                <w:shd w:val="clear" w:color="auto" w:fill="FFFFFF"/>
                <w:lang w:val="en-GB"/>
              </w:rPr>
              <w:t>Yes</w:t>
            </w:r>
          </w:p>
        </w:tc>
        <w:tc>
          <w:tcPr>
            <w:tcW w:w="2586" w:type="dxa"/>
            <w:shd w:val="clear" w:color="auto" w:fill="auto"/>
          </w:tcPr>
          <w:p w14:paraId="6ED74F39"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12</w:t>
            </w:r>
          </w:p>
        </w:tc>
      </w:tr>
      <w:tr w:rsidR="0049703E" w:rsidRPr="00DF02C5" w14:paraId="3836D69D" w14:textId="77777777" w:rsidTr="00B37C87">
        <w:trPr>
          <w:jc w:val="center"/>
        </w:trPr>
        <w:tc>
          <w:tcPr>
            <w:tcW w:w="1915" w:type="dxa"/>
            <w:shd w:val="clear" w:color="auto" w:fill="auto"/>
          </w:tcPr>
          <w:p w14:paraId="1001BADD" w14:textId="77777777" w:rsidR="0049703E" w:rsidRPr="00DF02C5" w:rsidRDefault="0049703E" w:rsidP="0049703E">
            <w:pP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Peru</w:t>
            </w:r>
          </w:p>
        </w:tc>
        <w:tc>
          <w:tcPr>
            <w:tcW w:w="1915" w:type="dxa"/>
            <w:shd w:val="clear" w:color="auto" w:fill="auto"/>
          </w:tcPr>
          <w:p w14:paraId="2D6A63D6" w14:textId="77777777" w:rsidR="0049703E" w:rsidRPr="00DF02C5" w:rsidRDefault="0049703E" w:rsidP="0049703E">
            <w:pPr>
              <w:jc w:val="center"/>
              <w:rPr>
                <w:rFonts w:ascii="MS Gothic" w:eastAsia="MS Gothic" w:hAnsi="MS Gothic" w:cs="MS Gothic"/>
                <w:color w:val="auto"/>
                <w:sz w:val="20"/>
                <w:szCs w:val="20"/>
                <w:shd w:val="clear" w:color="auto" w:fill="FFFFFF"/>
                <w:lang w:val="en-GB"/>
              </w:rPr>
            </w:pPr>
            <w:r w:rsidRPr="00DF02C5">
              <w:rPr>
                <w:rFonts w:eastAsia="MS Gothic" w:hAnsi="Times New Roman" w:cs="Times New Roman"/>
                <w:color w:val="auto"/>
                <w:sz w:val="20"/>
                <w:szCs w:val="20"/>
                <w:shd w:val="clear" w:color="auto" w:fill="FFFFFF"/>
                <w:lang w:val="en-GB"/>
              </w:rPr>
              <w:t>Yes</w:t>
            </w:r>
          </w:p>
        </w:tc>
        <w:tc>
          <w:tcPr>
            <w:tcW w:w="1915" w:type="dxa"/>
            <w:shd w:val="clear" w:color="auto" w:fill="auto"/>
          </w:tcPr>
          <w:p w14:paraId="6584E161" w14:textId="77777777" w:rsidR="0049703E" w:rsidRPr="00DF02C5" w:rsidRDefault="0049703E" w:rsidP="0049703E">
            <w:pPr>
              <w:jc w:val="center"/>
              <w:rPr>
                <w:rFonts w:ascii="MS Gothic" w:eastAsia="MS Gothic" w:hAnsi="MS Gothic" w:cs="MS Gothic"/>
                <w:color w:val="auto"/>
                <w:sz w:val="20"/>
                <w:szCs w:val="20"/>
                <w:shd w:val="clear" w:color="auto" w:fill="FFFFFF"/>
                <w:lang w:val="en-GB"/>
              </w:rPr>
            </w:pPr>
            <w:r w:rsidRPr="00DF02C5">
              <w:rPr>
                <w:rFonts w:eastAsia="MS Gothic" w:hAnsi="Times New Roman" w:cs="Times New Roman"/>
                <w:color w:val="auto"/>
                <w:sz w:val="20"/>
                <w:szCs w:val="20"/>
                <w:shd w:val="clear" w:color="auto" w:fill="FFFFFF"/>
                <w:lang w:val="en-GB"/>
              </w:rPr>
              <w:t>Yes</w:t>
            </w:r>
          </w:p>
        </w:tc>
        <w:tc>
          <w:tcPr>
            <w:tcW w:w="2586" w:type="dxa"/>
            <w:shd w:val="clear" w:color="auto" w:fill="auto"/>
          </w:tcPr>
          <w:p w14:paraId="35C741DF"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1</w:t>
            </w:r>
          </w:p>
        </w:tc>
      </w:tr>
      <w:tr w:rsidR="0049703E" w:rsidRPr="00DF02C5" w14:paraId="2647EFDC" w14:textId="77777777" w:rsidTr="00B37C87">
        <w:trPr>
          <w:jc w:val="center"/>
        </w:trPr>
        <w:tc>
          <w:tcPr>
            <w:tcW w:w="1915" w:type="dxa"/>
            <w:shd w:val="clear" w:color="auto" w:fill="auto"/>
          </w:tcPr>
          <w:p w14:paraId="2AD40D45" w14:textId="77777777" w:rsidR="0049703E" w:rsidRPr="00DF02C5" w:rsidRDefault="0049703E" w:rsidP="0049703E">
            <w:pP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South Africa</w:t>
            </w:r>
          </w:p>
        </w:tc>
        <w:tc>
          <w:tcPr>
            <w:tcW w:w="1915" w:type="dxa"/>
            <w:shd w:val="clear" w:color="auto" w:fill="auto"/>
          </w:tcPr>
          <w:p w14:paraId="240DC771"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eastAsia="MS Gothic" w:hAnsi="Times New Roman" w:cs="Times New Roman"/>
                <w:color w:val="auto"/>
                <w:sz w:val="20"/>
                <w:szCs w:val="20"/>
                <w:shd w:val="clear" w:color="auto" w:fill="FFFFFF"/>
                <w:lang w:val="en-GB"/>
              </w:rPr>
              <w:t>Yes</w:t>
            </w:r>
          </w:p>
        </w:tc>
        <w:tc>
          <w:tcPr>
            <w:tcW w:w="1915" w:type="dxa"/>
            <w:shd w:val="clear" w:color="auto" w:fill="auto"/>
          </w:tcPr>
          <w:p w14:paraId="3FA8F671"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eastAsia="MS Gothic" w:hAnsi="Times New Roman" w:cs="Times New Roman"/>
                <w:color w:val="auto"/>
                <w:sz w:val="20"/>
                <w:szCs w:val="20"/>
                <w:shd w:val="clear" w:color="auto" w:fill="FFFFFF"/>
                <w:lang w:val="en-GB"/>
              </w:rPr>
              <w:t>Yes</w:t>
            </w:r>
          </w:p>
        </w:tc>
        <w:tc>
          <w:tcPr>
            <w:tcW w:w="2586" w:type="dxa"/>
            <w:shd w:val="clear" w:color="auto" w:fill="auto"/>
          </w:tcPr>
          <w:p w14:paraId="50033653"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24</w:t>
            </w:r>
          </w:p>
        </w:tc>
      </w:tr>
      <w:tr w:rsidR="0049703E" w:rsidRPr="00DF02C5" w14:paraId="7AE1B453" w14:textId="77777777" w:rsidTr="00B37C87">
        <w:trPr>
          <w:jc w:val="center"/>
        </w:trPr>
        <w:tc>
          <w:tcPr>
            <w:tcW w:w="1915" w:type="dxa"/>
            <w:shd w:val="clear" w:color="auto" w:fill="auto"/>
          </w:tcPr>
          <w:p w14:paraId="30C99F5E" w14:textId="77777777" w:rsidR="0049703E" w:rsidRPr="00DF02C5" w:rsidRDefault="0049703E" w:rsidP="0049703E">
            <w:pP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Spain</w:t>
            </w:r>
          </w:p>
        </w:tc>
        <w:tc>
          <w:tcPr>
            <w:tcW w:w="1915" w:type="dxa"/>
            <w:shd w:val="clear" w:color="auto" w:fill="auto"/>
          </w:tcPr>
          <w:p w14:paraId="41F3A7D3"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eastAsia="MS Gothic" w:hAnsi="Times New Roman" w:cs="Times New Roman"/>
                <w:color w:val="auto"/>
                <w:sz w:val="20"/>
                <w:szCs w:val="20"/>
                <w:shd w:val="clear" w:color="auto" w:fill="FFFFFF"/>
                <w:lang w:val="en-GB"/>
              </w:rPr>
              <w:t>Yes</w:t>
            </w:r>
          </w:p>
        </w:tc>
        <w:tc>
          <w:tcPr>
            <w:tcW w:w="1915" w:type="dxa"/>
            <w:shd w:val="clear" w:color="auto" w:fill="auto"/>
          </w:tcPr>
          <w:p w14:paraId="3B7A18DA"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eastAsia="MS Gothic" w:hAnsi="Times New Roman" w:cs="Times New Roman"/>
                <w:color w:val="auto"/>
                <w:sz w:val="20"/>
                <w:szCs w:val="20"/>
                <w:shd w:val="clear" w:color="auto" w:fill="FFFFFF"/>
                <w:lang w:val="en-GB"/>
              </w:rPr>
              <w:t>Yes</w:t>
            </w:r>
          </w:p>
        </w:tc>
        <w:tc>
          <w:tcPr>
            <w:tcW w:w="2586" w:type="dxa"/>
            <w:shd w:val="clear" w:color="auto" w:fill="auto"/>
          </w:tcPr>
          <w:p w14:paraId="56183CCF" w14:textId="77777777" w:rsidR="0049703E" w:rsidRPr="00DF02C5" w:rsidRDefault="0049703E" w:rsidP="0049703E">
            <w:pPr>
              <w:jc w:val="cente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7</w:t>
            </w:r>
          </w:p>
        </w:tc>
      </w:tr>
    </w:tbl>
    <w:p w14:paraId="3FCFE045" w14:textId="77777777" w:rsidR="0049703E" w:rsidRPr="00DF02C5" w:rsidRDefault="0049703E" w:rsidP="0049703E">
      <w:pPr>
        <w:spacing w:before="120" w:after="120"/>
        <w:rPr>
          <w:rFonts w:hAnsi="Times New Roman"/>
          <w:snapToGrid w:val="0"/>
          <w:color w:val="auto"/>
          <w:kern w:val="22"/>
          <w:lang w:val="en-GB"/>
        </w:rPr>
      </w:pPr>
    </w:p>
    <w:p w14:paraId="3EFF32EF" w14:textId="77777777" w:rsidR="00635AF8" w:rsidRPr="00DF02C5" w:rsidRDefault="00635AF8" w:rsidP="00635AF8">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 xml:space="preserve">A total of 12 Parties have IRCCs published in the ABS Clearing-House. </w:t>
      </w:r>
    </w:p>
    <w:p w14:paraId="146A3BF1" w14:textId="797F3C97" w:rsidR="0049703E" w:rsidRPr="00DF02C5" w:rsidRDefault="00664529" w:rsidP="00664529">
      <w:pPr>
        <w:numPr>
          <w:ilvl w:val="0"/>
          <w:numId w:val="1"/>
        </w:numPr>
        <w:spacing w:before="120" w:after="120"/>
        <w:rPr>
          <w:rFonts w:eastAsia="Calibri" w:hAnsi="Times New Roman" w:cs="Times New Roman"/>
          <w:snapToGrid w:val="0"/>
          <w:kern w:val="22"/>
          <w:bdr w:val="none" w:sz="0" w:space="0" w:color="auto"/>
          <w:lang w:val="en-GB"/>
        </w:rPr>
      </w:pPr>
      <w:r w:rsidRPr="00DF02C5">
        <w:rPr>
          <w:rFonts w:eastAsia="Calibri" w:hAnsi="Times New Roman" w:cs="Times New Roman"/>
          <w:snapToGrid w:val="0"/>
          <w:kern w:val="22"/>
          <w:bdr w:val="none" w:sz="0" w:space="0" w:color="auto"/>
          <w:lang w:val="en-GB"/>
        </w:rPr>
        <w:t>T</w:t>
      </w:r>
      <w:r w:rsidR="0049703E" w:rsidRPr="00DF02C5">
        <w:rPr>
          <w:rFonts w:eastAsia="Calibri" w:hAnsi="Times New Roman" w:cs="Times New Roman"/>
          <w:snapToGrid w:val="0"/>
          <w:kern w:val="22"/>
          <w:bdr w:val="none" w:sz="0" w:space="0" w:color="auto"/>
          <w:lang w:val="en-GB"/>
        </w:rPr>
        <w:t>he following table provides an overview of the number of permits or their equivalent reported by countries in the interim national report.</w:t>
      </w:r>
    </w:p>
    <w:p w14:paraId="4A8A499E" w14:textId="0E051B2A" w:rsidR="0049703E" w:rsidRPr="00DF02C5" w:rsidRDefault="007D5F65" w:rsidP="00E5256F">
      <w:pPr>
        <w:pStyle w:val="Caption"/>
        <w:keepNext/>
        <w:keepLines/>
        <w:rPr>
          <w:rFonts w:eastAsia="Calibri" w:hAnsi="Times New Roman" w:cs="Times New Roman"/>
          <w:snapToGrid w:val="0"/>
          <w:kern w:val="22"/>
          <w:szCs w:val="22"/>
          <w:bdr w:val="none" w:sz="0" w:space="0" w:color="auto"/>
          <w:lang w:val="en-GB"/>
        </w:rPr>
      </w:pPr>
      <w:r w:rsidRPr="00DF02C5">
        <w:rPr>
          <w:lang w:val="en-GB"/>
        </w:rPr>
        <w:t xml:space="preserve">Table </w:t>
      </w:r>
      <w:r w:rsidRPr="00DF02C5">
        <w:rPr>
          <w:lang w:val="en-GB"/>
        </w:rPr>
        <w:fldChar w:fldCharType="begin"/>
      </w:r>
      <w:r w:rsidRPr="00DF02C5">
        <w:rPr>
          <w:lang w:val="en-GB"/>
        </w:rPr>
        <w:instrText xml:space="preserve"> SEQ Table \* ARABIC </w:instrText>
      </w:r>
      <w:r w:rsidRPr="00DF02C5">
        <w:rPr>
          <w:lang w:val="en-GB"/>
        </w:rPr>
        <w:fldChar w:fldCharType="separate"/>
      </w:r>
      <w:r w:rsidRPr="00DF02C5">
        <w:rPr>
          <w:noProof/>
          <w:lang w:val="en-GB"/>
        </w:rPr>
        <w:t>4</w:t>
      </w:r>
      <w:r w:rsidRPr="00DF02C5">
        <w:rPr>
          <w:lang w:val="en-GB"/>
        </w:rPr>
        <w:fldChar w:fldCharType="end"/>
      </w:r>
      <w:r w:rsidR="0049703E" w:rsidRPr="00DF02C5">
        <w:rPr>
          <w:rFonts w:eastAsia="Calibri" w:hAnsi="Times New Roman" w:cs="Times New Roman"/>
          <w:snapToGrid w:val="0"/>
          <w:kern w:val="22"/>
          <w:szCs w:val="22"/>
          <w:bdr w:val="none" w:sz="0" w:space="0" w:color="auto"/>
          <w:lang w:val="en-GB"/>
        </w:rPr>
        <w:t xml:space="preserve">: Countries that </w:t>
      </w:r>
      <w:r w:rsidR="00664529" w:rsidRPr="00DF02C5">
        <w:rPr>
          <w:rFonts w:eastAsia="Calibri" w:hAnsi="Times New Roman" w:cs="Times New Roman"/>
          <w:snapToGrid w:val="0"/>
          <w:kern w:val="22"/>
          <w:szCs w:val="22"/>
          <w:bdr w:val="none" w:sz="0" w:space="0" w:color="auto"/>
          <w:lang w:val="en-GB"/>
        </w:rPr>
        <w:t>reported having</w:t>
      </w:r>
      <w:r w:rsidR="0049703E" w:rsidRPr="00DF02C5">
        <w:rPr>
          <w:rFonts w:eastAsia="Calibri" w:hAnsi="Times New Roman" w:cs="Times New Roman"/>
          <w:snapToGrid w:val="0"/>
          <w:kern w:val="22"/>
          <w:szCs w:val="22"/>
          <w:bdr w:val="none" w:sz="0" w:space="0" w:color="auto"/>
          <w:lang w:val="en-GB"/>
        </w:rPr>
        <w:t xml:space="preserve"> issued permits or their equivalent</w:t>
      </w:r>
      <w:r w:rsidR="00664529" w:rsidRPr="00DF02C5">
        <w:rPr>
          <w:rFonts w:eastAsia="Calibri" w:hAnsi="Times New Roman" w:cs="Times New Roman"/>
          <w:snapToGrid w:val="0"/>
          <w:kern w:val="22"/>
          <w:szCs w:val="22"/>
          <w:bdr w:val="none" w:sz="0" w:space="0" w:color="auto"/>
          <w:lang w:val="en-GB"/>
        </w:rPr>
        <w:t>s</w:t>
      </w:r>
      <w:r w:rsidR="0049703E" w:rsidRPr="00DF02C5">
        <w:rPr>
          <w:rFonts w:eastAsia="Calibri" w:hAnsi="Times New Roman" w:cs="Times New Roman"/>
          <w:snapToGrid w:val="0"/>
          <w:kern w:val="22"/>
          <w:szCs w:val="22"/>
          <w:bdr w:val="none" w:sz="0" w:space="0" w:color="auto"/>
          <w:lang w:val="en-GB"/>
        </w:rPr>
        <w:t xml:space="preserve"> </w:t>
      </w:r>
    </w:p>
    <w:tbl>
      <w:tblPr>
        <w:tblStyle w:val="TableGrid"/>
        <w:tblW w:w="0" w:type="auto"/>
        <w:jc w:val="center"/>
        <w:tblLook w:val="04A0" w:firstRow="1" w:lastRow="0" w:firstColumn="1" w:lastColumn="0" w:noHBand="0" w:noVBand="1"/>
      </w:tblPr>
      <w:tblGrid>
        <w:gridCol w:w="1620"/>
        <w:gridCol w:w="2610"/>
        <w:gridCol w:w="1584"/>
        <w:gridCol w:w="2394"/>
      </w:tblGrid>
      <w:tr w:rsidR="0049703E" w:rsidRPr="00DF02C5" w14:paraId="6541D382" w14:textId="77777777" w:rsidTr="00B37C87">
        <w:trPr>
          <w:jc w:val="center"/>
        </w:trPr>
        <w:tc>
          <w:tcPr>
            <w:tcW w:w="1620" w:type="dxa"/>
            <w:tcBorders>
              <w:right w:val="nil"/>
            </w:tcBorders>
            <w:shd w:val="pct12" w:color="auto" w:fill="auto"/>
          </w:tcPr>
          <w:p w14:paraId="36370DA9" w14:textId="77777777" w:rsidR="0049703E" w:rsidRPr="00DF02C5" w:rsidRDefault="0049703E" w:rsidP="0049703E">
            <w:pPr>
              <w:pBdr>
                <w:top w:val="none" w:sz="0" w:space="0" w:color="auto"/>
                <w:left w:val="none" w:sz="0" w:space="0" w:color="auto"/>
                <w:bottom w:val="none" w:sz="0" w:space="0" w:color="auto"/>
                <w:right w:val="none" w:sz="0" w:space="0" w:color="auto"/>
                <w:between w:val="none" w:sz="0" w:space="0" w:color="auto"/>
                <w:bar w:val="none" w:sz="0" w:color="auto"/>
              </w:pBdr>
              <w:jc w:val="center"/>
              <w:rPr>
                <w:rFonts w:hAnsi="Times New Roman" w:cs="Times New Roman"/>
                <w:b/>
                <w:snapToGrid w:val="0"/>
                <w:color w:val="auto"/>
                <w:kern w:val="22"/>
                <w:sz w:val="20"/>
                <w:szCs w:val="20"/>
                <w:lang w:val="en-GB"/>
              </w:rPr>
            </w:pPr>
            <w:r w:rsidRPr="00DF02C5">
              <w:rPr>
                <w:rFonts w:hAnsi="Times New Roman" w:cs="Times New Roman"/>
                <w:b/>
                <w:snapToGrid w:val="0"/>
                <w:color w:val="auto"/>
                <w:kern w:val="22"/>
                <w:sz w:val="20"/>
                <w:szCs w:val="20"/>
                <w:lang w:val="en-GB"/>
              </w:rPr>
              <w:t>Country</w:t>
            </w:r>
          </w:p>
        </w:tc>
        <w:tc>
          <w:tcPr>
            <w:tcW w:w="2610" w:type="dxa"/>
            <w:tcBorders>
              <w:left w:val="nil"/>
            </w:tcBorders>
            <w:shd w:val="pct12" w:color="auto" w:fill="auto"/>
          </w:tcPr>
          <w:p w14:paraId="7913EF5F" w14:textId="77777777" w:rsidR="0049703E" w:rsidRPr="00DF02C5" w:rsidRDefault="0049703E" w:rsidP="0049703E">
            <w:pPr>
              <w:pBdr>
                <w:top w:val="none" w:sz="0" w:space="0" w:color="auto"/>
                <w:left w:val="none" w:sz="0" w:space="0" w:color="auto"/>
                <w:bottom w:val="none" w:sz="0" w:space="0" w:color="auto"/>
                <w:right w:val="none" w:sz="0" w:space="0" w:color="auto"/>
                <w:between w:val="none" w:sz="0" w:space="0" w:color="auto"/>
                <w:bar w:val="none" w:sz="0" w:color="auto"/>
              </w:pBdr>
              <w:jc w:val="center"/>
              <w:rPr>
                <w:rFonts w:hAnsi="Times New Roman" w:cs="Times New Roman"/>
                <w:b/>
                <w:snapToGrid w:val="0"/>
                <w:color w:val="auto"/>
                <w:kern w:val="22"/>
                <w:sz w:val="20"/>
                <w:szCs w:val="20"/>
                <w:lang w:val="en-GB"/>
              </w:rPr>
            </w:pPr>
            <w:r w:rsidRPr="00DF02C5">
              <w:rPr>
                <w:rFonts w:hAnsi="Times New Roman" w:cs="Times New Roman"/>
                <w:b/>
                <w:snapToGrid w:val="0"/>
                <w:color w:val="auto"/>
                <w:kern w:val="22"/>
                <w:sz w:val="20"/>
                <w:szCs w:val="20"/>
                <w:lang w:val="en-GB"/>
              </w:rPr>
              <w:t>Number of permits or equivalents issued</w:t>
            </w:r>
          </w:p>
        </w:tc>
        <w:tc>
          <w:tcPr>
            <w:tcW w:w="1584" w:type="dxa"/>
            <w:tcBorders>
              <w:right w:val="nil"/>
            </w:tcBorders>
            <w:shd w:val="pct12" w:color="auto" w:fill="auto"/>
          </w:tcPr>
          <w:p w14:paraId="0CD30DB2" w14:textId="77777777" w:rsidR="0049703E" w:rsidRPr="00DF02C5" w:rsidRDefault="0049703E" w:rsidP="0049703E">
            <w:pPr>
              <w:pBdr>
                <w:top w:val="none" w:sz="0" w:space="0" w:color="auto"/>
                <w:left w:val="none" w:sz="0" w:space="0" w:color="auto"/>
                <w:bottom w:val="none" w:sz="0" w:space="0" w:color="auto"/>
                <w:right w:val="none" w:sz="0" w:space="0" w:color="auto"/>
                <w:between w:val="none" w:sz="0" w:space="0" w:color="auto"/>
                <w:bar w:val="none" w:sz="0" w:color="auto"/>
              </w:pBdr>
              <w:jc w:val="center"/>
              <w:rPr>
                <w:rFonts w:hAnsi="Times New Roman" w:cs="Times New Roman"/>
                <w:b/>
                <w:snapToGrid w:val="0"/>
                <w:color w:val="auto"/>
                <w:kern w:val="22"/>
                <w:sz w:val="20"/>
                <w:szCs w:val="20"/>
                <w:lang w:val="en-GB"/>
              </w:rPr>
            </w:pPr>
            <w:r w:rsidRPr="00DF02C5">
              <w:rPr>
                <w:rFonts w:hAnsi="Times New Roman" w:cs="Times New Roman"/>
                <w:b/>
                <w:snapToGrid w:val="0"/>
                <w:color w:val="auto"/>
                <w:kern w:val="22"/>
                <w:sz w:val="20"/>
                <w:szCs w:val="20"/>
                <w:lang w:val="en-GB"/>
              </w:rPr>
              <w:t>Country</w:t>
            </w:r>
          </w:p>
        </w:tc>
        <w:tc>
          <w:tcPr>
            <w:tcW w:w="2394" w:type="dxa"/>
            <w:tcBorders>
              <w:left w:val="nil"/>
            </w:tcBorders>
            <w:shd w:val="pct12" w:color="auto" w:fill="auto"/>
          </w:tcPr>
          <w:p w14:paraId="17C114A6" w14:textId="77777777" w:rsidR="0049703E" w:rsidRPr="00DF02C5" w:rsidRDefault="0049703E" w:rsidP="0049703E">
            <w:pPr>
              <w:pBdr>
                <w:top w:val="none" w:sz="0" w:space="0" w:color="auto"/>
                <w:left w:val="none" w:sz="0" w:space="0" w:color="auto"/>
                <w:bottom w:val="none" w:sz="0" w:space="0" w:color="auto"/>
                <w:right w:val="none" w:sz="0" w:space="0" w:color="auto"/>
                <w:between w:val="none" w:sz="0" w:space="0" w:color="auto"/>
                <w:bar w:val="none" w:sz="0" w:color="auto"/>
              </w:pBdr>
              <w:jc w:val="center"/>
              <w:rPr>
                <w:rFonts w:hAnsi="Times New Roman" w:cs="Times New Roman"/>
                <w:b/>
                <w:snapToGrid w:val="0"/>
                <w:color w:val="auto"/>
                <w:kern w:val="22"/>
                <w:sz w:val="20"/>
                <w:szCs w:val="20"/>
                <w:lang w:val="en-GB"/>
              </w:rPr>
            </w:pPr>
            <w:r w:rsidRPr="00DF02C5">
              <w:rPr>
                <w:rFonts w:hAnsi="Times New Roman" w:cs="Times New Roman"/>
                <w:b/>
                <w:snapToGrid w:val="0"/>
                <w:color w:val="auto"/>
                <w:kern w:val="22"/>
                <w:sz w:val="20"/>
                <w:szCs w:val="20"/>
                <w:lang w:val="en-GB"/>
              </w:rPr>
              <w:t>Number of permits or equivalents issued</w:t>
            </w:r>
          </w:p>
        </w:tc>
      </w:tr>
      <w:tr w:rsidR="0049703E" w:rsidRPr="00DF02C5" w14:paraId="48F2B37E" w14:textId="77777777" w:rsidTr="00B37C87">
        <w:trPr>
          <w:jc w:val="center"/>
        </w:trPr>
        <w:tc>
          <w:tcPr>
            <w:tcW w:w="1620" w:type="dxa"/>
            <w:tcBorders>
              <w:right w:val="nil"/>
            </w:tcBorders>
          </w:tcPr>
          <w:p w14:paraId="295C0CB4" w14:textId="77777777" w:rsidR="0049703E" w:rsidRPr="00DF02C5" w:rsidRDefault="0049703E" w:rsidP="00664529">
            <w:pPr>
              <w:jc w:val="left"/>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Bhutan</w:t>
            </w:r>
          </w:p>
        </w:tc>
        <w:tc>
          <w:tcPr>
            <w:tcW w:w="2610" w:type="dxa"/>
            <w:tcBorders>
              <w:left w:val="nil"/>
            </w:tcBorders>
          </w:tcPr>
          <w:p w14:paraId="4B600D23" w14:textId="77777777" w:rsidR="0049703E" w:rsidRPr="00DF02C5" w:rsidRDefault="0049703E" w:rsidP="0049703E">
            <w:pPr>
              <w:pBdr>
                <w:top w:val="none" w:sz="0" w:space="0" w:color="auto"/>
                <w:left w:val="none" w:sz="0" w:space="0" w:color="auto"/>
                <w:bottom w:val="none" w:sz="0" w:space="0" w:color="auto"/>
                <w:right w:val="none" w:sz="0" w:space="0" w:color="auto"/>
                <w:between w:val="none" w:sz="0" w:space="0" w:color="auto"/>
                <w:bar w:val="none" w:sz="0" w:color="auto"/>
              </w:pBdr>
              <w:jc w:val="cente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Number unknown</w:t>
            </w:r>
          </w:p>
        </w:tc>
        <w:tc>
          <w:tcPr>
            <w:tcW w:w="1584" w:type="dxa"/>
            <w:tcBorders>
              <w:right w:val="nil"/>
            </w:tcBorders>
          </w:tcPr>
          <w:p w14:paraId="3EE4D6F3" w14:textId="77777777" w:rsidR="0049703E" w:rsidRPr="00DF02C5" w:rsidRDefault="0049703E" w:rsidP="00664529">
            <w:pPr>
              <w:pBdr>
                <w:top w:val="none" w:sz="0" w:space="0" w:color="auto"/>
                <w:left w:val="none" w:sz="0" w:space="0" w:color="auto"/>
                <w:bottom w:val="none" w:sz="0" w:space="0" w:color="auto"/>
                <w:right w:val="none" w:sz="0" w:space="0" w:color="auto"/>
                <w:between w:val="none" w:sz="0" w:space="0" w:color="auto"/>
                <w:bar w:val="none" w:sz="0" w:color="auto"/>
              </w:pBdr>
              <w:jc w:val="left"/>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Malawi</w:t>
            </w:r>
          </w:p>
        </w:tc>
        <w:tc>
          <w:tcPr>
            <w:tcW w:w="2394" w:type="dxa"/>
            <w:tcBorders>
              <w:left w:val="nil"/>
            </w:tcBorders>
          </w:tcPr>
          <w:p w14:paraId="6C16FCF2" w14:textId="77777777" w:rsidR="0049703E" w:rsidRPr="00DF02C5" w:rsidRDefault="0049703E" w:rsidP="0049703E">
            <w:pPr>
              <w:pBdr>
                <w:top w:val="none" w:sz="0" w:space="0" w:color="auto"/>
                <w:left w:val="none" w:sz="0" w:space="0" w:color="auto"/>
                <w:bottom w:val="none" w:sz="0" w:space="0" w:color="auto"/>
                <w:right w:val="none" w:sz="0" w:space="0" w:color="auto"/>
                <w:between w:val="none" w:sz="0" w:space="0" w:color="auto"/>
                <w:bar w:val="none" w:sz="0" w:color="auto"/>
              </w:pBdr>
              <w:jc w:val="cente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15 export permits</w:t>
            </w:r>
          </w:p>
        </w:tc>
      </w:tr>
      <w:tr w:rsidR="0049703E" w:rsidRPr="00DF02C5" w14:paraId="4769A9E3" w14:textId="77777777" w:rsidTr="00B37C87">
        <w:trPr>
          <w:jc w:val="center"/>
        </w:trPr>
        <w:tc>
          <w:tcPr>
            <w:tcW w:w="1620" w:type="dxa"/>
            <w:tcBorders>
              <w:right w:val="nil"/>
            </w:tcBorders>
          </w:tcPr>
          <w:p w14:paraId="21DCD20D" w14:textId="77777777" w:rsidR="0049703E" w:rsidRPr="00DF02C5" w:rsidRDefault="0049703E" w:rsidP="00664529">
            <w:pPr>
              <w:pBdr>
                <w:top w:val="none" w:sz="0" w:space="0" w:color="auto"/>
                <w:left w:val="none" w:sz="0" w:space="0" w:color="auto"/>
                <w:bottom w:val="none" w:sz="0" w:space="0" w:color="auto"/>
                <w:right w:val="none" w:sz="0" w:space="0" w:color="auto"/>
                <w:between w:val="none" w:sz="0" w:space="0" w:color="auto"/>
                <w:bar w:val="none" w:sz="0" w:color="auto"/>
              </w:pBdr>
              <w:jc w:val="left"/>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Bulgaria</w:t>
            </w:r>
          </w:p>
        </w:tc>
        <w:tc>
          <w:tcPr>
            <w:tcW w:w="2610" w:type="dxa"/>
            <w:tcBorders>
              <w:left w:val="nil"/>
            </w:tcBorders>
          </w:tcPr>
          <w:p w14:paraId="2F72F811" w14:textId="77777777" w:rsidR="0049703E" w:rsidRPr="00DF02C5" w:rsidRDefault="0049703E" w:rsidP="00664529">
            <w:pPr>
              <w:pBdr>
                <w:top w:val="none" w:sz="0" w:space="0" w:color="auto"/>
                <w:left w:val="none" w:sz="0" w:space="0" w:color="auto"/>
                <w:bottom w:val="none" w:sz="0" w:space="0" w:color="auto"/>
                <w:right w:val="none" w:sz="0" w:space="0" w:color="auto"/>
                <w:between w:val="none" w:sz="0" w:space="0" w:color="auto"/>
                <w:bar w:val="none" w:sz="0" w:color="auto"/>
              </w:pBdr>
              <w:jc w:val="cente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1</w:t>
            </w:r>
          </w:p>
        </w:tc>
        <w:tc>
          <w:tcPr>
            <w:tcW w:w="1584" w:type="dxa"/>
            <w:tcBorders>
              <w:right w:val="nil"/>
            </w:tcBorders>
          </w:tcPr>
          <w:p w14:paraId="68A3789E" w14:textId="77777777" w:rsidR="0049703E" w:rsidRPr="00DF02C5" w:rsidRDefault="0049703E" w:rsidP="00664529">
            <w:pPr>
              <w:pBdr>
                <w:top w:val="none" w:sz="0" w:space="0" w:color="auto"/>
                <w:left w:val="none" w:sz="0" w:space="0" w:color="auto"/>
                <w:bottom w:val="none" w:sz="0" w:space="0" w:color="auto"/>
                <w:right w:val="none" w:sz="0" w:space="0" w:color="auto"/>
                <w:between w:val="none" w:sz="0" w:space="0" w:color="auto"/>
                <w:bar w:val="none" w:sz="0" w:color="auto"/>
              </w:pBdr>
              <w:jc w:val="left"/>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Malta</w:t>
            </w:r>
          </w:p>
        </w:tc>
        <w:tc>
          <w:tcPr>
            <w:tcW w:w="2394" w:type="dxa"/>
            <w:tcBorders>
              <w:left w:val="nil"/>
            </w:tcBorders>
          </w:tcPr>
          <w:p w14:paraId="62573A6F" w14:textId="77777777" w:rsidR="0049703E" w:rsidRPr="00DF02C5" w:rsidRDefault="0049703E" w:rsidP="00664529">
            <w:pPr>
              <w:pBdr>
                <w:top w:val="none" w:sz="0" w:space="0" w:color="auto"/>
                <w:left w:val="none" w:sz="0" w:space="0" w:color="auto"/>
                <w:bottom w:val="none" w:sz="0" w:space="0" w:color="auto"/>
                <w:right w:val="none" w:sz="0" w:space="0" w:color="auto"/>
                <w:between w:val="none" w:sz="0" w:space="0" w:color="auto"/>
                <w:bar w:val="none" w:sz="0" w:color="auto"/>
              </w:pBdr>
              <w:jc w:val="cente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1</w:t>
            </w:r>
          </w:p>
        </w:tc>
      </w:tr>
      <w:tr w:rsidR="0049703E" w:rsidRPr="00DF02C5" w14:paraId="6CD41D45" w14:textId="77777777" w:rsidTr="00B37C87">
        <w:trPr>
          <w:jc w:val="center"/>
        </w:trPr>
        <w:tc>
          <w:tcPr>
            <w:tcW w:w="1620" w:type="dxa"/>
            <w:tcBorders>
              <w:right w:val="nil"/>
            </w:tcBorders>
          </w:tcPr>
          <w:p w14:paraId="3BA74314" w14:textId="77777777" w:rsidR="0049703E" w:rsidRPr="00DF02C5" w:rsidRDefault="0049703E" w:rsidP="00664529">
            <w:pPr>
              <w:pBdr>
                <w:top w:val="none" w:sz="0" w:space="0" w:color="auto"/>
                <w:left w:val="none" w:sz="0" w:space="0" w:color="auto"/>
                <w:bottom w:val="none" w:sz="0" w:space="0" w:color="auto"/>
                <w:right w:val="none" w:sz="0" w:space="0" w:color="auto"/>
                <w:between w:val="none" w:sz="0" w:space="0" w:color="auto"/>
                <w:bar w:val="none" w:sz="0" w:color="auto"/>
              </w:pBdr>
              <w:jc w:val="left"/>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Cuba</w:t>
            </w:r>
          </w:p>
        </w:tc>
        <w:tc>
          <w:tcPr>
            <w:tcW w:w="2610" w:type="dxa"/>
            <w:tcBorders>
              <w:left w:val="nil"/>
            </w:tcBorders>
          </w:tcPr>
          <w:p w14:paraId="1AC53966" w14:textId="77777777" w:rsidR="0049703E" w:rsidRPr="00DF02C5" w:rsidRDefault="0049703E" w:rsidP="00664529">
            <w:pPr>
              <w:pBdr>
                <w:top w:val="none" w:sz="0" w:space="0" w:color="auto"/>
                <w:left w:val="none" w:sz="0" w:space="0" w:color="auto"/>
                <w:bottom w:val="none" w:sz="0" w:space="0" w:color="auto"/>
                <w:right w:val="none" w:sz="0" w:space="0" w:color="auto"/>
                <w:between w:val="none" w:sz="0" w:space="0" w:color="auto"/>
                <w:bar w:val="none" w:sz="0" w:color="auto"/>
              </w:pBdr>
              <w:jc w:val="cente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6  (2017) and 3  (2016)</w:t>
            </w:r>
          </w:p>
        </w:tc>
        <w:tc>
          <w:tcPr>
            <w:tcW w:w="1584" w:type="dxa"/>
            <w:tcBorders>
              <w:right w:val="nil"/>
            </w:tcBorders>
          </w:tcPr>
          <w:p w14:paraId="1B37BD72" w14:textId="77777777" w:rsidR="0049703E" w:rsidRPr="00DF02C5" w:rsidRDefault="0049703E" w:rsidP="00664529">
            <w:pPr>
              <w:pBdr>
                <w:top w:val="none" w:sz="0" w:space="0" w:color="auto"/>
                <w:left w:val="none" w:sz="0" w:space="0" w:color="auto"/>
                <w:bottom w:val="none" w:sz="0" w:space="0" w:color="auto"/>
                <w:right w:val="none" w:sz="0" w:space="0" w:color="auto"/>
                <w:between w:val="none" w:sz="0" w:space="0" w:color="auto"/>
                <w:bar w:val="none" w:sz="0" w:color="auto"/>
              </w:pBdr>
              <w:jc w:val="left"/>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Mexico</w:t>
            </w:r>
          </w:p>
        </w:tc>
        <w:tc>
          <w:tcPr>
            <w:tcW w:w="2394" w:type="dxa"/>
            <w:tcBorders>
              <w:left w:val="nil"/>
            </w:tcBorders>
          </w:tcPr>
          <w:p w14:paraId="446B8B84" w14:textId="77777777" w:rsidR="0049703E" w:rsidRPr="00DF02C5" w:rsidRDefault="0049703E" w:rsidP="00664529">
            <w:pPr>
              <w:pBdr>
                <w:top w:val="none" w:sz="0" w:space="0" w:color="auto"/>
                <w:left w:val="none" w:sz="0" w:space="0" w:color="auto"/>
                <w:bottom w:val="none" w:sz="0" w:space="0" w:color="auto"/>
                <w:right w:val="none" w:sz="0" w:space="0" w:color="auto"/>
                <w:between w:val="none" w:sz="0" w:space="0" w:color="auto"/>
                <w:bar w:val="none" w:sz="0" w:color="auto"/>
              </w:pBdr>
              <w:jc w:val="cente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3</w:t>
            </w:r>
          </w:p>
        </w:tc>
      </w:tr>
      <w:tr w:rsidR="0049703E" w:rsidRPr="00DF02C5" w14:paraId="73536C89" w14:textId="77777777" w:rsidTr="00B37C87">
        <w:trPr>
          <w:jc w:val="center"/>
        </w:trPr>
        <w:tc>
          <w:tcPr>
            <w:tcW w:w="1620" w:type="dxa"/>
            <w:tcBorders>
              <w:right w:val="nil"/>
            </w:tcBorders>
          </w:tcPr>
          <w:p w14:paraId="2073C380" w14:textId="6FB9C2F3" w:rsidR="0049703E" w:rsidRPr="00DF02C5" w:rsidRDefault="002F09C2" w:rsidP="00664529">
            <w:pPr>
              <w:pBdr>
                <w:top w:val="none" w:sz="0" w:space="0" w:color="auto"/>
                <w:left w:val="none" w:sz="0" w:space="0" w:color="auto"/>
                <w:bottom w:val="none" w:sz="0" w:space="0" w:color="auto"/>
                <w:right w:val="none" w:sz="0" w:space="0" w:color="auto"/>
                <w:between w:val="none" w:sz="0" w:space="0" w:color="auto"/>
                <w:bar w:val="none" w:sz="0" w:color="auto"/>
              </w:pBdr>
              <w:jc w:val="left"/>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 xml:space="preserve">Côte </w:t>
            </w:r>
            <w:r w:rsidR="0049703E" w:rsidRPr="00DF02C5">
              <w:rPr>
                <w:rFonts w:hAnsi="Times New Roman" w:cs="Times New Roman"/>
                <w:snapToGrid w:val="0"/>
                <w:color w:val="auto"/>
                <w:kern w:val="22"/>
                <w:sz w:val="20"/>
                <w:szCs w:val="20"/>
                <w:lang w:val="en-GB"/>
              </w:rPr>
              <w:t xml:space="preserve"> d’Ivoire</w:t>
            </w:r>
          </w:p>
        </w:tc>
        <w:tc>
          <w:tcPr>
            <w:tcW w:w="2610" w:type="dxa"/>
            <w:tcBorders>
              <w:left w:val="nil"/>
            </w:tcBorders>
          </w:tcPr>
          <w:p w14:paraId="141FBA7A" w14:textId="77777777" w:rsidR="0049703E" w:rsidRPr="00DF02C5" w:rsidRDefault="0049703E" w:rsidP="00664529">
            <w:pPr>
              <w:pBdr>
                <w:top w:val="none" w:sz="0" w:space="0" w:color="auto"/>
                <w:left w:val="none" w:sz="0" w:space="0" w:color="auto"/>
                <w:bottom w:val="none" w:sz="0" w:space="0" w:color="auto"/>
                <w:right w:val="none" w:sz="0" w:space="0" w:color="auto"/>
                <w:between w:val="none" w:sz="0" w:space="0" w:color="auto"/>
                <w:bar w:val="none" w:sz="0" w:color="auto"/>
              </w:pBdr>
              <w:jc w:val="cente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Number unknown</w:t>
            </w:r>
          </w:p>
        </w:tc>
        <w:tc>
          <w:tcPr>
            <w:tcW w:w="1584" w:type="dxa"/>
            <w:tcBorders>
              <w:right w:val="nil"/>
            </w:tcBorders>
          </w:tcPr>
          <w:p w14:paraId="20419DE8" w14:textId="77777777" w:rsidR="0049703E" w:rsidRPr="00DF02C5" w:rsidRDefault="0049703E" w:rsidP="00664529">
            <w:pPr>
              <w:pBdr>
                <w:top w:val="none" w:sz="0" w:space="0" w:color="auto"/>
                <w:left w:val="none" w:sz="0" w:space="0" w:color="auto"/>
                <w:bottom w:val="none" w:sz="0" w:space="0" w:color="auto"/>
                <w:right w:val="none" w:sz="0" w:space="0" w:color="auto"/>
                <w:between w:val="none" w:sz="0" w:space="0" w:color="auto"/>
                <w:bar w:val="none" w:sz="0" w:color="auto"/>
              </w:pBdr>
              <w:jc w:val="left"/>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Peru</w:t>
            </w:r>
          </w:p>
        </w:tc>
        <w:tc>
          <w:tcPr>
            <w:tcW w:w="2394" w:type="dxa"/>
            <w:tcBorders>
              <w:left w:val="nil"/>
            </w:tcBorders>
          </w:tcPr>
          <w:p w14:paraId="1053A0FB" w14:textId="77777777" w:rsidR="0049703E" w:rsidRPr="00DF02C5" w:rsidRDefault="0049703E" w:rsidP="00664529">
            <w:pPr>
              <w:pBdr>
                <w:top w:val="none" w:sz="0" w:space="0" w:color="auto"/>
                <w:left w:val="none" w:sz="0" w:space="0" w:color="auto"/>
                <w:bottom w:val="none" w:sz="0" w:space="0" w:color="auto"/>
                <w:right w:val="none" w:sz="0" w:space="0" w:color="auto"/>
                <w:between w:val="none" w:sz="0" w:space="0" w:color="auto"/>
                <w:bar w:val="none" w:sz="0" w:color="auto"/>
              </w:pBdr>
              <w:jc w:val="cente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87 (2009-2016)</w:t>
            </w:r>
          </w:p>
        </w:tc>
      </w:tr>
      <w:tr w:rsidR="0049703E" w:rsidRPr="00DF02C5" w14:paraId="59894DCF" w14:textId="77777777" w:rsidTr="00B37C87">
        <w:trPr>
          <w:jc w:val="center"/>
        </w:trPr>
        <w:tc>
          <w:tcPr>
            <w:tcW w:w="1620" w:type="dxa"/>
            <w:tcBorders>
              <w:right w:val="nil"/>
            </w:tcBorders>
          </w:tcPr>
          <w:p w14:paraId="6277BC2D" w14:textId="77777777" w:rsidR="0049703E" w:rsidRPr="00DF02C5" w:rsidRDefault="0049703E" w:rsidP="00664529">
            <w:pPr>
              <w:pBdr>
                <w:top w:val="none" w:sz="0" w:space="0" w:color="auto"/>
                <w:left w:val="none" w:sz="0" w:space="0" w:color="auto"/>
                <w:bottom w:val="none" w:sz="0" w:space="0" w:color="auto"/>
                <w:right w:val="none" w:sz="0" w:space="0" w:color="auto"/>
                <w:between w:val="none" w:sz="0" w:space="0" w:color="auto"/>
                <w:bar w:val="none" w:sz="0" w:color="auto"/>
              </w:pBdr>
              <w:jc w:val="left"/>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Dominican Republic</w:t>
            </w:r>
          </w:p>
        </w:tc>
        <w:tc>
          <w:tcPr>
            <w:tcW w:w="2610" w:type="dxa"/>
            <w:tcBorders>
              <w:left w:val="nil"/>
            </w:tcBorders>
          </w:tcPr>
          <w:p w14:paraId="267B06A8" w14:textId="77777777" w:rsidR="0049703E" w:rsidRPr="00DF02C5" w:rsidRDefault="0049703E" w:rsidP="00664529">
            <w:pPr>
              <w:pBdr>
                <w:top w:val="none" w:sz="0" w:space="0" w:color="auto"/>
                <w:left w:val="none" w:sz="0" w:space="0" w:color="auto"/>
                <w:bottom w:val="none" w:sz="0" w:space="0" w:color="auto"/>
                <w:right w:val="none" w:sz="0" w:space="0" w:color="auto"/>
                <w:between w:val="none" w:sz="0" w:space="0" w:color="auto"/>
                <w:bar w:val="none" w:sz="0" w:color="auto"/>
              </w:pBdr>
              <w:jc w:val="cente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4 with a pharmaceutical company and 3 with national universities</w:t>
            </w:r>
          </w:p>
        </w:tc>
        <w:tc>
          <w:tcPr>
            <w:tcW w:w="1584" w:type="dxa"/>
            <w:tcBorders>
              <w:right w:val="nil"/>
            </w:tcBorders>
          </w:tcPr>
          <w:p w14:paraId="58BB1B9E" w14:textId="77777777" w:rsidR="0049703E" w:rsidRPr="00DF02C5" w:rsidRDefault="0049703E" w:rsidP="00664529">
            <w:pPr>
              <w:pBdr>
                <w:top w:val="none" w:sz="0" w:space="0" w:color="auto"/>
                <w:left w:val="none" w:sz="0" w:space="0" w:color="auto"/>
                <w:bottom w:val="none" w:sz="0" w:space="0" w:color="auto"/>
                <w:right w:val="none" w:sz="0" w:space="0" w:color="auto"/>
                <w:between w:val="none" w:sz="0" w:space="0" w:color="auto"/>
                <w:bar w:val="none" w:sz="0" w:color="auto"/>
              </w:pBdr>
              <w:jc w:val="left"/>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Seychelles</w:t>
            </w:r>
          </w:p>
        </w:tc>
        <w:tc>
          <w:tcPr>
            <w:tcW w:w="2394" w:type="dxa"/>
            <w:tcBorders>
              <w:left w:val="nil"/>
            </w:tcBorders>
          </w:tcPr>
          <w:p w14:paraId="1D1F6C45" w14:textId="77777777" w:rsidR="0049703E" w:rsidRPr="00DF02C5" w:rsidRDefault="0049703E" w:rsidP="00664529">
            <w:pPr>
              <w:pBdr>
                <w:top w:val="none" w:sz="0" w:space="0" w:color="auto"/>
                <w:left w:val="none" w:sz="0" w:space="0" w:color="auto"/>
                <w:bottom w:val="none" w:sz="0" w:space="0" w:color="auto"/>
                <w:right w:val="none" w:sz="0" w:space="0" w:color="auto"/>
                <w:between w:val="none" w:sz="0" w:space="0" w:color="auto"/>
                <w:bar w:val="none" w:sz="0" w:color="auto"/>
              </w:pBdr>
              <w:jc w:val="cente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92 (since 2015)</w:t>
            </w:r>
          </w:p>
        </w:tc>
      </w:tr>
      <w:tr w:rsidR="0049703E" w:rsidRPr="00DF02C5" w14:paraId="3D79B19D" w14:textId="77777777" w:rsidTr="00B37C87">
        <w:trPr>
          <w:jc w:val="center"/>
        </w:trPr>
        <w:tc>
          <w:tcPr>
            <w:tcW w:w="1620" w:type="dxa"/>
            <w:tcBorders>
              <w:right w:val="nil"/>
            </w:tcBorders>
          </w:tcPr>
          <w:p w14:paraId="037AE7A1" w14:textId="77777777" w:rsidR="0049703E" w:rsidRPr="00DF02C5" w:rsidRDefault="0049703E" w:rsidP="00664529">
            <w:pPr>
              <w:pBdr>
                <w:top w:val="none" w:sz="0" w:space="0" w:color="auto"/>
                <w:left w:val="none" w:sz="0" w:space="0" w:color="auto"/>
                <w:bottom w:val="none" w:sz="0" w:space="0" w:color="auto"/>
                <w:right w:val="none" w:sz="0" w:space="0" w:color="auto"/>
                <w:between w:val="none" w:sz="0" w:space="0" w:color="auto"/>
                <w:bar w:val="none" w:sz="0" w:color="auto"/>
              </w:pBdr>
              <w:jc w:val="left"/>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Ethiopia</w:t>
            </w:r>
          </w:p>
        </w:tc>
        <w:tc>
          <w:tcPr>
            <w:tcW w:w="2610" w:type="dxa"/>
            <w:tcBorders>
              <w:left w:val="nil"/>
            </w:tcBorders>
          </w:tcPr>
          <w:p w14:paraId="1D14AE68" w14:textId="77777777" w:rsidR="0049703E" w:rsidRPr="00DF02C5" w:rsidRDefault="0049703E" w:rsidP="00664529">
            <w:pPr>
              <w:pBdr>
                <w:top w:val="none" w:sz="0" w:space="0" w:color="auto"/>
                <w:left w:val="none" w:sz="0" w:space="0" w:color="auto"/>
                <w:bottom w:val="none" w:sz="0" w:space="0" w:color="auto"/>
                <w:right w:val="none" w:sz="0" w:space="0" w:color="auto"/>
                <w:between w:val="none" w:sz="0" w:space="0" w:color="auto"/>
                <w:bar w:val="none" w:sz="0" w:color="auto"/>
              </w:pBdr>
              <w:jc w:val="cente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Number unknown</w:t>
            </w:r>
          </w:p>
        </w:tc>
        <w:tc>
          <w:tcPr>
            <w:tcW w:w="1584" w:type="dxa"/>
            <w:tcBorders>
              <w:right w:val="nil"/>
            </w:tcBorders>
          </w:tcPr>
          <w:p w14:paraId="3D7397FC" w14:textId="77777777" w:rsidR="0049703E" w:rsidRPr="00DF02C5" w:rsidRDefault="0049703E" w:rsidP="00664529">
            <w:pPr>
              <w:pBdr>
                <w:top w:val="none" w:sz="0" w:space="0" w:color="auto"/>
                <w:left w:val="none" w:sz="0" w:space="0" w:color="auto"/>
                <w:bottom w:val="none" w:sz="0" w:space="0" w:color="auto"/>
                <w:right w:val="none" w:sz="0" w:space="0" w:color="auto"/>
                <w:between w:val="none" w:sz="0" w:space="0" w:color="auto"/>
                <w:bar w:val="none" w:sz="0" w:color="auto"/>
              </w:pBdr>
              <w:jc w:val="left"/>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South Africa</w:t>
            </w:r>
          </w:p>
        </w:tc>
        <w:tc>
          <w:tcPr>
            <w:tcW w:w="2394" w:type="dxa"/>
            <w:tcBorders>
              <w:left w:val="nil"/>
            </w:tcBorders>
          </w:tcPr>
          <w:p w14:paraId="169A6DF9" w14:textId="77777777" w:rsidR="0049703E" w:rsidRPr="00DF02C5" w:rsidRDefault="0049703E" w:rsidP="00664529">
            <w:pPr>
              <w:pBdr>
                <w:top w:val="none" w:sz="0" w:space="0" w:color="auto"/>
                <w:left w:val="none" w:sz="0" w:space="0" w:color="auto"/>
                <w:bottom w:val="none" w:sz="0" w:space="0" w:color="auto"/>
                <w:right w:val="none" w:sz="0" w:space="0" w:color="auto"/>
                <w:between w:val="none" w:sz="0" w:space="0" w:color="auto"/>
                <w:bar w:val="none" w:sz="0" w:color="auto"/>
              </w:pBdr>
              <w:jc w:val="cente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56 permits (since 2008)</w:t>
            </w:r>
          </w:p>
        </w:tc>
      </w:tr>
      <w:tr w:rsidR="0049703E" w:rsidRPr="00DF02C5" w14:paraId="7F9D2097" w14:textId="77777777" w:rsidTr="00B37C87">
        <w:trPr>
          <w:jc w:val="center"/>
        </w:trPr>
        <w:tc>
          <w:tcPr>
            <w:tcW w:w="1620" w:type="dxa"/>
            <w:tcBorders>
              <w:right w:val="nil"/>
            </w:tcBorders>
          </w:tcPr>
          <w:p w14:paraId="009FAACE" w14:textId="77777777" w:rsidR="0049703E" w:rsidRPr="00DF02C5" w:rsidRDefault="0049703E" w:rsidP="00664529">
            <w:pPr>
              <w:pBdr>
                <w:top w:val="none" w:sz="0" w:space="0" w:color="auto"/>
                <w:left w:val="none" w:sz="0" w:space="0" w:color="auto"/>
                <w:bottom w:val="none" w:sz="0" w:space="0" w:color="auto"/>
                <w:right w:val="none" w:sz="0" w:space="0" w:color="auto"/>
                <w:between w:val="none" w:sz="0" w:space="0" w:color="auto"/>
                <w:bar w:val="none" w:sz="0" w:color="auto"/>
              </w:pBdr>
              <w:jc w:val="left"/>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India</w:t>
            </w:r>
          </w:p>
        </w:tc>
        <w:tc>
          <w:tcPr>
            <w:tcW w:w="2610" w:type="dxa"/>
            <w:tcBorders>
              <w:left w:val="nil"/>
            </w:tcBorders>
          </w:tcPr>
          <w:p w14:paraId="0868615A" w14:textId="77777777" w:rsidR="0049703E" w:rsidRPr="00DF02C5" w:rsidRDefault="0049703E" w:rsidP="00664529">
            <w:pPr>
              <w:pBdr>
                <w:top w:val="none" w:sz="0" w:space="0" w:color="auto"/>
                <w:left w:val="none" w:sz="0" w:space="0" w:color="auto"/>
                <w:bottom w:val="none" w:sz="0" w:space="0" w:color="auto"/>
                <w:right w:val="none" w:sz="0" w:space="0" w:color="auto"/>
                <w:between w:val="none" w:sz="0" w:space="0" w:color="auto"/>
                <w:bar w:val="none" w:sz="0" w:color="auto"/>
              </w:pBdr>
              <w:jc w:val="cente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75</w:t>
            </w:r>
          </w:p>
        </w:tc>
        <w:tc>
          <w:tcPr>
            <w:tcW w:w="1584" w:type="dxa"/>
            <w:tcBorders>
              <w:right w:val="nil"/>
            </w:tcBorders>
          </w:tcPr>
          <w:p w14:paraId="276B7C3C" w14:textId="77777777" w:rsidR="0049703E" w:rsidRPr="00DF02C5" w:rsidRDefault="0049703E" w:rsidP="00664529">
            <w:pPr>
              <w:pBdr>
                <w:top w:val="none" w:sz="0" w:space="0" w:color="auto"/>
                <w:left w:val="none" w:sz="0" w:space="0" w:color="auto"/>
                <w:bottom w:val="none" w:sz="0" w:space="0" w:color="auto"/>
                <w:right w:val="none" w:sz="0" w:space="0" w:color="auto"/>
                <w:between w:val="none" w:sz="0" w:space="0" w:color="auto"/>
                <w:bar w:val="none" w:sz="0" w:color="auto"/>
              </w:pBdr>
              <w:jc w:val="left"/>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Spain</w:t>
            </w:r>
          </w:p>
        </w:tc>
        <w:tc>
          <w:tcPr>
            <w:tcW w:w="2394" w:type="dxa"/>
            <w:tcBorders>
              <w:left w:val="nil"/>
            </w:tcBorders>
          </w:tcPr>
          <w:p w14:paraId="6189D429" w14:textId="77777777" w:rsidR="0049703E" w:rsidRPr="00DF02C5" w:rsidRDefault="0049703E" w:rsidP="00664529">
            <w:pPr>
              <w:pBdr>
                <w:top w:val="none" w:sz="0" w:space="0" w:color="auto"/>
                <w:left w:val="none" w:sz="0" w:space="0" w:color="auto"/>
                <w:bottom w:val="none" w:sz="0" w:space="0" w:color="auto"/>
                <w:right w:val="none" w:sz="0" w:space="0" w:color="auto"/>
                <w:between w:val="none" w:sz="0" w:space="0" w:color="auto"/>
                <w:bar w:val="none" w:sz="0" w:color="auto"/>
              </w:pBdr>
              <w:jc w:val="cente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4 for non-commercial research</w:t>
            </w:r>
          </w:p>
        </w:tc>
      </w:tr>
      <w:tr w:rsidR="0049703E" w:rsidRPr="00DF02C5" w14:paraId="214D6F28" w14:textId="77777777" w:rsidTr="00B37C87">
        <w:trPr>
          <w:jc w:val="center"/>
        </w:trPr>
        <w:tc>
          <w:tcPr>
            <w:tcW w:w="1620" w:type="dxa"/>
            <w:tcBorders>
              <w:right w:val="nil"/>
            </w:tcBorders>
          </w:tcPr>
          <w:p w14:paraId="49F83478" w14:textId="77777777" w:rsidR="0049703E" w:rsidRPr="00DF02C5" w:rsidRDefault="0049703E" w:rsidP="00664529">
            <w:pPr>
              <w:pBdr>
                <w:top w:val="none" w:sz="0" w:space="0" w:color="auto"/>
                <w:left w:val="none" w:sz="0" w:space="0" w:color="auto"/>
                <w:bottom w:val="none" w:sz="0" w:space="0" w:color="auto"/>
                <w:right w:val="none" w:sz="0" w:space="0" w:color="auto"/>
                <w:between w:val="none" w:sz="0" w:space="0" w:color="auto"/>
                <w:bar w:val="none" w:sz="0" w:color="auto"/>
              </w:pBdr>
              <w:jc w:val="left"/>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Kenya</w:t>
            </w:r>
          </w:p>
        </w:tc>
        <w:tc>
          <w:tcPr>
            <w:tcW w:w="2610" w:type="dxa"/>
            <w:tcBorders>
              <w:left w:val="nil"/>
            </w:tcBorders>
          </w:tcPr>
          <w:p w14:paraId="5201C3EC" w14:textId="77777777" w:rsidR="0049703E" w:rsidRPr="00DF02C5" w:rsidRDefault="0049703E" w:rsidP="00664529">
            <w:pPr>
              <w:pBdr>
                <w:top w:val="none" w:sz="0" w:space="0" w:color="auto"/>
                <w:left w:val="none" w:sz="0" w:space="0" w:color="auto"/>
                <w:bottom w:val="none" w:sz="0" w:space="0" w:color="auto"/>
                <w:right w:val="none" w:sz="0" w:space="0" w:color="auto"/>
                <w:between w:val="none" w:sz="0" w:space="0" w:color="auto"/>
                <w:bar w:val="none" w:sz="0" w:color="auto"/>
              </w:pBdr>
              <w:jc w:val="cente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70</w:t>
            </w:r>
          </w:p>
        </w:tc>
        <w:tc>
          <w:tcPr>
            <w:tcW w:w="1584" w:type="dxa"/>
            <w:tcBorders>
              <w:right w:val="nil"/>
            </w:tcBorders>
          </w:tcPr>
          <w:p w14:paraId="28C616E4" w14:textId="77777777" w:rsidR="0049703E" w:rsidRPr="00DF02C5" w:rsidRDefault="0049703E" w:rsidP="00664529">
            <w:pPr>
              <w:pBdr>
                <w:top w:val="none" w:sz="0" w:space="0" w:color="auto"/>
                <w:left w:val="none" w:sz="0" w:space="0" w:color="auto"/>
                <w:bottom w:val="none" w:sz="0" w:space="0" w:color="auto"/>
                <w:right w:val="none" w:sz="0" w:space="0" w:color="auto"/>
                <w:between w:val="none" w:sz="0" w:space="0" w:color="auto"/>
                <w:bar w:val="none" w:sz="0" w:color="auto"/>
              </w:pBdr>
              <w:jc w:val="left"/>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Uganda</w:t>
            </w:r>
          </w:p>
        </w:tc>
        <w:tc>
          <w:tcPr>
            <w:tcW w:w="2394" w:type="dxa"/>
            <w:tcBorders>
              <w:left w:val="nil"/>
            </w:tcBorders>
          </w:tcPr>
          <w:p w14:paraId="526900B8" w14:textId="52775D5F" w:rsidR="0049703E" w:rsidRPr="00DF02C5" w:rsidRDefault="0049703E" w:rsidP="00664529">
            <w:pPr>
              <w:pBdr>
                <w:top w:val="none" w:sz="0" w:space="0" w:color="auto"/>
                <w:left w:val="none" w:sz="0" w:space="0" w:color="auto"/>
                <w:bottom w:val="none" w:sz="0" w:space="0" w:color="auto"/>
                <w:right w:val="none" w:sz="0" w:space="0" w:color="auto"/>
                <w:between w:val="none" w:sz="0" w:space="0" w:color="auto"/>
                <w:bar w:val="none" w:sz="0" w:color="auto"/>
              </w:pBdr>
              <w:jc w:val="center"/>
              <w:rPr>
                <w:rFonts w:hAnsi="Times New Roman" w:cs="Times New Roman"/>
                <w:snapToGrid w:val="0"/>
                <w:color w:val="auto"/>
                <w:kern w:val="22"/>
                <w:sz w:val="20"/>
                <w:szCs w:val="20"/>
                <w:lang w:val="en-GB"/>
              </w:rPr>
            </w:pPr>
            <w:r w:rsidRPr="00DF02C5">
              <w:rPr>
                <w:rFonts w:hAnsi="Times New Roman" w:cs="Times New Roman"/>
                <w:snapToGrid w:val="0"/>
                <w:color w:val="auto"/>
                <w:kern w:val="22"/>
                <w:sz w:val="20"/>
                <w:szCs w:val="20"/>
                <w:lang w:val="en-GB"/>
              </w:rPr>
              <w:t xml:space="preserve">40 </w:t>
            </w:r>
            <w:r w:rsidR="003B0EE4" w:rsidRPr="00DF02C5">
              <w:rPr>
                <w:rFonts w:hAnsi="Times New Roman" w:cs="Times New Roman"/>
                <w:snapToGrid w:val="0"/>
                <w:color w:val="auto"/>
                <w:kern w:val="22"/>
                <w:sz w:val="20"/>
                <w:szCs w:val="20"/>
                <w:lang w:val="en-GB"/>
              </w:rPr>
              <w:t xml:space="preserve">material transfer agreements </w:t>
            </w:r>
            <w:r w:rsidRPr="00DF02C5">
              <w:rPr>
                <w:rFonts w:hAnsi="Times New Roman" w:cs="Times New Roman"/>
                <w:snapToGrid w:val="0"/>
                <w:color w:val="auto"/>
                <w:kern w:val="22"/>
                <w:sz w:val="20"/>
                <w:szCs w:val="20"/>
                <w:lang w:val="en-GB"/>
              </w:rPr>
              <w:t>and access permit (mainly for research purposes)</w:t>
            </w:r>
          </w:p>
        </w:tc>
      </w:tr>
    </w:tbl>
    <w:p w14:paraId="32AE22FB" w14:textId="0F2FF0EE" w:rsidR="0049703E" w:rsidRPr="00DF02C5" w:rsidRDefault="0049703E" w:rsidP="00393914">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In comparing the IRCCs published in the ABS Clearing-House with the information on permits or their equivalent issued that was provided in the interim national reports, 11</w:t>
      </w:r>
      <w:r w:rsidR="00BE14F2">
        <w:rPr>
          <w:rFonts w:hAnsi="Times New Roman" w:cs="Times New Roman"/>
          <w:snapToGrid w:val="0"/>
          <w:color w:val="auto"/>
          <w:kern w:val="22"/>
          <w:lang w:val="en-GB"/>
        </w:rPr>
        <w:t xml:space="preserve"> Parties</w:t>
      </w:r>
      <w:r w:rsidRPr="00DF02C5">
        <w:rPr>
          <w:rFonts w:hAnsi="Times New Roman" w:cs="Times New Roman"/>
          <w:snapToGrid w:val="0"/>
          <w:color w:val="auto"/>
          <w:kern w:val="22"/>
          <w:vertAlign w:val="superscript"/>
          <w:lang w:val="en-GB"/>
        </w:rPr>
        <w:footnoteReference w:id="46"/>
      </w:r>
      <w:r w:rsidRPr="00DF02C5">
        <w:rPr>
          <w:rFonts w:hAnsi="Times New Roman" w:cs="Times New Roman"/>
          <w:snapToGrid w:val="0"/>
          <w:color w:val="auto"/>
          <w:kern w:val="22"/>
          <w:lang w:val="en-GB"/>
        </w:rPr>
        <w:t xml:space="preserve"> could be identified which have permits that still need to be made available to the ABS Clearing-House.</w:t>
      </w:r>
    </w:p>
    <w:p w14:paraId="5D80BBAB" w14:textId="45E46347" w:rsidR="0049703E" w:rsidRPr="00DF02C5" w:rsidRDefault="0049703E" w:rsidP="00393914">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 xml:space="preserve">The following </w:t>
      </w:r>
      <w:r w:rsidR="00664529" w:rsidRPr="00DF02C5">
        <w:rPr>
          <w:rFonts w:hAnsi="Times New Roman" w:cs="Times New Roman"/>
          <w:snapToGrid w:val="0"/>
          <w:color w:val="auto"/>
          <w:kern w:val="22"/>
          <w:lang w:val="en-GB"/>
        </w:rPr>
        <w:t>highlights</w:t>
      </w:r>
      <w:r w:rsidRPr="00DF02C5">
        <w:rPr>
          <w:rFonts w:hAnsi="Times New Roman" w:cs="Times New Roman"/>
          <w:snapToGrid w:val="0"/>
          <w:color w:val="auto"/>
          <w:kern w:val="22"/>
          <w:lang w:val="en-GB"/>
        </w:rPr>
        <w:t xml:space="preserve"> the information provided by countries that reported having issued permits or their equivalents:</w:t>
      </w:r>
    </w:p>
    <w:p w14:paraId="2EAC69B6" w14:textId="3711ECBE" w:rsidR="0049703E" w:rsidRPr="00DF02C5" w:rsidRDefault="0049703E" w:rsidP="00ED5324">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Côte d’Ivoire indicated that they were issuing permits and that those could only be made available to the ABS Clearing-House onc</w:t>
      </w:r>
      <w:r w:rsidR="00BE14F2">
        <w:rPr>
          <w:rFonts w:hAnsi="Times New Roman" w:cs="Times New Roman"/>
          <w:snapToGrid w:val="0"/>
          <w:color w:val="auto"/>
          <w:kern w:val="22"/>
          <w:lang w:val="en-GB"/>
        </w:rPr>
        <w:t>e the ABS measures were adopted</w:t>
      </w:r>
      <w:r w:rsidRPr="00DF02C5">
        <w:rPr>
          <w:rFonts w:hAnsi="Times New Roman" w:cs="Times New Roman"/>
          <w:snapToGrid w:val="0"/>
          <w:color w:val="auto"/>
          <w:kern w:val="22"/>
          <w:lang w:val="en-GB"/>
        </w:rPr>
        <w:t>;</w:t>
      </w:r>
    </w:p>
    <w:p w14:paraId="276035BF" w14:textId="77777777" w:rsidR="0049703E" w:rsidRPr="00DF02C5" w:rsidRDefault="0049703E" w:rsidP="00ED5324">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Ethiopia stated having issued many access permits for non-commercial and commercial purposes; however those had not yet been published due to technical problems accessing the ABS Clearing-House, slow internet connection and lack of awareness on how to publish information;</w:t>
      </w:r>
    </w:p>
    <w:p w14:paraId="30FAB6EE" w14:textId="31455C30" w:rsidR="0049703E" w:rsidRPr="00DF02C5" w:rsidRDefault="0049703E" w:rsidP="00ED5324">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 xml:space="preserve">Kenya </w:t>
      </w:r>
      <w:r w:rsidR="006067D8" w:rsidRPr="00DF02C5">
        <w:rPr>
          <w:rFonts w:hAnsi="Times New Roman" w:cs="Times New Roman"/>
          <w:snapToGrid w:val="0"/>
          <w:color w:val="auto"/>
          <w:kern w:val="22"/>
          <w:lang w:val="en-GB"/>
        </w:rPr>
        <w:t>indicated</w:t>
      </w:r>
      <w:r w:rsidRPr="00DF02C5">
        <w:rPr>
          <w:rFonts w:hAnsi="Times New Roman" w:cs="Times New Roman"/>
          <w:snapToGrid w:val="0"/>
          <w:color w:val="auto"/>
          <w:kern w:val="22"/>
          <w:lang w:val="en-GB"/>
        </w:rPr>
        <w:t xml:space="preserve"> that they were now s</w:t>
      </w:r>
      <w:r w:rsidR="00ED5324" w:rsidRPr="00DF02C5">
        <w:rPr>
          <w:rFonts w:hAnsi="Times New Roman" w:cs="Times New Roman"/>
          <w:snapToGrid w:val="0"/>
          <w:color w:val="auto"/>
          <w:kern w:val="22"/>
          <w:lang w:val="en-GB"/>
        </w:rPr>
        <w:t xml:space="preserve">treamlining the access permit with the IRCC and that the </w:t>
      </w:r>
      <w:r w:rsidRPr="00DF02C5">
        <w:rPr>
          <w:rFonts w:hAnsi="Times New Roman" w:cs="Times New Roman"/>
          <w:snapToGrid w:val="0"/>
          <w:color w:val="auto"/>
          <w:kern w:val="22"/>
          <w:lang w:val="en-GB"/>
        </w:rPr>
        <w:t xml:space="preserve">online system was yet to be completed. They </w:t>
      </w:r>
      <w:r w:rsidR="006067D8" w:rsidRPr="00DF02C5">
        <w:rPr>
          <w:rFonts w:hAnsi="Times New Roman" w:cs="Times New Roman"/>
          <w:snapToGrid w:val="0"/>
          <w:color w:val="auto"/>
          <w:kern w:val="22"/>
          <w:lang w:val="en-GB"/>
        </w:rPr>
        <w:t xml:space="preserve">indicated </w:t>
      </w:r>
      <w:r w:rsidRPr="00DF02C5">
        <w:rPr>
          <w:rFonts w:hAnsi="Times New Roman" w:cs="Times New Roman"/>
          <w:snapToGrid w:val="0"/>
          <w:color w:val="auto"/>
          <w:kern w:val="22"/>
          <w:lang w:val="en-GB"/>
        </w:rPr>
        <w:t>that only access permits had been published, and that other permits that informed the PIC and MAT processes, such as the research clearance permit, were yet to be included in the ABS Clearing-House;</w:t>
      </w:r>
    </w:p>
    <w:p w14:paraId="1D489A6F" w14:textId="660BE57D" w:rsidR="0049703E" w:rsidRPr="00DF02C5" w:rsidRDefault="0049703E" w:rsidP="00ED5324">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Peru reported having a total of 87 authorisations until 2016, all for non-commercial purposes. Peru also</w:t>
      </w:r>
      <w:r w:rsidR="006067D8" w:rsidRPr="00DF02C5">
        <w:rPr>
          <w:rFonts w:hAnsi="Times New Roman" w:cs="Times New Roman"/>
          <w:snapToGrid w:val="0"/>
          <w:color w:val="auto"/>
          <w:kern w:val="22"/>
          <w:lang w:val="en-GB"/>
        </w:rPr>
        <w:t xml:space="preserve"> reported</w:t>
      </w:r>
      <w:r w:rsidRPr="00DF02C5">
        <w:rPr>
          <w:rFonts w:hAnsi="Times New Roman" w:cs="Times New Roman"/>
          <w:snapToGrid w:val="0"/>
          <w:color w:val="auto"/>
          <w:kern w:val="22"/>
          <w:lang w:val="en-GB"/>
        </w:rPr>
        <w:t xml:space="preserve"> that they were working on the</w:t>
      </w:r>
      <w:r w:rsidR="00ED5324" w:rsidRPr="00DF02C5">
        <w:rPr>
          <w:rFonts w:hAnsi="Times New Roman" w:cs="Times New Roman"/>
          <w:snapToGrid w:val="0"/>
          <w:color w:val="auto"/>
          <w:kern w:val="22"/>
          <w:lang w:val="en-GB"/>
        </w:rPr>
        <w:t xml:space="preserve"> formalization of an information</w:t>
      </w:r>
      <w:r w:rsidRPr="00DF02C5">
        <w:rPr>
          <w:rFonts w:hAnsi="Times New Roman" w:cs="Times New Roman"/>
          <w:snapToGrid w:val="0"/>
          <w:color w:val="auto"/>
          <w:kern w:val="22"/>
          <w:lang w:val="en-GB"/>
        </w:rPr>
        <w:t xml:space="preserve"> sheet about the IRCC to facilitate the transmission of information on permits already granted </w:t>
      </w:r>
      <w:r w:rsidR="00ED5324" w:rsidRPr="00DF02C5">
        <w:rPr>
          <w:rFonts w:hAnsi="Times New Roman" w:cs="Times New Roman"/>
          <w:snapToGrid w:val="0"/>
          <w:color w:val="auto"/>
          <w:kern w:val="22"/>
          <w:lang w:val="en-GB"/>
        </w:rPr>
        <w:t xml:space="preserve">by the CNAs. Once </w:t>
      </w:r>
      <w:r w:rsidRPr="00DF02C5">
        <w:rPr>
          <w:rFonts w:hAnsi="Times New Roman" w:cs="Times New Roman"/>
          <w:snapToGrid w:val="0"/>
          <w:color w:val="auto"/>
          <w:kern w:val="22"/>
          <w:lang w:val="en-GB"/>
        </w:rPr>
        <w:t xml:space="preserve">this </w:t>
      </w:r>
      <w:r w:rsidRPr="00DF02C5">
        <w:rPr>
          <w:rFonts w:hAnsi="Times New Roman" w:cs="Times New Roman"/>
          <w:snapToGrid w:val="0"/>
          <w:color w:val="auto"/>
          <w:kern w:val="22"/>
          <w:lang w:val="en-GB"/>
        </w:rPr>
        <w:lastRenderedPageBreak/>
        <w:t>information on permits was reported to the publishing authority and the competent ministry, all permits granted would be published;</w:t>
      </w:r>
    </w:p>
    <w:p w14:paraId="0559633A" w14:textId="62CD3FC7" w:rsidR="0049703E" w:rsidRPr="00DF02C5" w:rsidRDefault="0049703E" w:rsidP="00ED5324">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 xml:space="preserve">South Africa </w:t>
      </w:r>
      <w:r w:rsidR="00BD60A0" w:rsidRPr="00DF02C5">
        <w:rPr>
          <w:rFonts w:hAnsi="Times New Roman" w:cs="Times New Roman"/>
          <w:snapToGrid w:val="0"/>
          <w:color w:val="auto"/>
          <w:kern w:val="22"/>
          <w:lang w:val="en-GB"/>
        </w:rPr>
        <w:t xml:space="preserve">indicated </w:t>
      </w:r>
      <w:r w:rsidRPr="00DF02C5">
        <w:rPr>
          <w:rFonts w:hAnsi="Times New Roman" w:cs="Times New Roman"/>
          <w:snapToGrid w:val="0"/>
          <w:color w:val="auto"/>
          <w:kern w:val="22"/>
          <w:lang w:val="en-GB"/>
        </w:rPr>
        <w:t xml:space="preserve">that 56 permits </w:t>
      </w:r>
      <w:r w:rsidR="00ED5324" w:rsidRPr="00DF02C5">
        <w:rPr>
          <w:rFonts w:hAnsi="Times New Roman" w:cs="Times New Roman"/>
          <w:snapToGrid w:val="0"/>
          <w:color w:val="auto"/>
          <w:kern w:val="22"/>
          <w:lang w:val="en-GB"/>
        </w:rPr>
        <w:t xml:space="preserve">had been </w:t>
      </w:r>
      <w:r w:rsidRPr="00DF02C5">
        <w:rPr>
          <w:rFonts w:hAnsi="Times New Roman" w:cs="Times New Roman"/>
          <w:snapToGrid w:val="0"/>
          <w:color w:val="auto"/>
          <w:kern w:val="22"/>
          <w:lang w:val="en-GB"/>
        </w:rPr>
        <w:t>issued since 2008 when the ABS law came into force. Copies of these permits were not available in the ABS Clearing</w:t>
      </w:r>
      <w:r w:rsidR="00BD1A56" w:rsidRPr="00DF02C5">
        <w:rPr>
          <w:rFonts w:hAnsi="Times New Roman" w:cs="Times New Roman"/>
          <w:snapToGrid w:val="0"/>
          <w:color w:val="auto"/>
          <w:kern w:val="22"/>
          <w:lang w:val="en-GB"/>
        </w:rPr>
        <w:t>-</w:t>
      </w:r>
      <w:r w:rsidR="00ED5324" w:rsidRPr="00DF02C5">
        <w:rPr>
          <w:rFonts w:hAnsi="Times New Roman" w:cs="Times New Roman"/>
          <w:snapToGrid w:val="0"/>
          <w:color w:val="auto"/>
          <w:kern w:val="22"/>
          <w:lang w:val="en-GB"/>
        </w:rPr>
        <w:t>House</w:t>
      </w:r>
      <w:r w:rsidRPr="00DF02C5">
        <w:rPr>
          <w:rFonts w:hAnsi="Times New Roman" w:cs="Times New Roman"/>
          <w:snapToGrid w:val="0"/>
          <w:color w:val="auto"/>
          <w:kern w:val="22"/>
          <w:lang w:val="en-GB"/>
        </w:rPr>
        <w:t xml:space="preserve"> because they were treated as confidential information in terms of the South African ABS law. Insufficient human resources were also identified as a challenge for publishing information;</w:t>
      </w:r>
    </w:p>
    <w:p w14:paraId="514065CF" w14:textId="77777777" w:rsidR="0049703E" w:rsidRPr="00DF02C5" w:rsidRDefault="0049703E" w:rsidP="00ED5324">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Cuba and Bhutan identify issues related to the designation of authorities as the reason for not having published information on permits in the ABS Clearing-House.</w:t>
      </w:r>
    </w:p>
    <w:p w14:paraId="2E8EA9D1" w14:textId="5F229305" w:rsidR="0049703E" w:rsidRPr="00DF02C5" w:rsidRDefault="0049703E" w:rsidP="00393914">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In their answers, two countries reflected on how their</w:t>
      </w:r>
      <w:r w:rsidR="00ED5324" w:rsidRPr="00DF02C5">
        <w:rPr>
          <w:rFonts w:hAnsi="Times New Roman" w:cs="Times New Roman"/>
          <w:snapToGrid w:val="0"/>
          <w:color w:val="auto"/>
          <w:kern w:val="22"/>
          <w:lang w:val="en-GB"/>
        </w:rPr>
        <w:t xml:space="preserve"> existing</w:t>
      </w:r>
      <w:r w:rsidRPr="00DF02C5">
        <w:rPr>
          <w:rFonts w:hAnsi="Times New Roman" w:cs="Times New Roman"/>
          <w:snapToGrid w:val="0"/>
          <w:color w:val="auto"/>
          <w:kern w:val="22"/>
          <w:lang w:val="en-GB"/>
        </w:rPr>
        <w:t xml:space="preserve"> </w:t>
      </w:r>
      <w:r w:rsidR="00ED5324" w:rsidRPr="00DF02C5">
        <w:rPr>
          <w:rFonts w:hAnsi="Times New Roman" w:cs="Times New Roman"/>
          <w:snapToGrid w:val="0"/>
          <w:color w:val="auto"/>
          <w:kern w:val="22"/>
          <w:lang w:val="en-GB"/>
        </w:rPr>
        <w:t xml:space="preserve">requirements for access to genetic resources </w:t>
      </w:r>
      <w:r w:rsidRPr="00DF02C5">
        <w:rPr>
          <w:rFonts w:hAnsi="Times New Roman" w:cs="Times New Roman"/>
          <w:snapToGrid w:val="0"/>
          <w:color w:val="auto"/>
          <w:kern w:val="22"/>
          <w:lang w:val="en-GB"/>
        </w:rPr>
        <w:t>could be seen as equivalent to PIC and MAT:</w:t>
      </w:r>
    </w:p>
    <w:p w14:paraId="321574D1" w14:textId="17FD25A7" w:rsidR="0049703E" w:rsidRPr="00DF02C5" w:rsidRDefault="0049703E" w:rsidP="00ED5324">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 xml:space="preserve">Lao People’s Democratic Republic explained that their </w:t>
      </w:r>
      <w:r w:rsidR="00ED5324" w:rsidRPr="00DF02C5">
        <w:rPr>
          <w:rFonts w:hAnsi="Times New Roman" w:cs="Times New Roman"/>
          <w:snapToGrid w:val="0"/>
          <w:color w:val="auto"/>
          <w:kern w:val="22"/>
          <w:lang w:val="en-GB"/>
        </w:rPr>
        <w:t xml:space="preserve">existing </w:t>
      </w:r>
      <w:r w:rsidRPr="00DF02C5">
        <w:rPr>
          <w:rFonts w:hAnsi="Times New Roman" w:cs="Times New Roman"/>
          <w:snapToGrid w:val="0"/>
          <w:color w:val="auto"/>
          <w:kern w:val="22"/>
          <w:lang w:val="en-GB"/>
        </w:rPr>
        <w:t>contracts and/or agreements</w:t>
      </w:r>
      <w:r w:rsidR="00ED5324" w:rsidRPr="00DF02C5">
        <w:rPr>
          <w:rFonts w:hAnsi="Times New Roman" w:cs="Times New Roman"/>
          <w:snapToGrid w:val="0"/>
          <w:color w:val="auto"/>
          <w:kern w:val="22"/>
          <w:lang w:val="en-GB"/>
        </w:rPr>
        <w:t xml:space="preserve"> (</w:t>
      </w:r>
      <w:r w:rsidR="00DF02C5" w:rsidRPr="00DF02C5">
        <w:rPr>
          <w:rFonts w:hAnsi="Times New Roman" w:cs="Times New Roman"/>
          <w:snapToGrid w:val="0"/>
          <w:color w:val="auto"/>
          <w:kern w:val="22"/>
          <w:lang w:val="en-GB"/>
        </w:rPr>
        <w:t>e.g.</w:t>
      </w:r>
      <w:r w:rsidR="00ED5324" w:rsidRPr="00DF02C5">
        <w:rPr>
          <w:rFonts w:hAnsi="Times New Roman" w:cs="Times New Roman"/>
          <w:snapToGrid w:val="0"/>
          <w:color w:val="auto"/>
          <w:kern w:val="22"/>
          <w:lang w:val="en-GB"/>
        </w:rPr>
        <w:t xml:space="preserve"> memorandum of agreement, material transfer agreements and memorandum of understandings) </w:t>
      </w:r>
      <w:r w:rsidRPr="00DF02C5">
        <w:rPr>
          <w:rFonts w:hAnsi="Times New Roman" w:cs="Times New Roman"/>
          <w:snapToGrid w:val="0"/>
          <w:color w:val="auto"/>
          <w:kern w:val="22"/>
          <w:lang w:val="en-GB"/>
        </w:rPr>
        <w:t xml:space="preserve"> applied to the utilization of genetic resources and traditional knowledge as</w:t>
      </w:r>
      <w:r w:rsidR="002C37AC" w:rsidRPr="00DF02C5">
        <w:rPr>
          <w:rFonts w:hAnsi="Times New Roman" w:cs="Times New Roman"/>
          <w:snapToGrid w:val="0"/>
          <w:color w:val="auto"/>
          <w:kern w:val="22"/>
          <w:lang w:val="en-GB"/>
        </w:rPr>
        <w:t>sociated with genetic resources</w:t>
      </w:r>
      <w:r w:rsidRPr="00DF02C5">
        <w:rPr>
          <w:rFonts w:hAnsi="Times New Roman" w:cs="Times New Roman"/>
          <w:snapToGrid w:val="0"/>
          <w:color w:val="auto"/>
          <w:kern w:val="22"/>
          <w:lang w:val="en-GB"/>
        </w:rPr>
        <w:t xml:space="preserve"> and included the terms and conditions for the research activities. They further explained that based on the Nagoya Protocol, the agreements might be seen as an equivalent to PIC and MAT;</w:t>
      </w:r>
      <w:r w:rsidR="00ED5324" w:rsidRPr="00DF02C5">
        <w:rPr>
          <w:rFonts w:hAnsi="Times New Roman" w:cs="Times New Roman"/>
          <w:snapToGrid w:val="0"/>
          <w:color w:val="auto"/>
          <w:kern w:val="22"/>
          <w:lang w:val="en-GB"/>
        </w:rPr>
        <w:t xml:space="preserve"> </w:t>
      </w:r>
    </w:p>
    <w:p w14:paraId="7C2F511C" w14:textId="77777777" w:rsidR="0049703E" w:rsidRPr="00DF02C5" w:rsidRDefault="0049703E" w:rsidP="00ED5324">
      <w:pPr>
        <w:numPr>
          <w:ilvl w:val="1"/>
          <w:numId w:val="1"/>
        </w:numPr>
        <w:spacing w:before="120" w:after="120"/>
        <w:ind w:firstLine="720"/>
        <w:rPr>
          <w:rFonts w:hAnsi="Times New Roman" w:cs="Times New Roman"/>
          <w:snapToGrid w:val="0"/>
          <w:color w:val="auto"/>
          <w:kern w:val="22"/>
          <w:lang w:val="en-GB"/>
        </w:rPr>
      </w:pPr>
      <w:r w:rsidRPr="00DF02C5">
        <w:rPr>
          <w:rFonts w:hAnsi="Times New Roman" w:cs="Times New Roman"/>
          <w:snapToGrid w:val="0"/>
          <w:color w:val="auto"/>
          <w:kern w:val="22"/>
          <w:lang w:val="en-GB"/>
        </w:rPr>
        <w:t>Switzerland reported that the country had established a documentation and notification requirement for access to domestic genetic resources. Even though PIC and the establishment of MAT were not required, the notifications could be seen as permit equivalents and be used for the constitution of the IRCC.</w:t>
      </w:r>
    </w:p>
    <w:p w14:paraId="262571C7" w14:textId="530B6C42" w:rsidR="0049703E" w:rsidRPr="00C551D4" w:rsidRDefault="002C37AC" w:rsidP="00C551D4">
      <w:pPr>
        <w:pStyle w:val="Para1"/>
        <w:numPr>
          <w:ilvl w:val="0"/>
          <w:numId w:val="85"/>
        </w:numPr>
        <w:spacing w:before="240" w:line="228" w:lineRule="auto"/>
        <w:rPr>
          <w:rFonts w:eastAsia="Calibri" w:hAnsi="Times New Roman"/>
          <w:i/>
          <w:snapToGrid w:val="0"/>
          <w:kern w:val="22"/>
          <w:bdr w:val="none" w:sz="0" w:space="0" w:color="auto"/>
          <w:lang w:val="en-GB"/>
        </w:rPr>
      </w:pPr>
      <w:r w:rsidRPr="00C551D4">
        <w:rPr>
          <w:rFonts w:eastAsia="Calibri" w:hAnsi="Times New Roman"/>
          <w:i/>
          <w:snapToGrid w:val="0"/>
          <w:kern w:val="22"/>
          <w:bdr w:val="none" w:sz="0" w:space="0" w:color="auto"/>
          <w:lang w:val="en-GB"/>
        </w:rPr>
        <w:t xml:space="preserve">Has your country designated one or more checkpoints as provided in Article 17 </w:t>
      </w:r>
      <w:r w:rsidR="0049703E" w:rsidRPr="00C551D4">
        <w:rPr>
          <w:rFonts w:eastAsia="Calibri" w:hAnsi="Times New Roman"/>
          <w:i/>
          <w:snapToGrid w:val="0"/>
          <w:kern w:val="22"/>
          <w:bdr w:val="none" w:sz="0" w:space="0" w:color="auto"/>
          <w:lang w:val="en-GB"/>
        </w:rPr>
        <w:t xml:space="preserve">(question </w:t>
      </w:r>
      <w:proofErr w:type="gramStart"/>
      <w:r w:rsidR="0049703E" w:rsidRPr="00C551D4">
        <w:rPr>
          <w:rFonts w:eastAsia="Calibri" w:hAnsi="Times New Roman"/>
          <w:i/>
          <w:snapToGrid w:val="0"/>
          <w:kern w:val="22"/>
          <w:bdr w:val="none" w:sz="0" w:space="0" w:color="auto"/>
          <w:lang w:val="en-GB"/>
        </w:rPr>
        <w:t>9)</w:t>
      </w:r>
      <w:proofErr w:type="gramEnd"/>
    </w:p>
    <w:p w14:paraId="2EA2BFB4" w14:textId="62EE3431" w:rsidR="00887697" w:rsidRPr="00DF02C5" w:rsidRDefault="00887697" w:rsidP="00E5256F">
      <w:pPr>
        <w:numPr>
          <w:ilvl w:val="0"/>
          <w:numId w:val="1"/>
        </w:numPr>
        <w:spacing w:before="120" w:after="120"/>
        <w:rPr>
          <w:rFonts w:hAnsi="Times New Roman" w:cs="Times New Roman"/>
          <w:snapToGrid w:val="0"/>
          <w:kern w:val="22"/>
          <w:lang w:val="en-GB"/>
        </w:rPr>
      </w:pPr>
      <w:r w:rsidRPr="00DF02C5">
        <w:rPr>
          <w:rFonts w:hAnsi="Times New Roman" w:cs="Times New Roman"/>
          <w:snapToGrid w:val="0"/>
          <w:kern w:val="22"/>
          <w:lang w:val="en-GB"/>
        </w:rPr>
        <w:t>As of 22 February 2018</w:t>
      </w:r>
      <w:r w:rsidR="0095308D" w:rsidRPr="00DF02C5">
        <w:rPr>
          <w:rFonts w:hAnsi="Times New Roman" w:cs="Times New Roman"/>
          <w:snapToGrid w:val="0"/>
          <w:kern w:val="22"/>
          <w:lang w:val="en-GB"/>
        </w:rPr>
        <w:t>, 30</w:t>
      </w:r>
      <w:r w:rsidRPr="00DF02C5">
        <w:rPr>
          <w:rFonts w:hAnsi="Times New Roman" w:cs="Times New Roman"/>
          <w:snapToGrid w:val="0"/>
          <w:kern w:val="22"/>
          <w:lang w:val="en-GB"/>
        </w:rPr>
        <w:t xml:space="preserve"> countries had</w:t>
      </w:r>
      <w:r w:rsidR="0049703E" w:rsidRPr="00DF02C5">
        <w:rPr>
          <w:rFonts w:hAnsi="Times New Roman" w:cs="Times New Roman"/>
          <w:snapToGrid w:val="0"/>
          <w:kern w:val="22"/>
          <w:lang w:val="en-GB"/>
        </w:rPr>
        <w:t xml:space="preserve"> design</w:t>
      </w:r>
      <w:r w:rsidR="0095308D" w:rsidRPr="00DF02C5">
        <w:rPr>
          <w:rFonts w:hAnsi="Times New Roman" w:cs="Times New Roman"/>
          <w:snapToGrid w:val="0"/>
          <w:kern w:val="22"/>
          <w:lang w:val="en-GB"/>
        </w:rPr>
        <w:t>ated one or more checkpoints: 29</w:t>
      </w:r>
      <w:r w:rsidR="0049703E" w:rsidRPr="00DF02C5">
        <w:rPr>
          <w:rFonts w:hAnsi="Times New Roman" w:cs="Times New Roman"/>
          <w:snapToGrid w:val="0"/>
          <w:kern w:val="22"/>
          <w:lang w:val="en-GB"/>
        </w:rPr>
        <w:t xml:space="preserve"> Parties</w:t>
      </w:r>
      <w:r w:rsidR="0095308D" w:rsidRPr="00DF02C5">
        <w:rPr>
          <w:rFonts w:ascii="Calibri" w:eastAsia="Calibri" w:hAnsi="Calibri" w:cs="Times New Roman"/>
          <w:snapToGrid w:val="0"/>
          <w:color w:val="auto"/>
          <w:kern w:val="22"/>
          <w:bdr w:val="none" w:sz="0" w:space="0" w:color="auto"/>
          <w:vertAlign w:val="superscript"/>
          <w:lang w:val="en-GB"/>
        </w:rPr>
        <w:footnoteReference w:id="47"/>
      </w:r>
      <w:r w:rsidR="0095308D" w:rsidRPr="00DF02C5">
        <w:rPr>
          <w:rFonts w:cs="Times New Roman"/>
          <w:lang w:val="en-GB"/>
        </w:rPr>
        <w:t xml:space="preserve"> </w:t>
      </w:r>
      <w:r w:rsidR="0049703E" w:rsidRPr="00DF02C5">
        <w:rPr>
          <w:rFonts w:hAnsi="Times New Roman" w:cs="Times New Roman"/>
          <w:snapToGrid w:val="0"/>
          <w:kern w:val="22"/>
          <w:lang w:val="en-GB"/>
        </w:rPr>
        <w:t xml:space="preserve"> and 1 non-Party</w:t>
      </w:r>
      <w:r w:rsidR="0049703E" w:rsidRPr="00DF02C5">
        <w:rPr>
          <w:rFonts w:hAnsi="Times New Roman" w:cs="Times New Roman"/>
          <w:snapToGrid w:val="0"/>
          <w:kern w:val="22"/>
          <w:vertAlign w:val="superscript"/>
          <w:lang w:val="en-GB"/>
        </w:rPr>
        <w:footnoteReference w:id="48"/>
      </w:r>
      <w:r w:rsidR="0095308D" w:rsidRPr="00DF02C5">
        <w:rPr>
          <w:rFonts w:hAnsi="Times New Roman" w:cs="Times New Roman"/>
          <w:snapToGrid w:val="0"/>
          <w:kern w:val="22"/>
          <w:lang w:val="en-GB"/>
        </w:rPr>
        <w:t xml:space="preserve">. </w:t>
      </w:r>
      <w:r w:rsidR="000A1A42" w:rsidRPr="00DF02C5">
        <w:rPr>
          <w:rFonts w:hAnsi="Times New Roman" w:cs="Times New Roman"/>
          <w:snapToGrid w:val="0"/>
          <w:color w:val="auto"/>
          <w:kern w:val="22"/>
          <w:lang w:val="en-GB"/>
        </w:rPr>
        <w:t>8</w:t>
      </w:r>
      <w:r w:rsidRPr="00DF02C5">
        <w:rPr>
          <w:rFonts w:hAnsi="Times New Roman" w:cs="Times New Roman"/>
          <w:snapToGrid w:val="0"/>
          <w:color w:val="auto"/>
          <w:kern w:val="22"/>
          <w:lang w:val="en-GB"/>
        </w:rPr>
        <w:t xml:space="preserve"> Parties </w:t>
      </w:r>
      <w:r w:rsidR="0049703E" w:rsidRPr="00DF02C5">
        <w:rPr>
          <w:rFonts w:ascii="Calibri" w:eastAsia="Calibri" w:hAnsi="Calibri" w:cs="Times New Roman"/>
          <w:snapToGrid w:val="0"/>
          <w:color w:val="auto"/>
          <w:kern w:val="22"/>
          <w:bdr w:val="none" w:sz="0" w:space="0" w:color="auto"/>
          <w:vertAlign w:val="superscript"/>
          <w:lang w:val="en-GB"/>
        </w:rPr>
        <w:footnoteReference w:id="49"/>
      </w:r>
      <w:r w:rsidR="0049703E" w:rsidRPr="00DF02C5">
        <w:rPr>
          <w:rFonts w:hAnsi="Times New Roman" w:cs="Times New Roman"/>
          <w:snapToGrid w:val="0"/>
          <w:color w:val="auto"/>
          <w:kern w:val="22"/>
          <w:lang w:val="en-GB"/>
        </w:rPr>
        <w:t xml:space="preserve"> identified checkpoints in the interim national report but have not yet made available this information in the ABS Clearing-House.</w:t>
      </w:r>
      <w:r w:rsidR="0095308D" w:rsidRPr="00DF02C5">
        <w:rPr>
          <w:rFonts w:hAnsi="Times New Roman" w:cs="Times New Roman"/>
          <w:snapToGrid w:val="0"/>
          <w:color w:val="auto"/>
          <w:kern w:val="22"/>
          <w:vertAlign w:val="superscript"/>
          <w:lang w:val="en-GB"/>
        </w:rPr>
        <w:t xml:space="preserve"> </w:t>
      </w:r>
      <w:r w:rsidR="0095308D" w:rsidRPr="00DF02C5">
        <w:rPr>
          <w:rFonts w:hAnsi="Times New Roman" w:cs="Times New Roman"/>
          <w:snapToGrid w:val="0"/>
          <w:color w:val="auto"/>
          <w:kern w:val="22"/>
          <w:vertAlign w:val="superscript"/>
          <w:lang w:val="en-GB"/>
        </w:rPr>
        <w:footnoteReference w:id="50"/>
      </w:r>
    </w:p>
    <w:p w14:paraId="20C5770E" w14:textId="69B4F218" w:rsidR="0049703E" w:rsidRPr="00DF02C5" w:rsidRDefault="0049703E" w:rsidP="00E5256F">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 xml:space="preserve">In their reports, </w:t>
      </w:r>
      <w:r w:rsidR="00EC64DA" w:rsidRPr="00DF02C5">
        <w:rPr>
          <w:rFonts w:hAnsi="Times New Roman" w:cs="Times New Roman"/>
          <w:snapToGrid w:val="0"/>
          <w:color w:val="auto"/>
          <w:kern w:val="22"/>
          <w:lang w:val="en-GB"/>
        </w:rPr>
        <w:t xml:space="preserve">18 </w:t>
      </w:r>
      <w:r w:rsidRPr="00DF02C5">
        <w:rPr>
          <w:rFonts w:hAnsi="Times New Roman" w:cs="Times New Roman"/>
          <w:snapToGrid w:val="0"/>
          <w:color w:val="auto"/>
          <w:kern w:val="22"/>
          <w:lang w:val="en-GB"/>
        </w:rPr>
        <w:t>Parties</w:t>
      </w:r>
      <w:r w:rsidRPr="00DF02C5">
        <w:rPr>
          <w:rFonts w:hAnsi="Times New Roman" w:cs="Times New Roman"/>
          <w:snapToGrid w:val="0"/>
          <w:color w:val="auto"/>
          <w:kern w:val="22"/>
          <w:vertAlign w:val="superscript"/>
          <w:lang w:val="en-GB"/>
        </w:rPr>
        <w:footnoteReference w:id="51"/>
      </w:r>
      <w:r w:rsidRPr="00DF02C5">
        <w:rPr>
          <w:rFonts w:hAnsi="Times New Roman" w:cs="Times New Roman"/>
          <w:snapToGrid w:val="0"/>
          <w:color w:val="auto"/>
          <w:kern w:val="22"/>
          <w:lang w:val="en-GB"/>
        </w:rPr>
        <w:t xml:space="preserve"> and 1 non-Party</w:t>
      </w:r>
      <w:r w:rsidRPr="00DF02C5">
        <w:rPr>
          <w:rFonts w:hAnsi="Times New Roman" w:cs="Times New Roman"/>
          <w:snapToGrid w:val="0"/>
          <w:color w:val="auto"/>
          <w:kern w:val="22"/>
          <w:vertAlign w:val="superscript"/>
          <w:lang w:val="en-GB"/>
        </w:rPr>
        <w:footnoteReference w:id="52"/>
      </w:r>
      <w:r w:rsidRPr="00DF02C5">
        <w:rPr>
          <w:rFonts w:hAnsi="Times New Roman" w:cs="Times New Roman"/>
          <w:snapToGrid w:val="0"/>
          <w:color w:val="auto"/>
          <w:kern w:val="22"/>
          <w:lang w:val="en-GB"/>
        </w:rPr>
        <w:t xml:space="preserve"> reported on work underway to designate one or more checkpoints and 11 Parties</w:t>
      </w:r>
      <w:r w:rsidRPr="00DF02C5">
        <w:rPr>
          <w:rFonts w:hAnsi="Times New Roman" w:cs="Times New Roman"/>
          <w:snapToGrid w:val="0"/>
          <w:color w:val="auto"/>
          <w:kern w:val="22"/>
          <w:vertAlign w:val="superscript"/>
          <w:lang w:val="en-GB"/>
        </w:rPr>
        <w:footnoteReference w:id="53"/>
      </w:r>
      <w:r w:rsidRPr="00DF02C5">
        <w:rPr>
          <w:rFonts w:hAnsi="Times New Roman" w:cs="Times New Roman"/>
          <w:snapToGrid w:val="0"/>
          <w:color w:val="auto"/>
          <w:kern w:val="22"/>
          <w:lang w:val="en-GB"/>
        </w:rPr>
        <w:t xml:space="preserve"> reported that they were planning to do so.</w:t>
      </w:r>
    </w:p>
    <w:p w14:paraId="773C3B31" w14:textId="367BCFDD" w:rsidR="0080016C" w:rsidRPr="00DF02C5" w:rsidRDefault="007D5F65" w:rsidP="00E5256F">
      <w:pPr>
        <w:pStyle w:val="Caption"/>
        <w:keepNext/>
        <w:keepLines/>
        <w:rPr>
          <w:lang w:val="en-GB"/>
        </w:rPr>
      </w:pPr>
      <w:r w:rsidRPr="00DF02C5">
        <w:rPr>
          <w:lang w:val="en-GB"/>
        </w:rPr>
        <w:lastRenderedPageBreak/>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00E5256F" w:rsidRPr="00DF02C5">
        <w:rPr>
          <w:noProof/>
          <w:lang w:val="en-GB"/>
        </w:rPr>
        <w:t>5</w:t>
      </w:r>
      <w:r w:rsidRPr="00DF02C5">
        <w:rPr>
          <w:lang w:val="en-GB"/>
        </w:rPr>
        <w:fldChar w:fldCharType="end"/>
      </w:r>
      <w:r w:rsidR="0080016C" w:rsidRPr="00DF02C5">
        <w:rPr>
          <w:lang w:val="en-GB"/>
        </w:rPr>
        <w:t xml:space="preserve">: Status of progress </w:t>
      </w:r>
      <w:r w:rsidR="00CD25EA" w:rsidRPr="00DF02C5">
        <w:rPr>
          <w:lang w:val="en-GB"/>
        </w:rPr>
        <w:t xml:space="preserve">by countries </w:t>
      </w:r>
      <w:r w:rsidR="0080016C" w:rsidRPr="00DF02C5">
        <w:rPr>
          <w:lang w:val="en-GB"/>
        </w:rPr>
        <w:t>in the designation of one or more checkpoints (</w:t>
      </w:r>
      <w:r w:rsidR="00577044">
        <w:rPr>
          <w:lang w:val="en-GB"/>
        </w:rPr>
        <w:t>up to</w:t>
      </w:r>
      <w:r w:rsidR="0080016C" w:rsidRPr="00DF02C5">
        <w:rPr>
          <w:lang w:val="en-GB"/>
        </w:rPr>
        <w:t xml:space="preserve"> 22 February 2018)</w:t>
      </w:r>
    </w:p>
    <w:p w14:paraId="71F7C389" w14:textId="5C9722A0" w:rsidR="0080016C" w:rsidRPr="00DF02C5" w:rsidRDefault="0080016C" w:rsidP="00177478">
      <w:pPr>
        <w:spacing w:before="120" w:after="120"/>
        <w:jc w:val="center"/>
        <w:rPr>
          <w:rFonts w:eastAsia="SimSun"/>
          <w:kern w:val="22"/>
          <w:lang w:val="en-GB"/>
        </w:rPr>
      </w:pPr>
      <w:r w:rsidRPr="00DF02C5">
        <w:rPr>
          <w:rFonts w:eastAsia="SimSun"/>
          <w:noProof/>
          <w:kern w:val="22"/>
        </w:rPr>
        <w:drawing>
          <wp:inline distT="0" distB="0" distL="0" distR="0" wp14:anchorId="408851AD" wp14:editId="0C1194D5">
            <wp:extent cx="4173112" cy="2476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7030" cy="2478825"/>
                    </a:xfrm>
                    <a:prstGeom prst="rect">
                      <a:avLst/>
                    </a:prstGeom>
                    <a:noFill/>
                  </pic:spPr>
                </pic:pic>
              </a:graphicData>
            </a:graphic>
          </wp:inline>
        </w:drawing>
      </w:r>
    </w:p>
    <w:p w14:paraId="527507EF" w14:textId="2CBB98BE" w:rsidR="0049703E" w:rsidRPr="00DF02C5" w:rsidRDefault="0049703E" w:rsidP="00393914">
      <w:pPr>
        <w:numPr>
          <w:ilvl w:val="0"/>
          <w:numId w:val="1"/>
        </w:numPr>
        <w:spacing w:before="120" w:after="120"/>
        <w:rPr>
          <w:rFonts w:hAnsi="Times New Roman" w:cs="Times New Roman"/>
          <w:snapToGrid w:val="0"/>
          <w:kern w:val="22"/>
          <w:lang w:val="en-GB"/>
        </w:rPr>
      </w:pPr>
      <w:r w:rsidRPr="00DF02C5">
        <w:rPr>
          <w:rFonts w:hAnsi="Times New Roman" w:cs="Times New Roman"/>
          <w:snapToGrid w:val="0"/>
          <w:kern w:val="22"/>
          <w:lang w:val="en-GB"/>
        </w:rPr>
        <w:t>In their report, the European Union provided information on the establishment of two checkpoints which are applicable in all Member States.</w:t>
      </w:r>
      <w:r w:rsidRPr="00DF02C5">
        <w:rPr>
          <w:rFonts w:hAnsi="Times New Roman" w:cs="Times New Roman"/>
          <w:snapToGrid w:val="0"/>
          <w:kern w:val="22"/>
          <w:vertAlign w:val="superscript"/>
          <w:lang w:val="en-GB"/>
        </w:rPr>
        <w:t xml:space="preserve"> </w:t>
      </w:r>
      <w:r w:rsidRPr="00DF02C5">
        <w:rPr>
          <w:rFonts w:hAnsi="Times New Roman" w:cs="Times New Roman"/>
          <w:snapToGrid w:val="0"/>
          <w:kern w:val="22"/>
          <w:lang w:val="en-GB"/>
        </w:rPr>
        <w:t>Pursuant to Article 7(1) and 7(2) of Regulation 511/2014</w:t>
      </w:r>
      <w:r w:rsidR="00BE14F2">
        <w:rPr>
          <w:rFonts w:hAnsi="Times New Roman" w:cs="Times New Roman"/>
          <w:snapToGrid w:val="0"/>
          <w:kern w:val="22"/>
          <w:lang w:val="en-GB"/>
        </w:rPr>
        <w:t>,</w:t>
      </w:r>
      <w:r w:rsidRPr="00DF02C5">
        <w:rPr>
          <w:rFonts w:hAnsi="Times New Roman" w:cs="Times New Roman"/>
          <w:snapToGrid w:val="0"/>
          <w:kern w:val="22"/>
          <w:vertAlign w:val="superscript"/>
          <w:lang w:val="en-GB"/>
        </w:rPr>
        <w:footnoteReference w:id="54"/>
      </w:r>
      <w:r w:rsidRPr="00DF02C5">
        <w:rPr>
          <w:rFonts w:hAnsi="Times New Roman" w:cs="Times New Roman"/>
          <w:snapToGrid w:val="0"/>
          <w:kern w:val="22"/>
          <w:lang w:val="en-GB"/>
        </w:rPr>
        <w:t xml:space="preserve"> competent authorities designated in Member States receive information as provided in Article 17(1) of the Protocol from the users in their jurisdiction. More specifically: </w:t>
      </w:r>
    </w:p>
    <w:p w14:paraId="6EBE5056" w14:textId="0733FAA7" w:rsidR="0049703E" w:rsidRPr="00DF02C5" w:rsidRDefault="00887697" w:rsidP="00C551D4">
      <w:pPr>
        <w:numPr>
          <w:ilvl w:val="1"/>
          <w:numId w:val="18"/>
        </w:numPr>
        <w:spacing w:before="120" w:after="120"/>
        <w:ind w:firstLine="720"/>
        <w:rPr>
          <w:rFonts w:hAnsi="Times New Roman" w:cs="Times New Roman"/>
          <w:snapToGrid w:val="0"/>
          <w:kern w:val="22"/>
          <w:lang w:val="en-GB"/>
        </w:rPr>
      </w:pPr>
      <w:r w:rsidRPr="00DF02C5">
        <w:rPr>
          <w:rFonts w:hAnsi="Times New Roman" w:cs="Times New Roman"/>
          <w:snapToGrid w:val="0"/>
          <w:kern w:val="22"/>
          <w:lang w:val="en-GB"/>
        </w:rPr>
        <w:t>The 1st checkpoint (</w:t>
      </w:r>
      <w:r w:rsidR="0049703E" w:rsidRPr="00DF02C5">
        <w:rPr>
          <w:rFonts w:hAnsi="Times New Roman" w:cs="Times New Roman"/>
          <w:snapToGrid w:val="0"/>
          <w:kern w:val="22"/>
          <w:lang w:val="en-GB"/>
        </w:rPr>
        <w:t>competent authorities designated by individual Member States und</w:t>
      </w:r>
      <w:r w:rsidRPr="00DF02C5">
        <w:rPr>
          <w:rFonts w:hAnsi="Times New Roman" w:cs="Times New Roman"/>
          <w:snapToGrid w:val="0"/>
          <w:kern w:val="22"/>
          <w:lang w:val="en-GB"/>
        </w:rPr>
        <w:t>er Regulation 511/2014) receives</w:t>
      </w:r>
      <w:r w:rsidR="0049703E" w:rsidRPr="00DF02C5">
        <w:rPr>
          <w:rFonts w:hAnsi="Times New Roman" w:cs="Times New Roman"/>
          <w:snapToGrid w:val="0"/>
          <w:kern w:val="22"/>
          <w:lang w:val="en-GB"/>
        </w:rPr>
        <w:t xml:space="preserve"> due diligence declarations from researchers carrying out research in the EU. All recipients of research funding in the form of a grant, where such research involves utilisation of genetic resources and traditional knowledge associated with genetic resources, are to be requested either by the European Commission or by the Member St</w:t>
      </w:r>
      <w:r w:rsidR="00B54C38">
        <w:rPr>
          <w:rFonts w:hAnsi="Times New Roman" w:cs="Times New Roman"/>
          <w:snapToGrid w:val="0"/>
          <w:kern w:val="22"/>
          <w:lang w:val="en-GB"/>
        </w:rPr>
        <w:t>ate to declare that they exercis</w:t>
      </w:r>
      <w:r w:rsidR="00B54C38" w:rsidRPr="00DF02C5">
        <w:rPr>
          <w:rFonts w:hAnsi="Times New Roman" w:cs="Times New Roman"/>
          <w:snapToGrid w:val="0"/>
          <w:kern w:val="22"/>
          <w:lang w:val="en-GB"/>
        </w:rPr>
        <w:t>ed</w:t>
      </w:r>
      <w:r w:rsidR="0049703E" w:rsidRPr="00DF02C5">
        <w:rPr>
          <w:rFonts w:hAnsi="Times New Roman" w:cs="Times New Roman"/>
          <w:snapToGrid w:val="0"/>
          <w:kern w:val="22"/>
          <w:lang w:val="en-GB"/>
        </w:rPr>
        <w:t xml:space="preserve"> due diligence. The template for this declaration is contained in </w:t>
      </w:r>
      <w:r w:rsidR="00BE14F2">
        <w:rPr>
          <w:rFonts w:hAnsi="Times New Roman" w:cs="Times New Roman"/>
          <w:snapToGrid w:val="0"/>
          <w:kern w:val="22"/>
          <w:lang w:val="en-GB"/>
        </w:rPr>
        <w:t>a</w:t>
      </w:r>
      <w:r w:rsidRPr="00DF02C5">
        <w:rPr>
          <w:rFonts w:hAnsi="Times New Roman" w:cs="Times New Roman"/>
          <w:snapToGrid w:val="0"/>
          <w:kern w:val="22"/>
          <w:lang w:val="en-GB"/>
        </w:rPr>
        <w:t xml:space="preserve">nnex II of </w:t>
      </w:r>
      <w:r w:rsidR="0049703E" w:rsidRPr="00DF02C5">
        <w:rPr>
          <w:rFonts w:hAnsi="Times New Roman" w:cs="Times New Roman"/>
          <w:snapToGrid w:val="0"/>
          <w:kern w:val="22"/>
          <w:lang w:val="en-GB"/>
        </w:rPr>
        <w:t>the Comm</w:t>
      </w:r>
      <w:r w:rsidR="00C551D4">
        <w:rPr>
          <w:rFonts w:hAnsi="Times New Roman" w:cs="Times New Roman"/>
          <w:snapToGrid w:val="0"/>
          <w:kern w:val="22"/>
          <w:lang w:val="en-GB"/>
        </w:rPr>
        <w:t>ission Implementing Regulation;</w:t>
      </w:r>
    </w:p>
    <w:p w14:paraId="161CDE64" w14:textId="1BDCE32E" w:rsidR="0049703E" w:rsidRPr="00DF02C5" w:rsidRDefault="00887697" w:rsidP="00C551D4">
      <w:pPr>
        <w:numPr>
          <w:ilvl w:val="1"/>
          <w:numId w:val="18"/>
        </w:numPr>
        <w:spacing w:before="120" w:after="120"/>
        <w:ind w:firstLine="720"/>
        <w:rPr>
          <w:rFonts w:hAnsi="Times New Roman" w:cs="Times New Roman"/>
          <w:snapToGrid w:val="0"/>
          <w:kern w:val="22"/>
          <w:lang w:val="en-GB"/>
        </w:rPr>
      </w:pPr>
      <w:r w:rsidRPr="00DF02C5">
        <w:rPr>
          <w:rFonts w:hAnsi="Times New Roman" w:cs="Times New Roman"/>
          <w:snapToGrid w:val="0"/>
          <w:kern w:val="22"/>
          <w:lang w:val="en-GB"/>
        </w:rPr>
        <w:t>The 2nd checkpoint (</w:t>
      </w:r>
      <w:r w:rsidR="0049703E" w:rsidRPr="00DF02C5">
        <w:rPr>
          <w:rFonts w:hAnsi="Times New Roman" w:cs="Times New Roman"/>
          <w:snapToGrid w:val="0"/>
          <w:kern w:val="22"/>
          <w:lang w:val="en-GB"/>
        </w:rPr>
        <w:t>competent authorities designated in Member States under Regulation 511/2014</w:t>
      </w:r>
      <w:r w:rsidRPr="00DF02C5">
        <w:rPr>
          <w:rFonts w:hAnsi="Times New Roman" w:cs="Times New Roman"/>
          <w:snapToGrid w:val="0"/>
          <w:kern w:val="22"/>
          <w:lang w:val="en-GB"/>
        </w:rPr>
        <w:t>)</w:t>
      </w:r>
      <w:r w:rsidR="0049703E" w:rsidRPr="00DF02C5">
        <w:rPr>
          <w:rFonts w:hAnsi="Times New Roman" w:cs="Times New Roman"/>
          <w:snapToGrid w:val="0"/>
          <w:kern w:val="22"/>
          <w:lang w:val="en-GB"/>
        </w:rPr>
        <w:t xml:space="preserve"> gathers due diligence declarations at the final stage of product development. The template for this declaration is contained in </w:t>
      </w:r>
      <w:r w:rsidR="00BE14F2">
        <w:rPr>
          <w:rFonts w:hAnsi="Times New Roman" w:cs="Times New Roman"/>
          <w:snapToGrid w:val="0"/>
          <w:kern w:val="22"/>
          <w:lang w:val="en-GB"/>
        </w:rPr>
        <w:t>in a</w:t>
      </w:r>
      <w:r w:rsidRPr="00DF02C5">
        <w:rPr>
          <w:rFonts w:hAnsi="Times New Roman" w:cs="Times New Roman"/>
          <w:snapToGrid w:val="0"/>
          <w:kern w:val="22"/>
          <w:lang w:val="en-GB"/>
        </w:rPr>
        <w:t xml:space="preserve">nnex III of </w:t>
      </w:r>
      <w:r w:rsidR="0049703E" w:rsidRPr="00DF02C5">
        <w:rPr>
          <w:rFonts w:hAnsi="Times New Roman" w:cs="Times New Roman"/>
          <w:snapToGrid w:val="0"/>
          <w:kern w:val="22"/>
          <w:lang w:val="en-GB"/>
        </w:rPr>
        <w:t>the Commission Implementing Regulation. Specific events triggering submission of the declaration are defined in Article 6 of the Com</w:t>
      </w:r>
      <w:r w:rsidR="00C551D4">
        <w:rPr>
          <w:rFonts w:hAnsi="Times New Roman" w:cs="Times New Roman"/>
          <w:snapToGrid w:val="0"/>
          <w:kern w:val="22"/>
          <w:lang w:val="en-GB"/>
        </w:rPr>
        <w:t>mission Implementing Regulation;</w:t>
      </w:r>
      <w:r w:rsidR="0049703E" w:rsidRPr="00DF02C5">
        <w:rPr>
          <w:rFonts w:hAnsi="Times New Roman" w:cs="Times New Roman"/>
          <w:snapToGrid w:val="0"/>
          <w:kern w:val="22"/>
          <w:lang w:val="en-GB"/>
        </w:rPr>
        <w:t xml:space="preserve"> </w:t>
      </w:r>
    </w:p>
    <w:p w14:paraId="6C8C726D" w14:textId="77777777" w:rsidR="0049703E" w:rsidRPr="00DF02C5" w:rsidRDefault="0049703E" w:rsidP="00C551D4">
      <w:pPr>
        <w:numPr>
          <w:ilvl w:val="0"/>
          <w:numId w:val="1"/>
        </w:numPr>
        <w:spacing w:before="120" w:after="120"/>
        <w:ind w:firstLine="720"/>
        <w:rPr>
          <w:rFonts w:hAnsi="Times New Roman" w:cs="Times New Roman"/>
          <w:snapToGrid w:val="0"/>
          <w:kern w:val="22"/>
          <w:lang w:val="en-GB"/>
        </w:rPr>
      </w:pPr>
      <w:r w:rsidRPr="00DF02C5">
        <w:rPr>
          <w:rFonts w:hAnsi="Times New Roman" w:cs="Times New Roman"/>
          <w:snapToGrid w:val="0"/>
          <w:kern w:val="22"/>
          <w:lang w:val="en-GB"/>
        </w:rPr>
        <w:t>For both checkpoints, the authorities referred to above transfer the information to the ABS Clearing-House, provided it is not confidential. Alternatively, in case crucial information for publishing of a checkpoint communiqué is indicated as confidential and a checkpoint communiqué can thus not be published, the authorities contact the competent national authorities of the country providing genetic resources directly.</w:t>
      </w:r>
    </w:p>
    <w:p w14:paraId="432103D9" w14:textId="77777777" w:rsidR="0049703E" w:rsidRPr="00DF02C5" w:rsidRDefault="0049703E" w:rsidP="00393914">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lastRenderedPageBreak/>
        <w:t>An examination of the information provided shows that countries have designated different types of authorities to serve as checkpoints. 12 countries</w:t>
      </w:r>
      <w:r w:rsidRPr="00DF02C5">
        <w:rPr>
          <w:rFonts w:hAnsi="Times New Roman" w:cs="Times New Roman"/>
          <w:snapToGrid w:val="0"/>
          <w:color w:val="auto"/>
          <w:kern w:val="22"/>
          <w:vertAlign w:val="superscript"/>
          <w:lang w:val="en-GB"/>
        </w:rPr>
        <w:footnoteReference w:id="55"/>
      </w:r>
      <w:r w:rsidRPr="00DF02C5">
        <w:rPr>
          <w:rFonts w:hAnsi="Times New Roman" w:cs="Times New Roman"/>
          <w:snapToGrid w:val="0"/>
          <w:color w:val="auto"/>
          <w:kern w:val="22"/>
          <w:lang w:val="en-GB"/>
        </w:rPr>
        <w:t xml:space="preserve"> have designated a single authority, while 14 Parties</w:t>
      </w:r>
      <w:r w:rsidRPr="00DF02C5">
        <w:rPr>
          <w:rFonts w:hAnsi="Times New Roman" w:cs="Times New Roman"/>
          <w:snapToGrid w:val="0"/>
          <w:color w:val="auto"/>
          <w:kern w:val="22"/>
          <w:vertAlign w:val="superscript"/>
          <w:lang w:val="en-GB"/>
        </w:rPr>
        <w:footnoteReference w:id="56"/>
      </w:r>
      <w:r w:rsidRPr="00DF02C5">
        <w:rPr>
          <w:rFonts w:hAnsi="Times New Roman" w:cs="Times New Roman"/>
          <w:snapToGrid w:val="0"/>
          <w:color w:val="auto"/>
          <w:kern w:val="22"/>
          <w:lang w:val="en-GB"/>
        </w:rPr>
        <w:t xml:space="preserve"> designated multiple authorities to operate as checkpoints.</w:t>
      </w:r>
      <w:r w:rsidRPr="00DF02C5">
        <w:rPr>
          <w:rFonts w:hAnsi="Times New Roman" w:cs="Times New Roman"/>
          <w:snapToGrid w:val="0"/>
          <w:color w:val="auto"/>
          <w:kern w:val="22"/>
          <w:vertAlign w:val="superscript"/>
          <w:lang w:val="en-GB"/>
        </w:rPr>
        <w:footnoteReference w:id="57"/>
      </w:r>
      <w:r w:rsidRPr="00DF02C5">
        <w:rPr>
          <w:rFonts w:hAnsi="Times New Roman" w:cs="Times New Roman"/>
          <w:snapToGrid w:val="0"/>
          <w:color w:val="auto"/>
          <w:kern w:val="22"/>
          <w:lang w:val="en-GB"/>
        </w:rPr>
        <w:t xml:space="preserve"> </w:t>
      </w:r>
    </w:p>
    <w:p w14:paraId="649D8614" w14:textId="42E49D73" w:rsidR="0049703E" w:rsidRPr="00DF02C5" w:rsidRDefault="0049703E" w:rsidP="00393914">
      <w:pPr>
        <w:numPr>
          <w:ilvl w:val="0"/>
          <w:numId w:val="1"/>
        </w:numPr>
        <w:spacing w:before="120" w:after="120"/>
        <w:rPr>
          <w:rFonts w:hAnsi="Times New Roman" w:cs="Times New Roman"/>
          <w:snapToGrid w:val="0"/>
          <w:kern w:val="22"/>
          <w:lang w:val="en-GB"/>
        </w:rPr>
      </w:pPr>
      <w:r w:rsidRPr="00DF02C5">
        <w:rPr>
          <w:rFonts w:hAnsi="Times New Roman" w:cs="Times New Roman"/>
          <w:snapToGrid w:val="0"/>
          <w:kern w:val="22"/>
          <w:lang w:val="en-GB"/>
        </w:rPr>
        <w:t>In 19 countries</w:t>
      </w:r>
      <w:r w:rsidRPr="00DF02C5">
        <w:rPr>
          <w:rFonts w:hAnsi="Times New Roman" w:cs="Times New Roman"/>
          <w:snapToGrid w:val="0"/>
          <w:kern w:val="22"/>
          <w:vertAlign w:val="superscript"/>
          <w:lang w:val="en-GB"/>
        </w:rPr>
        <w:footnoteReference w:id="58"/>
      </w:r>
      <w:r w:rsidRPr="00DF02C5">
        <w:rPr>
          <w:rFonts w:hAnsi="Times New Roman" w:cs="Times New Roman"/>
          <w:snapToGrid w:val="0"/>
          <w:kern w:val="22"/>
          <w:lang w:val="en-GB"/>
        </w:rPr>
        <w:t xml:space="preserve"> the CNA also serves as a checkpoint and very often the institution designated as a checkpoint is related to a governmental environment authority.</w:t>
      </w:r>
      <w:r w:rsidRPr="00DF02C5">
        <w:rPr>
          <w:rFonts w:hAnsi="Times New Roman" w:cs="Times New Roman"/>
          <w:snapToGrid w:val="0"/>
          <w:kern w:val="22"/>
          <w:vertAlign w:val="superscript"/>
          <w:lang w:val="en-GB"/>
        </w:rPr>
        <w:footnoteReference w:id="59"/>
      </w:r>
      <w:r w:rsidRPr="00DF02C5">
        <w:rPr>
          <w:rFonts w:cs="Times New Roman"/>
          <w:vertAlign w:val="superscript"/>
          <w:lang w:val="en-GB"/>
        </w:rPr>
        <w:t xml:space="preserve"> </w:t>
      </w:r>
      <w:r w:rsidRPr="00DF02C5">
        <w:rPr>
          <w:rFonts w:hAnsi="Times New Roman" w:cs="Times New Roman"/>
          <w:snapToGrid w:val="0"/>
          <w:kern w:val="22"/>
          <w:lang w:val="en-GB"/>
        </w:rPr>
        <w:t>The following provides an indication of some of the areas where c</w:t>
      </w:r>
      <w:r w:rsidR="00CF3B18" w:rsidRPr="00DF02C5">
        <w:rPr>
          <w:rFonts w:hAnsi="Times New Roman" w:cs="Times New Roman"/>
          <w:snapToGrid w:val="0"/>
          <w:kern w:val="22"/>
          <w:lang w:val="en-GB"/>
        </w:rPr>
        <w:t>heckpoints have been designated</w:t>
      </w:r>
      <w:r w:rsidRPr="00DF02C5">
        <w:rPr>
          <w:rFonts w:hAnsi="Times New Roman" w:cs="Times New Roman"/>
          <w:snapToGrid w:val="0"/>
          <w:kern w:val="22"/>
          <w:lang w:val="en-GB"/>
        </w:rPr>
        <w:t>: (a) agriculture, forest and/or food</w:t>
      </w:r>
      <w:r w:rsidRPr="00DF02C5">
        <w:rPr>
          <w:rFonts w:hAnsi="Times New Roman" w:cs="Times New Roman"/>
          <w:snapToGrid w:val="0"/>
          <w:kern w:val="22"/>
          <w:vertAlign w:val="superscript"/>
          <w:lang w:val="en-GB"/>
        </w:rPr>
        <w:footnoteReference w:id="60"/>
      </w:r>
      <w:r w:rsidRPr="00DF02C5">
        <w:rPr>
          <w:rFonts w:cs="Times New Roman"/>
          <w:vertAlign w:val="superscript"/>
          <w:lang w:val="en-GB"/>
        </w:rPr>
        <w:t>;</w:t>
      </w:r>
      <w:r w:rsidRPr="00DF02C5">
        <w:rPr>
          <w:rFonts w:hAnsi="Times New Roman" w:cs="Times New Roman"/>
          <w:snapToGrid w:val="0"/>
          <w:kern w:val="22"/>
          <w:lang w:val="en-GB"/>
        </w:rPr>
        <w:t xml:space="preserve"> (b) border or customs</w:t>
      </w:r>
      <w:r w:rsidR="00BE14F2">
        <w:rPr>
          <w:rFonts w:hAnsi="Times New Roman" w:cs="Times New Roman"/>
          <w:snapToGrid w:val="0"/>
          <w:kern w:val="22"/>
          <w:lang w:val="en-GB"/>
        </w:rPr>
        <w:t>;</w:t>
      </w:r>
      <w:r w:rsidRPr="00DF02C5">
        <w:rPr>
          <w:rFonts w:hAnsi="Times New Roman" w:cs="Times New Roman"/>
          <w:snapToGrid w:val="0"/>
          <w:kern w:val="22"/>
          <w:vertAlign w:val="superscript"/>
          <w:lang w:val="en-GB"/>
        </w:rPr>
        <w:footnoteReference w:id="61"/>
      </w:r>
      <w:r w:rsidRPr="00DF02C5">
        <w:rPr>
          <w:rFonts w:hAnsi="Times New Roman" w:cs="Times New Roman"/>
          <w:snapToGrid w:val="0"/>
          <w:kern w:val="22"/>
          <w:lang w:val="en-GB"/>
        </w:rPr>
        <w:t xml:space="preserve"> (c) intellectual property rights;</w:t>
      </w:r>
      <w:r w:rsidRPr="00DF02C5">
        <w:rPr>
          <w:rFonts w:hAnsi="Times New Roman" w:cs="Times New Roman"/>
          <w:snapToGrid w:val="0"/>
          <w:kern w:val="22"/>
          <w:vertAlign w:val="superscript"/>
          <w:lang w:val="en-GB"/>
        </w:rPr>
        <w:footnoteReference w:id="62"/>
      </w:r>
      <w:r w:rsidRPr="00DF02C5">
        <w:rPr>
          <w:rFonts w:hAnsi="Times New Roman" w:cs="Times New Roman"/>
          <w:snapToGrid w:val="0"/>
          <w:kern w:val="22"/>
          <w:lang w:val="en-GB"/>
        </w:rPr>
        <w:t xml:space="preserve"> (d) plant</w:t>
      </w:r>
      <w:r w:rsidR="00BE14F2">
        <w:rPr>
          <w:rFonts w:hAnsi="Times New Roman" w:cs="Times New Roman"/>
          <w:snapToGrid w:val="0"/>
          <w:kern w:val="22"/>
          <w:lang w:val="en-GB"/>
        </w:rPr>
        <w:t xml:space="preserve"> protection, veterinary, pests;</w:t>
      </w:r>
      <w:r w:rsidRPr="00DF02C5">
        <w:rPr>
          <w:rFonts w:hAnsi="Times New Roman" w:cs="Times New Roman"/>
          <w:snapToGrid w:val="0"/>
          <w:kern w:val="22"/>
          <w:vertAlign w:val="superscript"/>
          <w:lang w:val="en-GB"/>
        </w:rPr>
        <w:footnoteReference w:id="63"/>
      </w:r>
      <w:r w:rsidRPr="00DF02C5">
        <w:rPr>
          <w:rFonts w:hAnsi="Times New Roman" w:cs="Times New Roman"/>
          <w:snapToGrid w:val="0"/>
          <w:kern w:val="22"/>
          <w:lang w:val="en-GB"/>
        </w:rPr>
        <w:t xml:space="preserve"> (e) science;</w:t>
      </w:r>
      <w:r w:rsidRPr="00DF02C5">
        <w:rPr>
          <w:rFonts w:hAnsi="Times New Roman" w:cs="Times New Roman"/>
          <w:snapToGrid w:val="0"/>
          <w:kern w:val="22"/>
          <w:vertAlign w:val="superscript"/>
          <w:lang w:val="en-GB"/>
        </w:rPr>
        <w:footnoteReference w:id="64"/>
      </w:r>
      <w:r w:rsidRPr="00DF02C5">
        <w:rPr>
          <w:rFonts w:hAnsi="Times New Roman" w:cs="Times New Roman"/>
          <w:snapToGrid w:val="0"/>
          <w:kern w:val="22"/>
          <w:lang w:val="en-GB"/>
        </w:rPr>
        <w:t xml:space="preserve"> (f) research and development</w:t>
      </w:r>
      <w:r w:rsidRPr="00DF02C5">
        <w:rPr>
          <w:rFonts w:hAnsi="Times New Roman" w:cs="Times New Roman"/>
          <w:snapToGrid w:val="0"/>
          <w:kern w:val="22"/>
          <w:vertAlign w:val="superscript"/>
          <w:lang w:val="en-GB"/>
        </w:rPr>
        <w:footnoteReference w:id="65"/>
      </w:r>
      <w:r w:rsidRPr="00DF02C5">
        <w:rPr>
          <w:rFonts w:hAnsi="Times New Roman" w:cs="Times New Roman"/>
          <w:snapToGrid w:val="0"/>
          <w:kern w:val="22"/>
          <w:lang w:val="en-GB"/>
        </w:rPr>
        <w:t>; (g) research funding agency</w:t>
      </w:r>
      <w:r w:rsidR="00BE14F2">
        <w:rPr>
          <w:rFonts w:hAnsi="Times New Roman" w:cs="Times New Roman"/>
          <w:snapToGrid w:val="0"/>
          <w:kern w:val="22"/>
          <w:lang w:val="en-GB"/>
        </w:rPr>
        <w:t>;</w:t>
      </w:r>
      <w:r w:rsidRPr="00DF02C5">
        <w:rPr>
          <w:rFonts w:hAnsi="Times New Roman" w:cs="Times New Roman"/>
          <w:snapToGrid w:val="0"/>
          <w:kern w:val="22"/>
          <w:vertAlign w:val="superscript"/>
          <w:lang w:val="en-GB"/>
        </w:rPr>
        <w:footnoteReference w:id="66"/>
      </w:r>
      <w:r w:rsidRPr="00DF02C5">
        <w:rPr>
          <w:rFonts w:hAnsi="Times New Roman" w:cs="Times New Roman"/>
          <w:snapToGrid w:val="0"/>
          <w:kern w:val="22"/>
          <w:lang w:val="en-GB"/>
        </w:rPr>
        <w:t xml:space="preserve"> (h) pharmacy or health</w:t>
      </w:r>
      <w:r w:rsidR="00BE14F2">
        <w:rPr>
          <w:rFonts w:hAnsi="Times New Roman" w:cs="Times New Roman"/>
          <w:snapToGrid w:val="0"/>
          <w:kern w:val="22"/>
          <w:lang w:val="en-GB"/>
        </w:rPr>
        <w:t>;</w:t>
      </w:r>
      <w:r w:rsidRPr="00DF02C5">
        <w:rPr>
          <w:rFonts w:hAnsi="Times New Roman" w:cs="Times New Roman"/>
          <w:snapToGrid w:val="0"/>
          <w:kern w:val="22"/>
          <w:vertAlign w:val="superscript"/>
          <w:lang w:val="en-GB"/>
        </w:rPr>
        <w:footnoteReference w:id="67"/>
      </w:r>
      <w:r w:rsidRPr="00DF02C5">
        <w:rPr>
          <w:rFonts w:hAnsi="Times New Roman" w:cs="Times New Roman"/>
          <w:snapToGrid w:val="0"/>
          <w:kern w:val="22"/>
          <w:lang w:val="en-GB"/>
        </w:rPr>
        <w:t xml:space="preserve"> (</w:t>
      </w:r>
      <w:proofErr w:type="spellStart"/>
      <w:r w:rsidRPr="00DF02C5">
        <w:rPr>
          <w:rFonts w:hAnsi="Times New Roman" w:cs="Times New Roman"/>
          <w:snapToGrid w:val="0"/>
          <w:kern w:val="22"/>
          <w:lang w:val="en-GB"/>
        </w:rPr>
        <w:t>i</w:t>
      </w:r>
      <w:proofErr w:type="spellEnd"/>
      <w:r w:rsidRPr="00DF02C5">
        <w:rPr>
          <w:rFonts w:hAnsi="Times New Roman" w:cs="Times New Roman"/>
          <w:snapToGrid w:val="0"/>
          <w:kern w:val="22"/>
          <w:lang w:val="en-GB"/>
        </w:rPr>
        <w:t>) economy or business</w:t>
      </w:r>
      <w:r w:rsidR="00BE14F2">
        <w:rPr>
          <w:rFonts w:hAnsi="Times New Roman" w:cs="Times New Roman"/>
          <w:snapToGrid w:val="0"/>
          <w:kern w:val="22"/>
          <w:lang w:val="en-GB"/>
        </w:rPr>
        <w:t>;</w:t>
      </w:r>
      <w:r w:rsidRPr="00DF02C5">
        <w:rPr>
          <w:rFonts w:hAnsi="Times New Roman" w:cs="Times New Roman"/>
          <w:snapToGrid w:val="0"/>
          <w:kern w:val="22"/>
          <w:vertAlign w:val="superscript"/>
          <w:lang w:val="en-GB"/>
        </w:rPr>
        <w:footnoteReference w:id="68"/>
      </w:r>
      <w:r w:rsidRPr="00DF02C5">
        <w:rPr>
          <w:rFonts w:hAnsi="Times New Roman" w:cs="Times New Roman"/>
          <w:snapToGrid w:val="0"/>
          <w:kern w:val="22"/>
          <w:lang w:val="en-GB"/>
        </w:rPr>
        <w:t xml:space="preserve"> or (j) market approval.</w:t>
      </w:r>
      <w:r w:rsidRPr="00DF02C5">
        <w:rPr>
          <w:rFonts w:hAnsi="Times New Roman" w:cs="Times New Roman"/>
          <w:snapToGrid w:val="0"/>
          <w:kern w:val="22"/>
          <w:vertAlign w:val="superscript"/>
          <w:lang w:val="en-GB"/>
        </w:rPr>
        <w:footnoteReference w:id="69"/>
      </w:r>
    </w:p>
    <w:p w14:paraId="0A2D9CD6" w14:textId="4542F7C8" w:rsidR="0049703E" w:rsidRPr="00DF02C5" w:rsidRDefault="0049703E" w:rsidP="00393914">
      <w:pPr>
        <w:numPr>
          <w:ilvl w:val="0"/>
          <w:numId w:val="1"/>
        </w:numPr>
        <w:spacing w:before="120" w:after="120"/>
        <w:rPr>
          <w:rFonts w:hAnsi="Times New Roman" w:cs="Times New Roman"/>
          <w:snapToGrid w:val="0"/>
          <w:kern w:val="22"/>
          <w:lang w:val="en-GB"/>
        </w:rPr>
      </w:pPr>
      <w:r w:rsidRPr="00DF02C5">
        <w:rPr>
          <w:rFonts w:hAnsi="Times New Roman" w:cs="Times New Roman"/>
          <w:snapToGrid w:val="0"/>
          <w:kern w:val="22"/>
          <w:lang w:val="en-GB"/>
        </w:rPr>
        <w:t xml:space="preserve">Some countries with designated checkpoints </w:t>
      </w:r>
      <w:r w:rsidR="00BD60A0" w:rsidRPr="00DF02C5">
        <w:rPr>
          <w:rFonts w:hAnsi="Times New Roman" w:cs="Times New Roman"/>
          <w:snapToGrid w:val="0"/>
          <w:kern w:val="22"/>
          <w:lang w:val="en-GB"/>
        </w:rPr>
        <w:t xml:space="preserve">shared </w:t>
      </w:r>
      <w:r w:rsidRPr="00DF02C5">
        <w:rPr>
          <w:rFonts w:hAnsi="Times New Roman" w:cs="Times New Roman"/>
          <w:snapToGrid w:val="0"/>
          <w:kern w:val="22"/>
          <w:lang w:val="en-GB"/>
        </w:rPr>
        <w:t xml:space="preserve">their plans to designate </w:t>
      </w:r>
      <w:r w:rsidR="00CF3B18" w:rsidRPr="00DF02C5">
        <w:rPr>
          <w:rFonts w:hAnsi="Times New Roman" w:cs="Times New Roman"/>
          <w:snapToGrid w:val="0"/>
          <w:kern w:val="22"/>
          <w:lang w:val="en-GB"/>
        </w:rPr>
        <w:t xml:space="preserve">additional </w:t>
      </w:r>
      <w:r w:rsidRPr="00DF02C5">
        <w:rPr>
          <w:rFonts w:hAnsi="Times New Roman" w:cs="Times New Roman"/>
          <w:snapToGrid w:val="0"/>
          <w:kern w:val="22"/>
          <w:lang w:val="en-GB"/>
        </w:rPr>
        <w:t>ones.</w:t>
      </w:r>
      <w:r w:rsidRPr="00DF02C5">
        <w:rPr>
          <w:rFonts w:hAnsi="Times New Roman" w:cs="Times New Roman"/>
          <w:snapToGrid w:val="0"/>
          <w:kern w:val="22"/>
          <w:vertAlign w:val="superscript"/>
          <w:lang w:val="en-GB"/>
        </w:rPr>
        <w:footnoteReference w:id="70"/>
      </w:r>
      <w:r w:rsidRPr="00DF02C5">
        <w:rPr>
          <w:rFonts w:hAnsi="Times New Roman" w:cs="Times New Roman"/>
          <w:snapToGrid w:val="0"/>
          <w:kern w:val="22"/>
          <w:lang w:val="en-GB"/>
        </w:rPr>
        <w:t xml:space="preserve"> For instance, Peru, in addition to the already designated checkpoints (the National Commission against Biopiracy and the intellectual property rights office, INDECOPI), is considering to designate other institutions along the value chain, such as the institutions that: (a) fund scientific research; (b) grant sanitary registries; (c) control pharmaceutical products; or (d) deal with taxes.   </w:t>
      </w:r>
    </w:p>
    <w:p w14:paraId="12E682FB" w14:textId="19B6EEF4" w:rsidR="0049703E" w:rsidRPr="00DF02C5" w:rsidRDefault="00CF3B18" w:rsidP="00393914">
      <w:pPr>
        <w:numPr>
          <w:ilvl w:val="0"/>
          <w:numId w:val="1"/>
        </w:numPr>
        <w:spacing w:before="120" w:after="120"/>
        <w:rPr>
          <w:rFonts w:hAnsi="Times New Roman" w:cs="Times New Roman"/>
          <w:snapToGrid w:val="0"/>
          <w:kern w:val="22"/>
          <w:lang w:val="en-GB"/>
        </w:rPr>
      </w:pPr>
      <w:r w:rsidRPr="00DF02C5">
        <w:rPr>
          <w:rFonts w:hAnsi="Times New Roman" w:cs="Times New Roman"/>
          <w:snapToGrid w:val="0"/>
          <w:kern w:val="22"/>
          <w:lang w:val="en-GB"/>
        </w:rPr>
        <w:t>Some c</w:t>
      </w:r>
      <w:r w:rsidR="0049703E" w:rsidRPr="00DF02C5">
        <w:rPr>
          <w:rFonts w:hAnsi="Times New Roman" w:cs="Times New Roman"/>
          <w:snapToGrid w:val="0"/>
          <w:kern w:val="22"/>
          <w:lang w:val="en-GB"/>
        </w:rPr>
        <w:t xml:space="preserve">ountries that reported not yet having designated one or more checkpoints also </w:t>
      </w:r>
      <w:r w:rsidR="00BD60A0" w:rsidRPr="00DF02C5">
        <w:rPr>
          <w:rFonts w:hAnsi="Times New Roman" w:cs="Times New Roman"/>
          <w:snapToGrid w:val="0"/>
          <w:kern w:val="22"/>
          <w:lang w:val="en-GB"/>
        </w:rPr>
        <w:t xml:space="preserve">shared information </w:t>
      </w:r>
      <w:r w:rsidR="0049703E" w:rsidRPr="00DF02C5">
        <w:rPr>
          <w:rFonts w:hAnsi="Times New Roman" w:cs="Times New Roman"/>
          <w:snapToGrid w:val="0"/>
          <w:kern w:val="22"/>
          <w:lang w:val="en-GB"/>
        </w:rPr>
        <w:t>on their progress and plans. For example, China is currently developing a regulation on access to genetic resources and benefit-sharing from their utilization, which will require the establishment of a checkpoint at sectoral level and multiple checkpoints involving the departments of agriculture, forestry, education, science and technology, customs administration, examination and quarantine</w:t>
      </w:r>
      <w:r w:rsidRPr="00DF02C5">
        <w:rPr>
          <w:rFonts w:hAnsi="Times New Roman" w:cs="Times New Roman"/>
          <w:snapToGrid w:val="0"/>
          <w:kern w:val="22"/>
          <w:lang w:val="en-GB"/>
        </w:rPr>
        <w:t>,</w:t>
      </w:r>
      <w:r w:rsidR="0049703E" w:rsidRPr="00DF02C5">
        <w:rPr>
          <w:rFonts w:hAnsi="Times New Roman" w:cs="Times New Roman"/>
          <w:snapToGrid w:val="0"/>
          <w:kern w:val="22"/>
          <w:lang w:val="en-GB"/>
        </w:rPr>
        <w:t xml:space="preserve"> and intellectual property rights administration. Mexico, for example, is carrying out pilot work towards the establishment of checkpoints, particularly </w:t>
      </w:r>
      <w:r w:rsidRPr="00DF02C5">
        <w:rPr>
          <w:rFonts w:hAnsi="Times New Roman" w:cs="Times New Roman"/>
          <w:snapToGrid w:val="0"/>
          <w:kern w:val="22"/>
          <w:lang w:val="en-GB"/>
        </w:rPr>
        <w:t xml:space="preserve">for </w:t>
      </w:r>
      <w:r w:rsidR="0049703E" w:rsidRPr="00DF02C5">
        <w:rPr>
          <w:rFonts w:hAnsi="Times New Roman" w:cs="Times New Roman"/>
          <w:snapToGrid w:val="0"/>
          <w:kern w:val="22"/>
          <w:lang w:val="en-GB"/>
        </w:rPr>
        <w:t>rese</w:t>
      </w:r>
      <w:r w:rsidRPr="00DF02C5">
        <w:rPr>
          <w:rFonts w:hAnsi="Times New Roman" w:cs="Times New Roman"/>
          <w:snapToGrid w:val="0"/>
          <w:kern w:val="22"/>
          <w:lang w:val="en-GB"/>
        </w:rPr>
        <w:t>arch and development activities</w:t>
      </w:r>
      <w:r w:rsidR="0049703E" w:rsidRPr="00DF02C5">
        <w:rPr>
          <w:rFonts w:hAnsi="Times New Roman" w:cs="Times New Roman"/>
          <w:snapToGrid w:val="0"/>
          <w:kern w:val="22"/>
          <w:lang w:val="en-GB"/>
        </w:rPr>
        <w:t>.</w:t>
      </w:r>
    </w:p>
    <w:p w14:paraId="303B845E" w14:textId="0224A856" w:rsidR="0049703E" w:rsidRPr="00B54C38" w:rsidRDefault="0049703E" w:rsidP="00B54C38">
      <w:pPr>
        <w:pStyle w:val="Para1"/>
        <w:numPr>
          <w:ilvl w:val="0"/>
          <w:numId w:val="85"/>
        </w:numPr>
        <w:spacing w:before="240"/>
        <w:ind w:left="0" w:firstLine="0"/>
        <w:jc w:val="center"/>
        <w:rPr>
          <w:rFonts w:eastAsia="Calibri" w:hAnsi="Times New Roman"/>
          <w:i/>
          <w:snapToGrid w:val="0"/>
          <w:kern w:val="22"/>
          <w:bdr w:val="none" w:sz="0" w:space="0" w:color="auto"/>
          <w:lang w:val="en-GB"/>
        </w:rPr>
      </w:pPr>
      <w:r w:rsidRPr="00B54C38">
        <w:rPr>
          <w:rFonts w:eastAsia="Calibri" w:hAnsi="Times New Roman"/>
          <w:i/>
          <w:snapToGrid w:val="0"/>
          <w:kern w:val="22"/>
          <w:bdr w:val="none" w:sz="0" w:space="0" w:color="auto"/>
          <w:lang w:val="en-GB"/>
        </w:rPr>
        <w:t>Additional information</w:t>
      </w:r>
      <w:r w:rsidR="00F06177" w:rsidRPr="00B54C38">
        <w:rPr>
          <w:rFonts w:eastAsia="Calibri" w:hAnsi="Times New Roman"/>
          <w:i/>
          <w:snapToGrid w:val="0"/>
          <w:kern w:val="22"/>
          <w:bdr w:val="none" w:sz="0" w:space="0" w:color="auto"/>
          <w:lang w:val="en-GB"/>
        </w:rPr>
        <w:t xml:space="preserve">: </w:t>
      </w:r>
      <w:r w:rsidR="00CF3B18" w:rsidRPr="00B54C38">
        <w:rPr>
          <w:rFonts w:eastAsia="Calibri" w:hAnsi="Times New Roman"/>
          <w:i/>
          <w:snapToGrid w:val="0"/>
          <w:kern w:val="22"/>
          <w:bdr w:val="none" w:sz="0" w:space="0" w:color="auto"/>
          <w:lang w:val="en-GB"/>
        </w:rPr>
        <w:t>summary of the main difficulties and challenges</w:t>
      </w:r>
      <w:r w:rsidR="00787D0A" w:rsidRPr="00B54C38">
        <w:rPr>
          <w:rFonts w:eastAsia="Calibri" w:hAnsi="Times New Roman"/>
          <w:i/>
          <w:snapToGrid w:val="0"/>
          <w:kern w:val="22"/>
          <w:bdr w:val="none" w:sz="0" w:space="0" w:color="auto"/>
          <w:lang w:val="en-GB"/>
        </w:rPr>
        <w:t xml:space="preserve"> (question 10)</w:t>
      </w:r>
    </w:p>
    <w:p w14:paraId="6970E6D0" w14:textId="77777777" w:rsidR="00CF3B18" w:rsidRPr="00DF02C5" w:rsidRDefault="00CF3B18" w:rsidP="00CF3B18">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 xml:space="preserve">In their reports, many Parties highlighted that the Nagoya Protocol was a new instrument, especially for those who just recently ratified it, and that they were still in the process of establishing access and benefit-sharing (ABS) measures and appropriate institutional arrangements. </w:t>
      </w:r>
    </w:p>
    <w:p w14:paraId="2B539DBE" w14:textId="4EE319BA" w:rsidR="00CF3B18" w:rsidRPr="00DF02C5" w:rsidRDefault="00CF3B18" w:rsidP="00CF3B18">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Many Parties highlighted the cross-cutting nature of the Protocol, which is relevant to many sectors, and the need to involve many actors as an important challenge for the adoption of measures and progress towards implementatio</w:t>
      </w:r>
      <w:r w:rsidR="004F5FD9">
        <w:rPr>
          <w:rFonts w:hAnsi="Times New Roman" w:cs="Times New Roman"/>
          <w:snapToGrid w:val="0"/>
          <w:color w:val="auto"/>
          <w:kern w:val="22"/>
          <w:lang w:val="en-GB"/>
        </w:rPr>
        <w:t>n.  A number of Parties recogniz</w:t>
      </w:r>
      <w:r w:rsidRPr="00DF02C5">
        <w:rPr>
          <w:rFonts w:hAnsi="Times New Roman" w:cs="Times New Roman"/>
          <w:snapToGrid w:val="0"/>
          <w:color w:val="auto"/>
          <w:kern w:val="22"/>
          <w:lang w:val="en-GB"/>
        </w:rPr>
        <w:t xml:space="preserve">ed that </w:t>
      </w:r>
      <w:proofErr w:type="gramStart"/>
      <w:r w:rsidRPr="00DF02C5">
        <w:rPr>
          <w:rFonts w:hAnsi="Times New Roman" w:cs="Times New Roman"/>
          <w:snapToGrid w:val="0"/>
          <w:color w:val="auto"/>
          <w:kern w:val="22"/>
          <w:lang w:val="en-GB"/>
        </w:rPr>
        <w:t>this created challenges</w:t>
      </w:r>
      <w:proofErr w:type="gramEnd"/>
      <w:r w:rsidRPr="00DF02C5">
        <w:rPr>
          <w:rFonts w:hAnsi="Times New Roman" w:cs="Times New Roman"/>
          <w:snapToGrid w:val="0"/>
          <w:color w:val="auto"/>
          <w:kern w:val="22"/>
          <w:lang w:val="en-GB"/>
        </w:rPr>
        <w:t xml:space="preserve"> in implementation at </w:t>
      </w:r>
      <w:r w:rsidRPr="00DF02C5">
        <w:rPr>
          <w:rFonts w:hAnsi="Times New Roman" w:cs="Times New Roman"/>
          <w:snapToGrid w:val="0"/>
          <w:color w:val="auto"/>
          <w:kern w:val="22"/>
          <w:lang w:val="en-GB"/>
        </w:rPr>
        <w:lastRenderedPageBreak/>
        <w:t>two levels: first, in ensuring participation in ABS processes of indigenous peoples and local communities and relevant stakeholders; and second, at the institutional level, many highlighted the need for better coordination among different institutions and rel</w:t>
      </w:r>
      <w:r w:rsidR="0035576A">
        <w:rPr>
          <w:rFonts w:hAnsi="Times New Roman" w:cs="Times New Roman"/>
          <w:snapToGrid w:val="0"/>
          <w:color w:val="auto"/>
          <w:kern w:val="22"/>
          <w:lang w:val="en-GB"/>
        </w:rPr>
        <w:t xml:space="preserve">evant agencies and ministries. </w:t>
      </w:r>
      <w:r w:rsidRPr="00DF02C5">
        <w:rPr>
          <w:rFonts w:hAnsi="Times New Roman" w:cs="Times New Roman"/>
          <w:snapToGrid w:val="0"/>
          <w:color w:val="auto"/>
          <w:kern w:val="22"/>
          <w:lang w:val="en-GB"/>
        </w:rPr>
        <w:t>Some also reported a lack of clear division of competencies between institutions, and either having gaps or overlaps in mandates on issues related to ABS.</w:t>
      </w:r>
    </w:p>
    <w:p w14:paraId="2A63AEE0" w14:textId="7AA9CD08" w:rsidR="00BA2465" w:rsidRPr="00DF02C5" w:rsidRDefault="00BA2465" w:rsidP="00BA2465">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Some explained in their reports difficulties experienced in developing ABS measures that take into account many different considerations (</w:t>
      </w:r>
      <w:r w:rsidR="00DF02C5" w:rsidRPr="00DF02C5">
        <w:rPr>
          <w:rFonts w:hAnsi="Times New Roman" w:cs="Times New Roman"/>
          <w:snapToGrid w:val="0"/>
          <w:color w:val="auto"/>
          <w:kern w:val="22"/>
          <w:lang w:val="en-GB"/>
        </w:rPr>
        <w:t>e.g.</w:t>
      </w:r>
      <w:r w:rsidRPr="00DF02C5">
        <w:rPr>
          <w:rFonts w:hAnsi="Times New Roman" w:cs="Times New Roman"/>
          <w:snapToGrid w:val="0"/>
          <w:color w:val="auto"/>
          <w:kern w:val="22"/>
          <w:lang w:val="en-GB"/>
        </w:rPr>
        <w:t xml:space="preserve"> many sectors and actors, or the different articles of the Nagoya Protocol), while at the same time adopting measures that are balanced, promote benefit-sharing and legal certainty, and avoid complexity, delays and increased burden and costs on users. </w:t>
      </w:r>
    </w:p>
    <w:p w14:paraId="6755A0D0" w14:textId="77777777" w:rsidR="00BA2465" w:rsidRPr="00DF02C5" w:rsidRDefault="00BA2465" w:rsidP="00BA2465">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 xml:space="preserve">Some Parties noted that the process for adopting ABS measures and making progress in implementation of the Protocol was more time consuming and slower than expected. </w:t>
      </w:r>
    </w:p>
    <w:p w14:paraId="41D7563E" w14:textId="6073C3AF" w:rsidR="00CF3B18" w:rsidRPr="00DF02C5" w:rsidRDefault="00CF3B18" w:rsidP="00CF3B18">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 xml:space="preserve">Although </w:t>
      </w:r>
      <w:proofErr w:type="gramStart"/>
      <w:r w:rsidRPr="00DF02C5">
        <w:rPr>
          <w:rFonts w:hAnsi="Times New Roman" w:cs="Times New Roman"/>
          <w:snapToGrid w:val="0"/>
          <w:color w:val="auto"/>
          <w:kern w:val="22"/>
          <w:lang w:val="en-GB"/>
        </w:rPr>
        <w:t>a number of</w:t>
      </w:r>
      <w:proofErr w:type="gramEnd"/>
      <w:r w:rsidRPr="00DF02C5">
        <w:rPr>
          <w:rFonts w:hAnsi="Times New Roman" w:cs="Times New Roman"/>
          <w:snapToGrid w:val="0"/>
          <w:color w:val="auto"/>
          <w:kern w:val="22"/>
          <w:lang w:val="en-GB"/>
        </w:rPr>
        <w:t xml:space="preserve"> capacity-building and development initiatives are currently supporting ratification and implementation of the Nagoya Protocol, many Parties reported lacking the necessary capacity and financial resources to </w:t>
      </w:r>
      <w:r w:rsidR="0035576A">
        <w:rPr>
          <w:rFonts w:hAnsi="Times New Roman" w:cs="Times New Roman"/>
          <w:snapToGrid w:val="0"/>
          <w:color w:val="auto"/>
          <w:kern w:val="22"/>
          <w:lang w:val="en-GB"/>
        </w:rPr>
        <w:t xml:space="preserve">make the Protocol operational. </w:t>
      </w:r>
      <w:r w:rsidRPr="00DF02C5">
        <w:rPr>
          <w:rFonts w:hAnsi="Times New Roman" w:cs="Times New Roman"/>
          <w:snapToGrid w:val="0"/>
          <w:color w:val="auto"/>
          <w:kern w:val="22"/>
          <w:lang w:val="en-GB"/>
        </w:rPr>
        <w:t xml:space="preserve">Capacity-building and development support continues to be essential to make progress in implementation of the Protocol, </w:t>
      </w:r>
      <w:proofErr w:type="gramStart"/>
      <w:r w:rsidRPr="00DF02C5">
        <w:rPr>
          <w:rFonts w:hAnsi="Times New Roman" w:cs="Times New Roman"/>
          <w:snapToGrid w:val="0"/>
          <w:color w:val="auto"/>
          <w:kern w:val="22"/>
          <w:lang w:val="en-GB"/>
        </w:rPr>
        <w:t>in particular for</w:t>
      </w:r>
      <w:proofErr w:type="gramEnd"/>
      <w:r w:rsidRPr="00DF02C5">
        <w:rPr>
          <w:rFonts w:hAnsi="Times New Roman" w:cs="Times New Roman"/>
          <w:snapToGrid w:val="0"/>
          <w:color w:val="auto"/>
          <w:kern w:val="22"/>
          <w:lang w:val="en-GB"/>
        </w:rPr>
        <w:t xml:space="preserve"> developing country Parties and Parties with economies in transition.</w:t>
      </w:r>
    </w:p>
    <w:p w14:paraId="7D1468A7" w14:textId="77777777" w:rsidR="00CF3B18" w:rsidRPr="00DF02C5" w:rsidRDefault="00CF3B18" w:rsidP="00CF3B18">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 xml:space="preserve">The lack of human resources working on ABS and the Nagoya Protocol also seems to be a challenge for many Parties. Many Parties indicated having limited human resources working on Nagoya Protocol implementation and that available staff is either temporary or has other responsibilities. </w:t>
      </w:r>
    </w:p>
    <w:p w14:paraId="12FFD099" w14:textId="2E18693D" w:rsidR="00CF3B18" w:rsidRPr="00DF02C5" w:rsidRDefault="00CF3B18" w:rsidP="00CF3B18">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Many highlighted the need for building capacity and raising awareness of the Protocol of all actors involved, including institutions, indigenous peoples and local communities and relevant stakeholders (</w:t>
      </w:r>
      <w:r w:rsidR="00DF02C5" w:rsidRPr="00DF02C5">
        <w:rPr>
          <w:rFonts w:hAnsi="Times New Roman" w:cs="Times New Roman"/>
          <w:snapToGrid w:val="0"/>
          <w:color w:val="auto"/>
          <w:kern w:val="22"/>
          <w:lang w:val="en-GB"/>
        </w:rPr>
        <w:t>e.g.</w:t>
      </w:r>
      <w:r w:rsidRPr="00DF02C5">
        <w:rPr>
          <w:rFonts w:hAnsi="Times New Roman" w:cs="Times New Roman"/>
          <w:snapToGrid w:val="0"/>
          <w:color w:val="auto"/>
          <w:kern w:val="22"/>
          <w:lang w:val="en-GB"/>
        </w:rPr>
        <w:t xml:space="preserve"> business and scientific community). </w:t>
      </w:r>
    </w:p>
    <w:p w14:paraId="7AF22FB5" w14:textId="23577813" w:rsidR="00CF3B18" w:rsidRPr="00DF02C5" w:rsidRDefault="00CF3B18" w:rsidP="00BA2465">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 xml:space="preserve">Many Parties considered that the difficulties mentioned above were hindering progress in adopting legislative, administrative and policy measures (ABS measures) and establishing institutional arrangements to implement the Protocol, with the exception of the designation of the national focal point where Parties generally felt that there were no challenges to report. </w:t>
      </w:r>
    </w:p>
    <w:p w14:paraId="381D2073" w14:textId="2863CF39" w:rsidR="00CF3B18" w:rsidRPr="00DF02C5" w:rsidRDefault="00CF3B18" w:rsidP="00CF3B18">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The lack of ABS measures and/or institutional arrangements was considered by many as the main reason for not having made progress in the publication of mandatory information in the A</w:t>
      </w:r>
      <w:r w:rsidR="0035576A">
        <w:rPr>
          <w:rFonts w:hAnsi="Times New Roman" w:cs="Times New Roman"/>
          <w:snapToGrid w:val="0"/>
          <w:color w:val="auto"/>
          <w:kern w:val="22"/>
          <w:lang w:val="en-GB"/>
        </w:rPr>
        <w:t>BS Clearing</w:t>
      </w:r>
      <w:r w:rsidR="0035576A">
        <w:rPr>
          <w:rFonts w:hAnsi="Times New Roman" w:cs="Times New Roman"/>
          <w:snapToGrid w:val="0"/>
          <w:color w:val="auto"/>
          <w:kern w:val="22"/>
          <w:lang w:val="en-GB"/>
        </w:rPr>
        <w:noBreakHyphen/>
      </w:r>
      <w:r w:rsidRPr="00DF02C5">
        <w:rPr>
          <w:rFonts w:hAnsi="Times New Roman" w:cs="Times New Roman"/>
          <w:snapToGrid w:val="0"/>
          <w:color w:val="auto"/>
          <w:kern w:val="22"/>
          <w:lang w:val="en-GB"/>
        </w:rPr>
        <w:t>House, including in the constitution</w:t>
      </w:r>
      <w:r w:rsidR="00B54C38">
        <w:rPr>
          <w:rFonts w:hAnsi="Times New Roman" w:cs="Times New Roman"/>
          <w:snapToGrid w:val="0"/>
          <w:color w:val="auto"/>
          <w:kern w:val="22"/>
          <w:lang w:val="en-GB"/>
        </w:rPr>
        <w:t xml:space="preserve"> of the internationally recogniz</w:t>
      </w:r>
      <w:r w:rsidRPr="00DF02C5">
        <w:rPr>
          <w:rFonts w:hAnsi="Times New Roman" w:cs="Times New Roman"/>
          <w:snapToGrid w:val="0"/>
          <w:color w:val="auto"/>
          <w:kern w:val="22"/>
          <w:lang w:val="en-GB"/>
        </w:rPr>
        <w:t>ed certificates of compliance.</w:t>
      </w:r>
    </w:p>
    <w:p w14:paraId="117FB612" w14:textId="77777777" w:rsidR="00BA2465" w:rsidRPr="00DF02C5" w:rsidRDefault="00BA2465" w:rsidP="00BA2465">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 xml:space="preserve">In general, for many Parties, progress regarding the establishment of competent national authorities and checkpoints is tied to progress in adopting the necessary ABS measures. Some measures adopted prior to the Nagoya Protocol include the designation of one or more competent national authorities. However, the designation of checkpoints and the compliance provisions in general are one of the innovations of the Protocol, therefore many Parties still need to adopt or review ABS measures to incorporate these elements. </w:t>
      </w:r>
    </w:p>
    <w:p w14:paraId="6B789446" w14:textId="77777777" w:rsidR="00BA2465" w:rsidRPr="00DF02C5" w:rsidRDefault="00BA2465" w:rsidP="00BA2465">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 xml:space="preserve">In addition to general difficulties in terms of resources and capacity; the most common challenges mentioned in designating one or more CNAs relate to clarifying mandates between institutions and agencies, ensuring coordination among CNAs, as well as between the CNA and other national institutions. On the other hand, some Parties reported not having experienced major difficulties in establishing competent national authorities. </w:t>
      </w:r>
    </w:p>
    <w:p w14:paraId="0BDD2311" w14:textId="45A4EEAD" w:rsidR="00BA2465" w:rsidRPr="00DF02C5" w:rsidRDefault="0035576A" w:rsidP="00BA2465">
      <w:pPr>
        <w:numPr>
          <w:ilvl w:val="0"/>
          <w:numId w:val="1"/>
        </w:numPr>
        <w:spacing w:before="120" w:after="120"/>
        <w:rPr>
          <w:rFonts w:hAnsi="Times New Roman" w:cs="Times New Roman"/>
          <w:snapToGrid w:val="0"/>
          <w:color w:val="auto"/>
          <w:kern w:val="22"/>
          <w:lang w:val="en-GB"/>
        </w:rPr>
      </w:pPr>
      <w:proofErr w:type="gramStart"/>
      <w:r>
        <w:rPr>
          <w:rFonts w:hAnsi="Times New Roman" w:cs="Times New Roman"/>
          <w:snapToGrid w:val="0"/>
          <w:color w:val="auto"/>
          <w:kern w:val="22"/>
          <w:lang w:val="en-GB"/>
        </w:rPr>
        <w:t>With regard</w:t>
      </w:r>
      <w:r w:rsidR="00BA2465" w:rsidRPr="00DF02C5">
        <w:rPr>
          <w:rFonts w:hAnsi="Times New Roman" w:cs="Times New Roman"/>
          <w:snapToGrid w:val="0"/>
          <w:color w:val="auto"/>
          <w:kern w:val="22"/>
          <w:lang w:val="en-GB"/>
        </w:rPr>
        <w:t xml:space="preserve"> to</w:t>
      </w:r>
      <w:proofErr w:type="gramEnd"/>
      <w:r w:rsidR="00BA2465" w:rsidRPr="00DF02C5">
        <w:rPr>
          <w:rFonts w:hAnsi="Times New Roman" w:cs="Times New Roman"/>
          <w:snapToGrid w:val="0"/>
          <w:color w:val="auto"/>
          <w:kern w:val="22"/>
          <w:lang w:val="en-GB"/>
        </w:rPr>
        <w:t xml:space="preserve"> checkpoints, some Parties identified the need for further analysis or studies as well as capacity-building to implement the compliance related provisions of the Protocol. A number of Parties, in defining checkpoints, considered it challenging to strike a balance between having effective checkpoints, covering the full range of relevant ABS activities, while avoiding creating unnecessary administrative burdens. </w:t>
      </w:r>
    </w:p>
    <w:p w14:paraId="1A0B5C74" w14:textId="77777777" w:rsidR="00BA2465" w:rsidRPr="00DF02C5" w:rsidRDefault="00BA2465" w:rsidP="00BA2465">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 xml:space="preserve">Some Parties reported that there were no perceived challenges in making information available in the ABS Clearing-House. Some of the difficulties and challenges identified by other Parties are the following: (a) delays in the designation of the publishing authority; (b) frequent changes in responsible </w:t>
      </w:r>
      <w:r w:rsidRPr="00DF02C5">
        <w:rPr>
          <w:rFonts w:hAnsi="Times New Roman" w:cs="Times New Roman"/>
          <w:snapToGrid w:val="0"/>
          <w:color w:val="auto"/>
          <w:kern w:val="22"/>
          <w:lang w:val="en-GB"/>
        </w:rPr>
        <w:lastRenderedPageBreak/>
        <w:t xml:space="preserve">authorities; (c) need for translation of the ABS Clearing-House in languages; (d) need for capacity to use the ABS Clearing-House; and (e) technical difficulties. </w:t>
      </w:r>
    </w:p>
    <w:p w14:paraId="5C9CC549" w14:textId="6DBCE31C" w:rsidR="004563B7" w:rsidRPr="00DF02C5" w:rsidRDefault="00BA2465" w:rsidP="007141EC">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With respect</w:t>
      </w:r>
      <w:r w:rsidR="00B54C38">
        <w:rPr>
          <w:rFonts w:hAnsi="Times New Roman" w:cs="Times New Roman"/>
          <w:snapToGrid w:val="0"/>
          <w:color w:val="auto"/>
          <w:kern w:val="22"/>
          <w:lang w:val="en-GB"/>
        </w:rPr>
        <w:t xml:space="preserve"> to the internationally recogniz</w:t>
      </w:r>
      <w:r w:rsidRPr="00DF02C5">
        <w:rPr>
          <w:rFonts w:hAnsi="Times New Roman" w:cs="Times New Roman"/>
          <w:snapToGrid w:val="0"/>
          <w:color w:val="auto"/>
          <w:kern w:val="22"/>
          <w:lang w:val="en-GB"/>
        </w:rPr>
        <w:t xml:space="preserve">ed certificates of compliance, Parties that reported having issued permits or their equivalents identified the following constraints for publishing this information in the ABS Clearing-House: (a) the need to adopt ABS measures; (b) technical problems accessing the ABS Clearing-House; (c) the need to streamline the process for making permits available to the ABS Clearing-House; (d) lack of human resources; (e) need for capacity-building; and (f) delays in the designation of publishing authorities. </w:t>
      </w:r>
    </w:p>
    <w:p w14:paraId="087326D3" w14:textId="4DCDCA3C" w:rsidR="0049703E" w:rsidRPr="00DF02C5" w:rsidRDefault="0049703E" w:rsidP="00393914">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Some countries that have already made available permits to the ABS Clearing-House noted the need to make the transfer of information to the ABS Clearing-House less time consuming. For example, a country explained that the fact that the format of the agreement was different from the IRCC format made the submission of information time consuming; another country noted that automatized transfer to the ABS Clearing-House was desirable; and other countries reported to be w</w:t>
      </w:r>
      <w:r w:rsidR="00B54C38">
        <w:rPr>
          <w:rFonts w:hAnsi="Times New Roman" w:cs="Times New Roman"/>
          <w:snapToGrid w:val="0"/>
          <w:color w:val="auto"/>
          <w:kern w:val="22"/>
          <w:lang w:val="en-GB"/>
        </w:rPr>
        <w:t>orking on improving a standardiz</w:t>
      </w:r>
      <w:r w:rsidRPr="00DF02C5">
        <w:rPr>
          <w:rFonts w:hAnsi="Times New Roman" w:cs="Times New Roman"/>
          <w:snapToGrid w:val="0"/>
          <w:color w:val="auto"/>
          <w:kern w:val="22"/>
          <w:lang w:val="en-GB"/>
        </w:rPr>
        <w:t>ed flow of information on permits from the CNA to the publishing authority to facilitate the publication of information on the ABS Clearing-House.</w:t>
      </w:r>
    </w:p>
    <w:p w14:paraId="44A52B98" w14:textId="33B6F0E5" w:rsidR="0049703E" w:rsidRPr="00DF02C5" w:rsidRDefault="0049703E" w:rsidP="00393914">
      <w:pPr>
        <w:numPr>
          <w:ilvl w:val="0"/>
          <w:numId w:val="1"/>
        </w:numPr>
        <w:spacing w:before="120" w:after="120"/>
        <w:rPr>
          <w:rFonts w:hAnsi="Times New Roman" w:cs="Times New Roman"/>
          <w:snapToGrid w:val="0"/>
          <w:color w:val="auto"/>
          <w:kern w:val="22"/>
          <w:lang w:val="en-GB"/>
        </w:rPr>
      </w:pPr>
      <w:r w:rsidRPr="00DF02C5">
        <w:rPr>
          <w:rFonts w:hAnsi="Times New Roman" w:cs="Times New Roman"/>
          <w:snapToGrid w:val="0"/>
          <w:color w:val="auto"/>
          <w:kern w:val="22"/>
          <w:lang w:val="en-GB"/>
        </w:rPr>
        <w:t>Some countries also mentioned the need to develop databases about genetic resources or information systems related to ABS.</w:t>
      </w:r>
    </w:p>
    <w:p w14:paraId="0DB32D2D" w14:textId="6F0829BA" w:rsidR="00EA65E0" w:rsidRPr="00DF02C5" w:rsidRDefault="00EA65E0" w:rsidP="003500AA">
      <w:pPr>
        <w:pStyle w:val="Heading2"/>
        <w:numPr>
          <w:ilvl w:val="0"/>
          <w:numId w:val="10"/>
        </w:numPr>
        <w:tabs>
          <w:tab w:val="clear" w:pos="720"/>
          <w:tab w:val="left" w:pos="1701"/>
        </w:tabs>
        <w:spacing w:before="240"/>
        <w:ind w:left="1701" w:right="429" w:hanging="851"/>
        <w:jc w:val="left"/>
        <w:rPr>
          <w:rFonts w:eastAsia="Calibri"/>
          <w:snapToGrid w:val="0"/>
          <w:kern w:val="22"/>
          <w:lang w:val="en-GB"/>
        </w:rPr>
      </w:pPr>
      <w:bookmarkStart w:id="8" w:name="_Toc511112604"/>
      <w:r w:rsidRPr="00DF02C5">
        <w:rPr>
          <w:rFonts w:eastAsia="Calibri"/>
          <w:snapToGrid w:val="0"/>
          <w:kern w:val="22"/>
          <w:lang w:val="en-GB"/>
        </w:rPr>
        <w:t>ABS measure</w:t>
      </w:r>
      <w:r w:rsidR="00756B08">
        <w:rPr>
          <w:rFonts w:eastAsia="Calibri"/>
          <w:snapToGrid w:val="0"/>
          <w:kern w:val="22"/>
          <w:lang w:val="en-GB"/>
        </w:rPr>
        <w:t>s: Access to genetic resources (</w:t>
      </w:r>
      <w:r w:rsidR="008F2AF0" w:rsidRPr="00DF02C5">
        <w:rPr>
          <w:rFonts w:eastAsia="Calibri"/>
          <w:snapToGrid w:val="0"/>
          <w:kern w:val="22"/>
          <w:lang w:val="en-GB"/>
        </w:rPr>
        <w:t>Article 6</w:t>
      </w:r>
      <w:r w:rsidR="00756B08">
        <w:rPr>
          <w:rFonts w:eastAsia="Calibri"/>
          <w:snapToGrid w:val="0"/>
          <w:kern w:val="22"/>
          <w:lang w:val="en-GB"/>
        </w:rPr>
        <w:t>)</w:t>
      </w:r>
      <w:r w:rsidRPr="00DF02C5">
        <w:rPr>
          <w:rFonts w:eastAsia="Calibri"/>
          <w:snapToGrid w:val="0"/>
          <w:kern w:val="22"/>
          <w:lang w:val="en-GB"/>
        </w:rPr>
        <w:t xml:space="preserve"> (questions 11</w:t>
      </w:r>
      <w:r w:rsidR="00774F8E" w:rsidRPr="00DF02C5">
        <w:rPr>
          <w:rFonts w:eastAsia="Calibri"/>
          <w:snapToGrid w:val="0"/>
          <w:kern w:val="22"/>
          <w:lang w:val="en-GB"/>
        </w:rPr>
        <w:t xml:space="preserve"> to </w:t>
      </w:r>
      <w:r w:rsidRPr="00DF02C5">
        <w:rPr>
          <w:rFonts w:eastAsia="Calibri"/>
          <w:snapToGrid w:val="0"/>
          <w:kern w:val="22"/>
          <w:lang w:val="en-GB"/>
        </w:rPr>
        <w:t>19)</w:t>
      </w:r>
      <w:bookmarkEnd w:id="8"/>
    </w:p>
    <w:p w14:paraId="2DD8D7DD" w14:textId="6E75F92E" w:rsidR="00EA65E0" w:rsidRPr="0035576A" w:rsidRDefault="008F2AF0" w:rsidP="008F2AF0">
      <w:pPr>
        <w:pStyle w:val="Para1"/>
        <w:numPr>
          <w:ilvl w:val="6"/>
          <w:numId w:val="1"/>
        </w:numPr>
        <w:jc w:val="center"/>
        <w:rPr>
          <w:rFonts w:eastAsia="Calibri" w:hAnsi="Times New Roman"/>
          <w:i/>
          <w:snapToGrid w:val="0"/>
          <w:kern w:val="22"/>
          <w:bdr w:val="none" w:sz="0" w:space="0" w:color="auto"/>
          <w:lang w:val="en-GB"/>
        </w:rPr>
      </w:pPr>
      <w:r w:rsidRPr="0035576A">
        <w:rPr>
          <w:rFonts w:eastAsia="Calibri" w:hAnsi="Times New Roman"/>
          <w:i/>
          <w:snapToGrid w:val="0"/>
          <w:kern w:val="22"/>
          <w:bdr w:val="none" w:sz="0" w:space="0" w:color="auto"/>
          <w:lang w:val="en-GB"/>
        </w:rPr>
        <w:t xml:space="preserve">Is access to genetic resources subject to PIC as provided in Article 6.1? </w:t>
      </w:r>
      <w:r w:rsidR="00EA65E0" w:rsidRPr="0035576A">
        <w:rPr>
          <w:rFonts w:eastAsia="Calibri" w:hAnsi="Times New Roman"/>
          <w:i/>
          <w:snapToGrid w:val="0"/>
          <w:kern w:val="22"/>
          <w:bdr w:val="none" w:sz="0" w:space="0" w:color="auto"/>
          <w:lang w:val="en-GB"/>
        </w:rPr>
        <w:t>(question 11)</w:t>
      </w:r>
    </w:p>
    <w:p w14:paraId="6C8618EB" w14:textId="77777777" w:rsidR="00446137" w:rsidRPr="00DF02C5" w:rsidRDefault="008F2AF0" w:rsidP="00446137">
      <w:pPr>
        <w:numPr>
          <w:ilvl w:val="0"/>
          <w:numId w:val="1"/>
        </w:numPr>
        <w:spacing w:before="120" w:after="120"/>
        <w:rPr>
          <w:rFonts w:eastAsia="Calibri" w:hAnsi="Times New Roman"/>
          <w:snapToGrid w:val="0"/>
          <w:kern w:val="22"/>
          <w:bdr w:val="none" w:sz="0" w:space="0" w:color="auto"/>
          <w:lang w:val="en-GB"/>
        </w:rPr>
      </w:pPr>
      <w:proofErr w:type="gramStart"/>
      <w:r w:rsidRPr="00DF02C5">
        <w:rPr>
          <w:rFonts w:eastAsia="Calibri" w:hAnsi="Times New Roman"/>
          <w:snapToGrid w:val="0"/>
          <w:kern w:val="22"/>
          <w:bdr w:val="none" w:sz="0" w:space="0" w:color="auto"/>
          <w:lang w:val="en-GB"/>
        </w:rPr>
        <w:t>Thirty-seven</w:t>
      </w:r>
      <w:proofErr w:type="gramEnd"/>
      <w:r w:rsidRPr="00DF02C5">
        <w:rPr>
          <w:rFonts w:eastAsia="Calibri" w:hAnsi="Times New Roman"/>
          <w:snapToGrid w:val="0"/>
          <w:kern w:val="22"/>
          <w:bdr w:val="none" w:sz="0" w:space="0" w:color="auto"/>
          <w:lang w:val="en-GB"/>
        </w:rPr>
        <w:t xml:space="preserve"> Parties and two non-Parties responded that access to genetic resources was subject to PIC</w:t>
      </w:r>
      <w:r w:rsidR="00446137" w:rsidRPr="00DF02C5">
        <w:rPr>
          <w:rFonts w:eastAsia="Calibri" w:hAnsi="Times New Roman"/>
          <w:snapToGrid w:val="0"/>
          <w:kern w:val="22"/>
          <w:bdr w:val="none" w:sz="0" w:space="0" w:color="auto"/>
          <w:lang w:val="en-GB"/>
        </w:rPr>
        <w:t xml:space="preserve"> while thirty-two</w:t>
      </w:r>
      <w:r w:rsidRPr="00DF02C5">
        <w:rPr>
          <w:rFonts w:eastAsia="Calibri" w:hAnsi="Times New Roman"/>
          <w:snapToGrid w:val="0"/>
          <w:kern w:val="22"/>
          <w:bdr w:val="none" w:sz="0" w:space="0" w:color="auto"/>
          <w:lang w:val="en-GB"/>
        </w:rPr>
        <w:t xml:space="preserve"> Partie</w:t>
      </w:r>
      <w:r w:rsidR="00446137" w:rsidRPr="00DF02C5">
        <w:rPr>
          <w:rFonts w:eastAsia="Calibri" w:hAnsi="Times New Roman"/>
          <w:snapToGrid w:val="0"/>
          <w:kern w:val="22"/>
          <w:bdr w:val="none" w:sz="0" w:space="0" w:color="auto"/>
          <w:lang w:val="en-GB"/>
        </w:rPr>
        <w:t xml:space="preserve">s and four non-Parties indicated </w:t>
      </w:r>
      <w:r w:rsidRPr="00DF02C5">
        <w:rPr>
          <w:rFonts w:eastAsia="Calibri" w:hAnsi="Times New Roman"/>
          <w:snapToGrid w:val="0"/>
          <w:kern w:val="22"/>
          <w:bdr w:val="none" w:sz="0" w:space="0" w:color="auto"/>
          <w:lang w:val="en-GB"/>
        </w:rPr>
        <w:t>tha</w:t>
      </w:r>
      <w:r w:rsidR="00446137" w:rsidRPr="00DF02C5">
        <w:rPr>
          <w:rFonts w:eastAsia="Calibri" w:hAnsi="Times New Roman"/>
          <w:snapToGrid w:val="0"/>
          <w:kern w:val="22"/>
          <w:bdr w:val="none" w:sz="0" w:space="0" w:color="auto"/>
          <w:lang w:val="en-GB"/>
        </w:rPr>
        <w:t>t access to genetic resources was</w:t>
      </w:r>
      <w:r w:rsidRPr="00DF02C5">
        <w:rPr>
          <w:rFonts w:eastAsia="Calibri" w:hAnsi="Times New Roman"/>
          <w:snapToGrid w:val="0"/>
          <w:kern w:val="22"/>
          <w:bdr w:val="none" w:sz="0" w:space="0" w:color="auto"/>
          <w:lang w:val="en-GB"/>
        </w:rPr>
        <w:t xml:space="preserve"> not subject to PIC</w:t>
      </w:r>
      <w:r w:rsidR="00446137" w:rsidRPr="00DF02C5">
        <w:rPr>
          <w:rFonts w:eastAsia="Calibri" w:hAnsi="Times New Roman"/>
          <w:snapToGrid w:val="0"/>
          <w:kern w:val="22"/>
          <w:bdr w:val="none" w:sz="0" w:space="0" w:color="auto"/>
          <w:lang w:val="en-GB"/>
        </w:rPr>
        <w:t>. Countries that answered “yes” were invited to answer questions 12 to 17, related to access.</w:t>
      </w:r>
    </w:p>
    <w:p w14:paraId="6FF22922" w14:textId="24B684A7" w:rsidR="008F2AF0" w:rsidRPr="00DF02C5" w:rsidRDefault="00446137" w:rsidP="008F2AF0">
      <w:pPr>
        <w:numPr>
          <w:ilvl w:val="0"/>
          <w:numId w:val="1"/>
        </w:numPr>
        <w:spacing w:before="120" w:after="120"/>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 xml:space="preserve">The following provides the percentage of countries that answered “yes” and “no” to this question by region. </w:t>
      </w:r>
    </w:p>
    <w:p w14:paraId="2955488D" w14:textId="2C52DDDA" w:rsidR="008F2AF0" w:rsidRPr="00DF02C5" w:rsidRDefault="007D5F65" w:rsidP="00E5256F">
      <w:pPr>
        <w:pStyle w:val="Caption"/>
        <w:keepNext/>
        <w:keepLines/>
        <w:rPr>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00E5256F" w:rsidRPr="00DF02C5">
        <w:rPr>
          <w:noProof/>
          <w:lang w:val="en-GB"/>
        </w:rPr>
        <w:t>6</w:t>
      </w:r>
      <w:r w:rsidRPr="00DF02C5">
        <w:rPr>
          <w:lang w:val="en-GB"/>
        </w:rPr>
        <w:fldChar w:fldCharType="end"/>
      </w:r>
      <w:r w:rsidR="008F2AF0" w:rsidRPr="00DF02C5">
        <w:rPr>
          <w:lang w:val="en-GB"/>
        </w:rPr>
        <w:t>: Access to genetic resources subject to PIC (percentage of countries)</w:t>
      </w:r>
    </w:p>
    <w:p w14:paraId="2F3DBC85" w14:textId="63E9DC57" w:rsidR="008F2AF0" w:rsidRPr="00DF02C5" w:rsidRDefault="00E5256F" w:rsidP="008F2AF0">
      <w:pPr>
        <w:pStyle w:val="Para1"/>
        <w:jc w:val="center"/>
        <w:rPr>
          <w:rFonts w:eastAsia="Calibri" w:hAnsi="Times New Roman"/>
          <w:b/>
          <w:snapToGrid w:val="0"/>
          <w:kern w:val="22"/>
          <w:bdr w:val="none" w:sz="0" w:space="0" w:color="auto"/>
          <w:lang w:val="en-GB"/>
        </w:rPr>
      </w:pPr>
      <w:r w:rsidRPr="00DF02C5">
        <w:rPr>
          <w:noProof/>
        </w:rPr>
        <w:drawing>
          <wp:inline distT="0" distB="0" distL="0" distR="0" wp14:anchorId="4C971773" wp14:editId="64934195">
            <wp:extent cx="3362325" cy="1990725"/>
            <wp:effectExtent l="0" t="0" r="9525" b="9525"/>
            <wp:docPr id="2" name="Picture 2" descr="cid:image005.png@01D3CFF1.6B23C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5.png@01D3CFF1.6B23C29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367164" cy="1993590"/>
                    </a:xfrm>
                    <a:prstGeom prst="rect">
                      <a:avLst/>
                    </a:prstGeom>
                    <a:noFill/>
                    <a:ln>
                      <a:noFill/>
                    </a:ln>
                  </pic:spPr>
                </pic:pic>
              </a:graphicData>
            </a:graphic>
          </wp:inline>
        </w:drawing>
      </w:r>
    </w:p>
    <w:p w14:paraId="090BBEDB" w14:textId="73292150" w:rsidR="00446137" w:rsidRPr="004F5FD9" w:rsidRDefault="00446137" w:rsidP="00446137">
      <w:pPr>
        <w:pStyle w:val="Para1"/>
        <w:numPr>
          <w:ilvl w:val="1"/>
          <w:numId w:val="1"/>
        </w:numPr>
        <w:rPr>
          <w:rFonts w:eastAsia="Calibri" w:hAnsi="Times New Roman"/>
          <w:i/>
          <w:snapToGrid w:val="0"/>
          <w:kern w:val="22"/>
          <w:bdr w:val="none" w:sz="0" w:space="0" w:color="auto"/>
          <w:lang w:val="en-GB"/>
        </w:rPr>
      </w:pPr>
      <w:r w:rsidRPr="004F5FD9">
        <w:rPr>
          <w:rFonts w:eastAsia="Calibri" w:hAnsi="Times New Roman"/>
          <w:i/>
          <w:snapToGrid w:val="0"/>
          <w:kern w:val="22"/>
          <w:bdr w:val="none" w:sz="0" w:space="0" w:color="auto"/>
          <w:lang w:val="en-GB"/>
        </w:rPr>
        <w:t>Countries that answered “yes”</w:t>
      </w:r>
    </w:p>
    <w:p w14:paraId="06F93988" w14:textId="6E38C9BF" w:rsidR="009F6835" w:rsidRPr="00DF02C5" w:rsidRDefault="00BD60A0" w:rsidP="00393914">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S</w:t>
      </w:r>
      <w:r w:rsidR="00EA65E0" w:rsidRPr="00DF02C5">
        <w:rPr>
          <w:rFonts w:eastAsia="Calibri" w:hAnsi="Times New Roman"/>
          <w:snapToGrid w:val="0"/>
          <w:kern w:val="22"/>
          <w:bdr w:val="none" w:sz="0" w:space="0" w:color="auto"/>
          <w:lang w:val="en-GB"/>
        </w:rPr>
        <w:t xml:space="preserve">ome countries referred to </w:t>
      </w:r>
      <w:r w:rsidR="009F6835" w:rsidRPr="00DF02C5">
        <w:rPr>
          <w:rFonts w:eastAsia="Calibri" w:hAnsi="Times New Roman"/>
          <w:snapToGrid w:val="0"/>
          <w:kern w:val="22"/>
          <w:bdr w:val="none" w:sz="0" w:space="0" w:color="auto"/>
          <w:lang w:val="en-GB"/>
        </w:rPr>
        <w:t>relevant</w:t>
      </w:r>
      <w:r w:rsidR="00EA65E0" w:rsidRPr="00DF02C5">
        <w:rPr>
          <w:rFonts w:eastAsia="Calibri" w:hAnsi="Times New Roman"/>
          <w:snapToGrid w:val="0"/>
          <w:kern w:val="22"/>
          <w:bdr w:val="none" w:sz="0" w:space="0" w:color="auto"/>
          <w:lang w:val="en-GB"/>
        </w:rPr>
        <w:t xml:space="preserve"> ABS measures </w:t>
      </w:r>
      <w:r w:rsidR="008C1C10" w:rsidRPr="00DF02C5">
        <w:rPr>
          <w:rFonts w:eastAsia="Calibri" w:hAnsi="Times New Roman"/>
          <w:snapToGrid w:val="0"/>
          <w:kern w:val="22"/>
          <w:bdr w:val="none" w:sz="0" w:space="0" w:color="auto"/>
          <w:lang w:val="en-GB"/>
        </w:rPr>
        <w:t xml:space="preserve">that </w:t>
      </w:r>
      <w:r w:rsidR="00DF2145" w:rsidRPr="00DF02C5">
        <w:rPr>
          <w:rFonts w:eastAsia="Calibri" w:hAnsi="Times New Roman"/>
          <w:snapToGrid w:val="0"/>
          <w:kern w:val="22"/>
          <w:bdr w:val="none" w:sz="0" w:space="0" w:color="auto"/>
          <w:lang w:val="en-GB"/>
        </w:rPr>
        <w:t xml:space="preserve">include </w:t>
      </w:r>
      <w:r w:rsidR="008C1C10" w:rsidRPr="00DF02C5">
        <w:rPr>
          <w:rFonts w:eastAsia="Calibri" w:hAnsi="Times New Roman"/>
          <w:snapToGrid w:val="0"/>
          <w:kern w:val="22"/>
          <w:bdr w:val="none" w:sz="0" w:space="0" w:color="auto"/>
          <w:lang w:val="en-GB"/>
        </w:rPr>
        <w:t xml:space="preserve">requirements for </w:t>
      </w:r>
      <w:r w:rsidR="00EA65E0" w:rsidRPr="00DF02C5">
        <w:rPr>
          <w:rFonts w:eastAsia="Calibri" w:hAnsi="Times New Roman"/>
          <w:snapToGrid w:val="0"/>
          <w:kern w:val="22"/>
          <w:bdr w:val="none" w:sz="0" w:space="0" w:color="auto"/>
          <w:lang w:val="en-GB"/>
        </w:rPr>
        <w:t>PIC</w:t>
      </w:r>
      <w:r w:rsidR="009F6835" w:rsidRPr="00DF02C5">
        <w:rPr>
          <w:rFonts w:eastAsia="Calibri" w:hAnsi="Times New Roman"/>
          <w:snapToGrid w:val="0"/>
          <w:kern w:val="22"/>
          <w:bdr w:val="none" w:sz="0" w:space="0" w:color="auto"/>
          <w:lang w:val="en-GB"/>
        </w:rPr>
        <w:t xml:space="preserve"> or </w:t>
      </w:r>
      <w:proofErr w:type="gramStart"/>
      <w:r w:rsidR="009F6835" w:rsidRPr="00DF02C5">
        <w:rPr>
          <w:rFonts w:eastAsia="Calibri" w:hAnsi="Times New Roman"/>
          <w:snapToGrid w:val="0"/>
          <w:kern w:val="22"/>
          <w:bdr w:val="none" w:sz="0" w:space="0" w:color="auto"/>
          <w:lang w:val="en-GB"/>
        </w:rPr>
        <w:t>some kind of permit</w:t>
      </w:r>
      <w:proofErr w:type="gramEnd"/>
      <w:r w:rsidR="00EA65E0" w:rsidRPr="00DF02C5">
        <w:rPr>
          <w:rStyle w:val="FootnoteReference"/>
          <w:rFonts w:eastAsia="Calibri" w:hAnsi="Times New Roman"/>
          <w:snapToGrid w:val="0"/>
          <w:kern w:val="22"/>
          <w:bdr w:val="none" w:sz="0" w:space="0" w:color="auto"/>
          <w:lang w:val="en-GB"/>
        </w:rPr>
        <w:footnoteReference w:id="71"/>
      </w:r>
      <w:r w:rsidR="00EA65E0" w:rsidRPr="00DF02C5">
        <w:rPr>
          <w:rFonts w:eastAsia="Calibri" w:hAnsi="Times New Roman"/>
          <w:snapToGrid w:val="0"/>
          <w:kern w:val="22"/>
          <w:bdr w:val="none" w:sz="0" w:space="0" w:color="auto"/>
          <w:lang w:val="en-GB"/>
        </w:rPr>
        <w:t xml:space="preserve">.  Many countries based their answer on relevant measures that require </w:t>
      </w:r>
      <w:r w:rsidR="00DF2145" w:rsidRPr="00DF02C5">
        <w:rPr>
          <w:rFonts w:eastAsia="Calibri" w:hAnsi="Times New Roman"/>
          <w:snapToGrid w:val="0"/>
          <w:kern w:val="22"/>
          <w:bdr w:val="none" w:sz="0" w:space="0" w:color="auto"/>
          <w:lang w:val="en-GB"/>
        </w:rPr>
        <w:t xml:space="preserve">a permit for access </w:t>
      </w:r>
      <w:r w:rsidR="00EA65E0" w:rsidRPr="00DF02C5">
        <w:rPr>
          <w:rFonts w:eastAsia="Calibri" w:hAnsi="Times New Roman"/>
          <w:snapToGrid w:val="0"/>
          <w:kern w:val="22"/>
          <w:bdr w:val="none" w:sz="0" w:space="0" w:color="auto"/>
          <w:lang w:val="en-GB"/>
        </w:rPr>
        <w:t xml:space="preserve">but </w:t>
      </w:r>
      <w:r w:rsidR="00EA65E0" w:rsidRPr="00DF02C5">
        <w:rPr>
          <w:rFonts w:eastAsia="Calibri" w:hAnsi="Times New Roman"/>
          <w:snapToGrid w:val="0"/>
          <w:kern w:val="22"/>
          <w:bdr w:val="none" w:sz="0" w:space="0" w:color="auto"/>
          <w:lang w:val="en-GB"/>
        </w:rPr>
        <w:lastRenderedPageBreak/>
        <w:t xml:space="preserve">that </w:t>
      </w:r>
      <w:r w:rsidR="008C1C10" w:rsidRPr="00DF02C5">
        <w:rPr>
          <w:rFonts w:eastAsia="Calibri" w:hAnsi="Times New Roman"/>
          <w:snapToGrid w:val="0"/>
          <w:kern w:val="22"/>
          <w:bdr w:val="none" w:sz="0" w:space="0" w:color="auto"/>
          <w:lang w:val="en-GB"/>
        </w:rPr>
        <w:t xml:space="preserve">do </w:t>
      </w:r>
      <w:r w:rsidR="00EA65E0" w:rsidRPr="00DF02C5">
        <w:rPr>
          <w:rFonts w:eastAsia="Calibri" w:hAnsi="Times New Roman"/>
          <w:snapToGrid w:val="0"/>
          <w:kern w:val="22"/>
          <w:bdr w:val="none" w:sz="0" w:space="0" w:color="auto"/>
          <w:lang w:val="en-GB"/>
        </w:rPr>
        <w:t>not necessarily regulate ABS</w:t>
      </w:r>
      <w:r w:rsidR="0035576A">
        <w:rPr>
          <w:rFonts w:eastAsia="Calibri" w:hAnsi="Times New Roman"/>
          <w:snapToGrid w:val="0"/>
          <w:kern w:val="22"/>
          <w:bdr w:val="none" w:sz="0" w:space="0" w:color="auto"/>
          <w:lang w:val="en-GB"/>
        </w:rPr>
        <w:t>;</w:t>
      </w:r>
      <w:r w:rsidR="00EA65E0" w:rsidRPr="00DF02C5">
        <w:rPr>
          <w:rStyle w:val="FootnoteReference"/>
          <w:rFonts w:eastAsia="Calibri" w:hAnsi="Times New Roman"/>
          <w:snapToGrid w:val="0"/>
          <w:kern w:val="22"/>
          <w:bdr w:val="none" w:sz="0" w:space="0" w:color="auto"/>
          <w:lang w:val="en-GB"/>
        </w:rPr>
        <w:footnoteReference w:id="72"/>
      </w:r>
      <w:r w:rsidR="00EA65E0" w:rsidRPr="00DF02C5">
        <w:rPr>
          <w:rFonts w:eastAsia="Calibri" w:hAnsi="Times New Roman"/>
          <w:snapToGrid w:val="0"/>
          <w:kern w:val="22"/>
          <w:bdr w:val="none" w:sz="0" w:space="0" w:color="auto"/>
          <w:lang w:val="en-GB"/>
        </w:rPr>
        <w:t xml:space="preserve"> and some </w:t>
      </w:r>
      <w:r w:rsidR="008C1C10" w:rsidRPr="00DF02C5">
        <w:rPr>
          <w:rFonts w:eastAsia="Calibri" w:hAnsi="Times New Roman"/>
          <w:snapToGrid w:val="0"/>
          <w:kern w:val="22"/>
          <w:bdr w:val="none" w:sz="0" w:space="0" w:color="auto"/>
          <w:lang w:val="en-GB"/>
        </w:rPr>
        <w:t>expressed</w:t>
      </w:r>
      <w:r w:rsidR="00EA65E0" w:rsidRPr="00DF02C5">
        <w:rPr>
          <w:rFonts w:eastAsia="Calibri" w:hAnsi="Times New Roman"/>
          <w:snapToGrid w:val="0"/>
          <w:kern w:val="22"/>
          <w:bdr w:val="none" w:sz="0" w:space="0" w:color="auto"/>
          <w:lang w:val="en-GB"/>
        </w:rPr>
        <w:t xml:space="preserve"> that they are working on </w:t>
      </w:r>
      <w:r w:rsidRPr="00DF02C5">
        <w:rPr>
          <w:rFonts w:eastAsia="Calibri" w:hAnsi="Times New Roman"/>
          <w:snapToGrid w:val="0"/>
          <w:kern w:val="22"/>
          <w:bdr w:val="none" w:sz="0" w:space="0" w:color="auto"/>
          <w:lang w:val="en-GB"/>
        </w:rPr>
        <w:t>additional</w:t>
      </w:r>
      <w:r w:rsidR="00EA65E0" w:rsidRPr="00DF02C5">
        <w:rPr>
          <w:rFonts w:eastAsia="Calibri" w:hAnsi="Times New Roman"/>
          <w:snapToGrid w:val="0"/>
          <w:kern w:val="22"/>
          <w:bdr w:val="none" w:sz="0" w:space="0" w:color="auto"/>
          <w:lang w:val="en-GB"/>
        </w:rPr>
        <w:t xml:space="preserve"> ABS measures </w:t>
      </w:r>
      <w:r w:rsidR="009F6835" w:rsidRPr="00DF02C5">
        <w:rPr>
          <w:rFonts w:eastAsia="Calibri" w:hAnsi="Times New Roman"/>
          <w:snapToGrid w:val="0"/>
          <w:kern w:val="22"/>
          <w:bdr w:val="none" w:sz="0" w:space="0" w:color="auto"/>
          <w:lang w:val="en-GB"/>
        </w:rPr>
        <w:t xml:space="preserve">providing details on </w:t>
      </w:r>
      <w:r w:rsidR="00EA65E0" w:rsidRPr="00DF02C5">
        <w:rPr>
          <w:rFonts w:eastAsia="Calibri" w:hAnsi="Times New Roman"/>
          <w:snapToGrid w:val="0"/>
          <w:kern w:val="22"/>
          <w:bdr w:val="none" w:sz="0" w:space="0" w:color="auto"/>
          <w:lang w:val="en-GB"/>
        </w:rPr>
        <w:t>PIC requirements</w:t>
      </w:r>
      <w:r w:rsidR="0035576A">
        <w:rPr>
          <w:rFonts w:eastAsia="Calibri" w:hAnsi="Times New Roman"/>
          <w:snapToGrid w:val="0"/>
          <w:kern w:val="22"/>
          <w:bdr w:val="none" w:sz="0" w:space="0" w:color="auto"/>
          <w:lang w:val="en-GB"/>
        </w:rPr>
        <w:t>.</w:t>
      </w:r>
      <w:r w:rsidR="00EA65E0" w:rsidRPr="00DF02C5">
        <w:rPr>
          <w:rStyle w:val="FootnoteReference"/>
          <w:rFonts w:eastAsia="Calibri" w:hAnsi="Times New Roman"/>
          <w:snapToGrid w:val="0"/>
          <w:kern w:val="22"/>
          <w:bdr w:val="none" w:sz="0" w:space="0" w:color="auto"/>
          <w:lang w:val="en-GB"/>
        </w:rPr>
        <w:footnoteReference w:id="73"/>
      </w:r>
      <w:r w:rsidR="00EA65E0" w:rsidRPr="00DF02C5">
        <w:rPr>
          <w:rFonts w:eastAsia="Calibri" w:hAnsi="Times New Roman"/>
          <w:snapToGrid w:val="0"/>
          <w:kern w:val="22"/>
          <w:bdr w:val="none" w:sz="0" w:space="0" w:color="auto"/>
          <w:lang w:val="en-GB"/>
        </w:rPr>
        <w:t xml:space="preserve"> </w:t>
      </w:r>
    </w:p>
    <w:p w14:paraId="2B1C64B9" w14:textId="0B0E4166" w:rsidR="00446137" w:rsidRPr="00DF02C5" w:rsidRDefault="009F6835" w:rsidP="00446137">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 xml:space="preserve">In their response, </w:t>
      </w:r>
      <w:r w:rsidR="00B54C38">
        <w:rPr>
          <w:rFonts w:eastAsia="Calibri" w:hAnsi="Times New Roman"/>
          <w:snapToGrid w:val="0"/>
          <w:kern w:val="22"/>
          <w:bdr w:val="none" w:sz="0" w:space="0" w:color="auto"/>
          <w:lang w:val="en-GB"/>
        </w:rPr>
        <w:t>Mexico emphasiz</w:t>
      </w:r>
      <w:r w:rsidR="00EA65E0" w:rsidRPr="00DF02C5">
        <w:rPr>
          <w:rFonts w:eastAsia="Calibri" w:hAnsi="Times New Roman"/>
          <w:snapToGrid w:val="0"/>
          <w:kern w:val="22"/>
          <w:bdr w:val="none" w:sz="0" w:space="0" w:color="auto"/>
          <w:lang w:val="en-GB"/>
        </w:rPr>
        <w:t>ed that</w:t>
      </w:r>
      <w:r w:rsidR="0080016C" w:rsidRPr="00DF02C5">
        <w:rPr>
          <w:rFonts w:eastAsia="Calibri" w:hAnsi="Times New Roman"/>
          <w:snapToGrid w:val="0"/>
          <w:kern w:val="22"/>
          <w:bdr w:val="none" w:sz="0" w:space="0" w:color="auto"/>
          <w:lang w:val="en-GB"/>
        </w:rPr>
        <w:t>,</w:t>
      </w:r>
      <w:r w:rsidR="00EA65E0" w:rsidRPr="00DF02C5">
        <w:rPr>
          <w:rFonts w:eastAsia="Calibri" w:hAnsi="Times New Roman"/>
          <w:snapToGrid w:val="0"/>
          <w:kern w:val="22"/>
          <w:bdr w:val="none" w:sz="0" w:space="0" w:color="auto"/>
          <w:lang w:val="en-GB"/>
        </w:rPr>
        <w:t xml:space="preserve"> according to their constitution</w:t>
      </w:r>
      <w:r w:rsidR="0080016C" w:rsidRPr="00DF02C5">
        <w:rPr>
          <w:rFonts w:eastAsia="Calibri" w:hAnsi="Times New Roman"/>
          <w:snapToGrid w:val="0"/>
          <w:kern w:val="22"/>
          <w:bdr w:val="none" w:sz="0" w:space="0" w:color="auto"/>
          <w:lang w:val="en-GB"/>
        </w:rPr>
        <w:t>, by ratifying the Protocol</w:t>
      </w:r>
      <w:r w:rsidR="00EA65E0" w:rsidRPr="00DF02C5">
        <w:rPr>
          <w:rFonts w:eastAsia="Calibri" w:hAnsi="Times New Roman"/>
          <w:snapToGrid w:val="0"/>
          <w:kern w:val="22"/>
          <w:bdr w:val="none" w:sz="0" w:space="0" w:color="auto"/>
          <w:lang w:val="en-GB"/>
        </w:rPr>
        <w:t xml:space="preserve"> the treaty becomes incorporated </w:t>
      </w:r>
      <w:r w:rsidRPr="00DF02C5">
        <w:rPr>
          <w:rFonts w:eastAsia="Calibri" w:hAnsi="Times New Roman"/>
          <w:snapToGrid w:val="0"/>
          <w:kern w:val="22"/>
          <w:bdr w:val="none" w:sz="0" w:space="0" w:color="auto"/>
          <w:lang w:val="en-GB"/>
        </w:rPr>
        <w:t>into the Mexi</w:t>
      </w:r>
      <w:r w:rsidR="008C1C10" w:rsidRPr="00DF02C5">
        <w:rPr>
          <w:rFonts w:eastAsia="Calibri" w:hAnsi="Times New Roman"/>
          <w:snapToGrid w:val="0"/>
          <w:kern w:val="22"/>
          <w:bdr w:val="none" w:sz="0" w:space="0" w:color="auto"/>
          <w:lang w:val="en-GB"/>
        </w:rPr>
        <w:t>can legal system.</w:t>
      </w:r>
      <w:r w:rsidRPr="00DF02C5">
        <w:rPr>
          <w:rFonts w:eastAsia="Calibri" w:hAnsi="Times New Roman"/>
          <w:snapToGrid w:val="0"/>
          <w:kern w:val="22"/>
          <w:bdr w:val="none" w:sz="0" w:space="0" w:color="auto"/>
          <w:lang w:val="en-GB"/>
        </w:rPr>
        <w:t xml:space="preserve"> </w:t>
      </w:r>
      <w:r w:rsidR="008C1C10" w:rsidRPr="00DF02C5">
        <w:rPr>
          <w:rFonts w:eastAsia="Calibri" w:hAnsi="Times New Roman"/>
          <w:snapToGrid w:val="0"/>
          <w:kern w:val="22"/>
          <w:bdr w:val="none" w:sz="0" w:space="0" w:color="auto"/>
          <w:lang w:val="en-GB"/>
        </w:rPr>
        <w:t>T</w:t>
      </w:r>
      <w:r w:rsidRPr="00DF02C5">
        <w:rPr>
          <w:rFonts w:eastAsia="Calibri" w:hAnsi="Times New Roman"/>
          <w:snapToGrid w:val="0"/>
          <w:kern w:val="22"/>
          <w:bdr w:val="none" w:sz="0" w:space="0" w:color="auto"/>
          <w:lang w:val="en-GB"/>
        </w:rPr>
        <w:t xml:space="preserve">herefore, </w:t>
      </w:r>
      <w:r w:rsidR="00DF2145" w:rsidRPr="00DF02C5">
        <w:rPr>
          <w:rFonts w:eastAsia="Calibri" w:hAnsi="Times New Roman"/>
          <w:snapToGrid w:val="0"/>
          <w:kern w:val="22"/>
          <w:bdr w:val="none" w:sz="0" w:space="0" w:color="auto"/>
          <w:lang w:val="en-GB"/>
        </w:rPr>
        <w:t xml:space="preserve">with the support of secondary legislation related to this matter, </w:t>
      </w:r>
      <w:r w:rsidRPr="00DF02C5">
        <w:rPr>
          <w:rFonts w:eastAsia="Calibri" w:hAnsi="Times New Roman"/>
          <w:snapToGrid w:val="0"/>
          <w:kern w:val="22"/>
          <w:bdr w:val="none" w:sz="0" w:space="0" w:color="auto"/>
          <w:lang w:val="en-GB"/>
        </w:rPr>
        <w:t xml:space="preserve">it can be invoked and applied </w:t>
      </w:r>
      <w:r w:rsidR="00EA65E0" w:rsidRPr="00DF02C5">
        <w:rPr>
          <w:rFonts w:eastAsia="Calibri" w:hAnsi="Times New Roman"/>
          <w:snapToGrid w:val="0"/>
          <w:kern w:val="22"/>
          <w:bdr w:val="none" w:sz="0" w:space="0" w:color="auto"/>
          <w:lang w:val="en-GB"/>
        </w:rPr>
        <w:t xml:space="preserve">by national authorities in the national territory </w:t>
      </w:r>
    </w:p>
    <w:p w14:paraId="21088ED4" w14:textId="38C6FA58" w:rsidR="00446137" w:rsidRPr="00DF02C5" w:rsidRDefault="00446137" w:rsidP="005038A2">
      <w:pPr>
        <w:pStyle w:val="Para1"/>
        <w:numPr>
          <w:ilvl w:val="1"/>
          <w:numId w:val="56"/>
        </w:numPr>
        <w:rPr>
          <w:rFonts w:eastAsia="Calibri" w:hAnsi="Times New Roman"/>
          <w:i/>
          <w:snapToGrid w:val="0"/>
          <w:kern w:val="22"/>
          <w:bdr w:val="none" w:sz="0" w:space="0" w:color="auto"/>
          <w:lang w:val="en-GB"/>
        </w:rPr>
      </w:pPr>
      <w:r w:rsidRPr="00DF02C5">
        <w:rPr>
          <w:rFonts w:eastAsia="Calibri" w:hAnsi="Times New Roman"/>
          <w:i/>
          <w:snapToGrid w:val="0"/>
          <w:kern w:val="22"/>
          <w:bdr w:val="none" w:sz="0" w:space="0" w:color="auto"/>
          <w:lang w:val="en-GB"/>
        </w:rPr>
        <w:t>Countries that answered “no”</w:t>
      </w:r>
    </w:p>
    <w:p w14:paraId="1669CEEE" w14:textId="4C511213" w:rsidR="00EA65E0" w:rsidRPr="00DF02C5" w:rsidRDefault="00EA65E0" w:rsidP="00393914">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Many countries noted in their answers that even though PIC was n</w:t>
      </w:r>
      <w:r w:rsidR="00DF2145" w:rsidRPr="00DF02C5">
        <w:rPr>
          <w:rFonts w:eastAsia="Calibri" w:hAnsi="Times New Roman"/>
          <w:snapToGrid w:val="0"/>
          <w:kern w:val="22"/>
          <w:bdr w:val="none" w:sz="0" w:space="0" w:color="auto"/>
          <w:lang w:val="en-GB"/>
        </w:rPr>
        <w:t>ot required or ABS measures had</w:t>
      </w:r>
      <w:r w:rsidRPr="00DF02C5">
        <w:rPr>
          <w:rFonts w:eastAsia="Calibri" w:hAnsi="Times New Roman"/>
          <w:snapToGrid w:val="0"/>
          <w:kern w:val="22"/>
          <w:bdr w:val="none" w:sz="0" w:space="0" w:color="auto"/>
          <w:lang w:val="en-GB"/>
        </w:rPr>
        <w:t xml:space="preserve"> not yet been established, other national legislation</w:t>
      </w:r>
      <w:r w:rsidR="00DF2145" w:rsidRPr="00DF02C5">
        <w:rPr>
          <w:rFonts w:eastAsia="Calibri" w:hAnsi="Times New Roman"/>
          <w:snapToGrid w:val="0"/>
          <w:kern w:val="22"/>
          <w:bdr w:val="none" w:sz="0" w:space="0" w:color="auto"/>
          <w:lang w:val="en-GB"/>
        </w:rPr>
        <w:t>s</w:t>
      </w:r>
      <w:r w:rsidRPr="00DF02C5">
        <w:rPr>
          <w:rFonts w:eastAsia="Calibri" w:hAnsi="Times New Roman"/>
          <w:snapToGrid w:val="0"/>
          <w:kern w:val="22"/>
          <w:bdr w:val="none" w:sz="0" w:space="0" w:color="auto"/>
          <w:lang w:val="en-GB"/>
        </w:rPr>
        <w:t xml:space="preserve"> may apply that establish conditions for access or restrictions, </w:t>
      </w:r>
      <w:r w:rsidR="00933054" w:rsidRPr="00DF02C5">
        <w:rPr>
          <w:rFonts w:eastAsia="Calibri" w:hAnsi="Times New Roman"/>
          <w:snapToGrid w:val="0"/>
          <w:kern w:val="22"/>
          <w:bdr w:val="none" w:sz="0" w:space="0" w:color="auto"/>
          <w:lang w:val="en-GB"/>
        </w:rPr>
        <w:t>such as</w:t>
      </w:r>
      <w:r w:rsidR="00501C84" w:rsidRPr="00DF02C5">
        <w:rPr>
          <w:rFonts w:eastAsia="Calibri" w:hAnsi="Times New Roman"/>
          <w:snapToGrid w:val="0"/>
          <w:kern w:val="22"/>
          <w:bdr w:val="none" w:sz="0" w:space="0" w:color="auto"/>
          <w:lang w:val="en-GB"/>
        </w:rPr>
        <w:t>:</w:t>
      </w:r>
      <w:r w:rsidR="00933054" w:rsidRPr="00DF02C5">
        <w:rPr>
          <w:rFonts w:eastAsia="Calibri" w:hAnsi="Times New Roman"/>
          <w:snapToGrid w:val="0"/>
          <w:kern w:val="22"/>
          <w:bdr w:val="none" w:sz="0" w:space="0" w:color="auto"/>
          <w:lang w:val="en-GB"/>
        </w:rPr>
        <w:t xml:space="preserve"> </w:t>
      </w:r>
      <w:r w:rsidRPr="00DF02C5">
        <w:rPr>
          <w:rFonts w:eastAsia="Calibri" w:hAnsi="Times New Roman"/>
          <w:snapToGrid w:val="0"/>
          <w:kern w:val="22"/>
          <w:bdr w:val="none" w:sz="0" w:space="0" w:color="auto"/>
          <w:lang w:val="en-GB"/>
        </w:rPr>
        <w:t>legislation on species protection or trade, conservation, territorial protection, plant genetic resources for food and agriculture, animal and plant diseases, scientific research, and private property rights.</w:t>
      </w:r>
      <w:r w:rsidRPr="00DF02C5">
        <w:rPr>
          <w:rStyle w:val="FootnoteReference"/>
          <w:rFonts w:eastAsia="Calibri" w:hAnsi="Times New Roman"/>
          <w:snapToGrid w:val="0"/>
          <w:kern w:val="22"/>
          <w:bdr w:val="none" w:sz="0" w:space="0" w:color="auto"/>
          <w:lang w:val="en-GB"/>
        </w:rPr>
        <w:footnoteReference w:id="74"/>
      </w:r>
      <w:r w:rsidRPr="00DF02C5">
        <w:rPr>
          <w:rStyle w:val="FootnoteReference"/>
          <w:lang w:val="en-GB"/>
        </w:rPr>
        <w:t xml:space="preserve">  </w:t>
      </w:r>
      <w:r w:rsidR="00933054" w:rsidRPr="00DF02C5">
        <w:rPr>
          <w:rFonts w:eastAsia="Calibri" w:hAnsi="Times New Roman"/>
          <w:snapToGrid w:val="0"/>
          <w:color w:val="auto"/>
          <w:kern w:val="22"/>
          <w:bdr w:val="none" w:sz="0" w:space="0" w:color="auto"/>
          <w:lang w:val="en-GB"/>
        </w:rPr>
        <w:t xml:space="preserve">A number of </w:t>
      </w:r>
      <w:r w:rsidRPr="00DF02C5">
        <w:rPr>
          <w:rFonts w:eastAsia="Calibri" w:hAnsi="Times New Roman"/>
          <w:snapToGrid w:val="0"/>
          <w:kern w:val="22"/>
          <w:bdr w:val="none" w:sz="0" w:space="0" w:color="auto"/>
          <w:lang w:val="en-GB"/>
        </w:rPr>
        <w:t>countries explain</w:t>
      </w:r>
      <w:r w:rsidR="00933054" w:rsidRPr="00DF02C5">
        <w:rPr>
          <w:rFonts w:eastAsia="Calibri" w:hAnsi="Times New Roman"/>
          <w:snapToGrid w:val="0"/>
          <w:kern w:val="22"/>
          <w:bdr w:val="none" w:sz="0" w:space="0" w:color="auto"/>
          <w:lang w:val="en-GB"/>
        </w:rPr>
        <w:t>ed</w:t>
      </w:r>
      <w:r w:rsidRPr="00DF02C5">
        <w:rPr>
          <w:rFonts w:eastAsia="Calibri" w:hAnsi="Times New Roman"/>
          <w:snapToGrid w:val="0"/>
          <w:kern w:val="22"/>
          <w:bdr w:val="none" w:sz="0" w:space="0" w:color="auto"/>
          <w:lang w:val="en-GB"/>
        </w:rPr>
        <w:t xml:space="preserve"> that they were working or planning to require PIC for </w:t>
      </w:r>
      <w:r w:rsidR="00933054" w:rsidRPr="00DF02C5">
        <w:rPr>
          <w:rFonts w:eastAsia="Calibri" w:hAnsi="Times New Roman"/>
          <w:snapToGrid w:val="0"/>
          <w:kern w:val="22"/>
          <w:bdr w:val="none" w:sz="0" w:space="0" w:color="auto"/>
          <w:lang w:val="en-GB"/>
        </w:rPr>
        <w:t xml:space="preserve">access to </w:t>
      </w:r>
      <w:r w:rsidRPr="00DF02C5">
        <w:rPr>
          <w:rFonts w:eastAsia="Calibri" w:hAnsi="Times New Roman"/>
          <w:snapToGrid w:val="0"/>
          <w:kern w:val="22"/>
          <w:bdr w:val="none" w:sz="0" w:space="0" w:color="auto"/>
          <w:lang w:val="en-GB"/>
        </w:rPr>
        <w:t>genetic resources</w:t>
      </w:r>
      <w:r w:rsidR="00501C84" w:rsidRPr="00DF02C5">
        <w:rPr>
          <w:rFonts w:eastAsia="Calibri" w:hAnsi="Times New Roman"/>
          <w:snapToGrid w:val="0"/>
          <w:kern w:val="22"/>
          <w:bdr w:val="none" w:sz="0" w:space="0" w:color="auto"/>
          <w:lang w:val="en-GB"/>
        </w:rPr>
        <w:t>.</w:t>
      </w:r>
      <w:r w:rsidRPr="00DF02C5">
        <w:rPr>
          <w:rStyle w:val="FootnoteReference"/>
          <w:rFonts w:eastAsia="Calibri" w:hAnsi="Times New Roman"/>
          <w:snapToGrid w:val="0"/>
          <w:kern w:val="22"/>
          <w:bdr w:val="none" w:sz="0" w:space="0" w:color="auto"/>
          <w:lang w:val="en-GB"/>
        </w:rPr>
        <w:footnoteReference w:id="75"/>
      </w:r>
    </w:p>
    <w:p w14:paraId="01C05125" w14:textId="77777777" w:rsidR="0080016C" w:rsidRPr="00DF02C5" w:rsidRDefault="0080016C" w:rsidP="0080016C">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 xml:space="preserve">In providing further information, some countries mentioned the following: </w:t>
      </w:r>
    </w:p>
    <w:p w14:paraId="13995A44" w14:textId="718DA43C" w:rsidR="00EA65E0" w:rsidRPr="00DF02C5" w:rsidRDefault="00EA65E0" w:rsidP="004F5FD9">
      <w:pPr>
        <w:pStyle w:val="ListParagraph"/>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1440"/>
        </w:tabs>
        <w:spacing w:before="60"/>
        <w:ind w:left="0" w:firstLine="720"/>
        <w:rPr>
          <w:snapToGrid w:val="0"/>
          <w:szCs w:val="18"/>
          <w:lang w:val="en-GB"/>
        </w:rPr>
      </w:pPr>
      <w:r w:rsidRPr="00DF02C5">
        <w:rPr>
          <w:snapToGrid w:val="0"/>
          <w:szCs w:val="18"/>
          <w:lang w:val="en-GB"/>
        </w:rPr>
        <w:t>Belarus indic</w:t>
      </w:r>
      <w:r w:rsidR="00933054" w:rsidRPr="00DF02C5">
        <w:rPr>
          <w:snapToGrid w:val="0"/>
          <w:szCs w:val="18"/>
          <w:lang w:val="en-GB"/>
        </w:rPr>
        <w:t>a</w:t>
      </w:r>
      <w:r w:rsidRPr="00DF02C5">
        <w:rPr>
          <w:snapToGrid w:val="0"/>
          <w:szCs w:val="18"/>
          <w:lang w:val="en-GB"/>
        </w:rPr>
        <w:t xml:space="preserve">ted that </w:t>
      </w:r>
      <w:r w:rsidR="004A2DB8" w:rsidRPr="00DF02C5">
        <w:rPr>
          <w:snapToGrid w:val="0"/>
          <w:szCs w:val="18"/>
          <w:lang w:val="en-GB"/>
        </w:rPr>
        <w:t>even though</w:t>
      </w:r>
      <w:r w:rsidR="00DF2145" w:rsidRPr="00DF02C5">
        <w:rPr>
          <w:snapToGrid w:val="0"/>
          <w:szCs w:val="18"/>
          <w:lang w:val="en-GB"/>
        </w:rPr>
        <w:t xml:space="preserve"> there was no access regulation</w:t>
      </w:r>
      <w:r w:rsidRPr="00DF02C5">
        <w:rPr>
          <w:snapToGrid w:val="0"/>
          <w:szCs w:val="18"/>
          <w:lang w:val="en-GB"/>
        </w:rPr>
        <w:t xml:space="preserve"> in place</w:t>
      </w:r>
      <w:r w:rsidR="00933054" w:rsidRPr="00DF02C5">
        <w:rPr>
          <w:snapToGrid w:val="0"/>
          <w:szCs w:val="18"/>
          <w:lang w:val="en-GB"/>
        </w:rPr>
        <w:t>,</w:t>
      </w:r>
      <w:r w:rsidRPr="00DF02C5">
        <w:rPr>
          <w:snapToGrid w:val="0"/>
          <w:szCs w:val="18"/>
          <w:lang w:val="en-GB"/>
        </w:rPr>
        <w:t xml:space="preserve"> in accordance with Article 33 of the Law of the Republic of Belarus "On International Treaties of the Republic of Belarus", the Nagoya Protocol must be observed by all legal </w:t>
      </w:r>
      <w:r w:rsidR="004A2DB8" w:rsidRPr="00DF02C5">
        <w:rPr>
          <w:snapToGrid w:val="0"/>
          <w:szCs w:val="18"/>
          <w:lang w:val="en-GB"/>
        </w:rPr>
        <w:t xml:space="preserve">entities </w:t>
      </w:r>
      <w:r w:rsidRPr="00DF02C5">
        <w:rPr>
          <w:snapToGrid w:val="0"/>
          <w:szCs w:val="18"/>
          <w:lang w:val="en-GB"/>
        </w:rPr>
        <w:t>and individuals;</w:t>
      </w:r>
    </w:p>
    <w:p w14:paraId="7D289820" w14:textId="4A0B3F00" w:rsidR="00EA65E0" w:rsidRPr="00DF02C5" w:rsidRDefault="00EA65E0" w:rsidP="004F5FD9">
      <w:pPr>
        <w:pStyle w:val="ListParagraph"/>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1440"/>
        </w:tabs>
        <w:spacing w:before="60"/>
        <w:ind w:left="0" w:firstLine="720"/>
        <w:rPr>
          <w:snapToGrid w:val="0"/>
          <w:szCs w:val="18"/>
          <w:lang w:val="en-GB"/>
        </w:rPr>
      </w:pPr>
      <w:r w:rsidRPr="00DF02C5">
        <w:rPr>
          <w:snapToGrid w:val="0"/>
          <w:szCs w:val="18"/>
          <w:lang w:val="en-GB"/>
        </w:rPr>
        <w:t>Barbados explained that administrative procedures</w:t>
      </w:r>
      <w:r w:rsidR="00933054" w:rsidRPr="00DF02C5">
        <w:rPr>
          <w:snapToGrid w:val="0"/>
          <w:szCs w:val="18"/>
          <w:lang w:val="en-GB"/>
        </w:rPr>
        <w:t xml:space="preserve"> were implemented</w:t>
      </w:r>
      <w:r w:rsidRPr="00DF02C5">
        <w:rPr>
          <w:snapToGrid w:val="0"/>
          <w:szCs w:val="18"/>
          <w:lang w:val="en-GB"/>
        </w:rPr>
        <w:t xml:space="preserve"> to ensure the equitable sharing of benefits derived from scientific research on Barbados' genetic resources; </w:t>
      </w:r>
    </w:p>
    <w:p w14:paraId="1960F106" w14:textId="68C18353" w:rsidR="00EA65E0" w:rsidRPr="00DF02C5" w:rsidRDefault="00EA65E0" w:rsidP="004F5FD9">
      <w:pPr>
        <w:pStyle w:val="ListParagraph"/>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1440"/>
        </w:tabs>
        <w:spacing w:before="60"/>
        <w:ind w:left="0" w:firstLine="720"/>
        <w:rPr>
          <w:snapToGrid w:val="0"/>
          <w:szCs w:val="18"/>
          <w:lang w:val="en-GB"/>
        </w:rPr>
      </w:pPr>
      <w:r w:rsidRPr="00DF02C5">
        <w:rPr>
          <w:snapToGrid w:val="0"/>
          <w:szCs w:val="18"/>
          <w:lang w:val="en-GB"/>
        </w:rPr>
        <w:t xml:space="preserve">The European Union indicated that there </w:t>
      </w:r>
      <w:r w:rsidR="004A2DB8" w:rsidRPr="00DF02C5">
        <w:rPr>
          <w:snapToGrid w:val="0"/>
          <w:szCs w:val="18"/>
          <w:lang w:val="en-GB"/>
        </w:rPr>
        <w:t>are</w:t>
      </w:r>
      <w:r w:rsidRPr="00DF02C5">
        <w:rPr>
          <w:snapToGrid w:val="0"/>
          <w:szCs w:val="18"/>
          <w:lang w:val="en-GB"/>
        </w:rPr>
        <w:t xml:space="preserve"> no access measures established at </w:t>
      </w:r>
      <w:r w:rsidR="004A2DB8" w:rsidRPr="00DF02C5">
        <w:rPr>
          <w:snapToGrid w:val="0"/>
          <w:szCs w:val="18"/>
          <w:lang w:val="en-GB"/>
        </w:rPr>
        <w:t xml:space="preserve">the </w:t>
      </w:r>
      <w:r w:rsidRPr="00DF02C5">
        <w:rPr>
          <w:snapToGrid w:val="0"/>
          <w:szCs w:val="18"/>
          <w:lang w:val="en-GB"/>
        </w:rPr>
        <w:t xml:space="preserve">EU </w:t>
      </w:r>
      <w:r w:rsidR="00DF02C5" w:rsidRPr="00DF02C5">
        <w:rPr>
          <w:snapToGrid w:val="0"/>
          <w:szCs w:val="18"/>
          <w:lang w:val="en-GB"/>
        </w:rPr>
        <w:t>level;</w:t>
      </w:r>
      <w:r w:rsidR="004A2DB8" w:rsidRPr="00DF02C5">
        <w:rPr>
          <w:snapToGrid w:val="0"/>
          <w:szCs w:val="18"/>
          <w:lang w:val="en-GB"/>
        </w:rPr>
        <w:t xml:space="preserve"> </w:t>
      </w:r>
      <w:r w:rsidRPr="00DF02C5">
        <w:rPr>
          <w:snapToGrid w:val="0"/>
          <w:szCs w:val="18"/>
          <w:lang w:val="en-GB"/>
        </w:rPr>
        <w:t>however</w:t>
      </w:r>
      <w:r w:rsidR="0080016C" w:rsidRPr="00DF02C5">
        <w:rPr>
          <w:snapToGrid w:val="0"/>
          <w:szCs w:val="18"/>
          <w:lang w:val="en-GB"/>
        </w:rPr>
        <w:t xml:space="preserve"> </w:t>
      </w:r>
      <w:r w:rsidR="004A2DB8" w:rsidRPr="00DF02C5">
        <w:rPr>
          <w:snapToGrid w:val="0"/>
          <w:szCs w:val="18"/>
          <w:lang w:val="en-GB"/>
        </w:rPr>
        <w:t xml:space="preserve">EU Member States </w:t>
      </w:r>
      <w:r w:rsidRPr="00DF02C5">
        <w:rPr>
          <w:snapToGrid w:val="0"/>
          <w:szCs w:val="18"/>
          <w:lang w:val="en-GB"/>
        </w:rPr>
        <w:t xml:space="preserve">may establish measures at </w:t>
      </w:r>
      <w:r w:rsidR="004A2DB8" w:rsidRPr="00DF02C5">
        <w:rPr>
          <w:snapToGrid w:val="0"/>
          <w:szCs w:val="18"/>
          <w:lang w:val="en-GB"/>
        </w:rPr>
        <w:t xml:space="preserve">the </w:t>
      </w:r>
      <w:r w:rsidRPr="00DF02C5">
        <w:rPr>
          <w:snapToGrid w:val="0"/>
          <w:szCs w:val="18"/>
          <w:lang w:val="en-GB"/>
        </w:rPr>
        <w:t>national level if they wish. In their reports</w:t>
      </w:r>
      <w:r w:rsidR="0080016C" w:rsidRPr="00DF02C5">
        <w:rPr>
          <w:snapToGrid w:val="0"/>
          <w:szCs w:val="18"/>
          <w:lang w:val="en-GB"/>
        </w:rPr>
        <w:t xml:space="preserve">, </w:t>
      </w:r>
      <w:r w:rsidRPr="00DF02C5">
        <w:rPr>
          <w:snapToGrid w:val="0"/>
          <w:szCs w:val="18"/>
          <w:lang w:val="en-GB"/>
        </w:rPr>
        <w:t xml:space="preserve"> Bulgaria, Spain and Malta </w:t>
      </w:r>
      <w:r w:rsidR="0080016C" w:rsidRPr="00DF02C5">
        <w:rPr>
          <w:snapToGrid w:val="0"/>
          <w:szCs w:val="18"/>
          <w:lang w:val="en-GB"/>
        </w:rPr>
        <w:t xml:space="preserve">reported </w:t>
      </w:r>
      <w:r w:rsidRPr="00DF02C5">
        <w:rPr>
          <w:snapToGrid w:val="0"/>
          <w:szCs w:val="18"/>
          <w:lang w:val="en-GB"/>
        </w:rPr>
        <w:t xml:space="preserve">that access to genetic resources </w:t>
      </w:r>
      <w:r w:rsidR="00933054" w:rsidRPr="00DF02C5">
        <w:rPr>
          <w:snapToGrid w:val="0"/>
          <w:szCs w:val="18"/>
          <w:lang w:val="en-GB"/>
        </w:rPr>
        <w:t xml:space="preserve">in their country </w:t>
      </w:r>
      <w:r w:rsidRPr="00DF02C5">
        <w:rPr>
          <w:snapToGrid w:val="0"/>
          <w:szCs w:val="18"/>
          <w:lang w:val="en-GB"/>
        </w:rPr>
        <w:t>was subject to PIC;</w:t>
      </w:r>
    </w:p>
    <w:p w14:paraId="370B2E26" w14:textId="1DE7103D" w:rsidR="00EA65E0" w:rsidRPr="00DF02C5" w:rsidRDefault="00EA65E0" w:rsidP="004F5FD9">
      <w:pPr>
        <w:pStyle w:val="ListParagraph"/>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1440"/>
        </w:tabs>
        <w:spacing w:before="60"/>
        <w:ind w:left="0" w:firstLine="720"/>
        <w:rPr>
          <w:snapToGrid w:val="0"/>
          <w:szCs w:val="18"/>
          <w:lang w:val="en-GB"/>
        </w:rPr>
      </w:pPr>
      <w:r w:rsidRPr="00DF02C5">
        <w:rPr>
          <w:snapToGrid w:val="0"/>
          <w:szCs w:val="18"/>
          <w:lang w:val="en-GB"/>
        </w:rPr>
        <w:t xml:space="preserve">Japan reported that </w:t>
      </w:r>
      <w:r w:rsidR="004A2DB8" w:rsidRPr="00DF02C5">
        <w:rPr>
          <w:snapToGrid w:val="0"/>
          <w:szCs w:val="18"/>
          <w:lang w:val="en-GB"/>
        </w:rPr>
        <w:t xml:space="preserve">it </w:t>
      </w:r>
      <w:r w:rsidRPr="00DF02C5">
        <w:rPr>
          <w:snapToGrid w:val="0"/>
          <w:szCs w:val="18"/>
          <w:lang w:val="en-GB"/>
        </w:rPr>
        <w:t>will review the need for access measures at</w:t>
      </w:r>
      <w:r w:rsidR="00933054" w:rsidRPr="00DF02C5">
        <w:rPr>
          <w:snapToGrid w:val="0"/>
          <w:szCs w:val="18"/>
          <w:lang w:val="en-GB"/>
        </w:rPr>
        <w:t xml:space="preserve"> a</w:t>
      </w:r>
      <w:r w:rsidRPr="00DF02C5">
        <w:rPr>
          <w:snapToGrid w:val="0"/>
          <w:szCs w:val="18"/>
          <w:lang w:val="en-GB"/>
        </w:rPr>
        <w:t xml:space="preserve"> later date after reviewing the effect of existing</w:t>
      </w:r>
      <w:r w:rsidR="00933054" w:rsidRPr="00DF02C5">
        <w:rPr>
          <w:snapToGrid w:val="0"/>
          <w:szCs w:val="18"/>
          <w:lang w:val="en-GB"/>
        </w:rPr>
        <w:t xml:space="preserve"> ABS</w:t>
      </w:r>
      <w:r w:rsidRPr="00DF02C5">
        <w:rPr>
          <w:snapToGrid w:val="0"/>
          <w:szCs w:val="18"/>
          <w:lang w:val="en-GB"/>
        </w:rPr>
        <w:t xml:space="preserve"> guidelines;  </w:t>
      </w:r>
    </w:p>
    <w:p w14:paraId="42F63FC5" w14:textId="77777777" w:rsidR="00EA65E0" w:rsidRPr="00DF02C5" w:rsidRDefault="00EA65E0" w:rsidP="004F5FD9">
      <w:pPr>
        <w:pStyle w:val="ListParagraph"/>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1440"/>
        </w:tabs>
        <w:spacing w:before="60"/>
        <w:ind w:left="0" w:firstLine="720"/>
        <w:rPr>
          <w:snapToGrid w:val="0"/>
          <w:szCs w:val="18"/>
          <w:lang w:val="en-GB"/>
        </w:rPr>
      </w:pPr>
      <w:r w:rsidRPr="00DF02C5">
        <w:rPr>
          <w:snapToGrid w:val="0"/>
          <w:szCs w:val="18"/>
          <w:lang w:val="en-GB"/>
        </w:rPr>
        <w:t>Sao Tome and Principe reported having an informal authorisation system in place;</w:t>
      </w:r>
    </w:p>
    <w:p w14:paraId="7BF94BD8" w14:textId="356F0330" w:rsidR="00EA65E0" w:rsidRPr="00DF02C5" w:rsidRDefault="00EA65E0" w:rsidP="004F5FD9">
      <w:pPr>
        <w:pStyle w:val="ListParagraph"/>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1440"/>
        </w:tabs>
        <w:spacing w:before="60"/>
        <w:ind w:left="0" w:firstLine="720"/>
        <w:rPr>
          <w:snapToGrid w:val="0"/>
          <w:szCs w:val="18"/>
          <w:lang w:val="en-GB"/>
        </w:rPr>
      </w:pPr>
      <w:r w:rsidRPr="00DF02C5">
        <w:rPr>
          <w:snapToGrid w:val="0"/>
          <w:szCs w:val="18"/>
          <w:lang w:val="en-GB"/>
        </w:rPr>
        <w:t xml:space="preserve">Switzerland explained that users of genetic resources are subject to a documentation requirement, and, in case of commercialisation, to a </w:t>
      </w:r>
      <w:r w:rsidR="00933054" w:rsidRPr="00DF02C5">
        <w:rPr>
          <w:snapToGrid w:val="0"/>
          <w:szCs w:val="18"/>
          <w:lang w:val="en-GB"/>
        </w:rPr>
        <w:t>notification requirement.</w:t>
      </w:r>
    </w:p>
    <w:p w14:paraId="25DF9129" w14:textId="069C593C" w:rsidR="00EA65E0" w:rsidRPr="0035576A" w:rsidRDefault="004C77AF" w:rsidP="004F5FD9">
      <w:pPr>
        <w:pStyle w:val="Para1"/>
        <w:numPr>
          <w:ilvl w:val="0"/>
          <w:numId w:val="86"/>
        </w:numPr>
        <w:spacing w:before="240" w:line="228" w:lineRule="auto"/>
        <w:rPr>
          <w:rFonts w:eastAsia="Calibri" w:hAnsi="Times New Roman"/>
          <w:i/>
          <w:snapToGrid w:val="0"/>
          <w:kern w:val="22"/>
          <w:bdr w:val="none" w:sz="0" w:space="0" w:color="auto"/>
          <w:lang w:val="en-GB"/>
        </w:rPr>
      </w:pPr>
      <w:r w:rsidRPr="0035576A">
        <w:rPr>
          <w:rFonts w:eastAsia="Calibri" w:hAnsi="Times New Roman"/>
          <w:i/>
          <w:snapToGrid w:val="0"/>
          <w:kern w:val="22"/>
          <w:bdr w:val="none" w:sz="0" w:space="0" w:color="auto"/>
          <w:lang w:val="en-GB"/>
        </w:rPr>
        <w:t>Does your country have fair and non-arbitrary rules and procedures on accessing genetic resources as provided in Article 6.3 (b)?”</w:t>
      </w:r>
      <w:r w:rsidRPr="0035576A">
        <w:rPr>
          <w:i/>
          <w:lang w:val="en-GB"/>
        </w:rPr>
        <w:t xml:space="preserve"> </w:t>
      </w:r>
      <w:r w:rsidR="00C0165D" w:rsidRPr="0035576A">
        <w:rPr>
          <w:rFonts w:eastAsia="Calibri" w:hAnsi="Times New Roman"/>
          <w:i/>
          <w:snapToGrid w:val="0"/>
          <w:kern w:val="22"/>
          <w:bdr w:val="none" w:sz="0" w:space="0" w:color="auto"/>
          <w:lang w:val="en-GB"/>
        </w:rPr>
        <w:t>(</w:t>
      </w:r>
      <w:r w:rsidR="00EA65E0" w:rsidRPr="0035576A">
        <w:rPr>
          <w:rFonts w:eastAsia="Calibri" w:hAnsi="Times New Roman"/>
          <w:i/>
          <w:snapToGrid w:val="0"/>
          <w:kern w:val="22"/>
          <w:bdr w:val="none" w:sz="0" w:space="0" w:color="auto"/>
          <w:lang w:val="en-GB"/>
        </w:rPr>
        <w:t>question 12)</w:t>
      </w:r>
    </w:p>
    <w:p w14:paraId="30570D58" w14:textId="567A17EE" w:rsidR="006A7370" w:rsidRPr="00DF02C5" w:rsidRDefault="004C77AF" w:rsidP="004C77AF">
      <w:pPr>
        <w:pStyle w:val="Para1"/>
        <w:numPr>
          <w:ilvl w:val="0"/>
          <w:numId w:val="1"/>
        </w:numPr>
        <w:rPr>
          <w:rFonts w:eastAsia="Calibri" w:hAnsi="Times New Roman"/>
          <w:snapToGrid w:val="0"/>
          <w:kern w:val="22"/>
          <w:bdr w:val="none" w:sz="0" w:space="0" w:color="auto"/>
          <w:lang w:val="en-GB"/>
        </w:rPr>
      </w:pPr>
      <w:proofErr w:type="gramStart"/>
      <w:r w:rsidRPr="00DF02C5">
        <w:rPr>
          <w:rFonts w:eastAsia="Calibri" w:hAnsi="Times New Roman"/>
          <w:snapToGrid w:val="0"/>
          <w:kern w:val="22"/>
          <w:bdr w:val="none" w:sz="0" w:space="0" w:color="auto"/>
          <w:lang w:val="en-GB"/>
        </w:rPr>
        <w:t>Thirty-seven</w:t>
      </w:r>
      <w:proofErr w:type="gramEnd"/>
      <w:r w:rsidRPr="00DF02C5">
        <w:rPr>
          <w:rFonts w:eastAsia="Calibri" w:hAnsi="Times New Roman"/>
          <w:snapToGrid w:val="0"/>
          <w:kern w:val="22"/>
          <w:bdr w:val="none" w:sz="0" w:space="0" w:color="auto"/>
          <w:lang w:val="en-GB"/>
        </w:rPr>
        <w:t xml:space="preserve"> Parties and two non-Parties responded that access to genetic resources was subject to PIC and </w:t>
      </w:r>
      <w:r w:rsidR="0080016C" w:rsidRPr="00DF02C5">
        <w:rPr>
          <w:rFonts w:eastAsia="Calibri" w:hAnsi="Times New Roman"/>
          <w:snapToGrid w:val="0"/>
          <w:kern w:val="22"/>
          <w:bdr w:val="none" w:sz="0" w:space="0" w:color="auto"/>
          <w:lang w:val="en-GB"/>
        </w:rPr>
        <w:t xml:space="preserve">responded to </w:t>
      </w:r>
      <w:r w:rsidRPr="00DF02C5">
        <w:rPr>
          <w:rFonts w:eastAsia="Calibri" w:hAnsi="Times New Roman"/>
          <w:snapToGrid w:val="0"/>
          <w:kern w:val="22"/>
          <w:bdr w:val="none" w:sz="0" w:space="0" w:color="auto"/>
          <w:lang w:val="en-GB"/>
        </w:rPr>
        <w:t xml:space="preserve">this question. </w:t>
      </w:r>
      <w:r w:rsidR="006A7370" w:rsidRPr="00DF02C5">
        <w:rPr>
          <w:rFonts w:eastAsia="Calibri" w:hAnsi="Times New Roman"/>
          <w:snapToGrid w:val="0"/>
          <w:kern w:val="22"/>
          <w:bdr w:val="none" w:sz="0" w:space="0" w:color="auto"/>
          <w:lang w:val="en-GB"/>
        </w:rPr>
        <w:t>Thirty-one Parties and two non-Parties responded that they have fair and non-arbitrary rules and procedures on accessing genetic resources</w:t>
      </w:r>
      <w:r w:rsidR="00A07457" w:rsidRPr="00DF02C5">
        <w:rPr>
          <w:rFonts w:eastAsia="Calibri" w:hAnsi="Times New Roman"/>
          <w:snapToGrid w:val="0"/>
          <w:kern w:val="22"/>
          <w:bdr w:val="none" w:sz="0" w:space="0" w:color="auto"/>
          <w:lang w:val="en-GB"/>
        </w:rPr>
        <w:t>,</w:t>
      </w:r>
      <w:r w:rsidRPr="00DF02C5">
        <w:rPr>
          <w:rFonts w:eastAsia="Calibri" w:hAnsi="Times New Roman"/>
          <w:snapToGrid w:val="0"/>
          <w:kern w:val="22"/>
          <w:bdr w:val="none" w:sz="0" w:space="0" w:color="auto"/>
          <w:lang w:val="en-GB"/>
        </w:rPr>
        <w:t xml:space="preserve"> while six Parties indicated not having fair and non-arbitrary rules and procedures on accessing genetic resources. </w:t>
      </w:r>
    </w:p>
    <w:p w14:paraId="131BCB64" w14:textId="6DBBE373" w:rsidR="00711362" w:rsidRPr="00DF02C5" w:rsidRDefault="007D5F65" w:rsidP="00E5256F">
      <w:pPr>
        <w:pStyle w:val="Caption"/>
        <w:keepNext/>
        <w:keepLines/>
        <w:rPr>
          <w:lang w:val="en-GB"/>
        </w:rPr>
      </w:pPr>
      <w:r w:rsidRPr="00DF02C5">
        <w:rPr>
          <w:lang w:val="en-GB"/>
        </w:rPr>
        <w:lastRenderedPageBreak/>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00E5256F" w:rsidRPr="00DF02C5">
        <w:rPr>
          <w:noProof/>
          <w:lang w:val="en-GB"/>
        </w:rPr>
        <w:t>7</w:t>
      </w:r>
      <w:r w:rsidRPr="00DF02C5">
        <w:rPr>
          <w:lang w:val="en-GB"/>
        </w:rPr>
        <w:fldChar w:fldCharType="end"/>
      </w:r>
      <w:r w:rsidR="00711362" w:rsidRPr="00DF02C5">
        <w:rPr>
          <w:lang w:val="en-GB"/>
        </w:rPr>
        <w:t xml:space="preserve">: Fair and non-arbitrary rules and procedures on accessing genetic resources (percentage of countries) </w:t>
      </w:r>
    </w:p>
    <w:p w14:paraId="726C6130" w14:textId="6C85C350" w:rsidR="004C77AF" w:rsidRPr="00DF02C5" w:rsidRDefault="00E5256F" w:rsidP="00711362">
      <w:pPr>
        <w:pStyle w:val="Para1"/>
        <w:jc w:val="center"/>
        <w:rPr>
          <w:rFonts w:eastAsia="Calibri" w:hAnsi="Times New Roman"/>
          <w:snapToGrid w:val="0"/>
          <w:kern w:val="22"/>
          <w:highlight w:val="yellow"/>
          <w:bdr w:val="none" w:sz="0" w:space="0" w:color="auto"/>
          <w:lang w:val="en-GB"/>
        </w:rPr>
      </w:pPr>
      <w:r w:rsidRPr="00DF02C5">
        <w:rPr>
          <w:noProof/>
        </w:rPr>
        <w:drawing>
          <wp:inline distT="0" distB="0" distL="0" distR="0" wp14:anchorId="10F36910" wp14:editId="71BAC841">
            <wp:extent cx="3600450" cy="2028825"/>
            <wp:effectExtent l="0" t="0" r="0" b="9525"/>
            <wp:docPr id="5" name="Picture 5" descr="cid:image007.png@01D3CFF1.6B23C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 descr="cid:image007.png@01D3CFF1.6B23C29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600450" cy="2028825"/>
                    </a:xfrm>
                    <a:prstGeom prst="rect">
                      <a:avLst/>
                    </a:prstGeom>
                    <a:noFill/>
                    <a:ln>
                      <a:noFill/>
                    </a:ln>
                  </pic:spPr>
                </pic:pic>
              </a:graphicData>
            </a:graphic>
          </wp:inline>
        </w:drawing>
      </w:r>
    </w:p>
    <w:p w14:paraId="2EABB1EB" w14:textId="553ADEB7" w:rsidR="00711362" w:rsidRPr="00DF02C5" w:rsidRDefault="00711362" w:rsidP="00711362">
      <w:pPr>
        <w:pStyle w:val="Para1"/>
        <w:rPr>
          <w:rFonts w:eastAsia="Calibri" w:hAnsi="Times New Roman"/>
          <w:i/>
          <w:snapToGrid w:val="0"/>
          <w:kern w:val="22"/>
          <w:bdr w:val="none" w:sz="0" w:space="0" w:color="auto"/>
          <w:lang w:val="en-GB"/>
        </w:rPr>
      </w:pPr>
      <w:r w:rsidRPr="00DF02C5">
        <w:rPr>
          <w:rFonts w:eastAsia="Calibri" w:hAnsi="Times New Roman"/>
          <w:i/>
          <w:snapToGrid w:val="0"/>
          <w:kern w:val="22"/>
          <w:bdr w:val="none" w:sz="0" w:space="0" w:color="auto"/>
          <w:lang w:val="en-GB"/>
        </w:rPr>
        <w:t>(a)</w:t>
      </w:r>
      <w:r w:rsidRPr="00DF02C5">
        <w:rPr>
          <w:rFonts w:eastAsia="Calibri" w:hAnsi="Times New Roman"/>
          <w:i/>
          <w:snapToGrid w:val="0"/>
          <w:kern w:val="22"/>
          <w:bdr w:val="none" w:sz="0" w:space="0" w:color="auto"/>
          <w:lang w:val="en-GB"/>
        </w:rPr>
        <w:tab/>
        <w:t>Countries that answered “yes”</w:t>
      </w:r>
    </w:p>
    <w:p w14:paraId="24B55E19" w14:textId="705D0358" w:rsidR="00EA65E0" w:rsidRPr="00DF02C5" w:rsidRDefault="00D2731F" w:rsidP="00393914">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S</w:t>
      </w:r>
      <w:r w:rsidR="00EA65E0" w:rsidRPr="00DF02C5">
        <w:rPr>
          <w:rFonts w:eastAsia="Calibri" w:hAnsi="Times New Roman"/>
          <w:snapToGrid w:val="0"/>
          <w:kern w:val="22"/>
          <w:bdr w:val="none" w:sz="0" w:space="0" w:color="auto"/>
          <w:lang w:val="en-GB"/>
        </w:rPr>
        <w:t>ome countries</w:t>
      </w:r>
      <w:r w:rsidR="00933054" w:rsidRPr="00DF02C5">
        <w:rPr>
          <w:rFonts w:eastAsia="Calibri" w:hAnsi="Times New Roman"/>
          <w:snapToGrid w:val="0"/>
          <w:kern w:val="22"/>
          <w:bdr w:val="none" w:sz="0" w:space="0" w:color="auto"/>
          <w:lang w:val="en-GB"/>
        </w:rPr>
        <w:t xml:space="preserve"> </w:t>
      </w:r>
      <w:proofErr w:type="gramStart"/>
      <w:r w:rsidR="00933054" w:rsidRPr="00DF02C5">
        <w:rPr>
          <w:rFonts w:eastAsia="Calibri" w:hAnsi="Times New Roman"/>
          <w:snapToGrid w:val="0"/>
          <w:kern w:val="22"/>
          <w:bdr w:val="none" w:sz="0" w:space="0" w:color="auto"/>
          <w:lang w:val="en-GB"/>
        </w:rPr>
        <w:t>made reference</w:t>
      </w:r>
      <w:proofErr w:type="gramEnd"/>
      <w:r w:rsidR="00933054" w:rsidRPr="00DF02C5">
        <w:rPr>
          <w:rFonts w:eastAsia="Calibri" w:hAnsi="Times New Roman"/>
          <w:snapToGrid w:val="0"/>
          <w:kern w:val="22"/>
          <w:bdr w:val="none" w:sz="0" w:space="0" w:color="auto"/>
          <w:lang w:val="en-GB"/>
        </w:rPr>
        <w:t xml:space="preserve"> to relevant </w:t>
      </w:r>
      <w:r w:rsidR="00EA65E0" w:rsidRPr="00DF02C5">
        <w:rPr>
          <w:rFonts w:eastAsia="Calibri" w:hAnsi="Times New Roman"/>
          <w:snapToGrid w:val="0"/>
          <w:kern w:val="22"/>
          <w:bdr w:val="none" w:sz="0" w:space="0" w:color="auto"/>
          <w:lang w:val="en-GB"/>
        </w:rPr>
        <w:t xml:space="preserve">ABS measures dealing </w:t>
      </w:r>
      <w:r w:rsidR="00DF2145" w:rsidRPr="00DF02C5">
        <w:rPr>
          <w:rFonts w:eastAsia="Calibri" w:hAnsi="Times New Roman"/>
          <w:snapToGrid w:val="0"/>
          <w:kern w:val="22"/>
          <w:bdr w:val="none" w:sz="0" w:space="0" w:color="auto"/>
          <w:lang w:val="en-GB"/>
        </w:rPr>
        <w:t xml:space="preserve">with </w:t>
      </w:r>
      <w:r w:rsidR="00C0165D" w:rsidRPr="00DF02C5">
        <w:rPr>
          <w:rFonts w:eastAsia="Calibri" w:hAnsi="Times New Roman"/>
          <w:snapToGrid w:val="0"/>
          <w:kern w:val="22"/>
          <w:bdr w:val="none" w:sz="0" w:space="0" w:color="auto"/>
          <w:lang w:val="en-GB"/>
        </w:rPr>
        <w:t>access rules and procedures</w:t>
      </w:r>
      <w:r w:rsidR="00EA65E0" w:rsidRPr="00DF02C5">
        <w:rPr>
          <w:rStyle w:val="FootnoteReference"/>
          <w:rFonts w:eastAsia="Calibri" w:hAnsi="Times New Roman"/>
          <w:snapToGrid w:val="0"/>
          <w:kern w:val="22"/>
          <w:bdr w:val="none" w:sz="0" w:space="0" w:color="auto"/>
          <w:lang w:val="en-GB"/>
        </w:rPr>
        <w:footnoteReference w:id="76"/>
      </w:r>
      <w:r w:rsidR="00EA65E0" w:rsidRPr="00DF02C5">
        <w:rPr>
          <w:rFonts w:eastAsia="Calibri" w:hAnsi="Times New Roman"/>
          <w:snapToGrid w:val="0"/>
          <w:kern w:val="22"/>
          <w:bdr w:val="none" w:sz="0" w:space="0" w:color="auto"/>
          <w:lang w:val="en-GB"/>
        </w:rPr>
        <w:t xml:space="preserve"> or refer</w:t>
      </w:r>
      <w:r w:rsidR="00933054" w:rsidRPr="00DF02C5">
        <w:rPr>
          <w:rFonts w:eastAsia="Calibri" w:hAnsi="Times New Roman"/>
          <w:snapToGrid w:val="0"/>
          <w:kern w:val="22"/>
          <w:bdr w:val="none" w:sz="0" w:space="0" w:color="auto"/>
          <w:lang w:val="en-GB"/>
        </w:rPr>
        <w:t>red</w:t>
      </w:r>
      <w:r w:rsidR="00EA65E0" w:rsidRPr="00DF02C5">
        <w:rPr>
          <w:rFonts w:eastAsia="Calibri" w:hAnsi="Times New Roman"/>
          <w:snapToGrid w:val="0"/>
          <w:kern w:val="22"/>
          <w:bdr w:val="none" w:sz="0" w:space="0" w:color="auto"/>
          <w:lang w:val="en-GB"/>
        </w:rPr>
        <w:t xml:space="preserve"> to their plans or work to put </w:t>
      </w:r>
      <w:r w:rsidR="00C0165D" w:rsidRPr="00DF02C5">
        <w:rPr>
          <w:rFonts w:eastAsia="Calibri" w:hAnsi="Times New Roman"/>
          <w:snapToGrid w:val="0"/>
          <w:kern w:val="22"/>
          <w:bdr w:val="none" w:sz="0" w:space="0" w:color="auto"/>
          <w:lang w:val="en-GB"/>
        </w:rPr>
        <w:t>the necessary measures in place</w:t>
      </w:r>
      <w:r w:rsidR="004F5FD9">
        <w:rPr>
          <w:rFonts w:eastAsia="Calibri" w:hAnsi="Times New Roman"/>
          <w:snapToGrid w:val="0"/>
          <w:kern w:val="22"/>
          <w:bdr w:val="none" w:sz="0" w:space="0" w:color="auto"/>
          <w:lang w:val="en-GB"/>
        </w:rPr>
        <w:t>.</w:t>
      </w:r>
      <w:r w:rsidR="00EA65E0" w:rsidRPr="00DF02C5">
        <w:rPr>
          <w:rStyle w:val="FootnoteReference"/>
          <w:rFonts w:eastAsia="Calibri" w:hAnsi="Times New Roman"/>
          <w:snapToGrid w:val="0"/>
          <w:kern w:val="22"/>
          <w:bdr w:val="none" w:sz="0" w:space="0" w:color="auto"/>
          <w:lang w:val="en-GB"/>
        </w:rPr>
        <w:footnoteReference w:id="77"/>
      </w:r>
      <w:r w:rsidR="00EA65E0" w:rsidRPr="00DF02C5">
        <w:rPr>
          <w:rFonts w:eastAsia="Calibri" w:hAnsi="Times New Roman"/>
          <w:snapToGrid w:val="0"/>
          <w:kern w:val="22"/>
          <w:bdr w:val="none" w:sz="0" w:space="0" w:color="auto"/>
          <w:lang w:val="en-GB"/>
        </w:rPr>
        <w:t xml:space="preserve"> Two countries</w:t>
      </w:r>
      <w:r w:rsidR="00EA65E0" w:rsidRPr="00DF02C5">
        <w:rPr>
          <w:rStyle w:val="FootnoteReference"/>
          <w:rFonts w:eastAsia="Calibri" w:hAnsi="Times New Roman"/>
          <w:snapToGrid w:val="0"/>
          <w:kern w:val="22"/>
          <w:bdr w:val="none" w:sz="0" w:space="0" w:color="auto"/>
          <w:lang w:val="en-GB"/>
        </w:rPr>
        <w:footnoteReference w:id="78"/>
      </w:r>
      <w:r w:rsidR="00EA65E0" w:rsidRPr="00DF02C5">
        <w:rPr>
          <w:rFonts w:eastAsia="Calibri" w:hAnsi="Times New Roman"/>
          <w:snapToGrid w:val="0"/>
          <w:kern w:val="22"/>
          <w:bdr w:val="none" w:sz="0" w:space="0" w:color="auto"/>
          <w:lang w:val="en-GB"/>
        </w:rPr>
        <w:t xml:space="preserve"> provided </w:t>
      </w:r>
      <w:r w:rsidR="00EA65E0" w:rsidRPr="00DF02C5">
        <w:rPr>
          <w:rFonts w:hAnsi="Times New Roman"/>
          <w:snapToGrid w:val="0"/>
          <w:kern w:val="22"/>
          <w:lang w:val="en-GB"/>
        </w:rPr>
        <w:t>detailed information on the rules and procedures for access.</w:t>
      </w:r>
      <w:r w:rsidR="00EA65E0" w:rsidRPr="00DF02C5">
        <w:rPr>
          <w:rFonts w:eastAsia="Calibri" w:hAnsi="Times New Roman"/>
          <w:snapToGrid w:val="0"/>
          <w:kern w:val="22"/>
          <w:bdr w:val="none" w:sz="0" w:space="0" w:color="auto"/>
          <w:lang w:val="en-GB"/>
        </w:rPr>
        <w:t xml:space="preserve"> </w:t>
      </w:r>
    </w:p>
    <w:p w14:paraId="415D97DD" w14:textId="6BC81492" w:rsidR="00EA65E0" w:rsidRPr="00DF02C5" w:rsidRDefault="0080016C" w:rsidP="00393914">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 xml:space="preserve">In providing further information, some countries mentioned the following: </w:t>
      </w:r>
    </w:p>
    <w:p w14:paraId="3E97D440" w14:textId="65B4DD1E" w:rsidR="00EA65E0" w:rsidRPr="00DF02C5" w:rsidRDefault="00EA65E0" w:rsidP="00711362">
      <w:pPr>
        <w:pStyle w:val="ListParagraph"/>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1440"/>
        </w:tabs>
        <w:ind w:left="0" w:firstLine="720"/>
        <w:jc w:val="left"/>
        <w:rPr>
          <w:snapToGrid w:val="0"/>
          <w:szCs w:val="18"/>
          <w:lang w:val="en-GB"/>
        </w:rPr>
      </w:pPr>
      <w:r w:rsidRPr="00DF02C5">
        <w:rPr>
          <w:snapToGrid w:val="0"/>
          <w:szCs w:val="18"/>
          <w:lang w:val="en-GB"/>
        </w:rPr>
        <w:t xml:space="preserve">Benin and Madagascar specified in their report that their ABS requirements applied equally to </w:t>
      </w:r>
      <w:r w:rsidR="00B57131" w:rsidRPr="00DF02C5">
        <w:rPr>
          <w:snapToGrid w:val="0"/>
          <w:szCs w:val="18"/>
          <w:lang w:val="en-GB"/>
        </w:rPr>
        <w:t>national and foreign applicants.</w:t>
      </w:r>
    </w:p>
    <w:p w14:paraId="60FEABED" w14:textId="2BFF0348" w:rsidR="00A07457" w:rsidRPr="00DF02C5" w:rsidRDefault="00EA65E0" w:rsidP="004F5FD9">
      <w:pPr>
        <w:pStyle w:val="ListParagraph"/>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1440"/>
        </w:tabs>
        <w:ind w:left="0" w:firstLine="720"/>
        <w:rPr>
          <w:snapToGrid w:val="0"/>
          <w:szCs w:val="18"/>
          <w:lang w:val="en-GB"/>
        </w:rPr>
      </w:pPr>
      <w:r w:rsidRPr="00DF02C5">
        <w:rPr>
          <w:snapToGrid w:val="0"/>
          <w:szCs w:val="18"/>
          <w:lang w:val="en-GB"/>
        </w:rPr>
        <w:t xml:space="preserve"> South Africa reported that the procedures and rules are the same</w:t>
      </w:r>
      <w:r w:rsidR="00220CFE" w:rsidRPr="00DF02C5">
        <w:rPr>
          <w:snapToGrid w:val="0"/>
          <w:szCs w:val="18"/>
          <w:lang w:val="en-GB"/>
        </w:rPr>
        <w:t xml:space="preserve"> for </w:t>
      </w:r>
      <w:r w:rsidRPr="00DF02C5">
        <w:rPr>
          <w:snapToGrid w:val="0"/>
          <w:szCs w:val="18"/>
          <w:lang w:val="en-GB"/>
        </w:rPr>
        <w:t xml:space="preserve"> all persons, but they noted that according to the Regulations a permit applicat</w:t>
      </w:r>
      <w:r w:rsidR="00B57131" w:rsidRPr="00DF02C5">
        <w:rPr>
          <w:snapToGrid w:val="0"/>
          <w:szCs w:val="18"/>
          <w:lang w:val="en-GB"/>
        </w:rPr>
        <w:t>ion may only be submitted by: (i</w:t>
      </w:r>
      <w:r w:rsidRPr="00DF02C5">
        <w:rPr>
          <w:snapToGrid w:val="0"/>
          <w:szCs w:val="18"/>
          <w:lang w:val="en-GB"/>
        </w:rPr>
        <w:t>) a natural person registered i</w:t>
      </w:r>
      <w:r w:rsidR="00B57131" w:rsidRPr="00DF02C5">
        <w:rPr>
          <w:snapToGrid w:val="0"/>
          <w:szCs w:val="18"/>
          <w:lang w:val="en-GB"/>
        </w:rPr>
        <w:t>n terms of South African law; (ii</w:t>
      </w:r>
      <w:r w:rsidRPr="00DF02C5">
        <w:rPr>
          <w:snapToGrid w:val="0"/>
          <w:szCs w:val="18"/>
          <w:lang w:val="en-GB"/>
        </w:rPr>
        <w:t>) a natural person, who is a South African citizen or permanent</w:t>
      </w:r>
      <w:r w:rsidR="00B57131" w:rsidRPr="00DF02C5">
        <w:rPr>
          <w:snapToGrid w:val="0"/>
          <w:szCs w:val="18"/>
          <w:lang w:val="en-GB"/>
        </w:rPr>
        <w:t xml:space="preserve"> resident of South Africa; or (iii</w:t>
      </w:r>
      <w:r w:rsidRPr="00DF02C5">
        <w:rPr>
          <w:snapToGrid w:val="0"/>
          <w:szCs w:val="18"/>
          <w:lang w:val="en-GB"/>
        </w:rPr>
        <w:t>) a juristic person that is not registered in terms of South African law or a natural person who is not a South African citizen or permanent resident of South Africa, if that juristic person or foreign national applies jointly with juristic or natural person r</w:t>
      </w:r>
      <w:r w:rsidR="00B57131" w:rsidRPr="00DF02C5">
        <w:rPr>
          <w:snapToGrid w:val="0"/>
          <w:szCs w:val="18"/>
          <w:lang w:val="en-GB"/>
        </w:rPr>
        <w:t>eferred to in paragraph (i) or (ii</w:t>
      </w:r>
      <w:r w:rsidRPr="00DF02C5">
        <w:rPr>
          <w:snapToGrid w:val="0"/>
          <w:szCs w:val="18"/>
          <w:lang w:val="en-GB"/>
        </w:rPr>
        <w:t>) above.</w:t>
      </w:r>
    </w:p>
    <w:p w14:paraId="7A690A9C" w14:textId="5E320FF2" w:rsidR="00A07457" w:rsidRPr="00DF02C5" w:rsidRDefault="00A07457" w:rsidP="00A07457">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However, it should be noted that the majority of countries answered this question in a generic manner referring, for instance, to the requirement for PIC, and not addressing specifically whether the procedures and rules for accessing genetic resources were fair and non-arbitrary.</w:t>
      </w:r>
    </w:p>
    <w:p w14:paraId="78987C4D" w14:textId="436B190F" w:rsidR="00711362" w:rsidRPr="00DF02C5" w:rsidRDefault="00711362" w:rsidP="00711362">
      <w:pPr>
        <w:pStyle w:val="Para1"/>
        <w:rPr>
          <w:rFonts w:eastAsia="Calibri" w:hAnsi="Times New Roman"/>
          <w:i/>
          <w:snapToGrid w:val="0"/>
          <w:kern w:val="22"/>
          <w:bdr w:val="none" w:sz="0" w:space="0" w:color="auto"/>
          <w:lang w:val="en-GB"/>
        </w:rPr>
      </w:pPr>
      <w:r w:rsidRPr="00DF02C5">
        <w:rPr>
          <w:rFonts w:eastAsia="Calibri" w:hAnsi="Times New Roman"/>
          <w:i/>
          <w:snapToGrid w:val="0"/>
          <w:kern w:val="22"/>
          <w:bdr w:val="none" w:sz="0" w:space="0" w:color="auto"/>
          <w:lang w:val="en-GB"/>
        </w:rPr>
        <w:t>(b)</w:t>
      </w:r>
      <w:r w:rsidRPr="00DF02C5">
        <w:rPr>
          <w:rFonts w:eastAsia="Calibri" w:hAnsi="Times New Roman"/>
          <w:i/>
          <w:snapToGrid w:val="0"/>
          <w:kern w:val="22"/>
          <w:bdr w:val="none" w:sz="0" w:space="0" w:color="auto"/>
          <w:lang w:val="en-GB"/>
        </w:rPr>
        <w:tab/>
        <w:t>Countries that answered “no”</w:t>
      </w:r>
    </w:p>
    <w:p w14:paraId="2F97E779" w14:textId="40362298" w:rsidR="00711362" w:rsidRPr="00DF02C5" w:rsidRDefault="00EA65E0" w:rsidP="00EA65E0">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Three of the countries that answered “no” to the question, when providing more information noted that they were planning to do s</w:t>
      </w:r>
      <w:r w:rsidR="00A91EAA">
        <w:rPr>
          <w:rFonts w:eastAsia="Calibri" w:hAnsi="Times New Roman"/>
          <w:snapToGrid w:val="0"/>
          <w:kern w:val="22"/>
          <w:bdr w:val="none" w:sz="0" w:space="0" w:color="auto"/>
          <w:lang w:val="en-GB"/>
        </w:rPr>
        <w:t>o as part of the work underway.</w:t>
      </w:r>
      <w:r w:rsidRPr="00DF02C5">
        <w:rPr>
          <w:rStyle w:val="FootnoteReference"/>
          <w:rFonts w:eastAsia="Calibri" w:hAnsi="Times New Roman"/>
          <w:snapToGrid w:val="0"/>
          <w:color w:val="auto"/>
          <w:kern w:val="22"/>
          <w:bdr w:val="none" w:sz="0" w:space="0" w:color="auto"/>
          <w:lang w:val="en-GB"/>
        </w:rPr>
        <w:footnoteReference w:id="79"/>
      </w:r>
    </w:p>
    <w:p w14:paraId="2CB3D53A" w14:textId="3BDF39E5" w:rsidR="00EA65E0" w:rsidRPr="004F5FD9" w:rsidRDefault="00A07457" w:rsidP="004F5FD9">
      <w:pPr>
        <w:pStyle w:val="Para1"/>
        <w:numPr>
          <w:ilvl w:val="0"/>
          <w:numId w:val="86"/>
        </w:numPr>
        <w:spacing w:before="240" w:line="228" w:lineRule="auto"/>
        <w:rPr>
          <w:rFonts w:eastAsia="Calibri" w:hAnsi="Times New Roman"/>
          <w:i/>
          <w:snapToGrid w:val="0"/>
          <w:kern w:val="22"/>
          <w:bdr w:val="none" w:sz="0" w:space="0" w:color="auto"/>
          <w:lang w:val="en-GB"/>
        </w:rPr>
      </w:pPr>
      <w:r w:rsidRPr="004F5FD9">
        <w:rPr>
          <w:rFonts w:eastAsia="Calibri" w:hAnsi="Times New Roman"/>
          <w:i/>
          <w:snapToGrid w:val="0"/>
          <w:kern w:val="22"/>
          <w:bdr w:val="none" w:sz="0" w:space="0" w:color="auto"/>
          <w:lang w:val="en-GB"/>
        </w:rPr>
        <w:t xml:space="preserve">Does your country provide information on how to apply for PIC as provided in Article 6.3(c)? </w:t>
      </w:r>
      <w:r w:rsidR="00EA65E0" w:rsidRPr="004F5FD9">
        <w:rPr>
          <w:rFonts w:eastAsia="Calibri" w:hAnsi="Times New Roman"/>
          <w:i/>
          <w:snapToGrid w:val="0"/>
          <w:kern w:val="22"/>
          <w:bdr w:val="none" w:sz="0" w:space="0" w:color="auto"/>
          <w:lang w:val="en-GB"/>
        </w:rPr>
        <w:t>(question 13)</w:t>
      </w:r>
    </w:p>
    <w:p w14:paraId="6B7CB5B0" w14:textId="1419D2FE" w:rsidR="00A07457" w:rsidRPr="00DF02C5" w:rsidRDefault="00A07457" w:rsidP="00A07457">
      <w:pPr>
        <w:pStyle w:val="Para1"/>
        <w:numPr>
          <w:ilvl w:val="0"/>
          <w:numId w:val="1"/>
        </w:numPr>
        <w:rPr>
          <w:rFonts w:eastAsia="Calibri" w:hAnsi="Times New Roman"/>
          <w:snapToGrid w:val="0"/>
          <w:kern w:val="22"/>
          <w:bdr w:val="none" w:sz="0" w:space="0" w:color="auto"/>
          <w:lang w:val="en-GB"/>
        </w:rPr>
      </w:pPr>
      <w:proofErr w:type="gramStart"/>
      <w:r w:rsidRPr="00DF02C5">
        <w:rPr>
          <w:rFonts w:eastAsia="Calibri" w:hAnsi="Times New Roman"/>
          <w:snapToGrid w:val="0"/>
          <w:kern w:val="22"/>
          <w:bdr w:val="none" w:sz="0" w:space="0" w:color="auto"/>
          <w:lang w:val="en-GB"/>
        </w:rPr>
        <w:t>Thirty-seven</w:t>
      </w:r>
      <w:proofErr w:type="gramEnd"/>
      <w:r w:rsidRPr="00DF02C5">
        <w:rPr>
          <w:rFonts w:eastAsia="Calibri" w:hAnsi="Times New Roman"/>
          <w:snapToGrid w:val="0"/>
          <w:kern w:val="22"/>
          <w:bdr w:val="none" w:sz="0" w:space="0" w:color="auto"/>
          <w:lang w:val="en-GB"/>
        </w:rPr>
        <w:t xml:space="preserve"> Parties and two non-Parties responded that access to genetic resources was subject to PIC and responded to this question. </w:t>
      </w:r>
      <w:r w:rsidR="00DD5041" w:rsidRPr="00DF02C5">
        <w:rPr>
          <w:rFonts w:eastAsia="Calibri" w:hAnsi="Times New Roman"/>
          <w:snapToGrid w:val="0"/>
          <w:kern w:val="22"/>
          <w:bdr w:val="none" w:sz="0" w:space="0" w:color="auto"/>
          <w:lang w:val="en-GB"/>
        </w:rPr>
        <w:t xml:space="preserve">Twenty-seven </w:t>
      </w:r>
      <w:r w:rsidRPr="00DF02C5">
        <w:rPr>
          <w:rFonts w:eastAsia="Calibri" w:hAnsi="Times New Roman"/>
          <w:snapToGrid w:val="0"/>
          <w:kern w:val="22"/>
          <w:bdr w:val="none" w:sz="0" w:space="0" w:color="auto"/>
          <w:lang w:val="en-GB"/>
        </w:rPr>
        <w:t xml:space="preserve">Parties and two non-Parties responded that they </w:t>
      </w:r>
      <w:r w:rsidRPr="00DF02C5">
        <w:rPr>
          <w:lang w:val="en-GB"/>
        </w:rPr>
        <w:t xml:space="preserve">provide information on how to apply for PIC, </w:t>
      </w:r>
      <w:r w:rsidRPr="00DF02C5">
        <w:rPr>
          <w:rFonts w:eastAsia="Calibri" w:hAnsi="Times New Roman"/>
          <w:snapToGrid w:val="0"/>
          <w:kern w:val="22"/>
          <w:bdr w:val="none" w:sz="0" w:space="0" w:color="auto"/>
          <w:lang w:val="en-GB"/>
        </w:rPr>
        <w:t xml:space="preserve">while </w:t>
      </w:r>
      <w:r w:rsidR="00DD5041" w:rsidRPr="00DF02C5">
        <w:rPr>
          <w:rFonts w:eastAsia="Calibri" w:hAnsi="Times New Roman"/>
          <w:snapToGrid w:val="0"/>
          <w:kern w:val="22"/>
          <w:bdr w:val="none" w:sz="0" w:space="0" w:color="auto"/>
          <w:lang w:val="en-GB"/>
        </w:rPr>
        <w:t xml:space="preserve">ten </w:t>
      </w:r>
      <w:r w:rsidRPr="00DF02C5">
        <w:rPr>
          <w:rFonts w:eastAsia="Calibri" w:hAnsi="Times New Roman"/>
          <w:snapToGrid w:val="0"/>
          <w:kern w:val="22"/>
          <w:bdr w:val="none" w:sz="0" w:space="0" w:color="auto"/>
          <w:lang w:val="en-GB"/>
        </w:rPr>
        <w:t>Parties indicated that they do not provide such information.</w:t>
      </w:r>
    </w:p>
    <w:p w14:paraId="6660AFDD" w14:textId="4A686292" w:rsidR="00A07457" w:rsidRPr="00DF02C5" w:rsidRDefault="007D5F65" w:rsidP="00E5256F">
      <w:pPr>
        <w:pStyle w:val="Caption"/>
        <w:keepNext/>
        <w:keepLines/>
        <w:rPr>
          <w:lang w:val="en-GB"/>
        </w:rPr>
      </w:pPr>
      <w:r w:rsidRPr="00DF02C5">
        <w:rPr>
          <w:lang w:val="en-GB"/>
        </w:rPr>
        <w:lastRenderedPageBreak/>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00E5256F" w:rsidRPr="00DF02C5">
        <w:rPr>
          <w:noProof/>
          <w:lang w:val="en-GB"/>
        </w:rPr>
        <w:t>8</w:t>
      </w:r>
      <w:r w:rsidRPr="00DF02C5">
        <w:rPr>
          <w:lang w:val="en-GB"/>
        </w:rPr>
        <w:fldChar w:fldCharType="end"/>
      </w:r>
      <w:r w:rsidR="00A07457" w:rsidRPr="00DF02C5">
        <w:rPr>
          <w:lang w:val="en-GB"/>
        </w:rPr>
        <w:t>: Provision of information on how to apply for PIC (percentage by countries)</w:t>
      </w:r>
    </w:p>
    <w:p w14:paraId="1E4DBBFD" w14:textId="5EF6A704" w:rsidR="00DD5041" w:rsidRPr="00DF02C5" w:rsidRDefault="00E53A27" w:rsidP="00A07457">
      <w:pPr>
        <w:pStyle w:val="Para1"/>
        <w:jc w:val="center"/>
        <w:rPr>
          <w:rFonts w:eastAsia="Calibri" w:hAnsi="Times New Roman"/>
          <w:snapToGrid w:val="0"/>
          <w:kern w:val="22"/>
          <w:bdr w:val="none" w:sz="0" w:space="0" w:color="auto"/>
          <w:lang w:val="en-GB"/>
        </w:rPr>
      </w:pPr>
      <w:r w:rsidRPr="00DF02C5">
        <w:rPr>
          <w:noProof/>
        </w:rPr>
        <w:drawing>
          <wp:inline distT="0" distB="0" distL="0" distR="0" wp14:anchorId="66D4C525" wp14:editId="395DCC12">
            <wp:extent cx="3409950" cy="1971675"/>
            <wp:effectExtent l="0" t="0" r="0" b="9525"/>
            <wp:docPr id="9" name="Picture 9" descr="cid:image009.png@01D3CFF1.6B23C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descr="cid:image009.png@01D3CFF1.6B23C29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415476" cy="1974870"/>
                    </a:xfrm>
                    <a:prstGeom prst="rect">
                      <a:avLst/>
                    </a:prstGeom>
                    <a:noFill/>
                    <a:ln>
                      <a:noFill/>
                    </a:ln>
                  </pic:spPr>
                </pic:pic>
              </a:graphicData>
            </a:graphic>
          </wp:inline>
        </w:drawing>
      </w:r>
    </w:p>
    <w:p w14:paraId="3A3BD7B5" w14:textId="77777777" w:rsidR="00A07457" w:rsidRPr="00DF02C5" w:rsidRDefault="00A07457" w:rsidP="00A07457">
      <w:pPr>
        <w:pStyle w:val="Para1"/>
        <w:jc w:val="center"/>
        <w:rPr>
          <w:rFonts w:eastAsia="Calibri" w:hAnsi="Times New Roman"/>
          <w:snapToGrid w:val="0"/>
          <w:kern w:val="22"/>
          <w:bdr w:val="none" w:sz="0" w:space="0" w:color="auto"/>
          <w:lang w:val="en-GB"/>
        </w:rPr>
      </w:pPr>
    </w:p>
    <w:p w14:paraId="193B0285" w14:textId="37825496" w:rsidR="00EA65E0" w:rsidRPr="00DF02C5" w:rsidRDefault="00C0165D" w:rsidP="00393914">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Three</w:t>
      </w:r>
      <w:r w:rsidR="00EA65E0" w:rsidRPr="00DF02C5">
        <w:rPr>
          <w:rFonts w:eastAsia="Calibri" w:hAnsi="Times New Roman"/>
          <w:snapToGrid w:val="0"/>
          <w:kern w:val="22"/>
          <w:bdr w:val="none" w:sz="0" w:space="0" w:color="auto"/>
          <w:lang w:val="en-GB"/>
        </w:rPr>
        <w:t xml:space="preserve"> countries</w:t>
      </w:r>
      <w:r w:rsidR="00EA65E0" w:rsidRPr="00DF02C5">
        <w:rPr>
          <w:rStyle w:val="FootnoteReference"/>
          <w:rFonts w:eastAsia="Calibri" w:hAnsi="Times New Roman"/>
          <w:snapToGrid w:val="0"/>
          <w:kern w:val="22"/>
          <w:bdr w:val="none" w:sz="0" w:space="0" w:color="auto"/>
          <w:lang w:val="en-GB"/>
        </w:rPr>
        <w:footnoteReference w:id="80"/>
      </w:r>
      <w:r w:rsidR="00EA65E0" w:rsidRPr="00DF02C5">
        <w:rPr>
          <w:rFonts w:eastAsia="Calibri" w:hAnsi="Times New Roman"/>
          <w:snapToGrid w:val="0"/>
          <w:kern w:val="22"/>
          <w:bdr w:val="none" w:sz="0" w:space="0" w:color="auto"/>
          <w:lang w:val="en-GB"/>
        </w:rPr>
        <w:t xml:space="preserve"> that answered “no” to the question and </w:t>
      </w:r>
      <w:r w:rsidRPr="00DF02C5">
        <w:rPr>
          <w:rFonts w:eastAsia="Calibri" w:hAnsi="Times New Roman"/>
          <w:snapToGrid w:val="0"/>
          <w:kern w:val="22"/>
          <w:bdr w:val="none" w:sz="0" w:space="0" w:color="auto"/>
          <w:lang w:val="en-GB"/>
        </w:rPr>
        <w:t>four</w:t>
      </w:r>
      <w:r w:rsidR="00EA65E0" w:rsidRPr="00DF02C5">
        <w:rPr>
          <w:rStyle w:val="FootnoteReference"/>
          <w:rFonts w:eastAsia="Calibri" w:hAnsi="Times New Roman"/>
          <w:snapToGrid w:val="0"/>
          <w:kern w:val="22"/>
          <w:bdr w:val="none" w:sz="0" w:space="0" w:color="auto"/>
          <w:lang w:val="en-GB"/>
        </w:rPr>
        <w:footnoteReference w:id="81"/>
      </w:r>
      <w:r w:rsidR="00A91EAA">
        <w:rPr>
          <w:rFonts w:eastAsia="Calibri" w:hAnsi="Times New Roman"/>
          <w:snapToGrid w:val="0"/>
          <w:kern w:val="22"/>
          <w:bdr w:val="none" w:sz="0" w:space="0" w:color="auto"/>
          <w:lang w:val="en-GB"/>
        </w:rPr>
        <w:t xml:space="preserve"> </w:t>
      </w:r>
      <w:r w:rsidR="00EA65E0" w:rsidRPr="00DF02C5">
        <w:rPr>
          <w:rFonts w:eastAsia="Calibri" w:hAnsi="Times New Roman"/>
          <w:snapToGrid w:val="0"/>
          <w:kern w:val="22"/>
          <w:bdr w:val="none" w:sz="0" w:space="0" w:color="auto"/>
          <w:lang w:val="en-GB"/>
        </w:rPr>
        <w:t xml:space="preserve">that answered “yes” explained that information was provided by the NFP and/or the CNA at the request of users. </w:t>
      </w:r>
    </w:p>
    <w:p w14:paraId="3E50509B" w14:textId="77777777" w:rsidR="00A07457" w:rsidRPr="00DF02C5" w:rsidRDefault="00A07457" w:rsidP="00A07457">
      <w:pPr>
        <w:pStyle w:val="Para1"/>
        <w:rPr>
          <w:rFonts w:eastAsia="Calibri" w:hAnsi="Times New Roman"/>
          <w:i/>
          <w:snapToGrid w:val="0"/>
          <w:kern w:val="22"/>
          <w:bdr w:val="none" w:sz="0" w:space="0" w:color="auto"/>
          <w:lang w:val="en-GB"/>
        </w:rPr>
      </w:pPr>
      <w:r w:rsidRPr="00DF02C5">
        <w:rPr>
          <w:rFonts w:eastAsia="Calibri" w:hAnsi="Times New Roman"/>
          <w:i/>
          <w:snapToGrid w:val="0"/>
          <w:kern w:val="22"/>
          <w:bdr w:val="none" w:sz="0" w:space="0" w:color="auto"/>
          <w:lang w:val="en-GB"/>
        </w:rPr>
        <w:t>(a)</w:t>
      </w:r>
      <w:r w:rsidRPr="00DF02C5">
        <w:rPr>
          <w:rFonts w:eastAsia="Calibri" w:hAnsi="Times New Roman"/>
          <w:i/>
          <w:snapToGrid w:val="0"/>
          <w:kern w:val="22"/>
          <w:bdr w:val="none" w:sz="0" w:space="0" w:color="auto"/>
          <w:lang w:val="en-GB"/>
        </w:rPr>
        <w:tab/>
        <w:t>Countries that answered “yes”</w:t>
      </w:r>
    </w:p>
    <w:p w14:paraId="27E7D5CD" w14:textId="508771EA" w:rsidR="00933054" w:rsidRPr="00DF02C5" w:rsidRDefault="00B57131" w:rsidP="00393914">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A</w:t>
      </w:r>
      <w:r w:rsidR="00EA65E0" w:rsidRPr="00DF02C5">
        <w:rPr>
          <w:rFonts w:eastAsia="Calibri" w:hAnsi="Times New Roman"/>
          <w:snapToGrid w:val="0"/>
          <w:kern w:val="22"/>
          <w:bdr w:val="none" w:sz="0" w:space="0" w:color="auto"/>
          <w:lang w:val="en-GB"/>
        </w:rPr>
        <w:t xml:space="preserve"> number of countries </w:t>
      </w:r>
      <w:proofErr w:type="gramStart"/>
      <w:r w:rsidR="00EA65E0" w:rsidRPr="00DF02C5">
        <w:rPr>
          <w:rFonts w:eastAsia="Calibri" w:hAnsi="Times New Roman"/>
          <w:snapToGrid w:val="0"/>
          <w:kern w:val="22"/>
          <w:bdr w:val="none" w:sz="0" w:space="0" w:color="auto"/>
          <w:lang w:val="en-GB"/>
        </w:rPr>
        <w:t>made reference</w:t>
      </w:r>
      <w:proofErr w:type="gramEnd"/>
      <w:r w:rsidR="00EA65E0" w:rsidRPr="00DF02C5">
        <w:rPr>
          <w:rFonts w:eastAsia="Calibri" w:hAnsi="Times New Roman"/>
          <w:snapToGrid w:val="0"/>
          <w:kern w:val="22"/>
          <w:bdr w:val="none" w:sz="0" w:space="0" w:color="auto"/>
          <w:lang w:val="en-GB"/>
        </w:rPr>
        <w:t xml:space="preserve"> to the relevant ABS measures</w:t>
      </w:r>
      <w:r w:rsidR="00EA65E0" w:rsidRPr="00DF02C5">
        <w:rPr>
          <w:rStyle w:val="FootnoteReference"/>
          <w:rFonts w:eastAsia="Calibri" w:hAnsi="Times New Roman"/>
          <w:snapToGrid w:val="0"/>
          <w:kern w:val="22"/>
          <w:bdr w:val="none" w:sz="0" w:space="0" w:color="auto"/>
          <w:lang w:val="en-GB"/>
        </w:rPr>
        <w:footnoteReference w:id="82"/>
      </w:r>
      <w:r w:rsidR="00EA65E0" w:rsidRPr="00DF02C5">
        <w:rPr>
          <w:rFonts w:eastAsia="Calibri" w:hAnsi="Times New Roman"/>
          <w:snapToGrid w:val="0"/>
          <w:kern w:val="22"/>
          <w:bdr w:val="none" w:sz="0" w:space="0" w:color="auto"/>
          <w:lang w:val="en-GB"/>
        </w:rPr>
        <w:t xml:space="preserve"> and/or draft</w:t>
      </w:r>
      <w:r w:rsidRPr="00DF02C5">
        <w:rPr>
          <w:rFonts w:eastAsia="Calibri" w:hAnsi="Times New Roman"/>
          <w:snapToGrid w:val="0"/>
          <w:kern w:val="22"/>
          <w:bdr w:val="none" w:sz="0" w:space="0" w:color="auto"/>
          <w:lang w:val="en-GB"/>
        </w:rPr>
        <w:t>s</w:t>
      </w:r>
      <w:r w:rsidR="00EA65E0" w:rsidRPr="00DF02C5">
        <w:rPr>
          <w:rFonts w:eastAsia="Calibri" w:hAnsi="Times New Roman"/>
          <w:snapToGrid w:val="0"/>
          <w:kern w:val="22"/>
          <w:bdr w:val="none" w:sz="0" w:space="0" w:color="auto"/>
          <w:lang w:val="en-GB"/>
        </w:rPr>
        <w:t xml:space="preserve"> underway</w:t>
      </w:r>
      <w:r w:rsidR="00A91EAA">
        <w:rPr>
          <w:rFonts w:eastAsia="Calibri" w:hAnsi="Times New Roman"/>
          <w:snapToGrid w:val="0"/>
          <w:kern w:val="22"/>
          <w:bdr w:val="none" w:sz="0" w:space="0" w:color="auto"/>
          <w:lang w:val="en-GB"/>
        </w:rPr>
        <w:t>.</w:t>
      </w:r>
      <w:r w:rsidR="00EA65E0" w:rsidRPr="00DF02C5">
        <w:rPr>
          <w:rStyle w:val="FootnoteReference"/>
          <w:rFonts w:eastAsia="Calibri" w:hAnsi="Times New Roman"/>
          <w:snapToGrid w:val="0"/>
          <w:kern w:val="22"/>
          <w:bdr w:val="none" w:sz="0" w:space="0" w:color="auto"/>
          <w:lang w:val="en-GB"/>
        </w:rPr>
        <w:footnoteReference w:id="83"/>
      </w:r>
      <w:r w:rsidR="00EA65E0" w:rsidRPr="00DF02C5">
        <w:rPr>
          <w:rFonts w:eastAsia="Calibri" w:hAnsi="Times New Roman"/>
          <w:snapToGrid w:val="0"/>
          <w:kern w:val="22"/>
          <w:bdr w:val="none" w:sz="0" w:space="0" w:color="auto"/>
          <w:lang w:val="en-GB"/>
        </w:rPr>
        <w:t xml:space="preserve"> </w:t>
      </w:r>
    </w:p>
    <w:p w14:paraId="07DC6670" w14:textId="17D0397C" w:rsidR="00EA65E0" w:rsidRPr="00DF02C5" w:rsidRDefault="00EA65E0" w:rsidP="00393914">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In addition, countries reported on different ways of providing information</w:t>
      </w:r>
      <w:r w:rsidR="00933054" w:rsidRPr="00DF02C5">
        <w:rPr>
          <w:rFonts w:eastAsia="Calibri" w:hAnsi="Times New Roman"/>
          <w:snapToGrid w:val="0"/>
          <w:kern w:val="22"/>
          <w:bdr w:val="none" w:sz="0" w:space="0" w:color="auto"/>
          <w:lang w:val="en-GB"/>
        </w:rPr>
        <w:t xml:space="preserve"> on how to apply for PIC, such as through:</w:t>
      </w:r>
      <w:r w:rsidRPr="00DF02C5">
        <w:rPr>
          <w:rFonts w:eastAsia="Calibri" w:hAnsi="Times New Roman"/>
          <w:snapToGrid w:val="0"/>
          <w:kern w:val="22"/>
          <w:bdr w:val="none" w:sz="0" w:space="0" w:color="auto"/>
          <w:lang w:val="en-GB"/>
        </w:rPr>
        <w:t xml:space="preserve"> (a) </w:t>
      </w:r>
      <w:r w:rsidR="00933054" w:rsidRPr="00DF02C5">
        <w:rPr>
          <w:rFonts w:eastAsia="Calibri" w:hAnsi="Times New Roman"/>
          <w:snapToGrid w:val="0"/>
          <w:kern w:val="22"/>
          <w:bdr w:val="none" w:sz="0" w:space="0" w:color="auto"/>
          <w:lang w:val="en-GB"/>
        </w:rPr>
        <w:t xml:space="preserve">the </w:t>
      </w:r>
      <w:r w:rsidRPr="00DF02C5">
        <w:rPr>
          <w:rFonts w:eastAsia="Calibri" w:hAnsi="Times New Roman"/>
          <w:snapToGrid w:val="0"/>
          <w:kern w:val="22"/>
          <w:bdr w:val="none" w:sz="0" w:space="0" w:color="auto"/>
          <w:lang w:val="en-GB"/>
        </w:rPr>
        <w:t>application for PIC/MAT or permits or their equivalent</w:t>
      </w:r>
      <w:r w:rsidR="00A91EAA">
        <w:rPr>
          <w:rFonts w:eastAsia="Calibri" w:hAnsi="Times New Roman"/>
          <w:snapToGrid w:val="0"/>
          <w:kern w:val="22"/>
          <w:bdr w:val="none" w:sz="0" w:space="0" w:color="auto"/>
          <w:lang w:val="en-GB"/>
        </w:rPr>
        <w:t>;</w:t>
      </w:r>
      <w:r w:rsidRPr="00DF02C5">
        <w:rPr>
          <w:rStyle w:val="FootnoteReference"/>
          <w:rFonts w:eastAsia="Calibri" w:hAnsi="Times New Roman"/>
          <w:snapToGrid w:val="0"/>
          <w:kern w:val="22"/>
          <w:bdr w:val="none" w:sz="0" w:space="0" w:color="auto"/>
          <w:lang w:val="en-GB"/>
        </w:rPr>
        <w:footnoteReference w:id="84"/>
      </w:r>
      <w:r w:rsidRPr="00DF02C5">
        <w:rPr>
          <w:rFonts w:eastAsia="Calibri" w:hAnsi="Times New Roman"/>
          <w:snapToGrid w:val="0"/>
          <w:kern w:val="22"/>
          <w:bdr w:val="none" w:sz="0" w:space="0" w:color="auto"/>
          <w:lang w:val="en-GB"/>
        </w:rPr>
        <w:t xml:space="preserve"> (b) guideli</w:t>
      </w:r>
      <w:r w:rsidR="00933054" w:rsidRPr="00DF02C5">
        <w:rPr>
          <w:rFonts w:eastAsia="Calibri" w:hAnsi="Times New Roman"/>
          <w:snapToGrid w:val="0"/>
          <w:kern w:val="22"/>
          <w:bdr w:val="none" w:sz="0" w:space="0" w:color="auto"/>
          <w:lang w:val="en-GB"/>
        </w:rPr>
        <w:t>nes for users on PIC procedures;</w:t>
      </w:r>
      <w:r w:rsidRPr="00DF02C5">
        <w:rPr>
          <w:rStyle w:val="FootnoteReference"/>
          <w:rFonts w:eastAsia="Calibri" w:hAnsi="Times New Roman"/>
          <w:snapToGrid w:val="0"/>
          <w:kern w:val="22"/>
          <w:bdr w:val="none" w:sz="0" w:space="0" w:color="auto"/>
          <w:lang w:val="en-GB"/>
        </w:rPr>
        <w:footnoteReference w:id="85"/>
      </w:r>
      <w:r w:rsidR="00933054" w:rsidRPr="00DF02C5">
        <w:rPr>
          <w:rFonts w:eastAsia="Calibri" w:hAnsi="Times New Roman"/>
          <w:snapToGrid w:val="0"/>
          <w:kern w:val="22"/>
          <w:bdr w:val="none" w:sz="0" w:space="0" w:color="auto"/>
          <w:lang w:val="en-GB"/>
        </w:rPr>
        <w:t>(c) websites;</w:t>
      </w:r>
      <w:r w:rsidRPr="00DF02C5">
        <w:rPr>
          <w:rStyle w:val="FootnoteReference"/>
          <w:rFonts w:eastAsia="Calibri" w:hAnsi="Times New Roman"/>
          <w:snapToGrid w:val="0"/>
          <w:kern w:val="22"/>
          <w:bdr w:val="none" w:sz="0" w:space="0" w:color="auto"/>
          <w:lang w:val="en-GB"/>
        </w:rPr>
        <w:footnoteReference w:id="86"/>
      </w:r>
      <w:r w:rsidR="00A91EAA">
        <w:rPr>
          <w:rFonts w:eastAsia="Calibri" w:hAnsi="Times New Roman"/>
          <w:snapToGrid w:val="0"/>
          <w:kern w:val="22"/>
          <w:bdr w:val="none" w:sz="0" w:space="0" w:color="auto"/>
          <w:lang w:val="en-GB"/>
        </w:rPr>
        <w:t xml:space="preserve"> </w:t>
      </w:r>
      <w:r w:rsidRPr="00DF02C5">
        <w:rPr>
          <w:rFonts w:eastAsia="Calibri" w:hAnsi="Times New Roman"/>
          <w:snapToGrid w:val="0"/>
          <w:kern w:val="22"/>
          <w:bdr w:val="none" w:sz="0" w:space="0" w:color="auto"/>
          <w:lang w:val="en-GB"/>
        </w:rPr>
        <w:t>and (d) other awareness-raising activities and materials</w:t>
      </w:r>
      <w:r w:rsidR="00A91EAA">
        <w:rPr>
          <w:rFonts w:eastAsia="Calibri" w:hAnsi="Times New Roman"/>
          <w:snapToGrid w:val="0"/>
          <w:kern w:val="22"/>
          <w:bdr w:val="none" w:sz="0" w:space="0" w:color="auto"/>
          <w:lang w:val="en-GB"/>
        </w:rPr>
        <w:t>.</w:t>
      </w:r>
      <w:r w:rsidRPr="00DF02C5">
        <w:rPr>
          <w:rStyle w:val="FootnoteReference"/>
          <w:rFonts w:eastAsia="Calibri" w:hAnsi="Times New Roman"/>
          <w:snapToGrid w:val="0"/>
          <w:kern w:val="22"/>
          <w:bdr w:val="none" w:sz="0" w:space="0" w:color="auto"/>
          <w:lang w:val="en-GB"/>
        </w:rPr>
        <w:footnoteReference w:id="87"/>
      </w:r>
      <w:r w:rsidRPr="00DF02C5">
        <w:rPr>
          <w:rFonts w:eastAsia="Calibri" w:hAnsi="Times New Roman"/>
          <w:snapToGrid w:val="0"/>
          <w:kern w:val="22"/>
          <w:bdr w:val="none" w:sz="0" w:space="0" w:color="auto"/>
          <w:lang w:val="en-GB"/>
        </w:rPr>
        <w:t xml:space="preserve"> For example:</w:t>
      </w:r>
    </w:p>
    <w:p w14:paraId="2D527A0E" w14:textId="17BA4EEA" w:rsidR="00EA65E0" w:rsidRPr="00DF02C5" w:rsidRDefault="00EA65E0" w:rsidP="00A91EAA">
      <w:pPr>
        <w:pStyle w:val="ListParagraph"/>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1440"/>
        </w:tabs>
        <w:spacing w:before="60"/>
        <w:ind w:left="0" w:firstLine="720"/>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India indicated that information on how to apply for PIC is provided in</w:t>
      </w:r>
      <w:r w:rsidR="00B57131" w:rsidRPr="00DF02C5">
        <w:rPr>
          <w:rFonts w:eastAsia="Calibri" w:hAnsi="Times New Roman"/>
          <w:snapToGrid w:val="0"/>
          <w:kern w:val="22"/>
          <w:bdr w:val="none" w:sz="0" w:space="0" w:color="auto"/>
          <w:lang w:val="en-GB"/>
        </w:rPr>
        <w:t xml:space="preserve"> the</w:t>
      </w:r>
      <w:r w:rsidRPr="00DF02C5">
        <w:rPr>
          <w:rFonts w:eastAsia="Calibri" w:hAnsi="Times New Roman"/>
          <w:snapToGrid w:val="0"/>
          <w:kern w:val="22"/>
          <w:bdr w:val="none" w:sz="0" w:space="0" w:color="auto"/>
          <w:lang w:val="en-GB"/>
        </w:rPr>
        <w:t xml:space="preserve"> Biological Diversity Rules, 2004. Further, ABS </w:t>
      </w:r>
      <w:r w:rsidRPr="00DF02C5">
        <w:rPr>
          <w:snapToGrid w:val="0"/>
          <w:szCs w:val="18"/>
          <w:lang w:val="en-GB"/>
        </w:rPr>
        <w:t>Regulations</w:t>
      </w:r>
      <w:r w:rsidRPr="00DF02C5">
        <w:rPr>
          <w:rFonts w:eastAsia="Calibri" w:hAnsi="Times New Roman"/>
          <w:snapToGrid w:val="0"/>
          <w:kern w:val="22"/>
          <w:bdr w:val="none" w:sz="0" w:space="0" w:color="auto"/>
          <w:lang w:val="en-GB"/>
        </w:rPr>
        <w:t>, 2014</w:t>
      </w:r>
      <w:r w:rsidR="00C62E4B" w:rsidRPr="00DF02C5">
        <w:rPr>
          <w:rFonts w:eastAsia="Calibri" w:hAnsi="Times New Roman"/>
          <w:snapToGrid w:val="0"/>
          <w:kern w:val="22"/>
          <w:bdr w:val="none" w:sz="0" w:space="0" w:color="auto"/>
          <w:lang w:val="en-GB"/>
        </w:rPr>
        <w:t>,</w:t>
      </w:r>
      <w:r w:rsidRPr="00DF02C5">
        <w:rPr>
          <w:rFonts w:eastAsia="Calibri" w:hAnsi="Times New Roman"/>
          <w:snapToGrid w:val="0"/>
          <w:kern w:val="22"/>
          <w:bdr w:val="none" w:sz="0" w:space="0" w:color="auto"/>
          <w:lang w:val="en-GB"/>
        </w:rPr>
        <w:t xml:space="preserve"> provide a transparent procedure and information on how to apply for PIC.  The CNA provides</w:t>
      </w:r>
      <w:r w:rsidR="00933054" w:rsidRPr="00DF02C5">
        <w:rPr>
          <w:rFonts w:eastAsia="Calibri" w:hAnsi="Times New Roman"/>
          <w:snapToGrid w:val="0"/>
          <w:kern w:val="22"/>
          <w:bdr w:val="none" w:sz="0" w:space="0" w:color="auto"/>
          <w:lang w:val="en-GB"/>
        </w:rPr>
        <w:t xml:space="preserve"> adequate information such as: user guidelines, interactive videos, o</w:t>
      </w:r>
      <w:r w:rsidRPr="00DF02C5">
        <w:rPr>
          <w:rFonts w:eastAsia="Calibri" w:hAnsi="Times New Roman"/>
          <w:snapToGrid w:val="0"/>
          <w:kern w:val="22"/>
          <w:bdr w:val="none" w:sz="0" w:space="0" w:color="auto"/>
          <w:lang w:val="en-GB"/>
        </w:rPr>
        <w:t>nline ABS application format and process, and FAQs to facilitate appl</w:t>
      </w:r>
      <w:r w:rsidR="00933054" w:rsidRPr="00DF02C5">
        <w:rPr>
          <w:rFonts w:eastAsia="Calibri" w:hAnsi="Times New Roman"/>
          <w:snapToGrid w:val="0"/>
          <w:kern w:val="22"/>
          <w:bdr w:val="none" w:sz="0" w:space="0" w:color="auto"/>
          <w:lang w:val="en-GB"/>
        </w:rPr>
        <w:t>ying for PIC</w:t>
      </w:r>
      <w:r w:rsidR="00A91EAA">
        <w:rPr>
          <w:rFonts w:eastAsia="Calibri" w:hAnsi="Times New Roman"/>
          <w:snapToGrid w:val="0"/>
          <w:kern w:val="22"/>
          <w:bdr w:val="none" w:sz="0" w:space="0" w:color="auto"/>
          <w:lang w:val="en-GB"/>
        </w:rPr>
        <w:t>;</w:t>
      </w:r>
    </w:p>
    <w:p w14:paraId="39280448" w14:textId="3D7353D5" w:rsidR="00A07457" w:rsidRPr="00DF02C5" w:rsidRDefault="00EA65E0" w:rsidP="00A91EAA">
      <w:pPr>
        <w:pStyle w:val="ListParagraph"/>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1440"/>
        </w:tabs>
        <w:spacing w:before="60"/>
        <w:ind w:left="0" w:firstLine="720"/>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 xml:space="preserve">Viet Nam’s </w:t>
      </w:r>
      <w:r w:rsidRPr="00DF02C5">
        <w:rPr>
          <w:snapToGrid w:val="0"/>
          <w:szCs w:val="18"/>
          <w:lang w:val="en-GB"/>
        </w:rPr>
        <w:t>Decree</w:t>
      </w:r>
      <w:r w:rsidRPr="00DF02C5">
        <w:rPr>
          <w:rFonts w:eastAsia="Calibri" w:hAnsi="Times New Roman"/>
          <w:snapToGrid w:val="0"/>
          <w:kern w:val="22"/>
          <w:bdr w:val="none" w:sz="0" w:space="0" w:color="auto"/>
          <w:lang w:val="en-GB"/>
        </w:rPr>
        <w:t xml:space="preserve"> No. 59/2017/ND-CP specifies</w:t>
      </w:r>
      <w:r w:rsidR="00B57131" w:rsidRPr="00DF02C5">
        <w:rPr>
          <w:rFonts w:eastAsia="Calibri" w:hAnsi="Times New Roman"/>
          <w:snapToGrid w:val="0"/>
          <w:kern w:val="22"/>
          <w:bdr w:val="none" w:sz="0" w:space="0" w:color="auto"/>
          <w:lang w:val="en-GB"/>
        </w:rPr>
        <w:t xml:space="preserve"> that</w:t>
      </w:r>
      <w:r w:rsidRPr="00DF02C5">
        <w:rPr>
          <w:rFonts w:eastAsia="Calibri" w:hAnsi="Times New Roman"/>
          <w:snapToGrid w:val="0"/>
          <w:kern w:val="22"/>
          <w:bdr w:val="none" w:sz="0" w:space="0" w:color="auto"/>
          <w:lang w:val="en-GB"/>
        </w:rPr>
        <w:t xml:space="preserve"> applications</w:t>
      </w:r>
      <w:r w:rsidR="00933054" w:rsidRPr="00DF02C5">
        <w:rPr>
          <w:rFonts w:eastAsia="Calibri" w:hAnsi="Times New Roman"/>
          <w:snapToGrid w:val="0"/>
          <w:kern w:val="22"/>
          <w:bdr w:val="none" w:sz="0" w:space="0" w:color="auto"/>
          <w:lang w:val="en-GB"/>
        </w:rPr>
        <w:t xml:space="preserve"> can be submitted </w:t>
      </w:r>
      <w:r w:rsidRPr="00DF02C5">
        <w:rPr>
          <w:rFonts w:eastAsia="Calibri" w:hAnsi="Times New Roman"/>
          <w:snapToGrid w:val="0"/>
          <w:kern w:val="22"/>
          <w:bdr w:val="none" w:sz="0" w:space="0" w:color="auto"/>
          <w:lang w:val="en-GB"/>
        </w:rPr>
        <w:t xml:space="preserve">directly at the head office of </w:t>
      </w:r>
      <w:r w:rsidR="00B57131" w:rsidRPr="00DF02C5">
        <w:rPr>
          <w:rFonts w:eastAsia="Calibri" w:hAnsi="Times New Roman"/>
          <w:snapToGrid w:val="0"/>
          <w:kern w:val="22"/>
          <w:bdr w:val="none" w:sz="0" w:space="0" w:color="auto"/>
          <w:lang w:val="en-GB"/>
        </w:rPr>
        <w:t xml:space="preserve">the competent state agency, </w:t>
      </w:r>
      <w:r w:rsidR="00933054" w:rsidRPr="00DF02C5">
        <w:rPr>
          <w:rFonts w:eastAsia="Calibri" w:hAnsi="Times New Roman"/>
          <w:snapToGrid w:val="0"/>
          <w:kern w:val="22"/>
          <w:bdr w:val="none" w:sz="0" w:space="0" w:color="auto"/>
          <w:lang w:val="en-GB"/>
        </w:rPr>
        <w:t>sent</w:t>
      </w:r>
      <w:r w:rsidRPr="00DF02C5">
        <w:rPr>
          <w:rFonts w:eastAsia="Calibri" w:hAnsi="Times New Roman"/>
          <w:snapToGrid w:val="0"/>
          <w:kern w:val="22"/>
          <w:bdr w:val="none" w:sz="0" w:space="0" w:color="auto"/>
          <w:lang w:val="en-GB"/>
        </w:rPr>
        <w:t xml:space="preserve"> by post or register</w:t>
      </w:r>
      <w:r w:rsidR="00933054" w:rsidRPr="00DF02C5">
        <w:rPr>
          <w:rFonts w:eastAsia="Calibri" w:hAnsi="Times New Roman"/>
          <w:snapToGrid w:val="0"/>
          <w:kern w:val="22"/>
          <w:bdr w:val="none" w:sz="0" w:space="0" w:color="auto"/>
          <w:lang w:val="en-GB"/>
        </w:rPr>
        <w:t>ed electronically</w:t>
      </w:r>
      <w:r w:rsidR="00B57131" w:rsidRPr="00DF02C5">
        <w:rPr>
          <w:rFonts w:eastAsia="Calibri" w:hAnsi="Times New Roman"/>
          <w:snapToGrid w:val="0"/>
          <w:kern w:val="22"/>
          <w:bdr w:val="none" w:sz="0" w:space="0" w:color="auto"/>
          <w:lang w:val="en-GB"/>
        </w:rPr>
        <w:t>.</w:t>
      </w:r>
    </w:p>
    <w:p w14:paraId="1B021C3B" w14:textId="05E34578" w:rsidR="00A07457" w:rsidRPr="00DF02C5" w:rsidRDefault="00A07457" w:rsidP="00A91EAA">
      <w:pPr>
        <w:pStyle w:val="Para1"/>
        <w:rPr>
          <w:rFonts w:eastAsia="Calibri" w:hAnsi="Times New Roman"/>
          <w:i/>
          <w:snapToGrid w:val="0"/>
          <w:kern w:val="22"/>
          <w:bdr w:val="none" w:sz="0" w:space="0" w:color="auto"/>
          <w:lang w:val="en-GB"/>
        </w:rPr>
      </w:pPr>
      <w:r w:rsidRPr="00DF02C5">
        <w:rPr>
          <w:rFonts w:eastAsia="Calibri" w:hAnsi="Times New Roman"/>
          <w:i/>
          <w:snapToGrid w:val="0"/>
          <w:kern w:val="22"/>
          <w:bdr w:val="none" w:sz="0" w:space="0" w:color="auto"/>
          <w:lang w:val="en-GB"/>
        </w:rPr>
        <w:t>(b)</w:t>
      </w:r>
      <w:r w:rsidRPr="00DF02C5">
        <w:rPr>
          <w:rFonts w:eastAsia="Calibri" w:hAnsi="Times New Roman"/>
          <w:i/>
          <w:snapToGrid w:val="0"/>
          <w:kern w:val="22"/>
          <w:bdr w:val="none" w:sz="0" w:space="0" w:color="auto"/>
          <w:lang w:val="en-GB"/>
        </w:rPr>
        <w:tab/>
        <w:t>Countries that answered “no”</w:t>
      </w:r>
    </w:p>
    <w:p w14:paraId="0F7920A8" w14:textId="25D8CD4C" w:rsidR="00EA65E0" w:rsidRPr="00A91EAA" w:rsidRDefault="00C62E4B" w:rsidP="00EA65E0">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Of</w:t>
      </w:r>
      <w:r w:rsidR="00EA65E0" w:rsidRPr="00DF02C5">
        <w:rPr>
          <w:rFonts w:eastAsia="Calibri" w:hAnsi="Times New Roman"/>
          <w:snapToGrid w:val="0"/>
          <w:kern w:val="22"/>
          <w:bdr w:val="none" w:sz="0" w:space="0" w:color="auto"/>
          <w:lang w:val="en-GB"/>
        </w:rPr>
        <w:t xml:space="preserve"> those countries that answered “no”, some countries</w:t>
      </w:r>
      <w:r w:rsidR="008A3D16" w:rsidRPr="00DF02C5">
        <w:rPr>
          <w:rFonts w:eastAsia="Calibri" w:hAnsi="Times New Roman"/>
          <w:snapToGrid w:val="0"/>
          <w:kern w:val="22"/>
          <w:bdr w:val="none" w:sz="0" w:space="0" w:color="auto"/>
          <w:lang w:val="en-GB"/>
        </w:rPr>
        <w:t xml:space="preserve"> </w:t>
      </w:r>
      <w:r w:rsidR="00EA65E0" w:rsidRPr="00DF02C5">
        <w:rPr>
          <w:rFonts w:eastAsia="Calibri" w:hAnsi="Times New Roman"/>
          <w:snapToGrid w:val="0"/>
          <w:kern w:val="22"/>
          <w:bdr w:val="none" w:sz="0" w:space="0" w:color="auto"/>
          <w:lang w:val="en-GB"/>
        </w:rPr>
        <w:t>indicated that they were working or planning to address this issue.</w:t>
      </w:r>
      <w:r w:rsidR="008A3D16" w:rsidRPr="00DF02C5">
        <w:rPr>
          <w:rStyle w:val="FootnoteReference"/>
          <w:rFonts w:eastAsia="Calibri" w:hAnsi="Times New Roman"/>
          <w:snapToGrid w:val="0"/>
          <w:kern w:val="22"/>
          <w:bdr w:val="none" w:sz="0" w:space="0" w:color="auto"/>
          <w:lang w:val="en-GB"/>
        </w:rPr>
        <w:t xml:space="preserve"> </w:t>
      </w:r>
      <w:r w:rsidR="008A3D16" w:rsidRPr="00DF02C5">
        <w:rPr>
          <w:rStyle w:val="FootnoteReference"/>
          <w:rFonts w:eastAsia="Calibri" w:hAnsi="Times New Roman"/>
          <w:snapToGrid w:val="0"/>
          <w:kern w:val="22"/>
          <w:bdr w:val="none" w:sz="0" w:space="0" w:color="auto"/>
          <w:lang w:val="en-GB"/>
        </w:rPr>
        <w:footnoteReference w:id="88"/>
      </w:r>
    </w:p>
    <w:p w14:paraId="34E68501" w14:textId="3690E6F0" w:rsidR="00EA65E0" w:rsidRPr="00A91EAA" w:rsidRDefault="00B57131" w:rsidP="00A91EAA">
      <w:pPr>
        <w:pStyle w:val="Para1"/>
        <w:numPr>
          <w:ilvl w:val="0"/>
          <w:numId w:val="86"/>
        </w:numPr>
        <w:spacing w:before="240" w:line="228" w:lineRule="auto"/>
        <w:rPr>
          <w:rFonts w:eastAsia="Calibri" w:hAnsi="Times New Roman"/>
          <w:i/>
          <w:snapToGrid w:val="0"/>
          <w:kern w:val="22"/>
          <w:bdr w:val="none" w:sz="0" w:space="0" w:color="auto"/>
          <w:lang w:val="en-GB"/>
        </w:rPr>
      </w:pPr>
      <w:r w:rsidRPr="00A91EAA">
        <w:rPr>
          <w:rFonts w:eastAsia="Calibri" w:hAnsi="Times New Roman"/>
          <w:i/>
          <w:snapToGrid w:val="0"/>
          <w:kern w:val="22"/>
          <w:bdr w:val="none" w:sz="0" w:space="0" w:color="auto"/>
          <w:lang w:val="en-GB"/>
        </w:rPr>
        <w:t>Does your country provide for a clear and transparent written decision by a competent national authority as provided in Article 6.3 (d)</w:t>
      </w:r>
      <w:r w:rsidR="00C62E4B" w:rsidRPr="00A91EAA">
        <w:rPr>
          <w:rFonts w:eastAsia="Calibri" w:hAnsi="Times New Roman"/>
          <w:i/>
          <w:snapToGrid w:val="0"/>
          <w:kern w:val="22"/>
          <w:bdr w:val="none" w:sz="0" w:space="0" w:color="auto"/>
          <w:lang w:val="en-GB"/>
        </w:rPr>
        <w:t xml:space="preserve"> </w:t>
      </w:r>
      <w:r w:rsidR="00EA65E0" w:rsidRPr="00A91EAA">
        <w:rPr>
          <w:rFonts w:eastAsia="Calibri" w:hAnsi="Times New Roman"/>
          <w:i/>
          <w:snapToGrid w:val="0"/>
          <w:kern w:val="22"/>
          <w:bdr w:val="none" w:sz="0" w:space="0" w:color="auto"/>
          <w:lang w:val="en-GB"/>
        </w:rPr>
        <w:t xml:space="preserve">(question </w:t>
      </w:r>
      <w:proofErr w:type="gramStart"/>
      <w:r w:rsidR="00EA65E0" w:rsidRPr="00A91EAA">
        <w:rPr>
          <w:rFonts w:eastAsia="Calibri" w:hAnsi="Times New Roman"/>
          <w:i/>
          <w:snapToGrid w:val="0"/>
          <w:kern w:val="22"/>
          <w:bdr w:val="none" w:sz="0" w:space="0" w:color="auto"/>
          <w:lang w:val="en-GB"/>
        </w:rPr>
        <w:t>14)</w:t>
      </w:r>
      <w:proofErr w:type="gramEnd"/>
    </w:p>
    <w:p w14:paraId="581D4FF6" w14:textId="3DD8203B" w:rsidR="00B57131" w:rsidRPr="00DF02C5" w:rsidRDefault="00B57131" w:rsidP="00B57131">
      <w:pPr>
        <w:pStyle w:val="Para1"/>
        <w:numPr>
          <w:ilvl w:val="0"/>
          <w:numId w:val="1"/>
        </w:numPr>
        <w:rPr>
          <w:rFonts w:eastAsia="Calibri" w:hAnsi="Times New Roman"/>
          <w:snapToGrid w:val="0"/>
          <w:kern w:val="22"/>
          <w:bdr w:val="none" w:sz="0" w:space="0" w:color="auto"/>
          <w:lang w:val="en-GB"/>
        </w:rPr>
      </w:pPr>
      <w:proofErr w:type="gramStart"/>
      <w:r w:rsidRPr="00DF02C5">
        <w:rPr>
          <w:rFonts w:eastAsia="Calibri" w:hAnsi="Times New Roman"/>
          <w:snapToGrid w:val="0"/>
          <w:kern w:val="22"/>
          <w:bdr w:val="none" w:sz="0" w:space="0" w:color="auto"/>
          <w:lang w:val="en-GB"/>
        </w:rPr>
        <w:t>Thirty-seven</w:t>
      </w:r>
      <w:proofErr w:type="gramEnd"/>
      <w:r w:rsidRPr="00DF02C5">
        <w:rPr>
          <w:rFonts w:eastAsia="Calibri" w:hAnsi="Times New Roman"/>
          <w:snapToGrid w:val="0"/>
          <w:kern w:val="22"/>
          <w:bdr w:val="none" w:sz="0" w:space="0" w:color="auto"/>
          <w:lang w:val="en-GB"/>
        </w:rPr>
        <w:t xml:space="preserve"> Parties and two non-Parties responded that access to genetic resources was subject to PIC and responded to this question. Thirty-</w:t>
      </w:r>
      <w:r w:rsidR="00DD5041" w:rsidRPr="00DF02C5">
        <w:rPr>
          <w:rFonts w:eastAsia="Calibri" w:hAnsi="Times New Roman"/>
          <w:snapToGrid w:val="0"/>
          <w:kern w:val="22"/>
          <w:bdr w:val="none" w:sz="0" w:space="0" w:color="auto"/>
          <w:lang w:val="en-GB"/>
        </w:rPr>
        <w:t xml:space="preserve">two </w:t>
      </w:r>
      <w:r w:rsidRPr="00DF02C5">
        <w:rPr>
          <w:rFonts w:eastAsia="Calibri" w:hAnsi="Times New Roman"/>
          <w:snapToGrid w:val="0"/>
          <w:kern w:val="22"/>
          <w:bdr w:val="none" w:sz="0" w:space="0" w:color="auto"/>
          <w:lang w:val="en-GB"/>
        </w:rPr>
        <w:t xml:space="preserve">Parties and two non-Parties responded that they </w:t>
      </w:r>
      <w:r w:rsidRPr="00DF02C5">
        <w:rPr>
          <w:lang w:val="en-GB"/>
        </w:rPr>
        <w:t xml:space="preserve">provide </w:t>
      </w:r>
      <w:r w:rsidRPr="00DF02C5">
        <w:rPr>
          <w:rFonts w:eastAsia="Calibri" w:hAnsi="Times New Roman"/>
          <w:snapToGrid w:val="0"/>
          <w:kern w:val="22"/>
          <w:bdr w:val="none" w:sz="0" w:space="0" w:color="auto"/>
          <w:lang w:val="en-GB"/>
        </w:rPr>
        <w:t xml:space="preserve">for </w:t>
      </w:r>
      <w:r w:rsidRPr="00DF02C5">
        <w:rPr>
          <w:rFonts w:eastAsia="Calibri" w:hAnsi="Times New Roman"/>
          <w:snapToGrid w:val="0"/>
          <w:kern w:val="22"/>
          <w:bdr w:val="none" w:sz="0" w:space="0" w:color="auto"/>
          <w:lang w:val="en-GB"/>
        </w:rPr>
        <w:lastRenderedPageBreak/>
        <w:t xml:space="preserve">a clear and transparent written decision by a competent national authority, while </w:t>
      </w:r>
      <w:r w:rsidR="00DD5041" w:rsidRPr="00DF02C5">
        <w:rPr>
          <w:rFonts w:eastAsia="Calibri" w:hAnsi="Times New Roman"/>
          <w:snapToGrid w:val="0"/>
          <w:kern w:val="22"/>
          <w:bdr w:val="none" w:sz="0" w:space="0" w:color="auto"/>
          <w:lang w:val="en-GB"/>
        </w:rPr>
        <w:t xml:space="preserve">five </w:t>
      </w:r>
      <w:r w:rsidRPr="00DF02C5">
        <w:rPr>
          <w:rFonts w:eastAsia="Calibri" w:hAnsi="Times New Roman"/>
          <w:snapToGrid w:val="0"/>
          <w:kern w:val="22"/>
          <w:bdr w:val="none" w:sz="0" w:space="0" w:color="auto"/>
          <w:lang w:val="en-GB"/>
        </w:rPr>
        <w:t>Parties indicated that they do not provide for such decision.</w:t>
      </w:r>
    </w:p>
    <w:p w14:paraId="77916EE3" w14:textId="546002A2" w:rsidR="00B57131" w:rsidRPr="00DF02C5" w:rsidRDefault="007D5F65" w:rsidP="00E5256F">
      <w:pPr>
        <w:pStyle w:val="Caption"/>
        <w:keepNext/>
        <w:keepLines/>
        <w:rPr>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00E5256F" w:rsidRPr="00DF02C5">
        <w:rPr>
          <w:noProof/>
          <w:lang w:val="en-GB"/>
        </w:rPr>
        <w:t>9</w:t>
      </w:r>
      <w:r w:rsidRPr="00DF02C5">
        <w:rPr>
          <w:lang w:val="en-GB"/>
        </w:rPr>
        <w:fldChar w:fldCharType="end"/>
      </w:r>
      <w:r w:rsidR="00B57131" w:rsidRPr="00DF02C5">
        <w:rPr>
          <w:lang w:val="en-GB"/>
        </w:rPr>
        <w:t>: Provision of a clear and transparent written decision by a competent national authority (percentage by countries)</w:t>
      </w:r>
    </w:p>
    <w:p w14:paraId="6826BA0C" w14:textId="30BC5113" w:rsidR="0048364C" w:rsidRPr="00DF02C5" w:rsidRDefault="0048364C" w:rsidP="00B57131">
      <w:pPr>
        <w:pStyle w:val="Para1"/>
        <w:jc w:val="center"/>
        <w:rPr>
          <w:rFonts w:eastAsia="Calibri" w:hAnsi="Times New Roman"/>
          <w:snapToGrid w:val="0"/>
          <w:kern w:val="22"/>
          <w:bdr w:val="none" w:sz="0" w:space="0" w:color="auto"/>
          <w:lang w:val="en-GB"/>
        </w:rPr>
      </w:pPr>
      <w:r w:rsidRPr="00DF02C5">
        <w:rPr>
          <w:noProof/>
        </w:rPr>
        <w:drawing>
          <wp:inline distT="0" distB="0" distL="0" distR="0" wp14:anchorId="437F2343" wp14:editId="36433690">
            <wp:extent cx="3448050" cy="1981200"/>
            <wp:effectExtent l="0" t="0" r="19050" b="19050"/>
            <wp:docPr id="63" name="Chart 63">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FB81A00" w14:textId="77777777" w:rsidR="0048364C" w:rsidRPr="00DF02C5" w:rsidRDefault="0048364C" w:rsidP="00B57131">
      <w:pPr>
        <w:pStyle w:val="Para1"/>
        <w:jc w:val="center"/>
        <w:rPr>
          <w:rFonts w:eastAsia="Calibri" w:hAnsi="Times New Roman"/>
          <w:snapToGrid w:val="0"/>
          <w:kern w:val="22"/>
          <w:bdr w:val="none" w:sz="0" w:space="0" w:color="auto"/>
          <w:lang w:val="en-GB"/>
        </w:rPr>
      </w:pPr>
    </w:p>
    <w:p w14:paraId="02D1BF47" w14:textId="503C1F11" w:rsidR="00B57131" w:rsidRPr="00DF02C5" w:rsidRDefault="00B57131" w:rsidP="00B57131">
      <w:pPr>
        <w:pStyle w:val="Para1"/>
        <w:rPr>
          <w:rFonts w:eastAsia="Calibri" w:hAnsi="Times New Roman"/>
          <w:i/>
          <w:snapToGrid w:val="0"/>
          <w:kern w:val="22"/>
          <w:bdr w:val="none" w:sz="0" w:space="0" w:color="auto"/>
          <w:lang w:val="en-GB"/>
        </w:rPr>
      </w:pPr>
      <w:r w:rsidRPr="00DF02C5">
        <w:rPr>
          <w:rFonts w:eastAsia="Calibri" w:hAnsi="Times New Roman"/>
          <w:i/>
          <w:snapToGrid w:val="0"/>
          <w:kern w:val="22"/>
          <w:bdr w:val="none" w:sz="0" w:space="0" w:color="auto"/>
          <w:lang w:val="en-GB"/>
        </w:rPr>
        <w:t>(a)</w:t>
      </w:r>
      <w:r w:rsidRPr="00DF02C5">
        <w:rPr>
          <w:rFonts w:eastAsia="Calibri" w:hAnsi="Times New Roman"/>
          <w:i/>
          <w:snapToGrid w:val="0"/>
          <w:kern w:val="22"/>
          <w:bdr w:val="none" w:sz="0" w:space="0" w:color="auto"/>
          <w:lang w:val="en-GB"/>
        </w:rPr>
        <w:tab/>
        <w:t>Countries that answered “yes”</w:t>
      </w:r>
    </w:p>
    <w:p w14:paraId="3C1C1A4E" w14:textId="604C5119" w:rsidR="00EA65E0" w:rsidRPr="00DF02C5" w:rsidRDefault="00BD60A0" w:rsidP="00393914">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S</w:t>
      </w:r>
      <w:r w:rsidR="00EA65E0" w:rsidRPr="00DF02C5">
        <w:rPr>
          <w:rFonts w:eastAsia="Calibri" w:hAnsi="Times New Roman"/>
          <w:snapToGrid w:val="0"/>
          <w:kern w:val="22"/>
          <w:bdr w:val="none" w:sz="0" w:space="0" w:color="auto"/>
          <w:lang w:val="en-GB"/>
        </w:rPr>
        <w:t>ome countries made specific reference to the relevant ABS measures dealing with this aspect</w:t>
      </w:r>
      <w:r w:rsidR="00EA65E0" w:rsidRPr="00DF02C5">
        <w:rPr>
          <w:rStyle w:val="FootnoteReference"/>
          <w:rFonts w:eastAsia="Calibri" w:hAnsi="Times New Roman"/>
          <w:snapToGrid w:val="0"/>
          <w:kern w:val="22"/>
          <w:bdr w:val="none" w:sz="0" w:space="0" w:color="auto"/>
          <w:lang w:val="en-GB"/>
        </w:rPr>
        <w:footnoteReference w:id="89"/>
      </w:r>
      <w:r w:rsidR="00EA65E0" w:rsidRPr="00DF02C5">
        <w:rPr>
          <w:rFonts w:eastAsia="Calibri" w:hAnsi="Times New Roman"/>
          <w:snapToGrid w:val="0"/>
          <w:kern w:val="22"/>
          <w:bdr w:val="none" w:sz="0" w:space="0" w:color="auto"/>
          <w:lang w:val="en-GB"/>
        </w:rPr>
        <w:t xml:space="preserve"> and/or draft</w:t>
      </w:r>
      <w:r w:rsidR="00B57131" w:rsidRPr="00DF02C5">
        <w:rPr>
          <w:rFonts w:eastAsia="Calibri" w:hAnsi="Times New Roman"/>
          <w:snapToGrid w:val="0"/>
          <w:kern w:val="22"/>
          <w:bdr w:val="none" w:sz="0" w:space="0" w:color="auto"/>
          <w:lang w:val="en-GB"/>
        </w:rPr>
        <w:t>s</w:t>
      </w:r>
      <w:r w:rsidR="00EA65E0" w:rsidRPr="00DF02C5">
        <w:rPr>
          <w:rFonts w:eastAsia="Calibri" w:hAnsi="Times New Roman"/>
          <w:snapToGrid w:val="0"/>
          <w:kern w:val="22"/>
          <w:bdr w:val="none" w:sz="0" w:space="0" w:color="auto"/>
          <w:lang w:val="en-GB"/>
        </w:rPr>
        <w:t xml:space="preserve"> underway</w:t>
      </w:r>
      <w:r w:rsidR="00A91EAA">
        <w:rPr>
          <w:rFonts w:eastAsia="Calibri" w:hAnsi="Times New Roman"/>
          <w:snapToGrid w:val="0"/>
          <w:kern w:val="22"/>
          <w:bdr w:val="none" w:sz="0" w:space="0" w:color="auto"/>
          <w:lang w:val="en-GB"/>
        </w:rPr>
        <w:t>,</w:t>
      </w:r>
      <w:r w:rsidR="00EA65E0" w:rsidRPr="00DF02C5">
        <w:rPr>
          <w:rStyle w:val="FootnoteReference"/>
          <w:rFonts w:eastAsia="Calibri" w:hAnsi="Times New Roman"/>
          <w:snapToGrid w:val="0"/>
          <w:kern w:val="22"/>
          <w:bdr w:val="none" w:sz="0" w:space="0" w:color="auto"/>
          <w:lang w:val="en-GB"/>
        </w:rPr>
        <w:footnoteReference w:id="90"/>
      </w:r>
      <w:r w:rsidR="008A3D16" w:rsidRPr="00DF02C5">
        <w:rPr>
          <w:rFonts w:eastAsia="Calibri" w:hAnsi="Times New Roman"/>
          <w:snapToGrid w:val="0"/>
          <w:kern w:val="22"/>
          <w:bdr w:val="none" w:sz="0" w:space="0" w:color="auto"/>
          <w:lang w:val="en-GB"/>
        </w:rPr>
        <w:t xml:space="preserve"> while </w:t>
      </w:r>
      <w:r w:rsidR="00EA65E0" w:rsidRPr="00DF02C5">
        <w:rPr>
          <w:rFonts w:eastAsia="Calibri" w:hAnsi="Times New Roman"/>
          <w:snapToGrid w:val="0"/>
          <w:kern w:val="22"/>
          <w:bdr w:val="none" w:sz="0" w:space="0" w:color="auto"/>
          <w:lang w:val="en-GB"/>
        </w:rPr>
        <w:t>others provided information on measures that establish rules or principles regarding the interaction of citizens with government administration including the issuance of permits or authorizations</w:t>
      </w:r>
      <w:r w:rsidR="00A91EAA">
        <w:rPr>
          <w:rFonts w:eastAsia="Calibri" w:hAnsi="Times New Roman"/>
          <w:snapToGrid w:val="0"/>
          <w:kern w:val="22"/>
          <w:bdr w:val="none" w:sz="0" w:space="0" w:color="auto"/>
          <w:lang w:val="en-GB"/>
        </w:rPr>
        <w:t>.</w:t>
      </w:r>
      <w:r w:rsidR="00C62E4B" w:rsidRPr="00DF02C5">
        <w:rPr>
          <w:rStyle w:val="FootnoteReference"/>
          <w:rFonts w:eastAsia="Calibri" w:hAnsi="Times New Roman"/>
          <w:snapToGrid w:val="0"/>
          <w:kern w:val="22"/>
          <w:bdr w:val="none" w:sz="0" w:space="0" w:color="auto"/>
          <w:lang w:val="en-GB"/>
        </w:rPr>
        <w:footnoteReference w:id="91"/>
      </w:r>
      <w:r w:rsidR="00EA65E0" w:rsidRPr="00DF02C5">
        <w:rPr>
          <w:rStyle w:val="FootnoteReference"/>
          <w:rFonts w:eastAsia="Calibri" w:hAnsi="Times New Roman"/>
          <w:snapToGrid w:val="0"/>
          <w:kern w:val="22"/>
          <w:bdr w:val="none" w:sz="0" w:space="0" w:color="auto"/>
          <w:lang w:val="en-GB"/>
        </w:rPr>
        <w:t xml:space="preserve"> </w:t>
      </w:r>
    </w:p>
    <w:p w14:paraId="1D2A00F9" w14:textId="08813278" w:rsidR="00EA65E0" w:rsidRPr="00DF02C5" w:rsidRDefault="00EA65E0" w:rsidP="00393914">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The written decision can take many forms, for instance: environmental licences (e.g</w:t>
      </w:r>
      <w:r w:rsidR="00C62E4B" w:rsidRPr="00DF02C5">
        <w:rPr>
          <w:rFonts w:eastAsia="Calibri" w:hAnsi="Times New Roman"/>
          <w:snapToGrid w:val="0"/>
          <w:kern w:val="22"/>
          <w:bdr w:val="none" w:sz="0" w:space="0" w:color="auto"/>
          <w:lang w:val="en-GB"/>
        </w:rPr>
        <w:t>.</w:t>
      </w:r>
      <w:r w:rsidRPr="00DF02C5">
        <w:rPr>
          <w:rFonts w:eastAsia="Calibri" w:hAnsi="Times New Roman"/>
          <w:snapToGrid w:val="0"/>
          <w:kern w:val="22"/>
          <w:bdr w:val="none" w:sz="0" w:space="0" w:color="auto"/>
          <w:lang w:val="en-GB"/>
        </w:rPr>
        <w:t xml:space="preserve"> Cuba), contracts (e.g</w:t>
      </w:r>
      <w:r w:rsidR="00C62E4B" w:rsidRPr="00DF02C5">
        <w:rPr>
          <w:rFonts w:eastAsia="Calibri" w:hAnsi="Times New Roman"/>
          <w:snapToGrid w:val="0"/>
          <w:kern w:val="22"/>
          <w:bdr w:val="none" w:sz="0" w:space="0" w:color="auto"/>
          <w:lang w:val="en-GB"/>
        </w:rPr>
        <w:t>.</w:t>
      </w:r>
      <w:r w:rsidRPr="00DF02C5">
        <w:rPr>
          <w:rFonts w:eastAsia="Calibri" w:hAnsi="Times New Roman"/>
          <w:snapToGrid w:val="0"/>
          <w:kern w:val="22"/>
          <w:bdr w:val="none" w:sz="0" w:space="0" w:color="auto"/>
          <w:lang w:val="en-GB"/>
        </w:rPr>
        <w:t xml:space="preserve"> </w:t>
      </w:r>
      <w:r w:rsidRPr="00DF02C5">
        <w:rPr>
          <w:lang w:val="en-GB"/>
        </w:rPr>
        <w:t xml:space="preserve">Dominican Republic and India), </w:t>
      </w:r>
      <w:r w:rsidRPr="00DF02C5">
        <w:rPr>
          <w:rFonts w:eastAsia="Calibri" w:hAnsi="Times New Roman"/>
          <w:snapToGrid w:val="0"/>
          <w:kern w:val="22"/>
          <w:bdr w:val="none" w:sz="0" w:space="0" w:color="auto"/>
          <w:lang w:val="en-GB"/>
        </w:rPr>
        <w:t xml:space="preserve">authorisation </w:t>
      </w:r>
      <w:r w:rsidR="008A3D16" w:rsidRPr="00DF02C5">
        <w:rPr>
          <w:rFonts w:eastAsia="Calibri" w:hAnsi="Times New Roman"/>
          <w:snapToGrid w:val="0"/>
          <w:kern w:val="22"/>
          <w:bdr w:val="none" w:sz="0" w:space="0" w:color="auto"/>
          <w:lang w:val="en-GB"/>
        </w:rPr>
        <w:t>of access (e.g</w:t>
      </w:r>
      <w:r w:rsidR="00C62E4B" w:rsidRPr="00DF02C5">
        <w:rPr>
          <w:rFonts w:eastAsia="Calibri" w:hAnsi="Times New Roman"/>
          <w:snapToGrid w:val="0"/>
          <w:kern w:val="22"/>
          <w:bdr w:val="none" w:sz="0" w:space="0" w:color="auto"/>
          <w:lang w:val="en-GB"/>
        </w:rPr>
        <w:t>.</w:t>
      </w:r>
      <w:r w:rsidR="008A3D16" w:rsidRPr="00DF02C5">
        <w:rPr>
          <w:rFonts w:eastAsia="Calibri" w:hAnsi="Times New Roman"/>
          <w:snapToGrid w:val="0"/>
          <w:kern w:val="22"/>
          <w:bdr w:val="none" w:sz="0" w:space="0" w:color="auto"/>
          <w:lang w:val="en-GB"/>
        </w:rPr>
        <w:t xml:space="preserve"> Peru and </w:t>
      </w:r>
      <w:r w:rsidRPr="00DF02C5">
        <w:rPr>
          <w:rFonts w:eastAsia="Calibri" w:hAnsi="Times New Roman"/>
          <w:snapToGrid w:val="0"/>
          <w:kern w:val="22"/>
          <w:bdr w:val="none" w:sz="0" w:space="0" w:color="auto"/>
          <w:lang w:val="en-GB"/>
        </w:rPr>
        <w:t>Spain), resolutions (e.g</w:t>
      </w:r>
      <w:r w:rsidR="00C62E4B" w:rsidRPr="00DF02C5">
        <w:rPr>
          <w:rFonts w:eastAsia="Calibri" w:hAnsi="Times New Roman"/>
          <w:snapToGrid w:val="0"/>
          <w:kern w:val="22"/>
          <w:bdr w:val="none" w:sz="0" w:space="0" w:color="auto"/>
          <w:lang w:val="en-GB"/>
        </w:rPr>
        <w:t>.</w:t>
      </w:r>
      <w:r w:rsidRPr="00DF02C5">
        <w:rPr>
          <w:rFonts w:eastAsia="Calibri" w:hAnsi="Times New Roman"/>
          <w:snapToGrid w:val="0"/>
          <w:kern w:val="22"/>
          <w:bdr w:val="none" w:sz="0" w:space="0" w:color="auto"/>
          <w:lang w:val="en-GB"/>
        </w:rPr>
        <w:t xml:space="preserve"> Panama); access and export permits (e.g</w:t>
      </w:r>
      <w:r w:rsidR="00C62E4B" w:rsidRPr="00DF02C5">
        <w:rPr>
          <w:rFonts w:eastAsia="Calibri" w:hAnsi="Times New Roman"/>
          <w:snapToGrid w:val="0"/>
          <w:kern w:val="22"/>
          <w:bdr w:val="none" w:sz="0" w:space="0" w:color="auto"/>
          <w:lang w:val="en-GB"/>
        </w:rPr>
        <w:t>.</w:t>
      </w:r>
      <w:r w:rsidRPr="00DF02C5">
        <w:rPr>
          <w:rFonts w:eastAsia="Calibri" w:hAnsi="Times New Roman"/>
          <w:snapToGrid w:val="0"/>
          <w:kern w:val="22"/>
          <w:bdr w:val="none" w:sz="0" w:space="0" w:color="auto"/>
          <w:lang w:val="en-GB"/>
        </w:rPr>
        <w:t xml:space="preserve"> Malawi). Other examples of information provided are:</w:t>
      </w:r>
    </w:p>
    <w:p w14:paraId="6F7413BD" w14:textId="503044FF" w:rsidR="00EA65E0" w:rsidRPr="00DF02C5" w:rsidRDefault="00EA65E0" w:rsidP="00A91EAA">
      <w:pPr>
        <w:pStyle w:val="ListParagraph"/>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1440"/>
        </w:tabs>
        <w:spacing w:before="60"/>
        <w:ind w:left="0" w:firstLine="720"/>
        <w:jc w:val="left"/>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 xml:space="preserve">Madagascar indicated that the written declaration are issued in two different forms: </w:t>
      </w:r>
      <w:r w:rsidR="008A3D16" w:rsidRPr="00DF02C5">
        <w:rPr>
          <w:rFonts w:eastAsia="Calibri" w:hAnsi="Times New Roman"/>
          <w:snapToGrid w:val="0"/>
          <w:kern w:val="22"/>
          <w:bdr w:val="none" w:sz="0" w:space="0" w:color="auto"/>
          <w:lang w:val="en-GB"/>
        </w:rPr>
        <w:t xml:space="preserve">(i) </w:t>
      </w:r>
      <w:r w:rsidRPr="00DF02C5">
        <w:rPr>
          <w:rFonts w:eastAsia="Calibri" w:hAnsi="Times New Roman"/>
          <w:snapToGrid w:val="0"/>
          <w:kern w:val="22"/>
          <w:bdr w:val="none" w:sz="0" w:space="0" w:color="auto"/>
          <w:lang w:val="en-GB"/>
        </w:rPr>
        <w:t xml:space="preserve">receipts of declaration for access demands for research with no commercial purposes, </w:t>
      </w:r>
      <w:proofErr w:type="gramStart"/>
      <w:r w:rsidRPr="00DF02C5">
        <w:rPr>
          <w:rFonts w:eastAsia="Calibri" w:hAnsi="Times New Roman"/>
          <w:snapToGrid w:val="0"/>
          <w:kern w:val="22"/>
          <w:bdr w:val="none" w:sz="0" w:space="0" w:color="auto"/>
          <w:lang w:val="en-GB"/>
        </w:rPr>
        <w:t xml:space="preserve">and </w:t>
      </w:r>
      <w:r w:rsidR="008A3D16" w:rsidRPr="00DF02C5">
        <w:rPr>
          <w:rFonts w:eastAsia="Calibri" w:hAnsi="Times New Roman"/>
          <w:snapToGrid w:val="0"/>
          <w:kern w:val="22"/>
          <w:bdr w:val="none" w:sz="0" w:space="0" w:color="auto"/>
          <w:lang w:val="en-GB"/>
        </w:rPr>
        <w:t xml:space="preserve"> (</w:t>
      </w:r>
      <w:proofErr w:type="gramEnd"/>
      <w:r w:rsidR="008A3D16" w:rsidRPr="00DF02C5">
        <w:rPr>
          <w:rFonts w:eastAsia="Calibri" w:hAnsi="Times New Roman"/>
          <w:snapToGrid w:val="0"/>
          <w:kern w:val="22"/>
          <w:bdr w:val="none" w:sz="0" w:space="0" w:color="auto"/>
          <w:lang w:val="en-GB"/>
        </w:rPr>
        <w:t xml:space="preserve">ii) </w:t>
      </w:r>
      <w:r w:rsidRPr="00DF02C5">
        <w:rPr>
          <w:rFonts w:eastAsia="Calibri" w:hAnsi="Times New Roman"/>
          <w:snapToGrid w:val="0"/>
          <w:kern w:val="22"/>
          <w:bdr w:val="none" w:sz="0" w:space="0" w:color="auto"/>
          <w:lang w:val="en-GB"/>
        </w:rPr>
        <w:t>access authorisations for commercial purposes in the form of a permit that will have the value of an internat</w:t>
      </w:r>
      <w:r w:rsidR="00A91EAA">
        <w:rPr>
          <w:rFonts w:eastAsia="Calibri" w:hAnsi="Times New Roman"/>
          <w:snapToGrid w:val="0"/>
          <w:kern w:val="22"/>
          <w:bdr w:val="none" w:sz="0" w:space="0" w:color="auto"/>
          <w:lang w:val="en-GB"/>
        </w:rPr>
        <w:t>ional certificate of compliance;</w:t>
      </w:r>
    </w:p>
    <w:p w14:paraId="53263E35" w14:textId="66C282FF" w:rsidR="00EA65E0" w:rsidRPr="00DF02C5" w:rsidRDefault="00EA65E0" w:rsidP="00A91EAA">
      <w:pPr>
        <w:pStyle w:val="ListParagraph"/>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1440"/>
        </w:tabs>
        <w:spacing w:before="60"/>
        <w:ind w:left="0" w:firstLine="720"/>
        <w:jc w:val="left"/>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Seychelles stated that</w:t>
      </w:r>
      <w:r w:rsidR="008A3D16" w:rsidRPr="00DF02C5">
        <w:rPr>
          <w:rFonts w:eastAsia="Calibri" w:hAnsi="Times New Roman"/>
          <w:snapToGrid w:val="0"/>
          <w:kern w:val="22"/>
          <w:bdr w:val="none" w:sz="0" w:space="0" w:color="auto"/>
          <w:lang w:val="en-GB"/>
        </w:rPr>
        <w:t>,</w:t>
      </w:r>
      <w:r w:rsidRPr="00DF02C5">
        <w:rPr>
          <w:rFonts w:eastAsia="Calibri" w:hAnsi="Times New Roman"/>
          <w:snapToGrid w:val="0"/>
          <w:kern w:val="22"/>
          <w:bdr w:val="none" w:sz="0" w:space="0" w:color="auto"/>
          <w:lang w:val="en-GB"/>
        </w:rPr>
        <w:t xml:space="preserve"> d</w:t>
      </w:r>
      <w:r w:rsidR="008A3D16" w:rsidRPr="00DF02C5">
        <w:rPr>
          <w:rFonts w:eastAsia="Calibri" w:hAnsi="Times New Roman"/>
          <w:snapToGrid w:val="0"/>
          <w:kern w:val="22"/>
          <w:bdr w:val="none" w:sz="0" w:space="0" w:color="auto"/>
          <w:lang w:val="en-GB"/>
        </w:rPr>
        <w:t>epending</w:t>
      </w:r>
      <w:r w:rsidRPr="00DF02C5">
        <w:rPr>
          <w:rFonts w:eastAsia="Calibri" w:hAnsi="Times New Roman"/>
          <w:snapToGrid w:val="0"/>
          <w:kern w:val="22"/>
          <w:bdr w:val="none" w:sz="0" w:space="0" w:color="auto"/>
          <w:lang w:val="en-GB"/>
        </w:rPr>
        <w:t xml:space="preserve"> on the form it takes</w:t>
      </w:r>
      <w:r w:rsidR="008A3D16" w:rsidRPr="00DF02C5">
        <w:rPr>
          <w:rFonts w:eastAsia="Calibri" w:hAnsi="Times New Roman"/>
          <w:snapToGrid w:val="0"/>
          <w:kern w:val="22"/>
          <w:bdr w:val="none" w:sz="0" w:space="0" w:color="auto"/>
          <w:lang w:val="en-GB"/>
        </w:rPr>
        <w:t>,</w:t>
      </w:r>
      <w:r w:rsidRPr="00DF02C5">
        <w:rPr>
          <w:rFonts w:eastAsia="Calibri" w:hAnsi="Times New Roman"/>
          <w:snapToGrid w:val="0"/>
          <w:kern w:val="22"/>
          <w:bdr w:val="none" w:sz="0" w:space="0" w:color="auto"/>
          <w:lang w:val="en-GB"/>
        </w:rPr>
        <w:t xml:space="preserve"> some decisions may be public while others are onl</w:t>
      </w:r>
      <w:r w:rsidR="00B57131" w:rsidRPr="00DF02C5">
        <w:rPr>
          <w:rFonts w:eastAsia="Calibri" w:hAnsi="Times New Roman"/>
          <w:snapToGrid w:val="0"/>
          <w:kern w:val="22"/>
          <w:bdr w:val="none" w:sz="0" w:space="0" w:color="auto"/>
          <w:lang w:val="en-GB"/>
        </w:rPr>
        <w:t>y communicated to the applicant.</w:t>
      </w:r>
      <w:r w:rsidRPr="00DF02C5">
        <w:rPr>
          <w:rFonts w:eastAsia="Calibri" w:hAnsi="Times New Roman"/>
          <w:snapToGrid w:val="0"/>
          <w:kern w:val="22"/>
          <w:bdr w:val="none" w:sz="0" w:space="0" w:color="auto"/>
          <w:lang w:val="en-GB"/>
        </w:rPr>
        <w:t xml:space="preserve"> </w:t>
      </w:r>
    </w:p>
    <w:p w14:paraId="7D2D5D87" w14:textId="7D9E1E4C" w:rsidR="00EA65E0" w:rsidRPr="00DF02C5" w:rsidRDefault="00EA65E0" w:rsidP="00393914">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In some countries</w:t>
      </w:r>
      <w:r w:rsidRPr="00DF02C5">
        <w:rPr>
          <w:rStyle w:val="FootnoteReference"/>
          <w:rFonts w:eastAsia="Calibri" w:hAnsi="Times New Roman"/>
          <w:snapToGrid w:val="0"/>
          <w:kern w:val="22"/>
          <w:bdr w:val="none" w:sz="0" w:space="0" w:color="auto"/>
          <w:lang w:val="en-GB"/>
        </w:rPr>
        <w:footnoteReference w:id="92"/>
      </w:r>
      <w:r w:rsidRPr="00DF02C5">
        <w:rPr>
          <w:rFonts w:eastAsia="Calibri" w:hAnsi="Times New Roman"/>
          <w:snapToGrid w:val="0"/>
          <w:kern w:val="22"/>
          <w:bdr w:val="none" w:sz="0" w:space="0" w:color="auto"/>
          <w:lang w:val="en-GB"/>
        </w:rPr>
        <w:t xml:space="preserve"> </w:t>
      </w:r>
      <w:r w:rsidR="00386F63" w:rsidRPr="00DF02C5">
        <w:rPr>
          <w:rFonts w:eastAsia="Calibri" w:hAnsi="Times New Roman"/>
          <w:snapToGrid w:val="0"/>
          <w:kern w:val="22"/>
          <w:bdr w:val="none" w:sz="0" w:space="0" w:color="auto"/>
          <w:lang w:val="en-GB"/>
        </w:rPr>
        <w:t>permits or equivalent</w:t>
      </w:r>
      <w:r w:rsidRPr="00DF02C5">
        <w:rPr>
          <w:rFonts w:eastAsia="Calibri" w:hAnsi="Times New Roman"/>
          <w:snapToGrid w:val="0"/>
          <w:kern w:val="22"/>
          <w:bdr w:val="none" w:sz="0" w:space="0" w:color="auto"/>
          <w:lang w:val="en-GB"/>
        </w:rPr>
        <w:t xml:space="preserve"> are issued after PIC has been obtained and MAT has been</w:t>
      </w:r>
      <w:r w:rsidR="009A1EF2" w:rsidRPr="00DF02C5">
        <w:rPr>
          <w:rFonts w:eastAsia="Calibri" w:hAnsi="Times New Roman"/>
          <w:snapToGrid w:val="0"/>
          <w:kern w:val="22"/>
          <w:bdr w:val="none" w:sz="0" w:space="0" w:color="auto"/>
          <w:lang w:val="en-GB"/>
        </w:rPr>
        <w:t xml:space="preserve"> agreed;</w:t>
      </w:r>
      <w:r w:rsidRPr="00DF02C5">
        <w:rPr>
          <w:rFonts w:eastAsia="Calibri" w:hAnsi="Times New Roman"/>
          <w:snapToGrid w:val="0"/>
          <w:kern w:val="22"/>
          <w:bdr w:val="none" w:sz="0" w:space="0" w:color="auto"/>
          <w:lang w:val="en-GB"/>
        </w:rPr>
        <w:t xml:space="preserve"> </w:t>
      </w:r>
      <w:r w:rsidR="009A1EF2" w:rsidRPr="00DF02C5">
        <w:rPr>
          <w:rFonts w:eastAsia="Calibri" w:hAnsi="Times New Roman"/>
          <w:snapToGrid w:val="0"/>
          <w:kern w:val="22"/>
          <w:bdr w:val="none" w:sz="0" w:space="0" w:color="auto"/>
          <w:lang w:val="en-GB"/>
        </w:rPr>
        <w:t xml:space="preserve">while </w:t>
      </w:r>
      <w:r w:rsidRPr="00DF02C5">
        <w:rPr>
          <w:rFonts w:eastAsia="Calibri" w:hAnsi="Times New Roman"/>
          <w:snapToGrid w:val="0"/>
          <w:kern w:val="22"/>
          <w:bdr w:val="none" w:sz="0" w:space="0" w:color="auto"/>
          <w:lang w:val="en-GB"/>
        </w:rPr>
        <w:t>for others</w:t>
      </w:r>
      <w:r w:rsidRPr="00DF02C5">
        <w:rPr>
          <w:rStyle w:val="FootnoteReference"/>
          <w:rFonts w:eastAsia="Calibri" w:hAnsi="Times New Roman"/>
          <w:snapToGrid w:val="0"/>
          <w:kern w:val="22"/>
          <w:bdr w:val="none" w:sz="0" w:space="0" w:color="auto"/>
          <w:lang w:val="en-GB"/>
        </w:rPr>
        <w:footnoteReference w:id="93"/>
      </w:r>
      <w:r w:rsidR="00386F63" w:rsidRPr="00DF02C5">
        <w:rPr>
          <w:rFonts w:eastAsia="Calibri" w:hAnsi="Times New Roman"/>
          <w:snapToGrid w:val="0"/>
          <w:kern w:val="22"/>
          <w:bdr w:val="none" w:sz="0" w:space="0" w:color="auto"/>
          <w:lang w:val="en-GB"/>
        </w:rPr>
        <w:t>,</w:t>
      </w:r>
      <w:r w:rsidRPr="00DF02C5">
        <w:rPr>
          <w:rFonts w:eastAsia="Calibri" w:hAnsi="Times New Roman"/>
          <w:snapToGrid w:val="0"/>
          <w:kern w:val="22"/>
          <w:bdr w:val="none" w:sz="0" w:space="0" w:color="auto"/>
          <w:lang w:val="en-GB"/>
        </w:rPr>
        <w:t xml:space="preserve"> contracts signed with the relevant actors are considered </w:t>
      </w:r>
      <w:r w:rsidR="00386F63" w:rsidRPr="00DF02C5">
        <w:rPr>
          <w:rFonts w:eastAsia="Calibri" w:hAnsi="Times New Roman"/>
          <w:snapToGrid w:val="0"/>
          <w:kern w:val="22"/>
          <w:bdr w:val="none" w:sz="0" w:space="0" w:color="auto"/>
          <w:lang w:val="en-GB"/>
        </w:rPr>
        <w:t xml:space="preserve">to be </w:t>
      </w:r>
      <w:r w:rsidR="000A5E04" w:rsidRPr="00DF02C5">
        <w:rPr>
          <w:rFonts w:eastAsia="Calibri" w:hAnsi="Times New Roman"/>
          <w:snapToGrid w:val="0"/>
          <w:kern w:val="22"/>
          <w:bdr w:val="none" w:sz="0" w:space="0" w:color="auto"/>
          <w:lang w:val="en-GB"/>
        </w:rPr>
        <w:t>the written decision. One</w:t>
      </w:r>
      <w:r w:rsidRPr="00DF02C5">
        <w:rPr>
          <w:rFonts w:eastAsia="Calibri" w:hAnsi="Times New Roman"/>
          <w:snapToGrid w:val="0"/>
          <w:kern w:val="22"/>
          <w:bdr w:val="none" w:sz="0" w:space="0" w:color="auto"/>
          <w:lang w:val="en-GB"/>
        </w:rPr>
        <w:t xml:space="preserve"> country</w:t>
      </w:r>
      <w:r w:rsidRPr="00DF02C5">
        <w:rPr>
          <w:rStyle w:val="FootnoteReference"/>
          <w:rFonts w:eastAsia="Calibri" w:hAnsi="Times New Roman"/>
          <w:snapToGrid w:val="0"/>
          <w:kern w:val="22"/>
          <w:bdr w:val="none" w:sz="0" w:space="0" w:color="auto"/>
          <w:lang w:val="en-GB"/>
        </w:rPr>
        <w:footnoteReference w:id="94"/>
      </w:r>
      <w:r w:rsidRPr="00DF02C5">
        <w:rPr>
          <w:rFonts w:eastAsia="Calibri" w:hAnsi="Times New Roman"/>
          <w:snapToGrid w:val="0"/>
          <w:kern w:val="22"/>
          <w:bdr w:val="none" w:sz="0" w:space="0" w:color="auto"/>
          <w:lang w:val="en-GB"/>
        </w:rPr>
        <w:t xml:space="preserve"> </w:t>
      </w:r>
      <w:r w:rsidR="000A5E04" w:rsidRPr="00DF02C5">
        <w:rPr>
          <w:rFonts w:eastAsia="Calibri" w:hAnsi="Times New Roman"/>
          <w:snapToGrid w:val="0"/>
          <w:kern w:val="22"/>
          <w:bdr w:val="none" w:sz="0" w:space="0" w:color="auto"/>
          <w:lang w:val="en-GB"/>
        </w:rPr>
        <w:t xml:space="preserve">explained </w:t>
      </w:r>
      <w:r w:rsidRPr="00DF02C5">
        <w:rPr>
          <w:rFonts w:eastAsia="Calibri" w:hAnsi="Times New Roman"/>
          <w:snapToGrid w:val="0"/>
          <w:kern w:val="22"/>
          <w:bdr w:val="none" w:sz="0" w:space="0" w:color="auto"/>
          <w:lang w:val="en-GB"/>
        </w:rPr>
        <w:t xml:space="preserve">that users are only invited to </w:t>
      </w:r>
      <w:r w:rsidR="00386F63" w:rsidRPr="00DF02C5">
        <w:rPr>
          <w:rFonts w:eastAsia="Calibri" w:hAnsi="Times New Roman"/>
          <w:snapToGrid w:val="0"/>
          <w:kern w:val="22"/>
          <w:bdr w:val="none" w:sz="0" w:space="0" w:color="auto"/>
          <w:lang w:val="en-GB"/>
        </w:rPr>
        <w:t>pursue</w:t>
      </w:r>
      <w:r w:rsidRPr="00DF02C5">
        <w:rPr>
          <w:rFonts w:eastAsia="Calibri" w:hAnsi="Times New Roman"/>
          <w:snapToGrid w:val="0"/>
          <w:kern w:val="22"/>
          <w:bdr w:val="none" w:sz="0" w:space="0" w:color="auto"/>
          <w:lang w:val="en-GB"/>
        </w:rPr>
        <w:t xml:space="preserve"> the process for obtaining PIC and negotiating MAT once </w:t>
      </w:r>
      <w:r w:rsidR="00386F63" w:rsidRPr="00DF02C5">
        <w:rPr>
          <w:rFonts w:eastAsia="Calibri" w:hAnsi="Times New Roman"/>
          <w:snapToGrid w:val="0"/>
          <w:kern w:val="22"/>
          <w:bdr w:val="none" w:sz="0" w:space="0" w:color="auto"/>
          <w:lang w:val="en-GB"/>
        </w:rPr>
        <w:t xml:space="preserve">their </w:t>
      </w:r>
      <w:r w:rsidR="00C14543" w:rsidRPr="00DF02C5">
        <w:rPr>
          <w:rFonts w:eastAsia="Calibri" w:hAnsi="Times New Roman"/>
          <w:snapToGrid w:val="0"/>
          <w:kern w:val="22"/>
          <w:bdr w:val="none" w:sz="0" w:space="0" w:color="auto"/>
          <w:lang w:val="en-GB"/>
        </w:rPr>
        <w:t>application</w:t>
      </w:r>
      <w:r w:rsidR="00386F63" w:rsidRPr="00DF02C5">
        <w:rPr>
          <w:rFonts w:eastAsia="Calibri" w:hAnsi="Times New Roman"/>
          <w:snapToGrid w:val="0"/>
          <w:kern w:val="22"/>
          <w:bdr w:val="none" w:sz="0" w:space="0" w:color="auto"/>
          <w:lang w:val="en-GB"/>
        </w:rPr>
        <w:t xml:space="preserve"> is favourably received by </w:t>
      </w:r>
      <w:r w:rsidR="009A1EF2" w:rsidRPr="00DF02C5">
        <w:rPr>
          <w:rFonts w:eastAsia="Calibri" w:hAnsi="Times New Roman"/>
          <w:snapToGrid w:val="0"/>
          <w:kern w:val="22"/>
          <w:bdr w:val="none" w:sz="0" w:space="0" w:color="auto"/>
          <w:lang w:val="en-GB"/>
        </w:rPr>
        <w:t>the CNA</w:t>
      </w:r>
      <w:r w:rsidR="000A5E04" w:rsidRPr="00DF02C5">
        <w:rPr>
          <w:rFonts w:eastAsia="Calibri" w:hAnsi="Times New Roman"/>
          <w:snapToGrid w:val="0"/>
          <w:kern w:val="22"/>
          <w:bdr w:val="none" w:sz="0" w:space="0" w:color="auto"/>
          <w:lang w:val="en-GB"/>
        </w:rPr>
        <w:t>. Only after the</w:t>
      </w:r>
      <w:r w:rsidRPr="00DF02C5">
        <w:rPr>
          <w:rFonts w:eastAsia="Calibri" w:hAnsi="Times New Roman"/>
          <w:snapToGrid w:val="0"/>
          <w:kern w:val="22"/>
          <w:bdr w:val="none" w:sz="0" w:space="0" w:color="auto"/>
          <w:lang w:val="en-GB"/>
        </w:rPr>
        <w:t xml:space="preserve"> process</w:t>
      </w:r>
      <w:r w:rsidR="000A5E04" w:rsidRPr="00DF02C5">
        <w:rPr>
          <w:rFonts w:eastAsia="Calibri" w:hAnsi="Times New Roman"/>
          <w:snapToGrid w:val="0"/>
          <w:kern w:val="22"/>
          <w:bdr w:val="none" w:sz="0" w:space="0" w:color="auto"/>
          <w:lang w:val="en-GB"/>
        </w:rPr>
        <w:t xml:space="preserve"> for PIC and MAT</w:t>
      </w:r>
      <w:r w:rsidR="00B54C38">
        <w:rPr>
          <w:rFonts w:eastAsia="Calibri" w:hAnsi="Times New Roman"/>
          <w:snapToGrid w:val="0"/>
          <w:kern w:val="22"/>
          <w:bdr w:val="none" w:sz="0" w:space="0" w:color="auto"/>
          <w:lang w:val="en-GB"/>
        </w:rPr>
        <w:t xml:space="preserve"> is finaliz</w:t>
      </w:r>
      <w:r w:rsidRPr="00DF02C5">
        <w:rPr>
          <w:rFonts w:eastAsia="Calibri" w:hAnsi="Times New Roman"/>
          <w:snapToGrid w:val="0"/>
          <w:kern w:val="22"/>
          <w:bdr w:val="none" w:sz="0" w:space="0" w:color="auto"/>
          <w:lang w:val="en-GB"/>
        </w:rPr>
        <w:t>ed</w:t>
      </w:r>
      <w:r w:rsidR="00386F63" w:rsidRPr="00DF02C5">
        <w:rPr>
          <w:rFonts w:eastAsia="Calibri" w:hAnsi="Times New Roman"/>
          <w:snapToGrid w:val="0"/>
          <w:kern w:val="22"/>
          <w:bdr w:val="none" w:sz="0" w:space="0" w:color="auto"/>
          <w:lang w:val="en-GB"/>
        </w:rPr>
        <w:t xml:space="preserve"> </w:t>
      </w:r>
      <w:r w:rsidRPr="00DF02C5">
        <w:rPr>
          <w:rFonts w:eastAsia="Calibri" w:hAnsi="Times New Roman"/>
          <w:snapToGrid w:val="0"/>
          <w:kern w:val="22"/>
          <w:bdr w:val="none" w:sz="0" w:space="0" w:color="auto"/>
          <w:lang w:val="en-GB"/>
        </w:rPr>
        <w:t xml:space="preserve">a permit </w:t>
      </w:r>
      <w:r w:rsidR="000A5E04" w:rsidRPr="00DF02C5">
        <w:rPr>
          <w:rFonts w:eastAsia="Calibri" w:hAnsi="Times New Roman"/>
          <w:snapToGrid w:val="0"/>
          <w:kern w:val="22"/>
          <w:bdr w:val="none" w:sz="0" w:space="0" w:color="auto"/>
          <w:lang w:val="en-GB"/>
        </w:rPr>
        <w:t xml:space="preserve">is </w:t>
      </w:r>
      <w:r w:rsidRPr="00DF02C5">
        <w:rPr>
          <w:rFonts w:eastAsia="Calibri" w:hAnsi="Times New Roman"/>
          <w:snapToGrid w:val="0"/>
          <w:kern w:val="22"/>
          <w:bdr w:val="none" w:sz="0" w:space="0" w:color="auto"/>
          <w:lang w:val="en-GB"/>
        </w:rPr>
        <w:t xml:space="preserve">issued. </w:t>
      </w:r>
    </w:p>
    <w:p w14:paraId="506A01EC" w14:textId="1187272E" w:rsidR="00EA65E0" w:rsidRPr="00DF02C5" w:rsidRDefault="00EA65E0" w:rsidP="00393914">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Some countries specified that there is a written decision when access is denied.</w:t>
      </w:r>
      <w:r w:rsidR="00386F63" w:rsidRPr="00DF02C5">
        <w:rPr>
          <w:rStyle w:val="FootnoteReference"/>
          <w:rFonts w:eastAsia="Calibri" w:hAnsi="Times New Roman"/>
          <w:snapToGrid w:val="0"/>
          <w:kern w:val="22"/>
          <w:bdr w:val="none" w:sz="0" w:space="0" w:color="auto"/>
          <w:lang w:val="en-GB"/>
        </w:rPr>
        <w:footnoteReference w:id="95"/>
      </w:r>
      <w:r w:rsidRPr="00DF02C5">
        <w:rPr>
          <w:rFonts w:eastAsia="Calibri" w:hAnsi="Times New Roman"/>
          <w:snapToGrid w:val="0"/>
          <w:kern w:val="22"/>
          <w:bdr w:val="none" w:sz="0" w:space="0" w:color="auto"/>
          <w:lang w:val="en-GB"/>
        </w:rPr>
        <w:t xml:space="preserve"> Malta, for instance, indicated that based on their legislation, once a decision concerning access is reached by the </w:t>
      </w:r>
      <w:r w:rsidR="009A1EF2" w:rsidRPr="00DF02C5">
        <w:rPr>
          <w:rFonts w:eastAsia="Calibri" w:hAnsi="Times New Roman"/>
          <w:snapToGrid w:val="0"/>
          <w:kern w:val="22"/>
          <w:bdr w:val="none" w:sz="0" w:space="0" w:color="auto"/>
          <w:lang w:val="en-GB"/>
        </w:rPr>
        <w:t xml:space="preserve">CNA </w:t>
      </w:r>
      <w:r w:rsidRPr="00DF02C5">
        <w:rPr>
          <w:rFonts w:eastAsia="Calibri" w:hAnsi="Times New Roman"/>
          <w:snapToGrid w:val="0"/>
          <w:kern w:val="22"/>
          <w:bdr w:val="none" w:sz="0" w:space="0" w:color="auto"/>
          <w:lang w:val="en-GB"/>
        </w:rPr>
        <w:lastRenderedPageBreak/>
        <w:t>this is communicated in writing to the applicant. Additionally, prior informed consent is granted through an official access permit. If access is not gran</w:t>
      </w:r>
      <w:r w:rsidR="000A5E04" w:rsidRPr="00DF02C5">
        <w:rPr>
          <w:rFonts w:eastAsia="Calibri" w:hAnsi="Times New Roman"/>
          <w:snapToGrid w:val="0"/>
          <w:kern w:val="22"/>
          <w:bdr w:val="none" w:sz="0" w:space="0" w:color="auto"/>
          <w:lang w:val="en-GB"/>
        </w:rPr>
        <w:t>ted the applicant is informed of</w:t>
      </w:r>
      <w:r w:rsidRPr="00DF02C5">
        <w:rPr>
          <w:rFonts w:eastAsia="Calibri" w:hAnsi="Times New Roman"/>
          <w:snapToGrid w:val="0"/>
          <w:kern w:val="22"/>
          <w:bdr w:val="none" w:sz="0" w:space="0" w:color="auto"/>
          <w:lang w:val="en-GB"/>
        </w:rPr>
        <w:t xml:space="preserve"> the reasons for such a refusal. Moreover, the details of persons having been granted a permit together with the conditions imposed are maintained in a register which is available for public inspection.</w:t>
      </w:r>
    </w:p>
    <w:p w14:paraId="0DD89A92" w14:textId="363697DD" w:rsidR="00EA65E0" w:rsidRPr="00DF02C5" w:rsidRDefault="00EA65E0" w:rsidP="00393914">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China’s relevant measures</w:t>
      </w:r>
      <w:r w:rsidR="009A1EF2" w:rsidRPr="00DF02C5">
        <w:rPr>
          <w:rStyle w:val="FootnoteReference"/>
          <w:rFonts w:eastAsia="Calibri" w:hAnsi="Times New Roman"/>
          <w:snapToGrid w:val="0"/>
          <w:kern w:val="22"/>
          <w:bdr w:val="none" w:sz="0" w:space="0" w:color="auto"/>
          <w:lang w:val="en-GB"/>
        </w:rPr>
        <w:footnoteReference w:id="96"/>
      </w:r>
      <w:r w:rsidR="00A91EAA">
        <w:rPr>
          <w:rFonts w:eastAsia="Calibri" w:hAnsi="Times New Roman"/>
          <w:snapToGrid w:val="0"/>
          <w:kern w:val="22"/>
          <w:bdr w:val="none" w:sz="0" w:space="0" w:color="auto"/>
          <w:lang w:val="en-GB"/>
        </w:rPr>
        <w:t xml:space="preserve"> </w:t>
      </w:r>
      <w:r w:rsidRPr="00DF02C5">
        <w:rPr>
          <w:rFonts w:eastAsia="Calibri" w:hAnsi="Times New Roman"/>
          <w:snapToGrid w:val="0"/>
          <w:kern w:val="22"/>
          <w:bdr w:val="none" w:sz="0" w:space="0" w:color="auto"/>
          <w:lang w:val="en-GB"/>
        </w:rPr>
        <w:t>contain provisions concerning time limits for approval by related administrative departments and</w:t>
      </w:r>
      <w:r w:rsidR="009A1EF2" w:rsidRPr="00DF02C5">
        <w:rPr>
          <w:rFonts w:eastAsia="Calibri" w:hAnsi="Times New Roman"/>
          <w:snapToGrid w:val="0"/>
          <w:kern w:val="22"/>
          <w:bdr w:val="none" w:sz="0" w:space="0" w:color="auto"/>
          <w:lang w:val="en-GB"/>
        </w:rPr>
        <w:t>,</w:t>
      </w:r>
      <w:r w:rsidRPr="00DF02C5">
        <w:rPr>
          <w:rFonts w:eastAsia="Calibri" w:hAnsi="Times New Roman"/>
          <w:snapToGrid w:val="0"/>
          <w:kern w:val="22"/>
          <w:bdr w:val="none" w:sz="0" w:space="0" w:color="auto"/>
          <w:lang w:val="en-GB"/>
        </w:rPr>
        <w:t xml:space="preserve"> </w:t>
      </w:r>
      <w:r w:rsidR="009A1EF2" w:rsidRPr="00DF02C5">
        <w:rPr>
          <w:rFonts w:eastAsia="Calibri" w:hAnsi="Times New Roman"/>
          <w:snapToGrid w:val="0"/>
          <w:kern w:val="22"/>
          <w:bdr w:val="none" w:sz="0" w:space="0" w:color="auto"/>
          <w:lang w:val="en-GB"/>
        </w:rPr>
        <w:t xml:space="preserve">in accordance with the Administrative Permit Law, </w:t>
      </w:r>
      <w:r w:rsidRPr="00DF02C5">
        <w:rPr>
          <w:rFonts w:eastAsia="Calibri" w:hAnsi="Times New Roman"/>
          <w:snapToGrid w:val="0"/>
          <w:kern w:val="22"/>
          <w:bdr w:val="none" w:sz="0" w:space="0" w:color="auto"/>
          <w:lang w:val="en-GB"/>
        </w:rPr>
        <w:t xml:space="preserve">plans to include a time limit for approval in the regulation on </w:t>
      </w:r>
      <w:r w:rsidR="000A5E04" w:rsidRPr="00DF02C5">
        <w:rPr>
          <w:rFonts w:eastAsia="Calibri" w:hAnsi="Times New Roman"/>
          <w:snapToGrid w:val="0"/>
          <w:kern w:val="22"/>
          <w:bdr w:val="none" w:sz="0" w:space="0" w:color="auto"/>
          <w:lang w:val="en-GB"/>
        </w:rPr>
        <w:t xml:space="preserve">ABS </w:t>
      </w:r>
      <w:r w:rsidRPr="00DF02C5">
        <w:rPr>
          <w:rFonts w:eastAsia="Calibri" w:hAnsi="Times New Roman"/>
          <w:snapToGrid w:val="0"/>
          <w:kern w:val="22"/>
          <w:bdr w:val="none" w:sz="0" w:space="0" w:color="auto"/>
          <w:lang w:val="en-GB"/>
        </w:rPr>
        <w:t>they are developing</w:t>
      </w:r>
      <w:r w:rsidR="009A1EF2" w:rsidRPr="00DF02C5">
        <w:rPr>
          <w:rFonts w:eastAsia="Calibri" w:hAnsi="Times New Roman"/>
          <w:snapToGrid w:val="0"/>
          <w:kern w:val="22"/>
          <w:bdr w:val="none" w:sz="0" w:space="0" w:color="auto"/>
          <w:lang w:val="en-GB"/>
        </w:rPr>
        <w:t>.</w:t>
      </w:r>
      <w:r w:rsidRPr="00DF02C5">
        <w:rPr>
          <w:rFonts w:eastAsia="Calibri" w:hAnsi="Times New Roman"/>
          <w:snapToGrid w:val="0"/>
          <w:kern w:val="22"/>
          <w:bdr w:val="none" w:sz="0" w:space="0" w:color="auto"/>
          <w:lang w:val="en-GB"/>
        </w:rPr>
        <w:t xml:space="preserve"> </w:t>
      </w:r>
    </w:p>
    <w:p w14:paraId="4A45F8F0" w14:textId="3313C2BD" w:rsidR="000A5E04" w:rsidRPr="00DF02C5" w:rsidRDefault="000A5E04" w:rsidP="000A5E04">
      <w:pPr>
        <w:pStyle w:val="Para1"/>
        <w:rPr>
          <w:rFonts w:eastAsia="Calibri" w:hAnsi="Times New Roman"/>
          <w:i/>
          <w:snapToGrid w:val="0"/>
          <w:kern w:val="22"/>
          <w:bdr w:val="none" w:sz="0" w:space="0" w:color="auto"/>
          <w:lang w:val="en-GB"/>
        </w:rPr>
      </w:pPr>
      <w:r w:rsidRPr="00DF02C5">
        <w:rPr>
          <w:rFonts w:eastAsia="Calibri" w:hAnsi="Times New Roman"/>
          <w:i/>
          <w:snapToGrid w:val="0"/>
          <w:kern w:val="22"/>
          <w:bdr w:val="none" w:sz="0" w:space="0" w:color="auto"/>
          <w:lang w:val="en-GB"/>
        </w:rPr>
        <w:t>(b)</w:t>
      </w:r>
      <w:r w:rsidRPr="00DF02C5">
        <w:rPr>
          <w:rFonts w:eastAsia="Calibri" w:hAnsi="Times New Roman"/>
          <w:i/>
          <w:snapToGrid w:val="0"/>
          <w:kern w:val="22"/>
          <w:bdr w:val="none" w:sz="0" w:space="0" w:color="auto"/>
          <w:lang w:val="en-GB"/>
        </w:rPr>
        <w:tab/>
        <w:t>Countries that answered “no”</w:t>
      </w:r>
    </w:p>
    <w:p w14:paraId="493FD28B" w14:textId="41FAA072" w:rsidR="00EA65E0" w:rsidRPr="00DF02C5" w:rsidRDefault="000A5E04" w:rsidP="00393914">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S</w:t>
      </w:r>
      <w:r w:rsidR="009A1EF2" w:rsidRPr="00DF02C5">
        <w:rPr>
          <w:rFonts w:eastAsia="Calibri" w:hAnsi="Times New Roman"/>
          <w:snapToGrid w:val="0"/>
          <w:kern w:val="22"/>
          <w:bdr w:val="none" w:sz="0" w:space="0" w:color="auto"/>
          <w:lang w:val="en-GB"/>
        </w:rPr>
        <w:t xml:space="preserve">ome </w:t>
      </w:r>
      <w:r w:rsidR="00EA65E0" w:rsidRPr="00DF02C5">
        <w:rPr>
          <w:rFonts w:eastAsia="Calibri" w:hAnsi="Times New Roman"/>
          <w:snapToGrid w:val="0"/>
          <w:kern w:val="22"/>
          <w:bdr w:val="none" w:sz="0" w:space="0" w:color="auto"/>
          <w:lang w:val="en-GB"/>
        </w:rPr>
        <w:t xml:space="preserve">countries </w:t>
      </w:r>
      <w:r w:rsidR="00EA65E0" w:rsidRPr="00DF02C5">
        <w:rPr>
          <w:rStyle w:val="FootnoteReference"/>
          <w:rFonts w:eastAsia="Calibri" w:hAnsi="Times New Roman"/>
          <w:snapToGrid w:val="0"/>
          <w:kern w:val="22"/>
          <w:bdr w:val="none" w:sz="0" w:space="0" w:color="auto"/>
          <w:lang w:val="en-GB"/>
        </w:rPr>
        <w:footnoteReference w:id="97"/>
      </w:r>
      <w:r w:rsidR="00EA65E0" w:rsidRPr="00DF02C5">
        <w:rPr>
          <w:rFonts w:eastAsia="Calibri" w:hAnsi="Times New Roman"/>
          <w:snapToGrid w:val="0"/>
          <w:kern w:val="22"/>
          <w:bdr w:val="none" w:sz="0" w:space="0" w:color="auto"/>
          <w:lang w:val="en-GB"/>
        </w:rPr>
        <w:t xml:space="preserve"> in</w:t>
      </w:r>
      <w:r w:rsidRPr="00DF02C5">
        <w:rPr>
          <w:rFonts w:eastAsia="Calibri" w:hAnsi="Times New Roman"/>
          <w:snapToGrid w:val="0"/>
          <w:kern w:val="22"/>
          <w:bdr w:val="none" w:sz="0" w:space="0" w:color="auto"/>
          <w:lang w:val="en-GB"/>
        </w:rPr>
        <w:t>dicated</w:t>
      </w:r>
      <w:r w:rsidR="00EA65E0" w:rsidRPr="00DF02C5">
        <w:rPr>
          <w:rFonts w:eastAsia="Calibri" w:hAnsi="Times New Roman"/>
          <w:snapToGrid w:val="0"/>
          <w:kern w:val="22"/>
          <w:bdr w:val="none" w:sz="0" w:space="0" w:color="auto"/>
          <w:lang w:val="en-GB"/>
        </w:rPr>
        <w:t xml:space="preserve"> that </w:t>
      </w:r>
      <w:r w:rsidR="00C14543" w:rsidRPr="00DF02C5">
        <w:rPr>
          <w:rFonts w:eastAsia="Calibri" w:hAnsi="Times New Roman"/>
          <w:snapToGrid w:val="0"/>
          <w:kern w:val="22"/>
          <w:bdr w:val="none" w:sz="0" w:space="0" w:color="auto"/>
          <w:lang w:val="en-GB"/>
        </w:rPr>
        <w:t xml:space="preserve">they </w:t>
      </w:r>
      <w:r w:rsidR="00EA65E0" w:rsidRPr="00DF02C5">
        <w:rPr>
          <w:rFonts w:eastAsia="Calibri" w:hAnsi="Times New Roman"/>
          <w:snapToGrid w:val="0"/>
          <w:kern w:val="22"/>
          <w:bdr w:val="none" w:sz="0" w:space="0" w:color="auto"/>
          <w:lang w:val="en-GB"/>
        </w:rPr>
        <w:t>are planning to address this issue</w:t>
      </w:r>
      <w:r w:rsidR="00C14543" w:rsidRPr="00DF02C5">
        <w:rPr>
          <w:rFonts w:eastAsia="Calibri" w:hAnsi="Times New Roman"/>
          <w:snapToGrid w:val="0"/>
          <w:kern w:val="22"/>
          <w:bdr w:val="none" w:sz="0" w:space="0" w:color="auto"/>
          <w:lang w:val="en-GB"/>
        </w:rPr>
        <w:t>.</w:t>
      </w:r>
      <w:r w:rsidR="009A1EF2" w:rsidRPr="00DF02C5">
        <w:rPr>
          <w:rFonts w:eastAsia="Calibri" w:hAnsi="Times New Roman"/>
          <w:snapToGrid w:val="0"/>
          <w:kern w:val="22"/>
          <w:bdr w:val="none" w:sz="0" w:space="0" w:color="auto"/>
          <w:lang w:val="en-GB"/>
        </w:rPr>
        <w:t xml:space="preserve"> </w:t>
      </w:r>
      <w:r w:rsidR="00C14543" w:rsidRPr="00DF02C5">
        <w:rPr>
          <w:rFonts w:eastAsia="Calibri" w:hAnsi="Times New Roman"/>
          <w:snapToGrid w:val="0"/>
          <w:kern w:val="22"/>
          <w:bdr w:val="none" w:sz="0" w:space="0" w:color="auto"/>
          <w:lang w:val="en-GB"/>
        </w:rPr>
        <w:t>O</w:t>
      </w:r>
      <w:r w:rsidR="009A1EF2" w:rsidRPr="00DF02C5">
        <w:rPr>
          <w:rFonts w:eastAsia="Calibri" w:hAnsi="Times New Roman"/>
          <w:snapToGrid w:val="0"/>
          <w:kern w:val="22"/>
          <w:bdr w:val="none" w:sz="0" w:space="0" w:color="auto"/>
          <w:lang w:val="en-GB"/>
        </w:rPr>
        <w:t>ne countr</w:t>
      </w:r>
      <w:r w:rsidR="00A91EAA">
        <w:rPr>
          <w:rFonts w:eastAsia="Calibri" w:hAnsi="Times New Roman"/>
          <w:snapToGrid w:val="0"/>
          <w:kern w:val="22"/>
          <w:bdr w:val="none" w:sz="0" w:space="0" w:color="auto"/>
          <w:lang w:val="en-GB"/>
        </w:rPr>
        <w:t>y</w:t>
      </w:r>
      <w:r w:rsidR="00EA65E0" w:rsidRPr="00DF02C5">
        <w:rPr>
          <w:rStyle w:val="FootnoteReference"/>
          <w:rFonts w:eastAsia="Calibri" w:hAnsi="Times New Roman"/>
          <w:snapToGrid w:val="0"/>
          <w:kern w:val="22"/>
          <w:bdr w:val="none" w:sz="0" w:space="0" w:color="auto"/>
          <w:lang w:val="en-GB"/>
        </w:rPr>
        <w:footnoteReference w:id="98"/>
      </w:r>
      <w:r w:rsidRPr="00DF02C5">
        <w:rPr>
          <w:rFonts w:eastAsia="Calibri" w:hAnsi="Times New Roman"/>
          <w:snapToGrid w:val="0"/>
          <w:kern w:val="22"/>
          <w:bdr w:val="none" w:sz="0" w:space="0" w:color="auto"/>
          <w:lang w:val="en-GB"/>
        </w:rPr>
        <w:t xml:space="preserve"> reported having</w:t>
      </w:r>
      <w:r w:rsidR="00EA65E0" w:rsidRPr="00DF02C5">
        <w:rPr>
          <w:rFonts w:eastAsia="Calibri" w:hAnsi="Times New Roman"/>
          <w:snapToGrid w:val="0"/>
          <w:kern w:val="22"/>
          <w:bdr w:val="none" w:sz="0" w:space="0" w:color="auto"/>
          <w:lang w:val="en-GB"/>
        </w:rPr>
        <w:t xml:space="preserve"> a system in place </w:t>
      </w:r>
      <w:r w:rsidRPr="00DF02C5">
        <w:rPr>
          <w:rFonts w:eastAsia="Calibri" w:hAnsi="Times New Roman"/>
          <w:snapToGrid w:val="0"/>
          <w:kern w:val="22"/>
          <w:bdr w:val="none" w:sz="0" w:space="0" w:color="auto"/>
          <w:lang w:val="en-GB"/>
        </w:rPr>
        <w:t>that issues authorisations for access</w:t>
      </w:r>
      <w:r w:rsidR="009A1EF2" w:rsidRPr="00DF02C5">
        <w:rPr>
          <w:rFonts w:eastAsia="Calibri" w:hAnsi="Times New Roman"/>
          <w:snapToGrid w:val="0"/>
          <w:kern w:val="22"/>
          <w:bdr w:val="none" w:sz="0" w:space="0" w:color="auto"/>
          <w:lang w:val="en-GB"/>
        </w:rPr>
        <w:t>,</w:t>
      </w:r>
      <w:r w:rsidR="00EA65E0" w:rsidRPr="00DF02C5">
        <w:rPr>
          <w:rFonts w:eastAsia="Calibri" w:hAnsi="Times New Roman"/>
          <w:snapToGrid w:val="0"/>
          <w:kern w:val="22"/>
          <w:bdr w:val="none" w:sz="0" w:space="0" w:color="auto"/>
          <w:lang w:val="en-GB"/>
        </w:rPr>
        <w:t xml:space="preserve"> and </w:t>
      </w:r>
      <w:r w:rsidR="009A1EF2" w:rsidRPr="00DF02C5">
        <w:rPr>
          <w:rFonts w:eastAsia="Calibri" w:hAnsi="Times New Roman"/>
          <w:snapToGrid w:val="0"/>
          <w:kern w:val="22"/>
          <w:bdr w:val="none" w:sz="0" w:space="0" w:color="auto"/>
          <w:lang w:val="en-GB"/>
        </w:rPr>
        <w:t>an</w:t>
      </w:r>
      <w:r w:rsidR="00EA65E0" w:rsidRPr="00DF02C5">
        <w:rPr>
          <w:rFonts w:eastAsia="Calibri" w:hAnsi="Times New Roman"/>
          <w:snapToGrid w:val="0"/>
          <w:kern w:val="22"/>
          <w:bdr w:val="none" w:sz="0" w:space="0" w:color="auto"/>
          <w:lang w:val="en-GB"/>
        </w:rPr>
        <w:t>other</w:t>
      </w:r>
      <w:r w:rsidR="00EA65E0" w:rsidRPr="00DF02C5">
        <w:rPr>
          <w:rStyle w:val="FootnoteReference"/>
          <w:rFonts w:eastAsia="Calibri" w:hAnsi="Times New Roman"/>
          <w:snapToGrid w:val="0"/>
          <w:kern w:val="22"/>
          <w:bdr w:val="none" w:sz="0" w:space="0" w:color="auto"/>
          <w:lang w:val="en-GB"/>
        </w:rPr>
        <w:footnoteReference w:id="99"/>
      </w:r>
      <w:r w:rsidR="00EA65E0" w:rsidRPr="00DF02C5">
        <w:rPr>
          <w:rFonts w:eastAsia="Calibri" w:hAnsi="Times New Roman"/>
          <w:snapToGrid w:val="0"/>
          <w:kern w:val="22"/>
          <w:bdr w:val="none" w:sz="0" w:space="0" w:color="auto"/>
          <w:lang w:val="en-GB"/>
        </w:rPr>
        <w:t xml:space="preserve"> </w:t>
      </w:r>
      <w:r w:rsidRPr="00DF02C5">
        <w:rPr>
          <w:rFonts w:eastAsia="Calibri" w:hAnsi="Times New Roman"/>
          <w:snapToGrid w:val="0"/>
          <w:kern w:val="22"/>
          <w:bdr w:val="none" w:sz="0" w:space="0" w:color="auto"/>
          <w:lang w:val="en-GB"/>
        </w:rPr>
        <w:t>indicated that</w:t>
      </w:r>
      <w:r w:rsidR="00EA65E0" w:rsidRPr="00DF02C5">
        <w:rPr>
          <w:rFonts w:eastAsia="Calibri" w:hAnsi="Times New Roman"/>
          <w:snapToGrid w:val="0"/>
          <w:kern w:val="22"/>
          <w:bdr w:val="none" w:sz="0" w:space="0" w:color="auto"/>
          <w:lang w:val="en-GB"/>
        </w:rPr>
        <w:t xml:space="preserve"> </w:t>
      </w:r>
      <w:r w:rsidR="00C14543" w:rsidRPr="00DF02C5">
        <w:rPr>
          <w:rFonts w:eastAsia="Calibri" w:hAnsi="Times New Roman"/>
          <w:snapToGrid w:val="0"/>
          <w:kern w:val="22"/>
          <w:bdr w:val="none" w:sz="0" w:space="0" w:color="auto"/>
          <w:lang w:val="en-GB"/>
        </w:rPr>
        <w:t xml:space="preserve">access </w:t>
      </w:r>
      <w:r w:rsidRPr="00DF02C5">
        <w:rPr>
          <w:rFonts w:eastAsia="Calibri" w:hAnsi="Times New Roman"/>
          <w:snapToGrid w:val="0"/>
          <w:kern w:val="22"/>
          <w:bdr w:val="none" w:sz="0" w:space="0" w:color="auto"/>
          <w:lang w:val="en-GB"/>
        </w:rPr>
        <w:t xml:space="preserve">was </w:t>
      </w:r>
      <w:r w:rsidR="00C14543" w:rsidRPr="00DF02C5">
        <w:rPr>
          <w:rFonts w:eastAsia="Calibri" w:hAnsi="Times New Roman"/>
          <w:snapToGrid w:val="0"/>
          <w:kern w:val="22"/>
          <w:bdr w:val="none" w:sz="0" w:space="0" w:color="auto"/>
          <w:lang w:val="en-GB"/>
        </w:rPr>
        <w:t xml:space="preserve">granted on a </w:t>
      </w:r>
      <w:r w:rsidR="00EA65E0" w:rsidRPr="00DF02C5">
        <w:rPr>
          <w:rFonts w:eastAsia="Calibri" w:hAnsi="Times New Roman"/>
          <w:snapToGrid w:val="0"/>
          <w:kern w:val="22"/>
          <w:bdr w:val="none" w:sz="0" w:space="0" w:color="auto"/>
          <w:lang w:val="en-GB"/>
        </w:rPr>
        <w:t>case</w:t>
      </w:r>
      <w:r w:rsidR="00C14543" w:rsidRPr="00DF02C5">
        <w:rPr>
          <w:rFonts w:eastAsia="Calibri" w:hAnsi="Times New Roman"/>
          <w:snapToGrid w:val="0"/>
          <w:kern w:val="22"/>
          <w:bdr w:val="none" w:sz="0" w:space="0" w:color="auto"/>
          <w:lang w:val="en-GB"/>
        </w:rPr>
        <w:t>-</w:t>
      </w:r>
      <w:r w:rsidR="00EA65E0" w:rsidRPr="00DF02C5">
        <w:rPr>
          <w:rFonts w:eastAsia="Calibri" w:hAnsi="Times New Roman"/>
          <w:snapToGrid w:val="0"/>
          <w:kern w:val="22"/>
          <w:bdr w:val="none" w:sz="0" w:space="0" w:color="auto"/>
          <w:lang w:val="en-GB"/>
        </w:rPr>
        <w:t>by</w:t>
      </w:r>
      <w:r w:rsidR="00C14543" w:rsidRPr="00DF02C5">
        <w:rPr>
          <w:rFonts w:eastAsia="Calibri" w:hAnsi="Times New Roman"/>
          <w:snapToGrid w:val="0"/>
          <w:kern w:val="22"/>
          <w:bdr w:val="none" w:sz="0" w:space="0" w:color="auto"/>
          <w:lang w:val="en-GB"/>
        </w:rPr>
        <w:t>-</w:t>
      </w:r>
      <w:r w:rsidR="00EA65E0" w:rsidRPr="00DF02C5">
        <w:rPr>
          <w:rFonts w:eastAsia="Calibri" w:hAnsi="Times New Roman"/>
          <w:snapToGrid w:val="0"/>
          <w:kern w:val="22"/>
          <w:bdr w:val="none" w:sz="0" w:space="0" w:color="auto"/>
          <w:lang w:val="en-GB"/>
        </w:rPr>
        <w:t>case</w:t>
      </w:r>
      <w:r w:rsidR="00C14543" w:rsidRPr="00DF02C5">
        <w:rPr>
          <w:rFonts w:eastAsia="Calibri" w:hAnsi="Times New Roman"/>
          <w:snapToGrid w:val="0"/>
          <w:kern w:val="22"/>
          <w:bdr w:val="none" w:sz="0" w:space="0" w:color="auto"/>
          <w:lang w:val="en-GB"/>
        </w:rPr>
        <w:t xml:space="preserve"> basis</w:t>
      </w:r>
      <w:r w:rsidR="00EA65E0" w:rsidRPr="00DF02C5">
        <w:rPr>
          <w:rFonts w:eastAsia="Calibri" w:hAnsi="Times New Roman"/>
          <w:snapToGrid w:val="0"/>
          <w:kern w:val="22"/>
          <w:bdr w:val="none" w:sz="0" w:space="0" w:color="auto"/>
          <w:lang w:val="en-GB"/>
        </w:rPr>
        <w:t>.</w:t>
      </w:r>
    </w:p>
    <w:p w14:paraId="48100D3B" w14:textId="61D54544" w:rsidR="00EA65E0" w:rsidRPr="00A91EAA" w:rsidRDefault="000A5E04" w:rsidP="00A91EAA">
      <w:pPr>
        <w:pStyle w:val="Para1"/>
        <w:numPr>
          <w:ilvl w:val="0"/>
          <w:numId w:val="86"/>
        </w:numPr>
        <w:spacing w:before="240" w:line="228" w:lineRule="auto"/>
        <w:rPr>
          <w:rFonts w:eastAsia="Calibri" w:hAnsi="Times New Roman"/>
          <w:i/>
          <w:snapToGrid w:val="0"/>
          <w:kern w:val="22"/>
          <w:bdr w:val="none" w:sz="0" w:space="0" w:color="auto"/>
          <w:lang w:val="en-GB"/>
        </w:rPr>
      </w:pPr>
      <w:r w:rsidRPr="00A91EAA">
        <w:rPr>
          <w:rFonts w:eastAsia="Calibri" w:hAnsi="Times New Roman"/>
          <w:i/>
          <w:snapToGrid w:val="0"/>
          <w:kern w:val="22"/>
          <w:bdr w:val="none" w:sz="0" w:space="0" w:color="auto"/>
          <w:lang w:val="en-GB"/>
        </w:rPr>
        <w:t xml:space="preserve">Does your country provide for </w:t>
      </w:r>
      <w:r w:rsidRPr="00A91EAA">
        <w:rPr>
          <w:rFonts w:eastAsia="Calibri" w:hAnsi="Times New Roman" w:cs="Arial Unicode MS"/>
          <w:i/>
          <w:snapToGrid w:val="0"/>
          <w:kern w:val="22"/>
          <w:bdr w:val="none" w:sz="0" w:space="0" w:color="auto"/>
          <w:lang w:val="en-GB"/>
        </w:rPr>
        <w:t>the issuance at the time of access of a permit or its equivalent as provided in Article 6.3 (e)?</w:t>
      </w:r>
      <w:r w:rsidR="00EA65E0" w:rsidRPr="00A91EAA">
        <w:rPr>
          <w:rFonts w:eastAsia="Calibri" w:hAnsi="Times New Roman"/>
          <w:i/>
          <w:snapToGrid w:val="0"/>
          <w:kern w:val="22"/>
          <w:bdr w:val="none" w:sz="0" w:space="0" w:color="auto"/>
          <w:lang w:val="en-GB"/>
        </w:rPr>
        <w:t xml:space="preserve"> (question 15)</w:t>
      </w:r>
    </w:p>
    <w:p w14:paraId="2DCAEC18" w14:textId="5CD779BD" w:rsidR="000A5E04" w:rsidRPr="00DF02C5" w:rsidRDefault="000A5E04" w:rsidP="000A5E04">
      <w:pPr>
        <w:pStyle w:val="Para1"/>
        <w:numPr>
          <w:ilvl w:val="0"/>
          <w:numId w:val="1"/>
        </w:numPr>
        <w:rPr>
          <w:rFonts w:eastAsia="Calibri" w:hAnsi="Times New Roman"/>
          <w:snapToGrid w:val="0"/>
          <w:kern w:val="22"/>
          <w:bdr w:val="none" w:sz="0" w:space="0" w:color="auto"/>
          <w:lang w:val="en-GB"/>
        </w:rPr>
      </w:pPr>
      <w:proofErr w:type="gramStart"/>
      <w:r w:rsidRPr="00DF02C5">
        <w:rPr>
          <w:rFonts w:eastAsia="Calibri" w:hAnsi="Times New Roman"/>
          <w:snapToGrid w:val="0"/>
          <w:kern w:val="22"/>
          <w:bdr w:val="none" w:sz="0" w:space="0" w:color="auto"/>
          <w:lang w:val="en-GB"/>
        </w:rPr>
        <w:t>Thirty-seven</w:t>
      </w:r>
      <w:proofErr w:type="gramEnd"/>
      <w:r w:rsidRPr="00DF02C5">
        <w:rPr>
          <w:rFonts w:eastAsia="Calibri" w:hAnsi="Times New Roman"/>
          <w:snapToGrid w:val="0"/>
          <w:kern w:val="22"/>
          <w:bdr w:val="none" w:sz="0" w:space="0" w:color="auto"/>
          <w:lang w:val="en-GB"/>
        </w:rPr>
        <w:t xml:space="preserve"> Parties and two non-Parties responded that access to genetic resources was subject to PIC and responded to this question. Thirty</w:t>
      </w:r>
      <w:r w:rsidR="0048364C" w:rsidRPr="00DF02C5">
        <w:rPr>
          <w:rFonts w:eastAsia="Calibri" w:hAnsi="Times New Roman"/>
          <w:snapToGrid w:val="0"/>
          <w:kern w:val="22"/>
          <w:bdr w:val="none" w:sz="0" w:space="0" w:color="auto"/>
          <w:lang w:val="en-GB"/>
        </w:rPr>
        <w:t>-two</w:t>
      </w:r>
      <w:r w:rsidRPr="00DF02C5">
        <w:rPr>
          <w:rFonts w:eastAsia="Calibri" w:hAnsi="Times New Roman"/>
          <w:snapToGrid w:val="0"/>
          <w:kern w:val="22"/>
          <w:bdr w:val="none" w:sz="0" w:space="0" w:color="auto"/>
          <w:lang w:val="en-GB"/>
        </w:rPr>
        <w:t xml:space="preserve"> Parties and two non-Parties responded that they </w:t>
      </w:r>
      <w:r w:rsidRPr="00DF02C5">
        <w:rPr>
          <w:lang w:val="en-GB"/>
        </w:rPr>
        <w:t xml:space="preserve">provide </w:t>
      </w:r>
      <w:r w:rsidRPr="00DF02C5">
        <w:rPr>
          <w:rFonts w:eastAsia="Calibri" w:hAnsi="Times New Roman"/>
          <w:snapToGrid w:val="0"/>
          <w:kern w:val="22"/>
          <w:bdr w:val="none" w:sz="0" w:space="0" w:color="auto"/>
          <w:lang w:val="en-GB"/>
        </w:rPr>
        <w:t xml:space="preserve">for </w:t>
      </w:r>
      <w:r w:rsidRPr="00DF02C5">
        <w:rPr>
          <w:rFonts w:eastAsia="Calibri" w:hAnsi="Times New Roman" w:cs="Arial Unicode MS"/>
          <w:snapToGrid w:val="0"/>
          <w:kern w:val="22"/>
          <w:bdr w:val="none" w:sz="0" w:space="0" w:color="auto"/>
          <w:lang w:val="en-GB"/>
        </w:rPr>
        <w:t>the issuance at the time of access of a permit or its equivalent</w:t>
      </w:r>
      <w:r w:rsidRPr="00DF02C5">
        <w:rPr>
          <w:rFonts w:eastAsia="Calibri" w:hAnsi="Times New Roman"/>
          <w:snapToGrid w:val="0"/>
          <w:kern w:val="22"/>
          <w:bdr w:val="none" w:sz="0" w:space="0" w:color="auto"/>
          <w:lang w:val="en-GB"/>
        </w:rPr>
        <w:t xml:space="preserve"> while </w:t>
      </w:r>
      <w:r w:rsidR="0048364C" w:rsidRPr="00DF02C5">
        <w:rPr>
          <w:rFonts w:eastAsia="Calibri" w:hAnsi="Times New Roman"/>
          <w:snapToGrid w:val="0"/>
          <w:kern w:val="22"/>
          <w:bdr w:val="none" w:sz="0" w:space="0" w:color="auto"/>
          <w:lang w:val="en-GB"/>
        </w:rPr>
        <w:t xml:space="preserve">five </w:t>
      </w:r>
      <w:r w:rsidRPr="00DF02C5">
        <w:rPr>
          <w:rFonts w:eastAsia="Calibri" w:hAnsi="Times New Roman"/>
          <w:snapToGrid w:val="0"/>
          <w:kern w:val="22"/>
          <w:bdr w:val="none" w:sz="0" w:space="0" w:color="auto"/>
          <w:lang w:val="en-GB"/>
        </w:rPr>
        <w:t>Parties indicated that they do not provide for such permit.</w:t>
      </w:r>
    </w:p>
    <w:p w14:paraId="5CD01096" w14:textId="612F8158" w:rsidR="000A5E04" w:rsidRPr="00DF02C5" w:rsidRDefault="007D5F65" w:rsidP="00E5256F">
      <w:pPr>
        <w:pStyle w:val="Caption"/>
        <w:keepNext/>
        <w:keepLines/>
        <w:rPr>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00E5256F" w:rsidRPr="00DF02C5">
        <w:rPr>
          <w:noProof/>
          <w:lang w:val="en-GB"/>
        </w:rPr>
        <w:t>10</w:t>
      </w:r>
      <w:r w:rsidRPr="00DF02C5">
        <w:rPr>
          <w:lang w:val="en-GB"/>
        </w:rPr>
        <w:fldChar w:fldCharType="end"/>
      </w:r>
      <w:r w:rsidR="000A5E04" w:rsidRPr="00DF02C5">
        <w:rPr>
          <w:lang w:val="en-GB"/>
        </w:rPr>
        <w:t>: Provision for the issuance of a permit or its equivalent at the time of access (percentage by countries)</w:t>
      </w:r>
    </w:p>
    <w:p w14:paraId="06AE6982" w14:textId="0D7AEA31" w:rsidR="0048364C" w:rsidRPr="00DF02C5" w:rsidRDefault="00E53A27" w:rsidP="00177478">
      <w:pPr>
        <w:pStyle w:val="Para1"/>
        <w:jc w:val="center"/>
        <w:rPr>
          <w:rFonts w:eastAsia="Calibri" w:hAnsi="Times New Roman"/>
          <w:snapToGrid w:val="0"/>
          <w:kern w:val="22"/>
          <w:bdr w:val="none" w:sz="0" w:space="0" w:color="auto"/>
          <w:lang w:val="en-GB"/>
        </w:rPr>
      </w:pPr>
      <w:r w:rsidRPr="00DF02C5">
        <w:rPr>
          <w:noProof/>
        </w:rPr>
        <w:drawing>
          <wp:inline distT="0" distB="0" distL="0" distR="0" wp14:anchorId="72C04A28" wp14:editId="0B0550F7">
            <wp:extent cx="3390900" cy="2034540"/>
            <wp:effectExtent l="0" t="0" r="0" b="3810"/>
            <wp:docPr id="8" name="Picture 8" descr="cid:image010.png@01D3CFF1.6B23C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6" descr="cid:image010.png@01D3CFF1.6B23C29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390900" cy="2034540"/>
                    </a:xfrm>
                    <a:prstGeom prst="rect">
                      <a:avLst/>
                    </a:prstGeom>
                    <a:noFill/>
                    <a:ln>
                      <a:noFill/>
                    </a:ln>
                  </pic:spPr>
                </pic:pic>
              </a:graphicData>
            </a:graphic>
          </wp:inline>
        </w:drawing>
      </w:r>
    </w:p>
    <w:p w14:paraId="6CF09B1B" w14:textId="7A844108" w:rsidR="000A5E04" w:rsidRPr="00DF02C5" w:rsidRDefault="000A5E04" w:rsidP="000A5E04">
      <w:pPr>
        <w:pStyle w:val="Para1"/>
        <w:rPr>
          <w:rFonts w:eastAsia="Calibri" w:hAnsi="Times New Roman"/>
          <w:i/>
          <w:snapToGrid w:val="0"/>
          <w:kern w:val="22"/>
          <w:highlight w:val="yellow"/>
          <w:bdr w:val="none" w:sz="0" w:space="0" w:color="auto"/>
          <w:lang w:val="en-GB"/>
        </w:rPr>
      </w:pPr>
      <w:r w:rsidRPr="00DF02C5">
        <w:rPr>
          <w:rFonts w:eastAsia="Calibri" w:hAnsi="Times New Roman"/>
          <w:i/>
          <w:snapToGrid w:val="0"/>
          <w:kern w:val="22"/>
          <w:bdr w:val="none" w:sz="0" w:space="0" w:color="auto"/>
          <w:lang w:val="en-GB"/>
        </w:rPr>
        <w:t>(a)</w:t>
      </w:r>
      <w:r w:rsidRPr="00DF02C5">
        <w:rPr>
          <w:rFonts w:eastAsia="Calibri" w:hAnsi="Times New Roman"/>
          <w:i/>
          <w:snapToGrid w:val="0"/>
          <w:kern w:val="22"/>
          <w:bdr w:val="none" w:sz="0" w:space="0" w:color="auto"/>
          <w:lang w:val="en-GB"/>
        </w:rPr>
        <w:tab/>
        <w:t>Countries that answered “yes”</w:t>
      </w:r>
    </w:p>
    <w:p w14:paraId="1BF3C451" w14:textId="7388DAC3" w:rsidR="00EA65E0" w:rsidRPr="00DF02C5" w:rsidRDefault="00BD60A0" w:rsidP="00393914">
      <w:pPr>
        <w:pStyle w:val="Para1"/>
        <w:numPr>
          <w:ilvl w:val="0"/>
          <w:numId w:val="1"/>
        </w:numPr>
        <w:rPr>
          <w:rFonts w:eastAsia="Calibri" w:hAnsi="Times New Roman" w:cs="Arial Unicode MS"/>
          <w:snapToGrid w:val="0"/>
          <w:color w:val="FF0000"/>
          <w:kern w:val="22"/>
          <w:bdr w:val="none" w:sz="0" w:space="0" w:color="auto"/>
          <w:lang w:val="en-GB"/>
        </w:rPr>
      </w:pPr>
      <w:r w:rsidRPr="00DF02C5">
        <w:rPr>
          <w:rFonts w:eastAsia="Calibri" w:hAnsi="Times New Roman"/>
          <w:snapToGrid w:val="0"/>
          <w:kern w:val="22"/>
          <w:bdr w:val="none" w:sz="0" w:space="0" w:color="auto"/>
          <w:lang w:val="en-GB"/>
        </w:rPr>
        <w:t>S</w:t>
      </w:r>
      <w:r w:rsidR="00EA65E0" w:rsidRPr="00DF02C5">
        <w:rPr>
          <w:rFonts w:eastAsia="Calibri" w:hAnsi="Times New Roman"/>
          <w:snapToGrid w:val="0"/>
          <w:kern w:val="22"/>
          <w:bdr w:val="none" w:sz="0" w:space="0" w:color="auto"/>
          <w:lang w:val="en-GB"/>
        </w:rPr>
        <w:t>ome countries made specific reference to the relevant ABS measures dealing with this aspect</w:t>
      </w:r>
      <w:r w:rsidR="00EA65E0" w:rsidRPr="00DF02C5">
        <w:rPr>
          <w:rStyle w:val="FootnoteReference"/>
          <w:rFonts w:eastAsia="Calibri" w:hAnsi="Times New Roman"/>
          <w:snapToGrid w:val="0"/>
          <w:kern w:val="22"/>
          <w:bdr w:val="none" w:sz="0" w:space="0" w:color="auto"/>
          <w:lang w:val="en-GB"/>
        </w:rPr>
        <w:footnoteReference w:id="100"/>
      </w:r>
      <w:r w:rsidR="00EA65E0" w:rsidRPr="00DF02C5">
        <w:rPr>
          <w:rFonts w:eastAsia="Calibri" w:hAnsi="Times New Roman"/>
          <w:snapToGrid w:val="0"/>
          <w:kern w:val="22"/>
          <w:bdr w:val="none" w:sz="0" w:space="0" w:color="auto"/>
          <w:lang w:val="en-GB"/>
        </w:rPr>
        <w:t xml:space="preserve"> and/or draft</w:t>
      </w:r>
      <w:r w:rsidR="00E34C27" w:rsidRPr="00DF02C5">
        <w:rPr>
          <w:rFonts w:eastAsia="Calibri" w:hAnsi="Times New Roman"/>
          <w:snapToGrid w:val="0"/>
          <w:kern w:val="22"/>
          <w:bdr w:val="none" w:sz="0" w:space="0" w:color="auto"/>
          <w:lang w:val="en-GB"/>
        </w:rPr>
        <w:t>s</w:t>
      </w:r>
      <w:r w:rsidR="00EA65E0" w:rsidRPr="00DF02C5">
        <w:rPr>
          <w:rFonts w:eastAsia="Calibri" w:hAnsi="Times New Roman"/>
          <w:snapToGrid w:val="0"/>
          <w:kern w:val="22"/>
          <w:bdr w:val="none" w:sz="0" w:space="0" w:color="auto"/>
          <w:lang w:val="en-GB"/>
        </w:rPr>
        <w:t xml:space="preserve"> underway</w:t>
      </w:r>
      <w:r w:rsidR="00A91EAA">
        <w:rPr>
          <w:rFonts w:eastAsia="Calibri" w:hAnsi="Times New Roman"/>
          <w:snapToGrid w:val="0"/>
          <w:kern w:val="22"/>
          <w:bdr w:val="none" w:sz="0" w:space="0" w:color="auto"/>
          <w:lang w:val="en-GB"/>
        </w:rPr>
        <w:t>.</w:t>
      </w:r>
      <w:r w:rsidR="00EA65E0" w:rsidRPr="00DF02C5">
        <w:rPr>
          <w:rStyle w:val="FootnoteReference"/>
          <w:rFonts w:eastAsia="Calibri" w:hAnsi="Times New Roman"/>
          <w:snapToGrid w:val="0"/>
          <w:kern w:val="22"/>
          <w:bdr w:val="none" w:sz="0" w:space="0" w:color="auto"/>
          <w:lang w:val="en-GB"/>
        </w:rPr>
        <w:footnoteReference w:id="101"/>
      </w:r>
    </w:p>
    <w:p w14:paraId="71BF0CB2" w14:textId="06ACA7E0" w:rsidR="00EA65E0" w:rsidRPr="00DF02C5" w:rsidRDefault="00EA65E0" w:rsidP="00393914">
      <w:pPr>
        <w:pStyle w:val="Para1"/>
        <w:numPr>
          <w:ilvl w:val="0"/>
          <w:numId w:val="1"/>
        </w:numPr>
        <w:rPr>
          <w:rFonts w:eastAsia="Calibri" w:hAnsi="Times New Roman" w:cs="Arial Unicode MS"/>
          <w:snapToGrid w:val="0"/>
          <w:color w:val="auto"/>
          <w:kern w:val="22"/>
          <w:bdr w:val="none" w:sz="0" w:space="0" w:color="auto"/>
          <w:lang w:val="en-GB"/>
        </w:rPr>
      </w:pPr>
      <w:r w:rsidRPr="00DF02C5">
        <w:rPr>
          <w:rFonts w:eastAsia="Calibri" w:hAnsi="Times New Roman" w:cs="Arial Unicode MS"/>
          <w:snapToGrid w:val="0"/>
          <w:color w:val="auto"/>
          <w:kern w:val="22"/>
          <w:bdr w:val="none" w:sz="0" w:space="0" w:color="auto"/>
          <w:lang w:val="en-GB"/>
        </w:rPr>
        <w:t>Countries</w:t>
      </w:r>
      <w:r w:rsidR="000248DE" w:rsidRPr="00DF02C5">
        <w:rPr>
          <w:rFonts w:eastAsia="Calibri" w:hAnsi="Times New Roman" w:cs="Arial Unicode MS"/>
          <w:snapToGrid w:val="0"/>
          <w:color w:val="auto"/>
          <w:kern w:val="22"/>
          <w:bdr w:val="none" w:sz="0" w:space="0" w:color="auto"/>
          <w:lang w:val="en-GB"/>
        </w:rPr>
        <w:t xml:space="preserve"> seem to</w:t>
      </w:r>
      <w:r w:rsidRPr="00DF02C5">
        <w:rPr>
          <w:rFonts w:eastAsia="Calibri" w:hAnsi="Times New Roman" w:cs="Arial Unicode MS"/>
          <w:snapToGrid w:val="0"/>
          <w:color w:val="auto"/>
          <w:kern w:val="22"/>
          <w:bdr w:val="none" w:sz="0" w:space="0" w:color="auto"/>
          <w:lang w:val="en-GB"/>
        </w:rPr>
        <w:t xml:space="preserve"> use different approaches and terminology to explain what </w:t>
      </w:r>
      <w:r w:rsidR="000248DE" w:rsidRPr="00DF02C5">
        <w:rPr>
          <w:rFonts w:eastAsia="Calibri" w:hAnsi="Times New Roman" w:cs="Arial Unicode MS"/>
          <w:snapToGrid w:val="0"/>
          <w:color w:val="auto"/>
          <w:kern w:val="22"/>
          <w:bdr w:val="none" w:sz="0" w:space="0" w:color="auto"/>
          <w:lang w:val="en-GB"/>
        </w:rPr>
        <w:t xml:space="preserve">“the permit or its equivalent </w:t>
      </w:r>
      <w:r w:rsidRPr="00DF02C5">
        <w:rPr>
          <w:rFonts w:eastAsia="Calibri" w:hAnsi="Times New Roman" w:cs="Arial Unicode MS"/>
          <w:snapToGrid w:val="0"/>
          <w:color w:val="auto"/>
          <w:kern w:val="22"/>
          <w:bdr w:val="none" w:sz="0" w:space="0" w:color="auto"/>
          <w:lang w:val="en-GB"/>
        </w:rPr>
        <w:t>issued at the time of access</w:t>
      </w:r>
      <w:r w:rsidR="000248DE" w:rsidRPr="00DF02C5">
        <w:rPr>
          <w:rFonts w:eastAsia="Calibri" w:hAnsi="Times New Roman" w:cs="Arial Unicode MS"/>
          <w:snapToGrid w:val="0"/>
          <w:color w:val="auto"/>
          <w:kern w:val="22"/>
          <w:bdr w:val="none" w:sz="0" w:space="0" w:color="auto"/>
          <w:lang w:val="en-GB"/>
        </w:rPr>
        <w:t>”</w:t>
      </w:r>
      <w:r w:rsidRPr="00DF02C5">
        <w:rPr>
          <w:rFonts w:eastAsia="Calibri" w:hAnsi="Times New Roman" w:cs="Arial Unicode MS"/>
          <w:snapToGrid w:val="0"/>
          <w:color w:val="auto"/>
          <w:kern w:val="22"/>
          <w:bdr w:val="none" w:sz="0" w:space="0" w:color="auto"/>
          <w:lang w:val="en-GB"/>
        </w:rPr>
        <w:t xml:space="preserve"> is in their national context.</w:t>
      </w:r>
      <w:r w:rsidRPr="00DF02C5">
        <w:rPr>
          <w:color w:val="auto"/>
          <w:lang w:val="en-GB"/>
        </w:rPr>
        <w:t xml:space="preserve"> For example, India indicated that </w:t>
      </w:r>
      <w:r w:rsidRPr="00DF02C5">
        <w:rPr>
          <w:rFonts w:eastAsia="Calibri" w:hAnsi="Times New Roman" w:cs="Arial Unicode MS"/>
          <w:snapToGrid w:val="0"/>
          <w:color w:val="auto"/>
          <w:kern w:val="22"/>
          <w:bdr w:val="none" w:sz="0" w:space="0" w:color="auto"/>
          <w:lang w:val="en-GB"/>
        </w:rPr>
        <w:t xml:space="preserve">upon approval of access, </w:t>
      </w:r>
      <w:r w:rsidR="000248DE" w:rsidRPr="00DF02C5">
        <w:rPr>
          <w:rFonts w:eastAsia="Calibri" w:hAnsi="Times New Roman" w:cs="Arial Unicode MS"/>
          <w:snapToGrid w:val="0"/>
          <w:color w:val="auto"/>
          <w:kern w:val="22"/>
          <w:bdr w:val="none" w:sz="0" w:space="0" w:color="auto"/>
          <w:lang w:val="en-GB"/>
        </w:rPr>
        <w:t xml:space="preserve">the country </w:t>
      </w:r>
      <w:r w:rsidRPr="00DF02C5">
        <w:rPr>
          <w:rFonts w:eastAsia="Calibri" w:hAnsi="Times New Roman" w:cs="Arial Unicode MS"/>
          <w:snapToGrid w:val="0"/>
          <w:color w:val="auto"/>
          <w:kern w:val="22"/>
          <w:bdr w:val="none" w:sz="0" w:space="0" w:color="auto"/>
          <w:lang w:val="en-GB"/>
        </w:rPr>
        <w:t>enters into an a</w:t>
      </w:r>
      <w:r w:rsidR="000248DE" w:rsidRPr="00DF02C5">
        <w:rPr>
          <w:rFonts w:eastAsia="Calibri" w:hAnsi="Times New Roman" w:cs="Arial Unicode MS"/>
          <w:snapToGrid w:val="0"/>
          <w:color w:val="auto"/>
          <w:kern w:val="22"/>
          <w:bdr w:val="none" w:sz="0" w:space="0" w:color="auto"/>
          <w:lang w:val="en-GB"/>
        </w:rPr>
        <w:t>greement with the applicant, and that</w:t>
      </w:r>
      <w:r w:rsidRPr="00DF02C5">
        <w:rPr>
          <w:rFonts w:eastAsia="Calibri" w:hAnsi="Times New Roman" w:cs="Arial Unicode MS"/>
          <w:snapToGrid w:val="0"/>
          <w:color w:val="auto"/>
          <w:kern w:val="22"/>
          <w:bdr w:val="none" w:sz="0" w:space="0" w:color="auto"/>
          <w:lang w:val="en-GB"/>
        </w:rPr>
        <w:t xml:space="preserve"> agreement, which is an evidence of PIC and MAT, is equivalent to the permit. Other countries refer</w:t>
      </w:r>
      <w:r w:rsidR="000248DE" w:rsidRPr="00DF02C5">
        <w:rPr>
          <w:rFonts w:eastAsia="Calibri" w:hAnsi="Times New Roman" w:cs="Arial Unicode MS"/>
          <w:snapToGrid w:val="0"/>
          <w:color w:val="auto"/>
          <w:kern w:val="22"/>
          <w:bdr w:val="none" w:sz="0" w:space="0" w:color="auto"/>
          <w:lang w:val="en-GB"/>
        </w:rPr>
        <w:t>red</w:t>
      </w:r>
      <w:r w:rsidRPr="00DF02C5">
        <w:rPr>
          <w:rFonts w:eastAsia="Calibri" w:hAnsi="Times New Roman" w:cs="Arial Unicode MS"/>
          <w:snapToGrid w:val="0"/>
          <w:color w:val="auto"/>
          <w:kern w:val="22"/>
          <w:bdr w:val="none" w:sz="0" w:space="0" w:color="auto"/>
          <w:lang w:val="en-GB"/>
        </w:rPr>
        <w:t xml:space="preserve"> </w:t>
      </w:r>
      <w:r w:rsidR="000248DE" w:rsidRPr="00DF02C5">
        <w:rPr>
          <w:rFonts w:eastAsia="Calibri" w:hAnsi="Times New Roman" w:cs="Arial Unicode MS"/>
          <w:snapToGrid w:val="0"/>
          <w:color w:val="auto"/>
          <w:kern w:val="22"/>
          <w:bdr w:val="none" w:sz="0" w:space="0" w:color="auto"/>
          <w:lang w:val="en-GB"/>
        </w:rPr>
        <w:t xml:space="preserve">in their reports </w:t>
      </w:r>
      <w:r w:rsidRPr="00DF02C5">
        <w:rPr>
          <w:rFonts w:eastAsia="Calibri" w:hAnsi="Times New Roman" w:cs="Arial Unicode MS"/>
          <w:snapToGrid w:val="0"/>
          <w:color w:val="auto"/>
          <w:kern w:val="22"/>
          <w:bdr w:val="none" w:sz="0" w:space="0" w:color="auto"/>
          <w:lang w:val="en-GB"/>
        </w:rPr>
        <w:t xml:space="preserve">to: ABS </w:t>
      </w:r>
      <w:r w:rsidRPr="00DF02C5">
        <w:rPr>
          <w:rFonts w:eastAsia="Calibri" w:hAnsi="Times New Roman" w:cs="Arial Unicode MS"/>
          <w:snapToGrid w:val="0"/>
          <w:color w:val="auto"/>
          <w:kern w:val="22"/>
          <w:bdr w:val="none" w:sz="0" w:space="0" w:color="auto"/>
          <w:lang w:val="en-GB"/>
        </w:rPr>
        <w:lastRenderedPageBreak/>
        <w:t>agreements</w:t>
      </w:r>
      <w:r w:rsidR="00A91EAA">
        <w:rPr>
          <w:rFonts w:eastAsia="Calibri" w:hAnsi="Times New Roman" w:cs="Arial Unicode MS"/>
          <w:snapToGrid w:val="0"/>
          <w:color w:val="auto"/>
          <w:kern w:val="22"/>
          <w:bdr w:val="none" w:sz="0" w:space="0" w:color="auto"/>
          <w:lang w:val="en-GB"/>
        </w:rPr>
        <w:t>;</w:t>
      </w:r>
      <w:r w:rsidRPr="00DF02C5">
        <w:rPr>
          <w:rStyle w:val="FootnoteReference"/>
          <w:rFonts w:eastAsia="Calibri" w:hAnsi="Times New Roman" w:cs="Arial Unicode MS"/>
          <w:snapToGrid w:val="0"/>
          <w:color w:val="auto"/>
          <w:kern w:val="22"/>
          <w:bdr w:val="none" w:sz="0" w:space="0" w:color="auto"/>
          <w:lang w:val="en-GB"/>
        </w:rPr>
        <w:footnoteReference w:id="102"/>
      </w:r>
      <w:r w:rsidRPr="00DF02C5">
        <w:rPr>
          <w:rFonts w:eastAsia="Calibri" w:hAnsi="Times New Roman" w:cs="Arial Unicode MS"/>
          <w:snapToGrid w:val="0"/>
          <w:color w:val="auto"/>
          <w:kern w:val="22"/>
          <w:bdr w:val="none" w:sz="0" w:space="0" w:color="auto"/>
          <w:lang w:val="en-GB"/>
        </w:rPr>
        <w:t xml:space="preserve"> MAT</w:t>
      </w:r>
      <w:r w:rsidR="00A91EAA">
        <w:rPr>
          <w:rFonts w:eastAsia="Calibri" w:hAnsi="Times New Roman" w:cs="Arial Unicode MS"/>
          <w:snapToGrid w:val="0"/>
          <w:color w:val="auto"/>
          <w:kern w:val="22"/>
          <w:bdr w:val="none" w:sz="0" w:space="0" w:color="auto"/>
          <w:lang w:val="en-GB"/>
        </w:rPr>
        <w:t>;</w:t>
      </w:r>
      <w:r w:rsidRPr="00DF02C5">
        <w:rPr>
          <w:rStyle w:val="FootnoteReference"/>
          <w:rFonts w:eastAsia="Calibri" w:hAnsi="Times New Roman" w:cs="Arial Unicode MS"/>
          <w:snapToGrid w:val="0"/>
          <w:color w:val="auto"/>
          <w:kern w:val="22"/>
          <w:bdr w:val="none" w:sz="0" w:space="0" w:color="auto"/>
          <w:lang w:val="en-GB"/>
        </w:rPr>
        <w:footnoteReference w:id="103"/>
      </w:r>
      <w:r w:rsidRPr="00DF02C5">
        <w:rPr>
          <w:rFonts w:eastAsia="Calibri" w:hAnsi="Times New Roman" w:cs="Arial Unicode MS"/>
          <w:snapToGrid w:val="0"/>
          <w:color w:val="auto"/>
          <w:kern w:val="22"/>
          <w:bdr w:val="none" w:sz="0" w:space="0" w:color="auto"/>
          <w:lang w:val="en-GB"/>
        </w:rPr>
        <w:t xml:space="preserve"> material transfer agreements (MTA)</w:t>
      </w:r>
      <w:r w:rsidRPr="00DF02C5">
        <w:rPr>
          <w:rStyle w:val="FootnoteReference"/>
          <w:rFonts w:eastAsia="Calibri" w:hAnsi="Times New Roman" w:cs="Arial Unicode MS"/>
          <w:snapToGrid w:val="0"/>
          <w:color w:val="auto"/>
          <w:kern w:val="22"/>
          <w:bdr w:val="none" w:sz="0" w:space="0" w:color="auto"/>
          <w:lang w:val="en-GB"/>
        </w:rPr>
        <w:footnoteReference w:id="104"/>
      </w:r>
      <w:r w:rsidRPr="00DF02C5">
        <w:rPr>
          <w:rFonts w:eastAsia="Calibri" w:hAnsi="Times New Roman" w:cs="Arial Unicode MS"/>
          <w:snapToGrid w:val="0"/>
          <w:color w:val="auto"/>
          <w:kern w:val="22"/>
          <w:bdr w:val="none" w:sz="0" w:space="0" w:color="auto"/>
          <w:lang w:val="en-GB"/>
        </w:rPr>
        <w:t>; contracts</w:t>
      </w:r>
      <w:r w:rsidRPr="00DF02C5">
        <w:rPr>
          <w:rStyle w:val="FootnoteReference"/>
          <w:rFonts w:eastAsia="Calibri" w:hAnsi="Times New Roman" w:cs="Arial Unicode MS"/>
          <w:snapToGrid w:val="0"/>
          <w:color w:val="auto"/>
          <w:kern w:val="22"/>
          <w:bdr w:val="none" w:sz="0" w:space="0" w:color="auto"/>
          <w:lang w:val="en-GB"/>
        </w:rPr>
        <w:footnoteReference w:id="105"/>
      </w:r>
      <w:r w:rsidRPr="00DF02C5">
        <w:rPr>
          <w:rFonts w:eastAsia="Calibri" w:hAnsi="Times New Roman" w:cs="Arial Unicode MS"/>
          <w:snapToGrid w:val="0"/>
          <w:color w:val="auto"/>
          <w:kern w:val="22"/>
          <w:bdr w:val="none" w:sz="0" w:space="0" w:color="auto"/>
          <w:lang w:val="en-GB"/>
        </w:rPr>
        <w:t>; access permits</w:t>
      </w:r>
      <w:r w:rsidRPr="00DF02C5">
        <w:rPr>
          <w:rStyle w:val="FootnoteReference"/>
          <w:rFonts w:eastAsia="Calibri" w:hAnsi="Times New Roman" w:cs="Arial Unicode MS"/>
          <w:snapToGrid w:val="0"/>
          <w:color w:val="auto"/>
          <w:kern w:val="22"/>
          <w:bdr w:val="none" w:sz="0" w:space="0" w:color="auto"/>
          <w:lang w:val="en-GB"/>
        </w:rPr>
        <w:footnoteReference w:id="106"/>
      </w:r>
      <w:r w:rsidRPr="00DF02C5">
        <w:rPr>
          <w:rFonts w:eastAsia="Calibri" w:hAnsi="Times New Roman" w:cs="Arial Unicode MS"/>
          <w:snapToGrid w:val="0"/>
          <w:color w:val="auto"/>
          <w:kern w:val="22"/>
          <w:bdr w:val="none" w:sz="0" w:space="0" w:color="auto"/>
          <w:lang w:val="en-GB"/>
        </w:rPr>
        <w:t xml:space="preserve">; </w:t>
      </w:r>
      <w:r w:rsidR="000248DE" w:rsidRPr="00DF02C5">
        <w:rPr>
          <w:rFonts w:eastAsia="Calibri" w:hAnsi="Times New Roman" w:cs="Arial Unicode MS"/>
          <w:snapToGrid w:val="0"/>
          <w:color w:val="auto"/>
          <w:kern w:val="22"/>
          <w:bdr w:val="none" w:sz="0" w:space="0" w:color="auto"/>
          <w:lang w:val="en-GB"/>
        </w:rPr>
        <w:t xml:space="preserve">or </w:t>
      </w:r>
      <w:r w:rsidRPr="00DF02C5">
        <w:rPr>
          <w:rFonts w:eastAsia="Calibri" w:hAnsi="Times New Roman" w:cs="Arial Unicode MS"/>
          <w:snapToGrid w:val="0"/>
          <w:color w:val="auto"/>
          <w:kern w:val="22"/>
          <w:bdr w:val="none" w:sz="0" w:space="0" w:color="auto"/>
          <w:lang w:val="en-GB"/>
        </w:rPr>
        <w:t>permit</w:t>
      </w:r>
      <w:r w:rsidR="000248DE" w:rsidRPr="00DF02C5">
        <w:rPr>
          <w:rFonts w:eastAsia="Calibri" w:hAnsi="Times New Roman" w:cs="Arial Unicode MS"/>
          <w:snapToGrid w:val="0"/>
          <w:color w:val="auto"/>
          <w:kern w:val="22"/>
          <w:bdr w:val="none" w:sz="0" w:space="0" w:color="auto"/>
          <w:lang w:val="en-GB"/>
        </w:rPr>
        <w:t>s</w:t>
      </w:r>
      <w:r w:rsidRPr="00DF02C5">
        <w:rPr>
          <w:rFonts w:eastAsia="Calibri" w:hAnsi="Times New Roman" w:cs="Arial Unicode MS"/>
          <w:snapToGrid w:val="0"/>
          <w:color w:val="auto"/>
          <w:kern w:val="22"/>
          <w:bdr w:val="none" w:sz="0" w:space="0" w:color="auto"/>
          <w:lang w:val="en-GB"/>
        </w:rPr>
        <w:t xml:space="preserve"> for access and utilization</w:t>
      </w:r>
      <w:r w:rsidR="00A91EAA">
        <w:rPr>
          <w:rFonts w:eastAsia="Calibri" w:hAnsi="Times New Roman" w:cs="Arial Unicode MS"/>
          <w:snapToGrid w:val="0"/>
          <w:color w:val="auto"/>
          <w:kern w:val="22"/>
          <w:bdr w:val="none" w:sz="0" w:space="0" w:color="auto"/>
          <w:lang w:val="en-GB"/>
        </w:rPr>
        <w:t>,</w:t>
      </w:r>
      <w:r w:rsidRPr="00DF02C5">
        <w:rPr>
          <w:rStyle w:val="FootnoteReference"/>
          <w:rFonts w:eastAsia="Calibri" w:hAnsi="Times New Roman" w:cs="Arial Unicode MS"/>
          <w:snapToGrid w:val="0"/>
          <w:color w:val="auto"/>
          <w:kern w:val="22"/>
          <w:bdr w:val="none" w:sz="0" w:space="0" w:color="auto"/>
          <w:lang w:val="en-GB"/>
        </w:rPr>
        <w:footnoteReference w:id="107"/>
      </w:r>
      <w:r w:rsidR="000248DE" w:rsidRPr="00DF02C5">
        <w:rPr>
          <w:rFonts w:eastAsia="Calibri" w:hAnsi="Times New Roman" w:cs="Arial Unicode MS"/>
          <w:snapToGrid w:val="0"/>
          <w:color w:val="auto"/>
          <w:kern w:val="22"/>
          <w:bdr w:val="none" w:sz="0" w:space="0" w:color="auto"/>
          <w:lang w:val="en-GB"/>
        </w:rPr>
        <w:t xml:space="preserve"> among others.</w:t>
      </w:r>
    </w:p>
    <w:p w14:paraId="49570E7C" w14:textId="07C826D9" w:rsidR="00EA65E0" w:rsidRPr="00DF02C5" w:rsidRDefault="00EA65E0" w:rsidP="00393914">
      <w:pPr>
        <w:pStyle w:val="Para1"/>
        <w:numPr>
          <w:ilvl w:val="0"/>
          <w:numId w:val="1"/>
        </w:numPr>
        <w:rPr>
          <w:rFonts w:eastAsia="Calibri" w:hAnsi="Times New Roman" w:cs="Arial Unicode MS"/>
          <w:snapToGrid w:val="0"/>
          <w:color w:val="auto"/>
          <w:kern w:val="22"/>
          <w:bdr w:val="none" w:sz="0" w:space="0" w:color="auto"/>
          <w:lang w:val="en-GB"/>
        </w:rPr>
      </w:pPr>
      <w:r w:rsidRPr="00DF02C5">
        <w:rPr>
          <w:rFonts w:eastAsia="Calibri" w:hAnsi="Times New Roman" w:cs="Arial Unicode MS"/>
          <w:snapToGrid w:val="0"/>
          <w:color w:val="auto"/>
          <w:kern w:val="22"/>
          <w:bdr w:val="none" w:sz="0" w:space="0" w:color="auto"/>
          <w:lang w:val="en-GB"/>
        </w:rPr>
        <w:t>Sometimes the different terminology also reflec</w:t>
      </w:r>
      <w:r w:rsidR="000248DE" w:rsidRPr="00DF02C5">
        <w:rPr>
          <w:rFonts w:eastAsia="Calibri" w:hAnsi="Times New Roman" w:cs="Arial Unicode MS"/>
          <w:snapToGrid w:val="0"/>
          <w:color w:val="auto"/>
          <w:kern w:val="22"/>
          <w:bdr w:val="none" w:sz="0" w:space="0" w:color="auto"/>
          <w:lang w:val="en-GB"/>
        </w:rPr>
        <w:t>ts the differences in processes. F</w:t>
      </w:r>
      <w:r w:rsidRPr="00DF02C5">
        <w:rPr>
          <w:rFonts w:eastAsia="Calibri" w:hAnsi="Times New Roman" w:cs="Arial Unicode MS"/>
          <w:snapToGrid w:val="0"/>
          <w:color w:val="auto"/>
          <w:kern w:val="22"/>
          <w:bdr w:val="none" w:sz="0" w:space="0" w:color="auto"/>
          <w:lang w:val="en-GB"/>
        </w:rPr>
        <w:t>or example, for some</w:t>
      </w:r>
      <w:r w:rsidR="000248DE" w:rsidRPr="00DF02C5">
        <w:rPr>
          <w:rFonts w:eastAsia="Calibri" w:hAnsi="Times New Roman" w:cs="Arial Unicode MS"/>
          <w:snapToGrid w:val="0"/>
          <w:color w:val="auto"/>
          <w:kern w:val="22"/>
          <w:bdr w:val="none" w:sz="0" w:space="0" w:color="auto"/>
          <w:lang w:val="en-GB"/>
        </w:rPr>
        <w:t>,</w:t>
      </w:r>
      <w:r w:rsidRPr="00DF02C5">
        <w:rPr>
          <w:rFonts w:eastAsia="Calibri" w:hAnsi="Times New Roman" w:cs="Arial Unicode MS"/>
          <w:snapToGrid w:val="0"/>
          <w:color w:val="auto"/>
          <w:kern w:val="22"/>
          <w:bdr w:val="none" w:sz="0" w:space="0" w:color="auto"/>
          <w:lang w:val="en-GB"/>
        </w:rPr>
        <w:t xml:space="preserve"> </w:t>
      </w:r>
      <w:r w:rsidR="0016458E" w:rsidRPr="00DF02C5">
        <w:rPr>
          <w:rFonts w:eastAsia="Calibri" w:hAnsi="Times New Roman" w:cs="Arial Unicode MS"/>
          <w:snapToGrid w:val="0"/>
          <w:color w:val="auto"/>
          <w:kern w:val="22"/>
          <w:bdr w:val="none" w:sz="0" w:space="0" w:color="auto"/>
          <w:lang w:val="en-GB"/>
        </w:rPr>
        <w:t>a</w:t>
      </w:r>
      <w:r w:rsidRPr="00DF02C5">
        <w:rPr>
          <w:rFonts w:eastAsia="Calibri" w:hAnsi="Times New Roman" w:cs="Arial Unicode MS"/>
          <w:snapToGrid w:val="0"/>
          <w:color w:val="auto"/>
          <w:kern w:val="22"/>
          <w:bdr w:val="none" w:sz="0" w:space="0" w:color="auto"/>
          <w:lang w:val="en-GB"/>
        </w:rPr>
        <w:t xml:space="preserve"> contract or MAT seems </w:t>
      </w:r>
      <w:r w:rsidR="000248DE" w:rsidRPr="00DF02C5">
        <w:rPr>
          <w:rFonts w:eastAsia="Calibri" w:hAnsi="Times New Roman" w:cs="Arial Unicode MS"/>
          <w:snapToGrid w:val="0"/>
          <w:color w:val="auto"/>
          <w:kern w:val="22"/>
          <w:bdr w:val="none" w:sz="0" w:space="0" w:color="auto"/>
          <w:lang w:val="en-GB"/>
        </w:rPr>
        <w:t xml:space="preserve">to be the equivalent of </w:t>
      </w:r>
      <w:r w:rsidR="0016458E" w:rsidRPr="00DF02C5">
        <w:rPr>
          <w:rFonts w:eastAsia="Calibri" w:hAnsi="Times New Roman" w:cs="Arial Unicode MS"/>
          <w:snapToGrid w:val="0"/>
          <w:color w:val="auto"/>
          <w:kern w:val="22"/>
          <w:bdr w:val="none" w:sz="0" w:space="0" w:color="auto"/>
          <w:lang w:val="en-GB"/>
        </w:rPr>
        <w:t xml:space="preserve">a </w:t>
      </w:r>
      <w:r w:rsidRPr="00DF02C5">
        <w:rPr>
          <w:rFonts w:eastAsia="Calibri" w:hAnsi="Times New Roman" w:cs="Arial Unicode MS"/>
          <w:snapToGrid w:val="0"/>
          <w:color w:val="auto"/>
          <w:kern w:val="22"/>
          <w:bdr w:val="none" w:sz="0" w:space="0" w:color="auto"/>
          <w:lang w:val="en-GB"/>
        </w:rPr>
        <w:t>permit (e.g</w:t>
      </w:r>
      <w:r w:rsidR="000248DE" w:rsidRPr="00DF02C5">
        <w:rPr>
          <w:rFonts w:eastAsia="Calibri" w:hAnsi="Times New Roman" w:cs="Arial Unicode MS"/>
          <w:snapToGrid w:val="0"/>
          <w:color w:val="auto"/>
          <w:kern w:val="22"/>
          <w:bdr w:val="none" w:sz="0" w:space="0" w:color="auto"/>
          <w:lang w:val="en-GB"/>
        </w:rPr>
        <w:t>.</w:t>
      </w:r>
      <w:r w:rsidRPr="00DF02C5">
        <w:rPr>
          <w:rFonts w:eastAsia="Calibri" w:hAnsi="Times New Roman" w:cs="Arial Unicode MS"/>
          <w:snapToGrid w:val="0"/>
          <w:color w:val="auto"/>
          <w:kern w:val="22"/>
          <w:bdr w:val="none" w:sz="0" w:space="0" w:color="auto"/>
          <w:lang w:val="en-GB"/>
        </w:rPr>
        <w:t xml:space="preserve"> Bhutan) and</w:t>
      </w:r>
      <w:r w:rsidR="000248DE" w:rsidRPr="00DF02C5">
        <w:rPr>
          <w:rFonts w:eastAsia="Calibri" w:hAnsi="Times New Roman" w:cs="Arial Unicode MS"/>
          <w:snapToGrid w:val="0"/>
          <w:color w:val="auto"/>
          <w:kern w:val="22"/>
          <w:bdr w:val="none" w:sz="0" w:space="0" w:color="auto"/>
          <w:lang w:val="en-GB"/>
        </w:rPr>
        <w:t xml:space="preserve"> for others permits</w:t>
      </w:r>
      <w:r w:rsidRPr="00DF02C5">
        <w:rPr>
          <w:rFonts w:eastAsia="Calibri" w:hAnsi="Times New Roman" w:cs="Arial Unicode MS"/>
          <w:snapToGrid w:val="0"/>
          <w:color w:val="auto"/>
          <w:kern w:val="22"/>
          <w:bdr w:val="none" w:sz="0" w:space="0" w:color="auto"/>
          <w:lang w:val="en-GB"/>
        </w:rPr>
        <w:t xml:space="preserve"> </w:t>
      </w:r>
      <w:r w:rsidR="0016458E" w:rsidRPr="00DF02C5">
        <w:rPr>
          <w:rFonts w:eastAsia="Calibri" w:hAnsi="Times New Roman" w:cs="Arial Unicode MS"/>
          <w:snapToGrid w:val="0"/>
          <w:color w:val="auto"/>
          <w:kern w:val="22"/>
          <w:bdr w:val="none" w:sz="0" w:space="0" w:color="auto"/>
          <w:lang w:val="en-GB"/>
        </w:rPr>
        <w:t>are</w:t>
      </w:r>
      <w:r w:rsidRPr="00DF02C5">
        <w:rPr>
          <w:rFonts w:eastAsia="Calibri" w:hAnsi="Times New Roman" w:cs="Arial Unicode MS"/>
          <w:snapToGrid w:val="0"/>
          <w:color w:val="auto"/>
          <w:kern w:val="22"/>
          <w:bdr w:val="none" w:sz="0" w:space="0" w:color="auto"/>
          <w:lang w:val="en-GB"/>
        </w:rPr>
        <w:t xml:space="preserve"> issued at the end of the process</w:t>
      </w:r>
      <w:r w:rsidR="00A109ED" w:rsidRPr="00DF02C5">
        <w:rPr>
          <w:rFonts w:eastAsia="Calibri" w:hAnsi="Times New Roman"/>
          <w:snapToGrid w:val="0"/>
          <w:color w:val="auto"/>
          <w:kern w:val="22"/>
          <w:bdr w:val="none" w:sz="0" w:space="0" w:color="auto"/>
          <w:lang w:val="en-GB"/>
        </w:rPr>
        <w:t>—</w:t>
      </w:r>
      <w:r w:rsidRPr="00DF02C5">
        <w:rPr>
          <w:rFonts w:eastAsia="Calibri" w:hAnsi="Times New Roman" w:cs="Arial Unicode MS"/>
          <w:snapToGrid w:val="0"/>
          <w:color w:val="auto"/>
          <w:kern w:val="22"/>
          <w:bdr w:val="none" w:sz="0" w:space="0" w:color="auto"/>
          <w:lang w:val="en-GB"/>
        </w:rPr>
        <w:t>once a favourable opinion is given over the contract negotiated by the user and the provider (e.g</w:t>
      </w:r>
      <w:r w:rsidR="000248DE" w:rsidRPr="00DF02C5">
        <w:rPr>
          <w:rFonts w:eastAsia="Calibri" w:hAnsi="Times New Roman" w:cs="Arial Unicode MS"/>
          <w:snapToGrid w:val="0"/>
          <w:color w:val="auto"/>
          <w:kern w:val="22"/>
          <w:bdr w:val="none" w:sz="0" w:space="0" w:color="auto"/>
          <w:lang w:val="en-GB"/>
        </w:rPr>
        <w:t>.</w:t>
      </w:r>
      <w:r w:rsidRPr="00DF02C5">
        <w:rPr>
          <w:rFonts w:eastAsia="Calibri" w:hAnsi="Times New Roman" w:cs="Arial Unicode MS"/>
          <w:snapToGrid w:val="0"/>
          <w:color w:val="auto"/>
          <w:kern w:val="22"/>
          <w:bdr w:val="none" w:sz="0" w:space="0" w:color="auto"/>
          <w:lang w:val="en-GB"/>
        </w:rPr>
        <w:t xml:space="preserve"> Benin). Or, for example,</w:t>
      </w:r>
      <w:r w:rsidRPr="00DF02C5">
        <w:rPr>
          <w:rFonts w:eastAsia="Calibri" w:hAnsi="Times New Roman" w:cs="Arial Unicode MS"/>
          <w:snapToGrid w:val="0"/>
          <w:color w:val="FF0000"/>
          <w:kern w:val="22"/>
          <w:bdr w:val="none" w:sz="0" w:space="0" w:color="auto"/>
          <w:lang w:val="en-GB"/>
        </w:rPr>
        <w:t xml:space="preserve"> </w:t>
      </w:r>
      <w:r w:rsidRPr="00DF02C5">
        <w:rPr>
          <w:rFonts w:eastAsia="Calibri" w:hAnsi="Times New Roman" w:cs="Arial Unicode MS"/>
          <w:snapToGrid w:val="0"/>
          <w:color w:val="auto"/>
          <w:kern w:val="22"/>
          <w:bdr w:val="none" w:sz="0" w:space="0" w:color="auto"/>
          <w:lang w:val="en-GB"/>
        </w:rPr>
        <w:t xml:space="preserve">South Africa provides for permit requirements when one is engaged in </w:t>
      </w:r>
      <w:r w:rsidR="00A109ED" w:rsidRPr="00DF02C5">
        <w:rPr>
          <w:rFonts w:eastAsia="Calibri" w:hAnsi="Times New Roman" w:cs="Arial Unicode MS"/>
          <w:snapToGrid w:val="0"/>
          <w:color w:val="auto"/>
          <w:kern w:val="22"/>
          <w:bdr w:val="none" w:sz="0" w:space="0" w:color="auto"/>
          <w:lang w:val="en-GB"/>
        </w:rPr>
        <w:t xml:space="preserve">the </w:t>
      </w:r>
      <w:r w:rsidRPr="00DF02C5">
        <w:rPr>
          <w:rFonts w:eastAsia="Calibri" w:hAnsi="Times New Roman" w:cs="Arial Unicode MS"/>
          <w:snapToGrid w:val="0"/>
          <w:color w:val="auto"/>
          <w:kern w:val="22"/>
          <w:bdr w:val="none" w:sz="0" w:space="0" w:color="auto"/>
          <w:lang w:val="en-GB"/>
        </w:rPr>
        <w:t>commercialisation phase of bioprospecting involving any indigenous biological resources for the purpose of bioprospecting or any other kind of research</w:t>
      </w:r>
      <w:r w:rsidR="004E77A5" w:rsidRPr="00DF02C5">
        <w:rPr>
          <w:rFonts w:eastAsia="Calibri" w:hAnsi="Times New Roman" w:cs="Arial Unicode MS"/>
          <w:snapToGrid w:val="0"/>
          <w:color w:val="auto"/>
          <w:kern w:val="22"/>
          <w:bdr w:val="none" w:sz="0" w:space="0" w:color="auto"/>
          <w:lang w:val="en-GB"/>
        </w:rPr>
        <w:t xml:space="preserve"> (Section 81 of the Act).</w:t>
      </w:r>
    </w:p>
    <w:p w14:paraId="2BD3949F" w14:textId="441F059B" w:rsidR="00EA65E0" w:rsidRPr="00DF02C5" w:rsidRDefault="00EA65E0" w:rsidP="00393914">
      <w:pPr>
        <w:pStyle w:val="Para1"/>
        <w:numPr>
          <w:ilvl w:val="0"/>
          <w:numId w:val="1"/>
        </w:numPr>
        <w:rPr>
          <w:rFonts w:eastAsia="Calibri" w:hAnsi="Times New Roman" w:cs="Arial Unicode MS"/>
          <w:snapToGrid w:val="0"/>
          <w:color w:val="auto"/>
          <w:kern w:val="22"/>
          <w:bdr w:val="none" w:sz="0" w:space="0" w:color="auto"/>
          <w:lang w:val="en-GB"/>
        </w:rPr>
      </w:pPr>
      <w:r w:rsidRPr="00DF02C5">
        <w:rPr>
          <w:rFonts w:eastAsia="Calibri" w:hAnsi="Times New Roman" w:cs="Arial Unicode MS"/>
          <w:snapToGrid w:val="0"/>
          <w:color w:val="auto"/>
          <w:kern w:val="22"/>
          <w:bdr w:val="none" w:sz="0" w:space="0" w:color="auto"/>
          <w:lang w:val="en-GB"/>
        </w:rPr>
        <w:t>Some countries</w:t>
      </w:r>
      <w:r w:rsidRPr="00DF02C5">
        <w:rPr>
          <w:rStyle w:val="FootnoteReference"/>
          <w:rFonts w:eastAsia="Calibri" w:hAnsi="Times New Roman" w:cs="Arial Unicode MS"/>
          <w:snapToGrid w:val="0"/>
          <w:color w:val="auto"/>
          <w:kern w:val="22"/>
          <w:bdr w:val="none" w:sz="0" w:space="0" w:color="auto"/>
          <w:lang w:val="en-GB"/>
        </w:rPr>
        <w:footnoteReference w:id="108"/>
      </w:r>
      <w:r w:rsidRPr="00DF02C5">
        <w:rPr>
          <w:rFonts w:eastAsia="Calibri" w:hAnsi="Times New Roman" w:cs="Arial Unicode MS"/>
          <w:snapToGrid w:val="0"/>
          <w:color w:val="auto"/>
          <w:kern w:val="22"/>
          <w:bdr w:val="none" w:sz="0" w:space="0" w:color="auto"/>
          <w:lang w:val="en-GB"/>
        </w:rPr>
        <w:t xml:space="preserve"> provided information on related permits or licences (e.g</w:t>
      </w:r>
      <w:r w:rsidR="000248DE" w:rsidRPr="00DF02C5">
        <w:rPr>
          <w:rFonts w:eastAsia="Calibri" w:hAnsi="Times New Roman" w:cs="Arial Unicode MS"/>
          <w:snapToGrid w:val="0"/>
          <w:color w:val="auto"/>
          <w:kern w:val="22"/>
          <w:bdr w:val="none" w:sz="0" w:space="0" w:color="auto"/>
          <w:lang w:val="en-GB"/>
        </w:rPr>
        <w:t>.</w:t>
      </w:r>
      <w:r w:rsidRPr="00DF02C5">
        <w:rPr>
          <w:rFonts w:eastAsia="Calibri" w:hAnsi="Times New Roman" w:cs="Arial Unicode MS"/>
          <w:snapToGrid w:val="0"/>
          <w:color w:val="auto"/>
          <w:kern w:val="22"/>
          <w:bdr w:val="none" w:sz="0" w:space="0" w:color="auto"/>
          <w:lang w:val="en-GB"/>
        </w:rPr>
        <w:t xml:space="preserve"> collection of plants, access to protected areas)</w:t>
      </w:r>
      <w:r w:rsidR="004E77A5" w:rsidRPr="00DF02C5">
        <w:rPr>
          <w:rFonts w:eastAsia="Calibri" w:hAnsi="Times New Roman" w:cs="Arial Unicode MS"/>
          <w:snapToGrid w:val="0"/>
          <w:color w:val="auto"/>
          <w:kern w:val="22"/>
          <w:bdr w:val="none" w:sz="0" w:space="0" w:color="auto"/>
          <w:lang w:val="en-GB"/>
        </w:rPr>
        <w:t>; one</w:t>
      </w:r>
      <w:r w:rsidRPr="00DF02C5">
        <w:rPr>
          <w:rFonts w:eastAsia="Calibri" w:hAnsi="Times New Roman" w:cs="Arial Unicode MS"/>
          <w:snapToGrid w:val="0"/>
          <w:color w:val="auto"/>
          <w:kern w:val="22"/>
          <w:bdr w:val="none" w:sz="0" w:space="0" w:color="auto"/>
          <w:lang w:val="en-GB"/>
        </w:rPr>
        <w:t xml:space="preserve"> country</w:t>
      </w:r>
      <w:r w:rsidRPr="00DF02C5">
        <w:rPr>
          <w:rStyle w:val="FootnoteReference"/>
          <w:rFonts w:eastAsia="Calibri" w:hAnsi="Times New Roman" w:cs="Arial Unicode MS"/>
          <w:snapToGrid w:val="0"/>
          <w:color w:val="auto"/>
          <w:kern w:val="22"/>
          <w:bdr w:val="none" w:sz="0" w:space="0" w:color="auto"/>
          <w:lang w:val="en-GB"/>
        </w:rPr>
        <w:footnoteReference w:id="109"/>
      </w:r>
      <w:r w:rsidRPr="00DF02C5">
        <w:rPr>
          <w:rFonts w:eastAsia="Calibri" w:hAnsi="Times New Roman" w:cs="Arial Unicode MS"/>
          <w:snapToGrid w:val="0"/>
          <w:color w:val="auto"/>
          <w:kern w:val="22"/>
          <w:bdr w:val="none" w:sz="0" w:space="0" w:color="auto"/>
          <w:lang w:val="en-GB"/>
        </w:rPr>
        <w:t xml:space="preserve"> </w:t>
      </w:r>
      <w:r w:rsidR="004E77A5" w:rsidRPr="00DF02C5">
        <w:rPr>
          <w:rFonts w:eastAsia="Calibri" w:hAnsi="Times New Roman" w:cs="Arial Unicode MS"/>
          <w:snapToGrid w:val="0"/>
          <w:color w:val="auto"/>
          <w:kern w:val="22"/>
          <w:bdr w:val="none" w:sz="0" w:space="0" w:color="auto"/>
          <w:lang w:val="en-GB"/>
        </w:rPr>
        <w:t xml:space="preserve">reported </w:t>
      </w:r>
      <w:r w:rsidRPr="00DF02C5">
        <w:rPr>
          <w:rFonts w:eastAsia="Calibri" w:hAnsi="Times New Roman" w:cs="Arial Unicode MS"/>
          <w:snapToGrid w:val="0"/>
          <w:color w:val="auto"/>
          <w:kern w:val="22"/>
          <w:bdr w:val="none" w:sz="0" w:space="0" w:color="auto"/>
          <w:lang w:val="en-GB"/>
        </w:rPr>
        <w:t>issuing documents but that these were no</w:t>
      </w:r>
      <w:r w:rsidR="004E77A5" w:rsidRPr="00DF02C5">
        <w:rPr>
          <w:rFonts w:eastAsia="Calibri" w:hAnsi="Times New Roman" w:cs="Arial Unicode MS"/>
          <w:snapToGrid w:val="0"/>
          <w:color w:val="auto"/>
          <w:kern w:val="22"/>
          <w:bdr w:val="none" w:sz="0" w:space="0" w:color="auto"/>
          <w:lang w:val="en-GB"/>
        </w:rPr>
        <w:t>t yet aligned with the Protocol; and another</w:t>
      </w:r>
      <w:r w:rsidRPr="00DF02C5">
        <w:rPr>
          <w:rFonts w:eastAsia="Calibri" w:hAnsi="Times New Roman" w:cs="Arial Unicode MS"/>
          <w:snapToGrid w:val="0"/>
          <w:color w:val="auto"/>
          <w:kern w:val="22"/>
          <w:bdr w:val="none" w:sz="0" w:space="0" w:color="auto"/>
          <w:lang w:val="en-GB"/>
        </w:rPr>
        <w:t xml:space="preserve"> country specified that in the absence of ABS measures</w:t>
      </w:r>
      <w:r w:rsidR="00A109ED" w:rsidRPr="00DF02C5">
        <w:rPr>
          <w:rFonts w:eastAsia="Calibri" w:hAnsi="Times New Roman" w:cs="Arial Unicode MS"/>
          <w:snapToGrid w:val="0"/>
          <w:color w:val="auto"/>
          <w:kern w:val="22"/>
          <w:bdr w:val="none" w:sz="0" w:space="0" w:color="auto"/>
          <w:lang w:val="en-GB"/>
        </w:rPr>
        <w:t xml:space="preserve"> </w:t>
      </w:r>
      <w:r w:rsidRPr="00DF02C5">
        <w:rPr>
          <w:rFonts w:eastAsia="Calibri" w:hAnsi="Times New Roman" w:cs="Arial Unicode MS"/>
          <w:snapToGrid w:val="0"/>
          <w:color w:val="auto"/>
          <w:kern w:val="22"/>
          <w:bdr w:val="none" w:sz="0" w:space="0" w:color="auto"/>
          <w:lang w:val="en-GB"/>
        </w:rPr>
        <w:t>demands for access are managed on a case</w:t>
      </w:r>
      <w:r w:rsidR="00A109ED" w:rsidRPr="00DF02C5">
        <w:rPr>
          <w:rFonts w:eastAsia="Calibri" w:hAnsi="Times New Roman" w:cs="Arial Unicode MS"/>
          <w:snapToGrid w:val="0"/>
          <w:color w:val="auto"/>
          <w:kern w:val="22"/>
          <w:bdr w:val="none" w:sz="0" w:space="0" w:color="auto"/>
          <w:lang w:val="en-GB"/>
        </w:rPr>
        <w:t>-</w:t>
      </w:r>
      <w:r w:rsidRPr="00DF02C5">
        <w:rPr>
          <w:rFonts w:eastAsia="Calibri" w:hAnsi="Times New Roman" w:cs="Arial Unicode MS"/>
          <w:snapToGrid w:val="0"/>
          <w:color w:val="auto"/>
          <w:kern w:val="22"/>
          <w:bdr w:val="none" w:sz="0" w:space="0" w:color="auto"/>
          <w:lang w:val="en-GB"/>
        </w:rPr>
        <w:t>by</w:t>
      </w:r>
      <w:r w:rsidR="00A109ED" w:rsidRPr="00DF02C5">
        <w:rPr>
          <w:rFonts w:eastAsia="Calibri" w:hAnsi="Times New Roman" w:cs="Arial Unicode MS"/>
          <w:snapToGrid w:val="0"/>
          <w:color w:val="auto"/>
          <w:kern w:val="22"/>
          <w:bdr w:val="none" w:sz="0" w:space="0" w:color="auto"/>
          <w:lang w:val="en-GB"/>
        </w:rPr>
        <w:t>-</w:t>
      </w:r>
      <w:r w:rsidRPr="00DF02C5">
        <w:rPr>
          <w:rFonts w:eastAsia="Calibri" w:hAnsi="Times New Roman" w:cs="Arial Unicode MS"/>
          <w:snapToGrid w:val="0"/>
          <w:color w:val="auto"/>
          <w:kern w:val="22"/>
          <w:bdr w:val="none" w:sz="0" w:space="0" w:color="auto"/>
          <w:lang w:val="en-GB"/>
        </w:rPr>
        <w:t>case basis.</w:t>
      </w:r>
      <w:r w:rsidR="004E77A5" w:rsidRPr="00DF02C5">
        <w:rPr>
          <w:rStyle w:val="FootnoteReference"/>
          <w:rFonts w:eastAsia="Calibri" w:hAnsi="Times New Roman" w:cs="Arial Unicode MS"/>
          <w:snapToGrid w:val="0"/>
          <w:color w:val="auto"/>
          <w:kern w:val="22"/>
          <w:bdr w:val="none" w:sz="0" w:space="0" w:color="auto"/>
          <w:lang w:val="en-GB"/>
        </w:rPr>
        <w:footnoteReference w:id="110"/>
      </w:r>
    </w:p>
    <w:p w14:paraId="1EECA713" w14:textId="15F1B5A0" w:rsidR="00F655FF" w:rsidRPr="00DF02C5" w:rsidRDefault="00F655FF" w:rsidP="00F655FF">
      <w:pPr>
        <w:pStyle w:val="Para1"/>
        <w:rPr>
          <w:rFonts w:eastAsia="Calibri" w:hAnsi="Times New Roman"/>
          <w:i/>
          <w:snapToGrid w:val="0"/>
          <w:kern w:val="22"/>
          <w:bdr w:val="none" w:sz="0" w:space="0" w:color="auto"/>
          <w:lang w:val="en-GB"/>
        </w:rPr>
      </w:pPr>
      <w:r w:rsidRPr="00DF02C5">
        <w:rPr>
          <w:rFonts w:eastAsia="Calibri" w:hAnsi="Times New Roman"/>
          <w:i/>
          <w:snapToGrid w:val="0"/>
          <w:kern w:val="22"/>
          <w:bdr w:val="none" w:sz="0" w:space="0" w:color="auto"/>
          <w:lang w:val="en-GB"/>
        </w:rPr>
        <w:t>(b)</w:t>
      </w:r>
      <w:r w:rsidRPr="00DF02C5">
        <w:rPr>
          <w:rFonts w:eastAsia="Calibri" w:hAnsi="Times New Roman"/>
          <w:i/>
          <w:snapToGrid w:val="0"/>
          <w:kern w:val="22"/>
          <w:bdr w:val="none" w:sz="0" w:space="0" w:color="auto"/>
          <w:lang w:val="en-GB"/>
        </w:rPr>
        <w:tab/>
        <w:t>Countries that answered “no”</w:t>
      </w:r>
    </w:p>
    <w:p w14:paraId="72235724" w14:textId="0BA76234" w:rsidR="00EA65E0" w:rsidRPr="00DF02C5" w:rsidRDefault="00EA65E0" w:rsidP="00393914">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All countries that answered “no” to the question are planning to address the issue and three</w:t>
      </w:r>
      <w:r w:rsidRPr="00DF02C5">
        <w:rPr>
          <w:rStyle w:val="FootnoteReference"/>
          <w:rFonts w:eastAsia="Calibri" w:hAnsi="Times New Roman"/>
          <w:snapToGrid w:val="0"/>
          <w:kern w:val="22"/>
          <w:bdr w:val="none" w:sz="0" w:space="0" w:color="auto"/>
          <w:lang w:val="en-GB"/>
        </w:rPr>
        <w:footnoteReference w:id="111"/>
      </w:r>
      <w:r w:rsidR="00DB0954" w:rsidRPr="00DF02C5">
        <w:rPr>
          <w:rFonts w:eastAsia="Calibri" w:hAnsi="Times New Roman"/>
          <w:snapToGrid w:val="0"/>
          <w:kern w:val="22"/>
          <w:bdr w:val="none" w:sz="0" w:space="0" w:color="auto"/>
          <w:lang w:val="en-GB"/>
        </w:rPr>
        <w:t xml:space="preserve"> of them provided details on</w:t>
      </w:r>
      <w:r w:rsidRPr="00DF02C5">
        <w:rPr>
          <w:rFonts w:eastAsia="Calibri" w:hAnsi="Times New Roman"/>
          <w:snapToGrid w:val="0"/>
          <w:kern w:val="22"/>
          <w:bdr w:val="none" w:sz="0" w:space="0" w:color="auto"/>
          <w:lang w:val="en-GB"/>
        </w:rPr>
        <w:t xml:space="preserve"> related permits (</w:t>
      </w:r>
      <w:r w:rsidR="00DB0954" w:rsidRPr="00DF02C5">
        <w:rPr>
          <w:rFonts w:eastAsia="Calibri" w:hAnsi="Times New Roman"/>
          <w:snapToGrid w:val="0"/>
          <w:kern w:val="22"/>
          <w:bdr w:val="none" w:sz="0" w:space="0" w:color="auto"/>
          <w:lang w:val="en-GB"/>
        </w:rPr>
        <w:t xml:space="preserve">e.g. </w:t>
      </w:r>
      <w:r w:rsidRPr="00DF02C5">
        <w:rPr>
          <w:rFonts w:eastAsia="Calibri" w:hAnsi="Times New Roman"/>
          <w:snapToGrid w:val="0"/>
          <w:kern w:val="22"/>
          <w:bdr w:val="none" w:sz="0" w:space="0" w:color="auto"/>
          <w:lang w:val="en-GB"/>
        </w:rPr>
        <w:t>CITES, collection</w:t>
      </w:r>
      <w:r w:rsidR="00DB0954" w:rsidRPr="00DF02C5">
        <w:rPr>
          <w:rFonts w:eastAsia="Calibri" w:hAnsi="Times New Roman"/>
          <w:snapToGrid w:val="0"/>
          <w:kern w:val="22"/>
          <w:bdr w:val="none" w:sz="0" w:space="0" w:color="auto"/>
          <w:lang w:val="en-GB"/>
        </w:rPr>
        <w:t xml:space="preserve"> of species</w:t>
      </w:r>
      <w:r w:rsidRPr="00DF02C5">
        <w:rPr>
          <w:rFonts w:eastAsia="Calibri" w:hAnsi="Times New Roman"/>
          <w:snapToGrid w:val="0"/>
          <w:kern w:val="22"/>
          <w:bdr w:val="none" w:sz="0" w:space="0" w:color="auto"/>
          <w:lang w:val="en-GB"/>
        </w:rPr>
        <w:t>, tree cutting).</w:t>
      </w:r>
    </w:p>
    <w:p w14:paraId="50D2F6B0" w14:textId="46E9C8FA" w:rsidR="00EA65E0" w:rsidRPr="00A91EAA" w:rsidRDefault="00F655FF" w:rsidP="00A91EAA">
      <w:pPr>
        <w:pStyle w:val="Para1"/>
        <w:numPr>
          <w:ilvl w:val="0"/>
          <w:numId w:val="86"/>
        </w:numPr>
        <w:spacing w:before="240"/>
        <w:rPr>
          <w:rFonts w:eastAsia="Calibri" w:hAnsi="Times New Roman"/>
          <w:i/>
          <w:snapToGrid w:val="0"/>
          <w:kern w:val="22"/>
          <w:bdr w:val="none" w:sz="0" w:space="0" w:color="auto"/>
          <w:lang w:val="en-GB"/>
        </w:rPr>
      </w:pPr>
      <w:r w:rsidRPr="00A91EAA">
        <w:rPr>
          <w:rFonts w:eastAsia="Calibri" w:hAnsi="Times New Roman"/>
          <w:i/>
          <w:snapToGrid w:val="0"/>
          <w:kern w:val="22"/>
          <w:bdr w:val="none" w:sz="0" w:space="0" w:color="auto"/>
          <w:lang w:val="en-GB"/>
        </w:rPr>
        <w:t>Please provide the number of permits or their equivalent made available through the ABS Clearing-House since the entry into force of the Protocol in their country (</w:t>
      </w:r>
      <w:r w:rsidR="00EA65E0" w:rsidRPr="00A91EAA">
        <w:rPr>
          <w:rFonts w:eastAsia="Calibri" w:hAnsi="Times New Roman"/>
          <w:i/>
          <w:snapToGrid w:val="0"/>
          <w:kern w:val="22"/>
          <w:bdr w:val="none" w:sz="0" w:space="0" w:color="auto"/>
          <w:lang w:val="en-GB"/>
        </w:rPr>
        <w:t>question 16)</w:t>
      </w:r>
    </w:p>
    <w:p w14:paraId="11CFE841" w14:textId="11E408F4" w:rsidR="00F655FF" w:rsidRPr="00DF02C5" w:rsidRDefault="00F655FF" w:rsidP="00F655FF">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See section A, subsection 5 above.</w:t>
      </w:r>
    </w:p>
    <w:p w14:paraId="0D3ADB46" w14:textId="2A55094A" w:rsidR="00EA65E0" w:rsidRPr="00A91EAA" w:rsidRDefault="00F655FF" w:rsidP="00A91EAA">
      <w:pPr>
        <w:pStyle w:val="Para1"/>
        <w:numPr>
          <w:ilvl w:val="0"/>
          <w:numId w:val="86"/>
        </w:numPr>
        <w:spacing w:before="240" w:line="228" w:lineRule="auto"/>
        <w:rPr>
          <w:rFonts w:eastAsia="Calibri" w:hAnsi="Times New Roman"/>
          <w:i/>
          <w:snapToGrid w:val="0"/>
          <w:kern w:val="22"/>
          <w:bdr w:val="none" w:sz="0" w:space="0" w:color="auto"/>
          <w:lang w:val="en-GB"/>
        </w:rPr>
      </w:pPr>
      <w:r w:rsidRPr="00A91EAA">
        <w:rPr>
          <w:rFonts w:eastAsia="Calibri" w:hAnsi="Times New Roman"/>
          <w:i/>
          <w:snapToGrid w:val="0"/>
          <w:kern w:val="22"/>
          <w:bdr w:val="none" w:sz="0" w:space="0" w:color="auto"/>
          <w:lang w:val="en-GB"/>
        </w:rPr>
        <w:t>Does your country have rules and procedures for requiring and establishing mutually agreed terms as provided in Article 6.3 (g)</w:t>
      </w:r>
      <w:r w:rsidR="00E53A27" w:rsidRPr="00A91EAA">
        <w:rPr>
          <w:rFonts w:eastAsia="Calibri" w:hAnsi="Times New Roman"/>
          <w:i/>
          <w:snapToGrid w:val="0"/>
          <w:kern w:val="22"/>
          <w:bdr w:val="none" w:sz="0" w:space="0" w:color="auto"/>
          <w:lang w:val="en-GB"/>
        </w:rPr>
        <w:t xml:space="preserve"> (question </w:t>
      </w:r>
      <w:proofErr w:type="gramStart"/>
      <w:r w:rsidR="00E53A27" w:rsidRPr="00A91EAA">
        <w:rPr>
          <w:rFonts w:eastAsia="Calibri" w:hAnsi="Times New Roman"/>
          <w:i/>
          <w:snapToGrid w:val="0"/>
          <w:kern w:val="22"/>
          <w:bdr w:val="none" w:sz="0" w:space="0" w:color="auto"/>
          <w:lang w:val="en-GB"/>
        </w:rPr>
        <w:t>17)</w:t>
      </w:r>
      <w:proofErr w:type="gramEnd"/>
    </w:p>
    <w:p w14:paraId="108DB7B6" w14:textId="46EBBACE" w:rsidR="00F655FF" w:rsidRPr="00DF02C5" w:rsidRDefault="00F655FF" w:rsidP="00F655FF">
      <w:pPr>
        <w:pStyle w:val="Para1"/>
        <w:numPr>
          <w:ilvl w:val="0"/>
          <w:numId w:val="1"/>
        </w:numPr>
        <w:rPr>
          <w:rFonts w:eastAsia="Calibri" w:hAnsi="Times New Roman"/>
          <w:snapToGrid w:val="0"/>
          <w:kern w:val="22"/>
          <w:bdr w:val="none" w:sz="0" w:space="0" w:color="auto"/>
          <w:lang w:val="en-GB"/>
        </w:rPr>
      </w:pPr>
      <w:proofErr w:type="gramStart"/>
      <w:r w:rsidRPr="00DF02C5">
        <w:rPr>
          <w:rFonts w:eastAsia="Calibri" w:hAnsi="Times New Roman"/>
          <w:snapToGrid w:val="0"/>
          <w:kern w:val="22"/>
          <w:bdr w:val="none" w:sz="0" w:space="0" w:color="auto"/>
          <w:lang w:val="en-GB"/>
        </w:rPr>
        <w:t>Thirty-seven</w:t>
      </w:r>
      <w:proofErr w:type="gramEnd"/>
      <w:r w:rsidRPr="00DF02C5">
        <w:rPr>
          <w:rFonts w:eastAsia="Calibri" w:hAnsi="Times New Roman"/>
          <w:snapToGrid w:val="0"/>
          <w:kern w:val="22"/>
          <w:bdr w:val="none" w:sz="0" w:space="0" w:color="auto"/>
          <w:lang w:val="en-GB"/>
        </w:rPr>
        <w:t xml:space="preserve"> Parties and two non-Parties responded that access to genetic resources was subject to PIC and responded to this question. </w:t>
      </w:r>
      <w:r w:rsidR="00306527" w:rsidRPr="00DF02C5">
        <w:rPr>
          <w:rFonts w:eastAsia="Calibri" w:hAnsi="Times New Roman"/>
          <w:snapToGrid w:val="0"/>
          <w:kern w:val="22"/>
          <w:bdr w:val="none" w:sz="0" w:space="0" w:color="auto"/>
          <w:lang w:val="en-GB"/>
        </w:rPr>
        <w:t>Twenty-eight Parties and one non-Party</w:t>
      </w:r>
      <w:r w:rsidRPr="00DF02C5">
        <w:rPr>
          <w:rFonts w:eastAsia="Calibri" w:hAnsi="Times New Roman"/>
          <w:snapToGrid w:val="0"/>
          <w:kern w:val="22"/>
          <w:bdr w:val="none" w:sz="0" w:space="0" w:color="auto"/>
          <w:lang w:val="en-GB"/>
        </w:rPr>
        <w:t xml:space="preserve"> responded that they have rules and procedures for requiring and establishing mutually agreed terms, while</w:t>
      </w:r>
      <w:r w:rsidR="00306527" w:rsidRPr="00DF02C5">
        <w:rPr>
          <w:rFonts w:eastAsia="Calibri" w:hAnsi="Times New Roman"/>
          <w:snapToGrid w:val="0"/>
          <w:kern w:val="22"/>
          <w:bdr w:val="none" w:sz="0" w:space="0" w:color="auto"/>
          <w:lang w:val="en-GB"/>
        </w:rPr>
        <w:t xml:space="preserve"> nine</w:t>
      </w:r>
      <w:r w:rsidRPr="00DF02C5">
        <w:rPr>
          <w:rFonts w:eastAsia="Calibri" w:hAnsi="Times New Roman"/>
          <w:snapToGrid w:val="0"/>
          <w:kern w:val="22"/>
          <w:bdr w:val="none" w:sz="0" w:space="0" w:color="auto"/>
          <w:lang w:val="en-GB"/>
        </w:rPr>
        <w:t xml:space="preserve"> Parties</w:t>
      </w:r>
      <w:r w:rsidR="00306527" w:rsidRPr="00DF02C5">
        <w:rPr>
          <w:rFonts w:eastAsia="Calibri" w:hAnsi="Times New Roman"/>
          <w:snapToGrid w:val="0"/>
          <w:kern w:val="22"/>
          <w:bdr w:val="none" w:sz="0" w:space="0" w:color="auto"/>
          <w:lang w:val="en-GB"/>
        </w:rPr>
        <w:t xml:space="preserve"> and one non-Party</w:t>
      </w:r>
      <w:r w:rsidRPr="00DF02C5">
        <w:rPr>
          <w:rFonts w:eastAsia="Calibri" w:hAnsi="Times New Roman"/>
          <w:snapToGrid w:val="0"/>
          <w:kern w:val="22"/>
          <w:bdr w:val="none" w:sz="0" w:space="0" w:color="auto"/>
          <w:lang w:val="en-GB"/>
        </w:rPr>
        <w:t xml:space="preserve"> indicated that they do not have such rules.</w:t>
      </w:r>
    </w:p>
    <w:p w14:paraId="27CD7A11" w14:textId="69645D6D" w:rsidR="00F655FF" w:rsidRPr="00DF02C5" w:rsidRDefault="007D5F65" w:rsidP="00E5256F">
      <w:pPr>
        <w:pStyle w:val="Caption"/>
        <w:keepNext/>
        <w:keepLines/>
        <w:rPr>
          <w:lang w:val="en-GB"/>
        </w:rPr>
      </w:pPr>
      <w:r w:rsidRPr="00DF02C5">
        <w:rPr>
          <w:lang w:val="en-GB"/>
        </w:rPr>
        <w:lastRenderedPageBreak/>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00E5256F" w:rsidRPr="00DF02C5">
        <w:rPr>
          <w:noProof/>
          <w:lang w:val="en-GB"/>
        </w:rPr>
        <w:t>11</w:t>
      </w:r>
      <w:r w:rsidRPr="00DF02C5">
        <w:rPr>
          <w:lang w:val="en-GB"/>
        </w:rPr>
        <w:fldChar w:fldCharType="end"/>
      </w:r>
      <w:r w:rsidR="00F655FF" w:rsidRPr="00DF02C5">
        <w:rPr>
          <w:lang w:val="en-GB"/>
        </w:rPr>
        <w:t>: Rules and procedures for requiring and establishing MAT (percentage by countries)</w:t>
      </w:r>
    </w:p>
    <w:p w14:paraId="0EF3E137" w14:textId="4597E16E" w:rsidR="00306527" w:rsidRPr="00DF02C5" w:rsidRDefault="00E53A27" w:rsidP="00306527">
      <w:pPr>
        <w:pStyle w:val="Para1"/>
        <w:jc w:val="center"/>
        <w:rPr>
          <w:rFonts w:eastAsia="Calibri" w:hAnsi="Times New Roman"/>
          <w:snapToGrid w:val="0"/>
          <w:kern w:val="22"/>
          <w:highlight w:val="yellow"/>
          <w:bdr w:val="none" w:sz="0" w:space="0" w:color="auto"/>
          <w:lang w:val="en-GB"/>
        </w:rPr>
      </w:pPr>
      <w:r w:rsidRPr="00DF02C5">
        <w:rPr>
          <w:noProof/>
        </w:rPr>
        <w:drawing>
          <wp:inline distT="0" distB="0" distL="0" distR="0" wp14:anchorId="68C7889D" wp14:editId="3E15B7F7">
            <wp:extent cx="3698875" cy="2219325"/>
            <wp:effectExtent l="0" t="0" r="0" b="0"/>
            <wp:docPr id="7" name="Picture 7" descr="cid:image012.png@01D3CFF1.6B23C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7" descr="cid:image012.png@01D3CFF1.6B23C290"/>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3705066" cy="2223039"/>
                    </a:xfrm>
                    <a:prstGeom prst="rect">
                      <a:avLst/>
                    </a:prstGeom>
                    <a:noFill/>
                    <a:ln>
                      <a:noFill/>
                    </a:ln>
                  </pic:spPr>
                </pic:pic>
              </a:graphicData>
            </a:graphic>
          </wp:inline>
        </w:drawing>
      </w:r>
    </w:p>
    <w:p w14:paraId="18B4B6F1" w14:textId="54EB0825" w:rsidR="00F655FF" w:rsidRPr="00DF02C5" w:rsidRDefault="00F655FF" w:rsidP="00F655FF">
      <w:pPr>
        <w:pStyle w:val="Para1"/>
        <w:rPr>
          <w:rFonts w:eastAsia="Calibri" w:hAnsi="Times New Roman"/>
          <w:i/>
          <w:snapToGrid w:val="0"/>
          <w:kern w:val="22"/>
          <w:bdr w:val="none" w:sz="0" w:space="0" w:color="auto"/>
          <w:lang w:val="en-GB"/>
        </w:rPr>
      </w:pPr>
      <w:r w:rsidRPr="00DF02C5">
        <w:rPr>
          <w:rFonts w:eastAsia="Calibri" w:hAnsi="Times New Roman"/>
          <w:i/>
          <w:snapToGrid w:val="0"/>
          <w:kern w:val="22"/>
          <w:bdr w:val="none" w:sz="0" w:space="0" w:color="auto"/>
          <w:lang w:val="en-GB"/>
        </w:rPr>
        <w:t>(a)</w:t>
      </w:r>
      <w:r w:rsidRPr="00DF02C5">
        <w:rPr>
          <w:rFonts w:eastAsia="Calibri" w:hAnsi="Times New Roman"/>
          <w:i/>
          <w:snapToGrid w:val="0"/>
          <w:kern w:val="22"/>
          <w:bdr w:val="none" w:sz="0" w:space="0" w:color="auto"/>
          <w:lang w:val="en-GB"/>
        </w:rPr>
        <w:tab/>
        <w:t>Countries that answered “yes”</w:t>
      </w:r>
    </w:p>
    <w:p w14:paraId="71577B01" w14:textId="50DFD4EF" w:rsidR="00EA65E0" w:rsidRPr="00DF02C5" w:rsidRDefault="00BD60A0" w:rsidP="00F655FF">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S</w:t>
      </w:r>
      <w:r w:rsidR="00EA65E0" w:rsidRPr="00DF02C5">
        <w:rPr>
          <w:rFonts w:eastAsia="Calibri" w:hAnsi="Times New Roman"/>
          <w:snapToGrid w:val="0"/>
          <w:kern w:val="22"/>
          <w:bdr w:val="none" w:sz="0" w:space="0" w:color="auto"/>
          <w:lang w:val="en-GB"/>
        </w:rPr>
        <w:t>ome countries</w:t>
      </w:r>
      <w:r w:rsidR="00EA65E0" w:rsidRPr="00DF02C5">
        <w:rPr>
          <w:rStyle w:val="FootnoteReference"/>
          <w:rFonts w:eastAsia="Calibri" w:hAnsi="Times New Roman"/>
          <w:snapToGrid w:val="0"/>
          <w:kern w:val="22"/>
          <w:bdr w:val="none" w:sz="0" w:space="0" w:color="auto"/>
          <w:lang w:val="en-GB"/>
        </w:rPr>
        <w:footnoteReference w:id="112"/>
      </w:r>
      <w:r w:rsidR="00EA65E0" w:rsidRPr="00DF02C5">
        <w:rPr>
          <w:rFonts w:eastAsia="Calibri" w:hAnsi="Times New Roman"/>
          <w:snapToGrid w:val="0"/>
          <w:kern w:val="22"/>
          <w:bdr w:val="none" w:sz="0" w:space="0" w:color="auto"/>
          <w:lang w:val="en-GB"/>
        </w:rPr>
        <w:t xml:space="preserve"> made specific reference to </w:t>
      </w:r>
      <w:r w:rsidR="008E672D" w:rsidRPr="00DF02C5">
        <w:rPr>
          <w:rFonts w:eastAsia="Calibri" w:hAnsi="Times New Roman"/>
          <w:snapToGrid w:val="0"/>
          <w:kern w:val="22"/>
          <w:bdr w:val="none" w:sz="0" w:space="0" w:color="auto"/>
          <w:lang w:val="en-GB"/>
        </w:rPr>
        <w:t xml:space="preserve">relevant </w:t>
      </w:r>
      <w:r w:rsidR="00EA65E0" w:rsidRPr="00DF02C5">
        <w:rPr>
          <w:rFonts w:eastAsia="Calibri" w:hAnsi="Times New Roman"/>
          <w:snapToGrid w:val="0"/>
          <w:kern w:val="22"/>
          <w:bdr w:val="none" w:sz="0" w:space="0" w:color="auto"/>
          <w:lang w:val="en-GB"/>
        </w:rPr>
        <w:t>ABS me</w:t>
      </w:r>
      <w:r w:rsidR="008E672D" w:rsidRPr="00DF02C5">
        <w:rPr>
          <w:rFonts w:eastAsia="Calibri" w:hAnsi="Times New Roman"/>
          <w:snapToGrid w:val="0"/>
          <w:kern w:val="22"/>
          <w:bdr w:val="none" w:sz="0" w:space="0" w:color="auto"/>
          <w:lang w:val="en-GB"/>
        </w:rPr>
        <w:t xml:space="preserve">asures dealing with this aspect, while </w:t>
      </w:r>
      <w:r w:rsidR="00EA65E0" w:rsidRPr="00DF02C5">
        <w:rPr>
          <w:rFonts w:eastAsia="Calibri" w:hAnsi="Times New Roman"/>
          <w:snapToGrid w:val="0"/>
          <w:kern w:val="22"/>
          <w:bdr w:val="none" w:sz="0" w:space="0" w:color="auto"/>
          <w:lang w:val="en-GB"/>
        </w:rPr>
        <w:t>others</w:t>
      </w:r>
      <w:r w:rsidR="00EA65E0" w:rsidRPr="00DF02C5">
        <w:rPr>
          <w:rStyle w:val="FootnoteReference"/>
          <w:rFonts w:eastAsia="Calibri" w:hAnsi="Times New Roman"/>
          <w:snapToGrid w:val="0"/>
          <w:kern w:val="22"/>
          <w:bdr w:val="none" w:sz="0" w:space="0" w:color="auto"/>
          <w:lang w:val="en-GB"/>
        </w:rPr>
        <w:footnoteReference w:id="113"/>
      </w:r>
      <w:r w:rsidR="00EA65E0" w:rsidRPr="00DF02C5">
        <w:rPr>
          <w:rFonts w:eastAsia="Calibri" w:hAnsi="Times New Roman"/>
          <w:snapToGrid w:val="0"/>
          <w:kern w:val="22"/>
          <w:bdr w:val="none" w:sz="0" w:space="0" w:color="auto"/>
          <w:lang w:val="en-GB"/>
        </w:rPr>
        <w:t xml:space="preserve"> refer</w:t>
      </w:r>
      <w:r w:rsidR="008E672D" w:rsidRPr="00DF02C5">
        <w:rPr>
          <w:rFonts w:eastAsia="Calibri" w:hAnsi="Times New Roman"/>
          <w:snapToGrid w:val="0"/>
          <w:kern w:val="22"/>
          <w:bdr w:val="none" w:sz="0" w:space="0" w:color="auto"/>
          <w:lang w:val="en-GB"/>
        </w:rPr>
        <w:t>red</w:t>
      </w:r>
      <w:r w:rsidR="00EA65E0" w:rsidRPr="00DF02C5">
        <w:rPr>
          <w:rFonts w:eastAsia="Calibri" w:hAnsi="Times New Roman"/>
          <w:snapToGrid w:val="0"/>
          <w:kern w:val="22"/>
          <w:bdr w:val="none" w:sz="0" w:space="0" w:color="auto"/>
          <w:lang w:val="en-GB"/>
        </w:rPr>
        <w:t xml:space="preserve"> to the relevant </w:t>
      </w:r>
      <w:r w:rsidR="00BE209F" w:rsidRPr="00DF02C5">
        <w:rPr>
          <w:rFonts w:eastAsia="Calibri" w:hAnsi="Times New Roman"/>
          <w:snapToGrid w:val="0"/>
          <w:kern w:val="22"/>
          <w:bdr w:val="none" w:sz="0" w:space="0" w:color="auto"/>
          <w:lang w:val="en-GB"/>
        </w:rPr>
        <w:t xml:space="preserve">contract </w:t>
      </w:r>
      <w:r w:rsidR="00EA65E0" w:rsidRPr="00DF02C5">
        <w:rPr>
          <w:rFonts w:eastAsia="Calibri" w:hAnsi="Times New Roman"/>
          <w:snapToGrid w:val="0"/>
          <w:kern w:val="22"/>
          <w:bdr w:val="none" w:sz="0" w:space="0" w:color="auto"/>
          <w:lang w:val="en-GB"/>
        </w:rPr>
        <w:t xml:space="preserve">law. </w:t>
      </w:r>
      <w:r w:rsidR="008E672D" w:rsidRPr="00DF02C5">
        <w:rPr>
          <w:rFonts w:eastAsia="Calibri" w:hAnsi="Times New Roman"/>
          <w:snapToGrid w:val="0"/>
          <w:kern w:val="22"/>
          <w:bdr w:val="none" w:sz="0" w:space="0" w:color="auto"/>
          <w:lang w:val="en-GB"/>
        </w:rPr>
        <w:t>Moreover, s</w:t>
      </w:r>
      <w:r w:rsidR="00EA65E0" w:rsidRPr="00DF02C5">
        <w:rPr>
          <w:rFonts w:eastAsia="Calibri" w:hAnsi="Times New Roman"/>
          <w:snapToGrid w:val="0"/>
          <w:kern w:val="22"/>
          <w:bdr w:val="none" w:sz="0" w:space="0" w:color="auto"/>
          <w:lang w:val="en-GB"/>
        </w:rPr>
        <w:t>ome countries reported having some terms</w:t>
      </w:r>
      <w:r w:rsidR="00EA65E0" w:rsidRPr="00DF02C5">
        <w:rPr>
          <w:rStyle w:val="FootnoteReference"/>
          <w:rFonts w:eastAsia="Calibri" w:hAnsi="Times New Roman"/>
          <w:snapToGrid w:val="0"/>
          <w:kern w:val="22"/>
          <w:bdr w:val="none" w:sz="0" w:space="0" w:color="auto"/>
          <w:lang w:val="en-GB"/>
        </w:rPr>
        <w:footnoteReference w:id="114"/>
      </w:r>
      <w:r w:rsidR="00EA65E0" w:rsidRPr="00DF02C5">
        <w:rPr>
          <w:rFonts w:eastAsia="Calibri" w:hAnsi="Times New Roman"/>
          <w:snapToGrid w:val="0"/>
          <w:kern w:val="22"/>
          <w:bdr w:val="none" w:sz="0" w:space="0" w:color="auto"/>
          <w:lang w:val="en-GB"/>
        </w:rPr>
        <w:t xml:space="preserve">  incorporated in their legislation</w:t>
      </w:r>
      <w:r w:rsidR="008E672D" w:rsidRPr="00DF02C5">
        <w:rPr>
          <w:rFonts w:eastAsia="Calibri" w:hAnsi="Times New Roman"/>
          <w:snapToGrid w:val="0"/>
          <w:kern w:val="22"/>
          <w:bdr w:val="none" w:sz="0" w:space="0" w:color="auto"/>
          <w:lang w:val="en-GB"/>
        </w:rPr>
        <w:t>,</w:t>
      </w:r>
      <w:r w:rsidR="00EA65E0" w:rsidRPr="00DF02C5">
        <w:rPr>
          <w:rFonts w:eastAsia="Calibri" w:hAnsi="Times New Roman"/>
          <w:snapToGrid w:val="0"/>
          <w:kern w:val="22"/>
          <w:bdr w:val="none" w:sz="0" w:space="0" w:color="auto"/>
          <w:lang w:val="en-GB"/>
        </w:rPr>
        <w:t xml:space="preserve"> and others reported having model clauses</w:t>
      </w:r>
      <w:r w:rsidR="00EA65E0" w:rsidRPr="00DF02C5">
        <w:rPr>
          <w:rStyle w:val="FootnoteReference"/>
          <w:rFonts w:eastAsia="Calibri" w:hAnsi="Times New Roman"/>
          <w:snapToGrid w:val="0"/>
          <w:kern w:val="22"/>
          <w:bdr w:val="none" w:sz="0" w:space="0" w:color="auto"/>
          <w:lang w:val="en-GB"/>
        </w:rPr>
        <w:footnoteReference w:id="115"/>
      </w:r>
      <w:r w:rsidR="00EA65E0" w:rsidRPr="00DF02C5">
        <w:rPr>
          <w:rFonts w:eastAsia="Calibri" w:hAnsi="Times New Roman"/>
          <w:snapToGrid w:val="0"/>
          <w:kern w:val="22"/>
          <w:bdr w:val="none" w:sz="0" w:space="0" w:color="auto"/>
          <w:lang w:val="en-GB"/>
        </w:rPr>
        <w:t xml:space="preserve"> and guidelines</w:t>
      </w:r>
      <w:r w:rsidR="00A91EAA">
        <w:rPr>
          <w:rFonts w:eastAsia="Calibri" w:hAnsi="Times New Roman"/>
          <w:snapToGrid w:val="0"/>
          <w:kern w:val="22"/>
          <w:bdr w:val="none" w:sz="0" w:space="0" w:color="auto"/>
          <w:lang w:val="en-GB"/>
        </w:rPr>
        <w:t>.</w:t>
      </w:r>
      <w:r w:rsidR="00EA65E0" w:rsidRPr="00DF02C5">
        <w:rPr>
          <w:rStyle w:val="FootnoteReference"/>
          <w:rFonts w:eastAsia="Calibri" w:hAnsi="Times New Roman"/>
          <w:snapToGrid w:val="0"/>
          <w:kern w:val="22"/>
          <w:bdr w:val="none" w:sz="0" w:space="0" w:color="auto"/>
          <w:lang w:val="en-GB"/>
        </w:rPr>
        <w:footnoteReference w:id="116"/>
      </w:r>
      <w:r w:rsidR="00EA65E0" w:rsidRPr="00DF02C5">
        <w:rPr>
          <w:rFonts w:eastAsia="Calibri" w:hAnsi="Times New Roman"/>
          <w:snapToGrid w:val="0"/>
          <w:kern w:val="22"/>
          <w:bdr w:val="none" w:sz="0" w:space="0" w:color="auto"/>
          <w:lang w:val="en-GB"/>
        </w:rPr>
        <w:t xml:space="preserve">  </w:t>
      </w:r>
    </w:p>
    <w:p w14:paraId="4416BE6A" w14:textId="5C46C71B" w:rsidR="00EA65E0" w:rsidRPr="00DF02C5" w:rsidRDefault="00EA65E0" w:rsidP="00393914">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 xml:space="preserve">Some countries provided more information on </w:t>
      </w:r>
      <w:r w:rsidR="008E672D" w:rsidRPr="00DF02C5">
        <w:rPr>
          <w:rFonts w:eastAsia="Calibri" w:hAnsi="Times New Roman"/>
          <w:snapToGrid w:val="0"/>
          <w:kern w:val="22"/>
          <w:bdr w:val="none" w:sz="0" w:space="0" w:color="auto"/>
          <w:lang w:val="en-GB"/>
        </w:rPr>
        <w:t xml:space="preserve">the </w:t>
      </w:r>
      <w:r w:rsidRPr="00DF02C5">
        <w:rPr>
          <w:rFonts w:eastAsia="Calibri" w:hAnsi="Times New Roman"/>
          <w:snapToGrid w:val="0"/>
          <w:kern w:val="22"/>
          <w:bdr w:val="none" w:sz="0" w:space="0" w:color="auto"/>
          <w:lang w:val="en-GB"/>
        </w:rPr>
        <w:t>process</w:t>
      </w:r>
      <w:r w:rsidR="008E672D" w:rsidRPr="00DF02C5">
        <w:rPr>
          <w:rFonts w:eastAsia="Calibri" w:hAnsi="Times New Roman"/>
          <w:snapToGrid w:val="0"/>
          <w:kern w:val="22"/>
          <w:bdr w:val="none" w:sz="0" w:space="0" w:color="auto"/>
          <w:lang w:val="en-GB"/>
        </w:rPr>
        <w:t xml:space="preserve"> for establishing MAT. Fo</w:t>
      </w:r>
      <w:r w:rsidRPr="00DF02C5">
        <w:rPr>
          <w:rFonts w:eastAsia="Calibri" w:hAnsi="Times New Roman"/>
          <w:snapToGrid w:val="0"/>
          <w:kern w:val="22"/>
          <w:bdr w:val="none" w:sz="0" w:space="0" w:color="auto"/>
          <w:lang w:val="en-GB"/>
        </w:rPr>
        <w:t xml:space="preserve">r instance, Uganda indicated that a collector shall not access or export genetic resources without entering into </w:t>
      </w:r>
      <w:r w:rsidR="00F655FF" w:rsidRPr="00DF02C5">
        <w:rPr>
          <w:rFonts w:eastAsia="Calibri" w:hAnsi="Times New Roman"/>
          <w:snapToGrid w:val="0"/>
          <w:kern w:val="22"/>
          <w:bdr w:val="none" w:sz="0" w:space="0" w:color="auto"/>
          <w:lang w:val="en-GB"/>
        </w:rPr>
        <w:t>material transfer agreement (</w:t>
      </w:r>
      <w:r w:rsidRPr="00DF02C5">
        <w:rPr>
          <w:rFonts w:eastAsia="Calibri" w:hAnsi="Times New Roman"/>
          <w:snapToGrid w:val="0"/>
          <w:kern w:val="22"/>
          <w:bdr w:val="none" w:sz="0" w:space="0" w:color="auto"/>
          <w:lang w:val="en-GB"/>
        </w:rPr>
        <w:t>MTA</w:t>
      </w:r>
      <w:r w:rsidR="00F655FF" w:rsidRPr="00DF02C5">
        <w:rPr>
          <w:rFonts w:eastAsia="Calibri" w:hAnsi="Times New Roman"/>
          <w:snapToGrid w:val="0"/>
          <w:kern w:val="22"/>
          <w:bdr w:val="none" w:sz="0" w:space="0" w:color="auto"/>
          <w:lang w:val="en-GB"/>
        </w:rPr>
        <w:t>)</w:t>
      </w:r>
      <w:r w:rsidRPr="00DF02C5">
        <w:rPr>
          <w:rFonts w:eastAsia="Calibri" w:hAnsi="Times New Roman"/>
          <w:snapToGrid w:val="0"/>
          <w:kern w:val="22"/>
          <w:bdr w:val="none" w:sz="0" w:space="0" w:color="auto"/>
          <w:lang w:val="en-GB"/>
        </w:rPr>
        <w:t xml:space="preserve">. The MTA is valid for a </w:t>
      </w:r>
      <w:r w:rsidR="00BE209F" w:rsidRPr="00DF02C5">
        <w:rPr>
          <w:rFonts w:eastAsia="Calibri" w:hAnsi="Times New Roman"/>
          <w:snapToGrid w:val="0"/>
          <w:kern w:val="22"/>
          <w:bdr w:val="none" w:sz="0" w:space="0" w:color="auto"/>
          <w:lang w:val="en-GB"/>
        </w:rPr>
        <w:t xml:space="preserve">specified </w:t>
      </w:r>
      <w:r w:rsidRPr="00DF02C5">
        <w:rPr>
          <w:rFonts w:eastAsia="Calibri" w:hAnsi="Times New Roman"/>
          <w:snapToGrid w:val="0"/>
          <w:kern w:val="22"/>
          <w:bdr w:val="none" w:sz="0" w:space="0" w:color="auto"/>
          <w:lang w:val="en-GB"/>
        </w:rPr>
        <w:t xml:space="preserve">period and is issued upon payment </w:t>
      </w:r>
      <w:r w:rsidR="00BE209F" w:rsidRPr="00DF02C5">
        <w:rPr>
          <w:rFonts w:eastAsia="Calibri" w:hAnsi="Times New Roman"/>
          <w:snapToGrid w:val="0"/>
          <w:kern w:val="22"/>
          <w:bdr w:val="none" w:sz="0" w:space="0" w:color="auto"/>
          <w:lang w:val="en-GB"/>
        </w:rPr>
        <w:t xml:space="preserve">of the required fee, </w:t>
      </w:r>
      <w:r w:rsidRPr="00DF02C5">
        <w:rPr>
          <w:rFonts w:eastAsia="Calibri" w:hAnsi="Times New Roman"/>
          <w:snapToGrid w:val="0"/>
          <w:kern w:val="22"/>
          <w:bdr w:val="none" w:sz="0" w:space="0" w:color="auto"/>
          <w:lang w:val="en-GB"/>
        </w:rPr>
        <w:t>by the collector. However no MTA will be entered into before the collector obtain</w:t>
      </w:r>
      <w:r w:rsidR="00BE209F" w:rsidRPr="00DF02C5">
        <w:rPr>
          <w:rFonts w:eastAsia="Calibri" w:hAnsi="Times New Roman"/>
          <w:snapToGrid w:val="0"/>
          <w:kern w:val="22"/>
          <w:bdr w:val="none" w:sz="0" w:space="0" w:color="auto"/>
          <w:lang w:val="en-GB"/>
        </w:rPr>
        <w:t>s</w:t>
      </w:r>
      <w:r w:rsidRPr="00DF02C5">
        <w:rPr>
          <w:rFonts w:eastAsia="Calibri" w:hAnsi="Times New Roman"/>
          <w:snapToGrid w:val="0"/>
          <w:kern w:val="22"/>
          <w:bdr w:val="none" w:sz="0" w:space="0" w:color="auto"/>
          <w:lang w:val="en-GB"/>
        </w:rPr>
        <w:t xml:space="preserve"> PIC and </w:t>
      </w:r>
      <w:r w:rsidR="008E672D" w:rsidRPr="00DF02C5">
        <w:rPr>
          <w:rFonts w:eastAsia="Calibri" w:hAnsi="Times New Roman"/>
          <w:snapToGrid w:val="0"/>
          <w:kern w:val="22"/>
          <w:bdr w:val="none" w:sz="0" w:space="0" w:color="auto"/>
          <w:lang w:val="en-GB"/>
        </w:rPr>
        <w:t xml:space="preserve">an </w:t>
      </w:r>
      <w:r w:rsidRPr="00DF02C5">
        <w:rPr>
          <w:rFonts w:eastAsia="Calibri" w:hAnsi="Times New Roman"/>
          <w:snapToGrid w:val="0"/>
          <w:kern w:val="22"/>
          <w:bdr w:val="none" w:sz="0" w:space="0" w:color="auto"/>
          <w:lang w:val="en-GB"/>
        </w:rPr>
        <w:t>accessory agreement. Accessory agreement</w:t>
      </w:r>
      <w:r w:rsidR="00BE209F" w:rsidRPr="00DF02C5">
        <w:rPr>
          <w:rFonts w:eastAsia="Calibri" w:hAnsi="Times New Roman"/>
          <w:snapToGrid w:val="0"/>
          <w:kern w:val="22"/>
          <w:bdr w:val="none" w:sz="0" w:space="0" w:color="auto"/>
          <w:lang w:val="en-GB"/>
        </w:rPr>
        <w:t>s</w:t>
      </w:r>
      <w:r w:rsidRPr="00DF02C5">
        <w:rPr>
          <w:rFonts w:eastAsia="Calibri" w:hAnsi="Times New Roman"/>
          <w:snapToGrid w:val="0"/>
          <w:kern w:val="22"/>
          <w:bdr w:val="none" w:sz="0" w:space="0" w:color="auto"/>
          <w:lang w:val="en-GB"/>
        </w:rPr>
        <w:t xml:space="preserve"> </w:t>
      </w:r>
      <w:r w:rsidR="00BE209F" w:rsidRPr="00DF02C5">
        <w:rPr>
          <w:rFonts w:eastAsia="Calibri" w:hAnsi="Times New Roman"/>
          <w:snapToGrid w:val="0"/>
          <w:kern w:val="22"/>
          <w:bdr w:val="none" w:sz="0" w:space="0" w:color="auto"/>
          <w:lang w:val="en-GB"/>
        </w:rPr>
        <w:t>are</w:t>
      </w:r>
      <w:r w:rsidRPr="00DF02C5">
        <w:rPr>
          <w:rFonts w:eastAsia="Calibri" w:hAnsi="Times New Roman"/>
          <w:snapToGrid w:val="0"/>
          <w:kern w:val="22"/>
          <w:bdr w:val="none" w:sz="0" w:space="0" w:color="auto"/>
          <w:lang w:val="en-GB"/>
        </w:rPr>
        <w:t xml:space="preserve"> any facilitating agreement relating to PIC and include a letter of exchange, a memorandum of understanding, or an academic or research agreement.</w:t>
      </w:r>
    </w:p>
    <w:p w14:paraId="3793B54F" w14:textId="4774E1CA" w:rsidR="00EA65E0" w:rsidRPr="00DF02C5" w:rsidRDefault="00EA65E0" w:rsidP="00393914">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For some countries, the legal requirements still need to be published</w:t>
      </w:r>
      <w:r w:rsidRPr="00DF02C5">
        <w:rPr>
          <w:rStyle w:val="FootnoteReference"/>
          <w:rFonts w:eastAsia="Calibri" w:hAnsi="Times New Roman"/>
          <w:snapToGrid w:val="0"/>
          <w:color w:val="auto"/>
          <w:kern w:val="22"/>
          <w:bdr w:val="none" w:sz="0" w:space="0" w:color="auto"/>
          <w:lang w:val="en-GB"/>
        </w:rPr>
        <w:footnoteReference w:id="117"/>
      </w:r>
      <w:r w:rsidRPr="00DF02C5">
        <w:rPr>
          <w:rFonts w:eastAsia="Calibri" w:hAnsi="Times New Roman"/>
          <w:snapToGrid w:val="0"/>
          <w:color w:val="auto"/>
          <w:kern w:val="22"/>
          <w:bdr w:val="none" w:sz="0" w:space="0" w:color="auto"/>
          <w:lang w:val="en-GB"/>
        </w:rPr>
        <w:t xml:space="preserve"> or the detailed procedure for MAT still needs to be developed.</w:t>
      </w:r>
      <w:r w:rsidRPr="00DF02C5">
        <w:rPr>
          <w:rStyle w:val="FootnoteReference"/>
          <w:rFonts w:eastAsia="Calibri" w:hAnsi="Times New Roman"/>
          <w:snapToGrid w:val="0"/>
          <w:color w:val="auto"/>
          <w:kern w:val="22"/>
          <w:bdr w:val="none" w:sz="0" w:space="0" w:color="auto"/>
          <w:lang w:val="en-GB"/>
        </w:rPr>
        <w:footnoteReference w:id="118"/>
      </w:r>
      <w:r w:rsidRPr="00DF02C5">
        <w:rPr>
          <w:rFonts w:eastAsia="Calibri" w:hAnsi="Times New Roman"/>
          <w:snapToGrid w:val="0"/>
          <w:color w:val="auto"/>
          <w:kern w:val="22"/>
          <w:bdr w:val="none" w:sz="0" w:space="0" w:color="auto"/>
          <w:lang w:val="en-GB"/>
        </w:rPr>
        <w:t xml:space="preserve">  </w:t>
      </w:r>
    </w:p>
    <w:p w14:paraId="54A02704" w14:textId="217EEF62" w:rsidR="00F655FF" w:rsidRPr="00DF02C5" w:rsidRDefault="00F655FF" w:rsidP="00F655FF">
      <w:pPr>
        <w:pStyle w:val="Para1"/>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t>(b)</w:t>
      </w:r>
      <w:r w:rsidRPr="00DF02C5">
        <w:rPr>
          <w:rFonts w:eastAsia="Calibri" w:hAnsi="Times New Roman"/>
          <w:i/>
          <w:snapToGrid w:val="0"/>
          <w:color w:val="auto"/>
          <w:kern w:val="22"/>
          <w:bdr w:val="none" w:sz="0" w:space="0" w:color="auto"/>
          <w:lang w:val="en-GB"/>
        </w:rPr>
        <w:tab/>
        <w:t>Countries that answered “no”</w:t>
      </w:r>
    </w:p>
    <w:p w14:paraId="79620C0E" w14:textId="70CD79F5" w:rsidR="00EA65E0" w:rsidRPr="00A91EAA" w:rsidRDefault="00EA65E0" w:rsidP="00EA65E0">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 xml:space="preserve">In providing </w:t>
      </w:r>
      <w:r w:rsidR="00DE467F" w:rsidRPr="00DF02C5">
        <w:rPr>
          <w:rFonts w:eastAsia="Calibri" w:hAnsi="Times New Roman"/>
          <w:snapToGrid w:val="0"/>
          <w:kern w:val="22"/>
          <w:bdr w:val="none" w:sz="0" w:space="0" w:color="auto"/>
          <w:lang w:val="en-GB"/>
        </w:rPr>
        <w:t xml:space="preserve">additional </w:t>
      </w:r>
      <w:r w:rsidRPr="00DF02C5">
        <w:rPr>
          <w:rFonts w:eastAsia="Calibri" w:hAnsi="Times New Roman"/>
          <w:snapToGrid w:val="0"/>
          <w:kern w:val="22"/>
          <w:bdr w:val="none" w:sz="0" w:space="0" w:color="auto"/>
          <w:lang w:val="en-GB"/>
        </w:rPr>
        <w:t>information</w:t>
      </w:r>
      <w:r w:rsidR="008E672D" w:rsidRPr="00DF02C5">
        <w:rPr>
          <w:rFonts w:eastAsia="Calibri" w:hAnsi="Times New Roman"/>
          <w:snapToGrid w:val="0"/>
          <w:kern w:val="22"/>
          <w:bdr w:val="none" w:sz="0" w:space="0" w:color="auto"/>
          <w:lang w:val="en-GB"/>
        </w:rPr>
        <w:t xml:space="preserve">, some </w:t>
      </w:r>
      <w:r w:rsidRPr="00DF02C5">
        <w:rPr>
          <w:rFonts w:eastAsia="Calibri" w:hAnsi="Times New Roman"/>
          <w:snapToGrid w:val="0"/>
          <w:kern w:val="22"/>
          <w:bdr w:val="none" w:sz="0" w:space="0" w:color="auto"/>
          <w:lang w:val="en-GB"/>
        </w:rPr>
        <w:t>countries</w:t>
      </w:r>
      <w:r w:rsidRPr="00DF02C5">
        <w:rPr>
          <w:rStyle w:val="FootnoteReference"/>
          <w:rFonts w:eastAsia="Calibri" w:hAnsi="Times New Roman"/>
          <w:snapToGrid w:val="0"/>
          <w:kern w:val="22"/>
          <w:bdr w:val="none" w:sz="0" w:space="0" w:color="auto"/>
          <w:lang w:val="en-GB"/>
        </w:rPr>
        <w:footnoteReference w:id="119"/>
      </w:r>
      <w:r w:rsidR="00BE209F" w:rsidRPr="00DF02C5">
        <w:rPr>
          <w:rFonts w:eastAsia="Calibri" w:hAnsi="Times New Roman"/>
          <w:snapToGrid w:val="0"/>
          <w:kern w:val="22"/>
          <w:bdr w:val="none" w:sz="0" w:space="0" w:color="auto"/>
          <w:lang w:val="en-GB"/>
        </w:rPr>
        <w:t xml:space="preserve"> </w:t>
      </w:r>
      <w:r w:rsidR="00BD60A0" w:rsidRPr="00DF02C5">
        <w:rPr>
          <w:rFonts w:eastAsia="Calibri" w:hAnsi="Times New Roman"/>
          <w:snapToGrid w:val="0"/>
          <w:kern w:val="22"/>
          <w:bdr w:val="none" w:sz="0" w:space="0" w:color="auto"/>
          <w:lang w:val="en-GB"/>
        </w:rPr>
        <w:t xml:space="preserve">indicated </w:t>
      </w:r>
      <w:r w:rsidR="00BE209F" w:rsidRPr="00DF02C5">
        <w:rPr>
          <w:rFonts w:eastAsia="Calibri" w:hAnsi="Times New Roman"/>
          <w:snapToGrid w:val="0"/>
          <w:kern w:val="22"/>
          <w:bdr w:val="none" w:sz="0" w:space="0" w:color="auto"/>
          <w:lang w:val="en-GB"/>
        </w:rPr>
        <w:t>that they are planning to address this issue;</w:t>
      </w:r>
      <w:r w:rsidRPr="00DF02C5">
        <w:rPr>
          <w:rFonts w:eastAsia="Calibri" w:hAnsi="Times New Roman"/>
          <w:snapToGrid w:val="0"/>
          <w:kern w:val="22"/>
          <w:bdr w:val="none" w:sz="0" w:space="0" w:color="auto"/>
          <w:lang w:val="en-GB"/>
        </w:rPr>
        <w:t xml:space="preserve"> others reported having existing</w:t>
      </w:r>
      <w:r w:rsidR="00DE467F" w:rsidRPr="00DF02C5">
        <w:rPr>
          <w:rFonts w:eastAsia="Calibri" w:hAnsi="Times New Roman"/>
          <w:snapToGrid w:val="0"/>
          <w:kern w:val="22"/>
          <w:bdr w:val="none" w:sz="0" w:space="0" w:color="auto"/>
          <w:lang w:val="en-GB"/>
        </w:rPr>
        <w:t xml:space="preserve"> terms</w:t>
      </w:r>
      <w:r w:rsidRPr="00DF02C5">
        <w:rPr>
          <w:rStyle w:val="FootnoteReference"/>
          <w:rFonts w:eastAsia="Calibri" w:hAnsi="Times New Roman"/>
          <w:snapToGrid w:val="0"/>
          <w:kern w:val="22"/>
          <w:bdr w:val="none" w:sz="0" w:space="0" w:color="auto"/>
          <w:lang w:val="en-GB"/>
        </w:rPr>
        <w:footnoteReference w:id="120"/>
      </w:r>
      <w:r w:rsidRPr="00DF02C5">
        <w:rPr>
          <w:rFonts w:eastAsia="Calibri" w:hAnsi="Times New Roman"/>
          <w:snapToGrid w:val="0"/>
          <w:kern w:val="22"/>
          <w:bdr w:val="none" w:sz="0" w:space="0" w:color="auto"/>
          <w:lang w:val="en-GB"/>
        </w:rPr>
        <w:t xml:space="preserve"> or model agreement</w:t>
      </w:r>
      <w:r w:rsidR="008E672D" w:rsidRPr="00DF02C5">
        <w:rPr>
          <w:rFonts w:eastAsia="Calibri" w:hAnsi="Times New Roman"/>
          <w:snapToGrid w:val="0"/>
          <w:kern w:val="22"/>
          <w:bdr w:val="none" w:sz="0" w:space="0" w:color="auto"/>
          <w:lang w:val="en-GB"/>
        </w:rPr>
        <w:t>s</w:t>
      </w:r>
      <w:r w:rsidRPr="00DF02C5">
        <w:rPr>
          <w:rStyle w:val="FootnoteReference"/>
          <w:rFonts w:eastAsia="Calibri" w:hAnsi="Times New Roman"/>
          <w:snapToGrid w:val="0"/>
          <w:kern w:val="22"/>
          <w:bdr w:val="none" w:sz="0" w:space="0" w:color="auto"/>
          <w:lang w:val="en-GB"/>
        </w:rPr>
        <w:footnoteReference w:id="121"/>
      </w:r>
      <w:r w:rsidR="00DE467F" w:rsidRPr="00DF02C5">
        <w:rPr>
          <w:rFonts w:eastAsia="Calibri" w:hAnsi="Times New Roman"/>
          <w:snapToGrid w:val="0"/>
          <w:kern w:val="22"/>
          <w:bdr w:val="none" w:sz="0" w:space="0" w:color="auto"/>
          <w:lang w:val="en-GB"/>
        </w:rPr>
        <w:t xml:space="preserve"> that could</w:t>
      </w:r>
      <w:r w:rsidRPr="00DF02C5">
        <w:rPr>
          <w:rFonts w:eastAsia="Calibri" w:hAnsi="Times New Roman"/>
          <w:snapToGrid w:val="0"/>
          <w:kern w:val="22"/>
          <w:bdr w:val="none" w:sz="0" w:space="0" w:color="auto"/>
          <w:lang w:val="en-GB"/>
        </w:rPr>
        <w:t xml:space="preserve"> be appli</w:t>
      </w:r>
      <w:r w:rsidR="00BE209F" w:rsidRPr="00DF02C5">
        <w:rPr>
          <w:rFonts w:eastAsia="Calibri" w:hAnsi="Times New Roman"/>
          <w:snapToGrid w:val="0"/>
          <w:kern w:val="22"/>
          <w:bdr w:val="none" w:sz="0" w:space="0" w:color="auto"/>
          <w:lang w:val="en-GB"/>
        </w:rPr>
        <w:t>ed</w:t>
      </w:r>
      <w:r w:rsidRPr="00DF02C5">
        <w:rPr>
          <w:rFonts w:eastAsia="Calibri" w:hAnsi="Times New Roman"/>
          <w:snapToGrid w:val="0"/>
          <w:kern w:val="22"/>
          <w:bdr w:val="none" w:sz="0" w:space="0" w:color="auto"/>
          <w:lang w:val="en-GB"/>
        </w:rPr>
        <w:t xml:space="preserve"> in the interim.</w:t>
      </w:r>
    </w:p>
    <w:p w14:paraId="41756627" w14:textId="6EF6A3D8" w:rsidR="00EA65E0" w:rsidRPr="00A91EAA" w:rsidRDefault="00F06177" w:rsidP="00A91EAA">
      <w:pPr>
        <w:pStyle w:val="Para1"/>
        <w:keepNext/>
        <w:numPr>
          <w:ilvl w:val="0"/>
          <w:numId w:val="86"/>
        </w:numPr>
        <w:spacing w:before="240"/>
        <w:jc w:val="left"/>
        <w:rPr>
          <w:rFonts w:eastAsia="Calibri" w:hAnsi="Times New Roman"/>
          <w:i/>
          <w:snapToGrid w:val="0"/>
          <w:kern w:val="22"/>
          <w:bdr w:val="none" w:sz="0" w:space="0" w:color="auto"/>
          <w:lang w:val="en-GB"/>
        </w:rPr>
      </w:pPr>
      <w:r w:rsidRPr="00A91EAA">
        <w:rPr>
          <w:rFonts w:eastAsia="Calibri" w:hAnsi="Times New Roman" w:cs="Arial Unicode MS"/>
          <w:i/>
          <w:snapToGrid w:val="0"/>
          <w:kern w:val="22"/>
          <w:bdr w:val="none" w:sz="0" w:space="0" w:color="auto"/>
          <w:lang w:val="en-GB"/>
        </w:rPr>
        <w:lastRenderedPageBreak/>
        <w:t xml:space="preserve">Benefits received </w:t>
      </w:r>
      <w:r w:rsidRPr="00A91EAA">
        <w:rPr>
          <w:rFonts w:eastAsia="Calibri" w:hAnsi="Times New Roman"/>
          <w:i/>
          <w:snapToGrid w:val="0"/>
          <w:kern w:val="22"/>
          <w:bdr w:val="none" w:sz="0" w:space="0" w:color="auto"/>
          <w:lang w:val="en-GB"/>
        </w:rPr>
        <w:t>since entry into force of the Protocol for your country from the utilization of: genetic resources (monetary and non-monetary) and traditional knowledge associated with genetic resources (monetary and non-monetary)</w:t>
      </w:r>
      <w:r w:rsidR="00EA65E0" w:rsidRPr="00A91EAA">
        <w:rPr>
          <w:rFonts w:eastAsia="Calibri" w:hAnsi="Times New Roman"/>
          <w:i/>
          <w:snapToGrid w:val="0"/>
          <w:kern w:val="22"/>
          <w:bdr w:val="none" w:sz="0" w:space="0" w:color="auto"/>
          <w:lang w:val="en-GB"/>
        </w:rPr>
        <w:t xml:space="preserve"> (question 18)</w:t>
      </w:r>
    </w:p>
    <w:p w14:paraId="73763233" w14:textId="3D6E4B27" w:rsidR="00B01813" w:rsidRPr="00DF02C5" w:rsidRDefault="00F06177" w:rsidP="00177478">
      <w:pPr>
        <w:pStyle w:val="Para1"/>
        <w:numPr>
          <w:ilvl w:val="0"/>
          <w:numId w:val="1"/>
        </w:numPr>
        <w:rPr>
          <w:rFonts w:eastAsia="Calibri" w:hAnsi="Times New Roman"/>
          <w:snapToGrid w:val="0"/>
          <w:color w:val="FF0000"/>
          <w:kern w:val="22"/>
          <w:bdr w:val="none" w:sz="0" w:space="0" w:color="auto"/>
          <w:lang w:val="en-GB"/>
        </w:rPr>
      </w:pPr>
      <w:proofErr w:type="gramStart"/>
      <w:r w:rsidRPr="00DF02C5">
        <w:rPr>
          <w:rFonts w:eastAsia="Calibri" w:hAnsi="Times New Roman"/>
          <w:snapToGrid w:val="0"/>
          <w:kern w:val="22"/>
          <w:bdr w:val="none" w:sz="0" w:space="0" w:color="auto"/>
          <w:lang w:val="en-GB"/>
        </w:rPr>
        <w:t>Thirty four</w:t>
      </w:r>
      <w:proofErr w:type="gramEnd"/>
      <w:r w:rsidRPr="00DF02C5">
        <w:rPr>
          <w:rFonts w:eastAsia="Calibri" w:hAnsi="Times New Roman"/>
          <w:snapToGrid w:val="0"/>
          <w:kern w:val="22"/>
          <w:bdr w:val="none" w:sz="0" w:space="0" w:color="auto"/>
          <w:lang w:val="en-GB"/>
        </w:rPr>
        <w:t xml:space="preserve"> Parties and one non-Party reported having received benefits from the utilization of genetic resources, while seventeen Parties and one non-Party reported benefits from the utilization of associated traditional knowledge.  The following </w:t>
      </w:r>
      <w:r w:rsidR="00302A56" w:rsidRPr="00DF02C5">
        <w:rPr>
          <w:rFonts w:eastAsia="Calibri" w:hAnsi="Times New Roman"/>
          <w:snapToGrid w:val="0"/>
          <w:kern w:val="22"/>
          <w:bdr w:val="none" w:sz="0" w:space="0" w:color="auto"/>
          <w:lang w:val="en-GB"/>
        </w:rPr>
        <w:t xml:space="preserve">graph </w:t>
      </w:r>
      <w:r w:rsidRPr="00DF02C5">
        <w:rPr>
          <w:rFonts w:eastAsia="Calibri" w:hAnsi="Times New Roman"/>
          <w:snapToGrid w:val="0"/>
          <w:kern w:val="22"/>
          <w:bdr w:val="none" w:sz="0" w:space="0" w:color="auto"/>
          <w:lang w:val="en-GB"/>
        </w:rPr>
        <w:t xml:space="preserve">provides an overview of the </w:t>
      </w:r>
      <w:r w:rsidR="00B01813" w:rsidRPr="00DF02C5">
        <w:rPr>
          <w:rFonts w:eastAsia="Calibri" w:hAnsi="Times New Roman"/>
          <w:snapToGrid w:val="0"/>
          <w:kern w:val="22"/>
          <w:bdr w:val="none" w:sz="0" w:space="0" w:color="auto"/>
          <w:lang w:val="en-GB"/>
        </w:rPr>
        <w:t xml:space="preserve">responses provided by countries. </w:t>
      </w:r>
    </w:p>
    <w:p w14:paraId="5E7639C2" w14:textId="7553F434" w:rsidR="00F06177" w:rsidRPr="00DF02C5" w:rsidRDefault="007D5F65" w:rsidP="00E5256F">
      <w:pPr>
        <w:pStyle w:val="Caption"/>
        <w:keepNext/>
        <w:keepLines/>
        <w:rPr>
          <w:rFonts w:eastAsia="Calibri" w:hAnsi="Times New Roman"/>
          <w:snapToGrid w:val="0"/>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00E5256F" w:rsidRPr="00DF02C5">
        <w:rPr>
          <w:noProof/>
          <w:lang w:val="en-GB"/>
        </w:rPr>
        <w:t>12</w:t>
      </w:r>
      <w:r w:rsidRPr="00DF02C5">
        <w:rPr>
          <w:lang w:val="en-GB"/>
        </w:rPr>
        <w:fldChar w:fldCharType="end"/>
      </w:r>
      <w:r w:rsidR="00F06177" w:rsidRPr="00DF02C5">
        <w:rPr>
          <w:lang w:val="en-GB"/>
        </w:rPr>
        <w:t>: Number of countries having received monetary and non-monetary benefits received from the utilization of genetic resources and of traditional knowledge associated with genetic resources</w:t>
      </w:r>
      <w:r w:rsidR="00F06177" w:rsidRPr="00DF02C5">
        <w:rPr>
          <w:rFonts w:ascii="Calibri" w:eastAsia="Calibri" w:hAnsi="Times New Roman"/>
          <w:snapToGrid w:val="0"/>
          <w:bdr w:val="none" w:sz="0" w:space="0" w:color="auto"/>
          <w:lang w:val="en-GB"/>
        </w:rPr>
        <w:br/>
      </w:r>
      <w:r w:rsidR="008442A7">
        <w:rPr>
          <w:noProof/>
        </w:rPr>
        <w:drawing>
          <wp:inline distT="0" distB="0" distL="0" distR="0" wp14:anchorId="30CC58C4" wp14:editId="0E46D454">
            <wp:extent cx="4629150" cy="1895475"/>
            <wp:effectExtent l="0" t="0" r="1905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92776FA" w14:textId="6C2497F9" w:rsidR="00EA65E0" w:rsidRPr="00A91EAA" w:rsidRDefault="00302A56" w:rsidP="00302A56">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kern w:val="22"/>
          <w:bdr w:val="none" w:sz="0" w:space="0" w:color="auto"/>
          <w:lang w:val="en-GB"/>
        </w:rPr>
        <w:t xml:space="preserve">An analysis of the responses reveals that countries provided inconsistent answers to this question. It seems that countries understood differently the implication of selecting one or more of the subcategories </w:t>
      </w:r>
      <w:r w:rsidRPr="00A91EAA">
        <w:rPr>
          <w:rFonts w:eastAsia="Calibri" w:hAnsi="Times New Roman"/>
          <w:snapToGrid w:val="0"/>
          <w:color w:val="auto"/>
          <w:kern w:val="22"/>
          <w:bdr w:val="none" w:sz="0" w:space="0" w:color="auto"/>
          <w:lang w:val="en-GB"/>
        </w:rPr>
        <w:t xml:space="preserve">(e.g. genetic resources). As a consequence, it is difficult to differentiate between countries that reported on benefits received and countries that </w:t>
      </w:r>
      <w:r w:rsidR="00BD60A0" w:rsidRPr="00A91EAA">
        <w:rPr>
          <w:rFonts w:eastAsia="Calibri" w:hAnsi="Times New Roman"/>
          <w:snapToGrid w:val="0"/>
          <w:color w:val="auto"/>
          <w:kern w:val="22"/>
          <w:bdr w:val="none" w:sz="0" w:space="0" w:color="auto"/>
          <w:lang w:val="en-GB"/>
        </w:rPr>
        <w:t xml:space="preserve">indicated </w:t>
      </w:r>
      <w:r w:rsidRPr="00A91EAA">
        <w:rPr>
          <w:rFonts w:eastAsia="Calibri" w:hAnsi="Times New Roman"/>
          <w:snapToGrid w:val="0"/>
          <w:color w:val="auto"/>
          <w:kern w:val="22"/>
          <w:bdr w:val="none" w:sz="0" w:space="0" w:color="auto"/>
          <w:lang w:val="en-GB"/>
        </w:rPr>
        <w:t xml:space="preserve">that benefit-sharing is required or desirable. </w:t>
      </w:r>
      <w:r w:rsidR="00A569E2" w:rsidRPr="00A91EAA">
        <w:rPr>
          <w:rFonts w:eastAsia="Calibri" w:hAnsi="Times New Roman"/>
          <w:snapToGrid w:val="0"/>
          <w:color w:val="auto"/>
          <w:kern w:val="22"/>
          <w:bdr w:val="none" w:sz="0" w:space="0" w:color="auto"/>
          <w:lang w:val="en-GB"/>
        </w:rPr>
        <w:t>T</w:t>
      </w:r>
      <w:r w:rsidR="00EA65E0" w:rsidRPr="00A91EAA">
        <w:rPr>
          <w:rFonts w:eastAsia="Calibri" w:hAnsi="Times New Roman"/>
          <w:snapToGrid w:val="0"/>
          <w:color w:val="auto"/>
          <w:kern w:val="22"/>
          <w:bdr w:val="none" w:sz="0" w:space="0" w:color="auto"/>
          <w:lang w:val="en-GB"/>
        </w:rPr>
        <w:t>he following provides a summary of the information provided in</w:t>
      </w:r>
      <w:r w:rsidRPr="00A91EAA">
        <w:rPr>
          <w:rFonts w:eastAsia="Calibri" w:hAnsi="Times New Roman"/>
          <w:snapToGrid w:val="0"/>
          <w:color w:val="auto"/>
          <w:kern w:val="22"/>
          <w:bdr w:val="none" w:sz="0" w:space="0" w:color="auto"/>
          <w:lang w:val="en-GB"/>
        </w:rPr>
        <w:t xml:space="preserve"> answer to</w:t>
      </w:r>
      <w:r w:rsidR="00EA65E0" w:rsidRPr="00A91EAA">
        <w:rPr>
          <w:rFonts w:eastAsia="Calibri" w:hAnsi="Times New Roman"/>
          <w:snapToGrid w:val="0"/>
          <w:color w:val="auto"/>
          <w:kern w:val="22"/>
          <w:bdr w:val="none" w:sz="0" w:space="0" w:color="auto"/>
          <w:lang w:val="en-GB"/>
        </w:rPr>
        <w:t xml:space="preserve"> this question.</w:t>
      </w:r>
    </w:p>
    <w:p w14:paraId="2177EEC8" w14:textId="3C4337A0" w:rsidR="00EA65E0" w:rsidRPr="00A91EAA" w:rsidRDefault="00EA65E0" w:rsidP="00393914">
      <w:pPr>
        <w:pStyle w:val="Para1"/>
        <w:numPr>
          <w:ilvl w:val="0"/>
          <w:numId w:val="1"/>
        </w:numPr>
        <w:rPr>
          <w:rFonts w:eastAsia="Calibri" w:hAnsi="Times New Roman"/>
          <w:snapToGrid w:val="0"/>
          <w:color w:val="auto"/>
          <w:kern w:val="22"/>
          <w:bdr w:val="none" w:sz="0" w:space="0" w:color="auto"/>
          <w:lang w:val="en-GB"/>
        </w:rPr>
      </w:pPr>
      <w:r w:rsidRPr="00A91EAA">
        <w:rPr>
          <w:rFonts w:eastAsia="Calibri" w:hAnsi="Times New Roman"/>
          <w:snapToGrid w:val="0"/>
          <w:color w:val="auto"/>
          <w:kern w:val="22"/>
          <w:bdr w:val="none" w:sz="0" w:space="0" w:color="auto"/>
          <w:lang w:val="en-GB"/>
        </w:rPr>
        <w:t xml:space="preserve">Some countries provided general information on benefits received. For example, India </w:t>
      </w:r>
      <w:r w:rsidR="00302A56" w:rsidRPr="00A91EAA">
        <w:rPr>
          <w:rFonts w:eastAsia="Calibri" w:hAnsi="Times New Roman"/>
          <w:snapToGrid w:val="0"/>
          <w:color w:val="auto"/>
          <w:kern w:val="22"/>
          <w:bdr w:val="none" w:sz="0" w:space="0" w:color="auto"/>
          <w:lang w:val="en-GB"/>
        </w:rPr>
        <w:t xml:space="preserve">indicated </w:t>
      </w:r>
      <w:r w:rsidRPr="00A91EAA">
        <w:rPr>
          <w:rFonts w:eastAsia="Calibri" w:hAnsi="Times New Roman"/>
          <w:snapToGrid w:val="0"/>
          <w:color w:val="auto"/>
          <w:kern w:val="22"/>
          <w:bdr w:val="none" w:sz="0" w:space="0" w:color="auto"/>
          <w:lang w:val="en-GB"/>
        </w:rPr>
        <w:t>that the benefits receive</w:t>
      </w:r>
      <w:r w:rsidR="00302A56" w:rsidRPr="00A91EAA">
        <w:rPr>
          <w:rFonts w:eastAsia="Calibri" w:hAnsi="Times New Roman"/>
          <w:snapToGrid w:val="0"/>
          <w:color w:val="auto"/>
          <w:kern w:val="22"/>
          <w:bdr w:val="none" w:sz="0" w:space="0" w:color="auto"/>
          <w:lang w:val="en-GB"/>
        </w:rPr>
        <w:t xml:space="preserve">d are from biological resources. </w:t>
      </w:r>
      <w:r w:rsidRPr="00A91EAA">
        <w:rPr>
          <w:rFonts w:eastAsia="Calibri" w:hAnsi="Times New Roman"/>
          <w:snapToGrid w:val="0"/>
          <w:color w:val="auto"/>
          <w:kern w:val="22"/>
          <w:bdr w:val="none" w:sz="0" w:space="0" w:color="auto"/>
          <w:lang w:val="en-GB"/>
        </w:rPr>
        <w:t>Mexico noted that agreements between users and providers are confidential</w:t>
      </w:r>
      <w:r w:rsidR="00302A56" w:rsidRPr="00A91EAA">
        <w:rPr>
          <w:rFonts w:eastAsia="Calibri" w:hAnsi="Times New Roman"/>
          <w:snapToGrid w:val="0"/>
          <w:color w:val="auto"/>
          <w:kern w:val="22"/>
          <w:bdr w:val="none" w:sz="0" w:space="0" w:color="auto"/>
          <w:lang w:val="en-GB"/>
        </w:rPr>
        <w:t>, including the benefits shared</w:t>
      </w:r>
      <w:r w:rsidRPr="00A91EAA">
        <w:rPr>
          <w:rFonts w:eastAsia="Calibri" w:hAnsi="Times New Roman"/>
          <w:snapToGrid w:val="0"/>
          <w:color w:val="auto"/>
          <w:kern w:val="22"/>
          <w:bdr w:val="none" w:sz="0" w:space="0" w:color="auto"/>
          <w:lang w:val="en-GB"/>
        </w:rPr>
        <w:t xml:space="preserve">. </w:t>
      </w:r>
      <w:r w:rsidR="00A569E2" w:rsidRPr="00A91EAA">
        <w:rPr>
          <w:rFonts w:eastAsia="Calibri" w:hAnsi="Times New Roman"/>
          <w:snapToGrid w:val="0"/>
          <w:color w:val="auto"/>
          <w:kern w:val="22"/>
          <w:bdr w:val="none" w:sz="0" w:space="0" w:color="auto"/>
          <w:lang w:val="en-GB"/>
        </w:rPr>
        <w:t>Lao People’</w:t>
      </w:r>
      <w:r w:rsidRPr="00A91EAA">
        <w:rPr>
          <w:rFonts w:eastAsia="Calibri" w:hAnsi="Times New Roman"/>
          <w:snapToGrid w:val="0"/>
          <w:color w:val="auto"/>
          <w:kern w:val="22"/>
          <w:bdr w:val="none" w:sz="0" w:space="0" w:color="auto"/>
          <w:lang w:val="en-GB"/>
        </w:rPr>
        <w:t xml:space="preserve">s Democratic Republic and </w:t>
      </w:r>
      <w:r w:rsidR="00933054" w:rsidRPr="00A91EAA">
        <w:rPr>
          <w:rFonts w:eastAsia="Calibri" w:hAnsi="Times New Roman"/>
          <w:snapToGrid w:val="0"/>
          <w:color w:val="auto"/>
          <w:kern w:val="22"/>
          <w:bdr w:val="none" w:sz="0" w:space="0" w:color="auto"/>
          <w:lang w:val="en-GB"/>
        </w:rPr>
        <w:t>Viet Nam</w:t>
      </w:r>
      <w:r w:rsidRPr="00A91EAA">
        <w:rPr>
          <w:rFonts w:eastAsia="Calibri" w:hAnsi="Times New Roman"/>
          <w:snapToGrid w:val="0"/>
          <w:color w:val="auto"/>
          <w:kern w:val="22"/>
          <w:bdr w:val="none" w:sz="0" w:space="0" w:color="auto"/>
          <w:lang w:val="en-GB"/>
        </w:rPr>
        <w:t xml:space="preserve"> reported seeing an increase </w:t>
      </w:r>
      <w:r w:rsidR="002F09C2" w:rsidRPr="00A91EAA">
        <w:rPr>
          <w:rFonts w:eastAsia="Calibri" w:hAnsi="Times New Roman"/>
          <w:snapToGrid w:val="0"/>
          <w:color w:val="auto"/>
          <w:kern w:val="22"/>
          <w:bdr w:val="none" w:sz="0" w:space="0" w:color="auto"/>
          <w:lang w:val="en-GB"/>
        </w:rPr>
        <w:t>in</w:t>
      </w:r>
      <w:r w:rsidRPr="00A91EAA">
        <w:rPr>
          <w:rFonts w:eastAsia="Calibri" w:hAnsi="Times New Roman"/>
          <w:snapToGrid w:val="0"/>
          <w:color w:val="auto"/>
          <w:kern w:val="22"/>
          <w:bdr w:val="none" w:sz="0" w:space="0" w:color="auto"/>
          <w:lang w:val="en-GB"/>
        </w:rPr>
        <w:t xml:space="preserve"> requests for information on ABS since the entry into force of the Protocol</w:t>
      </w:r>
      <w:r w:rsidR="002F09C2" w:rsidRPr="00A91EAA">
        <w:rPr>
          <w:rFonts w:eastAsia="Calibri" w:hAnsi="Times New Roman"/>
          <w:snapToGrid w:val="0"/>
          <w:color w:val="auto"/>
          <w:kern w:val="22"/>
          <w:bdr w:val="none" w:sz="0" w:space="0" w:color="auto"/>
          <w:lang w:val="en-GB"/>
        </w:rPr>
        <w:t>.</w:t>
      </w:r>
    </w:p>
    <w:p w14:paraId="1110402E" w14:textId="260BEB1C" w:rsidR="00EA65E0" w:rsidRPr="00A91EAA" w:rsidRDefault="00BD60A0" w:rsidP="00393914">
      <w:pPr>
        <w:pStyle w:val="Para1"/>
        <w:numPr>
          <w:ilvl w:val="0"/>
          <w:numId w:val="1"/>
        </w:numPr>
        <w:rPr>
          <w:rFonts w:eastAsia="Calibri" w:hAnsi="Times New Roman"/>
          <w:snapToGrid w:val="0"/>
          <w:color w:val="auto"/>
          <w:kern w:val="22"/>
          <w:bdr w:val="none" w:sz="0" w:space="0" w:color="auto"/>
          <w:lang w:val="en-GB"/>
        </w:rPr>
      </w:pPr>
      <w:r w:rsidRPr="00A91EAA">
        <w:rPr>
          <w:rFonts w:eastAsia="Calibri" w:hAnsi="Times New Roman"/>
          <w:snapToGrid w:val="0"/>
          <w:color w:val="auto"/>
          <w:kern w:val="22"/>
          <w:bdr w:val="none" w:sz="0" w:space="0" w:color="auto"/>
          <w:lang w:val="en-GB"/>
        </w:rPr>
        <w:t>A</w:t>
      </w:r>
      <w:r w:rsidR="00EA65E0" w:rsidRPr="00A91EAA">
        <w:rPr>
          <w:rFonts w:eastAsia="Calibri" w:hAnsi="Times New Roman"/>
          <w:snapToGrid w:val="0"/>
          <w:color w:val="auto"/>
          <w:kern w:val="22"/>
          <w:bdr w:val="none" w:sz="0" w:space="0" w:color="auto"/>
          <w:lang w:val="en-GB"/>
        </w:rPr>
        <w:t xml:space="preserve"> number </w:t>
      </w:r>
      <w:r w:rsidR="00A569E2" w:rsidRPr="00A91EAA">
        <w:rPr>
          <w:rFonts w:eastAsia="Calibri" w:hAnsi="Times New Roman"/>
          <w:snapToGrid w:val="0"/>
          <w:color w:val="auto"/>
          <w:kern w:val="22"/>
          <w:bdr w:val="none" w:sz="0" w:space="0" w:color="auto"/>
          <w:lang w:val="en-GB"/>
        </w:rPr>
        <w:t xml:space="preserve">of </w:t>
      </w:r>
      <w:r w:rsidR="00EA65E0" w:rsidRPr="00A91EAA">
        <w:rPr>
          <w:rFonts w:eastAsia="Calibri" w:hAnsi="Times New Roman"/>
          <w:snapToGrid w:val="0"/>
          <w:color w:val="auto"/>
          <w:kern w:val="22"/>
          <w:bdr w:val="none" w:sz="0" w:space="0" w:color="auto"/>
          <w:lang w:val="en-GB"/>
        </w:rPr>
        <w:t>countries explained that the question</w:t>
      </w:r>
      <w:r w:rsidR="00A569E2" w:rsidRPr="00A91EAA">
        <w:rPr>
          <w:rFonts w:eastAsia="Calibri" w:hAnsi="Times New Roman"/>
          <w:snapToGrid w:val="0"/>
          <w:color w:val="auto"/>
          <w:kern w:val="22"/>
          <w:bdr w:val="none" w:sz="0" w:space="0" w:color="auto"/>
          <w:lang w:val="en-GB"/>
        </w:rPr>
        <w:t xml:space="preserve"> was not applicable as there were</w:t>
      </w:r>
      <w:r w:rsidR="00EA65E0" w:rsidRPr="00A91EAA">
        <w:rPr>
          <w:rFonts w:eastAsia="Calibri" w:hAnsi="Times New Roman"/>
          <w:snapToGrid w:val="0"/>
          <w:color w:val="auto"/>
          <w:kern w:val="22"/>
          <w:bdr w:val="none" w:sz="0" w:space="0" w:color="auto"/>
          <w:lang w:val="en-GB"/>
        </w:rPr>
        <w:t xml:space="preserve"> no access measures in place.</w:t>
      </w:r>
      <w:r w:rsidR="002F09C2" w:rsidRPr="00A91EAA">
        <w:rPr>
          <w:rFonts w:eastAsia="Calibri" w:hAnsi="Times New Roman"/>
          <w:snapToGrid w:val="0"/>
          <w:color w:val="auto"/>
          <w:kern w:val="22"/>
          <w:bdr w:val="none" w:sz="0" w:space="0" w:color="auto"/>
          <w:vertAlign w:val="superscript"/>
          <w:lang w:val="en-GB"/>
        </w:rPr>
        <w:t xml:space="preserve"> </w:t>
      </w:r>
      <w:r w:rsidR="002F09C2" w:rsidRPr="00A91EAA">
        <w:rPr>
          <w:rFonts w:eastAsia="Calibri" w:hAnsi="Times New Roman"/>
          <w:snapToGrid w:val="0"/>
          <w:color w:val="auto"/>
          <w:kern w:val="22"/>
          <w:bdr w:val="none" w:sz="0" w:space="0" w:color="auto"/>
          <w:vertAlign w:val="superscript"/>
          <w:lang w:val="en-GB"/>
        </w:rPr>
        <w:footnoteReference w:id="122"/>
      </w:r>
      <w:r w:rsidR="00EA65E0" w:rsidRPr="00A91EAA">
        <w:rPr>
          <w:rFonts w:eastAsia="Calibri" w:hAnsi="Times New Roman"/>
          <w:snapToGrid w:val="0"/>
          <w:color w:val="auto"/>
          <w:kern w:val="22"/>
          <w:bdr w:val="none" w:sz="0" w:space="0" w:color="auto"/>
          <w:lang w:val="en-GB"/>
        </w:rPr>
        <w:t xml:space="preserve">  Nine countries reported not having received any type of benefits</w:t>
      </w:r>
      <w:r w:rsidR="00EA65E0" w:rsidRPr="00A91EAA">
        <w:rPr>
          <w:rFonts w:eastAsia="Calibri" w:hAnsi="Times New Roman"/>
          <w:snapToGrid w:val="0"/>
          <w:color w:val="auto"/>
          <w:kern w:val="22"/>
          <w:bdr w:val="none" w:sz="0" w:space="0" w:color="auto"/>
          <w:vertAlign w:val="superscript"/>
          <w:lang w:val="en-GB"/>
        </w:rPr>
        <w:footnoteReference w:id="123"/>
      </w:r>
      <w:r w:rsidR="00A91EAA">
        <w:rPr>
          <w:rFonts w:eastAsia="Calibri" w:hAnsi="Times New Roman"/>
          <w:snapToGrid w:val="0"/>
          <w:color w:val="auto"/>
          <w:kern w:val="22"/>
          <w:bdr w:val="none" w:sz="0" w:space="0" w:color="auto"/>
          <w:lang w:val="en-GB"/>
        </w:rPr>
        <w:t xml:space="preserve"> </w:t>
      </w:r>
      <w:r w:rsidR="00EA65E0" w:rsidRPr="00A91EAA">
        <w:rPr>
          <w:rFonts w:eastAsia="Calibri" w:hAnsi="Times New Roman"/>
          <w:snapToGrid w:val="0"/>
          <w:color w:val="auto"/>
          <w:kern w:val="22"/>
          <w:bdr w:val="none" w:sz="0" w:space="0" w:color="auto"/>
          <w:lang w:val="en-GB"/>
        </w:rPr>
        <w:t>and two indicated not having information available on the matter</w:t>
      </w:r>
      <w:r w:rsidR="00EA65E0" w:rsidRPr="00A91EAA">
        <w:rPr>
          <w:rFonts w:eastAsia="Calibri" w:hAnsi="Times New Roman"/>
          <w:snapToGrid w:val="0"/>
          <w:color w:val="auto"/>
          <w:kern w:val="22"/>
          <w:bdr w:val="none" w:sz="0" w:space="0" w:color="auto"/>
          <w:vertAlign w:val="superscript"/>
          <w:lang w:val="en-GB"/>
        </w:rPr>
        <w:footnoteReference w:id="124"/>
      </w:r>
      <w:r w:rsidR="00EA65E0" w:rsidRPr="00A91EAA">
        <w:rPr>
          <w:rFonts w:eastAsia="Calibri" w:hAnsi="Times New Roman"/>
          <w:snapToGrid w:val="0"/>
          <w:color w:val="auto"/>
          <w:kern w:val="22"/>
          <w:bdr w:val="none" w:sz="0" w:space="0" w:color="auto"/>
          <w:lang w:val="en-GB"/>
        </w:rPr>
        <w:t xml:space="preserve">. </w:t>
      </w:r>
    </w:p>
    <w:p w14:paraId="377AF02A" w14:textId="33BC4D34" w:rsidR="00EA65E0" w:rsidRPr="00A91EAA" w:rsidRDefault="00EA65E0" w:rsidP="00302A56">
      <w:pPr>
        <w:pStyle w:val="Para1"/>
        <w:numPr>
          <w:ilvl w:val="1"/>
          <w:numId w:val="1"/>
        </w:numPr>
        <w:rPr>
          <w:rFonts w:eastAsia="Calibri" w:hAnsi="Times New Roman"/>
          <w:snapToGrid w:val="0"/>
          <w:color w:val="auto"/>
          <w:kern w:val="22"/>
          <w:bdr w:val="none" w:sz="0" w:space="0" w:color="auto"/>
          <w:lang w:val="en-GB"/>
        </w:rPr>
      </w:pPr>
      <w:r w:rsidRPr="00A91EAA">
        <w:rPr>
          <w:rFonts w:eastAsia="Calibri" w:hAnsi="Times New Roman"/>
          <w:i/>
          <w:snapToGrid w:val="0"/>
          <w:color w:val="auto"/>
          <w:kern w:val="22"/>
          <w:bdr w:val="none" w:sz="0" w:space="0" w:color="auto"/>
          <w:lang w:val="en-GB"/>
        </w:rPr>
        <w:t>Monetary benefits from the utilization of genetic resources</w:t>
      </w:r>
    </w:p>
    <w:p w14:paraId="025C51BB" w14:textId="6DB3DE6D" w:rsidR="00EA65E0" w:rsidRPr="00A91EAA" w:rsidRDefault="00EA65E0" w:rsidP="00393914">
      <w:pPr>
        <w:pStyle w:val="Para1"/>
        <w:numPr>
          <w:ilvl w:val="0"/>
          <w:numId w:val="1"/>
        </w:numPr>
        <w:rPr>
          <w:rFonts w:eastAsia="Calibri" w:hAnsi="Times New Roman"/>
          <w:snapToGrid w:val="0"/>
          <w:color w:val="auto"/>
          <w:kern w:val="22"/>
          <w:bdr w:val="none" w:sz="0" w:space="0" w:color="auto"/>
          <w:lang w:val="en-GB"/>
        </w:rPr>
      </w:pPr>
      <w:r w:rsidRPr="00A91EAA">
        <w:rPr>
          <w:rFonts w:eastAsia="Calibri" w:hAnsi="Times New Roman"/>
          <w:snapToGrid w:val="0"/>
          <w:color w:val="auto"/>
          <w:kern w:val="22"/>
          <w:bdr w:val="none" w:sz="0" w:space="0" w:color="auto"/>
          <w:lang w:val="en-GB"/>
        </w:rPr>
        <w:t>Three countries</w:t>
      </w:r>
      <w:r w:rsidRPr="00A91EAA">
        <w:rPr>
          <w:rStyle w:val="FootnoteReference"/>
          <w:rFonts w:eastAsia="Calibri" w:hAnsi="Times New Roman"/>
          <w:snapToGrid w:val="0"/>
          <w:color w:val="auto"/>
          <w:kern w:val="22"/>
          <w:bdr w:val="none" w:sz="0" w:space="0" w:color="auto"/>
          <w:lang w:val="en-GB"/>
        </w:rPr>
        <w:footnoteReference w:id="125"/>
      </w:r>
      <w:r w:rsidRPr="00A91EAA">
        <w:rPr>
          <w:rFonts w:eastAsia="Calibri" w:hAnsi="Times New Roman"/>
          <w:snapToGrid w:val="0"/>
          <w:color w:val="auto"/>
          <w:kern w:val="22"/>
          <w:bdr w:val="none" w:sz="0" w:space="0" w:color="auto"/>
          <w:lang w:val="en-GB"/>
        </w:rPr>
        <w:t xml:space="preserve"> reported not having received any monetary benefits,</w:t>
      </w:r>
      <w:r w:rsidR="00A569E2" w:rsidRPr="00A91EAA">
        <w:rPr>
          <w:rFonts w:eastAsia="Calibri" w:hAnsi="Times New Roman"/>
          <w:snapToGrid w:val="0"/>
          <w:color w:val="auto"/>
          <w:kern w:val="22"/>
          <w:bdr w:val="none" w:sz="0" w:space="0" w:color="auto"/>
          <w:lang w:val="en-GB"/>
        </w:rPr>
        <w:t xml:space="preserve"> while</w:t>
      </w:r>
      <w:r w:rsidRPr="00A91EAA">
        <w:rPr>
          <w:rFonts w:eastAsia="Calibri" w:hAnsi="Times New Roman"/>
          <w:snapToGrid w:val="0"/>
          <w:color w:val="auto"/>
          <w:kern w:val="22"/>
          <w:bdr w:val="none" w:sz="0" w:space="0" w:color="auto"/>
          <w:lang w:val="en-GB"/>
        </w:rPr>
        <w:t xml:space="preserve"> others provided an indication of the amount of monetary benefits received</w:t>
      </w:r>
      <w:r w:rsidR="00A569E2" w:rsidRPr="00A91EAA">
        <w:rPr>
          <w:rFonts w:eastAsia="Calibri" w:hAnsi="Times New Roman"/>
          <w:snapToGrid w:val="0"/>
          <w:color w:val="auto"/>
          <w:kern w:val="22"/>
          <w:bdr w:val="none" w:sz="0" w:space="0" w:color="auto"/>
          <w:lang w:val="en-GB"/>
        </w:rPr>
        <w:t>. F</w:t>
      </w:r>
      <w:r w:rsidRPr="00A91EAA">
        <w:rPr>
          <w:rFonts w:eastAsia="Calibri" w:hAnsi="Times New Roman"/>
          <w:snapToGrid w:val="0"/>
          <w:color w:val="auto"/>
          <w:kern w:val="22"/>
          <w:bdr w:val="none" w:sz="0" w:space="0" w:color="auto"/>
          <w:lang w:val="en-GB"/>
        </w:rPr>
        <w:t>or instance:</w:t>
      </w:r>
    </w:p>
    <w:p w14:paraId="2AB81793" w14:textId="2C607E08" w:rsidR="00EA65E0" w:rsidRPr="00A91EAA" w:rsidRDefault="00EA65E0" w:rsidP="00195CA3">
      <w:pPr>
        <w:pStyle w:val="ListParagraph"/>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1440"/>
        </w:tabs>
        <w:spacing w:before="60"/>
        <w:ind w:left="0" w:firstLine="720"/>
        <w:rPr>
          <w:rFonts w:eastAsia="Calibri" w:hAnsi="Times New Roman"/>
          <w:snapToGrid w:val="0"/>
          <w:color w:val="auto"/>
          <w:kern w:val="22"/>
          <w:bdr w:val="none" w:sz="0" w:space="0" w:color="auto"/>
          <w:lang w:val="en-GB"/>
        </w:rPr>
      </w:pPr>
      <w:r w:rsidRPr="00A91EAA">
        <w:rPr>
          <w:rFonts w:eastAsia="Calibri" w:hAnsi="Times New Roman"/>
          <w:snapToGrid w:val="0"/>
          <w:color w:val="auto"/>
          <w:kern w:val="22"/>
          <w:bdr w:val="none" w:sz="0" w:space="0" w:color="auto"/>
          <w:lang w:val="en-GB"/>
        </w:rPr>
        <w:t>Ethiopia indicated having received 2,314,000 Ethiopian Birr (</w:t>
      </w:r>
      <w:r w:rsidR="00A91EAA">
        <w:rPr>
          <w:rFonts w:eastAsia="Calibri" w:hAnsi="Times New Roman"/>
          <w:snapToGrid w:val="0"/>
          <w:color w:val="auto"/>
          <w:kern w:val="22"/>
          <w:bdr w:val="none" w:sz="0" w:space="0" w:color="auto"/>
          <w:lang w:val="en-GB"/>
        </w:rPr>
        <w:t>ETB) (approximately 84,391 USD);</w:t>
      </w:r>
    </w:p>
    <w:p w14:paraId="736D356C" w14:textId="666F29EC" w:rsidR="00EA65E0" w:rsidRPr="00DF02C5" w:rsidRDefault="00EA65E0" w:rsidP="00195CA3">
      <w:pPr>
        <w:pStyle w:val="ListParagraph"/>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1440"/>
        </w:tabs>
        <w:spacing w:before="60"/>
        <w:ind w:left="0" w:firstLine="720"/>
        <w:rPr>
          <w:rFonts w:eastAsia="Calibri" w:hAnsi="Times New Roman"/>
          <w:snapToGrid w:val="0"/>
          <w:kern w:val="22"/>
          <w:bdr w:val="none" w:sz="0" w:space="0" w:color="auto"/>
          <w:lang w:val="en-GB"/>
        </w:rPr>
      </w:pPr>
      <w:r w:rsidRPr="00A91EAA">
        <w:rPr>
          <w:rFonts w:eastAsia="Calibri" w:hAnsi="Times New Roman"/>
          <w:snapToGrid w:val="0"/>
          <w:color w:val="auto"/>
          <w:kern w:val="22"/>
          <w:bdr w:val="none" w:sz="0" w:space="0" w:color="auto"/>
          <w:lang w:val="en-GB"/>
        </w:rPr>
        <w:t>Kenya reported a total amount received from fees, upfront</w:t>
      </w:r>
      <w:r w:rsidR="00302A56" w:rsidRPr="00A91EAA">
        <w:rPr>
          <w:rFonts w:eastAsia="Calibri" w:hAnsi="Times New Roman"/>
          <w:snapToGrid w:val="0"/>
          <w:color w:val="auto"/>
          <w:kern w:val="22"/>
          <w:bdr w:val="none" w:sz="0" w:space="0" w:color="auto"/>
          <w:lang w:val="en-GB"/>
        </w:rPr>
        <w:t xml:space="preserve"> payments</w:t>
      </w:r>
      <w:r w:rsidRPr="00A91EAA">
        <w:rPr>
          <w:rFonts w:eastAsia="Calibri" w:hAnsi="Times New Roman"/>
          <w:snapToGrid w:val="0"/>
          <w:color w:val="auto"/>
          <w:kern w:val="22"/>
          <w:bdr w:val="none" w:sz="0" w:space="0" w:color="auto"/>
          <w:lang w:val="en-GB"/>
        </w:rPr>
        <w:t xml:space="preserve">, trainings and </w:t>
      </w:r>
      <w:r w:rsidRPr="00DF02C5">
        <w:rPr>
          <w:rFonts w:eastAsia="Calibri" w:hAnsi="Times New Roman"/>
          <w:snapToGrid w:val="0"/>
          <w:kern w:val="22"/>
          <w:bdr w:val="none" w:sz="0" w:space="0" w:color="auto"/>
          <w:lang w:val="en-GB"/>
        </w:rPr>
        <w:t xml:space="preserve">royalties of 171,407.51 </w:t>
      </w:r>
      <w:r w:rsidR="0086045E" w:rsidRPr="00DF02C5">
        <w:rPr>
          <w:rFonts w:eastAsia="Calibri" w:hAnsi="Times New Roman"/>
          <w:snapToGrid w:val="0"/>
          <w:kern w:val="22"/>
          <w:bdr w:val="none" w:sz="0" w:space="0" w:color="auto"/>
          <w:lang w:val="en-GB"/>
        </w:rPr>
        <w:t xml:space="preserve">USD </w:t>
      </w:r>
      <w:r w:rsidRPr="00DF02C5">
        <w:rPr>
          <w:rFonts w:eastAsia="Calibri" w:hAnsi="Times New Roman"/>
          <w:snapToGrid w:val="0"/>
          <w:kern w:val="22"/>
          <w:bdr w:val="none" w:sz="0" w:space="0" w:color="auto"/>
          <w:lang w:val="en-GB"/>
        </w:rPr>
        <w:t>(the total amount of re</w:t>
      </w:r>
      <w:r w:rsidR="00A91EAA">
        <w:rPr>
          <w:rFonts w:eastAsia="Calibri" w:hAnsi="Times New Roman"/>
          <w:snapToGrid w:val="0"/>
          <w:kern w:val="22"/>
          <w:bdr w:val="none" w:sz="0" w:space="0" w:color="auto"/>
          <w:lang w:val="en-GB"/>
        </w:rPr>
        <w:t xml:space="preserve">search grants </w:t>
      </w:r>
      <w:proofErr w:type="gramStart"/>
      <w:r w:rsidR="00A91EAA">
        <w:rPr>
          <w:rFonts w:eastAsia="Calibri" w:hAnsi="Times New Roman"/>
          <w:snapToGrid w:val="0"/>
          <w:kern w:val="22"/>
          <w:bdr w:val="none" w:sz="0" w:space="0" w:color="auto"/>
          <w:lang w:val="en-GB"/>
        </w:rPr>
        <w:t>are</w:t>
      </w:r>
      <w:proofErr w:type="gramEnd"/>
      <w:r w:rsidR="00A91EAA">
        <w:rPr>
          <w:rFonts w:eastAsia="Calibri" w:hAnsi="Times New Roman"/>
          <w:snapToGrid w:val="0"/>
          <w:kern w:val="22"/>
          <w:bdr w:val="none" w:sz="0" w:space="0" w:color="auto"/>
          <w:lang w:val="en-GB"/>
        </w:rPr>
        <w:t xml:space="preserve"> not included);</w:t>
      </w:r>
    </w:p>
    <w:p w14:paraId="3FA76AF8" w14:textId="79D0976A" w:rsidR="00EA65E0" w:rsidRPr="00DF02C5" w:rsidRDefault="00EA65E0" w:rsidP="00195CA3">
      <w:pPr>
        <w:pStyle w:val="ListParagraph"/>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1440"/>
        </w:tabs>
        <w:spacing w:before="60"/>
        <w:ind w:left="0" w:firstLine="720"/>
        <w:rPr>
          <w:rFonts w:eastAsia="Calibri" w:hAnsi="Times New Roman"/>
          <w:snapToGrid w:val="0"/>
          <w:color w:val="auto"/>
          <w:kern w:val="22"/>
          <w:bdr w:val="none" w:sz="0" w:space="0" w:color="auto"/>
          <w:lang w:val="en-GB"/>
        </w:rPr>
      </w:pPr>
      <w:r w:rsidRPr="00DF02C5">
        <w:rPr>
          <w:rFonts w:eastAsia="Calibri" w:hAnsi="Times New Roman"/>
          <w:snapToGrid w:val="0"/>
          <w:kern w:val="22"/>
          <w:bdr w:val="none" w:sz="0" w:space="0" w:color="auto"/>
          <w:lang w:val="en-GB"/>
        </w:rPr>
        <w:lastRenderedPageBreak/>
        <w:t>South</w:t>
      </w:r>
      <w:r w:rsidRPr="00DF02C5">
        <w:rPr>
          <w:rFonts w:eastAsia="Calibri" w:hAnsi="Times New Roman"/>
          <w:snapToGrid w:val="0"/>
          <w:color w:val="auto"/>
          <w:kern w:val="22"/>
          <w:bdr w:val="none" w:sz="0" w:space="0" w:color="auto"/>
          <w:lang w:val="en-GB"/>
        </w:rPr>
        <w:t xml:space="preserve"> Africa reported that more than two mi</w:t>
      </w:r>
      <w:r w:rsidR="0086045E" w:rsidRPr="00DF02C5">
        <w:rPr>
          <w:rFonts w:eastAsia="Calibri" w:hAnsi="Times New Roman"/>
          <w:snapToGrid w:val="0"/>
          <w:color w:val="auto"/>
          <w:kern w:val="22"/>
          <w:bdr w:val="none" w:sz="0" w:space="0" w:color="auto"/>
          <w:lang w:val="en-GB"/>
        </w:rPr>
        <w:t>llion rands (approximately 165,</w:t>
      </w:r>
      <w:r w:rsidR="00302A56" w:rsidRPr="00DF02C5">
        <w:rPr>
          <w:rFonts w:eastAsia="Calibri" w:hAnsi="Times New Roman"/>
          <w:snapToGrid w:val="0"/>
          <w:color w:val="auto"/>
          <w:kern w:val="22"/>
          <w:bdr w:val="none" w:sz="0" w:space="0" w:color="auto"/>
          <w:lang w:val="en-GB"/>
        </w:rPr>
        <w:t>920 USD) had</w:t>
      </w:r>
      <w:r w:rsidRPr="00DF02C5">
        <w:rPr>
          <w:rFonts w:eastAsia="Calibri" w:hAnsi="Times New Roman"/>
          <w:snapToGrid w:val="0"/>
          <w:color w:val="auto"/>
          <w:kern w:val="22"/>
          <w:bdr w:val="none" w:sz="0" w:space="0" w:color="auto"/>
          <w:lang w:val="en-GB"/>
        </w:rPr>
        <w:t xml:space="preserve"> been paid to the stakeholders providing access to genetic resources</w:t>
      </w:r>
      <w:r w:rsidR="0086045E" w:rsidRPr="00DF02C5">
        <w:rPr>
          <w:rFonts w:eastAsia="Calibri" w:hAnsi="Times New Roman"/>
          <w:snapToGrid w:val="0"/>
          <w:color w:val="auto"/>
          <w:kern w:val="22"/>
          <w:bdr w:val="none" w:sz="0" w:space="0" w:color="auto"/>
          <w:lang w:val="en-GB"/>
        </w:rPr>
        <w:t>.</w:t>
      </w:r>
    </w:p>
    <w:p w14:paraId="14BF73CE" w14:textId="77777777" w:rsidR="00EA65E0" w:rsidRPr="00DF02C5" w:rsidRDefault="00EA65E0" w:rsidP="00393914">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Other examples of information provided are the following:</w:t>
      </w:r>
    </w:p>
    <w:p w14:paraId="0FCA52CC" w14:textId="094FFE5B" w:rsidR="00EA65E0" w:rsidRPr="00DF02C5" w:rsidRDefault="00302A56" w:rsidP="005038A2">
      <w:pPr>
        <w:pStyle w:val="Para1"/>
        <w:numPr>
          <w:ilvl w:val="0"/>
          <w:numId w:val="15"/>
        </w:numPr>
        <w:ind w:left="90" w:firstLine="619"/>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Cameroon stated</w:t>
      </w:r>
      <w:r w:rsidR="00EA65E0" w:rsidRPr="00DF02C5">
        <w:rPr>
          <w:rFonts w:eastAsia="Calibri" w:hAnsi="Times New Roman"/>
          <w:snapToGrid w:val="0"/>
          <w:color w:val="auto"/>
          <w:kern w:val="22"/>
          <w:bdr w:val="none" w:sz="0" w:space="0" w:color="auto"/>
          <w:lang w:val="en-GB"/>
        </w:rPr>
        <w:t xml:space="preserve"> that some local communities received benefits from the sales of the roots of Echinops giganteus and Mondia whitei and is yet to receive royalties from an enterprise that had initially access</w:t>
      </w:r>
      <w:r w:rsidR="0086045E" w:rsidRPr="00DF02C5">
        <w:rPr>
          <w:rFonts w:eastAsia="Calibri" w:hAnsi="Times New Roman"/>
          <w:snapToGrid w:val="0"/>
          <w:color w:val="auto"/>
          <w:kern w:val="22"/>
          <w:bdr w:val="none" w:sz="0" w:space="0" w:color="auto"/>
          <w:lang w:val="en-GB"/>
        </w:rPr>
        <w:t>ed</w:t>
      </w:r>
      <w:r w:rsidR="00EA65E0" w:rsidRPr="00DF02C5">
        <w:rPr>
          <w:rFonts w:eastAsia="Calibri" w:hAnsi="Times New Roman"/>
          <w:snapToGrid w:val="0"/>
          <w:color w:val="auto"/>
          <w:kern w:val="22"/>
          <w:bdr w:val="none" w:sz="0" w:space="0" w:color="auto"/>
          <w:lang w:val="en-GB"/>
        </w:rPr>
        <w:t xml:space="preserve"> the resources on the</w:t>
      </w:r>
      <w:r w:rsidRPr="00DF02C5">
        <w:rPr>
          <w:rFonts w:eastAsia="Calibri" w:hAnsi="Times New Roman"/>
          <w:snapToGrid w:val="0"/>
          <w:color w:val="auto"/>
          <w:kern w:val="22"/>
          <w:bdr w:val="none" w:sz="0" w:space="0" w:color="auto"/>
          <w:lang w:val="en-GB"/>
        </w:rPr>
        <w:t xml:space="preserve"> bases of a</w:t>
      </w:r>
      <w:r w:rsidR="00195CA3">
        <w:rPr>
          <w:rFonts w:eastAsia="Calibri" w:hAnsi="Times New Roman"/>
          <w:snapToGrid w:val="0"/>
          <w:color w:val="auto"/>
          <w:kern w:val="22"/>
          <w:bdr w:val="none" w:sz="0" w:space="0" w:color="auto"/>
          <w:lang w:val="en-GB"/>
        </w:rPr>
        <w:t xml:space="preserve"> MAT;</w:t>
      </w:r>
    </w:p>
    <w:p w14:paraId="5FD70EFC" w14:textId="4D8A1DC1" w:rsidR="00EA65E0" w:rsidRPr="00DF02C5" w:rsidRDefault="00EA65E0" w:rsidP="005038A2">
      <w:pPr>
        <w:pStyle w:val="Para1"/>
        <w:numPr>
          <w:ilvl w:val="0"/>
          <w:numId w:val="15"/>
        </w:numPr>
        <w:ind w:left="90" w:firstLine="619"/>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Cuba reported benefits from the commercialisation of products (Vidatox, Salvatoxi, </w:t>
      </w:r>
      <w:r w:rsidR="0086045E" w:rsidRPr="00DF02C5">
        <w:rPr>
          <w:rFonts w:eastAsia="Calibri" w:hAnsi="Times New Roman"/>
          <w:snapToGrid w:val="0"/>
          <w:color w:val="auto"/>
          <w:kern w:val="22"/>
          <w:bdr w:val="none" w:sz="0" w:space="0" w:color="auto"/>
          <w:lang w:val="en-GB"/>
        </w:rPr>
        <w:t>and</w:t>
      </w:r>
      <w:r w:rsidRPr="00DF02C5">
        <w:rPr>
          <w:rFonts w:eastAsia="Calibri" w:hAnsi="Times New Roman"/>
          <w:snapToGrid w:val="0"/>
          <w:color w:val="auto"/>
          <w:kern w:val="22"/>
          <w:bdr w:val="none" w:sz="0" w:space="0" w:color="auto"/>
          <w:lang w:val="en-GB"/>
        </w:rPr>
        <w:t xml:space="preserve"> Viomang) by two companies</w:t>
      </w:r>
      <w:r w:rsidR="0086045E" w:rsidRPr="00DF02C5">
        <w:rPr>
          <w:rFonts w:eastAsia="Calibri" w:hAnsi="Times New Roman"/>
          <w:snapToGrid w:val="0"/>
          <w:color w:val="auto"/>
          <w:kern w:val="22"/>
          <w:bdr w:val="none" w:sz="0" w:space="0" w:color="auto"/>
          <w:lang w:val="en-GB"/>
        </w:rPr>
        <w:t>,</w:t>
      </w:r>
      <w:r w:rsidR="00A569E2" w:rsidRPr="00DF02C5">
        <w:rPr>
          <w:rFonts w:eastAsia="Calibri" w:hAnsi="Times New Roman"/>
          <w:snapToGrid w:val="0"/>
          <w:color w:val="auto"/>
          <w:kern w:val="22"/>
          <w:bdr w:val="none" w:sz="0" w:space="0" w:color="auto"/>
          <w:lang w:val="en-GB"/>
        </w:rPr>
        <w:t xml:space="preserve"> and </w:t>
      </w:r>
      <w:r w:rsidR="0086045E" w:rsidRPr="00DF02C5">
        <w:rPr>
          <w:rFonts w:eastAsia="Calibri" w:hAnsi="Times New Roman"/>
          <w:snapToGrid w:val="0"/>
          <w:color w:val="auto"/>
          <w:kern w:val="22"/>
          <w:bdr w:val="none" w:sz="0" w:space="0" w:color="auto"/>
          <w:lang w:val="en-GB"/>
        </w:rPr>
        <w:t xml:space="preserve">of </w:t>
      </w:r>
      <w:r w:rsidR="00A569E2" w:rsidRPr="00DF02C5">
        <w:rPr>
          <w:rFonts w:eastAsia="Calibri" w:hAnsi="Times New Roman"/>
          <w:snapToGrid w:val="0"/>
          <w:color w:val="auto"/>
          <w:kern w:val="22"/>
          <w:bdr w:val="none" w:sz="0" w:space="0" w:color="auto"/>
          <w:lang w:val="en-GB"/>
        </w:rPr>
        <w:t xml:space="preserve">having received </w:t>
      </w:r>
      <w:r w:rsidR="00195CA3">
        <w:rPr>
          <w:rFonts w:eastAsia="Calibri" w:hAnsi="Times New Roman"/>
          <w:snapToGrid w:val="0"/>
          <w:color w:val="auto"/>
          <w:kern w:val="22"/>
          <w:bdr w:val="none" w:sz="0" w:space="0" w:color="auto"/>
          <w:lang w:val="en-GB"/>
        </w:rPr>
        <w:t>financing for research projects;</w:t>
      </w:r>
      <w:r w:rsidRPr="00DF02C5">
        <w:rPr>
          <w:rFonts w:eastAsia="Calibri" w:hAnsi="Times New Roman"/>
          <w:snapToGrid w:val="0"/>
          <w:color w:val="auto"/>
          <w:kern w:val="22"/>
          <w:bdr w:val="none" w:sz="0" w:space="0" w:color="auto"/>
          <w:lang w:val="en-GB"/>
        </w:rPr>
        <w:t xml:space="preserve"> </w:t>
      </w:r>
    </w:p>
    <w:p w14:paraId="5866C033" w14:textId="641657AD" w:rsidR="00EA65E0" w:rsidRPr="00DF02C5" w:rsidRDefault="00EA65E0" w:rsidP="005038A2">
      <w:pPr>
        <w:pStyle w:val="Para1"/>
        <w:numPr>
          <w:ilvl w:val="0"/>
          <w:numId w:val="15"/>
        </w:numPr>
        <w:ind w:left="90" w:firstLine="619"/>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Malawi indicated that some </w:t>
      </w:r>
      <w:r w:rsidR="00302A56" w:rsidRPr="00DF02C5">
        <w:rPr>
          <w:rFonts w:eastAsia="Calibri" w:hAnsi="Times New Roman"/>
          <w:snapToGrid w:val="0"/>
          <w:color w:val="auto"/>
          <w:kern w:val="22"/>
          <w:bdr w:val="none" w:sz="0" w:space="0" w:color="auto"/>
          <w:lang w:val="en-GB"/>
        </w:rPr>
        <w:t>monetary benefits had</w:t>
      </w:r>
      <w:r w:rsidRPr="00DF02C5">
        <w:rPr>
          <w:rFonts w:eastAsia="Calibri" w:hAnsi="Times New Roman"/>
          <w:snapToGrid w:val="0"/>
          <w:color w:val="auto"/>
          <w:kern w:val="22"/>
          <w:bdr w:val="none" w:sz="0" w:space="0" w:color="auto"/>
          <w:lang w:val="en-GB"/>
        </w:rPr>
        <w:t xml:space="preserve"> been provided to the communities for access </w:t>
      </w:r>
      <w:r w:rsidR="00A569E2" w:rsidRPr="00DF02C5">
        <w:rPr>
          <w:rFonts w:eastAsia="Calibri" w:hAnsi="Times New Roman"/>
          <w:snapToGrid w:val="0"/>
          <w:color w:val="auto"/>
          <w:kern w:val="22"/>
          <w:bdr w:val="none" w:sz="0" w:space="0" w:color="auto"/>
          <w:lang w:val="en-GB"/>
        </w:rPr>
        <w:t xml:space="preserve">to </w:t>
      </w:r>
      <w:r w:rsidRPr="00DF02C5">
        <w:rPr>
          <w:rFonts w:eastAsia="Calibri" w:hAnsi="Times New Roman"/>
          <w:snapToGrid w:val="0"/>
          <w:color w:val="auto"/>
          <w:kern w:val="22"/>
          <w:bdr w:val="none" w:sz="0" w:space="0" w:color="auto"/>
          <w:lang w:val="en-GB"/>
        </w:rPr>
        <w:t xml:space="preserve">genetic resources by bio-traders. This was done directly from actual users </w:t>
      </w:r>
      <w:r w:rsidR="00302A56" w:rsidRPr="00DF02C5">
        <w:rPr>
          <w:rFonts w:eastAsia="Calibri" w:hAnsi="Times New Roman"/>
          <w:snapToGrid w:val="0"/>
          <w:color w:val="auto"/>
          <w:kern w:val="22"/>
          <w:bdr w:val="none" w:sz="0" w:space="0" w:color="auto"/>
          <w:lang w:val="en-GB"/>
        </w:rPr>
        <w:t>to the communities, and there was</w:t>
      </w:r>
      <w:r w:rsidRPr="00DF02C5">
        <w:rPr>
          <w:rFonts w:eastAsia="Calibri" w:hAnsi="Times New Roman"/>
          <w:snapToGrid w:val="0"/>
          <w:color w:val="auto"/>
          <w:kern w:val="22"/>
          <w:bdr w:val="none" w:sz="0" w:space="0" w:color="auto"/>
          <w:lang w:val="en-GB"/>
        </w:rPr>
        <w:t xml:space="preserve"> no clear written documentation on MAT</w:t>
      </w:r>
      <w:r w:rsidR="00195CA3">
        <w:rPr>
          <w:rFonts w:eastAsia="Calibri" w:hAnsi="Times New Roman"/>
          <w:snapToGrid w:val="0"/>
          <w:color w:val="auto"/>
          <w:kern w:val="22"/>
          <w:bdr w:val="none" w:sz="0" w:space="0" w:color="auto"/>
          <w:lang w:val="en-GB"/>
        </w:rPr>
        <w:t xml:space="preserve">. </w:t>
      </w:r>
      <w:r w:rsidR="00302A56" w:rsidRPr="00DF02C5">
        <w:rPr>
          <w:rFonts w:eastAsia="Calibri" w:hAnsi="Times New Roman"/>
          <w:snapToGrid w:val="0"/>
          <w:color w:val="auto"/>
          <w:kern w:val="22"/>
          <w:bdr w:val="none" w:sz="0" w:space="0" w:color="auto"/>
          <w:lang w:val="en-GB"/>
        </w:rPr>
        <w:t>T</w:t>
      </w:r>
      <w:r w:rsidRPr="00DF02C5">
        <w:rPr>
          <w:rFonts w:eastAsia="Calibri" w:hAnsi="Times New Roman"/>
          <w:snapToGrid w:val="0"/>
          <w:color w:val="auto"/>
          <w:kern w:val="22"/>
          <w:bdr w:val="none" w:sz="0" w:space="0" w:color="auto"/>
          <w:lang w:val="en-GB"/>
        </w:rPr>
        <w:t xml:space="preserve">he CNA has </w:t>
      </w:r>
      <w:r w:rsidR="0086045E" w:rsidRPr="00DF02C5">
        <w:rPr>
          <w:rFonts w:eastAsia="Calibri" w:hAnsi="Times New Roman"/>
          <w:snapToGrid w:val="0"/>
          <w:color w:val="auto"/>
          <w:kern w:val="22"/>
          <w:bdr w:val="none" w:sz="0" w:space="0" w:color="auto"/>
          <w:lang w:val="en-GB"/>
        </w:rPr>
        <w:t>begun</w:t>
      </w:r>
      <w:r w:rsidRPr="00DF02C5">
        <w:rPr>
          <w:rFonts w:eastAsia="Calibri" w:hAnsi="Times New Roman"/>
          <w:snapToGrid w:val="0"/>
          <w:color w:val="auto"/>
          <w:kern w:val="22"/>
          <w:bdr w:val="none" w:sz="0" w:space="0" w:color="auto"/>
          <w:lang w:val="en-GB"/>
        </w:rPr>
        <w:t xml:space="preserve"> facilitating </w:t>
      </w:r>
      <w:r w:rsidR="0086045E" w:rsidRPr="00DF02C5">
        <w:rPr>
          <w:rFonts w:eastAsia="Calibri" w:hAnsi="Times New Roman"/>
          <w:snapToGrid w:val="0"/>
          <w:color w:val="auto"/>
          <w:kern w:val="22"/>
          <w:bdr w:val="none" w:sz="0" w:space="0" w:color="auto"/>
          <w:lang w:val="en-GB"/>
        </w:rPr>
        <w:t xml:space="preserve">the </w:t>
      </w:r>
      <w:r w:rsidRPr="00DF02C5">
        <w:rPr>
          <w:rFonts w:eastAsia="Calibri" w:hAnsi="Times New Roman"/>
          <w:snapToGrid w:val="0"/>
          <w:color w:val="auto"/>
          <w:kern w:val="22"/>
          <w:bdr w:val="none" w:sz="0" w:space="0" w:color="auto"/>
          <w:lang w:val="en-GB"/>
        </w:rPr>
        <w:t>establishment of MAT</w:t>
      </w:r>
      <w:r w:rsidR="0086045E" w:rsidRPr="00DF02C5">
        <w:rPr>
          <w:rFonts w:eastAsia="Calibri" w:hAnsi="Times New Roman"/>
          <w:snapToGrid w:val="0"/>
          <w:color w:val="auto"/>
          <w:kern w:val="22"/>
          <w:bdr w:val="none" w:sz="0" w:space="0" w:color="auto"/>
          <w:lang w:val="en-GB"/>
        </w:rPr>
        <w:t>s</w:t>
      </w:r>
      <w:r w:rsidR="00195CA3">
        <w:rPr>
          <w:rFonts w:eastAsia="Calibri" w:hAnsi="Times New Roman"/>
          <w:snapToGrid w:val="0"/>
          <w:color w:val="auto"/>
          <w:kern w:val="22"/>
          <w:bdr w:val="none" w:sz="0" w:space="0" w:color="auto"/>
          <w:lang w:val="en-GB"/>
        </w:rPr>
        <w:t>;</w:t>
      </w:r>
    </w:p>
    <w:p w14:paraId="78E83885" w14:textId="7E2FCCBD" w:rsidR="00EA65E0" w:rsidRPr="00DF02C5" w:rsidRDefault="00EA65E0" w:rsidP="005038A2">
      <w:pPr>
        <w:pStyle w:val="Para1"/>
        <w:numPr>
          <w:ilvl w:val="0"/>
          <w:numId w:val="15"/>
        </w:numPr>
        <w:ind w:left="90" w:firstLine="619"/>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Panama explained that the fees for applying for scientific permits go directly to the government to support the work of the Ministry of</w:t>
      </w:r>
      <w:r w:rsidR="00195CA3">
        <w:rPr>
          <w:rFonts w:eastAsia="Calibri" w:hAnsi="Times New Roman"/>
          <w:snapToGrid w:val="0"/>
          <w:color w:val="auto"/>
          <w:kern w:val="22"/>
          <w:bdr w:val="none" w:sz="0" w:space="0" w:color="auto"/>
          <w:lang w:val="en-GB"/>
        </w:rPr>
        <w:t xml:space="preserve"> Environment in protected areas;</w:t>
      </w:r>
    </w:p>
    <w:p w14:paraId="7FCD37E7" w14:textId="3AB28407" w:rsidR="00EA65E0" w:rsidRPr="00DF02C5" w:rsidRDefault="00EA65E0" w:rsidP="005038A2">
      <w:pPr>
        <w:pStyle w:val="Para1"/>
        <w:numPr>
          <w:ilvl w:val="0"/>
          <w:numId w:val="15"/>
        </w:numPr>
        <w:ind w:left="90" w:firstLine="619"/>
        <w:rPr>
          <w:rFonts w:eastAsia="Calibri" w:hAnsi="Times New Roman"/>
          <w:snapToGrid w:val="0"/>
          <w:kern w:val="22"/>
          <w:bdr w:val="none" w:sz="0" w:space="0" w:color="auto"/>
          <w:lang w:val="en-GB"/>
        </w:rPr>
      </w:pPr>
      <w:r w:rsidRPr="00DF02C5">
        <w:rPr>
          <w:rFonts w:eastAsia="Calibri" w:hAnsi="Times New Roman"/>
          <w:snapToGrid w:val="0"/>
          <w:color w:val="auto"/>
          <w:kern w:val="22"/>
          <w:bdr w:val="none" w:sz="0" w:space="0" w:color="auto"/>
          <w:lang w:val="en-GB"/>
        </w:rPr>
        <w:t xml:space="preserve">Peru </w:t>
      </w:r>
      <w:r w:rsidR="00302A56" w:rsidRPr="00DF02C5">
        <w:rPr>
          <w:rFonts w:eastAsia="Calibri" w:hAnsi="Times New Roman"/>
          <w:snapToGrid w:val="0"/>
          <w:color w:val="auto"/>
          <w:kern w:val="22"/>
          <w:bdr w:val="none" w:sz="0" w:space="0" w:color="auto"/>
          <w:lang w:val="en-GB"/>
        </w:rPr>
        <w:t>explained that monetary benefits received are in the form of payments for collection and salaries for supporting identification and collection</w:t>
      </w:r>
      <w:r w:rsidRPr="00DF02C5">
        <w:rPr>
          <w:rFonts w:eastAsia="Calibri" w:hAnsi="Times New Roman"/>
          <w:snapToGrid w:val="0"/>
          <w:kern w:val="22"/>
          <w:bdr w:val="none" w:sz="0" w:space="0" w:color="auto"/>
          <w:lang w:val="en-GB"/>
        </w:rPr>
        <w:t xml:space="preserve">. </w:t>
      </w:r>
    </w:p>
    <w:p w14:paraId="7EE6A734" w14:textId="2762F165" w:rsidR="00EA65E0" w:rsidRPr="00DF02C5" w:rsidRDefault="00EA65E0" w:rsidP="005038A2">
      <w:pPr>
        <w:pStyle w:val="Para1"/>
        <w:numPr>
          <w:ilvl w:val="1"/>
          <w:numId w:val="57"/>
        </w:numPr>
        <w:rPr>
          <w:rFonts w:eastAsia="Calibri" w:hAnsi="Times New Roman"/>
          <w:i/>
          <w:snapToGrid w:val="0"/>
          <w:kern w:val="22"/>
          <w:bdr w:val="none" w:sz="0" w:space="0" w:color="auto"/>
          <w:lang w:val="en-GB"/>
        </w:rPr>
      </w:pPr>
      <w:r w:rsidRPr="00DF02C5">
        <w:rPr>
          <w:rFonts w:eastAsia="Calibri" w:hAnsi="Times New Roman"/>
          <w:i/>
          <w:snapToGrid w:val="0"/>
          <w:kern w:val="22"/>
          <w:bdr w:val="none" w:sz="0" w:space="0" w:color="auto"/>
          <w:lang w:val="en-GB"/>
        </w:rPr>
        <w:t>Non-monetary benefits from the utilization of genetic resources</w:t>
      </w:r>
    </w:p>
    <w:p w14:paraId="71A973B1" w14:textId="66178F30" w:rsidR="00EA65E0" w:rsidRPr="00DF02C5" w:rsidRDefault="00EA65E0" w:rsidP="00393914">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The most common non-monetary benefits mentioned are capacity-development, knowledge transfer, specialized trainings (e.g</w:t>
      </w:r>
      <w:r w:rsidR="0086045E" w:rsidRPr="00DF02C5">
        <w:rPr>
          <w:rFonts w:eastAsia="Calibri" w:hAnsi="Times New Roman"/>
          <w:snapToGrid w:val="0"/>
          <w:kern w:val="22"/>
          <w:bdr w:val="none" w:sz="0" w:space="0" w:color="auto"/>
          <w:lang w:val="en-GB"/>
        </w:rPr>
        <w:t>.</w:t>
      </w:r>
      <w:r w:rsidRPr="00DF02C5">
        <w:rPr>
          <w:rFonts w:eastAsia="Calibri" w:hAnsi="Times New Roman"/>
          <w:snapToGrid w:val="0"/>
          <w:kern w:val="22"/>
          <w:bdr w:val="none" w:sz="0" w:space="0" w:color="auto"/>
          <w:lang w:val="en-GB"/>
        </w:rPr>
        <w:t xml:space="preserve"> masters, diploma, workshops, exchange programmes)</w:t>
      </w:r>
      <w:r w:rsidRPr="00DF02C5">
        <w:rPr>
          <w:rStyle w:val="FootnoteReference"/>
          <w:rFonts w:eastAsia="Calibri" w:hAnsi="Times New Roman"/>
          <w:snapToGrid w:val="0"/>
          <w:kern w:val="22"/>
          <w:bdr w:val="none" w:sz="0" w:space="0" w:color="auto"/>
          <w:lang w:val="en-GB"/>
        </w:rPr>
        <w:footnoteReference w:id="126"/>
      </w:r>
      <w:r w:rsidRPr="00DF02C5">
        <w:rPr>
          <w:rFonts w:eastAsia="Calibri" w:hAnsi="Times New Roman"/>
          <w:snapToGrid w:val="0"/>
          <w:kern w:val="22"/>
          <w:bdr w:val="none" w:sz="0" w:space="0" w:color="auto"/>
          <w:lang w:val="en-GB"/>
        </w:rPr>
        <w:t xml:space="preserve"> and joint publications</w:t>
      </w:r>
      <w:r w:rsidR="00195CA3">
        <w:rPr>
          <w:rFonts w:eastAsia="Calibri" w:hAnsi="Times New Roman"/>
          <w:snapToGrid w:val="0"/>
          <w:kern w:val="22"/>
          <w:bdr w:val="none" w:sz="0" w:space="0" w:color="auto"/>
          <w:lang w:val="en-GB"/>
        </w:rPr>
        <w:t>.</w:t>
      </w:r>
      <w:r w:rsidRPr="00DF02C5">
        <w:rPr>
          <w:rStyle w:val="FootnoteReference"/>
          <w:rFonts w:eastAsia="Calibri" w:hAnsi="Times New Roman"/>
          <w:snapToGrid w:val="0"/>
          <w:kern w:val="22"/>
          <w:bdr w:val="none" w:sz="0" w:space="0" w:color="auto"/>
          <w:lang w:val="en-GB"/>
        </w:rPr>
        <w:footnoteReference w:id="127"/>
      </w:r>
      <w:r w:rsidRPr="00DF02C5">
        <w:rPr>
          <w:rFonts w:eastAsia="Calibri" w:hAnsi="Times New Roman"/>
          <w:snapToGrid w:val="0"/>
          <w:kern w:val="22"/>
          <w:bdr w:val="none" w:sz="0" w:space="0" w:color="auto"/>
          <w:lang w:val="en-GB"/>
        </w:rPr>
        <w:t xml:space="preserve"> </w:t>
      </w:r>
    </w:p>
    <w:p w14:paraId="0CC84C9B" w14:textId="759B460A" w:rsidR="00EA65E0" w:rsidRPr="00DF02C5" w:rsidRDefault="00EA65E0" w:rsidP="00393914">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Other benefits me</w:t>
      </w:r>
      <w:r w:rsidR="00A569E2" w:rsidRPr="00DF02C5">
        <w:rPr>
          <w:rFonts w:eastAsia="Calibri" w:hAnsi="Times New Roman"/>
          <w:snapToGrid w:val="0"/>
          <w:kern w:val="22"/>
          <w:bdr w:val="none" w:sz="0" w:space="0" w:color="auto"/>
          <w:lang w:val="en-GB"/>
        </w:rPr>
        <w:t>ntioned are the following: (a) a</w:t>
      </w:r>
      <w:r w:rsidRPr="00DF02C5">
        <w:rPr>
          <w:rFonts w:eastAsia="Calibri" w:hAnsi="Times New Roman"/>
          <w:snapToGrid w:val="0"/>
          <w:kern w:val="22"/>
          <w:bdr w:val="none" w:sz="0" w:space="0" w:color="auto"/>
          <w:lang w:val="en-GB"/>
        </w:rPr>
        <w:t>ccess to information about the research on the genetic resources</w:t>
      </w:r>
      <w:r w:rsidR="00195CA3">
        <w:rPr>
          <w:rFonts w:eastAsia="Calibri" w:hAnsi="Times New Roman"/>
          <w:snapToGrid w:val="0"/>
          <w:kern w:val="22"/>
          <w:bdr w:val="none" w:sz="0" w:space="0" w:color="auto"/>
          <w:lang w:val="en-GB"/>
        </w:rPr>
        <w:t>;</w:t>
      </w:r>
      <w:r w:rsidRPr="00DF02C5">
        <w:rPr>
          <w:rStyle w:val="FootnoteReference"/>
          <w:rFonts w:eastAsia="Calibri" w:hAnsi="Times New Roman"/>
          <w:snapToGrid w:val="0"/>
          <w:kern w:val="22"/>
          <w:bdr w:val="none" w:sz="0" w:space="0" w:color="auto"/>
          <w:lang w:val="en-GB"/>
        </w:rPr>
        <w:footnoteReference w:id="128"/>
      </w:r>
      <w:r w:rsidR="00A569E2" w:rsidRPr="00DF02C5">
        <w:rPr>
          <w:rFonts w:eastAsia="Calibri" w:hAnsi="Times New Roman"/>
          <w:snapToGrid w:val="0"/>
          <w:kern w:val="22"/>
          <w:bdr w:val="none" w:sz="0" w:space="0" w:color="auto"/>
          <w:lang w:val="en-GB"/>
        </w:rPr>
        <w:t xml:space="preserve"> (b) i</w:t>
      </w:r>
      <w:r w:rsidRPr="00DF02C5">
        <w:rPr>
          <w:rFonts w:eastAsia="Calibri" w:hAnsi="Times New Roman"/>
          <w:snapToGrid w:val="0"/>
          <w:kern w:val="22"/>
          <w:bdr w:val="none" w:sz="0" w:space="0" w:color="auto"/>
          <w:lang w:val="en-GB"/>
        </w:rPr>
        <w:t>nclusion of samples in national collections</w:t>
      </w:r>
      <w:r w:rsidRPr="00DF02C5">
        <w:rPr>
          <w:rStyle w:val="FootnoteReference"/>
          <w:rFonts w:eastAsia="Calibri" w:hAnsi="Times New Roman"/>
          <w:snapToGrid w:val="0"/>
          <w:kern w:val="22"/>
          <w:bdr w:val="none" w:sz="0" w:space="0" w:color="auto"/>
          <w:lang w:val="en-GB"/>
        </w:rPr>
        <w:footnoteReference w:id="129"/>
      </w:r>
      <w:r w:rsidR="0086045E" w:rsidRPr="00DF02C5">
        <w:rPr>
          <w:rFonts w:eastAsia="Calibri" w:hAnsi="Times New Roman"/>
          <w:snapToGrid w:val="0"/>
          <w:kern w:val="22"/>
          <w:bdr w:val="none" w:sz="0" w:space="0" w:color="auto"/>
          <w:lang w:val="en-GB"/>
        </w:rPr>
        <w:t xml:space="preserve">; </w:t>
      </w:r>
      <w:r w:rsidRPr="00DF02C5">
        <w:rPr>
          <w:rFonts w:eastAsia="Calibri" w:hAnsi="Times New Roman"/>
          <w:snapToGrid w:val="0"/>
          <w:kern w:val="22"/>
          <w:bdr w:val="none" w:sz="0" w:space="0" w:color="auto"/>
          <w:lang w:val="en-GB"/>
        </w:rPr>
        <w:t>(c) admittance to ex situ facilities of genetic resources and to databases</w:t>
      </w:r>
      <w:r w:rsidR="00195CA3">
        <w:rPr>
          <w:rFonts w:eastAsia="Calibri" w:hAnsi="Times New Roman"/>
          <w:snapToGrid w:val="0"/>
          <w:kern w:val="22"/>
          <w:bdr w:val="none" w:sz="0" w:space="0" w:color="auto"/>
          <w:lang w:val="en-GB"/>
        </w:rPr>
        <w:t>;</w:t>
      </w:r>
      <w:r w:rsidRPr="00DF02C5">
        <w:rPr>
          <w:rStyle w:val="FootnoteReference"/>
          <w:rFonts w:eastAsia="Calibri" w:hAnsi="Times New Roman"/>
          <w:snapToGrid w:val="0"/>
          <w:kern w:val="22"/>
          <w:bdr w:val="none" w:sz="0" w:space="0" w:color="auto"/>
          <w:lang w:val="en-GB"/>
        </w:rPr>
        <w:footnoteReference w:id="130"/>
      </w:r>
      <w:r w:rsidRPr="00DF02C5">
        <w:rPr>
          <w:rFonts w:eastAsia="Calibri" w:hAnsi="Times New Roman"/>
          <w:snapToGrid w:val="0"/>
          <w:kern w:val="22"/>
          <w:bdr w:val="none" w:sz="0" w:space="0" w:color="auto"/>
          <w:lang w:val="en-GB"/>
        </w:rPr>
        <w:t xml:space="preserve"> (d) collaboration and cooperation in research and development with the national research institutions</w:t>
      </w:r>
      <w:r w:rsidR="00195CA3">
        <w:rPr>
          <w:rFonts w:eastAsia="Calibri" w:hAnsi="Times New Roman"/>
          <w:snapToGrid w:val="0"/>
          <w:kern w:val="22"/>
          <w:bdr w:val="none" w:sz="0" w:space="0" w:color="auto"/>
          <w:lang w:val="en-GB"/>
        </w:rPr>
        <w:t>;</w:t>
      </w:r>
      <w:r w:rsidRPr="00DF02C5">
        <w:rPr>
          <w:rStyle w:val="FootnoteReference"/>
          <w:rFonts w:eastAsia="Calibri" w:hAnsi="Times New Roman"/>
          <w:snapToGrid w:val="0"/>
          <w:kern w:val="22"/>
          <w:bdr w:val="none" w:sz="0" w:space="0" w:color="auto"/>
          <w:lang w:val="en-GB"/>
        </w:rPr>
        <w:footnoteReference w:id="131"/>
      </w:r>
      <w:r w:rsidRPr="00DF02C5">
        <w:rPr>
          <w:rFonts w:eastAsia="Calibri" w:hAnsi="Times New Roman"/>
          <w:snapToGrid w:val="0"/>
          <w:kern w:val="22"/>
          <w:bdr w:val="none" w:sz="0" w:space="0" w:color="auto"/>
          <w:lang w:val="en-GB"/>
        </w:rPr>
        <w:t xml:space="preserve"> (e) transfer of technology, including laboratory materials and equipment</w:t>
      </w:r>
      <w:r w:rsidR="00195CA3">
        <w:rPr>
          <w:rFonts w:eastAsia="Calibri" w:hAnsi="Times New Roman"/>
          <w:snapToGrid w:val="0"/>
          <w:kern w:val="22"/>
          <w:bdr w:val="none" w:sz="0" w:space="0" w:color="auto"/>
          <w:lang w:val="en-GB"/>
        </w:rPr>
        <w:t>;</w:t>
      </w:r>
      <w:r w:rsidRPr="00DF02C5">
        <w:rPr>
          <w:rStyle w:val="FootnoteReference"/>
          <w:rFonts w:eastAsia="Calibri" w:hAnsi="Times New Roman"/>
          <w:snapToGrid w:val="0"/>
          <w:kern w:val="22"/>
          <w:bdr w:val="none" w:sz="0" w:space="0" w:color="auto"/>
          <w:lang w:val="en-GB"/>
        </w:rPr>
        <w:footnoteReference w:id="132"/>
      </w:r>
      <w:r w:rsidRPr="00DF02C5">
        <w:rPr>
          <w:rFonts w:eastAsia="Calibri" w:hAnsi="Times New Roman"/>
          <w:snapToGrid w:val="0"/>
          <w:kern w:val="22"/>
          <w:bdr w:val="none" w:sz="0" w:space="0" w:color="auto"/>
          <w:lang w:val="en-GB"/>
        </w:rPr>
        <w:t xml:space="preserve"> (f) institutional collaborations</w:t>
      </w:r>
      <w:r w:rsidR="00195CA3">
        <w:rPr>
          <w:rFonts w:eastAsia="Calibri" w:hAnsi="Times New Roman"/>
          <w:snapToGrid w:val="0"/>
          <w:kern w:val="22"/>
          <w:bdr w:val="none" w:sz="0" w:space="0" w:color="auto"/>
          <w:lang w:val="en-GB"/>
        </w:rPr>
        <w:t>;</w:t>
      </w:r>
      <w:r w:rsidRPr="00DF02C5">
        <w:rPr>
          <w:rStyle w:val="FootnoteReference"/>
          <w:rFonts w:eastAsia="Calibri" w:hAnsi="Times New Roman"/>
          <w:snapToGrid w:val="0"/>
          <w:kern w:val="22"/>
          <w:bdr w:val="none" w:sz="0" w:space="0" w:color="auto"/>
          <w:lang w:val="en-GB"/>
        </w:rPr>
        <w:footnoteReference w:id="133"/>
      </w:r>
      <w:r w:rsidRPr="00DF02C5">
        <w:rPr>
          <w:rFonts w:eastAsia="Calibri" w:hAnsi="Times New Roman"/>
          <w:snapToGrid w:val="0"/>
          <w:kern w:val="22"/>
          <w:bdr w:val="none" w:sz="0" w:space="0" w:color="auto"/>
          <w:lang w:val="en-GB"/>
        </w:rPr>
        <w:t xml:space="preserve"> (g) awareness-raising</w:t>
      </w:r>
      <w:r w:rsidR="00195CA3">
        <w:rPr>
          <w:rFonts w:eastAsia="Calibri" w:hAnsi="Times New Roman"/>
          <w:snapToGrid w:val="0"/>
          <w:kern w:val="22"/>
          <w:bdr w:val="none" w:sz="0" w:space="0" w:color="auto"/>
          <w:lang w:val="en-GB"/>
        </w:rPr>
        <w:t>;</w:t>
      </w:r>
      <w:r w:rsidRPr="00DF02C5">
        <w:rPr>
          <w:rStyle w:val="FootnoteReference"/>
          <w:rFonts w:eastAsia="Calibri" w:hAnsi="Times New Roman"/>
          <w:snapToGrid w:val="0"/>
          <w:kern w:val="22"/>
          <w:bdr w:val="none" w:sz="0" w:space="0" w:color="auto"/>
          <w:lang w:val="en-GB"/>
        </w:rPr>
        <w:footnoteReference w:id="134"/>
      </w:r>
      <w:r w:rsidRPr="00DF02C5">
        <w:rPr>
          <w:rFonts w:eastAsia="Calibri" w:hAnsi="Times New Roman"/>
          <w:snapToGrid w:val="0"/>
          <w:kern w:val="22"/>
          <w:bdr w:val="none" w:sz="0" w:space="0" w:color="auto"/>
          <w:lang w:val="en-GB"/>
        </w:rPr>
        <w:t xml:space="preserve"> (h) community infrastructure or implementation of community projects</w:t>
      </w:r>
      <w:r w:rsidR="00195CA3">
        <w:rPr>
          <w:rFonts w:eastAsia="Calibri" w:hAnsi="Times New Roman"/>
          <w:snapToGrid w:val="0"/>
          <w:kern w:val="22"/>
          <w:bdr w:val="none" w:sz="0" w:space="0" w:color="auto"/>
          <w:lang w:val="en-GB"/>
        </w:rPr>
        <w:t>;</w:t>
      </w:r>
      <w:r w:rsidRPr="00DF02C5">
        <w:rPr>
          <w:rStyle w:val="FootnoteReference"/>
          <w:rFonts w:eastAsia="Calibri" w:hAnsi="Times New Roman"/>
          <w:snapToGrid w:val="0"/>
          <w:kern w:val="22"/>
          <w:bdr w:val="none" w:sz="0" w:space="0" w:color="auto"/>
          <w:lang w:val="en-GB"/>
        </w:rPr>
        <w:footnoteReference w:id="135"/>
      </w:r>
      <w:r w:rsidR="00A569E2" w:rsidRPr="00DF02C5">
        <w:rPr>
          <w:rFonts w:eastAsia="Calibri" w:hAnsi="Times New Roman"/>
          <w:snapToGrid w:val="0"/>
          <w:kern w:val="22"/>
          <w:bdr w:val="none" w:sz="0" w:space="0" w:color="auto"/>
          <w:lang w:val="en-GB"/>
        </w:rPr>
        <w:t xml:space="preserve"> (i) </w:t>
      </w:r>
      <w:r w:rsidR="00302A56" w:rsidRPr="00DF02C5">
        <w:rPr>
          <w:rFonts w:eastAsia="Calibri" w:hAnsi="Times New Roman"/>
          <w:snapToGrid w:val="0"/>
          <w:kern w:val="22"/>
          <w:bdr w:val="none" w:sz="0" w:space="0" w:color="auto"/>
          <w:lang w:val="en-GB"/>
        </w:rPr>
        <w:t xml:space="preserve">improved </w:t>
      </w:r>
      <w:r w:rsidR="00A569E2" w:rsidRPr="00DF02C5">
        <w:rPr>
          <w:rFonts w:eastAsia="Calibri" w:hAnsi="Times New Roman"/>
          <w:snapToGrid w:val="0"/>
          <w:kern w:val="22"/>
          <w:bdr w:val="none" w:sz="0" w:space="0" w:color="auto"/>
          <w:lang w:val="en-GB"/>
        </w:rPr>
        <w:t>c</w:t>
      </w:r>
      <w:r w:rsidRPr="00DF02C5">
        <w:rPr>
          <w:rFonts w:eastAsia="Calibri" w:hAnsi="Times New Roman"/>
          <w:snapToGrid w:val="0"/>
          <w:kern w:val="22"/>
          <w:bdr w:val="none" w:sz="0" w:space="0" w:color="auto"/>
          <w:lang w:val="en-GB"/>
        </w:rPr>
        <w:t>onditions for research within the country that contribute to conservation and sustainable use of biodiversity</w:t>
      </w:r>
      <w:r w:rsidR="00195CA3">
        <w:rPr>
          <w:rFonts w:eastAsia="Calibri" w:hAnsi="Times New Roman"/>
          <w:snapToGrid w:val="0"/>
          <w:kern w:val="22"/>
          <w:bdr w:val="none" w:sz="0" w:space="0" w:color="auto"/>
          <w:lang w:val="en-GB"/>
        </w:rPr>
        <w:t>;</w:t>
      </w:r>
      <w:r w:rsidRPr="00DF02C5">
        <w:rPr>
          <w:rStyle w:val="FootnoteReference"/>
          <w:rFonts w:eastAsia="Calibri" w:hAnsi="Times New Roman"/>
          <w:snapToGrid w:val="0"/>
          <w:kern w:val="22"/>
          <w:bdr w:val="none" w:sz="0" w:space="0" w:color="auto"/>
          <w:lang w:val="en-GB"/>
        </w:rPr>
        <w:footnoteReference w:id="136"/>
      </w:r>
      <w:r w:rsidRPr="00DF02C5">
        <w:rPr>
          <w:rFonts w:eastAsia="Calibri" w:hAnsi="Times New Roman"/>
          <w:snapToGrid w:val="0"/>
          <w:kern w:val="22"/>
          <w:bdr w:val="none" w:sz="0" w:space="0" w:color="auto"/>
          <w:lang w:val="en-GB"/>
        </w:rPr>
        <w:t xml:space="preserve"> and (j) conservation and management of genetic resources</w:t>
      </w:r>
      <w:r w:rsidR="00195CA3">
        <w:rPr>
          <w:rFonts w:eastAsia="Calibri" w:hAnsi="Times New Roman"/>
          <w:snapToGrid w:val="0"/>
          <w:kern w:val="22"/>
          <w:bdr w:val="none" w:sz="0" w:space="0" w:color="auto"/>
          <w:lang w:val="en-GB"/>
        </w:rPr>
        <w:t>.</w:t>
      </w:r>
      <w:r w:rsidRPr="00DF02C5">
        <w:rPr>
          <w:rStyle w:val="FootnoteReference"/>
          <w:rFonts w:eastAsia="Calibri" w:hAnsi="Times New Roman"/>
          <w:snapToGrid w:val="0"/>
          <w:kern w:val="22"/>
          <w:bdr w:val="none" w:sz="0" w:space="0" w:color="auto"/>
          <w:lang w:val="en-GB"/>
        </w:rPr>
        <w:footnoteReference w:id="137"/>
      </w:r>
    </w:p>
    <w:p w14:paraId="7B2FA129" w14:textId="1EFFCEBE" w:rsidR="00EA65E0" w:rsidRPr="00DF02C5" w:rsidRDefault="00EA65E0" w:rsidP="00393914">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Some countries provided information on benefits received from specific ABS agreement</w:t>
      </w:r>
      <w:r w:rsidR="0086045E" w:rsidRPr="00DF02C5">
        <w:rPr>
          <w:rFonts w:eastAsia="Calibri" w:hAnsi="Times New Roman"/>
          <w:snapToGrid w:val="0"/>
          <w:kern w:val="22"/>
          <w:bdr w:val="none" w:sz="0" w:space="0" w:color="auto"/>
          <w:lang w:val="en-GB"/>
        </w:rPr>
        <w:t>s</w:t>
      </w:r>
      <w:r w:rsidRPr="00DF02C5">
        <w:rPr>
          <w:rFonts w:eastAsia="Calibri" w:hAnsi="Times New Roman"/>
          <w:snapToGrid w:val="0"/>
          <w:kern w:val="22"/>
          <w:bdr w:val="none" w:sz="0" w:space="0" w:color="auto"/>
          <w:lang w:val="en-GB"/>
        </w:rPr>
        <w:t>. For example</w:t>
      </w:r>
      <w:r w:rsidR="00335B54" w:rsidRPr="00DF02C5">
        <w:rPr>
          <w:rFonts w:eastAsia="Calibri" w:hAnsi="Times New Roman"/>
          <w:snapToGrid w:val="0"/>
          <w:kern w:val="22"/>
          <w:bdr w:val="none" w:sz="0" w:space="0" w:color="auto"/>
          <w:lang w:val="en-GB"/>
        </w:rPr>
        <w:t>,</w:t>
      </w:r>
      <w:r w:rsidRPr="00DF02C5">
        <w:rPr>
          <w:rFonts w:eastAsia="Calibri" w:hAnsi="Times New Roman"/>
          <w:snapToGrid w:val="0"/>
          <w:kern w:val="22"/>
          <w:bdr w:val="none" w:sz="0" w:space="0" w:color="auto"/>
          <w:lang w:val="en-GB"/>
        </w:rPr>
        <w:t xml:space="preserve"> Ethiopia reported that</w:t>
      </w:r>
      <w:r w:rsidR="00A569E2" w:rsidRPr="00DF02C5">
        <w:rPr>
          <w:rFonts w:eastAsia="Calibri" w:hAnsi="Times New Roman"/>
          <w:snapToGrid w:val="0"/>
          <w:kern w:val="22"/>
          <w:bdr w:val="none" w:sz="0" w:space="0" w:color="auto"/>
          <w:lang w:val="en-GB"/>
        </w:rPr>
        <w:t xml:space="preserve"> </w:t>
      </w:r>
      <w:r w:rsidRPr="00DF02C5">
        <w:rPr>
          <w:rFonts w:eastAsia="Calibri" w:hAnsi="Times New Roman"/>
          <w:snapToGrid w:val="0"/>
          <w:kern w:val="22"/>
          <w:bdr w:val="none" w:sz="0" w:space="0" w:color="auto"/>
          <w:lang w:val="en-GB"/>
        </w:rPr>
        <w:t>the initial phase</w:t>
      </w:r>
      <w:r w:rsidR="00A569E2" w:rsidRPr="00DF02C5">
        <w:rPr>
          <w:rFonts w:eastAsia="Calibri" w:hAnsi="Times New Roman"/>
          <w:snapToGrid w:val="0"/>
          <w:kern w:val="22"/>
          <w:bdr w:val="none" w:sz="0" w:space="0" w:color="auto"/>
          <w:lang w:val="en-GB"/>
        </w:rPr>
        <w:t xml:space="preserve"> of an agreement</w:t>
      </w:r>
      <w:r w:rsidRPr="00DF02C5">
        <w:rPr>
          <w:rFonts w:eastAsia="Calibri" w:hAnsi="Times New Roman"/>
          <w:snapToGrid w:val="0"/>
          <w:kern w:val="22"/>
          <w:bdr w:val="none" w:sz="0" w:space="0" w:color="auto"/>
          <w:lang w:val="en-GB"/>
        </w:rPr>
        <w:t xml:space="preserve"> created job opportunities </w:t>
      </w:r>
      <w:r w:rsidR="0086045E" w:rsidRPr="00DF02C5">
        <w:rPr>
          <w:rFonts w:eastAsia="Calibri" w:hAnsi="Times New Roman"/>
          <w:snapToGrid w:val="0"/>
          <w:kern w:val="22"/>
          <w:bdr w:val="none" w:sz="0" w:space="0" w:color="auto"/>
          <w:lang w:val="en-GB"/>
        </w:rPr>
        <w:t>for</w:t>
      </w:r>
      <w:r w:rsidRPr="00DF02C5">
        <w:rPr>
          <w:rFonts w:eastAsia="Calibri" w:hAnsi="Times New Roman"/>
          <w:snapToGrid w:val="0"/>
          <w:kern w:val="22"/>
          <w:bdr w:val="none" w:sz="0" w:space="0" w:color="auto"/>
          <w:lang w:val="en-GB"/>
        </w:rPr>
        <w:t xml:space="preserve"> 857 unemployed youth </w:t>
      </w:r>
      <w:r w:rsidR="0086045E" w:rsidRPr="00DF02C5">
        <w:rPr>
          <w:rFonts w:eastAsia="Calibri" w:hAnsi="Times New Roman"/>
          <w:snapToGrid w:val="0"/>
          <w:kern w:val="22"/>
          <w:bdr w:val="none" w:sz="0" w:space="0" w:color="auto"/>
          <w:lang w:val="en-GB"/>
        </w:rPr>
        <w:t>in</w:t>
      </w:r>
      <w:r w:rsidR="00302A56" w:rsidRPr="00DF02C5">
        <w:rPr>
          <w:rFonts w:eastAsia="Calibri" w:hAnsi="Times New Roman"/>
          <w:snapToGrid w:val="0"/>
          <w:kern w:val="22"/>
          <w:bdr w:val="none" w:sz="0" w:space="0" w:color="auto"/>
          <w:lang w:val="en-GB"/>
        </w:rPr>
        <w:t xml:space="preserve"> the local community.</w:t>
      </w:r>
      <w:r w:rsidRPr="00DF02C5">
        <w:rPr>
          <w:rFonts w:eastAsia="Calibri" w:hAnsi="Times New Roman"/>
          <w:snapToGrid w:val="0"/>
          <w:kern w:val="22"/>
          <w:bdr w:val="none" w:sz="0" w:space="0" w:color="auto"/>
          <w:lang w:val="en-GB"/>
        </w:rPr>
        <w:t xml:space="preserve"> Antigua and Barbuda received data on species to contribute to </w:t>
      </w:r>
      <w:r w:rsidR="00302A56" w:rsidRPr="00DF02C5">
        <w:rPr>
          <w:rFonts w:eastAsia="Calibri" w:hAnsi="Times New Roman"/>
          <w:snapToGrid w:val="0"/>
          <w:kern w:val="22"/>
          <w:bdr w:val="none" w:sz="0" w:space="0" w:color="auto"/>
          <w:lang w:val="en-GB"/>
        </w:rPr>
        <w:lastRenderedPageBreak/>
        <w:t xml:space="preserve">the Natural Resources Inventor. </w:t>
      </w:r>
      <w:r w:rsidRPr="00DF02C5">
        <w:rPr>
          <w:rFonts w:eastAsia="Calibri" w:hAnsi="Times New Roman"/>
          <w:snapToGrid w:val="0"/>
          <w:kern w:val="22"/>
          <w:bdr w:val="none" w:sz="0" w:space="0" w:color="auto"/>
          <w:lang w:val="en-GB"/>
        </w:rPr>
        <w:t xml:space="preserve">Madagascar reported having a new arboretum installed with endemic plants. </w:t>
      </w:r>
    </w:p>
    <w:p w14:paraId="6D468D57" w14:textId="7C829807" w:rsidR="00EA65E0" w:rsidRPr="00DF02C5" w:rsidRDefault="00EA65E0" w:rsidP="005038A2">
      <w:pPr>
        <w:pStyle w:val="Para1"/>
        <w:numPr>
          <w:ilvl w:val="1"/>
          <w:numId w:val="57"/>
        </w:numPr>
        <w:rPr>
          <w:rFonts w:eastAsia="Calibri" w:hAnsi="Times New Roman"/>
          <w:i/>
          <w:snapToGrid w:val="0"/>
          <w:kern w:val="22"/>
          <w:bdr w:val="none" w:sz="0" w:space="0" w:color="auto"/>
          <w:lang w:val="en-GB"/>
        </w:rPr>
      </w:pPr>
      <w:r w:rsidRPr="00DF02C5">
        <w:rPr>
          <w:rFonts w:eastAsia="Calibri" w:hAnsi="Times New Roman"/>
          <w:i/>
          <w:snapToGrid w:val="0"/>
          <w:kern w:val="22"/>
          <w:bdr w:val="none" w:sz="0" w:space="0" w:color="auto"/>
          <w:lang w:val="en-GB"/>
        </w:rPr>
        <w:t>Monetary benefits from the utilization of traditional knowledge associated to genetic resources</w:t>
      </w:r>
    </w:p>
    <w:p w14:paraId="46A92E94" w14:textId="1DF57FED" w:rsidR="00EA65E0" w:rsidRPr="00DF02C5" w:rsidRDefault="00EA65E0" w:rsidP="00393914">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 xml:space="preserve">Very few countries provided </w:t>
      </w:r>
      <w:r w:rsidR="004921DE" w:rsidRPr="00DF02C5">
        <w:rPr>
          <w:rFonts w:eastAsia="Calibri" w:hAnsi="Times New Roman"/>
          <w:snapToGrid w:val="0"/>
          <w:kern w:val="22"/>
          <w:bdr w:val="none" w:sz="0" w:space="0" w:color="auto"/>
          <w:lang w:val="en-GB"/>
        </w:rPr>
        <w:t xml:space="preserve">additional </w:t>
      </w:r>
      <w:r w:rsidRPr="00DF02C5">
        <w:rPr>
          <w:rFonts w:eastAsia="Calibri" w:hAnsi="Times New Roman"/>
          <w:snapToGrid w:val="0"/>
          <w:kern w:val="22"/>
          <w:bdr w:val="none" w:sz="0" w:space="0" w:color="auto"/>
          <w:lang w:val="en-GB"/>
        </w:rPr>
        <w:t>information on monetary benefits</w:t>
      </w:r>
      <w:r w:rsidR="00DD5F53" w:rsidRPr="00DF02C5">
        <w:rPr>
          <w:rFonts w:eastAsia="Calibri" w:hAnsi="Times New Roman"/>
          <w:snapToGrid w:val="0"/>
          <w:kern w:val="22"/>
          <w:bdr w:val="none" w:sz="0" w:space="0" w:color="auto"/>
          <w:lang w:val="en-GB"/>
        </w:rPr>
        <w:t xml:space="preserve"> related to traditional knowledge</w:t>
      </w:r>
      <w:r w:rsidRPr="00DF02C5">
        <w:rPr>
          <w:rFonts w:eastAsia="Calibri" w:hAnsi="Times New Roman"/>
          <w:snapToGrid w:val="0"/>
          <w:kern w:val="22"/>
          <w:bdr w:val="none" w:sz="0" w:space="0" w:color="auto"/>
          <w:lang w:val="en-GB"/>
        </w:rPr>
        <w:t xml:space="preserve">. </w:t>
      </w:r>
      <w:r w:rsidR="004921DE" w:rsidRPr="00DF02C5">
        <w:rPr>
          <w:rFonts w:eastAsia="Calibri" w:hAnsi="Times New Roman"/>
          <w:snapToGrid w:val="0"/>
          <w:kern w:val="22"/>
          <w:bdr w:val="none" w:sz="0" w:space="0" w:color="auto"/>
          <w:lang w:val="en-GB"/>
        </w:rPr>
        <w:t>South Africa indicated that more than four million rands (approximately 331,040 USD) had been paid to stakeholders providing access to traditional knowledge associated with genetic resources, while t</w:t>
      </w:r>
      <w:r w:rsidRPr="00DF02C5">
        <w:rPr>
          <w:rFonts w:eastAsia="Calibri" w:hAnsi="Times New Roman"/>
          <w:snapToGrid w:val="0"/>
          <w:kern w:val="22"/>
          <w:bdr w:val="none" w:sz="0" w:space="0" w:color="auto"/>
          <w:lang w:val="en-GB"/>
        </w:rPr>
        <w:t>wo countries</w:t>
      </w:r>
      <w:r w:rsidRPr="00DF02C5">
        <w:rPr>
          <w:rStyle w:val="FootnoteReference"/>
          <w:rFonts w:eastAsia="Calibri" w:hAnsi="Times New Roman"/>
          <w:snapToGrid w:val="0"/>
          <w:kern w:val="22"/>
          <w:bdr w:val="none" w:sz="0" w:space="0" w:color="auto"/>
          <w:lang w:val="en-GB"/>
        </w:rPr>
        <w:footnoteReference w:id="138"/>
      </w:r>
      <w:r w:rsidRPr="00DF02C5">
        <w:rPr>
          <w:rStyle w:val="FootnoteReference"/>
          <w:lang w:val="en-GB"/>
        </w:rPr>
        <w:t xml:space="preserve"> </w:t>
      </w:r>
      <w:r w:rsidRPr="00DF02C5">
        <w:rPr>
          <w:rFonts w:eastAsia="Calibri" w:hAnsi="Times New Roman"/>
          <w:snapToGrid w:val="0"/>
          <w:kern w:val="22"/>
          <w:bdr w:val="none" w:sz="0" w:space="0" w:color="auto"/>
          <w:lang w:val="en-GB"/>
        </w:rPr>
        <w:t>reported not having received any monetary benefits</w:t>
      </w:r>
      <w:r w:rsidRPr="00DF02C5">
        <w:rPr>
          <w:lang w:val="en-GB"/>
        </w:rPr>
        <w:t xml:space="preserve"> </w:t>
      </w:r>
      <w:r w:rsidRPr="00DF02C5">
        <w:rPr>
          <w:rFonts w:eastAsia="Calibri" w:hAnsi="Times New Roman"/>
          <w:snapToGrid w:val="0"/>
          <w:kern w:val="22"/>
          <w:bdr w:val="none" w:sz="0" w:space="0" w:color="auto"/>
          <w:lang w:val="en-GB"/>
        </w:rPr>
        <w:t>from the utilization of traditional knowledge associated to genetic resources</w:t>
      </w:r>
      <w:r w:rsidR="004921DE" w:rsidRPr="00DF02C5">
        <w:rPr>
          <w:rFonts w:eastAsia="Calibri" w:hAnsi="Times New Roman"/>
          <w:snapToGrid w:val="0"/>
          <w:kern w:val="22"/>
          <w:bdr w:val="none" w:sz="0" w:space="0" w:color="auto"/>
          <w:lang w:val="en-GB"/>
        </w:rPr>
        <w:t>.</w:t>
      </w:r>
      <w:r w:rsidRPr="00DF02C5">
        <w:rPr>
          <w:rFonts w:eastAsia="Calibri" w:hAnsi="Times New Roman"/>
          <w:snapToGrid w:val="0"/>
          <w:kern w:val="22"/>
          <w:bdr w:val="none" w:sz="0" w:space="0" w:color="auto"/>
          <w:lang w:val="en-GB"/>
        </w:rPr>
        <w:t xml:space="preserve"> </w:t>
      </w:r>
    </w:p>
    <w:p w14:paraId="636CB3DD" w14:textId="0B076F69" w:rsidR="00EA65E0" w:rsidRPr="00DF02C5" w:rsidRDefault="00EA65E0" w:rsidP="005038A2">
      <w:pPr>
        <w:pStyle w:val="Para1"/>
        <w:numPr>
          <w:ilvl w:val="1"/>
          <w:numId w:val="57"/>
        </w:numPr>
        <w:rPr>
          <w:rFonts w:eastAsia="Calibri" w:hAnsi="Times New Roman"/>
          <w:i/>
          <w:snapToGrid w:val="0"/>
          <w:kern w:val="22"/>
          <w:bdr w:val="none" w:sz="0" w:space="0" w:color="auto"/>
          <w:lang w:val="en-GB"/>
        </w:rPr>
      </w:pPr>
      <w:r w:rsidRPr="00DF02C5">
        <w:rPr>
          <w:rFonts w:eastAsia="Calibri" w:hAnsi="Times New Roman"/>
          <w:i/>
          <w:snapToGrid w:val="0"/>
          <w:kern w:val="22"/>
          <w:bdr w:val="none" w:sz="0" w:space="0" w:color="auto"/>
          <w:lang w:val="en-GB"/>
        </w:rPr>
        <w:t>Non-monetary benefits from the utilization of traditional knowledge associated to genetic resources</w:t>
      </w:r>
    </w:p>
    <w:p w14:paraId="5C3D05CB" w14:textId="5CDE7F19" w:rsidR="00EA65E0" w:rsidRPr="00DF02C5" w:rsidRDefault="00EA65E0" w:rsidP="00393914">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The most common non-monetary benefit mentioned is capacity development on different issues related to traditional knowledge (e.g</w:t>
      </w:r>
      <w:r w:rsidR="00DD5F53" w:rsidRPr="00DF02C5">
        <w:rPr>
          <w:rFonts w:eastAsia="Calibri" w:hAnsi="Times New Roman"/>
          <w:snapToGrid w:val="0"/>
          <w:kern w:val="22"/>
          <w:bdr w:val="none" w:sz="0" w:space="0" w:color="auto"/>
          <w:lang w:val="en-GB"/>
        </w:rPr>
        <w:t>.</w:t>
      </w:r>
      <w:r w:rsidRPr="00DF02C5">
        <w:rPr>
          <w:rFonts w:eastAsia="Calibri" w:hAnsi="Times New Roman"/>
          <w:snapToGrid w:val="0"/>
          <w:kern w:val="22"/>
          <w:bdr w:val="none" w:sz="0" w:space="0" w:color="auto"/>
          <w:lang w:val="en-GB"/>
        </w:rPr>
        <w:t xml:space="preserve"> documentation of traditional knowledge, community protocols, </w:t>
      </w:r>
      <w:r w:rsidR="009A3B49" w:rsidRPr="00DF02C5">
        <w:rPr>
          <w:rFonts w:eastAsia="Calibri" w:hAnsi="Times New Roman"/>
          <w:snapToGrid w:val="0"/>
          <w:kern w:val="22"/>
          <w:bdr w:val="none" w:sz="0" w:space="0" w:color="auto"/>
          <w:lang w:val="en-GB"/>
        </w:rPr>
        <w:t xml:space="preserve">or </w:t>
      </w:r>
      <w:r w:rsidRPr="00DF02C5">
        <w:rPr>
          <w:rFonts w:eastAsia="Calibri" w:hAnsi="Times New Roman"/>
          <w:snapToGrid w:val="0"/>
          <w:kern w:val="22"/>
          <w:bdr w:val="none" w:sz="0" w:space="0" w:color="auto"/>
          <w:lang w:val="en-GB"/>
        </w:rPr>
        <w:t>sustainable use of genetic resources based on traditional knowledge).</w:t>
      </w:r>
      <w:r w:rsidR="00DD5F53" w:rsidRPr="00DF02C5">
        <w:rPr>
          <w:rStyle w:val="FootnoteReference"/>
          <w:rFonts w:eastAsia="Calibri" w:hAnsi="Times New Roman"/>
          <w:snapToGrid w:val="0"/>
          <w:kern w:val="22"/>
          <w:bdr w:val="none" w:sz="0" w:space="0" w:color="auto"/>
          <w:lang w:val="en-GB"/>
        </w:rPr>
        <w:footnoteReference w:id="139"/>
      </w:r>
      <w:r w:rsidRPr="00DF02C5">
        <w:rPr>
          <w:rFonts w:eastAsia="Calibri" w:hAnsi="Times New Roman"/>
          <w:snapToGrid w:val="0"/>
          <w:kern w:val="22"/>
          <w:bdr w:val="none" w:sz="0" w:space="0" w:color="auto"/>
          <w:lang w:val="en-GB"/>
        </w:rPr>
        <w:t xml:space="preserve"> Other non-monetary benefits mentioned are: (a) access to information about the research on traditional knowledge</w:t>
      </w:r>
      <w:r w:rsidRPr="00DF02C5">
        <w:rPr>
          <w:rStyle w:val="FootnoteReference"/>
          <w:rFonts w:eastAsia="Calibri" w:hAnsi="Times New Roman"/>
          <w:snapToGrid w:val="0"/>
          <w:kern w:val="22"/>
          <w:bdr w:val="none" w:sz="0" w:space="0" w:color="auto"/>
          <w:lang w:val="en-GB"/>
        </w:rPr>
        <w:footnoteReference w:id="140"/>
      </w:r>
      <w:r w:rsidRPr="00DF02C5">
        <w:rPr>
          <w:rFonts w:eastAsia="Calibri" w:hAnsi="Times New Roman"/>
          <w:snapToGrid w:val="0"/>
          <w:kern w:val="22"/>
          <w:bdr w:val="none" w:sz="0" w:space="0" w:color="auto"/>
          <w:lang w:val="en-GB"/>
        </w:rPr>
        <w:t>; (b) joint publications</w:t>
      </w:r>
      <w:r w:rsidR="00195CA3">
        <w:rPr>
          <w:rFonts w:eastAsia="Calibri" w:hAnsi="Times New Roman"/>
          <w:snapToGrid w:val="0"/>
          <w:kern w:val="22"/>
          <w:bdr w:val="none" w:sz="0" w:space="0" w:color="auto"/>
          <w:lang w:val="en-GB"/>
        </w:rPr>
        <w:t>;</w:t>
      </w:r>
      <w:r w:rsidRPr="00DF02C5">
        <w:rPr>
          <w:rStyle w:val="FootnoteReference"/>
          <w:rFonts w:eastAsia="Calibri" w:hAnsi="Times New Roman"/>
          <w:snapToGrid w:val="0"/>
          <w:kern w:val="22"/>
          <w:bdr w:val="none" w:sz="0" w:space="0" w:color="auto"/>
          <w:lang w:val="en-GB"/>
        </w:rPr>
        <w:footnoteReference w:id="141"/>
      </w:r>
      <w:r w:rsidRPr="00DF02C5">
        <w:rPr>
          <w:rFonts w:eastAsia="Calibri" w:hAnsi="Times New Roman"/>
          <w:snapToGrid w:val="0"/>
          <w:kern w:val="22"/>
          <w:bdr w:val="none" w:sz="0" w:space="0" w:color="auto"/>
          <w:lang w:val="en-GB"/>
        </w:rPr>
        <w:t xml:space="preserve"> (d) development of pilot community protocols</w:t>
      </w:r>
      <w:r w:rsidR="00195CA3">
        <w:rPr>
          <w:rFonts w:eastAsia="Calibri" w:hAnsi="Times New Roman"/>
          <w:snapToGrid w:val="0"/>
          <w:kern w:val="22"/>
          <w:bdr w:val="none" w:sz="0" w:space="0" w:color="auto"/>
          <w:lang w:val="en-GB"/>
        </w:rPr>
        <w:t>;</w:t>
      </w:r>
      <w:r w:rsidRPr="00DF02C5">
        <w:rPr>
          <w:rStyle w:val="FootnoteReference"/>
          <w:rFonts w:eastAsia="Calibri" w:hAnsi="Times New Roman"/>
          <w:snapToGrid w:val="0"/>
          <w:kern w:val="22"/>
          <w:bdr w:val="none" w:sz="0" w:space="0" w:color="auto"/>
          <w:lang w:val="en-GB"/>
        </w:rPr>
        <w:footnoteReference w:id="142"/>
      </w:r>
      <w:r w:rsidRPr="00DF02C5">
        <w:rPr>
          <w:rFonts w:eastAsia="Calibri" w:hAnsi="Times New Roman"/>
          <w:snapToGrid w:val="0"/>
          <w:kern w:val="22"/>
          <w:bdr w:val="none" w:sz="0" w:space="0" w:color="auto"/>
          <w:lang w:val="en-GB"/>
        </w:rPr>
        <w:t xml:space="preserve"> (d) conservation of the soci</w:t>
      </w:r>
      <w:r w:rsidR="00195CA3">
        <w:rPr>
          <w:rFonts w:eastAsia="Calibri" w:hAnsi="Times New Roman"/>
          <w:snapToGrid w:val="0"/>
          <w:kern w:val="22"/>
          <w:bdr w:val="none" w:sz="0" w:space="0" w:color="auto"/>
          <w:lang w:val="en-GB"/>
        </w:rPr>
        <w:t>o</w:t>
      </w:r>
      <w:r w:rsidRPr="00DF02C5">
        <w:rPr>
          <w:rFonts w:eastAsia="Calibri" w:hAnsi="Times New Roman"/>
          <w:snapToGrid w:val="0"/>
          <w:kern w:val="22"/>
          <w:bdr w:val="none" w:sz="0" w:space="0" w:color="auto"/>
          <w:lang w:val="en-GB"/>
        </w:rPr>
        <w:t>cultural heritage</w:t>
      </w:r>
      <w:r w:rsidR="00195CA3">
        <w:rPr>
          <w:rFonts w:eastAsia="Calibri" w:hAnsi="Times New Roman"/>
          <w:snapToGrid w:val="0"/>
          <w:kern w:val="22"/>
          <w:bdr w:val="none" w:sz="0" w:space="0" w:color="auto"/>
          <w:lang w:val="en-GB"/>
        </w:rPr>
        <w:t>;</w:t>
      </w:r>
      <w:r w:rsidRPr="00DF02C5">
        <w:rPr>
          <w:rStyle w:val="FootnoteReference"/>
          <w:rFonts w:eastAsia="Calibri" w:hAnsi="Times New Roman"/>
          <w:snapToGrid w:val="0"/>
          <w:kern w:val="22"/>
          <w:bdr w:val="none" w:sz="0" w:space="0" w:color="auto"/>
          <w:lang w:val="en-GB"/>
        </w:rPr>
        <w:footnoteReference w:id="143"/>
      </w:r>
      <w:r w:rsidRPr="00DF02C5">
        <w:rPr>
          <w:rFonts w:eastAsia="Calibri" w:hAnsi="Times New Roman"/>
          <w:snapToGrid w:val="0"/>
          <w:kern w:val="22"/>
          <w:bdr w:val="none" w:sz="0" w:space="0" w:color="auto"/>
          <w:lang w:val="en-GB"/>
        </w:rPr>
        <w:t xml:space="preserve"> (e) awareness-raising</w:t>
      </w:r>
      <w:r w:rsidR="00195CA3">
        <w:rPr>
          <w:rFonts w:eastAsia="Calibri" w:hAnsi="Times New Roman"/>
          <w:snapToGrid w:val="0"/>
          <w:kern w:val="22"/>
          <w:bdr w:val="none" w:sz="0" w:space="0" w:color="auto"/>
          <w:lang w:val="en-GB"/>
        </w:rPr>
        <w:t>;</w:t>
      </w:r>
      <w:r w:rsidRPr="00DF02C5">
        <w:rPr>
          <w:rStyle w:val="FootnoteReference"/>
          <w:rFonts w:eastAsia="Calibri" w:hAnsi="Times New Roman"/>
          <w:snapToGrid w:val="0"/>
          <w:kern w:val="22"/>
          <w:bdr w:val="none" w:sz="0" w:space="0" w:color="auto"/>
          <w:lang w:val="en-GB"/>
        </w:rPr>
        <w:footnoteReference w:id="144"/>
      </w:r>
      <w:r w:rsidRPr="00DF02C5">
        <w:rPr>
          <w:rFonts w:eastAsia="Calibri" w:hAnsi="Times New Roman"/>
          <w:snapToGrid w:val="0"/>
          <w:kern w:val="22"/>
          <w:bdr w:val="none" w:sz="0" w:space="0" w:color="auto"/>
          <w:lang w:val="en-GB"/>
        </w:rPr>
        <w:t xml:space="preserve"> (f) implementation of community projects, including festivals and meetings </w:t>
      </w:r>
      <w:r w:rsidR="00DD5F53" w:rsidRPr="00DF02C5">
        <w:rPr>
          <w:rFonts w:eastAsia="Calibri" w:hAnsi="Times New Roman"/>
          <w:snapToGrid w:val="0"/>
          <w:kern w:val="22"/>
          <w:bdr w:val="none" w:sz="0" w:space="0" w:color="auto"/>
          <w:lang w:val="en-GB"/>
        </w:rPr>
        <w:t>between</w:t>
      </w:r>
      <w:r w:rsidRPr="00DF02C5">
        <w:rPr>
          <w:rFonts w:eastAsia="Calibri" w:hAnsi="Times New Roman"/>
          <w:snapToGrid w:val="0"/>
          <w:kern w:val="22"/>
          <w:bdr w:val="none" w:sz="0" w:space="0" w:color="auto"/>
          <w:lang w:val="en-GB"/>
        </w:rPr>
        <w:t xml:space="preserve"> communities</w:t>
      </w:r>
      <w:r w:rsidR="00195CA3">
        <w:rPr>
          <w:rFonts w:eastAsia="Calibri" w:hAnsi="Times New Roman"/>
          <w:snapToGrid w:val="0"/>
          <w:kern w:val="22"/>
          <w:bdr w:val="none" w:sz="0" w:space="0" w:color="auto"/>
          <w:lang w:val="en-GB"/>
        </w:rPr>
        <w:t>;</w:t>
      </w:r>
      <w:r w:rsidRPr="00DF02C5">
        <w:rPr>
          <w:rStyle w:val="FootnoteReference"/>
          <w:rFonts w:eastAsia="Calibri" w:hAnsi="Times New Roman"/>
          <w:snapToGrid w:val="0"/>
          <w:kern w:val="22"/>
          <w:bdr w:val="none" w:sz="0" w:space="0" w:color="auto"/>
          <w:lang w:val="en-GB"/>
        </w:rPr>
        <w:footnoteReference w:id="145"/>
      </w:r>
      <w:r w:rsidRPr="00DF02C5">
        <w:rPr>
          <w:rFonts w:eastAsia="Calibri" w:hAnsi="Times New Roman"/>
          <w:snapToGrid w:val="0"/>
          <w:kern w:val="22"/>
          <w:bdr w:val="none" w:sz="0" w:space="0" w:color="auto"/>
          <w:lang w:val="en-GB"/>
        </w:rPr>
        <w:t xml:space="preserve"> (g) databases</w:t>
      </w:r>
      <w:r w:rsidR="00195CA3">
        <w:rPr>
          <w:rFonts w:eastAsia="Calibri" w:hAnsi="Times New Roman"/>
          <w:snapToGrid w:val="0"/>
          <w:kern w:val="22"/>
          <w:bdr w:val="none" w:sz="0" w:space="0" w:color="auto"/>
          <w:lang w:val="en-GB"/>
        </w:rPr>
        <w:t>;</w:t>
      </w:r>
      <w:r w:rsidRPr="00DF02C5">
        <w:rPr>
          <w:rStyle w:val="FootnoteReference"/>
          <w:rFonts w:eastAsia="Calibri" w:hAnsi="Times New Roman"/>
          <w:snapToGrid w:val="0"/>
          <w:kern w:val="22"/>
          <w:bdr w:val="none" w:sz="0" w:space="0" w:color="auto"/>
          <w:lang w:val="en-GB"/>
        </w:rPr>
        <w:footnoteReference w:id="146"/>
      </w:r>
      <w:r w:rsidRPr="00DF02C5">
        <w:rPr>
          <w:rFonts w:eastAsia="Calibri" w:hAnsi="Times New Roman"/>
          <w:snapToGrid w:val="0"/>
          <w:kern w:val="22"/>
          <w:bdr w:val="none" w:sz="0" w:space="0" w:color="auto"/>
          <w:lang w:val="en-GB"/>
        </w:rPr>
        <w:t xml:space="preserve"> and (h) research</w:t>
      </w:r>
      <w:r w:rsidR="00195CA3">
        <w:rPr>
          <w:rFonts w:eastAsia="Calibri" w:hAnsi="Times New Roman"/>
          <w:snapToGrid w:val="0"/>
          <w:kern w:val="22"/>
          <w:bdr w:val="none" w:sz="0" w:space="0" w:color="auto"/>
          <w:lang w:val="en-GB"/>
        </w:rPr>
        <w:t>.</w:t>
      </w:r>
      <w:r w:rsidRPr="00DF02C5">
        <w:rPr>
          <w:rStyle w:val="FootnoteReference"/>
          <w:rFonts w:eastAsia="Calibri" w:hAnsi="Times New Roman"/>
          <w:snapToGrid w:val="0"/>
          <w:kern w:val="22"/>
          <w:bdr w:val="none" w:sz="0" w:space="0" w:color="auto"/>
          <w:lang w:val="en-GB"/>
        </w:rPr>
        <w:footnoteReference w:id="147"/>
      </w:r>
      <w:r w:rsidRPr="00DF02C5">
        <w:rPr>
          <w:rFonts w:eastAsia="Calibri" w:hAnsi="Times New Roman"/>
          <w:snapToGrid w:val="0"/>
          <w:kern w:val="22"/>
          <w:bdr w:val="none" w:sz="0" w:space="0" w:color="auto"/>
          <w:lang w:val="en-GB"/>
        </w:rPr>
        <w:t xml:space="preserve">   </w:t>
      </w:r>
    </w:p>
    <w:p w14:paraId="196E4D45" w14:textId="659B383F" w:rsidR="00EA65E0" w:rsidRPr="00195CA3" w:rsidRDefault="004921DE" w:rsidP="00195CA3">
      <w:pPr>
        <w:pStyle w:val="Para1"/>
        <w:numPr>
          <w:ilvl w:val="0"/>
          <w:numId w:val="86"/>
        </w:numPr>
        <w:spacing w:before="240"/>
        <w:jc w:val="left"/>
        <w:rPr>
          <w:rFonts w:eastAsia="Calibri" w:hAnsi="Times New Roman"/>
          <w:i/>
          <w:snapToGrid w:val="0"/>
          <w:kern w:val="22"/>
          <w:bdr w:val="none" w:sz="0" w:space="0" w:color="auto"/>
          <w:lang w:val="en-GB"/>
        </w:rPr>
      </w:pPr>
      <w:r w:rsidRPr="00195CA3">
        <w:rPr>
          <w:rFonts w:eastAsia="Calibri" w:hAnsi="Times New Roman"/>
          <w:i/>
          <w:snapToGrid w:val="0"/>
          <w:kern w:val="22"/>
          <w:bdr w:val="none" w:sz="0" w:space="0" w:color="auto"/>
          <w:lang w:val="en-GB"/>
        </w:rPr>
        <w:t xml:space="preserve">Additional information: summary of the main difficulties and challenges </w:t>
      </w:r>
      <w:r w:rsidR="00EA65E0" w:rsidRPr="00195CA3">
        <w:rPr>
          <w:rFonts w:eastAsia="Calibri" w:hAnsi="Times New Roman"/>
          <w:i/>
          <w:snapToGrid w:val="0"/>
          <w:kern w:val="22"/>
          <w:bdr w:val="none" w:sz="0" w:space="0" w:color="auto"/>
          <w:lang w:val="en-GB"/>
        </w:rPr>
        <w:t>(question 19)</w:t>
      </w:r>
    </w:p>
    <w:p w14:paraId="37971946" w14:textId="334C725A" w:rsidR="00EA65E0" w:rsidRPr="00DF02C5" w:rsidRDefault="00AA694C" w:rsidP="00A049CC">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Forty-one countries answered this question</w:t>
      </w:r>
      <w:r w:rsidR="004921DE" w:rsidRPr="00DF02C5">
        <w:rPr>
          <w:rFonts w:eastAsia="Calibri" w:hAnsi="Times New Roman"/>
          <w:snapToGrid w:val="0"/>
          <w:kern w:val="22"/>
          <w:bdr w:val="none" w:sz="0" w:space="0" w:color="auto"/>
          <w:lang w:val="en-GB"/>
        </w:rPr>
        <w:t>. M</w:t>
      </w:r>
      <w:r w:rsidR="00EA65E0" w:rsidRPr="00DF02C5">
        <w:rPr>
          <w:rFonts w:eastAsia="Calibri" w:hAnsi="Times New Roman"/>
          <w:snapToGrid w:val="0"/>
          <w:kern w:val="22"/>
          <w:bdr w:val="none" w:sz="0" w:space="0" w:color="auto"/>
          <w:lang w:val="en-GB"/>
        </w:rPr>
        <w:t>any refer</w:t>
      </w:r>
      <w:r w:rsidR="004921DE" w:rsidRPr="00DF02C5">
        <w:rPr>
          <w:rFonts w:eastAsia="Calibri" w:hAnsi="Times New Roman"/>
          <w:snapToGrid w:val="0"/>
          <w:kern w:val="22"/>
          <w:bdr w:val="none" w:sz="0" w:space="0" w:color="auto"/>
          <w:lang w:val="en-GB"/>
        </w:rPr>
        <w:t>red</w:t>
      </w:r>
      <w:r w:rsidR="00EA65E0" w:rsidRPr="00DF02C5">
        <w:rPr>
          <w:rFonts w:eastAsia="Calibri" w:hAnsi="Times New Roman"/>
          <w:snapToGrid w:val="0"/>
          <w:kern w:val="22"/>
          <w:bdr w:val="none" w:sz="0" w:space="0" w:color="auto"/>
          <w:lang w:val="en-GB"/>
        </w:rPr>
        <w:t xml:space="preserve"> to general difficulties raised </w:t>
      </w:r>
      <w:r w:rsidR="004921DE" w:rsidRPr="00DF02C5">
        <w:rPr>
          <w:rFonts w:eastAsia="Calibri" w:hAnsi="Times New Roman"/>
          <w:snapToGrid w:val="0"/>
          <w:kern w:val="22"/>
          <w:bdr w:val="none" w:sz="0" w:space="0" w:color="auto"/>
          <w:lang w:val="en-GB"/>
        </w:rPr>
        <w:t xml:space="preserve">earlier in this document, </w:t>
      </w:r>
      <w:r w:rsidR="00EA65E0" w:rsidRPr="00DF02C5">
        <w:rPr>
          <w:rFonts w:eastAsia="Calibri" w:hAnsi="Times New Roman"/>
          <w:snapToGrid w:val="0"/>
          <w:kern w:val="22"/>
          <w:bdr w:val="none" w:sz="0" w:space="0" w:color="auto"/>
          <w:lang w:val="en-GB"/>
        </w:rPr>
        <w:t>such as lack of financial resources, capacity or awareness. Overall, the main difficulty identified</w:t>
      </w:r>
      <w:r w:rsidR="007354C0" w:rsidRPr="00DF02C5">
        <w:rPr>
          <w:rFonts w:eastAsia="Calibri" w:hAnsi="Times New Roman"/>
          <w:snapToGrid w:val="0"/>
          <w:kern w:val="22"/>
          <w:bdr w:val="none" w:sz="0" w:space="0" w:color="auto"/>
          <w:lang w:val="en-GB"/>
        </w:rPr>
        <w:t>, by eighteen countries,</w:t>
      </w:r>
      <w:r w:rsidR="00EA65E0" w:rsidRPr="00DF02C5">
        <w:rPr>
          <w:rFonts w:eastAsia="Calibri" w:hAnsi="Times New Roman"/>
          <w:snapToGrid w:val="0"/>
          <w:kern w:val="22"/>
          <w:bdr w:val="none" w:sz="0" w:space="0" w:color="auto"/>
          <w:lang w:val="en-GB"/>
        </w:rPr>
        <w:t xml:space="preserve"> is the absence of ABS measures in place, or the need to develop or review</w:t>
      </w:r>
      <w:r w:rsidR="00BD60A0" w:rsidRPr="00DF02C5">
        <w:rPr>
          <w:rFonts w:eastAsia="Calibri" w:hAnsi="Times New Roman"/>
          <w:snapToGrid w:val="0"/>
          <w:kern w:val="22"/>
          <w:bdr w:val="none" w:sz="0" w:space="0" w:color="auto"/>
          <w:lang w:val="en-GB"/>
        </w:rPr>
        <w:t xml:space="preserve"> additional</w:t>
      </w:r>
      <w:r w:rsidR="00EA65E0" w:rsidRPr="00DF02C5">
        <w:rPr>
          <w:rFonts w:eastAsia="Calibri" w:hAnsi="Times New Roman"/>
          <w:snapToGrid w:val="0"/>
          <w:kern w:val="22"/>
          <w:bdr w:val="none" w:sz="0" w:space="0" w:color="auto"/>
          <w:lang w:val="en-GB"/>
        </w:rPr>
        <w:t xml:space="preserve"> measures to be in line with the Nagoya Protocol.</w:t>
      </w:r>
    </w:p>
    <w:p w14:paraId="3AB157AA" w14:textId="0F0DF4B0" w:rsidR="00EA65E0" w:rsidRPr="00DF02C5" w:rsidRDefault="00EA65E0" w:rsidP="00393914">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 xml:space="preserve">Other difficulties mentioned are the following: </w:t>
      </w:r>
      <w:r w:rsidR="009A3B49" w:rsidRPr="00DF02C5">
        <w:rPr>
          <w:rFonts w:eastAsia="Calibri" w:hAnsi="Times New Roman"/>
          <w:snapToGrid w:val="0"/>
          <w:kern w:val="22"/>
          <w:bdr w:val="none" w:sz="0" w:space="0" w:color="auto"/>
          <w:lang w:val="en-GB"/>
        </w:rPr>
        <w:t xml:space="preserve">(a) </w:t>
      </w:r>
      <w:r w:rsidRPr="00DF02C5">
        <w:rPr>
          <w:rFonts w:eastAsia="Calibri" w:hAnsi="Times New Roman"/>
          <w:snapToGrid w:val="0"/>
          <w:kern w:val="22"/>
          <w:bdr w:val="none" w:sz="0" w:space="0" w:color="auto"/>
          <w:lang w:val="en-GB"/>
        </w:rPr>
        <w:t xml:space="preserve">monitoring the utilization of genetic resources; </w:t>
      </w:r>
      <w:r w:rsidR="009A3B49" w:rsidRPr="00DF02C5">
        <w:rPr>
          <w:rFonts w:eastAsia="Calibri" w:hAnsi="Times New Roman"/>
          <w:snapToGrid w:val="0"/>
          <w:kern w:val="22"/>
          <w:bdr w:val="none" w:sz="0" w:space="0" w:color="auto"/>
          <w:lang w:val="en-GB"/>
        </w:rPr>
        <w:t xml:space="preserve">(b) </w:t>
      </w:r>
      <w:r w:rsidRPr="00DF02C5">
        <w:rPr>
          <w:rFonts w:eastAsia="Calibri" w:hAnsi="Times New Roman"/>
          <w:snapToGrid w:val="0"/>
          <w:kern w:val="22"/>
          <w:bdr w:val="none" w:sz="0" w:space="0" w:color="auto"/>
          <w:lang w:val="en-GB"/>
        </w:rPr>
        <w:t>the need to develop an inventory of genetic resources or and associated traditional knowledge</w:t>
      </w:r>
      <w:r w:rsidR="009A3B49" w:rsidRPr="00DF02C5">
        <w:rPr>
          <w:rFonts w:eastAsia="Calibri" w:hAnsi="Times New Roman"/>
          <w:snapToGrid w:val="0"/>
          <w:kern w:val="22"/>
          <w:bdr w:val="none" w:sz="0" w:space="0" w:color="auto"/>
          <w:lang w:val="en-GB"/>
        </w:rPr>
        <w:t>;</w:t>
      </w:r>
      <w:r w:rsidR="00DD5F53" w:rsidRPr="00DF02C5">
        <w:rPr>
          <w:rFonts w:eastAsia="Calibri" w:hAnsi="Times New Roman"/>
          <w:snapToGrid w:val="0"/>
          <w:kern w:val="22"/>
          <w:bdr w:val="none" w:sz="0" w:space="0" w:color="auto"/>
          <w:lang w:val="en-GB"/>
        </w:rPr>
        <w:t xml:space="preserve"> </w:t>
      </w:r>
      <w:r w:rsidR="009A3B49" w:rsidRPr="00DF02C5">
        <w:rPr>
          <w:rFonts w:eastAsia="Calibri" w:hAnsi="Times New Roman"/>
          <w:snapToGrid w:val="0"/>
          <w:kern w:val="22"/>
          <w:bdr w:val="none" w:sz="0" w:space="0" w:color="auto"/>
          <w:lang w:val="en-GB"/>
        </w:rPr>
        <w:t xml:space="preserve">(c) </w:t>
      </w:r>
      <w:r w:rsidRPr="00DF02C5">
        <w:rPr>
          <w:rFonts w:eastAsia="Calibri" w:hAnsi="Times New Roman"/>
          <w:snapToGrid w:val="0"/>
          <w:kern w:val="22"/>
          <w:bdr w:val="none" w:sz="0" w:space="0" w:color="auto"/>
          <w:lang w:val="en-GB"/>
        </w:rPr>
        <w:t>issues related to associated traditional knowledge (e.g</w:t>
      </w:r>
      <w:r w:rsidR="009A3B49" w:rsidRPr="00DF02C5">
        <w:rPr>
          <w:rFonts w:eastAsia="Calibri" w:hAnsi="Times New Roman"/>
          <w:snapToGrid w:val="0"/>
          <w:kern w:val="22"/>
          <w:bdr w:val="none" w:sz="0" w:space="0" w:color="auto"/>
          <w:lang w:val="en-GB"/>
        </w:rPr>
        <w:t>.</w:t>
      </w:r>
      <w:r w:rsidR="004921DE" w:rsidRPr="00DF02C5">
        <w:rPr>
          <w:rFonts w:eastAsia="Calibri" w:hAnsi="Times New Roman"/>
          <w:snapToGrid w:val="0"/>
          <w:kern w:val="22"/>
          <w:bdr w:val="none" w:sz="0" w:space="0" w:color="auto"/>
          <w:lang w:val="en-GB"/>
        </w:rPr>
        <w:t xml:space="preserve"> absence of relevant measures </w:t>
      </w:r>
      <w:r w:rsidR="009A3B49" w:rsidRPr="00DF02C5">
        <w:rPr>
          <w:rFonts w:eastAsia="Calibri" w:hAnsi="Times New Roman"/>
          <w:snapToGrid w:val="0"/>
          <w:kern w:val="22"/>
          <w:bdr w:val="none" w:sz="0" w:space="0" w:color="auto"/>
          <w:lang w:val="en-GB"/>
        </w:rPr>
        <w:t xml:space="preserve">and </w:t>
      </w:r>
      <w:r w:rsidRPr="00DF02C5">
        <w:rPr>
          <w:rFonts w:eastAsia="Calibri" w:hAnsi="Times New Roman"/>
          <w:snapToGrid w:val="0"/>
          <w:kern w:val="22"/>
          <w:bdr w:val="none" w:sz="0" w:space="0" w:color="auto"/>
          <w:lang w:val="en-GB"/>
        </w:rPr>
        <w:t>difficul</w:t>
      </w:r>
      <w:r w:rsidR="00DD5F53" w:rsidRPr="00DF02C5">
        <w:rPr>
          <w:rFonts w:eastAsia="Calibri" w:hAnsi="Times New Roman"/>
          <w:snapToGrid w:val="0"/>
          <w:kern w:val="22"/>
          <w:bdr w:val="none" w:sz="0" w:space="0" w:color="auto"/>
          <w:lang w:val="en-GB"/>
        </w:rPr>
        <w:t xml:space="preserve">ties to ascertain whether </w:t>
      </w:r>
      <w:r w:rsidRPr="00DF02C5">
        <w:rPr>
          <w:rFonts w:eastAsia="Calibri" w:hAnsi="Times New Roman"/>
          <w:snapToGrid w:val="0"/>
          <w:kern w:val="22"/>
          <w:bdr w:val="none" w:sz="0" w:space="0" w:color="auto"/>
          <w:lang w:val="en-GB"/>
        </w:rPr>
        <w:t>traditional knowledge was involved)</w:t>
      </w:r>
      <w:r w:rsidR="004921DE" w:rsidRPr="00DF02C5">
        <w:rPr>
          <w:rFonts w:eastAsia="Calibri" w:hAnsi="Times New Roman"/>
          <w:snapToGrid w:val="0"/>
          <w:kern w:val="22"/>
          <w:bdr w:val="none" w:sz="0" w:space="0" w:color="auto"/>
          <w:lang w:val="en-GB"/>
        </w:rPr>
        <w:t xml:space="preserve">; </w:t>
      </w:r>
      <w:r w:rsidRPr="00DF02C5">
        <w:rPr>
          <w:rFonts w:eastAsia="Calibri" w:hAnsi="Times New Roman"/>
          <w:snapToGrid w:val="0"/>
          <w:kern w:val="22"/>
          <w:bdr w:val="none" w:sz="0" w:space="0" w:color="auto"/>
          <w:lang w:val="en-GB"/>
        </w:rPr>
        <w:t xml:space="preserve">and </w:t>
      </w:r>
      <w:r w:rsidR="004921DE" w:rsidRPr="00DF02C5">
        <w:rPr>
          <w:rFonts w:eastAsia="Calibri" w:hAnsi="Times New Roman"/>
          <w:snapToGrid w:val="0"/>
          <w:kern w:val="22"/>
          <w:bdr w:val="none" w:sz="0" w:space="0" w:color="auto"/>
          <w:lang w:val="en-GB"/>
        </w:rPr>
        <w:t>(d</w:t>
      </w:r>
      <w:r w:rsidR="009A3B49" w:rsidRPr="00DF02C5">
        <w:rPr>
          <w:rFonts w:eastAsia="Calibri" w:hAnsi="Times New Roman"/>
          <w:snapToGrid w:val="0"/>
          <w:kern w:val="22"/>
          <w:bdr w:val="none" w:sz="0" w:space="0" w:color="auto"/>
          <w:lang w:val="en-GB"/>
        </w:rPr>
        <w:t xml:space="preserve">) </w:t>
      </w:r>
      <w:r w:rsidRPr="00DF02C5">
        <w:rPr>
          <w:rFonts w:eastAsia="Calibri" w:hAnsi="Times New Roman"/>
          <w:snapToGrid w:val="0"/>
          <w:kern w:val="22"/>
          <w:bdr w:val="none" w:sz="0" w:space="0" w:color="auto"/>
          <w:lang w:val="en-GB"/>
        </w:rPr>
        <w:t xml:space="preserve">the need for </w:t>
      </w:r>
      <w:r w:rsidR="00DD5F53" w:rsidRPr="00DF02C5">
        <w:rPr>
          <w:rFonts w:eastAsia="Calibri" w:hAnsi="Times New Roman"/>
          <w:snapToGrid w:val="0"/>
          <w:kern w:val="22"/>
          <w:bdr w:val="none" w:sz="0" w:space="0" w:color="auto"/>
          <w:lang w:val="en-GB"/>
        </w:rPr>
        <w:t xml:space="preserve">improved </w:t>
      </w:r>
      <w:r w:rsidRPr="00DF02C5">
        <w:rPr>
          <w:rFonts w:eastAsia="Calibri" w:hAnsi="Times New Roman"/>
          <w:snapToGrid w:val="0"/>
          <w:kern w:val="22"/>
          <w:bdr w:val="none" w:sz="0" w:space="0" w:color="auto"/>
          <w:lang w:val="en-GB"/>
        </w:rPr>
        <w:t>capacity to negotiate contracts.</w:t>
      </w:r>
    </w:p>
    <w:p w14:paraId="061F1931" w14:textId="77777777" w:rsidR="00EA65E0" w:rsidRPr="00DF02C5" w:rsidRDefault="00EA65E0" w:rsidP="003500AA">
      <w:pPr>
        <w:pStyle w:val="Heading2"/>
        <w:numPr>
          <w:ilvl w:val="0"/>
          <w:numId w:val="10"/>
        </w:numPr>
        <w:tabs>
          <w:tab w:val="clear" w:pos="720"/>
          <w:tab w:val="left" w:pos="1701"/>
        </w:tabs>
        <w:spacing w:before="240"/>
        <w:ind w:left="1701" w:right="429" w:hanging="851"/>
        <w:jc w:val="left"/>
        <w:rPr>
          <w:rFonts w:eastAsia="Calibri"/>
          <w:snapToGrid w:val="0"/>
          <w:kern w:val="22"/>
          <w:lang w:val="en-GB"/>
        </w:rPr>
      </w:pPr>
      <w:bookmarkStart w:id="9" w:name="_Toc511112605"/>
      <w:r w:rsidRPr="00DF02C5">
        <w:rPr>
          <w:rFonts w:eastAsia="Calibri"/>
          <w:snapToGrid w:val="0"/>
          <w:kern w:val="22"/>
          <w:lang w:val="en-GB"/>
        </w:rPr>
        <w:t>ABS measures: Fair and equitable benefit-sharing (Article 5) (questions 20 to 23)</w:t>
      </w:r>
      <w:bookmarkEnd w:id="9"/>
    </w:p>
    <w:p w14:paraId="552BFD9D" w14:textId="60D47279" w:rsidR="00EA65E0" w:rsidRPr="00195CA3" w:rsidRDefault="004921DE" w:rsidP="00195CA3">
      <w:pPr>
        <w:pStyle w:val="Para1"/>
        <w:numPr>
          <w:ilvl w:val="0"/>
          <w:numId w:val="58"/>
        </w:numPr>
        <w:spacing w:before="240"/>
        <w:jc w:val="left"/>
        <w:rPr>
          <w:rFonts w:eastAsia="Calibri" w:hAnsi="Times New Roman"/>
          <w:i/>
          <w:snapToGrid w:val="0"/>
          <w:kern w:val="22"/>
          <w:bdr w:val="none" w:sz="0" w:space="0" w:color="auto"/>
          <w:lang w:val="en-GB"/>
        </w:rPr>
      </w:pPr>
      <w:r w:rsidRPr="00195CA3">
        <w:rPr>
          <w:rFonts w:eastAsia="Calibri" w:hAnsi="Times New Roman"/>
          <w:i/>
          <w:snapToGrid w:val="0"/>
          <w:kern w:val="22"/>
          <w:bdr w:val="none" w:sz="0" w:space="0" w:color="auto"/>
          <w:lang w:val="en-GB"/>
        </w:rPr>
        <w:t xml:space="preserve">Has your country taken legislative, administrative or policy measures to implement Article 5.1 that provides that benefits arising from the utilization of genetic resources as well as subsequent applications and commercialization are shared with the Party providing such resources that is the country of origin of such resources or a Party that has acquired the genetic resources in accordance with the Convention as provided in Article 5.3? </w:t>
      </w:r>
      <w:r w:rsidR="00EA65E0" w:rsidRPr="00195CA3">
        <w:rPr>
          <w:rFonts w:eastAsia="Calibri" w:hAnsi="Times New Roman"/>
          <w:i/>
          <w:snapToGrid w:val="0"/>
          <w:kern w:val="22"/>
          <w:bdr w:val="none" w:sz="0" w:space="0" w:color="auto"/>
          <w:lang w:val="en-GB"/>
        </w:rPr>
        <w:t>(question 20)</w:t>
      </w:r>
    </w:p>
    <w:p w14:paraId="09A4D790" w14:textId="59D18191" w:rsidR="00314869" w:rsidRPr="00DF02C5" w:rsidRDefault="004921DE" w:rsidP="00314869">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 xml:space="preserve">Countries </w:t>
      </w:r>
      <w:r w:rsidR="00B70954">
        <w:rPr>
          <w:rFonts w:eastAsia="Calibri" w:hAnsi="Times New Roman"/>
          <w:snapToGrid w:val="0"/>
          <w:kern w:val="22"/>
          <w:bdr w:val="none" w:sz="0" w:space="0" w:color="auto"/>
          <w:lang w:val="en-GB"/>
        </w:rPr>
        <w:t>understood this question in different ways</w:t>
      </w:r>
      <w:r w:rsidR="00314869" w:rsidRPr="00DF02C5">
        <w:rPr>
          <w:rFonts w:eastAsia="Calibri" w:hAnsi="Times New Roman"/>
          <w:snapToGrid w:val="0"/>
          <w:kern w:val="22"/>
          <w:bdr w:val="none" w:sz="0" w:space="0" w:color="auto"/>
          <w:lang w:val="en-GB"/>
        </w:rPr>
        <w:t xml:space="preserve">. When providing further information the majority of </w:t>
      </w:r>
      <w:r w:rsidRPr="00DF02C5">
        <w:rPr>
          <w:rFonts w:eastAsia="Calibri" w:hAnsi="Times New Roman"/>
          <w:snapToGrid w:val="0"/>
          <w:kern w:val="22"/>
          <w:bdr w:val="none" w:sz="0" w:space="0" w:color="auto"/>
          <w:lang w:val="en-GB"/>
        </w:rPr>
        <w:t xml:space="preserve">countries </w:t>
      </w:r>
      <w:r w:rsidR="00314869" w:rsidRPr="00DF02C5">
        <w:rPr>
          <w:rFonts w:eastAsia="Calibri" w:hAnsi="Times New Roman"/>
          <w:snapToGrid w:val="0"/>
          <w:kern w:val="22"/>
          <w:bdr w:val="none" w:sz="0" w:space="0" w:color="auto"/>
          <w:lang w:val="en-GB"/>
        </w:rPr>
        <w:t xml:space="preserve">referred to the establishment of PIC and MAT requirements, emphasising that they require benefit-sharing from users that wish to access genetic resources or associated traditional knowledge </w:t>
      </w:r>
      <w:r w:rsidR="00314869" w:rsidRPr="00DF02C5">
        <w:rPr>
          <w:rFonts w:eastAsia="Calibri" w:hAnsi="Times New Roman"/>
          <w:snapToGrid w:val="0"/>
          <w:kern w:val="22"/>
          <w:bdr w:val="none" w:sz="0" w:space="0" w:color="auto"/>
          <w:lang w:val="en-GB"/>
        </w:rPr>
        <w:lastRenderedPageBreak/>
        <w:t>in their country.</w:t>
      </w:r>
      <w:r w:rsidR="00B70954">
        <w:rPr>
          <w:rFonts w:eastAsia="Calibri" w:hAnsi="Times New Roman"/>
          <w:snapToGrid w:val="0"/>
          <w:kern w:val="22"/>
          <w:bdr w:val="none" w:sz="0" w:space="0" w:color="auto"/>
          <w:lang w:val="en-GB"/>
        </w:rPr>
        <w:t xml:space="preserve"> O</w:t>
      </w:r>
      <w:r w:rsidR="00314869" w:rsidRPr="00DF02C5">
        <w:rPr>
          <w:rFonts w:eastAsia="Calibri" w:hAnsi="Times New Roman"/>
          <w:snapToGrid w:val="0"/>
          <w:kern w:val="22"/>
          <w:bdr w:val="none" w:sz="0" w:space="0" w:color="auto"/>
          <w:lang w:val="en-GB"/>
        </w:rPr>
        <w:t xml:space="preserve">thers understood the Article to require each Party to take measures to ensure that the benefits arising from the genetic resources being utilized within their jurisdiction are shared with the provider country. </w:t>
      </w:r>
    </w:p>
    <w:p w14:paraId="1ED6F79D" w14:textId="25BF6143" w:rsidR="009D39A3" w:rsidRPr="00DF02C5" w:rsidRDefault="009D39A3" w:rsidP="00D2731F">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Forty-six Parties and four non-Part</w:t>
      </w:r>
      <w:r w:rsidR="00A853E1" w:rsidRPr="00DF02C5">
        <w:rPr>
          <w:rFonts w:eastAsia="Calibri" w:hAnsi="Times New Roman"/>
          <w:snapToGrid w:val="0"/>
          <w:kern w:val="22"/>
          <w:bdr w:val="none" w:sz="0" w:space="0" w:color="auto"/>
          <w:lang w:val="en-GB"/>
        </w:rPr>
        <w:t>ies</w:t>
      </w:r>
      <w:r w:rsidRPr="00DF02C5">
        <w:rPr>
          <w:rFonts w:eastAsia="Calibri" w:hAnsi="Times New Roman"/>
          <w:snapToGrid w:val="0"/>
          <w:kern w:val="22"/>
          <w:bdr w:val="none" w:sz="0" w:space="0" w:color="auto"/>
          <w:lang w:val="en-GB"/>
        </w:rPr>
        <w:t xml:space="preserve"> responded that they have taken measures to implement Article 5.1</w:t>
      </w:r>
      <w:r w:rsidR="00D2731F" w:rsidRPr="00DF02C5">
        <w:rPr>
          <w:rFonts w:eastAsia="Calibri" w:hAnsi="Times New Roman"/>
          <w:snapToGrid w:val="0"/>
          <w:kern w:val="22"/>
          <w:bdr w:val="none" w:sz="0" w:space="0" w:color="auto"/>
          <w:lang w:val="en-GB"/>
        </w:rPr>
        <w:t>, while twenty-three Parties and two non-Parties reported that they have not taken such measures.</w:t>
      </w:r>
    </w:p>
    <w:p w14:paraId="3A02FD24" w14:textId="0BDBE1DD" w:rsidR="00D2731F" w:rsidRPr="00DF02C5" w:rsidRDefault="007D5F65" w:rsidP="00E5256F">
      <w:pPr>
        <w:pStyle w:val="Caption"/>
        <w:keepNext/>
        <w:keepLines/>
        <w:rPr>
          <w:rFonts w:eastAsia="Calibri" w:hAnsi="Times New Roman"/>
          <w:snapToGrid w:val="0"/>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00E5256F" w:rsidRPr="00DF02C5">
        <w:rPr>
          <w:noProof/>
          <w:lang w:val="en-GB"/>
        </w:rPr>
        <w:t>13</w:t>
      </w:r>
      <w:r w:rsidRPr="00DF02C5">
        <w:rPr>
          <w:lang w:val="en-GB"/>
        </w:rPr>
        <w:fldChar w:fldCharType="end"/>
      </w:r>
      <w:r w:rsidR="00D2731F" w:rsidRPr="00DF02C5">
        <w:rPr>
          <w:lang w:val="en-GB"/>
        </w:rPr>
        <w:t>: Measures to implement Article 5.1 of the Protocol</w:t>
      </w:r>
      <w:r w:rsidR="00B3774A" w:rsidRPr="00DF02C5">
        <w:rPr>
          <w:lang w:val="en-GB"/>
        </w:rPr>
        <w:t xml:space="preserve"> (percentage of countries)</w:t>
      </w:r>
      <w:r w:rsidR="00D2731F" w:rsidRPr="00DF02C5">
        <w:rPr>
          <w:rFonts w:ascii="Calibri" w:eastAsia="Calibri" w:hAnsi="Times New Roman"/>
          <w:snapToGrid w:val="0"/>
          <w:bdr w:val="none" w:sz="0" w:space="0" w:color="auto"/>
          <w:lang w:val="en-GB"/>
        </w:rPr>
        <w:br/>
      </w:r>
      <w:r w:rsidR="00D2731F" w:rsidRPr="00DF02C5">
        <w:rPr>
          <w:noProof/>
        </w:rPr>
        <w:drawing>
          <wp:inline distT="0" distB="0" distL="0" distR="0" wp14:anchorId="674ED770" wp14:editId="0A679DD7">
            <wp:extent cx="3495675" cy="1905000"/>
            <wp:effectExtent l="0" t="0" r="9525"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D2731F" w:rsidRPr="00DF02C5">
        <w:rPr>
          <w:rFonts w:ascii="Calibri" w:eastAsia="Calibri" w:hAnsi="Times New Roman"/>
          <w:snapToGrid w:val="0"/>
          <w:bdr w:val="none" w:sz="0" w:space="0" w:color="auto"/>
          <w:lang w:val="en-GB"/>
        </w:rPr>
        <w:br/>
      </w:r>
    </w:p>
    <w:p w14:paraId="53579963" w14:textId="33792E34" w:rsidR="00D2731F" w:rsidRPr="00DF02C5" w:rsidRDefault="00D2731F" w:rsidP="00D2731F">
      <w:pPr>
        <w:pStyle w:val="Para1"/>
        <w:rPr>
          <w:rFonts w:eastAsia="Calibri" w:hAnsi="Times New Roman"/>
          <w:i/>
          <w:snapToGrid w:val="0"/>
          <w:kern w:val="22"/>
          <w:bdr w:val="none" w:sz="0" w:space="0" w:color="auto"/>
          <w:lang w:val="en-GB"/>
        </w:rPr>
      </w:pPr>
      <w:r w:rsidRPr="00DF02C5">
        <w:rPr>
          <w:rFonts w:eastAsia="Calibri" w:hAnsi="Times New Roman"/>
          <w:i/>
          <w:snapToGrid w:val="0"/>
          <w:kern w:val="22"/>
          <w:bdr w:val="none" w:sz="0" w:space="0" w:color="auto"/>
          <w:lang w:val="en-GB"/>
        </w:rPr>
        <w:t>(a)</w:t>
      </w:r>
      <w:r w:rsidRPr="00DF02C5">
        <w:rPr>
          <w:rFonts w:eastAsia="Calibri" w:hAnsi="Times New Roman"/>
          <w:i/>
          <w:snapToGrid w:val="0"/>
          <w:kern w:val="22"/>
          <w:bdr w:val="none" w:sz="0" w:space="0" w:color="auto"/>
          <w:lang w:val="en-GB"/>
        </w:rPr>
        <w:tab/>
        <w:t>Countries that answered “yes”</w:t>
      </w:r>
    </w:p>
    <w:p w14:paraId="042E7FF1" w14:textId="7618D9ED" w:rsidR="00F33D0B" w:rsidRPr="00DF02C5" w:rsidRDefault="00BD60A0" w:rsidP="00F33D0B">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M</w:t>
      </w:r>
      <w:r w:rsidR="00EA65E0" w:rsidRPr="00DF02C5">
        <w:rPr>
          <w:rFonts w:eastAsia="Calibri" w:hAnsi="Times New Roman"/>
          <w:snapToGrid w:val="0"/>
          <w:kern w:val="22"/>
          <w:bdr w:val="none" w:sz="0" w:space="0" w:color="auto"/>
          <w:lang w:val="en-GB"/>
        </w:rPr>
        <w:t>any countries made specific reference to measures requiring benefit-sharing from access to their genetic resources or</w:t>
      </w:r>
      <w:r w:rsidR="00D51A18" w:rsidRPr="00DF02C5">
        <w:rPr>
          <w:rFonts w:eastAsia="Calibri" w:hAnsi="Times New Roman"/>
          <w:snapToGrid w:val="0"/>
          <w:kern w:val="22"/>
          <w:bdr w:val="none" w:sz="0" w:space="0" w:color="auto"/>
          <w:lang w:val="en-GB"/>
        </w:rPr>
        <w:t xml:space="preserve"> to</w:t>
      </w:r>
      <w:r w:rsidR="00EA65E0" w:rsidRPr="00DF02C5">
        <w:rPr>
          <w:rFonts w:eastAsia="Calibri" w:hAnsi="Times New Roman"/>
          <w:snapToGrid w:val="0"/>
          <w:kern w:val="22"/>
          <w:bdr w:val="none" w:sz="0" w:space="0" w:color="auto"/>
          <w:lang w:val="en-GB"/>
        </w:rPr>
        <w:t xml:space="preserve"> </w:t>
      </w:r>
      <w:r w:rsidR="00D51A18" w:rsidRPr="00DF02C5">
        <w:rPr>
          <w:rFonts w:eastAsia="Calibri" w:hAnsi="Times New Roman"/>
          <w:snapToGrid w:val="0"/>
          <w:kern w:val="22"/>
          <w:bdr w:val="none" w:sz="0" w:space="0" w:color="auto"/>
          <w:lang w:val="en-GB"/>
        </w:rPr>
        <w:t xml:space="preserve">terms included in </w:t>
      </w:r>
      <w:r w:rsidR="00EA65E0" w:rsidRPr="00DF02C5">
        <w:rPr>
          <w:rFonts w:eastAsia="Calibri" w:hAnsi="Times New Roman"/>
          <w:snapToGrid w:val="0"/>
          <w:kern w:val="22"/>
          <w:bdr w:val="none" w:sz="0" w:space="0" w:color="auto"/>
          <w:lang w:val="en-GB"/>
        </w:rPr>
        <w:t>MAT.</w:t>
      </w:r>
      <w:r w:rsidR="002D431B" w:rsidRPr="00DF02C5">
        <w:rPr>
          <w:rStyle w:val="FootnoteReference"/>
          <w:rFonts w:eastAsia="Calibri" w:hAnsi="Times New Roman"/>
          <w:snapToGrid w:val="0"/>
          <w:kern w:val="22"/>
          <w:bdr w:val="none" w:sz="0" w:space="0" w:color="auto"/>
          <w:lang w:val="en-GB"/>
        </w:rPr>
        <w:footnoteReference w:id="148"/>
      </w:r>
      <w:r w:rsidR="00EA65E0" w:rsidRPr="00DF02C5">
        <w:rPr>
          <w:rFonts w:eastAsia="Calibri" w:hAnsi="Times New Roman"/>
          <w:snapToGrid w:val="0"/>
          <w:kern w:val="22"/>
          <w:bdr w:val="none" w:sz="0" w:space="0" w:color="auto"/>
          <w:lang w:val="en-GB"/>
        </w:rPr>
        <w:t xml:space="preserve"> </w:t>
      </w:r>
      <w:r w:rsidR="00F33D0B" w:rsidRPr="00DF02C5">
        <w:rPr>
          <w:rFonts w:eastAsia="Calibri" w:hAnsi="Times New Roman"/>
          <w:snapToGrid w:val="0"/>
          <w:kern w:val="22"/>
          <w:bdr w:val="none" w:sz="0" w:space="0" w:color="auto"/>
          <w:lang w:val="en-GB"/>
        </w:rPr>
        <w:t xml:space="preserve"> For example:</w:t>
      </w:r>
    </w:p>
    <w:p w14:paraId="7185A407" w14:textId="68C131C4" w:rsidR="00F33D0B" w:rsidRPr="00DF02C5" w:rsidRDefault="00F33D0B" w:rsidP="005038A2">
      <w:pPr>
        <w:pStyle w:val="Para1"/>
        <w:numPr>
          <w:ilvl w:val="0"/>
          <w:numId w:val="59"/>
        </w:numPr>
        <w:ind w:left="90" w:firstLine="619"/>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 xml:space="preserve">India indicated that as per the Biological Diversity Act, 2002, the benefits arising from the utilization of biological resources for certain activities are to be shared with the identified benefit claimers in a fair and equitable manner. In case the </w:t>
      </w:r>
      <w:r w:rsidRPr="00DF02C5">
        <w:rPr>
          <w:rFonts w:eastAsia="Calibri" w:hAnsi="Times New Roman"/>
          <w:snapToGrid w:val="0"/>
          <w:color w:val="auto"/>
          <w:kern w:val="22"/>
          <w:bdr w:val="none" w:sz="0" w:space="0" w:color="auto"/>
          <w:lang w:val="en-GB"/>
        </w:rPr>
        <w:t>benefit</w:t>
      </w:r>
      <w:r w:rsidRPr="00DF02C5">
        <w:rPr>
          <w:rFonts w:eastAsia="Calibri" w:hAnsi="Times New Roman"/>
          <w:snapToGrid w:val="0"/>
          <w:kern w:val="22"/>
          <w:bdr w:val="none" w:sz="0" w:space="0" w:color="auto"/>
          <w:lang w:val="en-GB"/>
        </w:rPr>
        <w:t xml:space="preserve"> claimers are not identifiable, the benefits accrued are to be used for conservation of biological resources, and development, including socio-economic development, of the area from wh</w:t>
      </w:r>
      <w:r w:rsidR="00195CA3">
        <w:rPr>
          <w:rFonts w:eastAsia="Calibri" w:hAnsi="Times New Roman"/>
          <w:snapToGrid w:val="0"/>
          <w:kern w:val="22"/>
          <w:bdr w:val="none" w:sz="0" w:space="0" w:color="auto"/>
          <w:lang w:val="en-GB"/>
        </w:rPr>
        <w:t>ere such resources are accessed;</w:t>
      </w:r>
    </w:p>
    <w:p w14:paraId="6074076C" w14:textId="76412A7B" w:rsidR="00F33D0B" w:rsidRPr="00DF02C5" w:rsidRDefault="00F33D0B" w:rsidP="005038A2">
      <w:pPr>
        <w:pStyle w:val="Para1"/>
        <w:numPr>
          <w:ilvl w:val="0"/>
          <w:numId w:val="59"/>
        </w:numPr>
        <w:ind w:left="90" w:firstLine="619"/>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South Africa explained that the Act as well as the associated BABS Regulations provides for everyone in the value chain involved in the bioprospecting activities to obtain</w:t>
      </w:r>
      <w:r w:rsidR="00B70954">
        <w:rPr>
          <w:rFonts w:eastAsia="Calibri" w:hAnsi="Times New Roman"/>
          <w:snapToGrid w:val="0"/>
          <w:kern w:val="22"/>
          <w:bdr w:val="none" w:sz="0" w:space="0" w:color="auto"/>
          <w:lang w:val="en-GB"/>
        </w:rPr>
        <w:t xml:space="preserve"> a bioprospecting permit.</w:t>
      </w:r>
      <w:r w:rsidRPr="00DF02C5">
        <w:rPr>
          <w:rFonts w:eastAsia="Calibri" w:hAnsi="Times New Roman"/>
          <w:snapToGrid w:val="0"/>
          <w:kern w:val="22"/>
          <w:bdr w:val="none" w:sz="0" w:space="0" w:color="auto"/>
          <w:lang w:val="en-GB"/>
        </w:rPr>
        <w:t xml:space="preserve"> The application must be submitted together with </w:t>
      </w:r>
      <w:r w:rsidR="00B70954">
        <w:rPr>
          <w:rFonts w:eastAsia="Calibri" w:hAnsi="Times New Roman"/>
          <w:snapToGrid w:val="0"/>
          <w:kern w:val="22"/>
          <w:bdr w:val="none" w:sz="0" w:space="0" w:color="auto"/>
          <w:lang w:val="en-GB"/>
        </w:rPr>
        <w:t xml:space="preserve">a </w:t>
      </w:r>
      <w:r w:rsidRPr="00DF02C5">
        <w:rPr>
          <w:rFonts w:eastAsia="Calibri" w:hAnsi="Times New Roman"/>
          <w:snapToGrid w:val="0"/>
          <w:kern w:val="22"/>
          <w:bdr w:val="none" w:sz="0" w:space="0" w:color="auto"/>
          <w:lang w:val="en-GB"/>
        </w:rPr>
        <w:t xml:space="preserve">material transfer agreement and </w:t>
      </w:r>
      <w:r w:rsidR="00B70954">
        <w:rPr>
          <w:rFonts w:eastAsia="Calibri" w:hAnsi="Times New Roman"/>
          <w:snapToGrid w:val="0"/>
          <w:kern w:val="22"/>
          <w:bdr w:val="none" w:sz="0" w:space="0" w:color="auto"/>
          <w:lang w:val="en-GB"/>
        </w:rPr>
        <w:t xml:space="preserve">a </w:t>
      </w:r>
      <w:r w:rsidRPr="00DF02C5">
        <w:rPr>
          <w:rFonts w:eastAsia="Calibri" w:hAnsi="Times New Roman"/>
          <w:snapToGrid w:val="0"/>
          <w:kern w:val="22"/>
          <w:bdr w:val="none" w:sz="0" w:space="0" w:color="auto"/>
          <w:lang w:val="en-GB"/>
        </w:rPr>
        <w:t>benefit sharing agreement concluded with the providers. This is to ensure that benefits arising from the commercialisation and the subsequent applications are shared with the prov</w:t>
      </w:r>
      <w:r w:rsidR="00195CA3">
        <w:rPr>
          <w:rFonts w:eastAsia="Calibri" w:hAnsi="Times New Roman"/>
          <w:snapToGrid w:val="0"/>
          <w:kern w:val="22"/>
          <w:bdr w:val="none" w:sz="0" w:space="0" w:color="auto"/>
          <w:lang w:val="en-GB"/>
        </w:rPr>
        <w:t>ider country.</w:t>
      </w:r>
    </w:p>
    <w:p w14:paraId="74A161E9" w14:textId="2FA61E03" w:rsidR="00D51A18" w:rsidRPr="00DF02C5" w:rsidRDefault="00D51A18" w:rsidP="00D51A18">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Other countries provided information on measures taken to ensure that the benefits arising from the genetic resources being utilized within their jurisdiction are shared with the provider country.</w:t>
      </w:r>
      <w:r w:rsidRPr="00DF02C5">
        <w:rPr>
          <w:rStyle w:val="FootnoteReference"/>
          <w:rFonts w:eastAsia="Calibri" w:hAnsi="Times New Roman"/>
          <w:snapToGrid w:val="0"/>
          <w:kern w:val="22"/>
          <w:bdr w:val="none" w:sz="0" w:space="0" w:color="auto"/>
          <w:lang w:val="en-GB"/>
        </w:rPr>
        <w:footnoteReference w:id="149"/>
      </w:r>
      <w:r w:rsidRPr="00DF02C5">
        <w:rPr>
          <w:rFonts w:eastAsia="Calibri" w:hAnsi="Times New Roman"/>
          <w:snapToGrid w:val="0"/>
          <w:kern w:val="22"/>
          <w:bdr w:val="none" w:sz="0" w:space="0" w:color="auto"/>
          <w:lang w:val="en-GB"/>
        </w:rPr>
        <w:t xml:space="preserve">  For example:</w:t>
      </w:r>
    </w:p>
    <w:p w14:paraId="2A647C2C" w14:textId="4DEF66A0" w:rsidR="00EA65E0" w:rsidRPr="00DF02C5" w:rsidRDefault="00EA65E0" w:rsidP="00195CA3">
      <w:pPr>
        <w:pStyle w:val="Para1"/>
        <w:numPr>
          <w:ilvl w:val="1"/>
          <w:numId w:val="16"/>
        </w:numPr>
        <w:spacing w:line="228" w:lineRule="auto"/>
        <w:ind w:firstLine="709"/>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The European Union indicated that Article 4(1) of the EU ABS Regulation provides that “users shall exercise due diligence to ascertain that genetic resources and traditional knowledge associated with gen</w:t>
      </w:r>
      <w:r w:rsidR="00B54C38">
        <w:rPr>
          <w:rFonts w:eastAsia="Calibri" w:hAnsi="Times New Roman"/>
          <w:snapToGrid w:val="0"/>
          <w:kern w:val="22"/>
          <w:bdr w:val="none" w:sz="0" w:space="0" w:color="auto"/>
          <w:lang w:val="en-GB"/>
        </w:rPr>
        <w:t>etic resources which they utiliz</w:t>
      </w:r>
      <w:r w:rsidRPr="00DF02C5">
        <w:rPr>
          <w:rFonts w:eastAsia="Calibri" w:hAnsi="Times New Roman"/>
          <w:snapToGrid w:val="0"/>
          <w:kern w:val="22"/>
          <w:bdr w:val="none" w:sz="0" w:space="0" w:color="auto"/>
          <w:lang w:val="en-GB"/>
        </w:rPr>
        <w:t>e have been accessed in accordance with applicable access and benefit-sharing legislation or regulatory requirements and that benefits are fairly and equitably shared upon mutually agreed terms, in accordance with any applicable legislation or regulatory requirements.”</w:t>
      </w:r>
      <w:r w:rsidRPr="00DF02C5">
        <w:rPr>
          <w:rStyle w:val="FootnoteReference"/>
          <w:rFonts w:eastAsia="Calibri" w:hAnsi="Times New Roman"/>
          <w:snapToGrid w:val="0"/>
          <w:color w:val="auto"/>
          <w:kern w:val="22"/>
          <w:bdr w:val="none" w:sz="0" w:space="0" w:color="auto"/>
          <w:lang w:val="en-GB"/>
        </w:rPr>
        <w:t xml:space="preserve"> </w:t>
      </w:r>
      <w:r w:rsidRPr="00DF02C5">
        <w:rPr>
          <w:rStyle w:val="FootnoteReference"/>
          <w:rFonts w:eastAsia="Calibri" w:hAnsi="Times New Roman"/>
          <w:snapToGrid w:val="0"/>
          <w:color w:val="auto"/>
          <w:kern w:val="22"/>
          <w:bdr w:val="none" w:sz="0" w:space="0" w:color="auto"/>
          <w:lang w:val="en-GB"/>
        </w:rPr>
        <w:footnoteReference w:id="150"/>
      </w:r>
      <w:r w:rsidRPr="00DF02C5">
        <w:rPr>
          <w:rFonts w:eastAsia="Calibri" w:hAnsi="Times New Roman"/>
          <w:snapToGrid w:val="0"/>
          <w:color w:val="auto"/>
          <w:kern w:val="22"/>
          <w:bdr w:val="none" w:sz="0" w:space="0" w:color="auto"/>
          <w:lang w:val="en-GB"/>
        </w:rPr>
        <w:t xml:space="preserve"> </w:t>
      </w:r>
      <w:r w:rsidRPr="00DF02C5">
        <w:rPr>
          <w:rFonts w:eastAsia="Calibri" w:hAnsi="Times New Roman"/>
          <w:snapToGrid w:val="0"/>
          <w:kern w:val="22"/>
          <w:bdr w:val="none" w:sz="0" w:space="0" w:color="auto"/>
          <w:lang w:val="en-GB"/>
        </w:rPr>
        <w:t xml:space="preserve"> In addition, Spain and </w:t>
      </w:r>
      <w:r w:rsidR="002D431B" w:rsidRPr="00DF02C5">
        <w:rPr>
          <w:rFonts w:eastAsia="Calibri" w:hAnsi="Times New Roman"/>
          <w:snapToGrid w:val="0"/>
          <w:kern w:val="22"/>
          <w:bdr w:val="none" w:sz="0" w:space="0" w:color="auto"/>
          <w:lang w:val="en-GB"/>
        </w:rPr>
        <w:t xml:space="preserve">the </w:t>
      </w:r>
      <w:r w:rsidRPr="00DF02C5">
        <w:rPr>
          <w:rFonts w:eastAsia="Calibri" w:hAnsi="Times New Roman"/>
          <w:snapToGrid w:val="0"/>
          <w:kern w:val="22"/>
          <w:bdr w:val="none" w:sz="0" w:space="0" w:color="auto"/>
          <w:lang w:val="en-GB"/>
        </w:rPr>
        <w:t>Netherlands made reference to the</w:t>
      </w:r>
      <w:r w:rsidR="00D51A18" w:rsidRPr="00DF02C5">
        <w:rPr>
          <w:rFonts w:eastAsia="Calibri" w:hAnsi="Times New Roman"/>
          <w:snapToGrid w:val="0"/>
          <w:kern w:val="22"/>
          <w:bdr w:val="none" w:sz="0" w:space="0" w:color="auto"/>
          <w:lang w:val="en-GB"/>
        </w:rPr>
        <w:t>ir</w:t>
      </w:r>
      <w:r w:rsidRPr="00DF02C5">
        <w:rPr>
          <w:rFonts w:eastAsia="Calibri" w:hAnsi="Times New Roman"/>
          <w:snapToGrid w:val="0"/>
          <w:kern w:val="22"/>
          <w:bdr w:val="none" w:sz="0" w:space="0" w:color="auto"/>
          <w:lang w:val="en-GB"/>
        </w:rPr>
        <w:t xml:space="preserve"> national legislation;</w:t>
      </w:r>
    </w:p>
    <w:p w14:paraId="6BFC71AF" w14:textId="5F57E27F" w:rsidR="00EA65E0" w:rsidRPr="00DF02C5" w:rsidRDefault="00EA65E0" w:rsidP="00195CA3">
      <w:pPr>
        <w:pStyle w:val="Para1"/>
        <w:numPr>
          <w:ilvl w:val="1"/>
          <w:numId w:val="16"/>
        </w:numPr>
        <w:spacing w:line="228" w:lineRule="auto"/>
        <w:ind w:firstLine="709"/>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lastRenderedPageBreak/>
        <w:t>Japan reported that according to the ABS Guidelines, the Minister of the Environment and other competent ministers encourage users of genetic resources</w:t>
      </w:r>
      <w:r w:rsidR="002E7331" w:rsidRPr="00DF02C5">
        <w:rPr>
          <w:rFonts w:eastAsia="Calibri" w:hAnsi="Times New Roman"/>
          <w:snapToGrid w:val="0"/>
          <w:kern w:val="22"/>
          <w:bdr w:val="none" w:sz="0" w:space="0" w:color="auto"/>
          <w:lang w:val="en-GB"/>
        </w:rPr>
        <w:t xml:space="preserve"> </w:t>
      </w:r>
      <w:r w:rsidRPr="00DF02C5">
        <w:rPr>
          <w:rFonts w:eastAsia="Calibri" w:hAnsi="Times New Roman"/>
          <w:snapToGrid w:val="0"/>
          <w:kern w:val="22"/>
          <w:bdr w:val="none" w:sz="0" w:space="0" w:color="auto"/>
          <w:lang w:val="en-GB"/>
        </w:rPr>
        <w:t>to conclude contracts that ensure the fair and equitable sharing of benefits arising from their utilization</w:t>
      </w:r>
      <w:r w:rsidR="002E7331" w:rsidRPr="00DF02C5">
        <w:rPr>
          <w:rFonts w:eastAsia="Calibri" w:hAnsi="Times New Roman"/>
          <w:snapToGrid w:val="0"/>
          <w:kern w:val="22"/>
          <w:bdr w:val="none" w:sz="0" w:space="0" w:color="auto"/>
          <w:lang w:val="en-GB"/>
        </w:rPr>
        <w:t xml:space="preserve"> of genetic material</w:t>
      </w:r>
      <w:r w:rsidRPr="00DF02C5">
        <w:rPr>
          <w:rFonts w:eastAsia="Calibri" w:hAnsi="Times New Roman"/>
          <w:snapToGrid w:val="0"/>
          <w:kern w:val="22"/>
          <w:bdr w:val="none" w:sz="0" w:space="0" w:color="auto"/>
          <w:lang w:val="en-GB"/>
        </w:rPr>
        <w:t xml:space="preserve">, when they are requested to </w:t>
      </w:r>
      <w:r w:rsidR="002E7331" w:rsidRPr="00DF02C5">
        <w:rPr>
          <w:rFonts w:eastAsia="Calibri" w:hAnsi="Times New Roman"/>
          <w:snapToGrid w:val="0"/>
          <w:kern w:val="22"/>
          <w:bdr w:val="none" w:sz="0" w:space="0" w:color="auto"/>
          <w:lang w:val="en-GB"/>
        </w:rPr>
        <w:t>do so</w:t>
      </w:r>
      <w:r w:rsidRPr="00DF02C5">
        <w:rPr>
          <w:rFonts w:eastAsia="Calibri" w:hAnsi="Times New Roman"/>
          <w:snapToGrid w:val="0"/>
          <w:kern w:val="22"/>
          <w:bdr w:val="none" w:sz="0" w:space="0" w:color="auto"/>
          <w:lang w:val="en-GB"/>
        </w:rPr>
        <w:t xml:space="preserve"> by the providers of such resources;</w:t>
      </w:r>
    </w:p>
    <w:p w14:paraId="3ED61C41" w14:textId="6C2EB283" w:rsidR="00EA65E0" w:rsidRPr="00DF02C5" w:rsidRDefault="00EA65E0" w:rsidP="00195CA3">
      <w:pPr>
        <w:pStyle w:val="Para1"/>
        <w:numPr>
          <w:ilvl w:val="1"/>
          <w:numId w:val="16"/>
        </w:numPr>
        <w:spacing w:line="228" w:lineRule="auto"/>
        <w:ind w:firstLine="709"/>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In Norway, the Nature Diversity Act section 60 contains a provision</w:t>
      </w:r>
      <w:r w:rsidR="00D8509B" w:rsidRPr="00DF02C5">
        <w:rPr>
          <w:rFonts w:eastAsia="Calibri" w:hAnsi="Times New Roman"/>
          <w:snapToGrid w:val="0"/>
          <w:kern w:val="22"/>
          <w:bdr w:val="none" w:sz="0" w:space="0" w:color="auto"/>
          <w:lang w:val="en-GB"/>
        </w:rPr>
        <w:t xml:space="preserve"> on</w:t>
      </w:r>
      <w:r w:rsidRPr="00DF02C5">
        <w:rPr>
          <w:rFonts w:eastAsia="Calibri" w:hAnsi="Times New Roman"/>
          <w:snapToGrid w:val="0"/>
          <w:kern w:val="22"/>
          <w:bdr w:val="none" w:sz="0" w:space="0" w:color="auto"/>
          <w:lang w:val="en-GB"/>
        </w:rPr>
        <w:t xml:space="preserve"> import</w:t>
      </w:r>
      <w:r w:rsidR="00D8509B" w:rsidRPr="00DF02C5">
        <w:rPr>
          <w:rFonts w:eastAsia="Calibri" w:hAnsi="Times New Roman"/>
          <w:snapToGrid w:val="0"/>
          <w:kern w:val="22"/>
          <w:bdr w:val="none" w:sz="0" w:space="0" w:color="auto"/>
          <w:lang w:val="en-GB"/>
        </w:rPr>
        <w:t>ing genetic material, fo</w:t>
      </w:r>
      <w:r w:rsidRPr="00DF02C5">
        <w:rPr>
          <w:rFonts w:eastAsia="Calibri" w:hAnsi="Times New Roman"/>
          <w:snapToGrid w:val="0"/>
          <w:kern w:val="22"/>
          <w:bdr w:val="none" w:sz="0" w:space="0" w:color="auto"/>
          <w:lang w:val="en-GB"/>
        </w:rPr>
        <w:t>r utilisation in Norway</w:t>
      </w:r>
      <w:r w:rsidR="00D8509B" w:rsidRPr="00DF02C5">
        <w:rPr>
          <w:rFonts w:eastAsia="Calibri" w:hAnsi="Times New Roman"/>
          <w:snapToGrid w:val="0"/>
          <w:kern w:val="22"/>
          <w:bdr w:val="none" w:sz="0" w:space="0" w:color="auto"/>
          <w:lang w:val="en-GB"/>
        </w:rPr>
        <w:t>,</w:t>
      </w:r>
      <w:r w:rsidR="00B80AF5">
        <w:rPr>
          <w:rFonts w:eastAsia="Calibri" w:hAnsi="Times New Roman"/>
          <w:snapToGrid w:val="0"/>
          <w:kern w:val="22"/>
          <w:bdr w:val="none" w:sz="0" w:space="0" w:color="auto"/>
          <w:lang w:val="en-GB"/>
        </w:rPr>
        <w:t xml:space="preserve"> from a S</w:t>
      </w:r>
      <w:r w:rsidRPr="00DF02C5">
        <w:rPr>
          <w:rFonts w:eastAsia="Calibri" w:hAnsi="Times New Roman"/>
          <w:snapToGrid w:val="0"/>
          <w:kern w:val="22"/>
          <w:bdr w:val="none" w:sz="0" w:space="0" w:color="auto"/>
          <w:lang w:val="en-GB"/>
        </w:rPr>
        <w:t>tate that requires consent for collection or export of such material</w:t>
      </w:r>
      <w:r w:rsidR="00D51A18" w:rsidRPr="00DF02C5">
        <w:rPr>
          <w:rFonts w:eastAsia="Calibri" w:hAnsi="Times New Roman"/>
          <w:snapToGrid w:val="0"/>
          <w:kern w:val="22"/>
          <w:bdr w:val="none" w:sz="0" w:space="0" w:color="auto"/>
          <w:lang w:val="en-GB"/>
        </w:rPr>
        <w:t>. Import</w:t>
      </w:r>
      <w:r w:rsidRPr="00DF02C5">
        <w:rPr>
          <w:rFonts w:eastAsia="Calibri" w:hAnsi="Times New Roman"/>
          <w:snapToGrid w:val="0"/>
          <w:kern w:val="22"/>
          <w:bdr w:val="none" w:sz="0" w:space="0" w:color="auto"/>
          <w:lang w:val="en-GB"/>
        </w:rPr>
        <w:t xml:space="preserve"> may only take place in accordance with such consent. The person that has control of the material is bound by the conditions that </w:t>
      </w:r>
      <w:r w:rsidR="00B80AF5">
        <w:rPr>
          <w:rFonts w:eastAsia="Calibri" w:hAnsi="Times New Roman"/>
          <w:snapToGrid w:val="0"/>
          <w:kern w:val="22"/>
          <w:bdr w:val="none" w:sz="0" w:space="0" w:color="auto"/>
          <w:lang w:val="en-GB"/>
        </w:rPr>
        <w:t>have been set for consent. The S</w:t>
      </w:r>
      <w:r w:rsidRPr="00DF02C5">
        <w:rPr>
          <w:rFonts w:eastAsia="Calibri" w:hAnsi="Times New Roman"/>
          <w:snapToGrid w:val="0"/>
          <w:kern w:val="22"/>
          <w:bdr w:val="none" w:sz="0" w:space="0" w:color="auto"/>
          <w:lang w:val="en-GB"/>
        </w:rPr>
        <w:t xml:space="preserve">tate may enforce the conditions by bringing legal action on behalf of the </w:t>
      </w:r>
      <w:r w:rsidR="00D8509B" w:rsidRPr="00DF02C5">
        <w:rPr>
          <w:rFonts w:eastAsia="Calibri" w:hAnsi="Times New Roman"/>
          <w:snapToGrid w:val="0"/>
          <w:kern w:val="22"/>
          <w:bdr w:val="none" w:sz="0" w:space="0" w:color="auto"/>
          <w:lang w:val="en-GB"/>
        </w:rPr>
        <w:t>party</w:t>
      </w:r>
      <w:r w:rsidRPr="00DF02C5">
        <w:rPr>
          <w:rFonts w:eastAsia="Calibri" w:hAnsi="Times New Roman"/>
          <w:snapToGrid w:val="0"/>
          <w:kern w:val="22"/>
          <w:bdr w:val="none" w:sz="0" w:space="0" w:color="auto"/>
          <w:lang w:val="en-GB"/>
        </w:rPr>
        <w:t xml:space="preserve"> that set t</w:t>
      </w:r>
      <w:r w:rsidR="00D51A18" w:rsidRPr="00DF02C5">
        <w:rPr>
          <w:rFonts w:eastAsia="Calibri" w:hAnsi="Times New Roman"/>
          <w:snapToGrid w:val="0"/>
          <w:kern w:val="22"/>
          <w:bdr w:val="none" w:sz="0" w:space="0" w:color="auto"/>
          <w:lang w:val="en-GB"/>
        </w:rPr>
        <w:t>hose conditions</w:t>
      </w:r>
      <w:r w:rsidRPr="00DF02C5">
        <w:rPr>
          <w:rFonts w:eastAsia="Calibri" w:hAnsi="Times New Roman"/>
          <w:snapToGrid w:val="0"/>
          <w:kern w:val="22"/>
          <w:bdr w:val="none" w:sz="0" w:space="0" w:color="auto"/>
          <w:lang w:val="en-GB"/>
        </w:rPr>
        <w:t xml:space="preserve">. </w:t>
      </w:r>
      <w:r w:rsidR="00D51A18" w:rsidRPr="00DF02C5">
        <w:rPr>
          <w:rFonts w:eastAsia="Calibri" w:hAnsi="Times New Roman"/>
          <w:snapToGrid w:val="0"/>
          <w:kern w:val="22"/>
          <w:bdr w:val="none" w:sz="0" w:space="0" w:color="auto"/>
          <w:lang w:val="en-GB"/>
        </w:rPr>
        <w:t>W</w:t>
      </w:r>
      <w:r w:rsidRPr="00DF02C5">
        <w:rPr>
          <w:rFonts w:eastAsia="Calibri" w:hAnsi="Times New Roman"/>
          <w:snapToGrid w:val="0"/>
          <w:kern w:val="22"/>
          <w:bdr w:val="none" w:sz="0" w:space="0" w:color="auto"/>
          <w:lang w:val="en-GB"/>
        </w:rPr>
        <w:t>hen genetic materia</w:t>
      </w:r>
      <w:r w:rsidR="00B54C38">
        <w:rPr>
          <w:rFonts w:eastAsia="Calibri" w:hAnsi="Times New Roman"/>
          <w:snapToGrid w:val="0"/>
          <w:kern w:val="22"/>
          <w:bdr w:val="none" w:sz="0" w:space="0" w:color="auto"/>
          <w:lang w:val="en-GB"/>
        </w:rPr>
        <w:t>l from another country is utiliz</w:t>
      </w:r>
      <w:r w:rsidRPr="00DF02C5">
        <w:rPr>
          <w:rFonts w:eastAsia="Calibri" w:hAnsi="Times New Roman"/>
          <w:snapToGrid w:val="0"/>
          <w:kern w:val="22"/>
          <w:bdr w:val="none" w:sz="0" w:space="0" w:color="auto"/>
          <w:lang w:val="en-GB"/>
        </w:rPr>
        <w:t>ed in Norway for research or commercial purposes, it shall be accompanied by information regarding the country from which the genetic material has been received (provider country). If national law in the provider country requires consent for the collection of biological material, it shall be accompanied by information to the effect that such consent has been obtained. If the provider country is a country other than the country of origin of the genetic material, the country of origin shall also be stated.</w:t>
      </w:r>
      <w:r w:rsidR="00D51A18" w:rsidRPr="00DF02C5">
        <w:rPr>
          <w:rStyle w:val="FootnoteReference"/>
          <w:rFonts w:eastAsia="Calibri" w:hAnsi="Times New Roman"/>
          <w:snapToGrid w:val="0"/>
          <w:kern w:val="22"/>
          <w:bdr w:val="none" w:sz="0" w:space="0" w:color="auto"/>
          <w:lang w:val="en-GB"/>
        </w:rPr>
        <w:footnoteReference w:id="151"/>
      </w:r>
      <w:r w:rsidRPr="00DF02C5">
        <w:rPr>
          <w:rFonts w:eastAsia="Calibri" w:hAnsi="Times New Roman"/>
          <w:snapToGrid w:val="0"/>
          <w:kern w:val="22"/>
          <w:bdr w:val="none" w:sz="0" w:space="0" w:color="auto"/>
          <w:lang w:val="en-GB"/>
        </w:rPr>
        <w:t xml:space="preserve"> If the information is </w:t>
      </w:r>
      <w:r w:rsidR="00195CA3">
        <w:rPr>
          <w:rFonts w:eastAsia="Calibri" w:hAnsi="Times New Roman"/>
          <w:snapToGrid w:val="0"/>
          <w:kern w:val="22"/>
          <w:bdr w:val="none" w:sz="0" w:space="0" w:color="auto"/>
          <w:lang w:val="en-GB"/>
        </w:rPr>
        <w:t>not known, this shall be stated;</w:t>
      </w:r>
    </w:p>
    <w:p w14:paraId="3706C7E0" w14:textId="7AA087F7" w:rsidR="00EA65E0" w:rsidRPr="00DF02C5" w:rsidRDefault="00EA65E0" w:rsidP="00195CA3">
      <w:pPr>
        <w:pStyle w:val="Para1"/>
        <w:numPr>
          <w:ilvl w:val="1"/>
          <w:numId w:val="16"/>
        </w:numPr>
        <w:spacing w:line="228" w:lineRule="auto"/>
        <w:ind w:firstLine="709"/>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Switzerland introduced a due diligence requireme</w:t>
      </w:r>
      <w:r w:rsidR="00195CA3">
        <w:rPr>
          <w:rFonts w:eastAsia="Calibri" w:hAnsi="Times New Roman"/>
          <w:snapToGrid w:val="0"/>
          <w:kern w:val="22"/>
          <w:bdr w:val="none" w:sz="0" w:space="0" w:color="auto"/>
          <w:lang w:val="en-GB"/>
        </w:rPr>
        <w:t>nt to ensure that whoever utiliz</w:t>
      </w:r>
      <w:r w:rsidRPr="00DF02C5">
        <w:rPr>
          <w:rFonts w:eastAsia="Calibri" w:hAnsi="Times New Roman"/>
          <w:snapToGrid w:val="0"/>
          <w:kern w:val="22"/>
          <w:bdr w:val="none" w:sz="0" w:space="0" w:color="auto"/>
          <w:lang w:val="en-GB"/>
        </w:rPr>
        <w:t>es genetic resources or associated traditional knowledge</w:t>
      </w:r>
      <w:r w:rsidR="00D8509B" w:rsidRPr="00DF02C5">
        <w:rPr>
          <w:rFonts w:eastAsia="Calibri" w:hAnsi="Times New Roman"/>
          <w:snapToGrid w:val="0"/>
          <w:kern w:val="22"/>
          <w:bdr w:val="none" w:sz="0" w:space="0" w:color="auto"/>
          <w:lang w:val="en-GB"/>
        </w:rPr>
        <w:t>—</w:t>
      </w:r>
      <w:r w:rsidRPr="00DF02C5">
        <w:rPr>
          <w:rFonts w:eastAsia="Calibri" w:hAnsi="Times New Roman"/>
          <w:snapToGrid w:val="0"/>
          <w:kern w:val="22"/>
          <w:bdr w:val="none" w:sz="0" w:space="0" w:color="auto"/>
          <w:lang w:val="en-GB"/>
        </w:rPr>
        <w:t>or directly benefits from their utilisation</w:t>
      </w:r>
      <w:r w:rsidR="00D8509B" w:rsidRPr="00DF02C5">
        <w:rPr>
          <w:rFonts w:eastAsia="Calibri" w:hAnsi="Times New Roman"/>
          <w:snapToGrid w:val="0"/>
          <w:kern w:val="22"/>
          <w:bdr w:val="none" w:sz="0" w:space="0" w:color="auto"/>
          <w:lang w:val="en-GB"/>
        </w:rPr>
        <w:t>—</w:t>
      </w:r>
      <w:r w:rsidRPr="00DF02C5">
        <w:rPr>
          <w:rFonts w:eastAsia="Calibri" w:hAnsi="Times New Roman"/>
          <w:snapToGrid w:val="0"/>
          <w:kern w:val="22"/>
          <w:bdr w:val="none" w:sz="0" w:space="0" w:color="auto"/>
          <w:lang w:val="en-GB"/>
        </w:rPr>
        <w:t>complies with the domestic regulatory requirements on ABS of other Parties to the Protocol and shares the benefits fairly and equitably.</w:t>
      </w:r>
    </w:p>
    <w:p w14:paraId="039064C6" w14:textId="5E76E434" w:rsidR="00D51A18" w:rsidRPr="00DF02C5" w:rsidRDefault="00D51A18" w:rsidP="00D51A18">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 xml:space="preserve">Some countries also refer to their plans or work to put additional measures in </w:t>
      </w:r>
      <w:r w:rsidR="00195CA3">
        <w:rPr>
          <w:rFonts w:eastAsia="Calibri" w:hAnsi="Times New Roman"/>
          <w:snapToGrid w:val="0"/>
          <w:kern w:val="22"/>
          <w:bdr w:val="none" w:sz="0" w:space="0" w:color="auto"/>
          <w:lang w:val="en-GB"/>
        </w:rPr>
        <w:t>place to implement Article 5.1.</w:t>
      </w:r>
      <w:r w:rsidRPr="00DF02C5">
        <w:rPr>
          <w:rStyle w:val="FootnoteReference"/>
          <w:rFonts w:eastAsia="Calibri" w:hAnsi="Times New Roman"/>
          <w:snapToGrid w:val="0"/>
          <w:kern w:val="22"/>
          <w:bdr w:val="none" w:sz="0" w:space="0" w:color="auto"/>
          <w:lang w:val="en-GB"/>
        </w:rPr>
        <w:footnoteReference w:id="152"/>
      </w:r>
    </w:p>
    <w:p w14:paraId="328C2718" w14:textId="0CE6993F" w:rsidR="00D2731F" w:rsidRPr="00DF02C5" w:rsidRDefault="00D2731F" w:rsidP="00D2731F">
      <w:pPr>
        <w:pStyle w:val="Para1"/>
        <w:spacing w:line="228" w:lineRule="auto"/>
        <w:jc w:val="left"/>
        <w:rPr>
          <w:rFonts w:eastAsia="Calibri" w:hAnsi="Times New Roman"/>
          <w:i/>
          <w:snapToGrid w:val="0"/>
          <w:kern w:val="22"/>
          <w:bdr w:val="none" w:sz="0" w:space="0" w:color="auto"/>
          <w:lang w:val="en-GB"/>
        </w:rPr>
      </w:pPr>
      <w:r w:rsidRPr="00DF02C5">
        <w:rPr>
          <w:rFonts w:eastAsia="Calibri" w:hAnsi="Times New Roman"/>
          <w:i/>
          <w:snapToGrid w:val="0"/>
          <w:kern w:val="22"/>
          <w:bdr w:val="none" w:sz="0" w:space="0" w:color="auto"/>
          <w:lang w:val="en-GB"/>
        </w:rPr>
        <w:t>(b)</w:t>
      </w:r>
      <w:r w:rsidRPr="00DF02C5">
        <w:rPr>
          <w:rFonts w:eastAsia="Calibri" w:hAnsi="Times New Roman"/>
          <w:i/>
          <w:snapToGrid w:val="0"/>
          <w:kern w:val="22"/>
          <w:bdr w:val="none" w:sz="0" w:space="0" w:color="auto"/>
          <w:lang w:val="en-GB"/>
        </w:rPr>
        <w:tab/>
        <w:t>Countries that answered “no”</w:t>
      </w:r>
    </w:p>
    <w:p w14:paraId="0A370E81" w14:textId="26EE5071" w:rsidR="00EA65E0" w:rsidRPr="00DF02C5" w:rsidRDefault="00D54BCE" w:rsidP="00393914">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M</w:t>
      </w:r>
      <w:r w:rsidR="00EA65E0" w:rsidRPr="00DF02C5">
        <w:rPr>
          <w:rFonts w:eastAsia="Calibri" w:hAnsi="Times New Roman"/>
          <w:snapToGrid w:val="0"/>
          <w:kern w:val="22"/>
          <w:bdr w:val="none" w:sz="0" w:space="0" w:color="auto"/>
          <w:lang w:val="en-GB"/>
        </w:rPr>
        <w:t xml:space="preserve">any countries </w:t>
      </w:r>
      <w:r w:rsidRPr="00DF02C5">
        <w:rPr>
          <w:rFonts w:eastAsia="Calibri" w:hAnsi="Times New Roman"/>
          <w:snapToGrid w:val="0"/>
          <w:kern w:val="22"/>
          <w:bdr w:val="none" w:sz="0" w:space="0" w:color="auto"/>
          <w:lang w:val="en-GB"/>
        </w:rPr>
        <w:t xml:space="preserve">indicated in their reports </w:t>
      </w:r>
      <w:r w:rsidR="00EA65E0" w:rsidRPr="00DF02C5">
        <w:rPr>
          <w:rFonts w:eastAsia="Calibri" w:hAnsi="Times New Roman"/>
          <w:snapToGrid w:val="0"/>
          <w:kern w:val="22"/>
          <w:bdr w:val="none" w:sz="0" w:space="0" w:color="auto"/>
          <w:lang w:val="en-GB"/>
        </w:rPr>
        <w:t xml:space="preserve">that </w:t>
      </w:r>
      <w:r w:rsidR="00D8509B" w:rsidRPr="00DF02C5">
        <w:rPr>
          <w:rFonts w:eastAsia="Calibri" w:hAnsi="Times New Roman"/>
          <w:snapToGrid w:val="0"/>
          <w:kern w:val="22"/>
          <w:bdr w:val="none" w:sz="0" w:space="0" w:color="auto"/>
          <w:lang w:val="en-GB"/>
        </w:rPr>
        <w:t xml:space="preserve">they </w:t>
      </w:r>
      <w:r w:rsidR="00EA65E0" w:rsidRPr="00DF02C5">
        <w:rPr>
          <w:rFonts w:eastAsia="Calibri" w:hAnsi="Times New Roman"/>
          <w:snapToGrid w:val="0"/>
          <w:kern w:val="22"/>
          <w:bdr w:val="none" w:sz="0" w:space="0" w:color="auto"/>
          <w:lang w:val="en-GB"/>
        </w:rPr>
        <w:t>are planning to address this issue.</w:t>
      </w:r>
      <w:r w:rsidR="00EA65E0" w:rsidRPr="00DF02C5">
        <w:rPr>
          <w:rStyle w:val="FootnoteReference"/>
          <w:rFonts w:eastAsia="Calibri" w:hAnsi="Times New Roman"/>
          <w:snapToGrid w:val="0"/>
          <w:kern w:val="22"/>
          <w:bdr w:val="none" w:sz="0" w:space="0" w:color="auto"/>
          <w:lang w:val="en-GB"/>
        </w:rPr>
        <w:footnoteReference w:id="153"/>
      </w:r>
    </w:p>
    <w:p w14:paraId="7D3428D3" w14:textId="4A9185E3" w:rsidR="00EA65E0" w:rsidRPr="00195CA3" w:rsidRDefault="00B3774A" w:rsidP="00195CA3">
      <w:pPr>
        <w:pStyle w:val="Para1"/>
        <w:numPr>
          <w:ilvl w:val="0"/>
          <w:numId w:val="58"/>
        </w:numPr>
        <w:spacing w:before="240"/>
        <w:ind w:right="360"/>
        <w:jc w:val="left"/>
        <w:rPr>
          <w:rFonts w:eastAsia="Calibri" w:hAnsi="Times New Roman"/>
          <w:i/>
          <w:snapToGrid w:val="0"/>
          <w:kern w:val="22"/>
          <w:bdr w:val="none" w:sz="0" w:space="0" w:color="auto"/>
          <w:lang w:val="en-GB"/>
        </w:rPr>
      </w:pPr>
      <w:r w:rsidRPr="00195CA3">
        <w:rPr>
          <w:rFonts w:eastAsia="Calibri" w:hAnsi="Times New Roman"/>
          <w:i/>
          <w:snapToGrid w:val="0"/>
          <w:kern w:val="22"/>
          <w:bdr w:val="none" w:sz="0" w:space="0" w:color="auto"/>
          <w:lang w:val="en-GB"/>
        </w:rPr>
        <w:t xml:space="preserve">Has your country taken legislative, administrative or policy measures with the aim of ensuring that the benefits from the utilization of genetic resources held by indigenous and local communities, in accordance with domestic legislation regarding the established rights of these indigenous and local communities over these genetic resources, are shared with the indigenous and local communities concerned as provided in Article 5.2? </w:t>
      </w:r>
      <w:r w:rsidR="00EA65E0" w:rsidRPr="00195CA3">
        <w:rPr>
          <w:rFonts w:eastAsia="Calibri" w:hAnsi="Times New Roman"/>
          <w:i/>
          <w:snapToGrid w:val="0"/>
          <w:kern w:val="22"/>
          <w:bdr w:val="none" w:sz="0" w:space="0" w:color="auto"/>
          <w:lang w:val="en-GB"/>
        </w:rPr>
        <w:t>(question 21)</w:t>
      </w:r>
    </w:p>
    <w:p w14:paraId="44EEF61F" w14:textId="77777777" w:rsidR="00B3774A" w:rsidRPr="00DF02C5" w:rsidRDefault="00B97C32" w:rsidP="00B3774A">
      <w:pPr>
        <w:pStyle w:val="Para1"/>
        <w:numPr>
          <w:ilvl w:val="0"/>
          <w:numId w:val="1"/>
        </w:numPr>
        <w:rPr>
          <w:rFonts w:eastAsia="Calibri" w:hAnsi="Times New Roman"/>
          <w:snapToGrid w:val="0"/>
          <w:kern w:val="22"/>
          <w:bdr w:val="none" w:sz="0" w:space="0" w:color="auto"/>
          <w:lang w:val="en-GB"/>
        </w:rPr>
      </w:pPr>
      <w:proofErr w:type="gramStart"/>
      <w:r w:rsidRPr="00DF02C5">
        <w:rPr>
          <w:rFonts w:eastAsia="Calibri" w:hAnsi="Times New Roman"/>
          <w:snapToGrid w:val="0"/>
          <w:kern w:val="22"/>
          <w:bdr w:val="none" w:sz="0" w:space="0" w:color="auto"/>
          <w:lang w:val="en-GB"/>
        </w:rPr>
        <w:t>Forty-two</w:t>
      </w:r>
      <w:proofErr w:type="gramEnd"/>
      <w:r w:rsidRPr="00DF02C5">
        <w:rPr>
          <w:rFonts w:eastAsia="Calibri" w:hAnsi="Times New Roman"/>
          <w:snapToGrid w:val="0"/>
          <w:kern w:val="22"/>
          <w:bdr w:val="none" w:sz="0" w:space="0" w:color="auto"/>
          <w:lang w:val="en-GB"/>
        </w:rPr>
        <w:t xml:space="preserve"> Parties and five non-Parties responded </w:t>
      </w:r>
      <w:r w:rsidR="005E6258" w:rsidRPr="00DF02C5">
        <w:rPr>
          <w:rFonts w:eastAsia="Calibri" w:hAnsi="Times New Roman"/>
          <w:snapToGrid w:val="0"/>
          <w:kern w:val="22"/>
          <w:bdr w:val="none" w:sz="0" w:space="0" w:color="auto"/>
          <w:lang w:val="en-GB"/>
        </w:rPr>
        <w:t>that they have</w:t>
      </w:r>
      <w:r w:rsidRPr="00DF02C5">
        <w:rPr>
          <w:rFonts w:eastAsia="Calibri" w:hAnsi="Times New Roman"/>
          <w:snapToGrid w:val="0"/>
          <w:kern w:val="22"/>
          <w:bdr w:val="none" w:sz="0" w:space="0" w:color="auto"/>
          <w:lang w:val="en-GB"/>
        </w:rPr>
        <w:t xml:space="preserve"> taken measures with the aim of ensuring that the benefits from the utilization of genetic resources held by IPLCs</w:t>
      </w:r>
      <w:r w:rsidR="00B3774A" w:rsidRPr="00DF02C5">
        <w:rPr>
          <w:rFonts w:eastAsia="Calibri" w:hAnsi="Times New Roman"/>
          <w:snapToGrid w:val="0"/>
          <w:kern w:val="22"/>
          <w:bdr w:val="none" w:sz="0" w:space="0" w:color="auto"/>
          <w:lang w:val="en-GB"/>
        </w:rPr>
        <w:t xml:space="preserve"> are shared with IPLCs. Twenty-seven Parties and one non-Party reported not having taken such measures. </w:t>
      </w:r>
    </w:p>
    <w:p w14:paraId="75BD9D68" w14:textId="13D585EF" w:rsidR="00B3774A" w:rsidRPr="00DF02C5" w:rsidRDefault="00B3774A" w:rsidP="00B3774A">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 xml:space="preserve">In answering this </w:t>
      </w:r>
      <w:r w:rsidRPr="00DF02C5">
        <w:rPr>
          <w:rFonts w:eastAsia="Calibri" w:hAnsi="Times New Roman"/>
          <w:snapToGrid w:val="0"/>
          <w:color w:val="auto"/>
          <w:kern w:val="22"/>
          <w:bdr w:val="none" w:sz="0" w:space="0" w:color="auto"/>
          <w:lang w:val="en-GB"/>
        </w:rPr>
        <w:t xml:space="preserve">question some countries </w:t>
      </w:r>
      <w:r w:rsidRPr="00DF02C5">
        <w:rPr>
          <w:rFonts w:eastAsia="Calibri" w:hAnsi="Times New Roman"/>
          <w:snapToGrid w:val="0"/>
          <w:kern w:val="22"/>
          <w:bdr w:val="none" w:sz="0" w:space="0" w:color="auto"/>
          <w:lang w:val="en-GB"/>
        </w:rPr>
        <w:t xml:space="preserve">provided information about benefit-sharing from the utilization of associated traditional knowledge </w:t>
      </w:r>
      <w:r w:rsidR="0098122B" w:rsidRPr="00DF02C5">
        <w:rPr>
          <w:rFonts w:eastAsia="Calibri" w:hAnsi="Times New Roman"/>
          <w:snapToGrid w:val="0"/>
          <w:kern w:val="22"/>
          <w:bdr w:val="none" w:sz="0" w:space="0" w:color="auto"/>
          <w:lang w:val="en-GB"/>
        </w:rPr>
        <w:t xml:space="preserve">and not about </w:t>
      </w:r>
      <w:r w:rsidRPr="00DF02C5">
        <w:rPr>
          <w:rFonts w:eastAsia="Calibri" w:hAnsi="Times New Roman"/>
          <w:snapToGrid w:val="0"/>
          <w:kern w:val="22"/>
          <w:bdr w:val="none" w:sz="0" w:space="0" w:color="auto"/>
          <w:lang w:val="en-GB"/>
        </w:rPr>
        <w:t xml:space="preserve">the utilization of genetic resources held by indigenous peoples and local communities (IPLCs). </w:t>
      </w:r>
    </w:p>
    <w:p w14:paraId="01E8E679" w14:textId="78E590B0" w:rsidR="00B3774A" w:rsidRPr="00DF02C5" w:rsidRDefault="007D5F65" w:rsidP="00E5256F">
      <w:pPr>
        <w:pStyle w:val="Caption"/>
        <w:keepNext/>
        <w:keepLines/>
        <w:rPr>
          <w:lang w:val="en-GB"/>
        </w:rPr>
      </w:pPr>
      <w:r w:rsidRPr="00DF02C5">
        <w:rPr>
          <w:lang w:val="en-GB"/>
        </w:rPr>
        <w:lastRenderedPageBreak/>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00E5256F" w:rsidRPr="00DF02C5">
        <w:rPr>
          <w:noProof/>
          <w:lang w:val="en-GB"/>
        </w:rPr>
        <w:t>14</w:t>
      </w:r>
      <w:r w:rsidRPr="00DF02C5">
        <w:rPr>
          <w:lang w:val="en-GB"/>
        </w:rPr>
        <w:fldChar w:fldCharType="end"/>
      </w:r>
      <w:r w:rsidR="00B3774A" w:rsidRPr="00DF02C5">
        <w:rPr>
          <w:lang w:val="en-GB"/>
        </w:rPr>
        <w:t>: Measures to implement Article 5.2 of the Protocol (percentage of countries)</w:t>
      </w:r>
    </w:p>
    <w:p w14:paraId="1D863EC6" w14:textId="20794E69" w:rsidR="00B97C32" w:rsidRPr="00DF02C5" w:rsidRDefault="00B3774A" w:rsidP="00B3774A">
      <w:pPr>
        <w:pStyle w:val="Para1"/>
        <w:jc w:val="center"/>
        <w:rPr>
          <w:rFonts w:eastAsia="Calibri" w:hAnsi="Times New Roman"/>
          <w:snapToGrid w:val="0"/>
          <w:kern w:val="22"/>
          <w:bdr w:val="none" w:sz="0" w:space="0" w:color="auto"/>
          <w:lang w:val="en-GB"/>
        </w:rPr>
      </w:pPr>
      <w:r w:rsidRPr="00DF02C5">
        <w:rPr>
          <w:noProof/>
          <w:color w:val="auto"/>
        </w:rPr>
        <w:drawing>
          <wp:inline distT="0" distB="0" distL="0" distR="0" wp14:anchorId="68C1D2CE" wp14:editId="1EDDA101">
            <wp:extent cx="3286125" cy="1866900"/>
            <wp:effectExtent l="0" t="0" r="9525"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C561414" w14:textId="16D05662" w:rsidR="00B3774A" w:rsidRPr="00DF02C5" w:rsidRDefault="00B3774A" w:rsidP="00B3774A">
      <w:pPr>
        <w:pStyle w:val="Para1"/>
        <w:rPr>
          <w:rFonts w:eastAsia="Calibri" w:hAnsi="Times New Roman"/>
          <w:i/>
          <w:snapToGrid w:val="0"/>
          <w:kern w:val="22"/>
          <w:bdr w:val="none" w:sz="0" w:space="0" w:color="auto"/>
          <w:lang w:val="en-GB"/>
        </w:rPr>
      </w:pPr>
      <w:r w:rsidRPr="00DF02C5">
        <w:rPr>
          <w:rFonts w:eastAsia="Calibri" w:hAnsi="Times New Roman"/>
          <w:i/>
          <w:snapToGrid w:val="0"/>
          <w:kern w:val="22"/>
          <w:bdr w:val="none" w:sz="0" w:space="0" w:color="auto"/>
          <w:lang w:val="en-GB"/>
        </w:rPr>
        <w:t>(a)</w:t>
      </w:r>
      <w:r w:rsidRPr="00DF02C5">
        <w:rPr>
          <w:rFonts w:eastAsia="Calibri" w:hAnsi="Times New Roman"/>
          <w:i/>
          <w:snapToGrid w:val="0"/>
          <w:kern w:val="22"/>
          <w:bdr w:val="none" w:sz="0" w:space="0" w:color="auto"/>
          <w:lang w:val="en-GB"/>
        </w:rPr>
        <w:tab/>
        <w:t>Countries that answered “yes”</w:t>
      </w:r>
    </w:p>
    <w:p w14:paraId="0E6BDC63" w14:textId="4F42EDD2" w:rsidR="00EA65E0" w:rsidRPr="00DF02C5" w:rsidRDefault="00B3774A" w:rsidP="00393914">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M</w:t>
      </w:r>
      <w:r w:rsidR="00EA65E0" w:rsidRPr="00DF02C5">
        <w:rPr>
          <w:rFonts w:eastAsia="Calibri" w:hAnsi="Times New Roman"/>
          <w:snapToGrid w:val="0"/>
          <w:kern w:val="22"/>
          <w:bdr w:val="none" w:sz="0" w:space="0" w:color="auto"/>
          <w:lang w:val="en-GB"/>
        </w:rPr>
        <w:t xml:space="preserve">any countries </w:t>
      </w:r>
      <w:r w:rsidRPr="00DF02C5">
        <w:rPr>
          <w:rFonts w:eastAsia="Calibri" w:hAnsi="Times New Roman"/>
          <w:snapToGrid w:val="0"/>
          <w:kern w:val="22"/>
          <w:bdr w:val="none" w:sz="0" w:space="0" w:color="auto"/>
          <w:lang w:val="en-GB"/>
        </w:rPr>
        <w:t xml:space="preserve">referred </w:t>
      </w:r>
      <w:r w:rsidR="00EA65E0" w:rsidRPr="00DF02C5">
        <w:rPr>
          <w:rFonts w:eastAsia="Calibri" w:hAnsi="Times New Roman"/>
          <w:snapToGrid w:val="0"/>
          <w:kern w:val="22"/>
          <w:bdr w:val="none" w:sz="0" w:space="0" w:color="auto"/>
          <w:lang w:val="en-GB"/>
        </w:rPr>
        <w:t>to measures requiring benefit-sharing from utilization of associated traditional knowledge</w:t>
      </w:r>
      <w:r w:rsidR="00EA65E0" w:rsidRPr="00DF02C5">
        <w:rPr>
          <w:rStyle w:val="FootnoteReference"/>
          <w:rFonts w:eastAsia="Calibri" w:hAnsi="Times New Roman"/>
          <w:snapToGrid w:val="0"/>
          <w:kern w:val="22"/>
          <w:bdr w:val="none" w:sz="0" w:space="0" w:color="auto"/>
          <w:lang w:val="en-GB"/>
        </w:rPr>
        <w:footnoteReference w:id="154"/>
      </w:r>
      <w:r w:rsidR="00EA65E0" w:rsidRPr="00DF02C5">
        <w:rPr>
          <w:rFonts w:eastAsia="Calibri" w:hAnsi="Times New Roman"/>
          <w:snapToGrid w:val="0"/>
          <w:kern w:val="22"/>
          <w:bdr w:val="none" w:sz="0" w:space="0" w:color="auto"/>
          <w:lang w:val="en-GB"/>
        </w:rPr>
        <w:t xml:space="preserve"> or from genetic resources held by IPLCs in their country</w:t>
      </w:r>
      <w:r w:rsidR="00195CA3">
        <w:rPr>
          <w:rFonts w:eastAsia="Calibri" w:hAnsi="Times New Roman"/>
          <w:snapToGrid w:val="0"/>
          <w:kern w:val="22"/>
          <w:bdr w:val="none" w:sz="0" w:space="0" w:color="auto"/>
          <w:lang w:val="en-GB"/>
        </w:rPr>
        <w:t>.</w:t>
      </w:r>
      <w:r w:rsidR="00EA65E0" w:rsidRPr="00DF02C5">
        <w:rPr>
          <w:rStyle w:val="FootnoteReference"/>
          <w:rFonts w:eastAsia="Calibri" w:hAnsi="Times New Roman"/>
          <w:snapToGrid w:val="0"/>
          <w:kern w:val="22"/>
          <w:bdr w:val="none" w:sz="0" w:space="0" w:color="auto"/>
          <w:lang w:val="en-GB"/>
        </w:rPr>
        <w:footnoteReference w:id="155"/>
      </w:r>
      <w:r w:rsidRPr="00DF02C5">
        <w:rPr>
          <w:rFonts w:eastAsia="Calibri" w:hAnsi="Times New Roman"/>
          <w:snapToGrid w:val="0"/>
          <w:kern w:val="22"/>
          <w:bdr w:val="none" w:sz="0" w:space="0" w:color="auto"/>
          <w:lang w:val="en-GB"/>
        </w:rPr>
        <w:t xml:space="preserve"> Some countries also indicated</w:t>
      </w:r>
      <w:r w:rsidR="00EA65E0" w:rsidRPr="00DF02C5">
        <w:rPr>
          <w:rFonts w:eastAsia="Calibri" w:hAnsi="Times New Roman"/>
          <w:snapToGrid w:val="0"/>
          <w:kern w:val="22"/>
          <w:bdr w:val="none" w:sz="0" w:space="0" w:color="auto"/>
          <w:lang w:val="en-GB"/>
        </w:rPr>
        <w:t xml:space="preserve"> their plans or work to put the necessary measures in place.</w:t>
      </w:r>
      <w:r w:rsidR="00EA65E0" w:rsidRPr="00DF02C5">
        <w:rPr>
          <w:rStyle w:val="FootnoteReference"/>
          <w:rFonts w:eastAsia="Calibri" w:hAnsi="Times New Roman"/>
          <w:snapToGrid w:val="0"/>
          <w:kern w:val="22"/>
          <w:bdr w:val="none" w:sz="0" w:space="0" w:color="auto"/>
          <w:lang w:val="en-GB"/>
        </w:rPr>
        <w:footnoteReference w:id="156"/>
      </w:r>
    </w:p>
    <w:p w14:paraId="5AF28673" w14:textId="3BD1EAA3" w:rsidR="00EA65E0" w:rsidRPr="00DF02C5" w:rsidRDefault="0098122B" w:rsidP="00393914">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 xml:space="preserve">Examples of information provided by countries on the </w:t>
      </w:r>
      <w:r w:rsidR="00EA65E0" w:rsidRPr="00DF02C5">
        <w:rPr>
          <w:rFonts w:eastAsia="Calibri" w:hAnsi="Times New Roman"/>
          <w:snapToGrid w:val="0"/>
          <w:kern w:val="22"/>
          <w:bdr w:val="none" w:sz="0" w:space="0" w:color="auto"/>
          <w:lang w:val="en-GB"/>
        </w:rPr>
        <w:t>rights of IPLCs to benefit-sharing from the use of genetic resources</w:t>
      </w:r>
      <w:r w:rsidRPr="00DF02C5">
        <w:rPr>
          <w:rFonts w:eastAsia="Calibri" w:hAnsi="Times New Roman"/>
          <w:snapToGrid w:val="0"/>
          <w:kern w:val="22"/>
          <w:bdr w:val="none" w:sz="0" w:space="0" w:color="auto"/>
          <w:lang w:val="en-GB"/>
        </w:rPr>
        <w:t xml:space="preserve"> includes the following:</w:t>
      </w:r>
      <w:r w:rsidR="00EA65E0" w:rsidRPr="00DF02C5">
        <w:rPr>
          <w:rFonts w:eastAsia="Calibri" w:hAnsi="Times New Roman"/>
          <w:snapToGrid w:val="0"/>
          <w:kern w:val="22"/>
          <w:bdr w:val="none" w:sz="0" w:space="0" w:color="auto"/>
          <w:lang w:val="en-GB"/>
        </w:rPr>
        <w:t xml:space="preserve"> </w:t>
      </w:r>
    </w:p>
    <w:p w14:paraId="251CC45E" w14:textId="48B2CBFE" w:rsidR="00EA65E0" w:rsidRPr="00DF02C5" w:rsidRDefault="009A3B49" w:rsidP="00195CA3">
      <w:pPr>
        <w:pStyle w:val="Para1"/>
        <w:numPr>
          <w:ilvl w:val="1"/>
          <w:numId w:val="60"/>
        </w:numPr>
        <w:spacing w:line="228" w:lineRule="auto"/>
        <w:ind w:firstLine="709"/>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Benin</w:t>
      </w:r>
      <w:r w:rsidR="00EA65E0" w:rsidRPr="00DF02C5">
        <w:rPr>
          <w:rFonts w:eastAsia="Calibri" w:hAnsi="Times New Roman"/>
          <w:snapToGrid w:val="0"/>
          <w:kern w:val="22"/>
          <w:bdr w:val="none" w:sz="0" w:space="0" w:color="auto"/>
          <w:lang w:val="en-GB"/>
        </w:rPr>
        <w:t xml:space="preserve"> explained that local communities are part of the national committee on ABS and ha</w:t>
      </w:r>
      <w:r w:rsidR="00195CA3">
        <w:rPr>
          <w:rFonts w:eastAsia="Calibri" w:hAnsi="Times New Roman"/>
          <w:snapToGrid w:val="0"/>
          <w:kern w:val="22"/>
          <w:bdr w:val="none" w:sz="0" w:space="0" w:color="auto"/>
          <w:lang w:val="en-GB"/>
        </w:rPr>
        <w:t>ve the right to benefit-sharing;</w:t>
      </w:r>
      <w:r w:rsidR="00EA65E0" w:rsidRPr="00DF02C5">
        <w:rPr>
          <w:rFonts w:eastAsia="Calibri" w:hAnsi="Times New Roman"/>
          <w:snapToGrid w:val="0"/>
          <w:kern w:val="22"/>
          <w:bdr w:val="none" w:sz="0" w:space="0" w:color="auto"/>
          <w:lang w:val="en-GB"/>
        </w:rPr>
        <w:t xml:space="preserve"> </w:t>
      </w:r>
    </w:p>
    <w:p w14:paraId="5BA614C7" w14:textId="6C2E9F9C" w:rsidR="00EA65E0" w:rsidRPr="00DF02C5" w:rsidRDefault="00EA65E0" w:rsidP="00195CA3">
      <w:pPr>
        <w:pStyle w:val="Para1"/>
        <w:numPr>
          <w:ilvl w:val="1"/>
          <w:numId w:val="60"/>
        </w:numPr>
        <w:spacing w:line="228" w:lineRule="auto"/>
        <w:ind w:firstLine="709"/>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Ethi</w:t>
      </w:r>
      <w:r w:rsidR="009A3B49" w:rsidRPr="00DF02C5">
        <w:rPr>
          <w:rFonts w:eastAsia="Calibri" w:hAnsi="Times New Roman"/>
          <w:snapToGrid w:val="0"/>
          <w:kern w:val="22"/>
          <w:bdr w:val="none" w:sz="0" w:space="0" w:color="auto"/>
          <w:lang w:val="en-GB"/>
        </w:rPr>
        <w:t>opia’s measures provide</w:t>
      </w:r>
      <w:r w:rsidRPr="00DF02C5">
        <w:rPr>
          <w:rFonts w:eastAsia="Calibri" w:hAnsi="Times New Roman"/>
          <w:snapToGrid w:val="0"/>
          <w:kern w:val="22"/>
          <w:bdr w:val="none" w:sz="0" w:space="0" w:color="auto"/>
          <w:lang w:val="en-GB"/>
        </w:rPr>
        <w:t xml:space="preserve"> that local communities shall have the rights to obtain 50% of th</w:t>
      </w:r>
      <w:r w:rsidR="00B80AF5">
        <w:rPr>
          <w:rFonts w:eastAsia="Calibri" w:hAnsi="Times New Roman"/>
          <w:snapToGrid w:val="0"/>
          <w:kern w:val="22"/>
          <w:bdr w:val="none" w:sz="0" w:space="0" w:color="auto"/>
          <w:lang w:val="en-GB"/>
        </w:rPr>
        <w:t>e benefits shared by the S</w:t>
      </w:r>
      <w:r w:rsidRPr="00DF02C5">
        <w:rPr>
          <w:rFonts w:eastAsia="Calibri" w:hAnsi="Times New Roman"/>
          <w:snapToGrid w:val="0"/>
          <w:kern w:val="22"/>
          <w:bdr w:val="none" w:sz="0" w:space="0" w:color="auto"/>
          <w:lang w:val="en-GB"/>
        </w:rPr>
        <w:t>tate in the form of money from the benefits derived out of the utiliza</w:t>
      </w:r>
      <w:r w:rsidR="00195CA3">
        <w:rPr>
          <w:rFonts w:eastAsia="Calibri" w:hAnsi="Times New Roman"/>
          <w:snapToGrid w:val="0"/>
          <w:kern w:val="22"/>
          <w:bdr w:val="none" w:sz="0" w:space="0" w:color="auto"/>
          <w:lang w:val="en-GB"/>
        </w:rPr>
        <w:t>tion of their genetic resources;</w:t>
      </w:r>
      <w:r w:rsidRPr="00DF02C5">
        <w:rPr>
          <w:rStyle w:val="FootnoteReference"/>
          <w:rFonts w:eastAsia="Calibri" w:hAnsi="Times New Roman"/>
          <w:snapToGrid w:val="0"/>
          <w:kern w:val="22"/>
          <w:bdr w:val="none" w:sz="0" w:space="0" w:color="auto"/>
          <w:lang w:val="en-GB"/>
        </w:rPr>
        <w:footnoteReference w:id="157"/>
      </w:r>
    </w:p>
    <w:p w14:paraId="0D77ECD7" w14:textId="3D92F366" w:rsidR="00EA65E0" w:rsidRPr="00DF02C5" w:rsidRDefault="00EA65E0" w:rsidP="00195CA3">
      <w:pPr>
        <w:pStyle w:val="Para1"/>
        <w:numPr>
          <w:ilvl w:val="1"/>
          <w:numId w:val="60"/>
        </w:numPr>
        <w:spacing w:line="228" w:lineRule="auto"/>
        <w:ind w:firstLine="709"/>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In Norway indigenous and local communities do not have established rights over these resources. As indigenous people</w:t>
      </w:r>
      <w:r w:rsidR="0098122B" w:rsidRPr="00DF02C5">
        <w:rPr>
          <w:rFonts w:eastAsia="Calibri" w:hAnsi="Times New Roman"/>
          <w:snapToGrid w:val="0"/>
          <w:kern w:val="22"/>
          <w:bdr w:val="none" w:sz="0" w:space="0" w:color="auto"/>
          <w:lang w:val="en-GB"/>
        </w:rPr>
        <w:t>s</w:t>
      </w:r>
      <w:r w:rsidRPr="00DF02C5">
        <w:rPr>
          <w:rFonts w:eastAsia="Calibri" w:hAnsi="Times New Roman"/>
          <w:snapToGrid w:val="0"/>
          <w:kern w:val="22"/>
          <w:bdr w:val="none" w:sz="0" w:space="0" w:color="auto"/>
          <w:lang w:val="en-GB"/>
        </w:rPr>
        <w:t xml:space="preserve">, the Sami have the right to be consulted in matters that may affect them directly. The Norwegian Government and the Sami Parliament have agreed on consultation procedures to this end. Consultations </w:t>
      </w:r>
      <w:r w:rsidR="00551E6E" w:rsidRPr="00DF02C5">
        <w:rPr>
          <w:rFonts w:eastAsia="Calibri" w:hAnsi="Times New Roman"/>
          <w:snapToGrid w:val="0"/>
          <w:kern w:val="22"/>
          <w:bdr w:val="none" w:sz="0" w:space="0" w:color="auto"/>
          <w:lang w:val="en-GB"/>
        </w:rPr>
        <w:t xml:space="preserve">regarding genetic material </w:t>
      </w:r>
      <w:r w:rsidRPr="00DF02C5">
        <w:rPr>
          <w:rFonts w:eastAsia="Calibri" w:hAnsi="Times New Roman"/>
          <w:snapToGrid w:val="0"/>
          <w:kern w:val="22"/>
          <w:bdr w:val="none" w:sz="0" w:space="0" w:color="auto"/>
          <w:lang w:val="en-GB"/>
        </w:rPr>
        <w:t xml:space="preserve">are </w:t>
      </w:r>
      <w:r w:rsidR="00551E6E" w:rsidRPr="00DF02C5">
        <w:rPr>
          <w:rFonts w:eastAsia="Calibri" w:hAnsi="Times New Roman"/>
          <w:snapToGrid w:val="0"/>
          <w:kern w:val="22"/>
          <w:bdr w:val="none" w:sz="0" w:space="0" w:color="auto"/>
          <w:lang w:val="en-GB"/>
        </w:rPr>
        <w:t xml:space="preserve">also </w:t>
      </w:r>
      <w:r w:rsidRPr="00DF02C5">
        <w:rPr>
          <w:rFonts w:eastAsia="Calibri" w:hAnsi="Times New Roman"/>
          <w:snapToGrid w:val="0"/>
          <w:kern w:val="22"/>
          <w:bdr w:val="none" w:sz="0" w:space="0" w:color="auto"/>
          <w:lang w:val="en-GB"/>
        </w:rPr>
        <w:t>carried out in accordance with procedural guidelines.</w:t>
      </w:r>
    </w:p>
    <w:p w14:paraId="337F0D50" w14:textId="1362D304" w:rsidR="0098122B" w:rsidRPr="00DF02C5" w:rsidRDefault="00EA65E0" w:rsidP="0098122B">
      <w:pPr>
        <w:pStyle w:val="Para1"/>
        <w:numPr>
          <w:ilvl w:val="0"/>
          <w:numId w:val="1"/>
        </w:numPr>
        <w:rPr>
          <w:rFonts w:eastAsia="Calibri" w:hAnsi="Times New Roman"/>
          <w:i/>
          <w:snapToGrid w:val="0"/>
          <w:kern w:val="22"/>
          <w:bdr w:val="none" w:sz="0" w:space="0" w:color="auto"/>
          <w:lang w:val="en-GB"/>
        </w:rPr>
      </w:pPr>
      <w:r w:rsidRPr="00DF02C5">
        <w:rPr>
          <w:rFonts w:eastAsia="Calibri" w:hAnsi="Times New Roman"/>
          <w:snapToGrid w:val="0"/>
          <w:kern w:val="22"/>
          <w:bdr w:val="none" w:sz="0" w:space="0" w:color="auto"/>
          <w:lang w:val="en-GB"/>
        </w:rPr>
        <w:t xml:space="preserve">Similarly to the measures </w:t>
      </w:r>
      <w:r w:rsidR="00195CA3">
        <w:rPr>
          <w:rFonts w:eastAsia="Calibri" w:hAnsi="Times New Roman"/>
          <w:snapToGrid w:val="0"/>
          <w:kern w:val="22"/>
          <w:bdr w:val="none" w:sz="0" w:space="0" w:color="auto"/>
          <w:lang w:val="en-GB"/>
        </w:rPr>
        <w:t>taken to implement Article 5.1,</w:t>
      </w:r>
      <w:r w:rsidRPr="00DF02C5">
        <w:rPr>
          <w:rFonts w:eastAsia="Calibri" w:hAnsi="Times New Roman"/>
          <w:snapToGrid w:val="0"/>
          <w:kern w:val="22"/>
          <w:bdr w:val="none" w:sz="0" w:space="0" w:color="auto"/>
          <w:lang w:val="en-GB"/>
        </w:rPr>
        <w:t xml:space="preserve"> the European Union </w:t>
      </w:r>
      <w:r w:rsidR="0098122B" w:rsidRPr="00DF02C5">
        <w:rPr>
          <w:rFonts w:eastAsia="Calibri" w:hAnsi="Times New Roman"/>
          <w:snapToGrid w:val="0"/>
          <w:kern w:val="22"/>
          <w:bdr w:val="none" w:sz="0" w:space="0" w:color="auto"/>
          <w:lang w:val="en-GB"/>
        </w:rPr>
        <w:t>reported on</w:t>
      </w:r>
      <w:r w:rsidRPr="00DF02C5">
        <w:rPr>
          <w:rFonts w:eastAsia="Calibri" w:hAnsi="Times New Roman"/>
          <w:snapToGrid w:val="0"/>
          <w:kern w:val="22"/>
          <w:bdr w:val="none" w:sz="0" w:space="0" w:color="auto"/>
          <w:lang w:val="en-GB"/>
        </w:rPr>
        <w:t xml:space="preserve"> Article 4(1) </w:t>
      </w:r>
      <w:proofErr w:type="gramStart"/>
      <w:r w:rsidRPr="00DF02C5">
        <w:rPr>
          <w:rFonts w:eastAsia="Calibri" w:hAnsi="Times New Roman"/>
          <w:snapToGrid w:val="0"/>
          <w:kern w:val="22"/>
          <w:bdr w:val="none" w:sz="0" w:space="0" w:color="auto"/>
          <w:lang w:val="en-GB"/>
        </w:rPr>
        <w:t>of  Regulation</w:t>
      </w:r>
      <w:proofErr w:type="gramEnd"/>
      <w:r w:rsidRPr="00DF02C5">
        <w:rPr>
          <w:rFonts w:eastAsia="Calibri" w:hAnsi="Times New Roman"/>
          <w:snapToGrid w:val="0"/>
          <w:kern w:val="22"/>
          <w:bdr w:val="none" w:sz="0" w:space="0" w:color="auto"/>
          <w:lang w:val="en-GB"/>
        </w:rPr>
        <w:t xml:space="preserve"> (EU) 511 2014</w:t>
      </w:r>
      <w:r w:rsidR="00195CA3">
        <w:rPr>
          <w:rFonts w:eastAsia="Calibri" w:hAnsi="Times New Roman"/>
          <w:snapToGrid w:val="0"/>
          <w:kern w:val="22"/>
          <w:bdr w:val="none" w:sz="0" w:space="0" w:color="auto"/>
          <w:lang w:val="en-GB"/>
        </w:rPr>
        <w:t>,</w:t>
      </w:r>
      <w:r w:rsidRPr="00DF02C5">
        <w:rPr>
          <w:rStyle w:val="FootnoteReference"/>
          <w:rFonts w:eastAsia="Calibri" w:hAnsi="Times New Roman"/>
          <w:snapToGrid w:val="0"/>
          <w:color w:val="auto"/>
          <w:kern w:val="22"/>
          <w:bdr w:val="none" w:sz="0" w:space="0" w:color="auto"/>
          <w:lang w:val="en-GB"/>
        </w:rPr>
        <w:footnoteReference w:id="158"/>
      </w:r>
      <w:r w:rsidRPr="00DF02C5">
        <w:rPr>
          <w:rFonts w:eastAsia="Calibri" w:hAnsi="Times New Roman"/>
          <w:snapToGrid w:val="0"/>
          <w:kern w:val="22"/>
          <w:bdr w:val="none" w:sz="0" w:space="0" w:color="auto"/>
          <w:lang w:val="en-GB"/>
        </w:rPr>
        <w:t xml:space="preserve"> </w:t>
      </w:r>
      <w:r w:rsidR="009A3B49" w:rsidRPr="00DF02C5">
        <w:rPr>
          <w:rFonts w:eastAsia="Calibri" w:hAnsi="Times New Roman"/>
          <w:snapToGrid w:val="0"/>
          <w:kern w:val="22"/>
          <w:bdr w:val="none" w:sz="0" w:space="0" w:color="auto"/>
          <w:lang w:val="en-GB"/>
        </w:rPr>
        <w:t xml:space="preserve">Switzerland mentioned the due diligence requirement, </w:t>
      </w:r>
      <w:r w:rsidRPr="00DF02C5">
        <w:rPr>
          <w:rFonts w:eastAsia="Calibri" w:hAnsi="Times New Roman"/>
          <w:snapToGrid w:val="0"/>
          <w:kern w:val="22"/>
          <w:bdr w:val="none" w:sz="0" w:space="0" w:color="auto"/>
          <w:lang w:val="en-GB"/>
        </w:rPr>
        <w:t xml:space="preserve">and Japan </w:t>
      </w:r>
      <w:r w:rsidR="0098122B" w:rsidRPr="00DF02C5">
        <w:rPr>
          <w:rFonts w:eastAsia="Calibri" w:hAnsi="Times New Roman"/>
          <w:snapToGrid w:val="0"/>
          <w:kern w:val="22"/>
          <w:bdr w:val="none" w:sz="0" w:space="0" w:color="auto"/>
          <w:lang w:val="en-GB"/>
        </w:rPr>
        <w:t xml:space="preserve">referred to the </w:t>
      </w:r>
      <w:r w:rsidRPr="00DF02C5">
        <w:rPr>
          <w:rFonts w:eastAsia="Calibri" w:hAnsi="Times New Roman"/>
          <w:snapToGrid w:val="0"/>
          <w:kern w:val="22"/>
          <w:bdr w:val="none" w:sz="0" w:space="0" w:color="auto"/>
          <w:lang w:val="en-GB"/>
        </w:rPr>
        <w:t>ABS Guidelines</w:t>
      </w:r>
      <w:r w:rsidR="0098122B" w:rsidRPr="00DF02C5">
        <w:rPr>
          <w:rFonts w:eastAsia="Calibri" w:hAnsi="Times New Roman"/>
          <w:snapToGrid w:val="0"/>
          <w:kern w:val="22"/>
          <w:bdr w:val="none" w:sz="0" w:space="0" w:color="auto"/>
          <w:lang w:val="en-GB"/>
        </w:rPr>
        <w:t>.</w:t>
      </w:r>
    </w:p>
    <w:p w14:paraId="1D69DB72" w14:textId="0591C4AE" w:rsidR="00B3774A" w:rsidRPr="00DF02C5" w:rsidRDefault="00B3774A" w:rsidP="0098122B">
      <w:pPr>
        <w:pStyle w:val="Para1"/>
        <w:rPr>
          <w:rFonts w:eastAsia="Calibri" w:hAnsi="Times New Roman"/>
          <w:i/>
          <w:snapToGrid w:val="0"/>
          <w:kern w:val="22"/>
          <w:bdr w:val="none" w:sz="0" w:space="0" w:color="auto"/>
          <w:lang w:val="en-GB"/>
        </w:rPr>
      </w:pPr>
      <w:r w:rsidRPr="00DF02C5">
        <w:rPr>
          <w:rFonts w:eastAsia="Calibri" w:hAnsi="Times New Roman"/>
          <w:i/>
          <w:snapToGrid w:val="0"/>
          <w:kern w:val="22"/>
          <w:bdr w:val="none" w:sz="0" w:space="0" w:color="auto"/>
          <w:lang w:val="en-GB"/>
        </w:rPr>
        <w:t>(b)</w:t>
      </w:r>
      <w:r w:rsidRPr="00DF02C5">
        <w:rPr>
          <w:rFonts w:eastAsia="Calibri" w:hAnsi="Times New Roman"/>
          <w:i/>
          <w:snapToGrid w:val="0"/>
          <w:kern w:val="22"/>
          <w:bdr w:val="none" w:sz="0" w:space="0" w:color="auto"/>
          <w:lang w:val="en-GB"/>
        </w:rPr>
        <w:tab/>
        <w:t>Countries that answered “no”</w:t>
      </w:r>
    </w:p>
    <w:p w14:paraId="4007B358" w14:textId="025EB3E2" w:rsidR="00EA65E0" w:rsidRPr="00DF02C5" w:rsidRDefault="00EA65E0" w:rsidP="00393914">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 xml:space="preserve">Many </w:t>
      </w:r>
      <w:r w:rsidR="0098122B" w:rsidRPr="00DF02C5">
        <w:rPr>
          <w:rFonts w:eastAsia="Calibri" w:hAnsi="Times New Roman"/>
          <w:snapToGrid w:val="0"/>
          <w:kern w:val="22"/>
          <w:bdr w:val="none" w:sz="0" w:space="0" w:color="auto"/>
          <w:lang w:val="en-GB"/>
        </w:rPr>
        <w:t>countries indicated</w:t>
      </w:r>
      <w:r w:rsidRPr="00DF02C5">
        <w:rPr>
          <w:rFonts w:eastAsia="Calibri" w:hAnsi="Times New Roman"/>
          <w:snapToGrid w:val="0"/>
          <w:kern w:val="22"/>
          <w:bdr w:val="none" w:sz="0" w:space="0" w:color="auto"/>
          <w:lang w:val="en-GB"/>
        </w:rPr>
        <w:t xml:space="preserve"> that </w:t>
      </w:r>
      <w:r w:rsidR="00551E6E" w:rsidRPr="00DF02C5">
        <w:rPr>
          <w:rFonts w:eastAsia="Calibri" w:hAnsi="Times New Roman"/>
          <w:snapToGrid w:val="0"/>
          <w:kern w:val="22"/>
          <w:bdr w:val="none" w:sz="0" w:space="0" w:color="auto"/>
          <w:lang w:val="en-GB"/>
        </w:rPr>
        <w:t xml:space="preserve">they </w:t>
      </w:r>
      <w:r w:rsidRPr="00DF02C5">
        <w:rPr>
          <w:rFonts w:eastAsia="Calibri" w:hAnsi="Times New Roman"/>
          <w:snapToGrid w:val="0"/>
          <w:kern w:val="22"/>
          <w:bdr w:val="none" w:sz="0" w:space="0" w:color="auto"/>
          <w:lang w:val="en-GB"/>
        </w:rPr>
        <w:t>are planning to address this issue.</w:t>
      </w:r>
      <w:r w:rsidR="00551E6E" w:rsidRPr="00DF02C5">
        <w:rPr>
          <w:rStyle w:val="FootnoteReference"/>
          <w:rFonts w:eastAsia="Calibri" w:hAnsi="Times New Roman"/>
          <w:snapToGrid w:val="0"/>
          <w:kern w:val="22"/>
          <w:bdr w:val="none" w:sz="0" w:space="0" w:color="auto"/>
          <w:lang w:val="en-GB"/>
        </w:rPr>
        <w:t xml:space="preserve"> </w:t>
      </w:r>
      <w:r w:rsidR="00551E6E" w:rsidRPr="00DF02C5">
        <w:rPr>
          <w:rStyle w:val="FootnoteReference"/>
          <w:rFonts w:eastAsia="Calibri" w:hAnsi="Times New Roman"/>
          <w:snapToGrid w:val="0"/>
          <w:kern w:val="22"/>
          <w:bdr w:val="none" w:sz="0" w:space="0" w:color="auto"/>
          <w:lang w:val="en-GB"/>
        </w:rPr>
        <w:footnoteReference w:id="159"/>
      </w:r>
      <w:r w:rsidRPr="00DF02C5">
        <w:rPr>
          <w:rFonts w:eastAsia="Calibri" w:hAnsi="Times New Roman"/>
          <w:snapToGrid w:val="0"/>
          <w:kern w:val="22"/>
          <w:bdr w:val="none" w:sz="0" w:space="0" w:color="auto"/>
          <w:lang w:val="en-GB"/>
        </w:rPr>
        <w:t xml:space="preserve"> Peru noted</w:t>
      </w:r>
      <w:r w:rsidR="009A3B49" w:rsidRPr="00DF02C5">
        <w:rPr>
          <w:rFonts w:eastAsia="Calibri" w:hAnsi="Times New Roman"/>
          <w:snapToGrid w:val="0"/>
          <w:kern w:val="22"/>
          <w:bdr w:val="none" w:sz="0" w:space="0" w:color="auto"/>
          <w:lang w:val="en-GB"/>
        </w:rPr>
        <w:t xml:space="preserve"> that</w:t>
      </w:r>
      <w:r w:rsidRPr="00DF02C5">
        <w:rPr>
          <w:rFonts w:eastAsia="Calibri" w:hAnsi="Times New Roman"/>
          <w:snapToGrid w:val="0"/>
          <w:kern w:val="22"/>
          <w:bdr w:val="none" w:sz="0" w:space="0" w:color="auto"/>
          <w:lang w:val="en-GB"/>
        </w:rPr>
        <w:t xml:space="preserve"> </w:t>
      </w:r>
      <w:r w:rsidR="0098122B" w:rsidRPr="00DF02C5">
        <w:rPr>
          <w:rFonts w:eastAsia="Calibri" w:hAnsi="Times New Roman"/>
          <w:snapToGrid w:val="0"/>
          <w:kern w:val="22"/>
          <w:bdr w:val="none" w:sz="0" w:space="0" w:color="auto"/>
          <w:lang w:val="en-GB"/>
        </w:rPr>
        <w:t xml:space="preserve">its </w:t>
      </w:r>
      <w:r w:rsidRPr="00DF02C5">
        <w:rPr>
          <w:rFonts w:eastAsia="Calibri" w:hAnsi="Times New Roman"/>
          <w:snapToGrid w:val="0"/>
          <w:kern w:val="22"/>
          <w:bdr w:val="none" w:sz="0" w:space="0" w:color="auto"/>
          <w:lang w:val="en-GB"/>
        </w:rPr>
        <w:t xml:space="preserve">legislation requires that when IPLCs are providers of genetic resources, those asking for access to those resources </w:t>
      </w:r>
      <w:r w:rsidR="00551E6E" w:rsidRPr="00DF02C5">
        <w:rPr>
          <w:rFonts w:eastAsia="Calibri" w:hAnsi="Times New Roman"/>
          <w:snapToGrid w:val="0"/>
          <w:kern w:val="22"/>
          <w:bdr w:val="none" w:sz="0" w:space="0" w:color="auto"/>
          <w:lang w:val="en-GB"/>
        </w:rPr>
        <w:t>should come to an</w:t>
      </w:r>
      <w:r w:rsidRPr="00DF02C5">
        <w:rPr>
          <w:rFonts w:eastAsia="Calibri" w:hAnsi="Times New Roman"/>
          <w:snapToGrid w:val="0"/>
          <w:kern w:val="22"/>
          <w:bdr w:val="none" w:sz="0" w:space="0" w:color="auto"/>
          <w:lang w:val="en-GB"/>
        </w:rPr>
        <w:t xml:space="preserve"> agree</w:t>
      </w:r>
      <w:r w:rsidR="00551E6E" w:rsidRPr="00DF02C5">
        <w:rPr>
          <w:rFonts w:eastAsia="Calibri" w:hAnsi="Times New Roman"/>
          <w:snapToGrid w:val="0"/>
          <w:kern w:val="22"/>
          <w:bdr w:val="none" w:sz="0" w:space="0" w:color="auto"/>
          <w:lang w:val="en-GB"/>
        </w:rPr>
        <w:t>ment with</w:t>
      </w:r>
      <w:r w:rsidRPr="00DF02C5">
        <w:rPr>
          <w:rFonts w:eastAsia="Calibri" w:hAnsi="Times New Roman"/>
          <w:snapToGrid w:val="0"/>
          <w:kern w:val="22"/>
          <w:bdr w:val="none" w:sz="0" w:space="0" w:color="auto"/>
          <w:lang w:val="en-GB"/>
        </w:rPr>
        <w:t xml:space="preserve"> </w:t>
      </w:r>
      <w:r w:rsidR="00551E6E" w:rsidRPr="00DF02C5">
        <w:rPr>
          <w:rFonts w:eastAsia="Calibri" w:hAnsi="Times New Roman"/>
          <w:snapToGrid w:val="0"/>
          <w:kern w:val="22"/>
          <w:bdr w:val="none" w:sz="0" w:space="0" w:color="auto"/>
          <w:lang w:val="en-GB"/>
        </w:rPr>
        <w:t>IPLCs through</w:t>
      </w:r>
      <w:r w:rsidRPr="00DF02C5">
        <w:rPr>
          <w:rFonts w:eastAsia="Calibri" w:hAnsi="Times New Roman"/>
          <w:snapToGrid w:val="0"/>
          <w:kern w:val="22"/>
          <w:bdr w:val="none" w:sz="0" w:space="0" w:color="auto"/>
          <w:lang w:val="en-GB"/>
        </w:rPr>
        <w:t xml:space="preserve"> an accessory contract </w:t>
      </w:r>
      <w:r w:rsidR="00551E6E" w:rsidRPr="00DF02C5">
        <w:rPr>
          <w:rFonts w:eastAsia="Calibri" w:hAnsi="Times New Roman"/>
          <w:snapToGrid w:val="0"/>
          <w:kern w:val="22"/>
          <w:bdr w:val="none" w:sz="0" w:space="0" w:color="auto"/>
          <w:lang w:val="en-GB"/>
        </w:rPr>
        <w:t>that includes</w:t>
      </w:r>
      <w:r w:rsidRPr="00DF02C5">
        <w:rPr>
          <w:rFonts w:eastAsia="Calibri" w:hAnsi="Times New Roman"/>
          <w:snapToGrid w:val="0"/>
          <w:kern w:val="22"/>
          <w:bdr w:val="none" w:sz="0" w:space="0" w:color="auto"/>
          <w:lang w:val="en-GB"/>
        </w:rPr>
        <w:t xml:space="preserve"> benefit-sharing.</w:t>
      </w:r>
    </w:p>
    <w:p w14:paraId="21BE14C6" w14:textId="0677C71E" w:rsidR="00EA65E0" w:rsidRPr="00DF02C5" w:rsidRDefault="00EA65E0" w:rsidP="00EA65E0">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lastRenderedPageBreak/>
        <w:t>A country</w:t>
      </w:r>
      <w:r w:rsidRPr="00DF02C5">
        <w:rPr>
          <w:rStyle w:val="FootnoteReference"/>
          <w:rFonts w:eastAsia="Calibri" w:hAnsi="Times New Roman"/>
          <w:snapToGrid w:val="0"/>
          <w:kern w:val="22"/>
          <w:bdr w:val="none" w:sz="0" w:space="0" w:color="auto"/>
          <w:lang w:val="en-GB"/>
        </w:rPr>
        <w:footnoteReference w:id="160"/>
      </w:r>
      <w:r w:rsidR="009A3B49" w:rsidRPr="00DF02C5">
        <w:rPr>
          <w:rFonts w:eastAsia="Calibri" w:hAnsi="Times New Roman"/>
          <w:snapToGrid w:val="0"/>
          <w:kern w:val="22"/>
          <w:bdr w:val="none" w:sz="0" w:space="0" w:color="auto"/>
          <w:lang w:val="en-GB"/>
        </w:rPr>
        <w:t xml:space="preserve"> noted that IPLCs do not</w:t>
      </w:r>
      <w:r w:rsidRPr="00DF02C5">
        <w:rPr>
          <w:rFonts w:eastAsia="Calibri" w:hAnsi="Times New Roman"/>
          <w:snapToGrid w:val="0"/>
          <w:kern w:val="22"/>
          <w:bdr w:val="none" w:sz="0" w:space="0" w:color="auto"/>
          <w:lang w:val="en-GB"/>
        </w:rPr>
        <w:t xml:space="preserve"> have right</w:t>
      </w:r>
      <w:r w:rsidR="00551E6E" w:rsidRPr="00DF02C5">
        <w:rPr>
          <w:rFonts w:eastAsia="Calibri" w:hAnsi="Times New Roman"/>
          <w:snapToGrid w:val="0"/>
          <w:kern w:val="22"/>
          <w:bdr w:val="none" w:sz="0" w:space="0" w:color="auto"/>
          <w:lang w:val="en-GB"/>
        </w:rPr>
        <w:t>s</w:t>
      </w:r>
      <w:r w:rsidRPr="00DF02C5">
        <w:rPr>
          <w:rFonts w:eastAsia="Calibri" w:hAnsi="Times New Roman"/>
          <w:snapToGrid w:val="0"/>
          <w:kern w:val="22"/>
          <w:bdr w:val="none" w:sz="0" w:space="0" w:color="auto"/>
          <w:lang w:val="en-GB"/>
        </w:rPr>
        <w:t xml:space="preserve"> over genetic </w:t>
      </w:r>
      <w:r w:rsidR="006B5E2A" w:rsidRPr="00DF02C5">
        <w:rPr>
          <w:rFonts w:eastAsia="Calibri" w:hAnsi="Times New Roman"/>
          <w:snapToGrid w:val="0"/>
          <w:kern w:val="22"/>
          <w:bdr w:val="none" w:sz="0" w:space="0" w:color="auto"/>
          <w:lang w:val="en-GB"/>
        </w:rPr>
        <w:t>resources;</w:t>
      </w:r>
      <w:r w:rsidRPr="00DF02C5">
        <w:rPr>
          <w:rFonts w:eastAsia="Calibri" w:hAnsi="Times New Roman"/>
          <w:snapToGrid w:val="0"/>
          <w:kern w:val="22"/>
          <w:bdr w:val="none" w:sz="0" w:space="0" w:color="auto"/>
          <w:lang w:val="en-GB"/>
        </w:rPr>
        <w:t xml:space="preserve"> two</w:t>
      </w:r>
      <w:r w:rsidRPr="00DF02C5">
        <w:rPr>
          <w:rStyle w:val="FootnoteReference"/>
          <w:rFonts w:eastAsia="Calibri" w:hAnsi="Times New Roman"/>
          <w:snapToGrid w:val="0"/>
          <w:kern w:val="22"/>
          <w:bdr w:val="none" w:sz="0" w:space="0" w:color="auto"/>
          <w:lang w:val="en-GB"/>
        </w:rPr>
        <w:footnoteReference w:id="161"/>
      </w:r>
      <w:r w:rsidRPr="00DF02C5">
        <w:rPr>
          <w:rFonts w:eastAsia="Calibri" w:hAnsi="Times New Roman"/>
          <w:snapToGrid w:val="0"/>
          <w:kern w:val="22"/>
          <w:bdr w:val="none" w:sz="0" w:space="0" w:color="auto"/>
          <w:lang w:val="en-GB"/>
        </w:rPr>
        <w:t xml:space="preserve"> countries </w:t>
      </w:r>
      <w:r w:rsidR="00BD60A0" w:rsidRPr="00DF02C5">
        <w:rPr>
          <w:rFonts w:eastAsia="Calibri" w:hAnsi="Times New Roman"/>
          <w:snapToGrid w:val="0"/>
          <w:kern w:val="22"/>
          <w:bdr w:val="none" w:sz="0" w:space="0" w:color="auto"/>
          <w:lang w:val="en-GB"/>
        </w:rPr>
        <w:t xml:space="preserve">indicated </w:t>
      </w:r>
      <w:r w:rsidRPr="00DF02C5">
        <w:rPr>
          <w:rFonts w:eastAsia="Calibri" w:hAnsi="Times New Roman"/>
          <w:snapToGrid w:val="0"/>
          <w:kern w:val="22"/>
          <w:bdr w:val="none" w:sz="0" w:space="0" w:color="auto"/>
          <w:lang w:val="en-GB"/>
        </w:rPr>
        <w:t>that their country do</w:t>
      </w:r>
      <w:r w:rsidR="00551E6E" w:rsidRPr="00DF02C5">
        <w:rPr>
          <w:rFonts w:eastAsia="Calibri" w:hAnsi="Times New Roman"/>
          <w:snapToGrid w:val="0"/>
          <w:kern w:val="22"/>
          <w:bdr w:val="none" w:sz="0" w:space="0" w:color="auto"/>
          <w:lang w:val="en-GB"/>
        </w:rPr>
        <w:t>es</w:t>
      </w:r>
      <w:r w:rsidRPr="00DF02C5">
        <w:rPr>
          <w:rFonts w:eastAsia="Calibri" w:hAnsi="Times New Roman"/>
          <w:snapToGrid w:val="0"/>
          <w:kern w:val="22"/>
          <w:bdr w:val="none" w:sz="0" w:space="0" w:color="auto"/>
          <w:lang w:val="en-GB"/>
        </w:rPr>
        <w:t xml:space="preserve"> not have IPLCs, and </w:t>
      </w:r>
      <w:r w:rsidR="00551E6E" w:rsidRPr="00DF02C5">
        <w:rPr>
          <w:rFonts w:eastAsia="Calibri" w:hAnsi="Times New Roman"/>
          <w:snapToGrid w:val="0"/>
          <w:kern w:val="22"/>
          <w:bdr w:val="none" w:sz="0" w:space="0" w:color="auto"/>
          <w:lang w:val="en-GB"/>
        </w:rPr>
        <w:t>an</w:t>
      </w:r>
      <w:r w:rsidRPr="00DF02C5">
        <w:rPr>
          <w:rFonts w:eastAsia="Calibri" w:hAnsi="Times New Roman"/>
          <w:snapToGrid w:val="0"/>
          <w:kern w:val="22"/>
          <w:bdr w:val="none" w:sz="0" w:space="0" w:color="auto"/>
          <w:lang w:val="en-GB"/>
        </w:rPr>
        <w:t>other</w:t>
      </w:r>
      <w:r w:rsidRPr="00DF02C5">
        <w:rPr>
          <w:rStyle w:val="FootnoteReference"/>
          <w:rFonts w:eastAsia="Calibri" w:hAnsi="Times New Roman"/>
          <w:snapToGrid w:val="0"/>
          <w:kern w:val="22"/>
          <w:bdr w:val="none" w:sz="0" w:space="0" w:color="auto"/>
          <w:lang w:val="en-GB"/>
        </w:rPr>
        <w:footnoteReference w:id="162"/>
      </w:r>
      <w:r w:rsidRPr="00DF02C5">
        <w:rPr>
          <w:rFonts w:eastAsia="Calibri" w:hAnsi="Times New Roman"/>
          <w:snapToGrid w:val="0"/>
          <w:kern w:val="22"/>
          <w:bdr w:val="none" w:sz="0" w:space="0" w:color="auto"/>
          <w:lang w:val="en-GB"/>
        </w:rPr>
        <w:t xml:space="preserve"> clarified that they only have local communities.</w:t>
      </w:r>
    </w:p>
    <w:p w14:paraId="142FBC96" w14:textId="23841BAB" w:rsidR="00EA65E0" w:rsidRPr="00195CA3" w:rsidRDefault="0098122B" w:rsidP="00195CA3">
      <w:pPr>
        <w:pStyle w:val="Para1"/>
        <w:numPr>
          <w:ilvl w:val="0"/>
          <w:numId w:val="58"/>
        </w:numPr>
        <w:spacing w:before="240"/>
        <w:ind w:right="450"/>
        <w:jc w:val="left"/>
        <w:rPr>
          <w:rFonts w:eastAsia="Calibri" w:hAnsi="Times New Roman"/>
          <w:i/>
          <w:snapToGrid w:val="0"/>
          <w:kern w:val="22"/>
          <w:bdr w:val="none" w:sz="0" w:space="0" w:color="auto"/>
          <w:lang w:val="en-GB"/>
        </w:rPr>
      </w:pPr>
      <w:r w:rsidRPr="00195CA3">
        <w:rPr>
          <w:rFonts w:eastAsia="Calibri" w:hAnsi="Times New Roman"/>
          <w:i/>
          <w:snapToGrid w:val="0"/>
          <w:kern w:val="22"/>
          <w:bdr w:val="none" w:sz="0" w:space="0" w:color="auto"/>
          <w:lang w:val="en-GB"/>
        </w:rPr>
        <w:t xml:space="preserve">Has your country taken legislative, administrative or policy measures in order that benefits arising from the utilization of traditional knowledge associated with genetic resources are shared with indigenous and local communities holding such knowledge as provided in Article 5.5? (question 22) </w:t>
      </w:r>
    </w:p>
    <w:p w14:paraId="48886CFF" w14:textId="031E9F51" w:rsidR="00B97C32" w:rsidRPr="00DF02C5" w:rsidRDefault="00B97C32" w:rsidP="0098122B">
      <w:pPr>
        <w:pStyle w:val="Para1"/>
        <w:numPr>
          <w:ilvl w:val="0"/>
          <w:numId w:val="1"/>
        </w:numPr>
        <w:rPr>
          <w:rFonts w:eastAsia="Calibri" w:hAnsi="Times New Roman"/>
          <w:snapToGrid w:val="0"/>
          <w:kern w:val="22"/>
          <w:bdr w:val="none" w:sz="0" w:space="0" w:color="auto"/>
          <w:lang w:val="en-GB"/>
        </w:rPr>
      </w:pPr>
      <w:proofErr w:type="gramStart"/>
      <w:r w:rsidRPr="00DF02C5">
        <w:rPr>
          <w:rFonts w:eastAsia="Calibri" w:hAnsi="Times New Roman"/>
          <w:snapToGrid w:val="0"/>
          <w:kern w:val="22"/>
          <w:bdr w:val="none" w:sz="0" w:space="0" w:color="auto"/>
          <w:lang w:val="en-GB"/>
        </w:rPr>
        <w:t>Forty-one</w:t>
      </w:r>
      <w:proofErr w:type="gramEnd"/>
      <w:r w:rsidRPr="00DF02C5">
        <w:rPr>
          <w:rFonts w:eastAsia="Calibri" w:hAnsi="Times New Roman"/>
          <w:snapToGrid w:val="0"/>
          <w:kern w:val="22"/>
          <w:bdr w:val="none" w:sz="0" w:space="0" w:color="auto"/>
          <w:lang w:val="en-GB"/>
        </w:rPr>
        <w:t xml:space="preserve"> Parties and five non-Parties responded </w:t>
      </w:r>
      <w:r w:rsidR="005E6258" w:rsidRPr="00DF02C5">
        <w:rPr>
          <w:rFonts w:eastAsia="Calibri" w:hAnsi="Times New Roman"/>
          <w:snapToGrid w:val="0"/>
          <w:kern w:val="22"/>
          <w:bdr w:val="none" w:sz="0" w:space="0" w:color="auto"/>
          <w:lang w:val="en-GB"/>
        </w:rPr>
        <w:t>that they have</w:t>
      </w:r>
      <w:r w:rsidRPr="00DF02C5">
        <w:rPr>
          <w:rFonts w:eastAsia="Calibri" w:hAnsi="Times New Roman"/>
          <w:snapToGrid w:val="0"/>
          <w:kern w:val="22"/>
          <w:bdr w:val="none" w:sz="0" w:space="0" w:color="auto"/>
          <w:lang w:val="en-GB"/>
        </w:rPr>
        <w:t xml:space="preserve"> taken </w:t>
      </w:r>
      <w:r w:rsidR="005E6258" w:rsidRPr="00DF02C5">
        <w:rPr>
          <w:rFonts w:eastAsia="Calibri" w:hAnsi="Times New Roman"/>
          <w:snapToGrid w:val="0"/>
          <w:kern w:val="22"/>
          <w:bdr w:val="none" w:sz="0" w:space="0" w:color="auto"/>
          <w:lang w:val="en-GB"/>
        </w:rPr>
        <w:t>measures</w:t>
      </w:r>
      <w:r w:rsidR="0098122B" w:rsidRPr="00DF02C5">
        <w:rPr>
          <w:rFonts w:eastAsia="Calibri" w:hAnsi="Times New Roman"/>
          <w:snapToGrid w:val="0"/>
          <w:kern w:val="22"/>
          <w:bdr w:val="none" w:sz="0" w:space="0" w:color="auto"/>
          <w:lang w:val="en-GB"/>
        </w:rPr>
        <w:t xml:space="preserve"> to implement Article 5.5, while twenty-eight Parties and one non-Party reported not having taken such measures.</w:t>
      </w:r>
    </w:p>
    <w:p w14:paraId="4C897A16" w14:textId="0F417CB3" w:rsidR="0098122B" w:rsidRPr="00DF02C5" w:rsidRDefault="007D5F65" w:rsidP="00E5256F">
      <w:pPr>
        <w:pStyle w:val="Caption"/>
        <w:keepNext/>
        <w:keepLines/>
        <w:rPr>
          <w:snapToGrid w:val="0"/>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00E5256F" w:rsidRPr="00DF02C5">
        <w:rPr>
          <w:noProof/>
          <w:lang w:val="en-GB"/>
        </w:rPr>
        <w:t>15</w:t>
      </w:r>
      <w:r w:rsidRPr="00DF02C5">
        <w:rPr>
          <w:lang w:val="en-GB"/>
        </w:rPr>
        <w:fldChar w:fldCharType="end"/>
      </w:r>
      <w:r w:rsidR="0098122B" w:rsidRPr="00DF02C5">
        <w:rPr>
          <w:snapToGrid w:val="0"/>
          <w:bdr w:val="none" w:sz="0" w:space="0" w:color="auto"/>
          <w:lang w:val="en-GB"/>
        </w:rPr>
        <w:t>: Measures to implement Article 5.5 of the Protocol (percentage of countries)</w:t>
      </w:r>
    </w:p>
    <w:p w14:paraId="48D2A84A" w14:textId="619903DE" w:rsidR="0098122B" w:rsidRPr="00DF02C5" w:rsidRDefault="0098122B" w:rsidP="0098122B">
      <w:pPr>
        <w:pStyle w:val="Para1"/>
        <w:jc w:val="center"/>
        <w:rPr>
          <w:rFonts w:eastAsia="Calibri" w:hAnsi="Times New Roman"/>
          <w:snapToGrid w:val="0"/>
          <w:kern w:val="22"/>
          <w:bdr w:val="none" w:sz="0" w:space="0" w:color="auto"/>
          <w:lang w:val="en-GB"/>
        </w:rPr>
      </w:pPr>
      <w:r w:rsidRPr="00DF02C5">
        <w:rPr>
          <w:noProof/>
          <w:color w:val="auto"/>
        </w:rPr>
        <w:drawing>
          <wp:inline distT="0" distB="0" distL="0" distR="0" wp14:anchorId="46363F4E" wp14:editId="1EB54E60">
            <wp:extent cx="3219450" cy="1838325"/>
            <wp:effectExtent l="0" t="0" r="1905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774E504" w14:textId="1CA4EA34" w:rsidR="0098122B" w:rsidRPr="00DF02C5" w:rsidRDefault="0098122B" w:rsidP="0098122B">
      <w:pPr>
        <w:pStyle w:val="Para1"/>
        <w:rPr>
          <w:rFonts w:eastAsia="Calibri" w:hAnsi="Times New Roman"/>
          <w:i/>
          <w:snapToGrid w:val="0"/>
          <w:kern w:val="22"/>
          <w:bdr w:val="none" w:sz="0" w:space="0" w:color="auto"/>
          <w:lang w:val="en-GB"/>
        </w:rPr>
      </w:pPr>
      <w:r w:rsidRPr="00DF02C5">
        <w:rPr>
          <w:rFonts w:eastAsia="Calibri" w:hAnsi="Times New Roman"/>
          <w:i/>
          <w:snapToGrid w:val="0"/>
          <w:kern w:val="22"/>
          <w:bdr w:val="none" w:sz="0" w:space="0" w:color="auto"/>
          <w:lang w:val="en-GB"/>
        </w:rPr>
        <w:t>(a)</w:t>
      </w:r>
      <w:r w:rsidRPr="00DF02C5">
        <w:rPr>
          <w:rFonts w:eastAsia="Calibri" w:hAnsi="Times New Roman"/>
          <w:i/>
          <w:snapToGrid w:val="0"/>
          <w:kern w:val="22"/>
          <w:bdr w:val="none" w:sz="0" w:space="0" w:color="auto"/>
          <w:lang w:val="en-GB"/>
        </w:rPr>
        <w:tab/>
        <w:t>Countries that answered “yes”</w:t>
      </w:r>
    </w:p>
    <w:p w14:paraId="7A3FD3B5" w14:textId="45E2900E" w:rsidR="009A3B49" w:rsidRPr="00DF02C5" w:rsidRDefault="00131BCD" w:rsidP="0098122B">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M</w:t>
      </w:r>
      <w:r w:rsidR="00EA65E0" w:rsidRPr="00DF02C5">
        <w:rPr>
          <w:rFonts w:eastAsia="Calibri" w:hAnsi="Times New Roman"/>
          <w:snapToGrid w:val="0"/>
          <w:kern w:val="22"/>
          <w:bdr w:val="none" w:sz="0" w:space="0" w:color="auto"/>
          <w:lang w:val="en-GB"/>
        </w:rPr>
        <w:t xml:space="preserve">any countries </w:t>
      </w:r>
      <w:r w:rsidRPr="00DF02C5">
        <w:rPr>
          <w:rFonts w:eastAsia="Calibri" w:hAnsi="Times New Roman"/>
          <w:snapToGrid w:val="0"/>
          <w:kern w:val="22"/>
          <w:bdr w:val="none" w:sz="0" w:space="0" w:color="auto"/>
          <w:lang w:val="en-GB"/>
        </w:rPr>
        <w:t xml:space="preserve">referred </w:t>
      </w:r>
      <w:r w:rsidR="00EA65E0" w:rsidRPr="00DF02C5">
        <w:rPr>
          <w:rFonts w:eastAsia="Calibri" w:hAnsi="Times New Roman"/>
          <w:snapToGrid w:val="0"/>
          <w:kern w:val="22"/>
          <w:bdr w:val="none" w:sz="0" w:space="0" w:color="auto"/>
          <w:lang w:val="en-GB"/>
        </w:rPr>
        <w:t>to the measures requiring benefit-sharing from the utilization of traditional knowledge in their country</w:t>
      </w:r>
      <w:r w:rsidR="009A3B49" w:rsidRPr="00DF02C5">
        <w:rPr>
          <w:rFonts w:eastAsia="Calibri" w:hAnsi="Times New Roman"/>
          <w:snapToGrid w:val="0"/>
          <w:kern w:val="22"/>
          <w:bdr w:val="none" w:sz="0" w:space="0" w:color="auto"/>
          <w:lang w:val="en-GB"/>
        </w:rPr>
        <w:t>.</w:t>
      </w:r>
      <w:r w:rsidR="00F2654E" w:rsidRPr="00DF02C5">
        <w:rPr>
          <w:rStyle w:val="FootnoteReference"/>
          <w:rFonts w:eastAsia="Calibri" w:hAnsi="Times New Roman"/>
          <w:snapToGrid w:val="0"/>
          <w:kern w:val="22"/>
          <w:bdr w:val="none" w:sz="0" w:space="0" w:color="auto"/>
          <w:lang w:val="en-GB"/>
        </w:rPr>
        <w:footnoteReference w:id="163"/>
      </w:r>
      <w:r w:rsidRPr="00DF02C5">
        <w:rPr>
          <w:rFonts w:eastAsia="Calibri" w:hAnsi="Times New Roman"/>
          <w:snapToGrid w:val="0"/>
          <w:kern w:val="22"/>
          <w:bdr w:val="none" w:sz="0" w:space="0" w:color="auto"/>
          <w:lang w:val="en-GB"/>
        </w:rPr>
        <w:t xml:space="preserve"> In some countries the measures dealing with benefit-sharing from the utilization of associated traditional knowledge are measures which </w:t>
      </w:r>
      <w:r w:rsidR="00721B77">
        <w:rPr>
          <w:rFonts w:eastAsia="Calibri" w:hAnsi="Times New Roman"/>
          <w:snapToGrid w:val="0"/>
          <w:kern w:val="22"/>
          <w:bdr w:val="none" w:sz="0" w:space="0" w:color="auto"/>
          <w:lang w:val="en-GB"/>
        </w:rPr>
        <w:t>have</w:t>
      </w:r>
      <w:r w:rsidR="00B70954">
        <w:rPr>
          <w:rFonts w:eastAsia="Calibri" w:hAnsi="Times New Roman"/>
          <w:snapToGrid w:val="0"/>
          <w:kern w:val="22"/>
          <w:bdr w:val="none" w:sz="0" w:space="0" w:color="auto"/>
          <w:lang w:val="en-GB"/>
        </w:rPr>
        <w:t xml:space="preserve"> as </w:t>
      </w:r>
      <w:r w:rsidRPr="00DF02C5">
        <w:rPr>
          <w:rFonts w:eastAsia="Calibri" w:hAnsi="Times New Roman"/>
          <w:snapToGrid w:val="0"/>
          <w:kern w:val="22"/>
          <w:bdr w:val="none" w:sz="0" w:space="0" w:color="auto"/>
          <w:lang w:val="en-GB"/>
        </w:rPr>
        <w:t xml:space="preserve">their primary objective the </w:t>
      </w:r>
      <w:r w:rsidR="00EA65E0" w:rsidRPr="00DF02C5">
        <w:rPr>
          <w:rFonts w:eastAsia="Calibri" w:hAnsi="Times New Roman"/>
          <w:snapToGrid w:val="0"/>
          <w:kern w:val="22"/>
          <w:bdr w:val="none" w:sz="0" w:space="0" w:color="auto"/>
          <w:lang w:val="en-GB"/>
        </w:rPr>
        <w:t>protection of traditional knowledge.</w:t>
      </w:r>
      <w:r w:rsidR="00EA65E0" w:rsidRPr="00DF02C5">
        <w:rPr>
          <w:rStyle w:val="FootnoteReference"/>
          <w:rFonts w:eastAsia="Calibri" w:hAnsi="Times New Roman"/>
          <w:snapToGrid w:val="0"/>
          <w:kern w:val="22"/>
          <w:bdr w:val="none" w:sz="0" w:space="0" w:color="auto"/>
          <w:lang w:val="en-GB"/>
        </w:rPr>
        <w:footnoteReference w:id="164"/>
      </w:r>
      <w:r w:rsidR="00EA65E0" w:rsidRPr="00DF02C5">
        <w:rPr>
          <w:rFonts w:eastAsia="Calibri" w:hAnsi="Times New Roman"/>
          <w:snapToGrid w:val="0"/>
          <w:kern w:val="22"/>
          <w:bdr w:val="none" w:sz="0" w:space="0" w:color="auto"/>
          <w:lang w:val="en-GB"/>
        </w:rPr>
        <w:t xml:space="preserve"> </w:t>
      </w:r>
    </w:p>
    <w:p w14:paraId="55A5F0C3" w14:textId="0BEEE1B0" w:rsidR="00EA65E0" w:rsidRPr="00DF02C5" w:rsidRDefault="00F2654E" w:rsidP="00393914">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Below are</w:t>
      </w:r>
      <w:r w:rsidR="009A3B49" w:rsidRPr="00DF02C5">
        <w:rPr>
          <w:rFonts w:eastAsia="Calibri" w:hAnsi="Times New Roman"/>
          <w:snapToGrid w:val="0"/>
          <w:kern w:val="22"/>
          <w:bdr w:val="none" w:sz="0" w:space="0" w:color="auto"/>
          <w:lang w:val="en-GB"/>
        </w:rPr>
        <w:t xml:space="preserve"> some of the responses provided to this question: </w:t>
      </w:r>
    </w:p>
    <w:p w14:paraId="5A123A96" w14:textId="3EA5E83E" w:rsidR="00EA65E0" w:rsidRPr="00DF02C5" w:rsidRDefault="00EA65E0" w:rsidP="00195CA3">
      <w:pPr>
        <w:pStyle w:val="Para1"/>
        <w:numPr>
          <w:ilvl w:val="1"/>
          <w:numId w:val="61"/>
        </w:numPr>
        <w:spacing w:line="228" w:lineRule="auto"/>
        <w:ind w:firstLine="709"/>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 xml:space="preserve"> Norway indicated having regulations</w:t>
      </w:r>
      <w:r w:rsidRPr="00DF02C5">
        <w:rPr>
          <w:rStyle w:val="FootnoteReference"/>
          <w:rFonts w:eastAsia="Calibri" w:hAnsi="Times New Roman"/>
          <w:snapToGrid w:val="0"/>
          <w:kern w:val="22"/>
          <w:bdr w:val="none" w:sz="0" w:space="0" w:color="auto"/>
          <w:lang w:val="en-GB"/>
        </w:rPr>
        <w:footnoteReference w:id="165"/>
      </w:r>
      <w:r w:rsidRPr="00DF02C5">
        <w:rPr>
          <w:rFonts w:eastAsia="Calibri" w:hAnsi="Times New Roman"/>
          <w:snapToGrid w:val="0"/>
          <w:kern w:val="22"/>
          <w:bdr w:val="none" w:sz="0" w:space="0" w:color="auto"/>
          <w:lang w:val="en-GB"/>
        </w:rPr>
        <w:t xml:space="preserve"> in place that are intended to ensure that the interests of indigenous peoples and local communities are safeguarded and respected in connection with access or use by others of knowledge associated with genetic material that has been developed, used, sustained and passed on within an indigenous people or local community (traditional knowledge). The regulations apply to traditional knowledge relating to genetic material developed, used, sustained and passed on by indigenous peoples and local communities in other countries, </w:t>
      </w:r>
      <w:proofErr w:type="gramStart"/>
      <w:r w:rsidRPr="00DF02C5">
        <w:rPr>
          <w:rFonts w:eastAsia="Calibri" w:hAnsi="Times New Roman"/>
          <w:snapToGrid w:val="0"/>
          <w:kern w:val="22"/>
          <w:bdr w:val="none" w:sz="0" w:space="0" w:color="auto"/>
          <w:lang w:val="en-GB"/>
        </w:rPr>
        <w:t>provided that</w:t>
      </w:r>
      <w:proofErr w:type="gramEnd"/>
      <w:r w:rsidRPr="00DF02C5">
        <w:rPr>
          <w:rFonts w:eastAsia="Calibri" w:hAnsi="Times New Roman"/>
          <w:snapToGrid w:val="0"/>
          <w:kern w:val="22"/>
          <w:bdr w:val="none" w:sz="0" w:space="0" w:color="auto"/>
          <w:lang w:val="en-GB"/>
        </w:rPr>
        <w:t xml:space="preserve"> access to or use of such knowledge requires consent under the legisl</w:t>
      </w:r>
      <w:r w:rsidR="00B80AF5">
        <w:rPr>
          <w:rFonts w:eastAsia="Calibri" w:hAnsi="Times New Roman"/>
          <w:snapToGrid w:val="0"/>
          <w:kern w:val="22"/>
          <w:bdr w:val="none" w:sz="0" w:space="0" w:color="auto"/>
          <w:lang w:val="en-GB"/>
        </w:rPr>
        <w:t>ation of the S</w:t>
      </w:r>
      <w:r w:rsidR="00195CA3">
        <w:rPr>
          <w:rFonts w:eastAsia="Calibri" w:hAnsi="Times New Roman"/>
          <w:snapToGrid w:val="0"/>
          <w:kern w:val="22"/>
          <w:bdr w:val="none" w:sz="0" w:space="0" w:color="auto"/>
          <w:lang w:val="en-GB"/>
        </w:rPr>
        <w:t>tate in question;</w:t>
      </w:r>
    </w:p>
    <w:p w14:paraId="2982B14D" w14:textId="6192C3DE" w:rsidR="00EA65E0" w:rsidRPr="00DF02C5" w:rsidRDefault="00EA65E0" w:rsidP="00195CA3">
      <w:pPr>
        <w:pStyle w:val="Para1"/>
        <w:numPr>
          <w:ilvl w:val="1"/>
          <w:numId w:val="61"/>
        </w:numPr>
        <w:spacing w:line="228" w:lineRule="auto"/>
        <w:ind w:firstLine="709"/>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 xml:space="preserve">South Africa requires the issuing authority </w:t>
      </w:r>
      <w:r w:rsidR="00131BCD" w:rsidRPr="00DF02C5">
        <w:rPr>
          <w:rFonts w:eastAsia="Calibri" w:hAnsi="Times New Roman"/>
          <w:snapToGrid w:val="0"/>
          <w:kern w:val="22"/>
          <w:bdr w:val="none" w:sz="0" w:space="0" w:color="auto"/>
          <w:lang w:val="en-GB"/>
        </w:rPr>
        <w:t>that considers</w:t>
      </w:r>
      <w:r w:rsidRPr="00DF02C5">
        <w:rPr>
          <w:rFonts w:eastAsia="Calibri" w:hAnsi="Times New Roman"/>
          <w:snapToGrid w:val="0"/>
          <w:kern w:val="22"/>
          <w:bdr w:val="none" w:sz="0" w:space="0" w:color="auto"/>
          <w:lang w:val="en-GB"/>
        </w:rPr>
        <w:t xml:space="preserve"> the application for permit</w:t>
      </w:r>
      <w:r w:rsidR="00F2654E" w:rsidRPr="00DF02C5">
        <w:rPr>
          <w:rFonts w:eastAsia="Calibri" w:hAnsi="Times New Roman"/>
          <w:snapToGrid w:val="0"/>
          <w:kern w:val="22"/>
          <w:bdr w:val="none" w:sz="0" w:space="0" w:color="auto"/>
          <w:lang w:val="en-GB"/>
        </w:rPr>
        <w:t>s</w:t>
      </w:r>
      <w:r w:rsidRPr="00DF02C5">
        <w:rPr>
          <w:rFonts w:eastAsia="Calibri" w:hAnsi="Times New Roman"/>
          <w:snapToGrid w:val="0"/>
          <w:kern w:val="22"/>
          <w:bdr w:val="none" w:sz="0" w:space="0" w:color="auto"/>
          <w:lang w:val="en-GB"/>
        </w:rPr>
        <w:t xml:space="preserve"> </w:t>
      </w:r>
      <w:r w:rsidR="009A3B49" w:rsidRPr="00DF02C5">
        <w:rPr>
          <w:rFonts w:eastAsia="Calibri" w:hAnsi="Times New Roman"/>
          <w:snapToGrid w:val="0"/>
          <w:kern w:val="22"/>
          <w:bdr w:val="none" w:sz="0" w:space="0" w:color="auto"/>
          <w:lang w:val="en-GB"/>
        </w:rPr>
        <w:t xml:space="preserve">to </w:t>
      </w:r>
      <w:r w:rsidR="00F2654E" w:rsidRPr="00DF02C5">
        <w:rPr>
          <w:rFonts w:eastAsia="Calibri" w:hAnsi="Times New Roman"/>
          <w:snapToGrid w:val="0"/>
          <w:kern w:val="22"/>
          <w:bdr w:val="none" w:sz="0" w:space="0" w:color="auto"/>
          <w:lang w:val="en-GB"/>
        </w:rPr>
        <w:t>protect any interest</w:t>
      </w:r>
      <w:r w:rsidRPr="00DF02C5">
        <w:rPr>
          <w:rFonts w:eastAsia="Calibri" w:hAnsi="Times New Roman"/>
          <w:snapToGrid w:val="0"/>
          <w:kern w:val="22"/>
          <w:bdr w:val="none" w:sz="0" w:space="0" w:color="auto"/>
          <w:lang w:val="en-GB"/>
        </w:rPr>
        <w:t xml:space="preserve"> </w:t>
      </w:r>
      <w:r w:rsidR="00EC434A" w:rsidRPr="00DF02C5">
        <w:rPr>
          <w:rFonts w:eastAsia="Calibri" w:hAnsi="Times New Roman"/>
          <w:snapToGrid w:val="0"/>
          <w:kern w:val="22"/>
          <w:bdr w:val="none" w:sz="0" w:space="0" w:color="auto"/>
          <w:lang w:val="en-GB"/>
        </w:rPr>
        <w:t xml:space="preserve">a stakeholder </w:t>
      </w:r>
      <w:r w:rsidRPr="00DF02C5">
        <w:rPr>
          <w:rFonts w:eastAsia="Calibri" w:hAnsi="Times New Roman"/>
          <w:snapToGrid w:val="0"/>
          <w:kern w:val="22"/>
          <w:bdr w:val="none" w:sz="0" w:space="0" w:color="auto"/>
          <w:lang w:val="en-GB"/>
        </w:rPr>
        <w:t xml:space="preserve">may have in the proposed </w:t>
      </w:r>
      <w:r w:rsidR="008E69C4" w:rsidRPr="00DF02C5">
        <w:rPr>
          <w:rFonts w:eastAsia="Calibri" w:hAnsi="Times New Roman"/>
          <w:snapToGrid w:val="0"/>
          <w:kern w:val="22"/>
          <w:bdr w:val="none" w:sz="0" w:space="0" w:color="auto"/>
          <w:lang w:val="en-GB"/>
        </w:rPr>
        <w:t xml:space="preserve">bioprospecting project. Stakeholders </w:t>
      </w:r>
      <w:r w:rsidR="00EC434A" w:rsidRPr="00DF02C5">
        <w:rPr>
          <w:rFonts w:eastAsia="Calibri" w:hAnsi="Times New Roman"/>
          <w:snapToGrid w:val="0"/>
          <w:kern w:val="22"/>
          <w:bdr w:val="none" w:sz="0" w:space="0" w:color="auto"/>
          <w:lang w:val="en-GB"/>
        </w:rPr>
        <w:t>refers to the</w:t>
      </w:r>
      <w:r w:rsidR="008E69C4" w:rsidRPr="00DF02C5">
        <w:rPr>
          <w:rFonts w:eastAsia="Calibri" w:hAnsi="Times New Roman"/>
          <w:snapToGrid w:val="0"/>
          <w:kern w:val="22"/>
          <w:bdr w:val="none" w:sz="0" w:space="0" w:color="auto"/>
          <w:lang w:val="en-GB"/>
        </w:rPr>
        <w:t xml:space="preserve"> </w:t>
      </w:r>
      <w:r w:rsidRPr="00DF02C5">
        <w:rPr>
          <w:rFonts w:eastAsia="Calibri" w:hAnsi="Times New Roman"/>
          <w:snapToGrid w:val="0"/>
          <w:kern w:val="22"/>
          <w:bdr w:val="none" w:sz="0" w:space="0" w:color="auto"/>
          <w:lang w:val="en-GB"/>
        </w:rPr>
        <w:t>indigenous community</w:t>
      </w:r>
      <w:r w:rsidR="00131BCD" w:rsidRPr="00DF02C5">
        <w:rPr>
          <w:rFonts w:eastAsia="Calibri" w:hAnsi="Times New Roman"/>
          <w:snapToGrid w:val="0"/>
          <w:kern w:val="22"/>
          <w:bdr w:val="none" w:sz="0" w:space="0" w:color="auto"/>
          <w:lang w:val="en-GB"/>
        </w:rPr>
        <w:t xml:space="preserve"> </w:t>
      </w:r>
      <w:r w:rsidR="00EC434A" w:rsidRPr="00DF02C5">
        <w:rPr>
          <w:rFonts w:eastAsia="Calibri" w:hAnsi="Times New Roman"/>
          <w:snapToGrid w:val="0"/>
          <w:kern w:val="22"/>
          <w:bdr w:val="none" w:sz="0" w:space="0" w:color="auto"/>
          <w:lang w:val="en-GB"/>
        </w:rPr>
        <w:t>that has</w:t>
      </w:r>
      <w:r w:rsidRPr="00DF02C5">
        <w:rPr>
          <w:rFonts w:eastAsia="Calibri" w:hAnsi="Times New Roman"/>
          <w:snapToGrid w:val="0"/>
          <w:kern w:val="22"/>
          <w:bdr w:val="none" w:sz="0" w:space="0" w:color="auto"/>
          <w:lang w:val="en-GB"/>
        </w:rPr>
        <w:t xml:space="preserve"> initiated</w:t>
      </w:r>
      <w:r w:rsidR="00EC434A" w:rsidRPr="00DF02C5">
        <w:rPr>
          <w:rFonts w:eastAsia="Calibri" w:hAnsi="Times New Roman"/>
          <w:snapToGrid w:val="0"/>
          <w:kern w:val="22"/>
          <w:bdr w:val="none" w:sz="0" w:space="0" w:color="auto"/>
          <w:lang w:val="en-GB"/>
        </w:rPr>
        <w:t>,</w:t>
      </w:r>
      <w:r w:rsidRPr="00DF02C5">
        <w:rPr>
          <w:rFonts w:eastAsia="Calibri" w:hAnsi="Times New Roman"/>
          <w:snapToGrid w:val="0"/>
          <w:kern w:val="22"/>
          <w:bdr w:val="none" w:sz="0" w:space="0" w:color="auto"/>
          <w:lang w:val="en-GB"/>
        </w:rPr>
        <w:t xml:space="preserve"> will contribute to</w:t>
      </w:r>
      <w:r w:rsidR="00EC434A" w:rsidRPr="00DF02C5">
        <w:rPr>
          <w:rFonts w:eastAsia="Calibri" w:hAnsi="Times New Roman"/>
          <w:snapToGrid w:val="0"/>
          <w:kern w:val="22"/>
          <w:bdr w:val="none" w:sz="0" w:space="0" w:color="auto"/>
          <w:lang w:val="en-GB"/>
        </w:rPr>
        <w:t>,</w:t>
      </w:r>
      <w:r w:rsidRPr="00DF02C5">
        <w:rPr>
          <w:rFonts w:eastAsia="Calibri" w:hAnsi="Times New Roman"/>
          <w:snapToGrid w:val="0"/>
          <w:kern w:val="22"/>
          <w:bdr w:val="none" w:sz="0" w:space="0" w:color="auto"/>
          <w:lang w:val="en-GB"/>
        </w:rPr>
        <w:t xml:space="preserve"> or form part</w:t>
      </w:r>
      <w:r w:rsidR="008E69C4" w:rsidRPr="00DF02C5">
        <w:rPr>
          <w:rFonts w:eastAsia="Calibri" w:hAnsi="Times New Roman"/>
          <w:snapToGrid w:val="0"/>
          <w:kern w:val="22"/>
          <w:bdr w:val="none" w:sz="0" w:space="0" w:color="auto"/>
          <w:lang w:val="en-GB"/>
        </w:rPr>
        <w:t xml:space="preserve"> of the proposed bioprospecting</w:t>
      </w:r>
      <w:r w:rsidR="00131BCD" w:rsidRPr="00DF02C5">
        <w:rPr>
          <w:rFonts w:eastAsia="Calibri" w:hAnsi="Times New Roman"/>
          <w:snapToGrid w:val="0"/>
          <w:kern w:val="22"/>
          <w:bdr w:val="none" w:sz="0" w:space="0" w:color="auto"/>
          <w:lang w:val="en-GB"/>
        </w:rPr>
        <w:t>,</w:t>
      </w:r>
      <w:r w:rsidRPr="00DF02C5">
        <w:rPr>
          <w:rFonts w:eastAsia="Calibri" w:hAnsi="Times New Roman"/>
          <w:snapToGrid w:val="0"/>
          <w:kern w:val="22"/>
          <w:bdr w:val="none" w:sz="0" w:space="0" w:color="auto"/>
          <w:lang w:val="en-GB"/>
        </w:rPr>
        <w:t xml:space="preserve"> </w:t>
      </w:r>
      <w:r w:rsidRPr="00DF02C5">
        <w:rPr>
          <w:rFonts w:eastAsia="Calibri" w:hAnsi="Times New Roman"/>
          <w:snapToGrid w:val="0"/>
          <w:kern w:val="22"/>
          <w:bdr w:val="none" w:sz="0" w:space="0" w:color="auto"/>
          <w:lang w:val="en-GB"/>
        </w:rPr>
        <w:lastRenderedPageBreak/>
        <w:t xml:space="preserve">or </w:t>
      </w:r>
      <w:r w:rsidR="00EC434A" w:rsidRPr="00DF02C5">
        <w:rPr>
          <w:rFonts w:eastAsia="Calibri" w:hAnsi="Times New Roman"/>
          <w:snapToGrid w:val="0"/>
          <w:kern w:val="22"/>
          <w:bdr w:val="none" w:sz="0" w:space="0" w:color="auto"/>
          <w:lang w:val="en-GB"/>
        </w:rPr>
        <w:t>that has</w:t>
      </w:r>
      <w:r w:rsidRPr="00DF02C5">
        <w:rPr>
          <w:rFonts w:eastAsia="Calibri" w:hAnsi="Times New Roman"/>
          <w:snapToGrid w:val="0"/>
          <w:kern w:val="22"/>
          <w:bdr w:val="none" w:sz="0" w:space="0" w:color="auto"/>
          <w:lang w:val="en-GB"/>
        </w:rPr>
        <w:t xml:space="preserve"> knowledge of or discoveries </w:t>
      </w:r>
      <w:r w:rsidR="00131BCD" w:rsidRPr="00DF02C5">
        <w:rPr>
          <w:rFonts w:eastAsia="Calibri" w:hAnsi="Times New Roman"/>
          <w:snapToGrid w:val="0"/>
          <w:kern w:val="22"/>
          <w:bdr w:val="none" w:sz="0" w:space="0" w:color="auto"/>
          <w:lang w:val="en-GB"/>
        </w:rPr>
        <w:t xml:space="preserve">about the </w:t>
      </w:r>
      <w:r w:rsidRPr="00DF02C5">
        <w:rPr>
          <w:rFonts w:eastAsia="Calibri" w:hAnsi="Times New Roman"/>
          <w:snapToGrid w:val="0"/>
          <w:kern w:val="22"/>
          <w:bdr w:val="none" w:sz="0" w:space="0" w:color="auto"/>
          <w:lang w:val="en-GB"/>
        </w:rPr>
        <w:t xml:space="preserve">indigenous biological resource </w:t>
      </w:r>
      <w:r w:rsidR="00EC434A" w:rsidRPr="00DF02C5">
        <w:rPr>
          <w:rFonts w:eastAsia="Calibri" w:hAnsi="Times New Roman"/>
          <w:snapToGrid w:val="0"/>
          <w:kern w:val="22"/>
          <w:bdr w:val="none" w:sz="0" w:space="0" w:color="auto"/>
          <w:lang w:val="en-GB"/>
        </w:rPr>
        <w:t xml:space="preserve">to be used for proposed bioprospecting, as per the </w:t>
      </w:r>
      <w:r w:rsidRPr="00DF02C5">
        <w:rPr>
          <w:rFonts w:eastAsia="Calibri" w:hAnsi="Times New Roman"/>
          <w:snapToGrid w:val="0"/>
          <w:kern w:val="22"/>
          <w:bdr w:val="none" w:sz="0" w:space="0" w:color="auto"/>
          <w:lang w:val="en-GB"/>
        </w:rPr>
        <w:t>applica</w:t>
      </w:r>
      <w:r w:rsidR="00131BCD" w:rsidRPr="00DF02C5">
        <w:rPr>
          <w:rFonts w:eastAsia="Calibri" w:hAnsi="Times New Roman"/>
          <w:snapToGrid w:val="0"/>
          <w:kern w:val="22"/>
          <w:bdr w:val="none" w:sz="0" w:space="0" w:color="auto"/>
          <w:lang w:val="en-GB"/>
        </w:rPr>
        <w:t>tion.</w:t>
      </w:r>
    </w:p>
    <w:p w14:paraId="32087412" w14:textId="3E3A8DA9" w:rsidR="00131BCD" w:rsidRPr="00DF02C5" w:rsidRDefault="00131BCD" w:rsidP="00131BCD">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Similarly to the measures taken to implement Article 5.1</w:t>
      </w:r>
      <w:proofErr w:type="gramStart"/>
      <w:r w:rsidRPr="00DF02C5">
        <w:rPr>
          <w:rFonts w:eastAsia="Calibri" w:hAnsi="Times New Roman"/>
          <w:snapToGrid w:val="0"/>
          <w:kern w:val="22"/>
          <w:bdr w:val="none" w:sz="0" w:space="0" w:color="auto"/>
          <w:lang w:val="en-GB"/>
        </w:rPr>
        <w:t>,  the</w:t>
      </w:r>
      <w:proofErr w:type="gramEnd"/>
      <w:r w:rsidRPr="00DF02C5">
        <w:rPr>
          <w:rFonts w:eastAsia="Calibri" w:hAnsi="Times New Roman"/>
          <w:snapToGrid w:val="0"/>
          <w:kern w:val="22"/>
          <w:bdr w:val="none" w:sz="0" w:space="0" w:color="auto"/>
          <w:lang w:val="en-GB"/>
        </w:rPr>
        <w:t xml:space="preserve"> European Uni</w:t>
      </w:r>
      <w:r w:rsidR="00195CA3">
        <w:rPr>
          <w:rFonts w:eastAsia="Calibri" w:hAnsi="Times New Roman"/>
          <w:snapToGrid w:val="0"/>
          <w:kern w:val="22"/>
          <w:bdr w:val="none" w:sz="0" w:space="0" w:color="auto"/>
          <w:lang w:val="en-GB"/>
        </w:rPr>
        <w:t xml:space="preserve">on reported on Article 4(1) of </w:t>
      </w:r>
      <w:r w:rsidRPr="00DF02C5">
        <w:rPr>
          <w:rFonts w:eastAsia="Calibri" w:hAnsi="Times New Roman"/>
          <w:snapToGrid w:val="0"/>
          <w:kern w:val="22"/>
          <w:bdr w:val="none" w:sz="0" w:space="0" w:color="auto"/>
          <w:lang w:val="en-GB"/>
        </w:rPr>
        <w:t>Regulation (EU) 511 2014 , Switzerland mentioned the due diligence requirement, and Japan referred to the ABS Guidelines.</w:t>
      </w:r>
    </w:p>
    <w:p w14:paraId="32F5E4E7" w14:textId="6C00C306" w:rsidR="00EA65E0" w:rsidRPr="00DF02C5" w:rsidRDefault="00EA65E0" w:rsidP="00393914">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Some countries refer</w:t>
      </w:r>
      <w:r w:rsidR="00131BCD" w:rsidRPr="00DF02C5">
        <w:rPr>
          <w:rFonts w:eastAsia="Calibri" w:hAnsi="Times New Roman"/>
          <w:snapToGrid w:val="0"/>
          <w:kern w:val="22"/>
          <w:bdr w:val="none" w:sz="0" w:space="0" w:color="auto"/>
          <w:lang w:val="en-GB"/>
        </w:rPr>
        <w:t>red</w:t>
      </w:r>
      <w:r w:rsidRPr="00DF02C5">
        <w:rPr>
          <w:rFonts w:eastAsia="Calibri" w:hAnsi="Times New Roman"/>
          <w:snapToGrid w:val="0"/>
          <w:kern w:val="22"/>
          <w:bdr w:val="none" w:sz="0" w:space="0" w:color="auto"/>
          <w:lang w:val="en-GB"/>
        </w:rPr>
        <w:t xml:space="preserve"> to their plans or work to put necessary or </w:t>
      </w:r>
      <w:r w:rsidR="000A1A42" w:rsidRPr="00DF02C5">
        <w:rPr>
          <w:rFonts w:eastAsia="Calibri" w:hAnsi="Times New Roman"/>
          <w:snapToGrid w:val="0"/>
          <w:kern w:val="22"/>
          <w:bdr w:val="none" w:sz="0" w:space="0" w:color="auto"/>
          <w:lang w:val="en-GB"/>
        </w:rPr>
        <w:t>additional</w:t>
      </w:r>
      <w:r w:rsidRPr="00DF02C5">
        <w:rPr>
          <w:rFonts w:eastAsia="Calibri" w:hAnsi="Times New Roman"/>
          <w:snapToGrid w:val="0"/>
          <w:kern w:val="22"/>
          <w:bdr w:val="none" w:sz="0" w:space="0" w:color="auto"/>
          <w:lang w:val="en-GB"/>
        </w:rPr>
        <w:t xml:space="preserve"> measures in place</w:t>
      </w:r>
      <w:r w:rsidR="00131BCD" w:rsidRPr="00DF02C5">
        <w:rPr>
          <w:rFonts w:eastAsia="Calibri" w:hAnsi="Times New Roman"/>
          <w:snapToGrid w:val="0"/>
          <w:kern w:val="22"/>
          <w:bdr w:val="none" w:sz="0" w:space="0" w:color="auto"/>
          <w:lang w:val="en-GB"/>
        </w:rPr>
        <w:t xml:space="preserve"> to implement Article 5.5</w:t>
      </w:r>
      <w:r w:rsidRPr="00DF02C5">
        <w:rPr>
          <w:rFonts w:eastAsia="Calibri" w:hAnsi="Times New Roman"/>
          <w:snapToGrid w:val="0"/>
          <w:kern w:val="22"/>
          <w:bdr w:val="none" w:sz="0" w:space="0" w:color="auto"/>
          <w:lang w:val="en-GB"/>
        </w:rPr>
        <w:t>.</w:t>
      </w:r>
      <w:r w:rsidR="00EC434A" w:rsidRPr="00DF02C5">
        <w:rPr>
          <w:rStyle w:val="FootnoteReference"/>
          <w:rFonts w:eastAsia="Calibri" w:hAnsi="Times New Roman"/>
          <w:snapToGrid w:val="0"/>
          <w:kern w:val="22"/>
          <w:bdr w:val="none" w:sz="0" w:space="0" w:color="auto"/>
          <w:lang w:val="en-GB"/>
        </w:rPr>
        <w:footnoteReference w:id="166"/>
      </w:r>
    </w:p>
    <w:p w14:paraId="7758B7C7" w14:textId="260159FB" w:rsidR="0098122B" w:rsidRPr="00DF02C5" w:rsidRDefault="0098122B" w:rsidP="0098122B">
      <w:pPr>
        <w:pStyle w:val="Para1"/>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t>(b)</w:t>
      </w:r>
      <w:r w:rsidRPr="00DF02C5">
        <w:rPr>
          <w:rFonts w:eastAsia="Calibri" w:hAnsi="Times New Roman"/>
          <w:i/>
          <w:snapToGrid w:val="0"/>
          <w:color w:val="auto"/>
          <w:kern w:val="22"/>
          <w:bdr w:val="none" w:sz="0" w:space="0" w:color="auto"/>
          <w:lang w:val="en-GB"/>
        </w:rPr>
        <w:tab/>
        <w:t>Countries that answered “no”</w:t>
      </w:r>
    </w:p>
    <w:p w14:paraId="2D6DDA8F" w14:textId="3F624365" w:rsidR="00EA65E0" w:rsidRPr="00DF02C5" w:rsidRDefault="009E2A4C" w:rsidP="009E2A4C">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Several </w:t>
      </w:r>
      <w:r w:rsidR="00EA65E0" w:rsidRPr="00DF02C5">
        <w:rPr>
          <w:rFonts w:eastAsia="Calibri" w:hAnsi="Times New Roman"/>
          <w:snapToGrid w:val="0"/>
          <w:color w:val="auto"/>
          <w:kern w:val="22"/>
          <w:bdr w:val="none" w:sz="0" w:space="0" w:color="auto"/>
          <w:lang w:val="en-GB"/>
        </w:rPr>
        <w:t>countries</w:t>
      </w:r>
      <w:r w:rsidRPr="00DF02C5">
        <w:rPr>
          <w:rFonts w:eastAsia="Calibri" w:hAnsi="Times New Roman"/>
          <w:snapToGrid w:val="0"/>
          <w:color w:val="auto"/>
          <w:kern w:val="22"/>
          <w:bdr w:val="none" w:sz="0" w:space="0" w:color="auto"/>
          <w:lang w:val="en-GB"/>
        </w:rPr>
        <w:t xml:space="preserve"> indicated</w:t>
      </w:r>
      <w:r w:rsidR="00EA65E0" w:rsidRPr="00DF02C5">
        <w:rPr>
          <w:rFonts w:eastAsia="Calibri" w:hAnsi="Times New Roman"/>
          <w:snapToGrid w:val="0"/>
          <w:color w:val="auto"/>
          <w:kern w:val="22"/>
          <w:bdr w:val="none" w:sz="0" w:space="0" w:color="auto"/>
          <w:lang w:val="en-GB"/>
        </w:rPr>
        <w:t xml:space="preserve"> that </w:t>
      </w:r>
      <w:r w:rsidR="00EC434A" w:rsidRPr="00DF02C5">
        <w:rPr>
          <w:rFonts w:eastAsia="Calibri" w:hAnsi="Times New Roman"/>
          <w:snapToGrid w:val="0"/>
          <w:color w:val="auto"/>
          <w:kern w:val="22"/>
          <w:bdr w:val="none" w:sz="0" w:space="0" w:color="auto"/>
          <w:lang w:val="en-GB"/>
        </w:rPr>
        <w:t>they plan</w:t>
      </w:r>
      <w:r w:rsidR="00EA65E0" w:rsidRPr="00DF02C5">
        <w:rPr>
          <w:rFonts w:eastAsia="Calibri" w:hAnsi="Times New Roman"/>
          <w:snapToGrid w:val="0"/>
          <w:color w:val="auto"/>
          <w:kern w:val="22"/>
          <w:bdr w:val="none" w:sz="0" w:space="0" w:color="auto"/>
          <w:lang w:val="en-GB"/>
        </w:rPr>
        <w:t xml:space="preserve"> to address this issue.</w:t>
      </w:r>
      <w:r w:rsidR="00EC434A" w:rsidRPr="00DF02C5">
        <w:rPr>
          <w:rStyle w:val="FootnoteReference"/>
          <w:rFonts w:eastAsia="Calibri" w:hAnsi="Times New Roman"/>
          <w:snapToGrid w:val="0"/>
          <w:color w:val="auto"/>
          <w:kern w:val="22"/>
          <w:bdr w:val="none" w:sz="0" w:space="0" w:color="auto"/>
          <w:lang w:val="en-GB"/>
        </w:rPr>
        <w:footnoteReference w:id="167"/>
      </w:r>
      <w:r w:rsidRPr="00DF02C5">
        <w:rPr>
          <w:rFonts w:eastAsia="Calibri" w:hAnsi="Times New Roman"/>
          <w:snapToGrid w:val="0"/>
          <w:color w:val="auto"/>
          <w:kern w:val="22"/>
          <w:bdr w:val="none" w:sz="0" w:space="0" w:color="auto"/>
          <w:lang w:val="en-GB"/>
        </w:rPr>
        <w:t xml:space="preserve"> For example</w:t>
      </w:r>
      <w:r w:rsidR="00DF02C5" w:rsidRPr="00DF02C5">
        <w:rPr>
          <w:rFonts w:eastAsia="Calibri" w:hAnsi="Times New Roman"/>
          <w:snapToGrid w:val="0"/>
          <w:color w:val="auto"/>
          <w:kern w:val="22"/>
          <w:bdr w:val="none" w:sz="0" w:space="0" w:color="auto"/>
          <w:lang w:val="en-GB"/>
        </w:rPr>
        <w:t>, China</w:t>
      </w:r>
      <w:r w:rsidR="00EA65E0" w:rsidRPr="00DF02C5">
        <w:rPr>
          <w:rFonts w:eastAsia="Calibri" w:hAnsi="Times New Roman"/>
          <w:snapToGrid w:val="0"/>
          <w:color w:val="auto"/>
          <w:kern w:val="22"/>
          <w:bdr w:val="none" w:sz="0" w:space="0" w:color="auto"/>
          <w:lang w:val="en-GB"/>
        </w:rPr>
        <w:t xml:space="preserve"> explained that even though they are planning to develop a specialized regulation</w:t>
      </w:r>
      <w:r w:rsidR="00EC434A" w:rsidRPr="00DF02C5">
        <w:rPr>
          <w:rFonts w:eastAsia="Calibri" w:hAnsi="Times New Roman"/>
          <w:snapToGrid w:val="0"/>
          <w:color w:val="auto"/>
          <w:kern w:val="22"/>
          <w:bdr w:val="none" w:sz="0" w:space="0" w:color="auto"/>
          <w:lang w:val="en-GB"/>
        </w:rPr>
        <w:t>,</w:t>
      </w:r>
      <w:r w:rsidR="00EA65E0" w:rsidRPr="00DF02C5">
        <w:rPr>
          <w:rFonts w:eastAsia="Calibri" w:hAnsi="Times New Roman"/>
          <w:snapToGrid w:val="0"/>
          <w:color w:val="auto"/>
          <w:kern w:val="22"/>
          <w:bdr w:val="none" w:sz="0" w:space="0" w:color="auto"/>
          <w:lang w:val="en-GB"/>
        </w:rPr>
        <w:t xml:space="preserve"> which will contain provisions </w:t>
      </w:r>
      <w:r w:rsidR="00EC434A" w:rsidRPr="00DF02C5">
        <w:rPr>
          <w:rFonts w:eastAsia="Calibri" w:hAnsi="Times New Roman"/>
          <w:snapToGrid w:val="0"/>
          <w:color w:val="auto"/>
          <w:kern w:val="22"/>
          <w:bdr w:val="none" w:sz="0" w:space="0" w:color="auto"/>
          <w:lang w:val="en-GB"/>
        </w:rPr>
        <w:t>in</w:t>
      </w:r>
      <w:r w:rsidR="00EA65E0" w:rsidRPr="00DF02C5">
        <w:rPr>
          <w:rFonts w:eastAsia="Calibri" w:hAnsi="Times New Roman"/>
          <w:snapToGrid w:val="0"/>
          <w:color w:val="auto"/>
          <w:kern w:val="22"/>
          <w:bdr w:val="none" w:sz="0" w:space="0" w:color="auto"/>
          <w:lang w:val="en-GB"/>
        </w:rPr>
        <w:t xml:space="preserve"> this regard, the Chinese Medicine Law enacted in 2017 provides that the holder of traditional knowledge associated with Chinese medicine shall have the rights to inherit and use the traditional knowledge, and require prior informed consent and benefit-sharing from the use of the traditional knowledge that he/she holds. Article 24 of this law provides that the competent authorities responsible for the Chinese medicine administration in the governments at the provincial and above level shall organize the identification of academic heritage projects and inheritors for those academically important theories and technical methods of Chinese medicine, and provide enabling conditions for such activities. The Intangible Cultural Heritage Law requires that prior informed consent of the </w:t>
      </w:r>
      <w:r w:rsidR="00B70954" w:rsidRPr="00DF02C5">
        <w:rPr>
          <w:rFonts w:eastAsia="Calibri" w:hAnsi="Times New Roman"/>
          <w:snapToGrid w:val="0"/>
          <w:color w:val="auto"/>
          <w:kern w:val="22"/>
          <w:bdr w:val="none" w:sz="0" w:space="0" w:color="auto"/>
          <w:lang w:val="en-GB"/>
        </w:rPr>
        <w:t>targeted audience</w:t>
      </w:r>
      <w:r w:rsidR="00B70954">
        <w:rPr>
          <w:rFonts w:eastAsia="Calibri" w:hAnsi="Times New Roman"/>
          <w:snapToGrid w:val="0"/>
          <w:color w:val="auto"/>
          <w:kern w:val="22"/>
          <w:bdr w:val="none" w:sz="0" w:space="0" w:color="auto"/>
          <w:lang w:val="en-GB"/>
        </w:rPr>
        <w:t xml:space="preserve"> of the</w:t>
      </w:r>
      <w:r w:rsidR="00B70954" w:rsidRPr="00DF02C5">
        <w:rPr>
          <w:rFonts w:eastAsia="Calibri" w:hAnsi="Times New Roman"/>
          <w:snapToGrid w:val="0"/>
          <w:color w:val="auto"/>
          <w:kern w:val="22"/>
          <w:bdr w:val="none" w:sz="0" w:space="0" w:color="auto"/>
          <w:lang w:val="en-GB"/>
        </w:rPr>
        <w:t xml:space="preserve"> </w:t>
      </w:r>
      <w:r w:rsidR="00EA65E0" w:rsidRPr="00DF02C5">
        <w:rPr>
          <w:rFonts w:eastAsia="Calibri" w:hAnsi="Times New Roman"/>
          <w:snapToGrid w:val="0"/>
          <w:color w:val="auto"/>
          <w:kern w:val="22"/>
          <w:bdr w:val="none" w:sz="0" w:space="0" w:color="auto"/>
          <w:lang w:val="en-GB"/>
        </w:rPr>
        <w:t xml:space="preserve">survey shall be sought before proceeding with a survey of non-material cultural heritages. In addition, their cultures and customs shall be respected and no damage shall be done to their legal rights and interests. </w:t>
      </w:r>
    </w:p>
    <w:p w14:paraId="6A6663FB" w14:textId="584F82DF" w:rsidR="00EA65E0" w:rsidRPr="00DF02C5" w:rsidRDefault="00EA65E0" w:rsidP="00393914">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Two</w:t>
      </w:r>
      <w:r w:rsidRPr="00DF02C5">
        <w:rPr>
          <w:rStyle w:val="FootnoteReference"/>
          <w:rFonts w:eastAsia="Calibri" w:hAnsi="Times New Roman"/>
          <w:snapToGrid w:val="0"/>
          <w:kern w:val="22"/>
          <w:bdr w:val="none" w:sz="0" w:space="0" w:color="auto"/>
          <w:lang w:val="en-GB"/>
        </w:rPr>
        <w:footnoteReference w:id="168"/>
      </w:r>
      <w:r w:rsidRPr="00DF02C5">
        <w:rPr>
          <w:rFonts w:eastAsia="Calibri" w:hAnsi="Times New Roman"/>
          <w:snapToGrid w:val="0"/>
          <w:kern w:val="22"/>
          <w:bdr w:val="none" w:sz="0" w:space="0" w:color="auto"/>
          <w:lang w:val="en-GB"/>
        </w:rPr>
        <w:t xml:space="preserve"> countries </w:t>
      </w:r>
      <w:r w:rsidR="00BD60A0" w:rsidRPr="00DF02C5">
        <w:rPr>
          <w:rFonts w:eastAsia="Calibri" w:hAnsi="Times New Roman"/>
          <w:snapToGrid w:val="0"/>
          <w:kern w:val="22"/>
          <w:bdr w:val="none" w:sz="0" w:space="0" w:color="auto"/>
          <w:lang w:val="en-GB"/>
        </w:rPr>
        <w:t>indicated</w:t>
      </w:r>
      <w:r w:rsidRPr="00DF02C5">
        <w:rPr>
          <w:rFonts w:eastAsia="Calibri" w:hAnsi="Times New Roman"/>
          <w:snapToGrid w:val="0"/>
          <w:kern w:val="22"/>
          <w:bdr w:val="none" w:sz="0" w:space="0" w:color="auto"/>
          <w:lang w:val="en-GB"/>
        </w:rPr>
        <w:t xml:space="preserve"> that their countries do not have IPLCs, and </w:t>
      </w:r>
      <w:r w:rsidR="00943D82" w:rsidRPr="00DF02C5">
        <w:rPr>
          <w:rFonts w:eastAsia="Calibri" w:hAnsi="Times New Roman"/>
          <w:snapToGrid w:val="0"/>
          <w:kern w:val="22"/>
          <w:bdr w:val="none" w:sz="0" w:space="0" w:color="auto"/>
          <w:lang w:val="en-GB"/>
        </w:rPr>
        <w:t>an</w:t>
      </w:r>
      <w:r w:rsidRPr="00DF02C5">
        <w:rPr>
          <w:rFonts w:eastAsia="Calibri" w:hAnsi="Times New Roman"/>
          <w:snapToGrid w:val="0"/>
          <w:kern w:val="22"/>
          <w:bdr w:val="none" w:sz="0" w:space="0" w:color="auto"/>
          <w:lang w:val="en-GB"/>
        </w:rPr>
        <w:t>other</w:t>
      </w:r>
      <w:r w:rsidRPr="00DF02C5">
        <w:rPr>
          <w:rStyle w:val="FootnoteReference"/>
          <w:rFonts w:eastAsia="Calibri" w:hAnsi="Times New Roman"/>
          <w:snapToGrid w:val="0"/>
          <w:kern w:val="22"/>
          <w:bdr w:val="none" w:sz="0" w:space="0" w:color="auto"/>
          <w:lang w:val="en-GB"/>
        </w:rPr>
        <w:footnoteReference w:id="169"/>
      </w:r>
      <w:r w:rsidRPr="00DF02C5">
        <w:rPr>
          <w:rFonts w:eastAsia="Calibri" w:hAnsi="Times New Roman"/>
          <w:snapToGrid w:val="0"/>
          <w:kern w:val="22"/>
          <w:bdr w:val="none" w:sz="0" w:space="0" w:color="auto"/>
          <w:lang w:val="en-GB"/>
        </w:rPr>
        <w:t xml:space="preserve"> clarified that they only have local communities. </w:t>
      </w:r>
      <w:r w:rsidR="00943D82" w:rsidRPr="00DF02C5">
        <w:rPr>
          <w:rFonts w:eastAsia="Calibri" w:hAnsi="Times New Roman"/>
          <w:snapToGrid w:val="0"/>
          <w:kern w:val="22"/>
          <w:bdr w:val="none" w:sz="0" w:space="0" w:color="auto"/>
          <w:lang w:val="en-GB"/>
        </w:rPr>
        <w:t>Ano</w:t>
      </w:r>
      <w:r w:rsidRPr="00DF02C5">
        <w:rPr>
          <w:rFonts w:eastAsia="Calibri" w:hAnsi="Times New Roman"/>
          <w:snapToGrid w:val="0"/>
          <w:kern w:val="22"/>
          <w:bdr w:val="none" w:sz="0" w:space="0" w:color="auto"/>
          <w:lang w:val="en-GB"/>
        </w:rPr>
        <w:t>ther country</w:t>
      </w:r>
      <w:r w:rsidRPr="00DF02C5">
        <w:rPr>
          <w:rStyle w:val="FootnoteReference"/>
          <w:rFonts w:eastAsia="Calibri" w:hAnsi="Times New Roman"/>
          <w:snapToGrid w:val="0"/>
          <w:kern w:val="22"/>
          <w:bdr w:val="none" w:sz="0" w:space="0" w:color="auto"/>
          <w:lang w:val="en-GB"/>
        </w:rPr>
        <w:footnoteReference w:id="170"/>
      </w:r>
      <w:r w:rsidR="00195CA3">
        <w:rPr>
          <w:rFonts w:eastAsia="Calibri" w:hAnsi="Times New Roman"/>
          <w:snapToGrid w:val="0"/>
          <w:kern w:val="22"/>
          <w:bdr w:val="none" w:sz="0" w:space="0" w:color="auto"/>
          <w:lang w:val="en-GB"/>
        </w:rPr>
        <w:t xml:space="preserve"> </w:t>
      </w:r>
      <w:r w:rsidRPr="00DF02C5">
        <w:rPr>
          <w:rFonts w:eastAsia="Calibri" w:hAnsi="Times New Roman"/>
          <w:snapToGrid w:val="0"/>
          <w:kern w:val="22"/>
          <w:bdr w:val="none" w:sz="0" w:space="0" w:color="auto"/>
          <w:lang w:val="en-GB"/>
        </w:rPr>
        <w:t xml:space="preserve">explained that the benefits are to be shared equally among all citizens. </w:t>
      </w:r>
    </w:p>
    <w:p w14:paraId="7DDFF04A" w14:textId="62A0671C" w:rsidR="00EA65E0" w:rsidRPr="00195CA3" w:rsidRDefault="00EA65E0" w:rsidP="00195CA3">
      <w:pPr>
        <w:pStyle w:val="Para1"/>
        <w:numPr>
          <w:ilvl w:val="0"/>
          <w:numId w:val="58"/>
        </w:numPr>
        <w:spacing w:before="240"/>
        <w:ind w:left="0" w:firstLine="0"/>
        <w:jc w:val="center"/>
        <w:rPr>
          <w:rFonts w:eastAsia="Calibri" w:hAnsi="Times New Roman"/>
          <w:i/>
          <w:snapToGrid w:val="0"/>
          <w:kern w:val="22"/>
          <w:bdr w:val="none" w:sz="0" w:space="0" w:color="auto"/>
          <w:lang w:val="en-GB"/>
        </w:rPr>
      </w:pPr>
      <w:r w:rsidRPr="00195CA3">
        <w:rPr>
          <w:rFonts w:eastAsia="Calibri" w:hAnsi="Times New Roman"/>
          <w:i/>
          <w:snapToGrid w:val="0"/>
          <w:kern w:val="22"/>
          <w:bdr w:val="none" w:sz="0" w:space="0" w:color="auto"/>
          <w:lang w:val="en-GB"/>
        </w:rPr>
        <w:t>Additional information</w:t>
      </w:r>
      <w:r w:rsidR="009E2A4C" w:rsidRPr="00195CA3">
        <w:rPr>
          <w:rFonts w:eastAsia="Calibri" w:hAnsi="Times New Roman"/>
          <w:i/>
          <w:snapToGrid w:val="0"/>
          <w:kern w:val="22"/>
          <w:bdr w:val="none" w:sz="0" w:space="0" w:color="auto"/>
          <w:lang w:val="en-GB"/>
        </w:rPr>
        <w:t xml:space="preserve">: </w:t>
      </w:r>
      <w:r w:rsidRPr="00195CA3">
        <w:rPr>
          <w:rFonts w:eastAsia="Calibri" w:hAnsi="Times New Roman"/>
          <w:i/>
          <w:snapToGrid w:val="0"/>
          <w:kern w:val="22"/>
          <w:bdr w:val="none" w:sz="0" w:space="0" w:color="auto"/>
          <w:lang w:val="en-GB"/>
        </w:rPr>
        <w:t xml:space="preserve"> </w:t>
      </w:r>
      <w:r w:rsidR="009E2A4C" w:rsidRPr="00195CA3">
        <w:rPr>
          <w:rFonts w:eastAsia="Calibri" w:hAnsi="Times New Roman"/>
          <w:i/>
          <w:snapToGrid w:val="0"/>
          <w:kern w:val="22"/>
          <w:bdr w:val="none" w:sz="0" w:space="0" w:color="auto"/>
          <w:lang w:val="en-GB"/>
        </w:rPr>
        <w:t xml:space="preserve">summary of the main difficulties and challenges </w:t>
      </w:r>
      <w:r w:rsidRPr="00195CA3">
        <w:rPr>
          <w:rFonts w:eastAsia="Calibri" w:hAnsi="Times New Roman"/>
          <w:i/>
          <w:snapToGrid w:val="0"/>
          <w:kern w:val="22"/>
          <w:bdr w:val="none" w:sz="0" w:space="0" w:color="auto"/>
          <w:lang w:val="en-GB"/>
        </w:rPr>
        <w:t>(question 23)</w:t>
      </w:r>
    </w:p>
    <w:p w14:paraId="3BD0E389" w14:textId="2D84130E" w:rsidR="009E2A4C" w:rsidRPr="00DF02C5" w:rsidRDefault="00197D8A" w:rsidP="00A65AB8">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 xml:space="preserve">Thirty-two countries answered this question. </w:t>
      </w:r>
      <w:r w:rsidR="008E69C4" w:rsidRPr="00DF02C5">
        <w:rPr>
          <w:rFonts w:eastAsia="Calibri" w:hAnsi="Times New Roman"/>
          <w:snapToGrid w:val="0"/>
          <w:kern w:val="22"/>
          <w:bdr w:val="none" w:sz="0" w:space="0" w:color="auto"/>
          <w:lang w:val="en-GB"/>
        </w:rPr>
        <w:t>In their responses</w:t>
      </w:r>
      <w:r w:rsidR="00EA65E0" w:rsidRPr="00DF02C5">
        <w:rPr>
          <w:rFonts w:eastAsia="Calibri" w:hAnsi="Times New Roman"/>
          <w:snapToGrid w:val="0"/>
          <w:kern w:val="22"/>
          <w:bdr w:val="none" w:sz="0" w:space="0" w:color="auto"/>
          <w:lang w:val="en-GB"/>
        </w:rPr>
        <w:t xml:space="preserve">, many </w:t>
      </w:r>
      <w:r w:rsidRPr="00DF02C5">
        <w:rPr>
          <w:rFonts w:eastAsia="Calibri" w:hAnsi="Times New Roman"/>
          <w:snapToGrid w:val="0"/>
          <w:kern w:val="22"/>
          <w:bdr w:val="none" w:sz="0" w:space="0" w:color="auto"/>
          <w:lang w:val="en-GB"/>
        </w:rPr>
        <w:t xml:space="preserve">of the </w:t>
      </w:r>
      <w:r w:rsidR="008E69C4" w:rsidRPr="00DF02C5">
        <w:rPr>
          <w:rFonts w:eastAsia="Calibri" w:hAnsi="Times New Roman"/>
          <w:snapToGrid w:val="0"/>
          <w:kern w:val="22"/>
          <w:bdr w:val="none" w:sz="0" w:space="0" w:color="auto"/>
          <w:lang w:val="en-GB"/>
        </w:rPr>
        <w:t xml:space="preserve">countries </w:t>
      </w:r>
      <w:r w:rsidR="00EA65E0" w:rsidRPr="00DF02C5">
        <w:rPr>
          <w:rFonts w:eastAsia="Calibri" w:hAnsi="Times New Roman"/>
          <w:snapToGrid w:val="0"/>
          <w:kern w:val="22"/>
          <w:bdr w:val="none" w:sz="0" w:space="0" w:color="auto"/>
          <w:lang w:val="en-GB"/>
        </w:rPr>
        <w:t>refer</w:t>
      </w:r>
      <w:r w:rsidR="008E69C4" w:rsidRPr="00DF02C5">
        <w:rPr>
          <w:rFonts w:eastAsia="Calibri" w:hAnsi="Times New Roman"/>
          <w:snapToGrid w:val="0"/>
          <w:kern w:val="22"/>
          <w:bdr w:val="none" w:sz="0" w:space="0" w:color="auto"/>
          <w:lang w:val="en-GB"/>
        </w:rPr>
        <w:t>red</w:t>
      </w:r>
      <w:r w:rsidR="00EA65E0" w:rsidRPr="00DF02C5">
        <w:rPr>
          <w:rFonts w:eastAsia="Calibri" w:hAnsi="Times New Roman"/>
          <w:snapToGrid w:val="0"/>
          <w:kern w:val="22"/>
          <w:bdr w:val="none" w:sz="0" w:space="0" w:color="auto"/>
          <w:lang w:val="en-GB"/>
        </w:rPr>
        <w:t xml:space="preserve"> to general difficulties raised</w:t>
      </w:r>
      <w:r w:rsidR="009E2A4C" w:rsidRPr="00DF02C5">
        <w:rPr>
          <w:rFonts w:eastAsia="Calibri" w:hAnsi="Times New Roman"/>
          <w:snapToGrid w:val="0"/>
          <w:kern w:val="22"/>
          <w:bdr w:val="none" w:sz="0" w:space="0" w:color="auto"/>
          <w:lang w:val="en-GB"/>
        </w:rPr>
        <w:t xml:space="preserve"> in relation to previous questions</w:t>
      </w:r>
      <w:r w:rsidR="00EA65E0" w:rsidRPr="00DF02C5">
        <w:rPr>
          <w:rFonts w:eastAsia="Calibri" w:hAnsi="Times New Roman"/>
          <w:snapToGrid w:val="0"/>
          <w:kern w:val="22"/>
          <w:bdr w:val="none" w:sz="0" w:space="0" w:color="auto"/>
          <w:lang w:val="en-GB"/>
        </w:rPr>
        <w:t>, such as lack of financial resources, capacity or awareness. Overall, the main difficulty identified is the absence of ABS measures in place, or the need to develop or review measures to be in line with the Nagoya Protocol.</w:t>
      </w:r>
      <w:r w:rsidR="00A65AB8" w:rsidRPr="00DF02C5">
        <w:rPr>
          <w:rFonts w:eastAsia="Calibri" w:hAnsi="Times New Roman"/>
          <w:snapToGrid w:val="0"/>
          <w:kern w:val="22"/>
          <w:bdr w:val="none" w:sz="0" w:space="0" w:color="auto"/>
          <w:lang w:val="en-GB"/>
        </w:rPr>
        <w:t xml:space="preserve"> </w:t>
      </w:r>
      <w:r w:rsidR="00EA65E0" w:rsidRPr="00DF02C5">
        <w:rPr>
          <w:rFonts w:eastAsia="Calibri" w:hAnsi="Times New Roman"/>
          <w:snapToGrid w:val="0"/>
          <w:kern w:val="22"/>
          <w:bdr w:val="none" w:sz="0" w:space="0" w:color="auto"/>
          <w:lang w:val="en-GB"/>
        </w:rPr>
        <w:t>Many answers focused on the challenges related to traditional knowledge</w:t>
      </w:r>
      <w:r w:rsidR="00943D82" w:rsidRPr="00DF02C5">
        <w:rPr>
          <w:rFonts w:eastAsia="Calibri" w:hAnsi="Times New Roman"/>
          <w:snapToGrid w:val="0"/>
          <w:kern w:val="22"/>
          <w:bdr w:val="none" w:sz="0" w:space="0" w:color="auto"/>
          <w:lang w:val="en-GB"/>
        </w:rPr>
        <w:t xml:space="preserve"> associated with genetic resources.</w:t>
      </w:r>
    </w:p>
    <w:p w14:paraId="1D23F350" w14:textId="13BB1092" w:rsidR="009E2A4C" w:rsidRPr="00DF02C5" w:rsidRDefault="009E2A4C" w:rsidP="009E2A4C">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Some Parties reported challenges in clarifying what the term IPLCs meant in their national context, including providing clarity on the ownership of IPLCs over genetic resources and/or traditional knowledge associated with genetic resources. Many Parties experienced difficulties in identifying the different groups of indigenous peoples and local communities, unders</w:t>
      </w:r>
      <w:r w:rsidR="00B54C38">
        <w:rPr>
          <w:rFonts w:eastAsia="Calibri" w:hAnsi="Times New Roman"/>
          <w:snapToGrid w:val="0"/>
          <w:kern w:val="22"/>
          <w:bdr w:val="none" w:sz="0" w:space="0" w:color="auto"/>
          <w:lang w:val="en-GB"/>
        </w:rPr>
        <w:t>tanding the way they are organiz</w:t>
      </w:r>
      <w:r w:rsidRPr="00DF02C5">
        <w:rPr>
          <w:rFonts w:eastAsia="Calibri" w:hAnsi="Times New Roman"/>
          <w:snapToGrid w:val="0"/>
          <w:kern w:val="22"/>
          <w:bdr w:val="none" w:sz="0" w:space="0" w:color="auto"/>
          <w:lang w:val="en-GB"/>
        </w:rPr>
        <w:t>ed, and being able to link traditional knowledge with the holder/s of such knowledge.</w:t>
      </w:r>
    </w:p>
    <w:p w14:paraId="0739F7C4" w14:textId="77777777" w:rsidR="009E2A4C" w:rsidRPr="00DF02C5" w:rsidRDefault="009E2A4C" w:rsidP="009E2A4C">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 xml:space="preserve">Many Parties considered the need to build capacity at institutional level on issues related to traditional knowledge associated with genetic resources and IPLCs.  The difficulty of developing measures that will ensure that all IPLCs issues in the Protocol are dealt with appropriately was raised and some noted the lack of experiences or examples that could be used.   </w:t>
      </w:r>
    </w:p>
    <w:p w14:paraId="166B09EB" w14:textId="23B149DB" w:rsidR="00EA65E0" w:rsidRPr="00DF02C5" w:rsidRDefault="009E2A4C" w:rsidP="00A65AB8">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lastRenderedPageBreak/>
        <w:t xml:space="preserve">Many Parties highlighted the need for capacity-building and awareness-raising about ABS for IPLCs. </w:t>
      </w:r>
    </w:p>
    <w:p w14:paraId="2368408F" w14:textId="0B7E2838" w:rsidR="00EA65E0" w:rsidRPr="00DF02C5" w:rsidRDefault="00A65AB8" w:rsidP="00A65AB8">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Some countries identified the need to develop inventories, studies and or transcriptions of trad</w:t>
      </w:r>
      <w:r w:rsidR="00B54C38">
        <w:rPr>
          <w:rFonts w:eastAsia="Calibri" w:hAnsi="Times New Roman"/>
          <w:snapToGrid w:val="0"/>
          <w:kern w:val="22"/>
          <w:bdr w:val="none" w:sz="0" w:space="0" w:color="auto"/>
          <w:lang w:val="en-GB"/>
        </w:rPr>
        <w:t xml:space="preserve">itional knowledge and to </w:t>
      </w:r>
      <w:proofErr w:type="spellStart"/>
      <w:r w:rsidR="00B54C38">
        <w:rPr>
          <w:rFonts w:eastAsia="Calibri" w:hAnsi="Times New Roman"/>
          <w:snapToGrid w:val="0"/>
          <w:kern w:val="22"/>
          <w:bdr w:val="none" w:sz="0" w:space="0" w:color="auto"/>
          <w:lang w:val="en-GB"/>
        </w:rPr>
        <w:t>valoriz</w:t>
      </w:r>
      <w:r w:rsidRPr="00DF02C5">
        <w:rPr>
          <w:rFonts w:eastAsia="Calibri" w:hAnsi="Times New Roman"/>
          <w:snapToGrid w:val="0"/>
          <w:kern w:val="22"/>
          <w:bdr w:val="none" w:sz="0" w:space="0" w:color="auto"/>
          <w:lang w:val="en-GB"/>
        </w:rPr>
        <w:t>e</w:t>
      </w:r>
      <w:proofErr w:type="spellEnd"/>
      <w:r w:rsidRPr="00DF02C5">
        <w:rPr>
          <w:rFonts w:eastAsia="Calibri" w:hAnsi="Times New Roman"/>
          <w:snapToGrid w:val="0"/>
          <w:kern w:val="22"/>
          <w:bdr w:val="none" w:sz="0" w:space="0" w:color="auto"/>
          <w:lang w:val="en-GB"/>
        </w:rPr>
        <w:t xml:space="preserve"> it.  </w:t>
      </w:r>
      <w:r w:rsidR="00EA65E0" w:rsidRPr="00DF02C5">
        <w:rPr>
          <w:rFonts w:eastAsia="Calibri" w:hAnsi="Times New Roman"/>
          <w:snapToGrid w:val="0"/>
          <w:kern w:val="22"/>
          <w:bdr w:val="none" w:sz="0" w:space="0" w:color="auto"/>
          <w:lang w:val="en-GB"/>
        </w:rPr>
        <w:t xml:space="preserve">A country explained that even though they had legislation in place, they were of the view that the measures were </w:t>
      </w:r>
      <w:r w:rsidRPr="00DF02C5">
        <w:rPr>
          <w:rFonts w:eastAsia="Calibri" w:hAnsi="Times New Roman"/>
          <w:snapToGrid w:val="0"/>
          <w:kern w:val="22"/>
          <w:bdr w:val="none" w:sz="0" w:space="0" w:color="auto"/>
          <w:lang w:val="en-GB"/>
        </w:rPr>
        <w:t>not well known or understood by institutions</w:t>
      </w:r>
      <w:r w:rsidR="00EA65E0" w:rsidRPr="00DF02C5">
        <w:rPr>
          <w:rFonts w:eastAsia="Calibri" w:hAnsi="Times New Roman"/>
          <w:snapToGrid w:val="0"/>
          <w:kern w:val="22"/>
          <w:bdr w:val="none" w:sz="0" w:space="0" w:color="auto"/>
          <w:lang w:val="en-GB"/>
        </w:rPr>
        <w:t>,</w:t>
      </w:r>
      <w:r w:rsidR="0080269F" w:rsidRPr="00DF02C5">
        <w:rPr>
          <w:rFonts w:eastAsia="Calibri" w:hAnsi="Times New Roman"/>
          <w:snapToGrid w:val="0"/>
          <w:kern w:val="22"/>
          <w:bdr w:val="none" w:sz="0" w:space="0" w:color="auto"/>
          <w:lang w:val="en-GB"/>
        </w:rPr>
        <w:t xml:space="preserve"> </w:t>
      </w:r>
      <w:r w:rsidR="00EA65E0" w:rsidRPr="00DF02C5">
        <w:rPr>
          <w:rFonts w:eastAsia="Calibri" w:hAnsi="Times New Roman"/>
          <w:snapToGrid w:val="0"/>
          <w:kern w:val="22"/>
          <w:bdr w:val="none" w:sz="0" w:space="0" w:color="auto"/>
          <w:lang w:val="en-GB"/>
        </w:rPr>
        <w:t>communities</w:t>
      </w:r>
      <w:r w:rsidRPr="00DF02C5">
        <w:rPr>
          <w:rFonts w:eastAsia="Calibri" w:hAnsi="Times New Roman"/>
          <w:snapToGrid w:val="0"/>
          <w:kern w:val="22"/>
          <w:bdr w:val="none" w:sz="0" w:space="0" w:color="auto"/>
          <w:lang w:val="en-GB"/>
        </w:rPr>
        <w:t xml:space="preserve">, </w:t>
      </w:r>
      <w:r w:rsidR="00943D82" w:rsidRPr="00DF02C5">
        <w:rPr>
          <w:rFonts w:eastAsia="Calibri" w:hAnsi="Times New Roman"/>
          <w:snapToGrid w:val="0"/>
          <w:kern w:val="22"/>
          <w:bdr w:val="none" w:sz="0" w:space="0" w:color="auto"/>
          <w:lang w:val="en-GB"/>
        </w:rPr>
        <w:t>or</w:t>
      </w:r>
      <w:r w:rsidR="00EA65E0" w:rsidRPr="00DF02C5">
        <w:rPr>
          <w:rFonts w:eastAsia="Calibri" w:hAnsi="Times New Roman"/>
          <w:snapToGrid w:val="0"/>
          <w:kern w:val="22"/>
          <w:bdr w:val="none" w:sz="0" w:space="0" w:color="auto"/>
          <w:lang w:val="en-GB"/>
        </w:rPr>
        <w:t xml:space="preserve"> users, and th</w:t>
      </w:r>
      <w:r w:rsidR="0078164B" w:rsidRPr="00DF02C5">
        <w:rPr>
          <w:rFonts w:eastAsia="Calibri" w:hAnsi="Times New Roman"/>
          <w:snapToGrid w:val="0"/>
          <w:kern w:val="22"/>
          <w:bdr w:val="none" w:sz="0" w:space="0" w:color="auto"/>
          <w:lang w:val="en-GB"/>
        </w:rPr>
        <w:t>is</w:t>
      </w:r>
      <w:r w:rsidRPr="00DF02C5">
        <w:rPr>
          <w:rFonts w:eastAsia="Calibri" w:hAnsi="Times New Roman"/>
          <w:snapToGrid w:val="0"/>
          <w:kern w:val="22"/>
          <w:bdr w:val="none" w:sz="0" w:space="0" w:color="auto"/>
          <w:lang w:val="en-GB"/>
        </w:rPr>
        <w:t xml:space="preserve"> </w:t>
      </w:r>
      <w:r w:rsidR="00EA65E0" w:rsidRPr="00DF02C5">
        <w:rPr>
          <w:rFonts w:eastAsia="Calibri" w:hAnsi="Times New Roman"/>
          <w:snapToGrid w:val="0"/>
          <w:kern w:val="22"/>
          <w:bdr w:val="none" w:sz="0" w:space="0" w:color="auto"/>
          <w:lang w:val="en-GB"/>
        </w:rPr>
        <w:t xml:space="preserve">could </w:t>
      </w:r>
      <w:r w:rsidRPr="00DF02C5">
        <w:rPr>
          <w:rFonts w:eastAsia="Calibri" w:hAnsi="Times New Roman"/>
          <w:snapToGrid w:val="0"/>
          <w:kern w:val="22"/>
          <w:bdr w:val="none" w:sz="0" w:space="0" w:color="auto"/>
          <w:lang w:val="en-GB"/>
        </w:rPr>
        <w:t xml:space="preserve">partly </w:t>
      </w:r>
      <w:r w:rsidR="00EA65E0" w:rsidRPr="00DF02C5">
        <w:rPr>
          <w:rFonts w:eastAsia="Calibri" w:hAnsi="Times New Roman"/>
          <w:snapToGrid w:val="0"/>
          <w:kern w:val="22"/>
          <w:bdr w:val="none" w:sz="0" w:space="0" w:color="auto"/>
          <w:lang w:val="en-GB"/>
        </w:rPr>
        <w:t>explain the fact that no permits for access to associated traditional knowledge ha</w:t>
      </w:r>
      <w:r w:rsidR="0078164B" w:rsidRPr="00DF02C5">
        <w:rPr>
          <w:rFonts w:eastAsia="Calibri" w:hAnsi="Times New Roman"/>
          <w:snapToGrid w:val="0"/>
          <w:kern w:val="22"/>
          <w:bdr w:val="none" w:sz="0" w:space="0" w:color="auto"/>
          <w:lang w:val="en-GB"/>
        </w:rPr>
        <w:t>d</w:t>
      </w:r>
      <w:r w:rsidR="00A031C1">
        <w:rPr>
          <w:rFonts w:eastAsia="Calibri" w:hAnsi="Times New Roman"/>
          <w:snapToGrid w:val="0"/>
          <w:kern w:val="22"/>
          <w:bdr w:val="none" w:sz="0" w:space="0" w:color="auto"/>
          <w:lang w:val="en-GB"/>
        </w:rPr>
        <w:t xml:space="preserve"> been granted so far.</w:t>
      </w:r>
      <w:r w:rsidR="00EA65E0" w:rsidRPr="00DF02C5">
        <w:rPr>
          <w:rStyle w:val="FootnoteReference"/>
          <w:rFonts w:eastAsia="Calibri" w:hAnsi="Times New Roman"/>
          <w:snapToGrid w:val="0"/>
          <w:kern w:val="22"/>
          <w:bdr w:val="none" w:sz="0" w:space="0" w:color="auto"/>
          <w:lang w:val="en-GB"/>
        </w:rPr>
        <w:footnoteReference w:id="171"/>
      </w:r>
    </w:p>
    <w:p w14:paraId="67EC900E" w14:textId="5422DDDB" w:rsidR="00EA65E0" w:rsidRPr="00DF02C5" w:rsidRDefault="00EA65E0" w:rsidP="00393914">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Other challenges identified include: (a)</w:t>
      </w:r>
      <w:r w:rsidR="008E69C4" w:rsidRPr="00DF02C5">
        <w:rPr>
          <w:rFonts w:eastAsia="Calibri" w:hAnsi="Times New Roman"/>
          <w:snapToGrid w:val="0"/>
          <w:kern w:val="22"/>
          <w:bdr w:val="none" w:sz="0" w:space="0" w:color="auto"/>
          <w:lang w:val="en-GB"/>
        </w:rPr>
        <w:t xml:space="preserve"> the</w:t>
      </w:r>
      <w:r w:rsidRPr="00DF02C5">
        <w:rPr>
          <w:rFonts w:eastAsia="Calibri" w:hAnsi="Times New Roman"/>
          <w:snapToGrid w:val="0"/>
          <w:kern w:val="22"/>
          <w:bdr w:val="none" w:sz="0" w:space="0" w:color="auto"/>
          <w:lang w:val="en-GB"/>
        </w:rPr>
        <w:t xml:space="preserve"> need for inventories of genetic </w:t>
      </w:r>
      <w:r w:rsidR="00B54C38">
        <w:rPr>
          <w:rFonts w:eastAsia="Calibri" w:hAnsi="Times New Roman"/>
          <w:snapToGrid w:val="0"/>
          <w:kern w:val="22"/>
          <w:bdr w:val="none" w:sz="0" w:space="0" w:color="auto"/>
          <w:lang w:val="en-GB"/>
        </w:rPr>
        <w:t xml:space="preserve">resources and studies to </w:t>
      </w:r>
      <w:proofErr w:type="spellStart"/>
      <w:r w:rsidR="00B54C38">
        <w:rPr>
          <w:rFonts w:eastAsia="Calibri" w:hAnsi="Times New Roman"/>
          <w:snapToGrid w:val="0"/>
          <w:kern w:val="22"/>
          <w:bdr w:val="none" w:sz="0" w:space="0" w:color="auto"/>
          <w:lang w:val="en-GB"/>
        </w:rPr>
        <w:t>valoriz</w:t>
      </w:r>
      <w:r w:rsidRPr="00DF02C5">
        <w:rPr>
          <w:rFonts w:eastAsia="Calibri" w:hAnsi="Times New Roman"/>
          <w:snapToGrid w:val="0"/>
          <w:kern w:val="22"/>
          <w:bdr w:val="none" w:sz="0" w:space="0" w:color="auto"/>
          <w:lang w:val="en-GB"/>
        </w:rPr>
        <w:t>e</w:t>
      </w:r>
      <w:proofErr w:type="spellEnd"/>
      <w:r w:rsidRPr="00DF02C5">
        <w:rPr>
          <w:rFonts w:eastAsia="Calibri" w:hAnsi="Times New Roman"/>
          <w:snapToGrid w:val="0"/>
          <w:kern w:val="22"/>
          <w:bdr w:val="none" w:sz="0" w:space="0" w:color="auto"/>
          <w:lang w:val="en-GB"/>
        </w:rPr>
        <w:t xml:space="preserve"> genetic resources; (b)</w:t>
      </w:r>
      <w:r w:rsidR="008E69C4" w:rsidRPr="00DF02C5">
        <w:rPr>
          <w:rFonts w:eastAsia="Calibri" w:hAnsi="Times New Roman"/>
          <w:snapToGrid w:val="0"/>
          <w:kern w:val="22"/>
          <w:bdr w:val="none" w:sz="0" w:space="0" w:color="auto"/>
          <w:lang w:val="en-GB"/>
        </w:rPr>
        <w:t xml:space="preserve"> the</w:t>
      </w:r>
      <w:r w:rsidRPr="00DF02C5">
        <w:rPr>
          <w:rFonts w:eastAsia="Calibri" w:hAnsi="Times New Roman"/>
          <w:snapToGrid w:val="0"/>
          <w:kern w:val="22"/>
          <w:bdr w:val="none" w:sz="0" w:space="0" w:color="auto"/>
          <w:lang w:val="en-GB"/>
        </w:rPr>
        <w:t xml:space="preserve"> need to identify different uses and users of genetic resource at</w:t>
      </w:r>
      <w:r w:rsidR="00D05078" w:rsidRPr="00DF02C5">
        <w:rPr>
          <w:rFonts w:eastAsia="Calibri" w:hAnsi="Times New Roman"/>
          <w:snapToGrid w:val="0"/>
          <w:kern w:val="22"/>
          <w:bdr w:val="none" w:sz="0" w:space="0" w:color="auto"/>
          <w:lang w:val="en-GB"/>
        </w:rPr>
        <w:t xml:space="preserve"> the</w:t>
      </w:r>
      <w:r w:rsidRPr="00DF02C5">
        <w:rPr>
          <w:rFonts w:eastAsia="Calibri" w:hAnsi="Times New Roman"/>
          <w:snapToGrid w:val="0"/>
          <w:kern w:val="22"/>
          <w:bdr w:val="none" w:sz="0" w:space="0" w:color="auto"/>
          <w:lang w:val="en-GB"/>
        </w:rPr>
        <w:t xml:space="preserve"> national level; (c) convincing research institutions that </w:t>
      </w:r>
      <w:r w:rsidR="00D05078" w:rsidRPr="00DF02C5">
        <w:rPr>
          <w:rFonts w:eastAsia="Calibri" w:hAnsi="Times New Roman"/>
          <w:snapToGrid w:val="0"/>
          <w:kern w:val="22"/>
          <w:bdr w:val="none" w:sz="0" w:space="0" w:color="auto"/>
          <w:lang w:val="en-GB"/>
        </w:rPr>
        <w:t xml:space="preserve">they </w:t>
      </w:r>
      <w:r w:rsidRPr="00DF02C5">
        <w:rPr>
          <w:rFonts w:eastAsia="Calibri" w:hAnsi="Times New Roman"/>
          <w:snapToGrid w:val="0"/>
          <w:kern w:val="22"/>
          <w:bdr w:val="none" w:sz="0" w:space="0" w:color="auto"/>
          <w:lang w:val="en-GB"/>
        </w:rPr>
        <w:t xml:space="preserve">need to be regulated; (d) </w:t>
      </w:r>
      <w:r w:rsidR="008E69C4" w:rsidRPr="00DF02C5">
        <w:rPr>
          <w:rFonts w:eastAsia="Calibri" w:hAnsi="Times New Roman"/>
          <w:snapToGrid w:val="0"/>
          <w:kern w:val="22"/>
          <w:bdr w:val="none" w:sz="0" w:space="0" w:color="auto"/>
          <w:lang w:val="en-GB"/>
        </w:rPr>
        <w:t xml:space="preserve">the </w:t>
      </w:r>
      <w:r w:rsidR="00D05078" w:rsidRPr="00DF02C5">
        <w:rPr>
          <w:rFonts w:eastAsia="Calibri" w:hAnsi="Times New Roman"/>
          <w:snapToGrid w:val="0"/>
          <w:kern w:val="22"/>
          <w:bdr w:val="none" w:sz="0" w:space="0" w:color="auto"/>
          <w:lang w:val="en-GB"/>
        </w:rPr>
        <w:t>need for capacity-building regarding</w:t>
      </w:r>
      <w:r w:rsidRPr="00DF02C5">
        <w:rPr>
          <w:rFonts w:eastAsia="Calibri" w:hAnsi="Times New Roman"/>
          <w:snapToGrid w:val="0"/>
          <w:kern w:val="22"/>
          <w:bdr w:val="none" w:sz="0" w:space="0" w:color="auto"/>
          <w:lang w:val="en-GB"/>
        </w:rPr>
        <w:t xml:space="preserve"> contracts; and (d) th</w:t>
      </w:r>
      <w:r w:rsidR="00D05078" w:rsidRPr="00DF02C5">
        <w:rPr>
          <w:rFonts w:eastAsia="Calibri" w:hAnsi="Times New Roman"/>
          <w:snapToGrid w:val="0"/>
          <w:kern w:val="22"/>
          <w:bdr w:val="none" w:sz="0" w:space="0" w:color="auto"/>
          <w:lang w:val="en-GB"/>
        </w:rPr>
        <w:t>e loss of traditional knowledge.</w:t>
      </w:r>
    </w:p>
    <w:p w14:paraId="5785E509" w14:textId="70B61583" w:rsidR="00EA65E0" w:rsidRPr="00DF02C5" w:rsidRDefault="00EA65E0" w:rsidP="003500AA">
      <w:pPr>
        <w:pStyle w:val="Heading2"/>
        <w:numPr>
          <w:ilvl w:val="0"/>
          <w:numId w:val="10"/>
        </w:numPr>
        <w:tabs>
          <w:tab w:val="clear" w:pos="720"/>
          <w:tab w:val="left" w:pos="1701"/>
        </w:tabs>
        <w:spacing w:before="240"/>
        <w:ind w:left="1701" w:right="429" w:hanging="851"/>
        <w:jc w:val="left"/>
        <w:rPr>
          <w:rFonts w:eastAsia="Calibri"/>
          <w:snapToGrid w:val="0"/>
          <w:kern w:val="22"/>
          <w:lang w:val="en-GB"/>
        </w:rPr>
      </w:pPr>
      <w:bookmarkStart w:id="10" w:name="_Toc511112606"/>
      <w:r w:rsidRPr="00DF02C5">
        <w:rPr>
          <w:rFonts w:eastAsia="Calibri"/>
          <w:snapToGrid w:val="0"/>
          <w:kern w:val="22"/>
          <w:lang w:val="en-GB"/>
        </w:rPr>
        <w:t>ABS measures: Compliance with domestic legislation or regulatory requirements on ABS (Article 15 and 16) and monitoring the utilization of genetic resource</w:t>
      </w:r>
      <w:r w:rsidR="007473B5" w:rsidRPr="00DF02C5">
        <w:rPr>
          <w:rFonts w:eastAsia="Calibri"/>
          <w:snapToGrid w:val="0"/>
          <w:kern w:val="22"/>
          <w:lang w:val="en-GB"/>
        </w:rPr>
        <w:t>s</w:t>
      </w:r>
      <w:r w:rsidR="00E34691" w:rsidRPr="00DF02C5">
        <w:rPr>
          <w:rFonts w:eastAsia="Calibri"/>
          <w:snapToGrid w:val="0"/>
          <w:kern w:val="22"/>
          <w:lang w:val="en-GB"/>
        </w:rPr>
        <w:t xml:space="preserve"> (Article 17)</w:t>
      </w:r>
      <w:r w:rsidRPr="00DF02C5">
        <w:rPr>
          <w:rFonts w:eastAsia="Calibri"/>
          <w:snapToGrid w:val="0"/>
          <w:kern w:val="22"/>
          <w:lang w:val="en-GB"/>
        </w:rPr>
        <w:t xml:space="preserve"> (questions 24</w:t>
      </w:r>
      <w:r w:rsidR="008E69C4" w:rsidRPr="00DF02C5">
        <w:rPr>
          <w:rFonts w:eastAsia="Calibri"/>
          <w:snapToGrid w:val="0"/>
          <w:kern w:val="22"/>
          <w:lang w:val="en-GB"/>
        </w:rPr>
        <w:t xml:space="preserve"> to 30)</w:t>
      </w:r>
      <w:bookmarkEnd w:id="10"/>
    </w:p>
    <w:p w14:paraId="46B066F5" w14:textId="62A952D1" w:rsidR="00EA65E0" w:rsidRPr="008E0072" w:rsidRDefault="00E34691" w:rsidP="008E0072">
      <w:pPr>
        <w:pStyle w:val="Para1"/>
        <w:numPr>
          <w:ilvl w:val="1"/>
          <w:numId w:val="63"/>
        </w:numPr>
        <w:spacing w:before="240"/>
        <w:ind w:right="90" w:hanging="540"/>
        <w:jc w:val="left"/>
        <w:rPr>
          <w:rFonts w:eastAsia="Calibri" w:hAnsi="Times New Roman"/>
          <w:i/>
          <w:snapToGrid w:val="0"/>
          <w:color w:val="auto"/>
          <w:kern w:val="22"/>
          <w:bdr w:val="none" w:sz="0" w:space="0" w:color="auto"/>
          <w:lang w:val="en-GB"/>
        </w:rPr>
      </w:pPr>
      <w:r w:rsidRPr="008E0072">
        <w:rPr>
          <w:rFonts w:eastAsia="Calibri" w:hAnsi="Times New Roman"/>
          <w:i/>
          <w:snapToGrid w:val="0"/>
          <w:color w:val="auto"/>
          <w:kern w:val="22"/>
          <w:bdr w:val="none" w:sz="0" w:space="0" w:color="auto"/>
          <w:lang w:val="en-GB"/>
        </w:rPr>
        <w:t xml:space="preserve">Has your country taken appropriate, effective and proportionate legislative, administrative or policy measures to provide that genetic resources utilized within your jurisdiction have been accessed in accordance with PIC and </w:t>
      </w:r>
      <w:r w:rsidRPr="008E0072">
        <w:rPr>
          <w:rFonts w:eastAsia="Calibri" w:hAnsi="Times New Roman"/>
          <w:i/>
          <w:snapToGrid w:val="0"/>
          <w:kern w:val="22"/>
          <w:bdr w:val="none" w:sz="0" w:space="0" w:color="auto"/>
          <w:lang w:val="en-GB"/>
        </w:rPr>
        <w:t>that</w:t>
      </w:r>
      <w:r w:rsidRPr="008E0072">
        <w:rPr>
          <w:rFonts w:eastAsia="Calibri" w:hAnsi="Times New Roman"/>
          <w:i/>
          <w:snapToGrid w:val="0"/>
          <w:color w:val="auto"/>
          <w:kern w:val="22"/>
          <w:bdr w:val="none" w:sz="0" w:space="0" w:color="auto"/>
          <w:lang w:val="en-GB"/>
        </w:rPr>
        <w:t xml:space="preserve"> MAT have been established as required by the domestic ABS legislation or regulatory requirements of the other Party as provided in Article 15.1? </w:t>
      </w:r>
      <w:r w:rsidR="00EA65E0" w:rsidRPr="008E0072">
        <w:rPr>
          <w:rFonts w:eastAsia="Calibri" w:hAnsi="Times New Roman"/>
          <w:i/>
          <w:snapToGrid w:val="0"/>
          <w:color w:val="auto"/>
          <w:kern w:val="22"/>
          <w:bdr w:val="none" w:sz="0" w:space="0" w:color="auto"/>
          <w:lang w:val="en-GB"/>
        </w:rPr>
        <w:t xml:space="preserve">(question 24) </w:t>
      </w:r>
    </w:p>
    <w:p w14:paraId="0FDFC1B4" w14:textId="377302C6" w:rsidR="00F22263" w:rsidRPr="00DF02C5" w:rsidRDefault="00F22263" w:rsidP="00E73E0C">
      <w:pPr>
        <w:pStyle w:val="Para1"/>
        <w:numPr>
          <w:ilvl w:val="0"/>
          <w:numId w:val="1"/>
        </w:numPr>
        <w:rPr>
          <w:rFonts w:eastAsia="Calibri" w:hAnsi="Times New Roman"/>
          <w:snapToGrid w:val="0"/>
          <w:kern w:val="22"/>
          <w:bdr w:val="none" w:sz="0" w:space="0" w:color="auto"/>
          <w:lang w:val="en-GB"/>
        </w:rPr>
      </w:pPr>
      <w:proofErr w:type="gramStart"/>
      <w:r w:rsidRPr="00DF02C5">
        <w:rPr>
          <w:rFonts w:eastAsia="Calibri" w:hAnsi="Times New Roman"/>
          <w:snapToGrid w:val="0"/>
          <w:kern w:val="22"/>
          <w:bdr w:val="none" w:sz="0" w:space="0" w:color="auto"/>
          <w:lang w:val="en-GB"/>
        </w:rPr>
        <w:t>Thirty-six</w:t>
      </w:r>
      <w:proofErr w:type="gramEnd"/>
      <w:r w:rsidRPr="00DF02C5">
        <w:rPr>
          <w:rFonts w:eastAsia="Calibri" w:hAnsi="Times New Roman"/>
          <w:snapToGrid w:val="0"/>
          <w:kern w:val="22"/>
          <w:bdr w:val="none" w:sz="0" w:space="0" w:color="auto"/>
          <w:lang w:val="en-GB"/>
        </w:rPr>
        <w:t xml:space="preserve"> Parties and four non-Parties responded that they have taken legislative, administrative or policy measures </w:t>
      </w:r>
      <w:r w:rsidR="00B16BB1" w:rsidRPr="00DF02C5">
        <w:rPr>
          <w:rFonts w:eastAsia="Calibri" w:hAnsi="Times New Roman"/>
          <w:snapToGrid w:val="0"/>
          <w:kern w:val="22"/>
          <w:bdr w:val="none" w:sz="0" w:space="0" w:color="auto"/>
          <w:lang w:val="en-GB"/>
        </w:rPr>
        <w:t>to provide that genetic resources have been accessed in accordance with PIC and MAT</w:t>
      </w:r>
      <w:r w:rsidR="00E73E0C" w:rsidRPr="00DF02C5">
        <w:rPr>
          <w:rFonts w:eastAsia="Calibri" w:hAnsi="Times New Roman"/>
          <w:snapToGrid w:val="0"/>
          <w:kern w:val="22"/>
          <w:bdr w:val="none" w:sz="0" w:space="0" w:color="auto"/>
          <w:lang w:val="en-GB"/>
        </w:rPr>
        <w:t>, while thirty-three Parties and one non-Party reported not having taken such measures.</w:t>
      </w:r>
    </w:p>
    <w:p w14:paraId="02B1345E" w14:textId="546AA942" w:rsidR="001734E8" w:rsidRPr="00DF02C5" w:rsidRDefault="007D5F65" w:rsidP="00E5256F">
      <w:pPr>
        <w:pStyle w:val="Caption"/>
        <w:keepNext/>
        <w:keepLines/>
        <w:rPr>
          <w:snapToGrid w:val="0"/>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00E5256F" w:rsidRPr="00DF02C5">
        <w:rPr>
          <w:noProof/>
          <w:lang w:val="en-GB"/>
        </w:rPr>
        <w:t>16</w:t>
      </w:r>
      <w:r w:rsidRPr="00DF02C5">
        <w:rPr>
          <w:lang w:val="en-GB"/>
        </w:rPr>
        <w:fldChar w:fldCharType="end"/>
      </w:r>
      <w:r w:rsidR="00E73E0C" w:rsidRPr="00DF02C5">
        <w:rPr>
          <w:snapToGrid w:val="0"/>
          <w:bdr w:val="none" w:sz="0" w:space="0" w:color="auto"/>
          <w:lang w:val="en-GB"/>
        </w:rPr>
        <w:t>: Measures to implement Article 15.1 of the Protocol (percentage of countries)</w:t>
      </w:r>
    </w:p>
    <w:p w14:paraId="523E2624" w14:textId="6332AD3F" w:rsidR="00E73E0C" w:rsidRPr="00DF02C5" w:rsidRDefault="00E73E0C" w:rsidP="00E73E0C">
      <w:pPr>
        <w:pStyle w:val="Para1"/>
        <w:jc w:val="center"/>
        <w:rPr>
          <w:rFonts w:eastAsia="Calibri" w:hAnsi="Times New Roman"/>
          <w:snapToGrid w:val="0"/>
          <w:kern w:val="22"/>
          <w:bdr w:val="none" w:sz="0" w:space="0" w:color="auto"/>
          <w:lang w:val="en-GB"/>
        </w:rPr>
      </w:pPr>
      <w:r w:rsidRPr="00DF02C5">
        <w:rPr>
          <w:noProof/>
          <w:color w:val="auto"/>
        </w:rPr>
        <w:drawing>
          <wp:inline distT="0" distB="0" distL="0" distR="0" wp14:anchorId="775A7D87" wp14:editId="236B9E9A">
            <wp:extent cx="3362325" cy="2000250"/>
            <wp:effectExtent l="0" t="0" r="9525"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643F331" w14:textId="3C2E61C2" w:rsidR="00E73E0C" w:rsidRPr="00DF02C5" w:rsidRDefault="00E73E0C" w:rsidP="00E73E0C">
      <w:pPr>
        <w:spacing w:before="120" w:after="120"/>
        <w:rPr>
          <w:rFonts w:eastAsia="Calibri" w:hAnsi="Times New Roman" w:cs="Times New Roman"/>
          <w:i/>
          <w:snapToGrid w:val="0"/>
          <w:kern w:val="22"/>
          <w:bdr w:val="none" w:sz="0" w:space="0" w:color="auto"/>
          <w:lang w:val="en-GB"/>
        </w:rPr>
      </w:pPr>
      <w:r w:rsidRPr="00DF02C5">
        <w:rPr>
          <w:rFonts w:eastAsia="Calibri" w:hAnsi="Times New Roman" w:cs="Times New Roman"/>
          <w:i/>
          <w:snapToGrid w:val="0"/>
          <w:kern w:val="22"/>
          <w:bdr w:val="none" w:sz="0" w:space="0" w:color="auto"/>
          <w:lang w:val="en-GB"/>
        </w:rPr>
        <w:t>(a)</w:t>
      </w:r>
      <w:r w:rsidRPr="00DF02C5">
        <w:rPr>
          <w:rFonts w:eastAsia="Calibri" w:hAnsi="Times New Roman" w:cs="Times New Roman"/>
          <w:i/>
          <w:snapToGrid w:val="0"/>
          <w:kern w:val="22"/>
          <w:bdr w:val="none" w:sz="0" w:space="0" w:color="auto"/>
          <w:lang w:val="en-GB"/>
        </w:rPr>
        <w:tab/>
        <w:t>Countries that answered “yes”</w:t>
      </w:r>
    </w:p>
    <w:p w14:paraId="265784D2" w14:textId="46D93F61" w:rsidR="008E69C4" w:rsidRPr="00DF02C5" w:rsidRDefault="00E73E0C" w:rsidP="00E73E0C">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M</w:t>
      </w:r>
      <w:r w:rsidR="00EA65E0" w:rsidRPr="00DF02C5">
        <w:rPr>
          <w:rFonts w:eastAsia="Calibri" w:hAnsi="Times New Roman"/>
          <w:snapToGrid w:val="0"/>
          <w:color w:val="auto"/>
          <w:kern w:val="22"/>
          <w:bdr w:val="none" w:sz="0" w:space="0" w:color="auto"/>
          <w:lang w:val="en-GB"/>
        </w:rPr>
        <w:t xml:space="preserve">any countries that answered positively to this question did not provide </w:t>
      </w:r>
      <w:r w:rsidRPr="00DF02C5">
        <w:rPr>
          <w:rFonts w:eastAsia="Calibri" w:hAnsi="Times New Roman"/>
          <w:snapToGrid w:val="0"/>
          <w:color w:val="auto"/>
          <w:kern w:val="22"/>
          <w:bdr w:val="none" w:sz="0" w:space="0" w:color="auto"/>
          <w:lang w:val="en-GB"/>
        </w:rPr>
        <w:t xml:space="preserve">additional </w:t>
      </w:r>
      <w:r w:rsidR="00F01083" w:rsidRPr="00DF02C5">
        <w:rPr>
          <w:rFonts w:eastAsia="Calibri" w:hAnsi="Times New Roman"/>
          <w:snapToGrid w:val="0"/>
          <w:color w:val="auto"/>
          <w:kern w:val="22"/>
          <w:bdr w:val="none" w:sz="0" w:space="0" w:color="auto"/>
          <w:lang w:val="en-GB"/>
        </w:rPr>
        <w:t>information.  F</w:t>
      </w:r>
      <w:r w:rsidR="00EA65E0" w:rsidRPr="00DF02C5">
        <w:rPr>
          <w:rFonts w:eastAsia="Calibri" w:hAnsi="Times New Roman"/>
          <w:snapToGrid w:val="0"/>
          <w:color w:val="auto"/>
          <w:kern w:val="22"/>
          <w:bdr w:val="none" w:sz="0" w:space="0" w:color="auto"/>
          <w:lang w:val="en-GB"/>
        </w:rPr>
        <w:t xml:space="preserve">ew countries </w:t>
      </w:r>
      <w:proofErr w:type="gramStart"/>
      <w:r w:rsidR="00EA65E0" w:rsidRPr="00DF02C5">
        <w:rPr>
          <w:rFonts w:eastAsia="Calibri" w:hAnsi="Times New Roman"/>
          <w:snapToGrid w:val="0"/>
          <w:color w:val="auto"/>
          <w:kern w:val="22"/>
          <w:bdr w:val="none" w:sz="0" w:space="0" w:color="auto"/>
          <w:lang w:val="en-GB"/>
        </w:rPr>
        <w:t>made reference</w:t>
      </w:r>
      <w:proofErr w:type="gramEnd"/>
      <w:r w:rsidR="00EA65E0" w:rsidRPr="00DF02C5">
        <w:rPr>
          <w:rFonts w:eastAsia="Calibri" w:hAnsi="Times New Roman"/>
          <w:snapToGrid w:val="0"/>
          <w:color w:val="auto"/>
          <w:kern w:val="22"/>
          <w:bdr w:val="none" w:sz="0" w:space="0" w:color="auto"/>
          <w:lang w:val="en-GB"/>
        </w:rPr>
        <w:t xml:space="preserve"> to relevant existing measures</w:t>
      </w:r>
      <w:r w:rsidR="008E0072">
        <w:rPr>
          <w:rFonts w:eastAsia="Calibri" w:hAnsi="Times New Roman"/>
          <w:snapToGrid w:val="0"/>
          <w:color w:val="auto"/>
          <w:kern w:val="22"/>
          <w:bdr w:val="none" w:sz="0" w:space="0" w:color="auto"/>
          <w:lang w:val="en-GB"/>
        </w:rPr>
        <w:t>,</w:t>
      </w:r>
      <w:r w:rsidR="00020046" w:rsidRPr="00DF02C5">
        <w:rPr>
          <w:rStyle w:val="FootnoteReference"/>
          <w:rFonts w:eastAsia="Calibri" w:hAnsi="Times New Roman"/>
          <w:snapToGrid w:val="0"/>
          <w:color w:val="auto"/>
          <w:kern w:val="22"/>
          <w:bdr w:val="none" w:sz="0" w:space="0" w:color="auto"/>
          <w:lang w:val="en-GB"/>
        </w:rPr>
        <w:footnoteReference w:id="172"/>
      </w:r>
      <w:r w:rsidR="00EA65E0" w:rsidRPr="00DF02C5">
        <w:rPr>
          <w:rFonts w:eastAsia="Calibri" w:hAnsi="Times New Roman"/>
          <w:snapToGrid w:val="0"/>
          <w:color w:val="auto"/>
          <w:kern w:val="22"/>
          <w:bdr w:val="none" w:sz="0" w:space="0" w:color="auto"/>
          <w:lang w:val="en-GB"/>
        </w:rPr>
        <w:t xml:space="preserve"> or draft measures or processes underway</w:t>
      </w:r>
      <w:r w:rsidR="008E0072">
        <w:rPr>
          <w:rFonts w:eastAsia="Calibri" w:hAnsi="Times New Roman"/>
          <w:snapToGrid w:val="0"/>
          <w:color w:val="auto"/>
          <w:kern w:val="22"/>
          <w:bdr w:val="none" w:sz="0" w:space="0" w:color="auto"/>
          <w:lang w:val="en-GB"/>
        </w:rPr>
        <w:t>.</w:t>
      </w:r>
      <w:r w:rsidR="00EA65E0" w:rsidRPr="00DF02C5">
        <w:rPr>
          <w:rStyle w:val="FootnoteReference"/>
          <w:rFonts w:eastAsia="Calibri" w:hAnsi="Times New Roman"/>
          <w:snapToGrid w:val="0"/>
          <w:color w:val="auto"/>
          <w:kern w:val="22"/>
          <w:bdr w:val="none" w:sz="0" w:space="0" w:color="auto"/>
          <w:lang w:val="en-GB"/>
        </w:rPr>
        <w:footnoteReference w:id="173"/>
      </w:r>
      <w:r w:rsidR="00EA65E0" w:rsidRPr="00DF02C5">
        <w:rPr>
          <w:rFonts w:eastAsia="Calibri" w:hAnsi="Times New Roman"/>
          <w:snapToGrid w:val="0"/>
          <w:color w:val="auto"/>
          <w:kern w:val="22"/>
          <w:bdr w:val="none" w:sz="0" w:space="0" w:color="auto"/>
          <w:lang w:val="en-GB"/>
        </w:rPr>
        <w:t xml:space="preserve">  One country indicated havin</w:t>
      </w:r>
      <w:r w:rsidR="008E0072">
        <w:rPr>
          <w:rFonts w:eastAsia="Calibri" w:hAnsi="Times New Roman"/>
          <w:snapToGrid w:val="0"/>
          <w:color w:val="auto"/>
          <w:kern w:val="22"/>
          <w:bdr w:val="none" w:sz="0" w:space="0" w:color="auto"/>
          <w:lang w:val="en-GB"/>
        </w:rPr>
        <w:t>g relevant measures but recogniz</w:t>
      </w:r>
      <w:r w:rsidR="00EA65E0" w:rsidRPr="00DF02C5">
        <w:rPr>
          <w:rFonts w:eastAsia="Calibri" w:hAnsi="Times New Roman"/>
          <w:snapToGrid w:val="0"/>
          <w:color w:val="auto"/>
          <w:kern w:val="22"/>
          <w:bdr w:val="none" w:sz="0" w:space="0" w:color="auto"/>
          <w:lang w:val="en-GB"/>
        </w:rPr>
        <w:t xml:space="preserve">ed that new measures were needed to address </w:t>
      </w:r>
      <w:r w:rsidR="00EA65E0" w:rsidRPr="00DF02C5">
        <w:rPr>
          <w:rFonts w:eastAsia="Calibri" w:hAnsi="Times New Roman"/>
          <w:snapToGrid w:val="0"/>
          <w:color w:val="auto"/>
          <w:kern w:val="22"/>
          <w:bdr w:val="none" w:sz="0" w:space="0" w:color="auto"/>
          <w:lang w:val="en-GB"/>
        </w:rPr>
        <w:lastRenderedPageBreak/>
        <w:t>the obligations under Article 15.1</w:t>
      </w:r>
      <w:r w:rsidR="008E69C4" w:rsidRPr="00DF02C5">
        <w:rPr>
          <w:rFonts w:eastAsia="Calibri" w:hAnsi="Times New Roman"/>
          <w:snapToGrid w:val="0"/>
          <w:color w:val="auto"/>
          <w:kern w:val="22"/>
          <w:bdr w:val="none" w:sz="0" w:space="0" w:color="auto"/>
          <w:lang w:val="en-GB"/>
        </w:rPr>
        <w:t xml:space="preserve"> of the Protocol</w:t>
      </w:r>
      <w:r w:rsidR="00EA65E0" w:rsidRPr="00DF02C5">
        <w:rPr>
          <w:rFonts w:eastAsia="Calibri" w:hAnsi="Times New Roman"/>
          <w:snapToGrid w:val="0"/>
          <w:color w:val="auto"/>
          <w:kern w:val="22"/>
          <w:bdr w:val="none" w:sz="0" w:space="0" w:color="auto"/>
          <w:lang w:val="en-GB"/>
        </w:rPr>
        <w:t>.</w:t>
      </w:r>
      <w:r w:rsidR="00020046" w:rsidRPr="00DF02C5">
        <w:rPr>
          <w:rStyle w:val="FootnoteReference"/>
          <w:rFonts w:eastAsia="Calibri" w:hAnsi="Times New Roman"/>
          <w:snapToGrid w:val="0"/>
          <w:color w:val="auto"/>
          <w:kern w:val="22"/>
          <w:bdr w:val="none" w:sz="0" w:space="0" w:color="auto"/>
          <w:lang w:val="en-GB"/>
        </w:rPr>
        <w:footnoteReference w:id="174"/>
      </w:r>
      <w:r w:rsidR="00EA65E0" w:rsidRPr="00DF02C5">
        <w:rPr>
          <w:rFonts w:eastAsia="Calibri" w:hAnsi="Times New Roman"/>
          <w:snapToGrid w:val="0"/>
          <w:color w:val="auto"/>
          <w:kern w:val="22"/>
          <w:bdr w:val="none" w:sz="0" w:space="0" w:color="auto"/>
          <w:lang w:val="en-GB"/>
        </w:rPr>
        <w:t xml:space="preserve">  Several countries </w:t>
      </w:r>
      <w:r w:rsidRPr="00DF02C5">
        <w:rPr>
          <w:rFonts w:eastAsia="Calibri" w:hAnsi="Times New Roman"/>
          <w:snapToGrid w:val="0"/>
          <w:color w:val="auto"/>
          <w:kern w:val="22"/>
          <w:bdr w:val="none" w:sz="0" w:space="0" w:color="auto"/>
          <w:lang w:val="en-GB"/>
        </w:rPr>
        <w:t xml:space="preserve">indicated </w:t>
      </w:r>
      <w:r w:rsidR="00EA65E0" w:rsidRPr="00DF02C5">
        <w:rPr>
          <w:rFonts w:eastAsia="Calibri" w:hAnsi="Times New Roman"/>
          <w:snapToGrid w:val="0"/>
          <w:color w:val="auto"/>
          <w:kern w:val="22"/>
          <w:bdr w:val="none" w:sz="0" w:space="0" w:color="auto"/>
          <w:lang w:val="en-GB"/>
        </w:rPr>
        <w:t>that they were not aware of any case</w:t>
      </w:r>
      <w:r w:rsidR="008E69C4" w:rsidRPr="00DF02C5">
        <w:rPr>
          <w:rFonts w:eastAsia="Calibri" w:hAnsi="Times New Roman"/>
          <w:snapToGrid w:val="0"/>
          <w:color w:val="auto"/>
          <w:kern w:val="22"/>
          <w:bdr w:val="none" w:sz="0" w:space="0" w:color="auto"/>
          <w:lang w:val="en-GB"/>
        </w:rPr>
        <w:t>s</w:t>
      </w:r>
      <w:r w:rsidR="00EA65E0" w:rsidRPr="00DF02C5">
        <w:rPr>
          <w:rFonts w:eastAsia="Calibri" w:hAnsi="Times New Roman"/>
          <w:snapToGrid w:val="0"/>
          <w:color w:val="auto"/>
          <w:kern w:val="22"/>
          <w:bdr w:val="none" w:sz="0" w:space="0" w:color="auto"/>
          <w:lang w:val="en-GB"/>
        </w:rPr>
        <w:t xml:space="preserve"> of non-compliance so far.</w:t>
      </w:r>
      <w:r w:rsidR="00020046" w:rsidRPr="00DF02C5">
        <w:rPr>
          <w:rStyle w:val="FootnoteReference"/>
          <w:rFonts w:eastAsia="Calibri" w:hAnsi="Times New Roman"/>
          <w:snapToGrid w:val="0"/>
          <w:color w:val="auto"/>
          <w:kern w:val="22"/>
          <w:bdr w:val="none" w:sz="0" w:space="0" w:color="auto"/>
          <w:lang w:val="en-GB"/>
        </w:rPr>
        <w:footnoteReference w:id="175"/>
      </w:r>
      <w:r w:rsidR="00EA65E0" w:rsidRPr="00DF02C5">
        <w:rPr>
          <w:rFonts w:eastAsia="Calibri" w:hAnsi="Times New Roman"/>
          <w:snapToGrid w:val="0"/>
          <w:color w:val="auto"/>
          <w:kern w:val="22"/>
          <w:bdr w:val="none" w:sz="0" w:space="0" w:color="auto"/>
          <w:lang w:val="en-GB"/>
        </w:rPr>
        <w:t xml:space="preserve">   </w:t>
      </w:r>
    </w:p>
    <w:p w14:paraId="7F506520" w14:textId="357340CA" w:rsidR="00EA65E0" w:rsidRPr="00DF02C5" w:rsidRDefault="00EA65E0" w:rsidP="00393914">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The European Union indicated that in the EU</w:t>
      </w:r>
      <w:r w:rsidR="00E73E0C" w:rsidRPr="00DF02C5">
        <w:rPr>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 xml:space="preserve">legal measures concerning compliance are taken at </w:t>
      </w:r>
      <w:r w:rsidR="00020046" w:rsidRPr="00DF02C5">
        <w:rPr>
          <w:rFonts w:eastAsia="Calibri" w:hAnsi="Times New Roman"/>
          <w:snapToGrid w:val="0"/>
          <w:color w:val="auto"/>
          <w:kern w:val="22"/>
          <w:bdr w:val="none" w:sz="0" w:space="0" w:color="auto"/>
          <w:lang w:val="en-GB"/>
        </w:rPr>
        <w:t xml:space="preserve">the </w:t>
      </w:r>
      <w:r w:rsidRPr="00DF02C5">
        <w:rPr>
          <w:rFonts w:eastAsia="Calibri" w:hAnsi="Times New Roman"/>
          <w:snapToGrid w:val="0"/>
          <w:color w:val="auto"/>
          <w:kern w:val="22"/>
          <w:bdr w:val="none" w:sz="0" w:space="0" w:color="auto"/>
          <w:lang w:val="en-GB"/>
        </w:rPr>
        <w:t>EU level</w:t>
      </w:r>
      <w:r w:rsidR="00020046" w:rsidRPr="00DF02C5">
        <w:rPr>
          <w:rFonts w:eastAsia="Calibri" w:hAnsi="Times New Roman"/>
          <w:snapToGrid w:val="0"/>
          <w:color w:val="auto"/>
          <w:kern w:val="22"/>
          <w:bdr w:val="none" w:sz="0" w:space="0" w:color="auto"/>
          <w:lang w:val="en-GB"/>
        </w:rPr>
        <w:t xml:space="preserve"> and</w:t>
      </w:r>
      <w:r w:rsidRPr="00DF02C5">
        <w:rPr>
          <w:rFonts w:eastAsia="Calibri" w:hAnsi="Times New Roman"/>
          <w:snapToGrid w:val="0"/>
          <w:color w:val="auto"/>
          <w:kern w:val="22"/>
          <w:bdr w:val="none" w:sz="0" w:space="0" w:color="auto"/>
          <w:lang w:val="en-GB"/>
        </w:rPr>
        <w:t xml:space="preserve"> Member States are responsible for the i</w:t>
      </w:r>
      <w:r w:rsidR="008E69C4" w:rsidRPr="00DF02C5">
        <w:rPr>
          <w:rFonts w:eastAsia="Calibri" w:hAnsi="Times New Roman"/>
          <w:snapToGrid w:val="0"/>
          <w:color w:val="auto"/>
          <w:kern w:val="22"/>
          <w:bdr w:val="none" w:sz="0" w:space="0" w:color="auto"/>
          <w:lang w:val="en-GB"/>
        </w:rPr>
        <w:t>mplementation of these measures</w:t>
      </w:r>
      <w:r w:rsidRPr="00DF02C5">
        <w:rPr>
          <w:rFonts w:eastAsia="Calibri" w:hAnsi="Times New Roman"/>
          <w:snapToGrid w:val="0"/>
          <w:color w:val="auto"/>
          <w:kern w:val="22"/>
          <w:bdr w:val="none" w:sz="0" w:space="0" w:color="auto"/>
          <w:lang w:val="en-GB"/>
        </w:rPr>
        <w:t>.</w:t>
      </w:r>
    </w:p>
    <w:p w14:paraId="44085771" w14:textId="5A967918" w:rsidR="00E73E0C" w:rsidRPr="00DF02C5" w:rsidRDefault="00E73E0C" w:rsidP="00E73E0C">
      <w:pPr>
        <w:pStyle w:val="Para1"/>
        <w:rPr>
          <w:rFonts w:eastAsia="Calibri" w:hAnsi="Times New Roman"/>
          <w:i/>
          <w:snapToGrid w:val="0"/>
          <w:kern w:val="22"/>
          <w:bdr w:val="none" w:sz="0" w:space="0" w:color="auto"/>
          <w:lang w:val="en-GB"/>
        </w:rPr>
      </w:pPr>
      <w:r w:rsidRPr="00DF02C5">
        <w:rPr>
          <w:rFonts w:eastAsia="Calibri" w:hAnsi="Times New Roman"/>
          <w:i/>
          <w:snapToGrid w:val="0"/>
          <w:kern w:val="22"/>
          <w:bdr w:val="none" w:sz="0" w:space="0" w:color="auto"/>
          <w:lang w:val="en-GB"/>
        </w:rPr>
        <w:t>(b)</w:t>
      </w:r>
      <w:r w:rsidRPr="00DF02C5">
        <w:rPr>
          <w:rFonts w:eastAsia="Calibri" w:hAnsi="Times New Roman"/>
          <w:i/>
          <w:snapToGrid w:val="0"/>
          <w:kern w:val="22"/>
          <w:bdr w:val="none" w:sz="0" w:space="0" w:color="auto"/>
          <w:lang w:val="en-GB"/>
        </w:rPr>
        <w:tab/>
        <w:t>Countries that answered “no”</w:t>
      </w:r>
    </w:p>
    <w:p w14:paraId="7B7D2898" w14:textId="1B51F396" w:rsidR="00E73E0C" w:rsidRPr="00DF02C5" w:rsidRDefault="00E73E0C" w:rsidP="00E73E0C">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 xml:space="preserve">Many </w:t>
      </w:r>
      <w:r w:rsidRPr="00DF02C5">
        <w:rPr>
          <w:rFonts w:eastAsia="Calibri" w:hAnsi="Times New Roman"/>
          <w:snapToGrid w:val="0"/>
          <w:color w:val="auto"/>
          <w:kern w:val="22"/>
          <w:bdr w:val="none" w:sz="0" w:space="0" w:color="auto"/>
          <w:lang w:val="en-GB"/>
        </w:rPr>
        <w:t>countries indicated that they are planning to address this issue.</w:t>
      </w:r>
      <w:r w:rsidRPr="00DF02C5">
        <w:rPr>
          <w:rStyle w:val="FootnoteReference"/>
          <w:rFonts w:eastAsia="Calibri" w:hAnsi="Times New Roman"/>
          <w:snapToGrid w:val="0"/>
          <w:color w:val="auto"/>
          <w:kern w:val="22"/>
          <w:bdr w:val="none" w:sz="0" w:space="0" w:color="auto"/>
          <w:lang w:val="en-GB"/>
        </w:rPr>
        <w:footnoteReference w:id="176"/>
      </w:r>
      <w:r w:rsidRPr="00DF02C5">
        <w:rPr>
          <w:rFonts w:eastAsia="Calibri" w:hAnsi="Times New Roman"/>
          <w:snapToGrid w:val="0"/>
          <w:color w:val="auto"/>
          <w:kern w:val="22"/>
          <w:bdr w:val="none" w:sz="0" w:space="0" w:color="auto"/>
          <w:lang w:val="en-GB"/>
        </w:rPr>
        <w:t xml:space="preserve"> Some countries also provided information on relevant activities and/or other measures taken. For example: </w:t>
      </w:r>
    </w:p>
    <w:p w14:paraId="0B8B575E" w14:textId="73C6D846" w:rsidR="00E73E0C" w:rsidRPr="00DF02C5" w:rsidRDefault="00E73E0C" w:rsidP="008E0072">
      <w:pPr>
        <w:pStyle w:val="Para1"/>
        <w:numPr>
          <w:ilvl w:val="1"/>
          <w:numId w:val="62"/>
        </w:numPr>
        <w:spacing w:line="228" w:lineRule="auto"/>
        <w:ind w:firstLine="709"/>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Cuba reported having established a requirement to disclose the origin of the genetic resource when asking for a pat</w:t>
      </w:r>
      <w:r w:rsidR="008E0072">
        <w:rPr>
          <w:rFonts w:eastAsia="Calibri" w:hAnsi="Times New Roman"/>
          <w:snapToGrid w:val="0"/>
          <w:kern w:val="22"/>
          <w:bdr w:val="none" w:sz="0" w:space="0" w:color="auto"/>
          <w:lang w:val="en-GB"/>
        </w:rPr>
        <w:t>ent based on a genetic resource;</w:t>
      </w:r>
    </w:p>
    <w:p w14:paraId="7BA36645" w14:textId="1DD97355" w:rsidR="00E73E0C" w:rsidRPr="00DF02C5" w:rsidRDefault="00E73E0C" w:rsidP="008E0072">
      <w:pPr>
        <w:pStyle w:val="Para1"/>
        <w:numPr>
          <w:ilvl w:val="1"/>
          <w:numId w:val="62"/>
        </w:numPr>
        <w:spacing w:line="228" w:lineRule="auto"/>
        <w:ind w:firstLine="709"/>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 xml:space="preserve"> Mexico indicated that they are raising awareness of national users regarding the need to comply with other countries’ ABS requirements, if they use genetic</w:t>
      </w:r>
      <w:r w:rsidR="008E0072">
        <w:rPr>
          <w:rFonts w:eastAsia="Calibri" w:hAnsi="Times New Roman"/>
          <w:snapToGrid w:val="0"/>
          <w:kern w:val="22"/>
          <w:bdr w:val="none" w:sz="0" w:space="0" w:color="auto"/>
          <w:lang w:val="en-GB"/>
        </w:rPr>
        <w:t xml:space="preserve"> resources from those countries;</w:t>
      </w:r>
      <w:r w:rsidRPr="00DF02C5">
        <w:rPr>
          <w:rFonts w:eastAsia="Calibri" w:hAnsi="Times New Roman"/>
          <w:snapToGrid w:val="0"/>
          <w:kern w:val="22"/>
          <w:bdr w:val="none" w:sz="0" w:space="0" w:color="auto"/>
          <w:lang w:val="en-GB"/>
        </w:rPr>
        <w:t xml:space="preserve"> </w:t>
      </w:r>
    </w:p>
    <w:p w14:paraId="46975CF4" w14:textId="4870F3CD" w:rsidR="00E73E0C" w:rsidRPr="00DF02C5" w:rsidRDefault="00E73E0C" w:rsidP="008E0072">
      <w:pPr>
        <w:pStyle w:val="Para1"/>
        <w:numPr>
          <w:ilvl w:val="1"/>
          <w:numId w:val="62"/>
        </w:numPr>
        <w:spacing w:line="228" w:lineRule="auto"/>
        <w:ind w:firstLine="709"/>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South Africa explained that if the issuing authority comes across a situation where a South African b</w:t>
      </w:r>
      <w:r w:rsidR="00B54C38">
        <w:rPr>
          <w:rFonts w:eastAsia="Calibri" w:hAnsi="Times New Roman"/>
          <w:snapToGrid w:val="0"/>
          <w:kern w:val="22"/>
          <w:bdr w:val="none" w:sz="0" w:space="0" w:color="auto"/>
          <w:lang w:val="en-GB"/>
        </w:rPr>
        <w:t>ased institution wants to utiliz</w:t>
      </w:r>
      <w:r w:rsidRPr="00DF02C5">
        <w:rPr>
          <w:rFonts w:eastAsia="Calibri" w:hAnsi="Times New Roman"/>
          <w:snapToGrid w:val="0"/>
          <w:kern w:val="22"/>
          <w:bdr w:val="none" w:sz="0" w:space="0" w:color="auto"/>
          <w:lang w:val="en-GB"/>
        </w:rPr>
        <w:t>e genetic resources accessed from other countries within South African jurisdiction, they request for documentation to confirm compliance with the provider country’s regulatory requirements. Further, the ABS NFP of the provider country is notified by the South African NFP.</w:t>
      </w:r>
    </w:p>
    <w:p w14:paraId="72010C41" w14:textId="1013B0A1" w:rsidR="00A2498F" w:rsidRPr="008E0072" w:rsidRDefault="00F01083" w:rsidP="008E0072">
      <w:pPr>
        <w:pStyle w:val="Para1"/>
        <w:numPr>
          <w:ilvl w:val="1"/>
          <w:numId w:val="63"/>
        </w:numPr>
        <w:spacing w:before="240"/>
        <w:ind w:right="360" w:hanging="540"/>
        <w:jc w:val="left"/>
        <w:rPr>
          <w:rFonts w:eastAsia="Calibri" w:hAnsi="Times New Roman"/>
          <w:i/>
          <w:snapToGrid w:val="0"/>
          <w:color w:val="auto"/>
          <w:kern w:val="22"/>
          <w:bdr w:val="none" w:sz="0" w:space="0" w:color="auto"/>
          <w:lang w:val="en-GB"/>
        </w:rPr>
      </w:pPr>
      <w:r w:rsidRPr="008E0072">
        <w:rPr>
          <w:rFonts w:eastAsia="Calibri" w:hAnsi="Times New Roman"/>
          <w:i/>
          <w:snapToGrid w:val="0"/>
          <w:color w:val="auto"/>
          <w:kern w:val="22"/>
          <w:bdr w:val="none" w:sz="0" w:space="0" w:color="auto"/>
          <w:lang w:val="en-GB"/>
        </w:rPr>
        <w:t>Indicate whether your country has taken measur</w:t>
      </w:r>
      <w:r w:rsidR="008E0072">
        <w:rPr>
          <w:rFonts w:eastAsia="Calibri" w:hAnsi="Times New Roman"/>
          <w:i/>
          <w:snapToGrid w:val="0"/>
          <w:color w:val="auto"/>
          <w:kern w:val="22"/>
          <w:bdr w:val="none" w:sz="0" w:space="0" w:color="auto"/>
          <w:lang w:val="en-GB"/>
        </w:rPr>
        <w:t>es to address situations of non</w:t>
      </w:r>
      <w:r w:rsidR="008E0072">
        <w:rPr>
          <w:rFonts w:eastAsia="Calibri" w:hAnsi="Times New Roman"/>
          <w:i/>
          <w:snapToGrid w:val="0"/>
          <w:color w:val="auto"/>
          <w:kern w:val="22"/>
          <w:bdr w:val="none" w:sz="0" w:space="0" w:color="auto"/>
          <w:lang w:val="en-GB"/>
        </w:rPr>
        <w:noBreakHyphen/>
      </w:r>
      <w:r w:rsidRPr="008E0072">
        <w:rPr>
          <w:rFonts w:eastAsia="Calibri" w:hAnsi="Times New Roman"/>
          <w:i/>
          <w:snapToGrid w:val="0"/>
          <w:color w:val="auto"/>
          <w:kern w:val="22"/>
          <w:bdr w:val="none" w:sz="0" w:space="0" w:color="auto"/>
          <w:lang w:val="en-GB"/>
        </w:rPr>
        <w:t>compliance with those measures as provided in Article 15.2</w:t>
      </w:r>
      <w:r w:rsidR="00756B08" w:rsidRPr="008E0072">
        <w:rPr>
          <w:rFonts w:eastAsia="Calibri" w:hAnsi="Times New Roman"/>
          <w:i/>
          <w:snapToGrid w:val="0"/>
          <w:color w:val="auto"/>
          <w:kern w:val="22"/>
          <w:bdr w:val="none" w:sz="0" w:space="0" w:color="auto"/>
          <w:lang w:val="en-GB"/>
        </w:rPr>
        <w:t xml:space="preserve"> (question 24)</w:t>
      </w:r>
    </w:p>
    <w:p w14:paraId="75E3248E" w14:textId="688AD77D" w:rsidR="00F01083" w:rsidRPr="00DF02C5" w:rsidRDefault="00F01083" w:rsidP="00A2498F">
      <w:pPr>
        <w:pStyle w:val="Para1"/>
        <w:numPr>
          <w:ilvl w:val="0"/>
          <w:numId w:val="1"/>
        </w:numPr>
        <w:rPr>
          <w:rFonts w:eastAsia="Calibri" w:hAnsi="Times New Roman"/>
          <w:snapToGrid w:val="0"/>
          <w:kern w:val="22"/>
          <w:bdr w:val="none" w:sz="0" w:space="0" w:color="auto"/>
          <w:lang w:val="en-GB"/>
        </w:rPr>
      </w:pPr>
      <w:proofErr w:type="gramStart"/>
      <w:r w:rsidRPr="00DF02C5">
        <w:rPr>
          <w:rFonts w:eastAsia="Calibri" w:hAnsi="Times New Roman"/>
          <w:snapToGrid w:val="0"/>
          <w:kern w:val="22"/>
          <w:bdr w:val="none" w:sz="0" w:space="0" w:color="auto"/>
          <w:lang w:val="en-GB"/>
        </w:rPr>
        <w:t>Thirty-six</w:t>
      </w:r>
      <w:proofErr w:type="gramEnd"/>
      <w:r w:rsidRPr="00DF02C5">
        <w:rPr>
          <w:rFonts w:eastAsia="Calibri" w:hAnsi="Times New Roman"/>
          <w:snapToGrid w:val="0"/>
          <w:kern w:val="22"/>
          <w:bdr w:val="none" w:sz="0" w:space="0" w:color="auto"/>
          <w:lang w:val="en-GB"/>
        </w:rPr>
        <w:t xml:space="preserve"> Parties and four non-Parties responded that that they have taken legislative, administrative or policy measures to provide that genetic resources have been accessed in accordance with PIC and MAT</w:t>
      </w:r>
      <w:r w:rsidR="00B70954">
        <w:rPr>
          <w:rFonts w:eastAsia="Calibri" w:hAnsi="Times New Roman"/>
          <w:snapToGrid w:val="0"/>
          <w:kern w:val="22"/>
          <w:bdr w:val="none" w:sz="0" w:space="0" w:color="auto"/>
          <w:lang w:val="en-GB"/>
        </w:rPr>
        <w:t xml:space="preserve"> as indicated above</w:t>
      </w:r>
      <w:r w:rsidRPr="00DF02C5">
        <w:rPr>
          <w:rFonts w:eastAsia="Calibri" w:hAnsi="Times New Roman"/>
          <w:snapToGrid w:val="0"/>
          <w:kern w:val="22"/>
          <w:bdr w:val="none" w:sz="0" w:space="0" w:color="auto"/>
          <w:lang w:val="en-GB"/>
        </w:rPr>
        <w:t xml:space="preserve">. </w:t>
      </w:r>
      <w:r w:rsidR="00002596" w:rsidRPr="00DF02C5">
        <w:rPr>
          <w:rFonts w:eastAsia="Calibri" w:hAnsi="Times New Roman"/>
          <w:snapToGrid w:val="0"/>
          <w:kern w:val="22"/>
          <w:bdr w:val="none" w:sz="0" w:space="0" w:color="auto"/>
          <w:lang w:val="en-GB"/>
        </w:rPr>
        <w:t>Of those countries, twenty-nine Parties and four non-Parties reported having taken measures to addre</w:t>
      </w:r>
      <w:r w:rsidRPr="00DF02C5">
        <w:rPr>
          <w:rFonts w:eastAsia="Calibri" w:hAnsi="Times New Roman"/>
          <w:snapToGrid w:val="0"/>
          <w:kern w:val="22"/>
          <w:bdr w:val="none" w:sz="0" w:space="0" w:color="auto"/>
          <w:lang w:val="en-GB"/>
        </w:rPr>
        <w:t>ss situations of non-compliance, while 7 Parties indicated not having taken such measures.</w:t>
      </w:r>
    </w:p>
    <w:p w14:paraId="6F986432" w14:textId="785A6E94" w:rsidR="00E10616" w:rsidRPr="00DF02C5" w:rsidRDefault="007D5F65" w:rsidP="00E5256F">
      <w:pPr>
        <w:pStyle w:val="Caption"/>
        <w:keepNext/>
        <w:keepLines/>
        <w:rPr>
          <w:snapToGrid w:val="0"/>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00E5256F" w:rsidRPr="00DF02C5">
        <w:rPr>
          <w:noProof/>
          <w:lang w:val="en-GB"/>
        </w:rPr>
        <w:t>17</w:t>
      </w:r>
      <w:r w:rsidRPr="00DF02C5">
        <w:rPr>
          <w:lang w:val="en-GB"/>
        </w:rPr>
        <w:fldChar w:fldCharType="end"/>
      </w:r>
      <w:r w:rsidR="00E10616" w:rsidRPr="00DF02C5">
        <w:rPr>
          <w:snapToGrid w:val="0"/>
          <w:bdr w:val="none" w:sz="0" w:space="0" w:color="auto"/>
          <w:lang w:val="en-GB"/>
        </w:rPr>
        <w:t>: Measures to implement Article 15.</w:t>
      </w:r>
      <w:r w:rsidR="00EC27F2" w:rsidRPr="00DF02C5">
        <w:rPr>
          <w:snapToGrid w:val="0"/>
          <w:bdr w:val="none" w:sz="0" w:space="0" w:color="auto"/>
          <w:lang w:val="en-GB"/>
        </w:rPr>
        <w:t>2</w:t>
      </w:r>
      <w:r w:rsidR="00E10616" w:rsidRPr="00DF02C5">
        <w:rPr>
          <w:snapToGrid w:val="0"/>
          <w:bdr w:val="none" w:sz="0" w:space="0" w:color="auto"/>
          <w:lang w:val="en-GB"/>
        </w:rPr>
        <w:t xml:space="preserve"> of the Protocol (percentage of countries)</w:t>
      </w:r>
    </w:p>
    <w:p w14:paraId="2EEAC7E9" w14:textId="0003FDE1" w:rsidR="00306527" w:rsidRPr="00DF02C5" w:rsidRDefault="00306527" w:rsidP="00EC27F2">
      <w:pPr>
        <w:pStyle w:val="Para1"/>
        <w:jc w:val="center"/>
        <w:rPr>
          <w:rFonts w:eastAsia="Calibri" w:hAnsi="Times New Roman"/>
          <w:snapToGrid w:val="0"/>
          <w:color w:val="FF0000"/>
          <w:kern w:val="22"/>
          <w:bdr w:val="none" w:sz="0" w:space="0" w:color="auto"/>
          <w:lang w:val="en-GB"/>
        </w:rPr>
      </w:pPr>
      <w:r w:rsidRPr="00DF02C5">
        <w:rPr>
          <w:noProof/>
        </w:rPr>
        <w:drawing>
          <wp:inline distT="0" distB="0" distL="0" distR="0" wp14:anchorId="342F581D" wp14:editId="422E351A">
            <wp:extent cx="3295650" cy="1866900"/>
            <wp:effectExtent l="0" t="0" r="19050" b="19050"/>
            <wp:docPr id="68" name="Chart 68">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3ABAB5C" w14:textId="59D16B7A" w:rsidR="0088673C" w:rsidRPr="00DF02C5" w:rsidRDefault="00EA65E0"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Some countries referred to the relevant existing measures</w:t>
      </w:r>
      <w:r w:rsidRPr="00DF02C5">
        <w:rPr>
          <w:rStyle w:val="FootnoteReference"/>
          <w:rFonts w:eastAsia="Calibri" w:hAnsi="Times New Roman"/>
          <w:snapToGrid w:val="0"/>
          <w:color w:val="auto"/>
          <w:kern w:val="22"/>
          <w:bdr w:val="none" w:sz="0" w:space="0" w:color="auto"/>
          <w:lang w:val="en-GB"/>
        </w:rPr>
        <w:footnoteReference w:id="177"/>
      </w:r>
      <w:r w:rsidRPr="00DF02C5">
        <w:rPr>
          <w:rStyle w:val="FootnoteReference"/>
          <w:lang w:val="en-GB"/>
        </w:rPr>
        <w:t xml:space="preserve"> </w:t>
      </w:r>
      <w:r w:rsidRPr="00DF02C5">
        <w:rPr>
          <w:rFonts w:eastAsia="Calibri" w:hAnsi="Times New Roman"/>
          <w:snapToGrid w:val="0"/>
          <w:color w:val="auto"/>
          <w:kern w:val="22"/>
          <w:bdr w:val="none" w:sz="0" w:space="0" w:color="auto"/>
          <w:lang w:val="en-GB"/>
        </w:rPr>
        <w:t>or draft measures or processes underway</w:t>
      </w:r>
      <w:r w:rsidR="008E0072">
        <w:rPr>
          <w:rFonts w:eastAsia="Calibri" w:hAnsi="Times New Roman"/>
          <w:snapToGrid w:val="0"/>
          <w:color w:val="auto"/>
          <w:kern w:val="22"/>
          <w:bdr w:val="none" w:sz="0" w:space="0" w:color="auto"/>
          <w:lang w:val="en-GB"/>
        </w:rPr>
        <w:t>.</w:t>
      </w:r>
      <w:r w:rsidRPr="00DF02C5">
        <w:rPr>
          <w:rStyle w:val="FootnoteReference"/>
          <w:rFonts w:eastAsia="Calibri" w:hAnsi="Times New Roman"/>
          <w:snapToGrid w:val="0"/>
          <w:color w:val="auto"/>
          <w:kern w:val="22"/>
          <w:bdr w:val="none" w:sz="0" w:space="0" w:color="auto"/>
          <w:lang w:val="en-GB"/>
        </w:rPr>
        <w:footnoteReference w:id="178"/>
      </w:r>
      <w:r w:rsidRPr="00DF02C5">
        <w:rPr>
          <w:rFonts w:eastAsia="Calibri" w:hAnsi="Times New Roman"/>
          <w:snapToGrid w:val="0"/>
          <w:color w:val="auto"/>
          <w:kern w:val="22"/>
          <w:bdr w:val="none" w:sz="0" w:space="0" w:color="auto"/>
          <w:lang w:val="en-GB"/>
        </w:rPr>
        <w:t xml:space="preserve"> </w:t>
      </w:r>
      <w:r w:rsidR="0088673C" w:rsidRPr="00DF02C5">
        <w:rPr>
          <w:rFonts w:eastAsia="Calibri" w:hAnsi="Times New Roman"/>
          <w:snapToGrid w:val="0"/>
          <w:color w:val="auto"/>
          <w:kern w:val="22"/>
          <w:bdr w:val="none" w:sz="0" w:space="0" w:color="auto"/>
          <w:lang w:val="en-GB"/>
        </w:rPr>
        <w:t xml:space="preserve">Although many have adopted measures to provide that genetic resources and associated </w:t>
      </w:r>
      <w:r w:rsidR="0088673C" w:rsidRPr="00DF02C5">
        <w:rPr>
          <w:rFonts w:eastAsia="Calibri" w:hAnsi="Times New Roman"/>
          <w:snapToGrid w:val="0"/>
          <w:color w:val="auto"/>
          <w:kern w:val="22"/>
          <w:bdr w:val="none" w:sz="0" w:space="0" w:color="auto"/>
          <w:lang w:val="en-GB"/>
        </w:rPr>
        <w:lastRenderedPageBreak/>
        <w:t xml:space="preserve">traditional knowledge utilized within their jurisdiction </w:t>
      </w:r>
      <w:r w:rsidR="00B70954">
        <w:rPr>
          <w:rFonts w:eastAsia="Calibri" w:hAnsi="Times New Roman"/>
          <w:snapToGrid w:val="0"/>
          <w:color w:val="auto"/>
          <w:kern w:val="22"/>
          <w:bdr w:val="none" w:sz="0" w:space="0" w:color="auto"/>
          <w:lang w:val="en-GB"/>
        </w:rPr>
        <w:t xml:space="preserve">are </w:t>
      </w:r>
      <w:r w:rsidR="0088673C" w:rsidRPr="00DF02C5">
        <w:rPr>
          <w:rFonts w:eastAsia="Calibri" w:hAnsi="Times New Roman"/>
          <w:snapToGrid w:val="0"/>
          <w:color w:val="auto"/>
          <w:kern w:val="22"/>
          <w:bdr w:val="none" w:sz="0" w:space="0" w:color="auto"/>
          <w:lang w:val="en-GB"/>
        </w:rPr>
        <w:t>accessed in accordance with the r</w:t>
      </w:r>
      <w:r w:rsidR="008E0072">
        <w:rPr>
          <w:rFonts w:eastAsia="Calibri" w:hAnsi="Times New Roman"/>
          <w:snapToGrid w:val="0"/>
          <w:color w:val="auto"/>
          <w:kern w:val="22"/>
          <w:bdr w:val="none" w:sz="0" w:space="0" w:color="auto"/>
          <w:lang w:val="en-GB"/>
        </w:rPr>
        <w:t>equirements of the other Party,</w:t>
      </w:r>
      <w:r w:rsidR="00413C2E" w:rsidRPr="00DF02C5">
        <w:rPr>
          <w:rStyle w:val="FootnoteReference"/>
          <w:rFonts w:eastAsia="Calibri" w:hAnsi="Times New Roman"/>
          <w:snapToGrid w:val="0"/>
          <w:color w:val="auto"/>
          <w:kern w:val="22"/>
          <w:bdr w:val="none" w:sz="0" w:space="0" w:color="auto"/>
          <w:lang w:val="en-GB"/>
        </w:rPr>
        <w:footnoteReference w:id="179"/>
      </w:r>
      <w:proofErr w:type="gramStart"/>
      <w:r w:rsidR="0088673C" w:rsidRPr="00DF02C5">
        <w:rPr>
          <w:rFonts w:eastAsia="Calibri" w:hAnsi="Times New Roman"/>
          <w:snapToGrid w:val="0"/>
          <w:color w:val="auto"/>
          <w:kern w:val="22"/>
          <w:bdr w:val="none" w:sz="0" w:space="0" w:color="auto"/>
          <w:lang w:val="en-GB"/>
        </w:rPr>
        <w:t>a number of</w:t>
      </w:r>
      <w:proofErr w:type="gramEnd"/>
      <w:r w:rsidR="0088673C" w:rsidRPr="00DF02C5">
        <w:rPr>
          <w:rFonts w:eastAsia="Calibri" w:hAnsi="Times New Roman"/>
          <w:snapToGrid w:val="0"/>
          <w:color w:val="auto"/>
          <w:kern w:val="22"/>
          <w:bdr w:val="none" w:sz="0" w:space="0" w:color="auto"/>
          <w:lang w:val="en-GB"/>
        </w:rPr>
        <w:t xml:space="preserve"> others reported on measures that would address cases of non-compliance with thei</w:t>
      </w:r>
      <w:r w:rsidR="008E0072">
        <w:rPr>
          <w:rFonts w:eastAsia="Calibri" w:hAnsi="Times New Roman"/>
          <w:snapToGrid w:val="0"/>
          <w:color w:val="auto"/>
          <w:kern w:val="22"/>
          <w:bdr w:val="none" w:sz="0" w:space="0" w:color="auto"/>
          <w:lang w:val="en-GB"/>
        </w:rPr>
        <w:t>r own domestic ABS legislation.</w:t>
      </w:r>
      <w:r w:rsidR="0088673C" w:rsidRPr="00DF02C5">
        <w:rPr>
          <w:rStyle w:val="FootnoteReference"/>
          <w:rFonts w:eastAsia="Calibri" w:hAnsi="Times New Roman"/>
          <w:snapToGrid w:val="0"/>
          <w:color w:val="auto"/>
          <w:kern w:val="22"/>
          <w:bdr w:val="none" w:sz="0" w:space="0" w:color="auto"/>
          <w:lang w:val="en-GB"/>
        </w:rPr>
        <w:footnoteReference w:id="180"/>
      </w:r>
    </w:p>
    <w:p w14:paraId="1A439BC2" w14:textId="016890F3" w:rsidR="00EA65E0" w:rsidRPr="00DF02C5" w:rsidRDefault="00EC27F2"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For instance, t</w:t>
      </w:r>
      <w:r w:rsidR="00EA65E0" w:rsidRPr="00DF02C5">
        <w:rPr>
          <w:rFonts w:eastAsia="Calibri" w:hAnsi="Times New Roman"/>
          <w:snapToGrid w:val="0"/>
          <w:color w:val="auto"/>
          <w:kern w:val="22"/>
          <w:bdr w:val="none" w:sz="0" w:space="0" w:color="auto"/>
          <w:lang w:val="en-GB"/>
        </w:rPr>
        <w:t xml:space="preserve">he European Union referred to Regulation (EU) 511/2014 on compliance measures for users from the Nagoya Protocol on Access to Genetic Resources and Fair and Equitable Sharing of Benefits Arising from </w:t>
      </w:r>
      <w:r w:rsidR="008E69C4" w:rsidRPr="00DF02C5">
        <w:rPr>
          <w:rFonts w:eastAsia="Calibri" w:hAnsi="Times New Roman"/>
          <w:snapToGrid w:val="0"/>
          <w:color w:val="auto"/>
          <w:kern w:val="22"/>
          <w:bdr w:val="none" w:sz="0" w:space="0" w:color="auto"/>
          <w:lang w:val="en-GB"/>
        </w:rPr>
        <w:t>their Utilisation in the Union</w:t>
      </w:r>
      <w:r w:rsidRPr="00DF02C5">
        <w:rPr>
          <w:rFonts w:eastAsia="Calibri" w:hAnsi="Times New Roman"/>
          <w:snapToGrid w:val="0"/>
          <w:color w:val="auto"/>
          <w:kern w:val="22"/>
          <w:bdr w:val="none" w:sz="0" w:space="0" w:color="auto"/>
          <w:lang w:val="en-GB"/>
        </w:rPr>
        <w:t xml:space="preserve"> </w:t>
      </w:r>
      <w:r w:rsidR="00EA65E0" w:rsidRPr="00DF02C5">
        <w:rPr>
          <w:rFonts w:eastAsia="Calibri" w:hAnsi="Times New Roman"/>
          <w:snapToGrid w:val="0"/>
          <w:color w:val="auto"/>
          <w:kern w:val="22"/>
          <w:bdr w:val="none" w:sz="0" w:space="0" w:color="auto"/>
          <w:lang w:val="en-GB"/>
        </w:rPr>
        <w:t>and the Commission Implementing Regulation (EU) 2015/1866 laying down detailed rules for the implementation of Regulation (EU) 511/2014 as regards the register of collections, monitoring use</w:t>
      </w:r>
      <w:r w:rsidR="008E69C4" w:rsidRPr="00DF02C5">
        <w:rPr>
          <w:rFonts w:eastAsia="Calibri" w:hAnsi="Times New Roman"/>
          <w:snapToGrid w:val="0"/>
          <w:color w:val="auto"/>
          <w:kern w:val="22"/>
          <w:bdr w:val="none" w:sz="0" w:space="0" w:color="auto"/>
          <w:lang w:val="en-GB"/>
        </w:rPr>
        <w:t>r compliance and best practices</w:t>
      </w:r>
      <w:r w:rsidRPr="00DF02C5">
        <w:rPr>
          <w:rFonts w:eastAsia="Calibri" w:hAnsi="Times New Roman"/>
          <w:snapToGrid w:val="0"/>
          <w:color w:val="auto"/>
          <w:kern w:val="22"/>
          <w:bdr w:val="none" w:sz="0" w:space="0" w:color="auto"/>
          <w:lang w:val="en-GB"/>
        </w:rPr>
        <w:t xml:space="preserve">. </w:t>
      </w:r>
      <w:r w:rsidR="00EA65E0" w:rsidRPr="00DF02C5">
        <w:rPr>
          <w:rFonts w:eastAsia="Calibri" w:hAnsi="Times New Roman"/>
          <w:snapToGrid w:val="0"/>
          <w:color w:val="auto"/>
          <w:kern w:val="22"/>
          <w:bdr w:val="none" w:sz="0" w:space="0" w:color="auto"/>
          <w:lang w:val="en-GB"/>
        </w:rPr>
        <w:t>In addition, some Member States included also information on national legislation.</w:t>
      </w:r>
      <w:r w:rsidR="00EA65E0" w:rsidRPr="00DF02C5">
        <w:rPr>
          <w:rStyle w:val="FootnoteReference"/>
          <w:rFonts w:eastAsia="Calibri" w:hAnsi="Times New Roman"/>
          <w:snapToGrid w:val="0"/>
          <w:color w:val="auto"/>
          <w:kern w:val="22"/>
          <w:bdr w:val="none" w:sz="0" w:space="0" w:color="auto"/>
          <w:lang w:val="en-GB"/>
        </w:rPr>
        <w:footnoteReference w:id="181"/>
      </w:r>
      <w:r w:rsidR="00EA65E0" w:rsidRPr="00DF02C5">
        <w:rPr>
          <w:rStyle w:val="FootnoteReference"/>
          <w:lang w:val="en-GB"/>
        </w:rPr>
        <w:t xml:space="preserve"> </w:t>
      </w:r>
    </w:p>
    <w:p w14:paraId="0C76C671" w14:textId="3DFD10B5" w:rsidR="0088673C" w:rsidRPr="00DF02C5" w:rsidRDefault="00EA65E0"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Some countries provided information on the penalties and sanctions for non-complying with ABS measures. </w:t>
      </w:r>
      <w:proofErr w:type="gramStart"/>
      <w:r w:rsidRPr="00DF02C5">
        <w:rPr>
          <w:rFonts w:eastAsia="Calibri" w:hAnsi="Times New Roman"/>
          <w:snapToGrid w:val="0"/>
          <w:color w:val="auto"/>
          <w:kern w:val="22"/>
          <w:bdr w:val="none" w:sz="0" w:space="0" w:color="auto"/>
          <w:lang w:val="en-GB"/>
        </w:rPr>
        <w:t>A number of</w:t>
      </w:r>
      <w:proofErr w:type="gramEnd"/>
      <w:r w:rsidRPr="00DF02C5">
        <w:rPr>
          <w:rFonts w:eastAsia="Calibri" w:hAnsi="Times New Roman"/>
          <w:snapToGrid w:val="0"/>
          <w:color w:val="auto"/>
          <w:kern w:val="22"/>
          <w:bdr w:val="none" w:sz="0" w:space="0" w:color="auto"/>
          <w:lang w:val="en-GB"/>
        </w:rPr>
        <w:t xml:space="preserve"> countries provided information on</w:t>
      </w:r>
      <w:r w:rsidR="008E69C4" w:rsidRPr="00DF02C5">
        <w:rPr>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fines</w:t>
      </w:r>
      <w:r w:rsidR="008E0072">
        <w:rPr>
          <w:rFonts w:eastAsia="Calibri" w:hAnsi="Times New Roman"/>
          <w:snapToGrid w:val="0"/>
          <w:color w:val="auto"/>
          <w:kern w:val="22"/>
          <w:bdr w:val="none" w:sz="0" w:space="0" w:color="auto"/>
          <w:lang w:val="en-GB"/>
        </w:rPr>
        <w:t>,</w:t>
      </w:r>
      <w:r w:rsidRPr="00DF02C5">
        <w:rPr>
          <w:rStyle w:val="FootnoteReference"/>
          <w:rFonts w:eastAsia="Calibri" w:hAnsi="Times New Roman"/>
          <w:snapToGrid w:val="0"/>
          <w:color w:val="auto"/>
          <w:kern w:val="22"/>
          <w:bdr w:val="none" w:sz="0" w:space="0" w:color="auto"/>
          <w:lang w:val="en-GB"/>
        </w:rPr>
        <w:footnoteReference w:id="182"/>
      </w:r>
      <w:r w:rsidRPr="00DF02C5">
        <w:rPr>
          <w:rFonts w:eastAsia="Calibri" w:hAnsi="Times New Roman"/>
          <w:snapToGrid w:val="0"/>
          <w:color w:val="auto"/>
          <w:kern w:val="22"/>
          <w:bdr w:val="none" w:sz="0" w:space="0" w:color="auto"/>
          <w:lang w:val="en-GB"/>
        </w:rPr>
        <w:t xml:space="preserve"> imprisonment</w:t>
      </w:r>
      <w:r w:rsidR="008E0072">
        <w:rPr>
          <w:rFonts w:eastAsia="Calibri" w:hAnsi="Times New Roman"/>
          <w:snapToGrid w:val="0"/>
          <w:color w:val="auto"/>
          <w:kern w:val="22"/>
          <w:bdr w:val="none" w:sz="0" w:space="0" w:color="auto"/>
          <w:lang w:val="en-GB"/>
        </w:rPr>
        <w:t>,</w:t>
      </w:r>
      <w:r w:rsidR="00020046" w:rsidRPr="00DF02C5">
        <w:rPr>
          <w:rStyle w:val="FootnoteReference"/>
          <w:rFonts w:eastAsia="Calibri" w:hAnsi="Times New Roman"/>
          <w:snapToGrid w:val="0"/>
          <w:color w:val="auto"/>
          <w:kern w:val="22"/>
          <w:bdr w:val="none" w:sz="0" w:space="0" w:color="auto"/>
          <w:lang w:val="en-GB"/>
        </w:rPr>
        <w:footnoteReference w:id="183"/>
      </w:r>
      <w:r w:rsidRPr="00DF02C5">
        <w:rPr>
          <w:rFonts w:eastAsia="Calibri" w:hAnsi="Times New Roman"/>
          <w:snapToGrid w:val="0"/>
          <w:color w:val="auto"/>
          <w:kern w:val="22"/>
          <w:bdr w:val="none" w:sz="0" w:space="0" w:color="auto"/>
          <w:lang w:val="en-GB"/>
        </w:rPr>
        <w:t xml:space="preserve"> denial of intellectual property rights</w:t>
      </w:r>
      <w:r w:rsidR="008E0072">
        <w:rPr>
          <w:rFonts w:eastAsia="Calibri" w:hAnsi="Times New Roman"/>
          <w:snapToGrid w:val="0"/>
          <w:color w:val="auto"/>
          <w:kern w:val="22"/>
          <w:bdr w:val="none" w:sz="0" w:space="0" w:color="auto"/>
          <w:lang w:val="en-GB"/>
        </w:rPr>
        <w:t>,</w:t>
      </w:r>
      <w:r w:rsidR="00020046" w:rsidRPr="00DF02C5">
        <w:rPr>
          <w:rStyle w:val="FootnoteReference"/>
          <w:rFonts w:eastAsia="Calibri" w:hAnsi="Times New Roman"/>
          <w:snapToGrid w:val="0"/>
          <w:color w:val="auto"/>
          <w:kern w:val="22"/>
          <w:bdr w:val="none" w:sz="0" w:space="0" w:color="auto"/>
          <w:lang w:val="en-GB"/>
        </w:rPr>
        <w:footnoteReference w:id="184"/>
      </w:r>
      <w:r w:rsidRPr="00DF02C5">
        <w:rPr>
          <w:rFonts w:eastAsia="Calibri" w:hAnsi="Times New Roman"/>
          <w:snapToGrid w:val="0"/>
          <w:color w:val="auto"/>
          <w:kern w:val="22"/>
          <w:bdr w:val="none" w:sz="0" w:space="0" w:color="auto"/>
          <w:lang w:val="en-GB"/>
        </w:rPr>
        <w:t xml:space="preserve"> </w:t>
      </w:r>
      <w:r w:rsidR="000C17EE" w:rsidRPr="00DF02C5">
        <w:rPr>
          <w:rFonts w:eastAsia="Calibri" w:hAnsi="Times New Roman"/>
          <w:snapToGrid w:val="0"/>
          <w:color w:val="auto"/>
          <w:kern w:val="22"/>
          <w:bdr w:val="none" w:sz="0" w:space="0" w:color="auto"/>
          <w:lang w:val="en-GB"/>
        </w:rPr>
        <w:t>shutting down of the facility</w:t>
      </w:r>
      <w:r w:rsidR="008E0072">
        <w:rPr>
          <w:rFonts w:eastAsia="Calibri" w:hAnsi="Times New Roman"/>
          <w:snapToGrid w:val="0"/>
          <w:color w:val="auto"/>
          <w:kern w:val="22"/>
          <w:bdr w:val="none" w:sz="0" w:space="0" w:color="auto"/>
          <w:lang w:val="en-GB"/>
        </w:rPr>
        <w:t>,</w:t>
      </w:r>
      <w:r w:rsidR="00020046" w:rsidRPr="00DF02C5">
        <w:rPr>
          <w:rStyle w:val="FootnoteReference"/>
          <w:rFonts w:eastAsia="Calibri" w:hAnsi="Times New Roman"/>
          <w:snapToGrid w:val="0"/>
          <w:color w:val="auto"/>
          <w:kern w:val="22"/>
          <w:bdr w:val="none" w:sz="0" w:space="0" w:color="auto"/>
          <w:lang w:val="en-GB"/>
        </w:rPr>
        <w:footnoteReference w:id="185"/>
      </w:r>
      <w:r w:rsidRPr="00DF02C5">
        <w:rPr>
          <w:rFonts w:eastAsia="Calibri" w:hAnsi="Times New Roman"/>
          <w:snapToGrid w:val="0"/>
          <w:color w:val="auto"/>
          <w:kern w:val="22"/>
          <w:bdr w:val="none" w:sz="0" w:space="0" w:color="auto"/>
          <w:lang w:val="en-GB"/>
        </w:rPr>
        <w:t xml:space="preserve"> obligation to redress the situation</w:t>
      </w:r>
      <w:r w:rsidR="008E0072">
        <w:rPr>
          <w:rFonts w:eastAsia="Calibri" w:hAnsi="Times New Roman"/>
          <w:snapToGrid w:val="0"/>
          <w:color w:val="auto"/>
          <w:kern w:val="22"/>
          <w:bdr w:val="none" w:sz="0" w:space="0" w:color="auto"/>
          <w:lang w:val="en-GB"/>
        </w:rPr>
        <w:t>,</w:t>
      </w:r>
      <w:r w:rsidR="00020046" w:rsidRPr="00DF02C5">
        <w:rPr>
          <w:rStyle w:val="FootnoteReference"/>
          <w:rFonts w:eastAsia="Calibri" w:hAnsi="Times New Roman"/>
          <w:snapToGrid w:val="0"/>
          <w:color w:val="auto"/>
          <w:kern w:val="22"/>
          <w:bdr w:val="none" w:sz="0" w:space="0" w:color="auto"/>
          <w:lang w:val="en-GB"/>
        </w:rPr>
        <w:footnoteReference w:id="186"/>
      </w:r>
      <w:r w:rsidRPr="00DF02C5">
        <w:rPr>
          <w:rFonts w:eastAsia="Calibri" w:hAnsi="Times New Roman"/>
          <w:snapToGrid w:val="0"/>
          <w:color w:val="auto"/>
          <w:kern w:val="22"/>
          <w:bdr w:val="none" w:sz="0" w:space="0" w:color="auto"/>
          <w:lang w:val="en-GB"/>
        </w:rPr>
        <w:t xml:space="preserve"> among others.</w:t>
      </w:r>
    </w:p>
    <w:p w14:paraId="55DC4209" w14:textId="490A13FE" w:rsidR="00EC27F2" w:rsidRPr="008E0072" w:rsidRDefault="00EC27F2" w:rsidP="008E0072">
      <w:pPr>
        <w:pStyle w:val="Para1"/>
        <w:numPr>
          <w:ilvl w:val="1"/>
          <w:numId w:val="64"/>
        </w:numPr>
        <w:spacing w:before="240"/>
        <w:ind w:left="1080" w:right="360" w:hanging="634"/>
        <w:jc w:val="left"/>
        <w:rPr>
          <w:rFonts w:eastAsia="Calibri" w:hAnsi="Times New Roman"/>
          <w:i/>
          <w:snapToGrid w:val="0"/>
          <w:color w:val="auto"/>
          <w:kern w:val="22"/>
          <w:bdr w:val="none" w:sz="0" w:space="0" w:color="auto"/>
          <w:lang w:val="en-GB"/>
        </w:rPr>
      </w:pPr>
      <w:r w:rsidRPr="008E0072">
        <w:rPr>
          <w:rFonts w:eastAsia="Calibri" w:hAnsi="Times New Roman"/>
          <w:i/>
          <w:snapToGrid w:val="0"/>
          <w:color w:val="auto"/>
          <w:kern w:val="22"/>
          <w:bdr w:val="none" w:sz="0" w:space="0" w:color="auto"/>
          <w:lang w:val="en-GB"/>
        </w:rPr>
        <w:t xml:space="preserve">Have there been specific cases in which your country </w:t>
      </w:r>
      <w:r w:rsidRPr="008E0072">
        <w:rPr>
          <w:rFonts w:eastAsia="Calibri" w:hAnsi="Times New Roman"/>
          <w:i/>
          <w:snapToGrid w:val="0"/>
          <w:kern w:val="22"/>
          <w:bdr w:val="none" w:sz="0" w:space="0" w:color="auto"/>
          <w:lang w:val="en-GB"/>
        </w:rPr>
        <w:t>cooperated</w:t>
      </w:r>
      <w:r w:rsidRPr="008E0072">
        <w:rPr>
          <w:rFonts w:eastAsia="Calibri" w:hAnsi="Times New Roman"/>
          <w:i/>
          <w:snapToGrid w:val="0"/>
          <w:color w:val="auto"/>
          <w:kern w:val="22"/>
          <w:bdr w:val="none" w:sz="0" w:space="0" w:color="auto"/>
          <w:lang w:val="en-GB"/>
        </w:rPr>
        <w:t xml:space="preserve"> with other Parties in cases of alleged violation of ABS measures as provided in Article 15.3?</w:t>
      </w:r>
      <w:r w:rsidR="00756B08" w:rsidRPr="008E0072">
        <w:rPr>
          <w:rFonts w:eastAsia="Calibri" w:hAnsi="Times New Roman"/>
          <w:i/>
          <w:snapToGrid w:val="0"/>
          <w:color w:val="auto"/>
          <w:kern w:val="22"/>
          <w:bdr w:val="none" w:sz="0" w:space="0" w:color="auto"/>
          <w:lang w:val="en-GB"/>
        </w:rPr>
        <w:t xml:space="preserve"> (question 24) </w:t>
      </w:r>
      <w:r w:rsidRPr="008E0072">
        <w:rPr>
          <w:rFonts w:eastAsia="Calibri" w:hAnsi="Times New Roman"/>
          <w:i/>
          <w:snapToGrid w:val="0"/>
          <w:color w:val="auto"/>
          <w:kern w:val="22"/>
          <w:bdr w:val="none" w:sz="0" w:space="0" w:color="auto"/>
          <w:lang w:val="en-GB"/>
        </w:rPr>
        <w:t xml:space="preserve"> </w:t>
      </w:r>
    </w:p>
    <w:p w14:paraId="16B8F1BF" w14:textId="2E2E640B" w:rsidR="00EC27F2" w:rsidRPr="00DF02C5" w:rsidRDefault="00EC27F2" w:rsidP="00A2498F">
      <w:pPr>
        <w:pStyle w:val="Para1"/>
        <w:numPr>
          <w:ilvl w:val="0"/>
          <w:numId w:val="1"/>
        </w:numPr>
        <w:rPr>
          <w:rFonts w:eastAsia="Calibri" w:hAnsi="Times New Roman"/>
          <w:snapToGrid w:val="0"/>
          <w:color w:val="auto"/>
          <w:kern w:val="22"/>
          <w:bdr w:val="none" w:sz="0" w:space="0" w:color="auto"/>
          <w:lang w:val="en-GB"/>
        </w:rPr>
      </w:pPr>
      <w:proofErr w:type="gramStart"/>
      <w:r w:rsidRPr="00DF02C5">
        <w:rPr>
          <w:rFonts w:eastAsia="Calibri" w:hAnsi="Times New Roman"/>
          <w:snapToGrid w:val="0"/>
          <w:color w:val="auto"/>
          <w:kern w:val="22"/>
          <w:bdr w:val="none" w:sz="0" w:space="0" w:color="auto"/>
          <w:lang w:val="en-GB"/>
        </w:rPr>
        <w:t>Thirty-six</w:t>
      </w:r>
      <w:proofErr w:type="gramEnd"/>
      <w:r w:rsidRPr="00DF02C5">
        <w:rPr>
          <w:rFonts w:eastAsia="Calibri" w:hAnsi="Times New Roman"/>
          <w:snapToGrid w:val="0"/>
          <w:color w:val="auto"/>
          <w:kern w:val="22"/>
          <w:bdr w:val="none" w:sz="0" w:space="0" w:color="auto"/>
          <w:lang w:val="en-GB"/>
        </w:rPr>
        <w:t xml:space="preserve"> Parties and four non-Parties responded that that they have taken legislative, administrative or policy measures to provide that genetic resources have been accessed in accord</w:t>
      </w:r>
      <w:r w:rsidR="00B70954">
        <w:rPr>
          <w:rFonts w:eastAsia="Calibri" w:hAnsi="Times New Roman"/>
          <w:snapToGrid w:val="0"/>
          <w:color w:val="auto"/>
          <w:kern w:val="22"/>
          <w:bdr w:val="none" w:sz="0" w:space="0" w:color="auto"/>
          <w:lang w:val="en-GB"/>
        </w:rPr>
        <w:t>ance with PIC and MAT</w:t>
      </w:r>
      <w:r w:rsidRPr="00DF02C5">
        <w:rPr>
          <w:rFonts w:eastAsia="Calibri" w:hAnsi="Times New Roman"/>
          <w:snapToGrid w:val="0"/>
          <w:color w:val="auto"/>
          <w:kern w:val="22"/>
          <w:bdr w:val="none" w:sz="0" w:space="0" w:color="auto"/>
          <w:lang w:val="en-GB"/>
        </w:rPr>
        <w:t xml:space="preserve"> </w:t>
      </w:r>
      <w:r w:rsidR="00B70954">
        <w:rPr>
          <w:rFonts w:eastAsia="Calibri" w:hAnsi="Times New Roman"/>
          <w:snapToGrid w:val="0"/>
          <w:color w:val="auto"/>
          <w:kern w:val="22"/>
          <w:bdr w:val="none" w:sz="0" w:space="0" w:color="auto"/>
          <w:lang w:val="en-GB"/>
        </w:rPr>
        <w:t>as indicated above</w:t>
      </w:r>
      <w:r w:rsidRPr="00DF02C5">
        <w:rPr>
          <w:rFonts w:eastAsia="Calibri" w:hAnsi="Times New Roman"/>
          <w:snapToGrid w:val="0"/>
          <w:color w:val="auto"/>
          <w:kern w:val="22"/>
          <w:bdr w:val="none" w:sz="0" w:space="0" w:color="auto"/>
          <w:lang w:val="en-GB"/>
        </w:rPr>
        <w:t>. Only 3</w:t>
      </w:r>
      <w:r w:rsidR="00EA65E0" w:rsidRPr="00DF02C5">
        <w:rPr>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Parties and 1 non-Party reported on specific cases of cooperation with other Parties in cases of alleged violation of ABS measures.</w:t>
      </w:r>
    </w:p>
    <w:p w14:paraId="17F6F9BC" w14:textId="52589F9F" w:rsidR="00EC27F2" w:rsidRPr="00DF02C5" w:rsidRDefault="007D5F65" w:rsidP="00E5256F">
      <w:pPr>
        <w:pStyle w:val="Caption"/>
        <w:keepNext/>
        <w:keepLines/>
        <w:rPr>
          <w:snapToGrid w:val="0"/>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00E5256F" w:rsidRPr="00DF02C5">
        <w:rPr>
          <w:noProof/>
          <w:lang w:val="en-GB"/>
        </w:rPr>
        <w:t>18</w:t>
      </w:r>
      <w:r w:rsidRPr="00DF02C5">
        <w:rPr>
          <w:lang w:val="en-GB"/>
        </w:rPr>
        <w:fldChar w:fldCharType="end"/>
      </w:r>
      <w:r w:rsidR="00EC27F2" w:rsidRPr="00DF02C5">
        <w:rPr>
          <w:snapToGrid w:val="0"/>
          <w:bdr w:val="none" w:sz="0" w:space="0" w:color="auto"/>
          <w:lang w:val="en-GB"/>
        </w:rPr>
        <w:t>: Measures to implement Article 15.3 of the Protocol (percentage of countries)</w:t>
      </w:r>
    </w:p>
    <w:p w14:paraId="27C979A3" w14:textId="774C2054" w:rsidR="00306527" w:rsidRPr="00DF02C5" w:rsidRDefault="00306527" w:rsidP="00EC27F2">
      <w:pPr>
        <w:pStyle w:val="Para1"/>
        <w:jc w:val="center"/>
        <w:rPr>
          <w:rFonts w:eastAsia="Calibri" w:hAnsi="Times New Roman"/>
          <w:snapToGrid w:val="0"/>
          <w:color w:val="auto"/>
          <w:kern w:val="22"/>
          <w:bdr w:val="none" w:sz="0" w:space="0" w:color="auto"/>
          <w:lang w:val="en-GB"/>
        </w:rPr>
      </w:pPr>
      <w:r w:rsidRPr="00DF02C5">
        <w:rPr>
          <w:noProof/>
        </w:rPr>
        <w:drawing>
          <wp:inline distT="0" distB="0" distL="0" distR="0" wp14:anchorId="3E81269C" wp14:editId="67887C39">
            <wp:extent cx="3238500" cy="1895475"/>
            <wp:effectExtent l="0" t="0" r="19050" b="9525"/>
            <wp:docPr id="69" name="Chart 69">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F01DF5B" w14:textId="15DB101A" w:rsidR="00EA65E0" w:rsidRPr="00DF02C5" w:rsidRDefault="00EA65E0"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In providing further information, two countries referred to their plans related to compliance.</w:t>
      </w:r>
      <w:r w:rsidR="000C17EE" w:rsidRPr="00DF02C5">
        <w:rPr>
          <w:rStyle w:val="FootnoteReference"/>
          <w:rFonts w:eastAsia="Calibri" w:hAnsi="Times New Roman"/>
          <w:snapToGrid w:val="0"/>
          <w:color w:val="auto"/>
          <w:kern w:val="22"/>
          <w:bdr w:val="none" w:sz="0" w:space="0" w:color="auto"/>
          <w:lang w:val="en-GB"/>
        </w:rPr>
        <w:footnoteReference w:id="187"/>
      </w:r>
      <w:r w:rsidRPr="00DF02C5">
        <w:rPr>
          <w:rFonts w:eastAsia="Calibri" w:hAnsi="Times New Roman"/>
          <w:snapToGrid w:val="0"/>
          <w:color w:val="auto"/>
          <w:kern w:val="22"/>
          <w:bdr w:val="none" w:sz="0" w:space="0" w:color="auto"/>
          <w:lang w:val="en-GB"/>
        </w:rPr>
        <w:t xml:space="preserve"> </w:t>
      </w:r>
      <w:r w:rsidR="00F94AE4" w:rsidRPr="00DF02C5">
        <w:rPr>
          <w:rFonts w:eastAsia="Calibri" w:hAnsi="Times New Roman"/>
          <w:snapToGrid w:val="0"/>
          <w:color w:val="auto"/>
          <w:kern w:val="22"/>
          <w:bdr w:val="none" w:sz="0" w:space="0" w:color="auto"/>
          <w:lang w:val="en-GB"/>
        </w:rPr>
        <w:t xml:space="preserve">In addition, </w:t>
      </w:r>
      <w:r w:rsidRPr="00DF02C5">
        <w:rPr>
          <w:rFonts w:eastAsia="Calibri" w:hAnsi="Times New Roman"/>
          <w:snapToGrid w:val="0"/>
          <w:color w:val="auto"/>
          <w:kern w:val="22"/>
          <w:bdr w:val="none" w:sz="0" w:space="0" w:color="auto"/>
          <w:lang w:val="en-GB"/>
        </w:rPr>
        <w:t xml:space="preserve">Kenya </w:t>
      </w:r>
      <w:r w:rsidR="00F94AE4" w:rsidRPr="00DF02C5">
        <w:rPr>
          <w:rFonts w:eastAsia="Calibri" w:hAnsi="Times New Roman"/>
          <w:snapToGrid w:val="0"/>
          <w:color w:val="auto"/>
          <w:kern w:val="22"/>
          <w:bdr w:val="none" w:sz="0" w:space="0" w:color="auto"/>
          <w:lang w:val="en-GB"/>
        </w:rPr>
        <w:t xml:space="preserve">explained </w:t>
      </w:r>
      <w:r w:rsidRPr="00DF02C5">
        <w:rPr>
          <w:rFonts w:eastAsia="Calibri" w:hAnsi="Times New Roman"/>
          <w:snapToGrid w:val="0"/>
          <w:color w:val="auto"/>
          <w:kern w:val="22"/>
          <w:bdr w:val="none" w:sz="0" w:space="0" w:color="auto"/>
          <w:lang w:val="en-GB"/>
        </w:rPr>
        <w:t>that they had some inquiries</w:t>
      </w:r>
      <w:r w:rsidR="000C17EE" w:rsidRPr="00DF02C5">
        <w:rPr>
          <w:rFonts w:eastAsia="Calibri" w:hAnsi="Times New Roman"/>
          <w:snapToGrid w:val="0"/>
          <w:color w:val="auto"/>
          <w:kern w:val="22"/>
          <w:bdr w:val="none" w:sz="0" w:space="0" w:color="auto"/>
          <w:lang w:val="en-GB"/>
        </w:rPr>
        <w:t>,</w:t>
      </w:r>
      <w:r w:rsidRPr="00DF02C5">
        <w:rPr>
          <w:rFonts w:eastAsia="Calibri" w:hAnsi="Times New Roman"/>
          <w:snapToGrid w:val="0"/>
          <w:color w:val="auto"/>
          <w:kern w:val="22"/>
          <w:bdr w:val="none" w:sz="0" w:space="0" w:color="auto"/>
          <w:lang w:val="en-GB"/>
        </w:rPr>
        <w:t xml:space="preserve"> especially </w:t>
      </w:r>
      <w:r w:rsidR="00F94AE4" w:rsidRPr="00DF02C5">
        <w:rPr>
          <w:rFonts w:eastAsia="Calibri" w:hAnsi="Times New Roman"/>
          <w:snapToGrid w:val="0"/>
          <w:color w:val="auto"/>
          <w:kern w:val="22"/>
          <w:bdr w:val="none" w:sz="0" w:space="0" w:color="auto"/>
          <w:lang w:val="en-GB"/>
        </w:rPr>
        <w:t xml:space="preserve">from </w:t>
      </w:r>
      <w:r w:rsidRPr="00DF02C5">
        <w:rPr>
          <w:rFonts w:eastAsia="Calibri" w:hAnsi="Times New Roman"/>
          <w:snapToGrid w:val="0"/>
          <w:color w:val="auto"/>
          <w:kern w:val="22"/>
          <w:bdr w:val="none" w:sz="0" w:space="0" w:color="auto"/>
          <w:lang w:val="en-GB"/>
        </w:rPr>
        <w:t>Kew Gardens</w:t>
      </w:r>
      <w:r w:rsidR="000C17EE" w:rsidRPr="00DF02C5">
        <w:rPr>
          <w:rFonts w:eastAsia="Calibri" w:hAnsi="Times New Roman"/>
          <w:snapToGrid w:val="0"/>
          <w:color w:val="auto"/>
          <w:kern w:val="22"/>
          <w:bdr w:val="none" w:sz="0" w:space="0" w:color="auto"/>
          <w:lang w:val="en-GB"/>
        </w:rPr>
        <w:t>,</w:t>
      </w:r>
      <w:r w:rsidRPr="00DF02C5">
        <w:rPr>
          <w:rFonts w:eastAsia="Calibri" w:hAnsi="Times New Roman"/>
          <w:snapToGrid w:val="0"/>
          <w:color w:val="auto"/>
          <w:kern w:val="22"/>
          <w:bdr w:val="none" w:sz="0" w:space="0" w:color="auto"/>
          <w:lang w:val="en-GB"/>
        </w:rPr>
        <w:t xml:space="preserve"> on materials accessed without appropriate permits from the</w:t>
      </w:r>
      <w:r w:rsidR="000C17EE" w:rsidRPr="00DF02C5">
        <w:rPr>
          <w:rFonts w:eastAsia="Calibri" w:hAnsi="Times New Roman"/>
          <w:snapToGrid w:val="0"/>
          <w:color w:val="auto"/>
          <w:kern w:val="22"/>
          <w:bdr w:val="none" w:sz="0" w:space="0" w:color="auto"/>
          <w:lang w:val="en-GB"/>
        </w:rPr>
        <w:t>ir</w:t>
      </w:r>
      <w:r w:rsidR="00F94AE4" w:rsidRPr="00DF02C5">
        <w:rPr>
          <w:rFonts w:eastAsia="Calibri" w:hAnsi="Times New Roman"/>
          <w:snapToGrid w:val="0"/>
          <w:color w:val="auto"/>
          <w:kern w:val="22"/>
          <w:bdr w:val="none" w:sz="0" w:space="0" w:color="auto"/>
          <w:lang w:val="en-GB"/>
        </w:rPr>
        <w:t xml:space="preserve"> country.</w:t>
      </w:r>
      <w:r w:rsidRPr="00DF02C5">
        <w:rPr>
          <w:rFonts w:eastAsia="Calibri" w:hAnsi="Times New Roman"/>
          <w:snapToGrid w:val="0"/>
          <w:color w:val="auto"/>
          <w:kern w:val="22"/>
          <w:bdr w:val="none" w:sz="0" w:space="0" w:color="auto"/>
          <w:lang w:val="en-GB"/>
        </w:rPr>
        <w:t xml:space="preserve"> Malawi </w:t>
      </w:r>
      <w:r w:rsidR="00F94AE4" w:rsidRPr="00DF02C5">
        <w:rPr>
          <w:rFonts w:eastAsia="Calibri" w:hAnsi="Times New Roman"/>
          <w:snapToGrid w:val="0"/>
          <w:color w:val="auto"/>
          <w:kern w:val="22"/>
          <w:bdr w:val="none" w:sz="0" w:space="0" w:color="auto"/>
          <w:lang w:val="en-GB"/>
        </w:rPr>
        <w:t xml:space="preserve">indicated </w:t>
      </w:r>
      <w:r w:rsidRPr="00DF02C5">
        <w:rPr>
          <w:rFonts w:eastAsia="Calibri" w:hAnsi="Times New Roman"/>
          <w:snapToGrid w:val="0"/>
          <w:color w:val="auto"/>
          <w:kern w:val="22"/>
          <w:bdr w:val="none" w:sz="0" w:space="0" w:color="auto"/>
          <w:lang w:val="en-GB"/>
        </w:rPr>
        <w:t>that the South Africa</w:t>
      </w:r>
      <w:r w:rsidR="00F94AE4" w:rsidRPr="00DF02C5">
        <w:rPr>
          <w:rFonts w:eastAsia="Calibri" w:hAnsi="Times New Roman"/>
          <w:snapToGrid w:val="0"/>
          <w:color w:val="auto"/>
          <w:kern w:val="22"/>
          <w:bdr w:val="none" w:sz="0" w:space="0" w:color="auto"/>
          <w:lang w:val="en-GB"/>
        </w:rPr>
        <w:t>n</w:t>
      </w:r>
      <w:r w:rsidRPr="00DF02C5">
        <w:rPr>
          <w:rFonts w:eastAsia="Calibri" w:hAnsi="Times New Roman"/>
          <w:snapToGrid w:val="0"/>
          <w:color w:val="auto"/>
          <w:kern w:val="22"/>
          <w:bdr w:val="none" w:sz="0" w:space="0" w:color="auto"/>
          <w:lang w:val="en-GB"/>
        </w:rPr>
        <w:t xml:space="preserve"> ABS </w:t>
      </w:r>
      <w:r w:rsidR="008E69C4" w:rsidRPr="00DF02C5">
        <w:rPr>
          <w:rFonts w:eastAsia="Calibri" w:hAnsi="Times New Roman"/>
          <w:snapToGrid w:val="0"/>
          <w:color w:val="auto"/>
          <w:kern w:val="22"/>
          <w:bdr w:val="none" w:sz="0" w:space="0" w:color="auto"/>
          <w:lang w:val="en-GB"/>
        </w:rPr>
        <w:t xml:space="preserve">NFP </w:t>
      </w:r>
      <w:r w:rsidRPr="00DF02C5">
        <w:rPr>
          <w:rFonts w:eastAsia="Calibri" w:hAnsi="Times New Roman"/>
          <w:snapToGrid w:val="0"/>
          <w:color w:val="auto"/>
          <w:kern w:val="22"/>
          <w:bdr w:val="none" w:sz="0" w:space="0" w:color="auto"/>
          <w:lang w:val="en-GB"/>
        </w:rPr>
        <w:t xml:space="preserve">reported </w:t>
      </w:r>
      <w:r w:rsidR="00F94AE4" w:rsidRPr="00DF02C5">
        <w:rPr>
          <w:rFonts w:eastAsia="Calibri" w:hAnsi="Times New Roman"/>
          <w:snapToGrid w:val="0"/>
          <w:color w:val="auto"/>
          <w:kern w:val="22"/>
          <w:bdr w:val="none" w:sz="0" w:space="0" w:color="auto"/>
          <w:lang w:val="en-GB"/>
        </w:rPr>
        <w:t xml:space="preserve">on </w:t>
      </w:r>
      <w:r w:rsidRPr="00DF02C5">
        <w:rPr>
          <w:rFonts w:eastAsia="Calibri" w:hAnsi="Times New Roman"/>
          <w:snapToGrid w:val="0"/>
          <w:color w:val="auto"/>
          <w:kern w:val="22"/>
          <w:bdr w:val="none" w:sz="0" w:space="0" w:color="auto"/>
          <w:lang w:val="en-GB"/>
        </w:rPr>
        <w:t xml:space="preserve">two possible </w:t>
      </w:r>
      <w:r w:rsidR="00F94AE4" w:rsidRPr="00DF02C5">
        <w:rPr>
          <w:rFonts w:eastAsia="Calibri" w:hAnsi="Times New Roman"/>
          <w:snapToGrid w:val="0"/>
          <w:color w:val="auto"/>
          <w:kern w:val="22"/>
          <w:bdr w:val="none" w:sz="0" w:space="0" w:color="auto"/>
          <w:lang w:val="en-GB"/>
        </w:rPr>
        <w:t xml:space="preserve">cases of </w:t>
      </w:r>
      <w:r w:rsidRPr="00DF02C5">
        <w:rPr>
          <w:rFonts w:eastAsia="Calibri" w:hAnsi="Times New Roman"/>
          <w:snapToGrid w:val="0"/>
          <w:color w:val="auto"/>
          <w:kern w:val="22"/>
          <w:bdr w:val="none" w:sz="0" w:space="0" w:color="auto"/>
          <w:lang w:val="en-GB"/>
        </w:rPr>
        <w:t xml:space="preserve">access </w:t>
      </w:r>
      <w:r w:rsidR="00F94AE4" w:rsidRPr="00DF02C5">
        <w:rPr>
          <w:rFonts w:eastAsia="Calibri" w:hAnsi="Times New Roman"/>
          <w:snapToGrid w:val="0"/>
          <w:color w:val="auto"/>
          <w:kern w:val="22"/>
          <w:bdr w:val="none" w:sz="0" w:space="0" w:color="auto"/>
          <w:lang w:val="en-GB"/>
        </w:rPr>
        <w:t xml:space="preserve">to </w:t>
      </w:r>
      <w:r w:rsidRPr="00DF02C5">
        <w:rPr>
          <w:rFonts w:eastAsia="Calibri" w:hAnsi="Times New Roman"/>
          <w:snapToGrid w:val="0"/>
          <w:color w:val="auto"/>
          <w:kern w:val="22"/>
          <w:bdr w:val="none" w:sz="0" w:space="0" w:color="auto"/>
          <w:lang w:val="en-GB"/>
        </w:rPr>
        <w:t xml:space="preserve">biological </w:t>
      </w:r>
      <w:r w:rsidR="00F94AE4" w:rsidRPr="00DF02C5">
        <w:rPr>
          <w:rFonts w:eastAsia="Calibri" w:hAnsi="Times New Roman"/>
          <w:snapToGrid w:val="0"/>
          <w:color w:val="auto"/>
          <w:kern w:val="22"/>
          <w:bdr w:val="none" w:sz="0" w:space="0" w:color="auto"/>
          <w:lang w:val="en-GB"/>
        </w:rPr>
        <w:t xml:space="preserve">resources without PIC or MAT </w:t>
      </w:r>
      <w:r w:rsidRPr="00DF02C5">
        <w:rPr>
          <w:rFonts w:eastAsia="Calibri" w:hAnsi="Times New Roman"/>
          <w:snapToGrid w:val="0"/>
          <w:color w:val="auto"/>
          <w:kern w:val="22"/>
          <w:bdr w:val="none" w:sz="0" w:space="0" w:color="auto"/>
          <w:lang w:val="en-GB"/>
        </w:rPr>
        <w:t>which needed follow</w:t>
      </w:r>
      <w:r w:rsidR="00825D62">
        <w:rPr>
          <w:rFonts w:eastAsia="Calibri" w:hAnsi="Times New Roman"/>
          <w:snapToGrid w:val="0"/>
          <w:color w:val="auto"/>
          <w:kern w:val="22"/>
          <w:bdr w:val="none" w:sz="0" w:space="0" w:color="auto"/>
          <w:lang w:val="en-GB"/>
        </w:rPr>
        <w:noBreakHyphen/>
      </w:r>
      <w:r w:rsidRPr="00DF02C5">
        <w:rPr>
          <w:rFonts w:eastAsia="Calibri" w:hAnsi="Times New Roman"/>
          <w:snapToGrid w:val="0"/>
          <w:color w:val="auto"/>
          <w:kern w:val="22"/>
          <w:bdr w:val="none" w:sz="0" w:space="0" w:color="auto"/>
          <w:lang w:val="en-GB"/>
        </w:rPr>
        <w:t xml:space="preserve">up by the Malawi government. </w:t>
      </w:r>
      <w:r w:rsidR="00F94AE4" w:rsidRPr="00DF02C5">
        <w:rPr>
          <w:rFonts w:eastAsia="Calibri" w:hAnsi="Times New Roman"/>
          <w:snapToGrid w:val="0"/>
          <w:color w:val="auto"/>
          <w:kern w:val="22"/>
          <w:bdr w:val="none" w:sz="0" w:space="0" w:color="auto"/>
          <w:lang w:val="en-GB"/>
        </w:rPr>
        <w:t>In t</w:t>
      </w:r>
      <w:r w:rsidRPr="00DF02C5">
        <w:rPr>
          <w:rFonts w:eastAsia="Calibri" w:hAnsi="Times New Roman"/>
          <w:snapToGrid w:val="0"/>
          <w:color w:val="auto"/>
          <w:kern w:val="22"/>
          <w:bdr w:val="none" w:sz="0" w:space="0" w:color="auto"/>
          <w:lang w:val="en-GB"/>
        </w:rPr>
        <w:t>he first case the user was untraceable</w:t>
      </w:r>
      <w:r w:rsidR="00F94AE4" w:rsidRPr="00DF02C5">
        <w:rPr>
          <w:rFonts w:eastAsia="Calibri" w:hAnsi="Times New Roman"/>
          <w:snapToGrid w:val="0"/>
          <w:color w:val="auto"/>
          <w:kern w:val="22"/>
          <w:bdr w:val="none" w:sz="0" w:space="0" w:color="auto"/>
          <w:lang w:val="en-GB"/>
        </w:rPr>
        <w:t xml:space="preserve">, and in </w:t>
      </w:r>
      <w:r w:rsidRPr="00DF02C5">
        <w:rPr>
          <w:rFonts w:eastAsia="Calibri" w:hAnsi="Times New Roman"/>
          <w:snapToGrid w:val="0"/>
          <w:color w:val="auto"/>
          <w:kern w:val="22"/>
          <w:bdr w:val="none" w:sz="0" w:space="0" w:color="auto"/>
          <w:lang w:val="en-GB"/>
        </w:rPr>
        <w:t xml:space="preserve">the second the user </w:t>
      </w:r>
      <w:r w:rsidR="00F94AE4" w:rsidRPr="00DF02C5">
        <w:rPr>
          <w:rFonts w:eastAsia="Calibri" w:hAnsi="Times New Roman"/>
          <w:snapToGrid w:val="0"/>
          <w:color w:val="auto"/>
          <w:kern w:val="22"/>
          <w:bdr w:val="none" w:sz="0" w:space="0" w:color="auto"/>
          <w:lang w:val="en-GB"/>
        </w:rPr>
        <w:t xml:space="preserve">of the genetic resource was brought </w:t>
      </w:r>
      <w:r w:rsidR="00BE5FE7" w:rsidRPr="00DF02C5">
        <w:rPr>
          <w:rFonts w:eastAsia="Calibri" w:hAnsi="Times New Roman"/>
          <w:snapToGrid w:val="0"/>
          <w:color w:val="auto"/>
          <w:kern w:val="22"/>
          <w:bdr w:val="none" w:sz="0" w:space="0" w:color="auto"/>
          <w:lang w:val="en-GB"/>
        </w:rPr>
        <w:t>in</w:t>
      </w:r>
      <w:r w:rsidR="00F94AE4" w:rsidRPr="00DF02C5">
        <w:rPr>
          <w:rFonts w:eastAsia="Calibri" w:hAnsi="Times New Roman"/>
          <w:snapToGrid w:val="0"/>
          <w:color w:val="auto"/>
          <w:kern w:val="22"/>
          <w:bdr w:val="none" w:sz="0" w:space="0" w:color="auto"/>
          <w:lang w:val="en-GB"/>
        </w:rPr>
        <w:t>to compl</w:t>
      </w:r>
      <w:r w:rsidR="00BE5FE7" w:rsidRPr="00DF02C5">
        <w:rPr>
          <w:rFonts w:eastAsia="Calibri" w:hAnsi="Times New Roman"/>
          <w:snapToGrid w:val="0"/>
          <w:color w:val="auto"/>
          <w:kern w:val="22"/>
          <w:bdr w:val="none" w:sz="0" w:space="0" w:color="auto"/>
          <w:lang w:val="en-GB"/>
        </w:rPr>
        <w:t>iance</w:t>
      </w:r>
      <w:r w:rsidR="00F94AE4" w:rsidRPr="00DF02C5">
        <w:rPr>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with Malawian legislation.</w:t>
      </w:r>
    </w:p>
    <w:p w14:paraId="4F6895BF" w14:textId="789F9719" w:rsidR="00EA65E0" w:rsidRPr="00E17ABD" w:rsidRDefault="00694914" w:rsidP="00034DE8">
      <w:pPr>
        <w:pStyle w:val="Para1"/>
        <w:numPr>
          <w:ilvl w:val="1"/>
          <w:numId w:val="65"/>
        </w:numPr>
        <w:spacing w:before="240"/>
        <w:ind w:left="1094" w:right="90" w:hanging="644"/>
        <w:jc w:val="left"/>
        <w:rPr>
          <w:rFonts w:eastAsia="Calibri" w:hAnsi="Times New Roman"/>
          <w:snapToGrid w:val="0"/>
          <w:color w:val="auto"/>
          <w:kern w:val="22"/>
          <w:bdr w:val="none" w:sz="0" w:space="0" w:color="auto"/>
          <w:lang w:val="en-GB"/>
        </w:rPr>
      </w:pPr>
      <w:r w:rsidRPr="00E17ABD">
        <w:rPr>
          <w:rFonts w:eastAsia="Calibri" w:hAnsi="Times New Roman"/>
          <w:i/>
          <w:snapToGrid w:val="0"/>
          <w:color w:val="auto"/>
          <w:kern w:val="22"/>
          <w:bdr w:val="none" w:sz="0" w:space="0" w:color="auto"/>
          <w:lang w:val="en-GB"/>
        </w:rPr>
        <w:lastRenderedPageBreak/>
        <w:t xml:space="preserve">Has your country taken appropriate, effective and proportionate legislative, administrative or policy measures to ensure that traditional knowledge associated with genetic resources utilized within your jurisdiction has been accessed in accordance with PIC or approval and involvement of indigenous and local communities and that MAT have been established as required by the domestic ABS legislation or regulatory requirements of the other Party where such indigenous and local communities are located as provided in Article 16.1? </w:t>
      </w:r>
      <w:r w:rsidR="00F70A4D" w:rsidRPr="00E17ABD">
        <w:rPr>
          <w:rFonts w:eastAsia="Calibri" w:hAnsi="Times New Roman"/>
          <w:i/>
          <w:snapToGrid w:val="0"/>
          <w:color w:val="auto"/>
          <w:kern w:val="22"/>
          <w:bdr w:val="none" w:sz="0" w:space="0" w:color="auto"/>
          <w:lang w:val="en-GB"/>
        </w:rPr>
        <w:t>(</w:t>
      </w:r>
      <w:r w:rsidR="00EA65E0" w:rsidRPr="00E17ABD">
        <w:rPr>
          <w:rFonts w:eastAsia="Calibri" w:hAnsi="Times New Roman"/>
          <w:i/>
          <w:snapToGrid w:val="0"/>
          <w:color w:val="auto"/>
          <w:kern w:val="22"/>
          <w:bdr w:val="none" w:sz="0" w:space="0" w:color="auto"/>
          <w:lang w:val="en-GB"/>
        </w:rPr>
        <w:t>question 25)</w:t>
      </w:r>
      <w:r w:rsidR="00EA65E0" w:rsidRPr="00E17ABD">
        <w:rPr>
          <w:rFonts w:eastAsia="Calibri" w:hAnsi="Times New Roman"/>
          <w:snapToGrid w:val="0"/>
          <w:color w:val="auto"/>
          <w:kern w:val="22"/>
          <w:bdr w:val="none" w:sz="0" w:space="0" w:color="auto"/>
          <w:lang w:val="en-GB"/>
        </w:rPr>
        <w:t xml:space="preserve"> </w:t>
      </w:r>
    </w:p>
    <w:p w14:paraId="0364668E" w14:textId="65EB31A2" w:rsidR="00E126D8" w:rsidRPr="00DF02C5" w:rsidRDefault="00B16BB1" w:rsidP="00A2498F">
      <w:pPr>
        <w:pStyle w:val="Para1"/>
        <w:numPr>
          <w:ilvl w:val="0"/>
          <w:numId w:val="1"/>
        </w:numPr>
        <w:rPr>
          <w:rFonts w:eastAsia="Calibri" w:hAnsi="Times New Roman"/>
          <w:snapToGrid w:val="0"/>
          <w:color w:val="auto"/>
          <w:kern w:val="22"/>
          <w:bdr w:val="none" w:sz="0" w:space="0" w:color="auto"/>
          <w:lang w:val="en-GB"/>
        </w:rPr>
      </w:pPr>
      <w:proofErr w:type="gramStart"/>
      <w:r w:rsidRPr="00DF02C5">
        <w:rPr>
          <w:rFonts w:eastAsia="Calibri" w:hAnsi="Times New Roman"/>
          <w:snapToGrid w:val="0"/>
          <w:kern w:val="22"/>
          <w:bdr w:val="none" w:sz="0" w:space="0" w:color="auto"/>
          <w:lang w:val="en-GB"/>
        </w:rPr>
        <w:t>Thirty-three</w:t>
      </w:r>
      <w:proofErr w:type="gramEnd"/>
      <w:r w:rsidRPr="00DF02C5">
        <w:rPr>
          <w:rFonts w:eastAsia="Calibri" w:hAnsi="Times New Roman"/>
          <w:snapToGrid w:val="0"/>
          <w:kern w:val="22"/>
          <w:bdr w:val="none" w:sz="0" w:space="0" w:color="auto"/>
          <w:lang w:val="en-GB"/>
        </w:rPr>
        <w:t xml:space="preserve"> Parties and four non-Parties responded that they have taken </w:t>
      </w:r>
      <w:r w:rsidRPr="00DF02C5">
        <w:rPr>
          <w:rFonts w:eastAsia="Calibri" w:hAnsi="Times New Roman"/>
          <w:snapToGrid w:val="0"/>
          <w:color w:val="auto"/>
          <w:kern w:val="22"/>
          <w:bdr w:val="none" w:sz="0" w:space="0" w:color="auto"/>
          <w:lang w:val="en-GB"/>
        </w:rPr>
        <w:t>measures to</w:t>
      </w:r>
      <w:r w:rsidR="00995365" w:rsidRPr="00DF02C5">
        <w:rPr>
          <w:rFonts w:eastAsia="Calibri" w:hAnsi="Times New Roman"/>
          <w:snapToGrid w:val="0"/>
          <w:color w:val="auto"/>
          <w:kern w:val="22"/>
          <w:bdr w:val="none" w:sz="0" w:space="0" w:color="auto"/>
          <w:lang w:val="en-GB"/>
        </w:rPr>
        <w:t xml:space="preserve"> implement Article 16.1 of the Protocol, while </w:t>
      </w:r>
      <w:r w:rsidR="00995365" w:rsidRPr="00DF02C5">
        <w:rPr>
          <w:rFonts w:eastAsia="Calibri" w:hAnsi="Times New Roman"/>
          <w:snapToGrid w:val="0"/>
          <w:kern w:val="22"/>
          <w:bdr w:val="none" w:sz="0" w:space="0" w:color="auto"/>
          <w:lang w:val="en-GB"/>
        </w:rPr>
        <w:t xml:space="preserve">thirty-five Parties and two </w:t>
      </w:r>
      <w:r w:rsidR="00F94113" w:rsidRPr="00DF02C5">
        <w:rPr>
          <w:rFonts w:eastAsia="Calibri" w:hAnsi="Times New Roman"/>
          <w:snapToGrid w:val="0"/>
          <w:kern w:val="22"/>
          <w:bdr w:val="none" w:sz="0" w:space="0" w:color="auto"/>
          <w:lang w:val="en-GB"/>
        </w:rPr>
        <w:t>non-Parties</w:t>
      </w:r>
      <w:r w:rsidR="00995365" w:rsidRPr="00DF02C5">
        <w:rPr>
          <w:rFonts w:eastAsia="Calibri" w:hAnsi="Times New Roman"/>
          <w:snapToGrid w:val="0"/>
          <w:kern w:val="22"/>
          <w:bdr w:val="none" w:sz="0" w:space="0" w:color="auto"/>
          <w:lang w:val="en-GB"/>
        </w:rPr>
        <w:t xml:space="preserve"> reported not having taken measures</w:t>
      </w:r>
      <w:r w:rsidR="00E126D8" w:rsidRPr="00DF02C5">
        <w:rPr>
          <w:rFonts w:eastAsia="Calibri" w:hAnsi="Times New Roman"/>
          <w:snapToGrid w:val="0"/>
          <w:kern w:val="22"/>
          <w:bdr w:val="none" w:sz="0" w:space="0" w:color="auto"/>
          <w:lang w:val="en-GB"/>
        </w:rPr>
        <w:t>.</w:t>
      </w:r>
      <w:r w:rsidR="00E126D8" w:rsidRPr="00DF02C5">
        <w:rPr>
          <w:rFonts w:eastAsia="Calibri" w:hAnsi="Times New Roman"/>
          <w:snapToGrid w:val="0"/>
          <w:color w:val="auto"/>
          <w:kern w:val="22"/>
          <w:bdr w:val="none" w:sz="0" w:space="0" w:color="auto"/>
          <w:lang w:val="en-GB"/>
        </w:rPr>
        <w:t xml:space="preserve"> Answers provided were similar to those provided under question 24 above.</w:t>
      </w:r>
    </w:p>
    <w:p w14:paraId="37733694" w14:textId="03AFC225" w:rsidR="00B16BB1" w:rsidRPr="00DF02C5" w:rsidRDefault="007D5F65" w:rsidP="00E5256F">
      <w:pPr>
        <w:pStyle w:val="Caption"/>
        <w:keepNext/>
        <w:keepLines/>
        <w:rPr>
          <w:snapToGrid w:val="0"/>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00E5256F" w:rsidRPr="00DF02C5">
        <w:rPr>
          <w:noProof/>
          <w:lang w:val="en-GB"/>
        </w:rPr>
        <w:t>19</w:t>
      </w:r>
      <w:r w:rsidRPr="00DF02C5">
        <w:rPr>
          <w:lang w:val="en-GB"/>
        </w:rPr>
        <w:fldChar w:fldCharType="end"/>
      </w:r>
      <w:r w:rsidR="00E126D8" w:rsidRPr="00DF02C5">
        <w:rPr>
          <w:snapToGrid w:val="0"/>
          <w:bdr w:val="none" w:sz="0" w:space="0" w:color="auto"/>
          <w:lang w:val="en-GB"/>
        </w:rPr>
        <w:t>: Measures to implement Article 16.1 of the Protocol (percentage of countries)</w:t>
      </w:r>
    </w:p>
    <w:p w14:paraId="47763B81" w14:textId="1DD5A63F" w:rsidR="00306527" w:rsidRPr="00DF02C5" w:rsidRDefault="00306527" w:rsidP="00E126D8">
      <w:pPr>
        <w:pStyle w:val="Para1"/>
        <w:jc w:val="center"/>
        <w:rPr>
          <w:rFonts w:eastAsia="Calibri" w:hAnsi="Times New Roman"/>
          <w:snapToGrid w:val="0"/>
          <w:kern w:val="22"/>
          <w:bdr w:val="none" w:sz="0" w:space="0" w:color="auto"/>
          <w:lang w:val="en-GB"/>
        </w:rPr>
      </w:pPr>
      <w:r w:rsidRPr="00DF02C5">
        <w:rPr>
          <w:noProof/>
        </w:rPr>
        <w:drawing>
          <wp:inline distT="0" distB="0" distL="0" distR="0" wp14:anchorId="28578552" wp14:editId="2438926C">
            <wp:extent cx="3286125" cy="1866900"/>
            <wp:effectExtent l="0" t="0" r="9525" b="1905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9F0E58C" w14:textId="61D0AF03" w:rsidR="00E126D8" w:rsidRPr="00DF02C5" w:rsidRDefault="00E126D8" w:rsidP="00E126D8">
      <w:pPr>
        <w:pStyle w:val="Para1"/>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t>(a)</w:t>
      </w:r>
      <w:r w:rsidRPr="00DF02C5">
        <w:rPr>
          <w:rFonts w:eastAsia="Calibri" w:hAnsi="Times New Roman"/>
          <w:i/>
          <w:snapToGrid w:val="0"/>
          <w:color w:val="auto"/>
          <w:kern w:val="22"/>
          <w:bdr w:val="none" w:sz="0" w:space="0" w:color="auto"/>
          <w:lang w:val="en-GB"/>
        </w:rPr>
        <w:tab/>
        <w:t>Countries that answered “yes”</w:t>
      </w:r>
    </w:p>
    <w:p w14:paraId="417B246C" w14:textId="0EB9A765" w:rsidR="00F94113" w:rsidRPr="00DF02C5" w:rsidRDefault="00F94113" w:rsidP="00A2498F">
      <w:pPr>
        <w:pStyle w:val="Para1"/>
        <w:numPr>
          <w:ilvl w:val="0"/>
          <w:numId w:val="1"/>
        </w:numPr>
        <w:rPr>
          <w:rFonts w:eastAsia="Calibri" w:hAnsi="Times New Roman"/>
          <w:i/>
          <w:snapToGrid w:val="0"/>
          <w:color w:val="000000" w:themeColor="text1"/>
          <w:kern w:val="22"/>
          <w:bdr w:val="none" w:sz="0" w:space="0" w:color="auto"/>
          <w:lang w:val="en-GB"/>
        </w:rPr>
      </w:pPr>
      <w:r w:rsidRPr="00DF02C5">
        <w:rPr>
          <w:rFonts w:eastAsia="Calibri" w:hAnsi="Times New Roman"/>
          <w:snapToGrid w:val="0"/>
          <w:color w:val="auto"/>
          <w:kern w:val="22"/>
          <w:bdr w:val="none" w:sz="0" w:space="0" w:color="auto"/>
          <w:lang w:val="en-GB"/>
        </w:rPr>
        <w:t xml:space="preserve">Some </w:t>
      </w:r>
      <w:r w:rsidR="00EA65E0" w:rsidRPr="00DF02C5">
        <w:rPr>
          <w:rFonts w:eastAsia="Calibri" w:hAnsi="Times New Roman"/>
          <w:snapToGrid w:val="0"/>
          <w:color w:val="auto"/>
          <w:kern w:val="22"/>
          <w:bdr w:val="none" w:sz="0" w:space="0" w:color="auto"/>
          <w:lang w:val="en-GB"/>
        </w:rPr>
        <w:t xml:space="preserve">countries </w:t>
      </w:r>
      <w:proofErr w:type="gramStart"/>
      <w:r w:rsidR="00EA65E0" w:rsidRPr="00DF02C5">
        <w:rPr>
          <w:rFonts w:eastAsia="Calibri" w:hAnsi="Times New Roman"/>
          <w:snapToGrid w:val="0"/>
          <w:color w:val="auto"/>
          <w:kern w:val="22"/>
          <w:bdr w:val="none" w:sz="0" w:space="0" w:color="auto"/>
          <w:lang w:val="en-GB"/>
        </w:rPr>
        <w:t>made reference</w:t>
      </w:r>
      <w:proofErr w:type="gramEnd"/>
      <w:r w:rsidR="00EA65E0" w:rsidRPr="00DF02C5">
        <w:rPr>
          <w:rFonts w:eastAsia="Calibri" w:hAnsi="Times New Roman"/>
          <w:snapToGrid w:val="0"/>
          <w:color w:val="auto"/>
          <w:kern w:val="22"/>
          <w:bdr w:val="none" w:sz="0" w:space="0" w:color="auto"/>
          <w:lang w:val="en-GB"/>
        </w:rPr>
        <w:t xml:space="preserve"> to relevant existing measures</w:t>
      </w:r>
      <w:r w:rsidR="00F868AC">
        <w:rPr>
          <w:rFonts w:eastAsia="Calibri" w:hAnsi="Times New Roman"/>
          <w:snapToGrid w:val="0"/>
          <w:color w:val="auto"/>
          <w:kern w:val="22"/>
          <w:bdr w:val="none" w:sz="0" w:space="0" w:color="auto"/>
          <w:lang w:val="en-GB"/>
        </w:rPr>
        <w:t>,</w:t>
      </w:r>
      <w:r w:rsidR="00553303" w:rsidRPr="00DF02C5">
        <w:rPr>
          <w:rStyle w:val="FootnoteReference"/>
          <w:rFonts w:eastAsia="Calibri" w:hAnsi="Times New Roman"/>
          <w:snapToGrid w:val="0"/>
          <w:color w:val="auto"/>
          <w:kern w:val="22"/>
          <w:bdr w:val="none" w:sz="0" w:space="0" w:color="auto"/>
          <w:lang w:val="en-GB"/>
        </w:rPr>
        <w:footnoteReference w:id="188"/>
      </w:r>
      <w:r w:rsidR="00EA65E0" w:rsidRPr="00DF02C5">
        <w:rPr>
          <w:rFonts w:eastAsia="Calibri" w:hAnsi="Times New Roman"/>
          <w:snapToGrid w:val="0"/>
          <w:color w:val="auto"/>
          <w:kern w:val="22"/>
          <w:bdr w:val="none" w:sz="0" w:space="0" w:color="auto"/>
          <w:lang w:val="en-GB"/>
        </w:rPr>
        <w:t xml:space="preserve"> or draft measures or processes underway</w:t>
      </w:r>
      <w:r w:rsidR="00F868AC">
        <w:rPr>
          <w:rFonts w:eastAsia="Calibri" w:hAnsi="Times New Roman"/>
          <w:snapToGrid w:val="0"/>
          <w:color w:val="auto"/>
          <w:kern w:val="22"/>
          <w:bdr w:val="none" w:sz="0" w:space="0" w:color="auto"/>
          <w:lang w:val="en-GB"/>
        </w:rPr>
        <w:t>.</w:t>
      </w:r>
      <w:r w:rsidR="00EA65E0" w:rsidRPr="00DF02C5">
        <w:rPr>
          <w:rStyle w:val="FootnoteReference"/>
          <w:rFonts w:eastAsia="Calibri" w:hAnsi="Times New Roman"/>
          <w:snapToGrid w:val="0"/>
          <w:color w:val="auto"/>
          <w:kern w:val="22"/>
          <w:bdr w:val="none" w:sz="0" w:space="0" w:color="auto"/>
          <w:lang w:val="en-GB"/>
        </w:rPr>
        <w:footnoteReference w:id="189"/>
      </w:r>
      <w:r w:rsidRPr="00DF02C5">
        <w:rPr>
          <w:rFonts w:eastAsia="Calibri" w:hAnsi="Times New Roman"/>
          <w:snapToGrid w:val="0"/>
          <w:color w:val="auto"/>
          <w:kern w:val="22"/>
          <w:bdr w:val="none" w:sz="0" w:space="0" w:color="auto"/>
          <w:lang w:val="en-GB"/>
        </w:rPr>
        <w:t xml:space="preserve"> Very few countries provided additional information.</w:t>
      </w:r>
    </w:p>
    <w:p w14:paraId="1DEF1855" w14:textId="31AA2566" w:rsidR="00F94113" w:rsidRPr="00DF02C5" w:rsidRDefault="00F94113" w:rsidP="00F94113">
      <w:pPr>
        <w:pStyle w:val="Para1"/>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t>(b)</w:t>
      </w:r>
      <w:r w:rsidRPr="00DF02C5">
        <w:rPr>
          <w:rFonts w:eastAsia="Calibri" w:hAnsi="Times New Roman"/>
          <w:i/>
          <w:snapToGrid w:val="0"/>
          <w:color w:val="auto"/>
          <w:kern w:val="22"/>
          <w:bdr w:val="none" w:sz="0" w:space="0" w:color="auto"/>
          <w:lang w:val="en-GB"/>
        </w:rPr>
        <w:tab/>
        <w:t>Countries that answered “no”</w:t>
      </w:r>
    </w:p>
    <w:p w14:paraId="42D2FAAF" w14:textId="661FA401" w:rsidR="00F94113" w:rsidRPr="00DF02C5" w:rsidRDefault="00F94113"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Many countries indicated that are planning to address this issue.</w:t>
      </w:r>
      <w:r w:rsidRPr="00DF02C5">
        <w:rPr>
          <w:rStyle w:val="FootnoteReference"/>
          <w:rFonts w:eastAsia="Calibri" w:hAnsi="Times New Roman"/>
          <w:snapToGrid w:val="0"/>
          <w:color w:val="auto"/>
          <w:kern w:val="22"/>
          <w:bdr w:val="none" w:sz="0" w:space="0" w:color="auto"/>
          <w:lang w:val="en-GB"/>
        </w:rPr>
        <w:footnoteReference w:id="190"/>
      </w:r>
      <w:r w:rsidRPr="00DF02C5">
        <w:rPr>
          <w:rFonts w:eastAsia="Calibri" w:hAnsi="Times New Roman"/>
          <w:snapToGrid w:val="0"/>
          <w:color w:val="auto"/>
          <w:kern w:val="22"/>
          <w:bdr w:val="none" w:sz="0" w:space="0" w:color="auto"/>
          <w:lang w:val="en-GB"/>
        </w:rPr>
        <w:t xml:space="preserve">  One country stated that the question was not applicable as the country does not have indigenous and local communities</w:t>
      </w:r>
      <w:r w:rsidRPr="00DF02C5">
        <w:rPr>
          <w:rStyle w:val="FootnoteReference"/>
          <w:rFonts w:eastAsia="Calibri" w:hAnsi="Times New Roman"/>
          <w:snapToGrid w:val="0"/>
          <w:kern w:val="22"/>
          <w:bdr w:val="none" w:sz="0" w:space="0" w:color="auto"/>
          <w:lang w:val="en-GB"/>
        </w:rPr>
        <w:footnoteReference w:id="191"/>
      </w:r>
      <w:r w:rsidR="00034DE8">
        <w:rPr>
          <w:rFonts w:eastAsia="Calibri" w:hAnsi="Times New Roman"/>
          <w:snapToGrid w:val="0"/>
          <w:kern w:val="22"/>
          <w:bdr w:val="none" w:sz="0" w:space="0" w:color="auto"/>
          <w:lang w:val="en-GB"/>
        </w:rPr>
        <w:t xml:space="preserve"> </w:t>
      </w:r>
      <w:r w:rsidRPr="00DF02C5">
        <w:rPr>
          <w:rFonts w:eastAsia="Calibri" w:hAnsi="Times New Roman"/>
          <w:snapToGrid w:val="0"/>
          <w:kern w:val="22"/>
          <w:bdr w:val="none" w:sz="0" w:space="0" w:color="auto"/>
          <w:lang w:val="en-GB"/>
        </w:rPr>
        <w:t>and another expressed the need to clarify the notion of indigenous and local communities in their national context</w:t>
      </w:r>
      <w:r w:rsidR="00034DE8">
        <w:rPr>
          <w:rFonts w:eastAsia="Calibri" w:hAnsi="Times New Roman"/>
          <w:snapToGrid w:val="0"/>
          <w:kern w:val="22"/>
          <w:bdr w:val="none" w:sz="0" w:space="0" w:color="auto"/>
          <w:lang w:val="en-GB"/>
        </w:rPr>
        <w:t>.</w:t>
      </w:r>
      <w:r w:rsidRPr="00DF02C5">
        <w:rPr>
          <w:rStyle w:val="FootnoteReference"/>
          <w:rFonts w:eastAsia="Calibri" w:hAnsi="Times New Roman"/>
          <w:snapToGrid w:val="0"/>
          <w:kern w:val="22"/>
          <w:bdr w:val="none" w:sz="0" w:space="0" w:color="auto"/>
          <w:lang w:val="en-GB"/>
        </w:rPr>
        <w:footnoteReference w:id="192"/>
      </w:r>
      <w:r w:rsidRPr="00DF02C5">
        <w:rPr>
          <w:rFonts w:eastAsia="Calibri" w:hAnsi="Times New Roman"/>
          <w:snapToGrid w:val="0"/>
          <w:kern w:val="22"/>
          <w:bdr w:val="none" w:sz="0" w:space="0" w:color="auto"/>
          <w:lang w:val="en-GB"/>
        </w:rPr>
        <w:t xml:space="preserve"> </w:t>
      </w:r>
    </w:p>
    <w:p w14:paraId="20BD3CC0" w14:textId="7D083FB5" w:rsidR="00EA65E0" w:rsidRPr="009C15FF" w:rsidRDefault="00F94113" w:rsidP="009C15FF">
      <w:pPr>
        <w:pStyle w:val="Para1"/>
        <w:numPr>
          <w:ilvl w:val="1"/>
          <w:numId w:val="65"/>
        </w:numPr>
        <w:spacing w:before="240"/>
        <w:ind w:left="1094" w:hanging="547"/>
        <w:rPr>
          <w:rFonts w:ascii="&amp;quot" w:eastAsia="Times New Roman" w:hAnsi="&amp;quot"/>
          <w:bCs/>
          <w:i/>
          <w:color w:val="000000" w:themeColor="text1"/>
          <w:sz w:val="21"/>
          <w:szCs w:val="21"/>
          <w:bdr w:val="none" w:sz="0" w:space="0" w:color="auto"/>
          <w:lang w:val="en-GB" w:eastAsia="en-CA"/>
        </w:rPr>
      </w:pPr>
      <w:r w:rsidRPr="009C15FF">
        <w:rPr>
          <w:rFonts w:eastAsia="Calibri" w:hAnsi="Times New Roman"/>
          <w:i/>
          <w:snapToGrid w:val="0"/>
          <w:color w:val="auto"/>
          <w:kern w:val="22"/>
          <w:bdr w:val="none" w:sz="0" w:space="0" w:color="auto"/>
          <w:lang w:val="en-GB"/>
        </w:rPr>
        <w:t>Indicate whether your country has taken measures to address situations of non-compliance with those measures as provided in</w:t>
      </w:r>
      <w:r w:rsidR="004E1057" w:rsidRPr="009C15FF">
        <w:rPr>
          <w:rFonts w:eastAsia="Calibri" w:hAnsi="Times New Roman"/>
          <w:i/>
          <w:snapToGrid w:val="0"/>
          <w:color w:val="auto"/>
          <w:kern w:val="22"/>
          <w:bdr w:val="none" w:sz="0" w:space="0" w:color="auto"/>
          <w:lang w:val="en-GB"/>
        </w:rPr>
        <w:t xml:space="preserve"> Article 16.2</w:t>
      </w:r>
      <w:r w:rsidR="00756B08" w:rsidRPr="009C15FF">
        <w:rPr>
          <w:rFonts w:eastAsia="Calibri" w:hAnsi="Times New Roman"/>
          <w:i/>
          <w:snapToGrid w:val="0"/>
          <w:color w:val="auto"/>
          <w:kern w:val="22"/>
          <w:bdr w:val="none" w:sz="0" w:space="0" w:color="auto"/>
          <w:lang w:val="en-GB"/>
        </w:rPr>
        <w:t xml:space="preserve"> (question 25)</w:t>
      </w:r>
    </w:p>
    <w:p w14:paraId="4B3FCD4C" w14:textId="3C8F2749" w:rsidR="00BE00D2" w:rsidRPr="00DF02C5" w:rsidRDefault="00F94113" w:rsidP="00A2498F">
      <w:pPr>
        <w:pStyle w:val="Para1"/>
        <w:numPr>
          <w:ilvl w:val="0"/>
          <w:numId w:val="1"/>
        </w:numPr>
        <w:rPr>
          <w:rFonts w:eastAsia="Calibri" w:hAnsi="Times New Roman"/>
          <w:snapToGrid w:val="0"/>
          <w:color w:val="auto"/>
          <w:kern w:val="22"/>
          <w:bdr w:val="none" w:sz="0" w:space="0" w:color="auto"/>
          <w:lang w:val="en-GB"/>
        </w:rPr>
      </w:pPr>
      <w:proofErr w:type="gramStart"/>
      <w:r w:rsidRPr="00DF02C5">
        <w:rPr>
          <w:rFonts w:eastAsia="Calibri" w:hAnsi="Times New Roman"/>
          <w:snapToGrid w:val="0"/>
          <w:color w:val="auto"/>
          <w:kern w:val="22"/>
          <w:bdr w:val="none" w:sz="0" w:space="0" w:color="auto"/>
          <w:lang w:val="en-GB"/>
        </w:rPr>
        <w:t>Thirty-three</w:t>
      </w:r>
      <w:proofErr w:type="gramEnd"/>
      <w:r w:rsidRPr="00DF02C5">
        <w:rPr>
          <w:rFonts w:eastAsia="Calibri" w:hAnsi="Times New Roman"/>
          <w:snapToGrid w:val="0"/>
          <w:color w:val="auto"/>
          <w:kern w:val="22"/>
          <w:bdr w:val="none" w:sz="0" w:space="0" w:color="auto"/>
          <w:lang w:val="en-GB"/>
        </w:rPr>
        <w:t xml:space="preserve"> Parties and four non-Parties responded that they have taken measures to implement Article 16.1 of the Protocol</w:t>
      </w:r>
      <w:r w:rsidR="002D17E1">
        <w:rPr>
          <w:rFonts w:eastAsia="Calibri" w:hAnsi="Times New Roman"/>
          <w:snapToGrid w:val="0"/>
          <w:color w:val="auto"/>
          <w:kern w:val="22"/>
          <w:bdr w:val="none" w:sz="0" w:space="0" w:color="auto"/>
          <w:lang w:val="en-GB"/>
        </w:rPr>
        <w:t xml:space="preserve"> and answered this question</w:t>
      </w:r>
      <w:r w:rsidRPr="00DF02C5">
        <w:rPr>
          <w:rFonts w:eastAsia="Calibri" w:hAnsi="Times New Roman"/>
          <w:snapToGrid w:val="0"/>
          <w:color w:val="auto"/>
          <w:kern w:val="22"/>
          <w:bdr w:val="none" w:sz="0" w:space="0" w:color="auto"/>
          <w:lang w:val="en-GB"/>
        </w:rPr>
        <w:t xml:space="preserve">. </w:t>
      </w:r>
      <w:r w:rsidR="00BE00D2" w:rsidRPr="00DF02C5">
        <w:rPr>
          <w:rFonts w:eastAsia="Calibri" w:hAnsi="Times New Roman"/>
          <w:snapToGrid w:val="0"/>
          <w:color w:val="auto"/>
          <w:kern w:val="22"/>
          <w:bdr w:val="none" w:sz="0" w:space="0" w:color="auto"/>
          <w:lang w:val="en-GB"/>
        </w:rPr>
        <w:t>Of those countries, twenty-eight Parties and four non-Parties reported having taken measures to address situations of non-compliance with measures provided in Article 16.2</w:t>
      </w:r>
      <w:r w:rsidR="004E1057" w:rsidRPr="00DF02C5">
        <w:rPr>
          <w:rFonts w:eastAsia="Calibri" w:hAnsi="Times New Roman"/>
          <w:snapToGrid w:val="0"/>
          <w:color w:val="auto"/>
          <w:kern w:val="22"/>
          <w:bdr w:val="none" w:sz="0" w:space="0" w:color="auto"/>
          <w:lang w:val="en-GB"/>
        </w:rPr>
        <w:t>.</w:t>
      </w:r>
    </w:p>
    <w:p w14:paraId="6B9CA08A" w14:textId="0BDD302F" w:rsidR="00F94113" w:rsidRPr="00DF02C5" w:rsidRDefault="007D5F65" w:rsidP="00E5256F">
      <w:pPr>
        <w:pStyle w:val="Caption"/>
        <w:keepNext/>
        <w:keepLines/>
        <w:rPr>
          <w:snapToGrid w:val="0"/>
          <w:bdr w:val="none" w:sz="0" w:space="0" w:color="auto"/>
          <w:lang w:val="en-GB"/>
        </w:rPr>
      </w:pPr>
      <w:r w:rsidRPr="00DF02C5">
        <w:rPr>
          <w:lang w:val="en-GB"/>
        </w:rPr>
        <w:lastRenderedPageBreak/>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00E5256F" w:rsidRPr="00DF02C5">
        <w:rPr>
          <w:noProof/>
          <w:lang w:val="en-GB"/>
        </w:rPr>
        <w:t>20</w:t>
      </w:r>
      <w:r w:rsidRPr="00DF02C5">
        <w:rPr>
          <w:lang w:val="en-GB"/>
        </w:rPr>
        <w:fldChar w:fldCharType="end"/>
      </w:r>
      <w:r w:rsidR="00F94113" w:rsidRPr="00DF02C5">
        <w:rPr>
          <w:snapToGrid w:val="0"/>
          <w:bdr w:val="none" w:sz="0" w:space="0" w:color="auto"/>
          <w:lang w:val="en-GB"/>
        </w:rPr>
        <w:t>: Measures to implement Article 16.2 of the Protocol (percentage of countries)</w:t>
      </w:r>
    </w:p>
    <w:p w14:paraId="41F7698C" w14:textId="4B98EED5" w:rsidR="00306527" w:rsidRPr="00DF02C5" w:rsidRDefault="00306527" w:rsidP="00F94113">
      <w:pPr>
        <w:pStyle w:val="Para1"/>
        <w:jc w:val="center"/>
        <w:rPr>
          <w:rFonts w:eastAsia="Calibri" w:hAnsi="Times New Roman"/>
          <w:snapToGrid w:val="0"/>
          <w:color w:val="auto"/>
          <w:kern w:val="22"/>
          <w:bdr w:val="none" w:sz="0" w:space="0" w:color="auto"/>
          <w:lang w:val="en-GB"/>
        </w:rPr>
      </w:pPr>
      <w:r w:rsidRPr="00DF02C5">
        <w:rPr>
          <w:noProof/>
        </w:rPr>
        <w:drawing>
          <wp:inline distT="0" distB="0" distL="0" distR="0" wp14:anchorId="450F4C74" wp14:editId="307E6E3E">
            <wp:extent cx="3305175" cy="1943100"/>
            <wp:effectExtent l="0" t="0" r="9525" b="19050"/>
            <wp:docPr id="71" name="Chart 71">
              <a:extLst xmlns:a="http://schemas.openxmlformats.org/drawingml/2006/main">
                <a:ext uri="{FF2B5EF4-FFF2-40B4-BE49-F238E27FC236}">
                  <a16:creationId xmlns:a16="http://schemas.microsoft.com/office/drawing/2014/main" id="{00000000-0008-0000-06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F017F26" w14:textId="300226B0" w:rsidR="00EA65E0" w:rsidRPr="00034DE8" w:rsidRDefault="00EA65E0" w:rsidP="00034DE8">
      <w:pPr>
        <w:pStyle w:val="Para1"/>
        <w:numPr>
          <w:ilvl w:val="1"/>
          <w:numId w:val="65"/>
        </w:numPr>
        <w:spacing w:before="240"/>
        <w:ind w:hanging="634"/>
        <w:rPr>
          <w:rFonts w:eastAsia="Calibri" w:hAnsi="Times New Roman"/>
          <w:i/>
          <w:snapToGrid w:val="0"/>
          <w:color w:val="auto"/>
          <w:kern w:val="22"/>
          <w:bdr w:val="none" w:sz="0" w:space="0" w:color="auto"/>
          <w:lang w:val="en-GB"/>
        </w:rPr>
      </w:pPr>
      <w:r w:rsidRPr="00034DE8">
        <w:rPr>
          <w:rFonts w:eastAsia="Calibri" w:hAnsi="Times New Roman"/>
          <w:i/>
          <w:snapToGrid w:val="0"/>
          <w:color w:val="auto"/>
          <w:kern w:val="22"/>
          <w:bdr w:val="none" w:sz="0" w:space="0" w:color="auto"/>
          <w:lang w:val="en-GB"/>
        </w:rPr>
        <w:t xml:space="preserve">Has your country cooperated in specific cases of alleged violation of ABS measures as provided in Article </w:t>
      </w:r>
      <w:r w:rsidRPr="00034DE8">
        <w:rPr>
          <w:rFonts w:ascii="&amp;quot" w:eastAsia="Times New Roman" w:hAnsi="&amp;quot"/>
          <w:bCs/>
          <w:i/>
          <w:color w:val="000000" w:themeColor="text1"/>
          <w:sz w:val="21"/>
          <w:szCs w:val="21"/>
          <w:bdr w:val="none" w:sz="0" w:space="0" w:color="auto"/>
          <w:lang w:val="en-GB" w:eastAsia="en-CA"/>
        </w:rPr>
        <w:t>16</w:t>
      </w:r>
      <w:r w:rsidR="004E1057" w:rsidRPr="00034DE8">
        <w:rPr>
          <w:rFonts w:eastAsia="Calibri" w:hAnsi="Times New Roman"/>
          <w:i/>
          <w:snapToGrid w:val="0"/>
          <w:color w:val="auto"/>
          <w:kern w:val="22"/>
          <w:bdr w:val="none" w:sz="0" w:space="0" w:color="auto"/>
          <w:lang w:val="en-GB"/>
        </w:rPr>
        <w:t>.3?</w:t>
      </w:r>
      <w:r w:rsidR="00756B08" w:rsidRPr="00034DE8">
        <w:rPr>
          <w:rFonts w:eastAsia="Calibri" w:hAnsi="Times New Roman"/>
          <w:i/>
          <w:snapToGrid w:val="0"/>
          <w:color w:val="auto"/>
          <w:kern w:val="22"/>
          <w:bdr w:val="none" w:sz="0" w:space="0" w:color="auto"/>
          <w:lang w:val="en-GB"/>
        </w:rPr>
        <w:t xml:space="preserve"> (question 25)</w:t>
      </w:r>
    </w:p>
    <w:p w14:paraId="47778CB3" w14:textId="5169EAE5" w:rsidR="00EA65E0" w:rsidRPr="00DF02C5" w:rsidRDefault="004E1057" w:rsidP="00A2498F">
      <w:pPr>
        <w:pStyle w:val="Para1"/>
        <w:numPr>
          <w:ilvl w:val="0"/>
          <w:numId w:val="1"/>
        </w:numPr>
        <w:rPr>
          <w:rFonts w:eastAsia="Calibri" w:hAnsi="Times New Roman"/>
          <w:snapToGrid w:val="0"/>
          <w:color w:val="auto"/>
          <w:kern w:val="22"/>
          <w:bdr w:val="none" w:sz="0" w:space="0" w:color="auto"/>
          <w:lang w:val="en-GB"/>
        </w:rPr>
      </w:pPr>
      <w:proofErr w:type="gramStart"/>
      <w:r w:rsidRPr="00DF02C5">
        <w:rPr>
          <w:rFonts w:eastAsia="Calibri" w:hAnsi="Times New Roman"/>
          <w:snapToGrid w:val="0"/>
          <w:color w:val="auto"/>
          <w:kern w:val="22"/>
          <w:bdr w:val="none" w:sz="0" w:space="0" w:color="auto"/>
          <w:lang w:val="en-GB"/>
        </w:rPr>
        <w:t>Thirty-three</w:t>
      </w:r>
      <w:proofErr w:type="gramEnd"/>
      <w:r w:rsidRPr="00DF02C5">
        <w:rPr>
          <w:rFonts w:eastAsia="Calibri" w:hAnsi="Times New Roman"/>
          <w:snapToGrid w:val="0"/>
          <w:color w:val="auto"/>
          <w:kern w:val="22"/>
          <w:bdr w:val="none" w:sz="0" w:space="0" w:color="auto"/>
          <w:lang w:val="en-GB"/>
        </w:rPr>
        <w:t xml:space="preserve"> Parties and four non-Parties responded that they have taken measures to implement Article 16.1 of the Protocol</w:t>
      </w:r>
      <w:r w:rsidR="002D17E1">
        <w:rPr>
          <w:rFonts w:eastAsia="Calibri" w:hAnsi="Times New Roman"/>
          <w:snapToGrid w:val="0"/>
          <w:color w:val="auto"/>
          <w:kern w:val="22"/>
          <w:bdr w:val="none" w:sz="0" w:space="0" w:color="auto"/>
          <w:lang w:val="en-GB"/>
        </w:rPr>
        <w:t xml:space="preserve"> and answered this question</w:t>
      </w:r>
      <w:r w:rsidRPr="00DF02C5">
        <w:rPr>
          <w:rFonts w:eastAsia="Calibri" w:hAnsi="Times New Roman"/>
          <w:snapToGrid w:val="0"/>
          <w:color w:val="auto"/>
          <w:kern w:val="22"/>
          <w:bdr w:val="none" w:sz="0" w:space="0" w:color="auto"/>
          <w:lang w:val="en-GB"/>
        </w:rPr>
        <w:t>. Of those countries, o</w:t>
      </w:r>
      <w:r w:rsidR="001C0FEB" w:rsidRPr="00DF02C5">
        <w:rPr>
          <w:rFonts w:eastAsia="Calibri" w:hAnsi="Times New Roman"/>
          <w:snapToGrid w:val="0"/>
          <w:color w:val="auto"/>
          <w:kern w:val="22"/>
          <w:bdr w:val="none" w:sz="0" w:space="0" w:color="auto"/>
          <w:lang w:val="en-GB"/>
        </w:rPr>
        <w:t>nly two reported having cooperated in specific cases of alleged violation of ABS measures as provided in Article 16.3.</w:t>
      </w:r>
    </w:p>
    <w:p w14:paraId="1CB7A9D3" w14:textId="29DA23A6" w:rsidR="008E4F2D" w:rsidRPr="00DF02C5" w:rsidRDefault="007D5F65" w:rsidP="00E5256F">
      <w:pPr>
        <w:pStyle w:val="Caption"/>
        <w:keepNext/>
        <w:keepLines/>
        <w:rPr>
          <w:snapToGrid w:val="0"/>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00E5256F" w:rsidRPr="00DF02C5">
        <w:rPr>
          <w:noProof/>
          <w:lang w:val="en-GB"/>
        </w:rPr>
        <w:t>21</w:t>
      </w:r>
      <w:r w:rsidRPr="00DF02C5">
        <w:rPr>
          <w:lang w:val="en-GB"/>
        </w:rPr>
        <w:fldChar w:fldCharType="end"/>
      </w:r>
      <w:r w:rsidR="008E4F2D" w:rsidRPr="00DF02C5">
        <w:rPr>
          <w:snapToGrid w:val="0"/>
          <w:bdr w:val="none" w:sz="0" w:space="0" w:color="auto"/>
          <w:lang w:val="en-GB"/>
        </w:rPr>
        <w:t>: Measures to implement Article 16.3 of the Protocol (percentage of countries)</w:t>
      </w:r>
    </w:p>
    <w:p w14:paraId="4F69BCF7" w14:textId="61AB04EF" w:rsidR="00587EC4" w:rsidRPr="00DF02C5" w:rsidRDefault="00587EC4" w:rsidP="008E4F2D">
      <w:pPr>
        <w:pStyle w:val="Para1"/>
        <w:jc w:val="center"/>
        <w:rPr>
          <w:rFonts w:eastAsia="Calibri" w:hAnsi="Times New Roman"/>
          <w:snapToGrid w:val="0"/>
          <w:color w:val="auto"/>
          <w:kern w:val="22"/>
          <w:bdr w:val="none" w:sz="0" w:space="0" w:color="auto"/>
          <w:lang w:val="en-GB"/>
        </w:rPr>
      </w:pPr>
      <w:r w:rsidRPr="00DF02C5">
        <w:rPr>
          <w:noProof/>
        </w:rPr>
        <w:drawing>
          <wp:inline distT="0" distB="0" distL="0" distR="0" wp14:anchorId="78E92FBE" wp14:editId="563A6D6B">
            <wp:extent cx="3314700" cy="1990725"/>
            <wp:effectExtent l="0" t="0" r="19050" b="9525"/>
            <wp:docPr id="72" name="Chart 72">
              <a:extLst xmlns:a="http://schemas.openxmlformats.org/drawingml/2006/main">
                <a:ext uri="{FF2B5EF4-FFF2-40B4-BE49-F238E27FC236}">
                  <a16:creationId xmlns:a16="http://schemas.microsoft.com/office/drawing/2014/main" id="{00000000-0008-0000-06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EDB1FD9" w14:textId="77777777" w:rsidR="008E4F2D" w:rsidRPr="00DF02C5" w:rsidRDefault="008E4F2D" w:rsidP="008E4F2D">
      <w:pPr>
        <w:pStyle w:val="Para1"/>
        <w:rPr>
          <w:rFonts w:eastAsia="Calibri" w:hAnsi="Times New Roman"/>
          <w:snapToGrid w:val="0"/>
          <w:color w:val="auto"/>
          <w:kern w:val="22"/>
          <w:bdr w:val="none" w:sz="0" w:space="0" w:color="auto"/>
          <w:lang w:val="en-GB"/>
        </w:rPr>
      </w:pPr>
    </w:p>
    <w:p w14:paraId="505D9C32" w14:textId="3678C02F" w:rsidR="00EA65E0" w:rsidRPr="00DF02C5" w:rsidRDefault="008E69C4"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Ten</w:t>
      </w:r>
      <w:r w:rsidR="00EA65E0" w:rsidRPr="00DF02C5">
        <w:rPr>
          <w:rFonts w:eastAsia="Calibri" w:hAnsi="Times New Roman"/>
          <w:snapToGrid w:val="0"/>
          <w:color w:val="auto"/>
          <w:kern w:val="22"/>
          <w:bdr w:val="none" w:sz="0" w:space="0" w:color="auto"/>
          <w:lang w:val="en-GB"/>
        </w:rPr>
        <w:t xml:space="preserve"> countries</w:t>
      </w:r>
      <w:r w:rsidR="00EA65E0" w:rsidRPr="00DF02C5">
        <w:rPr>
          <w:rStyle w:val="FootnoteReference"/>
          <w:rFonts w:eastAsia="Calibri" w:hAnsi="Times New Roman"/>
          <w:snapToGrid w:val="0"/>
          <w:color w:val="auto"/>
          <w:kern w:val="22"/>
          <w:bdr w:val="none" w:sz="0" w:space="0" w:color="auto"/>
          <w:lang w:val="en-GB"/>
        </w:rPr>
        <w:footnoteReference w:id="193"/>
      </w:r>
      <w:r w:rsidR="00EA65E0" w:rsidRPr="00DF02C5">
        <w:rPr>
          <w:rFonts w:eastAsia="Calibri" w:hAnsi="Times New Roman"/>
          <w:snapToGrid w:val="0"/>
          <w:color w:val="auto"/>
          <w:kern w:val="22"/>
          <w:bdr w:val="none" w:sz="0" w:space="0" w:color="auto"/>
          <w:lang w:val="en-GB"/>
        </w:rPr>
        <w:t xml:space="preserve"> reported not being aware of any cases of alleged violation. Kenya reported being in the process of carrying out studies to </w:t>
      </w:r>
      <w:r w:rsidR="004E1057" w:rsidRPr="00DF02C5">
        <w:rPr>
          <w:rFonts w:eastAsia="Calibri" w:hAnsi="Times New Roman"/>
          <w:snapToGrid w:val="0"/>
          <w:color w:val="auto"/>
          <w:kern w:val="22"/>
          <w:bdr w:val="none" w:sz="0" w:space="0" w:color="auto"/>
          <w:lang w:val="en-GB"/>
        </w:rPr>
        <w:t xml:space="preserve">identify </w:t>
      </w:r>
      <w:r w:rsidR="00EA65E0" w:rsidRPr="00DF02C5">
        <w:rPr>
          <w:rFonts w:eastAsia="Calibri" w:hAnsi="Times New Roman"/>
          <w:snapToGrid w:val="0"/>
          <w:color w:val="auto"/>
          <w:kern w:val="22"/>
          <w:bdr w:val="none" w:sz="0" w:space="0" w:color="auto"/>
          <w:lang w:val="en-GB"/>
        </w:rPr>
        <w:t>cases of non-compliance</w:t>
      </w:r>
      <w:r w:rsidRPr="00DF02C5">
        <w:rPr>
          <w:rFonts w:eastAsia="Calibri" w:hAnsi="Times New Roman"/>
          <w:snapToGrid w:val="0"/>
          <w:color w:val="auto"/>
          <w:kern w:val="22"/>
          <w:bdr w:val="none" w:sz="0" w:space="0" w:color="auto"/>
          <w:lang w:val="en-GB"/>
        </w:rPr>
        <w:t>.</w:t>
      </w:r>
      <w:r w:rsidR="00EA65E0" w:rsidRPr="00DF02C5">
        <w:rPr>
          <w:rFonts w:eastAsia="Calibri" w:hAnsi="Times New Roman"/>
          <w:snapToGrid w:val="0"/>
          <w:color w:val="auto"/>
          <w:kern w:val="22"/>
          <w:bdr w:val="none" w:sz="0" w:space="0" w:color="auto"/>
          <w:lang w:val="en-GB"/>
        </w:rPr>
        <w:t xml:space="preserve"> </w:t>
      </w:r>
    </w:p>
    <w:p w14:paraId="323E1CF5" w14:textId="416F213E" w:rsidR="00EA65E0" w:rsidRPr="00DF02C5" w:rsidRDefault="00EA65E0"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Several countries</w:t>
      </w:r>
      <w:r w:rsidRPr="00DF02C5">
        <w:rPr>
          <w:rStyle w:val="FootnoteReference"/>
          <w:rFonts w:eastAsia="Calibri" w:hAnsi="Times New Roman"/>
          <w:snapToGrid w:val="0"/>
          <w:color w:val="auto"/>
          <w:kern w:val="22"/>
          <w:bdr w:val="none" w:sz="0" w:space="0" w:color="auto"/>
          <w:lang w:val="en-GB"/>
        </w:rPr>
        <w:footnoteReference w:id="194"/>
      </w:r>
      <w:r w:rsidRPr="00DF02C5">
        <w:rPr>
          <w:rFonts w:eastAsia="Calibri" w:hAnsi="Times New Roman"/>
          <w:snapToGrid w:val="0"/>
          <w:color w:val="auto"/>
          <w:kern w:val="22"/>
          <w:bdr w:val="none" w:sz="0" w:space="0" w:color="auto"/>
          <w:lang w:val="en-GB"/>
        </w:rPr>
        <w:t xml:space="preserve"> provided information on </w:t>
      </w:r>
      <w:r w:rsidR="004E1057" w:rsidRPr="00DF02C5">
        <w:rPr>
          <w:rFonts w:eastAsia="Calibri" w:hAnsi="Times New Roman"/>
          <w:snapToGrid w:val="0"/>
          <w:color w:val="auto"/>
          <w:kern w:val="22"/>
          <w:bdr w:val="none" w:sz="0" w:space="0" w:color="auto"/>
          <w:lang w:val="en-GB"/>
        </w:rPr>
        <w:t xml:space="preserve">the relevant </w:t>
      </w:r>
      <w:r w:rsidRPr="00DF02C5">
        <w:rPr>
          <w:rFonts w:eastAsia="Calibri" w:hAnsi="Times New Roman"/>
          <w:snapToGrid w:val="0"/>
          <w:color w:val="auto"/>
          <w:kern w:val="22"/>
          <w:bdr w:val="none" w:sz="0" w:space="0" w:color="auto"/>
          <w:lang w:val="en-GB"/>
        </w:rPr>
        <w:t xml:space="preserve">legislation. For example, Japan indicated that when a Party to the Protocol other than Japan alleges a violation </w:t>
      </w:r>
      <w:r w:rsidR="002D17E1">
        <w:rPr>
          <w:rFonts w:eastAsia="Calibri" w:hAnsi="Times New Roman"/>
          <w:snapToGrid w:val="0"/>
          <w:color w:val="auto"/>
          <w:kern w:val="22"/>
          <w:bdr w:val="none" w:sz="0" w:space="0" w:color="auto"/>
          <w:lang w:val="en-GB"/>
        </w:rPr>
        <w:t xml:space="preserve">to </w:t>
      </w:r>
      <w:r w:rsidR="00513A36" w:rsidRPr="00DF02C5">
        <w:rPr>
          <w:rFonts w:eastAsia="Calibri" w:hAnsi="Times New Roman"/>
          <w:snapToGrid w:val="0"/>
          <w:color w:val="auto"/>
          <w:kern w:val="22"/>
          <w:bdr w:val="none" w:sz="0" w:space="0" w:color="auto"/>
          <w:lang w:val="en-GB"/>
        </w:rPr>
        <w:t xml:space="preserve">a provider country’s </w:t>
      </w:r>
      <w:r w:rsidRPr="00DF02C5">
        <w:rPr>
          <w:rFonts w:eastAsia="Calibri" w:hAnsi="Times New Roman"/>
          <w:snapToGrid w:val="0"/>
          <w:color w:val="auto"/>
          <w:kern w:val="22"/>
          <w:bdr w:val="none" w:sz="0" w:space="0" w:color="auto"/>
          <w:lang w:val="en-GB"/>
        </w:rPr>
        <w:t xml:space="preserve">legislation, the Minister of the Environment is to urge those </w:t>
      </w:r>
      <w:r w:rsidR="00513A36" w:rsidRPr="00DF02C5">
        <w:rPr>
          <w:rFonts w:eastAsia="Calibri" w:hAnsi="Times New Roman"/>
          <w:snapToGrid w:val="0"/>
          <w:color w:val="auto"/>
          <w:kern w:val="22"/>
          <w:bdr w:val="none" w:sz="0" w:space="0" w:color="auto"/>
          <w:lang w:val="en-GB"/>
        </w:rPr>
        <w:t>about</w:t>
      </w:r>
      <w:r w:rsidRPr="00DF02C5">
        <w:rPr>
          <w:rFonts w:eastAsia="Calibri" w:hAnsi="Times New Roman"/>
          <w:snapToGrid w:val="0"/>
          <w:color w:val="auto"/>
          <w:kern w:val="22"/>
          <w:bdr w:val="none" w:sz="0" w:space="0" w:color="auto"/>
          <w:lang w:val="en-GB"/>
        </w:rPr>
        <w:t xml:space="preserve"> which the allegation is made, to provide information on the alleged violation. The Minister of the Environment is to </w:t>
      </w:r>
      <w:r w:rsidR="00513A36" w:rsidRPr="00DF02C5">
        <w:rPr>
          <w:rFonts w:eastAsia="Calibri" w:hAnsi="Times New Roman"/>
          <w:snapToGrid w:val="0"/>
          <w:color w:val="auto"/>
          <w:kern w:val="22"/>
          <w:bdr w:val="none" w:sz="0" w:space="0" w:color="auto"/>
          <w:lang w:val="en-GB"/>
        </w:rPr>
        <w:t>supply</w:t>
      </w:r>
      <w:r w:rsidRPr="00DF02C5">
        <w:rPr>
          <w:rFonts w:eastAsia="Calibri" w:hAnsi="Times New Roman"/>
          <w:snapToGrid w:val="0"/>
          <w:color w:val="auto"/>
          <w:kern w:val="22"/>
          <w:bdr w:val="none" w:sz="0" w:space="0" w:color="auto"/>
          <w:lang w:val="en-GB"/>
        </w:rPr>
        <w:t xml:space="preserve"> the information obtained to the provider country through the designated national focal point or other contact points, as appropriate.</w:t>
      </w:r>
    </w:p>
    <w:p w14:paraId="12696DC7" w14:textId="72C2B40D" w:rsidR="00EA65E0" w:rsidRPr="00034DE8" w:rsidRDefault="00D42974" w:rsidP="00034DE8">
      <w:pPr>
        <w:pStyle w:val="Para1"/>
        <w:keepNext/>
        <w:keepLines/>
        <w:numPr>
          <w:ilvl w:val="0"/>
          <w:numId w:val="66"/>
        </w:numPr>
        <w:spacing w:before="240"/>
        <w:ind w:hanging="446"/>
        <w:jc w:val="left"/>
        <w:rPr>
          <w:rFonts w:eastAsia="Calibri" w:hAnsi="Times New Roman"/>
          <w:i/>
          <w:snapToGrid w:val="0"/>
          <w:kern w:val="22"/>
          <w:bdr w:val="none" w:sz="0" w:space="0" w:color="auto"/>
          <w:lang w:val="en-GB"/>
        </w:rPr>
      </w:pPr>
      <w:r w:rsidRPr="00034DE8">
        <w:rPr>
          <w:rFonts w:eastAsia="Calibri" w:hAnsi="Times New Roman"/>
          <w:i/>
          <w:snapToGrid w:val="0"/>
          <w:kern w:val="22"/>
          <w:bdr w:val="none" w:sz="0" w:space="0" w:color="auto"/>
          <w:lang w:val="en-GB"/>
        </w:rPr>
        <w:lastRenderedPageBreak/>
        <w:t>Does your country require users of genetic resources to provide information related to PIC, to the source of the genetic resource, to the establishment of MAT and/or utilization of genetic resources at a designated checkpoint, as appropriate, as provided in Article 17.1 (a</w:t>
      </w:r>
      <w:r w:rsidR="00DF02C5" w:rsidRPr="00034DE8">
        <w:rPr>
          <w:rFonts w:eastAsia="Calibri" w:hAnsi="Times New Roman"/>
          <w:i/>
          <w:snapToGrid w:val="0"/>
          <w:kern w:val="22"/>
          <w:bdr w:val="none" w:sz="0" w:space="0" w:color="auto"/>
          <w:lang w:val="en-GB"/>
        </w:rPr>
        <w:t>) (</w:t>
      </w:r>
      <w:r w:rsidRPr="00034DE8">
        <w:rPr>
          <w:rFonts w:eastAsia="Calibri" w:hAnsi="Times New Roman"/>
          <w:i/>
          <w:snapToGrid w:val="0"/>
          <w:kern w:val="22"/>
          <w:bdr w:val="none" w:sz="0" w:space="0" w:color="auto"/>
          <w:lang w:val="en-GB"/>
        </w:rPr>
        <w:t>i) and (ii))?</w:t>
      </w:r>
      <w:r w:rsidR="00EA65E0" w:rsidRPr="00034DE8">
        <w:rPr>
          <w:rFonts w:eastAsia="Calibri" w:hAnsi="Times New Roman"/>
          <w:i/>
          <w:snapToGrid w:val="0"/>
          <w:kern w:val="22"/>
          <w:bdr w:val="none" w:sz="0" w:space="0" w:color="auto"/>
          <w:lang w:val="en-GB"/>
        </w:rPr>
        <w:t xml:space="preserve"> (question 26)</w:t>
      </w:r>
    </w:p>
    <w:p w14:paraId="212A4699" w14:textId="40BAFF97" w:rsidR="001C0FEB" w:rsidRPr="00DF02C5" w:rsidRDefault="001C0FEB" w:rsidP="00A2498F">
      <w:pPr>
        <w:pStyle w:val="Para1"/>
        <w:numPr>
          <w:ilvl w:val="0"/>
          <w:numId w:val="1"/>
        </w:numPr>
        <w:rPr>
          <w:rFonts w:eastAsia="Calibri" w:hAnsi="Times New Roman"/>
          <w:snapToGrid w:val="0"/>
          <w:kern w:val="22"/>
          <w:bdr w:val="none" w:sz="0" w:space="0" w:color="auto"/>
          <w:lang w:val="en-GB"/>
        </w:rPr>
      </w:pPr>
      <w:proofErr w:type="gramStart"/>
      <w:r w:rsidRPr="00DF02C5">
        <w:rPr>
          <w:rFonts w:eastAsia="Calibri" w:hAnsi="Times New Roman"/>
          <w:snapToGrid w:val="0"/>
          <w:kern w:val="22"/>
          <w:bdr w:val="none" w:sz="0" w:space="0" w:color="auto"/>
          <w:lang w:val="en-GB"/>
        </w:rPr>
        <w:t>Forty-one</w:t>
      </w:r>
      <w:proofErr w:type="gramEnd"/>
      <w:r w:rsidRPr="00DF02C5">
        <w:rPr>
          <w:rFonts w:eastAsia="Calibri" w:hAnsi="Times New Roman"/>
          <w:snapToGrid w:val="0"/>
          <w:kern w:val="22"/>
          <w:bdr w:val="none" w:sz="0" w:space="0" w:color="auto"/>
          <w:lang w:val="en-GB"/>
        </w:rPr>
        <w:t xml:space="preserve"> Parties and four non-Parties responded that they do </w:t>
      </w:r>
      <w:r w:rsidRPr="00DF02C5">
        <w:rPr>
          <w:rFonts w:eastAsia="Calibri" w:hAnsi="Times New Roman"/>
          <w:snapToGrid w:val="0"/>
          <w:color w:val="auto"/>
          <w:kern w:val="22"/>
          <w:bdr w:val="none" w:sz="0" w:space="0" w:color="auto"/>
          <w:lang w:val="en-GB"/>
        </w:rPr>
        <w:t xml:space="preserve">require users of genetic resources to provide </w:t>
      </w:r>
      <w:r w:rsidR="006D0656" w:rsidRPr="00DF02C5">
        <w:rPr>
          <w:rFonts w:eastAsia="Calibri" w:hAnsi="Times New Roman"/>
          <w:snapToGrid w:val="0"/>
          <w:color w:val="auto"/>
          <w:kern w:val="22"/>
          <w:bdr w:val="none" w:sz="0" w:space="0" w:color="auto"/>
          <w:lang w:val="en-GB"/>
        </w:rPr>
        <w:t>the information</w:t>
      </w:r>
      <w:r w:rsidR="006D0656" w:rsidRPr="00DF02C5">
        <w:rPr>
          <w:lang w:val="en-GB"/>
        </w:rPr>
        <w:t xml:space="preserve"> </w:t>
      </w:r>
      <w:r w:rsidR="006D0656" w:rsidRPr="00DF02C5">
        <w:rPr>
          <w:rFonts w:eastAsia="Calibri" w:hAnsi="Times New Roman"/>
          <w:snapToGrid w:val="0"/>
          <w:color w:val="auto"/>
          <w:kern w:val="22"/>
          <w:bdr w:val="none" w:sz="0" w:space="0" w:color="auto"/>
          <w:lang w:val="en-GB"/>
        </w:rPr>
        <w:t>provided in Article 17.1 (a</w:t>
      </w:r>
      <w:r w:rsidR="00DF02C5" w:rsidRPr="00DF02C5">
        <w:rPr>
          <w:rFonts w:eastAsia="Calibri" w:hAnsi="Times New Roman"/>
          <w:snapToGrid w:val="0"/>
          <w:color w:val="auto"/>
          <w:kern w:val="22"/>
          <w:bdr w:val="none" w:sz="0" w:space="0" w:color="auto"/>
          <w:lang w:val="en-GB"/>
        </w:rPr>
        <w:t>) (</w:t>
      </w:r>
      <w:r w:rsidR="006D0656" w:rsidRPr="00DF02C5">
        <w:rPr>
          <w:rFonts w:eastAsia="Calibri" w:hAnsi="Times New Roman"/>
          <w:snapToGrid w:val="0"/>
          <w:color w:val="auto"/>
          <w:kern w:val="22"/>
          <w:bdr w:val="none" w:sz="0" w:space="0" w:color="auto"/>
          <w:lang w:val="en-GB"/>
        </w:rPr>
        <w:t>i) and (ii) a</w:t>
      </w:r>
      <w:r w:rsidRPr="00DF02C5">
        <w:rPr>
          <w:rFonts w:eastAsia="Calibri" w:hAnsi="Times New Roman"/>
          <w:snapToGrid w:val="0"/>
          <w:color w:val="auto"/>
          <w:kern w:val="22"/>
          <w:bdr w:val="none" w:sz="0" w:space="0" w:color="auto"/>
          <w:lang w:val="en-GB"/>
        </w:rPr>
        <w:t>t a design</w:t>
      </w:r>
      <w:r w:rsidR="00946F21" w:rsidRPr="00DF02C5">
        <w:rPr>
          <w:rFonts w:eastAsia="Calibri" w:hAnsi="Times New Roman"/>
          <w:snapToGrid w:val="0"/>
          <w:color w:val="auto"/>
          <w:kern w:val="22"/>
          <w:bdr w:val="none" w:sz="0" w:space="0" w:color="auto"/>
          <w:lang w:val="en-GB"/>
        </w:rPr>
        <w:t>ated checkpoint, as appropriate</w:t>
      </w:r>
      <w:r w:rsidR="00D42974" w:rsidRPr="00DF02C5">
        <w:rPr>
          <w:rFonts w:eastAsia="Calibri" w:hAnsi="Times New Roman"/>
          <w:snapToGrid w:val="0"/>
          <w:color w:val="auto"/>
          <w:kern w:val="22"/>
          <w:bdr w:val="none" w:sz="0" w:space="0" w:color="auto"/>
          <w:lang w:val="en-GB"/>
        </w:rPr>
        <w:t>, while</w:t>
      </w:r>
      <w:r w:rsidR="00D42974" w:rsidRPr="00DF02C5">
        <w:rPr>
          <w:rFonts w:eastAsia="Calibri" w:hAnsi="Times New Roman"/>
          <w:snapToGrid w:val="0"/>
          <w:kern w:val="22"/>
          <w:bdr w:val="none" w:sz="0" w:space="0" w:color="auto"/>
          <w:lang w:val="en-GB"/>
        </w:rPr>
        <w:t xml:space="preserve"> twenty-six Parties and two non-Parties reported they do not </w:t>
      </w:r>
      <w:r w:rsidR="00D42974" w:rsidRPr="00DF02C5">
        <w:rPr>
          <w:rFonts w:eastAsia="Calibri" w:hAnsi="Times New Roman"/>
          <w:snapToGrid w:val="0"/>
          <w:color w:val="auto"/>
          <w:kern w:val="22"/>
          <w:bdr w:val="none" w:sz="0" w:space="0" w:color="auto"/>
          <w:lang w:val="en-GB"/>
        </w:rPr>
        <w:t xml:space="preserve">have such </w:t>
      </w:r>
      <w:r w:rsidR="002D17E1">
        <w:rPr>
          <w:rFonts w:eastAsia="Calibri" w:hAnsi="Times New Roman"/>
          <w:snapToGrid w:val="0"/>
          <w:color w:val="auto"/>
          <w:kern w:val="22"/>
          <w:bdr w:val="none" w:sz="0" w:space="0" w:color="auto"/>
          <w:lang w:val="en-GB"/>
        </w:rPr>
        <w:t xml:space="preserve">a </w:t>
      </w:r>
      <w:r w:rsidR="00D42974" w:rsidRPr="00DF02C5">
        <w:rPr>
          <w:rFonts w:eastAsia="Calibri" w:hAnsi="Times New Roman"/>
          <w:snapToGrid w:val="0"/>
          <w:color w:val="auto"/>
          <w:kern w:val="22"/>
          <w:bdr w:val="none" w:sz="0" w:space="0" w:color="auto"/>
          <w:lang w:val="en-GB"/>
        </w:rPr>
        <w:t>requirement.</w:t>
      </w:r>
    </w:p>
    <w:p w14:paraId="5259214D" w14:textId="13CDD4BA" w:rsidR="00D42974" w:rsidRPr="00DF02C5" w:rsidRDefault="007D5F65" w:rsidP="00E5256F">
      <w:pPr>
        <w:pStyle w:val="Caption"/>
        <w:keepNext/>
        <w:keepLines/>
        <w:rPr>
          <w:snapToGrid w:val="0"/>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00E5256F" w:rsidRPr="00DF02C5">
        <w:rPr>
          <w:noProof/>
          <w:lang w:val="en-GB"/>
        </w:rPr>
        <w:t>22</w:t>
      </w:r>
      <w:r w:rsidRPr="00DF02C5">
        <w:rPr>
          <w:lang w:val="en-GB"/>
        </w:rPr>
        <w:fldChar w:fldCharType="end"/>
      </w:r>
      <w:r w:rsidR="00D42974" w:rsidRPr="00DF02C5">
        <w:rPr>
          <w:snapToGrid w:val="0"/>
          <w:bdr w:val="none" w:sz="0" w:space="0" w:color="auto"/>
          <w:lang w:val="en-GB"/>
        </w:rPr>
        <w:t>: Requiring users of genetic resources to provide information at checkpoints as provided in Article 17.1 (a</w:t>
      </w:r>
      <w:r w:rsidR="00DF02C5" w:rsidRPr="00DF02C5">
        <w:rPr>
          <w:snapToGrid w:val="0"/>
          <w:bdr w:val="none" w:sz="0" w:space="0" w:color="auto"/>
          <w:lang w:val="en-GB"/>
        </w:rPr>
        <w:t>) (</w:t>
      </w:r>
      <w:r w:rsidR="00D42974" w:rsidRPr="00DF02C5">
        <w:rPr>
          <w:snapToGrid w:val="0"/>
          <w:bdr w:val="none" w:sz="0" w:space="0" w:color="auto"/>
          <w:lang w:val="en-GB"/>
        </w:rPr>
        <w:t>i) and (ii) (percentage of countries)</w:t>
      </w:r>
    </w:p>
    <w:p w14:paraId="7FAA62FB" w14:textId="5C7FDEA9" w:rsidR="00D42974" w:rsidRPr="00DF02C5" w:rsidRDefault="00D42974" w:rsidP="00177478">
      <w:pPr>
        <w:pStyle w:val="Para1"/>
        <w:jc w:val="center"/>
        <w:rPr>
          <w:rFonts w:eastAsia="Calibri" w:hAnsi="Times New Roman"/>
          <w:snapToGrid w:val="0"/>
          <w:kern w:val="22"/>
          <w:bdr w:val="none" w:sz="0" w:space="0" w:color="auto"/>
          <w:lang w:val="en-GB"/>
        </w:rPr>
      </w:pPr>
      <w:r w:rsidRPr="00DF02C5">
        <w:rPr>
          <w:noProof/>
        </w:rPr>
        <w:drawing>
          <wp:inline distT="0" distB="0" distL="0" distR="0" wp14:anchorId="2719ECA9" wp14:editId="4D01E375">
            <wp:extent cx="3609975" cy="2066925"/>
            <wp:effectExtent l="0" t="0" r="9525"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6A426E7" w14:textId="65F225D0" w:rsidR="00D42974" w:rsidRPr="00DF02C5" w:rsidRDefault="00D42974" w:rsidP="00D42974">
      <w:pPr>
        <w:pStyle w:val="Para1"/>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t>(a)</w:t>
      </w:r>
      <w:r w:rsidRPr="00DF02C5">
        <w:rPr>
          <w:rFonts w:eastAsia="Calibri" w:hAnsi="Times New Roman"/>
          <w:i/>
          <w:snapToGrid w:val="0"/>
          <w:color w:val="auto"/>
          <w:kern w:val="22"/>
          <w:bdr w:val="none" w:sz="0" w:space="0" w:color="auto"/>
          <w:lang w:val="en-GB"/>
        </w:rPr>
        <w:tab/>
        <w:t>Countries that answered “yes”</w:t>
      </w:r>
    </w:p>
    <w:p w14:paraId="0486E2A0" w14:textId="1BB797CF" w:rsidR="00207F7C" w:rsidRPr="00DF02C5" w:rsidRDefault="00207F7C"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A close examination of the additional information provided reveals that several countries answered “yes” on the basis of a draft measure or processes underway</w:t>
      </w:r>
      <w:r w:rsidRPr="00DF02C5">
        <w:rPr>
          <w:rStyle w:val="FootnoteReference"/>
          <w:rFonts w:eastAsia="Calibri" w:hAnsi="Times New Roman"/>
          <w:snapToGrid w:val="0"/>
          <w:color w:val="auto"/>
          <w:kern w:val="22"/>
          <w:bdr w:val="none" w:sz="0" w:space="0" w:color="auto"/>
          <w:lang w:val="en-GB"/>
        </w:rPr>
        <w:footnoteReference w:id="195"/>
      </w:r>
      <w:r w:rsidRPr="00DF02C5">
        <w:rPr>
          <w:rFonts w:eastAsia="Calibri" w:hAnsi="Times New Roman"/>
          <w:snapToGrid w:val="0"/>
          <w:color w:val="auto"/>
          <w:kern w:val="22"/>
          <w:bdr w:val="none" w:sz="0" w:space="0" w:color="auto"/>
          <w:lang w:val="en-GB"/>
        </w:rPr>
        <w:t xml:space="preserve"> or based on requiring users to establish PIC and/or MAT.</w:t>
      </w:r>
      <w:r w:rsidRPr="00DF02C5">
        <w:rPr>
          <w:rStyle w:val="FootnoteReference"/>
          <w:rFonts w:eastAsia="Calibri" w:hAnsi="Times New Roman"/>
          <w:snapToGrid w:val="0"/>
          <w:color w:val="auto"/>
          <w:kern w:val="22"/>
          <w:bdr w:val="none" w:sz="0" w:space="0" w:color="auto"/>
          <w:lang w:val="en-GB"/>
        </w:rPr>
        <w:footnoteReference w:id="196"/>
      </w:r>
    </w:p>
    <w:p w14:paraId="0D9B91BD" w14:textId="3FE035BA" w:rsidR="00776D6A" w:rsidRPr="00DF02C5" w:rsidRDefault="00776D6A"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I</w:t>
      </w:r>
      <w:r w:rsidR="00207F7C" w:rsidRPr="00DF02C5">
        <w:rPr>
          <w:rFonts w:eastAsia="Calibri" w:hAnsi="Times New Roman"/>
          <w:snapToGrid w:val="0"/>
          <w:color w:val="auto"/>
          <w:kern w:val="22"/>
          <w:bdr w:val="none" w:sz="0" w:space="0" w:color="auto"/>
          <w:lang w:val="en-GB"/>
        </w:rPr>
        <w:t>n</w:t>
      </w:r>
      <w:r w:rsidRPr="00DF02C5">
        <w:rPr>
          <w:rFonts w:eastAsia="Calibri" w:hAnsi="Times New Roman"/>
          <w:snapToGrid w:val="0"/>
          <w:color w:val="auto"/>
          <w:kern w:val="22"/>
          <w:bdr w:val="none" w:sz="0" w:space="0" w:color="auto"/>
          <w:lang w:val="en-GB"/>
        </w:rPr>
        <w:t xml:space="preserve"> providing further information, some countries mentioned the following: </w:t>
      </w:r>
    </w:p>
    <w:p w14:paraId="0E9C0BCF" w14:textId="3132DE0F" w:rsidR="00EA65E0" w:rsidRPr="00DF02C5" w:rsidRDefault="00EA65E0" w:rsidP="00A2498F">
      <w:pPr>
        <w:pStyle w:val="Para1"/>
        <w:numPr>
          <w:ilvl w:val="1"/>
          <w:numId w:val="1"/>
        </w:numPr>
        <w:spacing w:line="228" w:lineRule="auto"/>
        <w:ind w:firstLine="720"/>
        <w:rPr>
          <w:rFonts w:eastAsia="Calibri" w:hAnsi="Times New Roman"/>
          <w:snapToGrid w:val="0"/>
          <w:color w:val="auto"/>
          <w:kern w:val="22"/>
          <w:bdr w:val="none" w:sz="0" w:space="0" w:color="auto"/>
          <w:lang w:val="en-GB"/>
        </w:rPr>
      </w:pPr>
      <w:r w:rsidRPr="00DF02C5">
        <w:rPr>
          <w:rFonts w:eastAsia="Calibri" w:hAnsi="Times New Roman"/>
          <w:snapToGrid w:val="0"/>
          <w:kern w:val="22"/>
          <w:bdr w:val="none" w:sz="0" w:space="0" w:color="auto"/>
          <w:lang w:val="en-GB"/>
        </w:rPr>
        <w:t>The</w:t>
      </w:r>
      <w:r w:rsidRPr="00DF02C5">
        <w:rPr>
          <w:rFonts w:eastAsia="Calibri" w:hAnsi="Times New Roman"/>
          <w:snapToGrid w:val="0"/>
          <w:color w:val="auto"/>
          <w:kern w:val="22"/>
          <w:bdr w:val="none" w:sz="0" w:space="0" w:color="auto"/>
          <w:lang w:val="en-GB"/>
        </w:rPr>
        <w:t xml:space="preserve"> EU</w:t>
      </w:r>
      <w:r w:rsidRPr="00DF02C5">
        <w:rPr>
          <w:snapToGrid w:val="0"/>
          <w:bdr w:val="none" w:sz="0" w:space="0" w:color="auto"/>
          <w:vertAlign w:val="superscript"/>
          <w:lang w:val="en-GB"/>
        </w:rPr>
        <w:t xml:space="preserve"> </w:t>
      </w:r>
      <w:r w:rsidRPr="00DF02C5">
        <w:rPr>
          <w:rFonts w:eastAsia="Calibri" w:hAnsi="Times New Roman"/>
          <w:snapToGrid w:val="0"/>
          <w:color w:val="auto"/>
          <w:kern w:val="22"/>
          <w:bdr w:val="none" w:sz="0" w:space="0" w:color="auto"/>
          <w:lang w:val="en-GB"/>
        </w:rPr>
        <w:t>indicated that in line with Article 7(1) and 7(2) of Regulation 511/2014, users need to provide information as required by Article 17(1) of the Protocol to designated competent authorities in EU Member States. Annex</w:t>
      </w:r>
      <w:r w:rsidR="002D17E1">
        <w:rPr>
          <w:rFonts w:eastAsia="Calibri" w:hAnsi="Times New Roman"/>
          <w:snapToGrid w:val="0"/>
          <w:color w:val="auto"/>
          <w:kern w:val="22"/>
          <w:bdr w:val="none" w:sz="0" w:space="0" w:color="auto"/>
          <w:lang w:val="en-GB"/>
        </w:rPr>
        <w:t>es</w:t>
      </w:r>
      <w:r w:rsidRPr="00DF02C5">
        <w:rPr>
          <w:rFonts w:eastAsia="Calibri" w:hAnsi="Times New Roman"/>
          <w:snapToGrid w:val="0"/>
          <w:color w:val="auto"/>
          <w:kern w:val="22"/>
          <w:bdr w:val="none" w:sz="0" w:space="0" w:color="auto"/>
          <w:lang w:val="en-GB"/>
        </w:rPr>
        <w:t xml:space="preserve"> II and III to the Commission Implementing Regulation provide for the specific information requested from users; this includes information related to PIC, to the source of the genetic resource, to the establishment of the MAT</w:t>
      </w:r>
      <w:r w:rsidR="00513A36" w:rsidRPr="00DF02C5">
        <w:rPr>
          <w:rFonts w:eastAsia="Calibri" w:hAnsi="Times New Roman"/>
          <w:snapToGrid w:val="0"/>
          <w:color w:val="auto"/>
          <w:kern w:val="22"/>
          <w:bdr w:val="none" w:sz="0" w:space="0" w:color="auto"/>
          <w:lang w:val="en-GB"/>
        </w:rPr>
        <w:t>,</w:t>
      </w:r>
      <w:r w:rsidRPr="00DF02C5">
        <w:rPr>
          <w:rFonts w:eastAsia="Calibri" w:hAnsi="Times New Roman"/>
          <w:snapToGrid w:val="0"/>
          <w:color w:val="auto"/>
          <w:kern w:val="22"/>
          <w:bdr w:val="none" w:sz="0" w:space="0" w:color="auto"/>
          <w:lang w:val="en-GB"/>
        </w:rPr>
        <w:t xml:space="preserve"> and to the utilisation of the genetic resources.</w:t>
      </w:r>
      <w:r w:rsidRPr="00DF02C5">
        <w:rPr>
          <w:rStyle w:val="FootnoteReference"/>
          <w:rFonts w:eastAsia="Calibri" w:hAnsi="Times New Roman"/>
          <w:snapToGrid w:val="0"/>
          <w:color w:val="auto"/>
          <w:kern w:val="22"/>
          <w:bdr w:val="none" w:sz="0" w:space="0" w:color="auto"/>
          <w:lang w:val="en-GB"/>
        </w:rPr>
        <w:footnoteReference w:id="197"/>
      </w:r>
      <w:r w:rsidRPr="00DF02C5">
        <w:rPr>
          <w:rFonts w:eastAsia="Calibri" w:hAnsi="Times New Roman"/>
          <w:snapToGrid w:val="0"/>
          <w:color w:val="auto"/>
          <w:kern w:val="22"/>
          <w:bdr w:val="none" w:sz="0" w:space="0" w:color="auto"/>
          <w:lang w:val="en-GB"/>
        </w:rPr>
        <w:t xml:space="preserve"> Some Member States provided further information on their national implementing legislation</w:t>
      </w:r>
      <w:r w:rsidR="00034DE8">
        <w:rPr>
          <w:rFonts w:eastAsia="Calibri" w:hAnsi="Times New Roman"/>
          <w:snapToGrid w:val="0"/>
          <w:color w:val="auto"/>
          <w:kern w:val="22"/>
          <w:bdr w:val="none" w:sz="0" w:space="0" w:color="auto"/>
          <w:lang w:val="en-GB"/>
        </w:rPr>
        <w:t>.</w:t>
      </w:r>
      <w:r w:rsidRPr="00DF02C5">
        <w:rPr>
          <w:rStyle w:val="FootnoteReference"/>
          <w:rFonts w:eastAsia="Calibri" w:hAnsi="Times New Roman"/>
          <w:snapToGrid w:val="0"/>
          <w:color w:val="auto"/>
          <w:kern w:val="22"/>
          <w:bdr w:val="none" w:sz="0" w:space="0" w:color="auto"/>
          <w:lang w:val="en-GB"/>
        </w:rPr>
        <w:footnoteReference w:id="198"/>
      </w:r>
      <w:r w:rsidRPr="00DF02C5">
        <w:rPr>
          <w:rFonts w:eastAsia="Calibri" w:hAnsi="Times New Roman"/>
          <w:snapToGrid w:val="0"/>
          <w:color w:val="auto"/>
          <w:kern w:val="22"/>
          <w:bdr w:val="none" w:sz="0" w:space="0" w:color="auto"/>
          <w:lang w:val="en-GB"/>
        </w:rPr>
        <w:t xml:space="preserve"> For example, in Finland a user who imports genetic </w:t>
      </w:r>
      <w:r w:rsidR="000A1A42" w:rsidRPr="00DF02C5">
        <w:rPr>
          <w:rFonts w:eastAsia="Calibri" w:hAnsi="Times New Roman"/>
          <w:snapToGrid w:val="0"/>
          <w:color w:val="auto"/>
          <w:kern w:val="22"/>
          <w:bdr w:val="none" w:sz="0" w:space="0" w:color="auto"/>
          <w:lang w:val="en-GB"/>
        </w:rPr>
        <w:t>resources</w:t>
      </w:r>
      <w:r w:rsidRPr="00DF02C5">
        <w:rPr>
          <w:rFonts w:eastAsia="Calibri" w:hAnsi="Times New Roman"/>
          <w:snapToGrid w:val="0"/>
          <w:color w:val="auto"/>
          <w:kern w:val="22"/>
          <w:bdr w:val="none" w:sz="0" w:space="0" w:color="auto"/>
          <w:lang w:val="en-GB"/>
        </w:rPr>
        <w:t xml:space="preserve"> or </w:t>
      </w:r>
      <w:r w:rsidR="005455BC" w:rsidRPr="00DF02C5">
        <w:rPr>
          <w:rFonts w:eastAsia="Calibri" w:hAnsi="Times New Roman"/>
          <w:snapToGrid w:val="0"/>
          <w:color w:val="auto"/>
          <w:kern w:val="22"/>
          <w:bdr w:val="none" w:sz="0" w:space="0" w:color="auto"/>
          <w:lang w:val="en-GB"/>
        </w:rPr>
        <w:t xml:space="preserve">associated </w:t>
      </w:r>
      <w:r w:rsidRPr="00DF02C5">
        <w:rPr>
          <w:rFonts w:eastAsia="Calibri" w:hAnsi="Times New Roman"/>
          <w:snapToGrid w:val="0"/>
          <w:color w:val="auto"/>
          <w:kern w:val="22"/>
          <w:bdr w:val="none" w:sz="0" w:space="0" w:color="auto"/>
          <w:lang w:val="en-GB"/>
        </w:rPr>
        <w:t xml:space="preserve">traditional knowledge of indigenous communities associated </w:t>
      </w:r>
      <w:r w:rsidR="00513A36" w:rsidRPr="00DF02C5">
        <w:rPr>
          <w:rFonts w:eastAsia="Calibri" w:hAnsi="Times New Roman"/>
          <w:snapToGrid w:val="0"/>
          <w:color w:val="auto"/>
          <w:kern w:val="22"/>
          <w:bdr w:val="none" w:sz="0" w:space="0" w:color="auto"/>
          <w:lang w:val="en-GB"/>
        </w:rPr>
        <w:t>into Finland</w:t>
      </w:r>
      <w:r w:rsidR="005455BC" w:rsidRPr="00DF02C5">
        <w:rPr>
          <w:rFonts w:eastAsia="Calibri" w:hAnsi="Times New Roman"/>
          <w:snapToGrid w:val="0"/>
          <w:color w:val="auto"/>
          <w:kern w:val="22"/>
          <w:bdr w:val="none" w:sz="0" w:space="0" w:color="auto"/>
          <w:lang w:val="en-GB"/>
        </w:rPr>
        <w:t>,</w:t>
      </w:r>
      <w:r w:rsidR="00513A36" w:rsidRPr="00DF02C5">
        <w:rPr>
          <w:rFonts w:eastAsia="Calibri" w:hAnsi="Times New Roman"/>
          <w:snapToGrid w:val="0"/>
          <w:color w:val="auto"/>
          <w:kern w:val="22"/>
          <w:bdr w:val="none" w:sz="0" w:space="0" w:color="auto"/>
          <w:lang w:val="en-GB"/>
        </w:rPr>
        <w:t xml:space="preserve"> </w:t>
      </w:r>
      <w:r w:rsidR="00F1110B" w:rsidRPr="00DF02C5">
        <w:rPr>
          <w:rFonts w:eastAsia="Calibri" w:hAnsi="Times New Roman"/>
          <w:snapToGrid w:val="0"/>
          <w:color w:val="auto"/>
          <w:kern w:val="22"/>
          <w:bdr w:val="none" w:sz="0" w:space="0" w:color="auto"/>
          <w:lang w:val="en-GB"/>
        </w:rPr>
        <w:t xml:space="preserve">and </w:t>
      </w:r>
      <w:r w:rsidRPr="00DF02C5">
        <w:rPr>
          <w:rFonts w:eastAsia="Calibri" w:hAnsi="Times New Roman"/>
          <w:snapToGrid w:val="0"/>
          <w:color w:val="auto"/>
          <w:kern w:val="22"/>
          <w:bdr w:val="none" w:sz="0" w:space="0" w:color="auto"/>
          <w:lang w:val="en-GB"/>
        </w:rPr>
        <w:t xml:space="preserve">that </w:t>
      </w:r>
      <w:r w:rsidR="00F1110B" w:rsidRPr="00DF02C5">
        <w:rPr>
          <w:rFonts w:eastAsia="Calibri" w:hAnsi="Times New Roman"/>
          <w:snapToGrid w:val="0"/>
          <w:color w:val="auto"/>
          <w:kern w:val="22"/>
          <w:bdr w:val="none" w:sz="0" w:space="0" w:color="auto"/>
          <w:lang w:val="en-GB"/>
        </w:rPr>
        <w:t xml:space="preserve">is </w:t>
      </w:r>
      <w:r w:rsidRPr="00DF02C5">
        <w:rPr>
          <w:rFonts w:eastAsia="Calibri" w:hAnsi="Times New Roman"/>
          <w:snapToGrid w:val="0"/>
          <w:color w:val="auto"/>
          <w:kern w:val="22"/>
          <w:bdr w:val="none" w:sz="0" w:space="0" w:color="auto"/>
          <w:lang w:val="en-GB"/>
        </w:rPr>
        <w:t>subject to the provisions concerning a Party to the Nagoya Protocol</w:t>
      </w:r>
      <w:r w:rsidR="006B7E9A" w:rsidRPr="00DF02C5">
        <w:rPr>
          <w:rFonts w:eastAsia="Calibri" w:hAnsi="Times New Roman"/>
          <w:snapToGrid w:val="0"/>
          <w:color w:val="auto"/>
          <w:kern w:val="22"/>
          <w:bdr w:val="none" w:sz="0" w:space="0" w:color="auto"/>
          <w:lang w:val="en-GB"/>
        </w:rPr>
        <w:t>,</w:t>
      </w:r>
      <w:r w:rsidRPr="00DF02C5">
        <w:rPr>
          <w:rFonts w:eastAsia="Calibri" w:hAnsi="Times New Roman"/>
          <w:snapToGrid w:val="0"/>
          <w:color w:val="auto"/>
          <w:kern w:val="22"/>
          <w:bdr w:val="none" w:sz="0" w:space="0" w:color="auto"/>
          <w:lang w:val="en-GB"/>
        </w:rPr>
        <w:t xml:space="preserve"> shall provide notification to the competent authority within</w:t>
      </w:r>
      <w:r w:rsidR="00034DE8">
        <w:rPr>
          <w:rFonts w:eastAsia="Calibri" w:hAnsi="Times New Roman"/>
          <w:snapToGrid w:val="0"/>
          <w:color w:val="auto"/>
          <w:kern w:val="22"/>
          <w:bdr w:val="none" w:sz="0" w:space="0" w:color="auto"/>
          <w:lang w:val="en-GB"/>
        </w:rPr>
        <w:t xml:space="preserve"> one month from the import date;</w:t>
      </w:r>
      <w:r w:rsidRPr="00DF02C5">
        <w:rPr>
          <w:rStyle w:val="FootnoteReference"/>
          <w:rFonts w:eastAsia="Calibri" w:hAnsi="Times New Roman"/>
          <w:snapToGrid w:val="0"/>
          <w:color w:val="auto"/>
          <w:kern w:val="22"/>
          <w:bdr w:val="none" w:sz="0" w:space="0" w:color="auto"/>
          <w:lang w:val="en-GB"/>
        </w:rPr>
        <w:footnoteReference w:id="199"/>
      </w:r>
      <w:r w:rsidRPr="00DF02C5">
        <w:rPr>
          <w:rFonts w:eastAsia="Calibri" w:hAnsi="Times New Roman"/>
          <w:snapToGrid w:val="0"/>
          <w:color w:val="auto"/>
          <w:kern w:val="22"/>
          <w:bdr w:val="none" w:sz="0" w:space="0" w:color="auto"/>
          <w:lang w:val="en-GB"/>
        </w:rPr>
        <w:t xml:space="preserve"> </w:t>
      </w:r>
    </w:p>
    <w:p w14:paraId="7AB1C158" w14:textId="4A8C9510" w:rsidR="00EA65E0" w:rsidRPr="00DF02C5" w:rsidRDefault="00EA65E0" w:rsidP="00A2498F">
      <w:pPr>
        <w:pStyle w:val="Para1"/>
        <w:numPr>
          <w:ilvl w:val="1"/>
          <w:numId w:val="1"/>
        </w:numPr>
        <w:spacing w:line="228" w:lineRule="auto"/>
        <w:ind w:firstLine="720"/>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Japan: The ABS Guidelines provides that if a person submits a report </w:t>
      </w:r>
      <w:r w:rsidR="005455BC" w:rsidRPr="00DF02C5">
        <w:rPr>
          <w:rFonts w:eastAsia="Calibri" w:hAnsi="Times New Roman"/>
          <w:snapToGrid w:val="0"/>
          <w:color w:val="auto"/>
          <w:kern w:val="22"/>
          <w:bdr w:val="none" w:sz="0" w:space="0" w:color="auto"/>
          <w:lang w:val="en-GB"/>
        </w:rPr>
        <w:t xml:space="preserve">indicating the intention to </w:t>
      </w:r>
      <w:r w:rsidRPr="00DF02C5">
        <w:rPr>
          <w:rFonts w:eastAsia="Calibri" w:hAnsi="Times New Roman"/>
          <w:snapToGrid w:val="0"/>
          <w:color w:val="auto"/>
          <w:kern w:val="22"/>
          <w:bdr w:val="none" w:sz="0" w:space="0" w:color="auto"/>
          <w:lang w:val="en-GB"/>
        </w:rPr>
        <w:t>use genetic resources, the Minister of the Environment request</w:t>
      </w:r>
      <w:r w:rsidR="005455BC" w:rsidRPr="00DF02C5">
        <w:rPr>
          <w:rFonts w:eastAsia="Calibri" w:hAnsi="Times New Roman"/>
          <w:snapToGrid w:val="0"/>
          <w:color w:val="auto"/>
          <w:kern w:val="22"/>
          <w:bdr w:val="none" w:sz="0" w:space="0" w:color="auto"/>
          <w:lang w:val="en-GB"/>
        </w:rPr>
        <w:t>s that</w:t>
      </w:r>
      <w:r w:rsidRPr="00DF02C5">
        <w:rPr>
          <w:rFonts w:eastAsia="Calibri" w:hAnsi="Times New Roman"/>
          <w:snapToGrid w:val="0"/>
          <w:color w:val="auto"/>
          <w:kern w:val="22"/>
          <w:bdr w:val="none" w:sz="0" w:space="0" w:color="auto"/>
          <w:lang w:val="en-GB"/>
        </w:rPr>
        <w:t xml:space="preserve"> person to provide relevant information on the utilization of genetic resources after approximately five years have elapsed from the date on which the repor</w:t>
      </w:r>
      <w:r w:rsidR="00034DE8">
        <w:rPr>
          <w:rFonts w:eastAsia="Calibri" w:hAnsi="Times New Roman"/>
          <w:snapToGrid w:val="0"/>
          <w:color w:val="auto"/>
          <w:kern w:val="22"/>
          <w:bdr w:val="none" w:sz="0" w:space="0" w:color="auto"/>
          <w:lang w:val="en-GB"/>
        </w:rPr>
        <w:t>t was submitted, as appropriate;</w:t>
      </w:r>
    </w:p>
    <w:p w14:paraId="72626357" w14:textId="0EDDCABB" w:rsidR="00F1110B" w:rsidRPr="00DF02C5" w:rsidRDefault="00034DE8" w:rsidP="00A2498F">
      <w:pPr>
        <w:pStyle w:val="Para1"/>
        <w:numPr>
          <w:ilvl w:val="1"/>
          <w:numId w:val="1"/>
        </w:numPr>
        <w:spacing w:line="228" w:lineRule="auto"/>
        <w:ind w:firstLine="720"/>
        <w:rPr>
          <w:rFonts w:eastAsia="Calibri" w:hAnsi="Times New Roman"/>
          <w:snapToGrid w:val="0"/>
          <w:color w:val="auto"/>
          <w:kern w:val="22"/>
          <w:bdr w:val="none" w:sz="0" w:space="0" w:color="auto"/>
          <w:lang w:val="en-GB"/>
        </w:rPr>
      </w:pPr>
      <w:r>
        <w:rPr>
          <w:rFonts w:eastAsia="Calibri" w:hAnsi="Times New Roman"/>
          <w:snapToGrid w:val="0"/>
          <w:color w:val="auto"/>
          <w:kern w:val="22"/>
          <w:bdr w:val="none" w:sz="0" w:space="0" w:color="auto"/>
          <w:lang w:val="en-GB"/>
        </w:rPr>
        <w:t xml:space="preserve">Switzerland explained that a </w:t>
      </w:r>
      <w:r w:rsidR="00EA65E0" w:rsidRPr="00DF02C5">
        <w:rPr>
          <w:rFonts w:eastAsia="Calibri" w:hAnsi="Times New Roman"/>
          <w:snapToGrid w:val="0"/>
          <w:color w:val="auto"/>
          <w:kern w:val="22"/>
          <w:bdr w:val="none" w:sz="0" w:space="0" w:color="auto"/>
          <w:lang w:val="en-GB"/>
        </w:rPr>
        <w:t xml:space="preserve">notification of compliance with the due diligence requirement must be given to the Federal Office of the Environment before market authorisation has been obtained or, </w:t>
      </w:r>
      <w:r w:rsidR="00EA65E0" w:rsidRPr="00DF02C5">
        <w:rPr>
          <w:rFonts w:eastAsia="Calibri" w:hAnsi="Times New Roman"/>
          <w:snapToGrid w:val="0"/>
          <w:color w:val="auto"/>
          <w:kern w:val="22"/>
          <w:bdr w:val="none" w:sz="0" w:space="0" w:color="auto"/>
          <w:lang w:val="en-GB"/>
        </w:rPr>
        <w:lastRenderedPageBreak/>
        <w:t xml:space="preserve">if such authorisation is not required, before the commercialisation of products </w:t>
      </w:r>
      <w:r w:rsidR="00B54C38">
        <w:rPr>
          <w:rFonts w:eastAsia="Calibri" w:hAnsi="Times New Roman"/>
          <w:snapToGrid w:val="0"/>
          <w:color w:val="auto"/>
          <w:kern w:val="22"/>
          <w:bdr w:val="none" w:sz="0" w:space="0" w:color="auto"/>
          <w:lang w:val="en-GB"/>
        </w:rPr>
        <w:t xml:space="preserve">developed </w:t>
      </w:r>
      <w:proofErr w:type="gramStart"/>
      <w:r w:rsidR="00B54C38">
        <w:rPr>
          <w:rFonts w:eastAsia="Calibri" w:hAnsi="Times New Roman"/>
          <w:snapToGrid w:val="0"/>
          <w:color w:val="auto"/>
          <w:kern w:val="22"/>
          <w:bdr w:val="none" w:sz="0" w:space="0" w:color="auto"/>
          <w:lang w:val="en-GB"/>
        </w:rPr>
        <w:t>on the basis of</w:t>
      </w:r>
      <w:proofErr w:type="gramEnd"/>
      <w:r w:rsidR="00B54C38">
        <w:rPr>
          <w:rFonts w:eastAsia="Calibri" w:hAnsi="Times New Roman"/>
          <w:snapToGrid w:val="0"/>
          <w:color w:val="auto"/>
          <w:kern w:val="22"/>
          <w:bdr w:val="none" w:sz="0" w:space="0" w:color="auto"/>
          <w:lang w:val="en-GB"/>
        </w:rPr>
        <w:t xml:space="preserve"> utiliz</w:t>
      </w:r>
      <w:r w:rsidR="00EA65E0" w:rsidRPr="00DF02C5">
        <w:rPr>
          <w:rFonts w:eastAsia="Calibri" w:hAnsi="Times New Roman"/>
          <w:snapToGrid w:val="0"/>
          <w:color w:val="auto"/>
          <w:kern w:val="22"/>
          <w:bdr w:val="none" w:sz="0" w:space="0" w:color="auto"/>
          <w:lang w:val="en-GB"/>
        </w:rPr>
        <w:t>ed genetic resources;</w:t>
      </w:r>
      <w:r w:rsidR="00F1110B" w:rsidRPr="00DF02C5">
        <w:rPr>
          <w:rFonts w:eastAsia="Calibri" w:hAnsi="Times New Roman"/>
          <w:snapToGrid w:val="0"/>
          <w:color w:val="auto"/>
          <w:kern w:val="22"/>
          <w:bdr w:val="none" w:sz="0" w:space="0" w:color="auto"/>
          <w:lang w:val="en-GB"/>
        </w:rPr>
        <w:t xml:space="preserve"> </w:t>
      </w:r>
    </w:p>
    <w:p w14:paraId="193D70D8" w14:textId="5B7E9262" w:rsidR="001B01AE" w:rsidRPr="00DF02C5" w:rsidRDefault="00F1110B" w:rsidP="00A2498F">
      <w:pPr>
        <w:pStyle w:val="Para1"/>
        <w:numPr>
          <w:ilvl w:val="1"/>
          <w:numId w:val="1"/>
        </w:numPr>
        <w:spacing w:line="228" w:lineRule="auto"/>
        <w:ind w:firstLine="720"/>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Uganda </w:t>
      </w:r>
      <w:r w:rsidR="001B01AE" w:rsidRPr="00DF02C5">
        <w:rPr>
          <w:rFonts w:eastAsia="Calibri" w:hAnsi="Times New Roman"/>
          <w:snapToGrid w:val="0"/>
          <w:color w:val="auto"/>
          <w:kern w:val="22"/>
          <w:bdr w:val="none" w:sz="0" w:space="0" w:color="auto"/>
          <w:lang w:val="en-GB"/>
        </w:rPr>
        <w:t>and South Africa reported asking for information at the</w:t>
      </w:r>
      <w:r w:rsidR="001B01AE" w:rsidRPr="00DF02C5">
        <w:rPr>
          <w:lang w:val="en-GB"/>
        </w:rPr>
        <w:t xml:space="preserve"> </w:t>
      </w:r>
      <w:r w:rsidR="001B01AE" w:rsidRPr="00DF02C5">
        <w:rPr>
          <w:rFonts w:eastAsia="Calibri" w:hAnsi="Times New Roman"/>
          <w:snapToGrid w:val="0"/>
          <w:color w:val="auto"/>
          <w:kern w:val="22"/>
          <w:bdr w:val="none" w:sz="0" w:space="0" w:color="auto"/>
          <w:lang w:val="en-GB"/>
        </w:rPr>
        <w:t xml:space="preserve">point of entry and exit of the country. Uganda </w:t>
      </w:r>
      <w:r w:rsidR="005455BC" w:rsidRPr="00DF02C5">
        <w:rPr>
          <w:rFonts w:eastAsia="Calibri" w:hAnsi="Times New Roman"/>
          <w:snapToGrid w:val="0"/>
          <w:color w:val="auto"/>
          <w:kern w:val="22"/>
          <w:bdr w:val="none" w:sz="0" w:space="0" w:color="auto"/>
          <w:lang w:val="en-GB"/>
        </w:rPr>
        <w:t xml:space="preserve">explained </w:t>
      </w:r>
      <w:r w:rsidRPr="00DF02C5">
        <w:rPr>
          <w:rFonts w:eastAsia="Calibri" w:hAnsi="Times New Roman"/>
          <w:snapToGrid w:val="0"/>
          <w:color w:val="auto"/>
          <w:kern w:val="22"/>
          <w:bdr w:val="none" w:sz="0" w:space="0" w:color="auto"/>
          <w:lang w:val="en-GB"/>
        </w:rPr>
        <w:t xml:space="preserve">that </w:t>
      </w:r>
      <w:r w:rsidR="005455BC" w:rsidRPr="00DF02C5">
        <w:rPr>
          <w:rFonts w:eastAsia="Calibri" w:hAnsi="Times New Roman"/>
          <w:snapToGrid w:val="0"/>
          <w:color w:val="auto"/>
          <w:kern w:val="22"/>
          <w:bdr w:val="none" w:sz="0" w:space="0" w:color="auto"/>
          <w:lang w:val="en-GB"/>
        </w:rPr>
        <w:t xml:space="preserve">a </w:t>
      </w:r>
      <w:r w:rsidRPr="00DF02C5">
        <w:rPr>
          <w:rFonts w:eastAsia="Calibri" w:hAnsi="Times New Roman"/>
          <w:snapToGrid w:val="0"/>
          <w:color w:val="auto"/>
          <w:kern w:val="22"/>
          <w:bdr w:val="none" w:sz="0" w:space="0" w:color="auto"/>
          <w:lang w:val="en-GB"/>
        </w:rPr>
        <w:t xml:space="preserve">person transporting or moving genetic resources through Uganda is required to declare the genetic resources to customs control and is required to provide evidence of lawful acquisition from the country of origin </w:t>
      </w:r>
      <w:r w:rsidR="001B01AE" w:rsidRPr="00DF02C5">
        <w:rPr>
          <w:rFonts w:eastAsia="Calibri" w:hAnsi="Times New Roman"/>
          <w:snapToGrid w:val="0"/>
          <w:color w:val="auto"/>
          <w:kern w:val="22"/>
          <w:bdr w:val="none" w:sz="0" w:space="0" w:color="auto"/>
          <w:lang w:val="en-GB"/>
        </w:rPr>
        <w:t xml:space="preserve">when entering or exiting the country </w:t>
      </w:r>
      <w:r w:rsidRPr="00DF02C5">
        <w:rPr>
          <w:rFonts w:eastAsia="Calibri" w:hAnsi="Times New Roman"/>
          <w:snapToGrid w:val="0"/>
          <w:color w:val="auto"/>
          <w:kern w:val="22"/>
          <w:bdr w:val="none" w:sz="0" w:space="0" w:color="auto"/>
          <w:lang w:val="en-GB"/>
        </w:rPr>
        <w:t>and in any other part of Uganda as may be required. South Africa also requests users</w:t>
      </w:r>
      <w:r w:rsidR="005455BC" w:rsidRPr="00DF02C5">
        <w:rPr>
          <w:rFonts w:eastAsia="Calibri" w:hAnsi="Times New Roman"/>
          <w:snapToGrid w:val="0"/>
          <w:color w:val="auto"/>
          <w:kern w:val="22"/>
          <w:bdr w:val="none" w:sz="0" w:space="0" w:color="auto"/>
          <w:lang w:val="en-GB"/>
        </w:rPr>
        <w:t xml:space="preserve"> that</w:t>
      </w:r>
      <w:r w:rsidR="001B01AE" w:rsidRPr="00DF02C5">
        <w:rPr>
          <w:rFonts w:eastAsia="Calibri" w:hAnsi="Times New Roman"/>
          <w:snapToGrid w:val="0"/>
          <w:color w:val="auto"/>
          <w:kern w:val="22"/>
          <w:bdr w:val="none" w:sz="0" w:space="0" w:color="auto"/>
          <w:lang w:val="en-GB"/>
        </w:rPr>
        <w:t xml:space="preserve"> export indigenous biological resources </w:t>
      </w:r>
      <w:r w:rsidRPr="00DF02C5">
        <w:rPr>
          <w:rFonts w:eastAsia="Calibri" w:hAnsi="Times New Roman"/>
          <w:snapToGrid w:val="0"/>
          <w:color w:val="auto"/>
          <w:kern w:val="22"/>
          <w:bdr w:val="none" w:sz="0" w:space="0" w:color="auto"/>
          <w:lang w:val="en-GB"/>
        </w:rPr>
        <w:t xml:space="preserve">to provide a permit </w:t>
      </w:r>
      <w:r w:rsidR="001B01AE" w:rsidRPr="00DF02C5">
        <w:rPr>
          <w:rFonts w:eastAsia="Calibri" w:hAnsi="Times New Roman"/>
          <w:snapToGrid w:val="0"/>
          <w:color w:val="auto"/>
          <w:kern w:val="22"/>
          <w:bdr w:val="none" w:sz="0" w:space="0" w:color="auto"/>
          <w:lang w:val="en-GB"/>
        </w:rPr>
        <w:t xml:space="preserve">as proof of compliance </w:t>
      </w:r>
      <w:r w:rsidRPr="00DF02C5">
        <w:rPr>
          <w:rFonts w:eastAsia="Calibri" w:hAnsi="Times New Roman"/>
          <w:snapToGrid w:val="0"/>
          <w:color w:val="auto"/>
          <w:kern w:val="22"/>
          <w:bdr w:val="none" w:sz="0" w:space="0" w:color="auto"/>
          <w:lang w:val="en-GB"/>
        </w:rPr>
        <w:t xml:space="preserve">when </w:t>
      </w:r>
      <w:r w:rsidR="005455BC" w:rsidRPr="00DF02C5">
        <w:rPr>
          <w:rFonts w:eastAsia="Calibri" w:hAnsi="Times New Roman"/>
          <w:snapToGrid w:val="0"/>
          <w:color w:val="auto"/>
          <w:kern w:val="22"/>
          <w:bdr w:val="none" w:sz="0" w:space="0" w:color="auto"/>
          <w:lang w:val="en-GB"/>
        </w:rPr>
        <w:t>entering or exiting the country.</w:t>
      </w:r>
      <w:r w:rsidR="005455BC" w:rsidRPr="00DF02C5">
        <w:rPr>
          <w:lang w:val="en-GB"/>
        </w:rPr>
        <w:t xml:space="preserve"> </w:t>
      </w:r>
    </w:p>
    <w:p w14:paraId="5B4817F1" w14:textId="5A669D1D" w:rsidR="00776D6A" w:rsidRPr="00DF02C5" w:rsidRDefault="001B01AE" w:rsidP="002D17E1">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Several countries</w:t>
      </w:r>
      <w:r w:rsidRPr="00DF02C5">
        <w:rPr>
          <w:rStyle w:val="FootnoteReference"/>
          <w:rFonts w:eastAsia="Calibri" w:hAnsi="Times New Roman"/>
          <w:snapToGrid w:val="0"/>
          <w:color w:val="auto"/>
          <w:kern w:val="22"/>
          <w:bdr w:val="none" w:sz="0" w:space="0" w:color="auto"/>
          <w:lang w:val="en-GB"/>
        </w:rPr>
        <w:footnoteReference w:id="200"/>
      </w:r>
      <w:r w:rsidRPr="00DF02C5">
        <w:rPr>
          <w:rFonts w:eastAsia="Calibri" w:hAnsi="Times New Roman"/>
          <w:snapToGrid w:val="0"/>
          <w:color w:val="auto"/>
          <w:kern w:val="22"/>
          <w:bdr w:val="none" w:sz="0" w:space="0" w:color="auto"/>
          <w:lang w:val="en-GB"/>
        </w:rPr>
        <w:t xml:space="preserve"> reported having established a requirement to disclose the origin of the genetic resource when asking for a patent based on a genetic resource, and one country</w:t>
      </w:r>
      <w:r w:rsidRPr="00DF02C5">
        <w:rPr>
          <w:rStyle w:val="FootnoteReference"/>
          <w:rFonts w:eastAsia="Calibri" w:hAnsi="Times New Roman"/>
          <w:snapToGrid w:val="0"/>
          <w:color w:val="auto"/>
          <w:kern w:val="22"/>
          <w:bdr w:val="none" w:sz="0" w:space="0" w:color="auto"/>
          <w:lang w:val="en-GB"/>
        </w:rPr>
        <w:footnoteReference w:id="201"/>
      </w:r>
      <w:r w:rsidRPr="00DF02C5">
        <w:rPr>
          <w:rFonts w:eastAsia="Calibri" w:hAnsi="Times New Roman"/>
          <w:snapToGrid w:val="0"/>
          <w:color w:val="auto"/>
          <w:kern w:val="22"/>
          <w:bdr w:val="none" w:sz="0" w:space="0" w:color="auto"/>
          <w:lang w:val="en-GB"/>
        </w:rPr>
        <w:t xml:space="preserve"> reported having such a </w:t>
      </w:r>
      <w:r w:rsidR="00776D6A" w:rsidRPr="00DF02C5">
        <w:rPr>
          <w:rFonts w:eastAsia="Calibri" w:hAnsi="Times New Roman"/>
          <w:snapToGrid w:val="0"/>
          <w:color w:val="auto"/>
          <w:kern w:val="22"/>
          <w:bdr w:val="none" w:sz="0" w:space="0" w:color="auto"/>
          <w:lang w:val="en-GB"/>
        </w:rPr>
        <w:t xml:space="preserve">requirement </w:t>
      </w:r>
      <w:r w:rsidRPr="00DF02C5">
        <w:rPr>
          <w:rFonts w:eastAsia="Calibri" w:hAnsi="Times New Roman"/>
          <w:snapToGrid w:val="0"/>
          <w:color w:val="auto"/>
          <w:kern w:val="22"/>
          <w:bdr w:val="none" w:sz="0" w:space="0" w:color="auto"/>
          <w:lang w:val="en-GB"/>
        </w:rPr>
        <w:t xml:space="preserve">for patents based on </w:t>
      </w:r>
      <w:r w:rsidR="00776D6A" w:rsidRPr="00DF02C5">
        <w:rPr>
          <w:rFonts w:eastAsia="Calibri" w:hAnsi="Times New Roman"/>
          <w:snapToGrid w:val="0"/>
          <w:color w:val="auto"/>
          <w:kern w:val="22"/>
          <w:bdr w:val="none" w:sz="0" w:space="0" w:color="auto"/>
          <w:lang w:val="en-GB"/>
        </w:rPr>
        <w:t>traditional knowledge. Peru also provided details on the findings from the intellect</w:t>
      </w:r>
      <w:r w:rsidR="006D0656" w:rsidRPr="00DF02C5">
        <w:rPr>
          <w:rFonts w:eastAsia="Calibri" w:hAnsi="Times New Roman"/>
          <w:snapToGrid w:val="0"/>
          <w:color w:val="auto"/>
          <w:kern w:val="22"/>
          <w:bdr w:val="none" w:sz="0" w:space="0" w:color="auto"/>
          <w:lang w:val="en-GB"/>
        </w:rPr>
        <w:t xml:space="preserve">ual property office (INDECOPI) on the </w:t>
      </w:r>
      <w:r w:rsidR="00776D6A" w:rsidRPr="00DF02C5">
        <w:rPr>
          <w:rFonts w:eastAsia="Calibri" w:hAnsi="Times New Roman"/>
          <w:snapToGrid w:val="0"/>
          <w:color w:val="auto"/>
          <w:kern w:val="22"/>
          <w:bdr w:val="none" w:sz="0" w:space="0" w:color="auto"/>
          <w:lang w:val="en-GB"/>
        </w:rPr>
        <w:t>number of patent applications received during 2017 related to genetic resources, and how many of th</w:t>
      </w:r>
      <w:r w:rsidR="006D0656" w:rsidRPr="00DF02C5">
        <w:rPr>
          <w:rFonts w:eastAsia="Calibri" w:hAnsi="Times New Roman"/>
          <w:snapToGrid w:val="0"/>
          <w:color w:val="auto"/>
          <w:kern w:val="22"/>
          <w:bdr w:val="none" w:sz="0" w:space="0" w:color="auto"/>
          <w:lang w:val="en-GB"/>
        </w:rPr>
        <w:t>ose required an access contract,</w:t>
      </w:r>
      <w:r w:rsidR="00776D6A" w:rsidRPr="00DF02C5">
        <w:rPr>
          <w:rFonts w:eastAsia="Calibri" w:hAnsi="Times New Roman"/>
          <w:snapToGrid w:val="0"/>
          <w:color w:val="auto"/>
          <w:kern w:val="22"/>
          <w:bdr w:val="none" w:sz="0" w:space="0" w:color="auto"/>
          <w:lang w:val="en-GB"/>
        </w:rPr>
        <w:t xml:space="preserve"> and the Nationa</w:t>
      </w:r>
      <w:r w:rsidR="006D0656" w:rsidRPr="00DF02C5">
        <w:rPr>
          <w:rFonts w:eastAsia="Calibri" w:hAnsi="Times New Roman"/>
          <w:snapToGrid w:val="0"/>
          <w:color w:val="auto"/>
          <w:kern w:val="22"/>
          <w:bdr w:val="none" w:sz="0" w:space="0" w:color="auto"/>
          <w:lang w:val="en-GB"/>
        </w:rPr>
        <w:t xml:space="preserve">l Commission Against Biopiracy on the </w:t>
      </w:r>
      <w:r w:rsidR="00776D6A" w:rsidRPr="00DF02C5">
        <w:rPr>
          <w:rFonts w:eastAsia="Calibri" w:hAnsi="Times New Roman"/>
          <w:snapToGrid w:val="0"/>
          <w:color w:val="auto"/>
          <w:kern w:val="22"/>
          <w:bdr w:val="none" w:sz="0" w:space="0" w:color="auto"/>
          <w:lang w:val="en-GB"/>
        </w:rPr>
        <w:t>number of patent application in other countries that were found to be base</w:t>
      </w:r>
      <w:r w:rsidR="006D0656" w:rsidRPr="00DF02C5">
        <w:rPr>
          <w:rFonts w:eastAsia="Calibri" w:hAnsi="Times New Roman"/>
          <w:snapToGrid w:val="0"/>
          <w:color w:val="auto"/>
          <w:kern w:val="22"/>
          <w:bdr w:val="none" w:sz="0" w:space="0" w:color="auto"/>
          <w:lang w:val="en-GB"/>
        </w:rPr>
        <w:t>d on Peruvian genetic resources</w:t>
      </w:r>
      <w:r w:rsidR="00776D6A" w:rsidRPr="00DF02C5">
        <w:rPr>
          <w:rFonts w:eastAsia="Calibri" w:hAnsi="Times New Roman"/>
          <w:snapToGrid w:val="0"/>
          <w:color w:val="auto"/>
          <w:kern w:val="22"/>
          <w:bdr w:val="none" w:sz="0" w:space="0" w:color="auto"/>
          <w:lang w:val="en-GB"/>
        </w:rPr>
        <w:t>.</w:t>
      </w:r>
    </w:p>
    <w:p w14:paraId="25A5518D" w14:textId="1C1F0A68" w:rsidR="002F14A1" w:rsidRPr="00DF02C5" w:rsidRDefault="002F14A1" w:rsidP="002F14A1">
      <w:pPr>
        <w:pStyle w:val="Para1"/>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t>(b)</w:t>
      </w:r>
      <w:r w:rsidRPr="00DF02C5">
        <w:rPr>
          <w:rFonts w:eastAsia="Calibri" w:hAnsi="Times New Roman"/>
          <w:i/>
          <w:snapToGrid w:val="0"/>
          <w:color w:val="auto"/>
          <w:kern w:val="22"/>
          <w:bdr w:val="none" w:sz="0" w:space="0" w:color="auto"/>
          <w:lang w:val="en-GB"/>
        </w:rPr>
        <w:tab/>
        <w:t>Countries that answered “no”</w:t>
      </w:r>
    </w:p>
    <w:p w14:paraId="096EA014" w14:textId="5A436C91" w:rsidR="002F14A1" w:rsidRPr="00DF02C5" w:rsidRDefault="00BD60A0" w:rsidP="002D17E1">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kern w:val="22"/>
          <w:bdr w:val="none" w:sz="0" w:space="0" w:color="auto"/>
          <w:lang w:val="en-GB"/>
        </w:rPr>
        <w:t>M</w:t>
      </w:r>
      <w:r w:rsidR="002F14A1" w:rsidRPr="00DF02C5">
        <w:rPr>
          <w:rFonts w:eastAsia="Calibri" w:hAnsi="Times New Roman"/>
          <w:snapToGrid w:val="0"/>
          <w:kern w:val="22"/>
          <w:bdr w:val="none" w:sz="0" w:space="0" w:color="auto"/>
          <w:lang w:val="en-GB"/>
        </w:rPr>
        <w:t xml:space="preserve">any </w:t>
      </w:r>
      <w:r w:rsidR="002F14A1" w:rsidRPr="00DF02C5">
        <w:rPr>
          <w:rFonts w:eastAsia="Calibri" w:hAnsi="Times New Roman"/>
          <w:snapToGrid w:val="0"/>
          <w:color w:val="auto"/>
          <w:kern w:val="22"/>
          <w:bdr w:val="none" w:sz="0" w:space="0" w:color="auto"/>
          <w:lang w:val="en-GB"/>
        </w:rPr>
        <w:t xml:space="preserve">countries </w:t>
      </w:r>
      <w:r w:rsidRPr="00DF02C5">
        <w:rPr>
          <w:rFonts w:eastAsia="Calibri" w:hAnsi="Times New Roman"/>
          <w:snapToGrid w:val="0"/>
          <w:color w:val="auto"/>
          <w:kern w:val="22"/>
          <w:bdr w:val="none" w:sz="0" w:space="0" w:color="auto"/>
          <w:lang w:val="en-GB"/>
        </w:rPr>
        <w:t>indicated</w:t>
      </w:r>
      <w:r w:rsidR="002F14A1" w:rsidRPr="00DF02C5">
        <w:rPr>
          <w:rFonts w:eastAsia="Calibri" w:hAnsi="Times New Roman"/>
          <w:snapToGrid w:val="0"/>
          <w:color w:val="auto"/>
          <w:kern w:val="22"/>
          <w:bdr w:val="none" w:sz="0" w:space="0" w:color="auto"/>
          <w:lang w:val="en-GB"/>
        </w:rPr>
        <w:t xml:space="preserve"> that they are planning to address this issue.</w:t>
      </w:r>
      <w:r w:rsidR="002F14A1" w:rsidRPr="00DF02C5">
        <w:rPr>
          <w:rStyle w:val="FootnoteReference"/>
          <w:rFonts w:eastAsia="Calibri" w:hAnsi="Times New Roman"/>
          <w:snapToGrid w:val="0"/>
          <w:color w:val="auto"/>
          <w:kern w:val="22"/>
          <w:bdr w:val="none" w:sz="0" w:space="0" w:color="auto"/>
          <w:lang w:val="en-GB"/>
        </w:rPr>
        <w:footnoteReference w:id="202"/>
      </w:r>
      <w:r w:rsidR="002F14A1" w:rsidRPr="00DF02C5">
        <w:rPr>
          <w:rFonts w:eastAsia="Calibri" w:hAnsi="Times New Roman"/>
          <w:snapToGrid w:val="0"/>
          <w:color w:val="auto"/>
          <w:kern w:val="22"/>
          <w:bdr w:val="none" w:sz="0" w:space="0" w:color="auto"/>
          <w:lang w:val="en-GB"/>
        </w:rPr>
        <w:t xml:space="preserve"> Some countries also provided information on relevant activities and/or other measures taken. For example, Norway</w:t>
      </w:r>
      <w:r w:rsidR="006D0656" w:rsidRPr="00DF02C5">
        <w:rPr>
          <w:rFonts w:eastAsia="Calibri" w:hAnsi="Times New Roman"/>
          <w:snapToGrid w:val="0"/>
          <w:color w:val="auto"/>
          <w:kern w:val="22"/>
          <w:bdr w:val="none" w:sz="0" w:space="0" w:color="auto"/>
          <w:lang w:val="en-GB"/>
        </w:rPr>
        <w:t xml:space="preserve"> </w:t>
      </w:r>
      <w:r w:rsidR="002F14A1" w:rsidRPr="00DF02C5">
        <w:rPr>
          <w:rFonts w:eastAsia="Calibri" w:hAnsi="Times New Roman"/>
          <w:snapToGrid w:val="0"/>
          <w:color w:val="auto"/>
          <w:kern w:val="22"/>
          <w:bdr w:val="none" w:sz="0" w:space="0" w:color="auto"/>
          <w:lang w:val="en-GB"/>
        </w:rPr>
        <w:t>and India</w:t>
      </w:r>
      <w:r w:rsidR="006D0656" w:rsidRPr="00DF02C5">
        <w:rPr>
          <w:rFonts w:eastAsia="Calibri" w:hAnsi="Times New Roman"/>
          <w:snapToGrid w:val="0"/>
          <w:color w:val="auto"/>
          <w:kern w:val="22"/>
          <w:bdr w:val="none" w:sz="0" w:space="0" w:color="auto"/>
          <w:lang w:val="en-GB"/>
        </w:rPr>
        <w:t xml:space="preserve"> </w:t>
      </w:r>
      <w:r w:rsidR="002F14A1" w:rsidRPr="00DF02C5">
        <w:rPr>
          <w:rFonts w:eastAsia="Calibri" w:hAnsi="Times New Roman"/>
          <w:snapToGrid w:val="0"/>
          <w:color w:val="auto"/>
          <w:kern w:val="22"/>
          <w:bdr w:val="none" w:sz="0" w:space="0" w:color="auto"/>
          <w:lang w:val="en-GB"/>
        </w:rPr>
        <w:t>reported having a mandatory disclosure requirement.</w:t>
      </w:r>
    </w:p>
    <w:p w14:paraId="4051ADAE" w14:textId="538CF13E" w:rsidR="006D0656" w:rsidRPr="00034DE8" w:rsidRDefault="006D0656" w:rsidP="00034DE8">
      <w:pPr>
        <w:pStyle w:val="Para1"/>
        <w:numPr>
          <w:ilvl w:val="1"/>
          <w:numId w:val="66"/>
        </w:numPr>
        <w:spacing w:line="228" w:lineRule="auto"/>
        <w:ind w:left="0" w:firstLine="0"/>
        <w:jc w:val="center"/>
        <w:rPr>
          <w:rFonts w:eastAsia="Calibri" w:hAnsi="Times New Roman"/>
          <w:i/>
          <w:snapToGrid w:val="0"/>
          <w:kern w:val="22"/>
          <w:bdr w:val="none" w:sz="0" w:space="0" w:color="auto"/>
          <w:lang w:val="en-GB"/>
        </w:rPr>
      </w:pPr>
      <w:r w:rsidRPr="00034DE8">
        <w:rPr>
          <w:rFonts w:eastAsia="Calibri" w:hAnsi="Times New Roman"/>
          <w:i/>
          <w:snapToGrid w:val="0"/>
          <w:color w:val="auto"/>
          <w:kern w:val="22"/>
          <w:bdr w:val="none" w:sz="0" w:space="0" w:color="auto"/>
          <w:lang w:val="en-GB"/>
        </w:rPr>
        <w:t xml:space="preserve">Has your country taken measures to address situations of non-compliance? </w:t>
      </w:r>
      <w:r w:rsidR="00756B08" w:rsidRPr="00034DE8">
        <w:rPr>
          <w:rFonts w:eastAsia="Calibri" w:hAnsi="Times New Roman"/>
          <w:i/>
          <w:snapToGrid w:val="0"/>
          <w:kern w:val="22"/>
          <w:bdr w:val="none" w:sz="0" w:space="0" w:color="auto"/>
          <w:lang w:val="en-GB"/>
        </w:rPr>
        <w:t>(question 26)</w:t>
      </w:r>
    </w:p>
    <w:p w14:paraId="48F254F7" w14:textId="5A38EF42" w:rsidR="006D0656" w:rsidRPr="00DF02C5" w:rsidRDefault="006D0656" w:rsidP="002D17E1">
      <w:pPr>
        <w:pStyle w:val="Para1"/>
        <w:numPr>
          <w:ilvl w:val="0"/>
          <w:numId w:val="1"/>
        </w:numPr>
        <w:rPr>
          <w:rFonts w:eastAsia="Calibri" w:hAnsi="Times New Roman"/>
          <w:snapToGrid w:val="0"/>
          <w:color w:val="auto"/>
          <w:kern w:val="22"/>
          <w:bdr w:val="none" w:sz="0" w:space="0" w:color="auto"/>
          <w:lang w:val="en-GB"/>
        </w:rPr>
      </w:pPr>
      <w:proofErr w:type="gramStart"/>
      <w:r w:rsidRPr="00DF02C5">
        <w:rPr>
          <w:rFonts w:eastAsia="Calibri" w:hAnsi="Times New Roman"/>
          <w:snapToGrid w:val="0"/>
          <w:color w:val="auto"/>
          <w:kern w:val="22"/>
          <w:bdr w:val="none" w:sz="0" w:space="0" w:color="auto"/>
          <w:lang w:val="en-GB"/>
        </w:rPr>
        <w:t>Forty-one</w:t>
      </w:r>
      <w:proofErr w:type="gramEnd"/>
      <w:r w:rsidRPr="00DF02C5">
        <w:rPr>
          <w:rFonts w:eastAsia="Calibri" w:hAnsi="Times New Roman"/>
          <w:snapToGrid w:val="0"/>
          <w:color w:val="auto"/>
          <w:kern w:val="22"/>
          <w:bdr w:val="none" w:sz="0" w:space="0" w:color="auto"/>
          <w:lang w:val="en-GB"/>
        </w:rPr>
        <w:t xml:space="preserve"> Parties and four non-Parties responded that they do require users of genetic resources to provide the information provided in Article 17.1 (a</w:t>
      </w:r>
      <w:r w:rsidR="00DF02C5" w:rsidRPr="00DF02C5">
        <w:rPr>
          <w:rFonts w:eastAsia="Calibri" w:hAnsi="Times New Roman"/>
          <w:snapToGrid w:val="0"/>
          <w:color w:val="auto"/>
          <w:kern w:val="22"/>
          <w:bdr w:val="none" w:sz="0" w:space="0" w:color="auto"/>
          <w:lang w:val="en-GB"/>
        </w:rPr>
        <w:t>) (</w:t>
      </w:r>
      <w:r w:rsidRPr="00DF02C5">
        <w:rPr>
          <w:rFonts w:eastAsia="Calibri" w:hAnsi="Times New Roman"/>
          <w:snapToGrid w:val="0"/>
          <w:color w:val="auto"/>
          <w:kern w:val="22"/>
          <w:bdr w:val="none" w:sz="0" w:space="0" w:color="auto"/>
          <w:lang w:val="en-GB"/>
        </w:rPr>
        <w:t>i) and (ii) at a designated checkpoint, and answered this question. Of those countries, thirty Parties and four non-Parties reported having taken measures to address situations of non-compliance.</w:t>
      </w:r>
    </w:p>
    <w:p w14:paraId="4A11D2CA" w14:textId="5EDB3DF9" w:rsidR="006D0656" w:rsidRPr="00DF02C5" w:rsidRDefault="007D5F65" w:rsidP="00E5256F">
      <w:pPr>
        <w:pStyle w:val="Caption"/>
        <w:keepNext/>
        <w:keepLines/>
        <w:rPr>
          <w:snapToGrid w:val="0"/>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00E5256F" w:rsidRPr="00DF02C5">
        <w:rPr>
          <w:noProof/>
          <w:lang w:val="en-GB"/>
        </w:rPr>
        <w:t>23</w:t>
      </w:r>
      <w:r w:rsidRPr="00DF02C5">
        <w:rPr>
          <w:lang w:val="en-GB"/>
        </w:rPr>
        <w:fldChar w:fldCharType="end"/>
      </w:r>
      <w:r w:rsidR="006D0656" w:rsidRPr="00DF02C5">
        <w:rPr>
          <w:snapToGrid w:val="0"/>
          <w:bdr w:val="none" w:sz="0" w:space="0" w:color="auto"/>
          <w:lang w:val="en-GB"/>
        </w:rPr>
        <w:t>: Measures to address situations of non-compliance with the requirement of providing information at checkpoints (percentage of countries)</w:t>
      </w:r>
    </w:p>
    <w:p w14:paraId="79D6B9E0" w14:textId="3DA5CF92" w:rsidR="00587EC4" w:rsidRPr="00DF02C5" w:rsidRDefault="00587EC4" w:rsidP="006D0656">
      <w:pPr>
        <w:pStyle w:val="Para1"/>
        <w:jc w:val="center"/>
        <w:rPr>
          <w:rFonts w:eastAsia="Calibri" w:hAnsi="Times New Roman"/>
          <w:snapToGrid w:val="0"/>
          <w:color w:val="auto"/>
          <w:kern w:val="22"/>
          <w:bdr w:val="none" w:sz="0" w:space="0" w:color="auto"/>
          <w:lang w:val="en-GB"/>
        </w:rPr>
      </w:pPr>
      <w:r w:rsidRPr="00DF02C5">
        <w:rPr>
          <w:noProof/>
        </w:rPr>
        <w:drawing>
          <wp:inline distT="0" distB="0" distL="0" distR="0" wp14:anchorId="1D18DDFF" wp14:editId="273428A5">
            <wp:extent cx="3562350" cy="2152650"/>
            <wp:effectExtent l="0" t="0" r="19050" b="19050"/>
            <wp:docPr id="73" name="Chart 73">
              <a:extLst xmlns:a="http://schemas.openxmlformats.org/drawingml/2006/main">
                <a:ext uri="{FF2B5EF4-FFF2-40B4-BE49-F238E27FC236}">
                  <a16:creationId xmlns:a16="http://schemas.microsoft.com/office/drawing/2014/main" id="{00000000-0008-0000-06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62DA13F" w14:textId="3E057393" w:rsidR="00EA65E0" w:rsidRPr="00DF02C5" w:rsidRDefault="00207F7C" w:rsidP="002D17E1">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lastRenderedPageBreak/>
        <w:t>A number of countries made reference to the relevant ABS measures</w:t>
      </w:r>
      <w:r w:rsidRPr="00DF02C5">
        <w:rPr>
          <w:rStyle w:val="FootnoteReference"/>
          <w:rFonts w:eastAsia="Calibri" w:hAnsi="Times New Roman"/>
          <w:snapToGrid w:val="0"/>
          <w:color w:val="auto"/>
          <w:kern w:val="22"/>
          <w:bdr w:val="none" w:sz="0" w:space="0" w:color="auto"/>
          <w:lang w:val="en-GB"/>
        </w:rPr>
        <w:footnoteReference w:id="203"/>
      </w:r>
      <w:r w:rsidRPr="00DF02C5">
        <w:rPr>
          <w:rFonts w:eastAsia="Calibri" w:hAnsi="Times New Roman"/>
          <w:snapToGrid w:val="0"/>
          <w:color w:val="auto"/>
          <w:kern w:val="22"/>
          <w:bdr w:val="none" w:sz="0" w:space="0" w:color="auto"/>
          <w:lang w:val="en-GB"/>
        </w:rPr>
        <w:t xml:space="preserve">  and/or drafts underway.</w:t>
      </w:r>
      <w:r w:rsidRPr="00DF02C5">
        <w:rPr>
          <w:rStyle w:val="FootnoteReference"/>
          <w:rFonts w:eastAsia="Calibri" w:hAnsi="Times New Roman"/>
          <w:snapToGrid w:val="0"/>
          <w:color w:val="auto"/>
          <w:kern w:val="22"/>
          <w:bdr w:val="none" w:sz="0" w:space="0" w:color="auto"/>
          <w:lang w:val="en-GB"/>
        </w:rPr>
        <w:footnoteReference w:id="204"/>
      </w:r>
      <w:r w:rsidRPr="00DF02C5">
        <w:rPr>
          <w:rFonts w:eastAsia="Calibri" w:hAnsi="Times New Roman"/>
          <w:snapToGrid w:val="0"/>
          <w:color w:val="auto"/>
          <w:kern w:val="22"/>
          <w:bdr w:val="none" w:sz="0" w:space="0" w:color="auto"/>
          <w:lang w:val="en-GB"/>
        </w:rPr>
        <w:t xml:space="preserve"> E</w:t>
      </w:r>
      <w:r w:rsidR="00EA65E0" w:rsidRPr="00DF02C5">
        <w:rPr>
          <w:rFonts w:eastAsia="Calibri" w:hAnsi="Times New Roman"/>
          <w:snapToGrid w:val="0"/>
          <w:color w:val="auto"/>
          <w:kern w:val="22"/>
          <w:bdr w:val="none" w:sz="0" w:space="0" w:color="auto"/>
          <w:lang w:val="en-GB"/>
        </w:rPr>
        <w:t>xamples of measures taken by countries</w:t>
      </w:r>
      <w:r w:rsidR="00C82D27" w:rsidRPr="00DF02C5">
        <w:rPr>
          <w:rFonts w:eastAsia="Calibri" w:hAnsi="Times New Roman"/>
          <w:snapToGrid w:val="0"/>
          <w:color w:val="auto"/>
          <w:kern w:val="22"/>
          <w:bdr w:val="none" w:sz="0" w:space="0" w:color="auto"/>
          <w:lang w:val="en-GB"/>
        </w:rPr>
        <w:t xml:space="preserve"> include the following</w:t>
      </w:r>
      <w:r w:rsidR="00EA65E0" w:rsidRPr="00DF02C5">
        <w:rPr>
          <w:rFonts w:eastAsia="Calibri" w:hAnsi="Times New Roman"/>
          <w:snapToGrid w:val="0"/>
          <w:color w:val="auto"/>
          <w:kern w:val="22"/>
          <w:bdr w:val="none" w:sz="0" w:space="0" w:color="auto"/>
          <w:lang w:val="en-GB"/>
        </w:rPr>
        <w:t>:</w:t>
      </w:r>
    </w:p>
    <w:p w14:paraId="35008D32" w14:textId="02C55A4B" w:rsidR="00C82D27" w:rsidRPr="00DF02C5" w:rsidRDefault="00C82D27" w:rsidP="005038A2">
      <w:pPr>
        <w:pStyle w:val="Para1"/>
        <w:numPr>
          <w:ilvl w:val="0"/>
          <w:numId w:val="13"/>
        </w:numPr>
        <w:spacing w:line="228" w:lineRule="auto"/>
        <w:ind w:left="0" w:firstLine="709"/>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The European Union indicated that competent authorities in EU Member States are obliged, based on Article 9 of Regulation 511/2014, to perform checks on user compliance in accordance with period</w:t>
      </w:r>
      <w:r w:rsidR="00034DE8">
        <w:rPr>
          <w:rFonts w:eastAsia="Calibri" w:hAnsi="Times New Roman"/>
          <w:snapToGrid w:val="0"/>
          <w:color w:val="auto"/>
          <w:kern w:val="22"/>
          <w:bdr w:val="none" w:sz="0" w:space="0" w:color="auto"/>
          <w:lang w:val="en-GB"/>
        </w:rPr>
        <w:t>ically revised risk-based plans;</w:t>
      </w:r>
      <w:r w:rsidRPr="00DF02C5">
        <w:rPr>
          <w:rStyle w:val="FootnoteReference"/>
          <w:rFonts w:eastAsia="Calibri" w:hAnsi="Times New Roman"/>
          <w:snapToGrid w:val="0"/>
          <w:color w:val="auto"/>
          <w:kern w:val="22"/>
          <w:bdr w:val="none" w:sz="0" w:space="0" w:color="auto"/>
          <w:lang w:val="en-GB"/>
        </w:rPr>
        <w:footnoteReference w:id="205"/>
      </w:r>
      <w:r w:rsidRPr="00DF02C5">
        <w:rPr>
          <w:rFonts w:eastAsia="Calibri" w:hAnsi="Times New Roman"/>
          <w:snapToGrid w:val="0"/>
          <w:color w:val="auto"/>
          <w:kern w:val="22"/>
          <w:bdr w:val="none" w:sz="0" w:space="0" w:color="auto"/>
          <w:lang w:val="en-GB"/>
        </w:rPr>
        <w:t xml:space="preserve"> </w:t>
      </w:r>
    </w:p>
    <w:p w14:paraId="7F8FE3D2" w14:textId="3BD24DFF" w:rsidR="00EA65E0" w:rsidRPr="00DF02C5" w:rsidRDefault="00EA65E0" w:rsidP="005038A2">
      <w:pPr>
        <w:pStyle w:val="Para1"/>
        <w:numPr>
          <w:ilvl w:val="0"/>
          <w:numId w:val="13"/>
        </w:numPr>
        <w:spacing w:line="228" w:lineRule="auto"/>
        <w:ind w:left="0" w:firstLine="709"/>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South Africa explained that if the user does not provide proof of compliance with the regulatory requirements of the provider country, the NFP alerts the NFP of the provider country about the resources that are being imported into South Africa </w:t>
      </w:r>
      <w:r w:rsidR="006B7E9A" w:rsidRPr="00DF02C5">
        <w:rPr>
          <w:rFonts w:eastAsia="Calibri" w:hAnsi="Times New Roman"/>
          <w:snapToGrid w:val="0"/>
          <w:color w:val="auto"/>
          <w:kern w:val="22"/>
          <w:bdr w:val="none" w:sz="0" w:space="0" w:color="auto"/>
          <w:lang w:val="en-GB"/>
        </w:rPr>
        <w:t>so they can take the</w:t>
      </w:r>
      <w:r w:rsidR="00034DE8">
        <w:rPr>
          <w:rFonts w:eastAsia="Calibri" w:hAnsi="Times New Roman"/>
          <w:snapToGrid w:val="0"/>
          <w:color w:val="auto"/>
          <w:kern w:val="22"/>
          <w:bdr w:val="none" w:sz="0" w:space="0" w:color="auto"/>
          <w:lang w:val="en-GB"/>
        </w:rPr>
        <w:t xml:space="preserve"> necessary action;</w:t>
      </w:r>
    </w:p>
    <w:p w14:paraId="4E23EBBF" w14:textId="58C274DD" w:rsidR="00EA65E0" w:rsidRPr="00DF02C5" w:rsidRDefault="00EA65E0" w:rsidP="005038A2">
      <w:pPr>
        <w:pStyle w:val="Para1"/>
        <w:numPr>
          <w:ilvl w:val="0"/>
          <w:numId w:val="13"/>
        </w:numPr>
        <w:spacing w:line="228" w:lineRule="auto"/>
        <w:ind w:left="0" w:firstLine="709"/>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Madagascar indicated that access authorisations and activities related to genetic resources or associated traditional knowledge could be suspended or cancelled and the user could be denied </w:t>
      </w:r>
      <w:proofErr w:type="gramStart"/>
      <w:r w:rsidRPr="00DF02C5">
        <w:rPr>
          <w:rFonts w:eastAsia="Calibri" w:hAnsi="Times New Roman"/>
          <w:snapToGrid w:val="0"/>
          <w:color w:val="auto"/>
          <w:kern w:val="22"/>
          <w:bdr w:val="none" w:sz="0" w:space="0" w:color="auto"/>
          <w:lang w:val="en-GB"/>
        </w:rPr>
        <w:t>to carry</w:t>
      </w:r>
      <w:proofErr w:type="gramEnd"/>
      <w:r w:rsidRPr="00DF02C5">
        <w:rPr>
          <w:rFonts w:eastAsia="Calibri" w:hAnsi="Times New Roman"/>
          <w:snapToGrid w:val="0"/>
          <w:color w:val="auto"/>
          <w:kern w:val="22"/>
          <w:bdr w:val="none" w:sz="0" w:space="0" w:color="auto"/>
          <w:lang w:val="en-GB"/>
        </w:rPr>
        <w:t xml:space="preserve"> </w:t>
      </w:r>
      <w:r w:rsidR="002D17E1">
        <w:rPr>
          <w:rFonts w:eastAsia="Calibri" w:hAnsi="Times New Roman"/>
          <w:snapToGrid w:val="0"/>
          <w:color w:val="auto"/>
          <w:kern w:val="22"/>
          <w:bdr w:val="none" w:sz="0" w:space="0" w:color="auto"/>
          <w:lang w:val="en-GB"/>
        </w:rPr>
        <w:t xml:space="preserve">out </w:t>
      </w:r>
      <w:r w:rsidR="00C82D27" w:rsidRPr="00DF02C5">
        <w:rPr>
          <w:rFonts w:eastAsia="Calibri" w:hAnsi="Times New Roman"/>
          <w:snapToGrid w:val="0"/>
          <w:color w:val="auto"/>
          <w:kern w:val="22"/>
          <w:bdr w:val="none" w:sz="0" w:space="0" w:color="auto"/>
          <w:lang w:val="en-GB"/>
        </w:rPr>
        <w:t>t</w:t>
      </w:r>
      <w:r w:rsidR="00034DE8">
        <w:rPr>
          <w:rFonts w:eastAsia="Calibri" w:hAnsi="Times New Roman"/>
          <w:snapToGrid w:val="0"/>
          <w:color w:val="auto"/>
          <w:kern w:val="22"/>
          <w:bdr w:val="none" w:sz="0" w:space="0" w:color="auto"/>
          <w:lang w:val="en-GB"/>
        </w:rPr>
        <w:t>he same activity in the country;</w:t>
      </w:r>
    </w:p>
    <w:p w14:paraId="5317CCFC" w14:textId="54D2E29A" w:rsidR="00EA65E0" w:rsidRPr="00DF02C5" w:rsidRDefault="00EA65E0" w:rsidP="005038A2">
      <w:pPr>
        <w:pStyle w:val="Para1"/>
        <w:numPr>
          <w:ilvl w:val="0"/>
          <w:numId w:val="13"/>
        </w:numPr>
        <w:spacing w:line="228" w:lineRule="auto"/>
        <w:ind w:left="0" w:firstLine="709"/>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Peru reported that possible sanctions that could derive from infractions </w:t>
      </w:r>
      <w:r w:rsidR="002D17E1">
        <w:rPr>
          <w:rFonts w:eastAsia="Calibri" w:hAnsi="Times New Roman"/>
          <w:snapToGrid w:val="0"/>
          <w:color w:val="auto"/>
          <w:kern w:val="22"/>
          <w:bdr w:val="none" w:sz="0" w:space="0" w:color="auto"/>
          <w:lang w:val="en-GB"/>
        </w:rPr>
        <w:t>to</w:t>
      </w:r>
      <w:r w:rsidR="00034DE8">
        <w:rPr>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 xml:space="preserve">the legislation are the following: suspension or cancelation of the access authorisation, confiscation of the materials, fines, disqualification to apply for new access, </w:t>
      </w:r>
      <w:r w:rsidR="00F1110B" w:rsidRPr="00DF02C5">
        <w:rPr>
          <w:rFonts w:eastAsia="Calibri" w:hAnsi="Times New Roman"/>
          <w:snapToGrid w:val="0"/>
          <w:color w:val="auto"/>
          <w:kern w:val="22"/>
          <w:bdr w:val="none" w:sz="0" w:space="0" w:color="auto"/>
          <w:lang w:val="en-GB"/>
        </w:rPr>
        <w:t xml:space="preserve">or </w:t>
      </w:r>
      <w:r w:rsidRPr="00DF02C5">
        <w:rPr>
          <w:rFonts w:eastAsia="Calibri" w:hAnsi="Times New Roman"/>
          <w:snapToGrid w:val="0"/>
          <w:color w:val="auto"/>
          <w:kern w:val="22"/>
          <w:bdr w:val="none" w:sz="0" w:space="0" w:color="auto"/>
          <w:lang w:val="en-GB"/>
        </w:rPr>
        <w:t xml:space="preserve">cancelation of the entity registry. A registry of all sanctions is kept in order to inform the public and identify cases of recidivism. </w:t>
      </w:r>
    </w:p>
    <w:p w14:paraId="40CCFAB3" w14:textId="6F36C5F4" w:rsidR="00EA65E0" w:rsidRPr="00034DE8" w:rsidRDefault="00B34183" w:rsidP="00034DE8">
      <w:pPr>
        <w:pStyle w:val="Para1"/>
        <w:numPr>
          <w:ilvl w:val="0"/>
          <w:numId w:val="66"/>
        </w:numPr>
        <w:spacing w:before="240"/>
        <w:ind w:hanging="540"/>
        <w:jc w:val="left"/>
        <w:rPr>
          <w:rFonts w:eastAsia="Calibri" w:hAnsi="Times New Roman"/>
          <w:i/>
          <w:snapToGrid w:val="0"/>
          <w:color w:val="auto"/>
          <w:kern w:val="22"/>
          <w:bdr w:val="none" w:sz="0" w:space="0" w:color="auto"/>
          <w:lang w:val="en-GB"/>
        </w:rPr>
      </w:pPr>
      <w:r w:rsidRPr="00034DE8">
        <w:rPr>
          <w:rFonts w:eastAsia="Calibri" w:hAnsi="Times New Roman"/>
          <w:i/>
          <w:snapToGrid w:val="0"/>
          <w:kern w:val="22"/>
          <w:bdr w:val="none" w:sz="0" w:space="0" w:color="auto"/>
          <w:lang w:val="en-GB"/>
        </w:rPr>
        <w:t xml:space="preserve">Has your country provided the information referred to in Article 17.1 (a) (i) to relevant national authorities, to the Party providing PIC and to the ABS Clearing-House as provided in Article 17.1 (a) (iii)? </w:t>
      </w:r>
      <w:r w:rsidR="00CC57C1" w:rsidRPr="00034DE8">
        <w:rPr>
          <w:rFonts w:eastAsia="Calibri" w:hAnsi="Times New Roman"/>
          <w:i/>
          <w:snapToGrid w:val="0"/>
          <w:kern w:val="22"/>
          <w:bdr w:val="none" w:sz="0" w:space="0" w:color="auto"/>
          <w:lang w:val="en-GB"/>
        </w:rPr>
        <w:t>(question 27)</w:t>
      </w:r>
    </w:p>
    <w:p w14:paraId="16C7BDA7" w14:textId="45650E45" w:rsidR="00155401" w:rsidRPr="00DF02C5" w:rsidRDefault="00155401" w:rsidP="002D17E1">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 xml:space="preserve">Nine Parties responded that they have </w:t>
      </w:r>
      <w:r w:rsidRPr="00DF02C5">
        <w:rPr>
          <w:rFonts w:eastAsia="Calibri" w:hAnsi="Times New Roman"/>
          <w:snapToGrid w:val="0"/>
          <w:color w:val="auto"/>
          <w:kern w:val="22"/>
          <w:bdr w:val="none" w:sz="0" w:space="0" w:color="auto"/>
          <w:lang w:val="en-GB"/>
        </w:rPr>
        <w:t>provided the information refe</w:t>
      </w:r>
      <w:r w:rsidR="00C438F0" w:rsidRPr="00DF02C5">
        <w:rPr>
          <w:rFonts w:eastAsia="Calibri" w:hAnsi="Times New Roman"/>
          <w:snapToGrid w:val="0"/>
          <w:color w:val="auto"/>
          <w:kern w:val="22"/>
          <w:bdr w:val="none" w:sz="0" w:space="0" w:color="auto"/>
          <w:lang w:val="en-GB"/>
        </w:rPr>
        <w:t>rred to in Article 17.1 (a) (i)</w:t>
      </w:r>
      <w:r w:rsidRPr="00DF02C5">
        <w:rPr>
          <w:rFonts w:eastAsia="Calibri" w:hAnsi="Times New Roman"/>
          <w:snapToGrid w:val="0"/>
          <w:color w:val="auto"/>
          <w:kern w:val="22"/>
          <w:bdr w:val="none" w:sz="0" w:space="0" w:color="auto"/>
          <w:lang w:val="en-GB"/>
        </w:rPr>
        <w:t xml:space="preserve"> to relevant national authorities, to the Party providing PIC and to the ABS Clearing-House</w:t>
      </w:r>
      <w:r w:rsidRPr="00DF02C5">
        <w:rPr>
          <w:rFonts w:eastAsia="Calibri" w:hAnsi="Times New Roman"/>
          <w:snapToGrid w:val="0"/>
          <w:kern w:val="22"/>
          <w:bdr w:val="none" w:sz="0" w:space="0" w:color="auto"/>
          <w:lang w:val="en-GB"/>
        </w:rPr>
        <w:t>. </w:t>
      </w:r>
    </w:p>
    <w:p w14:paraId="15B60814" w14:textId="03C5C68A" w:rsidR="00C438F0" w:rsidRPr="00DF02C5" w:rsidRDefault="00E5256F" w:rsidP="00E5256F">
      <w:pPr>
        <w:pStyle w:val="Caption"/>
        <w:keepNext/>
        <w:keepLines/>
        <w:rPr>
          <w:snapToGrid w:val="0"/>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Pr="00DF02C5">
        <w:rPr>
          <w:noProof/>
          <w:lang w:val="en-GB"/>
        </w:rPr>
        <w:t>24</w:t>
      </w:r>
      <w:r w:rsidRPr="00DF02C5">
        <w:rPr>
          <w:lang w:val="en-GB"/>
        </w:rPr>
        <w:fldChar w:fldCharType="end"/>
      </w:r>
      <w:r w:rsidR="00C438F0" w:rsidRPr="00DF02C5">
        <w:rPr>
          <w:snapToGrid w:val="0"/>
          <w:bdr w:val="none" w:sz="0" w:space="0" w:color="auto"/>
          <w:lang w:val="en-GB"/>
        </w:rPr>
        <w:t>: Provision of information</w:t>
      </w:r>
      <w:r w:rsidR="00C438F0" w:rsidRPr="00DF02C5">
        <w:rPr>
          <w:lang w:val="en-GB"/>
        </w:rPr>
        <w:t xml:space="preserve"> </w:t>
      </w:r>
      <w:r w:rsidR="00C438F0" w:rsidRPr="00DF02C5">
        <w:rPr>
          <w:snapToGrid w:val="0"/>
          <w:bdr w:val="none" w:sz="0" w:space="0" w:color="auto"/>
          <w:lang w:val="en-GB"/>
        </w:rPr>
        <w:t>as provided in Article 17.1 (a) (iii</w:t>
      </w:r>
      <w:r w:rsidR="00DF02C5" w:rsidRPr="00DF02C5">
        <w:rPr>
          <w:snapToGrid w:val="0"/>
          <w:bdr w:val="none" w:sz="0" w:space="0" w:color="auto"/>
          <w:lang w:val="en-GB"/>
        </w:rPr>
        <w:t>) (</w:t>
      </w:r>
      <w:r w:rsidR="00C438F0" w:rsidRPr="00DF02C5">
        <w:rPr>
          <w:snapToGrid w:val="0"/>
          <w:bdr w:val="none" w:sz="0" w:space="0" w:color="auto"/>
          <w:lang w:val="en-GB"/>
        </w:rPr>
        <w:t>percentage of countries)</w:t>
      </w:r>
    </w:p>
    <w:p w14:paraId="723568E0" w14:textId="46CEFF09" w:rsidR="00C438F0" w:rsidRPr="00DF02C5" w:rsidRDefault="00C438F0" w:rsidP="00C438F0">
      <w:pPr>
        <w:pStyle w:val="Para1"/>
        <w:jc w:val="center"/>
        <w:rPr>
          <w:rFonts w:eastAsia="Calibri" w:hAnsi="Times New Roman"/>
          <w:snapToGrid w:val="0"/>
          <w:kern w:val="22"/>
          <w:bdr w:val="none" w:sz="0" w:space="0" w:color="auto"/>
          <w:lang w:val="en-GB"/>
        </w:rPr>
      </w:pPr>
      <w:r w:rsidRPr="00DF02C5">
        <w:rPr>
          <w:noProof/>
          <w:color w:val="auto"/>
        </w:rPr>
        <w:drawing>
          <wp:inline distT="0" distB="0" distL="0" distR="0" wp14:anchorId="0E1AD12B" wp14:editId="79D83628">
            <wp:extent cx="3448050" cy="1943100"/>
            <wp:effectExtent l="0" t="0" r="19050" b="1905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154F9BF" w14:textId="454CADF0" w:rsidR="00C438F0" w:rsidRPr="00DF02C5" w:rsidRDefault="00C438F0" w:rsidP="00C438F0">
      <w:pPr>
        <w:pStyle w:val="Para1"/>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t>(a)</w:t>
      </w:r>
      <w:r w:rsidRPr="00DF02C5">
        <w:rPr>
          <w:rFonts w:eastAsia="Calibri" w:hAnsi="Times New Roman"/>
          <w:i/>
          <w:snapToGrid w:val="0"/>
          <w:color w:val="auto"/>
          <w:kern w:val="22"/>
          <w:bdr w:val="none" w:sz="0" w:space="0" w:color="auto"/>
          <w:lang w:val="en-GB"/>
        </w:rPr>
        <w:tab/>
        <w:t>Countries that answered “yes”</w:t>
      </w:r>
    </w:p>
    <w:p w14:paraId="726F7DB2" w14:textId="74D50728" w:rsidR="00EA65E0" w:rsidRPr="00DF02C5" w:rsidRDefault="00EA65E0" w:rsidP="002D17E1">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According to the information provided, two countries</w:t>
      </w:r>
      <w:r w:rsidRPr="00DF02C5">
        <w:rPr>
          <w:rStyle w:val="FootnoteReference"/>
          <w:rFonts w:eastAsia="Calibri" w:hAnsi="Times New Roman"/>
          <w:snapToGrid w:val="0"/>
          <w:color w:val="auto"/>
          <w:kern w:val="22"/>
          <w:bdr w:val="none" w:sz="0" w:space="0" w:color="auto"/>
          <w:lang w:val="en-GB"/>
        </w:rPr>
        <w:footnoteReference w:id="206"/>
      </w:r>
      <w:r w:rsidRPr="00DF02C5">
        <w:rPr>
          <w:rFonts w:eastAsia="Calibri" w:hAnsi="Times New Roman"/>
          <w:snapToGrid w:val="0"/>
          <w:color w:val="auto"/>
          <w:kern w:val="22"/>
          <w:bdr w:val="none" w:sz="0" w:space="0" w:color="auto"/>
          <w:lang w:val="en-GB"/>
        </w:rPr>
        <w:t xml:space="preserve"> seemed to have answered </w:t>
      </w:r>
      <w:r w:rsidR="00F316F1" w:rsidRPr="00DF02C5">
        <w:rPr>
          <w:rFonts w:eastAsia="Calibri" w:hAnsi="Times New Roman"/>
          <w:snapToGrid w:val="0"/>
          <w:color w:val="auto"/>
          <w:kern w:val="22"/>
          <w:bdr w:val="none" w:sz="0" w:space="0" w:color="auto"/>
          <w:lang w:val="en-GB"/>
        </w:rPr>
        <w:t xml:space="preserve">“yes” to </w:t>
      </w:r>
      <w:r w:rsidRPr="00DF02C5">
        <w:rPr>
          <w:rFonts w:eastAsia="Calibri" w:hAnsi="Times New Roman"/>
          <w:snapToGrid w:val="0"/>
          <w:color w:val="auto"/>
          <w:kern w:val="22"/>
          <w:bdr w:val="none" w:sz="0" w:space="0" w:color="auto"/>
          <w:lang w:val="en-GB"/>
        </w:rPr>
        <w:t xml:space="preserve">this question on the basis of their intention to publish information in the ABS Clearing-House. </w:t>
      </w:r>
      <w:r w:rsidR="004673A2" w:rsidRPr="00DF02C5">
        <w:rPr>
          <w:rFonts w:eastAsia="Calibri" w:hAnsi="Times New Roman"/>
          <w:snapToGrid w:val="0"/>
          <w:color w:val="auto"/>
          <w:kern w:val="22"/>
          <w:bdr w:val="none" w:sz="0" w:space="0" w:color="auto"/>
          <w:lang w:val="en-GB"/>
        </w:rPr>
        <w:t>No country reported on having made use of the checkpoint communique.</w:t>
      </w:r>
    </w:p>
    <w:p w14:paraId="184B44B2" w14:textId="68276B08" w:rsidR="004673A2" w:rsidRPr="00DF02C5" w:rsidRDefault="004673A2" w:rsidP="00034DE8">
      <w:pPr>
        <w:pStyle w:val="Para1"/>
        <w:keepNext/>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lastRenderedPageBreak/>
        <w:t>(b)</w:t>
      </w:r>
      <w:r w:rsidRPr="00DF02C5">
        <w:rPr>
          <w:rFonts w:eastAsia="Calibri" w:hAnsi="Times New Roman"/>
          <w:i/>
          <w:snapToGrid w:val="0"/>
          <w:color w:val="auto"/>
          <w:kern w:val="22"/>
          <w:bdr w:val="none" w:sz="0" w:space="0" w:color="auto"/>
          <w:lang w:val="en-GB"/>
        </w:rPr>
        <w:tab/>
        <w:t>Countries that answered “no”</w:t>
      </w:r>
    </w:p>
    <w:p w14:paraId="4AB0ECC2" w14:textId="77777777" w:rsidR="004673A2" w:rsidRPr="00DF02C5" w:rsidRDefault="004673A2" w:rsidP="002D17E1">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kern w:val="22"/>
          <w:bdr w:val="none" w:sz="0" w:space="0" w:color="auto"/>
          <w:lang w:val="en-GB"/>
        </w:rPr>
        <w:t>A</w:t>
      </w:r>
      <w:r w:rsidR="00EA65E0" w:rsidRPr="00DF02C5">
        <w:rPr>
          <w:rFonts w:eastAsia="Calibri" w:hAnsi="Times New Roman"/>
          <w:snapToGrid w:val="0"/>
          <w:kern w:val="22"/>
          <w:bdr w:val="none" w:sz="0" w:space="0" w:color="auto"/>
          <w:lang w:val="en-GB"/>
        </w:rPr>
        <w:t xml:space="preserve"> number of </w:t>
      </w:r>
      <w:r w:rsidR="00EA65E0" w:rsidRPr="00DF02C5">
        <w:rPr>
          <w:rFonts w:eastAsia="Calibri" w:hAnsi="Times New Roman"/>
          <w:snapToGrid w:val="0"/>
          <w:color w:val="auto"/>
          <w:kern w:val="22"/>
          <w:bdr w:val="none" w:sz="0" w:space="0" w:color="auto"/>
          <w:lang w:val="en-GB"/>
        </w:rPr>
        <w:t>countries</w:t>
      </w:r>
      <w:r w:rsidR="001A2380" w:rsidRPr="00DF02C5">
        <w:rPr>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 xml:space="preserve">reported on </w:t>
      </w:r>
      <w:r w:rsidR="001A2380" w:rsidRPr="00DF02C5">
        <w:rPr>
          <w:rFonts w:eastAsia="Calibri" w:hAnsi="Times New Roman"/>
          <w:snapToGrid w:val="0"/>
          <w:color w:val="auto"/>
          <w:kern w:val="22"/>
          <w:bdr w:val="none" w:sz="0" w:space="0" w:color="auto"/>
          <w:lang w:val="en-GB"/>
        </w:rPr>
        <w:t>their plans</w:t>
      </w:r>
      <w:r w:rsidR="00EA65E0" w:rsidRPr="00DF02C5">
        <w:rPr>
          <w:rFonts w:eastAsia="Calibri" w:hAnsi="Times New Roman"/>
          <w:snapToGrid w:val="0"/>
          <w:color w:val="auto"/>
          <w:kern w:val="22"/>
          <w:bdr w:val="none" w:sz="0" w:space="0" w:color="auto"/>
          <w:lang w:val="en-GB"/>
        </w:rPr>
        <w:t xml:space="preserve"> to address this issue.</w:t>
      </w:r>
      <w:r w:rsidR="00EA65E0" w:rsidRPr="00DF02C5">
        <w:rPr>
          <w:rStyle w:val="FootnoteReference"/>
          <w:rFonts w:eastAsia="Calibri" w:hAnsi="Times New Roman"/>
          <w:snapToGrid w:val="0"/>
          <w:color w:val="auto"/>
          <w:kern w:val="22"/>
          <w:bdr w:val="none" w:sz="0" w:space="0" w:color="auto"/>
          <w:lang w:val="en-GB"/>
        </w:rPr>
        <w:footnoteReference w:id="207"/>
      </w:r>
      <w:r w:rsidRPr="00DF02C5">
        <w:rPr>
          <w:lang w:val="en-GB"/>
        </w:rPr>
        <w:t xml:space="preserve"> </w:t>
      </w:r>
      <w:r w:rsidRPr="00DF02C5">
        <w:rPr>
          <w:rFonts w:eastAsia="Calibri" w:hAnsi="Times New Roman"/>
          <w:snapToGrid w:val="0"/>
          <w:color w:val="auto"/>
          <w:kern w:val="22"/>
          <w:bdr w:val="none" w:sz="0" w:space="0" w:color="auto"/>
          <w:lang w:val="en-GB"/>
        </w:rPr>
        <w:t>Examples of information provided by countries include the following:</w:t>
      </w:r>
      <w:r w:rsidR="00BC148A" w:rsidRPr="00DF02C5">
        <w:rPr>
          <w:rFonts w:eastAsia="Calibri" w:hAnsi="Times New Roman"/>
          <w:snapToGrid w:val="0"/>
          <w:color w:val="auto"/>
          <w:kern w:val="22"/>
          <w:bdr w:val="none" w:sz="0" w:space="0" w:color="auto"/>
          <w:lang w:val="en-GB"/>
        </w:rPr>
        <w:t xml:space="preserve"> </w:t>
      </w:r>
    </w:p>
    <w:p w14:paraId="465989C2" w14:textId="439E65CD" w:rsidR="00EA65E0" w:rsidRPr="00DF02C5" w:rsidRDefault="004673A2" w:rsidP="005038A2">
      <w:pPr>
        <w:pStyle w:val="Para1"/>
        <w:numPr>
          <w:ilvl w:val="0"/>
          <w:numId w:val="67"/>
        </w:numPr>
        <w:spacing w:line="228" w:lineRule="auto"/>
        <w:ind w:left="0" w:firstLine="709"/>
        <w:rPr>
          <w:rFonts w:eastAsia="Calibri" w:hAnsi="Times New Roman"/>
          <w:snapToGrid w:val="0"/>
          <w:color w:val="auto"/>
          <w:kern w:val="22"/>
          <w:bdr w:val="none" w:sz="0" w:space="0" w:color="auto"/>
          <w:lang w:val="en-GB"/>
        </w:rPr>
      </w:pPr>
      <w:r w:rsidRPr="00DF02C5">
        <w:rPr>
          <w:lang w:val="en-GB"/>
        </w:rPr>
        <w:t xml:space="preserve">The Republic of Moldova </w:t>
      </w:r>
      <w:r w:rsidR="00EA65E0" w:rsidRPr="00DF02C5">
        <w:rPr>
          <w:rFonts w:eastAsia="Calibri" w:hAnsi="Times New Roman"/>
          <w:snapToGrid w:val="0"/>
          <w:color w:val="auto"/>
          <w:kern w:val="22"/>
          <w:bdr w:val="none" w:sz="0" w:space="0" w:color="auto"/>
          <w:lang w:val="en-GB"/>
        </w:rPr>
        <w:t>indicated that the question was not applicable since there were no access requirem</w:t>
      </w:r>
      <w:r w:rsidR="00034DE8">
        <w:rPr>
          <w:rFonts w:eastAsia="Calibri" w:hAnsi="Times New Roman"/>
          <w:snapToGrid w:val="0"/>
          <w:color w:val="auto"/>
          <w:kern w:val="22"/>
          <w:bdr w:val="none" w:sz="0" w:space="0" w:color="auto"/>
          <w:lang w:val="en-GB"/>
        </w:rPr>
        <w:t>ents in place in their country;</w:t>
      </w:r>
    </w:p>
    <w:p w14:paraId="7406C192" w14:textId="5F904951" w:rsidR="00EA65E0" w:rsidRPr="00DF02C5" w:rsidRDefault="00EA65E0" w:rsidP="005038A2">
      <w:pPr>
        <w:pStyle w:val="Para1"/>
        <w:numPr>
          <w:ilvl w:val="0"/>
          <w:numId w:val="67"/>
        </w:numPr>
        <w:spacing w:line="228" w:lineRule="auto"/>
        <w:ind w:left="0" w:firstLine="709"/>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The EU explained that the competent authorities in Member States are responsible for providing this information to relevant national authorities in the Party granting PIC and to the ABS Clearing-House, in the </w:t>
      </w:r>
      <w:r w:rsidR="00034DE8">
        <w:rPr>
          <w:rFonts w:eastAsia="Calibri" w:hAnsi="Times New Roman"/>
          <w:snapToGrid w:val="0"/>
          <w:color w:val="auto"/>
          <w:kern w:val="22"/>
          <w:bdr w:val="none" w:sz="0" w:space="0" w:color="auto"/>
          <w:lang w:val="en-GB"/>
        </w:rPr>
        <w:t>form of checkpoint communiqués;</w:t>
      </w:r>
    </w:p>
    <w:p w14:paraId="423D0609" w14:textId="5CC809B2" w:rsidR="00EA65E0" w:rsidRPr="00DF02C5" w:rsidRDefault="00EA65E0" w:rsidP="005038A2">
      <w:pPr>
        <w:pStyle w:val="Para1"/>
        <w:numPr>
          <w:ilvl w:val="0"/>
          <w:numId w:val="67"/>
        </w:numPr>
        <w:spacing w:line="228" w:lineRule="auto"/>
        <w:ind w:left="0" w:firstLine="709"/>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Some EU Member States</w:t>
      </w:r>
      <w:r w:rsidRPr="00DF02C5">
        <w:rPr>
          <w:rStyle w:val="FootnoteReference"/>
          <w:rFonts w:eastAsia="Calibri" w:hAnsi="Times New Roman"/>
          <w:snapToGrid w:val="0"/>
          <w:color w:val="auto"/>
          <w:kern w:val="22"/>
          <w:bdr w:val="none" w:sz="0" w:space="0" w:color="auto"/>
          <w:lang w:val="en-GB"/>
        </w:rPr>
        <w:footnoteReference w:id="208"/>
      </w:r>
      <w:r w:rsidRPr="00DF02C5">
        <w:rPr>
          <w:rFonts w:eastAsia="Calibri" w:hAnsi="Times New Roman"/>
          <w:snapToGrid w:val="0"/>
          <w:color w:val="auto"/>
          <w:kern w:val="22"/>
          <w:bdr w:val="none" w:sz="0" w:space="0" w:color="auto"/>
          <w:lang w:val="en-GB"/>
        </w:rPr>
        <w:t xml:space="preserve"> and Switzerland indicated that they have not yet provided the information as no diligence declarations have been y</w:t>
      </w:r>
      <w:r w:rsidR="00034DE8">
        <w:rPr>
          <w:rFonts w:eastAsia="Calibri" w:hAnsi="Times New Roman"/>
          <w:snapToGrid w:val="0"/>
          <w:color w:val="auto"/>
          <w:kern w:val="22"/>
          <w:bdr w:val="none" w:sz="0" w:space="0" w:color="auto"/>
          <w:lang w:val="en-GB"/>
        </w:rPr>
        <w:t>et submitted to the checkpoints;</w:t>
      </w:r>
    </w:p>
    <w:p w14:paraId="3A1D54D2" w14:textId="4F0C0173" w:rsidR="00EA65E0" w:rsidRPr="00DF02C5" w:rsidRDefault="00EA65E0" w:rsidP="005038A2">
      <w:pPr>
        <w:pStyle w:val="Para1"/>
        <w:numPr>
          <w:ilvl w:val="0"/>
          <w:numId w:val="67"/>
        </w:numPr>
        <w:spacing w:line="228" w:lineRule="auto"/>
        <w:ind w:left="0" w:firstLine="709"/>
        <w:rPr>
          <w:rFonts w:eastAsia="Calibri" w:hAnsi="Times New Roman"/>
          <w:snapToGrid w:val="0"/>
          <w:color w:val="auto"/>
          <w:kern w:val="22"/>
          <w:bdr w:val="none" w:sz="0" w:space="0" w:color="auto"/>
          <w:lang w:val="en-GB"/>
        </w:rPr>
      </w:pPr>
      <w:r w:rsidRPr="00DF02C5">
        <w:rPr>
          <w:rFonts w:eastAsia="Calibri" w:hAnsi="Times New Roman"/>
          <w:snapToGrid w:val="0"/>
          <w:kern w:val="22"/>
          <w:bdr w:val="none" w:sz="0" w:space="0" w:color="auto"/>
          <w:lang w:val="en-GB"/>
        </w:rPr>
        <w:t>Japan</w:t>
      </w:r>
      <w:r w:rsidRPr="00DF02C5">
        <w:rPr>
          <w:rFonts w:eastAsia="Calibri" w:hAnsi="Times New Roman"/>
          <w:snapToGrid w:val="0"/>
          <w:color w:val="auto"/>
          <w:kern w:val="22"/>
          <w:bdr w:val="none" w:sz="0" w:space="0" w:color="auto"/>
          <w:lang w:val="en-GB"/>
        </w:rPr>
        <w:t xml:space="preserve"> reported that according to the ABS guidelines, the Minister of the Environment is to provide </w:t>
      </w:r>
      <w:r w:rsidR="0096573F" w:rsidRPr="00DF02C5">
        <w:rPr>
          <w:rFonts w:eastAsia="Calibri" w:hAnsi="Times New Roman"/>
          <w:snapToGrid w:val="0"/>
          <w:color w:val="auto"/>
          <w:kern w:val="22"/>
          <w:bdr w:val="none" w:sz="0" w:space="0" w:color="auto"/>
          <w:lang w:val="en-GB"/>
        </w:rPr>
        <w:t xml:space="preserve">the </w:t>
      </w:r>
      <w:r w:rsidRPr="00DF02C5">
        <w:rPr>
          <w:rFonts w:eastAsia="Calibri" w:hAnsi="Times New Roman"/>
          <w:snapToGrid w:val="0"/>
          <w:color w:val="auto"/>
          <w:kern w:val="22"/>
          <w:bdr w:val="none" w:sz="0" w:space="0" w:color="auto"/>
          <w:lang w:val="en-GB"/>
        </w:rPr>
        <w:t>ABS Clearing-House with relevant information on the utilization of genetic resources upon request of the person who provided the information for its posting to enhance transparency and credibility.</w:t>
      </w:r>
    </w:p>
    <w:p w14:paraId="025FA1CB" w14:textId="6E24EA7C" w:rsidR="00EA65E0" w:rsidRPr="00034DE8" w:rsidRDefault="004673A2" w:rsidP="00034DE8">
      <w:pPr>
        <w:pStyle w:val="Para1"/>
        <w:numPr>
          <w:ilvl w:val="0"/>
          <w:numId w:val="66"/>
        </w:numPr>
        <w:spacing w:before="240"/>
        <w:ind w:hanging="446"/>
        <w:jc w:val="left"/>
        <w:rPr>
          <w:rFonts w:eastAsia="Calibri" w:hAnsi="Times New Roman"/>
          <w:i/>
          <w:snapToGrid w:val="0"/>
          <w:kern w:val="22"/>
          <w:bdr w:val="none" w:sz="0" w:space="0" w:color="auto"/>
          <w:lang w:val="en-GB"/>
        </w:rPr>
      </w:pPr>
      <w:r w:rsidRPr="00034DE8">
        <w:rPr>
          <w:rFonts w:eastAsia="Calibri" w:hAnsi="Times New Roman"/>
          <w:i/>
          <w:snapToGrid w:val="0"/>
          <w:kern w:val="22"/>
          <w:bdr w:val="none" w:sz="0" w:space="0" w:color="auto"/>
          <w:lang w:val="en-GB"/>
        </w:rPr>
        <w:t xml:space="preserve">Has your country taken measures to encourage users and providers to include provisions in </w:t>
      </w:r>
      <w:r w:rsidR="000C64C4" w:rsidRPr="00034DE8">
        <w:rPr>
          <w:rFonts w:eastAsia="Calibri" w:hAnsi="Times New Roman"/>
          <w:i/>
          <w:snapToGrid w:val="0"/>
          <w:kern w:val="22"/>
          <w:bdr w:val="none" w:sz="0" w:space="0" w:color="auto"/>
          <w:lang w:val="en-GB"/>
        </w:rPr>
        <w:t xml:space="preserve">mutually agreed terms </w:t>
      </w:r>
      <w:r w:rsidRPr="00034DE8">
        <w:rPr>
          <w:rFonts w:eastAsia="Calibri" w:hAnsi="Times New Roman"/>
          <w:i/>
          <w:snapToGrid w:val="0"/>
          <w:kern w:val="22"/>
          <w:bdr w:val="none" w:sz="0" w:space="0" w:color="auto"/>
          <w:lang w:val="en-GB"/>
        </w:rPr>
        <w:t xml:space="preserve">to share information on the implementation of such terms as provided in Article 17.1(b)?” </w:t>
      </w:r>
      <w:r w:rsidR="00EA65E0" w:rsidRPr="00034DE8">
        <w:rPr>
          <w:rFonts w:eastAsia="Calibri" w:hAnsi="Times New Roman"/>
          <w:i/>
          <w:snapToGrid w:val="0"/>
          <w:kern w:val="22"/>
          <w:bdr w:val="none" w:sz="0" w:space="0" w:color="auto"/>
          <w:lang w:val="en-GB"/>
        </w:rPr>
        <w:t>(question 28)</w:t>
      </w:r>
    </w:p>
    <w:p w14:paraId="7AA1528A" w14:textId="2AE46241" w:rsidR="00533199" w:rsidRPr="00DF02C5" w:rsidRDefault="006D1B8A" w:rsidP="002D17E1">
      <w:pPr>
        <w:pStyle w:val="Para1"/>
        <w:numPr>
          <w:ilvl w:val="0"/>
          <w:numId w:val="1"/>
        </w:numPr>
        <w:rPr>
          <w:rFonts w:eastAsia="Calibri" w:hAnsi="Times New Roman"/>
          <w:snapToGrid w:val="0"/>
          <w:color w:val="auto"/>
          <w:kern w:val="22"/>
          <w:bdr w:val="none" w:sz="0" w:space="0" w:color="auto"/>
          <w:lang w:val="en-GB"/>
        </w:rPr>
      </w:pPr>
      <w:proofErr w:type="gramStart"/>
      <w:r w:rsidRPr="00DF02C5">
        <w:rPr>
          <w:rFonts w:hAnsi="Times New Roman"/>
          <w:bdr w:val="none" w:sz="0" w:space="0" w:color="auto"/>
          <w:lang w:val="en-GB"/>
        </w:rPr>
        <w:t>Twenty-six</w:t>
      </w:r>
      <w:proofErr w:type="gramEnd"/>
      <w:r w:rsidR="00587EC4" w:rsidRPr="00DF02C5">
        <w:rPr>
          <w:rFonts w:hAnsi="Times New Roman"/>
          <w:bdr w:val="none" w:sz="0" w:space="0" w:color="auto"/>
          <w:lang w:val="en-GB"/>
        </w:rPr>
        <w:t xml:space="preserve"> </w:t>
      </w:r>
      <w:r w:rsidR="00533199" w:rsidRPr="00DF02C5">
        <w:rPr>
          <w:rFonts w:hAnsi="Times New Roman"/>
          <w:bdr w:val="none" w:sz="0" w:space="0" w:color="auto"/>
          <w:lang w:val="en-GB"/>
        </w:rPr>
        <w:t xml:space="preserve">Parties </w:t>
      </w:r>
      <w:r w:rsidR="00587EC4" w:rsidRPr="00DF02C5">
        <w:rPr>
          <w:rFonts w:hAnsi="Times New Roman"/>
          <w:bdr w:val="none" w:sz="0" w:space="0" w:color="auto"/>
          <w:lang w:val="en-GB"/>
        </w:rPr>
        <w:t xml:space="preserve">and two non-Parties </w:t>
      </w:r>
      <w:r w:rsidR="00533199" w:rsidRPr="00DF02C5">
        <w:rPr>
          <w:rFonts w:eastAsia="Calibri" w:hAnsi="Times New Roman"/>
          <w:snapToGrid w:val="0"/>
          <w:color w:val="auto"/>
          <w:kern w:val="22"/>
          <w:bdr w:val="none" w:sz="0" w:space="0" w:color="auto"/>
          <w:lang w:val="en-GB"/>
        </w:rPr>
        <w:t xml:space="preserve">responded that they have taken measures to encourage users and providers to include provisions in </w:t>
      </w:r>
      <w:r w:rsidR="000C64C4" w:rsidRPr="00DF02C5">
        <w:rPr>
          <w:rFonts w:eastAsia="Calibri" w:hAnsi="Times New Roman"/>
          <w:snapToGrid w:val="0"/>
          <w:color w:val="auto"/>
          <w:kern w:val="22"/>
          <w:bdr w:val="none" w:sz="0" w:space="0" w:color="auto"/>
          <w:lang w:val="en-GB"/>
        </w:rPr>
        <w:t>mutually agreed terms (</w:t>
      </w:r>
      <w:r w:rsidR="00533199" w:rsidRPr="00DF02C5">
        <w:rPr>
          <w:rFonts w:eastAsia="Calibri" w:hAnsi="Times New Roman"/>
          <w:snapToGrid w:val="0"/>
          <w:color w:val="auto"/>
          <w:kern w:val="22"/>
          <w:bdr w:val="none" w:sz="0" w:space="0" w:color="auto"/>
          <w:lang w:val="en-GB"/>
        </w:rPr>
        <w:t>MAT</w:t>
      </w:r>
      <w:r w:rsidR="000C64C4" w:rsidRPr="00DF02C5">
        <w:rPr>
          <w:rFonts w:eastAsia="Calibri" w:hAnsi="Times New Roman"/>
          <w:snapToGrid w:val="0"/>
          <w:color w:val="auto"/>
          <w:kern w:val="22"/>
          <w:bdr w:val="none" w:sz="0" w:space="0" w:color="auto"/>
          <w:lang w:val="en-GB"/>
        </w:rPr>
        <w:t>)</w:t>
      </w:r>
      <w:r w:rsidR="00533199" w:rsidRPr="00DF02C5">
        <w:rPr>
          <w:rFonts w:eastAsia="Calibri" w:hAnsi="Times New Roman"/>
          <w:snapToGrid w:val="0"/>
          <w:color w:val="auto"/>
          <w:kern w:val="22"/>
          <w:bdr w:val="none" w:sz="0" w:space="0" w:color="auto"/>
          <w:lang w:val="en-GB"/>
        </w:rPr>
        <w:t xml:space="preserve"> to share information on the implementation </w:t>
      </w:r>
      <w:r w:rsidR="00533199" w:rsidRPr="002D17E1">
        <w:rPr>
          <w:rFonts w:eastAsia="Calibri" w:hAnsi="Times New Roman"/>
          <w:snapToGrid w:val="0"/>
          <w:kern w:val="22"/>
          <w:bdr w:val="none" w:sz="0" w:space="0" w:color="auto"/>
          <w:lang w:val="en-GB"/>
        </w:rPr>
        <w:t>of</w:t>
      </w:r>
      <w:r w:rsidR="00533199" w:rsidRPr="00DF02C5">
        <w:rPr>
          <w:rFonts w:eastAsia="Calibri" w:hAnsi="Times New Roman"/>
          <w:snapToGrid w:val="0"/>
          <w:color w:val="auto"/>
          <w:kern w:val="22"/>
          <w:bdr w:val="none" w:sz="0" w:space="0" w:color="auto"/>
          <w:lang w:val="en-GB"/>
        </w:rPr>
        <w:t xml:space="preserve"> such terms</w:t>
      </w:r>
      <w:r w:rsidR="000C64C4" w:rsidRPr="00DF02C5">
        <w:rPr>
          <w:rFonts w:hAnsi="Times New Roman"/>
          <w:bdr w:val="none" w:sz="0" w:space="0" w:color="auto"/>
          <w:lang w:val="en-GB"/>
        </w:rPr>
        <w:t>, while fifty-</w:t>
      </w:r>
      <w:r w:rsidR="00587EC4" w:rsidRPr="00DF02C5">
        <w:rPr>
          <w:rFonts w:hAnsi="Times New Roman"/>
          <w:bdr w:val="none" w:sz="0" w:space="0" w:color="auto"/>
          <w:lang w:val="en-GB"/>
        </w:rPr>
        <w:t xml:space="preserve">three </w:t>
      </w:r>
      <w:r w:rsidR="000C64C4" w:rsidRPr="00DF02C5">
        <w:rPr>
          <w:rFonts w:hAnsi="Times New Roman"/>
          <w:bdr w:val="none" w:sz="0" w:space="0" w:color="auto"/>
          <w:lang w:val="en-GB"/>
        </w:rPr>
        <w:t xml:space="preserve">Parties and </w:t>
      </w:r>
      <w:r w:rsidR="00587EC4" w:rsidRPr="00DF02C5">
        <w:rPr>
          <w:rFonts w:hAnsi="Times New Roman"/>
          <w:bdr w:val="none" w:sz="0" w:space="0" w:color="auto"/>
          <w:lang w:val="en-GB"/>
        </w:rPr>
        <w:t xml:space="preserve">four </w:t>
      </w:r>
      <w:r w:rsidR="000C64C4" w:rsidRPr="00DF02C5">
        <w:rPr>
          <w:rFonts w:hAnsi="Times New Roman"/>
          <w:bdr w:val="none" w:sz="0" w:space="0" w:color="auto"/>
          <w:lang w:val="en-GB"/>
        </w:rPr>
        <w:t>non-Parties reported not having taken such measures.</w:t>
      </w:r>
    </w:p>
    <w:p w14:paraId="08BAF820" w14:textId="678790A0" w:rsidR="000C64C4" w:rsidRPr="00DF02C5" w:rsidRDefault="00E5256F" w:rsidP="00E5256F">
      <w:pPr>
        <w:pStyle w:val="Caption"/>
        <w:keepNext/>
        <w:keepLines/>
        <w:rPr>
          <w:snapToGrid w:val="0"/>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Pr="00DF02C5">
        <w:rPr>
          <w:noProof/>
          <w:lang w:val="en-GB"/>
        </w:rPr>
        <w:t>25</w:t>
      </w:r>
      <w:r w:rsidRPr="00DF02C5">
        <w:rPr>
          <w:lang w:val="en-GB"/>
        </w:rPr>
        <w:fldChar w:fldCharType="end"/>
      </w:r>
      <w:r w:rsidR="000C64C4" w:rsidRPr="00DF02C5">
        <w:rPr>
          <w:snapToGrid w:val="0"/>
          <w:bdr w:val="none" w:sz="0" w:space="0" w:color="auto"/>
          <w:lang w:val="en-GB"/>
        </w:rPr>
        <w:t>: Measures to implement Article 17.1 (b) (percentage of countries)</w:t>
      </w:r>
    </w:p>
    <w:p w14:paraId="2474E25C" w14:textId="331CA7E8" w:rsidR="00587EC4" w:rsidRPr="00DF02C5" w:rsidRDefault="00587EC4" w:rsidP="000C64C4">
      <w:pPr>
        <w:pStyle w:val="Para1"/>
        <w:jc w:val="center"/>
        <w:rPr>
          <w:rFonts w:eastAsia="Calibri" w:hAnsi="Times New Roman"/>
          <w:snapToGrid w:val="0"/>
          <w:color w:val="auto"/>
          <w:kern w:val="22"/>
          <w:bdr w:val="none" w:sz="0" w:space="0" w:color="auto"/>
          <w:lang w:val="en-GB"/>
        </w:rPr>
      </w:pPr>
      <w:r w:rsidRPr="00DF02C5">
        <w:rPr>
          <w:noProof/>
        </w:rPr>
        <w:drawing>
          <wp:inline distT="0" distB="0" distL="0" distR="0" wp14:anchorId="6D6249DE" wp14:editId="64C4994F">
            <wp:extent cx="3524250" cy="1876425"/>
            <wp:effectExtent l="0" t="0" r="19050" b="9525"/>
            <wp:docPr id="74" name="Chart 74">
              <a:extLst xmlns:a="http://schemas.openxmlformats.org/drawingml/2006/main">
                <a:ext uri="{FF2B5EF4-FFF2-40B4-BE49-F238E27FC236}">
                  <a16:creationId xmlns:a16="http://schemas.microsoft.com/office/drawing/2014/main" id="{00000000-0008-0000-06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A24D3DA" w14:textId="7F1BCAB8" w:rsidR="000C64C4" w:rsidRPr="00DF02C5" w:rsidRDefault="000C64C4" w:rsidP="000C64C4">
      <w:pPr>
        <w:pStyle w:val="Para1"/>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t>(a)</w:t>
      </w:r>
      <w:r w:rsidRPr="00DF02C5">
        <w:rPr>
          <w:rFonts w:eastAsia="Calibri" w:hAnsi="Times New Roman"/>
          <w:i/>
          <w:snapToGrid w:val="0"/>
          <w:color w:val="auto"/>
          <w:kern w:val="22"/>
          <w:bdr w:val="none" w:sz="0" w:space="0" w:color="auto"/>
          <w:lang w:val="en-GB"/>
        </w:rPr>
        <w:tab/>
        <w:t>Countries that answered “yes”</w:t>
      </w:r>
    </w:p>
    <w:p w14:paraId="7964A645" w14:textId="16C9B818" w:rsidR="00EA65E0" w:rsidRPr="00DF02C5" w:rsidRDefault="00EA65E0" w:rsidP="002D17E1">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A number of countries that provided further information reported addressing this issue through their current ABS measures or the draft under development or approval.</w:t>
      </w:r>
      <w:r w:rsidR="00BC148A" w:rsidRPr="00DF02C5">
        <w:rPr>
          <w:rStyle w:val="FootnoteReference"/>
          <w:rFonts w:eastAsia="Calibri" w:hAnsi="Times New Roman"/>
          <w:snapToGrid w:val="0"/>
          <w:color w:val="auto"/>
          <w:kern w:val="22"/>
          <w:bdr w:val="none" w:sz="0" w:space="0" w:color="auto"/>
          <w:lang w:val="en-GB"/>
        </w:rPr>
        <w:footnoteReference w:id="209"/>
      </w:r>
      <w:r w:rsidRPr="00DF02C5">
        <w:rPr>
          <w:rFonts w:eastAsia="Calibri" w:hAnsi="Times New Roman"/>
          <w:snapToGrid w:val="0"/>
          <w:color w:val="auto"/>
          <w:kern w:val="22"/>
          <w:bdr w:val="none" w:sz="0" w:space="0" w:color="auto"/>
          <w:lang w:val="en-GB"/>
        </w:rPr>
        <w:t xml:space="preserve">  One country indicated</w:t>
      </w:r>
      <w:r w:rsidR="000C64C4" w:rsidRPr="00DF02C5">
        <w:rPr>
          <w:rFonts w:eastAsia="Calibri" w:hAnsi="Times New Roman"/>
          <w:snapToGrid w:val="0"/>
          <w:color w:val="auto"/>
          <w:kern w:val="22"/>
          <w:bdr w:val="none" w:sz="0" w:space="0" w:color="auto"/>
          <w:lang w:val="en-GB"/>
        </w:rPr>
        <w:t xml:space="preserve"> having </w:t>
      </w:r>
      <w:r w:rsidR="000C64C4" w:rsidRPr="002D17E1">
        <w:rPr>
          <w:rFonts w:eastAsia="Calibri" w:hAnsi="Times New Roman"/>
          <w:snapToGrid w:val="0"/>
          <w:kern w:val="22"/>
          <w:bdr w:val="none" w:sz="0" w:space="0" w:color="auto"/>
          <w:lang w:val="en-GB"/>
        </w:rPr>
        <w:t>plans</w:t>
      </w:r>
      <w:r w:rsidR="000C64C4" w:rsidRPr="00DF02C5">
        <w:rPr>
          <w:rFonts w:eastAsia="Calibri" w:hAnsi="Times New Roman"/>
          <w:snapToGrid w:val="0"/>
          <w:color w:val="auto"/>
          <w:kern w:val="22"/>
          <w:bdr w:val="none" w:sz="0" w:space="0" w:color="auto"/>
          <w:lang w:val="en-GB"/>
        </w:rPr>
        <w:t xml:space="preserve"> to develop additional</w:t>
      </w:r>
      <w:r w:rsidRPr="00DF02C5">
        <w:rPr>
          <w:rFonts w:eastAsia="Calibri" w:hAnsi="Times New Roman"/>
          <w:snapToGrid w:val="0"/>
          <w:color w:val="auto"/>
          <w:kern w:val="22"/>
          <w:bdr w:val="none" w:sz="0" w:space="0" w:color="auto"/>
          <w:lang w:val="en-GB"/>
        </w:rPr>
        <w:t xml:space="preserve"> measures to address this issue.</w:t>
      </w:r>
      <w:r w:rsidRPr="00DF02C5">
        <w:rPr>
          <w:rStyle w:val="FootnoteReference"/>
          <w:rFonts w:eastAsia="Calibri" w:hAnsi="Times New Roman"/>
          <w:snapToGrid w:val="0"/>
          <w:color w:val="auto"/>
          <w:kern w:val="22"/>
          <w:bdr w:val="none" w:sz="0" w:space="0" w:color="auto"/>
          <w:lang w:val="en-GB"/>
        </w:rPr>
        <w:footnoteReference w:id="210"/>
      </w:r>
      <w:r w:rsidRPr="00DF02C5">
        <w:rPr>
          <w:rFonts w:eastAsia="Calibri" w:hAnsi="Times New Roman"/>
          <w:snapToGrid w:val="0"/>
          <w:color w:val="auto"/>
          <w:kern w:val="22"/>
          <w:bdr w:val="none" w:sz="0" w:space="0" w:color="auto"/>
          <w:lang w:val="en-GB"/>
        </w:rPr>
        <w:t xml:space="preserve"> </w:t>
      </w:r>
    </w:p>
    <w:p w14:paraId="254BA306" w14:textId="4C1EAB53" w:rsidR="00EA65E0" w:rsidRPr="00DF02C5" w:rsidRDefault="00EA65E0" w:rsidP="002D17E1">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lastRenderedPageBreak/>
        <w:t xml:space="preserve">In their measures, some countries </w:t>
      </w:r>
      <w:r w:rsidR="000C64C4" w:rsidRPr="00DF02C5">
        <w:rPr>
          <w:rFonts w:eastAsia="Calibri" w:hAnsi="Times New Roman"/>
          <w:snapToGrid w:val="0"/>
          <w:color w:val="auto"/>
          <w:kern w:val="22"/>
          <w:bdr w:val="none" w:sz="0" w:space="0" w:color="auto"/>
          <w:lang w:val="en-GB"/>
        </w:rPr>
        <w:t xml:space="preserve">require </w:t>
      </w:r>
      <w:r w:rsidR="00453EE2" w:rsidRPr="00DF02C5">
        <w:rPr>
          <w:rFonts w:eastAsia="Calibri" w:hAnsi="Times New Roman"/>
          <w:snapToGrid w:val="0"/>
          <w:color w:val="auto"/>
          <w:kern w:val="22"/>
          <w:bdr w:val="none" w:sz="0" w:space="0" w:color="auto"/>
          <w:lang w:val="en-GB"/>
        </w:rPr>
        <w:t>users and providers to include clauses</w:t>
      </w:r>
      <w:r w:rsidRPr="00DF02C5">
        <w:rPr>
          <w:rFonts w:eastAsia="Calibri" w:hAnsi="Times New Roman"/>
          <w:snapToGrid w:val="0"/>
          <w:color w:val="auto"/>
          <w:kern w:val="22"/>
          <w:bdr w:val="none" w:sz="0" w:space="0" w:color="auto"/>
          <w:lang w:val="en-GB"/>
        </w:rPr>
        <w:t xml:space="preserve"> in MAT to share </w:t>
      </w:r>
      <w:r w:rsidRPr="002D17E1">
        <w:rPr>
          <w:rFonts w:eastAsia="Calibri" w:hAnsi="Times New Roman"/>
          <w:snapToGrid w:val="0"/>
          <w:kern w:val="22"/>
          <w:bdr w:val="none" w:sz="0" w:space="0" w:color="auto"/>
          <w:lang w:val="en-GB"/>
        </w:rPr>
        <w:t>information</w:t>
      </w:r>
      <w:r w:rsidRPr="00DF02C5">
        <w:rPr>
          <w:rFonts w:eastAsia="Calibri" w:hAnsi="Times New Roman"/>
          <w:snapToGrid w:val="0"/>
          <w:color w:val="auto"/>
          <w:kern w:val="22"/>
          <w:bdr w:val="none" w:sz="0" w:space="0" w:color="auto"/>
          <w:lang w:val="en-GB"/>
        </w:rPr>
        <w:t xml:space="preserve"> on the implementation of the</w:t>
      </w:r>
      <w:r w:rsidR="00453EE2" w:rsidRPr="00DF02C5">
        <w:rPr>
          <w:rFonts w:eastAsia="Calibri" w:hAnsi="Times New Roman"/>
          <w:snapToGrid w:val="0"/>
          <w:color w:val="auto"/>
          <w:kern w:val="22"/>
          <w:bdr w:val="none" w:sz="0" w:space="0" w:color="auto"/>
          <w:lang w:val="en-GB"/>
        </w:rPr>
        <w:t xml:space="preserve"> contracts</w:t>
      </w:r>
      <w:r w:rsidR="006D1B8A">
        <w:rPr>
          <w:rFonts w:eastAsia="Calibri" w:hAnsi="Times New Roman"/>
          <w:snapToGrid w:val="0"/>
          <w:color w:val="auto"/>
          <w:kern w:val="22"/>
          <w:bdr w:val="none" w:sz="0" w:space="0" w:color="auto"/>
          <w:lang w:val="en-GB"/>
        </w:rPr>
        <w:t>,</w:t>
      </w:r>
      <w:r w:rsidRPr="00DF02C5">
        <w:rPr>
          <w:rStyle w:val="FootnoteReference"/>
          <w:rFonts w:eastAsia="Calibri" w:hAnsi="Times New Roman"/>
          <w:snapToGrid w:val="0"/>
          <w:color w:val="auto"/>
          <w:kern w:val="22"/>
          <w:bdr w:val="none" w:sz="0" w:space="0" w:color="auto"/>
          <w:lang w:val="en-GB"/>
        </w:rPr>
        <w:footnoteReference w:id="211"/>
      </w:r>
      <w:r w:rsidRPr="00DF02C5">
        <w:rPr>
          <w:rFonts w:eastAsia="Calibri" w:hAnsi="Times New Roman"/>
          <w:snapToGrid w:val="0"/>
          <w:color w:val="auto"/>
          <w:kern w:val="22"/>
          <w:bdr w:val="none" w:sz="0" w:space="0" w:color="auto"/>
          <w:lang w:val="en-GB"/>
        </w:rPr>
        <w:t xml:space="preserve"> </w:t>
      </w:r>
      <w:r w:rsidR="0096573F" w:rsidRPr="00DF02C5">
        <w:rPr>
          <w:rFonts w:eastAsia="Calibri" w:hAnsi="Times New Roman"/>
          <w:snapToGrid w:val="0"/>
          <w:color w:val="auto"/>
          <w:kern w:val="22"/>
          <w:bdr w:val="none" w:sz="0" w:space="0" w:color="auto"/>
          <w:lang w:val="en-GB"/>
        </w:rPr>
        <w:t xml:space="preserve">while </w:t>
      </w:r>
      <w:r w:rsidRPr="00DF02C5">
        <w:rPr>
          <w:rFonts w:eastAsia="Calibri" w:hAnsi="Times New Roman"/>
          <w:snapToGrid w:val="0"/>
          <w:color w:val="auto"/>
          <w:kern w:val="22"/>
          <w:bdr w:val="none" w:sz="0" w:space="0" w:color="auto"/>
          <w:lang w:val="en-GB"/>
        </w:rPr>
        <w:t xml:space="preserve">others </w:t>
      </w:r>
      <w:r w:rsidR="000C64C4" w:rsidRPr="00DF02C5">
        <w:rPr>
          <w:rFonts w:eastAsia="Calibri" w:hAnsi="Times New Roman"/>
          <w:snapToGrid w:val="0"/>
          <w:color w:val="auto"/>
          <w:kern w:val="22"/>
          <w:bdr w:val="none" w:sz="0" w:space="0" w:color="auto"/>
          <w:lang w:val="en-GB"/>
        </w:rPr>
        <w:t xml:space="preserve">only </w:t>
      </w:r>
      <w:r w:rsidRPr="00DF02C5">
        <w:rPr>
          <w:rFonts w:eastAsia="Calibri" w:hAnsi="Times New Roman"/>
          <w:snapToGrid w:val="0"/>
          <w:color w:val="auto"/>
          <w:kern w:val="22"/>
          <w:bdr w:val="none" w:sz="0" w:space="0" w:color="auto"/>
          <w:lang w:val="en-GB"/>
        </w:rPr>
        <w:t>encourage users and providers to incor</w:t>
      </w:r>
      <w:r w:rsidR="008B3EAF" w:rsidRPr="00DF02C5">
        <w:rPr>
          <w:rFonts w:eastAsia="Calibri" w:hAnsi="Times New Roman"/>
          <w:snapToGrid w:val="0"/>
          <w:color w:val="auto"/>
          <w:kern w:val="22"/>
          <w:bdr w:val="none" w:sz="0" w:space="0" w:color="auto"/>
          <w:lang w:val="en-GB"/>
        </w:rPr>
        <w:t>porate such</w:t>
      </w:r>
      <w:r w:rsidR="00453EE2" w:rsidRPr="00DF02C5">
        <w:rPr>
          <w:rFonts w:eastAsia="Calibri" w:hAnsi="Times New Roman"/>
          <w:snapToGrid w:val="0"/>
          <w:color w:val="auto"/>
          <w:kern w:val="22"/>
          <w:bdr w:val="none" w:sz="0" w:space="0" w:color="auto"/>
          <w:lang w:val="en-GB"/>
        </w:rPr>
        <w:t xml:space="preserve"> clauses</w:t>
      </w:r>
      <w:r w:rsidR="006D1B8A">
        <w:rPr>
          <w:rFonts w:eastAsia="Calibri" w:hAnsi="Times New Roman"/>
          <w:snapToGrid w:val="0"/>
          <w:color w:val="auto"/>
          <w:kern w:val="22"/>
          <w:bdr w:val="none" w:sz="0" w:space="0" w:color="auto"/>
          <w:lang w:val="en-GB"/>
        </w:rPr>
        <w:t>.</w:t>
      </w:r>
      <w:r w:rsidRPr="00DF02C5">
        <w:rPr>
          <w:rStyle w:val="FootnoteReference"/>
          <w:rFonts w:eastAsia="Calibri" w:hAnsi="Times New Roman"/>
          <w:snapToGrid w:val="0"/>
          <w:color w:val="auto"/>
          <w:kern w:val="22"/>
          <w:bdr w:val="none" w:sz="0" w:space="0" w:color="auto"/>
          <w:lang w:val="en-GB"/>
        </w:rPr>
        <w:footnoteReference w:id="212"/>
      </w:r>
    </w:p>
    <w:p w14:paraId="61B9DDB1" w14:textId="33CA85BC" w:rsidR="00EA65E0" w:rsidRPr="00DF02C5" w:rsidRDefault="00EA65E0" w:rsidP="002D17E1">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Several countries</w:t>
      </w:r>
      <w:r w:rsidR="0096573F" w:rsidRPr="00DF02C5">
        <w:rPr>
          <w:rStyle w:val="FootnoteReference"/>
          <w:rFonts w:eastAsia="Calibri" w:hAnsi="Times New Roman"/>
          <w:snapToGrid w:val="0"/>
          <w:color w:val="auto"/>
          <w:kern w:val="22"/>
          <w:bdr w:val="none" w:sz="0" w:space="0" w:color="auto"/>
          <w:lang w:val="en-GB"/>
        </w:rPr>
        <w:footnoteReference w:id="213"/>
      </w:r>
      <w:r w:rsidR="0096573F" w:rsidRPr="00DF02C5">
        <w:rPr>
          <w:rFonts w:eastAsia="Calibri" w:hAnsi="Times New Roman"/>
          <w:snapToGrid w:val="0"/>
          <w:color w:val="auto"/>
          <w:kern w:val="22"/>
          <w:bdr w:val="none" w:sz="0" w:space="0" w:color="auto"/>
          <w:lang w:val="en-GB"/>
        </w:rPr>
        <w:t xml:space="preserve"> </w:t>
      </w:r>
      <w:r w:rsidR="000C64C4" w:rsidRPr="00DF02C5">
        <w:rPr>
          <w:rFonts w:eastAsia="Calibri" w:hAnsi="Times New Roman"/>
          <w:snapToGrid w:val="0"/>
          <w:color w:val="auto"/>
          <w:kern w:val="22"/>
          <w:bdr w:val="none" w:sz="0" w:space="0" w:color="auto"/>
          <w:lang w:val="en-GB"/>
        </w:rPr>
        <w:t xml:space="preserve">indicated </w:t>
      </w:r>
      <w:r w:rsidRPr="00DF02C5">
        <w:rPr>
          <w:rFonts w:eastAsia="Calibri" w:hAnsi="Times New Roman"/>
          <w:snapToGrid w:val="0"/>
          <w:color w:val="auto"/>
          <w:kern w:val="22"/>
          <w:bdr w:val="none" w:sz="0" w:space="0" w:color="auto"/>
          <w:lang w:val="en-GB"/>
        </w:rPr>
        <w:t xml:space="preserve">that they include </w:t>
      </w:r>
      <w:r w:rsidR="0096573F" w:rsidRPr="00DF02C5">
        <w:rPr>
          <w:rFonts w:eastAsia="Calibri" w:hAnsi="Times New Roman"/>
          <w:snapToGrid w:val="0"/>
          <w:color w:val="auto"/>
          <w:kern w:val="22"/>
          <w:bdr w:val="none" w:sz="0" w:space="0" w:color="auto"/>
          <w:lang w:val="en-GB"/>
        </w:rPr>
        <w:t xml:space="preserve">clauses on reporting </w:t>
      </w:r>
      <w:r w:rsidRPr="00DF02C5">
        <w:rPr>
          <w:rFonts w:eastAsia="Calibri" w:hAnsi="Times New Roman"/>
          <w:snapToGrid w:val="0"/>
          <w:color w:val="auto"/>
          <w:kern w:val="22"/>
          <w:bdr w:val="none" w:sz="0" w:space="0" w:color="auto"/>
          <w:lang w:val="en-GB"/>
        </w:rPr>
        <w:t>in MAT or permits.</w:t>
      </w:r>
      <w:r w:rsidRPr="00DF02C5">
        <w:rPr>
          <w:rStyle w:val="FootnoteReference"/>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 xml:space="preserve">Other clauses included in MAT mentioned by countries include the provision of information on methodology </w:t>
      </w:r>
      <w:r w:rsidR="00FF5BAC" w:rsidRPr="00DF02C5">
        <w:rPr>
          <w:rFonts w:eastAsia="Calibri" w:hAnsi="Times New Roman"/>
          <w:snapToGrid w:val="0"/>
          <w:color w:val="auto"/>
          <w:kern w:val="22"/>
          <w:bdr w:val="none" w:sz="0" w:space="0" w:color="auto"/>
          <w:lang w:val="en-GB"/>
        </w:rPr>
        <w:t xml:space="preserve">for </w:t>
      </w:r>
      <w:r w:rsidRPr="00DF02C5">
        <w:rPr>
          <w:rFonts w:eastAsia="Calibri" w:hAnsi="Times New Roman"/>
          <w:snapToGrid w:val="0"/>
          <w:color w:val="auto"/>
          <w:kern w:val="22"/>
          <w:bdr w:val="none" w:sz="0" w:space="0" w:color="auto"/>
          <w:lang w:val="en-GB"/>
        </w:rPr>
        <w:t>collection and use</w:t>
      </w:r>
      <w:r w:rsidR="00FF5BAC" w:rsidRPr="00DF02C5">
        <w:rPr>
          <w:rFonts w:eastAsia="Calibri" w:hAnsi="Times New Roman"/>
          <w:snapToGrid w:val="0"/>
          <w:color w:val="auto"/>
          <w:kern w:val="22"/>
          <w:bdr w:val="none" w:sz="0" w:space="0" w:color="auto"/>
          <w:lang w:val="en-GB"/>
        </w:rPr>
        <w:t xml:space="preserve"> of genetic resources</w:t>
      </w:r>
      <w:r w:rsidRPr="00DF02C5">
        <w:rPr>
          <w:rStyle w:val="FootnoteReference"/>
          <w:rFonts w:eastAsia="Calibri" w:hAnsi="Times New Roman"/>
          <w:snapToGrid w:val="0"/>
          <w:color w:val="auto"/>
          <w:kern w:val="22"/>
          <w:bdr w:val="none" w:sz="0" w:space="0" w:color="auto"/>
          <w:lang w:val="en-GB"/>
        </w:rPr>
        <w:footnoteReference w:id="214"/>
      </w:r>
      <w:r w:rsidRPr="00DF02C5">
        <w:rPr>
          <w:rFonts w:eastAsia="Calibri" w:hAnsi="Times New Roman"/>
          <w:snapToGrid w:val="0"/>
          <w:color w:val="auto"/>
          <w:kern w:val="22"/>
          <w:bdr w:val="none" w:sz="0" w:space="0" w:color="auto"/>
          <w:lang w:val="en-GB"/>
        </w:rPr>
        <w:t xml:space="preserve"> </w:t>
      </w:r>
      <w:r w:rsidR="00FF5BAC" w:rsidRPr="00DF02C5">
        <w:rPr>
          <w:rFonts w:eastAsia="Calibri" w:hAnsi="Times New Roman"/>
          <w:snapToGrid w:val="0"/>
          <w:color w:val="auto"/>
          <w:kern w:val="22"/>
          <w:bdr w:val="none" w:sz="0" w:space="0" w:color="auto"/>
          <w:lang w:val="en-GB"/>
        </w:rPr>
        <w:t xml:space="preserve">as well as </w:t>
      </w:r>
      <w:r w:rsidRPr="00DF02C5">
        <w:rPr>
          <w:rFonts w:eastAsia="Calibri" w:hAnsi="Times New Roman"/>
          <w:snapToGrid w:val="0"/>
          <w:color w:val="auto"/>
          <w:kern w:val="22"/>
          <w:bdr w:val="none" w:sz="0" w:space="0" w:color="auto"/>
          <w:lang w:val="en-GB"/>
        </w:rPr>
        <w:t>on transfer of genetic resources</w:t>
      </w:r>
      <w:r w:rsidR="006D1B8A">
        <w:rPr>
          <w:rFonts w:eastAsia="Calibri" w:hAnsi="Times New Roman"/>
          <w:snapToGrid w:val="0"/>
          <w:color w:val="auto"/>
          <w:kern w:val="22"/>
          <w:bdr w:val="none" w:sz="0" w:space="0" w:color="auto"/>
          <w:lang w:val="en-GB"/>
        </w:rPr>
        <w:t>.</w:t>
      </w:r>
      <w:r w:rsidR="00376285" w:rsidRPr="00DF02C5">
        <w:rPr>
          <w:rStyle w:val="FootnoteReference"/>
          <w:rFonts w:eastAsia="Calibri" w:hAnsi="Times New Roman"/>
          <w:snapToGrid w:val="0"/>
          <w:color w:val="auto"/>
          <w:kern w:val="22"/>
          <w:bdr w:val="none" w:sz="0" w:space="0" w:color="auto"/>
          <w:lang w:val="en-GB"/>
        </w:rPr>
        <w:footnoteReference w:id="215"/>
      </w:r>
    </w:p>
    <w:p w14:paraId="327AB834" w14:textId="3C8B2047" w:rsidR="00EA65E0" w:rsidRPr="00DF02C5" w:rsidRDefault="00EA65E0" w:rsidP="002D17E1">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Some countries reported on activities carried out to encourage</w:t>
      </w:r>
      <w:r w:rsidR="0096573F" w:rsidRPr="00DF02C5">
        <w:rPr>
          <w:rFonts w:eastAsia="Calibri" w:hAnsi="Times New Roman"/>
          <w:snapToGrid w:val="0"/>
          <w:color w:val="auto"/>
          <w:kern w:val="22"/>
          <w:bdr w:val="none" w:sz="0" w:space="0" w:color="auto"/>
          <w:lang w:val="en-GB"/>
        </w:rPr>
        <w:t xml:space="preserve"> the inclusion of</w:t>
      </w:r>
      <w:r w:rsidRPr="00DF02C5">
        <w:rPr>
          <w:rFonts w:eastAsia="Calibri" w:hAnsi="Times New Roman"/>
          <w:snapToGrid w:val="0"/>
          <w:color w:val="auto"/>
          <w:kern w:val="22"/>
          <w:bdr w:val="none" w:sz="0" w:space="0" w:color="auto"/>
          <w:lang w:val="en-GB"/>
        </w:rPr>
        <w:t xml:space="preserve"> such provisions in MAT, for </w:t>
      </w:r>
      <w:r w:rsidR="0096573F" w:rsidRPr="00DF02C5">
        <w:rPr>
          <w:rFonts w:eastAsia="Calibri" w:hAnsi="Times New Roman"/>
          <w:snapToGrid w:val="0"/>
          <w:color w:val="auto"/>
          <w:kern w:val="22"/>
          <w:bdr w:val="none" w:sz="0" w:space="0" w:color="auto"/>
          <w:lang w:val="en-GB"/>
        </w:rPr>
        <w:t xml:space="preserve">example through </w:t>
      </w:r>
      <w:r w:rsidRPr="00DF02C5">
        <w:rPr>
          <w:rFonts w:eastAsia="Calibri" w:hAnsi="Times New Roman"/>
          <w:snapToGrid w:val="0"/>
          <w:color w:val="auto"/>
          <w:kern w:val="22"/>
          <w:bdr w:val="none" w:sz="0" w:space="0" w:color="auto"/>
          <w:lang w:val="en-GB"/>
        </w:rPr>
        <w:t>trainings</w:t>
      </w:r>
      <w:r w:rsidRPr="00DF02C5">
        <w:rPr>
          <w:rStyle w:val="FootnoteReference"/>
          <w:rFonts w:eastAsia="Calibri" w:hAnsi="Times New Roman"/>
          <w:snapToGrid w:val="0"/>
          <w:color w:val="auto"/>
          <w:kern w:val="22"/>
          <w:bdr w:val="none" w:sz="0" w:space="0" w:color="auto"/>
          <w:lang w:val="en-GB"/>
        </w:rPr>
        <w:footnoteReference w:id="216"/>
      </w:r>
      <w:r w:rsidRPr="00DF02C5">
        <w:rPr>
          <w:rFonts w:eastAsia="Calibri" w:hAnsi="Times New Roman"/>
          <w:snapToGrid w:val="0"/>
          <w:color w:val="auto"/>
          <w:kern w:val="22"/>
          <w:bdr w:val="none" w:sz="0" w:space="0" w:color="auto"/>
          <w:lang w:val="en-GB"/>
        </w:rPr>
        <w:t xml:space="preserve">, </w:t>
      </w:r>
      <w:r w:rsidR="0096573F" w:rsidRPr="00DF02C5">
        <w:rPr>
          <w:rFonts w:eastAsia="Calibri" w:hAnsi="Times New Roman"/>
          <w:snapToGrid w:val="0"/>
          <w:color w:val="auto"/>
          <w:kern w:val="22"/>
          <w:bdr w:val="none" w:sz="0" w:space="0" w:color="auto"/>
          <w:lang w:val="en-GB"/>
        </w:rPr>
        <w:t xml:space="preserve">by including it as a component </w:t>
      </w:r>
      <w:r w:rsidRPr="00DF02C5">
        <w:rPr>
          <w:rFonts w:eastAsia="Calibri" w:hAnsi="Times New Roman"/>
          <w:snapToGrid w:val="0"/>
          <w:color w:val="auto"/>
          <w:kern w:val="22"/>
          <w:bdr w:val="none" w:sz="0" w:space="0" w:color="auto"/>
          <w:lang w:val="en-GB"/>
        </w:rPr>
        <w:t>i</w:t>
      </w:r>
      <w:r w:rsidR="0096573F" w:rsidRPr="00DF02C5">
        <w:rPr>
          <w:rFonts w:eastAsia="Calibri" w:hAnsi="Times New Roman"/>
          <w:snapToGrid w:val="0"/>
          <w:color w:val="auto"/>
          <w:kern w:val="22"/>
          <w:bdr w:val="none" w:sz="0" w:space="0" w:color="auto"/>
          <w:lang w:val="en-GB"/>
        </w:rPr>
        <w:t>n awareness-raising strategies</w:t>
      </w:r>
      <w:r w:rsidR="006D1B8A">
        <w:rPr>
          <w:rFonts w:eastAsia="Calibri" w:hAnsi="Times New Roman"/>
          <w:snapToGrid w:val="0"/>
          <w:color w:val="auto"/>
          <w:kern w:val="22"/>
          <w:bdr w:val="none" w:sz="0" w:space="0" w:color="auto"/>
          <w:lang w:val="en-GB"/>
        </w:rPr>
        <w:t>,</w:t>
      </w:r>
      <w:r w:rsidRPr="00DF02C5">
        <w:rPr>
          <w:rStyle w:val="FootnoteReference"/>
          <w:rFonts w:eastAsia="Calibri" w:hAnsi="Times New Roman"/>
          <w:snapToGrid w:val="0"/>
          <w:color w:val="auto"/>
          <w:kern w:val="22"/>
          <w:bdr w:val="none" w:sz="0" w:space="0" w:color="auto"/>
          <w:lang w:val="en-GB"/>
        </w:rPr>
        <w:footnoteReference w:id="217"/>
      </w:r>
      <w:r w:rsidRPr="00DF02C5">
        <w:rPr>
          <w:rFonts w:eastAsia="Calibri" w:hAnsi="Times New Roman"/>
          <w:snapToGrid w:val="0"/>
          <w:color w:val="auto"/>
          <w:kern w:val="22"/>
          <w:bdr w:val="none" w:sz="0" w:space="0" w:color="auto"/>
          <w:lang w:val="en-GB"/>
        </w:rPr>
        <w:t xml:space="preserve"> or </w:t>
      </w:r>
      <w:r w:rsidR="0096573F" w:rsidRPr="00DF02C5">
        <w:rPr>
          <w:rFonts w:eastAsia="Calibri" w:hAnsi="Times New Roman"/>
          <w:snapToGrid w:val="0"/>
          <w:color w:val="auto"/>
          <w:kern w:val="22"/>
          <w:bdr w:val="none" w:sz="0" w:space="0" w:color="auto"/>
          <w:lang w:val="en-GB"/>
        </w:rPr>
        <w:t xml:space="preserve">by contributing </w:t>
      </w:r>
      <w:r w:rsidRPr="00DF02C5">
        <w:rPr>
          <w:rFonts w:eastAsia="Calibri" w:hAnsi="Times New Roman"/>
          <w:snapToGrid w:val="0"/>
          <w:color w:val="auto"/>
          <w:kern w:val="22"/>
          <w:bdr w:val="none" w:sz="0" w:space="0" w:color="auto"/>
          <w:lang w:val="en-GB"/>
        </w:rPr>
        <w:t>to the development of model clauses</w:t>
      </w:r>
      <w:r w:rsidR="006D1B8A">
        <w:rPr>
          <w:rFonts w:eastAsia="Calibri" w:hAnsi="Times New Roman"/>
          <w:snapToGrid w:val="0"/>
          <w:color w:val="auto"/>
          <w:kern w:val="22"/>
          <w:bdr w:val="none" w:sz="0" w:space="0" w:color="auto"/>
          <w:lang w:val="en-GB"/>
        </w:rPr>
        <w:t>.</w:t>
      </w:r>
      <w:r w:rsidR="006B6AB4" w:rsidRPr="00DF02C5">
        <w:rPr>
          <w:rStyle w:val="FootnoteReference"/>
          <w:rFonts w:eastAsia="Calibri" w:hAnsi="Times New Roman"/>
          <w:snapToGrid w:val="0"/>
          <w:color w:val="auto"/>
          <w:kern w:val="22"/>
          <w:bdr w:val="none" w:sz="0" w:space="0" w:color="auto"/>
          <w:lang w:val="en-GB"/>
        </w:rPr>
        <w:footnoteReference w:id="218"/>
      </w:r>
    </w:p>
    <w:p w14:paraId="1BFA96CB" w14:textId="5CAF2096" w:rsidR="00533199" w:rsidRPr="00DF02C5" w:rsidRDefault="00FF5BAC" w:rsidP="00FF5BAC">
      <w:pPr>
        <w:pStyle w:val="Para1"/>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t>(b)</w:t>
      </w:r>
      <w:r w:rsidRPr="00DF02C5">
        <w:rPr>
          <w:rFonts w:eastAsia="Calibri" w:hAnsi="Times New Roman"/>
          <w:i/>
          <w:snapToGrid w:val="0"/>
          <w:color w:val="auto"/>
          <w:kern w:val="22"/>
          <w:bdr w:val="none" w:sz="0" w:space="0" w:color="auto"/>
          <w:lang w:val="en-GB"/>
        </w:rPr>
        <w:tab/>
        <w:t>Countries that answered “no”</w:t>
      </w:r>
    </w:p>
    <w:p w14:paraId="0228122B" w14:textId="627466EE" w:rsidR="00EA65E0" w:rsidRPr="00DF02C5" w:rsidRDefault="00BD60A0" w:rsidP="002D17E1">
      <w:pPr>
        <w:pStyle w:val="Para1"/>
        <w:numPr>
          <w:ilvl w:val="0"/>
          <w:numId w:val="1"/>
        </w:numPr>
        <w:rPr>
          <w:rFonts w:eastAsia="Calibri" w:hAnsi="Times New Roman"/>
          <w:noProof/>
          <w:snapToGrid w:val="0"/>
          <w:color w:val="auto"/>
          <w:kern w:val="22"/>
          <w:bdr w:val="none" w:sz="0" w:space="0" w:color="auto"/>
          <w:lang w:val="en-GB"/>
        </w:rPr>
      </w:pPr>
      <w:r w:rsidRPr="00DF02C5">
        <w:rPr>
          <w:rFonts w:eastAsia="Calibri" w:hAnsi="Times New Roman"/>
          <w:noProof/>
          <w:snapToGrid w:val="0"/>
          <w:kern w:val="22"/>
          <w:bdr w:val="none" w:sz="0" w:space="0" w:color="auto"/>
          <w:lang w:val="en-GB"/>
        </w:rPr>
        <w:t>M</w:t>
      </w:r>
      <w:r w:rsidR="00EA65E0" w:rsidRPr="00DF02C5">
        <w:rPr>
          <w:rFonts w:eastAsia="Calibri" w:hAnsi="Times New Roman"/>
          <w:noProof/>
          <w:snapToGrid w:val="0"/>
          <w:kern w:val="22"/>
          <w:bdr w:val="none" w:sz="0" w:space="0" w:color="auto"/>
          <w:lang w:val="en-GB"/>
        </w:rPr>
        <w:t xml:space="preserve">any </w:t>
      </w:r>
      <w:r w:rsidR="00EA65E0" w:rsidRPr="00DF02C5">
        <w:rPr>
          <w:rFonts w:eastAsia="Calibri" w:hAnsi="Times New Roman"/>
          <w:noProof/>
          <w:snapToGrid w:val="0"/>
          <w:color w:val="auto"/>
          <w:kern w:val="22"/>
          <w:bdr w:val="none" w:sz="0" w:space="0" w:color="auto"/>
          <w:lang w:val="en-GB"/>
        </w:rPr>
        <w:t xml:space="preserve">countries </w:t>
      </w:r>
      <w:r w:rsidR="00FF5BAC" w:rsidRPr="00DF02C5">
        <w:rPr>
          <w:rFonts w:eastAsia="Calibri" w:hAnsi="Times New Roman"/>
          <w:noProof/>
          <w:snapToGrid w:val="0"/>
          <w:color w:val="auto"/>
          <w:kern w:val="22"/>
          <w:bdr w:val="none" w:sz="0" w:space="0" w:color="auto"/>
          <w:lang w:val="en-GB"/>
        </w:rPr>
        <w:t xml:space="preserve">reported on </w:t>
      </w:r>
      <w:r w:rsidR="0096573F" w:rsidRPr="00DF02C5">
        <w:rPr>
          <w:rFonts w:eastAsia="Calibri" w:hAnsi="Times New Roman"/>
          <w:noProof/>
          <w:snapToGrid w:val="0"/>
          <w:color w:val="auto"/>
          <w:kern w:val="22"/>
          <w:bdr w:val="none" w:sz="0" w:space="0" w:color="auto"/>
          <w:lang w:val="en-GB"/>
        </w:rPr>
        <w:t xml:space="preserve">their plans </w:t>
      </w:r>
      <w:r w:rsidR="00EA65E0" w:rsidRPr="00DF02C5">
        <w:rPr>
          <w:rFonts w:eastAsia="Calibri" w:hAnsi="Times New Roman"/>
          <w:noProof/>
          <w:snapToGrid w:val="0"/>
          <w:color w:val="auto"/>
          <w:kern w:val="22"/>
          <w:bdr w:val="none" w:sz="0" w:space="0" w:color="auto"/>
          <w:lang w:val="en-GB"/>
        </w:rPr>
        <w:t>to address this issue.</w:t>
      </w:r>
      <w:r w:rsidR="00EA65E0" w:rsidRPr="00DF02C5">
        <w:rPr>
          <w:rFonts w:eastAsia="Calibri" w:hAnsi="Times New Roman"/>
          <w:noProof/>
          <w:snapToGrid w:val="0"/>
          <w:color w:val="auto"/>
          <w:kern w:val="22"/>
          <w:bdr w:val="none" w:sz="0" w:space="0" w:color="auto"/>
          <w:vertAlign w:val="superscript"/>
          <w:lang w:val="en-GB"/>
        </w:rPr>
        <w:footnoteReference w:id="219"/>
      </w:r>
      <w:r w:rsidR="006D1B8A">
        <w:rPr>
          <w:rFonts w:eastAsia="Calibri" w:hAnsi="Times New Roman"/>
          <w:noProof/>
          <w:snapToGrid w:val="0"/>
          <w:color w:val="auto"/>
          <w:kern w:val="22"/>
          <w:bdr w:val="none" w:sz="0" w:space="0" w:color="auto"/>
          <w:lang w:val="en-GB"/>
        </w:rPr>
        <w:t xml:space="preserve"> </w:t>
      </w:r>
      <w:r w:rsidR="00EA65E0" w:rsidRPr="00DF02C5">
        <w:rPr>
          <w:rFonts w:eastAsia="Calibri" w:hAnsi="Times New Roman"/>
          <w:noProof/>
          <w:snapToGrid w:val="0"/>
          <w:color w:val="auto"/>
          <w:kern w:val="22"/>
          <w:bdr w:val="none" w:sz="0" w:space="0" w:color="auto"/>
          <w:lang w:val="en-GB"/>
        </w:rPr>
        <w:t xml:space="preserve">The United Kingdom of Great Britain and Northern Ireland explained that even though they have not adopted any formal measures, the </w:t>
      </w:r>
      <w:r w:rsidR="00EA65E0" w:rsidRPr="00DF02C5">
        <w:rPr>
          <w:rFonts w:eastAsia="Calibri" w:hAnsi="Times New Roman"/>
          <w:snapToGrid w:val="0"/>
          <w:color w:val="auto"/>
          <w:kern w:val="22"/>
          <w:bdr w:val="none" w:sz="0" w:space="0" w:color="auto"/>
          <w:lang w:val="en-GB"/>
        </w:rPr>
        <w:t>competent</w:t>
      </w:r>
      <w:r w:rsidR="00EA65E0" w:rsidRPr="00DF02C5">
        <w:rPr>
          <w:rFonts w:eastAsia="Calibri" w:hAnsi="Times New Roman"/>
          <w:noProof/>
          <w:snapToGrid w:val="0"/>
          <w:color w:val="auto"/>
          <w:kern w:val="22"/>
          <w:bdr w:val="none" w:sz="0" w:space="0" w:color="auto"/>
          <w:lang w:val="en-GB"/>
        </w:rPr>
        <w:t xml:space="preserve"> </w:t>
      </w:r>
      <w:r w:rsidR="006B6AB4" w:rsidRPr="00DF02C5">
        <w:rPr>
          <w:rFonts w:eastAsia="Calibri" w:hAnsi="Times New Roman"/>
          <w:noProof/>
          <w:snapToGrid w:val="0"/>
          <w:color w:val="auto"/>
          <w:kern w:val="22"/>
          <w:bdr w:val="none" w:sz="0" w:space="0" w:color="auto"/>
          <w:lang w:val="en-GB"/>
        </w:rPr>
        <w:t xml:space="preserve">national </w:t>
      </w:r>
      <w:r w:rsidR="00EA65E0" w:rsidRPr="00DF02C5">
        <w:rPr>
          <w:rFonts w:eastAsia="Calibri" w:hAnsi="Times New Roman"/>
          <w:noProof/>
          <w:snapToGrid w:val="0"/>
          <w:color w:val="auto"/>
          <w:kern w:val="22"/>
          <w:bdr w:val="none" w:sz="0" w:space="0" w:color="auto"/>
          <w:lang w:val="en-GB"/>
        </w:rPr>
        <w:t>authority has encouraged sharing o</w:t>
      </w:r>
      <w:r w:rsidR="006B6AB4" w:rsidRPr="00DF02C5">
        <w:rPr>
          <w:rFonts w:eastAsia="Calibri" w:hAnsi="Times New Roman"/>
          <w:noProof/>
          <w:snapToGrid w:val="0"/>
          <w:color w:val="auto"/>
          <w:kern w:val="22"/>
          <w:bdr w:val="none" w:sz="0" w:space="0" w:color="auto"/>
          <w:lang w:val="en-GB"/>
        </w:rPr>
        <w:t>f</w:t>
      </w:r>
      <w:r w:rsidR="00EA65E0" w:rsidRPr="00DF02C5">
        <w:rPr>
          <w:rFonts w:eastAsia="Calibri" w:hAnsi="Times New Roman"/>
          <w:noProof/>
          <w:snapToGrid w:val="0"/>
          <w:color w:val="auto"/>
          <w:kern w:val="22"/>
          <w:bdr w:val="none" w:sz="0" w:space="0" w:color="auto"/>
          <w:lang w:val="en-GB"/>
        </w:rPr>
        <w:t xml:space="preserve"> information and approaches through stakeholder workshops and engaging at </w:t>
      </w:r>
      <w:r w:rsidR="006B6AB4" w:rsidRPr="00DF02C5">
        <w:rPr>
          <w:rFonts w:eastAsia="Calibri" w:hAnsi="Times New Roman"/>
          <w:noProof/>
          <w:snapToGrid w:val="0"/>
          <w:color w:val="auto"/>
          <w:kern w:val="22"/>
          <w:bdr w:val="none" w:sz="0" w:space="0" w:color="auto"/>
          <w:lang w:val="en-GB"/>
        </w:rPr>
        <w:t xml:space="preserve">an </w:t>
      </w:r>
      <w:r w:rsidR="00EA65E0" w:rsidRPr="00DF02C5">
        <w:rPr>
          <w:rFonts w:eastAsia="Calibri" w:hAnsi="Times New Roman"/>
          <w:noProof/>
          <w:snapToGrid w:val="0"/>
          <w:color w:val="auto"/>
          <w:kern w:val="22"/>
          <w:bdr w:val="none" w:sz="0" w:space="0" w:color="auto"/>
          <w:lang w:val="en-GB"/>
        </w:rPr>
        <w:t>association level rather than</w:t>
      </w:r>
      <w:r w:rsidR="00FF5BAC" w:rsidRPr="00DF02C5">
        <w:rPr>
          <w:rFonts w:eastAsia="Calibri" w:hAnsi="Times New Roman"/>
          <w:noProof/>
          <w:snapToGrid w:val="0"/>
          <w:color w:val="auto"/>
          <w:kern w:val="22"/>
          <w:bdr w:val="none" w:sz="0" w:space="0" w:color="auto"/>
          <w:lang w:val="en-GB"/>
        </w:rPr>
        <w:t xml:space="preserve"> with</w:t>
      </w:r>
      <w:r w:rsidR="00EA65E0" w:rsidRPr="00DF02C5">
        <w:rPr>
          <w:rFonts w:eastAsia="Calibri" w:hAnsi="Times New Roman"/>
          <w:noProof/>
          <w:snapToGrid w:val="0"/>
          <w:color w:val="auto"/>
          <w:kern w:val="22"/>
          <w:bdr w:val="none" w:sz="0" w:space="0" w:color="auto"/>
          <w:lang w:val="en-GB"/>
        </w:rPr>
        <w:t xml:space="preserve"> individual user</w:t>
      </w:r>
      <w:r w:rsidR="006B6AB4" w:rsidRPr="00DF02C5">
        <w:rPr>
          <w:rFonts w:eastAsia="Calibri" w:hAnsi="Times New Roman"/>
          <w:noProof/>
          <w:snapToGrid w:val="0"/>
          <w:color w:val="auto"/>
          <w:kern w:val="22"/>
          <w:bdr w:val="none" w:sz="0" w:space="0" w:color="auto"/>
          <w:lang w:val="en-GB"/>
        </w:rPr>
        <w:t>s</w:t>
      </w:r>
      <w:r w:rsidR="00EA65E0" w:rsidRPr="00DF02C5">
        <w:rPr>
          <w:rFonts w:eastAsia="Calibri" w:hAnsi="Times New Roman"/>
          <w:noProof/>
          <w:snapToGrid w:val="0"/>
          <w:color w:val="auto"/>
          <w:kern w:val="22"/>
          <w:bdr w:val="none" w:sz="0" w:space="0" w:color="auto"/>
          <w:lang w:val="en-GB"/>
        </w:rPr>
        <w:t>.</w:t>
      </w:r>
    </w:p>
    <w:p w14:paraId="7B4EFA41" w14:textId="45E61CC6" w:rsidR="00EA65E0" w:rsidRPr="006D1B8A" w:rsidRDefault="009A0F3A" w:rsidP="006D1B8A">
      <w:pPr>
        <w:pStyle w:val="Para1"/>
        <w:numPr>
          <w:ilvl w:val="0"/>
          <w:numId w:val="66"/>
        </w:numPr>
        <w:spacing w:before="240"/>
        <w:jc w:val="left"/>
        <w:rPr>
          <w:rFonts w:eastAsia="Calibri" w:hAnsi="Times New Roman"/>
          <w:i/>
          <w:snapToGrid w:val="0"/>
          <w:kern w:val="22"/>
          <w:bdr w:val="none" w:sz="0" w:space="0" w:color="auto"/>
          <w:lang w:val="en-GB"/>
        </w:rPr>
      </w:pPr>
      <w:r w:rsidRPr="006D1B8A">
        <w:rPr>
          <w:rFonts w:eastAsia="Calibri" w:hAnsi="Times New Roman"/>
          <w:i/>
          <w:snapToGrid w:val="0"/>
          <w:color w:val="auto"/>
          <w:kern w:val="22"/>
          <w:bdr w:val="none" w:sz="0" w:space="0" w:color="auto"/>
          <w:lang w:val="en-GB"/>
        </w:rPr>
        <w:t xml:space="preserve">Is your country encouraging the use of cost-effective communications tools and systems as provided in Article 17.1(c) </w:t>
      </w:r>
      <w:r w:rsidR="00EA65E0" w:rsidRPr="006D1B8A">
        <w:rPr>
          <w:rFonts w:eastAsia="Calibri" w:hAnsi="Times New Roman"/>
          <w:i/>
          <w:snapToGrid w:val="0"/>
          <w:kern w:val="22"/>
          <w:bdr w:val="none" w:sz="0" w:space="0" w:color="auto"/>
          <w:lang w:val="en-GB"/>
        </w:rPr>
        <w:t xml:space="preserve">(question </w:t>
      </w:r>
      <w:proofErr w:type="gramStart"/>
      <w:r w:rsidR="00EA65E0" w:rsidRPr="006D1B8A">
        <w:rPr>
          <w:rFonts w:eastAsia="Calibri" w:hAnsi="Times New Roman"/>
          <w:i/>
          <w:snapToGrid w:val="0"/>
          <w:kern w:val="22"/>
          <w:bdr w:val="none" w:sz="0" w:space="0" w:color="auto"/>
          <w:lang w:val="en-GB"/>
        </w:rPr>
        <w:t>29)</w:t>
      </w:r>
      <w:proofErr w:type="gramEnd"/>
    </w:p>
    <w:p w14:paraId="542599DC" w14:textId="7016DCB4" w:rsidR="0071534F" w:rsidRPr="00DF02C5" w:rsidRDefault="0071534F" w:rsidP="002D17E1">
      <w:pPr>
        <w:pStyle w:val="Para1"/>
        <w:numPr>
          <w:ilvl w:val="0"/>
          <w:numId w:val="1"/>
        </w:numPr>
        <w:rPr>
          <w:rFonts w:eastAsia="Calibri" w:hAnsi="Times New Roman"/>
          <w:snapToGrid w:val="0"/>
          <w:color w:val="auto"/>
          <w:kern w:val="22"/>
          <w:bdr w:val="none" w:sz="0" w:space="0" w:color="auto"/>
          <w:lang w:val="en-GB"/>
        </w:rPr>
      </w:pPr>
      <w:r w:rsidRPr="00DF02C5">
        <w:rPr>
          <w:rFonts w:hAnsi="Times New Roman"/>
          <w:color w:val="auto"/>
          <w:bdr w:val="none" w:sz="0" w:space="0" w:color="auto"/>
          <w:lang w:val="en-GB"/>
        </w:rPr>
        <w:t xml:space="preserve">Forty-two Parties and four non-Parties responded that they </w:t>
      </w:r>
      <w:r w:rsidRPr="00DF02C5">
        <w:rPr>
          <w:rFonts w:eastAsia="Calibri" w:hAnsi="Times New Roman"/>
          <w:snapToGrid w:val="0"/>
          <w:color w:val="auto"/>
          <w:kern w:val="22"/>
          <w:bdr w:val="none" w:sz="0" w:space="0" w:color="auto"/>
          <w:lang w:val="en-GB"/>
        </w:rPr>
        <w:t>encourage the use of cost-effective communications tools and systems</w:t>
      </w:r>
      <w:r w:rsidRPr="00DF02C5">
        <w:rPr>
          <w:rFonts w:hAnsi="Times New Roman"/>
          <w:color w:val="auto"/>
          <w:bdr w:val="none" w:sz="0" w:space="0" w:color="auto"/>
          <w:lang w:val="en-GB"/>
        </w:rPr>
        <w:t>. </w:t>
      </w:r>
      <w:r w:rsidRPr="00DF02C5">
        <w:rPr>
          <w:rFonts w:eastAsia="Calibri" w:hAnsi="Times New Roman"/>
          <w:snapToGrid w:val="0"/>
          <w:color w:val="auto"/>
          <w:kern w:val="22"/>
          <w:bdr w:val="none" w:sz="0" w:space="0" w:color="auto"/>
          <w:lang w:val="en-GB"/>
        </w:rPr>
        <w:t xml:space="preserve"> </w:t>
      </w:r>
      <w:r w:rsidR="00E42628" w:rsidRPr="00DF02C5">
        <w:rPr>
          <w:rFonts w:eastAsia="Calibri" w:hAnsi="Times New Roman"/>
          <w:snapToGrid w:val="0"/>
          <w:color w:val="auto"/>
          <w:kern w:val="22"/>
          <w:bdr w:val="none" w:sz="0" w:space="0" w:color="auto"/>
          <w:lang w:val="en-GB"/>
        </w:rPr>
        <w:t>Twenty-seven Parties and two non-Parties responded that they have not encouraged the use of cost-effective communications tools and systems.</w:t>
      </w:r>
    </w:p>
    <w:p w14:paraId="6228CFCC" w14:textId="3395C60A" w:rsidR="00F517EA" w:rsidRPr="00DF02C5" w:rsidRDefault="00E5256F" w:rsidP="00E5256F">
      <w:pPr>
        <w:pStyle w:val="Caption"/>
        <w:keepNext/>
        <w:keepLines/>
        <w:rPr>
          <w:snapToGrid w:val="0"/>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Pr="00DF02C5">
        <w:rPr>
          <w:noProof/>
          <w:lang w:val="en-GB"/>
        </w:rPr>
        <w:t>26</w:t>
      </w:r>
      <w:r w:rsidRPr="00DF02C5">
        <w:rPr>
          <w:lang w:val="en-GB"/>
        </w:rPr>
        <w:fldChar w:fldCharType="end"/>
      </w:r>
      <w:r w:rsidR="00F517EA" w:rsidRPr="00DF02C5">
        <w:rPr>
          <w:snapToGrid w:val="0"/>
          <w:bdr w:val="none" w:sz="0" w:space="0" w:color="auto"/>
          <w:lang w:val="en-GB"/>
        </w:rPr>
        <w:t>: Use of cost-effective communication tools and systems (percentage of countries)</w:t>
      </w:r>
    </w:p>
    <w:p w14:paraId="28814F2D" w14:textId="69DFD6A8" w:rsidR="00F517EA" w:rsidRPr="00DF02C5" w:rsidRDefault="00177478" w:rsidP="00F517EA">
      <w:pPr>
        <w:pStyle w:val="Para1"/>
        <w:jc w:val="center"/>
        <w:rPr>
          <w:rFonts w:eastAsia="Calibri" w:hAnsi="Times New Roman"/>
          <w:snapToGrid w:val="0"/>
          <w:color w:val="auto"/>
          <w:kern w:val="22"/>
          <w:bdr w:val="none" w:sz="0" w:space="0" w:color="auto"/>
          <w:lang w:val="en-GB"/>
        </w:rPr>
      </w:pPr>
      <w:r w:rsidRPr="00DF02C5">
        <w:rPr>
          <w:noProof/>
          <w:color w:val="auto"/>
        </w:rPr>
        <w:drawing>
          <wp:inline distT="0" distB="0" distL="0" distR="0" wp14:anchorId="4B3AE64A" wp14:editId="0B781999">
            <wp:extent cx="3248025" cy="1790700"/>
            <wp:effectExtent l="0" t="0" r="9525" b="1905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11414C3" w14:textId="02283861" w:rsidR="00F517EA" w:rsidRPr="00DF02C5" w:rsidRDefault="00F517EA" w:rsidP="00F517EA">
      <w:pPr>
        <w:pStyle w:val="Para1"/>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t>(a)</w:t>
      </w:r>
      <w:r w:rsidRPr="00DF02C5">
        <w:rPr>
          <w:rFonts w:eastAsia="Calibri" w:hAnsi="Times New Roman"/>
          <w:i/>
          <w:snapToGrid w:val="0"/>
          <w:color w:val="auto"/>
          <w:kern w:val="22"/>
          <w:bdr w:val="none" w:sz="0" w:space="0" w:color="auto"/>
          <w:lang w:val="en-GB"/>
        </w:rPr>
        <w:tab/>
        <w:t>Countries that answered “yes”</w:t>
      </w:r>
    </w:p>
    <w:p w14:paraId="5BF1EB56" w14:textId="2E8F1047" w:rsidR="00EA65E0" w:rsidRPr="00DF02C5" w:rsidRDefault="00EA65E0" w:rsidP="002D17E1">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lastRenderedPageBreak/>
        <w:t>In addition to electronic communication</w:t>
      </w:r>
      <w:r w:rsidR="006B6AB4" w:rsidRPr="00DF02C5">
        <w:rPr>
          <w:rFonts w:eastAsia="Calibri" w:hAnsi="Times New Roman"/>
          <w:snapToGrid w:val="0"/>
          <w:color w:val="auto"/>
          <w:kern w:val="22"/>
          <w:bdr w:val="none" w:sz="0" w:space="0" w:color="auto"/>
          <w:lang w:val="en-GB"/>
        </w:rPr>
        <w:t>, such as email</w:t>
      </w:r>
      <w:r w:rsidRPr="00DF02C5">
        <w:rPr>
          <w:rFonts w:eastAsia="Calibri" w:hAnsi="Times New Roman"/>
          <w:snapToGrid w:val="0"/>
          <w:color w:val="auto"/>
          <w:kern w:val="22"/>
          <w:bdr w:val="none" w:sz="0" w:space="0" w:color="auto"/>
          <w:lang w:val="en-GB"/>
        </w:rPr>
        <w:t xml:space="preserve"> or skype, some countries provided further information on tools and systems being developed, for example:</w:t>
      </w:r>
    </w:p>
    <w:p w14:paraId="6ADE1FAD" w14:textId="58590D05" w:rsidR="00EA65E0" w:rsidRPr="00DF02C5" w:rsidRDefault="00EA65E0" w:rsidP="00A2498F">
      <w:pPr>
        <w:numPr>
          <w:ilvl w:val="0"/>
          <w:numId w:val="14"/>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Ethiopia reported that </w:t>
      </w:r>
      <w:r w:rsidR="006B6AB4" w:rsidRPr="00DF02C5">
        <w:rPr>
          <w:rFonts w:eastAsia="Calibri" w:hAnsi="Times New Roman" w:cs="Times New Roman"/>
          <w:snapToGrid w:val="0"/>
          <w:color w:val="auto"/>
          <w:kern w:val="22"/>
          <w:bdr w:val="none" w:sz="0" w:space="0" w:color="auto"/>
          <w:lang w:val="en-GB"/>
        </w:rPr>
        <w:t xml:space="preserve">it </w:t>
      </w:r>
      <w:r w:rsidRPr="00DF02C5">
        <w:rPr>
          <w:rFonts w:eastAsia="Calibri" w:hAnsi="Times New Roman" w:cs="Times New Roman"/>
          <w:snapToGrid w:val="0"/>
          <w:color w:val="auto"/>
          <w:kern w:val="22"/>
          <w:bdr w:val="none" w:sz="0" w:space="0" w:color="auto"/>
          <w:lang w:val="en-GB"/>
        </w:rPr>
        <w:t>has established a web-based ABS information sharing system (http://www.ebi.gov.et/gm-access/) where all required documents such as forms, guidelines, laws and other information are posted and re</w:t>
      </w:r>
      <w:r w:rsidR="006B6AB4" w:rsidRPr="00DF02C5">
        <w:rPr>
          <w:rFonts w:eastAsia="Calibri" w:hAnsi="Times New Roman" w:cs="Times New Roman"/>
          <w:snapToGrid w:val="0"/>
          <w:color w:val="auto"/>
          <w:kern w:val="22"/>
          <w:bdr w:val="none" w:sz="0" w:space="0" w:color="auto"/>
          <w:lang w:val="en-GB"/>
        </w:rPr>
        <w:t>gularly updated for easy access by</w:t>
      </w:r>
      <w:r w:rsidRPr="00DF02C5">
        <w:rPr>
          <w:rFonts w:eastAsia="Calibri" w:hAnsi="Times New Roman" w:cs="Times New Roman"/>
          <w:snapToGrid w:val="0"/>
          <w:color w:val="auto"/>
          <w:kern w:val="22"/>
          <w:bdr w:val="none" w:sz="0" w:space="0" w:color="auto"/>
          <w:lang w:val="en-GB"/>
        </w:rPr>
        <w:t xml:space="preserve"> users of genetic re</w:t>
      </w:r>
      <w:r w:rsidR="00F517EA" w:rsidRPr="00DF02C5">
        <w:rPr>
          <w:rFonts w:eastAsia="Calibri" w:hAnsi="Times New Roman" w:cs="Times New Roman"/>
          <w:snapToGrid w:val="0"/>
          <w:color w:val="auto"/>
          <w:kern w:val="22"/>
          <w:bdr w:val="none" w:sz="0" w:space="0" w:color="auto"/>
          <w:lang w:val="en-GB"/>
        </w:rPr>
        <w:t>sources and community knowledge.</w:t>
      </w:r>
      <w:r w:rsidRPr="00DF02C5">
        <w:rPr>
          <w:rStyle w:val="FootnoteReference"/>
          <w:rFonts w:eastAsia="Calibri" w:hAnsi="Times New Roman" w:cs="Times New Roman"/>
          <w:snapToGrid w:val="0"/>
          <w:color w:val="auto"/>
          <w:kern w:val="22"/>
          <w:bdr w:val="none" w:sz="0" w:space="0" w:color="auto"/>
          <w:lang w:val="en-GB"/>
        </w:rPr>
        <w:footnoteReference w:id="220"/>
      </w:r>
    </w:p>
    <w:p w14:paraId="66721D17" w14:textId="5DD781C0" w:rsidR="00EA65E0" w:rsidRPr="00DF02C5" w:rsidRDefault="00EA65E0" w:rsidP="00A2498F">
      <w:pPr>
        <w:numPr>
          <w:ilvl w:val="0"/>
          <w:numId w:val="14"/>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The European Union explained that Article 13 of Regulation 511/2014 obliges both the European Commission and EU Member States, as appropriate, to promote the development and use of cost-effective communication tools and systems in support of monitoring and tracking the utilisation of genetic resources and traditional knowledge associated to genetic resou</w:t>
      </w:r>
      <w:r w:rsidR="006B6AB4" w:rsidRPr="00DF02C5">
        <w:rPr>
          <w:rFonts w:eastAsia="Calibri" w:hAnsi="Times New Roman" w:cs="Times New Roman"/>
          <w:snapToGrid w:val="0"/>
          <w:color w:val="auto"/>
          <w:kern w:val="22"/>
          <w:bdr w:val="none" w:sz="0" w:space="0" w:color="auto"/>
          <w:lang w:val="en-GB"/>
        </w:rPr>
        <w:t xml:space="preserve">rces by collections and users. </w:t>
      </w:r>
      <w:r w:rsidRPr="00DF02C5">
        <w:rPr>
          <w:rFonts w:eastAsia="Calibri" w:hAnsi="Times New Roman" w:cs="Times New Roman"/>
          <w:snapToGrid w:val="0"/>
          <w:color w:val="auto"/>
          <w:kern w:val="22"/>
          <w:bdr w:val="none" w:sz="0" w:space="0" w:color="auto"/>
          <w:lang w:val="en-GB"/>
        </w:rPr>
        <w:t>An EU-wide web-based application is being developed for the users to submit due diligence declarations electronically to the competent authorities. The portal will be connected to the ABS Clearing</w:t>
      </w:r>
      <w:r w:rsidR="00BD1A56" w:rsidRPr="00DF02C5">
        <w:rPr>
          <w:rFonts w:eastAsia="Calibri" w:hAnsi="Times New Roman" w:cs="Times New Roman"/>
          <w:snapToGrid w:val="0"/>
          <w:color w:val="auto"/>
          <w:kern w:val="22"/>
          <w:bdr w:val="none" w:sz="0" w:space="0" w:color="auto"/>
          <w:lang w:val="en-GB"/>
        </w:rPr>
        <w:t>-</w:t>
      </w:r>
      <w:r w:rsidRPr="00DF02C5">
        <w:rPr>
          <w:rFonts w:eastAsia="Calibri" w:hAnsi="Times New Roman" w:cs="Times New Roman"/>
          <w:snapToGrid w:val="0"/>
          <w:color w:val="auto"/>
          <w:kern w:val="22"/>
          <w:bdr w:val="none" w:sz="0" w:space="0" w:color="auto"/>
          <w:lang w:val="en-GB"/>
        </w:rPr>
        <w:t>House, thus allowing competent authorities to transfer info</w:t>
      </w:r>
      <w:r w:rsidR="00F517EA" w:rsidRPr="00DF02C5">
        <w:rPr>
          <w:rFonts w:eastAsia="Calibri" w:hAnsi="Times New Roman" w:cs="Times New Roman"/>
          <w:snapToGrid w:val="0"/>
          <w:color w:val="auto"/>
          <w:kern w:val="22"/>
          <w:bdr w:val="none" w:sz="0" w:space="0" w:color="auto"/>
          <w:lang w:val="en-GB"/>
        </w:rPr>
        <w:t>rmation in a cost-effective way.</w:t>
      </w:r>
    </w:p>
    <w:p w14:paraId="42D2F51D" w14:textId="01890055" w:rsidR="00EA65E0" w:rsidRPr="00DF02C5" w:rsidRDefault="00EA65E0" w:rsidP="00A2498F">
      <w:pPr>
        <w:numPr>
          <w:ilvl w:val="0"/>
          <w:numId w:val="14"/>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Finland indicated having a national ABS Clearing-House and that a web tool for submitting user notification</w:t>
      </w:r>
      <w:r w:rsidR="006B6AB4" w:rsidRPr="00DF02C5">
        <w:rPr>
          <w:rFonts w:eastAsia="Calibri" w:hAnsi="Times New Roman" w:cs="Times New Roman"/>
          <w:snapToGrid w:val="0"/>
          <w:color w:val="auto"/>
          <w:kern w:val="22"/>
          <w:bdr w:val="none" w:sz="0" w:space="0" w:color="auto"/>
          <w:lang w:val="en-GB"/>
        </w:rPr>
        <w:t>s</w:t>
      </w:r>
      <w:r w:rsidRPr="00DF02C5">
        <w:rPr>
          <w:rFonts w:eastAsia="Calibri" w:hAnsi="Times New Roman" w:cs="Times New Roman"/>
          <w:snapToGrid w:val="0"/>
          <w:color w:val="auto"/>
          <w:kern w:val="22"/>
          <w:bdr w:val="none" w:sz="0" w:space="0" w:color="auto"/>
          <w:lang w:val="en-GB"/>
        </w:rPr>
        <w:t xml:space="preserve"> to</w:t>
      </w:r>
      <w:r w:rsidR="00F517EA" w:rsidRPr="00DF02C5">
        <w:rPr>
          <w:rFonts w:eastAsia="Calibri" w:hAnsi="Times New Roman" w:cs="Times New Roman"/>
          <w:snapToGrid w:val="0"/>
          <w:color w:val="auto"/>
          <w:kern w:val="22"/>
          <w:bdr w:val="none" w:sz="0" w:space="0" w:color="auto"/>
          <w:lang w:val="en-GB"/>
        </w:rPr>
        <w:t xml:space="preserve"> the CNA is under consi</w:t>
      </w:r>
      <w:r w:rsidR="006D1B8A">
        <w:rPr>
          <w:rFonts w:eastAsia="Calibri" w:hAnsi="Times New Roman" w:cs="Times New Roman"/>
          <w:snapToGrid w:val="0"/>
          <w:color w:val="auto"/>
          <w:kern w:val="22"/>
          <w:bdr w:val="none" w:sz="0" w:space="0" w:color="auto"/>
          <w:lang w:val="en-GB"/>
        </w:rPr>
        <w:t>deration;</w:t>
      </w:r>
    </w:p>
    <w:p w14:paraId="321239BF" w14:textId="1C582235" w:rsidR="00EA65E0" w:rsidRPr="00DF02C5" w:rsidRDefault="00EA65E0" w:rsidP="00A2498F">
      <w:pPr>
        <w:numPr>
          <w:ilvl w:val="0"/>
          <w:numId w:val="14"/>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India, Indonesia, Kenya, </w:t>
      </w:r>
      <w:r w:rsidR="006B6AB4" w:rsidRPr="00DF02C5">
        <w:rPr>
          <w:rFonts w:eastAsia="Calibri" w:hAnsi="Times New Roman" w:cs="Times New Roman"/>
          <w:snapToGrid w:val="0"/>
          <w:color w:val="auto"/>
          <w:kern w:val="22"/>
          <w:bdr w:val="none" w:sz="0" w:space="0" w:color="auto"/>
          <w:lang w:val="en-GB"/>
        </w:rPr>
        <w:t xml:space="preserve">and </w:t>
      </w:r>
      <w:r w:rsidR="00933054" w:rsidRPr="00DF02C5">
        <w:rPr>
          <w:rFonts w:eastAsia="Calibri" w:hAnsi="Times New Roman" w:cs="Times New Roman"/>
          <w:snapToGrid w:val="0"/>
          <w:color w:val="auto"/>
          <w:kern w:val="22"/>
          <w:bdr w:val="none" w:sz="0" w:space="0" w:color="auto"/>
          <w:lang w:val="en-GB"/>
        </w:rPr>
        <w:t>Viet Nam</w:t>
      </w:r>
      <w:r w:rsidRPr="00DF02C5">
        <w:rPr>
          <w:rFonts w:eastAsia="Calibri" w:hAnsi="Times New Roman" w:cs="Times New Roman"/>
          <w:snapToGrid w:val="0"/>
          <w:color w:val="auto"/>
          <w:kern w:val="22"/>
          <w:bdr w:val="none" w:sz="0" w:space="0" w:color="auto"/>
          <w:lang w:val="en-GB"/>
        </w:rPr>
        <w:t xml:space="preserve"> report work on online application/permitting system</w:t>
      </w:r>
      <w:r w:rsidR="006B6AB4" w:rsidRPr="00DF02C5">
        <w:rPr>
          <w:rFonts w:eastAsia="Calibri" w:hAnsi="Times New Roman" w:cs="Times New Roman"/>
          <w:snapToGrid w:val="0"/>
          <w:color w:val="auto"/>
          <w:kern w:val="22"/>
          <w:bdr w:val="none" w:sz="0" w:space="0" w:color="auto"/>
          <w:lang w:val="en-GB"/>
        </w:rPr>
        <w:t>s</w:t>
      </w:r>
      <w:r w:rsidR="006D1B8A">
        <w:rPr>
          <w:rFonts w:eastAsia="Calibri" w:hAnsi="Times New Roman" w:cs="Times New Roman"/>
          <w:snapToGrid w:val="0"/>
          <w:color w:val="auto"/>
          <w:kern w:val="22"/>
          <w:bdr w:val="none" w:sz="0" w:space="0" w:color="auto"/>
          <w:lang w:val="en-GB"/>
        </w:rPr>
        <w:t>;</w:t>
      </w:r>
    </w:p>
    <w:p w14:paraId="003E108F" w14:textId="49B429B4" w:rsidR="00EA65E0" w:rsidRPr="00DF02C5" w:rsidRDefault="00EA65E0" w:rsidP="00A2498F">
      <w:pPr>
        <w:numPr>
          <w:ilvl w:val="0"/>
          <w:numId w:val="14"/>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Antigua and Barbuda and </w:t>
      </w:r>
      <w:r w:rsidR="00BD60A0" w:rsidRPr="00DF02C5">
        <w:rPr>
          <w:rFonts w:eastAsia="Calibri" w:hAnsi="Times New Roman" w:cs="Times New Roman"/>
          <w:snapToGrid w:val="0"/>
          <w:color w:val="auto"/>
          <w:kern w:val="22"/>
          <w:bdr w:val="none" w:sz="0" w:space="0" w:color="auto"/>
          <w:lang w:val="en-GB"/>
        </w:rPr>
        <w:t xml:space="preserve">China reported on </w:t>
      </w:r>
      <w:r w:rsidRPr="00DF02C5">
        <w:rPr>
          <w:rFonts w:eastAsia="Calibri" w:hAnsi="Times New Roman" w:cs="Times New Roman"/>
          <w:snapToGrid w:val="0"/>
          <w:color w:val="auto"/>
          <w:kern w:val="22"/>
          <w:bdr w:val="none" w:sz="0" w:space="0" w:color="auto"/>
          <w:lang w:val="en-GB"/>
        </w:rPr>
        <w:t>work o</w:t>
      </w:r>
      <w:r w:rsidR="006D1B8A">
        <w:rPr>
          <w:rFonts w:eastAsia="Calibri" w:hAnsi="Times New Roman" w:cs="Times New Roman"/>
          <w:snapToGrid w:val="0"/>
          <w:color w:val="auto"/>
          <w:kern w:val="22"/>
          <w:bdr w:val="none" w:sz="0" w:space="0" w:color="auto"/>
          <w:lang w:val="en-GB"/>
        </w:rPr>
        <w:t>n web-based information systems;</w:t>
      </w:r>
    </w:p>
    <w:p w14:paraId="680DEBF4" w14:textId="1244E6D0" w:rsidR="00EA65E0" w:rsidRPr="00DF02C5" w:rsidRDefault="00EA65E0" w:rsidP="00A2498F">
      <w:pPr>
        <w:numPr>
          <w:ilvl w:val="0"/>
          <w:numId w:val="14"/>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Mauritania and Burundi </w:t>
      </w:r>
      <w:r w:rsidR="00BD60A0" w:rsidRPr="00DF02C5">
        <w:rPr>
          <w:rFonts w:eastAsia="Calibri" w:hAnsi="Times New Roman" w:cs="Times New Roman"/>
          <w:snapToGrid w:val="0"/>
          <w:color w:val="auto"/>
          <w:kern w:val="22"/>
          <w:bdr w:val="none" w:sz="0" w:space="0" w:color="auto"/>
          <w:lang w:val="en-GB"/>
        </w:rPr>
        <w:t>indicated</w:t>
      </w:r>
      <w:r w:rsidR="0096573F" w:rsidRPr="00DF02C5">
        <w:rPr>
          <w:rFonts w:eastAsia="Calibri" w:hAnsi="Times New Roman" w:cs="Times New Roman"/>
          <w:snapToGrid w:val="0"/>
          <w:color w:val="auto"/>
          <w:kern w:val="22"/>
          <w:bdr w:val="none" w:sz="0" w:space="0" w:color="auto"/>
          <w:lang w:val="en-GB"/>
        </w:rPr>
        <w:t xml:space="preserve"> that </w:t>
      </w:r>
      <w:r w:rsidRPr="00DF02C5">
        <w:rPr>
          <w:rFonts w:eastAsia="Calibri" w:hAnsi="Times New Roman" w:cs="Times New Roman"/>
          <w:snapToGrid w:val="0"/>
          <w:color w:val="auto"/>
          <w:kern w:val="22"/>
          <w:bdr w:val="none" w:sz="0" w:space="0" w:color="auto"/>
          <w:lang w:val="en-GB"/>
        </w:rPr>
        <w:t>relevant information on ABS is included</w:t>
      </w:r>
      <w:r w:rsidR="006D1B8A">
        <w:rPr>
          <w:rFonts w:eastAsia="Calibri" w:hAnsi="Times New Roman" w:cs="Times New Roman"/>
          <w:snapToGrid w:val="0"/>
          <w:color w:val="auto"/>
          <w:kern w:val="22"/>
          <w:bdr w:val="none" w:sz="0" w:space="0" w:color="auto"/>
          <w:lang w:val="en-GB"/>
        </w:rPr>
        <w:t xml:space="preserve"> in the national clearing-house;</w:t>
      </w:r>
    </w:p>
    <w:p w14:paraId="7921DDB5" w14:textId="1CB7E701" w:rsidR="00EA65E0" w:rsidRPr="00DF02C5" w:rsidRDefault="008E365C" w:rsidP="00A2498F">
      <w:pPr>
        <w:numPr>
          <w:ilvl w:val="0"/>
          <w:numId w:val="14"/>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Peru’s ABS</w:t>
      </w:r>
      <w:r w:rsidR="00EA65E0" w:rsidRPr="00DF02C5">
        <w:rPr>
          <w:rFonts w:eastAsia="Calibri" w:hAnsi="Times New Roman" w:cs="Times New Roman"/>
          <w:snapToGrid w:val="0"/>
          <w:color w:val="auto"/>
          <w:kern w:val="22"/>
          <w:bdr w:val="none" w:sz="0" w:space="0" w:color="auto"/>
          <w:lang w:val="en-GB"/>
        </w:rPr>
        <w:t xml:space="preserve"> measures provide for information exchange systems between institutions and </w:t>
      </w:r>
      <w:r w:rsidR="00BD60A0" w:rsidRPr="00DF02C5">
        <w:rPr>
          <w:rFonts w:eastAsia="Calibri" w:hAnsi="Times New Roman" w:cs="Times New Roman"/>
          <w:snapToGrid w:val="0"/>
          <w:color w:val="auto"/>
          <w:kern w:val="22"/>
          <w:bdr w:val="none" w:sz="0" w:space="0" w:color="auto"/>
          <w:lang w:val="en-GB"/>
        </w:rPr>
        <w:t>indicated</w:t>
      </w:r>
      <w:r w:rsidR="00EA65E0" w:rsidRPr="00DF02C5">
        <w:rPr>
          <w:rFonts w:eastAsia="Calibri" w:hAnsi="Times New Roman" w:cs="Times New Roman"/>
          <w:snapToGrid w:val="0"/>
          <w:color w:val="auto"/>
          <w:kern w:val="22"/>
          <w:bdr w:val="none" w:sz="0" w:space="0" w:color="auto"/>
          <w:lang w:val="en-GB"/>
        </w:rPr>
        <w:t xml:space="preserve"> </w:t>
      </w:r>
      <w:r w:rsidRPr="00DF02C5">
        <w:rPr>
          <w:rFonts w:eastAsia="Calibri" w:hAnsi="Times New Roman" w:cs="Times New Roman"/>
          <w:snapToGrid w:val="0"/>
          <w:color w:val="auto"/>
          <w:kern w:val="22"/>
          <w:bdr w:val="none" w:sz="0" w:space="0" w:color="auto"/>
          <w:lang w:val="en-GB"/>
        </w:rPr>
        <w:t>that work</w:t>
      </w:r>
      <w:r w:rsidR="00EA65E0" w:rsidRPr="00DF02C5">
        <w:rPr>
          <w:rFonts w:eastAsia="Calibri" w:hAnsi="Times New Roman" w:cs="Times New Roman"/>
          <w:snapToGrid w:val="0"/>
          <w:color w:val="auto"/>
          <w:kern w:val="22"/>
          <w:bdr w:val="none" w:sz="0" w:space="0" w:color="auto"/>
          <w:lang w:val="en-GB"/>
        </w:rPr>
        <w:t xml:space="preserve"> was </w:t>
      </w:r>
      <w:r w:rsidR="006B6AB4" w:rsidRPr="00DF02C5">
        <w:rPr>
          <w:rFonts w:eastAsia="Calibri" w:hAnsi="Times New Roman" w:cs="Times New Roman"/>
          <w:snapToGrid w:val="0"/>
          <w:color w:val="auto"/>
          <w:kern w:val="22"/>
          <w:bdr w:val="none" w:sz="0" w:space="0" w:color="auto"/>
          <w:lang w:val="en-GB"/>
        </w:rPr>
        <w:t>on</w:t>
      </w:r>
      <w:r w:rsidR="00EA65E0" w:rsidRPr="00DF02C5">
        <w:rPr>
          <w:rFonts w:eastAsia="Calibri" w:hAnsi="Times New Roman" w:cs="Times New Roman"/>
          <w:snapToGrid w:val="0"/>
          <w:color w:val="auto"/>
          <w:kern w:val="22"/>
          <w:bdr w:val="none" w:sz="0" w:space="0" w:color="auto"/>
          <w:lang w:val="en-GB"/>
        </w:rPr>
        <w:t>going</w:t>
      </w:r>
      <w:r w:rsidR="006B6AB4" w:rsidRPr="00DF02C5">
        <w:rPr>
          <w:rFonts w:eastAsia="Calibri" w:hAnsi="Times New Roman" w:cs="Times New Roman"/>
          <w:snapToGrid w:val="0"/>
          <w:color w:val="auto"/>
          <w:kern w:val="22"/>
          <w:bdr w:val="none" w:sz="0" w:space="0" w:color="auto"/>
          <w:lang w:val="en-GB"/>
        </w:rPr>
        <w:t>,</w:t>
      </w:r>
      <w:r w:rsidR="00EA65E0" w:rsidRPr="00DF02C5">
        <w:rPr>
          <w:rFonts w:eastAsia="Calibri" w:hAnsi="Times New Roman" w:cs="Times New Roman"/>
          <w:snapToGrid w:val="0"/>
          <w:color w:val="auto"/>
          <w:kern w:val="22"/>
          <w:bdr w:val="none" w:sz="0" w:space="0" w:color="auto"/>
          <w:lang w:val="en-GB"/>
        </w:rPr>
        <w:t xml:space="preserve"> since 2016</w:t>
      </w:r>
      <w:r w:rsidR="006B6AB4" w:rsidRPr="00DF02C5">
        <w:rPr>
          <w:rFonts w:eastAsia="Calibri" w:hAnsi="Times New Roman" w:cs="Times New Roman"/>
          <w:snapToGrid w:val="0"/>
          <w:color w:val="auto"/>
          <w:kern w:val="22"/>
          <w:bdr w:val="none" w:sz="0" w:space="0" w:color="auto"/>
          <w:lang w:val="en-GB"/>
        </w:rPr>
        <w:t>,</w:t>
      </w:r>
      <w:r w:rsidR="00EA65E0" w:rsidRPr="00DF02C5">
        <w:rPr>
          <w:rFonts w:eastAsia="Calibri" w:hAnsi="Times New Roman" w:cs="Times New Roman"/>
          <w:snapToGrid w:val="0"/>
          <w:color w:val="auto"/>
          <w:kern w:val="22"/>
          <w:bdr w:val="none" w:sz="0" w:space="0" w:color="auto"/>
          <w:lang w:val="en-GB"/>
        </w:rPr>
        <w:t xml:space="preserve"> </w:t>
      </w:r>
      <w:r w:rsidR="0096573F" w:rsidRPr="00DF02C5">
        <w:rPr>
          <w:rFonts w:eastAsia="Calibri" w:hAnsi="Times New Roman" w:cs="Times New Roman"/>
          <w:snapToGrid w:val="0"/>
          <w:color w:val="auto"/>
          <w:kern w:val="22"/>
          <w:bdr w:val="none" w:sz="0" w:space="0" w:color="auto"/>
          <w:lang w:val="en-GB"/>
        </w:rPr>
        <w:t xml:space="preserve">to develop a </w:t>
      </w:r>
      <w:r w:rsidR="00EA65E0" w:rsidRPr="00DF02C5">
        <w:rPr>
          <w:rFonts w:eastAsia="Calibri" w:hAnsi="Times New Roman" w:cs="Times New Roman"/>
          <w:snapToGrid w:val="0"/>
          <w:color w:val="auto"/>
          <w:kern w:val="22"/>
          <w:bdr w:val="none" w:sz="0" w:space="0" w:color="auto"/>
          <w:lang w:val="en-GB"/>
        </w:rPr>
        <w:t>module for monitoring the terms included in MAT</w:t>
      </w:r>
      <w:r w:rsidR="0096573F" w:rsidRPr="00DF02C5">
        <w:rPr>
          <w:rFonts w:eastAsia="Calibri" w:hAnsi="Times New Roman" w:cs="Times New Roman"/>
          <w:snapToGrid w:val="0"/>
          <w:color w:val="auto"/>
          <w:kern w:val="22"/>
          <w:bdr w:val="none" w:sz="0" w:space="0" w:color="auto"/>
          <w:lang w:val="en-GB"/>
        </w:rPr>
        <w:t>.</w:t>
      </w:r>
    </w:p>
    <w:p w14:paraId="32DA9556" w14:textId="2D58FB45" w:rsidR="00F517EA" w:rsidRPr="00DF02C5" w:rsidRDefault="00F517EA" w:rsidP="00F517EA">
      <w:pPr>
        <w:pStyle w:val="Para1"/>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t>(b)</w:t>
      </w:r>
      <w:r w:rsidRPr="00DF02C5">
        <w:rPr>
          <w:rFonts w:eastAsia="Calibri" w:hAnsi="Times New Roman"/>
          <w:i/>
          <w:snapToGrid w:val="0"/>
          <w:color w:val="auto"/>
          <w:kern w:val="22"/>
          <w:bdr w:val="none" w:sz="0" w:space="0" w:color="auto"/>
          <w:lang w:val="en-GB"/>
        </w:rPr>
        <w:tab/>
        <w:t>Countries that answered “no”</w:t>
      </w:r>
    </w:p>
    <w:p w14:paraId="6D4C2318" w14:textId="502E8A9E" w:rsidR="00EA65E0" w:rsidRPr="00DF02C5" w:rsidRDefault="00F517EA" w:rsidP="002D17E1">
      <w:pPr>
        <w:pStyle w:val="Para1"/>
        <w:numPr>
          <w:ilvl w:val="0"/>
          <w:numId w:val="1"/>
        </w:numPr>
        <w:rPr>
          <w:rFonts w:eastAsia="Calibri" w:hAnsi="Times New Roman"/>
          <w:noProof/>
          <w:snapToGrid w:val="0"/>
          <w:color w:val="auto"/>
          <w:kern w:val="22"/>
          <w:bdr w:val="none" w:sz="0" w:space="0" w:color="auto"/>
          <w:lang w:val="en-GB"/>
        </w:rPr>
      </w:pPr>
      <w:r w:rsidRPr="00DF02C5">
        <w:rPr>
          <w:rFonts w:eastAsia="Calibri" w:hAnsi="Times New Roman"/>
          <w:noProof/>
          <w:snapToGrid w:val="0"/>
          <w:kern w:val="22"/>
          <w:bdr w:val="none" w:sz="0" w:space="0" w:color="auto"/>
          <w:lang w:val="en-GB"/>
        </w:rPr>
        <w:t>M</w:t>
      </w:r>
      <w:r w:rsidR="00EA65E0" w:rsidRPr="00DF02C5">
        <w:rPr>
          <w:rFonts w:eastAsia="Calibri" w:hAnsi="Times New Roman"/>
          <w:noProof/>
          <w:snapToGrid w:val="0"/>
          <w:kern w:val="22"/>
          <w:bdr w:val="none" w:sz="0" w:space="0" w:color="auto"/>
          <w:lang w:val="en-GB"/>
        </w:rPr>
        <w:t xml:space="preserve">any </w:t>
      </w:r>
      <w:r w:rsidR="00EA65E0" w:rsidRPr="00DF02C5">
        <w:rPr>
          <w:rFonts w:eastAsia="Calibri" w:hAnsi="Times New Roman"/>
          <w:noProof/>
          <w:snapToGrid w:val="0"/>
          <w:color w:val="auto"/>
          <w:kern w:val="22"/>
          <w:bdr w:val="none" w:sz="0" w:space="0" w:color="auto"/>
          <w:lang w:val="en-GB"/>
        </w:rPr>
        <w:t>countries</w:t>
      </w:r>
      <w:r w:rsidR="00EA65E0" w:rsidRPr="00DF02C5">
        <w:rPr>
          <w:rFonts w:eastAsia="Calibri" w:hAnsi="Times New Roman"/>
          <w:noProof/>
          <w:snapToGrid w:val="0"/>
          <w:color w:val="auto"/>
          <w:kern w:val="22"/>
          <w:bdr w:val="none" w:sz="0" w:space="0" w:color="auto"/>
          <w:vertAlign w:val="superscript"/>
          <w:lang w:val="en-GB"/>
        </w:rPr>
        <w:footnoteReference w:id="221"/>
      </w:r>
      <w:r w:rsidR="00EA65E0" w:rsidRPr="00DF02C5">
        <w:rPr>
          <w:rFonts w:eastAsia="Calibri" w:hAnsi="Times New Roman"/>
          <w:noProof/>
          <w:snapToGrid w:val="0"/>
          <w:color w:val="auto"/>
          <w:kern w:val="22"/>
          <w:bdr w:val="none" w:sz="0" w:space="0" w:color="auto"/>
          <w:lang w:val="en-GB"/>
        </w:rPr>
        <w:t xml:space="preserve"> </w:t>
      </w:r>
      <w:r w:rsidR="0096573F" w:rsidRPr="00DF02C5">
        <w:rPr>
          <w:rFonts w:eastAsia="Calibri" w:hAnsi="Times New Roman"/>
          <w:noProof/>
          <w:snapToGrid w:val="0"/>
          <w:color w:val="auto"/>
          <w:kern w:val="22"/>
          <w:bdr w:val="none" w:sz="0" w:space="0" w:color="auto"/>
          <w:lang w:val="en-GB"/>
        </w:rPr>
        <w:t xml:space="preserve">indicated </w:t>
      </w:r>
      <w:r w:rsidR="00EA65E0" w:rsidRPr="00DF02C5">
        <w:rPr>
          <w:rFonts w:eastAsia="Calibri" w:hAnsi="Times New Roman"/>
          <w:noProof/>
          <w:snapToGrid w:val="0"/>
          <w:color w:val="auto"/>
          <w:kern w:val="22"/>
          <w:bdr w:val="none" w:sz="0" w:space="0" w:color="auto"/>
          <w:lang w:val="en-GB"/>
        </w:rPr>
        <w:t xml:space="preserve">that </w:t>
      </w:r>
      <w:r w:rsidR="006B6AB4" w:rsidRPr="00DF02C5">
        <w:rPr>
          <w:rFonts w:eastAsia="Calibri" w:hAnsi="Times New Roman"/>
          <w:noProof/>
          <w:snapToGrid w:val="0"/>
          <w:color w:val="auto"/>
          <w:kern w:val="22"/>
          <w:bdr w:val="none" w:sz="0" w:space="0" w:color="auto"/>
          <w:lang w:val="en-GB"/>
        </w:rPr>
        <w:t xml:space="preserve">they </w:t>
      </w:r>
      <w:r w:rsidR="00EA65E0" w:rsidRPr="00DF02C5">
        <w:rPr>
          <w:rFonts w:eastAsia="Calibri" w:hAnsi="Times New Roman"/>
          <w:noProof/>
          <w:snapToGrid w:val="0"/>
          <w:color w:val="auto"/>
          <w:kern w:val="22"/>
          <w:bdr w:val="none" w:sz="0" w:space="0" w:color="auto"/>
          <w:lang w:val="en-GB"/>
        </w:rPr>
        <w:t>are p</w:t>
      </w:r>
      <w:r w:rsidR="006B6AB4" w:rsidRPr="00DF02C5">
        <w:rPr>
          <w:rFonts w:eastAsia="Calibri" w:hAnsi="Times New Roman"/>
          <w:noProof/>
          <w:snapToGrid w:val="0"/>
          <w:color w:val="auto"/>
          <w:kern w:val="22"/>
          <w:bdr w:val="none" w:sz="0" w:space="0" w:color="auto"/>
          <w:lang w:val="en-GB"/>
        </w:rPr>
        <w:t xml:space="preserve">lanning to address this issue. </w:t>
      </w:r>
      <w:r w:rsidR="00EA65E0" w:rsidRPr="00DF02C5">
        <w:rPr>
          <w:rFonts w:eastAsia="Calibri" w:hAnsi="Times New Roman"/>
          <w:noProof/>
          <w:snapToGrid w:val="0"/>
          <w:color w:val="auto"/>
          <w:kern w:val="22"/>
          <w:bdr w:val="none" w:sz="0" w:space="0" w:color="auto"/>
          <w:lang w:val="en-GB"/>
        </w:rPr>
        <w:t>Some countries</w:t>
      </w:r>
      <w:r w:rsidR="00EA65E0" w:rsidRPr="00DF02C5">
        <w:rPr>
          <w:rFonts w:eastAsia="Calibri" w:hAnsi="Times New Roman"/>
          <w:noProof/>
          <w:snapToGrid w:val="0"/>
          <w:color w:val="auto"/>
          <w:kern w:val="22"/>
          <w:bdr w:val="none" w:sz="0" w:space="0" w:color="auto"/>
          <w:vertAlign w:val="superscript"/>
          <w:lang w:val="en-GB"/>
        </w:rPr>
        <w:footnoteReference w:id="222"/>
      </w:r>
      <w:r w:rsidR="00EA65E0" w:rsidRPr="00DF02C5">
        <w:rPr>
          <w:rFonts w:eastAsia="Calibri" w:hAnsi="Times New Roman"/>
          <w:noProof/>
          <w:snapToGrid w:val="0"/>
          <w:color w:val="auto"/>
          <w:kern w:val="22"/>
          <w:bdr w:val="none" w:sz="0" w:space="0" w:color="auto"/>
          <w:lang w:val="en-GB"/>
        </w:rPr>
        <w:t xml:space="preserve"> identified the lack of ABS measures as the main reason for not having implemented Article 17.1(c) or being in </w:t>
      </w:r>
      <w:r w:rsidR="006B6AB4" w:rsidRPr="00DF02C5">
        <w:rPr>
          <w:rFonts w:eastAsia="Calibri" w:hAnsi="Times New Roman"/>
          <w:noProof/>
          <w:snapToGrid w:val="0"/>
          <w:color w:val="auto"/>
          <w:kern w:val="22"/>
          <w:bdr w:val="none" w:sz="0" w:space="0" w:color="auto"/>
          <w:lang w:val="en-GB"/>
        </w:rPr>
        <w:t xml:space="preserve">the </w:t>
      </w:r>
      <w:r w:rsidR="00EA65E0" w:rsidRPr="00DF02C5">
        <w:rPr>
          <w:rFonts w:eastAsia="Calibri" w:hAnsi="Times New Roman"/>
          <w:noProof/>
          <w:snapToGrid w:val="0"/>
          <w:color w:val="auto"/>
          <w:kern w:val="22"/>
          <w:bdr w:val="none" w:sz="0" w:space="0" w:color="auto"/>
          <w:lang w:val="en-GB"/>
        </w:rPr>
        <w:t>early stages of the implementation process</w:t>
      </w:r>
      <w:r w:rsidR="006D1B8A">
        <w:rPr>
          <w:rFonts w:eastAsia="Calibri" w:hAnsi="Times New Roman"/>
          <w:noProof/>
          <w:snapToGrid w:val="0"/>
          <w:color w:val="auto"/>
          <w:kern w:val="22"/>
          <w:bdr w:val="none" w:sz="0" w:space="0" w:color="auto"/>
          <w:lang w:val="en-GB"/>
        </w:rPr>
        <w:t>.</w:t>
      </w:r>
      <w:r w:rsidR="00EA65E0" w:rsidRPr="00DF02C5">
        <w:rPr>
          <w:rFonts w:eastAsia="Calibri" w:hAnsi="Times New Roman"/>
          <w:noProof/>
          <w:snapToGrid w:val="0"/>
          <w:color w:val="auto"/>
          <w:kern w:val="22"/>
          <w:bdr w:val="none" w:sz="0" w:space="0" w:color="auto"/>
          <w:vertAlign w:val="superscript"/>
          <w:lang w:val="en-GB"/>
        </w:rPr>
        <w:footnoteReference w:id="223"/>
      </w:r>
      <w:r w:rsidR="00EA65E0" w:rsidRPr="00DF02C5">
        <w:rPr>
          <w:rFonts w:eastAsia="Calibri" w:hAnsi="Times New Roman"/>
          <w:noProof/>
          <w:snapToGrid w:val="0"/>
          <w:color w:val="auto"/>
          <w:kern w:val="22"/>
          <w:bdr w:val="none" w:sz="0" w:space="0" w:color="auto"/>
          <w:lang w:val="en-GB"/>
        </w:rPr>
        <w:t xml:space="preserve"> Mexico provided information on </w:t>
      </w:r>
      <w:r w:rsidRPr="00DF02C5">
        <w:rPr>
          <w:rFonts w:eastAsia="Calibri" w:hAnsi="Times New Roman"/>
          <w:noProof/>
          <w:snapToGrid w:val="0"/>
          <w:color w:val="auto"/>
          <w:kern w:val="22"/>
          <w:bdr w:val="none" w:sz="0" w:space="0" w:color="auto"/>
          <w:lang w:val="en-GB"/>
        </w:rPr>
        <w:t xml:space="preserve">its </w:t>
      </w:r>
      <w:r w:rsidR="00EA65E0" w:rsidRPr="00DF02C5">
        <w:rPr>
          <w:rFonts w:eastAsia="Calibri" w:hAnsi="Times New Roman"/>
          <w:noProof/>
          <w:snapToGrid w:val="0"/>
          <w:color w:val="auto"/>
          <w:kern w:val="22"/>
          <w:bdr w:val="none" w:sz="0" w:space="0" w:color="auto"/>
          <w:lang w:val="en-GB"/>
        </w:rPr>
        <w:t xml:space="preserve">plans to </w:t>
      </w:r>
      <w:r w:rsidR="00EA65E0" w:rsidRPr="00DF02C5">
        <w:rPr>
          <w:rFonts w:eastAsia="Calibri" w:hAnsi="Times New Roman"/>
          <w:snapToGrid w:val="0"/>
          <w:color w:val="auto"/>
          <w:kern w:val="22"/>
          <w:bdr w:val="none" w:sz="0" w:space="0" w:color="auto"/>
          <w:lang w:val="en-GB"/>
        </w:rPr>
        <w:t>develop</w:t>
      </w:r>
      <w:r w:rsidR="00EA65E0" w:rsidRPr="00DF02C5">
        <w:rPr>
          <w:rFonts w:eastAsia="Calibri" w:hAnsi="Times New Roman"/>
          <w:noProof/>
          <w:snapToGrid w:val="0"/>
          <w:color w:val="auto"/>
          <w:kern w:val="22"/>
          <w:bdr w:val="none" w:sz="0" w:space="0" w:color="auto"/>
          <w:lang w:val="en-GB"/>
        </w:rPr>
        <w:t xml:space="preserve"> databases and interoperable systems for the exchange of information between CNAs and checkpoints and to </w:t>
      </w:r>
      <w:r w:rsidRPr="00DF02C5">
        <w:rPr>
          <w:rFonts w:eastAsia="Calibri" w:hAnsi="Times New Roman"/>
          <w:noProof/>
          <w:snapToGrid w:val="0"/>
          <w:color w:val="auto"/>
          <w:kern w:val="22"/>
          <w:bdr w:val="none" w:sz="0" w:space="0" w:color="auto"/>
          <w:lang w:val="en-GB"/>
        </w:rPr>
        <w:t>update their inf</w:t>
      </w:r>
      <w:r w:rsidR="001E644B" w:rsidRPr="00DF02C5">
        <w:rPr>
          <w:rFonts w:eastAsia="Calibri" w:hAnsi="Times New Roman"/>
          <w:noProof/>
          <w:snapToGrid w:val="0"/>
          <w:color w:val="auto"/>
          <w:kern w:val="22"/>
          <w:bdr w:val="none" w:sz="0" w:space="0" w:color="auto"/>
          <w:lang w:val="en-GB"/>
        </w:rPr>
        <w:t>o</w:t>
      </w:r>
      <w:r w:rsidRPr="00DF02C5">
        <w:rPr>
          <w:rFonts w:eastAsia="Calibri" w:hAnsi="Times New Roman"/>
          <w:noProof/>
          <w:snapToGrid w:val="0"/>
          <w:color w:val="auto"/>
          <w:kern w:val="22"/>
          <w:bdr w:val="none" w:sz="0" w:space="0" w:color="auto"/>
          <w:lang w:val="en-GB"/>
        </w:rPr>
        <w:t>r</w:t>
      </w:r>
      <w:r w:rsidR="001E644B" w:rsidRPr="00DF02C5">
        <w:rPr>
          <w:rFonts w:eastAsia="Calibri" w:hAnsi="Times New Roman"/>
          <w:noProof/>
          <w:snapToGrid w:val="0"/>
          <w:color w:val="auto"/>
          <w:kern w:val="22"/>
          <w:bdr w:val="none" w:sz="0" w:space="0" w:color="auto"/>
          <w:lang w:val="en-GB"/>
        </w:rPr>
        <w:t>mation technology</w:t>
      </w:r>
      <w:r w:rsidR="00EA65E0" w:rsidRPr="00DF02C5">
        <w:rPr>
          <w:rFonts w:eastAsia="Calibri" w:hAnsi="Times New Roman"/>
          <w:noProof/>
          <w:snapToGrid w:val="0"/>
          <w:color w:val="auto"/>
          <w:kern w:val="22"/>
          <w:bdr w:val="none" w:sz="0" w:space="0" w:color="auto"/>
          <w:lang w:val="en-GB"/>
        </w:rPr>
        <w:t xml:space="preserve"> systems to deal with access requests. Norway</w:t>
      </w:r>
      <w:r w:rsidR="0096573F" w:rsidRPr="00DF02C5">
        <w:rPr>
          <w:rFonts w:eastAsia="Calibri" w:hAnsi="Times New Roman"/>
          <w:noProof/>
          <w:snapToGrid w:val="0"/>
          <w:color w:val="auto"/>
          <w:kern w:val="22"/>
          <w:bdr w:val="none" w:sz="0" w:space="0" w:color="auto"/>
          <w:lang w:val="en-GB"/>
        </w:rPr>
        <w:t xml:space="preserve"> also </w:t>
      </w:r>
      <w:r w:rsidRPr="00DF02C5">
        <w:rPr>
          <w:rFonts w:eastAsia="Calibri" w:hAnsi="Times New Roman"/>
          <w:noProof/>
          <w:snapToGrid w:val="0"/>
          <w:color w:val="auto"/>
          <w:kern w:val="22"/>
          <w:bdr w:val="none" w:sz="0" w:space="0" w:color="auto"/>
          <w:lang w:val="en-GB"/>
        </w:rPr>
        <w:t xml:space="preserve">reported </w:t>
      </w:r>
      <w:r w:rsidR="0096573F" w:rsidRPr="00DF02C5">
        <w:rPr>
          <w:rFonts w:eastAsia="Calibri" w:hAnsi="Times New Roman"/>
          <w:noProof/>
          <w:snapToGrid w:val="0"/>
          <w:color w:val="auto"/>
          <w:kern w:val="22"/>
          <w:bdr w:val="none" w:sz="0" w:space="0" w:color="auto"/>
          <w:lang w:val="en-GB"/>
        </w:rPr>
        <w:t>that</w:t>
      </w:r>
      <w:r w:rsidR="00EA65E0" w:rsidRPr="00DF02C5">
        <w:rPr>
          <w:rFonts w:eastAsia="Calibri" w:hAnsi="Times New Roman"/>
          <w:noProof/>
          <w:snapToGrid w:val="0"/>
          <w:color w:val="auto"/>
          <w:kern w:val="22"/>
          <w:bdr w:val="none" w:sz="0" w:space="0" w:color="auto"/>
          <w:lang w:val="en-GB"/>
        </w:rPr>
        <w:t xml:space="preserve"> </w:t>
      </w:r>
      <w:r w:rsidR="001E644B" w:rsidRPr="00DF02C5">
        <w:rPr>
          <w:rFonts w:eastAsia="Calibri" w:hAnsi="Times New Roman"/>
          <w:noProof/>
          <w:snapToGrid w:val="0"/>
          <w:color w:val="auto"/>
          <w:kern w:val="22"/>
          <w:bdr w:val="none" w:sz="0" w:space="0" w:color="auto"/>
          <w:lang w:val="en-GB"/>
        </w:rPr>
        <w:t xml:space="preserve">it </w:t>
      </w:r>
      <w:r w:rsidR="00EA65E0" w:rsidRPr="00DF02C5">
        <w:rPr>
          <w:rFonts w:eastAsia="Calibri" w:hAnsi="Times New Roman"/>
          <w:noProof/>
          <w:snapToGrid w:val="0"/>
          <w:color w:val="auto"/>
          <w:kern w:val="22"/>
          <w:bdr w:val="none" w:sz="0" w:space="0" w:color="auto"/>
          <w:lang w:val="en-GB"/>
        </w:rPr>
        <w:t>has developed a web-based information cen</w:t>
      </w:r>
      <w:r w:rsidR="001E644B" w:rsidRPr="00DF02C5">
        <w:rPr>
          <w:rFonts w:eastAsia="Calibri" w:hAnsi="Times New Roman"/>
          <w:noProof/>
          <w:snapToGrid w:val="0"/>
          <w:color w:val="auto"/>
          <w:kern w:val="22"/>
          <w:bdr w:val="none" w:sz="0" w:space="0" w:color="auto"/>
          <w:lang w:val="en-GB"/>
        </w:rPr>
        <w:t>tre</w:t>
      </w:r>
      <w:r w:rsidR="00EA65E0" w:rsidRPr="00DF02C5">
        <w:rPr>
          <w:rFonts w:eastAsia="Calibri" w:hAnsi="Times New Roman"/>
          <w:noProof/>
          <w:snapToGrid w:val="0"/>
          <w:color w:val="auto"/>
          <w:kern w:val="22"/>
          <w:bdr w:val="none" w:sz="0" w:space="0" w:color="auto"/>
          <w:lang w:val="en-GB"/>
        </w:rPr>
        <w:t xml:space="preserve"> that may be used to provide access </w:t>
      </w:r>
      <w:r w:rsidR="00DC0316" w:rsidRPr="00DF02C5">
        <w:rPr>
          <w:rFonts w:eastAsia="Calibri" w:hAnsi="Times New Roman"/>
          <w:noProof/>
          <w:snapToGrid w:val="0"/>
          <w:color w:val="auto"/>
          <w:kern w:val="22"/>
          <w:bdr w:val="none" w:sz="0" w:space="0" w:color="auto"/>
          <w:lang w:val="en-GB"/>
        </w:rPr>
        <w:t xml:space="preserve">to </w:t>
      </w:r>
      <w:r w:rsidR="00EA65E0" w:rsidRPr="00DF02C5">
        <w:rPr>
          <w:rFonts w:eastAsia="Calibri" w:hAnsi="Times New Roman"/>
          <w:noProof/>
          <w:snapToGrid w:val="0"/>
          <w:color w:val="auto"/>
          <w:kern w:val="22"/>
          <w:bdr w:val="none" w:sz="0" w:space="0" w:color="auto"/>
          <w:lang w:val="en-GB"/>
        </w:rPr>
        <w:t>relevant information under the Nagoya Protocol.</w:t>
      </w:r>
    </w:p>
    <w:p w14:paraId="08B995AE" w14:textId="004FA6DE" w:rsidR="00EA65E0" w:rsidRPr="006D1B8A" w:rsidRDefault="00DC0316" w:rsidP="006D1B8A">
      <w:pPr>
        <w:pStyle w:val="Para1"/>
        <w:numPr>
          <w:ilvl w:val="0"/>
          <w:numId w:val="66"/>
        </w:numPr>
        <w:spacing w:line="228" w:lineRule="auto"/>
        <w:ind w:left="0" w:firstLine="0"/>
        <w:jc w:val="center"/>
        <w:rPr>
          <w:rFonts w:eastAsia="Calibri" w:hAnsi="Times New Roman"/>
          <w:i/>
          <w:snapToGrid w:val="0"/>
          <w:color w:val="auto"/>
          <w:kern w:val="22"/>
          <w:bdr w:val="none" w:sz="0" w:space="0" w:color="auto"/>
          <w:lang w:val="en-GB"/>
        </w:rPr>
      </w:pPr>
      <w:r w:rsidRPr="006D1B8A">
        <w:rPr>
          <w:rFonts w:eastAsia="Calibri" w:hAnsi="Times New Roman"/>
          <w:i/>
          <w:snapToGrid w:val="0"/>
          <w:color w:val="auto"/>
          <w:kern w:val="22"/>
          <w:bdr w:val="none" w:sz="0" w:space="0" w:color="auto"/>
          <w:lang w:val="en-GB"/>
        </w:rPr>
        <w:t>Additional information: summary of the main difficulties and challenges (</w:t>
      </w:r>
      <w:r w:rsidR="00EA65E0" w:rsidRPr="006D1B8A">
        <w:rPr>
          <w:rFonts w:eastAsia="Calibri" w:hAnsi="Times New Roman"/>
          <w:i/>
          <w:snapToGrid w:val="0"/>
          <w:color w:val="auto"/>
          <w:kern w:val="22"/>
          <w:bdr w:val="none" w:sz="0" w:space="0" w:color="auto"/>
          <w:lang w:val="en-GB"/>
        </w:rPr>
        <w:t>question 30)</w:t>
      </w:r>
    </w:p>
    <w:p w14:paraId="414F7CFF" w14:textId="36ECC8F4" w:rsidR="00EA65E0" w:rsidRPr="00DF02C5" w:rsidRDefault="00197D8A" w:rsidP="002D17E1">
      <w:pPr>
        <w:pStyle w:val="Para1"/>
        <w:numPr>
          <w:ilvl w:val="0"/>
          <w:numId w:val="1"/>
        </w:numPr>
        <w:rPr>
          <w:rFonts w:eastAsia="Calibri" w:hAnsi="Times New Roman"/>
          <w:noProof/>
          <w:snapToGrid w:val="0"/>
          <w:kern w:val="22"/>
          <w:bdr w:val="none" w:sz="0" w:space="0" w:color="auto"/>
          <w:lang w:val="en-GB"/>
        </w:rPr>
      </w:pPr>
      <w:r w:rsidRPr="00DF02C5">
        <w:rPr>
          <w:rFonts w:eastAsia="Calibri" w:hAnsi="Times New Roman"/>
          <w:noProof/>
          <w:snapToGrid w:val="0"/>
          <w:kern w:val="22"/>
          <w:bdr w:val="none" w:sz="0" w:space="0" w:color="auto"/>
          <w:lang w:val="en-GB"/>
        </w:rPr>
        <w:t>Twenty-seven countries answered this question</w:t>
      </w:r>
      <w:r w:rsidR="00B47D49" w:rsidRPr="00DF02C5">
        <w:rPr>
          <w:rFonts w:eastAsia="Calibri" w:hAnsi="Times New Roman"/>
          <w:noProof/>
          <w:snapToGrid w:val="0"/>
          <w:kern w:val="22"/>
          <w:bdr w:val="none" w:sz="0" w:space="0" w:color="auto"/>
          <w:lang w:val="en-GB"/>
        </w:rPr>
        <w:t>. M</w:t>
      </w:r>
      <w:r w:rsidR="001E644B" w:rsidRPr="00DF02C5">
        <w:rPr>
          <w:rFonts w:eastAsia="Calibri" w:hAnsi="Times New Roman"/>
          <w:noProof/>
          <w:snapToGrid w:val="0"/>
          <w:kern w:val="22"/>
          <w:bdr w:val="none" w:sz="0" w:space="0" w:color="auto"/>
          <w:lang w:val="en-GB"/>
        </w:rPr>
        <w:t>any c</w:t>
      </w:r>
      <w:r w:rsidR="00EA65E0" w:rsidRPr="00DF02C5">
        <w:rPr>
          <w:rFonts w:eastAsia="Calibri" w:hAnsi="Times New Roman"/>
          <w:noProof/>
          <w:snapToGrid w:val="0"/>
          <w:kern w:val="22"/>
          <w:bdr w:val="none" w:sz="0" w:space="0" w:color="auto"/>
          <w:lang w:val="en-GB"/>
        </w:rPr>
        <w:t>ountries</w:t>
      </w:r>
      <w:r w:rsidR="001E644B" w:rsidRPr="00DF02C5">
        <w:rPr>
          <w:rFonts w:eastAsia="Calibri" w:hAnsi="Times New Roman"/>
          <w:noProof/>
          <w:snapToGrid w:val="0"/>
          <w:kern w:val="22"/>
          <w:bdr w:val="none" w:sz="0" w:space="0" w:color="auto"/>
          <w:lang w:val="en-GB"/>
        </w:rPr>
        <w:t>,</w:t>
      </w:r>
      <w:r w:rsidR="00EA65E0" w:rsidRPr="00DF02C5">
        <w:rPr>
          <w:rFonts w:eastAsia="Calibri" w:hAnsi="Times New Roman"/>
          <w:noProof/>
          <w:snapToGrid w:val="0"/>
          <w:kern w:val="22"/>
          <w:bdr w:val="none" w:sz="0" w:space="0" w:color="auto"/>
          <w:lang w:val="en-GB"/>
        </w:rPr>
        <w:t xml:space="preserve"> when providing information on the main difficulties and challenges encountered, refer to </w:t>
      </w:r>
      <w:r w:rsidR="00B47D49" w:rsidRPr="00DF02C5">
        <w:rPr>
          <w:rFonts w:eastAsia="Calibri" w:hAnsi="Times New Roman"/>
          <w:noProof/>
          <w:snapToGrid w:val="0"/>
          <w:kern w:val="22"/>
          <w:bdr w:val="none" w:sz="0" w:space="0" w:color="auto"/>
          <w:lang w:val="en-GB"/>
        </w:rPr>
        <w:t xml:space="preserve">similar </w:t>
      </w:r>
      <w:r w:rsidR="00EA65E0" w:rsidRPr="00DF02C5">
        <w:rPr>
          <w:rFonts w:eastAsia="Calibri" w:hAnsi="Times New Roman"/>
          <w:noProof/>
          <w:snapToGrid w:val="0"/>
          <w:kern w:val="22"/>
          <w:bdr w:val="none" w:sz="0" w:space="0" w:color="auto"/>
          <w:lang w:val="en-GB"/>
        </w:rPr>
        <w:t xml:space="preserve">difficulties </w:t>
      </w:r>
      <w:r w:rsidR="00B47D49" w:rsidRPr="00DF02C5">
        <w:rPr>
          <w:rFonts w:eastAsia="Calibri" w:hAnsi="Times New Roman"/>
          <w:noProof/>
          <w:snapToGrid w:val="0"/>
          <w:kern w:val="22"/>
          <w:bdr w:val="none" w:sz="0" w:space="0" w:color="auto"/>
          <w:lang w:val="en-GB"/>
        </w:rPr>
        <w:t xml:space="preserve">to those mentioned before, </w:t>
      </w:r>
      <w:r w:rsidR="00EA65E0" w:rsidRPr="00DF02C5">
        <w:rPr>
          <w:rFonts w:eastAsia="Calibri" w:hAnsi="Times New Roman"/>
          <w:noProof/>
          <w:snapToGrid w:val="0"/>
          <w:kern w:val="22"/>
          <w:bdr w:val="none" w:sz="0" w:space="0" w:color="auto"/>
          <w:lang w:val="en-GB"/>
        </w:rPr>
        <w:t>such as lack of financial</w:t>
      </w:r>
      <w:r w:rsidR="001E644B" w:rsidRPr="00DF02C5">
        <w:rPr>
          <w:rFonts w:eastAsia="Calibri" w:hAnsi="Times New Roman"/>
          <w:noProof/>
          <w:snapToGrid w:val="0"/>
          <w:kern w:val="22"/>
          <w:bdr w:val="none" w:sz="0" w:space="0" w:color="auto"/>
          <w:lang w:val="en-GB"/>
        </w:rPr>
        <w:t xml:space="preserve"> </w:t>
      </w:r>
      <w:r w:rsidR="00EA65E0" w:rsidRPr="00DF02C5">
        <w:rPr>
          <w:rFonts w:eastAsia="Calibri" w:hAnsi="Times New Roman"/>
          <w:noProof/>
          <w:snapToGrid w:val="0"/>
          <w:kern w:val="22"/>
          <w:bdr w:val="none" w:sz="0" w:space="0" w:color="auto"/>
          <w:lang w:val="en-GB"/>
        </w:rPr>
        <w:t>and human resources. Overall, the main difficulties</w:t>
      </w:r>
      <w:r w:rsidR="00B47D49" w:rsidRPr="00DF02C5">
        <w:rPr>
          <w:rFonts w:eastAsia="Calibri" w:hAnsi="Times New Roman"/>
          <w:noProof/>
          <w:snapToGrid w:val="0"/>
          <w:kern w:val="22"/>
          <w:bdr w:val="none" w:sz="0" w:space="0" w:color="auto"/>
          <w:lang w:val="en-GB"/>
        </w:rPr>
        <w:t xml:space="preserve"> </w:t>
      </w:r>
      <w:r w:rsidR="00EA65E0" w:rsidRPr="00DF02C5">
        <w:rPr>
          <w:rFonts w:eastAsia="Calibri" w:hAnsi="Times New Roman"/>
          <w:noProof/>
          <w:snapToGrid w:val="0"/>
          <w:kern w:val="22"/>
          <w:bdr w:val="none" w:sz="0" w:space="0" w:color="auto"/>
          <w:lang w:val="en-GB"/>
        </w:rPr>
        <w:t xml:space="preserve">are the absence of ABS measures in place or the need to develop or review measures to be in line with the Nagoya Protocol and the need to improve coordination between different institutions and actors involved. </w:t>
      </w:r>
    </w:p>
    <w:p w14:paraId="217B2864" w14:textId="24DCF123" w:rsidR="00EA65E0" w:rsidRPr="00DF02C5" w:rsidRDefault="00EA65E0" w:rsidP="002D17E1">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noProof/>
          <w:snapToGrid w:val="0"/>
          <w:kern w:val="22"/>
          <w:bdr w:val="none" w:sz="0" w:space="0" w:color="auto"/>
          <w:lang w:val="en-GB"/>
        </w:rPr>
        <w:lastRenderedPageBreak/>
        <w:t>The need to develop tools for monitoring and tracking genetic resources was also identified by several countries, and two</w:t>
      </w:r>
      <w:r w:rsidR="00B47D49" w:rsidRPr="00DF02C5">
        <w:rPr>
          <w:rFonts w:eastAsia="Calibri" w:hAnsi="Times New Roman"/>
          <w:noProof/>
          <w:snapToGrid w:val="0"/>
          <w:kern w:val="22"/>
          <w:bdr w:val="none" w:sz="0" w:space="0" w:color="auto"/>
          <w:lang w:val="en-GB"/>
        </w:rPr>
        <w:t xml:space="preserve"> </w:t>
      </w:r>
      <w:r w:rsidR="00B54C38">
        <w:rPr>
          <w:rFonts w:eastAsia="Calibri" w:hAnsi="Times New Roman"/>
          <w:noProof/>
          <w:snapToGrid w:val="0"/>
          <w:kern w:val="22"/>
          <w:bdr w:val="none" w:sz="0" w:space="0" w:color="auto"/>
          <w:lang w:val="en-GB"/>
        </w:rPr>
        <w:t>of them emphasiz</w:t>
      </w:r>
      <w:r w:rsidRPr="00DF02C5">
        <w:rPr>
          <w:rFonts w:eastAsia="Calibri" w:hAnsi="Times New Roman"/>
          <w:noProof/>
          <w:snapToGrid w:val="0"/>
          <w:kern w:val="22"/>
          <w:bdr w:val="none" w:sz="0" w:space="0" w:color="auto"/>
          <w:lang w:val="en-GB"/>
        </w:rPr>
        <w:t xml:space="preserve">ed that the international dimension of these tools </w:t>
      </w:r>
      <w:r w:rsidR="0096573F" w:rsidRPr="00DF02C5">
        <w:rPr>
          <w:rFonts w:eastAsia="Calibri" w:hAnsi="Times New Roman"/>
          <w:noProof/>
          <w:snapToGrid w:val="0"/>
          <w:kern w:val="22"/>
          <w:bdr w:val="none" w:sz="0" w:space="0" w:color="auto"/>
          <w:lang w:val="en-GB"/>
        </w:rPr>
        <w:t xml:space="preserve">was </w:t>
      </w:r>
      <w:r w:rsidRPr="00DF02C5">
        <w:rPr>
          <w:rFonts w:eastAsia="Calibri" w:hAnsi="Times New Roman"/>
          <w:noProof/>
          <w:snapToGrid w:val="0"/>
          <w:kern w:val="22"/>
          <w:bdr w:val="none" w:sz="0" w:space="0" w:color="auto"/>
          <w:lang w:val="en-GB"/>
        </w:rPr>
        <w:t xml:space="preserve">a challenge. The fact of having extensive borders or the lack of </w:t>
      </w:r>
      <w:r w:rsidRPr="00DF02C5">
        <w:rPr>
          <w:rFonts w:eastAsia="Calibri" w:hAnsi="Times New Roman"/>
          <w:snapToGrid w:val="0"/>
          <w:color w:val="auto"/>
          <w:kern w:val="22"/>
          <w:bdr w:val="none" w:sz="0" w:space="0" w:color="auto"/>
          <w:lang w:val="en-GB"/>
        </w:rPr>
        <w:t xml:space="preserve">inventory of exit </w:t>
      </w:r>
      <w:r w:rsidR="00B47D49" w:rsidRPr="00DF02C5">
        <w:rPr>
          <w:rFonts w:eastAsia="Calibri" w:hAnsi="Times New Roman"/>
          <w:snapToGrid w:val="0"/>
          <w:color w:val="auto"/>
          <w:kern w:val="22"/>
          <w:bdr w:val="none" w:sz="0" w:space="0" w:color="auto"/>
          <w:lang w:val="en-GB"/>
        </w:rPr>
        <w:t xml:space="preserve">and </w:t>
      </w:r>
      <w:r w:rsidRPr="00DF02C5">
        <w:rPr>
          <w:rFonts w:eastAsia="Calibri" w:hAnsi="Times New Roman"/>
          <w:snapToGrid w:val="0"/>
          <w:color w:val="auto"/>
          <w:kern w:val="22"/>
          <w:bdr w:val="none" w:sz="0" w:space="0" w:color="auto"/>
          <w:lang w:val="en-GB"/>
        </w:rPr>
        <w:t>entry points for genetic resources</w:t>
      </w:r>
      <w:r w:rsidR="00B47D49" w:rsidRPr="00DF02C5">
        <w:rPr>
          <w:rFonts w:eastAsia="Calibri" w:hAnsi="Times New Roman"/>
          <w:snapToGrid w:val="0"/>
          <w:color w:val="auto"/>
          <w:kern w:val="22"/>
          <w:bdr w:val="none" w:sz="0" w:space="0" w:color="auto"/>
          <w:vertAlign w:val="superscript"/>
          <w:lang w:val="en-GB"/>
        </w:rPr>
        <w:t xml:space="preserve"> </w:t>
      </w:r>
      <w:r w:rsidRPr="00DF02C5">
        <w:rPr>
          <w:rFonts w:eastAsia="Calibri" w:hAnsi="Times New Roman"/>
          <w:snapToGrid w:val="0"/>
          <w:color w:val="auto"/>
          <w:kern w:val="22"/>
          <w:bdr w:val="none" w:sz="0" w:space="0" w:color="auto"/>
          <w:lang w:val="en-GB"/>
        </w:rPr>
        <w:t xml:space="preserve">were </w:t>
      </w:r>
      <w:r w:rsidR="0096573F" w:rsidRPr="00DF02C5">
        <w:rPr>
          <w:rFonts w:eastAsia="Calibri" w:hAnsi="Times New Roman"/>
          <w:snapToGrid w:val="0"/>
          <w:color w:val="auto"/>
          <w:kern w:val="22"/>
          <w:bdr w:val="none" w:sz="0" w:space="0" w:color="auto"/>
          <w:lang w:val="en-GB"/>
        </w:rPr>
        <w:t xml:space="preserve">identified as </w:t>
      </w:r>
      <w:r w:rsidRPr="00DF02C5">
        <w:rPr>
          <w:rFonts w:eastAsia="Calibri" w:hAnsi="Times New Roman"/>
          <w:snapToGrid w:val="0"/>
          <w:color w:val="auto"/>
          <w:kern w:val="22"/>
          <w:bdr w:val="none" w:sz="0" w:space="0" w:color="auto"/>
          <w:lang w:val="en-GB"/>
        </w:rPr>
        <w:t>challenges by</w:t>
      </w:r>
      <w:r w:rsidR="00B47D49" w:rsidRPr="00DF02C5">
        <w:rPr>
          <w:rFonts w:eastAsia="Calibri" w:hAnsi="Times New Roman"/>
          <w:snapToGrid w:val="0"/>
          <w:color w:val="auto"/>
          <w:kern w:val="22"/>
          <w:bdr w:val="none" w:sz="0" w:space="0" w:color="auto"/>
          <w:lang w:val="en-GB"/>
        </w:rPr>
        <w:t xml:space="preserve"> a</w:t>
      </w:r>
      <w:r w:rsidRPr="00DF02C5">
        <w:rPr>
          <w:rFonts w:eastAsia="Calibri" w:hAnsi="Times New Roman"/>
          <w:snapToGrid w:val="0"/>
          <w:color w:val="auto"/>
          <w:kern w:val="22"/>
          <w:bdr w:val="none" w:sz="0" w:space="0" w:color="auto"/>
          <w:lang w:val="en-GB"/>
        </w:rPr>
        <w:t xml:space="preserve"> few countries. </w:t>
      </w:r>
    </w:p>
    <w:p w14:paraId="0CC9516F" w14:textId="09C2D67A" w:rsidR="00EA65E0" w:rsidRPr="00DF02C5" w:rsidRDefault="00EA65E0" w:rsidP="002D17E1">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Some countries indicated the need to better understand checkpoints</w:t>
      </w:r>
      <w:r w:rsidR="00B47D49" w:rsidRPr="00DF02C5">
        <w:rPr>
          <w:rFonts w:eastAsia="Calibri" w:hAnsi="Times New Roman"/>
          <w:snapToGrid w:val="0"/>
          <w:color w:val="auto"/>
          <w:kern w:val="22"/>
          <w:bdr w:val="none" w:sz="0" w:space="0" w:color="auto"/>
          <w:lang w:val="en-GB"/>
        </w:rPr>
        <w:t xml:space="preserve"> and having </w:t>
      </w:r>
      <w:r w:rsidR="001E644B" w:rsidRPr="00DF02C5">
        <w:rPr>
          <w:rFonts w:eastAsia="Calibri" w:hAnsi="Times New Roman"/>
          <w:snapToGrid w:val="0"/>
          <w:color w:val="auto"/>
          <w:kern w:val="22"/>
          <w:bdr w:val="none" w:sz="0" w:space="0" w:color="auto"/>
          <w:lang w:val="en-GB"/>
        </w:rPr>
        <w:t xml:space="preserve">studies to </w:t>
      </w:r>
      <w:r w:rsidR="00B47D49" w:rsidRPr="00DF02C5">
        <w:rPr>
          <w:rFonts w:eastAsia="Calibri" w:hAnsi="Times New Roman"/>
          <w:snapToGrid w:val="0"/>
          <w:color w:val="auto"/>
          <w:kern w:val="22"/>
          <w:bdr w:val="none" w:sz="0" w:space="0" w:color="auto"/>
          <w:lang w:val="en-GB"/>
        </w:rPr>
        <w:t>assist in their designation, as well as the importance</w:t>
      </w:r>
      <w:r w:rsidRPr="00DF02C5">
        <w:rPr>
          <w:rFonts w:eastAsia="Calibri" w:hAnsi="Times New Roman"/>
          <w:snapToGrid w:val="0"/>
          <w:color w:val="auto"/>
          <w:kern w:val="22"/>
          <w:bdr w:val="none" w:sz="0" w:space="0" w:color="auto"/>
          <w:lang w:val="en-GB"/>
        </w:rPr>
        <w:t xml:space="preserve"> to build the capacity of</w:t>
      </w:r>
      <w:r w:rsidR="008E365C" w:rsidRPr="00DF02C5">
        <w:rPr>
          <w:rFonts w:eastAsia="Calibri" w:hAnsi="Times New Roman"/>
          <w:snapToGrid w:val="0"/>
          <w:color w:val="auto"/>
          <w:kern w:val="22"/>
          <w:bdr w:val="none" w:sz="0" w:space="0" w:color="auto"/>
          <w:lang w:val="en-GB"/>
        </w:rPr>
        <w:t xml:space="preserve"> checkpoints</w:t>
      </w:r>
      <w:r w:rsidRPr="00DF02C5">
        <w:rPr>
          <w:rFonts w:eastAsia="Calibri" w:hAnsi="Times New Roman"/>
          <w:snapToGrid w:val="0"/>
          <w:color w:val="auto"/>
          <w:kern w:val="22"/>
          <w:bdr w:val="none" w:sz="0" w:space="0" w:color="auto"/>
          <w:lang w:val="en-GB"/>
        </w:rPr>
        <w:t xml:space="preserve">. </w:t>
      </w:r>
    </w:p>
    <w:p w14:paraId="258B94B9" w14:textId="341951FD" w:rsidR="00EB1534" w:rsidRPr="00DF02C5" w:rsidRDefault="00EA65E0" w:rsidP="002D17E1">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It was also mentioned that </w:t>
      </w:r>
      <w:r w:rsidR="001E644B" w:rsidRPr="00DF02C5">
        <w:rPr>
          <w:rFonts w:eastAsia="Calibri" w:hAnsi="Times New Roman"/>
          <w:snapToGrid w:val="0"/>
          <w:color w:val="auto"/>
          <w:kern w:val="22"/>
          <w:bdr w:val="none" w:sz="0" w:space="0" w:color="auto"/>
          <w:lang w:val="en-GB"/>
        </w:rPr>
        <w:t>operationalizing</w:t>
      </w:r>
      <w:r w:rsidRPr="00DF02C5">
        <w:rPr>
          <w:rFonts w:eastAsia="Calibri" w:hAnsi="Times New Roman"/>
          <w:snapToGrid w:val="0"/>
          <w:color w:val="auto"/>
          <w:kern w:val="22"/>
          <w:bdr w:val="none" w:sz="0" w:space="0" w:color="auto"/>
          <w:lang w:val="en-GB"/>
        </w:rPr>
        <w:t xml:space="preserve"> the definitions enshrined in the Protocol, esp</w:t>
      </w:r>
      <w:r w:rsidR="006D1B8A">
        <w:rPr>
          <w:rFonts w:eastAsia="Calibri" w:hAnsi="Times New Roman"/>
          <w:snapToGrid w:val="0"/>
          <w:color w:val="auto"/>
          <w:kern w:val="22"/>
          <w:bdr w:val="none" w:sz="0" w:space="0" w:color="auto"/>
          <w:lang w:val="en-GB"/>
        </w:rPr>
        <w:t>ecially the definition of utiliz</w:t>
      </w:r>
      <w:r w:rsidRPr="00DF02C5">
        <w:rPr>
          <w:rFonts w:eastAsia="Calibri" w:hAnsi="Times New Roman"/>
          <w:snapToGrid w:val="0"/>
          <w:color w:val="auto"/>
          <w:kern w:val="22"/>
          <w:bdr w:val="none" w:sz="0" w:space="0" w:color="auto"/>
          <w:lang w:val="en-GB"/>
        </w:rPr>
        <w:t>ation, remains a challeng</w:t>
      </w:r>
      <w:r w:rsidR="007A03E5" w:rsidRPr="00DF02C5">
        <w:rPr>
          <w:rFonts w:eastAsia="Calibri" w:hAnsi="Times New Roman"/>
          <w:snapToGrid w:val="0"/>
          <w:color w:val="auto"/>
          <w:kern w:val="22"/>
          <w:bdr w:val="none" w:sz="0" w:space="0" w:color="auto"/>
          <w:lang w:val="en-GB"/>
        </w:rPr>
        <w:t>e</w:t>
      </w:r>
      <w:r w:rsidRPr="00DF02C5">
        <w:rPr>
          <w:rFonts w:eastAsia="Calibri" w:hAnsi="Times New Roman"/>
          <w:snapToGrid w:val="0"/>
          <w:color w:val="auto"/>
          <w:kern w:val="22"/>
          <w:bdr w:val="none" w:sz="0" w:space="0" w:color="auto"/>
          <w:lang w:val="en-GB"/>
        </w:rPr>
        <w:t xml:space="preserve"> </w:t>
      </w:r>
      <w:r w:rsidR="007A03E5" w:rsidRPr="00DF02C5">
        <w:rPr>
          <w:rFonts w:eastAsia="Calibri" w:hAnsi="Times New Roman"/>
          <w:snapToGrid w:val="0"/>
          <w:color w:val="auto"/>
          <w:kern w:val="22"/>
          <w:bdr w:val="none" w:sz="0" w:space="0" w:color="auto"/>
          <w:lang w:val="en-GB"/>
        </w:rPr>
        <w:t xml:space="preserve">in </w:t>
      </w:r>
      <w:r w:rsidRPr="00DF02C5">
        <w:rPr>
          <w:rFonts w:eastAsia="Calibri" w:hAnsi="Times New Roman"/>
          <w:snapToGrid w:val="0"/>
          <w:color w:val="auto"/>
          <w:kern w:val="22"/>
          <w:bdr w:val="none" w:sz="0" w:space="0" w:color="auto"/>
          <w:lang w:val="en-GB"/>
        </w:rPr>
        <w:t>Protocol implementation.</w:t>
      </w:r>
      <w:r w:rsidRPr="00DF02C5">
        <w:rPr>
          <w:snapToGrid w:val="0"/>
          <w:bdr w:val="none" w:sz="0" w:space="0" w:color="auto"/>
          <w:vertAlign w:val="superscript"/>
          <w:lang w:val="en-GB"/>
        </w:rPr>
        <w:footnoteReference w:id="224"/>
      </w:r>
    </w:p>
    <w:p w14:paraId="74813742" w14:textId="2C0571A4" w:rsidR="00A60AB6" w:rsidRPr="00DF02C5" w:rsidRDefault="00A60AB6" w:rsidP="006D1B8A">
      <w:pPr>
        <w:pStyle w:val="Heading2"/>
        <w:numPr>
          <w:ilvl w:val="0"/>
          <w:numId w:val="10"/>
        </w:numPr>
        <w:tabs>
          <w:tab w:val="clear" w:pos="720"/>
        </w:tabs>
        <w:spacing w:before="240"/>
        <w:ind w:left="0" w:firstLine="0"/>
        <w:rPr>
          <w:rFonts w:eastAsia="Calibri"/>
          <w:snapToGrid w:val="0"/>
          <w:bdr w:val="none" w:sz="0" w:space="0" w:color="auto"/>
          <w:lang w:val="en-GB"/>
        </w:rPr>
      </w:pPr>
      <w:bookmarkStart w:id="11" w:name="_Toc511112607"/>
      <w:r w:rsidRPr="00DF02C5">
        <w:rPr>
          <w:rFonts w:eastAsia="Calibri"/>
          <w:snapToGrid w:val="0"/>
          <w:bdr w:val="none" w:sz="0" w:space="0" w:color="auto"/>
          <w:lang w:val="en-GB"/>
        </w:rPr>
        <w:t>ABS measures: Compliance with mutually agreed terms (Article 18)</w:t>
      </w:r>
      <w:r w:rsidR="00774F8E" w:rsidRPr="00DF02C5">
        <w:rPr>
          <w:rFonts w:eastAsia="Calibri"/>
          <w:snapToGrid w:val="0"/>
          <w:bdr w:val="none" w:sz="0" w:space="0" w:color="auto"/>
          <w:lang w:val="en-GB"/>
        </w:rPr>
        <w:t xml:space="preserve"> </w:t>
      </w:r>
      <w:r w:rsidR="00774F8E" w:rsidRPr="00DF02C5">
        <w:rPr>
          <w:rFonts w:eastAsia="Calibri"/>
          <w:snapToGrid w:val="0"/>
          <w:kern w:val="22"/>
          <w:lang w:val="en-GB"/>
        </w:rPr>
        <w:t>(questions 31 to 34)</w:t>
      </w:r>
      <w:bookmarkEnd w:id="11"/>
    </w:p>
    <w:p w14:paraId="1C31E015" w14:textId="235524D8" w:rsidR="00A60AB6" w:rsidRPr="006D1B8A" w:rsidRDefault="00A505AA" w:rsidP="006D1B8A">
      <w:pPr>
        <w:pStyle w:val="Para1"/>
        <w:numPr>
          <w:ilvl w:val="0"/>
          <w:numId w:val="88"/>
        </w:numPr>
        <w:spacing w:before="240"/>
        <w:jc w:val="left"/>
        <w:rPr>
          <w:rFonts w:eastAsia="Calibri" w:hAnsi="Times New Roman"/>
          <w:i/>
          <w:snapToGrid w:val="0"/>
          <w:color w:val="auto"/>
          <w:kern w:val="22"/>
          <w:bdr w:val="none" w:sz="0" w:space="0" w:color="auto"/>
          <w:lang w:val="en-GB"/>
        </w:rPr>
      </w:pPr>
      <w:r w:rsidRPr="006D1B8A">
        <w:rPr>
          <w:rFonts w:eastAsia="Calibri" w:hAnsi="Times New Roman"/>
          <w:i/>
          <w:snapToGrid w:val="0"/>
          <w:color w:val="auto"/>
          <w:kern w:val="22"/>
          <w:bdr w:val="none" w:sz="0" w:space="0" w:color="auto"/>
          <w:lang w:val="en-GB"/>
        </w:rPr>
        <w:t>Is your country encouraging the inclusion of provisions in MAT to cover dispute resolution as provided in Article 18.1 (a) (b) and (c)?</w:t>
      </w:r>
      <w:r w:rsidR="00A60AB6" w:rsidRPr="006D1B8A">
        <w:rPr>
          <w:rFonts w:eastAsia="Calibri" w:hAnsi="Times New Roman"/>
          <w:i/>
          <w:snapToGrid w:val="0"/>
          <w:color w:val="auto"/>
          <w:kern w:val="22"/>
          <w:bdr w:val="none" w:sz="0" w:space="0" w:color="auto"/>
          <w:lang w:val="en-GB"/>
        </w:rPr>
        <w:t xml:space="preserve"> (question 31)</w:t>
      </w:r>
    </w:p>
    <w:p w14:paraId="6FE38808" w14:textId="183D766D" w:rsidR="00196E9B" w:rsidRPr="00DF02C5" w:rsidRDefault="00196E9B" w:rsidP="002D17E1">
      <w:pPr>
        <w:pStyle w:val="Para1"/>
        <w:numPr>
          <w:ilvl w:val="0"/>
          <w:numId w:val="1"/>
        </w:numPr>
        <w:rPr>
          <w:rFonts w:eastAsia="Calibri" w:hAnsi="Times New Roman"/>
          <w:snapToGrid w:val="0"/>
          <w:color w:val="auto"/>
          <w:kern w:val="22"/>
          <w:bdr w:val="none" w:sz="0" w:space="0" w:color="auto"/>
          <w:lang w:val="en-GB"/>
        </w:rPr>
      </w:pPr>
      <w:proofErr w:type="gramStart"/>
      <w:r w:rsidRPr="00DF02C5">
        <w:rPr>
          <w:rFonts w:eastAsia="Calibri" w:hAnsi="Times New Roman"/>
          <w:snapToGrid w:val="0"/>
          <w:color w:val="auto"/>
          <w:kern w:val="22"/>
          <w:bdr w:val="none" w:sz="0" w:space="0" w:color="auto"/>
          <w:lang w:val="en-GB"/>
        </w:rPr>
        <w:t>Thirty-six</w:t>
      </w:r>
      <w:proofErr w:type="gramEnd"/>
      <w:r w:rsidRPr="00DF02C5">
        <w:rPr>
          <w:rFonts w:eastAsia="Calibri" w:hAnsi="Times New Roman"/>
          <w:snapToGrid w:val="0"/>
          <w:color w:val="auto"/>
          <w:kern w:val="22"/>
          <w:bdr w:val="none" w:sz="0" w:space="0" w:color="auto"/>
          <w:lang w:val="en-GB"/>
        </w:rPr>
        <w:t xml:space="preserve"> Parties and one non-Party responded that they are encouraging the inclusion of provisions in MAT to cover dispute resolution</w:t>
      </w:r>
      <w:r w:rsidR="00A505AA" w:rsidRPr="00DF02C5">
        <w:rPr>
          <w:rFonts w:eastAsia="Calibri" w:hAnsi="Times New Roman"/>
          <w:snapToGrid w:val="0"/>
          <w:color w:val="auto"/>
          <w:kern w:val="22"/>
          <w:bdr w:val="none" w:sz="0" w:space="0" w:color="auto"/>
          <w:lang w:val="en-GB"/>
        </w:rPr>
        <w:t>, while twelve Parties reported not encouraging the inclusion of such provisions, and twenty-one Parties and five non-Parties responded “not applicable”.</w:t>
      </w:r>
    </w:p>
    <w:p w14:paraId="07C839F8" w14:textId="415FB3BA" w:rsidR="00587EC4" w:rsidRPr="00DF02C5" w:rsidRDefault="00E5256F" w:rsidP="00E5256F">
      <w:pPr>
        <w:pStyle w:val="Caption"/>
        <w:keepNext/>
        <w:keepLines/>
        <w:rPr>
          <w:snapToGrid w:val="0"/>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Pr="00DF02C5">
        <w:rPr>
          <w:noProof/>
          <w:lang w:val="en-GB"/>
        </w:rPr>
        <w:t>27</w:t>
      </w:r>
      <w:r w:rsidRPr="00DF02C5">
        <w:rPr>
          <w:lang w:val="en-GB"/>
        </w:rPr>
        <w:fldChar w:fldCharType="end"/>
      </w:r>
      <w:r w:rsidR="00545B3C" w:rsidRPr="00DF02C5">
        <w:rPr>
          <w:snapToGrid w:val="0"/>
          <w:bdr w:val="none" w:sz="0" w:space="0" w:color="auto"/>
          <w:lang w:val="en-GB"/>
        </w:rPr>
        <w:t>: Inclusion of provisions in MAT to cover dispute resolution (percentage of countries)</w:t>
      </w:r>
    </w:p>
    <w:p w14:paraId="5B5EFB7F" w14:textId="27649AF7" w:rsidR="00545B3C" w:rsidRPr="00DF02C5" w:rsidRDefault="00587EC4" w:rsidP="00545B3C">
      <w:pPr>
        <w:pStyle w:val="Para1"/>
        <w:jc w:val="center"/>
        <w:rPr>
          <w:rFonts w:eastAsia="Calibri" w:hAnsi="Times New Roman"/>
          <w:snapToGrid w:val="0"/>
          <w:color w:val="auto"/>
          <w:kern w:val="22"/>
          <w:bdr w:val="none" w:sz="0" w:space="0" w:color="auto"/>
          <w:lang w:val="en-GB"/>
        </w:rPr>
      </w:pPr>
      <w:r w:rsidRPr="00DF02C5">
        <w:rPr>
          <w:noProof/>
          <w:color w:val="auto"/>
        </w:rPr>
        <w:drawing>
          <wp:inline distT="0" distB="0" distL="0" distR="0" wp14:anchorId="5999AE3A" wp14:editId="0421F30D">
            <wp:extent cx="3695700" cy="2143125"/>
            <wp:effectExtent l="0" t="0" r="19050" b="952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146A09D" w14:textId="77777777" w:rsidR="00062EFD" w:rsidRPr="00DF02C5" w:rsidRDefault="00062EFD" w:rsidP="00062EFD">
      <w:pPr>
        <w:pStyle w:val="Para1"/>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t>(a)</w:t>
      </w:r>
      <w:r w:rsidRPr="00DF02C5">
        <w:rPr>
          <w:rFonts w:eastAsia="Calibri" w:hAnsi="Times New Roman"/>
          <w:i/>
          <w:snapToGrid w:val="0"/>
          <w:color w:val="auto"/>
          <w:kern w:val="22"/>
          <w:bdr w:val="none" w:sz="0" w:space="0" w:color="auto"/>
          <w:lang w:val="en-GB"/>
        </w:rPr>
        <w:tab/>
        <w:t>Countries that answered “yes”</w:t>
      </w:r>
    </w:p>
    <w:p w14:paraId="0A46B3D3" w14:textId="1C2B7880" w:rsidR="00A60AB6" w:rsidRPr="00DF02C5" w:rsidRDefault="00FA377B" w:rsidP="002D17E1">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Many </w:t>
      </w:r>
      <w:r w:rsidR="00A60AB6" w:rsidRPr="00DF02C5">
        <w:rPr>
          <w:rFonts w:eastAsia="Calibri" w:hAnsi="Times New Roman"/>
          <w:snapToGrid w:val="0"/>
          <w:color w:val="auto"/>
          <w:kern w:val="22"/>
          <w:bdr w:val="none" w:sz="0" w:space="0" w:color="auto"/>
          <w:lang w:val="en-GB"/>
        </w:rPr>
        <w:t>countries reported addressing this issue through their current ABS measures</w:t>
      </w:r>
      <w:r w:rsidR="00A60AB6" w:rsidRPr="00DF02C5">
        <w:rPr>
          <w:rFonts w:eastAsia="Calibri" w:hAnsi="Times New Roman"/>
          <w:snapToGrid w:val="0"/>
          <w:color w:val="auto"/>
          <w:kern w:val="22"/>
          <w:bdr w:val="none" w:sz="0" w:space="0" w:color="auto"/>
          <w:vertAlign w:val="superscript"/>
          <w:lang w:val="en-GB"/>
        </w:rPr>
        <w:footnoteReference w:id="225"/>
      </w:r>
      <w:r w:rsidR="00A60AB6" w:rsidRPr="00DF02C5">
        <w:rPr>
          <w:rFonts w:eastAsia="Calibri" w:hAnsi="Times New Roman"/>
          <w:snapToGrid w:val="0"/>
          <w:color w:val="auto"/>
          <w:kern w:val="22"/>
          <w:bdr w:val="none" w:sz="0" w:space="0" w:color="auto"/>
          <w:lang w:val="en-GB"/>
        </w:rPr>
        <w:t xml:space="preserve"> or the draft under development or approval</w:t>
      </w:r>
      <w:r w:rsidR="006D1B8A">
        <w:rPr>
          <w:rFonts w:eastAsia="Calibri" w:hAnsi="Times New Roman"/>
          <w:snapToGrid w:val="0"/>
          <w:color w:val="auto"/>
          <w:kern w:val="22"/>
          <w:bdr w:val="none" w:sz="0" w:space="0" w:color="auto"/>
          <w:lang w:val="en-GB"/>
        </w:rPr>
        <w:t>.</w:t>
      </w:r>
      <w:r w:rsidR="00A60AB6" w:rsidRPr="00DF02C5">
        <w:rPr>
          <w:rFonts w:eastAsia="Calibri" w:hAnsi="Times New Roman"/>
          <w:snapToGrid w:val="0"/>
          <w:color w:val="auto"/>
          <w:kern w:val="22"/>
          <w:bdr w:val="none" w:sz="0" w:space="0" w:color="auto"/>
          <w:vertAlign w:val="superscript"/>
          <w:lang w:val="en-GB"/>
        </w:rPr>
        <w:footnoteReference w:id="226"/>
      </w:r>
      <w:r w:rsidR="007A03E5" w:rsidRPr="00DF02C5">
        <w:rPr>
          <w:rFonts w:eastAsia="Calibri" w:hAnsi="Times New Roman"/>
          <w:snapToGrid w:val="0"/>
          <w:color w:val="auto"/>
          <w:kern w:val="22"/>
          <w:bdr w:val="none" w:sz="0" w:space="0" w:color="auto"/>
          <w:lang w:val="en-GB"/>
        </w:rPr>
        <w:t xml:space="preserve"> </w:t>
      </w:r>
      <w:proofErr w:type="gramStart"/>
      <w:r w:rsidR="00A60AB6" w:rsidRPr="00DF02C5">
        <w:rPr>
          <w:rFonts w:eastAsia="Calibri" w:hAnsi="Times New Roman"/>
          <w:snapToGrid w:val="0"/>
          <w:color w:val="auto"/>
          <w:kern w:val="22"/>
          <w:bdr w:val="none" w:sz="0" w:space="0" w:color="auto"/>
          <w:lang w:val="en-GB"/>
        </w:rPr>
        <w:t>A number of</w:t>
      </w:r>
      <w:proofErr w:type="gramEnd"/>
      <w:r w:rsidR="00A60AB6" w:rsidRPr="00DF02C5">
        <w:rPr>
          <w:rFonts w:eastAsia="Calibri" w:hAnsi="Times New Roman"/>
          <w:snapToGrid w:val="0"/>
          <w:color w:val="auto"/>
          <w:kern w:val="22"/>
          <w:bdr w:val="none" w:sz="0" w:space="0" w:color="auto"/>
          <w:lang w:val="en-GB"/>
        </w:rPr>
        <w:t xml:space="preserve"> countries indicated having relevant measures</w:t>
      </w:r>
      <w:r w:rsidRPr="00DF02C5">
        <w:rPr>
          <w:rFonts w:eastAsia="Calibri" w:hAnsi="Times New Roman"/>
          <w:snapToGrid w:val="0"/>
          <w:color w:val="auto"/>
          <w:kern w:val="22"/>
          <w:bdr w:val="none" w:sz="0" w:space="0" w:color="auto"/>
          <w:lang w:val="en-GB"/>
        </w:rPr>
        <w:t xml:space="preserve"> in place to imp</w:t>
      </w:r>
      <w:r w:rsidR="006D1B8A">
        <w:rPr>
          <w:rFonts w:eastAsia="Calibri" w:hAnsi="Times New Roman"/>
          <w:snapToGrid w:val="0"/>
          <w:color w:val="auto"/>
          <w:kern w:val="22"/>
          <w:bdr w:val="none" w:sz="0" w:space="0" w:color="auto"/>
          <w:lang w:val="en-GB"/>
        </w:rPr>
        <w:t>lement Article 18.1 but recogniz</w:t>
      </w:r>
      <w:r w:rsidRPr="00DF02C5">
        <w:rPr>
          <w:rFonts w:eastAsia="Calibri" w:hAnsi="Times New Roman"/>
          <w:snapToGrid w:val="0"/>
          <w:color w:val="auto"/>
          <w:kern w:val="22"/>
          <w:bdr w:val="none" w:sz="0" w:space="0" w:color="auto"/>
          <w:lang w:val="en-GB"/>
        </w:rPr>
        <w:t>ed that additional</w:t>
      </w:r>
      <w:r w:rsidR="00A60AB6" w:rsidRPr="00DF02C5">
        <w:rPr>
          <w:rFonts w:eastAsia="Calibri" w:hAnsi="Times New Roman"/>
          <w:snapToGrid w:val="0"/>
          <w:color w:val="auto"/>
          <w:kern w:val="22"/>
          <w:bdr w:val="none" w:sz="0" w:space="0" w:color="auto"/>
          <w:lang w:val="en-GB"/>
        </w:rPr>
        <w:t xml:space="preserve"> measures were needed</w:t>
      </w:r>
      <w:r w:rsidR="006D1B8A">
        <w:rPr>
          <w:rFonts w:eastAsia="Calibri" w:hAnsi="Times New Roman"/>
          <w:snapToGrid w:val="0"/>
          <w:color w:val="auto"/>
          <w:kern w:val="22"/>
          <w:bdr w:val="none" w:sz="0" w:space="0" w:color="auto"/>
          <w:lang w:val="en-GB"/>
        </w:rPr>
        <w:t>.</w:t>
      </w:r>
      <w:r w:rsidR="0034115A" w:rsidRPr="00DF02C5">
        <w:rPr>
          <w:rFonts w:eastAsia="Calibri" w:hAnsi="Times New Roman"/>
          <w:snapToGrid w:val="0"/>
          <w:color w:val="auto"/>
          <w:kern w:val="22"/>
          <w:bdr w:val="none" w:sz="0" w:space="0" w:color="auto"/>
          <w:vertAlign w:val="superscript"/>
          <w:lang w:val="en-GB"/>
        </w:rPr>
        <w:footnoteReference w:id="227"/>
      </w:r>
      <w:r w:rsidRPr="00DF02C5">
        <w:rPr>
          <w:rFonts w:eastAsia="Calibri" w:hAnsi="Times New Roman"/>
          <w:snapToGrid w:val="0"/>
          <w:color w:val="auto"/>
          <w:kern w:val="22"/>
          <w:bdr w:val="none" w:sz="0" w:space="0" w:color="auto"/>
          <w:lang w:val="en-GB"/>
        </w:rPr>
        <w:t xml:space="preserve"> Some countries </w:t>
      </w:r>
      <w:r w:rsidR="00A60AB6" w:rsidRPr="00DF02C5">
        <w:rPr>
          <w:rFonts w:eastAsia="Calibri" w:hAnsi="Times New Roman"/>
          <w:snapToGrid w:val="0"/>
          <w:color w:val="auto"/>
          <w:kern w:val="22"/>
          <w:bdr w:val="none" w:sz="0" w:space="0" w:color="auto"/>
          <w:lang w:val="en-GB"/>
        </w:rPr>
        <w:t xml:space="preserve">mentioned that dispute resolution is addressed </w:t>
      </w:r>
      <w:r w:rsidRPr="00DF02C5">
        <w:rPr>
          <w:rFonts w:eastAsia="Calibri" w:hAnsi="Times New Roman"/>
          <w:snapToGrid w:val="0"/>
          <w:color w:val="auto"/>
          <w:kern w:val="22"/>
          <w:bdr w:val="none" w:sz="0" w:space="0" w:color="auto"/>
          <w:lang w:val="en-GB"/>
        </w:rPr>
        <w:t xml:space="preserve">by </w:t>
      </w:r>
      <w:r w:rsidR="00A60AB6" w:rsidRPr="00DF02C5">
        <w:rPr>
          <w:rFonts w:eastAsia="Calibri" w:hAnsi="Times New Roman"/>
          <w:snapToGrid w:val="0"/>
          <w:color w:val="auto"/>
          <w:kern w:val="22"/>
          <w:bdr w:val="none" w:sz="0" w:space="0" w:color="auto"/>
          <w:lang w:val="en-GB"/>
        </w:rPr>
        <w:t>other applicable laws</w:t>
      </w:r>
      <w:r w:rsidR="006D1B8A">
        <w:rPr>
          <w:rFonts w:eastAsia="Calibri" w:hAnsi="Times New Roman"/>
          <w:snapToGrid w:val="0"/>
          <w:color w:val="auto"/>
          <w:kern w:val="22"/>
          <w:bdr w:val="none" w:sz="0" w:space="0" w:color="auto"/>
          <w:lang w:val="en-GB"/>
        </w:rPr>
        <w:t>,</w:t>
      </w:r>
      <w:r w:rsidR="00A60AB6" w:rsidRPr="00DF02C5">
        <w:rPr>
          <w:rStyle w:val="FootnoteReference"/>
          <w:rFonts w:eastAsia="Calibri" w:hAnsi="Times New Roman"/>
          <w:snapToGrid w:val="0"/>
          <w:color w:val="auto"/>
          <w:kern w:val="22"/>
          <w:bdr w:val="none" w:sz="0" w:space="0" w:color="auto"/>
          <w:lang w:val="en-GB"/>
        </w:rPr>
        <w:footnoteReference w:id="228"/>
      </w:r>
      <w:r w:rsidRPr="00DF02C5">
        <w:rPr>
          <w:rFonts w:eastAsia="Calibri" w:hAnsi="Times New Roman"/>
          <w:snapToGrid w:val="0"/>
          <w:color w:val="auto"/>
          <w:kern w:val="22"/>
          <w:bdr w:val="none" w:sz="0" w:space="0" w:color="auto"/>
          <w:lang w:val="en-GB"/>
        </w:rPr>
        <w:t xml:space="preserve"> while o</w:t>
      </w:r>
      <w:r w:rsidR="00A60AB6" w:rsidRPr="00DF02C5">
        <w:rPr>
          <w:rFonts w:eastAsia="Calibri" w:hAnsi="Times New Roman"/>
          <w:snapToGrid w:val="0"/>
          <w:color w:val="auto"/>
          <w:kern w:val="22"/>
          <w:bdr w:val="none" w:sz="0" w:space="0" w:color="auto"/>
          <w:lang w:val="en-GB"/>
        </w:rPr>
        <w:t>ther countries reported having dispute resolution clauses included in MAT, permits or available model contracts</w:t>
      </w:r>
      <w:r w:rsidR="006D1B8A">
        <w:rPr>
          <w:rFonts w:eastAsia="Calibri" w:hAnsi="Times New Roman"/>
          <w:snapToGrid w:val="0"/>
          <w:color w:val="auto"/>
          <w:kern w:val="22"/>
          <w:bdr w:val="none" w:sz="0" w:space="0" w:color="auto"/>
          <w:lang w:val="en-GB"/>
        </w:rPr>
        <w:t>.</w:t>
      </w:r>
      <w:r w:rsidR="00A60AB6" w:rsidRPr="00DF02C5">
        <w:rPr>
          <w:rFonts w:eastAsia="Calibri" w:hAnsi="Times New Roman"/>
          <w:snapToGrid w:val="0"/>
          <w:color w:val="auto"/>
          <w:kern w:val="22"/>
          <w:bdr w:val="none" w:sz="0" w:space="0" w:color="auto"/>
          <w:vertAlign w:val="superscript"/>
          <w:lang w:val="en-GB"/>
        </w:rPr>
        <w:footnoteReference w:id="229"/>
      </w:r>
    </w:p>
    <w:p w14:paraId="556D6DE2" w14:textId="0C98029F" w:rsidR="00A60AB6" w:rsidRPr="00DF02C5" w:rsidRDefault="00A60AB6" w:rsidP="002D17E1">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With respect to the methods for dispute resolution, some countries specifically mentioned that priority was given to amicable solutions</w:t>
      </w:r>
      <w:r w:rsidRPr="00DF02C5">
        <w:rPr>
          <w:rFonts w:eastAsia="Calibri" w:hAnsi="Times New Roman"/>
          <w:snapToGrid w:val="0"/>
          <w:color w:val="auto"/>
          <w:kern w:val="22"/>
          <w:bdr w:val="none" w:sz="0" w:space="0" w:color="auto"/>
          <w:vertAlign w:val="superscript"/>
          <w:lang w:val="en-GB"/>
        </w:rPr>
        <w:footnoteReference w:id="230"/>
      </w:r>
      <w:r w:rsidRPr="00DF02C5">
        <w:rPr>
          <w:rFonts w:eastAsia="Calibri" w:hAnsi="Times New Roman"/>
          <w:snapToGrid w:val="0"/>
          <w:color w:val="auto"/>
          <w:kern w:val="22"/>
          <w:bdr w:val="none" w:sz="0" w:space="0" w:color="auto"/>
          <w:lang w:val="en-GB"/>
        </w:rPr>
        <w:t xml:space="preserve">. For example, Malta indicated that disputes are to be primarily </w:t>
      </w:r>
      <w:r w:rsidRPr="00DF02C5">
        <w:rPr>
          <w:rFonts w:eastAsia="Calibri" w:hAnsi="Times New Roman"/>
          <w:snapToGrid w:val="0"/>
          <w:color w:val="auto"/>
          <w:kern w:val="22"/>
          <w:bdr w:val="none" w:sz="0" w:space="0" w:color="auto"/>
          <w:lang w:val="en-GB"/>
        </w:rPr>
        <w:lastRenderedPageBreak/>
        <w:t>resolved by ne</w:t>
      </w:r>
      <w:r w:rsidR="00237946" w:rsidRPr="00DF02C5">
        <w:rPr>
          <w:rFonts w:eastAsia="Calibri" w:hAnsi="Times New Roman"/>
          <w:snapToGrid w:val="0"/>
          <w:color w:val="auto"/>
          <w:kern w:val="22"/>
          <w:bdr w:val="none" w:sz="0" w:space="0" w:color="auto"/>
          <w:lang w:val="en-GB"/>
        </w:rPr>
        <w:t>gotiation, and</w:t>
      </w:r>
      <w:r w:rsidRPr="00DF02C5">
        <w:rPr>
          <w:rFonts w:eastAsia="Calibri" w:hAnsi="Times New Roman"/>
          <w:snapToGrid w:val="0"/>
          <w:color w:val="auto"/>
          <w:kern w:val="22"/>
          <w:bdr w:val="none" w:sz="0" w:space="0" w:color="auto"/>
          <w:lang w:val="en-GB"/>
        </w:rPr>
        <w:t xml:space="preserve"> if disputes cannot be solved, then ar</w:t>
      </w:r>
      <w:r w:rsidR="00237946" w:rsidRPr="00DF02C5">
        <w:rPr>
          <w:rFonts w:eastAsia="Calibri" w:hAnsi="Times New Roman"/>
          <w:snapToGrid w:val="0"/>
          <w:color w:val="auto"/>
          <w:kern w:val="22"/>
          <w:bdr w:val="none" w:sz="0" w:space="0" w:color="auto"/>
          <w:lang w:val="en-GB"/>
        </w:rPr>
        <w:t>bitration procedures under the l</w:t>
      </w:r>
      <w:r w:rsidRPr="00DF02C5">
        <w:rPr>
          <w:rFonts w:eastAsia="Calibri" w:hAnsi="Times New Roman"/>
          <w:snapToGrid w:val="0"/>
          <w:color w:val="auto"/>
          <w:kern w:val="22"/>
          <w:bdr w:val="none" w:sz="0" w:space="0" w:color="auto"/>
          <w:lang w:val="en-GB"/>
        </w:rPr>
        <w:t>aws of Malta may be initiated.</w:t>
      </w:r>
    </w:p>
    <w:p w14:paraId="621D54D6" w14:textId="4A93CF1A" w:rsidR="00A60AB6" w:rsidRPr="00DF02C5" w:rsidRDefault="00237946" w:rsidP="00A2498F">
      <w:pPr>
        <w:pStyle w:val="Para1"/>
        <w:numPr>
          <w:ilvl w:val="0"/>
          <w:numId w:val="1"/>
        </w:numPr>
        <w:ind w:left="360" w:hanging="360"/>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Some e</w:t>
      </w:r>
      <w:r w:rsidR="00A60AB6" w:rsidRPr="00DF02C5">
        <w:rPr>
          <w:rFonts w:eastAsia="Calibri" w:hAnsi="Times New Roman"/>
          <w:snapToGrid w:val="0"/>
          <w:color w:val="auto"/>
          <w:kern w:val="22"/>
          <w:bdr w:val="none" w:sz="0" w:space="0" w:color="auto"/>
          <w:lang w:val="en-GB"/>
        </w:rPr>
        <w:t>xamples of information provided are the following:</w:t>
      </w:r>
    </w:p>
    <w:p w14:paraId="02B7896A" w14:textId="4009BDF8" w:rsidR="00A60AB6" w:rsidRPr="00DF02C5" w:rsidRDefault="00A60AB6" w:rsidP="00A2498F">
      <w:pPr>
        <w:numPr>
          <w:ilvl w:val="0"/>
          <w:numId w:val="19"/>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China explained that according to</w:t>
      </w:r>
      <w:r w:rsidR="00237946" w:rsidRPr="00DF02C5">
        <w:rPr>
          <w:rFonts w:eastAsia="Calibri" w:hAnsi="Times New Roman" w:cs="Times New Roman"/>
          <w:snapToGrid w:val="0"/>
          <w:color w:val="auto"/>
          <w:kern w:val="22"/>
          <w:bdr w:val="none" w:sz="0" w:space="0" w:color="auto"/>
          <w:lang w:val="en-GB"/>
        </w:rPr>
        <w:t xml:space="preserve"> the relevant provisions of the contract l</w:t>
      </w:r>
      <w:r w:rsidRPr="00DF02C5">
        <w:rPr>
          <w:rFonts w:eastAsia="Calibri" w:hAnsi="Times New Roman" w:cs="Times New Roman"/>
          <w:snapToGrid w:val="0"/>
          <w:color w:val="auto"/>
          <w:kern w:val="22"/>
          <w:bdr w:val="none" w:sz="0" w:space="0" w:color="auto"/>
          <w:lang w:val="en-GB"/>
        </w:rPr>
        <w:t>aw, contracts should include methods for dispute settlement. In the case of international contracts the parties concerned have the rig</w:t>
      </w:r>
      <w:r w:rsidR="00237946" w:rsidRPr="00DF02C5">
        <w:rPr>
          <w:rFonts w:eastAsia="Calibri" w:hAnsi="Times New Roman" w:cs="Times New Roman"/>
          <w:snapToGrid w:val="0"/>
          <w:color w:val="auto"/>
          <w:kern w:val="22"/>
          <w:bdr w:val="none" w:sz="0" w:space="0" w:color="auto"/>
          <w:lang w:val="en-GB"/>
        </w:rPr>
        <w:t>ht to choose the applicable law</w:t>
      </w:r>
      <w:r w:rsidRPr="00DF02C5">
        <w:rPr>
          <w:rFonts w:eastAsia="Calibri" w:hAnsi="Times New Roman" w:cs="Times New Roman"/>
          <w:snapToGrid w:val="0"/>
          <w:color w:val="auto"/>
          <w:kern w:val="22"/>
          <w:bdr w:val="none" w:sz="0" w:space="0" w:color="auto"/>
          <w:lang w:val="en-GB"/>
        </w:rPr>
        <w:t xml:space="preserve"> to resolve or settle their disputes. Parties to a contract can resolve their</w:t>
      </w:r>
      <w:r w:rsidR="002D17E1">
        <w:rPr>
          <w:rFonts w:eastAsia="Calibri" w:hAnsi="Times New Roman" w:cs="Times New Roman"/>
          <w:snapToGrid w:val="0"/>
          <w:color w:val="auto"/>
          <w:kern w:val="22"/>
          <w:bdr w:val="none" w:sz="0" w:space="0" w:color="auto"/>
          <w:lang w:val="en-GB"/>
        </w:rPr>
        <w:t xml:space="preserve"> contractual disputes through </w:t>
      </w:r>
      <w:r w:rsidRPr="00DF02C5">
        <w:rPr>
          <w:rFonts w:eastAsia="Calibri" w:hAnsi="Times New Roman" w:cs="Times New Roman"/>
          <w:snapToGrid w:val="0"/>
          <w:color w:val="auto"/>
          <w:kern w:val="22"/>
          <w:bdr w:val="none" w:sz="0" w:space="0" w:color="auto"/>
          <w:lang w:val="en-GB"/>
        </w:rPr>
        <w:t>conciliation, mediation, arbitration and resort to judicial lawsuits;</w:t>
      </w:r>
    </w:p>
    <w:p w14:paraId="561F62DA" w14:textId="26CCA2D1" w:rsidR="00A60AB6" w:rsidRPr="00DF02C5" w:rsidRDefault="00A60AB6" w:rsidP="00A2498F">
      <w:pPr>
        <w:numPr>
          <w:ilvl w:val="0"/>
          <w:numId w:val="19"/>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Mexico explained that for the moment the inclusion of dispute resolution in MAT has been done </w:t>
      </w:r>
      <w:r w:rsidR="00E748E1" w:rsidRPr="00DF02C5">
        <w:rPr>
          <w:rFonts w:eastAsia="Calibri" w:hAnsi="Times New Roman" w:cs="Times New Roman"/>
          <w:snapToGrid w:val="0"/>
          <w:color w:val="auto"/>
          <w:kern w:val="22"/>
          <w:bdr w:val="none" w:sz="0" w:space="0" w:color="auto"/>
          <w:lang w:val="en-GB"/>
        </w:rPr>
        <w:t>on</w:t>
      </w:r>
      <w:r w:rsidRPr="00DF02C5">
        <w:rPr>
          <w:rFonts w:eastAsia="Calibri" w:hAnsi="Times New Roman" w:cs="Times New Roman"/>
          <w:snapToGrid w:val="0"/>
          <w:color w:val="auto"/>
          <w:kern w:val="22"/>
          <w:bdr w:val="none" w:sz="0" w:space="0" w:color="auto"/>
          <w:lang w:val="en-GB"/>
        </w:rPr>
        <w:t xml:space="preserve"> a case</w:t>
      </w:r>
      <w:r w:rsidR="00E748E1" w:rsidRPr="00DF02C5">
        <w:rPr>
          <w:rFonts w:eastAsia="Calibri" w:hAnsi="Times New Roman" w:cs="Times New Roman"/>
          <w:snapToGrid w:val="0"/>
          <w:color w:val="auto"/>
          <w:kern w:val="22"/>
          <w:bdr w:val="none" w:sz="0" w:space="0" w:color="auto"/>
          <w:lang w:val="en-GB"/>
        </w:rPr>
        <w:t>-</w:t>
      </w:r>
      <w:r w:rsidRPr="00DF02C5">
        <w:rPr>
          <w:rFonts w:eastAsia="Calibri" w:hAnsi="Times New Roman" w:cs="Times New Roman"/>
          <w:snapToGrid w:val="0"/>
          <w:color w:val="auto"/>
          <w:kern w:val="22"/>
          <w:bdr w:val="none" w:sz="0" w:space="0" w:color="auto"/>
          <w:lang w:val="en-GB"/>
        </w:rPr>
        <w:t>by</w:t>
      </w:r>
      <w:r w:rsidR="00E748E1" w:rsidRPr="00DF02C5">
        <w:rPr>
          <w:rFonts w:eastAsia="Calibri" w:hAnsi="Times New Roman" w:cs="Times New Roman"/>
          <w:snapToGrid w:val="0"/>
          <w:color w:val="auto"/>
          <w:kern w:val="22"/>
          <w:bdr w:val="none" w:sz="0" w:space="0" w:color="auto"/>
          <w:lang w:val="en-GB"/>
        </w:rPr>
        <w:t>-</w:t>
      </w:r>
      <w:r w:rsidRPr="00DF02C5">
        <w:rPr>
          <w:rFonts w:eastAsia="Calibri" w:hAnsi="Times New Roman" w:cs="Times New Roman"/>
          <w:snapToGrid w:val="0"/>
          <w:color w:val="auto"/>
          <w:kern w:val="22"/>
          <w:bdr w:val="none" w:sz="0" w:space="0" w:color="auto"/>
          <w:lang w:val="en-GB"/>
        </w:rPr>
        <w:t>case basis;</w:t>
      </w:r>
    </w:p>
    <w:p w14:paraId="0D2019A5" w14:textId="172F6624" w:rsidR="00A60AB6" w:rsidRPr="00DF02C5" w:rsidRDefault="00A60AB6" w:rsidP="00A2498F">
      <w:pPr>
        <w:numPr>
          <w:ilvl w:val="0"/>
          <w:numId w:val="19"/>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Peru reported that dispute resolution is regulated by Decision 391 of the Andean Community and provided details on the clause included on dispute resolution in the model contract for access to genetic resources </w:t>
      </w:r>
      <w:r w:rsidR="000A1A42" w:rsidRPr="00DF02C5">
        <w:rPr>
          <w:rFonts w:eastAsia="Calibri" w:hAnsi="Times New Roman" w:cs="Times New Roman"/>
          <w:snapToGrid w:val="0"/>
          <w:color w:val="auto"/>
          <w:kern w:val="22"/>
          <w:bdr w:val="none" w:sz="0" w:space="0" w:color="auto"/>
          <w:lang w:val="en-GB"/>
        </w:rPr>
        <w:t>adopted by</w:t>
      </w:r>
      <w:r w:rsidRPr="00DF02C5">
        <w:rPr>
          <w:rFonts w:eastAsia="Calibri" w:hAnsi="Times New Roman" w:cs="Times New Roman"/>
          <w:snapToGrid w:val="0"/>
          <w:color w:val="auto"/>
          <w:kern w:val="22"/>
          <w:bdr w:val="none" w:sz="0" w:space="0" w:color="auto"/>
          <w:lang w:val="en-GB"/>
        </w:rPr>
        <w:t xml:space="preserve"> Resolution 415</w:t>
      </w:r>
      <w:r w:rsidR="00E748E1" w:rsidRPr="00DF02C5">
        <w:rPr>
          <w:rFonts w:eastAsia="Calibri" w:hAnsi="Times New Roman" w:cs="Times New Roman"/>
          <w:snapToGrid w:val="0"/>
          <w:color w:val="auto"/>
          <w:kern w:val="22"/>
          <w:bdr w:val="none" w:sz="0" w:space="0" w:color="auto"/>
          <w:lang w:val="en-GB"/>
        </w:rPr>
        <w:t>.</w:t>
      </w:r>
      <w:r w:rsidRPr="00DF02C5">
        <w:rPr>
          <w:rFonts w:eastAsia="Calibri" w:hAnsi="Times New Roman" w:cs="Times New Roman"/>
          <w:snapToGrid w:val="0"/>
          <w:color w:val="auto"/>
          <w:kern w:val="22"/>
          <w:bdr w:val="none" w:sz="0" w:space="0" w:color="auto"/>
          <w:lang w:val="en-GB"/>
        </w:rPr>
        <w:t xml:space="preserve"> </w:t>
      </w:r>
    </w:p>
    <w:p w14:paraId="7BC67EA0" w14:textId="18696D77" w:rsidR="00237946" w:rsidRPr="00DF02C5" w:rsidRDefault="00237946" w:rsidP="00237946">
      <w:pPr>
        <w:pStyle w:val="Para1"/>
        <w:spacing w:line="228" w:lineRule="auto"/>
        <w:jc w:val="left"/>
        <w:rPr>
          <w:rFonts w:eastAsia="Calibri" w:hAnsi="Times New Roman"/>
          <w:i/>
          <w:noProof/>
          <w:snapToGrid w:val="0"/>
          <w:color w:val="auto"/>
          <w:kern w:val="22"/>
          <w:bdr w:val="none" w:sz="0" w:space="0" w:color="auto"/>
          <w:lang w:val="en-GB"/>
        </w:rPr>
      </w:pPr>
      <w:r w:rsidRPr="00DF02C5">
        <w:rPr>
          <w:rFonts w:eastAsia="Calibri" w:hAnsi="Times New Roman"/>
          <w:i/>
          <w:noProof/>
          <w:snapToGrid w:val="0"/>
          <w:color w:val="auto"/>
          <w:kern w:val="22"/>
          <w:bdr w:val="none" w:sz="0" w:space="0" w:color="auto"/>
          <w:lang w:val="en-GB"/>
        </w:rPr>
        <w:t>(b)</w:t>
      </w:r>
      <w:r w:rsidRPr="00DF02C5">
        <w:rPr>
          <w:rFonts w:eastAsia="Calibri" w:hAnsi="Times New Roman"/>
          <w:i/>
          <w:noProof/>
          <w:snapToGrid w:val="0"/>
          <w:color w:val="auto"/>
          <w:kern w:val="22"/>
          <w:bdr w:val="none" w:sz="0" w:space="0" w:color="auto"/>
          <w:lang w:val="en-GB"/>
        </w:rPr>
        <w:tab/>
        <w:t>Countries that answered “no”or “not applicable”</w:t>
      </w:r>
    </w:p>
    <w:p w14:paraId="2C06D8A4" w14:textId="143726BB" w:rsidR="00CB3A32" w:rsidRPr="006D1B8A" w:rsidRDefault="00BD60A0" w:rsidP="00CB3A32">
      <w:pPr>
        <w:pStyle w:val="Para1"/>
        <w:numPr>
          <w:ilvl w:val="0"/>
          <w:numId w:val="1"/>
        </w:numPr>
        <w:spacing w:line="228" w:lineRule="auto"/>
        <w:ind w:left="360" w:hanging="360"/>
        <w:jc w:val="left"/>
        <w:rPr>
          <w:rFonts w:eastAsia="Calibri" w:hAnsi="Times New Roman"/>
          <w:noProof/>
          <w:snapToGrid w:val="0"/>
          <w:color w:val="auto"/>
          <w:kern w:val="22"/>
          <w:bdr w:val="none" w:sz="0" w:space="0" w:color="auto"/>
          <w:lang w:val="en-GB"/>
        </w:rPr>
      </w:pPr>
      <w:r w:rsidRPr="00DF02C5">
        <w:rPr>
          <w:rFonts w:eastAsia="Calibri" w:hAnsi="Times New Roman"/>
          <w:noProof/>
          <w:snapToGrid w:val="0"/>
          <w:kern w:val="22"/>
          <w:bdr w:val="none" w:sz="0" w:space="0" w:color="auto"/>
          <w:lang w:val="en-GB"/>
        </w:rPr>
        <w:t>M</w:t>
      </w:r>
      <w:r w:rsidR="00A60AB6" w:rsidRPr="00DF02C5">
        <w:rPr>
          <w:rFonts w:eastAsia="Calibri" w:hAnsi="Times New Roman"/>
          <w:noProof/>
          <w:snapToGrid w:val="0"/>
          <w:kern w:val="22"/>
          <w:bdr w:val="none" w:sz="0" w:space="0" w:color="auto"/>
          <w:lang w:val="en-GB"/>
        </w:rPr>
        <w:t xml:space="preserve">any </w:t>
      </w:r>
      <w:r w:rsidR="00A60AB6" w:rsidRPr="00DF02C5">
        <w:rPr>
          <w:rFonts w:eastAsia="Calibri" w:hAnsi="Times New Roman"/>
          <w:noProof/>
          <w:snapToGrid w:val="0"/>
          <w:color w:val="auto"/>
          <w:kern w:val="22"/>
          <w:bdr w:val="none" w:sz="0" w:space="0" w:color="auto"/>
          <w:lang w:val="en-GB"/>
        </w:rPr>
        <w:t>countries</w:t>
      </w:r>
      <w:r w:rsidR="00A60AB6" w:rsidRPr="00DF02C5">
        <w:rPr>
          <w:rFonts w:eastAsia="Calibri" w:hAnsi="Times New Roman"/>
          <w:noProof/>
          <w:snapToGrid w:val="0"/>
          <w:color w:val="auto"/>
          <w:kern w:val="22"/>
          <w:bdr w:val="none" w:sz="0" w:space="0" w:color="auto"/>
          <w:vertAlign w:val="superscript"/>
          <w:lang w:val="en-GB"/>
        </w:rPr>
        <w:footnoteReference w:id="231"/>
      </w:r>
      <w:r w:rsidR="007A03E5" w:rsidRPr="00DF02C5">
        <w:rPr>
          <w:rFonts w:eastAsia="Calibri" w:hAnsi="Times New Roman"/>
          <w:noProof/>
          <w:snapToGrid w:val="0"/>
          <w:color w:val="auto"/>
          <w:kern w:val="22"/>
          <w:bdr w:val="none" w:sz="0" w:space="0" w:color="auto"/>
          <w:lang w:val="en-GB"/>
        </w:rPr>
        <w:t xml:space="preserve"> </w:t>
      </w:r>
      <w:r w:rsidR="00237946" w:rsidRPr="00DF02C5">
        <w:rPr>
          <w:rFonts w:eastAsia="Calibri" w:hAnsi="Times New Roman"/>
          <w:noProof/>
          <w:snapToGrid w:val="0"/>
          <w:color w:val="auto"/>
          <w:kern w:val="22"/>
          <w:bdr w:val="none" w:sz="0" w:space="0" w:color="auto"/>
          <w:lang w:val="en-GB"/>
        </w:rPr>
        <w:t xml:space="preserve">reported on their plans </w:t>
      </w:r>
      <w:r w:rsidR="00A60AB6" w:rsidRPr="00DF02C5">
        <w:rPr>
          <w:rFonts w:eastAsia="Calibri" w:hAnsi="Times New Roman"/>
          <w:noProof/>
          <w:snapToGrid w:val="0"/>
          <w:color w:val="auto"/>
          <w:kern w:val="22"/>
          <w:bdr w:val="none" w:sz="0" w:space="0" w:color="auto"/>
          <w:lang w:val="en-GB"/>
        </w:rPr>
        <w:t>to addr</w:t>
      </w:r>
      <w:r w:rsidR="00237946" w:rsidRPr="00DF02C5">
        <w:rPr>
          <w:rFonts w:eastAsia="Calibri" w:hAnsi="Times New Roman"/>
          <w:noProof/>
          <w:snapToGrid w:val="0"/>
          <w:color w:val="auto"/>
          <w:kern w:val="22"/>
          <w:bdr w:val="none" w:sz="0" w:space="0" w:color="auto"/>
          <w:lang w:val="en-GB"/>
        </w:rPr>
        <w:t>ess this issue</w:t>
      </w:r>
      <w:r w:rsidR="006D1B8A">
        <w:rPr>
          <w:rFonts w:eastAsia="Calibri" w:hAnsi="Times New Roman"/>
          <w:noProof/>
          <w:snapToGrid w:val="0"/>
          <w:color w:val="auto"/>
          <w:kern w:val="22"/>
          <w:bdr w:val="none" w:sz="0" w:space="0" w:color="auto"/>
          <w:lang w:val="en-GB"/>
        </w:rPr>
        <w:t>.</w:t>
      </w:r>
      <w:r w:rsidR="00A60AB6" w:rsidRPr="00DF02C5">
        <w:rPr>
          <w:rFonts w:eastAsia="Calibri" w:hAnsi="Times New Roman"/>
          <w:noProof/>
          <w:snapToGrid w:val="0"/>
          <w:color w:val="auto"/>
          <w:kern w:val="22"/>
          <w:bdr w:val="none" w:sz="0" w:space="0" w:color="auto"/>
          <w:vertAlign w:val="superscript"/>
          <w:lang w:val="en-GB"/>
        </w:rPr>
        <w:footnoteReference w:id="232"/>
      </w:r>
    </w:p>
    <w:p w14:paraId="1FF7483F" w14:textId="77777777" w:rsidR="00A2498F" w:rsidRPr="006D1B8A" w:rsidRDefault="00B03FC5" w:rsidP="006D1B8A">
      <w:pPr>
        <w:pStyle w:val="Para1"/>
        <w:numPr>
          <w:ilvl w:val="0"/>
          <w:numId w:val="69"/>
        </w:numPr>
        <w:spacing w:before="240"/>
        <w:ind w:hanging="450"/>
        <w:jc w:val="left"/>
        <w:rPr>
          <w:rFonts w:eastAsia="Calibri" w:hAnsi="Times New Roman"/>
          <w:i/>
          <w:snapToGrid w:val="0"/>
          <w:color w:val="auto"/>
          <w:kern w:val="22"/>
          <w:bdr w:val="none" w:sz="0" w:space="0" w:color="auto"/>
          <w:lang w:val="en-GB"/>
        </w:rPr>
      </w:pPr>
      <w:r w:rsidRPr="006D1B8A">
        <w:rPr>
          <w:rFonts w:eastAsia="Calibri" w:hAnsi="Times New Roman"/>
          <w:i/>
          <w:snapToGrid w:val="0"/>
          <w:color w:val="auto"/>
          <w:kern w:val="22"/>
          <w:bdr w:val="none" w:sz="0" w:space="0" w:color="auto"/>
          <w:lang w:val="en-GB"/>
        </w:rPr>
        <w:t>Does your country ensure that opportunity to seek recourse is available under your legal systems in cases of disputes arising from MAT as provided in Article 18.2?</w:t>
      </w:r>
      <w:r w:rsidR="00A60AB6" w:rsidRPr="006D1B8A">
        <w:rPr>
          <w:rFonts w:eastAsia="Calibri" w:hAnsi="Times New Roman"/>
          <w:i/>
          <w:snapToGrid w:val="0"/>
          <w:color w:val="auto"/>
          <w:kern w:val="22"/>
          <w:bdr w:val="none" w:sz="0" w:space="0" w:color="auto"/>
          <w:lang w:val="en-GB"/>
        </w:rPr>
        <w:t xml:space="preserve"> (question 32)</w:t>
      </w:r>
    </w:p>
    <w:p w14:paraId="0B6FEBA5" w14:textId="30208B71" w:rsidR="00466F28" w:rsidRPr="00DF02C5" w:rsidRDefault="00466F28" w:rsidP="00BC6060">
      <w:pPr>
        <w:pStyle w:val="Para1"/>
        <w:numPr>
          <w:ilvl w:val="0"/>
          <w:numId w:val="1"/>
        </w:numPr>
        <w:spacing w:line="228" w:lineRule="auto"/>
        <w:rPr>
          <w:rFonts w:eastAsia="Calibri" w:hAnsi="Times New Roman"/>
          <w:b/>
          <w:i/>
          <w:snapToGrid w:val="0"/>
          <w:color w:val="auto"/>
          <w:kern w:val="22"/>
          <w:bdr w:val="none" w:sz="0" w:space="0" w:color="auto"/>
          <w:lang w:val="en-GB"/>
        </w:rPr>
      </w:pPr>
      <w:r w:rsidRPr="00DF02C5">
        <w:rPr>
          <w:rFonts w:hAnsi="Times New Roman"/>
          <w:bdr w:val="none" w:sz="0" w:space="0" w:color="auto"/>
          <w:lang w:val="en-GB"/>
        </w:rPr>
        <w:t xml:space="preserve">Fifty-one Parties and four non-Parties responded that they are </w:t>
      </w:r>
      <w:r w:rsidRPr="00DF02C5">
        <w:rPr>
          <w:rFonts w:eastAsia="Calibri" w:hAnsi="Times New Roman"/>
          <w:noProof/>
          <w:snapToGrid w:val="0"/>
          <w:color w:val="auto"/>
          <w:kern w:val="22"/>
          <w:bdr w:val="none" w:sz="0" w:space="0" w:color="auto"/>
          <w:lang w:val="en-GB"/>
        </w:rPr>
        <w:t>ensuring that opportunity to seek recourse is available under their legal systems in cases of disputes arising from MAT</w:t>
      </w:r>
      <w:r w:rsidR="00B03FC5" w:rsidRPr="00DF02C5">
        <w:rPr>
          <w:rFonts w:hAnsi="Times New Roman"/>
          <w:bdr w:val="none" w:sz="0" w:space="0" w:color="auto"/>
          <w:lang w:val="en-GB"/>
        </w:rPr>
        <w:t>, while eighteen Parties and two non-Parties responded that they are doing so.</w:t>
      </w:r>
    </w:p>
    <w:p w14:paraId="2DD79CBD" w14:textId="214B1C1B" w:rsidR="00B03FC5" w:rsidRPr="00DF02C5" w:rsidRDefault="00E5256F" w:rsidP="00E5256F">
      <w:pPr>
        <w:pStyle w:val="Caption"/>
        <w:keepNext/>
        <w:keepLines/>
        <w:rPr>
          <w:snapToGrid w:val="0"/>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Pr="00DF02C5">
        <w:rPr>
          <w:noProof/>
          <w:lang w:val="en-GB"/>
        </w:rPr>
        <w:t>28</w:t>
      </w:r>
      <w:r w:rsidRPr="00DF02C5">
        <w:rPr>
          <w:lang w:val="en-GB"/>
        </w:rPr>
        <w:fldChar w:fldCharType="end"/>
      </w:r>
      <w:r w:rsidR="00B03FC5" w:rsidRPr="00DF02C5">
        <w:rPr>
          <w:snapToGrid w:val="0"/>
          <w:bdr w:val="none" w:sz="0" w:space="0" w:color="auto"/>
          <w:lang w:val="en-GB"/>
        </w:rPr>
        <w:t xml:space="preserve">: Opportunity to seek recourse </w:t>
      </w:r>
      <w:r w:rsidR="00CB3A32" w:rsidRPr="00DF02C5">
        <w:rPr>
          <w:snapToGrid w:val="0"/>
          <w:bdr w:val="none" w:sz="0" w:space="0" w:color="auto"/>
          <w:lang w:val="en-GB"/>
        </w:rPr>
        <w:t xml:space="preserve">under the legal system in cases of disputes arising from MAT </w:t>
      </w:r>
      <w:r w:rsidR="00B03FC5" w:rsidRPr="00DF02C5">
        <w:rPr>
          <w:snapToGrid w:val="0"/>
          <w:bdr w:val="none" w:sz="0" w:space="0" w:color="auto"/>
          <w:lang w:val="en-GB"/>
        </w:rPr>
        <w:t>(percentage of countries)</w:t>
      </w:r>
    </w:p>
    <w:p w14:paraId="286E1F5D" w14:textId="59367B34" w:rsidR="00B03FC5" w:rsidRPr="00DF02C5" w:rsidRDefault="00B03FC5" w:rsidP="00B03FC5">
      <w:pPr>
        <w:pStyle w:val="Para1"/>
        <w:jc w:val="center"/>
        <w:rPr>
          <w:rFonts w:eastAsia="Calibri" w:hAnsi="Times New Roman"/>
          <w:snapToGrid w:val="0"/>
          <w:color w:val="auto"/>
          <w:kern w:val="22"/>
          <w:bdr w:val="none" w:sz="0" w:space="0" w:color="auto"/>
          <w:lang w:val="en-GB"/>
        </w:rPr>
      </w:pPr>
      <w:r w:rsidRPr="00DF02C5">
        <w:rPr>
          <w:noProof/>
          <w:color w:val="auto"/>
        </w:rPr>
        <w:drawing>
          <wp:inline distT="0" distB="0" distL="0" distR="0" wp14:anchorId="1A216531" wp14:editId="34ECE281">
            <wp:extent cx="3362325" cy="1828800"/>
            <wp:effectExtent l="0" t="0" r="9525"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A2BA907" w14:textId="111BE076" w:rsidR="00CB3A32" w:rsidRPr="00DF02C5" w:rsidRDefault="00CB3A32" w:rsidP="00CB3A32">
      <w:pPr>
        <w:pStyle w:val="Para1"/>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t>(a)</w:t>
      </w:r>
      <w:r w:rsidRPr="00DF02C5">
        <w:rPr>
          <w:rFonts w:eastAsia="Calibri" w:hAnsi="Times New Roman"/>
          <w:i/>
          <w:snapToGrid w:val="0"/>
          <w:color w:val="auto"/>
          <w:kern w:val="22"/>
          <w:bdr w:val="none" w:sz="0" w:space="0" w:color="auto"/>
          <w:lang w:val="en-GB"/>
        </w:rPr>
        <w:tab/>
        <w:t>Countries that answered “yes”</w:t>
      </w:r>
    </w:p>
    <w:p w14:paraId="4BD9893F" w14:textId="1793772D" w:rsidR="00A60AB6" w:rsidRPr="00DF02C5" w:rsidRDefault="00A60AB6" w:rsidP="006D1B8A">
      <w:pPr>
        <w:pStyle w:val="Para1"/>
        <w:numPr>
          <w:ilvl w:val="0"/>
          <w:numId w:val="1"/>
        </w:numPr>
        <w:rPr>
          <w:rFonts w:eastAsia="Calibri" w:hAnsi="Times New Roman"/>
          <w:noProof/>
          <w:snapToGrid w:val="0"/>
          <w:color w:val="auto"/>
          <w:kern w:val="22"/>
          <w:bdr w:val="none" w:sz="0" w:space="0" w:color="auto"/>
          <w:lang w:val="en-GB"/>
        </w:rPr>
      </w:pPr>
      <w:r w:rsidRPr="00DF02C5">
        <w:rPr>
          <w:rFonts w:eastAsia="Calibri" w:hAnsi="Times New Roman"/>
          <w:noProof/>
          <w:snapToGrid w:val="0"/>
          <w:color w:val="auto"/>
          <w:kern w:val="22"/>
          <w:bdr w:val="none" w:sz="0" w:space="0" w:color="auto"/>
          <w:lang w:val="en-GB"/>
        </w:rPr>
        <w:lastRenderedPageBreak/>
        <w:t xml:space="preserve">A large portion of </w:t>
      </w:r>
      <w:r w:rsidR="00CB3A32" w:rsidRPr="00DF02C5">
        <w:rPr>
          <w:rFonts w:eastAsia="Calibri" w:hAnsi="Times New Roman"/>
          <w:noProof/>
          <w:snapToGrid w:val="0"/>
          <w:color w:val="auto"/>
          <w:kern w:val="22"/>
          <w:bdr w:val="none" w:sz="0" w:space="0" w:color="auto"/>
          <w:lang w:val="en-GB"/>
        </w:rPr>
        <w:t xml:space="preserve">the </w:t>
      </w:r>
      <w:r w:rsidRPr="00DF02C5">
        <w:rPr>
          <w:rFonts w:eastAsia="Calibri" w:hAnsi="Times New Roman"/>
          <w:noProof/>
          <w:snapToGrid w:val="0"/>
          <w:color w:val="auto"/>
          <w:kern w:val="22"/>
          <w:bdr w:val="none" w:sz="0" w:space="0" w:color="auto"/>
          <w:lang w:val="en-GB"/>
        </w:rPr>
        <w:t xml:space="preserve">countries reported that the opportunity to seek recourse was addressed by </w:t>
      </w:r>
      <w:r w:rsidR="00CB3A32" w:rsidRPr="00DF02C5">
        <w:rPr>
          <w:rFonts w:eastAsia="Calibri" w:hAnsi="Times New Roman"/>
          <w:noProof/>
          <w:snapToGrid w:val="0"/>
          <w:color w:val="auto"/>
          <w:kern w:val="22"/>
          <w:bdr w:val="none" w:sz="0" w:space="0" w:color="auto"/>
          <w:lang w:val="en-GB"/>
        </w:rPr>
        <w:t xml:space="preserve">other </w:t>
      </w:r>
      <w:r w:rsidRPr="00DF02C5">
        <w:rPr>
          <w:rFonts w:eastAsia="Calibri" w:hAnsi="Times New Roman"/>
          <w:noProof/>
          <w:snapToGrid w:val="0"/>
          <w:color w:val="auto"/>
          <w:kern w:val="22"/>
          <w:bdr w:val="none" w:sz="0" w:space="0" w:color="auto"/>
          <w:lang w:val="en-GB"/>
        </w:rPr>
        <w:t>legislation</w:t>
      </w:r>
      <w:r w:rsidRPr="00DF02C5">
        <w:rPr>
          <w:rStyle w:val="FootnoteReference"/>
          <w:rFonts w:eastAsia="Calibri" w:hAnsi="Times New Roman"/>
          <w:noProof/>
          <w:snapToGrid w:val="0"/>
          <w:color w:val="auto"/>
          <w:kern w:val="22"/>
          <w:bdr w:val="none" w:sz="0" w:space="0" w:color="auto"/>
          <w:lang w:val="en-GB"/>
        </w:rPr>
        <w:footnoteReference w:id="233"/>
      </w:r>
      <w:r w:rsidR="00CB3A32" w:rsidRPr="00DF02C5">
        <w:rPr>
          <w:rFonts w:eastAsia="Calibri" w:hAnsi="Times New Roman"/>
          <w:noProof/>
          <w:snapToGrid w:val="0"/>
          <w:color w:val="auto"/>
          <w:kern w:val="22"/>
          <w:bdr w:val="none" w:sz="0" w:space="0" w:color="auto"/>
          <w:lang w:val="en-GB"/>
        </w:rPr>
        <w:t xml:space="preserve"> in the country and not necessarily by ABS measures. For instance, by </w:t>
      </w:r>
      <w:r w:rsidRPr="00DF02C5">
        <w:rPr>
          <w:rFonts w:eastAsia="Calibri" w:hAnsi="Times New Roman"/>
          <w:noProof/>
          <w:snapToGrid w:val="0"/>
          <w:color w:val="auto"/>
          <w:kern w:val="22"/>
          <w:bdr w:val="none" w:sz="0" w:space="0" w:color="auto"/>
          <w:lang w:val="en-GB"/>
        </w:rPr>
        <w:t>the constitution</w:t>
      </w:r>
      <w:r w:rsidR="006D1B8A">
        <w:rPr>
          <w:rFonts w:eastAsia="Calibri" w:hAnsi="Times New Roman"/>
          <w:noProof/>
          <w:snapToGrid w:val="0"/>
          <w:color w:val="auto"/>
          <w:kern w:val="22"/>
          <w:bdr w:val="none" w:sz="0" w:space="0" w:color="auto"/>
          <w:lang w:val="en-GB"/>
        </w:rPr>
        <w:t>,</w:t>
      </w:r>
      <w:r w:rsidRPr="00DF02C5">
        <w:rPr>
          <w:rStyle w:val="FootnoteReference"/>
          <w:rFonts w:eastAsia="Calibri" w:hAnsi="Times New Roman"/>
          <w:noProof/>
          <w:snapToGrid w:val="0"/>
          <w:color w:val="auto"/>
          <w:kern w:val="22"/>
          <w:bdr w:val="none" w:sz="0" w:space="0" w:color="auto"/>
          <w:lang w:val="en-GB"/>
        </w:rPr>
        <w:footnoteReference w:id="234"/>
      </w:r>
      <w:r w:rsidRPr="00DF02C5">
        <w:rPr>
          <w:rFonts w:eastAsia="Calibri" w:hAnsi="Times New Roman"/>
          <w:noProof/>
          <w:snapToGrid w:val="0"/>
          <w:color w:val="auto"/>
          <w:kern w:val="22"/>
          <w:bdr w:val="none" w:sz="0" w:space="0" w:color="auto"/>
          <w:lang w:val="en-GB"/>
        </w:rPr>
        <w:t xml:space="preserve"> civil or contract law</w:t>
      </w:r>
      <w:r w:rsidR="006D1B8A">
        <w:rPr>
          <w:rFonts w:eastAsia="Calibri" w:hAnsi="Times New Roman"/>
          <w:noProof/>
          <w:snapToGrid w:val="0"/>
          <w:color w:val="auto"/>
          <w:kern w:val="22"/>
          <w:bdr w:val="none" w:sz="0" w:space="0" w:color="auto"/>
          <w:lang w:val="en-GB"/>
        </w:rPr>
        <w:t>,</w:t>
      </w:r>
      <w:r w:rsidRPr="00DF02C5">
        <w:rPr>
          <w:rStyle w:val="FootnoteReference"/>
          <w:rFonts w:eastAsia="Calibri" w:hAnsi="Times New Roman"/>
          <w:noProof/>
          <w:snapToGrid w:val="0"/>
          <w:color w:val="auto"/>
          <w:kern w:val="22"/>
          <w:bdr w:val="none" w:sz="0" w:space="0" w:color="auto"/>
          <w:lang w:val="en-GB"/>
        </w:rPr>
        <w:footnoteReference w:id="235"/>
      </w:r>
      <w:r w:rsidRPr="00DF02C5">
        <w:rPr>
          <w:rFonts w:eastAsia="Calibri" w:hAnsi="Times New Roman"/>
          <w:noProof/>
          <w:snapToGrid w:val="0"/>
          <w:color w:val="auto"/>
          <w:kern w:val="22"/>
          <w:bdr w:val="none" w:sz="0" w:space="0" w:color="auto"/>
          <w:lang w:val="en-GB"/>
        </w:rPr>
        <w:t xml:space="preserve"> arbitration measures</w:t>
      </w:r>
      <w:r w:rsidRPr="00DF02C5">
        <w:rPr>
          <w:rStyle w:val="FootnoteReference"/>
          <w:rFonts w:eastAsia="Calibri" w:hAnsi="Times New Roman"/>
          <w:noProof/>
          <w:snapToGrid w:val="0"/>
          <w:color w:val="auto"/>
          <w:kern w:val="22"/>
          <w:bdr w:val="none" w:sz="0" w:space="0" w:color="auto"/>
          <w:lang w:val="en-GB"/>
        </w:rPr>
        <w:footnoteReference w:id="236"/>
      </w:r>
      <w:r w:rsidR="00CB3A32" w:rsidRPr="00DF02C5">
        <w:rPr>
          <w:rFonts w:eastAsia="Calibri" w:hAnsi="Times New Roman"/>
          <w:noProof/>
          <w:snapToGrid w:val="0"/>
          <w:color w:val="auto"/>
          <w:kern w:val="22"/>
          <w:bdr w:val="none" w:sz="0" w:space="0" w:color="auto"/>
          <w:lang w:val="en-GB"/>
        </w:rPr>
        <w:t>or other</w:t>
      </w:r>
      <w:r w:rsidRPr="00DF02C5">
        <w:rPr>
          <w:rFonts w:eastAsia="Calibri" w:hAnsi="Times New Roman"/>
          <w:noProof/>
          <w:snapToGrid w:val="0"/>
          <w:color w:val="auto"/>
          <w:kern w:val="22"/>
          <w:bdr w:val="none" w:sz="0" w:space="0" w:color="auto"/>
          <w:lang w:val="en-GB"/>
        </w:rPr>
        <w:t>.</w:t>
      </w:r>
    </w:p>
    <w:p w14:paraId="73731D3F" w14:textId="785033EE" w:rsidR="00A60AB6" w:rsidRPr="00DF02C5" w:rsidRDefault="00A60AB6" w:rsidP="00A2498F">
      <w:pPr>
        <w:pStyle w:val="Para1"/>
        <w:numPr>
          <w:ilvl w:val="0"/>
          <w:numId w:val="1"/>
        </w:numPr>
        <w:rPr>
          <w:rFonts w:eastAsia="Calibri" w:hAnsi="Times New Roman"/>
          <w:noProof/>
          <w:snapToGrid w:val="0"/>
          <w:color w:val="auto"/>
          <w:kern w:val="22"/>
          <w:bdr w:val="none" w:sz="0" w:space="0" w:color="auto"/>
          <w:lang w:val="en-GB"/>
        </w:rPr>
      </w:pPr>
      <w:r w:rsidRPr="00DF02C5">
        <w:rPr>
          <w:rFonts w:eastAsia="Calibri" w:hAnsi="Times New Roman"/>
          <w:noProof/>
          <w:snapToGrid w:val="0"/>
          <w:color w:val="auto"/>
          <w:kern w:val="22"/>
          <w:bdr w:val="none" w:sz="0" w:space="0" w:color="auto"/>
          <w:lang w:val="en-GB"/>
        </w:rPr>
        <w:t xml:space="preserve">Some countries reported also having addressed this issue in their ABS measures </w:t>
      </w:r>
      <w:r w:rsidRPr="00DF02C5">
        <w:rPr>
          <w:rStyle w:val="FootnoteReference"/>
          <w:rFonts w:eastAsia="Calibri" w:hAnsi="Times New Roman"/>
          <w:noProof/>
          <w:snapToGrid w:val="0"/>
          <w:color w:val="auto"/>
          <w:kern w:val="22"/>
          <w:bdr w:val="none" w:sz="0" w:space="0" w:color="auto"/>
          <w:lang w:val="en-GB"/>
        </w:rPr>
        <w:footnoteReference w:id="237"/>
      </w:r>
      <w:r w:rsidRPr="00DF02C5">
        <w:rPr>
          <w:rFonts w:eastAsia="Calibri" w:hAnsi="Times New Roman"/>
          <w:noProof/>
          <w:snapToGrid w:val="0"/>
          <w:color w:val="auto"/>
          <w:kern w:val="22"/>
          <w:bdr w:val="none" w:sz="0" w:space="0" w:color="auto"/>
          <w:lang w:val="en-GB"/>
        </w:rPr>
        <w:t xml:space="preserve"> or the draft under development or approval</w:t>
      </w:r>
      <w:r w:rsidRPr="00DF02C5">
        <w:rPr>
          <w:rStyle w:val="FootnoteReference"/>
          <w:rFonts w:eastAsia="Calibri" w:hAnsi="Times New Roman"/>
          <w:noProof/>
          <w:snapToGrid w:val="0"/>
          <w:color w:val="auto"/>
          <w:kern w:val="22"/>
          <w:bdr w:val="none" w:sz="0" w:space="0" w:color="auto"/>
          <w:lang w:val="en-GB"/>
        </w:rPr>
        <w:footnoteReference w:id="238"/>
      </w:r>
      <w:r w:rsidRPr="00DF02C5">
        <w:rPr>
          <w:rFonts w:eastAsia="Calibri" w:hAnsi="Times New Roman"/>
          <w:noProof/>
          <w:snapToGrid w:val="0"/>
          <w:color w:val="auto"/>
          <w:kern w:val="22"/>
          <w:bdr w:val="none" w:sz="0" w:space="0" w:color="auto"/>
          <w:lang w:val="en-GB"/>
        </w:rPr>
        <w:t xml:space="preserve"> and other countries reported having </w:t>
      </w:r>
      <w:r w:rsidR="008F7347" w:rsidRPr="00DF02C5">
        <w:rPr>
          <w:rFonts w:eastAsia="Calibri" w:hAnsi="Times New Roman"/>
          <w:noProof/>
          <w:snapToGrid w:val="0"/>
          <w:color w:val="auto"/>
          <w:kern w:val="22"/>
          <w:bdr w:val="none" w:sz="0" w:space="0" w:color="auto"/>
          <w:lang w:val="en-GB"/>
        </w:rPr>
        <w:t xml:space="preserve">included </w:t>
      </w:r>
      <w:r w:rsidRPr="00DF02C5">
        <w:rPr>
          <w:rFonts w:eastAsia="Calibri" w:hAnsi="Times New Roman"/>
          <w:noProof/>
          <w:snapToGrid w:val="0"/>
          <w:color w:val="auto"/>
          <w:kern w:val="22"/>
          <w:bdr w:val="none" w:sz="0" w:space="0" w:color="auto"/>
          <w:lang w:val="en-GB"/>
        </w:rPr>
        <w:t>this issue in MAT, permits or available model contracts</w:t>
      </w:r>
      <w:r w:rsidR="006D1B8A">
        <w:rPr>
          <w:rFonts w:eastAsia="Calibri" w:hAnsi="Times New Roman"/>
          <w:noProof/>
          <w:snapToGrid w:val="0"/>
          <w:color w:val="auto"/>
          <w:kern w:val="22"/>
          <w:bdr w:val="none" w:sz="0" w:space="0" w:color="auto"/>
          <w:lang w:val="en-GB"/>
        </w:rPr>
        <w:t>.</w:t>
      </w:r>
      <w:r w:rsidRPr="00DF02C5">
        <w:rPr>
          <w:rStyle w:val="FootnoteReference"/>
          <w:rFonts w:eastAsia="Calibri" w:hAnsi="Times New Roman"/>
          <w:noProof/>
          <w:snapToGrid w:val="0"/>
          <w:color w:val="auto"/>
          <w:kern w:val="22"/>
          <w:bdr w:val="none" w:sz="0" w:space="0" w:color="auto"/>
          <w:lang w:val="en-GB"/>
        </w:rPr>
        <w:footnoteReference w:id="239"/>
      </w:r>
    </w:p>
    <w:p w14:paraId="2235FCF0" w14:textId="215973A0" w:rsidR="00A60AB6" w:rsidRPr="00DF02C5" w:rsidRDefault="00A60AB6" w:rsidP="00A2498F">
      <w:pPr>
        <w:pStyle w:val="Para1"/>
        <w:numPr>
          <w:ilvl w:val="0"/>
          <w:numId w:val="1"/>
        </w:numPr>
        <w:rPr>
          <w:rFonts w:eastAsia="Calibri" w:hAnsi="Times New Roman"/>
          <w:noProof/>
          <w:snapToGrid w:val="0"/>
          <w:color w:val="auto"/>
          <w:kern w:val="22"/>
          <w:bdr w:val="none" w:sz="0" w:space="0" w:color="auto"/>
          <w:lang w:val="en-GB"/>
        </w:rPr>
      </w:pPr>
      <w:r w:rsidRPr="00DF02C5">
        <w:rPr>
          <w:rFonts w:eastAsia="Calibri" w:hAnsi="Times New Roman"/>
          <w:noProof/>
          <w:snapToGrid w:val="0"/>
          <w:color w:val="auto"/>
          <w:kern w:val="22"/>
          <w:bdr w:val="none" w:sz="0" w:space="0" w:color="auto"/>
          <w:lang w:val="en-GB"/>
        </w:rPr>
        <w:t>Some examples of information provided by countries include</w:t>
      </w:r>
      <w:r w:rsidR="008F7347" w:rsidRPr="00DF02C5">
        <w:rPr>
          <w:rFonts w:eastAsia="Calibri" w:hAnsi="Times New Roman"/>
          <w:noProof/>
          <w:snapToGrid w:val="0"/>
          <w:color w:val="auto"/>
          <w:kern w:val="22"/>
          <w:bdr w:val="none" w:sz="0" w:space="0" w:color="auto"/>
          <w:lang w:val="en-GB"/>
        </w:rPr>
        <w:t xml:space="preserve"> the following</w:t>
      </w:r>
      <w:r w:rsidRPr="00DF02C5">
        <w:rPr>
          <w:rFonts w:eastAsia="Calibri" w:hAnsi="Times New Roman"/>
          <w:noProof/>
          <w:snapToGrid w:val="0"/>
          <w:color w:val="auto"/>
          <w:kern w:val="22"/>
          <w:bdr w:val="none" w:sz="0" w:space="0" w:color="auto"/>
          <w:lang w:val="en-GB"/>
        </w:rPr>
        <w:t>:</w:t>
      </w:r>
    </w:p>
    <w:p w14:paraId="0C355131" w14:textId="579431B0" w:rsidR="00A60AB6" w:rsidRPr="00DF02C5" w:rsidRDefault="007A03E5" w:rsidP="005038A2">
      <w:pPr>
        <w:pStyle w:val="ListParagraph"/>
        <w:numPr>
          <w:ilvl w:val="0"/>
          <w:numId w:val="23"/>
        </w:numPr>
        <w:spacing w:before="120" w:after="120" w:line="228" w:lineRule="auto"/>
        <w:ind w:left="0" w:firstLine="709"/>
        <w:jc w:val="left"/>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noProof/>
          <w:snapToGrid w:val="0"/>
          <w:color w:val="auto"/>
          <w:kern w:val="22"/>
          <w:bdr w:val="none" w:sz="0" w:space="0" w:color="auto"/>
          <w:lang w:val="en-GB"/>
        </w:rPr>
        <w:t>In Bulgaria</w:t>
      </w:r>
      <w:r w:rsidR="00A60AB6" w:rsidRPr="00DF02C5">
        <w:rPr>
          <w:rFonts w:eastAsia="Calibri" w:hAnsi="Times New Roman" w:cs="Times New Roman"/>
          <w:noProof/>
          <w:snapToGrid w:val="0"/>
          <w:color w:val="auto"/>
          <w:kern w:val="22"/>
          <w:bdr w:val="none" w:sz="0" w:space="0" w:color="auto"/>
          <w:lang w:val="en-GB"/>
        </w:rPr>
        <w:t xml:space="preserve"> parties to an agreement are advised to contact the NFP for further guidance on opportunities for recourse;</w:t>
      </w:r>
    </w:p>
    <w:p w14:paraId="74787BA5" w14:textId="357E51F9" w:rsidR="00A60AB6" w:rsidRPr="00DF02C5" w:rsidRDefault="00A60AB6" w:rsidP="005038A2">
      <w:pPr>
        <w:pStyle w:val="ListParagraph"/>
        <w:numPr>
          <w:ilvl w:val="0"/>
          <w:numId w:val="23"/>
        </w:numPr>
        <w:spacing w:before="120" w:after="120" w:line="228" w:lineRule="auto"/>
        <w:ind w:left="0" w:firstLine="709"/>
        <w:jc w:val="left"/>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India and Cuba have </w:t>
      </w:r>
      <w:r w:rsidR="008F7347" w:rsidRPr="00DF02C5">
        <w:rPr>
          <w:rFonts w:eastAsia="Calibri" w:hAnsi="Times New Roman" w:cs="Times New Roman"/>
          <w:snapToGrid w:val="0"/>
          <w:color w:val="auto"/>
          <w:kern w:val="22"/>
          <w:bdr w:val="none" w:sz="0" w:space="0" w:color="auto"/>
          <w:lang w:val="en-GB"/>
        </w:rPr>
        <w:t xml:space="preserve">each </w:t>
      </w:r>
      <w:r w:rsidRPr="00DF02C5">
        <w:rPr>
          <w:rFonts w:eastAsia="Calibri" w:hAnsi="Times New Roman" w:cs="Times New Roman"/>
          <w:snapToGrid w:val="0"/>
          <w:color w:val="auto"/>
          <w:kern w:val="22"/>
          <w:bdr w:val="none" w:sz="0" w:space="0" w:color="auto"/>
          <w:lang w:val="en-GB"/>
        </w:rPr>
        <w:t>identified a specific tribunal to deal with environmental and natural resource affairs;</w:t>
      </w:r>
    </w:p>
    <w:p w14:paraId="4D2C67A5" w14:textId="1CF00E28" w:rsidR="00A60AB6" w:rsidRPr="00DF02C5" w:rsidRDefault="00A60AB6" w:rsidP="005038A2">
      <w:pPr>
        <w:pStyle w:val="ListParagraph"/>
        <w:numPr>
          <w:ilvl w:val="0"/>
          <w:numId w:val="23"/>
        </w:numPr>
        <w:spacing w:before="120" w:after="120" w:line="228" w:lineRule="auto"/>
        <w:ind w:left="0" w:firstLine="709"/>
        <w:jc w:val="left"/>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noProof/>
          <w:snapToGrid w:val="0"/>
          <w:color w:val="auto"/>
          <w:kern w:val="22"/>
          <w:bdr w:val="none" w:sz="0" w:space="0" w:color="auto"/>
          <w:lang w:val="en-GB"/>
        </w:rPr>
        <w:t xml:space="preserve">Denmark </w:t>
      </w:r>
      <w:r w:rsidR="007A03E5" w:rsidRPr="00DF02C5">
        <w:rPr>
          <w:rFonts w:eastAsia="Calibri" w:hAnsi="Times New Roman" w:cs="Times New Roman"/>
          <w:noProof/>
          <w:snapToGrid w:val="0"/>
          <w:color w:val="auto"/>
          <w:kern w:val="22"/>
          <w:bdr w:val="none" w:sz="0" w:space="0" w:color="auto"/>
          <w:lang w:val="en-GB"/>
        </w:rPr>
        <w:t xml:space="preserve">and Poland </w:t>
      </w:r>
      <w:r w:rsidRPr="00DF02C5">
        <w:rPr>
          <w:rFonts w:eastAsia="Calibri" w:hAnsi="Times New Roman" w:cs="Times New Roman"/>
          <w:noProof/>
          <w:snapToGrid w:val="0"/>
          <w:color w:val="auto"/>
          <w:kern w:val="22"/>
          <w:bdr w:val="none" w:sz="0" w:space="0" w:color="auto"/>
          <w:lang w:val="en-GB"/>
        </w:rPr>
        <w:t>indicated that foreign States</w:t>
      </w:r>
      <w:r w:rsidR="00E748E1" w:rsidRPr="00DF02C5">
        <w:rPr>
          <w:rFonts w:eastAsia="Calibri" w:hAnsi="Times New Roman" w:cs="Times New Roman"/>
          <w:noProof/>
          <w:snapToGrid w:val="0"/>
          <w:color w:val="auto"/>
          <w:kern w:val="22"/>
          <w:bdr w:val="none" w:sz="0" w:space="0" w:color="auto"/>
          <w:lang w:val="en-GB"/>
        </w:rPr>
        <w:t>,</w:t>
      </w:r>
      <w:r w:rsidRPr="00DF02C5">
        <w:rPr>
          <w:rFonts w:eastAsia="Calibri" w:hAnsi="Times New Roman" w:cs="Times New Roman"/>
          <w:noProof/>
          <w:snapToGrid w:val="0"/>
          <w:color w:val="auto"/>
          <w:kern w:val="22"/>
          <w:bdr w:val="none" w:sz="0" w:space="0" w:color="auto"/>
          <w:lang w:val="en-GB"/>
        </w:rPr>
        <w:t xml:space="preserve"> as well as persons or legal persons</w:t>
      </w:r>
      <w:r w:rsidR="00E748E1" w:rsidRPr="00DF02C5">
        <w:rPr>
          <w:rFonts w:eastAsia="Calibri" w:hAnsi="Times New Roman" w:cs="Times New Roman"/>
          <w:noProof/>
          <w:snapToGrid w:val="0"/>
          <w:color w:val="auto"/>
          <w:kern w:val="22"/>
          <w:bdr w:val="none" w:sz="0" w:space="0" w:color="auto"/>
          <w:lang w:val="en-GB"/>
        </w:rPr>
        <w:t>,</w:t>
      </w:r>
      <w:r w:rsidRPr="00DF02C5">
        <w:rPr>
          <w:rFonts w:eastAsia="Calibri" w:hAnsi="Times New Roman" w:cs="Times New Roman"/>
          <w:noProof/>
          <w:snapToGrid w:val="0"/>
          <w:color w:val="auto"/>
          <w:kern w:val="22"/>
          <w:bdr w:val="none" w:sz="0" w:space="0" w:color="auto"/>
          <w:lang w:val="en-GB"/>
        </w:rPr>
        <w:t xml:space="preserve"> have legal standing and full access to justice on the same basis as national </w:t>
      </w:r>
      <w:r w:rsidR="008F7347" w:rsidRPr="00DF02C5">
        <w:rPr>
          <w:rFonts w:eastAsia="Calibri" w:hAnsi="Times New Roman" w:cs="Times New Roman"/>
          <w:noProof/>
          <w:snapToGrid w:val="0"/>
          <w:color w:val="auto"/>
          <w:kern w:val="22"/>
          <w:bdr w:val="none" w:sz="0" w:space="0" w:color="auto"/>
          <w:lang w:val="en-GB"/>
        </w:rPr>
        <w:t xml:space="preserve">real </w:t>
      </w:r>
      <w:r w:rsidRPr="00DF02C5">
        <w:rPr>
          <w:rFonts w:eastAsia="Calibri" w:hAnsi="Times New Roman" w:cs="Times New Roman"/>
          <w:noProof/>
          <w:snapToGrid w:val="0"/>
          <w:color w:val="auto"/>
          <w:kern w:val="22"/>
          <w:bdr w:val="none" w:sz="0" w:space="0" w:color="auto"/>
          <w:lang w:val="en-GB"/>
        </w:rPr>
        <w:t>subjects;</w:t>
      </w:r>
    </w:p>
    <w:p w14:paraId="3B9104C6" w14:textId="77777777" w:rsidR="00A60AB6" w:rsidRPr="00DF02C5" w:rsidRDefault="00A60AB6" w:rsidP="005038A2">
      <w:pPr>
        <w:pStyle w:val="ListParagraph"/>
        <w:numPr>
          <w:ilvl w:val="0"/>
          <w:numId w:val="23"/>
        </w:numPr>
        <w:spacing w:before="120" w:after="120" w:line="228" w:lineRule="auto"/>
        <w:ind w:left="0" w:firstLine="709"/>
        <w:jc w:val="left"/>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Ethiopia stated that suits regarding contracts (including MAT) may be instituted at the discretion of the party claimant in the court of the place where the contract was made or was to be </w:t>
      </w:r>
      <w:r w:rsidRPr="00DF02C5">
        <w:rPr>
          <w:rFonts w:eastAsia="Calibri" w:hAnsi="Times New Roman" w:cs="Times New Roman"/>
          <w:noProof/>
          <w:snapToGrid w:val="0"/>
          <w:color w:val="auto"/>
          <w:kern w:val="22"/>
          <w:bdr w:val="none" w:sz="0" w:space="0" w:color="auto"/>
          <w:lang w:val="en-GB"/>
        </w:rPr>
        <w:t>executed, unless the parties agreed otherwise in their contract;</w:t>
      </w:r>
    </w:p>
    <w:p w14:paraId="457105FB" w14:textId="0B3AC3AE" w:rsidR="00A60AB6" w:rsidRPr="00DF02C5" w:rsidRDefault="00A60AB6" w:rsidP="005038A2">
      <w:pPr>
        <w:pStyle w:val="ListParagraph"/>
        <w:numPr>
          <w:ilvl w:val="0"/>
          <w:numId w:val="23"/>
        </w:numPr>
        <w:spacing w:before="120" w:after="120" w:line="228" w:lineRule="auto"/>
        <w:ind w:left="0" w:firstLine="709"/>
        <w:jc w:val="left"/>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noProof/>
          <w:snapToGrid w:val="0"/>
          <w:color w:val="auto"/>
          <w:kern w:val="22"/>
          <w:bdr w:val="none" w:sz="0" w:space="0" w:color="auto"/>
          <w:lang w:val="en-GB"/>
        </w:rPr>
        <w:t xml:space="preserve">Germany and </w:t>
      </w:r>
      <w:r w:rsidR="00E748E1" w:rsidRPr="00DF02C5">
        <w:rPr>
          <w:rFonts w:eastAsia="Calibri" w:hAnsi="Times New Roman" w:cs="Times New Roman"/>
          <w:noProof/>
          <w:snapToGrid w:val="0"/>
          <w:color w:val="auto"/>
          <w:kern w:val="22"/>
          <w:bdr w:val="none" w:sz="0" w:space="0" w:color="auto"/>
          <w:lang w:val="en-GB"/>
        </w:rPr>
        <w:t xml:space="preserve">the </w:t>
      </w:r>
      <w:r w:rsidRPr="00DF02C5">
        <w:rPr>
          <w:rFonts w:eastAsia="Calibri" w:hAnsi="Times New Roman" w:cs="Times New Roman"/>
          <w:noProof/>
          <w:snapToGrid w:val="0"/>
          <w:color w:val="auto"/>
          <w:kern w:val="22"/>
          <w:bdr w:val="none" w:sz="0" w:space="0" w:color="auto"/>
          <w:lang w:val="en-GB"/>
        </w:rPr>
        <w:t>Republic of Moldova referred to the rules of international civil procedure;</w:t>
      </w:r>
    </w:p>
    <w:p w14:paraId="1BFF5729" w14:textId="26C5CC28" w:rsidR="00A60AB6" w:rsidRPr="00DF02C5" w:rsidRDefault="00A60AB6" w:rsidP="005038A2">
      <w:pPr>
        <w:pStyle w:val="ListParagraph"/>
        <w:numPr>
          <w:ilvl w:val="0"/>
          <w:numId w:val="23"/>
        </w:numPr>
        <w:spacing w:before="120" w:after="120" w:line="228" w:lineRule="auto"/>
        <w:ind w:left="0" w:firstLine="709"/>
        <w:jc w:val="left"/>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noProof/>
          <w:snapToGrid w:val="0"/>
          <w:color w:val="auto"/>
          <w:kern w:val="22"/>
          <w:bdr w:val="none" w:sz="0" w:space="0" w:color="auto"/>
          <w:lang w:val="en-GB"/>
        </w:rPr>
        <w:t xml:space="preserve">Lao People's Democratic Republic indicated that if disputes cannot be resolved by negotiations between parties, then the Contract Law (2008) will be </w:t>
      </w:r>
      <w:r w:rsidRPr="002D17E1">
        <w:rPr>
          <w:rFonts w:eastAsia="Calibri" w:hAnsi="Times New Roman" w:cs="Times New Roman"/>
          <w:noProof/>
          <w:snapToGrid w:val="0"/>
          <w:color w:val="auto"/>
          <w:kern w:val="22"/>
          <w:bdr w:val="none" w:sz="0" w:space="0" w:color="auto"/>
          <w:lang w:val="en-GB"/>
        </w:rPr>
        <w:t>applied through conciliation,</w:t>
      </w:r>
      <w:r w:rsidRPr="00DF02C5">
        <w:rPr>
          <w:rFonts w:eastAsia="Calibri" w:hAnsi="Times New Roman" w:cs="Times New Roman"/>
          <w:noProof/>
          <w:snapToGrid w:val="0"/>
          <w:color w:val="auto"/>
          <w:kern w:val="22"/>
          <w:bdr w:val="none" w:sz="0" w:space="0" w:color="auto"/>
          <w:lang w:val="en-GB"/>
        </w:rPr>
        <w:t xml:space="preserve"> mediation, arbitration </w:t>
      </w:r>
      <w:r w:rsidR="008F7347" w:rsidRPr="00DF02C5">
        <w:rPr>
          <w:rFonts w:eastAsia="Calibri" w:hAnsi="Times New Roman" w:cs="Times New Roman"/>
          <w:noProof/>
          <w:snapToGrid w:val="0"/>
          <w:color w:val="auto"/>
          <w:kern w:val="22"/>
          <w:bdr w:val="none" w:sz="0" w:space="0" w:color="auto"/>
          <w:lang w:val="en-GB"/>
        </w:rPr>
        <w:t xml:space="preserve"> and ultimately through</w:t>
      </w:r>
      <w:r w:rsidRPr="00DF02C5">
        <w:rPr>
          <w:rFonts w:eastAsia="Calibri" w:hAnsi="Times New Roman" w:cs="Times New Roman"/>
          <w:noProof/>
          <w:snapToGrid w:val="0"/>
          <w:color w:val="auto"/>
          <w:kern w:val="22"/>
          <w:bdr w:val="none" w:sz="0" w:space="0" w:color="auto"/>
          <w:lang w:val="en-GB"/>
        </w:rPr>
        <w:t xml:space="preserve"> judicial legal action</w:t>
      </w:r>
      <w:r w:rsidR="00E748E1" w:rsidRPr="00DF02C5">
        <w:rPr>
          <w:rFonts w:eastAsia="Calibri" w:hAnsi="Times New Roman" w:cs="Times New Roman"/>
          <w:noProof/>
          <w:snapToGrid w:val="0"/>
          <w:color w:val="auto"/>
          <w:kern w:val="22"/>
          <w:bdr w:val="none" w:sz="0" w:space="0" w:color="auto"/>
          <w:lang w:val="en-GB"/>
        </w:rPr>
        <w:t xml:space="preserve">. </w:t>
      </w:r>
    </w:p>
    <w:p w14:paraId="2770C573" w14:textId="5900FAAC" w:rsidR="009F378B" w:rsidRPr="00DF02C5" w:rsidRDefault="009F378B" w:rsidP="009F378B">
      <w:pPr>
        <w:pStyle w:val="Para1"/>
        <w:rPr>
          <w:rFonts w:eastAsia="Calibri" w:hAnsi="Times New Roman"/>
          <w:i/>
          <w:noProof/>
          <w:snapToGrid w:val="0"/>
          <w:color w:val="auto"/>
          <w:kern w:val="22"/>
          <w:bdr w:val="none" w:sz="0" w:space="0" w:color="auto"/>
          <w:lang w:val="en-GB"/>
        </w:rPr>
      </w:pPr>
      <w:r w:rsidRPr="00DF02C5">
        <w:rPr>
          <w:rFonts w:eastAsia="Calibri" w:hAnsi="Times New Roman"/>
          <w:i/>
          <w:noProof/>
          <w:snapToGrid w:val="0"/>
          <w:color w:val="auto"/>
          <w:kern w:val="22"/>
          <w:bdr w:val="none" w:sz="0" w:space="0" w:color="auto"/>
          <w:lang w:val="en-GB"/>
        </w:rPr>
        <w:t>(b)</w:t>
      </w:r>
      <w:r w:rsidRPr="00DF02C5">
        <w:rPr>
          <w:rFonts w:eastAsia="Calibri" w:hAnsi="Times New Roman"/>
          <w:i/>
          <w:noProof/>
          <w:snapToGrid w:val="0"/>
          <w:color w:val="auto"/>
          <w:kern w:val="22"/>
          <w:bdr w:val="none" w:sz="0" w:space="0" w:color="auto"/>
          <w:lang w:val="en-GB"/>
        </w:rPr>
        <w:tab/>
        <w:t>Countries that answered “no”</w:t>
      </w:r>
    </w:p>
    <w:p w14:paraId="277A1580" w14:textId="7A42AF02" w:rsidR="00A60AB6" w:rsidRPr="00DF02C5" w:rsidRDefault="009F378B" w:rsidP="00A2498F">
      <w:pPr>
        <w:pStyle w:val="Para1"/>
        <w:numPr>
          <w:ilvl w:val="0"/>
          <w:numId w:val="1"/>
        </w:numPr>
        <w:rPr>
          <w:rFonts w:eastAsia="Calibri" w:hAnsi="Times New Roman"/>
          <w:noProof/>
          <w:snapToGrid w:val="0"/>
          <w:color w:val="auto"/>
          <w:kern w:val="22"/>
          <w:bdr w:val="none" w:sz="0" w:space="0" w:color="auto"/>
          <w:lang w:val="en-GB"/>
        </w:rPr>
      </w:pPr>
      <w:r w:rsidRPr="00DF02C5">
        <w:rPr>
          <w:rFonts w:eastAsia="Calibri" w:hAnsi="Times New Roman"/>
          <w:noProof/>
          <w:snapToGrid w:val="0"/>
          <w:kern w:val="22"/>
          <w:bdr w:val="none" w:sz="0" w:space="0" w:color="auto"/>
          <w:lang w:val="en-GB"/>
        </w:rPr>
        <w:t>S</w:t>
      </w:r>
      <w:r w:rsidR="00A60AB6" w:rsidRPr="00DF02C5">
        <w:rPr>
          <w:rFonts w:eastAsia="Calibri" w:hAnsi="Times New Roman"/>
          <w:noProof/>
          <w:snapToGrid w:val="0"/>
          <w:kern w:val="22"/>
          <w:bdr w:val="none" w:sz="0" w:space="0" w:color="auto"/>
          <w:lang w:val="en-GB"/>
        </w:rPr>
        <w:t xml:space="preserve">everal </w:t>
      </w:r>
      <w:r w:rsidR="00A60AB6" w:rsidRPr="00DF02C5">
        <w:rPr>
          <w:rFonts w:eastAsia="Calibri" w:hAnsi="Times New Roman"/>
          <w:noProof/>
          <w:snapToGrid w:val="0"/>
          <w:color w:val="auto"/>
          <w:kern w:val="22"/>
          <w:bdr w:val="none" w:sz="0" w:space="0" w:color="auto"/>
          <w:lang w:val="en-GB"/>
        </w:rPr>
        <w:t>countries</w:t>
      </w:r>
      <w:r w:rsidR="00A60AB6" w:rsidRPr="00DF02C5">
        <w:rPr>
          <w:rFonts w:eastAsia="Calibri" w:hAnsi="Times New Roman"/>
          <w:noProof/>
          <w:snapToGrid w:val="0"/>
          <w:color w:val="auto"/>
          <w:kern w:val="22"/>
          <w:bdr w:val="none" w:sz="0" w:space="0" w:color="auto"/>
          <w:vertAlign w:val="superscript"/>
          <w:lang w:val="en-GB"/>
        </w:rPr>
        <w:footnoteReference w:id="240"/>
      </w:r>
      <w:r w:rsidR="00A60AB6" w:rsidRPr="00DF02C5">
        <w:rPr>
          <w:rFonts w:eastAsia="Calibri" w:hAnsi="Times New Roman"/>
          <w:noProof/>
          <w:snapToGrid w:val="0"/>
          <w:color w:val="auto"/>
          <w:kern w:val="22"/>
          <w:bdr w:val="none" w:sz="0" w:space="0" w:color="auto"/>
          <w:lang w:val="en-GB"/>
        </w:rPr>
        <w:t xml:space="preserve"> </w:t>
      </w:r>
      <w:r w:rsidRPr="00DF02C5">
        <w:rPr>
          <w:rFonts w:eastAsia="Calibri" w:hAnsi="Times New Roman"/>
          <w:noProof/>
          <w:snapToGrid w:val="0"/>
          <w:color w:val="auto"/>
          <w:kern w:val="22"/>
          <w:bdr w:val="none" w:sz="0" w:space="0" w:color="auto"/>
          <w:lang w:val="en-GB"/>
        </w:rPr>
        <w:t xml:space="preserve">shared </w:t>
      </w:r>
      <w:r w:rsidR="00A60AB6" w:rsidRPr="00DF02C5">
        <w:rPr>
          <w:rFonts w:eastAsia="Calibri" w:hAnsi="Times New Roman"/>
          <w:noProof/>
          <w:snapToGrid w:val="0"/>
          <w:color w:val="auto"/>
          <w:kern w:val="22"/>
          <w:bdr w:val="none" w:sz="0" w:space="0" w:color="auto"/>
          <w:lang w:val="en-GB"/>
        </w:rPr>
        <w:t xml:space="preserve">their plans </w:t>
      </w:r>
      <w:r w:rsidRPr="00DF02C5">
        <w:rPr>
          <w:rFonts w:eastAsia="Calibri" w:hAnsi="Times New Roman"/>
          <w:noProof/>
          <w:snapToGrid w:val="0"/>
          <w:color w:val="auto"/>
          <w:kern w:val="22"/>
          <w:bdr w:val="none" w:sz="0" w:space="0" w:color="auto"/>
          <w:lang w:val="en-GB"/>
        </w:rPr>
        <w:t xml:space="preserve">for </w:t>
      </w:r>
      <w:r w:rsidR="00A60AB6" w:rsidRPr="00DF02C5">
        <w:rPr>
          <w:rFonts w:eastAsia="Calibri" w:hAnsi="Times New Roman"/>
          <w:noProof/>
          <w:snapToGrid w:val="0"/>
          <w:color w:val="auto"/>
          <w:kern w:val="22"/>
          <w:bdr w:val="none" w:sz="0" w:space="0" w:color="auto"/>
          <w:lang w:val="en-GB"/>
        </w:rPr>
        <w:t>address</w:t>
      </w:r>
      <w:r w:rsidRPr="00DF02C5">
        <w:rPr>
          <w:rFonts w:eastAsia="Calibri" w:hAnsi="Times New Roman"/>
          <w:noProof/>
          <w:snapToGrid w:val="0"/>
          <w:color w:val="auto"/>
          <w:kern w:val="22"/>
          <w:bdr w:val="none" w:sz="0" w:space="0" w:color="auto"/>
          <w:lang w:val="en-GB"/>
        </w:rPr>
        <w:t xml:space="preserve">ing </w:t>
      </w:r>
      <w:r w:rsidR="00A60AB6" w:rsidRPr="00DF02C5">
        <w:rPr>
          <w:rFonts w:eastAsia="Calibri" w:hAnsi="Times New Roman"/>
          <w:noProof/>
          <w:snapToGrid w:val="0"/>
          <w:color w:val="auto"/>
          <w:kern w:val="22"/>
          <w:bdr w:val="none" w:sz="0" w:space="0" w:color="auto"/>
          <w:lang w:val="en-GB"/>
        </w:rPr>
        <w:t xml:space="preserve"> this issue. In addition to including</w:t>
      </w:r>
      <w:r w:rsidRPr="00DF02C5">
        <w:rPr>
          <w:rFonts w:eastAsia="Calibri" w:hAnsi="Times New Roman"/>
          <w:noProof/>
          <w:snapToGrid w:val="0"/>
          <w:color w:val="auto"/>
          <w:kern w:val="22"/>
          <w:bdr w:val="none" w:sz="0" w:space="0" w:color="auto"/>
          <w:lang w:val="en-GB"/>
        </w:rPr>
        <w:t xml:space="preserve"> a</w:t>
      </w:r>
      <w:r w:rsidR="00A60AB6" w:rsidRPr="00DF02C5">
        <w:rPr>
          <w:rFonts w:eastAsia="Calibri" w:hAnsi="Times New Roman"/>
          <w:noProof/>
          <w:snapToGrid w:val="0"/>
          <w:color w:val="auto"/>
          <w:kern w:val="22"/>
          <w:bdr w:val="none" w:sz="0" w:space="0" w:color="auto"/>
          <w:lang w:val="en-GB"/>
        </w:rPr>
        <w:t xml:space="preserve"> provision for recourse in case of disputes arising from MAT in the ABS measures, a few countries</w:t>
      </w:r>
      <w:r w:rsidR="00A60AB6" w:rsidRPr="00DF02C5">
        <w:rPr>
          <w:rStyle w:val="FootnoteReference"/>
          <w:rFonts w:eastAsia="Calibri" w:hAnsi="Times New Roman"/>
          <w:noProof/>
          <w:snapToGrid w:val="0"/>
          <w:color w:val="auto"/>
          <w:kern w:val="22"/>
          <w:bdr w:val="none" w:sz="0" w:space="0" w:color="auto"/>
          <w:lang w:val="en-GB"/>
        </w:rPr>
        <w:footnoteReference w:id="241"/>
      </w:r>
      <w:r w:rsidR="00A60AB6" w:rsidRPr="00DF02C5">
        <w:rPr>
          <w:rFonts w:eastAsia="Calibri" w:hAnsi="Times New Roman"/>
          <w:noProof/>
          <w:snapToGrid w:val="0"/>
          <w:color w:val="auto"/>
          <w:kern w:val="22"/>
          <w:bdr w:val="none" w:sz="0" w:space="0" w:color="auto"/>
          <w:lang w:val="en-GB"/>
        </w:rPr>
        <w:t xml:space="preserve"> stated that contracts signed so far include th</w:t>
      </w:r>
      <w:r w:rsidRPr="00DF02C5">
        <w:rPr>
          <w:rFonts w:eastAsia="Calibri" w:hAnsi="Times New Roman"/>
          <w:noProof/>
          <w:snapToGrid w:val="0"/>
          <w:color w:val="auto"/>
          <w:kern w:val="22"/>
          <w:bdr w:val="none" w:sz="0" w:space="0" w:color="auto"/>
          <w:lang w:val="en-GB"/>
        </w:rPr>
        <w:t>e possibility to seek recourse.</w:t>
      </w:r>
    </w:p>
    <w:p w14:paraId="11979CAE" w14:textId="01276780" w:rsidR="00A60AB6" w:rsidRPr="00DF02C5" w:rsidRDefault="00A60AB6" w:rsidP="00A2498F">
      <w:pPr>
        <w:pStyle w:val="Para1"/>
        <w:numPr>
          <w:ilvl w:val="0"/>
          <w:numId w:val="1"/>
        </w:numPr>
        <w:rPr>
          <w:rFonts w:eastAsia="Calibri" w:hAnsi="Times New Roman"/>
          <w:noProof/>
          <w:snapToGrid w:val="0"/>
          <w:color w:val="auto"/>
          <w:kern w:val="22"/>
          <w:bdr w:val="none" w:sz="0" w:space="0" w:color="auto"/>
          <w:lang w:val="en-GB"/>
        </w:rPr>
      </w:pPr>
      <w:r w:rsidRPr="00DF02C5">
        <w:rPr>
          <w:rFonts w:eastAsia="Calibri" w:hAnsi="Times New Roman"/>
          <w:noProof/>
          <w:snapToGrid w:val="0"/>
          <w:color w:val="auto"/>
          <w:kern w:val="22"/>
          <w:bdr w:val="none" w:sz="0" w:space="0" w:color="auto"/>
          <w:lang w:val="en-GB"/>
        </w:rPr>
        <w:t xml:space="preserve">The European Union indicated that recourse to legal systems in cases of disputes arising from MAT is not dealt with at </w:t>
      </w:r>
      <w:r w:rsidR="009F378B" w:rsidRPr="00DF02C5">
        <w:rPr>
          <w:rFonts w:eastAsia="Calibri" w:hAnsi="Times New Roman"/>
          <w:noProof/>
          <w:snapToGrid w:val="0"/>
          <w:color w:val="auto"/>
          <w:kern w:val="22"/>
          <w:bdr w:val="none" w:sz="0" w:space="0" w:color="auto"/>
          <w:lang w:val="en-GB"/>
        </w:rPr>
        <w:t>the EU level.</w:t>
      </w:r>
      <w:r w:rsidR="002F3486" w:rsidRPr="00DF02C5">
        <w:rPr>
          <w:rFonts w:eastAsia="Calibri" w:hAnsi="Times New Roman"/>
          <w:noProof/>
          <w:snapToGrid w:val="0"/>
          <w:color w:val="auto"/>
          <w:kern w:val="22"/>
          <w:bdr w:val="none" w:sz="0" w:space="0" w:color="auto"/>
          <w:lang w:val="en-GB"/>
        </w:rPr>
        <w:t xml:space="preserve"> </w:t>
      </w:r>
      <w:r w:rsidR="009F378B" w:rsidRPr="00DF02C5">
        <w:rPr>
          <w:rFonts w:eastAsia="Calibri" w:hAnsi="Times New Roman"/>
          <w:noProof/>
          <w:snapToGrid w:val="0"/>
          <w:color w:val="auto"/>
          <w:kern w:val="22"/>
          <w:bdr w:val="none" w:sz="0" w:space="0" w:color="auto"/>
          <w:lang w:val="en-GB"/>
        </w:rPr>
        <w:t>H</w:t>
      </w:r>
      <w:r w:rsidRPr="00DF02C5">
        <w:rPr>
          <w:rFonts w:eastAsia="Calibri" w:hAnsi="Times New Roman"/>
          <w:noProof/>
          <w:snapToGrid w:val="0"/>
          <w:color w:val="auto"/>
          <w:kern w:val="22"/>
          <w:bdr w:val="none" w:sz="0" w:space="0" w:color="auto"/>
          <w:lang w:val="en-GB"/>
        </w:rPr>
        <w:t>owever</w:t>
      </w:r>
      <w:r w:rsidR="002F3486" w:rsidRPr="00DF02C5">
        <w:rPr>
          <w:rFonts w:eastAsia="Calibri" w:hAnsi="Times New Roman"/>
          <w:noProof/>
          <w:snapToGrid w:val="0"/>
          <w:color w:val="auto"/>
          <w:kern w:val="22"/>
          <w:bdr w:val="none" w:sz="0" w:space="0" w:color="auto"/>
          <w:lang w:val="en-GB"/>
        </w:rPr>
        <w:t>, recourse is</w:t>
      </w:r>
      <w:r w:rsidRPr="00DF02C5">
        <w:rPr>
          <w:rFonts w:eastAsia="Calibri" w:hAnsi="Times New Roman"/>
          <w:noProof/>
          <w:snapToGrid w:val="0"/>
          <w:color w:val="auto"/>
          <w:kern w:val="22"/>
          <w:bdr w:val="none" w:sz="0" w:space="0" w:color="auto"/>
          <w:lang w:val="en-GB"/>
        </w:rPr>
        <w:t xml:space="preserve"> available under the legal systems of individual Member States. </w:t>
      </w:r>
    </w:p>
    <w:p w14:paraId="00627623" w14:textId="1954F21C" w:rsidR="00A60AB6" w:rsidRPr="006D1B8A" w:rsidRDefault="009F378B" w:rsidP="006D1B8A">
      <w:pPr>
        <w:pStyle w:val="Para1"/>
        <w:spacing w:before="240"/>
        <w:ind w:left="1890" w:hanging="540"/>
        <w:jc w:val="left"/>
        <w:rPr>
          <w:rFonts w:eastAsia="Calibri" w:hAnsi="Times New Roman"/>
          <w:i/>
          <w:noProof/>
          <w:snapToGrid w:val="0"/>
          <w:color w:val="auto"/>
          <w:kern w:val="22"/>
          <w:bdr w:val="none" w:sz="0" w:space="0" w:color="auto"/>
          <w:lang w:val="en-GB"/>
        </w:rPr>
      </w:pPr>
      <w:r w:rsidRPr="006D1B8A">
        <w:rPr>
          <w:rFonts w:eastAsia="Calibri" w:hAnsi="Times New Roman"/>
          <w:i/>
          <w:noProof/>
          <w:snapToGrid w:val="0"/>
          <w:color w:val="auto"/>
          <w:kern w:val="22"/>
          <w:bdr w:val="none" w:sz="0" w:space="0" w:color="auto"/>
          <w:lang w:val="en-GB"/>
        </w:rPr>
        <w:t xml:space="preserve">3.1 </w:t>
      </w:r>
      <w:r w:rsidR="006D1B8A">
        <w:rPr>
          <w:rFonts w:eastAsia="Calibri" w:hAnsi="Times New Roman"/>
          <w:i/>
          <w:noProof/>
          <w:snapToGrid w:val="0"/>
          <w:color w:val="auto"/>
          <w:kern w:val="22"/>
          <w:bdr w:val="none" w:sz="0" w:space="0" w:color="auto"/>
          <w:lang w:val="en-GB"/>
        </w:rPr>
        <w:tab/>
      </w:r>
      <w:r w:rsidRPr="006D1B8A">
        <w:rPr>
          <w:rFonts w:eastAsia="Calibri" w:hAnsi="Times New Roman"/>
          <w:i/>
          <w:noProof/>
          <w:snapToGrid w:val="0"/>
          <w:color w:val="auto"/>
          <w:kern w:val="22"/>
          <w:bdr w:val="none" w:sz="0" w:space="0" w:color="auto"/>
          <w:lang w:val="en-GB"/>
        </w:rPr>
        <w:t>Has your country taken measures regarding access to justice as</w:t>
      </w:r>
      <w:r w:rsidR="007060F6">
        <w:rPr>
          <w:rFonts w:eastAsia="Calibri" w:hAnsi="Times New Roman"/>
          <w:i/>
          <w:noProof/>
          <w:snapToGrid w:val="0"/>
          <w:color w:val="auto"/>
          <w:kern w:val="22"/>
          <w:bdr w:val="none" w:sz="0" w:space="0" w:color="auto"/>
          <w:lang w:val="en-GB"/>
        </w:rPr>
        <w:t xml:space="preserve"> provide in Article </w:t>
      </w:r>
      <w:r w:rsidRPr="006D1B8A">
        <w:rPr>
          <w:rFonts w:eastAsia="Calibri" w:hAnsi="Times New Roman"/>
          <w:i/>
          <w:noProof/>
          <w:snapToGrid w:val="0"/>
          <w:color w:val="auto"/>
          <w:kern w:val="22"/>
          <w:bdr w:val="none" w:sz="0" w:space="0" w:color="auto"/>
          <w:lang w:val="en-GB"/>
        </w:rPr>
        <w:t>18.3? (question 33)</w:t>
      </w:r>
    </w:p>
    <w:p w14:paraId="1BE58886" w14:textId="5B4283B9" w:rsidR="00F17232" w:rsidRPr="00DF02C5" w:rsidRDefault="00390A77" w:rsidP="00A2498F">
      <w:pPr>
        <w:pStyle w:val="Para1"/>
        <w:numPr>
          <w:ilvl w:val="0"/>
          <w:numId w:val="1"/>
        </w:numPr>
        <w:rPr>
          <w:rFonts w:eastAsia="Calibri" w:hAnsi="Times New Roman"/>
          <w:snapToGrid w:val="0"/>
          <w:color w:val="auto"/>
          <w:kern w:val="22"/>
          <w:bdr w:val="none" w:sz="0" w:space="0" w:color="auto"/>
          <w:lang w:val="en-GB"/>
        </w:rPr>
      </w:pPr>
      <w:proofErr w:type="gramStart"/>
      <w:r w:rsidRPr="00DF02C5">
        <w:rPr>
          <w:rFonts w:hAnsi="Times New Roman"/>
          <w:bdr w:val="none" w:sz="0" w:space="0" w:color="auto"/>
          <w:lang w:val="en-GB"/>
        </w:rPr>
        <w:t>Forty-seven</w:t>
      </w:r>
      <w:proofErr w:type="gramEnd"/>
      <w:r w:rsidRPr="00DF02C5">
        <w:rPr>
          <w:rFonts w:hAnsi="Times New Roman"/>
          <w:bdr w:val="none" w:sz="0" w:space="0" w:color="auto"/>
          <w:lang w:val="en-GB"/>
        </w:rPr>
        <w:t xml:space="preserve"> Parties and three non-Parties responded that they </w:t>
      </w:r>
      <w:r w:rsidRPr="00DF02C5">
        <w:rPr>
          <w:rFonts w:eastAsia="Calibri" w:hAnsi="Times New Roman"/>
          <w:noProof/>
          <w:snapToGrid w:val="0"/>
          <w:color w:val="auto"/>
          <w:kern w:val="22"/>
          <w:bdr w:val="none" w:sz="0" w:space="0" w:color="auto"/>
          <w:lang w:val="en-GB"/>
        </w:rPr>
        <w:t>have taken measures regarding access to justice</w:t>
      </w:r>
      <w:r w:rsidR="009F378B" w:rsidRPr="00DF02C5">
        <w:rPr>
          <w:rFonts w:hAnsi="Times New Roman"/>
          <w:bdr w:val="none" w:sz="0" w:space="0" w:color="auto"/>
          <w:lang w:val="en-GB"/>
        </w:rPr>
        <w:t xml:space="preserve">, while twenty-two Parties and three non-Parties responded that they </w:t>
      </w:r>
      <w:r w:rsidR="009F378B" w:rsidRPr="00DF02C5">
        <w:rPr>
          <w:rFonts w:eastAsia="Calibri" w:hAnsi="Times New Roman"/>
          <w:noProof/>
          <w:snapToGrid w:val="0"/>
          <w:color w:val="auto"/>
          <w:kern w:val="22"/>
          <w:bdr w:val="none" w:sz="0" w:space="0" w:color="auto"/>
          <w:lang w:val="en-GB"/>
        </w:rPr>
        <w:t>have not taken such measures.</w:t>
      </w:r>
      <w:r w:rsidR="00F17232" w:rsidRPr="00DF02C5">
        <w:rPr>
          <w:rFonts w:eastAsia="Calibri" w:hAnsi="Times New Roman"/>
          <w:snapToGrid w:val="0"/>
          <w:color w:val="auto"/>
          <w:kern w:val="22"/>
          <w:bdr w:val="none" w:sz="0" w:space="0" w:color="auto"/>
          <w:lang w:val="en-GB"/>
        </w:rPr>
        <w:t xml:space="preserve"> </w:t>
      </w:r>
    </w:p>
    <w:p w14:paraId="5C4DED55" w14:textId="2ACCD187" w:rsidR="00F17232" w:rsidRPr="00DF02C5" w:rsidRDefault="00E5256F" w:rsidP="00E5256F">
      <w:pPr>
        <w:pStyle w:val="Caption"/>
        <w:keepNext/>
        <w:keepLines/>
        <w:rPr>
          <w:noProof/>
          <w:snapToGrid w:val="0"/>
          <w:bdr w:val="none" w:sz="0" w:space="0" w:color="auto"/>
          <w:lang w:val="en-GB"/>
        </w:rPr>
      </w:pPr>
      <w:r w:rsidRPr="00DF02C5">
        <w:rPr>
          <w:lang w:val="en-GB"/>
        </w:rPr>
        <w:lastRenderedPageBreak/>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Pr="00DF02C5">
        <w:rPr>
          <w:noProof/>
          <w:lang w:val="en-GB"/>
        </w:rPr>
        <w:t>29</w:t>
      </w:r>
      <w:r w:rsidRPr="00DF02C5">
        <w:rPr>
          <w:lang w:val="en-GB"/>
        </w:rPr>
        <w:fldChar w:fldCharType="end"/>
      </w:r>
      <w:r w:rsidR="00F17232" w:rsidRPr="00DF02C5">
        <w:rPr>
          <w:noProof/>
          <w:snapToGrid w:val="0"/>
          <w:bdr w:val="none" w:sz="0" w:space="0" w:color="auto"/>
          <w:lang w:val="en-GB"/>
        </w:rPr>
        <w:t>: Access to justice (percentage of countries)</w:t>
      </w:r>
    </w:p>
    <w:p w14:paraId="3496CAC5" w14:textId="752C1B92" w:rsidR="00F17232" w:rsidRPr="00DF02C5" w:rsidRDefault="00F17232" w:rsidP="00F17232">
      <w:pPr>
        <w:pStyle w:val="Para1"/>
        <w:jc w:val="center"/>
        <w:rPr>
          <w:rFonts w:eastAsia="Calibri" w:hAnsi="Times New Roman"/>
          <w:snapToGrid w:val="0"/>
          <w:color w:val="auto"/>
          <w:kern w:val="22"/>
          <w:bdr w:val="none" w:sz="0" w:space="0" w:color="auto"/>
          <w:lang w:val="en-GB"/>
        </w:rPr>
      </w:pPr>
      <w:r w:rsidRPr="00DF02C5">
        <w:rPr>
          <w:noProof/>
          <w:color w:val="auto"/>
        </w:rPr>
        <w:drawing>
          <wp:inline distT="0" distB="0" distL="0" distR="0" wp14:anchorId="382AA8F9" wp14:editId="3C5D3DFD">
            <wp:extent cx="3524250" cy="2000250"/>
            <wp:effectExtent l="0" t="0" r="1905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CB9C5A9" w14:textId="1E822C34" w:rsidR="00F17232" w:rsidRPr="00DF02C5" w:rsidRDefault="00F17232" w:rsidP="00F17232">
      <w:pPr>
        <w:pStyle w:val="Para1"/>
        <w:rPr>
          <w:rFonts w:eastAsia="Calibri" w:hAnsi="Times New Roman"/>
          <w:i/>
          <w:noProof/>
          <w:snapToGrid w:val="0"/>
          <w:color w:val="auto"/>
          <w:kern w:val="22"/>
          <w:bdr w:val="none" w:sz="0" w:space="0" w:color="auto"/>
          <w:lang w:val="en-GB"/>
        </w:rPr>
      </w:pPr>
      <w:r w:rsidRPr="00DF02C5">
        <w:rPr>
          <w:rFonts w:eastAsia="Calibri" w:hAnsi="Times New Roman"/>
          <w:i/>
          <w:noProof/>
          <w:snapToGrid w:val="0"/>
          <w:color w:val="auto"/>
          <w:kern w:val="22"/>
          <w:bdr w:val="none" w:sz="0" w:space="0" w:color="auto"/>
          <w:lang w:val="en-GB"/>
        </w:rPr>
        <w:t>(a)</w:t>
      </w:r>
      <w:r w:rsidRPr="00DF02C5">
        <w:rPr>
          <w:rFonts w:eastAsia="Calibri" w:hAnsi="Times New Roman"/>
          <w:i/>
          <w:noProof/>
          <w:snapToGrid w:val="0"/>
          <w:color w:val="auto"/>
          <w:kern w:val="22"/>
          <w:bdr w:val="none" w:sz="0" w:space="0" w:color="auto"/>
          <w:lang w:val="en-GB"/>
        </w:rPr>
        <w:tab/>
        <w:t>Countries that answered “yes”</w:t>
      </w:r>
    </w:p>
    <w:p w14:paraId="207970C1" w14:textId="01C8FC97" w:rsidR="00A60AB6" w:rsidRPr="00DF02C5" w:rsidRDefault="00F17232" w:rsidP="00A2498F">
      <w:pPr>
        <w:pStyle w:val="Para1"/>
        <w:numPr>
          <w:ilvl w:val="0"/>
          <w:numId w:val="1"/>
        </w:numPr>
        <w:rPr>
          <w:rFonts w:eastAsia="Calibri" w:hAnsi="Times New Roman"/>
          <w:noProof/>
          <w:snapToGrid w:val="0"/>
          <w:color w:val="auto"/>
          <w:kern w:val="22"/>
          <w:bdr w:val="none" w:sz="0" w:space="0" w:color="auto"/>
          <w:lang w:val="en-GB"/>
        </w:rPr>
      </w:pPr>
      <w:r w:rsidRPr="00DF02C5">
        <w:rPr>
          <w:rFonts w:eastAsia="Calibri" w:hAnsi="Times New Roman"/>
          <w:noProof/>
          <w:snapToGrid w:val="0"/>
          <w:color w:val="auto"/>
          <w:kern w:val="22"/>
          <w:bdr w:val="none" w:sz="0" w:space="0" w:color="auto"/>
          <w:lang w:val="en-GB"/>
        </w:rPr>
        <w:t xml:space="preserve">The answers to this question are very similar to the answers provided in to the previous question 32. </w:t>
      </w:r>
      <w:r w:rsidR="00A60AB6" w:rsidRPr="00DF02C5">
        <w:rPr>
          <w:rFonts w:eastAsia="Calibri" w:hAnsi="Times New Roman"/>
          <w:noProof/>
          <w:snapToGrid w:val="0"/>
          <w:color w:val="auto"/>
          <w:kern w:val="22"/>
          <w:bdr w:val="none" w:sz="0" w:space="0" w:color="auto"/>
          <w:lang w:val="en-GB"/>
        </w:rPr>
        <w:t>The majority of countries that provided further information reported that the</w:t>
      </w:r>
      <w:r w:rsidRPr="00DF02C5">
        <w:rPr>
          <w:lang w:val="en-GB"/>
        </w:rPr>
        <w:t xml:space="preserve"> </w:t>
      </w:r>
      <w:r w:rsidRPr="00DF02C5">
        <w:rPr>
          <w:rFonts w:eastAsia="Calibri" w:hAnsi="Times New Roman"/>
          <w:noProof/>
          <w:snapToGrid w:val="0"/>
          <w:color w:val="auto"/>
          <w:kern w:val="22"/>
          <w:bdr w:val="none" w:sz="0" w:space="0" w:color="auto"/>
          <w:lang w:val="en-GB"/>
        </w:rPr>
        <w:t>ac</w:t>
      </w:r>
      <w:r w:rsidR="00BD60A0" w:rsidRPr="00DF02C5">
        <w:rPr>
          <w:rFonts w:eastAsia="Calibri" w:hAnsi="Times New Roman"/>
          <w:noProof/>
          <w:snapToGrid w:val="0"/>
          <w:color w:val="auto"/>
          <w:kern w:val="22"/>
          <w:bdr w:val="none" w:sz="0" w:space="0" w:color="auto"/>
          <w:lang w:val="en-GB"/>
        </w:rPr>
        <w:t xml:space="preserve">cess </w:t>
      </w:r>
      <w:r w:rsidRPr="00DF02C5">
        <w:rPr>
          <w:rFonts w:eastAsia="Calibri" w:hAnsi="Times New Roman"/>
          <w:noProof/>
          <w:snapToGrid w:val="0"/>
          <w:color w:val="auto"/>
          <w:kern w:val="22"/>
          <w:bdr w:val="none" w:sz="0" w:space="0" w:color="auto"/>
          <w:lang w:val="en-GB"/>
        </w:rPr>
        <w:t>to justice was addressed by other legislation</w:t>
      </w:r>
      <w:r w:rsidRPr="00DF02C5">
        <w:rPr>
          <w:rStyle w:val="FootnoteReference"/>
          <w:rFonts w:eastAsia="Calibri" w:hAnsi="Times New Roman"/>
          <w:noProof/>
          <w:snapToGrid w:val="0"/>
          <w:color w:val="auto"/>
          <w:kern w:val="22"/>
          <w:bdr w:val="none" w:sz="0" w:space="0" w:color="auto"/>
          <w:lang w:val="en-GB"/>
        </w:rPr>
        <w:footnoteReference w:id="242"/>
      </w:r>
      <w:r w:rsidR="007060F6">
        <w:rPr>
          <w:rFonts w:eastAsia="Calibri" w:hAnsi="Times New Roman"/>
          <w:noProof/>
          <w:snapToGrid w:val="0"/>
          <w:color w:val="auto"/>
          <w:kern w:val="22"/>
          <w:bdr w:val="none" w:sz="0" w:space="0" w:color="auto"/>
          <w:lang w:val="en-GB"/>
        </w:rPr>
        <w:t xml:space="preserve"> </w:t>
      </w:r>
      <w:r w:rsidRPr="00DF02C5">
        <w:rPr>
          <w:rFonts w:eastAsia="Calibri" w:hAnsi="Times New Roman"/>
          <w:noProof/>
          <w:snapToGrid w:val="0"/>
          <w:color w:val="auto"/>
          <w:kern w:val="22"/>
          <w:bdr w:val="none" w:sz="0" w:space="0" w:color="auto"/>
          <w:lang w:val="en-GB"/>
        </w:rPr>
        <w:t xml:space="preserve">in the country and not necessarily by ABS measures. For instance, by </w:t>
      </w:r>
      <w:r w:rsidR="00A60AB6" w:rsidRPr="00DF02C5">
        <w:rPr>
          <w:rFonts w:eastAsia="Calibri" w:hAnsi="Times New Roman"/>
          <w:noProof/>
          <w:snapToGrid w:val="0"/>
          <w:color w:val="auto"/>
          <w:kern w:val="22"/>
          <w:bdr w:val="none" w:sz="0" w:space="0" w:color="auto"/>
          <w:lang w:val="en-GB"/>
        </w:rPr>
        <w:t>the constitution</w:t>
      </w:r>
      <w:r w:rsidR="00A60AB6" w:rsidRPr="00DF02C5">
        <w:rPr>
          <w:rStyle w:val="FootnoteReference"/>
          <w:rFonts w:eastAsia="Calibri" w:hAnsi="Times New Roman"/>
          <w:noProof/>
          <w:snapToGrid w:val="0"/>
          <w:color w:val="auto"/>
          <w:kern w:val="22"/>
          <w:bdr w:val="none" w:sz="0" w:space="0" w:color="auto"/>
          <w:lang w:val="en-GB"/>
        </w:rPr>
        <w:footnoteReference w:id="243"/>
      </w:r>
      <w:r w:rsidR="00A60AB6" w:rsidRPr="00DF02C5">
        <w:rPr>
          <w:rFonts w:eastAsia="Calibri" w:hAnsi="Times New Roman"/>
          <w:noProof/>
          <w:snapToGrid w:val="0"/>
          <w:color w:val="auto"/>
          <w:kern w:val="22"/>
          <w:bdr w:val="none" w:sz="0" w:space="0" w:color="auto"/>
          <w:lang w:val="en-GB"/>
        </w:rPr>
        <w:t>, civil or contract law</w:t>
      </w:r>
      <w:r w:rsidR="007060F6">
        <w:rPr>
          <w:rFonts w:eastAsia="Calibri" w:hAnsi="Times New Roman"/>
          <w:noProof/>
          <w:snapToGrid w:val="0"/>
          <w:color w:val="auto"/>
          <w:kern w:val="22"/>
          <w:bdr w:val="none" w:sz="0" w:space="0" w:color="auto"/>
          <w:lang w:val="en-GB"/>
        </w:rPr>
        <w:t>,</w:t>
      </w:r>
      <w:r w:rsidR="00A60AB6" w:rsidRPr="00DF02C5">
        <w:rPr>
          <w:rStyle w:val="FootnoteReference"/>
          <w:rFonts w:eastAsia="Calibri" w:hAnsi="Times New Roman"/>
          <w:noProof/>
          <w:snapToGrid w:val="0"/>
          <w:color w:val="auto"/>
          <w:kern w:val="22"/>
          <w:bdr w:val="none" w:sz="0" w:space="0" w:color="auto"/>
          <w:lang w:val="en-GB"/>
        </w:rPr>
        <w:footnoteReference w:id="244"/>
      </w:r>
      <w:r w:rsidR="00A60AB6" w:rsidRPr="00DF02C5">
        <w:rPr>
          <w:rFonts w:eastAsia="Calibri" w:hAnsi="Times New Roman"/>
          <w:noProof/>
          <w:snapToGrid w:val="0"/>
          <w:color w:val="auto"/>
          <w:kern w:val="22"/>
          <w:bdr w:val="none" w:sz="0" w:space="0" w:color="auto"/>
          <w:lang w:val="en-GB"/>
        </w:rPr>
        <w:t xml:space="preserve"> arbitration measures</w:t>
      </w:r>
      <w:r w:rsidR="007060F6">
        <w:rPr>
          <w:rFonts w:eastAsia="Calibri" w:hAnsi="Times New Roman"/>
          <w:noProof/>
          <w:snapToGrid w:val="0"/>
          <w:color w:val="auto"/>
          <w:kern w:val="22"/>
          <w:bdr w:val="none" w:sz="0" w:space="0" w:color="auto"/>
          <w:lang w:val="en-GB"/>
        </w:rPr>
        <w:t>,</w:t>
      </w:r>
      <w:r w:rsidR="00A60AB6" w:rsidRPr="00DF02C5">
        <w:rPr>
          <w:rStyle w:val="FootnoteReference"/>
          <w:rFonts w:eastAsia="Calibri" w:hAnsi="Times New Roman"/>
          <w:noProof/>
          <w:snapToGrid w:val="0"/>
          <w:color w:val="auto"/>
          <w:kern w:val="22"/>
          <w:bdr w:val="none" w:sz="0" w:space="0" w:color="auto"/>
          <w:lang w:val="en-GB"/>
        </w:rPr>
        <w:footnoteReference w:id="245"/>
      </w:r>
      <w:r w:rsidR="007A03E5" w:rsidRPr="00DF02C5">
        <w:rPr>
          <w:rFonts w:eastAsia="Calibri" w:hAnsi="Times New Roman"/>
          <w:noProof/>
          <w:snapToGrid w:val="0"/>
          <w:color w:val="auto"/>
          <w:kern w:val="22"/>
          <w:bdr w:val="none" w:sz="0" w:space="0" w:color="auto"/>
          <w:lang w:val="en-GB"/>
        </w:rPr>
        <w:t xml:space="preserve"> </w:t>
      </w:r>
      <w:r w:rsidRPr="00DF02C5">
        <w:rPr>
          <w:rFonts w:eastAsia="Calibri" w:hAnsi="Times New Roman"/>
          <w:noProof/>
          <w:snapToGrid w:val="0"/>
          <w:color w:val="auto"/>
          <w:kern w:val="22"/>
          <w:bdr w:val="none" w:sz="0" w:space="0" w:color="auto"/>
          <w:lang w:val="en-GB"/>
        </w:rPr>
        <w:t xml:space="preserve">or </w:t>
      </w:r>
      <w:r w:rsidR="00A60AB6" w:rsidRPr="00DF02C5">
        <w:rPr>
          <w:rFonts w:eastAsia="Calibri" w:hAnsi="Times New Roman"/>
          <w:noProof/>
          <w:snapToGrid w:val="0"/>
          <w:color w:val="auto"/>
          <w:kern w:val="22"/>
          <w:bdr w:val="none" w:sz="0" w:space="0" w:color="auto"/>
          <w:lang w:val="en-GB"/>
        </w:rPr>
        <w:t>oth</w:t>
      </w:r>
      <w:r w:rsidRPr="00DF02C5">
        <w:rPr>
          <w:rFonts w:eastAsia="Calibri" w:hAnsi="Times New Roman"/>
          <w:noProof/>
          <w:snapToGrid w:val="0"/>
          <w:color w:val="auto"/>
          <w:kern w:val="22"/>
          <w:bdr w:val="none" w:sz="0" w:space="0" w:color="auto"/>
          <w:lang w:val="en-GB"/>
        </w:rPr>
        <w:t>er</w:t>
      </w:r>
      <w:r w:rsidR="00A60AB6" w:rsidRPr="00DF02C5">
        <w:rPr>
          <w:rFonts w:eastAsia="Calibri" w:hAnsi="Times New Roman"/>
          <w:noProof/>
          <w:snapToGrid w:val="0"/>
          <w:color w:val="auto"/>
          <w:kern w:val="22"/>
          <w:bdr w:val="none" w:sz="0" w:space="0" w:color="auto"/>
          <w:lang w:val="en-GB"/>
        </w:rPr>
        <w:t>. Some countries reported addressing this issue in their ABS measures</w:t>
      </w:r>
      <w:r w:rsidR="007060F6">
        <w:rPr>
          <w:rFonts w:eastAsia="Calibri" w:hAnsi="Times New Roman"/>
          <w:noProof/>
          <w:snapToGrid w:val="0"/>
          <w:color w:val="auto"/>
          <w:kern w:val="22"/>
          <w:bdr w:val="none" w:sz="0" w:space="0" w:color="auto"/>
          <w:lang w:val="en-GB"/>
        </w:rPr>
        <w:t>,</w:t>
      </w:r>
      <w:r w:rsidR="007A03E5" w:rsidRPr="00DF02C5">
        <w:rPr>
          <w:rStyle w:val="FootnoteReference"/>
          <w:rFonts w:eastAsia="Calibri" w:hAnsi="Times New Roman"/>
          <w:noProof/>
          <w:snapToGrid w:val="0"/>
          <w:color w:val="auto"/>
          <w:kern w:val="22"/>
          <w:bdr w:val="none" w:sz="0" w:space="0" w:color="auto"/>
          <w:lang w:val="en-GB"/>
        </w:rPr>
        <w:footnoteReference w:id="246"/>
      </w:r>
      <w:r w:rsidR="007A03E5" w:rsidRPr="00DF02C5">
        <w:rPr>
          <w:rFonts w:eastAsia="Calibri" w:hAnsi="Times New Roman"/>
          <w:noProof/>
          <w:snapToGrid w:val="0"/>
          <w:color w:val="auto"/>
          <w:kern w:val="22"/>
          <w:bdr w:val="none" w:sz="0" w:space="0" w:color="auto"/>
          <w:lang w:val="en-GB"/>
        </w:rPr>
        <w:t xml:space="preserve"> </w:t>
      </w:r>
      <w:r w:rsidR="00A60AB6" w:rsidRPr="00DF02C5">
        <w:rPr>
          <w:rFonts w:eastAsia="Calibri" w:hAnsi="Times New Roman"/>
          <w:noProof/>
          <w:snapToGrid w:val="0"/>
          <w:color w:val="auto"/>
          <w:kern w:val="22"/>
          <w:bdr w:val="none" w:sz="0" w:space="0" w:color="auto"/>
          <w:lang w:val="en-GB"/>
        </w:rPr>
        <w:t>or the draft under development or approval</w:t>
      </w:r>
      <w:r w:rsidR="007060F6">
        <w:rPr>
          <w:rFonts w:eastAsia="Calibri" w:hAnsi="Times New Roman"/>
          <w:noProof/>
          <w:snapToGrid w:val="0"/>
          <w:color w:val="auto"/>
          <w:kern w:val="22"/>
          <w:bdr w:val="none" w:sz="0" w:space="0" w:color="auto"/>
          <w:lang w:val="en-GB"/>
        </w:rPr>
        <w:t>.</w:t>
      </w:r>
      <w:r w:rsidR="00A60AB6" w:rsidRPr="00DF02C5">
        <w:rPr>
          <w:rStyle w:val="FootnoteReference"/>
          <w:rFonts w:eastAsia="Calibri" w:hAnsi="Times New Roman"/>
          <w:noProof/>
          <w:snapToGrid w:val="0"/>
          <w:color w:val="auto"/>
          <w:kern w:val="22"/>
          <w:bdr w:val="none" w:sz="0" w:space="0" w:color="auto"/>
          <w:lang w:val="en-GB"/>
        </w:rPr>
        <w:footnoteReference w:id="247"/>
      </w:r>
    </w:p>
    <w:p w14:paraId="6DE75A87" w14:textId="77777777" w:rsidR="00A60AB6" w:rsidRPr="00DF02C5" w:rsidRDefault="00A60AB6" w:rsidP="00A2498F">
      <w:pPr>
        <w:pStyle w:val="Para1"/>
        <w:numPr>
          <w:ilvl w:val="0"/>
          <w:numId w:val="1"/>
        </w:numPr>
        <w:rPr>
          <w:rFonts w:eastAsia="Calibri" w:hAnsi="Times New Roman"/>
          <w:noProof/>
          <w:snapToGrid w:val="0"/>
          <w:color w:val="auto"/>
          <w:kern w:val="22"/>
          <w:bdr w:val="none" w:sz="0" w:space="0" w:color="auto"/>
          <w:lang w:val="en-GB"/>
        </w:rPr>
      </w:pPr>
      <w:r w:rsidRPr="00DF02C5">
        <w:rPr>
          <w:rFonts w:eastAsia="Calibri" w:hAnsi="Times New Roman"/>
          <w:noProof/>
          <w:snapToGrid w:val="0"/>
          <w:color w:val="auto"/>
          <w:kern w:val="22"/>
          <w:bdr w:val="none" w:sz="0" w:space="0" w:color="auto"/>
          <w:lang w:val="en-GB"/>
        </w:rPr>
        <w:t>Some examples of information provided by countries not mentioned in the analysis of question 32 above include:</w:t>
      </w:r>
    </w:p>
    <w:p w14:paraId="5F88D2A5" w14:textId="02346343" w:rsidR="00A60AB6" w:rsidRPr="00DF02C5" w:rsidRDefault="00A60AB6" w:rsidP="00BC6060">
      <w:pPr>
        <w:pStyle w:val="ListParagraph"/>
        <w:numPr>
          <w:ilvl w:val="0"/>
          <w:numId w:val="24"/>
        </w:numPr>
        <w:spacing w:before="120" w:after="120" w:line="228" w:lineRule="auto"/>
        <w:ind w:left="0" w:firstLine="709"/>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noProof/>
          <w:snapToGrid w:val="0"/>
          <w:color w:val="auto"/>
          <w:kern w:val="22"/>
          <w:bdr w:val="none" w:sz="0" w:space="0" w:color="auto"/>
          <w:lang w:val="en-GB"/>
        </w:rPr>
        <w:t>In Cuba the environmental law foresees access to administ</w:t>
      </w:r>
      <w:r w:rsidR="007060F6">
        <w:rPr>
          <w:rFonts w:eastAsia="Calibri" w:hAnsi="Times New Roman" w:cs="Times New Roman"/>
          <w:noProof/>
          <w:snapToGrid w:val="0"/>
          <w:color w:val="auto"/>
          <w:kern w:val="22"/>
          <w:bdr w:val="none" w:sz="0" w:space="0" w:color="auto"/>
          <w:lang w:val="en-GB"/>
        </w:rPr>
        <w:t>rative, civil and penal justice;</w:t>
      </w:r>
    </w:p>
    <w:p w14:paraId="1F05E979" w14:textId="7398F511" w:rsidR="00A60AB6" w:rsidRPr="00DF02C5" w:rsidRDefault="00A60AB6" w:rsidP="00BC6060">
      <w:pPr>
        <w:pStyle w:val="ListParagraph"/>
        <w:numPr>
          <w:ilvl w:val="0"/>
          <w:numId w:val="24"/>
        </w:numPr>
        <w:spacing w:before="120" w:after="120" w:line="228" w:lineRule="auto"/>
        <w:ind w:left="0" w:firstLine="709"/>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noProof/>
          <w:snapToGrid w:val="0"/>
          <w:color w:val="auto"/>
          <w:kern w:val="22"/>
          <w:bdr w:val="none" w:sz="0" w:space="0" w:color="auto"/>
          <w:lang w:val="en-GB"/>
        </w:rPr>
        <w:t>Danish legal assistance programs do not discriminate bet</w:t>
      </w:r>
      <w:r w:rsidR="007060F6">
        <w:rPr>
          <w:rFonts w:eastAsia="Calibri" w:hAnsi="Times New Roman" w:cs="Times New Roman"/>
          <w:noProof/>
          <w:snapToGrid w:val="0"/>
          <w:color w:val="auto"/>
          <w:kern w:val="22"/>
          <w:bdr w:val="none" w:sz="0" w:space="0" w:color="auto"/>
          <w:lang w:val="en-GB"/>
        </w:rPr>
        <w:t>ween nationals and foreigners;</w:t>
      </w:r>
    </w:p>
    <w:p w14:paraId="40DA7F27" w14:textId="1718A3D5" w:rsidR="00A60AB6" w:rsidRPr="00DF02C5" w:rsidRDefault="00A60AB6" w:rsidP="00BC6060">
      <w:pPr>
        <w:pStyle w:val="ListParagraph"/>
        <w:numPr>
          <w:ilvl w:val="0"/>
          <w:numId w:val="24"/>
        </w:numPr>
        <w:spacing w:before="120" w:after="120" w:line="228" w:lineRule="auto"/>
        <w:ind w:left="0" w:firstLine="709"/>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noProof/>
          <w:snapToGrid w:val="0"/>
          <w:color w:val="auto"/>
          <w:kern w:val="22"/>
          <w:bdr w:val="none" w:sz="0" w:space="0" w:color="auto"/>
          <w:lang w:val="en-GB"/>
        </w:rPr>
        <w:t>Norway indicated that both user</w:t>
      </w:r>
      <w:r w:rsidR="002F3486" w:rsidRPr="00DF02C5">
        <w:rPr>
          <w:rFonts w:eastAsia="Calibri" w:hAnsi="Times New Roman" w:cs="Times New Roman"/>
          <w:noProof/>
          <w:snapToGrid w:val="0"/>
          <w:color w:val="auto"/>
          <w:kern w:val="22"/>
          <w:bdr w:val="none" w:sz="0" w:space="0" w:color="auto"/>
          <w:lang w:val="en-GB"/>
        </w:rPr>
        <w:t>s</w:t>
      </w:r>
      <w:r w:rsidRPr="00DF02C5">
        <w:rPr>
          <w:rFonts w:eastAsia="Calibri" w:hAnsi="Times New Roman" w:cs="Times New Roman"/>
          <w:noProof/>
          <w:snapToGrid w:val="0"/>
          <w:color w:val="auto"/>
          <w:kern w:val="22"/>
          <w:bdr w:val="none" w:sz="0" w:space="0" w:color="auto"/>
          <w:lang w:val="en-GB"/>
        </w:rPr>
        <w:t xml:space="preserve"> and providers have access to civil courts provided that they have legal standing, which is assessed on case</w:t>
      </w:r>
      <w:r w:rsidR="002F3486" w:rsidRPr="00DF02C5">
        <w:rPr>
          <w:rFonts w:eastAsia="Calibri" w:hAnsi="Times New Roman" w:cs="Times New Roman"/>
          <w:noProof/>
          <w:snapToGrid w:val="0"/>
          <w:color w:val="auto"/>
          <w:kern w:val="22"/>
          <w:bdr w:val="none" w:sz="0" w:space="0" w:color="auto"/>
          <w:lang w:val="en-GB"/>
        </w:rPr>
        <w:t>-</w:t>
      </w:r>
      <w:r w:rsidRPr="00DF02C5">
        <w:rPr>
          <w:rFonts w:eastAsia="Calibri" w:hAnsi="Times New Roman" w:cs="Times New Roman"/>
          <w:noProof/>
          <w:snapToGrid w:val="0"/>
          <w:color w:val="auto"/>
          <w:kern w:val="22"/>
          <w:bdr w:val="none" w:sz="0" w:space="0" w:color="auto"/>
          <w:lang w:val="en-GB"/>
        </w:rPr>
        <w:t>by</w:t>
      </w:r>
      <w:r w:rsidR="002F3486" w:rsidRPr="00DF02C5">
        <w:rPr>
          <w:rFonts w:eastAsia="Calibri" w:hAnsi="Times New Roman" w:cs="Times New Roman"/>
          <w:noProof/>
          <w:snapToGrid w:val="0"/>
          <w:color w:val="auto"/>
          <w:kern w:val="22"/>
          <w:bdr w:val="none" w:sz="0" w:space="0" w:color="auto"/>
          <w:lang w:val="en-GB"/>
        </w:rPr>
        <w:t>-</w:t>
      </w:r>
      <w:r w:rsidRPr="00DF02C5">
        <w:rPr>
          <w:rFonts w:eastAsia="Calibri" w:hAnsi="Times New Roman" w:cs="Times New Roman"/>
          <w:noProof/>
          <w:snapToGrid w:val="0"/>
          <w:color w:val="auto"/>
          <w:kern w:val="22"/>
          <w:bdr w:val="none" w:sz="0" w:space="0" w:color="auto"/>
          <w:lang w:val="en-GB"/>
        </w:rPr>
        <w:t>case basis.</w:t>
      </w:r>
      <w:r w:rsidRPr="00DF02C5">
        <w:rPr>
          <w:lang w:val="en-GB"/>
        </w:rPr>
        <w:t xml:space="preserve"> </w:t>
      </w:r>
      <w:r w:rsidRPr="00DF02C5">
        <w:rPr>
          <w:rFonts w:eastAsia="Calibri" w:hAnsi="Times New Roman" w:cs="Times New Roman"/>
          <w:noProof/>
          <w:snapToGrid w:val="0"/>
          <w:color w:val="auto"/>
          <w:kern w:val="22"/>
          <w:bdr w:val="none" w:sz="0" w:space="0" w:color="auto"/>
          <w:lang w:val="en-GB"/>
        </w:rPr>
        <w:t xml:space="preserve">The import </w:t>
      </w:r>
      <w:r w:rsidR="002F3486" w:rsidRPr="00DF02C5">
        <w:rPr>
          <w:rFonts w:eastAsia="Calibri" w:hAnsi="Times New Roman" w:cs="Times New Roman"/>
          <w:noProof/>
          <w:snapToGrid w:val="0"/>
          <w:color w:val="auto"/>
          <w:kern w:val="22"/>
          <w:bdr w:val="none" w:sz="0" w:space="0" w:color="auto"/>
          <w:lang w:val="en-GB"/>
        </w:rPr>
        <w:t xml:space="preserve">of genetic material </w:t>
      </w:r>
      <w:r w:rsidRPr="00DF02C5">
        <w:rPr>
          <w:rFonts w:eastAsia="Calibri" w:hAnsi="Times New Roman" w:cs="Times New Roman"/>
          <w:noProof/>
          <w:snapToGrid w:val="0"/>
          <w:color w:val="auto"/>
          <w:kern w:val="22"/>
          <w:bdr w:val="none" w:sz="0" w:space="0" w:color="auto"/>
          <w:lang w:val="en-GB"/>
        </w:rPr>
        <w:t>fo</w:t>
      </w:r>
      <w:r w:rsidR="00F17232" w:rsidRPr="00DF02C5">
        <w:rPr>
          <w:rFonts w:eastAsia="Calibri" w:hAnsi="Times New Roman" w:cs="Times New Roman"/>
          <w:noProof/>
          <w:snapToGrid w:val="0"/>
          <w:color w:val="auto"/>
          <w:kern w:val="22"/>
          <w:bdr w:val="none" w:sz="0" w:space="0" w:color="auto"/>
          <w:lang w:val="en-GB"/>
        </w:rPr>
        <w:t>r utilisation in Norway from a country</w:t>
      </w:r>
      <w:r w:rsidRPr="00DF02C5">
        <w:rPr>
          <w:rFonts w:eastAsia="Calibri" w:hAnsi="Times New Roman" w:cs="Times New Roman"/>
          <w:noProof/>
          <w:snapToGrid w:val="0"/>
          <w:color w:val="auto"/>
          <w:kern w:val="22"/>
          <w:bdr w:val="none" w:sz="0" w:space="0" w:color="auto"/>
          <w:lang w:val="en-GB"/>
        </w:rPr>
        <w:t xml:space="preserve"> that requires consent for collection or export of such material may only take place in accordance with such consent. The </w:t>
      </w:r>
      <w:r w:rsidR="00F17232" w:rsidRPr="00DF02C5">
        <w:rPr>
          <w:rFonts w:eastAsia="Calibri" w:hAnsi="Times New Roman" w:cs="Times New Roman"/>
          <w:noProof/>
          <w:snapToGrid w:val="0"/>
          <w:color w:val="auto"/>
          <w:kern w:val="22"/>
          <w:bdr w:val="none" w:sz="0" w:space="0" w:color="auto"/>
          <w:lang w:val="en-GB"/>
        </w:rPr>
        <w:t xml:space="preserve">country </w:t>
      </w:r>
      <w:r w:rsidRPr="00DF02C5">
        <w:rPr>
          <w:rFonts w:eastAsia="Calibri" w:hAnsi="Times New Roman" w:cs="Times New Roman"/>
          <w:noProof/>
          <w:snapToGrid w:val="0"/>
          <w:color w:val="auto"/>
          <w:kern w:val="22"/>
          <w:bdr w:val="none" w:sz="0" w:space="0" w:color="auto"/>
          <w:lang w:val="en-GB"/>
        </w:rPr>
        <w:t xml:space="preserve">may enforce the conditions by bringing legal action on behalf of the </w:t>
      </w:r>
      <w:r w:rsidR="002F3486" w:rsidRPr="00DF02C5">
        <w:rPr>
          <w:rFonts w:eastAsia="Calibri" w:hAnsi="Times New Roman" w:cs="Times New Roman"/>
          <w:noProof/>
          <w:snapToGrid w:val="0"/>
          <w:color w:val="auto"/>
          <w:kern w:val="22"/>
          <w:bdr w:val="none" w:sz="0" w:space="0" w:color="auto"/>
          <w:lang w:val="en-GB"/>
        </w:rPr>
        <w:t>entity</w:t>
      </w:r>
      <w:r w:rsidRPr="00DF02C5">
        <w:rPr>
          <w:rFonts w:eastAsia="Calibri" w:hAnsi="Times New Roman" w:cs="Times New Roman"/>
          <w:noProof/>
          <w:snapToGrid w:val="0"/>
          <w:color w:val="auto"/>
          <w:kern w:val="22"/>
          <w:bdr w:val="none" w:sz="0" w:space="0" w:color="auto"/>
          <w:lang w:val="en-GB"/>
        </w:rPr>
        <w:t xml:space="preserve"> that set</w:t>
      </w:r>
      <w:r w:rsidR="007060F6">
        <w:rPr>
          <w:rFonts w:eastAsia="Calibri" w:hAnsi="Times New Roman" w:cs="Times New Roman"/>
          <w:noProof/>
          <w:snapToGrid w:val="0"/>
          <w:color w:val="auto"/>
          <w:kern w:val="22"/>
          <w:bdr w:val="none" w:sz="0" w:space="0" w:color="auto"/>
          <w:lang w:val="en-GB"/>
        </w:rPr>
        <w:t xml:space="preserve"> the conditions for the consent;</w:t>
      </w:r>
    </w:p>
    <w:p w14:paraId="194CDDDA" w14:textId="2F19AFA0" w:rsidR="00A60AB6" w:rsidRPr="00DF02C5" w:rsidRDefault="00A60AB6" w:rsidP="00BC6060">
      <w:pPr>
        <w:pStyle w:val="ListParagraph"/>
        <w:numPr>
          <w:ilvl w:val="0"/>
          <w:numId w:val="24"/>
        </w:numPr>
        <w:spacing w:before="120" w:after="120" w:line="228" w:lineRule="auto"/>
        <w:ind w:left="0" w:firstLine="709"/>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noProof/>
          <w:snapToGrid w:val="0"/>
          <w:color w:val="auto"/>
          <w:kern w:val="22"/>
          <w:bdr w:val="none" w:sz="0" w:space="0" w:color="auto"/>
          <w:lang w:val="en-GB"/>
        </w:rPr>
        <w:t>In Finland</w:t>
      </w:r>
      <w:r w:rsidR="00F17232" w:rsidRPr="00DF02C5">
        <w:rPr>
          <w:rFonts w:eastAsia="Calibri" w:hAnsi="Times New Roman" w:cs="Times New Roman"/>
          <w:noProof/>
          <w:snapToGrid w:val="0"/>
          <w:color w:val="auto"/>
          <w:kern w:val="22"/>
          <w:bdr w:val="none" w:sz="0" w:space="0" w:color="auto"/>
          <w:lang w:val="en-GB"/>
        </w:rPr>
        <w:t xml:space="preserve"> appeal of </w:t>
      </w:r>
      <w:r w:rsidRPr="00DF02C5">
        <w:rPr>
          <w:rFonts w:eastAsia="Calibri" w:hAnsi="Times New Roman" w:cs="Times New Roman"/>
          <w:noProof/>
          <w:snapToGrid w:val="0"/>
          <w:color w:val="auto"/>
          <w:kern w:val="22"/>
          <w:bdr w:val="none" w:sz="0" w:space="0" w:color="auto"/>
          <w:lang w:val="en-GB"/>
        </w:rPr>
        <w:t xml:space="preserve"> the decision by the competent authority concerning the approval of the MAT </w:t>
      </w:r>
      <w:r w:rsidR="00653F8F" w:rsidRPr="00DF02C5">
        <w:rPr>
          <w:rFonts w:eastAsia="Calibri" w:hAnsi="Times New Roman" w:cs="Times New Roman"/>
          <w:noProof/>
          <w:snapToGrid w:val="0"/>
          <w:color w:val="auto"/>
          <w:kern w:val="22"/>
          <w:bdr w:val="none" w:sz="0" w:space="0" w:color="auto"/>
          <w:lang w:val="en-GB"/>
        </w:rPr>
        <w:t>can be presented</w:t>
      </w:r>
      <w:r w:rsidR="007060F6">
        <w:rPr>
          <w:rFonts w:eastAsia="Calibri" w:hAnsi="Times New Roman" w:cs="Times New Roman"/>
          <w:noProof/>
          <w:snapToGrid w:val="0"/>
          <w:color w:val="auto"/>
          <w:kern w:val="22"/>
          <w:bdr w:val="none" w:sz="0" w:space="0" w:color="auto"/>
          <w:lang w:val="en-GB"/>
        </w:rPr>
        <w:t xml:space="preserve"> before an administrative court;</w:t>
      </w:r>
    </w:p>
    <w:p w14:paraId="34E7B024" w14:textId="4C7CA98A" w:rsidR="00A60AB6" w:rsidRPr="00DF02C5" w:rsidRDefault="00A60AB6" w:rsidP="00BC6060">
      <w:pPr>
        <w:pStyle w:val="ListParagraph"/>
        <w:numPr>
          <w:ilvl w:val="0"/>
          <w:numId w:val="24"/>
        </w:numPr>
        <w:spacing w:before="120" w:after="120" w:line="228" w:lineRule="auto"/>
        <w:ind w:left="0" w:firstLine="709"/>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noProof/>
          <w:snapToGrid w:val="0"/>
          <w:color w:val="auto"/>
          <w:kern w:val="22"/>
          <w:bdr w:val="none" w:sz="0" w:space="0" w:color="auto"/>
          <w:lang w:val="en-GB"/>
        </w:rPr>
        <w:t xml:space="preserve">The Spanish Decree provides the possibility of appealing decisions related to </w:t>
      </w:r>
      <w:r w:rsidR="007060F6">
        <w:rPr>
          <w:rFonts w:eastAsia="Calibri" w:hAnsi="Times New Roman" w:cs="Times New Roman"/>
          <w:noProof/>
          <w:snapToGrid w:val="0"/>
          <w:color w:val="auto"/>
          <w:kern w:val="22"/>
          <w:bdr w:val="none" w:sz="0" w:space="0" w:color="auto"/>
          <w:lang w:val="en-GB"/>
        </w:rPr>
        <w:t>access  authorisations;</w:t>
      </w:r>
    </w:p>
    <w:p w14:paraId="375D148B" w14:textId="5121798D" w:rsidR="00A60AB6" w:rsidRPr="00DF02C5" w:rsidRDefault="00A60AB6" w:rsidP="00BC6060">
      <w:pPr>
        <w:pStyle w:val="ListParagraph"/>
        <w:numPr>
          <w:ilvl w:val="0"/>
          <w:numId w:val="24"/>
        </w:numPr>
        <w:spacing w:before="120" w:after="120" w:line="228" w:lineRule="auto"/>
        <w:ind w:left="0" w:firstLine="709"/>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noProof/>
          <w:snapToGrid w:val="0"/>
          <w:color w:val="auto"/>
          <w:kern w:val="22"/>
          <w:bdr w:val="none" w:sz="0" w:space="0" w:color="auto"/>
          <w:lang w:val="en-GB"/>
        </w:rPr>
        <w:t>In India the Biological Diversity Act, 2002 (under Section 52 A) includes measures for ensuring access to justice and any person aggrieved with the determination of benefit-sharing can file an appeal</w:t>
      </w:r>
      <w:r w:rsidR="007060F6">
        <w:rPr>
          <w:rFonts w:eastAsia="Calibri" w:hAnsi="Times New Roman" w:cs="Times New Roman"/>
          <w:noProof/>
          <w:snapToGrid w:val="0"/>
          <w:color w:val="auto"/>
          <w:kern w:val="22"/>
          <w:bdr w:val="none" w:sz="0" w:space="0" w:color="auto"/>
          <w:lang w:val="en-GB"/>
        </w:rPr>
        <w:t xml:space="preserve"> to the National Green Tribunal;</w:t>
      </w:r>
    </w:p>
    <w:p w14:paraId="08E9EC92" w14:textId="25D54EFF" w:rsidR="00A60AB6" w:rsidRPr="00DF02C5" w:rsidRDefault="00653F8F" w:rsidP="00BC6060">
      <w:pPr>
        <w:pStyle w:val="ListParagraph"/>
        <w:numPr>
          <w:ilvl w:val="0"/>
          <w:numId w:val="24"/>
        </w:numPr>
        <w:spacing w:before="120" w:after="120" w:line="228" w:lineRule="auto"/>
        <w:ind w:left="0" w:firstLine="709"/>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noProof/>
          <w:snapToGrid w:val="0"/>
          <w:color w:val="auto"/>
          <w:kern w:val="22"/>
          <w:bdr w:val="none" w:sz="0" w:space="0" w:color="auto"/>
          <w:lang w:val="en-GB"/>
        </w:rPr>
        <w:lastRenderedPageBreak/>
        <w:t>A more effective legal system</w:t>
      </w:r>
      <w:r w:rsidR="00A60AB6" w:rsidRPr="00DF02C5">
        <w:rPr>
          <w:rFonts w:eastAsia="Calibri" w:hAnsi="Times New Roman" w:cs="Times New Roman"/>
          <w:noProof/>
          <w:snapToGrid w:val="0"/>
          <w:color w:val="auto"/>
          <w:kern w:val="22"/>
          <w:bdr w:val="none" w:sz="0" w:space="0" w:color="auto"/>
          <w:lang w:val="en-GB"/>
        </w:rPr>
        <w:t xml:space="preserve"> is under development in South Africa through the current amendment of the National Environmental Management: Biodiversity Act, 2004 and its BABS Regulations to deal with issues of access </w:t>
      </w:r>
      <w:r w:rsidRPr="00DF02C5">
        <w:rPr>
          <w:rFonts w:eastAsia="Calibri" w:hAnsi="Times New Roman" w:cs="Times New Roman"/>
          <w:noProof/>
          <w:snapToGrid w:val="0"/>
          <w:color w:val="auto"/>
          <w:kern w:val="22"/>
          <w:bdr w:val="none" w:sz="0" w:space="0" w:color="auto"/>
          <w:lang w:val="en-GB"/>
        </w:rPr>
        <w:t>to justice in a foreign country.</w:t>
      </w:r>
    </w:p>
    <w:p w14:paraId="7D5358E8" w14:textId="5755D5B0" w:rsidR="00653F8F" w:rsidRPr="00DF02C5" w:rsidRDefault="00653F8F" w:rsidP="00653F8F">
      <w:pPr>
        <w:pStyle w:val="Para1"/>
        <w:rPr>
          <w:rFonts w:hAnsi="Times New Roman"/>
          <w:i/>
          <w:highlight w:val="yellow"/>
          <w:bdr w:val="none" w:sz="0" w:space="0" w:color="auto"/>
          <w:lang w:val="en-GB"/>
        </w:rPr>
      </w:pPr>
      <w:r w:rsidRPr="00DF02C5">
        <w:rPr>
          <w:rFonts w:hAnsi="Times New Roman"/>
          <w:i/>
          <w:bdr w:val="none" w:sz="0" w:space="0" w:color="auto"/>
          <w:lang w:val="en-GB"/>
        </w:rPr>
        <w:t>(b)</w:t>
      </w:r>
      <w:r w:rsidRPr="00DF02C5">
        <w:rPr>
          <w:rFonts w:hAnsi="Times New Roman"/>
          <w:i/>
          <w:bdr w:val="none" w:sz="0" w:space="0" w:color="auto"/>
          <w:lang w:val="en-GB"/>
        </w:rPr>
        <w:tab/>
        <w:t>Countries that answered “no”</w:t>
      </w:r>
    </w:p>
    <w:p w14:paraId="5E6976D1" w14:textId="70D70959" w:rsidR="00A60AB6" w:rsidRPr="00DF02C5" w:rsidRDefault="00A60AB6" w:rsidP="00A2498F">
      <w:pPr>
        <w:pStyle w:val="Para1"/>
        <w:numPr>
          <w:ilvl w:val="0"/>
          <w:numId w:val="1"/>
        </w:numPr>
        <w:rPr>
          <w:rFonts w:eastAsia="Calibri" w:hAnsi="Times New Roman"/>
          <w:noProof/>
          <w:snapToGrid w:val="0"/>
          <w:kern w:val="22"/>
          <w:bdr w:val="none" w:sz="0" w:space="0" w:color="auto"/>
          <w:lang w:val="en-GB"/>
        </w:rPr>
      </w:pPr>
      <w:r w:rsidRPr="00DF02C5">
        <w:rPr>
          <w:rFonts w:eastAsia="Calibri" w:hAnsi="Times New Roman"/>
          <w:snapToGrid w:val="0"/>
          <w:color w:val="auto"/>
          <w:kern w:val="22"/>
          <w:bdr w:val="none" w:sz="0" w:space="0" w:color="auto"/>
          <w:lang w:val="en-GB"/>
        </w:rPr>
        <w:t>In</w:t>
      </w:r>
      <w:r w:rsidRPr="00DF02C5">
        <w:rPr>
          <w:rFonts w:eastAsia="Calibri" w:hAnsi="Times New Roman"/>
          <w:noProof/>
          <w:snapToGrid w:val="0"/>
          <w:kern w:val="22"/>
          <w:bdr w:val="none" w:sz="0" w:space="0" w:color="auto"/>
          <w:lang w:val="en-GB"/>
        </w:rPr>
        <w:t xml:space="preserve"> </w:t>
      </w:r>
      <w:r w:rsidR="007060F6">
        <w:rPr>
          <w:rFonts w:eastAsia="Calibri" w:hAnsi="Times New Roman"/>
          <w:noProof/>
          <w:snapToGrid w:val="0"/>
          <w:kern w:val="22"/>
          <w:bdr w:val="none" w:sz="0" w:space="0" w:color="auto"/>
          <w:lang w:val="en-GB"/>
        </w:rPr>
        <w:t xml:space="preserve">providing further information, </w:t>
      </w:r>
      <w:r w:rsidRPr="00DF02C5">
        <w:rPr>
          <w:rFonts w:eastAsia="Calibri" w:hAnsi="Times New Roman"/>
          <w:noProof/>
          <w:snapToGrid w:val="0"/>
          <w:kern w:val="22"/>
          <w:bdr w:val="none" w:sz="0" w:space="0" w:color="auto"/>
          <w:lang w:val="en-GB"/>
        </w:rPr>
        <w:t>a number of countries</w:t>
      </w:r>
      <w:r w:rsidRPr="00DF02C5">
        <w:rPr>
          <w:rStyle w:val="FootnoteReference"/>
          <w:rFonts w:eastAsia="Calibri" w:hAnsi="Times New Roman"/>
          <w:noProof/>
          <w:snapToGrid w:val="0"/>
          <w:kern w:val="22"/>
          <w:bdr w:val="none" w:sz="0" w:space="0" w:color="auto"/>
          <w:lang w:val="en-GB"/>
        </w:rPr>
        <w:footnoteReference w:id="248"/>
      </w:r>
      <w:r w:rsidR="00653F8F" w:rsidRPr="00DF02C5">
        <w:rPr>
          <w:rFonts w:eastAsia="Calibri" w:hAnsi="Times New Roman"/>
          <w:noProof/>
          <w:snapToGrid w:val="0"/>
          <w:kern w:val="22"/>
          <w:bdr w:val="none" w:sz="0" w:space="0" w:color="auto"/>
          <w:lang w:val="en-GB"/>
        </w:rPr>
        <w:t xml:space="preserve"> indicated</w:t>
      </w:r>
      <w:r w:rsidRPr="00DF02C5">
        <w:rPr>
          <w:rFonts w:eastAsia="Calibri" w:hAnsi="Times New Roman"/>
          <w:noProof/>
          <w:snapToGrid w:val="0"/>
          <w:kern w:val="22"/>
          <w:bdr w:val="none" w:sz="0" w:space="0" w:color="auto"/>
          <w:lang w:val="en-GB"/>
        </w:rPr>
        <w:t xml:space="preserve"> that </w:t>
      </w:r>
      <w:r w:rsidR="00653F8F" w:rsidRPr="00DF02C5">
        <w:rPr>
          <w:rFonts w:eastAsia="Calibri" w:hAnsi="Times New Roman"/>
          <w:noProof/>
          <w:snapToGrid w:val="0"/>
          <w:kern w:val="22"/>
          <w:bdr w:val="none" w:sz="0" w:space="0" w:color="auto"/>
          <w:lang w:val="en-GB"/>
        </w:rPr>
        <w:t xml:space="preserve">they </w:t>
      </w:r>
      <w:r w:rsidRPr="00DF02C5">
        <w:rPr>
          <w:rFonts w:eastAsia="Calibri" w:hAnsi="Times New Roman"/>
          <w:noProof/>
          <w:snapToGrid w:val="0"/>
          <w:kern w:val="22"/>
          <w:bdr w:val="none" w:sz="0" w:space="0" w:color="auto"/>
          <w:lang w:val="en-GB"/>
        </w:rPr>
        <w:t xml:space="preserve">are planning to address this issue. The European Union indicated that access to justice is not dealt </w:t>
      </w:r>
      <w:r w:rsidR="002F3486" w:rsidRPr="00DF02C5">
        <w:rPr>
          <w:rFonts w:eastAsia="Calibri" w:hAnsi="Times New Roman"/>
          <w:noProof/>
          <w:snapToGrid w:val="0"/>
          <w:kern w:val="22"/>
          <w:bdr w:val="none" w:sz="0" w:space="0" w:color="auto"/>
          <w:lang w:val="en-GB"/>
        </w:rPr>
        <w:t xml:space="preserve">with </w:t>
      </w:r>
      <w:r w:rsidRPr="00DF02C5">
        <w:rPr>
          <w:rFonts w:eastAsia="Calibri" w:hAnsi="Times New Roman"/>
          <w:noProof/>
          <w:snapToGrid w:val="0"/>
          <w:kern w:val="22"/>
          <w:bdr w:val="none" w:sz="0" w:space="0" w:color="auto"/>
          <w:lang w:val="en-GB"/>
        </w:rPr>
        <w:t>at EU level but provided by individual Member States.</w:t>
      </w:r>
    </w:p>
    <w:p w14:paraId="0F0007AC" w14:textId="7ECD74EC" w:rsidR="00A60AB6" w:rsidRPr="007060F6" w:rsidRDefault="00653F8F" w:rsidP="007060F6">
      <w:pPr>
        <w:pStyle w:val="Para1"/>
        <w:spacing w:before="240"/>
        <w:ind w:left="1901" w:hanging="907"/>
        <w:jc w:val="left"/>
        <w:rPr>
          <w:rFonts w:eastAsia="Calibri" w:hAnsi="Times New Roman"/>
          <w:i/>
          <w:noProof/>
          <w:snapToGrid w:val="0"/>
          <w:color w:val="auto"/>
          <w:kern w:val="22"/>
          <w:bdr w:val="none" w:sz="0" w:space="0" w:color="auto"/>
          <w:lang w:val="en-GB"/>
        </w:rPr>
      </w:pPr>
      <w:r w:rsidRPr="007060F6">
        <w:rPr>
          <w:rFonts w:eastAsia="Calibri" w:hAnsi="Times New Roman"/>
          <w:i/>
          <w:noProof/>
          <w:snapToGrid w:val="0"/>
          <w:color w:val="auto"/>
          <w:kern w:val="22"/>
          <w:bdr w:val="none" w:sz="0" w:space="0" w:color="auto"/>
          <w:lang w:val="en-GB"/>
        </w:rPr>
        <w:t xml:space="preserve">3.2 </w:t>
      </w:r>
      <w:r w:rsidR="007060F6">
        <w:rPr>
          <w:rFonts w:eastAsia="Calibri" w:hAnsi="Times New Roman"/>
          <w:i/>
          <w:noProof/>
          <w:snapToGrid w:val="0"/>
          <w:color w:val="auto"/>
          <w:kern w:val="22"/>
          <w:bdr w:val="none" w:sz="0" w:space="0" w:color="auto"/>
          <w:lang w:val="en-GB"/>
        </w:rPr>
        <w:tab/>
      </w:r>
      <w:r w:rsidRPr="007060F6">
        <w:rPr>
          <w:rFonts w:eastAsia="Calibri" w:hAnsi="Times New Roman"/>
          <w:i/>
          <w:noProof/>
          <w:snapToGrid w:val="0"/>
          <w:color w:val="auto"/>
          <w:kern w:val="22"/>
          <w:bdr w:val="none" w:sz="0" w:space="0" w:color="auto"/>
          <w:lang w:val="en-GB"/>
        </w:rPr>
        <w:t xml:space="preserve">Has your country taken measures on </w:t>
      </w:r>
      <w:r w:rsidR="00A60AB6" w:rsidRPr="007060F6">
        <w:rPr>
          <w:rFonts w:eastAsia="Calibri" w:hAnsi="Times New Roman"/>
          <w:i/>
          <w:noProof/>
          <w:snapToGrid w:val="0"/>
          <w:color w:val="auto"/>
          <w:kern w:val="22"/>
          <w:bdr w:val="none" w:sz="0" w:space="0" w:color="auto"/>
          <w:lang w:val="en-GB"/>
        </w:rPr>
        <w:t>the utilization of mechanisms regarding mutual recognition and enforcement of foreign judgements and arbitral awards as provided in Article 18.3 (question 33</w:t>
      </w:r>
      <w:r w:rsidRPr="007060F6">
        <w:rPr>
          <w:rFonts w:eastAsia="Calibri" w:hAnsi="Times New Roman"/>
          <w:i/>
          <w:noProof/>
          <w:snapToGrid w:val="0"/>
          <w:color w:val="auto"/>
          <w:kern w:val="22"/>
          <w:bdr w:val="none" w:sz="0" w:space="0" w:color="auto"/>
          <w:lang w:val="en-GB"/>
        </w:rPr>
        <w:t>)</w:t>
      </w:r>
    </w:p>
    <w:p w14:paraId="71DAEF1C" w14:textId="257D52D9" w:rsidR="00390A77" w:rsidRPr="00DF02C5" w:rsidRDefault="00390A77" w:rsidP="00A2498F">
      <w:pPr>
        <w:pStyle w:val="Para1"/>
        <w:numPr>
          <w:ilvl w:val="0"/>
          <w:numId w:val="1"/>
        </w:numPr>
        <w:rPr>
          <w:rFonts w:eastAsia="Calibri" w:hAnsi="Times New Roman"/>
          <w:snapToGrid w:val="0"/>
          <w:color w:val="auto"/>
          <w:kern w:val="22"/>
          <w:bdr w:val="none" w:sz="0" w:space="0" w:color="auto"/>
          <w:lang w:val="en-GB"/>
        </w:rPr>
      </w:pPr>
      <w:proofErr w:type="gramStart"/>
      <w:r w:rsidRPr="00DF02C5">
        <w:rPr>
          <w:rFonts w:hAnsi="Times New Roman"/>
          <w:bdr w:val="none" w:sz="0" w:space="0" w:color="auto"/>
          <w:lang w:val="en-GB"/>
        </w:rPr>
        <w:t>Thirty-eight</w:t>
      </w:r>
      <w:proofErr w:type="gramEnd"/>
      <w:r w:rsidRPr="00DF02C5">
        <w:rPr>
          <w:rFonts w:hAnsi="Times New Roman"/>
          <w:bdr w:val="none" w:sz="0" w:space="0" w:color="auto"/>
          <w:lang w:val="en-GB"/>
        </w:rPr>
        <w:t xml:space="preserve"> Parties and three non-Parties responded that they </w:t>
      </w:r>
      <w:r w:rsidRPr="00DF02C5">
        <w:rPr>
          <w:rFonts w:eastAsia="Calibri" w:hAnsi="Times New Roman"/>
          <w:noProof/>
          <w:snapToGrid w:val="0"/>
          <w:color w:val="auto"/>
          <w:kern w:val="22"/>
          <w:bdr w:val="none" w:sz="0" w:space="0" w:color="auto"/>
          <w:lang w:val="en-GB"/>
        </w:rPr>
        <w:t>have taken measures regarding the u</w:t>
      </w:r>
      <w:r w:rsidRPr="00DF02C5">
        <w:rPr>
          <w:rFonts w:eastAsia="Calibri" w:hAnsi="Times New Roman"/>
          <w:noProof/>
          <w:snapToGrid w:val="0"/>
          <w:kern w:val="22"/>
          <w:bdr w:val="none" w:sz="0" w:space="0" w:color="auto"/>
          <w:lang w:val="en-GB"/>
        </w:rPr>
        <w:t>tilization of mechanisms regarding mutual recognition and enforcement of foreign judgements and arbitral awards</w:t>
      </w:r>
      <w:r w:rsidR="00653F8F" w:rsidRPr="00DF02C5">
        <w:rPr>
          <w:rFonts w:hAnsi="Times New Roman"/>
          <w:bdr w:val="none" w:sz="0" w:space="0" w:color="auto"/>
          <w:lang w:val="en-GB"/>
        </w:rPr>
        <w:t xml:space="preserve">, while </w:t>
      </w:r>
      <w:r w:rsidR="00653F8F" w:rsidRPr="00DF02C5">
        <w:rPr>
          <w:rFonts w:eastAsia="Calibri" w:hAnsi="Times New Roman"/>
          <w:snapToGrid w:val="0"/>
          <w:color w:val="auto"/>
          <w:kern w:val="22"/>
          <w:bdr w:val="none" w:sz="0" w:space="0" w:color="auto"/>
          <w:lang w:val="en-GB"/>
        </w:rPr>
        <w:t xml:space="preserve">thirty-one Parties and three non-Parties responded that they have not taken </w:t>
      </w:r>
      <w:r w:rsidR="002D12FA" w:rsidRPr="00DF02C5">
        <w:rPr>
          <w:rFonts w:eastAsia="Calibri" w:hAnsi="Times New Roman"/>
          <w:snapToGrid w:val="0"/>
          <w:color w:val="auto"/>
          <w:kern w:val="22"/>
          <w:bdr w:val="none" w:sz="0" w:space="0" w:color="auto"/>
          <w:lang w:val="en-GB"/>
        </w:rPr>
        <w:t xml:space="preserve">such </w:t>
      </w:r>
      <w:r w:rsidR="00653F8F" w:rsidRPr="00DF02C5">
        <w:rPr>
          <w:rFonts w:eastAsia="Calibri" w:hAnsi="Times New Roman"/>
          <w:snapToGrid w:val="0"/>
          <w:color w:val="auto"/>
          <w:kern w:val="22"/>
          <w:bdr w:val="none" w:sz="0" w:space="0" w:color="auto"/>
          <w:lang w:val="en-GB"/>
        </w:rPr>
        <w:t>measures.</w:t>
      </w:r>
    </w:p>
    <w:p w14:paraId="210FD078" w14:textId="4629F736" w:rsidR="002D12FA" w:rsidRPr="00DF02C5" w:rsidRDefault="00E5256F" w:rsidP="00E5256F">
      <w:pPr>
        <w:pStyle w:val="Caption"/>
        <w:keepNext/>
        <w:keepLines/>
        <w:rPr>
          <w:noProof/>
          <w:snapToGrid w:val="0"/>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Pr="00DF02C5">
        <w:rPr>
          <w:noProof/>
          <w:lang w:val="en-GB"/>
        </w:rPr>
        <w:t>30</w:t>
      </w:r>
      <w:r w:rsidRPr="00DF02C5">
        <w:rPr>
          <w:lang w:val="en-GB"/>
        </w:rPr>
        <w:fldChar w:fldCharType="end"/>
      </w:r>
      <w:r w:rsidR="001734E8" w:rsidRPr="00DF02C5">
        <w:rPr>
          <w:noProof/>
          <w:snapToGrid w:val="0"/>
          <w:bdr w:val="none" w:sz="0" w:space="0" w:color="auto"/>
          <w:lang w:val="en-GB"/>
        </w:rPr>
        <w:t xml:space="preserve">: </w:t>
      </w:r>
      <w:r w:rsidR="002D12FA" w:rsidRPr="00DF02C5">
        <w:rPr>
          <w:noProof/>
          <w:snapToGrid w:val="0"/>
          <w:bdr w:val="none" w:sz="0" w:space="0" w:color="auto"/>
          <w:lang w:val="en-GB"/>
        </w:rPr>
        <w:t>Utilization of mechanisms regarding mutual recognition and enforcement of foreign judgements and arbitral awards (percentage of countries)</w:t>
      </w:r>
    </w:p>
    <w:p w14:paraId="0D2B533A" w14:textId="59523344" w:rsidR="002D12FA" w:rsidRPr="00DF02C5" w:rsidRDefault="002D12FA" w:rsidP="002D12FA">
      <w:pPr>
        <w:pStyle w:val="Para1"/>
        <w:jc w:val="center"/>
        <w:rPr>
          <w:rFonts w:eastAsia="Calibri" w:hAnsi="Times New Roman"/>
          <w:noProof/>
          <w:snapToGrid w:val="0"/>
          <w:color w:val="auto"/>
          <w:kern w:val="22"/>
          <w:bdr w:val="none" w:sz="0" w:space="0" w:color="auto"/>
          <w:lang w:val="en-GB"/>
        </w:rPr>
      </w:pPr>
      <w:r w:rsidRPr="00DF02C5">
        <w:rPr>
          <w:noProof/>
          <w:color w:val="auto"/>
        </w:rPr>
        <w:drawing>
          <wp:inline distT="0" distB="0" distL="0" distR="0" wp14:anchorId="4185A433" wp14:editId="67367F87">
            <wp:extent cx="3438525" cy="1990725"/>
            <wp:effectExtent l="0" t="0" r="9525"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1374694" w14:textId="77777777" w:rsidR="002D12FA" w:rsidRPr="00DF02C5" w:rsidRDefault="002D12FA" w:rsidP="002D12FA">
      <w:pPr>
        <w:pStyle w:val="Para1"/>
        <w:rPr>
          <w:rFonts w:eastAsia="Calibri" w:hAnsi="Times New Roman"/>
          <w:noProof/>
          <w:snapToGrid w:val="0"/>
          <w:color w:val="auto"/>
          <w:kern w:val="22"/>
          <w:bdr w:val="none" w:sz="0" w:space="0" w:color="auto"/>
          <w:lang w:val="en-GB"/>
        </w:rPr>
      </w:pPr>
    </w:p>
    <w:p w14:paraId="709B9AC4" w14:textId="5D39BE3F" w:rsidR="002D12FA" w:rsidRPr="00DF02C5" w:rsidRDefault="002D12FA" w:rsidP="002D12FA">
      <w:pPr>
        <w:pStyle w:val="Para1"/>
        <w:rPr>
          <w:rFonts w:eastAsia="Calibri" w:hAnsi="Times New Roman"/>
          <w:i/>
          <w:noProof/>
          <w:snapToGrid w:val="0"/>
          <w:color w:val="auto"/>
          <w:kern w:val="22"/>
          <w:bdr w:val="none" w:sz="0" w:space="0" w:color="auto"/>
          <w:lang w:val="en-GB"/>
        </w:rPr>
      </w:pPr>
      <w:r w:rsidRPr="00DF02C5">
        <w:rPr>
          <w:rFonts w:eastAsia="Calibri" w:hAnsi="Times New Roman"/>
          <w:i/>
          <w:noProof/>
          <w:snapToGrid w:val="0"/>
          <w:color w:val="auto"/>
          <w:kern w:val="22"/>
          <w:bdr w:val="none" w:sz="0" w:space="0" w:color="auto"/>
          <w:lang w:val="en-GB"/>
        </w:rPr>
        <w:t>(a)</w:t>
      </w:r>
      <w:r w:rsidRPr="00DF02C5">
        <w:rPr>
          <w:rFonts w:eastAsia="Calibri" w:hAnsi="Times New Roman"/>
          <w:i/>
          <w:noProof/>
          <w:snapToGrid w:val="0"/>
          <w:color w:val="auto"/>
          <w:kern w:val="22"/>
          <w:bdr w:val="none" w:sz="0" w:space="0" w:color="auto"/>
          <w:lang w:val="en-GB"/>
        </w:rPr>
        <w:tab/>
        <w:t>Countries that answered “yes”</w:t>
      </w:r>
    </w:p>
    <w:p w14:paraId="43999E14" w14:textId="0DCC7A88" w:rsidR="00A60AB6" w:rsidRPr="00DF02C5" w:rsidRDefault="00A60AB6" w:rsidP="00A2498F">
      <w:pPr>
        <w:pStyle w:val="Para1"/>
        <w:numPr>
          <w:ilvl w:val="0"/>
          <w:numId w:val="1"/>
        </w:numPr>
        <w:rPr>
          <w:rFonts w:eastAsia="Calibri" w:hAnsi="Times New Roman"/>
          <w:noProof/>
          <w:snapToGrid w:val="0"/>
          <w:color w:val="auto"/>
          <w:kern w:val="22"/>
          <w:bdr w:val="none" w:sz="0" w:space="0" w:color="auto"/>
          <w:lang w:val="en-GB"/>
        </w:rPr>
      </w:pPr>
      <w:r w:rsidRPr="00DF02C5">
        <w:rPr>
          <w:rFonts w:eastAsia="Calibri" w:hAnsi="Times New Roman"/>
          <w:noProof/>
          <w:snapToGrid w:val="0"/>
          <w:color w:val="auto"/>
          <w:kern w:val="22"/>
          <w:bdr w:val="none" w:sz="0" w:space="0" w:color="auto"/>
          <w:lang w:val="en-GB"/>
        </w:rPr>
        <w:t>The majority of countries that provided further information reported that the mechanisms for mutual recognition and enforcement of foreign judgements and arbitral awards were addressed by existing legislation in the country</w:t>
      </w:r>
      <w:r w:rsidRPr="00DF02C5">
        <w:rPr>
          <w:rStyle w:val="FootnoteReference"/>
          <w:rFonts w:eastAsia="Calibri" w:hAnsi="Times New Roman"/>
          <w:noProof/>
          <w:snapToGrid w:val="0"/>
          <w:color w:val="auto"/>
          <w:kern w:val="22"/>
          <w:bdr w:val="none" w:sz="0" w:space="0" w:color="auto"/>
          <w:lang w:val="en-GB"/>
        </w:rPr>
        <w:footnoteReference w:id="249"/>
      </w:r>
      <w:r w:rsidRPr="00DF02C5">
        <w:rPr>
          <w:rFonts w:eastAsia="Calibri" w:hAnsi="Times New Roman"/>
          <w:noProof/>
          <w:snapToGrid w:val="0"/>
          <w:color w:val="auto"/>
          <w:kern w:val="22"/>
          <w:bdr w:val="none" w:sz="0" w:space="0" w:color="auto"/>
          <w:lang w:val="en-GB"/>
        </w:rPr>
        <w:t xml:space="preserve"> and some made reference to applicable international treaties</w:t>
      </w:r>
      <w:r w:rsidR="007060F6">
        <w:rPr>
          <w:rFonts w:eastAsia="Calibri" w:hAnsi="Times New Roman"/>
          <w:noProof/>
          <w:snapToGrid w:val="0"/>
          <w:color w:val="auto"/>
          <w:kern w:val="22"/>
          <w:bdr w:val="none" w:sz="0" w:space="0" w:color="auto"/>
          <w:lang w:val="en-GB"/>
        </w:rPr>
        <w:t>.</w:t>
      </w:r>
      <w:r w:rsidRPr="00DF02C5">
        <w:rPr>
          <w:rStyle w:val="FootnoteReference"/>
          <w:rFonts w:eastAsia="Calibri" w:hAnsi="Times New Roman"/>
          <w:noProof/>
          <w:snapToGrid w:val="0"/>
          <w:color w:val="auto"/>
          <w:kern w:val="22"/>
          <w:bdr w:val="none" w:sz="0" w:space="0" w:color="auto"/>
          <w:lang w:val="en-GB"/>
        </w:rPr>
        <w:footnoteReference w:id="250"/>
      </w:r>
      <w:r w:rsidR="007A03E5" w:rsidRPr="00DF02C5">
        <w:rPr>
          <w:rFonts w:eastAsia="Calibri" w:hAnsi="Times New Roman"/>
          <w:noProof/>
          <w:snapToGrid w:val="0"/>
          <w:color w:val="auto"/>
          <w:kern w:val="22"/>
          <w:bdr w:val="none" w:sz="0" w:space="0" w:color="auto"/>
          <w:lang w:val="en-GB"/>
        </w:rPr>
        <w:t xml:space="preserve"> </w:t>
      </w:r>
      <w:r w:rsidRPr="00DF02C5">
        <w:rPr>
          <w:rFonts w:eastAsia="Calibri" w:hAnsi="Times New Roman"/>
          <w:noProof/>
          <w:snapToGrid w:val="0"/>
          <w:color w:val="auto"/>
          <w:kern w:val="22"/>
          <w:bdr w:val="none" w:sz="0" w:space="0" w:color="auto"/>
          <w:lang w:val="en-GB"/>
        </w:rPr>
        <w:t>A country reported that they will address this issue in draft ABS measures</w:t>
      </w:r>
      <w:r w:rsidR="007060F6">
        <w:rPr>
          <w:rFonts w:eastAsia="Calibri" w:hAnsi="Times New Roman"/>
          <w:noProof/>
          <w:snapToGrid w:val="0"/>
          <w:color w:val="auto"/>
          <w:kern w:val="22"/>
          <w:bdr w:val="none" w:sz="0" w:space="0" w:color="auto"/>
          <w:lang w:val="en-GB"/>
        </w:rPr>
        <w:t>.</w:t>
      </w:r>
      <w:r w:rsidRPr="00DF02C5">
        <w:rPr>
          <w:rStyle w:val="FootnoteReference"/>
          <w:rFonts w:eastAsia="Calibri" w:hAnsi="Times New Roman"/>
          <w:noProof/>
          <w:snapToGrid w:val="0"/>
          <w:color w:val="auto"/>
          <w:kern w:val="22"/>
          <w:bdr w:val="none" w:sz="0" w:space="0" w:color="auto"/>
          <w:lang w:val="en-GB"/>
        </w:rPr>
        <w:footnoteReference w:id="251"/>
      </w:r>
    </w:p>
    <w:p w14:paraId="7752380F" w14:textId="07A321FB" w:rsidR="00A60AB6" w:rsidRPr="00DF02C5" w:rsidRDefault="00A60AB6" w:rsidP="00A2498F">
      <w:pPr>
        <w:pStyle w:val="Para1"/>
        <w:numPr>
          <w:ilvl w:val="0"/>
          <w:numId w:val="1"/>
        </w:numPr>
        <w:rPr>
          <w:rFonts w:eastAsia="Calibri" w:hAnsi="Times New Roman"/>
          <w:noProof/>
          <w:snapToGrid w:val="0"/>
          <w:color w:val="auto"/>
          <w:kern w:val="22"/>
          <w:bdr w:val="none" w:sz="0" w:space="0" w:color="auto"/>
          <w:lang w:val="en-GB"/>
        </w:rPr>
      </w:pPr>
      <w:r w:rsidRPr="00DF02C5">
        <w:rPr>
          <w:rFonts w:eastAsia="Calibri" w:hAnsi="Times New Roman"/>
          <w:noProof/>
          <w:snapToGrid w:val="0"/>
          <w:color w:val="auto"/>
          <w:kern w:val="22"/>
          <w:bdr w:val="none" w:sz="0" w:space="0" w:color="auto"/>
          <w:lang w:val="en-GB"/>
        </w:rPr>
        <w:t>Some examples of information provided by countries not mentioned in the analysis of question 32 above include</w:t>
      </w:r>
      <w:r w:rsidR="002D12FA" w:rsidRPr="00DF02C5">
        <w:rPr>
          <w:rFonts w:eastAsia="Calibri" w:hAnsi="Times New Roman"/>
          <w:noProof/>
          <w:snapToGrid w:val="0"/>
          <w:color w:val="auto"/>
          <w:kern w:val="22"/>
          <w:bdr w:val="none" w:sz="0" w:space="0" w:color="auto"/>
          <w:lang w:val="en-GB"/>
        </w:rPr>
        <w:t xml:space="preserve"> the following</w:t>
      </w:r>
      <w:r w:rsidRPr="00DF02C5">
        <w:rPr>
          <w:rFonts w:eastAsia="Calibri" w:hAnsi="Times New Roman"/>
          <w:noProof/>
          <w:snapToGrid w:val="0"/>
          <w:color w:val="auto"/>
          <w:kern w:val="22"/>
          <w:bdr w:val="none" w:sz="0" w:space="0" w:color="auto"/>
          <w:lang w:val="en-GB"/>
        </w:rPr>
        <w:t>:</w:t>
      </w:r>
    </w:p>
    <w:p w14:paraId="283D8CA4" w14:textId="5D87B871" w:rsidR="00A60AB6" w:rsidRPr="00DF02C5" w:rsidRDefault="00A60AB6" w:rsidP="007060F6">
      <w:pPr>
        <w:pStyle w:val="ListParagraph"/>
        <w:numPr>
          <w:ilvl w:val="0"/>
          <w:numId w:val="25"/>
        </w:numPr>
        <w:spacing w:before="120" w:after="120" w:line="228" w:lineRule="auto"/>
        <w:ind w:left="0" w:firstLine="709"/>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noProof/>
          <w:snapToGrid w:val="0"/>
          <w:color w:val="auto"/>
          <w:kern w:val="22"/>
          <w:bdr w:val="none" w:sz="0" w:space="0" w:color="auto"/>
          <w:lang w:val="en-GB"/>
        </w:rPr>
        <w:t>China is a Party to a number of international conventions and up to now has signed bilateral judicial assistance t</w:t>
      </w:r>
      <w:r w:rsidR="007060F6">
        <w:rPr>
          <w:rFonts w:eastAsia="Calibri" w:hAnsi="Times New Roman" w:cs="Times New Roman"/>
          <w:noProof/>
          <w:snapToGrid w:val="0"/>
          <w:color w:val="auto"/>
          <w:kern w:val="22"/>
          <w:bdr w:val="none" w:sz="0" w:space="0" w:color="auto"/>
          <w:lang w:val="en-GB"/>
        </w:rPr>
        <w:t>reaties with about 70 countries;</w:t>
      </w:r>
    </w:p>
    <w:p w14:paraId="5C492659" w14:textId="0E038D38" w:rsidR="00A60AB6" w:rsidRPr="00DF02C5" w:rsidRDefault="002D12FA" w:rsidP="007060F6">
      <w:pPr>
        <w:pStyle w:val="ListParagraph"/>
        <w:numPr>
          <w:ilvl w:val="0"/>
          <w:numId w:val="25"/>
        </w:numPr>
        <w:spacing w:before="120" w:after="120" w:line="228" w:lineRule="auto"/>
        <w:ind w:left="0" w:firstLine="709"/>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noProof/>
          <w:snapToGrid w:val="0"/>
          <w:color w:val="auto"/>
          <w:kern w:val="22"/>
          <w:bdr w:val="none" w:sz="0" w:space="0" w:color="auto"/>
          <w:lang w:val="en-GB"/>
        </w:rPr>
        <w:lastRenderedPageBreak/>
        <w:t xml:space="preserve">In Ethiopia, in principle, </w:t>
      </w:r>
      <w:r w:rsidR="00A60AB6" w:rsidRPr="00DF02C5">
        <w:rPr>
          <w:rFonts w:eastAsia="Calibri" w:hAnsi="Times New Roman" w:cs="Times New Roman"/>
          <w:noProof/>
          <w:snapToGrid w:val="0"/>
          <w:color w:val="auto"/>
          <w:kern w:val="22"/>
          <w:bdr w:val="none" w:sz="0" w:space="0" w:color="auto"/>
          <w:lang w:val="en-GB"/>
        </w:rPr>
        <w:t xml:space="preserve">unless otherwise expressly provided </w:t>
      </w:r>
      <w:r w:rsidRPr="00DF02C5">
        <w:rPr>
          <w:rFonts w:eastAsia="Calibri" w:hAnsi="Times New Roman" w:cs="Times New Roman"/>
          <w:noProof/>
          <w:snapToGrid w:val="0"/>
          <w:color w:val="auto"/>
          <w:kern w:val="22"/>
          <w:bdr w:val="none" w:sz="0" w:space="0" w:color="auto"/>
          <w:lang w:val="en-GB"/>
        </w:rPr>
        <w:t xml:space="preserve">for by international convention, </w:t>
      </w:r>
      <w:r w:rsidR="00A60AB6" w:rsidRPr="00DF02C5">
        <w:rPr>
          <w:rFonts w:eastAsia="Calibri" w:hAnsi="Times New Roman" w:cs="Times New Roman"/>
          <w:noProof/>
          <w:snapToGrid w:val="0"/>
          <w:color w:val="auto"/>
          <w:kern w:val="22"/>
          <w:bdr w:val="none" w:sz="0" w:space="0" w:color="auto"/>
          <w:lang w:val="en-GB"/>
        </w:rPr>
        <w:t xml:space="preserve">foreign judgements may not be executed in Ethiopia </w:t>
      </w:r>
      <w:r w:rsidR="00374FFC" w:rsidRPr="00DF02C5">
        <w:rPr>
          <w:rFonts w:eastAsia="Calibri" w:hAnsi="Times New Roman" w:cs="Times New Roman"/>
          <w:noProof/>
          <w:snapToGrid w:val="0"/>
          <w:color w:val="auto"/>
          <w:kern w:val="22"/>
          <w:bdr w:val="none" w:sz="0" w:space="0" w:color="auto"/>
          <w:lang w:val="en-GB"/>
        </w:rPr>
        <w:t>unless</w:t>
      </w:r>
      <w:r w:rsidR="00A60AB6" w:rsidRPr="00DF02C5">
        <w:rPr>
          <w:rFonts w:eastAsia="Calibri" w:hAnsi="Times New Roman" w:cs="Times New Roman"/>
          <w:noProof/>
          <w:snapToGrid w:val="0"/>
          <w:color w:val="auto"/>
          <w:kern w:val="22"/>
          <w:bdr w:val="none" w:sz="0" w:space="0" w:color="auto"/>
          <w:lang w:val="en-GB"/>
        </w:rPr>
        <w:t xml:space="preserve"> substantive and forma</w:t>
      </w:r>
      <w:r w:rsidR="007060F6">
        <w:rPr>
          <w:rFonts w:eastAsia="Calibri" w:hAnsi="Times New Roman" w:cs="Times New Roman"/>
          <w:noProof/>
          <w:snapToGrid w:val="0"/>
          <w:color w:val="auto"/>
          <w:kern w:val="22"/>
          <w:bdr w:val="none" w:sz="0" w:space="0" w:color="auto"/>
          <w:lang w:val="en-GB"/>
        </w:rPr>
        <w:t>lity requirements are fulfilled;</w:t>
      </w:r>
    </w:p>
    <w:p w14:paraId="7D511C10" w14:textId="6A04828E" w:rsidR="00A60AB6" w:rsidRPr="00DF02C5" w:rsidRDefault="00A60AB6" w:rsidP="007060F6">
      <w:pPr>
        <w:pStyle w:val="ListParagraph"/>
        <w:numPr>
          <w:ilvl w:val="0"/>
          <w:numId w:val="25"/>
        </w:numPr>
        <w:spacing w:before="120" w:after="120" w:line="228" w:lineRule="auto"/>
        <w:ind w:left="0" w:firstLine="709"/>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noProof/>
          <w:snapToGrid w:val="0"/>
          <w:color w:val="auto"/>
          <w:kern w:val="22"/>
          <w:bdr w:val="none" w:sz="0" w:space="0" w:color="auto"/>
          <w:lang w:val="en-GB"/>
        </w:rPr>
        <w:t xml:space="preserve">Germany </w:t>
      </w:r>
      <w:r w:rsidR="00BD60A0" w:rsidRPr="00DF02C5">
        <w:rPr>
          <w:rFonts w:eastAsia="Calibri" w:hAnsi="Times New Roman" w:cs="Times New Roman"/>
          <w:noProof/>
          <w:snapToGrid w:val="0"/>
          <w:color w:val="auto"/>
          <w:kern w:val="22"/>
          <w:bdr w:val="none" w:sz="0" w:space="0" w:color="auto"/>
          <w:lang w:val="en-GB"/>
        </w:rPr>
        <w:t>indicated</w:t>
      </w:r>
      <w:r w:rsidRPr="00DF02C5">
        <w:rPr>
          <w:rFonts w:eastAsia="Calibri" w:hAnsi="Times New Roman" w:cs="Times New Roman"/>
          <w:noProof/>
          <w:snapToGrid w:val="0"/>
          <w:color w:val="auto"/>
          <w:kern w:val="22"/>
          <w:bdr w:val="none" w:sz="0" w:space="0" w:color="auto"/>
          <w:lang w:val="en-GB"/>
        </w:rPr>
        <w:t xml:space="preserve"> that recognition and enforcement of foreign judgments in private contractual matters given by courts of other Member States of the European Union are generally governed by Regulation (EU) No 1215/2012 of the European Parliament and of The Council of 12 December 2012 on jurisdiction and the recognition and enforcement of judgments in civil and commercial matters. In addition, international conventions as well as national rules in the German Code </w:t>
      </w:r>
      <w:r w:rsidR="002D12FA" w:rsidRPr="00DF02C5">
        <w:rPr>
          <w:rFonts w:eastAsia="Calibri" w:hAnsi="Times New Roman" w:cs="Times New Roman"/>
          <w:noProof/>
          <w:snapToGrid w:val="0"/>
          <w:color w:val="auto"/>
          <w:kern w:val="22"/>
          <w:bdr w:val="none" w:sz="0" w:space="0" w:color="auto"/>
          <w:lang w:val="en-GB"/>
        </w:rPr>
        <w:t>of Civil Procedure provide for recognition and e</w:t>
      </w:r>
      <w:r w:rsidRPr="00DF02C5">
        <w:rPr>
          <w:rFonts w:eastAsia="Calibri" w:hAnsi="Times New Roman" w:cs="Times New Roman"/>
          <w:noProof/>
          <w:snapToGrid w:val="0"/>
          <w:color w:val="auto"/>
          <w:kern w:val="22"/>
          <w:bdr w:val="none" w:sz="0" w:space="0" w:color="auto"/>
          <w:lang w:val="en-GB"/>
        </w:rPr>
        <w:t xml:space="preserve">nforcement of foreign </w:t>
      </w:r>
      <w:r w:rsidR="00374FFC" w:rsidRPr="00DF02C5">
        <w:rPr>
          <w:rFonts w:eastAsia="Calibri" w:hAnsi="Times New Roman" w:cs="Times New Roman"/>
          <w:noProof/>
          <w:snapToGrid w:val="0"/>
          <w:color w:val="auto"/>
          <w:kern w:val="22"/>
          <w:bdr w:val="none" w:sz="0" w:space="0" w:color="auto"/>
          <w:lang w:val="en-GB"/>
        </w:rPr>
        <w:t>j</w:t>
      </w:r>
      <w:r w:rsidRPr="00DF02C5">
        <w:rPr>
          <w:rFonts w:eastAsia="Calibri" w:hAnsi="Times New Roman" w:cs="Times New Roman"/>
          <w:noProof/>
          <w:snapToGrid w:val="0"/>
          <w:color w:val="auto"/>
          <w:kern w:val="22"/>
          <w:bdr w:val="none" w:sz="0" w:space="0" w:color="auto"/>
          <w:lang w:val="en-GB"/>
        </w:rPr>
        <w:t>udgments, based on reciprocity and subject to a limite</w:t>
      </w:r>
      <w:r w:rsidR="007060F6">
        <w:rPr>
          <w:rFonts w:eastAsia="Calibri" w:hAnsi="Times New Roman" w:cs="Times New Roman"/>
          <w:noProof/>
          <w:snapToGrid w:val="0"/>
          <w:color w:val="auto"/>
          <w:kern w:val="22"/>
          <w:bdr w:val="none" w:sz="0" w:space="0" w:color="auto"/>
          <w:lang w:val="en-GB"/>
        </w:rPr>
        <w:t>d number of grounds for refusal;</w:t>
      </w:r>
    </w:p>
    <w:p w14:paraId="2BAE9C0F" w14:textId="6C6E3737" w:rsidR="00A60AB6" w:rsidRPr="00DF02C5" w:rsidRDefault="00A60AB6" w:rsidP="007060F6">
      <w:pPr>
        <w:pStyle w:val="ListParagraph"/>
        <w:numPr>
          <w:ilvl w:val="0"/>
          <w:numId w:val="25"/>
        </w:numPr>
        <w:spacing w:before="120" w:after="120" w:line="228" w:lineRule="auto"/>
        <w:ind w:left="0" w:firstLine="709"/>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noProof/>
          <w:snapToGrid w:val="0"/>
          <w:color w:val="auto"/>
          <w:kern w:val="22"/>
          <w:bdr w:val="none" w:sz="0" w:space="0" w:color="auto"/>
          <w:lang w:val="en-GB"/>
        </w:rPr>
        <w:t>Norway has</w:t>
      </w:r>
      <w:r w:rsidR="007A03E5" w:rsidRPr="00DF02C5">
        <w:rPr>
          <w:rFonts w:eastAsia="Calibri" w:hAnsi="Times New Roman" w:cs="Times New Roman"/>
          <w:noProof/>
          <w:snapToGrid w:val="0"/>
          <w:color w:val="auto"/>
          <w:kern w:val="22"/>
          <w:bdr w:val="none" w:sz="0" w:space="0" w:color="auto"/>
          <w:lang w:val="en-GB"/>
        </w:rPr>
        <w:t xml:space="preserve"> agreements with some countries</w:t>
      </w:r>
      <w:r w:rsidRPr="00DF02C5">
        <w:rPr>
          <w:rFonts w:eastAsia="Calibri" w:hAnsi="Times New Roman" w:cs="Times New Roman"/>
          <w:noProof/>
          <w:snapToGrid w:val="0"/>
          <w:color w:val="auto"/>
          <w:kern w:val="22"/>
          <w:bdr w:val="none" w:sz="0" w:space="0" w:color="auto"/>
          <w:lang w:val="en-GB"/>
        </w:rPr>
        <w:t xml:space="preserve"> regarding mutual recognition and enforcement of foreign judgements and arbitral awards which would also include ABS but </w:t>
      </w:r>
      <w:r w:rsidR="002D12FA" w:rsidRPr="00DF02C5">
        <w:rPr>
          <w:rFonts w:eastAsia="Calibri" w:hAnsi="Times New Roman" w:cs="Times New Roman"/>
          <w:noProof/>
          <w:snapToGrid w:val="0"/>
          <w:color w:val="auto"/>
          <w:kern w:val="22"/>
          <w:bdr w:val="none" w:sz="0" w:space="0" w:color="auto"/>
          <w:lang w:val="en-GB"/>
        </w:rPr>
        <w:t xml:space="preserve">has </w:t>
      </w:r>
      <w:r w:rsidRPr="00DF02C5">
        <w:rPr>
          <w:rFonts w:eastAsia="Calibri" w:hAnsi="Times New Roman" w:cs="Times New Roman"/>
          <w:noProof/>
          <w:snapToGrid w:val="0"/>
          <w:color w:val="auto"/>
          <w:kern w:val="22"/>
          <w:bdr w:val="none" w:sz="0" w:space="0" w:color="auto"/>
          <w:lang w:val="en-GB"/>
        </w:rPr>
        <w:t>not entered into agreements with other countries on ABS mechanisms regarding mutual recognition and enforcement of foreign judgements and arbitral awards;</w:t>
      </w:r>
    </w:p>
    <w:p w14:paraId="64A5A3DE" w14:textId="77777777" w:rsidR="00A60AB6" w:rsidRPr="00DF02C5" w:rsidRDefault="00A60AB6" w:rsidP="007060F6">
      <w:pPr>
        <w:pStyle w:val="ListParagraph"/>
        <w:numPr>
          <w:ilvl w:val="0"/>
          <w:numId w:val="25"/>
        </w:numPr>
        <w:spacing w:before="120" w:after="120" w:line="228" w:lineRule="auto"/>
        <w:ind w:left="0" w:firstLine="709"/>
        <w:rPr>
          <w:rFonts w:eastAsia="Calibri" w:hAnsi="Times New Roman"/>
          <w:snapToGrid w:val="0"/>
          <w:color w:val="auto"/>
          <w:kern w:val="22"/>
          <w:bdr w:val="none" w:sz="0" w:space="0" w:color="auto"/>
          <w:lang w:val="en-GB"/>
        </w:rPr>
      </w:pPr>
      <w:r w:rsidRPr="00DF02C5">
        <w:rPr>
          <w:rFonts w:eastAsia="Calibri" w:hAnsi="Times New Roman" w:cs="Times New Roman"/>
          <w:noProof/>
          <w:snapToGrid w:val="0"/>
          <w:color w:val="auto"/>
          <w:kern w:val="22"/>
          <w:bdr w:val="none" w:sz="0" w:space="0" w:color="auto"/>
          <w:lang w:val="en-GB"/>
        </w:rPr>
        <w:t xml:space="preserve">Togo recognizes judicial arbitration awarded by regional and subregional courts of which it is a member. </w:t>
      </w:r>
    </w:p>
    <w:p w14:paraId="0C7441FE" w14:textId="648BEF9C" w:rsidR="002D12FA" w:rsidRPr="00DF02C5" w:rsidRDefault="002D12FA" w:rsidP="002D12FA">
      <w:pPr>
        <w:pStyle w:val="Para1"/>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t>(b)</w:t>
      </w:r>
      <w:r w:rsidRPr="00DF02C5">
        <w:rPr>
          <w:rFonts w:eastAsia="Calibri" w:hAnsi="Times New Roman"/>
          <w:i/>
          <w:snapToGrid w:val="0"/>
          <w:color w:val="auto"/>
          <w:kern w:val="22"/>
          <w:bdr w:val="none" w:sz="0" w:space="0" w:color="auto"/>
          <w:lang w:val="en-GB"/>
        </w:rPr>
        <w:tab/>
        <w:t>Countries that answered “no”</w:t>
      </w:r>
    </w:p>
    <w:p w14:paraId="442D9ABD" w14:textId="73928F5B" w:rsidR="00A60AB6" w:rsidRPr="00DF02C5" w:rsidRDefault="00BD60A0"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A</w:t>
      </w:r>
      <w:r w:rsidR="00A60AB6" w:rsidRPr="00DF02C5">
        <w:rPr>
          <w:rFonts w:eastAsia="Calibri" w:hAnsi="Times New Roman"/>
          <w:snapToGrid w:val="0"/>
          <w:color w:val="auto"/>
          <w:kern w:val="22"/>
          <w:bdr w:val="none" w:sz="0" w:space="0" w:color="auto"/>
          <w:lang w:val="en-GB"/>
        </w:rPr>
        <w:t xml:space="preserve"> number of countries</w:t>
      </w:r>
      <w:r w:rsidR="00A60AB6" w:rsidRPr="00DF02C5">
        <w:rPr>
          <w:rStyle w:val="FootnoteReference"/>
          <w:rFonts w:eastAsia="Calibri" w:hAnsi="Times New Roman"/>
          <w:snapToGrid w:val="0"/>
          <w:color w:val="auto"/>
          <w:kern w:val="22"/>
          <w:bdr w:val="none" w:sz="0" w:space="0" w:color="auto"/>
          <w:lang w:val="en-GB"/>
        </w:rPr>
        <w:footnoteReference w:id="252"/>
      </w:r>
      <w:r w:rsidR="00A60AB6" w:rsidRPr="00DF02C5">
        <w:rPr>
          <w:rFonts w:eastAsia="Calibri" w:hAnsi="Times New Roman"/>
          <w:snapToGrid w:val="0"/>
          <w:color w:val="auto"/>
          <w:kern w:val="22"/>
          <w:bdr w:val="none" w:sz="0" w:space="0" w:color="auto"/>
          <w:lang w:val="en-GB"/>
        </w:rPr>
        <w:t xml:space="preserve"> </w:t>
      </w:r>
      <w:r w:rsidR="009C11D7" w:rsidRPr="00DF02C5">
        <w:rPr>
          <w:rFonts w:eastAsia="Calibri" w:hAnsi="Times New Roman"/>
          <w:snapToGrid w:val="0"/>
          <w:color w:val="auto"/>
          <w:kern w:val="22"/>
          <w:bdr w:val="none" w:sz="0" w:space="0" w:color="auto"/>
          <w:lang w:val="en-GB"/>
        </w:rPr>
        <w:t xml:space="preserve">indicated </w:t>
      </w:r>
      <w:r w:rsidR="00A60AB6" w:rsidRPr="00DF02C5">
        <w:rPr>
          <w:rFonts w:eastAsia="Calibri" w:hAnsi="Times New Roman"/>
          <w:snapToGrid w:val="0"/>
          <w:color w:val="auto"/>
          <w:kern w:val="22"/>
          <w:bdr w:val="none" w:sz="0" w:space="0" w:color="auto"/>
          <w:lang w:val="en-GB"/>
        </w:rPr>
        <w:t xml:space="preserve">that </w:t>
      </w:r>
      <w:r w:rsidR="00374FFC" w:rsidRPr="00DF02C5">
        <w:rPr>
          <w:rFonts w:eastAsia="Calibri" w:hAnsi="Times New Roman"/>
          <w:snapToGrid w:val="0"/>
          <w:color w:val="auto"/>
          <w:kern w:val="22"/>
          <w:bdr w:val="none" w:sz="0" w:space="0" w:color="auto"/>
          <w:lang w:val="en-GB"/>
        </w:rPr>
        <w:t xml:space="preserve">they </w:t>
      </w:r>
      <w:r w:rsidR="00A60AB6" w:rsidRPr="00DF02C5">
        <w:rPr>
          <w:rFonts w:eastAsia="Calibri" w:hAnsi="Times New Roman"/>
          <w:snapToGrid w:val="0"/>
          <w:color w:val="auto"/>
          <w:kern w:val="22"/>
          <w:bdr w:val="none" w:sz="0" w:space="0" w:color="auto"/>
          <w:lang w:val="en-GB"/>
        </w:rPr>
        <w:t>are planning to address this issue. A country</w:t>
      </w:r>
      <w:r w:rsidR="00A60AB6" w:rsidRPr="00DF02C5">
        <w:rPr>
          <w:rStyle w:val="FootnoteReference"/>
          <w:rFonts w:eastAsia="Calibri" w:hAnsi="Times New Roman"/>
          <w:snapToGrid w:val="0"/>
          <w:color w:val="auto"/>
          <w:kern w:val="22"/>
          <w:bdr w:val="none" w:sz="0" w:space="0" w:color="auto"/>
          <w:lang w:val="en-GB"/>
        </w:rPr>
        <w:footnoteReference w:id="253"/>
      </w:r>
      <w:r w:rsidR="00A60AB6" w:rsidRPr="00DF02C5">
        <w:rPr>
          <w:rFonts w:eastAsia="Calibri" w:hAnsi="Times New Roman"/>
          <w:snapToGrid w:val="0"/>
          <w:color w:val="auto"/>
          <w:kern w:val="22"/>
          <w:bdr w:val="none" w:sz="0" w:space="0" w:color="auto"/>
          <w:lang w:val="en-GB"/>
        </w:rPr>
        <w:t xml:space="preserve"> </w:t>
      </w:r>
      <w:r w:rsidR="009C11D7" w:rsidRPr="00DF02C5">
        <w:rPr>
          <w:rFonts w:eastAsia="Calibri" w:hAnsi="Times New Roman"/>
          <w:snapToGrid w:val="0"/>
          <w:color w:val="auto"/>
          <w:kern w:val="22"/>
          <w:bdr w:val="none" w:sz="0" w:space="0" w:color="auto"/>
          <w:lang w:val="en-GB"/>
        </w:rPr>
        <w:t xml:space="preserve">explained </w:t>
      </w:r>
      <w:r w:rsidR="00A60AB6" w:rsidRPr="00DF02C5">
        <w:rPr>
          <w:rFonts w:eastAsia="Calibri" w:hAnsi="Times New Roman"/>
          <w:snapToGrid w:val="0"/>
          <w:color w:val="auto"/>
          <w:kern w:val="22"/>
          <w:bdr w:val="none" w:sz="0" w:space="0" w:color="auto"/>
          <w:lang w:val="en-GB"/>
        </w:rPr>
        <w:t>that there was no need to adopt new measures as these are alread</w:t>
      </w:r>
      <w:r w:rsidR="009C11D7" w:rsidRPr="00DF02C5">
        <w:rPr>
          <w:rFonts w:eastAsia="Calibri" w:hAnsi="Times New Roman"/>
          <w:snapToGrid w:val="0"/>
          <w:color w:val="auto"/>
          <w:kern w:val="22"/>
          <w:bdr w:val="none" w:sz="0" w:space="0" w:color="auto"/>
          <w:lang w:val="en-GB"/>
        </w:rPr>
        <w:t>y present in their legal system. The European Union stated</w:t>
      </w:r>
      <w:r w:rsidR="00A60AB6" w:rsidRPr="00DF02C5">
        <w:rPr>
          <w:rFonts w:eastAsia="Calibri" w:hAnsi="Times New Roman"/>
          <w:snapToGrid w:val="0"/>
          <w:color w:val="auto"/>
          <w:kern w:val="22"/>
          <w:bdr w:val="none" w:sz="0" w:space="0" w:color="auto"/>
          <w:lang w:val="en-GB"/>
        </w:rPr>
        <w:t xml:space="preserve"> that this is not dealt </w:t>
      </w:r>
      <w:r w:rsidR="00374FFC" w:rsidRPr="00DF02C5">
        <w:rPr>
          <w:rFonts w:eastAsia="Calibri" w:hAnsi="Times New Roman"/>
          <w:snapToGrid w:val="0"/>
          <w:color w:val="auto"/>
          <w:kern w:val="22"/>
          <w:bdr w:val="none" w:sz="0" w:space="0" w:color="auto"/>
          <w:lang w:val="en-GB"/>
        </w:rPr>
        <w:t xml:space="preserve">with </w:t>
      </w:r>
      <w:r w:rsidR="00A60AB6" w:rsidRPr="00DF02C5">
        <w:rPr>
          <w:rFonts w:eastAsia="Calibri" w:hAnsi="Times New Roman"/>
          <w:snapToGrid w:val="0"/>
          <w:color w:val="auto"/>
          <w:kern w:val="22"/>
          <w:bdr w:val="none" w:sz="0" w:space="0" w:color="auto"/>
          <w:lang w:val="en-GB"/>
        </w:rPr>
        <w:t>at EU level but provided by individual Member States.</w:t>
      </w:r>
    </w:p>
    <w:p w14:paraId="07D9623E" w14:textId="1F1B2692" w:rsidR="00A60AB6" w:rsidRPr="007060F6" w:rsidRDefault="00A60AB6" w:rsidP="007060F6">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240" w:after="120"/>
        <w:ind w:left="0" w:firstLine="0"/>
        <w:jc w:val="center"/>
        <w:rPr>
          <w:rFonts w:eastAsia="Calibri" w:hAnsi="Times New Roman"/>
          <w:i/>
          <w:snapToGrid w:val="0"/>
          <w:color w:val="auto"/>
          <w:kern w:val="22"/>
          <w:bdr w:val="none" w:sz="0" w:space="0" w:color="auto"/>
          <w:lang w:val="en-GB"/>
        </w:rPr>
      </w:pPr>
      <w:r w:rsidRPr="007060F6">
        <w:rPr>
          <w:rFonts w:eastAsia="Calibri" w:hAnsi="Times New Roman" w:cs="Times New Roman"/>
          <w:i/>
          <w:snapToGrid w:val="0"/>
          <w:color w:val="auto"/>
          <w:kern w:val="22"/>
          <w:bdr w:val="none" w:sz="0" w:space="0" w:color="auto"/>
          <w:lang w:val="en-GB"/>
        </w:rPr>
        <w:t>Additional information</w:t>
      </w:r>
      <w:r w:rsidR="009C11D7" w:rsidRPr="007060F6">
        <w:rPr>
          <w:rFonts w:eastAsia="Calibri" w:hAnsi="Times New Roman" w:cs="Times New Roman"/>
          <w:i/>
          <w:snapToGrid w:val="0"/>
          <w:color w:val="auto"/>
          <w:kern w:val="22"/>
          <w:bdr w:val="none" w:sz="0" w:space="0" w:color="auto"/>
          <w:lang w:val="en-GB"/>
        </w:rPr>
        <w:t xml:space="preserve">: </w:t>
      </w:r>
      <w:r w:rsidR="009C11D7" w:rsidRPr="007060F6">
        <w:rPr>
          <w:rFonts w:eastAsia="Calibri" w:hAnsi="Times New Roman"/>
          <w:i/>
          <w:noProof/>
          <w:snapToGrid w:val="0"/>
          <w:color w:val="auto"/>
          <w:kern w:val="22"/>
          <w:bdr w:val="none" w:sz="0" w:space="0" w:color="auto"/>
          <w:lang w:val="en-GB"/>
        </w:rPr>
        <w:t>summary of the main difficulties and challenges</w:t>
      </w:r>
      <w:r w:rsidR="009C11D7" w:rsidRPr="007060F6">
        <w:rPr>
          <w:rFonts w:eastAsia="Calibri" w:hAnsi="Times New Roman" w:cs="Times New Roman"/>
          <w:i/>
          <w:snapToGrid w:val="0"/>
          <w:color w:val="auto"/>
          <w:kern w:val="22"/>
          <w:bdr w:val="none" w:sz="0" w:space="0" w:color="auto"/>
          <w:lang w:val="en-GB"/>
        </w:rPr>
        <w:t xml:space="preserve"> </w:t>
      </w:r>
      <w:r w:rsidRPr="007060F6">
        <w:rPr>
          <w:rFonts w:eastAsia="Calibri" w:hAnsi="Times New Roman" w:cs="Times New Roman"/>
          <w:i/>
          <w:snapToGrid w:val="0"/>
          <w:color w:val="auto"/>
          <w:kern w:val="22"/>
          <w:bdr w:val="none" w:sz="0" w:space="0" w:color="auto"/>
          <w:lang w:val="en-GB"/>
        </w:rPr>
        <w:t>(question 34)</w:t>
      </w:r>
    </w:p>
    <w:p w14:paraId="399AA796" w14:textId="2AE8311A" w:rsidR="00A60AB6" w:rsidRPr="00DF02C5" w:rsidRDefault="00B9550B"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Twenty-six countries answered this question, of which, m</w:t>
      </w:r>
      <w:r w:rsidR="00A60AB6" w:rsidRPr="00DF02C5">
        <w:rPr>
          <w:rFonts w:eastAsia="Calibri" w:hAnsi="Times New Roman"/>
          <w:snapToGrid w:val="0"/>
          <w:color w:val="auto"/>
          <w:kern w:val="22"/>
          <w:bdr w:val="none" w:sz="0" w:space="0" w:color="auto"/>
          <w:lang w:val="en-GB"/>
        </w:rPr>
        <w:t xml:space="preserve">any referred to </w:t>
      </w:r>
      <w:r w:rsidR="009C11D7" w:rsidRPr="00DF02C5">
        <w:rPr>
          <w:rFonts w:eastAsia="Calibri" w:hAnsi="Times New Roman"/>
          <w:snapToGrid w:val="0"/>
          <w:color w:val="auto"/>
          <w:kern w:val="22"/>
          <w:bdr w:val="none" w:sz="0" w:space="0" w:color="auto"/>
          <w:lang w:val="en-GB"/>
        </w:rPr>
        <w:t xml:space="preserve">similar </w:t>
      </w:r>
      <w:r w:rsidR="00A60AB6" w:rsidRPr="00DF02C5">
        <w:rPr>
          <w:rFonts w:eastAsia="Calibri" w:hAnsi="Times New Roman"/>
          <w:snapToGrid w:val="0"/>
          <w:color w:val="auto"/>
          <w:kern w:val="22"/>
          <w:bdr w:val="none" w:sz="0" w:space="0" w:color="auto"/>
          <w:lang w:val="en-GB"/>
        </w:rPr>
        <w:t xml:space="preserve">difficulties </w:t>
      </w:r>
      <w:r w:rsidR="009C11D7" w:rsidRPr="00DF02C5">
        <w:rPr>
          <w:rFonts w:eastAsia="Calibri" w:hAnsi="Times New Roman"/>
          <w:snapToGrid w:val="0"/>
          <w:color w:val="auto"/>
          <w:kern w:val="22"/>
          <w:bdr w:val="none" w:sz="0" w:space="0" w:color="auto"/>
          <w:lang w:val="en-GB"/>
        </w:rPr>
        <w:t xml:space="preserve">to those </w:t>
      </w:r>
      <w:r w:rsidR="00A60AB6" w:rsidRPr="00DF02C5">
        <w:rPr>
          <w:rFonts w:eastAsia="Calibri" w:hAnsi="Times New Roman"/>
          <w:snapToGrid w:val="0"/>
          <w:color w:val="auto"/>
          <w:kern w:val="22"/>
          <w:bdr w:val="none" w:sz="0" w:space="0" w:color="auto"/>
          <w:lang w:val="en-GB"/>
        </w:rPr>
        <w:t xml:space="preserve">mentioned </w:t>
      </w:r>
      <w:r w:rsidR="009C11D7" w:rsidRPr="00DF02C5">
        <w:rPr>
          <w:rFonts w:eastAsia="Calibri" w:hAnsi="Times New Roman"/>
          <w:snapToGrid w:val="0"/>
          <w:color w:val="auto"/>
          <w:kern w:val="22"/>
          <w:bdr w:val="none" w:sz="0" w:space="0" w:color="auto"/>
          <w:lang w:val="en-GB"/>
        </w:rPr>
        <w:t xml:space="preserve">earlier </w:t>
      </w:r>
      <w:r w:rsidR="00A60AB6" w:rsidRPr="00DF02C5">
        <w:rPr>
          <w:rFonts w:eastAsia="Calibri" w:hAnsi="Times New Roman"/>
          <w:snapToGrid w:val="0"/>
          <w:color w:val="auto"/>
          <w:kern w:val="22"/>
          <w:bdr w:val="none" w:sz="0" w:space="0" w:color="auto"/>
          <w:lang w:val="en-GB"/>
        </w:rPr>
        <w:t xml:space="preserve">regarding general implementation of the Nagoya Protocol and adoption of ABS measures. </w:t>
      </w:r>
    </w:p>
    <w:p w14:paraId="7D1BEEC5" w14:textId="3BF9F2CD" w:rsidR="00A60AB6" w:rsidRPr="00DF02C5" w:rsidRDefault="009C11D7"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Some of the </w:t>
      </w:r>
      <w:r w:rsidR="00A60AB6" w:rsidRPr="00DF02C5">
        <w:rPr>
          <w:rFonts w:eastAsia="Calibri" w:hAnsi="Times New Roman"/>
          <w:snapToGrid w:val="0"/>
          <w:color w:val="auto"/>
          <w:kern w:val="22"/>
          <w:bdr w:val="none" w:sz="0" w:space="0" w:color="auto"/>
          <w:lang w:val="en-GB"/>
        </w:rPr>
        <w:t>difficulties identified</w:t>
      </w:r>
      <w:r w:rsidRPr="00DF02C5">
        <w:rPr>
          <w:rFonts w:eastAsia="Calibri" w:hAnsi="Times New Roman"/>
          <w:snapToGrid w:val="0"/>
          <w:color w:val="auto"/>
          <w:kern w:val="22"/>
          <w:bdr w:val="none" w:sz="0" w:space="0" w:color="auto"/>
          <w:lang w:val="en-GB"/>
        </w:rPr>
        <w:t xml:space="preserve"> by countries in their reports in relation</w:t>
      </w:r>
      <w:r w:rsidR="00A60AB6" w:rsidRPr="00DF02C5">
        <w:rPr>
          <w:rFonts w:eastAsia="Calibri" w:hAnsi="Times New Roman"/>
          <w:snapToGrid w:val="0"/>
          <w:color w:val="auto"/>
          <w:kern w:val="22"/>
          <w:bdr w:val="none" w:sz="0" w:space="0" w:color="auto"/>
          <w:lang w:val="en-GB"/>
        </w:rPr>
        <w:t xml:space="preserve"> to implementation of Article 18 of the Protocol</w:t>
      </w:r>
      <w:r w:rsidRPr="00DF02C5">
        <w:rPr>
          <w:rFonts w:eastAsia="Calibri" w:hAnsi="Times New Roman"/>
          <w:snapToGrid w:val="0"/>
          <w:color w:val="auto"/>
          <w:kern w:val="22"/>
          <w:bdr w:val="none" w:sz="0" w:space="0" w:color="auto"/>
          <w:lang w:val="en-GB"/>
        </w:rPr>
        <w:t xml:space="preserve"> are the following</w:t>
      </w:r>
      <w:r w:rsidR="00A60AB6" w:rsidRPr="00DF02C5">
        <w:rPr>
          <w:rFonts w:eastAsia="Calibri" w:hAnsi="Times New Roman"/>
          <w:snapToGrid w:val="0"/>
          <w:color w:val="auto"/>
          <w:kern w:val="22"/>
          <w:bdr w:val="none" w:sz="0" w:space="0" w:color="auto"/>
          <w:lang w:val="en-GB"/>
        </w:rPr>
        <w:t xml:space="preserve">: </w:t>
      </w:r>
    </w:p>
    <w:p w14:paraId="33A3EE22" w14:textId="07005E3D" w:rsidR="00A60AB6" w:rsidRPr="00DF02C5" w:rsidRDefault="00A60AB6" w:rsidP="005038A2">
      <w:pPr>
        <w:pStyle w:val="Para1"/>
        <w:numPr>
          <w:ilvl w:val="0"/>
          <w:numId w:val="26"/>
        </w:numPr>
        <w:spacing w:line="228" w:lineRule="auto"/>
        <w:ind w:left="0" w:firstLine="709"/>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The need to build capacity on </w:t>
      </w:r>
      <w:r w:rsidR="00374FFC" w:rsidRPr="00DF02C5">
        <w:rPr>
          <w:rFonts w:eastAsia="Calibri" w:hAnsi="Times New Roman"/>
          <w:snapToGrid w:val="0"/>
          <w:color w:val="auto"/>
          <w:kern w:val="22"/>
          <w:bdr w:val="none" w:sz="0" w:space="0" w:color="auto"/>
          <w:lang w:val="en-GB"/>
        </w:rPr>
        <w:t>the negotiation</w:t>
      </w:r>
      <w:r w:rsidRPr="00DF02C5">
        <w:rPr>
          <w:rFonts w:eastAsia="Calibri" w:hAnsi="Times New Roman"/>
          <w:snapToGrid w:val="0"/>
          <w:color w:val="auto"/>
          <w:kern w:val="22"/>
          <w:bdr w:val="none" w:sz="0" w:space="0" w:color="auto"/>
          <w:lang w:val="en-GB"/>
        </w:rPr>
        <w:t xml:space="preserve"> of MAT, dispute resolution and access to justice in other countries</w:t>
      </w:r>
      <w:r w:rsidR="00374FFC" w:rsidRPr="00DF02C5">
        <w:rPr>
          <w:rFonts w:eastAsia="Calibri" w:hAnsi="Times New Roman"/>
          <w:snapToGrid w:val="0"/>
          <w:color w:val="auto"/>
          <w:kern w:val="22"/>
          <w:bdr w:val="none" w:sz="0" w:space="0" w:color="auto"/>
          <w:lang w:val="en-GB"/>
        </w:rPr>
        <w:t>;</w:t>
      </w:r>
    </w:p>
    <w:p w14:paraId="32F35DDA" w14:textId="342BFCD0" w:rsidR="00A60AB6" w:rsidRPr="00DF02C5" w:rsidRDefault="00A60AB6" w:rsidP="005038A2">
      <w:pPr>
        <w:pStyle w:val="Para1"/>
        <w:numPr>
          <w:ilvl w:val="0"/>
          <w:numId w:val="26"/>
        </w:numPr>
        <w:spacing w:line="228" w:lineRule="auto"/>
        <w:ind w:left="0" w:firstLine="709"/>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High legal fees for access to justice;</w:t>
      </w:r>
    </w:p>
    <w:p w14:paraId="3D644352" w14:textId="75367C0E" w:rsidR="00A60AB6" w:rsidRPr="00DF02C5" w:rsidRDefault="00A60AB6" w:rsidP="005038A2">
      <w:pPr>
        <w:pStyle w:val="Para1"/>
        <w:numPr>
          <w:ilvl w:val="0"/>
          <w:numId w:val="26"/>
        </w:numPr>
        <w:spacing w:line="228" w:lineRule="auto"/>
        <w:ind w:left="0" w:firstLine="709"/>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Inadequate legal personnel in matters related to compliance and enforcement;</w:t>
      </w:r>
      <w:r w:rsidR="009C11D7" w:rsidRPr="00DF02C5">
        <w:rPr>
          <w:rFonts w:eastAsia="Calibri" w:hAnsi="Times New Roman"/>
          <w:snapToGrid w:val="0"/>
          <w:color w:val="auto"/>
          <w:kern w:val="22"/>
          <w:bdr w:val="none" w:sz="0" w:space="0" w:color="auto"/>
          <w:lang w:val="en-GB"/>
        </w:rPr>
        <w:t xml:space="preserve"> and</w:t>
      </w:r>
    </w:p>
    <w:p w14:paraId="4A77736F" w14:textId="4642158E" w:rsidR="00A60AB6" w:rsidRPr="00DF02C5" w:rsidRDefault="00A60AB6" w:rsidP="005038A2">
      <w:pPr>
        <w:pStyle w:val="Para1"/>
        <w:numPr>
          <w:ilvl w:val="0"/>
          <w:numId w:val="26"/>
        </w:numPr>
        <w:spacing w:line="228" w:lineRule="auto"/>
        <w:ind w:left="0" w:firstLine="709"/>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The need to build the capacity of judges to deal with ABS matters</w:t>
      </w:r>
      <w:r w:rsidR="00374FFC" w:rsidRPr="00DF02C5">
        <w:rPr>
          <w:rFonts w:eastAsia="Calibri" w:hAnsi="Times New Roman"/>
          <w:snapToGrid w:val="0"/>
          <w:color w:val="auto"/>
          <w:kern w:val="22"/>
          <w:bdr w:val="none" w:sz="0" w:space="0" w:color="auto"/>
          <w:lang w:val="en-GB"/>
        </w:rPr>
        <w:t>.</w:t>
      </w:r>
    </w:p>
    <w:p w14:paraId="63945093" w14:textId="7D7EA8B5" w:rsidR="00A60AB6" w:rsidRPr="00DF02C5" w:rsidRDefault="00A60AB6"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It was noted</w:t>
      </w:r>
      <w:r w:rsidR="009C11D7" w:rsidRPr="00DF02C5">
        <w:rPr>
          <w:rFonts w:eastAsia="Calibri" w:hAnsi="Times New Roman"/>
          <w:snapToGrid w:val="0"/>
          <w:color w:val="auto"/>
          <w:kern w:val="22"/>
          <w:bdr w:val="none" w:sz="0" w:space="0" w:color="auto"/>
          <w:lang w:val="en-GB"/>
        </w:rPr>
        <w:t xml:space="preserve"> that the disparity of</w:t>
      </w:r>
      <w:r w:rsidRPr="00DF02C5">
        <w:rPr>
          <w:rFonts w:eastAsia="Calibri" w:hAnsi="Times New Roman"/>
          <w:snapToGrid w:val="0"/>
          <w:color w:val="auto"/>
          <w:kern w:val="22"/>
          <w:bdr w:val="none" w:sz="0" w:space="0" w:color="auto"/>
          <w:lang w:val="en-GB"/>
        </w:rPr>
        <w:t xml:space="preserve"> national legislation</w:t>
      </w:r>
      <w:r w:rsidR="009C11D7" w:rsidRPr="00DF02C5">
        <w:rPr>
          <w:rFonts w:eastAsia="Calibri" w:hAnsi="Times New Roman"/>
          <w:snapToGrid w:val="0"/>
          <w:color w:val="auto"/>
          <w:kern w:val="22"/>
          <w:bdr w:val="none" w:sz="0" w:space="0" w:color="auto"/>
          <w:lang w:val="en-GB"/>
        </w:rPr>
        <w:t>s</w:t>
      </w:r>
      <w:r w:rsidRPr="00DF02C5">
        <w:rPr>
          <w:rFonts w:eastAsia="Calibri" w:hAnsi="Times New Roman"/>
          <w:snapToGrid w:val="0"/>
          <w:color w:val="auto"/>
          <w:kern w:val="22"/>
          <w:bdr w:val="none" w:sz="0" w:space="0" w:color="auto"/>
          <w:lang w:val="en-GB"/>
        </w:rPr>
        <w:t xml:space="preserve"> renders difficult </w:t>
      </w:r>
      <w:r w:rsidR="00374FFC" w:rsidRPr="00DF02C5">
        <w:rPr>
          <w:rFonts w:eastAsia="Calibri" w:hAnsi="Times New Roman"/>
          <w:snapToGrid w:val="0"/>
          <w:color w:val="auto"/>
          <w:kern w:val="22"/>
          <w:bdr w:val="none" w:sz="0" w:space="0" w:color="auto"/>
          <w:lang w:val="en-GB"/>
        </w:rPr>
        <w:t>to recognize</w:t>
      </w:r>
      <w:r w:rsidRPr="00DF02C5">
        <w:rPr>
          <w:rFonts w:eastAsia="Calibri" w:hAnsi="Times New Roman"/>
          <w:snapToGrid w:val="0"/>
          <w:color w:val="auto"/>
          <w:kern w:val="22"/>
          <w:bdr w:val="none" w:sz="0" w:space="0" w:color="auto"/>
          <w:lang w:val="en-GB"/>
        </w:rPr>
        <w:t xml:space="preserve"> foreign judgements and arbitral awards. One </w:t>
      </w:r>
      <w:r w:rsidR="009C11D7" w:rsidRPr="00DF02C5">
        <w:rPr>
          <w:rFonts w:eastAsia="Calibri" w:hAnsi="Times New Roman"/>
          <w:snapToGrid w:val="0"/>
          <w:color w:val="auto"/>
          <w:kern w:val="22"/>
          <w:bdr w:val="none" w:sz="0" w:space="0" w:color="auto"/>
          <w:lang w:val="en-GB"/>
        </w:rPr>
        <w:t>country noted that no cases had</w:t>
      </w:r>
      <w:r w:rsidRPr="00DF02C5">
        <w:rPr>
          <w:rFonts w:eastAsia="Calibri" w:hAnsi="Times New Roman"/>
          <w:snapToGrid w:val="0"/>
          <w:color w:val="auto"/>
          <w:kern w:val="22"/>
          <w:bdr w:val="none" w:sz="0" w:space="0" w:color="auto"/>
          <w:lang w:val="en-GB"/>
        </w:rPr>
        <w:t xml:space="preserve"> arisen yet where recognition of foreign judgements was required. Another coun</w:t>
      </w:r>
      <w:r w:rsidR="009C11D7" w:rsidRPr="00DF02C5">
        <w:rPr>
          <w:rFonts w:eastAsia="Calibri" w:hAnsi="Times New Roman"/>
          <w:snapToGrid w:val="0"/>
          <w:color w:val="auto"/>
          <w:kern w:val="22"/>
          <w:bdr w:val="none" w:sz="0" w:space="0" w:color="auto"/>
          <w:lang w:val="en-GB"/>
        </w:rPr>
        <w:t xml:space="preserve">try acknowledged that they had </w:t>
      </w:r>
      <w:r w:rsidRPr="00DF02C5">
        <w:rPr>
          <w:rFonts w:eastAsia="Calibri" w:hAnsi="Times New Roman"/>
          <w:snapToGrid w:val="0"/>
          <w:color w:val="auto"/>
          <w:kern w:val="22"/>
          <w:bdr w:val="none" w:sz="0" w:space="0" w:color="auto"/>
          <w:lang w:val="en-GB"/>
        </w:rPr>
        <w:t>not included clauses on dispute resolution in all contracts signed.</w:t>
      </w:r>
    </w:p>
    <w:p w14:paraId="4BE3FCC8" w14:textId="7C0487E7" w:rsidR="00A60AB6" w:rsidRPr="00DF02C5" w:rsidRDefault="00A60AB6"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Other issues mentioned include: (a) Emerging issues of digital sequence information and synthetic biology; (b) limited monitoring of the utilization of genetic resources in foreign jurisdictions; and (</w:t>
      </w:r>
      <w:r w:rsidR="009C11D7" w:rsidRPr="00DF02C5">
        <w:rPr>
          <w:rFonts w:eastAsia="Calibri" w:hAnsi="Times New Roman"/>
          <w:snapToGrid w:val="0"/>
          <w:color w:val="auto"/>
          <w:kern w:val="22"/>
          <w:bdr w:val="none" w:sz="0" w:space="0" w:color="auto"/>
          <w:lang w:val="en-GB"/>
        </w:rPr>
        <w:t xml:space="preserve">c) challenges related to ensuring </w:t>
      </w:r>
      <w:r w:rsidRPr="00DF02C5">
        <w:rPr>
          <w:rFonts w:eastAsia="Calibri" w:hAnsi="Times New Roman"/>
          <w:snapToGrid w:val="0"/>
          <w:color w:val="auto"/>
          <w:kern w:val="22"/>
          <w:bdr w:val="none" w:sz="0" w:space="0" w:color="auto"/>
          <w:lang w:val="en-GB"/>
        </w:rPr>
        <w:t>compliance of non-Parties.</w:t>
      </w:r>
    </w:p>
    <w:p w14:paraId="513ED17A" w14:textId="61C20CCC" w:rsidR="00D84EFE" w:rsidRPr="00DF02C5" w:rsidRDefault="009C11D7" w:rsidP="007060F6">
      <w:pPr>
        <w:pStyle w:val="ListParagraph"/>
        <w:keepNext/>
        <w:numPr>
          <w:ilvl w:val="0"/>
          <w:numId w:val="10"/>
        </w:numPr>
        <w:spacing w:before="240" w:after="120"/>
        <w:ind w:left="0" w:firstLine="0"/>
        <w:jc w:val="center"/>
        <w:outlineLvl w:val="1"/>
        <w:rPr>
          <w:rFonts w:eastAsia="Calibri" w:hAnsi="Times New Roman" w:cs="Times New Roman"/>
          <w:b/>
          <w:bCs/>
          <w:iCs/>
          <w:snapToGrid w:val="0"/>
          <w:bdr w:val="none" w:sz="0" w:space="0" w:color="auto"/>
          <w:lang w:val="en-GB"/>
        </w:rPr>
      </w:pPr>
      <w:bookmarkStart w:id="12" w:name="_Toc511112608"/>
      <w:r w:rsidRPr="00DF02C5">
        <w:rPr>
          <w:rFonts w:eastAsia="Calibri" w:hAnsi="Times New Roman" w:cs="Times New Roman"/>
          <w:b/>
          <w:bCs/>
          <w:iCs/>
          <w:snapToGrid w:val="0"/>
          <w:bdr w:val="none" w:sz="0" w:space="0" w:color="auto"/>
          <w:lang w:val="en-GB"/>
        </w:rPr>
        <w:lastRenderedPageBreak/>
        <w:t>Special considerations: Article 8</w:t>
      </w:r>
      <w:r w:rsidR="00D84EFE" w:rsidRPr="00DF02C5">
        <w:rPr>
          <w:rFonts w:eastAsia="Calibri" w:hAnsi="Times New Roman" w:cs="Times New Roman"/>
          <w:b/>
          <w:bCs/>
          <w:iCs/>
          <w:snapToGrid w:val="0"/>
          <w:bdr w:val="none" w:sz="0" w:space="0" w:color="auto"/>
          <w:lang w:val="en-GB"/>
        </w:rPr>
        <w:t xml:space="preserve"> (questions 35 to 36)</w:t>
      </w:r>
      <w:bookmarkEnd w:id="12"/>
    </w:p>
    <w:p w14:paraId="71F727A8" w14:textId="1F9EB1DC" w:rsidR="00D84EFE" w:rsidRPr="007060F6" w:rsidRDefault="00CB4F90" w:rsidP="007060F6">
      <w:pPr>
        <w:pStyle w:val="ListParagraph"/>
        <w:keepNext/>
        <w:keepLines/>
        <w:numPr>
          <w:ilvl w:val="1"/>
          <w:numId w:val="71"/>
        </w:numPr>
        <w:spacing w:before="240" w:after="120"/>
        <w:ind w:hanging="630"/>
        <w:rPr>
          <w:rFonts w:eastAsia="Calibri" w:hAnsi="Times New Roman" w:cs="Times New Roman"/>
          <w:i/>
          <w:snapToGrid w:val="0"/>
          <w:color w:val="auto"/>
          <w:kern w:val="22"/>
          <w:bdr w:val="none" w:sz="0" w:space="0" w:color="auto"/>
          <w:lang w:val="en-GB"/>
        </w:rPr>
      </w:pPr>
      <w:r w:rsidRPr="007060F6">
        <w:rPr>
          <w:rFonts w:eastAsia="Calibri" w:hAnsi="Times New Roman" w:cs="Times New Roman"/>
          <w:i/>
          <w:noProof/>
          <w:snapToGrid w:val="0"/>
          <w:color w:val="auto"/>
          <w:kern w:val="22"/>
          <w:bdr w:val="none" w:sz="0" w:space="0" w:color="auto"/>
          <w:lang w:val="en-GB"/>
        </w:rPr>
        <w:t>In the development and implementation of ABS legislation or regulatory requirements has your country created conditions to promote and encourage research which contributes to the conservation and sustainable use of biodiversity, including through simplified measures on access for non-commercial research purposes, taking into account the need to address a change of intent for such research as provided in Article 8(a)?</w:t>
      </w:r>
      <w:r w:rsidRPr="007060F6">
        <w:rPr>
          <w:rFonts w:eastAsia="Calibri" w:hAnsi="Times New Roman" w:cs="Times New Roman"/>
          <w:i/>
          <w:snapToGrid w:val="0"/>
          <w:color w:val="auto"/>
          <w:kern w:val="22"/>
          <w:bdr w:val="none" w:sz="0" w:space="0" w:color="auto"/>
          <w:lang w:val="en-GB"/>
        </w:rPr>
        <w:t xml:space="preserve"> (question 35</w:t>
      </w:r>
      <w:r w:rsidR="00D84EFE" w:rsidRPr="007060F6">
        <w:rPr>
          <w:rFonts w:eastAsia="Calibri" w:hAnsi="Times New Roman" w:cs="Times New Roman"/>
          <w:i/>
          <w:snapToGrid w:val="0"/>
          <w:color w:val="auto"/>
          <w:kern w:val="22"/>
          <w:bdr w:val="none" w:sz="0" w:space="0" w:color="auto"/>
          <w:lang w:val="en-GB"/>
        </w:rPr>
        <w:t>)</w:t>
      </w:r>
    </w:p>
    <w:p w14:paraId="6FE2934F" w14:textId="2EB2F6F1" w:rsidR="00DD394C" w:rsidRPr="00DF02C5" w:rsidRDefault="00DD394C" w:rsidP="00A2498F">
      <w:pPr>
        <w:pStyle w:val="Para1"/>
        <w:numPr>
          <w:ilvl w:val="0"/>
          <w:numId w:val="1"/>
        </w:numPr>
        <w:rPr>
          <w:rFonts w:eastAsia="Calibri" w:hAnsi="Times New Roman"/>
          <w:snapToGrid w:val="0"/>
          <w:kern w:val="22"/>
          <w:bdr w:val="none" w:sz="0" w:space="0" w:color="auto"/>
          <w:lang w:val="en-GB"/>
        </w:rPr>
      </w:pPr>
      <w:proofErr w:type="gramStart"/>
      <w:r w:rsidRPr="00DF02C5">
        <w:rPr>
          <w:rFonts w:eastAsia="Calibri" w:hAnsi="Times New Roman"/>
          <w:snapToGrid w:val="0"/>
          <w:kern w:val="22"/>
          <w:bdr w:val="none" w:sz="0" w:space="0" w:color="auto"/>
          <w:lang w:val="en-GB"/>
        </w:rPr>
        <w:t>Forty-eight</w:t>
      </w:r>
      <w:proofErr w:type="gramEnd"/>
      <w:r w:rsidRPr="00DF02C5">
        <w:rPr>
          <w:rFonts w:eastAsia="Calibri" w:hAnsi="Times New Roman"/>
          <w:snapToGrid w:val="0"/>
          <w:kern w:val="22"/>
          <w:bdr w:val="none" w:sz="0" w:space="0" w:color="auto"/>
          <w:lang w:val="en-GB"/>
        </w:rPr>
        <w:t xml:space="preserve"> Parties and two non-Parties responded that they have </w:t>
      </w:r>
      <w:r w:rsidRPr="00DF02C5">
        <w:rPr>
          <w:rFonts w:eastAsia="Calibri" w:hAnsi="Times New Roman"/>
          <w:noProof/>
          <w:snapToGrid w:val="0"/>
          <w:color w:val="auto"/>
          <w:kern w:val="22"/>
          <w:bdr w:val="none" w:sz="0" w:space="0" w:color="auto"/>
          <w:lang w:val="en-GB"/>
        </w:rPr>
        <w:t>created conditions to promote and encourage research which contributes to the conservation and sustainable use of biodiversity</w:t>
      </w:r>
      <w:r w:rsidR="00CB4F90" w:rsidRPr="00DF02C5">
        <w:rPr>
          <w:rFonts w:eastAsia="Calibri" w:hAnsi="Times New Roman"/>
          <w:snapToGrid w:val="0"/>
          <w:kern w:val="22"/>
          <w:bdr w:val="none" w:sz="0" w:space="0" w:color="auto"/>
          <w:lang w:val="en-GB"/>
        </w:rPr>
        <w:t>, while twenty-one Parties and four non-Parties reported not having created such conditions.</w:t>
      </w:r>
    </w:p>
    <w:p w14:paraId="7CB620CB" w14:textId="6F82BC22" w:rsidR="00CB4F90" w:rsidRPr="00DF02C5" w:rsidRDefault="00E5256F" w:rsidP="00E5256F">
      <w:pPr>
        <w:pStyle w:val="Caption"/>
        <w:keepNext/>
        <w:keepLines/>
        <w:rPr>
          <w:snapToGrid w:val="0"/>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Pr="00DF02C5">
        <w:rPr>
          <w:noProof/>
          <w:lang w:val="en-GB"/>
        </w:rPr>
        <w:t>31</w:t>
      </w:r>
      <w:r w:rsidRPr="00DF02C5">
        <w:rPr>
          <w:lang w:val="en-GB"/>
        </w:rPr>
        <w:fldChar w:fldCharType="end"/>
      </w:r>
      <w:r w:rsidR="00CB4F90" w:rsidRPr="00DF02C5">
        <w:rPr>
          <w:snapToGrid w:val="0"/>
          <w:bdr w:val="none" w:sz="0" w:space="0" w:color="auto"/>
          <w:lang w:val="en-GB"/>
        </w:rPr>
        <w:t>: Conditions to promote and encourage research which contributes to the conservation and sustainable use of biodiversity (percentage of countries)</w:t>
      </w:r>
    </w:p>
    <w:p w14:paraId="660D2579" w14:textId="77C7BF2A" w:rsidR="00CB4F90" w:rsidRPr="00DF02C5" w:rsidRDefault="00CB4F90" w:rsidP="00CB4F90">
      <w:pPr>
        <w:pStyle w:val="Para1"/>
        <w:jc w:val="center"/>
        <w:rPr>
          <w:rFonts w:eastAsia="Calibri" w:hAnsi="Times New Roman"/>
          <w:snapToGrid w:val="0"/>
          <w:kern w:val="22"/>
          <w:bdr w:val="none" w:sz="0" w:space="0" w:color="auto"/>
          <w:lang w:val="en-GB"/>
        </w:rPr>
      </w:pPr>
      <w:r w:rsidRPr="00DF02C5">
        <w:rPr>
          <w:noProof/>
          <w:color w:val="auto"/>
        </w:rPr>
        <w:drawing>
          <wp:inline distT="0" distB="0" distL="0" distR="0" wp14:anchorId="44FD9E20" wp14:editId="0ACFFAF5">
            <wp:extent cx="3514725" cy="2076450"/>
            <wp:effectExtent l="0" t="0" r="9525"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78B3C7D" w14:textId="41489D2F" w:rsidR="00CB4F90" w:rsidRPr="00DF02C5" w:rsidRDefault="00CB4F90" w:rsidP="00CB4F90">
      <w:pPr>
        <w:spacing w:before="120" w:after="120"/>
        <w:rPr>
          <w:rFonts w:eastAsia="Calibri" w:hAnsi="Times New Roman" w:cs="Times New Roman"/>
          <w:i/>
          <w:noProof/>
          <w:snapToGrid w:val="0"/>
          <w:color w:val="auto"/>
          <w:kern w:val="22"/>
          <w:bdr w:val="none" w:sz="0" w:space="0" w:color="auto"/>
          <w:lang w:val="en-GB"/>
        </w:rPr>
      </w:pPr>
      <w:r w:rsidRPr="00DF02C5">
        <w:rPr>
          <w:rFonts w:eastAsia="Calibri" w:hAnsi="Times New Roman" w:cs="Times New Roman"/>
          <w:i/>
          <w:noProof/>
          <w:snapToGrid w:val="0"/>
          <w:color w:val="auto"/>
          <w:kern w:val="22"/>
          <w:bdr w:val="none" w:sz="0" w:space="0" w:color="auto"/>
          <w:lang w:val="en-GB"/>
        </w:rPr>
        <w:t>(a)</w:t>
      </w:r>
      <w:r w:rsidRPr="00DF02C5">
        <w:rPr>
          <w:rFonts w:eastAsia="Calibri" w:hAnsi="Times New Roman" w:cs="Times New Roman"/>
          <w:i/>
          <w:noProof/>
          <w:snapToGrid w:val="0"/>
          <w:color w:val="auto"/>
          <w:kern w:val="22"/>
          <w:bdr w:val="none" w:sz="0" w:space="0" w:color="auto"/>
          <w:lang w:val="en-GB"/>
        </w:rPr>
        <w:tab/>
        <w:t>Countries that answered “yes”</w:t>
      </w:r>
    </w:p>
    <w:p w14:paraId="3520E194" w14:textId="663C05DF" w:rsidR="00D84EFE" w:rsidRPr="00DF02C5" w:rsidRDefault="00BD60A0" w:rsidP="00A2498F">
      <w:pPr>
        <w:numPr>
          <w:ilvl w:val="0"/>
          <w:numId w:val="1"/>
        </w:numPr>
        <w:spacing w:before="120" w:after="120"/>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noProof/>
          <w:snapToGrid w:val="0"/>
          <w:color w:val="auto"/>
          <w:kern w:val="22"/>
          <w:bdr w:val="none" w:sz="0" w:space="0" w:color="auto"/>
          <w:lang w:val="en-GB"/>
        </w:rPr>
        <w:t>S</w:t>
      </w:r>
      <w:r w:rsidR="00D84EFE" w:rsidRPr="00DF02C5">
        <w:rPr>
          <w:rFonts w:eastAsia="Calibri" w:hAnsi="Times New Roman" w:cs="Times New Roman"/>
          <w:noProof/>
          <w:snapToGrid w:val="0"/>
          <w:color w:val="auto"/>
          <w:kern w:val="22"/>
          <w:bdr w:val="none" w:sz="0" w:space="0" w:color="auto"/>
          <w:lang w:val="en-GB"/>
        </w:rPr>
        <w:t>ome countries</w:t>
      </w:r>
      <w:r w:rsidR="00EA59A2" w:rsidRPr="00DF02C5">
        <w:rPr>
          <w:rFonts w:eastAsia="Calibri" w:hAnsi="Times New Roman" w:cs="Times New Roman"/>
          <w:noProof/>
          <w:snapToGrid w:val="0"/>
          <w:color w:val="auto"/>
          <w:kern w:val="22"/>
          <w:bdr w:val="none" w:sz="0" w:space="0" w:color="auto"/>
          <w:vertAlign w:val="superscript"/>
          <w:lang w:val="en-GB"/>
        </w:rPr>
        <w:footnoteReference w:id="254"/>
      </w:r>
      <w:r w:rsidR="00EA59A2" w:rsidRPr="00DF02C5">
        <w:rPr>
          <w:rFonts w:eastAsia="Calibri" w:hAnsi="Times New Roman" w:cs="Times New Roman"/>
          <w:noProof/>
          <w:snapToGrid w:val="0"/>
          <w:color w:val="auto"/>
          <w:kern w:val="22"/>
          <w:bdr w:val="none" w:sz="0" w:space="0" w:color="auto"/>
          <w:lang w:val="en-GB"/>
        </w:rPr>
        <w:t xml:space="preserve"> </w:t>
      </w:r>
      <w:r w:rsidR="00D84EFE" w:rsidRPr="00DF02C5">
        <w:rPr>
          <w:rFonts w:eastAsia="Calibri" w:hAnsi="Times New Roman" w:cs="Times New Roman"/>
          <w:noProof/>
          <w:snapToGrid w:val="0"/>
          <w:color w:val="auto"/>
          <w:kern w:val="22"/>
          <w:bdr w:val="none" w:sz="0" w:space="0" w:color="auto"/>
          <w:lang w:val="en-GB"/>
        </w:rPr>
        <w:t>referred to existing ABS measures</w:t>
      </w:r>
      <w:r w:rsidR="00EA59A2" w:rsidRPr="00DF02C5">
        <w:rPr>
          <w:rFonts w:eastAsia="Calibri" w:hAnsi="Times New Roman" w:cs="Times New Roman"/>
          <w:noProof/>
          <w:snapToGrid w:val="0"/>
          <w:color w:val="auto"/>
          <w:kern w:val="22"/>
          <w:bdr w:val="none" w:sz="0" w:space="0" w:color="auto"/>
          <w:lang w:val="en-GB"/>
        </w:rPr>
        <w:t xml:space="preserve"> </w:t>
      </w:r>
      <w:r w:rsidR="00D84EFE" w:rsidRPr="00DF02C5">
        <w:rPr>
          <w:rFonts w:eastAsia="Calibri" w:hAnsi="Times New Roman" w:cs="Times New Roman"/>
          <w:noProof/>
          <w:snapToGrid w:val="0"/>
          <w:color w:val="auto"/>
          <w:kern w:val="22"/>
          <w:bdr w:val="none" w:sz="0" w:space="0" w:color="auto"/>
          <w:lang w:val="en-GB"/>
        </w:rPr>
        <w:t>addressing this issue or to draft measure</w:t>
      </w:r>
      <w:r w:rsidR="000A1A42" w:rsidRPr="00DF02C5">
        <w:rPr>
          <w:rFonts w:eastAsia="Calibri" w:hAnsi="Times New Roman" w:cs="Times New Roman"/>
          <w:noProof/>
          <w:snapToGrid w:val="0"/>
          <w:color w:val="auto"/>
          <w:kern w:val="22"/>
          <w:bdr w:val="none" w:sz="0" w:space="0" w:color="auto"/>
          <w:lang w:val="en-GB"/>
        </w:rPr>
        <w:t>s under development or approval</w:t>
      </w:r>
      <w:r w:rsidR="007060F6">
        <w:rPr>
          <w:rFonts w:eastAsia="Calibri" w:hAnsi="Times New Roman" w:cs="Times New Roman"/>
          <w:noProof/>
          <w:snapToGrid w:val="0"/>
          <w:color w:val="auto"/>
          <w:kern w:val="22"/>
          <w:bdr w:val="none" w:sz="0" w:space="0" w:color="auto"/>
          <w:lang w:val="en-GB"/>
        </w:rPr>
        <w:t>.</w:t>
      </w:r>
      <w:r w:rsidR="00D84EFE" w:rsidRPr="00DF02C5">
        <w:rPr>
          <w:rFonts w:eastAsia="Calibri" w:hAnsi="Times New Roman" w:cs="Times New Roman"/>
          <w:noProof/>
          <w:snapToGrid w:val="0"/>
          <w:color w:val="auto"/>
          <w:kern w:val="22"/>
          <w:bdr w:val="none" w:sz="0" w:space="0" w:color="auto"/>
          <w:vertAlign w:val="superscript"/>
          <w:lang w:val="en-GB"/>
        </w:rPr>
        <w:footnoteReference w:id="255"/>
      </w:r>
      <w:r w:rsidR="00D84EFE" w:rsidRPr="00DF02C5">
        <w:rPr>
          <w:rFonts w:eastAsia="Calibri" w:hAnsi="Times New Roman" w:cs="Times New Roman"/>
          <w:noProof/>
          <w:snapToGrid w:val="0"/>
          <w:color w:val="auto"/>
          <w:kern w:val="22"/>
          <w:bdr w:val="none" w:sz="0" w:space="0" w:color="auto"/>
          <w:lang w:val="en-GB"/>
        </w:rPr>
        <w:t xml:space="preserve"> </w:t>
      </w:r>
      <w:r w:rsidR="001F7704" w:rsidRPr="00DF02C5">
        <w:rPr>
          <w:rFonts w:eastAsia="Calibri" w:hAnsi="Times New Roman" w:cs="Times New Roman"/>
          <w:noProof/>
          <w:snapToGrid w:val="0"/>
          <w:color w:val="auto"/>
          <w:kern w:val="22"/>
          <w:bdr w:val="none" w:sz="0" w:space="0" w:color="auto"/>
          <w:lang w:val="en-GB"/>
        </w:rPr>
        <w:t xml:space="preserve"> Several </w:t>
      </w:r>
      <w:r w:rsidR="00D84EFE" w:rsidRPr="00DF02C5">
        <w:rPr>
          <w:rFonts w:eastAsia="Calibri" w:hAnsi="Times New Roman" w:cs="Times New Roman"/>
          <w:noProof/>
          <w:snapToGrid w:val="0"/>
          <w:color w:val="auto"/>
          <w:kern w:val="22"/>
          <w:bdr w:val="none" w:sz="0" w:space="0" w:color="auto"/>
          <w:lang w:val="en-GB"/>
        </w:rPr>
        <w:t>countries</w:t>
      </w:r>
      <w:r w:rsidR="00D84EFE" w:rsidRPr="00DF02C5">
        <w:rPr>
          <w:rFonts w:eastAsia="Calibri" w:hAnsi="Times New Roman" w:cs="Times New Roman"/>
          <w:noProof/>
          <w:snapToGrid w:val="0"/>
          <w:color w:val="auto"/>
          <w:kern w:val="22"/>
          <w:bdr w:val="none" w:sz="0" w:space="0" w:color="auto"/>
          <w:vertAlign w:val="superscript"/>
          <w:lang w:val="en-GB"/>
        </w:rPr>
        <w:footnoteReference w:id="256"/>
      </w:r>
      <w:r w:rsidR="00D84EFE" w:rsidRPr="00DF02C5">
        <w:rPr>
          <w:rFonts w:eastAsia="Calibri" w:hAnsi="Times New Roman" w:cs="Times New Roman"/>
          <w:noProof/>
          <w:snapToGrid w:val="0"/>
          <w:color w:val="auto"/>
          <w:kern w:val="22"/>
          <w:bdr w:val="none" w:sz="0" w:space="0" w:color="auto"/>
          <w:lang w:val="en-GB"/>
        </w:rPr>
        <w:t xml:space="preserve"> reported having </w:t>
      </w:r>
      <w:r w:rsidR="001F7704" w:rsidRPr="00DF02C5">
        <w:rPr>
          <w:rFonts w:eastAsia="Calibri" w:hAnsi="Times New Roman" w:cs="Times New Roman"/>
          <w:noProof/>
          <w:snapToGrid w:val="0"/>
          <w:color w:val="auto"/>
          <w:kern w:val="22"/>
          <w:bdr w:val="none" w:sz="0" w:space="0" w:color="auto"/>
          <w:lang w:val="en-GB"/>
        </w:rPr>
        <w:t xml:space="preserve">relevant </w:t>
      </w:r>
      <w:r w:rsidR="00D84EFE" w:rsidRPr="00DF02C5">
        <w:rPr>
          <w:rFonts w:eastAsia="Calibri" w:hAnsi="Times New Roman" w:cs="Times New Roman"/>
          <w:noProof/>
          <w:snapToGrid w:val="0"/>
          <w:color w:val="auto"/>
          <w:kern w:val="22"/>
          <w:bdr w:val="none" w:sz="0" w:space="0" w:color="auto"/>
          <w:lang w:val="en-GB"/>
        </w:rPr>
        <w:t>measures in place</w:t>
      </w:r>
      <w:r w:rsidR="00EA59A2" w:rsidRPr="00DF02C5">
        <w:rPr>
          <w:rFonts w:eastAsia="Calibri" w:hAnsi="Times New Roman" w:cs="Times New Roman"/>
          <w:noProof/>
          <w:snapToGrid w:val="0"/>
          <w:color w:val="auto"/>
          <w:kern w:val="22"/>
          <w:bdr w:val="none" w:sz="0" w:space="0" w:color="auto"/>
          <w:lang w:val="en-GB"/>
        </w:rPr>
        <w:t xml:space="preserve">, </w:t>
      </w:r>
      <w:r w:rsidR="00D84EFE" w:rsidRPr="00DF02C5">
        <w:rPr>
          <w:rFonts w:eastAsia="Calibri" w:hAnsi="Times New Roman" w:cs="Times New Roman"/>
          <w:noProof/>
          <w:snapToGrid w:val="0"/>
          <w:color w:val="auto"/>
          <w:kern w:val="22"/>
          <w:bdr w:val="none" w:sz="0" w:space="0" w:color="auto"/>
          <w:lang w:val="en-GB"/>
        </w:rPr>
        <w:t>and some</w:t>
      </w:r>
      <w:r w:rsidR="001F7704" w:rsidRPr="00DF02C5">
        <w:rPr>
          <w:rFonts w:eastAsia="Calibri" w:hAnsi="Times New Roman" w:cs="Times New Roman"/>
          <w:noProof/>
          <w:snapToGrid w:val="0"/>
          <w:color w:val="auto"/>
          <w:kern w:val="22"/>
          <w:bdr w:val="none" w:sz="0" w:space="0" w:color="auto"/>
          <w:lang w:val="en-GB"/>
        </w:rPr>
        <w:t xml:space="preserve"> </w:t>
      </w:r>
      <w:r w:rsidR="00EA59A2" w:rsidRPr="00DF02C5">
        <w:rPr>
          <w:rFonts w:eastAsia="Calibri" w:hAnsi="Times New Roman" w:cs="Times New Roman"/>
          <w:noProof/>
          <w:snapToGrid w:val="0"/>
          <w:color w:val="auto"/>
          <w:kern w:val="22"/>
          <w:bdr w:val="none" w:sz="0" w:space="0" w:color="auto"/>
          <w:vertAlign w:val="superscript"/>
          <w:lang w:val="en-GB"/>
        </w:rPr>
        <w:footnoteReference w:id="257"/>
      </w:r>
      <w:r w:rsidR="00D84EFE" w:rsidRPr="00DF02C5">
        <w:rPr>
          <w:rFonts w:eastAsia="Calibri" w:hAnsi="Times New Roman" w:cs="Times New Roman"/>
          <w:noProof/>
          <w:snapToGrid w:val="0"/>
          <w:color w:val="auto"/>
          <w:kern w:val="22"/>
          <w:bdr w:val="none" w:sz="0" w:space="0" w:color="auto"/>
          <w:lang w:val="en-GB"/>
        </w:rPr>
        <w:t xml:space="preserve"> indicated that </w:t>
      </w:r>
      <w:r w:rsidR="000A1A42" w:rsidRPr="00DF02C5">
        <w:rPr>
          <w:rFonts w:eastAsia="Calibri" w:hAnsi="Times New Roman" w:cs="Times New Roman"/>
          <w:noProof/>
          <w:snapToGrid w:val="0"/>
          <w:color w:val="auto"/>
          <w:kern w:val="22"/>
          <w:bdr w:val="none" w:sz="0" w:space="0" w:color="auto"/>
          <w:lang w:val="en-GB"/>
        </w:rPr>
        <w:t xml:space="preserve">Article 8(a) will be given </w:t>
      </w:r>
      <w:r w:rsidR="00D84EFE" w:rsidRPr="00DF02C5">
        <w:rPr>
          <w:rFonts w:eastAsia="Calibri" w:hAnsi="Times New Roman" w:cs="Times New Roman"/>
          <w:noProof/>
          <w:snapToGrid w:val="0"/>
          <w:color w:val="auto"/>
          <w:kern w:val="22"/>
          <w:bdr w:val="none" w:sz="0" w:space="0" w:color="auto"/>
          <w:lang w:val="en-GB"/>
        </w:rPr>
        <w:t xml:space="preserve">further consideration </w:t>
      </w:r>
      <w:r w:rsidR="000A1A42" w:rsidRPr="00DF02C5">
        <w:rPr>
          <w:rFonts w:eastAsia="Calibri" w:hAnsi="Times New Roman" w:cs="Times New Roman"/>
          <w:noProof/>
          <w:snapToGrid w:val="0"/>
          <w:color w:val="auto"/>
          <w:kern w:val="22"/>
          <w:bdr w:val="none" w:sz="0" w:space="0" w:color="auto"/>
          <w:lang w:val="en-GB"/>
        </w:rPr>
        <w:t>i</w:t>
      </w:r>
      <w:r w:rsidR="00D84EFE" w:rsidRPr="00DF02C5">
        <w:rPr>
          <w:rFonts w:eastAsia="Calibri" w:hAnsi="Times New Roman" w:cs="Times New Roman"/>
          <w:noProof/>
          <w:snapToGrid w:val="0"/>
          <w:color w:val="auto"/>
          <w:kern w:val="22"/>
          <w:bdr w:val="none" w:sz="0" w:space="0" w:color="auto"/>
          <w:lang w:val="en-GB"/>
        </w:rPr>
        <w:t xml:space="preserve">n the development/review of their ABS measures.  </w:t>
      </w:r>
    </w:p>
    <w:p w14:paraId="6319CE88" w14:textId="77777777" w:rsidR="00EA59A2" w:rsidRPr="00DF02C5" w:rsidRDefault="00D84EFE" w:rsidP="00A2498F">
      <w:pPr>
        <w:numPr>
          <w:ilvl w:val="0"/>
          <w:numId w:val="1"/>
        </w:numPr>
        <w:spacing w:before="120" w:after="120"/>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noProof/>
          <w:snapToGrid w:val="0"/>
          <w:color w:val="auto"/>
          <w:kern w:val="22"/>
          <w:bdr w:val="none" w:sz="0" w:space="0" w:color="auto"/>
          <w:lang w:val="en-GB"/>
        </w:rPr>
        <w:t>Some countries</w:t>
      </w:r>
      <w:r w:rsidRPr="00DF02C5">
        <w:rPr>
          <w:rFonts w:eastAsia="Calibri" w:hAnsi="Times New Roman" w:cs="Times New Roman"/>
          <w:noProof/>
          <w:snapToGrid w:val="0"/>
          <w:color w:val="auto"/>
          <w:kern w:val="22"/>
          <w:bdr w:val="none" w:sz="0" w:space="0" w:color="auto"/>
          <w:vertAlign w:val="superscript"/>
          <w:lang w:val="en-GB"/>
        </w:rPr>
        <w:footnoteReference w:id="258"/>
      </w:r>
      <w:r w:rsidRPr="00DF02C5">
        <w:rPr>
          <w:rFonts w:eastAsia="Calibri" w:hAnsi="Times New Roman" w:cs="Times New Roman"/>
          <w:noProof/>
          <w:snapToGrid w:val="0"/>
          <w:color w:val="auto"/>
          <w:kern w:val="22"/>
          <w:bdr w:val="none" w:sz="0" w:space="0" w:color="auto"/>
          <w:lang w:val="en-GB"/>
        </w:rPr>
        <w:t xml:space="preserve"> provided information on measures taken to encourage research in general (not in the context of access and benefit-sharing). </w:t>
      </w:r>
    </w:p>
    <w:p w14:paraId="0300E093" w14:textId="40EABA55" w:rsidR="00D84EFE" w:rsidRPr="00DF02C5" w:rsidRDefault="00D84EFE" w:rsidP="00A2498F">
      <w:pPr>
        <w:numPr>
          <w:ilvl w:val="0"/>
          <w:numId w:val="1"/>
        </w:numPr>
        <w:spacing w:before="120" w:after="120"/>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noProof/>
          <w:snapToGrid w:val="0"/>
          <w:color w:val="auto"/>
          <w:kern w:val="22"/>
          <w:bdr w:val="none" w:sz="0" w:space="0" w:color="auto"/>
          <w:lang w:val="en-GB"/>
        </w:rPr>
        <w:t>A number of  countries</w:t>
      </w:r>
      <w:r w:rsidRPr="00DF02C5">
        <w:rPr>
          <w:rFonts w:eastAsia="Calibri" w:hAnsi="Times New Roman" w:cs="Times New Roman"/>
          <w:noProof/>
          <w:snapToGrid w:val="0"/>
          <w:color w:val="auto"/>
          <w:kern w:val="22"/>
          <w:bdr w:val="none" w:sz="0" w:space="0" w:color="auto"/>
          <w:vertAlign w:val="superscript"/>
          <w:lang w:val="en-GB"/>
        </w:rPr>
        <w:footnoteReference w:id="259"/>
      </w:r>
      <w:r w:rsidRPr="00DF02C5">
        <w:rPr>
          <w:rFonts w:eastAsia="Calibri" w:hAnsi="Times New Roman" w:cs="Times New Roman"/>
          <w:noProof/>
          <w:snapToGrid w:val="0"/>
          <w:color w:val="auto"/>
          <w:kern w:val="22"/>
          <w:bdr w:val="none" w:sz="0" w:space="0" w:color="auto"/>
          <w:lang w:val="en-GB"/>
        </w:rPr>
        <w:t xml:space="preserve"> answered “yes” to this question on the basis of not having requirements for access to genetic resources in their country.</w:t>
      </w:r>
      <w:r w:rsidR="00EA59A2" w:rsidRPr="00DF02C5">
        <w:rPr>
          <w:rFonts w:eastAsia="Calibri" w:hAnsi="Times New Roman" w:cs="Times New Roman"/>
          <w:noProof/>
          <w:snapToGrid w:val="0"/>
          <w:color w:val="auto"/>
          <w:kern w:val="22"/>
          <w:bdr w:val="none" w:sz="0" w:space="0" w:color="auto"/>
          <w:lang w:val="en-GB"/>
        </w:rPr>
        <w:t xml:space="preserve"> For example,  t</w:t>
      </w:r>
      <w:r w:rsidRPr="00DF02C5">
        <w:rPr>
          <w:rFonts w:eastAsia="Calibri" w:hAnsi="Times New Roman" w:cs="Times New Roman"/>
          <w:noProof/>
          <w:snapToGrid w:val="0"/>
          <w:color w:val="auto"/>
          <w:kern w:val="22"/>
          <w:bdr w:val="none" w:sz="0" w:space="0" w:color="auto"/>
          <w:lang w:val="en-GB"/>
        </w:rPr>
        <w:t>he European Union indicated that there are no access measures at EU level, hence there are also no simplified measures on access for non-commercial research purposes. However, they reported that Article 16 of the EU ABS Regulation requires the European Commission to review the functioning and effectiveness of the Regulation in achieving the objectives of the Nagoya Protocol and that in this review the European Commission needs to consider the administrative consequences inter alia for public research institutions.</w:t>
      </w:r>
    </w:p>
    <w:p w14:paraId="53B41D20" w14:textId="77777777" w:rsidR="00D84EFE" w:rsidRPr="00DF02C5" w:rsidRDefault="00D84EFE" w:rsidP="00BC6060">
      <w:pPr>
        <w:numPr>
          <w:ilvl w:val="0"/>
          <w:numId w:val="1"/>
        </w:numPr>
        <w:spacing w:before="120" w:after="120"/>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noProof/>
          <w:snapToGrid w:val="0"/>
          <w:color w:val="auto"/>
          <w:kern w:val="22"/>
          <w:bdr w:val="none" w:sz="0" w:space="0" w:color="auto"/>
          <w:lang w:val="en-GB"/>
        </w:rPr>
        <w:lastRenderedPageBreak/>
        <w:t>The following provides some examples of measures taken to implement Article 8(a) provided by countries in their report:</w:t>
      </w:r>
    </w:p>
    <w:p w14:paraId="3FCE3788" w14:textId="31062A4E" w:rsidR="00D84EFE" w:rsidRPr="00DF02C5" w:rsidRDefault="00D84EFE" w:rsidP="00BC6060">
      <w:pPr>
        <w:numPr>
          <w:ilvl w:val="0"/>
          <w:numId w:val="22"/>
        </w:numPr>
        <w:spacing w:before="120" w:after="120" w:line="228" w:lineRule="auto"/>
        <w:ind w:left="0" w:firstLine="709"/>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noProof/>
          <w:snapToGrid w:val="0"/>
          <w:color w:val="auto"/>
          <w:kern w:val="22"/>
          <w:bdr w:val="none" w:sz="0" w:space="0" w:color="auto"/>
          <w:lang w:val="en-GB"/>
        </w:rPr>
        <w:t xml:space="preserve">Benin indicated that  the contracts for non-commercial research are granted faster and that only non-monetary benefits and clauses to address the </w:t>
      </w:r>
      <w:r w:rsidR="007060F6">
        <w:rPr>
          <w:rFonts w:eastAsia="Calibri" w:hAnsi="Times New Roman" w:cs="Times New Roman"/>
          <w:noProof/>
          <w:snapToGrid w:val="0"/>
          <w:color w:val="auto"/>
          <w:kern w:val="22"/>
          <w:bdr w:val="none" w:sz="0" w:space="0" w:color="auto"/>
          <w:lang w:val="en-GB"/>
        </w:rPr>
        <w:t>change of intent are negotiated;</w:t>
      </w:r>
    </w:p>
    <w:p w14:paraId="65354441" w14:textId="2C799CF1" w:rsidR="00D84EFE" w:rsidRPr="00DF02C5" w:rsidRDefault="00D84EFE" w:rsidP="00BC6060">
      <w:pPr>
        <w:numPr>
          <w:ilvl w:val="0"/>
          <w:numId w:val="22"/>
        </w:numPr>
        <w:spacing w:before="120" w:after="120" w:line="228" w:lineRule="auto"/>
        <w:ind w:left="0" w:firstLine="709"/>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noProof/>
          <w:snapToGrid w:val="0"/>
          <w:color w:val="auto"/>
          <w:kern w:val="22"/>
          <w:bdr w:val="none" w:sz="0" w:space="0" w:color="auto"/>
          <w:lang w:val="en-GB"/>
        </w:rPr>
        <w:t>Bhutan requires material transfer agreements for non-commercial research instead of negotiating an ABS agreement.</w:t>
      </w:r>
      <w:r w:rsidR="000A1A42" w:rsidRPr="00DF02C5">
        <w:rPr>
          <w:rFonts w:eastAsia="Calibri" w:hAnsi="Times New Roman" w:cs="Times New Roman"/>
          <w:noProof/>
          <w:snapToGrid w:val="0"/>
          <w:color w:val="auto"/>
          <w:kern w:val="22"/>
          <w:bdr w:val="none" w:sz="0" w:space="0" w:color="auto"/>
          <w:lang w:val="en-GB"/>
        </w:rPr>
        <w:t xml:space="preserve"> </w:t>
      </w:r>
      <w:r w:rsidRPr="00DF02C5">
        <w:rPr>
          <w:rFonts w:eastAsia="Calibri" w:hAnsi="Times New Roman" w:cs="Times New Roman"/>
          <w:noProof/>
          <w:snapToGrid w:val="0"/>
          <w:color w:val="auto"/>
          <w:kern w:val="22"/>
          <w:bdr w:val="none" w:sz="0" w:space="0" w:color="auto"/>
          <w:lang w:val="en-GB"/>
        </w:rPr>
        <w:t xml:space="preserve">They </w:t>
      </w:r>
      <w:r w:rsidR="00EA59A2" w:rsidRPr="00DF02C5">
        <w:rPr>
          <w:rFonts w:eastAsia="Calibri" w:hAnsi="Times New Roman" w:cs="Times New Roman"/>
          <w:noProof/>
          <w:snapToGrid w:val="0"/>
          <w:color w:val="auto"/>
          <w:kern w:val="22"/>
          <w:bdr w:val="none" w:sz="0" w:space="0" w:color="auto"/>
          <w:lang w:val="en-GB"/>
        </w:rPr>
        <w:t xml:space="preserve">indicated </w:t>
      </w:r>
      <w:r w:rsidRPr="00DF02C5">
        <w:rPr>
          <w:rFonts w:eastAsia="Calibri" w:hAnsi="Times New Roman" w:cs="Times New Roman"/>
          <w:noProof/>
          <w:snapToGrid w:val="0"/>
          <w:color w:val="auto"/>
          <w:kern w:val="22"/>
          <w:bdr w:val="none" w:sz="0" w:space="0" w:color="auto"/>
          <w:lang w:val="en-GB"/>
        </w:rPr>
        <w:t xml:space="preserve">that </w:t>
      </w:r>
      <w:r w:rsidR="000A1A42" w:rsidRPr="00DF02C5">
        <w:rPr>
          <w:rFonts w:eastAsia="Calibri" w:hAnsi="Times New Roman" w:cs="Times New Roman"/>
          <w:noProof/>
          <w:snapToGrid w:val="0"/>
          <w:color w:val="auto"/>
          <w:kern w:val="22"/>
          <w:bdr w:val="none" w:sz="0" w:space="0" w:color="auto"/>
          <w:lang w:val="en-GB"/>
        </w:rPr>
        <w:t>one of the</w:t>
      </w:r>
      <w:r w:rsidRPr="00DF02C5">
        <w:rPr>
          <w:rFonts w:eastAsia="Calibri" w:hAnsi="Times New Roman" w:cs="Times New Roman"/>
          <w:noProof/>
          <w:snapToGrid w:val="0"/>
          <w:color w:val="auto"/>
          <w:kern w:val="22"/>
          <w:bdr w:val="none" w:sz="0" w:space="0" w:color="auto"/>
          <w:lang w:val="en-GB"/>
        </w:rPr>
        <w:t xml:space="preserve"> conditions of the MTA </w:t>
      </w:r>
      <w:r w:rsidR="000A1A42" w:rsidRPr="00DF02C5">
        <w:rPr>
          <w:rFonts w:eastAsia="Calibri" w:hAnsi="Times New Roman" w:cs="Times New Roman"/>
          <w:noProof/>
          <w:snapToGrid w:val="0"/>
          <w:color w:val="auto"/>
          <w:kern w:val="22"/>
          <w:bdr w:val="none" w:sz="0" w:space="0" w:color="auto"/>
          <w:lang w:val="en-GB"/>
        </w:rPr>
        <w:t>is the</w:t>
      </w:r>
      <w:r w:rsidRPr="00DF02C5">
        <w:rPr>
          <w:rFonts w:eastAsia="Calibri" w:hAnsi="Times New Roman" w:cs="Times New Roman"/>
          <w:noProof/>
          <w:snapToGrid w:val="0"/>
          <w:color w:val="auto"/>
          <w:kern w:val="22"/>
          <w:bdr w:val="none" w:sz="0" w:space="0" w:color="auto"/>
          <w:lang w:val="en-GB"/>
        </w:rPr>
        <w:t xml:space="preserve"> need to inform the CNA or</w:t>
      </w:r>
      <w:r w:rsidR="007060F6">
        <w:rPr>
          <w:rFonts w:eastAsia="Calibri" w:hAnsi="Times New Roman" w:cs="Times New Roman"/>
          <w:noProof/>
          <w:snapToGrid w:val="0"/>
          <w:color w:val="auto"/>
          <w:kern w:val="22"/>
          <w:bdr w:val="none" w:sz="0" w:space="0" w:color="auto"/>
          <w:lang w:val="en-GB"/>
        </w:rPr>
        <w:t xml:space="preserve"> NFP about the change of intent;</w:t>
      </w:r>
    </w:p>
    <w:p w14:paraId="47886860" w14:textId="6DCE1EB7" w:rsidR="00D84EFE" w:rsidRPr="00DF02C5" w:rsidRDefault="00D84EFE" w:rsidP="00BC6060">
      <w:pPr>
        <w:numPr>
          <w:ilvl w:val="0"/>
          <w:numId w:val="22"/>
        </w:numPr>
        <w:spacing w:before="120" w:after="120" w:line="228" w:lineRule="auto"/>
        <w:ind w:left="0" w:firstLine="709"/>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noProof/>
          <w:snapToGrid w:val="0"/>
          <w:color w:val="auto"/>
          <w:kern w:val="22"/>
          <w:bdr w:val="none" w:sz="0" w:space="0" w:color="auto"/>
          <w:lang w:val="en-GB"/>
        </w:rPr>
        <w:t xml:space="preserve">Bulgaria’s legislation provides for gratuitous </w:t>
      </w:r>
      <w:r w:rsidR="005249C5" w:rsidRPr="00DF02C5">
        <w:rPr>
          <w:rFonts w:eastAsia="Calibri" w:hAnsi="Times New Roman" w:cs="Times New Roman"/>
          <w:noProof/>
          <w:snapToGrid w:val="0"/>
          <w:color w:val="auto"/>
          <w:kern w:val="22"/>
          <w:bdr w:val="none" w:sz="0" w:space="0" w:color="auto"/>
          <w:lang w:val="en-GB"/>
        </w:rPr>
        <w:t>ac</w:t>
      </w:r>
      <w:r w:rsidR="00EA59A2" w:rsidRPr="00DF02C5">
        <w:rPr>
          <w:rFonts w:eastAsia="Calibri" w:hAnsi="Times New Roman" w:cs="Times New Roman"/>
          <w:noProof/>
          <w:snapToGrid w:val="0"/>
          <w:color w:val="auto"/>
          <w:kern w:val="22"/>
          <w:bdr w:val="none" w:sz="0" w:space="0" w:color="auto"/>
          <w:lang w:val="en-GB"/>
        </w:rPr>
        <w:t>c</w:t>
      </w:r>
      <w:r w:rsidR="005249C5" w:rsidRPr="00DF02C5">
        <w:rPr>
          <w:rFonts w:eastAsia="Calibri" w:hAnsi="Times New Roman" w:cs="Times New Roman"/>
          <w:noProof/>
          <w:snapToGrid w:val="0"/>
          <w:color w:val="auto"/>
          <w:kern w:val="22"/>
          <w:bdr w:val="none" w:sz="0" w:space="0" w:color="auto"/>
          <w:lang w:val="en-GB"/>
        </w:rPr>
        <w:t>ess to</w:t>
      </w:r>
      <w:r w:rsidRPr="00DF02C5">
        <w:rPr>
          <w:rFonts w:eastAsia="Calibri" w:hAnsi="Times New Roman" w:cs="Times New Roman"/>
          <w:noProof/>
          <w:snapToGrid w:val="0"/>
          <w:color w:val="auto"/>
          <w:kern w:val="22"/>
          <w:bdr w:val="none" w:sz="0" w:space="0" w:color="auto"/>
          <w:lang w:val="en-GB"/>
        </w:rPr>
        <w:t xml:space="preserve"> genetic resources if the resources are intended for non-commercial purposes, including scientific research, education, conservation of biologic</w:t>
      </w:r>
      <w:r w:rsidR="007060F6">
        <w:rPr>
          <w:rFonts w:eastAsia="Calibri" w:hAnsi="Times New Roman" w:cs="Times New Roman"/>
          <w:noProof/>
          <w:snapToGrid w:val="0"/>
          <w:color w:val="auto"/>
          <w:kern w:val="22"/>
          <w:bdr w:val="none" w:sz="0" w:space="0" w:color="auto"/>
          <w:lang w:val="en-GB"/>
        </w:rPr>
        <w:t>al diversity, or public health;</w:t>
      </w:r>
    </w:p>
    <w:p w14:paraId="571900E4" w14:textId="61E39CCC" w:rsidR="00D84EFE" w:rsidRPr="00DF02C5" w:rsidRDefault="00D84EFE" w:rsidP="00BC6060">
      <w:pPr>
        <w:numPr>
          <w:ilvl w:val="0"/>
          <w:numId w:val="22"/>
        </w:numPr>
        <w:spacing w:before="120" w:after="120" w:line="228" w:lineRule="auto"/>
        <w:ind w:left="0" w:firstLine="709"/>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noProof/>
          <w:snapToGrid w:val="0"/>
          <w:color w:val="auto"/>
          <w:kern w:val="22"/>
          <w:bdr w:val="none" w:sz="0" w:space="0" w:color="auto"/>
          <w:lang w:val="en-GB"/>
        </w:rPr>
        <w:t>China requires</w:t>
      </w:r>
      <w:r w:rsidR="00EA59A2" w:rsidRPr="00DF02C5">
        <w:rPr>
          <w:rFonts w:eastAsia="Calibri" w:hAnsi="Times New Roman" w:cs="Times New Roman"/>
          <w:noProof/>
          <w:snapToGrid w:val="0"/>
          <w:color w:val="auto"/>
          <w:kern w:val="22"/>
          <w:bdr w:val="none" w:sz="0" w:space="0" w:color="auto"/>
          <w:vertAlign w:val="superscript"/>
          <w:lang w:val="en-GB"/>
        </w:rPr>
        <w:t xml:space="preserve"> </w:t>
      </w:r>
      <w:r w:rsidRPr="00DF02C5">
        <w:rPr>
          <w:rFonts w:eastAsia="Calibri" w:hAnsi="Times New Roman" w:cs="Times New Roman"/>
          <w:noProof/>
          <w:snapToGrid w:val="0"/>
          <w:color w:val="auto"/>
          <w:kern w:val="22"/>
          <w:bdr w:val="none" w:sz="0" w:space="0" w:color="auto"/>
          <w:lang w:val="en-GB"/>
        </w:rPr>
        <w:t>that simplified procedures and measures be adopted for the transfer of genetic resources as non-living specimens, epidemic disease samples and genetic resources used for exhibition and science popularization purposes as long as they comply wit</w:t>
      </w:r>
      <w:r w:rsidR="007060F6">
        <w:rPr>
          <w:rFonts w:eastAsia="Calibri" w:hAnsi="Times New Roman" w:cs="Times New Roman"/>
          <w:noProof/>
          <w:snapToGrid w:val="0"/>
          <w:color w:val="auto"/>
          <w:kern w:val="22"/>
          <w:bdr w:val="none" w:sz="0" w:space="0" w:color="auto"/>
          <w:lang w:val="en-GB"/>
        </w:rPr>
        <w:t>h relevant laws and regulations;</w:t>
      </w:r>
    </w:p>
    <w:p w14:paraId="754418BF" w14:textId="0770C7D0" w:rsidR="00D84EFE" w:rsidRPr="00DF02C5" w:rsidRDefault="00D84EFE" w:rsidP="00BC6060">
      <w:pPr>
        <w:numPr>
          <w:ilvl w:val="0"/>
          <w:numId w:val="22"/>
        </w:numPr>
        <w:spacing w:before="120" w:after="120" w:line="228" w:lineRule="auto"/>
        <w:ind w:left="0" w:firstLine="709"/>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noProof/>
          <w:snapToGrid w:val="0"/>
          <w:color w:val="auto"/>
          <w:kern w:val="22"/>
          <w:bdr w:val="none" w:sz="0" w:space="0" w:color="auto"/>
          <w:lang w:val="en-GB"/>
        </w:rPr>
        <w:t>Ethiopia reported that government institutions with a mandate to conserve genetic resources may not be required to obtain access permit</w:t>
      </w:r>
      <w:r w:rsidR="005249C5" w:rsidRPr="00DF02C5">
        <w:rPr>
          <w:rFonts w:eastAsia="Calibri" w:hAnsi="Times New Roman" w:cs="Times New Roman"/>
          <w:noProof/>
          <w:snapToGrid w:val="0"/>
          <w:color w:val="auto"/>
          <w:kern w:val="22"/>
          <w:bdr w:val="none" w:sz="0" w:space="0" w:color="auto"/>
          <w:lang w:val="en-GB"/>
        </w:rPr>
        <w:t>s</w:t>
      </w:r>
      <w:r w:rsidR="00EA59A2" w:rsidRPr="00DF02C5">
        <w:rPr>
          <w:rFonts w:eastAsia="Calibri" w:hAnsi="Times New Roman" w:cs="Times New Roman"/>
          <w:noProof/>
          <w:snapToGrid w:val="0"/>
          <w:color w:val="auto"/>
          <w:kern w:val="22"/>
          <w:bdr w:val="none" w:sz="0" w:space="0" w:color="auto"/>
          <w:lang w:val="en-GB"/>
        </w:rPr>
        <w:t>. H</w:t>
      </w:r>
      <w:r w:rsidRPr="00DF02C5">
        <w:rPr>
          <w:rFonts w:eastAsia="Calibri" w:hAnsi="Times New Roman" w:cs="Times New Roman"/>
          <w:noProof/>
          <w:snapToGrid w:val="0"/>
          <w:color w:val="auto"/>
          <w:kern w:val="22"/>
          <w:bdr w:val="none" w:sz="0" w:space="0" w:color="auto"/>
          <w:lang w:val="en-GB"/>
        </w:rPr>
        <w:t xml:space="preserve">owever, they shall not transfer </w:t>
      </w:r>
      <w:r w:rsidR="005249C5" w:rsidRPr="00DF02C5">
        <w:rPr>
          <w:rFonts w:eastAsia="Calibri" w:hAnsi="Times New Roman" w:cs="Times New Roman"/>
          <w:noProof/>
          <w:snapToGrid w:val="0"/>
          <w:color w:val="auto"/>
          <w:kern w:val="22"/>
          <w:bdr w:val="none" w:sz="0" w:space="0" w:color="auto"/>
          <w:lang w:val="en-GB"/>
        </w:rPr>
        <w:t>these resources</w:t>
      </w:r>
      <w:r w:rsidRPr="00DF02C5">
        <w:rPr>
          <w:rFonts w:eastAsia="Calibri" w:hAnsi="Times New Roman" w:cs="Times New Roman"/>
          <w:noProof/>
          <w:snapToGrid w:val="0"/>
          <w:color w:val="auto"/>
          <w:kern w:val="22"/>
          <w:bdr w:val="none" w:sz="0" w:space="0" w:color="auto"/>
          <w:lang w:val="en-GB"/>
        </w:rPr>
        <w:t xml:space="preserve"> to third persons or export </w:t>
      </w:r>
      <w:r w:rsidR="005249C5" w:rsidRPr="00DF02C5">
        <w:rPr>
          <w:rFonts w:eastAsia="Calibri" w:hAnsi="Times New Roman" w:cs="Times New Roman"/>
          <w:noProof/>
          <w:snapToGrid w:val="0"/>
          <w:color w:val="auto"/>
          <w:kern w:val="22"/>
          <w:bdr w:val="none" w:sz="0" w:space="0" w:color="auto"/>
          <w:lang w:val="en-GB"/>
        </w:rPr>
        <w:t xml:space="preserve">them </w:t>
      </w:r>
      <w:r w:rsidRPr="00DF02C5">
        <w:rPr>
          <w:rFonts w:eastAsia="Calibri" w:hAnsi="Times New Roman" w:cs="Times New Roman"/>
          <w:noProof/>
          <w:snapToGrid w:val="0"/>
          <w:color w:val="auto"/>
          <w:kern w:val="22"/>
          <w:bdr w:val="none" w:sz="0" w:space="0" w:color="auto"/>
          <w:lang w:val="en-GB"/>
        </w:rPr>
        <w:t>out of Ethiopia unless they are given a permit. Facilitated access is also provided to national public research and higher learning institutions as well as  intergovernmental institutions for the purpose of development and academic research activities undertake</w:t>
      </w:r>
      <w:r w:rsidR="007603CD" w:rsidRPr="00DF02C5">
        <w:rPr>
          <w:rFonts w:eastAsia="Calibri" w:hAnsi="Times New Roman" w:cs="Times New Roman"/>
          <w:noProof/>
          <w:snapToGrid w:val="0"/>
          <w:color w:val="auto"/>
          <w:kern w:val="22"/>
          <w:bdr w:val="none" w:sz="0" w:space="0" w:color="auto"/>
          <w:lang w:val="en-GB"/>
        </w:rPr>
        <w:t>n</w:t>
      </w:r>
      <w:r w:rsidR="007060F6">
        <w:rPr>
          <w:rFonts w:eastAsia="Calibri" w:hAnsi="Times New Roman" w:cs="Times New Roman"/>
          <w:noProof/>
          <w:snapToGrid w:val="0"/>
          <w:color w:val="auto"/>
          <w:kern w:val="22"/>
          <w:bdr w:val="none" w:sz="0" w:space="0" w:color="auto"/>
          <w:lang w:val="en-GB"/>
        </w:rPr>
        <w:t xml:space="preserve"> within the country;</w:t>
      </w:r>
    </w:p>
    <w:p w14:paraId="50764322" w14:textId="67D305B2" w:rsidR="00D84EFE" w:rsidRPr="00DF02C5" w:rsidRDefault="00D84EFE" w:rsidP="00BC6060">
      <w:pPr>
        <w:numPr>
          <w:ilvl w:val="0"/>
          <w:numId w:val="22"/>
        </w:numPr>
        <w:spacing w:before="120" w:after="120" w:line="228" w:lineRule="auto"/>
        <w:ind w:left="0" w:firstLine="709"/>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noProof/>
          <w:snapToGrid w:val="0"/>
          <w:color w:val="auto"/>
          <w:kern w:val="22"/>
          <w:bdr w:val="none" w:sz="0" w:space="0" w:color="auto"/>
          <w:lang w:val="en-GB"/>
        </w:rPr>
        <w:t>France reported that the French law on biodiversity foresees a declarative procedure for non</w:t>
      </w:r>
      <w:r w:rsidR="007603CD" w:rsidRPr="00DF02C5">
        <w:rPr>
          <w:rFonts w:eastAsia="Calibri" w:hAnsi="Times New Roman" w:cs="Times New Roman"/>
          <w:noProof/>
          <w:snapToGrid w:val="0"/>
          <w:color w:val="auto"/>
          <w:kern w:val="22"/>
          <w:bdr w:val="none" w:sz="0" w:space="0" w:color="auto"/>
          <w:lang w:val="en-GB"/>
        </w:rPr>
        <w:t>-</w:t>
      </w:r>
      <w:r w:rsidR="007060F6">
        <w:rPr>
          <w:rFonts w:eastAsia="Calibri" w:hAnsi="Times New Roman" w:cs="Times New Roman"/>
          <w:noProof/>
          <w:snapToGrid w:val="0"/>
          <w:color w:val="auto"/>
          <w:kern w:val="22"/>
          <w:bdr w:val="none" w:sz="0" w:space="0" w:color="auto"/>
          <w:lang w:val="en-GB"/>
        </w:rPr>
        <w:t>commercial research;</w:t>
      </w:r>
    </w:p>
    <w:p w14:paraId="63FA50D5" w14:textId="294849AF" w:rsidR="00D84EFE" w:rsidRPr="00DF02C5" w:rsidRDefault="00D84EFE" w:rsidP="00BC6060">
      <w:pPr>
        <w:numPr>
          <w:ilvl w:val="0"/>
          <w:numId w:val="22"/>
        </w:numPr>
        <w:spacing w:before="120" w:after="120" w:line="228" w:lineRule="auto"/>
        <w:ind w:left="0" w:firstLine="709"/>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noProof/>
          <w:snapToGrid w:val="0"/>
          <w:color w:val="auto"/>
          <w:kern w:val="22"/>
          <w:bdr w:val="none" w:sz="0" w:space="0" w:color="auto"/>
          <w:lang w:val="en-GB"/>
        </w:rPr>
        <w:t>Ind</w:t>
      </w:r>
      <w:r w:rsidR="007749A3" w:rsidRPr="00DF02C5">
        <w:rPr>
          <w:rFonts w:eastAsia="Calibri" w:hAnsi="Times New Roman" w:cs="Times New Roman"/>
          <w:noProof/>
          <w:snapToGrid w:val="0"/>
          <w:color w:val="auto"/>
          <w:kern w:val="22"/>
          <w:bdr w:val="none" w:sz="0" w:space="0" w:color="auto"/>
          <w:lang w:val="en-GB"/>
        </w:rPr>
        <w:t>ia provides a separate process</w:t>
      </w:r>
      <w:r w:rsidRPr="00DF02C5">
        <w:rPr>
          <w:rFonts w:eastAsia="Calibri" w:hAnsi="Times New Roman" w:cs="Times New Roman"/>
          <w:noProof/>
          <w:snapToGrid w:val="0"/>
          <w:color w:val="auto"/>
          <w:kern w:val="22"/>
          <w:bdr w:val="none" w:sz="0" w:space="0" w:color="auto"/>
          <w:lang w:val="en-GB"/>
        </w:rPr>
        <w:t xml:space="preserve"> (Form B application), which can be used by Indian researchers or government institutions who intend to carry or send biological resources outside India for basic non-commercial research. The declaration to be signed by the user and the recipient (non-Indian) has to be submitted to the CNA. The applications filed under this provision</w:t>
      </w:r>
      <w:r w:rsidR="001F7704" w:rsidRPr="00DF02C5">
        <w:rPr>
          <w:rFonts w:eastAsia="Calibri" w:hAnsi="Times New Roman" w:cs="Times New Roman"/>
          <w:noProof/>
          <w:snapToGrid w:val="0"/>
          <w:color w:val="auto"/>
          <w:kern w:val="22"/>
          <w:bdr w:val="none" w:sz="0" w:space="0" w:color="auto"/>
          <w:lang w:val="en-GB"/>
        </w:rPr>
        <w:t xml:space="preserve"> are considered and disposed of</w:t>
      </w:r>
      <w:r w:rsidRPr="00DF02C5">
        <w:rPr>
          <w:rFonts w:eastAsia="Calibri" w:hAnsi="Times New Roman" w:cs="Times New Roman"/>
          <w:noProof/>
          <w:snapToGrid w:val="0"/>
          <w:color w:val="auto"/>
          <w:kern w:val="22"/>
          <w:bdr w:val="none" w:sz="0" w:space="0" w:color="auto"/>
          <w:lang w:val="en-GB"/>
        </w:rPr>
        <w:t xml:space="preserve"> expeditiously within a specified timeframe through simplified measures and no fee is</w:t>
      </w:r>
      <w:r w:rsidR="007060F6">
        <w:rPr>
          <w:rFonts w:eastAsia="Calibri" w:hAnsi="Times New Roman" w:cs="Times New Roman"/>
          <w:noProof/>
          <w:snapToGrid w:val="0"/>
          <w:color w:val="auto"/>
          <w:kern w:val="22"/>
          <w:bdr w:val="none" w:sz="0" w:space="0" w:color="auto"/>
          <w:lang w:val="en-GB"/>
        </w:rPr>
        <w:t xml:space="preserve"> charged for such applications;</w:t>
      </w:r>
    </w:p>
    <w:p w14:paraId="14FBE149" w14:textId="4274F4CC" w:rsidR="00D84EFE" w:rsidRPr="00DF02C5" w:rsidRDefault="00D84EFE" w:rsidP="00BC6060">
      <w:pPr>
        <w:numPr>
          <w:ilvl w:val="0"/>
          <w:numId w:val="22"/>
        </w:numPr>
        <w:spacing w:before="120" w:after="120" w:line="228" w:lineRule="auto"/>
        <w:ind w:left="0" w:firstLine="709"/>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noProof/>
          <w:snapToGrid w:val="0"/>
          <w:color w:val="auto"/>
          <w:kern w:val="22"/>
          <w:bdr w:val="none" w:sz="0" w:space="0" w:color="auto"/>
          <w:lang w:val="en-GB"/>
        </w:rPr>
        <w:t xml:space="preserve">Madagascar reported that public research organizations are only required to submit the information in the access form for access and utilization for non-commercial purposes. They </w:t>
      </w:r>
      <w:r w:rsidR="007749A3" w:rsidRPr="00DF02C5">
        <w:rPr>
          <w:rFonts w:eastAsia="Calibri" w:hAnsi="Times New Roman" w:cs="Times New Roman"/>
          <w:noProof/>
          <w:snapToGrid w:val="0"/>
          <w:color w:val="auto"/>
          <w:kern w:val="22"/>
          <w:bdr w:val="none" w:sz="0" w:space="0" w:color="auto"/>
          <w:lang w:val="en-GB"/>
        </w:rPr>
        <w:t xml:space="preserve">also indicated </w:t>
      </w:r>
      <w:r w:rsidRPr="00DF02C5">
        <w:rPr>
          <w:rFonts w:eastAsia="Calibri" w:hAnsi="Times New Roman" w:cs="Times New Roman"/>
          <w:noProof/>
          <w:snapToGrid w:val="0"/>
          <w:color w:val="auto"/>
          <w:kern w:val="22"/>
          <w:bdr w:val="none" w:sz="0" w:space="0" w:color="auto"/>
          <w:lang w:val="en-GB"/>
        </w:rPr>
        <w:t>that any change of intent will require the submission of a new access request which</w:t>
      </w:r>
      <w:r w:rsidR="007749A3" w:rsidRPr="00DF02C5">
        <w:rPr>
          <w:rFonts w:eastAsia="Calibri" w:hAnsi="Times New Roman" w:cs="Times New Roman"/>
          <w:noProof/>
          <w:snapToGrid w:val="0"/>
          <w:color w:val="auto"/>
          <w:kern w:val="22"/>
          <w:bdr w:val="none" w:sz="0" w:space="0" w:color="auto"/>
          <w:lang w:val="en-GB"/>
        </w:rPr>
        <w:t xml:space="preserve"> will be subje</w:t>
      </w:r>
      <w:r w:rsidR="007060F6">
        <w:rPr>
          <w:rFonts w:eastAsia="Calibri" w:hAnsi="Times New Roman" w:cs="Times New Roman"/>
          <w:noProof/>
          <w:snapToGrid w:val="0"/>
          <w:color w:val="auto"/>
          <w:kern w:val="22"/>
          <w:bdr w:val="none" w:sz="0" w:space="0" w:color="auto"/>
          <w:lang w:val="en-GB"/>
        </w:rPr>
        <w:t>ct to PIC and MAT;</w:t>
      </w:r>
    </w:p>
    <w:p w14:paraId="1DFE6232" w14:textId="6EA947F8" w:rsidR="00D84EFE" w:rsidRPr="00DF02C5" w:rsidRDefault="00D84EFE" w:rsidP="00BC6060">
      <w:pPr>
        <w:numPr>
          <w:ilvl w:val="0"/>
          <w:numId w:val="22"/>
        </w:numPr>
        <w:spacing w:before="120" w:after="120" w:line="228" w:lineRule="auto"/>
        <w:ind w:left="0" w:firstLine="709"/>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noProof/>
          <w:snapToGrid w:val="0"/>
          <w:color w:val="auto"/>
          <w:kern w:val="22"/>
          <w:bdr w:val="none" w:sz="0" w:space="0" w:color="auto"/>
          <w:lang w:val="en-GB"/>
        </w:rPr>
        <w:t xml:space="preserve">Malawi indicated that the issue was addressed </w:t>
      </w:r>
      <w:r w:rsidR="007603CD" w:rsidRPr="00DF02C5">
        <w:rPr>
          <w:rFonts w:eastAsia="Calibri" w:hAnsi="Times New Roman" w:cs="Times New Roman"/>
          <w:noProof/>
          <w:snapToGrid w:val="0"/>
          <w:color w:val="auto"/>
          <w:kern w:val="22"/>
          <w:bdr w:val="none" w:sz="0" w:space="0" w:color="auto"/>
          <w:lang w:val="en-GB"/>
        </w:rPr>
        <w:t>on</w:t>
      </w:r>
      <w:r w:rsidR="007060F6">
        <w:rPr>
          <w:rFonts w:eastAsia="Calibri" w:hAnsi="Times New Roman" w:cs="Times New Roman"/>
          <w:noProof/>
          <w:snapToGrid w:val="0"/>
          <w:color w:val="auto"/>
          <w:kern w:val="22"/>
          <w:bdr w:val="none" w:sz="0" w:space="0" w:color="auto"/>
          <w:lang w:val="en-GB"/>
        </w:rPr>
        <w:t xml:space="preserve"> a case-by-case basis;</w:t>
      </w:r>
    </w:p>
    <w:p w14:paraId="6DD29656" w14:textId="36BCE669" w:rsidR="00D84EFE" w:rsidRPr="00DF02C5" w:rsidRDefault="00D84EFE" w:rsidP="00BC6060">
      <w:pPr>
        <w:numPr>
          <w:ilvl w:val="0"/>
          <w:numId w:val="22"/>
        </w:numPr>
        <w:spacing w:before="120" w:after="120" w:line="228" w:lineRule="auto"/>
        <w:ind w:left="0" w:firstLine="709"/>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noProof/>
          <w:snapToGrid w:val="0"/>
          <w:color w:val="auto"/>
          <w:kern w:val="22"/>
          <w:bdr w:val="none" w:sz="0" w:space="0" w:color="auto"/>
          <w:lang w:val="en-GB"/>
        </w:rPr>
        <w:t xml:space="preserve">Malta </w:t>
      </w:r>
      <w:r w:rsidR="00BD60A0" w:rsidRPr="00DF02C5">
        <w:rPr>
          <w:rFonts w:eastAsia="Calibri" w:hAnsi="Times New Roman" w:cs="Times New Roman"/>
          <w:noProof/>
          <w:snapToGrid w:val="0"/>
          <w:color w:val="auto"/>
          <w:kern w:val="22"/>
          <w:bdr w:val="none" w:sz="0" w:space="0" w:color="auto"/>
          <w:lang w:val="en-GB"/>
        </w:rPr>
        <w:t>indicated</w:t>
      </w:r>
      <w:r w:rsidRPr="00DF02C5">
        <w:rPr>
          <w:rFonts w:eastAsia="Calibri" w:hAnsi="Times New Roman" w:cs="Times New Roman"/>
          <w:noProof/>
          <w:snapToGrid w:val="0"/>
          <w:color w:val="auto"/>
          <w:kern w:val="22"/>
          <w:bdr w:val="none" w:sz="0" w:space="0" w:color="auto"/>
          <w:lang w:val="en-GB"/>
        </w:rPr>
        <w:t xml:space="preserve"> that the application follows a simplified procedure and the benefit-sharing consist</w:t>
      </w:r>
      <w:r w:rsidR="007603CD" w:rsidRPr="00DF02C5">
        <w:rPr>
          <w:rFonts w:eastAsia="Calibri" w:hAnsi="Times New Roman" w:cs="Times New Roman"/>
          <w:noProof/>
          <w:snapToGrid w:val="0"/>
          <w:color w:val="auto"/>
          <w:kern w:val="22"/>
          <w:bdr w:val="none" w:sz="0" w:space="0" w:color="auto"/>
          <w:lang w:val="en-GB"/>
        </w:rPr>
        <w:t>s</w:t>
      </w:r>
      <w:r w:rsidRPr="00DF02C5">
        <w:rPr>
          <w:rFonts w:eastAsia="Calibri" w:hAnsi="Times New Roman" w:cs="Times New Roman"/>
          <w:noProof/>
          <w:snapToGrid w:val="0"/>
          <w:color w:val="auto"/>
          <w:kern w:val="22"/>
          <w:bdr w:val="none" w:sz="0" w:space="0" w:color="auto"/>
          <w:lang w:val="en-GB"/>
        </w:rPr>
        <w:t xml:space="preserve"> </w:t>
      </w:r>
      <w:r w:rsidR="007603CD" w:rsidRPr="00DF02C5">
        <w:rPr>
          <w:rFonts w:eastAsia="Calibri" w:hAnsi="Times New Roman" w:cs="Times New Roman"/>
          <w:noProof/>
          <w:snapToGrid w:val="0"/>
          <w:color w:val="auto"/>
          <w:kern w:val="22"/>
          <w:bdr w:val="none" w:sz="0" w:space="0" w:color="auto"/>
          <w:lang w:val="en-GB"/>
        </w:rPr>
        <w:t>in</w:t>
      </w:r>
      <w:r w:rsidRPr="00DF02C5">
        <w:rPr>
          <w:rFonts w:eastAsia="Calibri" w:hAnsi="Times New Roman" w:cs="Times New Roman"/>
          <w:noProof/>
          <w:snapToGrid w:val="0"/>
          <w:color w:val="auto"/>
          <w:kern w:val="22"/>
          <w:bdr w:val="none" w:sz="0" w:space="0" w:color="auto"/>
          <w:lang w:val="en-GB"/>
        </w:rPr>
        <w:t xml:space="preserve"> t</w:t>
      </w:r>
      <w:r w:rsidR="007060F6">
        <w:rPr>
          <w:rFonts w:eastAsia="Calibri" w:hAnsi="Times New Roman" w:cs="Times New Roman"/>
          <w:noProof/>
          <w:snapToGrid w:val="0"/>
          <w:color w:val="auto"/>
          <w:kern w:val="22"/>
          <w:bdr w:val="none" w:sz="0" w:space="0" w:color="auto"/>
          <w:lang w:val="en-GB"/>
        </w:rPr>
        <w:t>he sharing of knowledge gained;</w:t>
      </w:r>
    </w:p>
    <w:p w14:paraId="42DE5BD3" w14:textId="1E3BEE71" w:rsidR="00D84EFE" w:rsidRPr="00DF02C5" w:rsidRDefault="00D84EFE" w:rsidP="00BC6060">
      <w:pPr>
        <w:numPr>
          <w:ilvl w:val="0"/>
          <w:numId w:val="22"/>
        </w:numPr>
        <w:spacing w:before="120" w:after="120" w:line="228" w:lineRule="auto"/>
        <w:ind w:left="0" w:firstLine="709"/>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noProof/>
          <w:snapToGrid w:val="0"/>
          <w:color w:val="auto"/>
          <w:kern w:val="22"/>
          <w:bdr w:val="none" w:sz="0" w:space="0" w:color="auto"/>
          <w:lang w:val="en-GB"/>
        </w:rPr>
        <w:t xml:space="preserve"> Uganda explained that the regulations do not apply to approved research activities intended for educational purposes by Ugandan institutions recognized by the CNA, and which do not result in access to genetic resources for commercial purposes o</w:t>
      </w:r>
      <w:r w:rsidR="007603CD" w:rsidRPr="00DF02C5">
        <w:rPr>
          <w:rFonts w:eastAsia="Calibri" w:hAnsi="Times New Roman" w:cs="Times New Roman"/>
          <w:noProof/>
          <w:snapToGrid w:val="0"/>
          <w:color w:val="auto"/>
          <w:kern w:val="22"/>
          <w:bdr w:val="none" w:sz="0" w:space="0" w:color="auto"/>
          <w:lang w:val="en-GB"/>
        </w:rPr>
        <w:t>r</w:t>
      </w:r>
      <w:r w:rsidR="007060F6">
        <w:rPr>
          <w:rFonts w:eastAsia="Calibri" w:hAnsi="Times New Roman" w:cs="Times New Roman"/>
          <w:noProof/>
          <w:snapToGrid w:val="0"/>
          <w:color w:val="auto"/>
          <w:kern w:val="22"/>
          <w:bdr w:val="none" w:sz="0" w:space="0" w:color="auto"/>
          <w:lang w:val="en-GB"/>
        </w:rPr>
        <w:t xml:space="preserve"> export to other countries;</w:t>
      </w:r>
    </w:p>
    <w:p w14:paraId="67758DC9" w14:textId="3662023D" w:rsidR="00D84EFE" w:rsidRPr="00DF02C5" w:rsidRDefault="00D84EFE" w:rsidP="00BC6060">
      <w:pPr>
        <w:numPr>
          <w:ilvl w:val="0"/>
          <w:numId w:val="22"/>
        </w:numPr>
        <w:spacing w:before="120" w:after="120" w:line="228" w:lineRule="auto"/>
        <w:ind w:left="0" w:firstLine="709"/>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noProof/>
          <w:snapToGrid w:val="0"/>
          <w:color w:val="auto"/>
          <w:kern w:val="22"/>
          <w:bdr w:val="none" w:sz="0" w:space="0" w:color="auto"/>
          <w:lang w:val="en-GB"/>
        </w:rPr>
        <w:t>Vietnam reported having a reduced time to evaluate the application for non-commercial research (30 days instead of 90 days)  and that there are provisions for shortened procedures for licences to transfer genetic resources abroad for study and research purposes (not for commercial purposes) by Vietnamese students, doctoral students and scientific and technological organizations.</w:t>
      </w:r>
    </w:p>
    <w:p w14:paraId="339A61F1" w14:textId="5094418B" w:rsidR="001F7704" w:rsidRPr="00DF02C5" w:rsidRDefault="001F7704" w:rsidP="001F7704">
      <w:pPr>
        <w:spacing w:before="120" w:after="120"/>
        <w:rPr>
          <w:rFonts w:eastAsia="Calibri" w:hAnsi="Times New Roman" w:cs="Times New Roman"/>
          <w:i/>
          <w:noProof/>
          <w:snapToGrid w:val="0"/>
          <w:color w:val="auto"/>
          <w:kern w:val="22"/>
          <w:bdr w:val="none" w:sz="0" w:space="0" w:color="auto"/>
          <w:lang w:val="en-GB"/>
        </w:rPr>
      </w:pPr>
      <w:r w:rsidRPr="00DF02C5">
        <w:rPr>
          <w:rFonts w:eastAsia="Calibri" w:hAnsi="Times New Roman" w:cs="Times New Roman"/>
          <w:i/>
          <w:noProof/>
          <w:snapToGrid w:val="0"/>
          <w:color w:val="auto"/>
          <w:kern w:val="22"/>
          <w:bdr w:val="none" w:sz="0" w:space="0" w:color="auto"/>
          <w:lang w:val="en-GB"/>
        </w:rPr>
        <w:t>(b)</w:t>
      </w:r>
      <w:r w:rsidRPr="00DF02C5">
        <w:rPr>
          <w:rFonts w:eastAsia="Calibri" w:hAnsi="Times New Roman" w:cs="Times New Roman"/>
          <w:i/>
          <w:noProof/>
          <w:snapToGrid w:val="0"/>
          <w:color w:val="auto"/>
          <w:kern w:val="22"/>
          <w:bdr w:val="none" w:sz="0" w:space="0" w:color="auto"/>
          <w:lang w:val="en-GB"/>
        </w:rPr>
        <w:tab/>
        <w:t>Countries that answered “no”</w:t>
      </w:r>
    </w:p>
    <w:p w14:paraId="5737A218" w14:textId="268CC824" w:rsidR="00D84EFE" w:rsidRPr="00DF02C5" w:rsidRDefault="00D84EFE" w:rsidP="00A2498F">
      <w:pPr>
        <w:numPr>
          <w:ilvl w:val="0"/>
          <w:numId w:val="1"/>
        </w:numPr>
        <w:spacing w:before="120" w:after="120"/>
        <w:rPr>
          <w:rFonts w:eastAsia="Calibri" w:hAnsi="Times New Roman" w:cs="Times New Roman"/>
          <w:noProof/>
          <w:snapToGrid w:val="0"/>
          <w:color w:val="auto"/>
          <w:kern w:val="22"/>
          <w:bdr w:val="none" w:sz="0" w:space="0" w:color="auto"/>
          <w:lang w:val="en-GB"/>
        </w:rPr>
      </w:pPr>
      <w:r w:rsidRPr="00DF02C5">
        <w:rPr>
          <w:rFonts w:eastAsia="Calibri" w:hAnsi="Times New Roman" w:cs="Times New Roman"/>
          <w:noProof/>
          <w:snapToGrid w:val="0"/>
          <w:color w:val="auto"/>
          <w:kern w:val="22"/>
          <w:bdr w:val="none" w:sz="0" w:space="0" w:color="auto"/>
          <w:lang w:val="en-GB"/>
        </w:rPr>
        <w:t>Some countries</w:t>
      </w:r>
      <w:r w:rsidRPr="00DF02C5">
        <w:rPr>
          <w:rFonts w:eastAsia="Calibri" w:hAnsi="Times New Roman" w:cs="Times New Roman"/>
          <w:noProof/>
          <w:snapToGrid w:val="0"/>
          <w:color w:val="auto"/>
          <w:kern w:val="22"/>
          <w:bdr w:val="none" w:sz="0" w:space="0" w:color="auto"/>
          <w:vertAlign w:val="superscript"/>
          <w:lang w:val="en-GB"/>
        </w:rPr>
        <w:footnoteReference w:id="260"/>
      </w:r>
      <w:r w:rsidRPr="00DF02C5">
        <w:rPr>
          <w:rFonts w:eastAsia="Calibri" w:hAnsi="Times New Roman" w:cs="Times New Roman"/>
          <w:noProof/>
          <w:snapToGrid w:val="0"/>
          <w:color w:val="auto"/>
          <w:kern w:val="22"/>
          <w:bdr w:val="none" w:sz="0" w:space="0" w:color="auto"/>
          <w:lang w:val="en-GB"/>
        </w:rPr>
        <w:t xml:space="preserve"> stated that in the development or revision of ABS legislation or regulatory requirements the conditions to promote and encourage research which contributes to the conservation and sustainable use of biodiversity will be created. Some countries</w:t>
      </w:r>
      <w:r w:rsidRPr="00DF02C5">
        <w:rPr>
          <w:rFonts w:eastAsia="Calibri" w:hAnsi="Times New Roman" w:cs="Times New Roman"/>
          <w:noProof/>
          <w:snapToGrid w:val="0"/>
          <w:color w:val="auto"/>
          <w:kern w:val="22"/>
          <w:bdr w:val="none" w:sz="0" w:space="0" w:color="auto"/>
          <w:vertAlign w:val="superscript"/>
          <w:lang w:val="en-GB"/>
        </w:rPr>
        <w:footnoteReference w:id="261"/>
      </w:r>
      <w:r w:rsidR="007060F6">
        <w:rPr>
          <w:rFonts w:eastAsia="Calibri" w:hAnsi="Times New Roman" w:cs="Times New Roman"/>
          <w:noProof/>
          <w:snapToGrid w:val="0"/>
          <w:color w:val="auto"/>
          <w:kern w:val="22"/>
          <w:bdr w:val="none" w:sz="0" w:space="0" w:color="auto"/>
          <w:lang w:val="en-GB"/>
        </w:rPr>
        <w:t xml:space="preserve"> </w:t>
      </w:r>
      <w:r w:rsidRPr="00DF02C5">
        <w:rPr>
          <w:rFonts w:eastAsia="Calibri" w:hAnsi="Times New Roman" w:cs="Times New Roman"/>
          <w:noProof/>
          <w:snapToGrid w:val="0"/>
          <w:color w:val="auto"/>
          <w:kern w:val="22"/>
          <w:bdr w:val="none" w:sz="0" w:space="0" w:color="auto"/>
          <w:lang w:val="en-GB"/>
        </w:rPr>
        <w:t>explained that they have not yet create</w:t>
      </w:r>
      <w:r w:rsidR="001F7704" w:rsidRPr="00DF02C5">
        <w:rPr>
          <w:rFonts w:eastAsia="Calibri" w:hAnsi="Times New Roman" w:cs="Times New Roman"/>
          <w:noProof/>
          <w:snapToGrid w:val="0"/>
          <w:color w:val="auto"/>
          <w:kern w:val="22"/>
          <w:bdr w:val="none" w:sz="0" w:space="0" w:color="auto"/>
          <w:lang w:val="en-GB"/>
        </w:rPr>
        <w:t>d</w:t>
      </w:r>
      <w:r w:rsidRPr="00DF02C5">
        <w:rPr>
          <w:rFonts w:eastAsia="Calibri" w:hAnsi="Times New Roman" w:cs="Times New Roman"/>
          <w:noProof/>
          <w:snapToGrid w:val="0"/>
          <w:color w:val="auto"/>
          <w:kern w:val="22"/>
          <w:bdr w:val="none" w:sz="0" w:space="0" w:color="auto"/>
          <w:lang w:val="en-GB"/>
        </w:rPr>
        <w:t xml:space="preserve"> </w:t>
      </w:r>
      <w:r w:rsidRPr="00DF02C5">
        <w:rPr>
          <w:rFonts w:eastAsia="Calibri" w:hAnsi="Times New Roman" w:cs="Times New Roman"/>
          <w:noProof/>
          <w:snapToGrid w:val="0"/>
          <w:color w:val="auto"/>
          <w:kern w:val="22"/>
          <w:bdr w:val="none" w:sz="0" w:space="0" w:color="auto"/>
          <w:lang w:val="en-GB"/>
        </w:rPr>
        <w:lastRenderedPageBreak/>
        <w:t>such conditions due to lack of ABS measures, while other countries</w:t>
      </w:r>
      <w:r w:rsidRPr="00DF02C5">
        <w:rPr>
          <w:rFonts w:eastAsia="Calibri" w:hAnsi="Times New Roman" w:cs="Times New Roman"/>
          <w:noProof/>
          <w:snapToGrid w:val="0"/>
          <w:color w:val="auto"/>
          <w:kern w:val="22"/>
          <w:bdr w:val="none" w:sz="0" w:space="0" w:color="auto"/>
          <w:vertAlign w:val="superscript"/>
          <w:lang w:val="en-GB"/>
        </w:rPr>
        <w:footnoteReference w:id="262"/>
      </w:r>
      <w:r w:rsidRPr="00DF02C5">
        <w:rPr>
          <w:rFonts w:eastAsia="Calibri" w:hAnsi="Times New Roman" w:cs="Times New Roman"/>
          <w:noProof/>
          <w:snapToGrid w:val="0"/>
          <w:color w:val="auto"/>
          <w:kern w:val="22"/>
          <w:bdr w:val="none" w:sz="0" w:space="0" w:color="auto"/>
          <w:lang w:val="en-GB"/>
        </w:rPr>
        <w:t xml:space="preserve"> indicated that the question was not applicable as they did not have</w:t>
      </w:r>
      <w:r w:rsidR="007060F6">
        <w:rPr>
          <w:rFonts w:eastAsia="Calibri" w:hAnsi="Times New Roman" w:cs="Times New Roman"/>
          <w:noProof/>
          <w:snapToGrid w:val="0"/>
          <w:color w:val="auto"/>
          <w:kern w:val="22"/>
          <w:bdr w:val="none" w:sz="0" w:space="0" w:color="auto"/>
          <w:lang w:val="en-GB"/>
        </w:rPr>
        <w:t xml:space="preserve"> access requirements in place. </w:t>
      </w:r>
      <w:r w:rsidRPr="00DF02C5">
        <w:rPr>
          <w:rFonts w:eastAsia="Calibri" w:hAnsi="Times New Roman" w:cs="Times New Roman"/>
          <w:noProof/>
          <w:snapToGrid w:val="0"/>
          <w:color w:val="auto"/>
          <w:kern w:val="22"/>
          <w:bdr w:val="none" w:sz="0" w:space="0" w:color="auto"/>
          <w:lang w:val="en-GB"/>
        </w:rPr>
        <w:t>Some countries provided information on measures taken to encourage research in general (not in the context of access and benefit-sharing)</w:t>
      </w:r>
      <w:r w:rsidR="007060F6">
        <w:rPr>
          <w:rFonts w:eastAsia="Calibri" w:hAnsi="Times New Roman" w:cs="Times New Roman"/>
          <w:noProof/>
          <w:snapToGrid w:val="0"/>
          <w:color w:val="auto"/>
          <w:kern w:val="22"/>
          <w:bdr w:val="none" w:sz="0" w:space="0" w:color="auto"/>
          <w:lang w:val="en-GB"/>
        </w:rPr>
        <w:t>.</w:t>
      </w:r>
      <w:r w:rsidRPr="00DF02C5">
        <w:rPr>
          <w:rFonts w:eastAsia="Calibri" w:hAnsi="Times New Roman" w:cs="Times New Roman"/>
          <w:noProof/>
          <w:snapToGrid w:val="0"/>
          <w:color w:val="auto"/>
          <w:kern w:val="22"/>
          <w:bdr w:val="none" w:sz="0" w:space="0" w:color="auto"/>
          <w:vertAlign w:val="superscript"/>
          <w:lang w:val="en-GB"/>
        </w:rPr>
        <w:footnoteReference w:id="263"/>
      </w:r>
    </w:p>
    <w:p w14:paraId="0C524990" w14:textId="64106EA8" w:rsidR="00D84EFE" w:rsidRPr="007060F6" w:rsidRDefault="001F7704" w:rsidP="007060F6">
      <w:pPr>
        <w:spacing w:before="240" w:after="120"/>
        <w:ind w:left="1440" w:hanging="634"/>
        <w:rPr>
          <w:rFonts w:eastAsia="Calibri" w:hAnsi="Times New Roman" w:cs="Times New Roman"/>
          <w:i/>
          <w:snapToGrid w:val="0"/>
          <w:color w:val="auto"/>
          <w:kern w:val="22"/>
          <w:bdr w:val="none" w:sz="0" w:space="0" w:color="auto"/>
          <w:lang w:val="en-GB"/>
        </w:rPr>
      </w:pPr>
      <w:r w:rsidRPr="007060F6">
        <w:rPr>
          <w:rFonts w:eastAsia="Calibri" w:hAnsi="Times New Roman" w:cs="Times New Roman"/>
          <w:i/>
          <w:snapToGrid w:val="0"/>
          <w:color w:val="auto"/>
          <w:kern w:val="22"/>
          <w:bdr w:val="none" w:sz="0" w:space="0" w:color="auto"/>
          <w:lang w:val="en-GB"/>
        </w:rPr>
        <w:t>1.2</w:t>
      </w:r>
      <w:r w:rsidRPr="007060F6">
        <w:rPr>
          <w:rFonts w:eastAsia="Calibri" w:hAnsi="Times New Roman" w:cs="Times New Roman"/>
          <w:i/>
          <w:snapToGrid w:val="0"/>
          <w:color w:val="auto"/>
          <w:kern w:val="22"/>
          <w:bdr w:val="none" w:sz="0" w:space="0" w:color="auto"/>
          <w:lang w:val="en-GB"/>
        </w:rPr>
        <w:tab/>
        <w:t>In the development and implementation of ABS legislation or regulatory req</w:t>
      </w:r>
      <w:r w:rsidR="007060F6">
        <w:rPr>
          <w:rFonts w:eastAsia="Calibri" w:hAnsi="Times New Roman" w:cs="Times New Roman"/>
          <w:i/>
          <w:snapToGrid w:val="0"/>
          <w:color w:val="auto"/>
          <w:kern w:val="22"/>
          <w:bdr w:val="none" w:sz="0" w:space="0" w:color="auto"/>
          <w:lang w:val="en-GB"/>
        </w:rPr>
        <w:t>uirements has your country paid</w:t>
      </w:r>
      <w:r w:rsidRPr="007060F6">
        <w:rPr>
          <w:rFonts w:eastAsia="Calibri" w:hAnsi="Times New Roman" w:cs="Times New Roman"/>
          <w:i/>
          <w:snapToGrid w:val="0"/>
          <w:color w:val="auto"/>
          <w:kern w:val="22"/>
          <w:bdr w:val="none" w:sz="0" w:space="0" w:color="auto"/>
          <w:lang w:val="en-GB"/>
        </w:rPr>
        <w:t xml:space="preserve"> d</w:t>
      </w:r>
      <w:r w:rsidR="00D84EFE" w:rsidRPr="007060F6">
        <w:rPr>
          <w:rFonts w:eastAsia="Calibri" w:hAnsi="Times New Roman" w:cs="Times New Roman"/>
          <w:i/>
          <w:snapToGrid w:val="0"/>
          <w:color w:val="auto"/>
          <w:kern w:val="22"/>
          <w:bdr w:val="none" w:sz="0" w:space="0" w:color="auto"/>
          <w:lang w:val="en-GB"/>
        </w:rPr>
        <w:t>ue regard to cases of present or imminent emergencies that threaten or damage human, animal or plant health as provide</w:t>
      </w:r>
      <w:r w:rsidRPr="007060F6">
        <w:rPr>
          <w:rFonts w:eastAsia="Calibri" w:hAnsi="Times New Roman" w:cs="Times New Roman"/>
          <w:i/>
          <w:snapToGrid w:val="0"/>
          <w:color w:val="auto"/>
          <w:kern w:val="22"/>
          <w:bdr w:val="none" w:sz="0" w:space="0" w:color="auto"/>
          <w:lang w:val="en-GB"/>
        </w:rPr>
        <w:t>d in Article 8(b) (question 35</w:t>
      </w:r>
      <w:r w:rsidR="00D84EFE" w:rsidRPr="007060F6">
        <w:rPr>
          <w:rFonts w:eastAsia="Calibri" w:hAnsi="Times New Roman" w:cs="Times New Roman"/>
          <w:i/>
          <w:snapToGrid w:val="0"/>
          <w:color w:val="auto"/>
          <w:kern w:val="22"/>
          <w:bdr w:val="none" w:sz="0" w:space="0" w:color="auto"/>
          <w:lang w:val="en-GB"/>
        </w:rPr>
        <w:t>)</w:t>
      </w:r>
    </w:p>
    <w:p w14:paraId="45FF0DC8" w14:textId="419E4C9C" w:rsidR="00DF50D9" w:rsidRPr="00DF02C5" w:rsidRDefault="00DF50D9" w:rsidP="00A2498F">
      <w:pPr>
        <w:pStyle w:val="ListParagraph"/>
        <w:numPr>
          <w:ilvl w:val="0"/>
          <w:numId w:val="1"/>
        </w:numPr>
        <w:ind w:left="0"/>
        <w:rPr>
          <w:rFonts w:eastAsia="Calibri" w:hAnsi="Times New Roman" w:cs="Times New Roman"/>
          <w:snapToGrid w:val="0"/>
          <w:color w:val="auto"/>
          <w:kern w:val="22"/>
          <w:bdr w:val="none" w:sz="0" w:space="0" w:color="auto"/>
          <w:lang w:val="en-GB"/>
        </w:rPr>
      </w:pPr>
      <w:proofErr w:type="gramStart"/>
      <w:r w:rsidRPr="00DF02C5">
        <w:rPr>
          <w:rFonts w:eastAsia="Calibri" w:hAnsi="Times New Roman" w:cs="Times New Roman"/>
          <w:snapToGrid w:val="0"/>
          <w:color w:val="auto"/>
          <w:kern w:val="22"/>
          <w:bdr w:val="none" w:sz="0" w:space="0" w:color="auto"/>
          <w:lang w:val="en-GB"/>
        </w:rPr>
        <w:t>Thirty-nine</w:t>
      </w:r>
      <w:proofErr w:type="gramEnd"/>
      <w:r w:rsidRPr="00DF02C5">
        <w:rPr>
          <w:rFonts w:eastAsia="Calibri" w:hAnsi="Times New Roman" w:cs="Times New Roman"/>
          <w:snapToGrid w:val="0"/>
          <w:color w:val="auto"/>
          <w:kern w:val="22"/>
          <w:bdr w:val="none" w:sz="0" w:space="0" w:color="auto"/>
          <w:lang w:val="en-GB"/>
        </w:rPr>
        <w:t xml:space="preserve"> Parties and three non-Parties reported having </w:t>
      </w:r>
      <w:r w:rsidRPr="00DF02C5">
        <w:rPr>
          <w:rFonts w:eastAsia="Calibri" w:hAnsi="Times New Roman"/>
          <w:noProof/>
          <w:snapToGrid w:val="0"/>
          <w:color w:val="auto"/>
          <w:kern w:val="22"/>
          <w:bdr w:val="none" w:sz="0" w:space="0" w:color="auto"/>
          <w:lang w:val="en-GB"/>
        </w:rPr>
        <w:t xml:space="preserve">paid due regard to cases of present or imminent emergencies that threaten or damage human, animal or plant health, </w:t>
      </w:r>
      <w:r w:rsidR="001F7704" w:rsidRPr="00DF02C5">
        <w:rPr>
          <w:rFonts w:eastAsia="Calibri" w:hAnsi="Times New Roman"/>
          <w:noProof/>
          <w:snapToGrid w:val="0"/>
          <w:color w:val="auto"/>
          <w:kern w:val="22"/>
          <w:bdr w:val="none" w:sz="0" w:space="0" w:color="auto"/>
          <w:lang w:val="en-GB"/>
        </w:rPr>
        <w:t>while thirty Parties and three non-Parties reported not having done so.</w:t>
      </w:r>
    </w:p>
    <w:p w14:paraId="26770A35" w14:textId="77777777" w:rsidR="00821D6A" w:rsidRPr="00DF02C5" w:rsidRDefault="00821D6A" w:rsidP="00821D6A">
      <w:pPr>
        <w:rPr>
          <w:rFonts w:eastAsia="Calibri" w:hAnsi="Times New Roman" w:cs="Times New Roman"/>
          <w:snapToGrid w:val="0"/>
          <w:color w:val="auto"/>
          <w:kern w:val="22"/>
          <w:bdr w:val="none" w:sz="0" w:space="0" w:color="auto"/>
          <w:lang w:val="en-GB"/>
        </w:rPr>
      </w:pPr>
    </w:p>
    <w:p w14:paraId="3EE39A63" w14:textId="1A8CC8B5" w:rsidR="00821D6A" w:rsidRPr="00DF02C5" w:rsidRDefault="00E5256F" w:rsidP="00E5256F">
      <w:pPr>
        <w:pStyle w:val="Caption"/>
        <w:keepNext/>
        <w:keepLines/>
        <w:rPr>
          <w:snapToGrid w:val="0"/>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Pr="00DF02C5">
        <w:rPr>
          <w:noProof/>
          <w:lang w:val="en-GB"/>
        </w:rPr>
        <w:t>32</w:t>
      </w:r>
      <w:r w:rsidRPr="00DF02C5">
        <w:rPr>
          <w:lang w:val="en-GB"/>
        </w:rPr>
        <w:fldChar w:fldCharType="end"/>
      </w:r>
      <w:r w:rsidR="00821D6A" w:rsidRPr="00DF02C5">
        <w:rPr>
          <w:snapToGrid w:val="0"/>
          <w:bdr w:val="none" w:sz="0" w:space="0" w:color="auto"/>
          <w:lang w:val="en-GB"/>
        </w:rPr>
        <w:t>: Due regard to cases of present or imminent emergencies that threaten or damage human, animal or plant health (percentage of countries)</w:t>
      </w:r>
    </w:p>
    <w:p w14:paraId="3CA6A6F9" w14:textId="77777777" w:rsidR="00821D6A" w:rsidRPr="00DF02C5" w:rsidRDefault="00821D6A" w:rsidP="00821D6A">
      <w:pPr>
        <w:rPr>
          <w:rFonts w:eastAsia="Calibri" w:hAnsi="Times New Roman" w:cs="Times New Roman"/>
          <w:snapToGrid w:val="0"/>
          <w:color w:val="auto"/>
          <w:kern w:val="22"/>
          <w:bdr w:val="none" w:sz="0" w:space="0" w:color="auto"/>
          <w:lang w:val="en-GB"/>
        </w:rPr>
      </w:pPr>
    </w:p>
    <w:p w14:paraId="6A5351B4" w14:textId="64E2EF2D" w:rsidR="00821D6A" w:rsidRPr="00DF02C5" w:rsidRDefault="00640571" w:rsidP="00821D6A">
      <w:pPr>
        <w:pStyle w:val="ListParagraph"/>
        <w:ind w:left="0"/>
        <w:jc w:val="center"/>
        <w:rPr>
          <w:rFonts w:eastAsia="Calibri" w:hAnsi="Times New Roman" w:cs="Times New Roman"/>
          <w:snapToGrid w:val="0"/>
          <w:color w:val="auto"/>
          <w:kern w:val="22"/>
          <w:bdr w:val="none" w:sz="0" w:space="0" w:color="auto"/>
          <w:lang w:val="en-GB"/>
        </w:rPr>
      </w:pPr>
      <w:r w:rsidRPr="00DF02C5">
        <w:rPr>
          <w:noProof/>
          <w:color w:val="auto"/>
        </w:rPr>
        <w:drawing>
          <wp:inline distT="0" distB="0" distL="0" distR="0" wp14:anchorId="70FE87F5" wp14:editId="08070230">
            <wp:extent cx="3514725" cy="2047875"/>
            <wp:effectExtent l="0" t="0" r="9525"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97268B2" w14:textId="77777777" w:rsidR="00821D6A" w:rsidRPr="00DF02C5" w:rsidRDefault="00821D6A" w:rsidP="00821D6A">
      <w:pPr>
        <w:pStyle w:val="ListParagraph"/>
        <w:ind w:left="0"/>
        <w:rPr>
          <w:rFonts w:eastAsia="Calibri" w:hAnsi="Times New Roman" w:cs="Times New Roman"/>
          <w:snapToGrid w:val="0"/>
          <w:color w:val="auto"/>
          <w:kern w:val="22"/>
          <w:bdr w:val="none" w:sz="0" w:space="0" w:color="auto"/>
          <w:lang w:val="en-GB"/>
        </w:rPr>
      </w:pPr>
    </w:p>
    <w:p w14:paraId="55272345" w14:textId="4AF3AD30" w:rsidR="00821D6A" w:rsidRPr="00DF02C5" w:rsidRDefault="00821D6A" w:rsidP="00821D6A">
      <w:pPr>
        <w:pStyle w:val="ListParagraph"/>
        <w:ind w:left="0"/>
        <w:rPr>
          <w:rFonts w:eastAsia="Calibri" w:hAnsi="Times New Roman" w:cs="Times New Roman"/>
          <w:i/>
          <w:snapToGrid w:val="0"/>
          <w:color w:val="auto"/>
          <w:kern w:val="22"/>
          <w:bdr w:val="none" w:sz="0" w:space="0" w:color="auto"/>
          <w:lang w:val="en-GB"/>
        </w:rPr>
      </w:pPr>
      <w:r w:rsidRPr="00DF02C5">
        <w:rPr>
          <w:rFonts w:eastAsia="Calibri" w:hAnsi="Times New Roman" w:cs="Times New Roman"/>
          <w:i/>
          <w:snapToGrid w:val="0"/>
          <w:color w:val="auto"/>
          <w:kern w:val="22"/>
          <w:bdr w:val="none" w:sz="0" w:space="0" w:color="auto"/>
          <w:lang w:val="en-GB"/>
        </w:rPr>
        <w:t>(a)</w:t>
      </w:r>
      <w:r w:rsidRPr="00DF02C5">
        <w:rPr>
          <w:rFonts w:eastAsia="Calibri" w:hAnsi="Times New Roman" w:cs="Times New Roman"/>
          <w:i/>
          <w:snapToGrid w:val="0"/>
          <w:color w:val="auto"/>
          <w:kern w:val="22"/>
          <w:bdr w:val="none" w:sz="0" w:space="0" w:color="auto"/>
          <w:lang w:val="en-GB"/>
        </w:rPr>
        <w:tab/>
        <w:t>Countries that answered “yes”</w:t>
      </w:r>
    </w:p>
    <w:p w14:paraId="0490B1B0" w14:textId="7AE50CE0" w:rsidR="00D84EFE" w:rsidRPr="00DF02C5" w:rsidRDefault="00821D6A" w:rsidP="00A2498F">
      <w:pPr>
        <w:pStyle w:val="Para1"/>
        <w:numPr>
          <w:ilvl w:val="0"/>
          <w:numId w:val="1"/>
        </w:numPr>
        <w:rPr>
          <w:rFonts w:eastAsia="Calibri" w:hAnsi="Times New Roman"/>
          <w:noProof/>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w:t>
      </w:r>
      <w:r w:rsidR="00D84EFE" w:rsidRPr="00DF02C5">
        <w:rPr>
          <w:rFonts w:eastAsia="Calibri" w:hAnsi="Times New Roman"/>
          <w:snapToGrid w:val="0"/>
          <w:color w:val="auto"/>
          <w:kern w:val="22"/>
          <w:bdr w:val="none" w:sz="0" w:space="0" w:color="auto"/>
          <w:lang w:val="en-GB"/>
        </w:rPr>
        <w:t>ome countries</w:t>
      </w:r>
      <w:r w:rsidRPr="00DF02C5">
        <w:rPr>
          <w:rFonts w:eastAsia="Calibri" w:hAnsi="Times New Roman"/>
          <w:snapToGrid w:val="0"/>
          <w:color w:val="auto"/>
          <w:kern w:val="22"/>
          <w:bdr w:val="none" w:sz="0" w:space="0" w:color="auto"/>
          <w:lang w:val="en-GB"/>
        </w:rPr>
        <w:t xml:space="preserve"> </w:t>
      </w:r>
      <w:r w:rsidR="00D84EFE" w:rsidRPr="00DF02C5">
        <w:rPr>
          <w:rFonts w:eastAsia="Calibri" w:hAnsi="Times New Roman"/>
          <w:snapToGrid w:val="0"/>
          <w:color w:val="auto"/>
          <w:kern w:val="22"/>
          <w:bdr w:val="none" w:sz="0" w:space="0" w:color="auto"/>
          <w:lang w:val="en-GB"/>
        </w:rPr>
        <w:t>referred to existing ABS measures addressing this issue</w:t>
      </w:r>
      <w:r w:rsidRPr="00DF02C5">
        <w:rPr>
          <w:rStyle w:val="FootnoteReference"/>
          <w:rFonts w:eastAsia="Calibri" w:hAnsi="Times New Roman"/>
          <w:snapToGrid w:val="0"/>
          <w:color w:val="auto"/>
          <w:kern w:val="22"/>
          <w:bdr w:val="none" w:sz="0" w:space="0" w:color="auto"/>
          <w:lang w:val="en-GB"/>
        </w:rPr>
        <w:footnoteReference w:id="264"/>
      </w:r>
      <w:r w:rsidRPr="00DF02C5">
        <w:rPr>
          <w:rFonts w:eastAsia="Calibri" w:hAnsi="Times New Roman"/>
          <w:snapToGrid w:val="0"/>
          <w:color w:val="auto"/>
          <w:kern w:val="22"/>
          <w:bdr w:val="none" w:sz="0" w:space="0" w:color="auto"/>
          <w:lang w:val="en-GB"/>
        </w:rPr>
        <w:t xml:space="preserve"> </w:t>
      </w:r>
      <w:r w:rsidR="00D84EFE" w:rsidRPr="00DF02C5">
        <w:rPr>
          <w:rFonts w:eastAsia="Calibri" w:hAnsi="Times New Roman"/>
          <w:snapToGrid w:val="0"/>
          <w:color w:val="auto"/>
          <w:kern w:val="22"/>
          <w:bdr w:val="none" w:sz="0" w:space="0" w:color="auto"/>
          <w:lang w:val="en-GB"/>
        </w:rPr>
        <w:t>or to draft measures under development or approval</w:t>
      </w:r>
      <w:r w:rsidR="007060F6">
        <w:rPr>
          <w:rFonts w:eastAsia="Calibri" w:hAnsi="Times New Roman"/>
          <w:snapToGrid w:val="0"/>
          <w:color w:val="auto"/>
          <w:kern w:val="22"/>
          <w:bdr w:val="none" w:sz="0" w:space="0" w:color="auto"/>
          <w:lang w:val="en-GB"/>
        </w:rPr>
        <w:t>.</w:t>
      </w:r>
      <w:r w:rsidR="00D84EFE" w:rsidRPr="00DF02C5">
        <w:rPr>
          <w:rStyle w:val="FootnoteReference"/>
          <w:rFonts w:eastAsia="Calibri" w:hAnsi="Times New Roman"/>
          <w:snapToGrid w:val="0"/>
          <w:color w:val="auto"/>
          <w:kern w:val="22"/>
          <w:bdr w:val="none" w:sz="0" w:space="0" w:color="auto"/>
          <w:lang w:val="en-GB"/>
        </w:rPr>
        <w:footnoteReference w:id="265"/>
      </w:r>
      <w:r w:rsidR="00D84EFE" w:rsidRPr="00DF02C5">
        <w:rPr>
          <w:rFonts w:eastAsia="Calibri" w:hAnsi="Times New Roman"/>
          <w:noProof/>
          <w:snapToGrid w:val="0"/>
          <w:color w:val="auto"/>
          <w:kern w:val="22"/>
          <w:bdr w:val="none" w:sz="0" w:space="0" w:color="auto"/>
          <w:lang w:val="en-GB"/>
        </w:rPr>
        <w:t xml:space="preserve"> </w:t>
      </w:r>
      <w:r w:rsidRPr="00DF02C5">
        <w:rPr>
          <w:rFonts w:eastAsia="Calibri" w:hAnsi="Times New Roman"/>
          <w:noProof/>
          <w:snapToGrid w:val="0"/>
          <w:color w:val="auto"/>
          <w:kern w:val="22"/>
          <w:bdr w:val="none" w:sz="0" w:space="0" w:color="auto"/>
          <w:lang w:val="en-GB"/>
        </w:rPr>
        <w:t xml:space="preserve">Other </w:t>
      </w:r>
      <w:r w:rsidR="00D84EFE" w:rsidRPr="00DF02C5">
        <w:rPr>
          <w:rFonts w:eastAsia="Calibri" w:hAnsi="Times New Roman"/>
          <w:noProof/>
          <w:snapToGrid w:val="0"/>
          <w:color w:val="auto"/>
          <w:kern w:val="22"/>
          <w:bdr w:val="none" w:sz="0" w:space="0" w:color="auto"/>
          <w:lang w:val="en-GB"/>
        </w:rPr>
        <w:t>countries</w:t>
      </w:r>
      <w:r w:rsidRPr="00DF02C5">
        <w:rPr>
          <w:rFonts w:eastAsia="Calibri" w:hAnsi="Times New Roman"/>
          <w:noProof/>
          <w:snapToGrid w:val="0"/>
          <w:color w:val="auto"/>
          <w:kern w:val="22"/>
          <w:bdr w:val="none" w:sz="0" w:space="0" w:color="auto"/>
          <w:lang w:val="en-GB"/>
        </w:rPr>
        <w:t xml:space="preserve"> indicated that even though they</w:t>
      </w:r>
      <w:r w:rsidR="00D84EFE" w:rsidRPr="00DF02C5">
        <w:rPr>
          <w:rFonts w:eastAsia="Calibri" w:hAnsi="Times New Roman"/>
          <w:noProof/>
          <w:snapToGrid w:val="0"/>
          <w:color w:val="auto"/>
          <w:kern w:val="22"/>
          <w:bdr w:val="none" w:sz="0" w:space="0" w:color="auto"/>
          <w:lang w:val="en-GB"/>
        </w:rPr>
        <w:t xml:space="preserve"> </w:t>
      </w:r>
      <w:r w:rsidRPr="00DF02C5">
        <w:rPr>
          <w:rFonts w:eastAsia="Calibri" w:hAnsi="Times New Roman"/>
          <w:noProof/>
          <w:snapToGrid w:val="0"/>
          <w:color w:val="auto"/>
          <w:kern w:val="22"/>
          <w:bdr w:val="none" w:sz="0" w:space="0" w:color="auto"/>
          <w:lang w:val="en-GB"/>
        </w:rPr>
        <w:t xml:space="preserve">had some </w:t>
      </w:r>
      <w:r w:rsidR="00D84EFE" w:rsidRPr="00DF02C5">
        <w:rPr>
          <w:rFonts w:eastAsia="Calibri" w:hAnsi="Times New Roman"/>
          <w:noProof/>
          <w:snapToGrid w:val="0"/>
          <w:color w:val="auto"/>
          <w:kern w:val="22"/>
          <w:bdr w:val="none" w:sz="0" w:space="0" w:color="auto"/>
          <w:lang w:val="en-GB"/>
        </w:rPr>
        <w:t>relevant mechanisms in place to address such emergencies</w:t>
      </w:r>
      <w:r w:rsidR="007060F6">
        <w:rPr>
          <w:rFonts w:eastAsia="Calibri" w:hAnsi="Times New Roman"/>
          <w:noProof/>
          <w:snapToGrid w:val="0"/>
          <w:color w:val="auto"/>
          <w:kern w:val="22"/>
          <w:bdr w:val="none" w:sz="0" w:space="0" w:color="auto"/>
          <w:lang w:val="en-GB"/>
        </w:rPr>
        <w:t>,</w:t>
      </w:r>
      <w:r w:rsidR="00D84EFE" w:rsidRPr="00DF02C5">
        <w:rPr>
          <w:rStyle w:val="FootnoteReference"/>
          <w:rFonts w:eastAsia="Calibri" w:hAnsi="Times New Roman"/>
          <w:noProof/>
          <w:snapToGrid w:val="0"/>
          <w:color w:val="auto"/>
          <w:kern w:val="22"/>
          <w:bdr w:val="none" w:sz="0" w:space="0" w:color="auto"/>
          <w:lang w:val="en-GB"/>
        </w:rPr>
        <w:footnoteReference w:id="266"/>
      </w:r>
      <w:r w:rsidR="00D84EFE" w:rsidRPr="00DF02C5">
        <w:rPr>
          <w:rFonts w:eastAsia="Calibri" w:hAnsi="Times New Roman"/>
          <w:noProof/>
          <w:snapToGrid w:val="0"/>
          <w:color w:val="auto"/>
          <w:kern w:val="22"/>
          <w:bdr w:val="none" w:sz="0" w:space="0" w:color="auto"/>
          <w:lang w:val="en-GB"/>
        </w:rPr>
        <w:t xml:space="preserve"> </w:t>
      </w:r>
      <w:r w:rsidRPr="00DF02C5">
        <w:rPr>
          <w:rFonts w:eastAsia="Calibri" w:hAnsi="Times New Roman"/>
          <w:noProof/>
          <w:snapToGrid w:val="0"/>
          <w:color w:val="auto"/>
          <w:kern w:val="22"/>
          <w:bdr w:val="none" w:sz="0" w:space="0" w:color="auto"/>
          <w:lang w:val="en-GB"/>
        </w:rPr>
        <w:t>Article 8(b) would</w:t>
      </w:r>
      <w:r w:rsidR="00D84EFE" w:rsidRPr="00DF02C5">
        <w:rPr>
          <w:rFonts w:eastAsia="Calibri" w:hAnsi="Times New Roman"/>
          <w:noProof/>
          <w:snapToGrid w:val="0"/>
          <w:color w:val="auto"/>
          <w:kern w:val="22"/>
          <w:bdr w:val="none" w:sz="0" w:space="0" w:color="auto"/>
          <w:lang w:val="en-GB"/>
        </w:rPr>
        <w:t xml:space="preserve"> be given </w:t>
      </w:r>
      <w:r w:rsidRPr="00DF02C5">
        <w:rPr>
          <w:rFonts w:eastAsia="Calibri" w:hAnsi="Times New Roman"/>
          <w:noProof/>
          <w:snapToGrid w:val="0"/>
          <w:color w:val="auto"/>
          <w:kern w:val="22"/>
          <w:bdr w:val="none" w:sz="0" w:space="0" w:color="auto"/>
          <w:lang w:val="en-GB"/>
        </w:rPr>
        <w:t xml:space="preserve">due consideration </w:t>
      </w:r>
      <w:r w:rsidR="00D84EFE" w:rsidRPr="00DF02C5">
        <w:rPr>
          <w:rFonts w:eastAsia="Calibri" w:hAnsi="Times New Roman"/>
          <w:noProof/>
          <w:snapToGrid w:val="0"/>
          <w:color w:val="auto"/>
          <w:kern w:val="22"/>
          <w:bdr w:val="none" w:sz="0" w:space="0" w:color="auto"/>
          <w:lang w:val="en-GB"/>
        </w:rPr>
        <w:t>in the development/review of their ABS measures</w:t>
      </w:r>
      <w:r w:rsidR="007060F6">
        <w:rPr>
          <w:rFonts w:eastAsia="Calibri" w:hAnsi="Times New Roman"/>
          <w:noProof/>
          <w:snapToGrid w:val="0"/>
          <w:color w:val="auto"/>
          <w:kern w:val="22"/>
          <w:bdr w:val="none" w:sz="0" w:space="0" w:color="auto"/>
          <w:lang w:val="en-GB"/>
        </w:rPr>
        <w:t>.</w:t>
      </w:r>
      <w:r w:rsidR="00B30B05" w:rsidRPr="00DF02C5">
        <w:rPr>
          <w:rStyle w:val="FootnoteReference"/>
          <w:rFonts w:eastAsia="Calibri" w:hAnsi="Times New Roman"/>
          <w:noProof/>
          <w:snapToGrid w:val="0"/>
          <w:color w:val="auto"/>
          <w:kern w:val="22"/>
          <w:bdr w:val="none" w:sz="0" w:space="0" w:color="auto"/>
          <w:lang w:val="en-GB"/>
        </w:rPr>
        <w:footnoteReference w:id="267"/>
      </w:r>
      <w:r w:rsidR="00D84EFE" w:rsidRPr="00DF02C5">
        <w:rPr>
          <w:rStyle w:val="FootnoteReference"/>
          <w:rFonts w:eastAsia="Calibri" w:hAnsi="Times New Roman"/>
          <w:noProof/>
          <w:snapToGrid w:val="0"/>
          <w:color w:val="auto"/>
          <w:kern w:val="22"/>
          <w:bdr w:val="none" w:sz="0" w:space="0" w:color="auto"/>
          <w:lang w:val="en-GB"/>
        </w:rPr>
        <w:t xml:space="preserve"> </w:t>
      </w:r>
    </w:p>
    <w:p w14:paraId="6F403675" w14:textId="7A728D37" w:rsidR="00821D6A" w:rsidRPr="00DF02C5" w:rsidRDefault="00821D6A"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Several countries</w:t>
      </w:r>
      <w:r w:rsidRPr="00DF02C5">
        <w:rPr>
          <w:rStyle w:val="FootnoteReference"/>
          <w:rFonts w:eastAsia="Calibri" w:hAnsi="Times New Roman"/>
          <w:snapToGrid w:val="0"/>
          <w:color w:val="auto"/>
          <w:kern w:val="22"/>
          <w:bdr w:val="none" w:sz="0" w:space="0" w:color="auto"/>
          <w:lang w:val="en-GB"/>
        </w:rPr>
        <w:footnoteReference w:id="268"/>
      </w:r>
      <w:r w:rsidRPr="00DF02C5">
        <w:rPr>
          <w:rFonts w:eastAsia="Calibri" w:hAnsi="Times New Roman"/>
          <w:snapToGrid w:val="0"/>
          <w:color w:val="auto"/>
          <w:kern w:val="22"/>
          <w:bdr w:val="none" w:sz="0" w:space="0" w:color="auto"/>
          <w:lang w:val="en-GB"/>
        </w:rPr>
        <w:t xml:space="preserve"> provided general information on measures taken and progress made to prevent threats to human health, as part of their efforts to implement the International Health Regulations (2005) and the Pandemic Influenza Preparedness (PIP) Framework of the World Health Organization. </w:t>
      </w:r>
    </w:p>
    <w:p w14:paraId="3DFD6522" w14:textId="7E8DFFE9" w:rsidR="00D84EFE" w:rsidRPr="00DF02C5" w:rsidRDefault="00D84EFE" w:rsidP="00A2498F">
      <w:pPr>
        <w:pStyle w:val="Para1"/>
        <w:numPr>
          <w:ilvl w:val="0"/>
          <w:numId w:val="1"/>
        </w:numPr>
        <w:rPr>
          <w:rFonts w:eastAsia="Calibri"/>
          <w:noProof/>
          <w:snapToGrid w:val="0"/>
          <w:kern w:val="22"/>
          <w:lang w:val="en-GB"/>
        </w:rPr>
      </w:pPr>
      <w:r w:rsidRPr="00DF02C5">
        <w:rPr>
          <w:rFonts w:eastAsia="Calibri" w:hAnsi="Times New Roman"/>
          <w:noProof/>
          <w:snapToGrid w:val="0"/>
          <w:color w:val="auto"/>
          <w:kern w:val="22"/>
          <w:bdr w:val="none" w:sz="0" w:space="0" w:color="auto"/>
          <w:lang w:val="en-GB"/>
        </w:rPr>
        <w:t>The</w:t>
      </w:r>
      <w:r w:rsidRPr="00DF02C5">
        <w:rPr>
          <w:rFonts w:eastAsia="Calibri" w:cs="Arial Unicode MS"/>
          <w:snapToGrid w:val="0"/>
          <w:kern w:val="22"/>
          <w:lang w:val="en-GB"/>
        </w:rPr>
        <w:t xml:space="preserve"> European Union explained that there is no access legislation at EU level hence there are also no measures on expeditious access to gen</w:t>
      </w:r>
      <w:r w:rsidR="00B30B05" w:rsidRPr="00DF02C5">
        <w:rPr>
          <w:rFonts w:eastAsia="Calibri" w:cs="Arial Unicode MS"/>
          <w:snapToGrid w:val="0"/>
          <w:kern w:val="22"/>
          <w:lang w:val="en-GB"/>
        </w:rPr>
        <w:t>etic resources for that purpose</w:t>
      </w:r>
      <w:r w:rsidRPr="00DF02C5">
        <w:rPr>
          <w:rFonts w:eastAsia="Calibri" w:cs="Arial Unicode MS"/>
          <w:snapToGrid w:val="0"/>
          <w:kern w:val="22"/>
          <w:lang w:val="en-GB"/>
        </w:rPr>
        <w:t>.</w:t>
      </w:r>
      <w:r w:rsidRPr="00DF02C5">
        <w:rPr>
          <w:rStyle w:val="FootnoteReference"/>
          <w:rFonts w:eastAsia="Calibri" w:cs="Arial Unicode MS"/>
          <w:snapToGrid w:val="0"/>
          <w:kern w:val="22"/>
          <w:lang w:val="en-GB"/>
        </w:rPr>
        <w:footnoteReference w:id="269"/>
      </w:r>
      <w:r w:rsidRPr="00DF02C5">
        <w:rPr>
          <w:rFonts w:eastAsia="Calibri" w:cs="Arial Unicode MS"/>
          <w:snapToGrid w:val="0"/>
          <w:kern w:val="22"/>
          <w:lang w:val="en-GB"/>
        </w:rPr>
        <w:t xml:space="preserve"> Article 4(8) of this regulation provides for a short temporal derogation from obligations contained in its Articles 4(3) and 4(5) </w:t>
      </w:r>
      <w:r w:rsidR="00B30B05" w:rsidRPr="00DF02C5">
        <w:rPr>
          <w:rFonts w:eastAsia="Calibri" w:cs="Arial Unicode MS"/>
          <w:snapToGrid w:val="0"/>
          <w:kern w:val="22"/>
          <w:lang w:val="en-GB"/>
        </w:rPr>
        <w:t>f</w:t>
      </w:r>
      <w:r w:rsidRPr="00DF02C5">
        <w:rPr>
          <w:rFonts w:eastAsia="Calibri" w:cs="Arial Unicode MS"/>
          <w:snapToGrid w:val="0"/>
          <w:kern w:val="22"/>
          <w:lang w:val="en-GB"/>
        </w:rPr>
        <w:t xml:space="preserve">or users </w:t>
      </w:r>
      <w:r w:rsidRPr="00DF02C5">
        <w:rPr>
          <w:rFonts w:eastAsia="Calibri" w:cs="Arial Unicode MS"/>
          <w:snapToGrid w:val="0"/>
          <w:kern w:val="22"/>
          <w:lang w:val="en-GB"/>
        </w:rPr>
        <w:lastRenderedPageBreak/>
        <w:t>acquiring a genetic resource that is determined to be, or is determined as likely to be, the causing pathogen of a present or imminent public health emergency of international concern</w:t>
      </w:r>
      <w:r w:rsidRPr="00DF02C5">
        <w:rPr>
          <w:rFonts w:eastAsia="Calibri"/>
          <w:noProof/>
          <w:snapToGrid w:val="0"/>
          <w:kern w:val="22"/>
          <w:lang w:val="en-GB"/>
        </w:rPr>
        <w:t xml:space="preserve">. </w:t>
      </w:r>
    </w:p>
    <w:p w14:paraId="3D1DAC08" w14:textId="77777777" w:rsidR="00D84EFE" w:rsidRPr="00DF02C5" w:rsidRDefault="00D84EFE" w:rsidP="007060F6">
      <w:pPr>
        <w:pStyle w:val="Para1"/>
        <w:numPr>
          <w:ilvl w:val="0"/>
          <w:numId w:val="1"/>
        </w:numPr>
        <w:rPr>
          <w:rFonts w:eastAsia="Calibri" w:hAnsi="Times New Roman"/>
          <w:noProof/>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In</w:t>
      </w:r>
      <w:r w:rsidRPr="00DF02C5">
        <w:rPr>
          <w:rFonts w:eastAsia="Calibri" w:hAnsi="Times New Roman"/>
          <w:noProof/>
          <w:snapToGrid w:val="0"/>
          <w:color w:val="auto"/>
          <w:kern w:val="22"/>
          <w:bdr w:val="none" w:sz="0" w:space="0" w:color="auto"/>
          <w:lang w:val="en-GB"/>
        </w:rPr>
        <w:t xml:space="preserve"> addition to Regulation (EU) No 511/2014, several Parties which are also Member States of the European Union reported on other measures taken at the national level to account for cases of present or imminent health emergencies:</w:t>
      </w:r>
    </w:p>
    <w:p w14:paraId="365D9137" w14:textId="77777777" w:rsidR="00D84EFE" w:rsidRPr="00DF02C5" w:rsidRDefault="00D84EFE" w:rsidP="007060F6">
      <w:pPr>
        <w:pStyle w:val="ListParagraph"/>
        <w:numPr>
          <w:ilvl w:val="0"/>
          <w:numId w:val="21"/>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Bulgaria reported that Article 66 (4) of the Biological Diversity Act  provides for gratuitous provision of genetic resources if the resources are intended for non-commercial purposes, including scientific research, education, conservation of biological diversity, or public health;</w:t>
      </w:r>
    </w:p>
    <w:p w14:paraId="3E98AA72" w14:textId="0389E251" w:rsidR="00D84EFE" w:rsidRPr="00DF02C5" w:rsidRDefault="00D84EFE" w:rsidP="007060F6">
      <w:pPr>
        <w:pStyle w:val="ListParagraph"/>
        <w:numPr>
          <w:ilvl w:val="0"/>
          <w:numId w:val="21"/>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France indicated that the French law on biodiversity foresees a simplified procedure (declaration) for access to this type of genetic resources when </w:t>
      </w:r>
      <w:r w:rsidR="00B30B05" w:rsidRPr="00DF02C5">
        <w:rPr>
          <w:rFonts w:eastAsia="Calibri" w:hAnsi="Times New Roman" w:cs="Times New Roman"/>
          <w:snapToGrid w:val="0"/>
          <w:color w:val="auto"/>
          <w:kern w:val="22"/>
          <w:bdr w:val="none" w:sz="0" w:space="0" w:color="auto"/>
          <w:lang w:val="en-GB"/>
        </w:rPr>
        <w:t>the urgency</w:t>
      </w:r>
      <w:r w:rsidRPr="00DF02C5">
        <w:rPr>
          <w:rFonts w:eastAsia="Calibri" w:hAnsi="Times New Roman" w:cs="Times New Roman"/>
          <w:snapToGrid w:val="0"/>
          <w:color w:val="auto"/>
          <w:kern w:val="22"/>
          <w:bdr w:val="none" w:sz="0" w:space="0" w:color="auto"/>
          <w:lang w:val="en-GB"/>
        </w:rPr>
        <w:t xml:space="preserve"> of the situation is justified;</w:t>
      </w:r>
    </w:p>
    <w:p w14:paraId="01CFAB7D" w14:textId="5BBBEA4E" w:rsidR="00D84EFE" w:rsidRPr="00DF02C5" w:rsidRDefault="00D84EFE" w:rsidP="007060F6">
      <w:pPr>
        <w:pStyle w:val="ListParagraph"/>
        <w:numPr>
          <w:ilvl w:val="0"/>
          <w:numId w:val="21"/>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Malta reported that Regulation 23 of S.L. 549.111 of the Laws of Malta enables the national competent authority to adopt interim measures in case of imminent threats to human, animal or plant health; and</w:t>
      </w:r>
    </w:p>
    <w:p w14:paraId="16F2863F" w14:textId="7463D6DD" w:rsidR="00D84EFE" w:rsidRPr="00DF02C5" w:rsidRDefault="00D84EFE" w:rsidP="007060F6">
      <w:pPr>
        <w:pStyle w:val="ListParagraph"/>
        <w:numPr>
          <w:ilvl w:val="0"/>
          <w:numId w:val="21"/>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Spain reported that Article 8 of its ABS Decree addresses access to genetic resources in emergency situations and provides that declaration of an emergency could justify an exceptional, provisional and immediate authorization for access to a genetic resource. Authorization is</w:t>
      </w:r>
      <w:r w:rsidR="00B30B05" w:rsidRPr="00DF02C5">
        <w:rPr>
          <w:rFonts w:eastAsia="Calibri" w:hAnsi="Times New Roman" w:cs="Times New Roman"/>
          <w:snapToGrid w:val="0"/>
          <w:color w:val="auto"/>
          <w:kern w:val="22"/>
          <w:bdr w:val="none" w:sz="0" w:space="0" w:color="auto"/>
          <w:lang w:val="en-GB"/>
        </w:rPr>
        <w:t>,</w:t>
      </w:r>
      <w:r w:rsidRPr="00DF02C5">
        <w:rPr>
          <w:rFonts w:eastAsia="Calibri" w:hAnsi="Times New Roman" w:cs="Times New Roman"/>
          <w:snapToGrid w:val="0"/>
          <w:color w:val="auto"/>
          <w:kern w:val="22"/>
          <w:bdr w:val="none" w:sz="0" w:space="0" w:color="auto"/>
          <w:lang w:val="en-GB"/>
        </w:rPr>
        <w:t xml:space="preserve"> however</w:t>
      </w:r>
      <w:r w:rsidR="00B30B05" w:rsidRPr="00DF02C5">
        <w:rPr>
          <w:rFonts w:eastAsia="Calibri" w:hAnsi="Times New Roman" w:cs="Times New Roman"/>
          <w:snapToGrid w:val="0"/>
          <w:color w:val="auto"/>
          <w:kern w:val="22"/>
          <w:bdr w:val="none" w:sz="0" w:space="0" w:color="auto"/>
          <w:lang w:val="en-GB"/>
        </w:rPr>
        <w:t>,</w:t>
      </w:r>
      <w:r w:rsidRPr="00DF02C5">
        <w:rPr>
          <w:rFonts w:eastAsia="Calibri" w:hAnsi="Times New Roman" w:cs="Times New Roman"/>
          <w:snapToGrid w:val="0"/>
          <w:color w:val="auto"/>
          <w:kern w:val="22"/>
          <w:bdr w:val="none" w:sz="0" w:space="0" w:color="auto"/>
          <w:lang w:val="en-GB"/>
        </w:rPr>
        <w:t xml:space="preserve"> granted on the condition that mutually agreed terms are established later on, and that a definitive authorization is granted within a period of six months. </w:t>
      </w:r>
    </w:p>
    <w:p w14:paraId="7114DC54" w14:textId="79E894B4" w:rsidR="00D84EFE" w:rsidRPr="00DF02C5" w:rsidRDefault="00D84EFE" w:rsidP="00A2498F">
      <w:pPr>
        <w:pStyle w:val="Para1"/>
        <w:numPr>
          <w:ilvl w:val="0"/>
          <w:numId w:val="1"/>
        </w:numPr>
        <w:rPr>
          <w:rFonts w:eastAsia="Calibri" w:hAnsi="Times New Roman"/>
          <w:noProof/>
          <w:snapToGrid w:val="0"/>
          <w:color w:val="auto"/>
          <w:kern w:val="22"/>
          <w:bdr w:val="none" w:sz="0" w:space="0" w:color="auto"/>
          <w:lang w:val="en-GB"/>
        </w:rPr>
      </w:pPr>
      <w:r w:rsidRPr="00DF02C5">
        <w:rPr>
          <w:rFonts w:eastAsia="Calibri" w:hAnsi="Times New Roman"/>
          <w:noProof/>
          <w:snapToGrid w:val="0"/>
          <w:color w:val="auto"/>
          <w:kern w:val="22"/>
          <w:bdr w:val="none" w:sz="0" w:space="0" w:color="auto"/>
          <w:lang w:val="en-GB"/>
        </w:rPr>
        <w:t xml:space="preserve">Other countries reported on different approaches to access and benefit-sharing with regard to health emergencies: </w:t>
      </w:r>
    </w:p>
    <w:p w14:paraId="48557142" w14:textId="1EEF1B37" w:rsidR="00D84EFE" w:rsidRPr="00DF02C5" w:rsidRDefault="00D84EFE" w:rsidP="007060F6">
      <w:pPr>
        <w:pStyle w:val="ListParagraph"/>
        <w:numPr>
          <w:ilvl w:val="0"/>
          <w:numId w:val="35"/>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Article 16 of Benin’s national ABS directives provides for simplified procedural documents for authorization request</w:t>
      </w:r>
      <w:r w:rsidR="00B30B05" w:rsidRPr="00DF02C5">
        <w:rPr>
          <w:rFonts w:eastAsia="Calibri" w:hAnsi="Times New Roman" w:cs="Times New Roman"/>
          <w:snapToGrid w:val="0"/>
          <w:color w:val="auto"/>
          <w:kern w:val="22"/>
          <w:bdr w:val="none" w:sz="0" w:space="0" w:color="auto"/>
          <w:lang w:val="en-GB"/>
        </w:rPr>
        <w:t>s</w:t>
      </w:r>
      <w:r w:rsidRPr="00DF02C5">
        <w:rPr>
          <w:rFonts w:eastAsia="Calibri" w:hAnsi="Times New Roman" w:cs="Times New Roman"/>
          <w:snapToGrid w:val="0"/>
          <w:color w:val="auto"/>
          <w:kern w:val="22"/>
          <w:bdr w:val="none" w:sz="0" w:space="0" w:color="auto"/>
          <w:lang w:val="en-GB"/>
        </w:rPr>
        <w:t xml:space="preserve"> made to the competent national authority for access to genetic resources and associated traditional knowledge in the case of emergencies pertaining t</w:t>
      </w:r>
      <w:r w:rsidR="00891342" w:rsidRPr="00DF02C5">
        <w:rPr>
          <w:rFonts w:eastAsia="Calibri" w:hAnsi="Times New Roman" w:cs="Times New Roman"/>
          <w:snapToGrid w:val="0"/>
          <w:color w:val="auto"/>
          <w:kern w:val="22"/>
          <w:bdr w:val="none" w:sz="0" w:space="0" w:color="auto"/>
          <w:lang w:val="en-GB"/>
        </w:rPr>
        <w:t>o human, ani</w:t>
      </w:r>
      <w:r w:rsidR="007060F6">
        <w:rPr>
          <w:rFonts w:eastAsia="Calibri" w:hAnsi="Times New Roman" w:cs="Times New Roman"/>
          <w:snapToGrid w:val="0"/>
          <w:color w:val="auto"/>
          <w:kern w:val="22"/>
          <w:bdr w:val="none" w:sz="0" w:space="0" w:color="auto"/>
          <w:lang w:val="en-GB"/>
        </w:rPr>
        <w:t>mal or plant health;</w:t>
      </w:r>
    </w:p>
    <w:p w14:paraId="10E6DCA7" w14:textId="2E1696BC" w:rsidR="00D84EFE" w:rsidRPr="00DF02C5" w:rsidRDefault="007A03E5" w:rsidP="007060F6">
      <w:pPr>
        <w:pStyle w:val="ListParagraph"/>
        <w:numPr>
          <w:ilvl w:val="0"/>
          <w:numId w:val="35"/>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The Biodiversity Bill of Bhutan</w:t>
      </w:r>
      <w:r w:rsidR="00D84EFE" w:rsidRPr="00DF02C5">
        <w:rPr>
          <w:rFonts w:eastAsia="Calibri" w:hAnsi="Times New Roman" w:cs="Times New Roman"/>
          <w:snapToGrid w:val="0"/>
          <w:color w:val="auto"/>
          <w:kern w:val="22"/>
          <w:bdr w:val="none" w:sz="0" w:space="0" w:color="auto"/>
          <w:lang w:val="en-GB"/>
        </w:rPr>
        <w:t>, under Chapter 4 clause 30, provides for exemptions to be granted from procedur</w:t>
      </w:r>
      <w:r w:rsidR="007060F6">
        <w:rPr>
          <w:rFonts w:eastAsia="Calibri" w:hAnsi="Times New Roman" w:cs="Times New Roman"/>
          <w:snapToGrid w:val="0"/>
          <w:color w:val="auto"/>
          <w:kern w:val="22"/>
          <w:bdr w:val="none" w:sz="0" w:space="0" w:color="auto"/>
          <w:lang w:val="en-GB"/>
        </w:rPr>
        <w:t>al requirements or a fee waiver;</w:t>
      </w:r>
    </w:p>
    <w:p w14:paraId="03ABA6D2" w14:textId="1A819469" w:rsidR="00D84EFE" w:rsidRPr="00DF02C5" w:rsidRDefault="00D84EFE" w:rsidP="007060F6">
      <w:pPr>
        <w:pStyle w:val="ListParagraph"/>
        <w:numPr>
          <w:ilvl w:val="0"/>
          <w:numId w:val="35"/>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Regulation 13 of India’s ABS Regulations, through Form B, facilitates </w:t>
      </w:r>
      <w:r w:rsidR="00B30B05" w:rsidRPr="00DF02C5">
        <w:rPr>
          <w:rFonts w:eastAsia="Calibri" w:hAnsi="Times New Roman" w:cs="Times New Roman"/>
          <w:snapToGrid w:val="0"/>
          <w:color w:val="auto"/>
          <w:kern w:val="22"/>
          <w:bdr w:val="none" w:sz="0" w:space="0" w:color="auto"/>
          <w:lang w:val="en-GB"/>
        </w:rPr>
        <w:t xml:space="preserve">the </w:t>
      </w:r>
      <w:r w:rsidRPr="00DF02C5">
        <w:rPr>
          <w:rFonts w:eastAsia="Calibri" w:hAnsi="Times New Roman" w:cs="Times New Roman"/>
          <w:snapToGrid w:val="0"/>
          <w:color w:val="auto"/>
          <w:kern w:val="22"/>
          <w:bdr w:val="none" w:sz="0" w:space="0" w:color="auto"/>
          <w:lang w:val="en-GB"/>
        </w:rPr>
        <w:t>transfer of biological resources by governmental institutions in India to carry out urgent studies to avert emergencies like epidemics etc., through an expe</w:t>
      </w:r>
      <w:r w:rsidR="007A03E5" w:rsidRPr="00DF02C5">
        <w:rPr>
          <w:rFonts w:eastAsia="Calibri" w:hAnsi="Times New Roman" w:cs="Times New Roman"/>
          <w:snapToGrid w:val="0"/>
          <w:color w:val="auto"/>
          <w:kern w:val="22"/>
          <w:bdr w:val="none" w:sz="0" w:space="0" w:color="auto"/>
          <w:lang w:val="en-GB"/>
        </w:rPr>
        <w:t>ditious and simplified proc</w:t>
      </w:r>
      <w:r w:rsidR="007060F6">
        <w:rPr>
          <w:rFonts w:eastAsia="Calibri" w:hAnsi="Times New Roman" w:cs="Times New Roman"/>
          <w:snapToGrid w:val="0"/>
          <w:color w:val="auto"/>
          <w:kern w:val="22"/>
          <w:bdr w:val="none" w:sz="0" w:space="0" w:color="auto"/>
          <w:lang w:val="en-GB"/>
        </w:rPr>
        <w:t>ess;</w:t>
      </w:r>
    </w:p>
    <w:p w14:paraId="6B2B89F2" w14:textId="73455AE8" w:rsidR="00D84EFE" w:rsidRPr="00DF02C5" w:rsidRDefault="00D84EFE" w:rsidP="007060F6">
      <w:pPr>
        <w:pStyle w:val="ListParagraph"/>
        <w:numPr>
          <w:ilvl w:val="0"/>
          <w:numId w:val="35"/>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Article 3, paragraph 4, of Switzerland’s Nagoya Ordinance provides that, in an intern</w:t>
      </w:r>
      <w:r w:rsidR="007060F6">
        <w:rPr>
          <w:rFonts w:eastAsia="Calibri" w:hAnsi="Times New Roman" w:cs="Times New Roman"/>
          <w:snapToGrid w:val="0"/>
          <w:color w:val="auto"/>
          <w:kern w:val="22"/>
          <w:bdr w:val="none" w:sz="0" w:space="0" w:color="auto"/>
          <w:lang w:val="en-GB"/>
        </w:rPr>
        <w:t>ationally or nationally recogniz</w:t>
      </w:r>
      <w:r w:rsidRPr="00DF02C5">
        <w:rPr>
          <w:rFonts w:eastAsia="Calibri" w:hAnsi="Times New Roman" w:cs="Times New Roman"/>
          <w:snapToGrid w:val="0"/>
          <w:color w:val="auto"/>
          <w:kern w:val="22"/>
          <w:bdr w:val="none" w:sz="0" w:space="0" w:color="auto"/>
          <w:lang w:val="en-GB"/>
        </w:rPr>
        <w:t xml:space="preserve">ed emergency that threatens the health of humans, animals or plants or the environment, it suffices if the due diligence requirement for the utilization of genetic resources that are pathogenic or harmful organisms is fully met at the time of the commercialisation of products developed </w:t>
      </w:r>
      <w:proofErr w:type="gramStart"/>
      <w:r w:rsidRPr="00DF02C5">
        <w:rPr>
          <w:rFonts w:eastAsia="Calibri" w:hAnsi="Times New Roman" w:cs="Times New Roman"/>
          <w:snapToGrid w:val="0"/>
          <w:color w:val="auto"/>
          <w:kern w:val="22"/>
          <w:bdr w:val="none" w:sz="0" w:space="0" w:color="auto"/>
          <w:lang w:val="en-GB"/>
        </w:rPr>
        <w:t>on the basis of</w:t>
      </w:r>
      <w:proofErr w:type="gramEnd"/>
      <w:r w:rsidR="00891342" w:rsidRPr="00DF02C5">
        <w:rPr>
          <w:rFonts w:eastAsia="Calibri" w:hAnsi="Times New Roman" w:cs="Times New Roman"/>
          <w:snapToGrid w:val="0"/>
          <w:color w:val="auto"/>
          <w:kern w:val="22"/>
          <w:bdr w:val="none" w:sz="0" w:space="0" w:color="auto"/>
          <w:lang w:val="en-GB"/>
        </w:rPr>
        <w:t xml:space="preserve"> the utilized genetic resources.</w:t>
      </w:r>
    </w:p>
    <w:p w14:paraId="4C823426" w14:textId="77777777" w:rsidR="00D84EFE" w:rsidRPr="00DF02C5" w:rsidRDefault="00D84EFE"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Some countries provided further information on the content of their draft measures:</w:t>
      </w:r>
    </w:p>
    <w:p w14:paraId="3A17683A" w14:textId="1B43682A" w:rsidR="00D84EFE" w:rsidRPr="00DF02C5" w:rsidRDefault="00D84EFE" w:rsidP="007060F6">
      <w:pPr>
        <w:pStyle w:val="ListParagraph"/>
        <w:numPr>
          <w:ilvl w:val="0"/>
          <w:numId w:val="36"/>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China stated that procedures and measures will be simplified for access to genetic resources and benefit-sharing for emergency responses</w:t>
      </w:r>
      <w:r w:rsidR="007060F6">
        <w:rPr>
          <w:rFonts w:eastAsia="Calibri" w:hAnsi="Times New Roman" w:cs="Times New Roman"/>
          <w:snapToGrid w:val="0"/>
          <w:color w:val="auto"/>
          <w:kern w:val="22"/>
          <w:bdr w:val="none" w:sz="0" w:space="0" w:color="auto"/>
          <w:lang w:val="en-GB"/>
        </w:rPr>
        <w:t>;</w:t>
      </w:r>
    </w:p>
    <w:p w14:paraId="2F0659CE" w14:textId="3A7FF594" w:rsidR="00D84EFE" w:rsidRPr="00DF02C5" w:rsidRDefault="0080343D" w:rsidP="007060F6">
      <w:pPr>
        <w:pStyle w:val="ListParagraph"/>
        <w:numPr>
          <w:ilvl w:val="0"/>
          <w:numId w:val="36"/>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Article 5 of </w:t>
      </w:r>
      <w:r w:rsidR="00D84EFE" w:rsidRPr="00DF02C5">
        <w:rPr>
          <w:rFonts w:eastAsia="Calibri" w:hAnsi="Times New Roman" w:cs="Times New Roman"/>
          <w:snapToGrid w:val="0"/>
          <w:color w:val="auto"/>
          <w:kern w:val="22"/>
          <w:bdr w:val="none" w:sz="0" w:space="0" w:color="auto"/>
          <w:lang w:val="en-GB"/>
        </w:rPr>
        <w:t>Morocco</w:t>
      </w:r>
      <w:r w:rsidRPr="00DF02C5">
        <w:rPr>
          <w:rFonts w:eastAsia="Calibri" w:hAnsi="Times New Roman" w:cs="Times New Roman"/>
          <w:snapToGrid w:val="0"/>
          <w:color w:val="auto"/>
          <w:kern w:val="22"/>
          <w:bdr w:val="none" w:sz="0" w:space="0" w:color="auto"/>
          <w:lang w:val="en-GB"/>
        </w:rPr>
        <w:t>’s</w:t>
      </w:r>
      <w:r w:rsidR="00D84EFE" w:rsidRPr="00DF02C5">
        <w:rPr>
          <w:rFonts w:eastAsia="Calibri" w:hAnsi="Times New Roman" w:cs="Times New Roman"/>
          <w:snapToGrid w:val="0"/>
          <w:color w:val="auto"/>
          <w:kern w:val="22"/>
          <w:bdr w:val="none" w:sz="0" w:space="0" w:color="auto"/>
          <w:lang w:val="en-GB"/>
        </w:rPr>
        <w:t xml:space="preserve"> draft law 56-17 on ABS </w:t>
      </w:r>
      <w:r w:rsidRPr="00DF02C5">
        <w:rPr>
          <w:rFonts w:eastAsia="Calibri" w:hAnsi="Times New Roman" w:cs="Times New Roman"/>
          <w:snapToGrid w:val="0"/>
          <w:color w:val="auto"/>
          <w:kern w:val="22"/>
          <w:bdr w:val="none" w:sz="0" w:space="0" w:color="auto"/>
          <w:lang w:val="en-GB"/>
        </w:rPr>
        <w:t>states</w:t>
      </w:r>
      <w:r w:rsidR="00D84EFE" w:rsidRPr="00DF02C5">
        <w:rPr>
          <w:rFonts w:eastAsia="Calibri" w:hAnsi="Times New Roman" w:cs="Times New Roman"/>
          <w:snapToGrid w:val="0"/>
          <w:color w:val="auto"/>
          <w:kern w:val="22"/>
          <w:bdr w:val="none" w:sz="0" w:space="0" w:color="auto"/>
          <w:lang w:val="en-GB"/>
        </w:rPr>
        <w:t xml:space="preserve"> that the provisions of the law do not apply when genetic resources are collected according to special measures to protect animals and plants from heath dangers. Furthermore, Article 15 </w:t>
      </w:r>
      <w:r w:rsidRPr="00DF02C5">
        <w:rPr>
          <w:rFonts w:eastAsia="Calibri" w:hAnsi="Times New Roman" w:cs="Times New Roman"/>
          <w:snapToGrid w:val="0"/>
          <w:color w:val="auto"/>
          <w:kern w:val="22"/>
          <w:bdr w:val="none" w:sz="0" w:space="0" w:color="auto"/>
          <w:lang w:val="en-GB"/>
        </w:rPr>
        <w:t>contains a</w:t>
      </w:r>
      <w:r w:rsidR="00D84EFE" w:rsidRPr="00DF02C5">
        <w:rPr>
          <w:rFonts w:eastAsia="Calibri" w:hAnsi="Times New Roman" w:cs="Times New Roman"/>
          <w:snapToGrid w:val="0"/>
          <w:color w:val="auto"/>
          <w:kern w:val="22"/>
          <w:bdr w:val="none" w:sz="0" w:space="0" w:color="auto"/>
          <w:lang w:val="en-GB"/>
        </w:rPr>
        <w:t xml:space="preserve"> procedure for </w:t>
      </w:r>
      <w:r w:rsidRPr="00DF02C5">
        <w:rPr>
          <w:rFonts w:eastAsia="Calibri" w:hAnsi="Times New Roman" w:cs="Times New Roman"/>
          <w:snapToGrid w:val="0"/>
          <w:color w:val="auto"/>
          <w:kern w:val="22"/>
          <w:bdr w:val="none" w:sz="0" w:space="0" w:color="auto"/>
          <w:lang w:val="en-GB"/>
        </w:rPr>
        <w:t xml:space="preserve">urgent </w:t>
      </w:r>
      <w:r w:rsidR="00D84EFE" w:rsidRPr="00DF02C5">
        <w:rPr>
          <w:rFonts w:eastAsia="Calibri" w:hAnsi="Times New Roman" w:cs="Times New Roman"/>
          <w:snapToGrid w:val="0"/>
          <w:color w:val="auto"/>
          <w:kern w:val="22"/>
          <w:bdr w:val="none" w:sz="0" w:space="0" w:color="auto"/>
          <w:lang w:val="en-GB"/>
        </w:rPr>
        <w:t xml:space="preserve">requests </w:t>
      </w:r>
      <w:r w:rsidRPr="00DF02C5">
        <w:rPr>
          <w:rFonts w:eastAsia="Calibri" w:hAnsi="Times New Roman" w:cs="Times New Roman"/>
          <w:snapToGrid w:val="0"/>
          <w:color w:val="auto"/>
          <w:kern w:val="22"/>
          <w:bdr w:val="none" w:sz="0" w:space="0" w:color="auto"/>
          <w:lang w:val="en-GB"/>
        </w:rPr>
        <w:t xml:space="preserve">to access </w:t>
      </w:r>
      <w:r w:rsidR="00D84EFE" w:rsidRPr="00DF02C5">
        <w:rPr>
          <w:rFonts w:eastAsia="Calibri" w:hAnsi="Times New Roman" w:cs="Times New Roman"/>
          <w:snapToGrid w:val="0"/>
          <w:color w:val="auto"/>
          <w:kern w:val="22"/>
          <w:bdr w:val="none" w:sz="0" w:space="0" w:color="auto"/>
          <w:lang w:val="en-GB"/>
        </w:rPr>
        <w:t xml:space="preserve">genetic resources used to fight the spread of diseases or epidemics that constitute a real or imminent danger to public health at </w:t>
      </w:r>
      <w:r w:rsidRPr="00DF02C5">
        <w:rPr>
          <w:rFonts w:eastAsia="Calibri" w:hAnsi="Times New Roman" w:cs="Times New Roman"/>
          <w:snapToGrid w:val="0"/>
          <w:color w:val="auto"/>
          <w:kern w:val="22"/>
          <w:bdr w:val="none" w:sz="0" w:space="0" w:color="auto"/>
          <w:lang w:val="en-GB"/>
        </w:rPr>
        <w:t xml:space="preserve">the </w:t>
      </w:r>
      <w:r w:rsidR="00D84EFE" w:rsidRPr="00DF02C5">
        <w:rPr>
          <w:rFonts w:eastAsia="Calibri" w:hAnsi="Times New Roman" w:cs="Times New Roman"/>
          <w:snapToGrid w:val="0"/>
          <w:color w:val="auto"/>
          <w:kern w:val="22"/>
          <w:bdr w:val="none" w:sz="0" w:space="0" w:color="auto"/>
          <w:lang w:val="en-GB"/>
        </w:rPr>
        <w:t xml:space="preserve">national or international level. The modalities of this </w:t>
      </w:r>
      <w:r w:rsidRPr="00DF02C5">
        <w:rPr>
          <w:rFonts w:eastAsia="Calibri" w:hAnsi="Times New Roman" w:cs="Times New Roman"/>
          <w:snapToGrid w:val="0"/>
          <w:color w:val="auto"/>
          <w:kern w:val="22"/>
          <w:bdr w:val="none" w:sz="0" w:space="0" w:color="auto"/>
          <w:lang w:val="en-GB"/>
        </w:rPr>
        <w:t>emergency</w:t>
      </w:r>
      <w:r w:rsidR="00D84EFE" w:rsidRPr="00DF02C5">
        <w:rPr>
          <w:rFonts w:eastAsia="Calibri" w:hAnsi="Times New Roman" w:cs="Times New Roman"/>
          <w:snapToGrid w:val="0"/>
          <w:color w:val="auto"/>
          <w:kern w:val="22"/>
          <w:bdr w:val="none" w:sz="0" w:space="0" w:color="auto"/>
          <w:lang w:val="en-GB"/>
        </w:rPr>
        <w:t xml:space="preserve"> procedure will be established by regulation. </w:t>
      </w:r>
    </w:p>
    <w:p w14:paraId="21AFFA6C" w14:textId="458B4261" w:rsidR="00D84EFE" w:rsidRPr="00DF02C5" w:rsidRDefault="00D84EFE"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Peru provided information on the most relevant pathogens for their national context and the research groups working on pathogens</w:t>
      </w:r>
      <w:r w:rsidR="0080343D" w:rsidRPr="00DF02C5">
        <w:rPr>
          <w:rFonts w:eastAsia="Calibri" w:hAnsi="Times New Roman"/>
          <w:snapToGrid w:val="0"/>
          <w:color w:val="auto"/>
          <w:kern w:val="22"/>
          <w:bdr w:val="none" w:sz="0" w:space="0" w:color="auto"/>
          <w:lang w:val="en-GB"/>
        </w:rPr>
        <w:t xml:space="preserve">. It also </w:t>
      </w:r>
      <w:r w:rsidRPr="00DF02C5">
        <w:rPr>
          <w:rFonts w:eastAsia="Calibri" w:hAnsi="Times New Roman"/>
          <w:snapToGrid w:val="0"/>
          <w:color w:val="auto"/>
          <w:kern w:val="22"/>
          <w:bdr w:val="none" w:sz="0" w:space="0" w:color="auto"/>
          <w:lang w:val="en-GB"/>
        </w:rPr>
        <w:t>emphasi</w:t>
      </w:r>
      <w:r w:rsidR="00B54C38">
        <w:rPr>
          <w:rFonts w:eastAsia="Calibri" w:hAnsi="Times New Roman"/>
          <w:snapToGrid w:val="0"/>
          <w:color w:val="auto"/>
          <w:kern w:val="22"/>
          <w:bdr w:val="none" w:sz="0" w:space="0" w:color="auto"/>
          <w:lang w:val="en-GB"/>
        </w:rPr>
        <w:t>z</w:t>
      </w:r>
      <w:r w:rsidRPr="00DF02C5">
        <w:rPr>
          <w:rFonts w:eastAsia="Calibri" w:hAnsi="Times New Roman"/>
          <w:snapToGrid w:val="0"/>
          <w:color w:val="auto"/>
          <w:kern w:val="22"/>
          <w:bdr w:val="none" w:sz="0" w:space="0" w:color="auto"/>
          <w:lang w:val="en-GB"/>
        </w:rPr>
        <w:t xml:space="preserve">ed the importance of strengthening the capacities on research and development of the research institutions through cooperation and </w:t>
      </w:r>
      <w:r w:rsidR="0034115A" w:rsidRPr="00DF02C5">
        <w:rPr>
          <w:rFonts w:eastAsia="Calibri" w:hAnsi="Times New Roman"/>
          <w:snapToGrid w:val="0"/>
          <w:color w:val="auto"/>
          <w:kern w:val="22"/>
          <w:bdr w:val="none" w:sz="0" w:space="0" w:color="auto"/>
          <w:lang w:val="en-GB"/>
        </w:rPr>
        <w:t xml:space="preserve">collaboration among countries. </w:t>
      </w:r>
    </w:p>
    <w:p w14:paraId="3D7CB386" w14:textId="65967985" w:rsidR="00891342" w:rsidRPr="00DF02C5" w:rsidRDefault="00891342" w:rsidP="00891342">
      <w:pPr>
        <w:pStyle w:val="Para1"/>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lastRenderedPageBreak/>
        <w:t>(b)</w:t>
      </w:r>
      <w:r w:rsidRPr="00DF02C5">
        <w:rPr>
          <w:rFonts w:eastAsia="Calibri" w:hAnsi="Times New Roman"/>
          <w:i/>
          <w:snapToGrid w:val="0"/>
          <w:color w:val="auto"/>
          <w:kern w:val="22"/>
          <w:bdr w:val="none" w:sz="0" w:space="0" w:color="auto"/>
          <w:lang w:val="en-GB"/>
        </w:rPr>
        <w:tab/>
        <w:t>Countries that answered “no”</w:t>
      </w:r>
    </w:p>
    <w:p w14:paraId="1B4723DF" w14:textId="56015D63" w:rsidR="00D84EFE" w:rsidRPr="00DF02C5" w:rsidRDefault="00D84EFE"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The majority</w:t>
      </w:r>
      <w:r w:rsidRPr="00DF02C5">
        <w:rPr>
          <w:rStyle w:val="FootnoteReference"/>
          <w:rFonts w:eastAsia="Calibri" w:hAnsi="Times New Roman"/>
          <w:snapToGrid w:val="0"/>
          <w:color w:val="auto"/>
          <w:kern w:val="22"/>
          <w:bdr w:val="none" w:sz="0" w:space="0" w:color="auto"/>
          <w:lang w:val="en-GB"/>
        </w:rPr>
        <w:footnoteReference w:id="270"/>
      </w:r>
      <w:r w:rsidRPr="00DF02C5">
        <w:rPr>
          <w:rFonts w:eastAsia="Calibri" w:hAnsi="Times New Roman"/>
          <w:snapToGrid w:val="0"/>
          <w:color w:val="auto"/>
          <w:kern w:val="22"/>
          <w:bdr w:val="none" w:sz="0" w:space="0" w:color="auto"/>
          <w:lang w:val="en-GB"/>
        </w:rPr>
        <w:t xml:space="preserve"> of countries that provided further information stated that due regard </w:t>
      </w:r>
      <w:r w:rsidR="00D30CF5" w:rsidRPr="00DF02C5">
        <w:rPr>
          <w:rFonts w:eastAsia="Calibri" w:hAnsi="Times New Roman"/>
          <w:snapToGrid w:val="0"/>
          <w:color w:val="auto"/>
          <w:kern w:val="22"/>
          <w:bdr w:val="none" w:sz="0" w:space="0" w:color="auto"/>
          <w:lang w:val="en-GB"/>
        </w:rPr>
        <w:t xml:space="preserve">would be paid </w:t>
      </w:r>
      <w:r w:rsidRPr="00DF02C5">
        <w:rPr>
          <w:rFonts w:eastAsia="Calibri" w:hAnsi="Times New Roman"/>
          <w:snapToGrid w:val="0"/>
          <w:color w:val="auto"/>
          <w:kern w:val="22"/>
          <w:bdr w:val="none" w:sz="0" w:space="0" w:color="auto"/>
          <w:lang w:val="en-GB"/>
        </w:rPr>
        <w:t>to cases of present or imminent emergencies that threaten or damage human, animal or plant health in future development or revision of ABS legislation or regulatory requirements. Two countries</w:t>
      </w:r>
      <w:r w:rsidRPr="00DF02C5">
        <w:rPr>
          <w:rStyle w:val="FootnoteReference"/>
          <w:rFonts w:eastAsia="Calibri" w:hAnsi="Times New Roman"/>
          <w:snapToGrid w:val="0"/>
          <w:color w:val="auto"/>
          <w:kern w:val="22"/>
          <w:bdr w:val="none" w:sz="0" w:space="0" w:color="auto"/>
          <w:lang w:val="en-GB"/>
        </w:rPr>
        <w:footnoteReference w:id="271"/>
      </w:r>
      <w:r w:rsidRPr="00DF02C5">
        <w:rPr>
          <w:rFonts w:eastAsia="Calibri" w:hAnsi="Times New Roman"/>
          <w:snapToGrid w:val="0"/>
          <w:color w:val="auto"/>
          <w:kern w:val="22"/>
          <w:bdr w:val="none" w:sz="0" w:space="0" w:color="auto"/>
          <w:lang w:val="en-GB"/>
        </w:rPr>
        <w:t xml:space="preserve"> explained that they have not yet done so due to the lack of ABS measures and </w:t>
      </w:r>
      <w:r w:rsidR="00D30CF5" w:rsidRPr="00DF02C5">
        <w:rPr>
          <w:rFonts w:eastAsia="Calibri" w:hAnsi="Times New Roman"/>
          <w:snapToGrid w:val="0"/>
          <w:color w:val="auto"/>
          <w:kern w:val="22"/>
          <w:bdr w:val="none" w:sz="0" w:space="0" w:color="auto"/>
          <w:lang w:val="en-GB"/>
        </w:rPr>
        <w:t>ano</w:t>
      </w:r>
      <w:r w:rsidRPr="00DF02C5">
        <w:rPr>
          <w:rFonts w:eastAsia="Calibri" w:hAnsi="Times New Roman"/>
          <w:snapToGrid w:val="0"/>
          <w:color w:val="auto"/>
          <w:kern w:val="22"/>
          <w:bdr w:val="none" w:sz="0" w:space="0" w:color="auto"/>
          <w:lang w:val="en-GB"/>
        </w:rPr>
        <w:t>ther two countries</w:t>
      </w:r>
      <w:r w:rsidRPr="00DF02C5">
        <w:rPr>
          <w:rStyle w:val="FootnoteReference"/>
          <w:rFonts w:eastAsia="Calibri" w:hAnsi="Times New Roman"/>
          <w:snapToGrid w:val="0"/>
          <w:color w:val="auto"/>
          <w:kern w:val="22"/>
          <w:bdr w:val="none" w:sz="0" w:space="0" w:color="auto"/>
          <w:lang w:val="en-GB"/>
        </w:rPr>
        <w:footnoteReference w:id="272"/>
      </w:r>
      <w:r w:rsidRPr="00DF02C5">
        <w:rPr>
          <w:rFonts w:eastAsia="Calibri" w:hAnsi="Times New Roman"/>
          <w:snapToGrid w:val="0"/>
          <w:color w:val="auto"/>
          <w:kern w:val="22"/>
          <w:bdr w:val="none" w:sz="0" w:space="0" w:color="auto"/>
          <w:lang w:val="en-GB"/>
        </w:rPr>
        <w:t xml:space="preserve"> indicated that</w:t>
      </w:r>
      <w:r w:rsidR="00D30CF5" w:rsidRPr="00DF02C5">
        <w:rPr>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the question was not</w:t>
      </w:r>
      <w:r w:rsidR="00640571" w:rsidRPr="00DF02C5">
        <w:rPr>
          <w:rFonts w:eastAsia="Calibri" w:hAnsi="Times New Roman"/>
          <w:snapToGrid w:val="0"/>
          <w:color w:val="auto"/>
          <w:kern w:val="22"/>
          <w:bdr w:val="none" w:sz="0" w:space="0" w:color="auto"/>
          <w:lang w:val="en-GB"/>
        </w:rPr>
        <w:t xml:space="preserve"> applicable as they did not had</w:t>
      </w:r>
      <w:r w:rsidRPr="00DF02C5">
        <w:rPr>
          <w:rFonts w:eastAsia="Calibri" w:hAnsi="Times New Roman"/>
          <w:snapToGrid w:val="0"/>
          <w:color w:val="auto"/>
          <w:kern w:val="22"/>
          <w:bdr w:val="none" w:sz="0" w:space="0" w:color="auto"/>
          <w:lang w:val="en-GB"/>
        </w:rPr>
        <w:t xml:space="preserve"> access requirements in place. Some cou</w:t>
      </w:r>
      <w:r w:rsidR="00640571" w:rsidRPr="00DF02C5">
        <w:rPr>
          <w:rFonts w:eastAsia="Calibri" w:hAnsi="Times New Roman"/>
          <w:snapToGrid w:val="0"/>
          <w:color w:val="auto"/>
          <w:kern w:val="22"/>
          <w:bdr w:val="none" w:sz="0" w:space="0" w:color="auto"/>
          <w:lang w:val="en-GB"/>
        </w:rPr>
        <w:t>ntries also noted that there had</w:t>
      </w:r>
      <w:r w:rsidRPr="00DF02C5">
        <w:rPr>
          <w:rFonts w:eastAsia="Calibri" w:hAnsi="Times New Roman"/>
          <w:snapToGrid w:val="0"/>
          <w:color w:val="auto"/>
          <w:kern w:val="22"/>
          <w:bdr w:val="none" w:sz="0" w:space="0" w:color="auto"/>
          <w:lang w:val="en-GB"/>
        </w:rPr>
        <w:t xml:space="preserve"> not been any relevant case</w:t>
      </w:r>
      <w:r w:rsidR="00640571" w:rsidRPr="00DF02C5">
        <w:rPr>
          <w:rFonts w:eastAsia="Calibri" w:hAnsi="Times New Roman"/>
          <w:snapToGrid w:val="0"/>
          <w:color w:val="auto"/>
          <w:kern w:val="22"/>
          <w:bdr w:val="none" w:sz="0" w:space="0" w:color="auto"/>
          <w:lang w:val="en-GB"/>
        </w:rPr>
        <w:t>s</w:t>
      </w:r>
      <w:r w:rsidRPr="00DF02C5">
        <w:rPr>
          <w:rFonts w:eastAsia="Calibri" w:hAnsi="Times New Roman"/>
          <w:snapToGrid w:val="0"/>
          <w:color w:val="auto"/>
          <w:kern w:val="22"/>
          <w:bdr w:val="none" w:sz="0" w:space="0" w:color="auto"/>
          <w:lang w:val="en-GB"/>
        </w:rPr>
        <w:t xml:space="preserve"> so far. </w:t>
      </w:r>
      <w:r w:rsidRPr="00DF02C5">
        <w:rPr>
          <w:rStyle w:val="FootnoteReference"/>
          <w:rFonts w:eastAsia="Calibri" w:hAnsi="Times New Roman"/>
          <w:snapToGrid w:val="0"/>
          <w:color w:val="auto"/>
          <w:kern w:val="22"/>
          <w:bdr w:val="none" w:sz="0" w:space="0" w:color="auto"/>
          <w:lang w:val="en-GB"/>
        </w:rPr>
        <w:footnoteReference w:id="273"/>
      </w:r>
    </w:p>
    <w:p w14:paraId="1337DE1B" w14:textId="3C5860A8" w:rsidR="00D84EFE" w:rsidRPr="007060F6" w:rsidRDefault="00640571" w:rsidP="007060F6">
      <w:pPr>
        <w:pStyle w:val="ListParagraph"/>
        <w:spacing w:before="240" w:after="120"/>
        <w:ind w:left="1800" w:right="540" w:hanging="806"/>
        <w:jc w:val="left"/>
        <w:rPr>
          <w:rFonts w:eastAsia="Calibri" w:hAnsi="Times New Roman" w:cs="Times New Roman"/>
          <w:i/>
          <w:snapToGrid w:val="0"/>
          <w:color w:val="auto"/>
          <w:kern w:val="22"/>
          <w:bdr w:val="none" w:sz="0" w:space="0" w:color="auto"/>
          <w:lang w:val="en-GB"/>
        </w:rPr>
      </w:pPr>
      <w:r w:rsidRPr="007060F6">
        <w:rPr>
          <w:rFonts w:eastAsia="Calibri" w:hAnsi="Times New Roman" w:cs="Times New Roman"/>
          <w:i/>
          <w:snapToGrid w:val="0"/>
          <w:color w:val="auto"/>
          <w:kern w:val="22"/>
          <w:bdr w:val="none" w:sz="0" w:space="0" w:color="auto"/>
          <w:lang w:val="en-GB"/>
        </w:rPr>
        <w:t>1.3</w:t>
      </w:r>
      <w:r w:rsidR="007060F6">
        <w:rPr>
          <w:rFonts w:eastAsia="Calibri" w:hAnsi="Times New Roman" w:cs="Times New Roman"/>
          <w:i/>
          <w:snapToGrid w:val="0"/>
          <w:color w:val="auto"/>
          <w:kern w:val="22"/>
          <w:bdr w:val="none" w:sz="0" w:space="0" w:color="auto"/>
          <w:lang w:val="en-GB"/>
        </w:rPr>
        <w:tab/>
      </w:r>
      <w:r w:rsidRPr="007060F6">
        <w:rPr>
          <w:rFonts w:eastAsia="Calibri" w:hAnsi="Times New Roman"/>
          <w:i/>
          <w:snapToGrid w:val="0"/>
          <w:color w:val="auto"/>
          <w:kern w:val="22"/>
          <w:bdr w:val="none" w:sz="0" w:space="0" w:color="auto"/>
          <w:lang w:val="en-GB"/>
        </w:rPr>
        <w:t xml:space="preserve">In the development and implementation of ABS legislation or regulatory requirements has your country taken into consideration the need for expeditious access to genetic resources and expeditious fair and equitable sharing of benefits arising out of the use of such genetic resources, including access to affordable treatments by those in need, especially, in developing countries as provided in Article 8(b) </w:t>
      </w:r>
      <w:r w:rsidRPr="007060F6">
        <w:rPr>
          <w:rFonts w:eastAsia="Calibri" w:hAnsi="Times New Roman" w:cs="Times New Roman"/>
          <w:i/>
          <w:snapToGrid w:val="0"/>
          <w:color w:val="auto"/>
          <w:kern w:val="22"/>
          <w:bdr w:val="none" w:sz="0" w:space="0" w:color="auto"/>
          <w:lang w:val="en-GB"/>
        </w:rPr>
        <w:t>(question 35</w:t>
      </w:r>
      <w:r w:rsidR="00D84EFE" w:rsidRPr="007060F6">
        <w:rPr>
          <w:rFonts w:eastAsia="Calibri" w:hAnsi="Times New Roman" w:cs="Times New Roman"/>
          <w:i/>
          <w:snapToGrid w:val="0"/>
          <w:color w:val="auto"/>
          <w:kern w:val="22"/>
          <w:bdr w:val="none" w:sz="0" w:space="0" w:color="auto"/>
          <w:lang w:val="en-GB"/>
        </w:rPr>
        <w:t>)</w:t>
      </w:r>
    </w:p>
    <w:p w14:paraId="225D165D" w14:textId="3DD3FEAC" w:rsidR="00D84EFE" w:rsidRPr="00DF02C5" w:rsidRDefault="007571E8" w:rsidP="00A2498F">
      <w:pPr>
        <w:pStyle w:val="Para1"/>
        <w:numPr>
          <w:ilvl w:val="0"/>
          <w:numId w:val="1"/>
        </w:numPr>
        <w:rPr>
          <w:rFonts w:eastAsia="Times New Roman" w:hAnsi="Times New Roman"/>
          <w:snapToGrid w:val="0"/>
          <w:color w:val="auto"/>
          <w:szCs w:val="18"/>
          <w:bdr w:val="none" w:sz="0" w:space="0" w:color="auto"/>
          <w:lang w:val="en-GB"/>
        </w:rPr>
      </w:pPr>
      <w:proofErr w:type="gramStart"/>
      <w:r w:rsidRPr="00DF02C5">
        <w:rPr>
          <w:rFonts w:eastAsia="Times New Roman" w:hAnsi="Times New Roman"/>
          <w:snapToGrid w:val="0"/>
          <w:color w:val="auto"/>
          <w:szCs w:val="18"/>
          <w:bdr w:val="none" w:sz="0" w:space="0" w:color="auto"/>
          <w:lang w:val="en-GB"/>
        </w:rPr>
        <w:t>Twenty-six</w:t>
      </w:r>
      <w:proofErr w:type="gramEnd"/>
      <w:r w:rsidR="00D84EFE" w:rsidRPr="00DF02C5">
        <w:rPr>
          <w:rFonts w:eastAsia="Times New Roman" w:hAnsi="Times New Roman"/>
          <w:snapToGrid w:val="0"/>
          <w:color w:val="auto"/>
          <w:szCs w:val="18"/>
          <w:bdr w:val="none" w:sz="0" w:space="0" w:color="auto"/>
          <w:lang w:val="en-GB"/>
        </w:rPr>
        <w:t xml:space="preserve"> Parties and one non-Party stated that they had taken into consideration the need for expeditious access and expeditious benefit-sharing in the development and implementation of ABS legislation or r</w:t>
      </w:r>
      <w:r w:rsidR="00640571" w:rsidRPr="00DF02C5">
        <w:rPr>
          <w:rFonts w:eastAsia="Times New Roman" w:hAnsi="Times New Roman"/>
          <w:snapToGrid w:val="0"/>
          <w:color w:val="auto"/>
          <w:szCs w:val="18"/>
          <w:bdr w:val="none" w:sz="0" w:space="0" w:color="auto"/>
          <w:lang w:val="en-GB"/>
        </w:rPr>
        <w:t xml:space="preserve">egulatory requirements, while forty-three Parties and five non-Parties reported not having taken such considerations.  </w:t>
      </w:r>
    </w:p>
    <w:p w14:paraId="7795019B" w14:textId="11E5452B" w:rsidR="00640571" w:rsidRPr="00DF02C5" w:rsidRDefault="00E5256F" w:rsidP="00E5256F">
      <w:pPr>
        <w:pStyle w:val="Caption"/>
        <w:keepNext/>
        <w:keepLines/>
        <w:rPr>
          <w:rFonts w:eastAsia="Calibri" w:cs="Times New Roman"/>
          <w:snapToGrid w:val="0"/>
          <w:kern w:val="22"/>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Pr="00DF02C5">
        <w:rPr>
          <w:noProof/>
          <w:lang w:val="en-GB"/>
        </w:rPr>
        <w:t>33</w:t>
      </w:r>
      <w:r w:rsidRPr="00DF02C5">
        <w:rPr>
          <w:lang w:val="en-GB"/>
        </w:rPr>
        <w:fldChar w:fldCharType="end"/>
      </w:r>
      <w:r w:rsidR="002930AC" w:rsidRPr="00DF02C5">
        <w:rPr>
          <w:rFonts w:eastAsia="Calibri" w:cs="Times New Roman"/>
          <w:snapToGrid w:val="0"/>
          <w:kern w:val="22"/>
          <w:bdr w:val="none" w:sz="0" w:space="0" w:color="auto"/>
          <w:lang w:val="en-GB"/>
        </w:rPr>
        <w:t xml:space="preserve">: </w:t>
      </w:r>
      <w:r w:rsidR="0079639A" w:rsidRPr="00DF02C5">
        <w:rPr>
          <w:rFonts w:eastAsia="Calibri" w:cs="Times New Roman"/>
          <w:snapToGrid w:val="0"/>
          <w:kern w:val="22"/>
          <w:bdr w:val="none" w:sz="0" w:space="0" w:color="auto"/>
          <w:lang w:val="en-GB"/>
        </w:rPr>
        <w:t xml:space="preserve">Consideration of the </w:t>
      </w:r>
      <w:r w:rsidR="0079639A" w:rsidRPr="00DF02C5">
        <w:rPr>
          <w:snapToGrid w:val="0"/>
          <w:bdr w:val="none" w:sz="0" w:space="0" w:color="auto"/>
          <w:lang w:val="en-GB"/>
        </w:rPr>
        <w:t>n</w:t>
      </w:r>
      <w:r w:rsidR="00F722F0" w:rsidRPr="00DF02C5">
        <w:rPr>
          <w:snapToGrid w:val="0"/>
          <w:bdr w:val="none" w:sz="0" w:space="0" w:color="auto"/>
          <w:lang w:val="en-GB"/>
        </w:rPr>
        <w:t>eed for expeditious access and expeditious benefit-sharing</w:t>
      </w:r>
      <w:r w:rsidR="00F722F0" w:rsidRPr="00DF02C5">
        <w:rPr>
          <w:rFonts w:eastAsia="Calibri" w:cs="Times New Roman"/>
          <w:snapToGrid w:val="0"/>
          <w:kern w:val="22"/>
          <w:bdr w:val="none" w:sz="0" w:space="0" w:color="auto"/>
          <w:lang w:val="en-GB"/>
        </w:rPr>
        <w:t xml:space="preserve"> </w:t>
      </w:r>
      <w:r w:rsidR="00640571" w:rsidRPr="00DF02C5">
        <w:rPr>
          <w:rFonts w:eastAsia="Calibri" w:cs="Times New Roman"/>
          <w:snapToGrid w:val="0"/>
          <w:kern w:val="22"/>
          <w:bdr w:val="none" w:sz="0" w:space="0" w:color="auto"/>
          <w:lang w:val="en-GB"/>
        </w:rPr>
        <w:t>(percentage of countries)</w:t>
      </w:r>
    </w:p>
    <w:p w14:paraId="14CE9FAA" w14:textId="2D5ABC23" w:rsidR="00640571" w:rsidRPr="00DF02C5" w:rsidRDefault="00640571" w:rsidP="00640571">
      <w:pPr>
        <w:pStyle w:val="Para1"/>
        <w:jc w:val="center"/>
        <w:rPr>
          <w:rFonts w:eastAsia="Times New Roman" w:hAnsi="Times New Roman"/>
          <w:snapToGrid w:val="0"/>
          <w:color w:val="auto"/>
          <w:szCs w:val="18"/>
          <w:bdr w:val="none" w:sz="0" w:space="0" w:color="auto"/>
          <w:lang w:val="en-GB"/>
        </w:rPr>
      </w:pPr>
      <w:r w:rsidRPr="00DF02C5">
        <w:rPr>
          <w:noProof/>
          <w:color w:val="auto"/>
        </w:rPr>
        <w:drawing>
          <wp:inline distT="0" distB="0" distL="0" distR="0" wp14:anchorId="0CF05173" wp14:editId="1C9C99B9">
            <wp:extent cx="3390900" cy="1981200"/>
            <wp:effectExtent l="0" t="0" r="19050" b="190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FC9844A" w14:textId="55B34B2C" w:rsidR="00F722F0" w:rsidRPr="00DF02C5" w:rsidRDefault="00F722F0" w:rsidP="00F722F0">
      <w:pPr>
        <w:pStyle w:val="ListParagraph"/>
        <w:ind w:left="0"/>
        <w:rPr>
          <w:rFonts w:eastAsia="Calibri" w:hAnsi="Times New Roman" w:cs="Times New Roman"/>
          <w:i/>
          <w:snapToGrid w:val="0"/>
          <w:color w:val="auto"/>
          <w:kern w:val="22"/>
          <w:bdr w:val="none" w:sz="0" w:space="0" w:color="auto"/>
          <w:lang w:val="en-GB"/>
        </w:rPr>
      </w:pPr>
      <w:r w:rsidRPr="00DF02C5">
        <w:rPr>
          <w:rFonts w:eastAsia="Calibri" w:hAnsi="Times New Roman" w:cs="Times New Roman"/>
          <w:i/>
          <w:snapToGrid w:val="0"/>
          <w:color w:val="auto"/>
          <w:kern w:val="22"/>
          <w:bdr w:val="none" w:sz="0" w:space="0" w:color="auto"/>
          <w:lang w:val="en-GB"/>
        </w:rPr>
        <w:t>(a)</w:t>
      </w:r>
      <w:r w:rsidRPr="00DF02C5">
        <w:rPr>
          <w:rFonts w:eastAsia="Calibri" w:hAnsi="Times New Roman" w:cs="Times New Roman"/>
          <w:i/>
          <w:snapToGrid w:val="0"/>
          <w:color w:val="auto"/>
          <w:kern w:val="22"/>
          <w:bdr w:val="none" w:sz="0" w:space="0" w:color="auto"/>
          <w:lang w:val="en-GB"/>
        </w:rPr>
        <w:tab/>
        <w:t>Countries that answered “yes”</w:t>
      </w:r>
    </w:p>
    <w:p w14:paraId="06BA73F9" w14:textId="10161931" w:rsidR="00D84EFE" w:rsidRPr="00DF02C5" w:rsidRDefault="00A26D32" w:rsidP="00A2498F">
      <w:pPr>
        <w:pStyle w:val="Para1"/>
        <w:numPr>
          <w:ilvl w:val="0"/>
          <w:numId w:val="1"/>
        </w:numPr>
        <w:rPr>
          <w:rFonts w:eastAsia="Calibri" w:hAnsi="Times New Roman"/>
          <w:noProof/>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w:t>
      </w:r>
      <w:r w:rsidR="00D84EFE" w:rsidRPr="00DF02C5">
        <w:rPr>
          <w:rFonts w:eastAsia="Calibri" w:hAnsi="Times New Roman"/>
          <w:snapToGrid w:val="0"/>
          <w:color w:val="auto"/>
          <w:kern w:val="22"/>
          <w:bdr w:val="none" w:sz="0" w:space="0" w:color="auto"/>
          <w:lang w:val="en-GB"/>
        </w:rPr>
        <w:t>ome countries referred to existing ABS measures</w:t>
      </w:r>
      <w:r w:rsidR="00D84EFE" w:rsidRPr="00DF02C5">
        <w:rPr>
          <w:rStyle w:val="FootnoteReference"/>
          <w:rFonts w:eastAsia="Calibri" w:hAnsi="Times New Roman"/>
          <w:snapToGrid w:val="0"/>
          <w:color w:val="auto"/>
          <w:kern w:val="22"/>
          <w:bdr w:val="none" w:sz="0" w:space="0" w:color="auto"/>
          <w:lang w:val="en-GB"/>
        </w:rPr>
        <w:footnoteReference w:id="274"/>
      </w:r>
      <w:r w:rsidR="00D84EFE" w:rsidRPr="00DF02C5">
        <w:rPr>
          <w:rFonts w:eastAsia="Calibri" w:hAnsi="Times New Roman"/>
          <w:snapToGrid w:val="0"/>
          <w:color w:val="auto"/>
          <w:kern w:val="22"/>
          <w:bdr w:val="none" w:sz="0" w:space="0" w:color="auto"/>
          <w:lang w:val="en-GB"/>
        </w:rPr>
        <w:t xml:space="preserve"> addressing this issue or to draft measures under development or approval</w:t>
      </w:r>
      <w:r w:rsidR="007060F6">
        <w:rPr>
          <w:rFonts w:eastAsia="Calibri" w:hAnsi="Times New Roman"/>
          <w:snapToGrid w:val="0"/>
          <w:color w:val="auto"/>
          <w:kern w:val="22"/>
          <w:bdr w:val="none" w:sz="0" w:space="0" w:color="auto"/>
          <w:lang w:val="en-GB"/>
        </w:rPr>
        <w:t>.</w:t>
      </w:r>
      <w:r w:rsidR="00D84EFE" w:rsidRPr="00DF02C5">
        <w:rPr>
          <w:rStyle w:val="FootnoteReference"/>
          <w:rFonts w:eastAsia="Calibri" w:hAnsi="Times New Roman"/>
          <w:snapToGrid w:val="0"/>
          <w:color w:val="auto"/>
          <w:kern w:val="22"/>
          <w:bdr w:val="none" w:sz="0" w:space="0" w:color="auto"/>
          <w:lang w:val="en-GB"/>
        </w:rPr>
        <w:footnoteReference w:id="275"/>
      </w:r>
      <w:r w:rsidR="00D84EFE" w:rsidRPr="00DF02C5">
        <w:rPr>
          <w:rFonts w:eastAsia="Calibri" w:hAnsi="Times New Roman"/>
          <w:noProof/>
          <w:snapToGrid w:val="0"/>
          <w:color w:val="auto"/>
          <w:kern w:val="22"/>
          <w:bdr w:val="none" w:sz="0" w:space="0" w:color="auto"/>
          <w:lang w:val="en-GB"/>
        </w:rPr>
        <w:t xml:space="preserve"> </w:t>
      </w:r>
      <w:r w:rsidRPr="00DF02C5">
        <w:rPr>
          <w:rFonts w:eastAsia="Calibri" w:hAnsi="Times New Roman"/>
          <w:noProof/>
          <w:snapToGrid w:val="0"/>
          <w:color w:val="auto"/>
          <w:kern w:val="22"/>
          <w:bdr w:val="none" w:sz="0" w:space="0" w:color="auto"/>
          <w:lang w:val="en-GB"/>
        </w:rPr>
        <w:t xml:space="preserve">Other countries indicated that even though they had some relevant </w:t>
      </w:r>
      <w:r w:rsidR="00D84EFE" w:rsidRPr="00DF02C5">
        <w:rPr>
          <w:rFonts w:eastAsia="Calibri" w:hAnsi="Times New Roman"/>
          <w:noProof/>
          <w:snapToGrid w:val="0"/>
          <w:color w:val="auto"/>
          <w:kern w:val="22"/>
          <w:bdr w:val="none" w:sz="0" w:space="0" w:color="auto"/>
          <w:lang w:val="en-GB"/>
        </w:rPr>
        <w:t>Some countries reported having relevant mechanisms in place to address</w:t>
      </w:r>
      <w:r w:rsidR="00D84EFE" w:rsidRPr="00DF02C5">
        <w:rPr>
          <w:rFonts w:eastAsia="Calibri" w:hAnsi="Times New Roman"/>
          <w:noProof/>
          <w:snapToGrid w:val="0"/>
          <w:color w:val="FF0000"/>
          <w:kern w:val="22"/>
          <w:bdr w:val="none" w:sz="0" w:space="0" w:color="auto"/>
          <w:lang w:val="en-GB"/>
        </w:rPr>
        <w:t xml:space="preserve"> </w:t>
      </w:r>
      <w:r w:rsidR="00D84EFE" w:rsidRPr="00DF02C5">
        <w:rPr>
          <w:rFonts w:eastAsia="Calibri" w:hAnsi="Times New Roman"/>
          <w:noProof/>
          <w:snapToGrid w:val="0"/>
          <w:color w:val="auto"/>
          <w:kern w:val="22"/>
          <w:bdr w:val="none" w:sz="0" w:space="0" w:color="auto"/>
          <w:lang w:val="en-GB"/>
        </w:rPr>
        <w:t>expeditious access</w:t>
      </w:r>
      <w:r w:rsidR="00D30CF5" w:rsidRPr="00DF02C5">
        <w:rPr>
          <w:rFonts w:eastAsia="Calibri" w:hAnsi="Times New Roman"/>
          <w:noProof/>
          <w:snapToGrid w:val="0"/>
          <w:color w:val="auto"/>
          <w:kern w:val="22"/>
          <w:bdr w:val="none" w:sz="0" w:space="0" w:color="auto"/>
          <w:lang w:val="en-GB"/>
        </w:rPr>
        <w:t xml:space="preserve"> and expeditious benefit-sharing</w:t>
      </w:r>
      <w:r w:rsidR="007060F6">
        <w:rPr>
          <w:rFonts w:eastAsia="Calibri" w:hAnsi="Times New Roman"/>
          <w:noProof/>
          <w:snapToGrid w:val="0"/>
          <w:color w:val="auto"/>
          <w:kern w:val="22"/>
          <w:bdr w:val="none" w:sz="0" w:space="0" w:color="auto"/>
          <w:lang w:val="en-GB"/>
        </w:rPr>
        <w:t>,</w:t>
      </w:r>
      <w:r w:rsidR="00D84EFE" w:rsidRPr="00DF02C5">
        <w:rPr>
          <w:rStyle w:val="FootnoteReference"/>
          <w:rFonts w:eastAsia="Calibri" w:hAnsi="Times New Roman"/>
          <w:noProof/>
          <w:snapToGrid w:val="0"/>
          <w:color w:val="auto"/>
          <w:kern w:val="22"/>
          <w:bdr w:val="none" w:sz="0" w:space="0" w:color="auto"/>
          <w:lang w:val="en-GB"/>
        </w:rPr>
        <w:footnoteReference w:id="276"/>
      </w:r>
      <w:r w:rsidR="00D84EFE" w:rsidRPr="00DF02C5">
        <w:rPr>
          <w:rFonts w:eastAsia="Calibri" w:hAnsi="Times New Roman"/>
          <w:noProof/>
          <w:snapToGrid w:val="0"/>
          <w:color w:val="auto"/>
          <w:kern w:val="22"/>
          <w:bdr w:val="none" w:sz="0" w:space="0" w:color="auto"/>
          <w:lang w:val="en-GB"/>
        </w:rPr>
        <w:t xml:space="preserve"> </w:t>
      </w:r>
      <w:r w:rsidRPr="00DF02C5">
        <w:rPr>
          <w:rFonts w:eastAsia="Calibri" w:hAnsi="Times New Roman"/>
          <w:noProof/>
          <w:snapToGrid w:val="0"/>
          <w:color w:val="auto"/>
          <w:kern w:val="22"/>
          <w:bdr w:val="none" w:sz="0" w:space="0" w:color="auto"/>
          <w:lang w:val="en-GB"/>
        </w:rPr>
        <w:t>Article 8(b) would</w:t>
      </w:r>
      <w:r w:rsidR="00D84EFE" w:rsidRPr="00DF02C5">
        <w:rPr>
          <w:rFonts w:eastAsia="Calibri" w:hAnsi="Times New Roman"/>
          <w:noProof/>
          <w:snapToGrid w:val="0"/>
          <w:color w:val="auto"/>
          <w:kern w:val="22"/>
          <w:bdr w:val="none" w:sz="0" w:space="0" w:color="auto"/>
          <w:lang w:val="en-GB"/>
        </w:rPr>
        <w:t xml:space="preserve"> be given</w:t>
      </w:r>
      <w:r w:rsidRPr="00DF02C5">
        <w:rPr>
          <w:rFonts w:eastAsia="Calibri" w:hAnsi="Times New Roman"/>
          <w:noProof/>
          <w:snapToGrid w:val="0"/>
          <w:color w:val="auto"/>
          <w:kern w:val="22"/>
          <w:bdr w:val="none" w:sz="0" w:space="0" w:color="auto"/>
          <w:lang w:val="en-GB"/>
        </w:rPr>
        <w:t xml:space="preserve"> du consideration</w:t>
      </w:r>
      <w:r w:rsidR="00D84EFE" w:rsidRPr="00DF02C5">
        <w:rPr>
          <w:rFonts w:eastAsia="Calibri" w:hAnsi="Times New Roman"/>
          <w:noProof/>
          <w:snapToGrid w:val="0"/>
          <w:color w:val="auto"/>
          <w:kern w:val="22"/>
          <w:bdr w:val="none" w:sz="0" w:space="0" w:color="auto"/>
          <w:lang w:val="en-GB"/>
        </w:rPr>
        <w:t xml:space="preserve"> in the development/review of their ABS </w:t>
      </w:r>
      <w:r w:rsidR="00D84EFE" w:rsidRPr="00DF02C5">
        <w:rPr>
          <w:rFonts w:eastAsia="Calibri" w:hAnsi="Times New Roman"/>
          <w:noProof/>
          <w:snapToGrid w:val="0"/>
          <w:color w:val="auto"/>
          <w:kern w:val="22"/>
          <w:bdr w:val="none" w:sz="0" w:space="0" w:color="auto"/>
          <w:lang w:val="en-GB"/>
        </w:rPr>
        <w:lastRenderedPageBreak/>
        <w:t>measures</w:t>
      </w:r>
      <w:r w:rsidR="007060F6">
        <w:rPr>
          <w:rFonts w:eastAsia="Calibri" w:hAnsi="Times New Roman"/>
          <w:noProof/>
          <w:snapToGrid w:val="0"/>
          <w:color w:val="auto"/>
          <w:kern w:val="22"/>
          <w:bdr w:val="none" w:sz="0" w:space="0" w:color="auto"/>
          <w:lang w:val="en-GB"/>
        </w:rPr>
        <w:t>.</w:t>
      </w:r>
      <w:r w:rsidR="00D30CF5" w:rsidRPr="00DF02C5">
        <w:rPr>
          <w:rStyle w:val="FootnoteReference"/>
          <w:rFonts w:eastAsia="Calibri" w:hAnsi="Times New Roman"/>
          <w:noProof/>
          <w:snapToGrid w:val="0"/>
          <w:color w:val="auto"/>
          <w:kern w:val="22"/>
          <w:bdr w:val="none" w:sz="0" w:space="0" w:color="auto"/>
          <w:lang w:val="en-GB"/>
        </w:rPr>
        <w:footnoteReference w:id="277"/>
      </w:r>
      <w:r w:rsidR="00D84EFE" w:rsidRPr="00DF02C5">
        <w:rPr>
          <w:rStyle w:val="FootnoteReference"/>
          <w:rFonts w:eastAsia="Calibri" w:hAnsi="Times New Roman"/>
          <w:noProof/>
          <w:snapToGrid w:val="0"/>
          <w:color w:val="auto"/>
          <w:kern w:val="22"/>
          <w:bdr w:val="none" w:sz="0" w:space="0" w:color="auto"/>
          <w:lang w:val="en-GB"/>
        </w:rPr>
        <w:t xml:space="preserve"> </w:t>
      </w:r>
      <w:r w:rsidRPr="00DF02C5">
        <w:rPr>
          <w:rFonts w:eastAsia="Calibri" w:hAnsi="Times New Roman"/>
          <w:noProof/>
          <w:snapToGrid w:val="0"/>
          <w:color w:val="auto"/>
          <w:kern w:val="22"/>
          <w:bdr w:val="none" w:sz="0" w:space="0" w:color="auto"/>
          <w:lang w:val="en-GB"/>
        </w:rPr>
        <w:t xml:space="preserve"> </w:t>
      </w:r>
      <w:r w:rsidR="00D84EFE" w:rsidRPr="00DF02C5">
        <w:rPr>
          <w:rFonts w:eastAsia="Calibri" w:hAnsi="Times New Roman"/>
          <w:noProof/>
          <w:snapToGrid w:val="0"/>
          <w:color w:val="auto"/>
          <w:kern w:val="22"/>
          <w:bdr w:val="none" w:sz="0" w:space="0" w:color="auto"/>
          <w:lang w:val="en-GB"/>
        </w:rPr>
        <w:t>A country</w:t>
      </w:r>
      <w:r w:rsidR="00D84EFE" w:rsidRPr="00DF02C5">
        <w:rPr>
          <w:rStyle w:val="FootnoteReference"/>
          <w:rFonts w:eastAsia="Calibri" w:hAnsi="Times New Roman"/>
          <w:noProof/>
          <w:snapToGrid w:val="0"/>
          <w:color w:val="auto"/>
          <w:kern w:val="22"/>
          <w:bdr w:val="none" w:sz="0" w:space="0" w:color="auto"/>
          <w:lang w:val="en-GB"/>
        </w:rPr>
        <w:footnoteReference w:id="278"/>
      </w:r>
      <w:r w:rsidR="00D84EFE" w:rsidRPr="00DF02C5">
        <w:rPr>
          <w:rFonts w:eastAsia="Calibri" w:hAnsi="Times New Roman"/>
          <w:noProof/>
          <w:snapToGrid w:val="0"/>
          <w:color w:val="auto"/>
          <w:kern w:val="22"/>
          <w:bdr w:val="none" w:sz="0" w:space="0" w:color="auto"/>
          <w:lang w:val="en-GB"/>
        </w:rPr>
        <w:t xml:space="preserve"> answered “yes” to this question on the basis of not requiring access </w:t>
      </w:r>
      <w:r w:rsidR="00D30CF5" w:rsidRPr="00DF02C5">
        <w:rPr>
          <w:rFonts w:eastAsia="Calibri" w:hAnsi="Times New Roman"/>
          <w:noProof/>
          <w:snapToGrid w:val="0"/>
          <w:color w:val="auto"/>
          <w:kern w:val="22"/>
          <w:bdr w:val="none" w:sz="0" w:space="0" w:color="auto"/>
          <w:lang w:val="en-GB"/>
        </w:rPr>
        <w:t xml:space="preserve">authorization </w:t>
      </w:r>
      <w:r w:rsidRPr="00DF02C5">
        <w:rPr>
          <w:rFonts w:eastAsia="Calibri" w:hAnsi="Times New Roman"/>
          <w:noProof/>
          <w:snapToGrid w:val="0"/>
          <w:color w:val="auto"/>
          <w:kern w:val="22"/>
          <w:bdr w:val="none" w:sz="0" w:space="0" w:color="auto"/>
          <w:lang w:val="en-GB"/>
        </w:rPr>
        <w:t xml:space="preserve">in their country. </w:t>
      </w:r>
    </w:p>
    <w:p w14:paraId="39FFC337" w14:textId="3BA5E939" w:rsidR="00D84EFE" w:rsidRPr="00DF02C5" w:rsidRDefault="00A26D32" w:rsidP="00A2498F">
      <w:pPr>
        <w:pStyle w:val="Para1"/>
        <w:numPr>
          <w:ilvl w:val="0"/>
          <w:numId w:val="1"/>
        </w:numPr>
        <w:rPr>
          <w:rFonts w:eastAsia="Times New Roman" w:hAnsi="Times New Roman"/>
          <w:snapToGrid w:val="0"/>
          <w:color w:val="auto"/>
          <w:szCs w:val="18"/>
          <w:bdr w:val="none" w:sz="0" w:space="0" w:color="auto"/>
          <w:lang w:val="en-GB"/>
        </w:rPr>
      </w:pPr>
      <w:r w:rsidRPr="00DF02C5">
        <w:rPr>
          <w:rFonts w:eastAsia="Times New Roman" w:hAnsi="Times New Roman"/>
          <w:snapToGrid w:val="0"/>
          <w:color w:val="auto"/>
          <w:szCs w:val="18"/>
          <w:bdr w:val="none" w:sz="0" w:space="0" w:color="auto"/>
          <w:lang w:val="en-GB"/>
        </w:rPr>
        <w:t xml:space="preserve">Answers provided were similar to those of the question of above (due regard to cases of present or imminent emergencies). Additional information provided by </w:t>
      </w:r>
      <w:r w:rsidR="00D84EFE" w:rsidRPr="00DF02C5">
        <w:rPr>
          <w:rFonts w:eastAsia="Times New Roman" w:hAnsi="Times New Roman"/>
          <w:snapToGrid w:val="0"/>
          <w:color w:val="auto"/>
          <w:szCs w:val="18"/>
          <w:bdr w:val="none" w:sz="0" w:space="0" w:color="auto"/>
          <w:lang w:val="en-GB"/>
        </w:rPr>
        <w:t>countries include</w:t>
      </w:r>
      <w:r w:rsidRPr="00DF02C5">
        <w:rPr>
          <w:rFonts w:eastAsia="Times New Roman" w:hAnsi="Times New Roman"/>
          <w:snapToGrid w:val="0"/>
          <w:color w:val="auto"/>
          <w:szCs w:val="18"/>
          <w:bdr w:val="none" w:sz="0" w:space="0" w:color="auto"/>
          <w:lang w:val="en-GB"/>
        </w:rPr>
        <w:t xml:space="preserve"> the following</w:t>
      </w:r>
      <w:r w:rsidR="00D84EFE" w:rsidRPr="00DF02C5">
        <w:rPr>
          <w:rFonts w:eastAsia="Times New Roman" w:hAnsi="Times New Roman"/>
          <w:snapToGrid w:val="0"/>
          <w:color w:val="auto"/>
          <w:szCs w:val="18"/>
          <w:bdr w:val="none" w:sz="0" w:space="0" w:color="auto"/>
          <w:lang w:val="en-GB"/>
        </w:rPr>
        <w:t xml:space="preserve">: </w:t>
      </w:r>
    </w:p>
    <w:p w14:paraId="08687262" w14:textId="61DB6365" w:rsidR="00A26D32" w:rsidRPr="00DF02C5" w:rsidRDefault="00D84EFE" w:rsidP="005038A2">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snapToGrid w:val="0"/>
          <w:color w:val="auto"/>
          <w:szCs w:val="18"/>
          <w:bdr w:val="none" w:sz="0" w:space="0" w:color="auto"/>
          <w:lang w:val="en-GB"/>
        </w:rPr>
      </w:pPr>
      <w:r w:rsidRPr="00DF02C5">
        <w:rPr>
          <w:rFonts w:eastAsia="Times New Roman" w:hAnsi="Times New Roman" w:cs="Times New Roman"/>
          <w:snapToGrid w:val="0"/>
          <w:color w:val="auto"/>
          <w:szCs w:val="18"/>
          <w:bdr w:val="none" w:sz="0" w:space="0" w:color="auto"/>
          <w:lang w:val="en-GB"/>
        </w:rPr>
        <w:t xml:space="preserve"> </w:t>
      </w:r>
      <w:r w:rsidR="00A26D32" w:rsidRPr="00DF02C5">
        <w:rPr>
          <w:rFonts w:eastAsia="Calibri" w:hAnsi="Times New Roman"/>
          <w:snapToGrid w:val="0"/>
          <w:color w:val="auto"/>
          <w:kern w:val="22"/>
          <w:bdr w:val="none" w:sz="0" w:space="0" w:color="auto"/>
          <w:lang w:val="en-GB"/>
        </w:rPr>
        <w:t>China</w:t>
      </w:r>
      <w:r w:rsidR="00A26D32" w:rsidRPr="00DF02C5">
        <w:rPr>
          <w:rFonts w:eastAsia="Times New Roman" w:hAnsi="Times New Roman"/>
          <w:snapToGrid w:val="0"/>
          <w:color w:val="auto"/>
          <w:szCs w:val="18"/>
          <w:bdr w:val="none" w:sz="0" w:space="0" w:color="auto"/>
          <w:lang w:val="en-GB"/>
        </w:rPr>
        <w:t xml:space="preserve"> reported that in accordance with the International Health Regulations (2005) </w:t>
      </w:r>
      <w:r w:rsidR="00381DEC" w:rsidRPr="00DF02C5">
        <w:rPr>
          <w:rFonts w:eastAsia="Times New Roman" w:hAnsi="Times New Roman"/>
          <w:snapToGrid w:val="0"/>
          <w:color w:val="auto"/>
          <w:szCs w:val="18"/>
          <w:bdr w:val="none" w:sz="0" w:space="0" w:color="auto"/>
          <w:lang w:val="en-GB"/>
        </w:rPr>
        <w:t xml:space="preserve">the country </w:t>
      </w:r>
      <w:r w:rsidR="00A26D32" w:rsidRPr="00DF02C5">
        <w:rPr>
          <w:rFonts w:eastAsia="Times New Roman" w:hAnsi="Times New Roman"/>
          <w:snapToGrid w:val="0"/>
          <w:color w:val="auto"/>
          <w:szCs w:val="18"/>
          <w:bdr w:val="none" w:sz="0" w:space="0" w:color="auto"/>
          <w:lang w:val="en-GB"/>
        </w:rPr>
        <w:t xml:space="preserve">reports in a timely manner to the World Health Organization and the World Organisation for Animal Health about confirmed cases and publishes updated data on epidemics, shares relevant information with relevant organizations and their members, and reports on China’s progress in preventing and controlling epidemics. China explained that the draft </w:t>
      </w:r>
      <w:r w:rsidR="00A26D32" w:rsidRPr="00DF02C5">
        <w:rPr>
          <w:rFonts w:eastAsia="Times New Roman" w:hAnsi="Times New Roman" w:cs="Times New Roman"/>
          <w:snapToGrid w:val="0"/>
          <w:color w:val="auto"/>
          <w:szCs w:val="18"/>
          <w:bdr w:val="none" w:sz="0" w:space="0" w:color="auto"/>
          <w:lang w:val="en-GB"/>
        </w:rPr>
        <w:t>ABS</w:t>
      </w:r>
      <w:r w:rsidR="00A26D32" w:rsidRPr="00DF02C5">
        <w:rPr>
          <w:rFonts w:eastAsia="Times New Roman" w:hAnsi="Times New Roman"/>
          <w:snapToGrid w:val="0"/>
          <w:color w:val="auto"/>
          <w:szCs w:val="18"/>
          <w:bdr w:val="none" w:sz="0" w:space="0" w:color="auto"/>
          <w:lang w:val="en-GB"/>
        </w:rPr>
        <w:t xml:space="preserve"> regulation will be consistent with and mutually supportive to those international treaties and conventions China has ratified or acceded to, with adequate considerati</w:t>
      </w:r>
      <w:r w:rsidR="007060F6">
        <w:rPr>
          <w:rFonts w:eastAsia="Times New Roman" w:hAnsi="Times New Roman"/>
          <w:snapToGrid w:val="0"/>
          <w:color w:val="auto"/>
          <w:szCs w:val="18"/>
          <w:bdr w:val="none" w:sz="0" w:space="0" w:color="auto"/>
          <w:lang w:val="en-GB"/>
        </w:rPr>
        <w:t>on given to existing mechanisms;</w:t>
      </w:r>
    </w:p>
    <w:p w14:paraId="640D2904" w14:textId="40985DDD" w:rsidR="00D84EFE" w:rsidRPr="00DF02C5" w:rsidRDefault="00B54C38" w:rsidP="005038A2">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snapToGrid w:val="0"/>
          <w:color w:val="auto"/>
          <w:szCs w:val="18"/>
          <w:bdr w:val="none" w:sz="0" w:space="0" w:color="auto"/>
          <w:lang w:val="en-GB"/>
        </w:rPr>
      </w:pPr>
      <w:r>
        <w:rPr>
          <w:rFonts w:eastAsia="Times New Roman" w:hAnsi="Times New Roman"/>
          <w:snapToGrid w:val="0"/>
          <w:color w:val="auto"/>
          <w:szCs w:val="18"/>
          <w:bdr w:val="none" w:sz="0" w:space="0" w:color="auto"/>
          <w:lang w:val="en-GB"/>
        </w:rPr>
        <w:t>Peru emphasiz</w:t>
      </w:r>
      <w:r w:rsidR="00D84EFE" w:rsidRPr="00DF02C5">
        <w:rPr>
          <w:rFonts w:eastAsia="Times New Roman" w:hAnsi="Times New Roman"/>
          <w:snapToGrid w:val="0"/>
          <w:color w:val="auto"/>
          <w:szCs w:val="18"/>
          <w:bdr w:val="none" w:sz="0" w:space="0" w:color="auto"/>
          <w:lang w:val="en-GB"/>
        </w:rPr>
        <w:t>ed the importance of expeditious benefit-sharing in exchange for access to pathogens and in that regard they consider: (a) establishing expeditious procedures for access with</w:t>
      </w:r>
      <w:r w:rsidR="00381DEC" w:rsidRPr="00DF02C5">
        <w:rPr>
          <w:rFonts w:eastAsia="Times New Roman" w:hAnsi="Times New Roman"/>
          <w:snapToGrid w:val="0"/>
          <w:color w:val="auto"/>
          <w:szCs w:val="18"/>
          <w:bdr w:val="none" w:sz="0" w:space="0" w:color="auto"/>
          <w:lang w:val="en-GB"/>
        </w:rPr>
        <w:t>out undermining</w:t>
      </w:r>
      <w:r w:rsidR="00D84EFE" w:rsidRPr="00DF02C5">
        <w:rPr>
          <w:rFonts w:eastAsia="Times New Roman" w:hAnsi="Times New Roman"/>
          <w:snapToGrid w:val="0"/>
          <w:color w:val="auto"/>
          <w:szCs w:val="18"/>
          <w:bdr w:val="none" w:sz="0" w:space="0" w:color="auto"/>
          <w:lang w:val="en-GB"/>
        </w:rPr>
        <w:t xml:space="preserve"> the need for PIC and MAT; (b) the confidential </w:t>
      </w:r>
      <w:r w:rsidR="005253FF" w:rsidRPr="00DF02C5">
        <w:rPr>
          <w:rFonts w:eastAsia="Times New Roman" w:hAnsi="Times New Roman"/>
          <w:snapToGrid w:val="0"/>
          <w:color w:val="auto"/>
          <w:szCs w:val="18"/>
          <w:bdr w:val="none" w:sz="0" w:space="0" w:color="auto"/>
          <w:lang w:val="en-GB"/>
        </w:rPr>
        <w:t>nature</w:t>
      </w:r>
      <w:r w:rsidR="00D84EFE" w:rsidRPr="00DF02C5">
        <w:rPr>
          <w:rFonts w:eastAsia="Times New Roman" w:hAnsi="Times New Roman"/>
          <w:snapToGrid w:val="0"/>
          <w:color w:val="auto"/>
          <w:szCs w:val="18"/>
          <w:bdr w:val="none" w:sz="0" w:space="0" w:color="auto"/>
          <w:lang w:val="en-GB"/>
        </w:rPr>
        <w:t xml:space="preserve"> of information </w:t>
      </w:r>
      <w:r w:rsidR="005253FF" w:rsidRPr="00DF02C5">
        <w:rPr>
          <w:rFonts w:eastAsia="Times New Roman" w:hAnsi="Times New Roman"/>
          <w:snapToGrid w:val="0"/>
          <w:color w:val="auto"/>
          <w:szCs w:val="18"/>
          <w:bdr w:val="none" w:sz="0" w:space="0" w:color="auto"/>
          <w:lang w:val="en-GB"/>
        </w:rPr>
        <w:t>on</w:t>
      </w:r>
      <w:r w:rsidR="00D84EFE" w:rsidRPr="00DF02C5">
        <w:rPr>
          <w:rFonts w:eastAsia="Times New Roman" w:hAnsi="Times New Roman"/>
          <w:snapToGrid w:val="0"/>
          <w:color w:val="auto"/>
          <w:szCs w:val="18"/>
          <w:bdr w:val="none" w:sz="0" w:space="0" w:color="auto"/>
          <w:lang w:val="en-GB"/>
        </w:rPr>
        <w:t xml:space="preserve"> pathogen</w:t>
      </w:r>
      <w:r w:rsidR="005253FF" w:rsidRPr="00DF02C5">
        <w:rPr>
          <w:rFonts w:eastAsia="Times New Roman" w:hAnsi="Times New Roman"/>
          <w:snapToGrid w:val="0"/>
          <w:color w:val="auto"/>
          <w:szCs w:val="18"/>
          <w:bdr w:val="none" w:sz="0" w:space="0" w:color="auto"/>
          <w:lang w:val="en-GB"/>
        </w:rPr>
        <w:t>s</w:t>
      </w:r>
      <w:r w:rsidR="00D84EFE" w:rsidRPr="00DF02C5">
        <w:rPr>
          <w:rFonts w:eastAsia="Times New Roman" w:hAnsi="Times New Roman"/>
          <w:snapToGrid w:val="0"/>
          <w:color w:val="auto"/>
          <w:szCs w:val="18"/>
          <w:bdr w:val="none" w:sz="0" w:space="0" w:color="auto"/>
          <w:lang w:val="en-GB"/>
        </w:rPr>
        <w:t xml:space="preserve"> accessed; (c) the interest of the country to benefit from access to vaccines and to freely distribute them among public entities and affected communities; and (d) the interest of the country to benefit from cooperation mechanisms with</w:t>
      </w:r>
      <w:r w:rsidR="00381DEC" w:rsidRPr="00DF02C5">
        <w:rPr>
          <w:rFonts w:eastAsia="Times New Roman" w:hAnsi="Times New Roman"/>
          <w:snapToGrid w:val="0"/>
          <w:color w:val="auto"/>
          <w:szCs w:val="18"/>
          <w:bdr w:val="none" w:sz="0" w:space="0" w:color="auto"/>
          <w:lang w:val="en-GB"/>
        </w:rPr>
        <w:t xml:space="preserve"> other</w:t>
      </w:r>
      <w:r w:rsidR="00D84EFE" w:rsidRPr="00DF02C5">
        <w:rPr>
          <w:rFonts w:eastAsia="Times New Roman" w:hAnsi="Times New Roman"/>
          <w:snapToGrid w:val="0"/>
          <w:color w:val="auto"/>
          <w:szCs w:val="18"/>
          <w:bdr w:val="none" w:sz="0" w:space="0" w:color="auto"/>
          <w:lang w:val="en-GB"/>
        </w:rPr>
        <w:t xml:space="preserve"> countries to enhance the capacities and infrastructure of </w:t>
      </w:r>
      <w:r w:rsidR="005253FF" w:rsidRPr="00DF02C5">
        <w:rPr>
          <w:rFonts w:eastAsia="Times New Roman" w:hAnsi="Times New Roman"/>
          <w:snapToGrid w:val="0"/>
          <w:color w:val="auto"/>
          <w:szCs w:val="18"/>
          <w:bdr w:val="none" w:sz="0" w:space="0" w:color="auto"/>
          <w:lang w:val="en-GB"/>
        </w:rPr>
        <w:t>national</w:t>
      </w:r>
      <w:r w:rsidR="00D84EFE" w:rsidRPr="00DF02C5">
        <w:rPr>
          <w:rFonts w:eastAsia="Times New Roman" w:hAnsi="Times New Roman"/>
          <w:snapToGrid w:val="0"/>
          <w:color w:val="auto"/>
          <w:szCs w:val="18"/>
          <w:bdr w:val="none" w:sz="0" w:space="0" w:color="auto"/>
          <w:lang w:val="en-GB"/>
        </w:rPr>
        <w:t xml:space="preserve"> research institutions.</w:t>
      </w:r>
    </w:p>
    <w:p w14:paraId="24342D68" w14:textId="0F3FF125" w:rsidR="00381DEC" w:rsidRPr="00DF02C5" w:rsidRDefault="00381DEC" w:rsidP="00381DEC">
      <w:pPr>
        <w:pStyle w:val="Para1"/>
        <w:rPr>
          <w:rFonts w:eastAsia="Times New Roman" w:hAnsi="Times New Roman"/>
          <w:i/>
          <w:snapToGrid w:val="0"/>
          <w:color w:val="auto"/>
          <w:szCs w:val="18"/>
          <w:bdr w:val="none" w:sz="0" w:space="0" w:color="auto"/>
          <w:lang w:val="en-GB"/>
        </w:rPr>
      </w:pPr>
      <w:r w:rsidRPr="00DF02C5">
        <w:rPr>
          <w:rFonts w:eastAsia="Times New Roman" w:hAnsi="Times New Roman"/>
          <w:i/>
          <w:snapToGrid w:val="0"/>
          <w:color w:val="auto"/>
          <w:szCs w:val="18"/>
          <w:bdr w:val="none" w:sz="0" w:space="0" w:color="auto"/>
          <w:lang w:val="en-GB"/>
        </w:rPr>
        <w:t>(b)</w:t>
      </w:r>
      <w:r w:rsidRPr="00DF02C5">
        <w:rPr>
          <w:rFonts w:eastAsia="Times New Roman" w:hAnsi="Times New Roman"/>
          <w:i/>
          <w:snapToGrid w:val="0"/>
          <w:color w:val="auto"/>
          <w:szCs w:val="18"/>
          <w:bdr w:val="none" w:sz="0" w:space="0" w:color="auto"/>
          <w:lang w:val="en-GB"/>
        </w:rPr>
        <w:tab/>
        <w:t>Countries that answered “no”</w:t>
      </w:r>
    </w:p>
    <w:p w14:paraId="4F896EA9" w14:textId="6A2D9359" w:rsidR="00D84EFE" w:rsidRPr="00DF02C5" w:rsidRDefault="00D84EFE" w:rsidP="00A2498F">
      <w:pPr>
        <w:pStyle w:val="Para1"/>
        <w:numPr>
          <w:ilvl w:val="0"/>
          <w:numId w:val="1"/>
        </w:numPr>
        <w:rPr>
          <w:rFonts w:eastAsia="Times New Roman" w:hAnsi="Times New Roman"/>
          <w:snapToGrid w:val="0"/>
          <w:color w:val="auto"/>
          <w:szCs w:val="18"/>
          <w:bdr w:val="none" w:sz="0" w:space="0" w:color="auto"/>
          <w:lang w:val="en-GB"/>
        </w:rPr>
      </w:pPr>
      <w:r w:rsidRPr="00DF02C5">
        <w:rPr>
          <w:rFonts w:eastAsia="Times New Roman" w:hAnsi="Times New Roman"/>
          <w:snapToGrid w:val="0"/>
          <w:color w:val="auto"/>
          <w:szCs w:val="18"/>
          <w:bdr w:val="none" w:sz="0" w:space="0" w:color="auto"/>
          <w:lang w:val="en-GB"/>
        </w:rPr>
        <w:t>Many countries</w:t>
      </w:r>
      <w:r w:rsidRPr="00DF02C5">
        <w:rPr>
          <w:rStyle w:val="FootnoteReference"/>
          <w:rFonts w:eastAsia="Times New Roman" w:hAnsi="Times New Roman"/>
          <w:snapToGrid w:val="0"/>
          <w:color w:val="auto"/>
          <w:szCs w:val="18"/>
          <w:bdr w:val="none" w:sz="0" w:space="0" w:color="auto"/>
          <w:lang w:val="en-GB"/>
        </w:rPr>
        <w:footnoteReference w:id="279"/>
      </w:r>
      <w:r w:rsidRPr="00DF02C5">
        <w:rPr>
          <w:rFonts w:eastAsia="Times New Roman" w:hAnsi="Times New Roman"/>
          <w:snapToGrid w:val="0"/>
          <w:color w:val="auto"/>
          <w:szCs w:val="18"/>
          <w:bdr w:val="none" w:sz="0" w:space="0" w:color="auto"/>
          <w:lang w:val="en-GB"/>
        </w:rPr>
        <w:t xml:space="preserve"> that provided further information stated that they will consider this issue in the future development or revision of ABS legislation or regulatory requirements. </w:t>
      </w:r>
      <w:proofErr w:type="gramStart"/>
      <w:r w:rsidRPr="00DF02C5">
        <w:rPr>
          <w:rFonts w:eastAsia="Times New Roman" w:hAnsi="Times New Roman"/>
          <w:snapToGrid w:val="0"/>
          <w:color w:val="auto"/>
          <w:szCs w:val="18"/>
          <w:bdr w:val="none" w:sz="0" w:space="0" w:color="auto"/>
          <w:lang w:val="en-GB"/>
        </w:rPr>
        <w:t>A number of</w:t>
      </w:r>
      <w:proofErr w:type="gramEnd"/>
      <w:r w:rsidRPr="00DF02C5">
        <w:rPr>
          <w:rFonts w:eastAsia="Times New Roman" w:hAnsi="Times New Roman"/>
          <w:snapToGrid w:val="0"/>
          <w:color w:val="auto"/>
          <w:szCs w:val="18"/>
          <w:bdr w:val="none" w:sz="0" w:space="0" w:color="auto"/>
          <w:lang w:val="en-GB"/>
        </w:rPr>
        <w:t xml:space="preserve"> countries indicated that there were no access rules, and </w:t>
      </w:r>
      <w:r w:rsidR="005253FF" w:rsidRPr="00DF02C5">
        <w:rPr>
          <w:rFonts w:eastAsia="Times New Roman" w:hAnsi="Times New Roman"/>
          <w:snapToGrid w:val="0"/>
          <w:color w:val="auto"/>
          <w:szCs w:val="18"/>
          <w:bdr w:val="none" w:sz="0" w:space="0" w:color="auto"/>
          <w:lang w:val="en-GB"/>
        </w:rPr>
        <w:t>hence</w:t>
      </w:r>
      <w:r w:rsidRPr="00DF02C5">
        <w:rPr>
          <w:rFonts w:eastAsia="Times New Roman" w:hAnsi="Times New Roman"/>
          <w:snapToGrid w:val="0"/>
          <w:color w:val="auto"/>
          <w:szCs w:val="18"/>
          <w:bdr w:val="none" w:sz="0" w:space="0" w:color="auto"/>
          <w:lang w:val="en-GB"/>
        </w:rPr>
        <w:t xml:space="preserve"> no specific measures for expeditious access</w:t>
      </w:r>
      <w:r w:rsidRPr="00DF02C5">
        <w:rPr>
          <w:rStyle w:val="FootnoteReference"/>
          <w:rFonts w:eastAsia="Times New Roman" w:hAnsi="Times New Roman"/>
          <w:snapToGrid w:val="0"/>
          <w:color w:val="auto"/>
          <w:szCs w:val="18"/>
          <w:bdr w:val="none" w:sz="0" w:space="0" w:color="auto"/>
          <w:lang w:val="en-GB"/>
        </w:rPr>
        <w:footnoteReference w:id="280"/>
      </w:r>
      <w:r w:rsidRPr="00DF02C5">
        <w:rPr>
          <w:rFonts w:eastAsia="Times New Roman" w:hAnsi="Times New Roman"/>
          <w:snapToGrid w:val="0"/>
          <w:color w:val="auto"/>
          <w:szCs w:val="18"/>
          <w:bdr w:val="none" w:sz="0" w:space="0" w:color="auto"/>
          <w:lang w:val="en-GB"/>
        </w:rPr>
        <w:t xml:space="preserve"> and expeditious benefit-sharing</w:t>
      </w:r>
      <w:r w:rsidR="007060F6">
        <w:rPr>
          <w:rFonts w:eastAsia="Times New Roman" w:hAnsi="Times New Roman"/>
          <w:snapToGrid w:val="0"/>
          <w:color w:val="auto"/>
          <w:szCs w:val="18"/>
          <w:bdr w:val="none" w:sz="0" w:space="0" w:color="auto"/>
          <w:lang w:val="en-GB"/>
        </w:rPr>
        <w:t>.</w:t>
      </w:r>
      <w:r w:rsidRPr="00DF02C5">
        <w:rPr>
          <w:rStyle w:val="FootnoteReference"/>
          <w:rFonts w:eastAsia="Times New Roman" w:hAnsi="Times New Roman"/>
          <w:snapToGrid w:val="0"/>
          <w:color w:val="auto"/>
          <w:szCs w:val="18"/>
          <w:bdr w:val="none" w:sz="0" w:space="0" w:color="auto"/>
          <w:lang w:val="en-GB"/>
        </w:rPr>
        <w:footnoteReference w:id="281"/>
      </w:r>
      <w:r w:rsidRPr="00DF02C5">
        <w:rPr>
          <w:rFonts w:eastAsia="Times New Roman" w:hAnsi="Times New Roman"/>
          <w:snapToGrid w:val="0"/>
          <w:color w:val="auto"/>
          <w:szCs w:val="18"/>
          <w:bdr w:val="none" w:sz="0" w:space="0" w:color="auto"/>
          <w:lang w:val="en-GB"/>
        </w:rPr>
        <w:t xml:space="preserve"> Two countries explained that they have not yet done so due to the lack of ABS measures</w:t>
      </w:r>
      <w:r w:rsidRPr="00DF02C5">
        <w:rPr>
          <w:rStyle w:val="FootnoteReference"/>
          <w:rFonts w:eastAsia="Times New Roman" w:hAnsi="Times New Roman"/>
          <w:snapToGrid w:val="0"/>
          <w:color w:val="auto"/>
          <w:szCs w:val="18"/>
          <w:bdr w:val="none" w:sz="0" w:space="0" w:color="auto"/>
          <w:lang w:val="en-GB"/>
        </w:rPr>
        <w:footnoteReference w:id="282"/>
      </w:r>
      <w:r w:rsidRPr="00DF02C5">
        <w:rPr>
          <w:rFonts w:eastAsia="Times New Roman" w:hAnsi="Times New Roman"/>
          <w:snapToGrid w:val="0"/>
          <w:color w:val="auto"/>
          <w:szCs w:val="18"/>
          <w:bdr w:val="none" w:sz="0" w:space="0" w:color="auto"/>
          <w:lang w:val="en-GB"/>
        </w:rPr>
        <w:t xml:space="preserve"> and </w:t>
      </w:r>
      <w:r w:rsidR="005253FF" w:rsidRPr="00DF02C5">
        <w:rPr>
          <w:rFonts w:eastAsia="Times New Roman" w:hAnsi="Times New Roman"/>
          <w:snapToGrid w:val="0"/>
          <w:color w:val="auto"/>
          <w:szCs w:val="18"/>
          <w:bdr w:val="none" w:sz="0" w:space="0" w:color="auto"/>
          <w:lang w:val="en-GB"/>
        </w:rPr>
        <w:t>one country</w:t>
      </w:r>
      <w:r w:rsidRPr="00DF02C5">
        <w:rPr>
          <w:rStyle w:val="FootnoteReference"/>
          <w:rFonts w:eastAsia="Times New Roman" w:hAnsi="Times New Roman"/>
          <w:snapToGrid w:val="0"/>
          <w:color w:val="auto"/>
          <w:szCs w:val="18"/>
          <w:bdr w:val="none" w:sz="0" w:space="0" w:color="auto"/>
          <w:lang w:val="en-GB"/>
        </w:rPr>
        <w:footnoteReference w:id="283"/>
      </w:r>
      <w:r w:rsidRPr="00DF02C5">
        <w:rPr>
          <w:rFonts w:eastAsia="Times New Roman" w:hAnsi="Times New Roman"/>
          <w:snapToGrid w:val="0"/>
          <w:color w:val="auto"/>
          <w:szCs w:val="18"/>
          <w:bdr w:val="none" w:sz="0" w:space="0" w:color="auto"/>
          <w:lang w:val="en-GB"/>
        </w:rPr>
        <w:t xml:space="preserve"> noted that there have not been any relevant cases so far.  </w:t>
      </w:r>
    </w:p>
    <w:p w14:paraId="66672D32" w14:textId="2312D390" w:rsidR="00D84EFE" w:rsidRPr="00DF02C5" w:rsidRDefault="00D84EFE" w:rsidP="00A2498F">
      <w:pPr>
        <w:pStyle w:val="Para1"/>
        <w:numPr>
          <w:ilvl w:val="0"/>
          <w:numId w:val="1"/>
        </w:numPr>
        <w:rPr>
          <w:rFonts w:eastAsia="Times New Roman" w:hAnsi="Times New Roman"/>
          <w:snapToGrid w:val="0"/>
          <w:color w:val="auto"/>
          <w:szCs w:val="18"/>
          <w:bdr w:val="none" w:sz="0" w:space="0" w:color="auto"/>
          <w:lang w:val="en-GB"/>
        </w:rPr>
      </w:pPr>
      <w:r w:rsidRPr="00DF02C5">
        <w:rPr>
          <w:rFonts w:eastAsia="Times New Roman" w:hAnsi="Times New Roman"/>
          <w:snapToGrid w:val="0"/>
          <w:color w:val="auto"/>
          <w:szCs w:val="18"/>
          <w:bdr w:val="none" w:sz="0" w:space="0" w:color="auto"/>
          <w:lang w:val="en-GB"/>
        </w:rPr>
        <w:t xml:space="preserve">Japan indicated that ABS Guidelines specify that the procedural requirements </w:t>
      </w:r>
      <w:r w:rsidR="005253FF" w:rsidRPr="00DF02C5">
        <w:rPr>
          <w:rFonts w:eastAsia="Times New Roman" w:hAnsi="Times New Roman"/>
          <w:snapToGrid w:val="0"/>
          <w:color w:val="auto"/>
          <w:szCs w:val="18"/>
          <w:bdr w:val="none" w:sz="0" w:space="0" w:color="auto"/>
          <w:lang w:val="en-GB"/>
        </w:rPr>
        <w:t>in</w:t>
      </w:r>
      <w:r w:rsidRPr="00DF02C5">
        <w:rPr>
          <w:rFonts w:eastAsia="Times New Roman" w:hAnsi="Times New Roman"/>
          <w:snapToGrid w:val="0"/>
          <w:color w:val="auto"/>
          <w:szCs w:val="18"/>
          <w:bdr w:val="none" w:sz="0" w:space="0" w:color="auto"/>
          <w:lang w:val="en-GB"/>
        </w:rPr>
        <w:t xml:space="preserve"> domestic measures based on Articles 15 and 16 are relaxed in situations</w:t>
      </w:r>
      <w:r w:rsidR="00381DEC" w:rsidRPr="00DF02C5">
        <w:rPr>
          <w:rFonts w:eastAsia="Times New Roman" w:hAnsi="Times New Roman"/>
          <w:snapToGrid w:val="0"/>
          <w:color w:val="auto"/>
          <w:szCs w:val="18"/>
          <w:bdr w:val="none" w:sz="0" w:space="0" w:color="auto"/>
          <w:lang w:val="en-GB"/>
        </w:rPr>
        <w:t xml:space="preserve"> that are</w:t>
      </w:r>
      <w:r w:rsidRPr="00DF02C5">
        <w:rPr>
          <w:rFonts w:eastAsia="Times New Roman" w:hAnsi="Times New Roman"/>
          <w:snapToGrid w:val="0"/>
          <w:color w:val="auto"/>
          <w:szCs w:val="18"/>
          <w:bdr w:val="none" w:sz="0" w:space="0" w:color="auto"/>
          <w:lang w:val="en-GB"/>
        </w:rPr>
        <w:t xml:space="preserve"> deemed emergencies, in accordance with the International Health Regulations of the World Health Organization, or domestic legislation (e.g. Infectious Disease Act) or regulatory requirements. In those cases, the acquirer is to submit a report to prove lawful access within six months </w:t>
      </w:r>
      <w:r w:rsidR="005253FF" w:rsidRPr="00DF02C5">
        <w:rPr>
          <w:rFonts w:eastAsia="Times New Roman" w:hAnsi="Times New Roman"/>
          <w:snapToGrid w:val="0"/>
          <w:color w:val="auto"/>
          <w:szCs w:val="18"/>
          <w:bdr w:val="none" w:sz="0" w:space="0" w:color="auto"/>
          <w:lang w:val="en-GB"/>
        </w:rPr>
        <w:t>of</w:t>
      </w:r>
      <w:r w:rsidRPr="00DF02C5">
        <w:rPr>
          <w:rFonts w:eastAsia="Times New Roman" w:hAnsi="Times New Roman"/>
          <w:snapToGrid w:val="0"/>
          <w:color w:val="auto"/>
          <w:szCs w:val="18"/>
          <w:bdr w:val="none" w:sz="0" w:space="0" w:color="auto"/>
          <w:lang w:val="en-GB"/>
        </w:rPr>
        <w:t xml:space="preserve"> the date on which the terms for deeming that the emergency has been settled are fulfilled.</w:t>
      </w:r>
    </w:p>
    <w:p w14:paraId="7AD176BD" w14:textId="49AA97EA" w:rsidR="00D84EFE" w:rsidRPr="007060F6" w:rsidRDefault="00381DEC" w:rsidP="007060F6">
      <w:pPr>
        <w:pStyle w:val="ListParagraph"/>
        <w:spacing w:before="240" w:after="120"/>
        <w:ind w:left="1710" w:right="540" w:hanging="720"/>
        <w:jc w:val="left"/>
        <w:rPr>
          <w:rFonts w:eastAsia="Calibri" w:hAnsi="Times New Roman" w:cs="Times New Roman"/>
          <w:i/>
          <w:snapToGrid w:val="0"/>
          <w:color w:val="auto"/>
          <w:kern w:val="22"/>
          <w:bdr w:val="none" w:sz="0" w:space="0" w:color="auto"/>
          <w:lang w:val="en-GB"/>
        </w:rPr>
      </w:pPr>
      <w:r w:rsidRPr="007060F6">
        <w:rPr>
          <w:rFonts w:eastAsia="Calibri" w:hAnsi="Times New Roman" w:cs="Times New Roman"/>
          <w:i/>
          <w:snapToGrid w:val="0"/>
          <w:color w:val="auto"/>
          <w:kern w:val="22"/>
          <w:bdr w:val="none" w:sz="0" w:space="0" w:color="auto"/>
          <w:lang w:val="en-GB"/>
        </w:rPr>
        <w:t xml:space="preserve">1.4 </w:t>
      </w:r>
      <w:r w:rsidR="007060F6">
        <w:rPr>
          <w:rFonts w:eastAsia="Calibri" w:hAnsi="Times New Roman" w:cs="Times New Roman"/>
          <w:i/>
          <w:snapToGrid w:val="0"/>
          <w:color w:val="auto"/>
          <w:kern w:val="22"/>
          <w:bdr w:val="none" w:sz="0" w:space="0" w:color="auto"/>
          <w:lang w:val="en-GB"/>
        </w:rPr>
        <w:tab/>
      </w:r>
      <w:r w:rsidRPr="007060F6">
        <w:rPr>
          <w:rFonts w:eastAsia="Calibri" w:hAnsi="Times New Roman" w:cs="Times New Roman"/>
          <w:i/>
          <w:snapToGrid w:val="0"/>
          <w:color w:val="auto"/>
          <w:kern w:val="22"/>
          <w:bdr w:val="none" w:sz="0" w:space="0" w:color="auto"/>
          <w:lang w:val="en-GB"/>
        </w:rPr>
        <w:t>In the development and implementation of ABS legislation or regulatory requirements has your country taken into consideration the importance of genetic resources for food and agriculture and their special role for food security as provided in Article 8 (c)?</w:t>
      </w:r>
      <w:r w:rsidR="00D84EFE" w:rsidRPr="007060F6">
        <w:rPr>
          <w:rFonts w:eastAsia="Calibri" w:hAnsi="Times New Roman" w:cs="Times New Roman"/>
          <w:i/>
          <w:snapToGrid w:val="0"/>
          <w:color w:val="auto"/>
          <w:kern w:val="22"/>
          <w:bdr w:val="none" w:sz="0" w:space="0" w:color="auto"/>
          <w:lang w:val="en-GB"/>
        </w:rPr>
        <w:t xml:space="preserve"> (question 35)</w:t>
      </w:r>
    </w:p>
    <w:p w14:paraId="474DBAFD" w14:textId="5CCAD553" w:rsidR="003B65C5" w:rsidRPr="00DF02C5" w:rsidRDefault="003B65C5" w:rsidP="00A2498F">
      <w:pPr>
        <w:pStyle w:val="Para1"/>
        <w:numPr>
          <w:ilvl w:val="0"/>
          <w:numId w:val="1"/>
        </w:numPr>
        <w:rPr>
          <w:rFonts w:eastAsia="Times New Roman" w:hAnsi="Times New Roman"/>
          <w:snapToGrid w:val="0"/>
          <w:color w:val="auto"/>
          <w:szCs w:val="18"/>
          <w:bdr w:val="none" w:sz="0" w:space="0" w:color="auto"/>
          <w:lang w:val="en-GB"/>
        </w:rPr>
      </w:pPr>
      <w:proofErr w:type="gramStart"/>
      <w:r w:rsidRPr="00DF02C5">
        <w:rPr>
          <w:rFonts w:eastAsia="Times New Roman" w:hAnsi="Times New Roman"/>
          <w:snapToGrid w:val="0"/>
          <w:color w:val="auto"/>
          <w:szCs w:val="18"/>
          <w:bdr w:val="none" w:sz="0" w:space="0" w:color="auto"/>
          <w:lang w:val="en-GB"/>
        </w:rPr>
        <w:t>Forty-eight</w:t>
      </w:r>
      <w:proofErr w:type="gramEnd"/>
      <w:r w:rsidRPr="00DF02C5">
        <w:rPr>
          <w:rFonts w:eastAsia="Times New Roman" w:hAnsi="Times New Roman"/>
          <w:snapToGrid w:val="0"/>
          <w:color w:val="auto"/>
          <w:szCs w:val="18"/>
          <w:bdr w:val="none" w:sz="0" w:space="0" w:color="auto"/>
          <w:lang w:val="en-GB"/>
        </w:rPr>
        <w:t xml:space="preserve"> Parties and three non-Parties stated that they had taken into consideration </w:t>
      </w:r>
      <w:r w:rsidRPr="00DF02C5">
        <w:rPr>
          <w:rFonts w:eastAsia="Calibri" w:hAnsi="Times New Roman"/>
          <w:snapToGrid w:val="0"/>
          <w:color w:val="auto"/>
          <w:kern w:val="22"/>
          <w:bdr w:val="none" w:sz="0" w:space="0" w:color="auto"/>
          <w:lang w:val="en-GB"/>
        </w:rPr>
        <w:t>the</w:t>
      </w:r>
      <w:r w:rsidRPr="00DF02C5">
        <w:rPr>
          <w:lang w:val="en-GB"/>
        </w:rPr>
        <w:t xml:space="preserve"> </w:t>
      </w:r>
      <w:r w:rsidRPr="00DF02C5">
        <w:rPr>
          <w:rFonts w:eastAsia="Calibri" w:hAnsi="Times New Roman"/>
          <w:snapToGrid w:val="0"/>
          <w:color w:val="auto"/>
          <w:kern w:val="22"/>
          <w:bdr w:val="none" w:sz="0" w:space="0" w:color="auto"/>
          <w:lang w:val="en-GB"/>
        </w:rPr>
        <w:t>importance of genetic resources for food and agriculture and their</w:t>
      </w:r>
      <w:r w:rsidR="00381DEC" w:rsidRPr="00DF02C5">
        <w:rPr>
          <w:rFonts w:eastAsia="Calibri" w:hAnsi="Times New Roman"/>
          <w:snapToGrid w:val="0"/>
          <w:color w:val="auto"/>
          <w:kern w:val="22"/>
          <w:bdr w:val="none" w:sz="0" w:space="0" w:color="auto"/>
          <w:lang w:val="en-GB"/>
        </w:rPr>
        <w:t xml:space="preserve"> special role</w:t>
      </w:r>
      <w:r w:rsidR="007060F6">
        <w:rPr>
          <w:rFonts w:eastAsia="Calibri" w:hAnsi="Times New Roman"/>
          <w:snapToGrid w:val="0"/>
          <w:color w:val="auto"/>
          <w:kern w:val="22"/>
          <w:bdr w:val="none" w:sz="0" w:space="0" w:color="auto"/>
          <w:lang w:val="en-GB"/>
        </w:rPr>
        <w:t xml:space="preserve"> for food security, while forty</w:t>
      </w:r>
      <w:r w:rsidR="007060F6">
        <w:rPr>
          <w:rFonts w:eastAsia="Calibri" w:hAnsi="Times New Roman"/>
          <w:snapToGrid w:val="0"/>
          <w:color w:val="auto"/>
          <w:kern w:val="22"/>
          <w:bdr w:val="none" w:sz="0" w:space="0" w:color="auto"/>
          <w:lang w:val="en-GB"/>
        </w:rPr>
        <w:noBreakHyphen/>
      </w:r>
      <w:r w:rsidR="00381DEC" w:rsidRPr="00DF02C5">
        <w:rPr>
          <w:rFonts w:eastAsia="Calibri" w:hAnsi="Times New Roman"/>
          <w:snapToGrid w:val="0"/>
          <w:color w:val="auto"/>
          <w:kern w:val="22"/>
          <w:bdr w:val="none" w:sz="0" w:space="0" w:color="auto"/>
          <w:lang w:val="en-GB"/>
        </w:rPr>
        <w:t>three Parties and five non-Parties reported not having taken such considerations.</w:t>
      </w:r>
    </w:p>
    <w:p w14:paraId="2835A589" w14:textId="658FFA8E" w:rsidR="00381DEC" w:rsidRPr="00DF02C5" w:rsidRDefault="00E5256F" w:rsidP="00E5256F">
      <w:pPr>
        <w:pStyle w:val="Caption"/>
        <w:keepNext/>
        <w:keepLines/>
        <w:rPr>
          <w:snapToGrid w:val="0"/>
          <w:bdr w:val="none" w:sz="0" w:space="0" w:color="auto"/>
          <w:lang w:val="en-GB"/>
        </w:rPr>
      </w:pPr>
      <w:r w:rsidRPr="00DF02C5">
        <w:rPr>
          <w:lang w:val="en-GB"/>
        </w:rPr>
        <w:lastRenderedPageBreak/>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Pr="00DF02C5">
        <w:rPr>
          <w:noProof/>
          <w:lang w:val="en-GB"/>
        </w:rPr>
        <w:t>34</w:t>
      </w:r>
      <w:r w:rsidRPr="00DF02C5">
        <w:rPr>
          <w:lang w:val="en-GB"/>
        </w:rPr>
        <w:fldChar w:fldCharType="end"/>
      </w:r>
      <w:r w:rsidR="00381DEC" w:rsidRPr="00DF02C5">
        <w:rPr>
          <w:snapToGrid w:val="0"/>
          <w:bdr w:val="none" w:sz="0" w:space="0" w:color="auto"/>
          <w:lang w:val="en-GB"/>
        </w:rPr>
        <w:t xml:space="preserve">: </w:t>
      </w:r>
      <w:r w:rsidR="0079639A" w:rsidRPr="00DF02C5">
        <w:rPr>
          <w:snapToGrid w:val="0"/>
          <w:bdr w:val="none" w:sz="0" w:space="0" w:color="auto"/>
          <w:lang w:val="en-GB"/>
        </w:rPr>
        <w:t xml:space="preserve">Consideration of the importance of genetic resources for food and agriculture and their special role for food security </w:t>
      </w:r>
      <w:r w:rsidR="00381DEC" w:rsidRPr="00DF02C5">
        <w:rPr>
          <w:snapToGrid w:val="0"/>
          <w:bdr w:val="none" w:sz="0" w:space="0" w:color="auto"/>
          <w:lang w:val="en-GB"/>
        </w:rPr>
        <w:t>(percentage of countries)</w:t>
      </w:r>
    </w:p>
    <w:p w14:paraId="25CF9DF9" w14:textId="28EC2BF4" w:rsidR="00381DEC" w:rsidRPr="00DF02C5" w:rsidRDefault="00381DEC" w:rsidP="0079639A">
      <w:pPr>
        <w:pStyle w:val="Para1"/>
        <w:jc w:val="center"/>
        <w:rPr>
          <w:rFonts w:eastAsia="Times New Roman" w:hAnsi="Times New Roman"/>
          <w:snapToGrid w:val="0"/>
          <w:color w:val="auto"/>
          <w:szCs w:val="18"/>
          <w:bdr w:val="none" w:sz="0" w:space="0" w:color="auto"/>
          <w:lang w:val="en-GB"/>
        </w:rPr>
      </w:pPr>
      <w:r w:rsidRPr="00DF02C5">
        <w:rPr>
          <w:noProof/>
          <w:color w:val="auto"/>
        </w:rPr>
        <w:drawing>
          <wp:inline distT="0" distB="0" distL="0" distR="0" wp14:anchorId="075F08F5" wp14:editId="40B7E557">
            <wp:extent cx="3571875" cy="2105025"/>
            <wp:effectExtent l="0" t="0" r="9525"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B30DF34" w14:textId="3E05E502" w:rsidR="0079639A" w:rsidRPr="00DF02C5" w:rsidRDefault="0079639A" w:rsidP="0079639A">
      <w:pPr>
        <w:pStyle w:val="ListParagraph"/>
        <w:ind w:left="0"/>
        <w:rPr>
          <w:rFonts w:eastAsia="Calibri" w:hAnsi="Times New Roman" w:cs="Times New Roman"/>
          <w:i/>
          <w:snapToGrid w:val="0"/>
          <w:color w:val="auto"/>
          <w:kern w:val="22"/>
          <w:bdr w:val="none" w:sz="0" w:space="0" w:color="auto"/>
          <w:lang w:val="en-GB"/>
        </w:rPr>
      </w:pPr>
      <w:r w:rsidRPr="00DF02C5">
        <w:rPr>
          <w:rFonts w:eastAsia="Calibri" w:hAnsi="Times New Roman" w:cs="Times New Roman"/>
          <w:i/>
          <w:snapToGrid w:val="0"/>
          <w:color w:val="auto"/>
          <w:kern w:val="22"/>
          <w:bdr w:val="none" w:sz="0" w:space="0" w:color="auto"/>
          <w:lang w:val="en-GB"/>
        </w:rPr>
        <w:t>(a)</w:t>
      </w:r>
      <w:r w:rsidRPr="00DF02C5">
        <w:rPr>
          <w:rFonts w:eastAsia="Calibri" w:hAnsi="Times New Roman" w:cs="Times New Roman"/>
          <w:i/>
          <w:snapToGrid w:val="0"/>
          <w:color w:val="auto"/>
          <w:kern w:val="22"/>
          <w:bdr w:val="none" w:sz="0" w:space="0" w:color="auto"/>
          <w:lang w:val="en-GB"/>
        </w:rPr>
        <w:tab/>
        <w:t>Countries that answered “yes”</w:t>
      </w:r>
    </w:p>
    <w:p w14:paraId="34A0661C" w14:textId="4395B516" w:rsidR="00D84EFE" w:rsidRPr="00DF02C5" w:rsidRDefault="00D84EFE" w:rsidP="00A2498F">
      <w:pPr>
        <w:pStyle w:val="Para1"/>
        <w:numPr>
          <w:ilvl w:val="0"/>
          <w:numId w:val="1"/>
        </w:numPr>
        <w:rPr>
          <w:rFonts w:eastAsia="Calibri" w:hAnsi="Times New Roman"/>
          <w:noProof/>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Some</w:t>
      </w:r>
      <w:r w:rsidRPr="00DF02C5">
        <w:rPr>
          <w:rFonts w:eastAsia="Calibri" w:hAnsi="Times New Roman"/>
          <w:noProof/>
          <w:snapToGrid w:val="0"/>
          <w:color w:val="auto"/>
          <w:kern w:val="22"/>
          <w:bdr w:val="none" w:sz="0" w:space="0" w:color="auto"/>
          <w:lang w:val="en-GB"/>
        </w:rPr>
        <w:t xml:space="preserve"> countries reported having relevant measures in place recognising the importance of plant genetic resources for food and agriculture (PGRFA)</w:t>
      </w:r>
      <w:r w:rsidRPr="00DF02C5">
        <w:rPr>
          <w:rFonts w:eastAsia="Calibri" w:hAnsi="Times New Roman"/>
          <w:noProof/>
          <w:snapToGrid w:val="0"/>
          <w:color w:val="auto"/>
          <w:kern w:val="22"/>
          <w:bdr w:val="none" w:sz="0" w:space="0" w:color="auto"/>
          <w:vertAlign w:val="superscript"/>
          <w:lang w:val="en-GB"/>
        </w:rPr>
        <w:footnoteReference w:id="284"/>
      </w:r>
      <w:r w:rsidRPr="00DF02C5">
        <w:rPr>
          <w:rFonts w:eastAsia="Calibri" w:hAnsi="Times New Roman"/>
          <w:noProof/>
          <w:snapToGrid w:val="0"/>
          <w:color w:val="auto"/>
          <w:kern w:val="22"/>
          <w:bdr w:val="none" w:sz="0" w:space="0" w:color="auto"/>
          <w:lang w:val="en-GB"/>
        </w:rPr>
        <w:t xml:space="preserve"> or are planning to do so</w:t>
      </w:r>
      <w:r w:rsidR="007060F6">
        <w:rPr>
          <w:rFonts w:eastAsia="Calibri" w:hAnsi="Times New Roman"/>
          <w:noProof/>
          <w:snapToGrid w:val="0"/>
          <w:color w:val="auto"/>
          <w:kern w:val="22"/>
          <w:bdr w:val="none" w:sz="0" w:space="0" w:color="auto"/>
          <w:lang w:val="en-GB"/>
        </w:rPr>
        <w:t>.</w:t>
      </w:r>
      <w:r w:rsidR="00D00A6D" w:rsidRPr="00DF02C5">
        <w:rPr>
          <w:rStyle w:val="FootnoteReference"/>
          <w:rFonts w:eastAsia="Calibri" w:hAnsi="Times New Roman"/>
          <w:noProof/>
          <w:snapToGrid w:val="0"/>
          <w:color w:val="auto"/>
          <w:kern w:val="22"/>
          <w:bdr w:val="none" w:sz="0" w:space="0" w:color="auto"/>
          <w:lang w:val="en-GB"/>
        </w:rPr>
        <w:footnoteReference w:id="285"/>
      </w:r>
      <w:r w:rsidRPr="00DF02C5">
        <w:rPr>
          <w:rFonts w:eastAsia="Calibri" w:hAnsi="Times New Roman"/>
          <w:noProof/>
          <w:snapToGrid w:val="0"/>
          <w:color w:val="auto"/>
          <w:kern w:val="22"/>
          <w:bdr w:val="none" w:sz="0" w:space="0" w:color="auto"/>
          <w:lang w:val="en-GB"/>
        </w:rPr>
        <w:t xml:space="preserve"> </w:t>
      </w:r>
    </w:p>
    <w:p w14:paraId="087A0DA7" w14:textId="1706CF71" w:rsidR="00D84EFE" w:rsidRPr="00DF02C5" w:rsidRDefault="0079639A" w:rsidP="00A2498F">
      <w:pPr>
        <w:pStyle w:val="Para1"/>
        <w:numPr>
          <w:ilvl w:val="0"/>
          <w:numId w:val="1"/>
        </w:numPr>
        <w:rPr>
          <w:rFonts w:eastAsia="Calibri" w:hAnsi="Times New Roman"/>
          <w:noProof/>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Examples of </w:t>
      </w:r>
      <w:r w:rsidR="00D84EFE" w:rsidRPr="00DF02C5">
        <w:rPr>
          <w:rFonts w:eastAsia="Calibri" w:hAnsi="Times New Roman"/>
          <w:noProof/>
          <w:snapToGrid w:val="0"/>
          <w:color w:val="auto"/>
          <w:kern w:val="22"/>
          <w:bdr w:val="none" w:sz="0" w:space="0" w:color="auto"/>
          <w:lang w:val="en-GB"/>
        </w:rPr>
        <w:t>some of the information provided by countries</w:t>
      </w:r>
      <w:r w:rsidRPr="00DF02C5">
        <w:rPr>
          <w:rFonts w:eastAsia="Calibri" w:hAnsi="Times New Roman"/>
          <w:noProof/>
          <w:snapToGrid w:val="0"/>
          <w:color w:val="auto"/>
          <w:kern w:val="22"/>
          <w:bdr w:val="none" w:sz="0" w:space="0" w:color="auto"/>
          <w:lang w:val="en-GB"/>
        </w:rPr>
        <w:t xml:space="preserve"> includes the following </w:t>
      </w:r>
      <w:r w:rsidR="00D84EFE" w:rsidRPr="00DF02C5">
        <w:rPr>
          <w:rFonts w:eastAsia="Calibri" w:hAnsi="Times New Roman"/>
          <w:noProof/>
          <w:snapToGrid w:val="0"/>
          <w:color w:val="auto"/>
          <w:kern w:val="22"/>
          <w:bdr w:val="none" w:sz="0" w:space="0" w:color="auto"/>
          <w:lang w:val="en-GB"/>
        </w:rPr>
        <w:t>:</w:t>
      </w:r>
    </w:p>
    <w:p w14:paraId="4D6A6C1A" w14:textId="2C7F91B7" w:rsidR="00D84EFE" w:rsidRPr="00DF02C5" w:rsidRDefault="00D84EFE" w:rsidP="005038A2">
      <w:pPr>
        <w:pStyle w:val="ListParagraph"/>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snapToGrid w:val="0"/>
          <w:color w:val="auto"/>
          <w:szCs w:val="18"/>
          <w:bdr w:val="none" w:sz="0" w:space="0" w:color="auto"/>
          <w:lang w:val="en-GB"/>
        </w:rPr>
      </w:pPr>
      <w:r w:rsidRPr="00DF02C5">
        <w:rPr>
          <w:rFonts w:eastAsia="Times New Roman" w:hAnsi="Times New Roman" w:cs="Times New Roman"/>
          <w:snapToGrid w:val="0"/>
          <w:color w:val="auto"/>
          <w:szCs w:val="18"/>
          <w:bdr w:val="none" w:sz="0" w:space="0" w:color="auto"/>
          <w:lang w:val="en-GB"/>
        </w:rPr>
        <w:t xml:space="preserve">Malta’s </w:t>
      </w:r>
      <w:r w:rsidR="00D00A6D" w:rsidRPr="00DF02C5">
        <w:rPr>
          <w:rFonts w:eastAsia="Times New Roman" w:hAnsi="Times New Roman" w:cs="Times New Roman"/>
          <w:snapToGrid w:val="0"/>
          <w:color w:val="auto"/>
          <w:szCs w:val="18"/>
          <w:bdr w:val="none" w:sz="0" w:space="0" w:color="auto"/>
          <w:lang w:val="en-GB"/>
        </w:rPr>
        <w:t>r</w:t>
      </w:r>
      <w:r w:rsidRPr="00DF02C5">
        <w:rPr>
          <w:rFonts w:eastAsia="Times New Roman" w:hAnsi="Times New Roman" w:cs="Times New Roman"/>
          <w:snapToGrid w:val="0"/>
          <w:color w:val="auto"/>
          <w:szCs w:val="18"/>
          <w:bdr w:val="none" w:sz="0" w:space="0" w:color="auto"/>
          <w:lang w:val="en-GB"/>
        </w:rPr>
        <w:t xml:space="preserve">egulation enables the CNA to adopt additional measures to promote the role of genetic resources for food security and encourage research for </w:t>
      </w:r>
      <w:r w:rsidR="007060F6">
        <w:rPr>
          <w:rFonts w:eastAsia="Times New Roman" w:hAnsi="Times New Roman" w:cs="Times New Roman"/>
          <w:snapToGrid w:val="0"/>
          <w:color w:val="auto"/>
          <w:szCs w:val="18"/>
          <w:bdr w:val="none" w:sz="0" w:space="0" w:color="auto"/>
          <w:lang w:val="en-GB"/>
        </w:rPr>
        <w:t>conservation and sustainability;</w:t>
      </w:r>
    </w:p>
    <w:p w14:paraId="06C1F046" w14:textId="49A3ECA8" w:rsidR="00D84EFE" w:rsidRPr="00DF02C5" w:rsidRDefault="00D84EFE" w:rsidP="005038A2">
      <w:pPr>
        <w:pStyle w:val="ListParagraph"/>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snapToGrid w:val="0"/>
          <w:color w:val="auto"/>
          <w:szCs w:val="18"/>
          <w:bdr w:val="none" w:sz="0" w:space="0" w:color="auto"/>
          <w:lang w:val="en-GB"/>
        </w:rPr>
      </w:pPr>
      <w:r w:rsidRPr="00DF02C5">
        <w:rPr>
          <w:rFonts w:eastAsia="Times New Roman" w:hAnsi="Times New Roman" w:cs="Times New Roman"/>
          <w:snapToGrid w:val="0"/>
          <w:color w:val="auto"/>
          <w:szCs w:val="18"/>
          <w:bdr w:val="none" w:sz="0" w:space="0" w:color="auto"/>
          <w:lang w:val="en-GB"/>
        </w:rPr>
        <w:t xml:space="preserve">Norway’s Nature Diversity Act does not require a permit for </w:t>
      </w:r>
      <w:r w:rsidR="00D00A6D" w:rsidRPr="00DF02C5">
        <w:rPr>
          <w:rFonts w:eastAsia="Times New Roman" w:hAnsi="Times New Roman" w:cs="Times New Roman"/>
          <w:snapToGrid w:val="0"/>
          <w:color w:val="auto"/>
          <w:szCs w:val="18"/>
          <w:bdr w:val="none" w:sz="0" w:space="0" w:color="auto"/>
          <w:lang w:val="en-GB"/>
        </w:rPr>
        <w:t>using genetic resources</w:t>
      </w:r>
      <w:r w:rsidRPr="00DF02C5">
        <w:rPr>
          <w:rFonts w:eastAsia="Times New Roman" w:hAnsi="Times New Roman" w:cs="Times New Roman"/>
          <w:snapToGrid w:val="0"/>
          <w:color w:val="auto"/>
          <w:szCs w:val="18"/>
          <w:bdr w:val="none" w:sz="0" w:space="0" w:color="auto"/>
          <w:lang w:val="en-GB"/>
        </w:rPr>
        <w:t xml:space="preserve"> in public collections and for use and further breeding or cultivation in agriculture or forestry. They </w:t>
      </w:r>
      <w:r w:rsidR="0079639A" w:rsidRPr="00DF02C5">
        <w:rPr>
          <w:rFonts w:eastAsia="Times New Roman" w:hAnsi="Times New Roman" w:cs="Times New Roman"/>
          <w:snapToGrid w:val="0"/>
          <w:color w:val="auto"/>
          <w:szCs w:val="18"/>
          <w:bdr w:val="none" w:sz="0" w:space="0" w:color="auto"/>
          <w:lang w:val="en-GB"/>
        </w:rPr>
        <w:t xml:space="preserve">indicated </w:t>
      </w:r>
      <w:r w:rsidRPr="00DF02C5">
        <w:rPr>
          <w:rFonts w:eastAsia="Times New Roman" w:hAnsi="Times New Roman" w:cs="Times New Roman"/>
          <w:snapToGrid w:val="0"/>
          <w:color w:val="auto"/>
          <w:szCs w:val="18"/>
          <w:bdr w:val="none" w:sz="0" w:space="0" w:color="auto"/>
          <w:lang w:val="en-GB"/>
        </w:rPr>
        <w:t>that future access regulations will not cover use and further breeding or cultiva</w:t>
      </w:r>
      <w:r w:rsidR="007060F6">
        <w:rPr>
          <w:rFonts w:eastAsia="Times New Roman" w:hAnsi="Times New Roman" w:cs="Times New Roman"/>
          <w:snapToGrid w:val="0"/>
          <w:color w:val="auto"/>
          <w:szCs w:val="18"/>
          <w:bdr w:val="none" w:sz="0" w:space="0" w:color="auto"/>
          <w:lang w:val="en-GB"/>
        </w:rPr>
        <w:t>tion in agriculture or forestry;</w:t>
      </w:r>
    </w:p>
    <w:p w14:paraId="592B6433" w14:textId="50D9F61E" w:rsidR="00D84EFE" w:rsidRPr="00DF02C5" w:rsidRDefault="00D84EFE" w:rsidP="005038A2">
      <w:pPr>
        <w:pStyle w:val="ListParagraph"/>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snapToGrid w:val="0"/>
          <w:color w:val="auto"/>
          <w:szCs w:val="18"/>
          <w:bdr w:val="none" w:sz="0" w:space="0" w:color="auto"/>
          <w:lang w:val="en-GB"/>
        </w:rPr>
      </w:pPr>
      <w:r w:rsidRPr="00DF02C5">
        <w:rPr>
          <w:rFonts w:eastAsia="Times New Roman" w:hAnsi="Times New Roman" w:cs="Times New Roman"/>
          <w:snapToGrid w:val="0"/>
          <w:color w:val="auto"/>
          <w:szCs w:val="18"/>
          <w:bdr w:val="none" w:sz="0" w:space="0" w:color="auto"/>
          <w:lang w:val="en-GB"/>
        </w:rPr>
        <w:t>In Switzerland plant and animal breeders are given the possibility to simp</w:t>
      </w:r>
      <w:r w:rsidR="007060F6">
        <w:rPr>
          <w:rFonts w:eastAsia="Times New Roman" w:hAnsi="Times New Roman" w:cs="Times New Roman"/>
          <w:snapToGrid w:val="0"/>
          <w:color w:val="auto"/>
          <w:szCs w:val="18"/>
          <w:bdr w:val="none" w:sz="0" w:space="0" w:color="auto"/>
          <w:lang w:val="en-GB"/>
        </w:rPr>
        <w:t>lify the notification procedure;</w:t>
      </w:r>
    </w:p>
    <w:p w14:paraId="70AFF043" w14:textId="7A13F7E6" w:rsidR="00D84EFE" w:rsidRPr="00DF02C5" w:rsidRDefault="00D84EFE" w:rsidP="005038A2">
      <w:pPr>
        <w:pStyle w:val="ListParagraph"/>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snapToGrid w:val="0"/>
          <w:color w:val="auto"/>
          <w:szCs w:val="18"/>
          <w:bdr w:val="none" w:sz="0" w:space="0" w:color="auto"/>
          <w:lang w:val="en-GB"/>
        </w:rPr>
      </w:pPr>
      <w:r w:rsidRPr="00DF02C5">
        <w:rPr>
          <w:rFonts w:eastAsia="Times New Roman" w:hAnsi="Times New Roman" w:cs="Times New Roman"/>
          <w:snapToGrid w:val="0"/>
          <w:color w:val="auto"/>
          <w:szCs w:val="18"/>
          <w:bdr w:val="none" w:sz="0" w:space="0" w:color="auto"/>
          <w:lang w:val="en-GB"/>
        </w:rPr>
        <w:t xml:space="preserve">In Uganda the national ABS legislation does not apply where the exchange is certified to be </w:t>
      </w:r>
      <w:r w:rsidR="00BD4AF6" w:rsidRPr="00DF02C5">
        <w:rPr>
          <w:rFonts w:eastAsia="Times New Roman" w:hAnsi="Times New Roman" w:cs="Times New Roman"/>
          <w:snapToGrid w:val="0"/>
          <w:color w:val="auto"/>
          <w:szCs w:val="18"/>
          <w:bdr w:val="none" w:sz="0" w:space="0" w:color="auto"/>
          <w:lang w:val="en-GB"/>
        </w:rPr>
        <w:t xml:space="preserve">only </w:t>
      </w:r>
      <w:r w:rsidRPr="00DF02C5">
        <w:rPr>
          <w:rFonts w:eastAsia="Times New Roman" w:hAnsi="Times New Roman" w:cs="Times New Roman"/>
          <w:snapToGrid w:val="0"/>
          <w:color w:val="auto"/>
          <w:szCs w:val="18"/>
          <w:bdr w:val="none" w:sz="0" w:space="0" w:color="auto"/>
          <w:lang w:val="en-GB"/>
        </w:rPr>
        <w:t>for food or other consumption purposes</w:t>
      </w:r>
      <w:r w:rsidR="0079639A" w:rsidRPr="00DF02C5">
        <w:rPr>
          <w:rFonts w:eastAsia="Times New Roman" w:hAnsi="Times New Roman" w:cs="Times New Roman"/>
          <w:snapToGrid w:val="0"/>
          <w:color w:val="auto"/>
          <w:szCs w:val="18"/>
          <w:bdr w:val="none" w:sz="0" w:space="0" w:color="auto"/>
          <w:lang w:val="en-GB"/>
        </w:rPr>
        <w:t xml:space="preserve"> as prescribed by relevant laws.</w:t>
      </w:r>
    </w:p>
    <w:p w14:paraId="28A11E39" w14:textId="428FE177" w:rsidR="00D84EFE" w:rsidRPr="00DF02C5" w:rsidRDefault="00D84EFE" w:rsidP="00A2498F">
      <w:pPr>
        <w:pStyle w:val="Para1"/>
        <w:numPr>
          <w:ilvl w:val="0"/>
          <w:numId w:val="1"/>
        </w:numPr>
        <w:rPr>
          <w:rFonts w:eastAsia="Times New Roman" w:hAnsi="Times New Roman"/>
          <w:snapToGrid w:val="0"/>
          <w:color w:val="FF0000"/>
          <w:szCs w:val="18"/>
          <w:bdr w:val="none" w:sz="0" w:space="0" w:color="auto"/>
          <w:lang w:val="en-GB"/>
        </w:rPr>
      </w:pPr>
      <w:r w:rsidRPr="00DF02C5">
        <w:rPr>
          <w:rFonts w:eastAsia="Times New Roman" w:hAnsi="Times New Roman"/>
          <w:snapToGrid w:val="0"/>
          <w:color w:val="auto"/>
          <w:szCs w:val="18"/>
          <w:bdr w:val="none" w:sz="0" w:space="0" w:color="auto"/>
          <w:lang w:val="en-GB"/>
        </w:rPr>
        <w:t xml:space="preserve">In providing further information, many countries indicated having considered the species listed in Annex I </w:t>
      </w:r>
      <w:r w:rsidR="00D00A6D" w:rsidRPr="00DF02C5">
        <w:rPr>
          <w:rFonts w:eastAsia="Times New Roman" w:hAnsi="Times New Roman"/>
          <w:snapToGrid w:val="0"/>
          <w:color w:val="auto"/>
          <w:szCs w:val="18"/>
          <w:bdr w:val="none" w:sz="0" w:space="0" w:color="auto"/>
          <w:lang w:val="en-GB"/>
        </w:rPr>
        <w:t xml:space="preserve">of </w:t>
      </w:r>
      <w:r w:rsidRPr="00DF02C5">
        <w:rPr>
          <w:rFonts w:eastAsia="Times New Roman" w:hAnsi="Times New Roman"/>
          <w:snapToGrid w:val="0"/>
          <w:color w:val="auto"/>
          <w:szCs w:val="18"/>
          <w:bdr w:val="none" w:sz="0" w:space="0" w:color="auto"/>
          <w:lang w:val="en-GB"/>
        </w:rPr>
        <w:t>the International Treaty on Plant Genetic Resources for Food and Agriculture (ITPGRFA) in their ABS measures</w:t>
      </w:r>
      <w:r w:rsidRPr="00DF02C5">
        <w:rPr>
          <w:rStyle w:val="FootnoteReference"/>
          <w:rFonts w:eastAsia="Times New Roman" w:hAnsi="Times New Roman"/>
          <w:snapToGrid w:val="0"/>
          <w:color w:val="auto"/>
          <w:szCs w:val="18"/>
          <w:bdr w:val="none" w:sz="0" w:space="0" w:color="auto"/>
          <w:lang w:val="en-GB"/>
        </w:rPr>
        <w:footnoteReference w:id="286"/>
      </w:r>
      <w:r w:rsidRPr="00DF02C5">
        <w:rPr>
          <w:rFonts w:eastAsia="Times New Roman" w:hAnsi="Times New Roman"/>
          <w:snapToGrid w:val="0"/>
          <w:color w:val="auto"/>
          <w:szCs w:val="18"/>
          <w:bdr w:val="none" w:sz="0" w:space="0" w:color="auto"/>
          <w:lang w:val="en-GB"/>
        </w:rPr>
        <w:t xml:space="preserve"> or in the development of further measures</w:t>
      </w:r>
      <w:r w:rsidR="007E4AC9">
        <w:rPr>
          <w:rFonts w:eastAsia="Times New Roman" w:hAnsi="Times New Roman"/>
          <w:snapToGrid w:val="0"/>
          <w:color w:val="auto"/>
          <w:szCs w:val="18"/>
          <w:bdr w:val="none" w:sz="0" w:space="0" w:color="auto"/>
          <w:lang w:val="en-GB"/>
        </w:rPr>
        <w:t>.</w:t>
      </w:r>
      <w:r w:rsidRPr="00DF02C5">
        <w:rPr>
          <w:rStyle w:val="FootnoteReference"/>
          <w:rFonts w:eastAsia="Times New Roman" w:hAnsi="Times New Roman"/>
          <w:snapToGrid w:val="0"/>
          <w:color w:val="auto"/>
          <w:szCs w:val="18"/>
          <w:bdr w:val="none" w:sz="0" w:space="0" w:color="auto"/>
          <w:lang w:val="en-GB"/>
        </w:rPr>
        <w:footnoteReference w:id="287"/>
      </w:r>
      <w:r w:rsidRPr="00DF02C5">
        <w:rPr>
          <w:rFonts w:eastAsia="Times New Roman" w:hAnsi="Times New Roman"/>
          <w:snapToGrid w:val="0"/>
          <w:color w:val="auto"/>
          <w:szCs w:val="18"/>
          <w:bdr w:val="none" w:sz="0" w:space="0" w:color="auto"/>
          <w:lang w:val="en-GB"/>
        </w:rPr>
        <w:t xml:space="preserve"> One country reported </w:t>
      </w:r>
      <w:r w:rsidR="00BD4AF6" w:rsidRPr="00DF02C5">
        <w:rPr>
          <w:rFonts w:eastAsia="Times New Roman" w:hAnsi="Times New Roman"/>
          <w:snapToGrid w:val="0"/>
          <w:color w:val="auto"/>
          <w:szCs w:val="18"/>
          <w:bdr w:val="none" w:sz="0" w:space="0" w:color="auto"/>
          <w:lang w:val="en-GB"/>
        </w:rPr>
        <w:t xml:space="preserve">on their </w:t>
      </w:r>
      <w:r w:rsidRPr="00DF02C5">
        <w:rPr>
          <w:rFonts w:eastAsia="Times New Roman" w:hAnsi="Times New Roman"/>
          <w:snapToGrid w:val="0"/>
          <w:color w:val="auto"/>
          <w:szCs w:val="18"/>
          <w:bdr w:val="none" w:sz="0" w:space="0" w:color="auto"/>
          <w:lang w:val="en-GB"/>
        </w:rPr>
        <w:t xml:space="preserve">plans </w:t>
      </w:r>
      <w:r w:rsidR="00BD4AF6" w:rsidRPr="00DF02C5">
        <w:rPr>
          <w:rFonts w:eastAsia="Times New Roman" w:hAnsi="Times New Roman"/>
          <w:snapToGrid w:val="0"/>
          <w:color w:val="auto"/>
          <w:szCs w:val="18"/>
          <w:bdr w:val="none" w:sz="0" w:space="0" w:color="auto"/>
          <w:lang w:val="en-GB"/>
        </w:rPr>
        <w:t>for national coordination of</w:t>
      </w:r>
      <w:r w:rsidRPr="00DF02C5">
        <w:rPr>
          <w:rFonts w:eastAsia="Times New Roman" w:hAnsi="Times New Roman"/>
          <w:snapToGrid w:val="0"/>
          <w:color w:val="auto"/>
          <w:szCs w:val="18"/>
          <w:bdr w:val="none" w:sz="0" w:space="0" w:color="auto"/>
          <w:lang w:val="en-GB"/>
        </w:rPr>
        <w:t xml:space="preserve"> institutions </w:t>
      </w:r>
      <w:r w:rsidR="00BD4AF6" w:rsidRPr="00DF02C5">
        <w:rPr>
          <w:rFonts w:eastAsia="Times New Roman" w:hAnsi="Times New Roman"/>
          <w:snapToGrid w:val="0"/>
          <w:color w:val="auto"/>
          <w:szCs w:val="18"/>
          <w:bdr w:val="none" w:sz="0" w:space="0" w:color="auto"/>
          <w:lang w:val="en-GB"/>
        </w:rPr>
        <w:t xml:space="preserve">in order </w:t>
      </w:r>
      <w:r w:rsidRPr="00DF02C5">
        <w:rPr>
          <w:rFonts w:eastAsia="Times New Roman" w:hAnsi="Times New Roman"/>
          <w:snapToGrid w:val="0"/>
          <w:color w:val="auto"/>
          <w:szCs w:val="18"/>
          <w:bdr w:val="none" w:sz="0" w:space="0" w:color="auto"/>
          <w:lang w:val="en-GB"/>
        </w:rPr>
        <w:t>to implement the ITPGRFA and the Nagoya Protocol in a mutually supportive manner</w:t>
      </w:r>
      <w:r w:rsidRPr="00DF02C5">
        <w:rPr>
          <w:rStyle w:val="FootnoteReference"/>
          <w:rFonts w:eastAsia="Times New Roman" w:hAnsi="Times New Roman"/>
          <w:snapToGrid w:val="0"/>
          <w:color w:val="auto"/>
          <w:szCs w:val="18"/>
          <w:bdr w:val="none" w:sz="0" w:space="0" w:color="auto"/>
          <w:lang w:val="en-GB"/>
        </w:rPr>
        <w:footnoteReference w:id="288"/>
      </w:r>
      <w:r w:rsidR="00D00A6D" w:rsidRPr="00DF02C5">
        <w:rPr>
          <w:rFonts w:eastAsia="Times New Roman" w:hAnsi="Times New Roman"/>
          <w:snapToGrid w:val="0"/>
          <w:color w:val="auto"/>
          <w:szCs w:val="18"/>
          <w:bdr w:val="none" w:sz="0" w:space="0" w:color="auto"/>
          <w:lang w:val="en-GB"/>
        </w:rPr>
        <w:t xml:space="preserve"> </w:t>
      </w:r>
      <w:r w:rsidRPr="00DF02C5">
        <w:rPr>
          <w:rFonts w:eastAsia="Times New Roman" w:hAnsi="Times New Roman"/>
          <w:snapToGrid w:val="0"/>
          <w:color w:val="auto"/>
          <w:szCs w:val="18"/>
          <w:bdr w:val="none" w:sz="0" w:space="0" w:color="auto"/>
          <w:lang w:val="en-GB"/>
        </w:rPr>
        <w:t xml:space="preserve">and another reported having taken ABS related aspects </w:t>
      </w:r>
      <w:r w:rsidR="00D00A6D" w:rsidRPr="00DF02C5">
        <w:rPr>
          <w:rFonts w:eastAsia="Times New Roman" w:hAnsi="Times New Roman"/>
          <w:snapToGrid w:val="0"/>
          <w:color w:val="auto"/>
          <w:szCs w:val="18"/>
          <w:bdr w:val="none" w:sz="0" w:space="0" w:color="auto"/>
          <w:lang w:val="en-GB"/>
        </w:rPr>
        <w:t xml:space="preserve">into account </w:t>
      </w:r>
      <w:r w:rsidRPr="00DF02C5">
        <w:rPr>
          <w:rFonts w:eastAsia="Times New Roman" w:hAnsi="Times New Roman"/>
          <w:snapToGrid w:val="0"/>
          <w:color w:val="auto"/>
          <w:szCs w:val="18"/>
          <w:bdr w:val="none" w:sz="0" w:space="0" w:color="auto"/>
          <w:lang w:val="en-GB"/>
        </w:rPr>
        <w:t>in their phytosanitary measures and food law</w:t>
      </w:r>
      <w:r w:rsidR="007E4AC9">
        <w:rPr>
          <w:rFonts w:eastAsia="Times New Roman" w:hAnsi="Times New Roman"/>
          <w:snapToGrid w:val="0"/>
          <w:color w:val="auto"/>
          <w:szCs w:val="18"/>
          <w:bdr w:val="none" w:sz="0" w:space="0" w:color="auto"/>
          <w:lang w:val="en-GB"/>
        </w:rPr>
        <w:t>.</w:t>
      </w:r>
      <w:r w:rsidR="00D00A6D" w:rsidRPr="00DF02C5">
        <w:rPr>
          <w:rStyle w:val="FootnoteReference"/>
          <w:rFonts w:eastAsia="Times New Roman" w:hAnsi="Times New Roman"/>
          <w:snapToGrid w:val="0"/>
          <w:color w:val="auto"/>
          <w:szCs w:val="18"/>
          <w:bdr w:val="none" w:sz="0" w:space="0" w:color="auto"/>
          <w:lang w:val="en-GB"/>
        </w:rPr>
        <w:footnoteReference w:id="289"/>
      </w:r>
    </w:p>
    <w:p w14:paraId="48112921" w14:textId="782D8A1E" w:rsidR="00D84EFE" w:rsidRPr="00DF02C5" w:rsidRDefault="00D84EFE" w:rsidP="00A2498F">
      <w:pPr>
        <w:pStyle w:val="Para1"/>
        <w:numPr>
          <w:ilvl w:val="0"/>
          <w:numId w:val="1"/>
        </w:numPr>
        <w:rPr>
          <w:rFonts w:eastAsia="Times New Roman" w:hAnsi="Times New Roman"/>
          <w:snapToGrid w:val="0"/>
          <w:color w:val="auto"/>
          <w:szCs w:val="18"/>
          <w:bdr w:val="none" w:sz="0" w:space="0" w:color="auto"/>
          <w:lang w:val="en-GB"/>
        </w:rPr>
      </w:pPr>
      <w:r w:rsidRPr="00DF02C5">
        <w:rPr>
          <w:rFonts w:eastAsia="Times New Roman" w:hAnsi="Times New Roman"/>
          <w:snapToGrid w:val="0"/>
          <w:color w:val="auto"/>
          <w:szCs w:val="18"/>
          <w:bdr w:val="none" w:sz="0" w:space="0" w:color="auto"/>
          <w:lang w:val="en-GB"/>
        </w:rPr>
        <w:t>Some countries</w:t>
      </w:r>
      <w:r w:rsidRPr="00DF02C5">
        <w:rPr>
          <w:rStyle w:val="FootnoteReference"/>
          <w:rFonts w:eastAsia="Times New Roman" w:hAnsi="Times New Roman"/>
          <w:snapToGrid w:val="0"/>
          <w:color w:val="auto"/>
          <w:szCs w:val="18"/>
          <w:bdr w:val="none" w:sz="0" w:space="0" w:color="auto"/>
          <w:lang w:val="en-GB"/>
        </w:rPr>
        <w:footnoteReference w:id="290"/>
      </w:r>
      <w:r w:rsidRPr="00DF02C5">
        <w:rPr>
          <w:rFonts w:eastAsia="Times New Roman" w:hAnsi="Times New Roman"/>
          <w:snapToGrid w:val="0"/>
          <w:color w:val="auto"/>
          <w:szCs w:val="18"/>
          <w:bdr w:val="none" w:sz="0" w:space="0" w:color="auto"/>
          <w:lang w:val="en-GB"/>
        </w:rPr>
        <w:t xml:space="preserve"> reported</w:t>
      </w:r>
      <w:r w:rsidR="00453EE2" w:rsidRPr="00DF02C5">
        <w:rPr>
          <w:lang w:val="en-GB"/>
        </w:rPr>
        <w:t xml:space="preserve"> on how they dealt with the relationship between the ITPGRFA and the Nagoya Protocol in their ABS legislation</w:t>
      </w:r>
      <w:r w:rsidRPr="00DF02C5">
        <w:rPr>
          <w:rFonts w:eastAsia="Times New Roman" w:hAnsi="Times New Roman"/>
          <w:snapToGrid w:val="0"/>
          <w:color w:val="auto"/>
          <w:szCs w:val="18"/>
          <w:bdr w:val="none" w:sz="0" w:space="0" w:color="auto"/>
          <w:lang w:val="en-GB"/>
        </w:rPr>
        <w:t>, for example:</w:t>
      </w:r>
    </w:p>
    <w:p w14:paraId="5563A836" w14:textId="70B3A6B9" w:rsidR="00D84EFE" w:rsidRPr="00DF02C5" w:rsidRDefault="00D84EFE" w:rsidP="005038A2">
      <w:pPr>
        <w:pStyle w:val="ListParagraph"/>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snapToGrid w:val="0"/>
          <w:color w:val="auto"/>
          <w:szCs w:val="18"/>
          <w:bdr w:val="none" w:sz="0" w:space="0" w:color="auto"/>
          <w:lang w:val="en-GB"/>
        </w:rPr>
      </w:pPr>
      <w:r w:rsidRPr="00DF02C5">
        <w:rPr>
          <w:rFonts w:eastAsia="Times New Roman" w:hAnsi="Times New Roman" w:cs="Times New Roman"/>
          <w:snapToGrid w:val="0"/>
          <w:color w:val="auto"/>
          <w:szCs w:val="18"/>
          <w:bdr w:val="none" w:sz="0" w:space="0" w:color="auto"/>
          <w:lang w:val="en-GB"/>
        </w:rPr>
        <w:lastRenderedPageBreak/>
        <w:t>The European Union referred to Recital 12 of Regulation 511/2014 which recalls Article 8(c) of the Protocol and expl</w:t>
      </w:r>
      <w:r w:rsidR="00B54C38">
        <w:rPr>
          <w:rFonts w:eastAsia="Times New Roman" w:hAnsi="Times New Roman" w:cs="Times New Roman"/>
          <w:snapToGrid w:val="0"/>
          <w:color w:val="auto"/>
          <w:szCs w:val="18"/>
          <w:bdr w:val="none" w:sz="0" w:space="0" w:color="auto"/>
          <w:lang w:val="en-GB"/>
        </w:rPr>
        <w:t>ains that ITPGRFA is a specializ</w:t>
      </w:r>
      <w:r w:rsidRPr="00DF02C5">
        <w:rPr>
          <w:rFonts w:eastAsia="Times New Roman" w:hAnsi="Times New Roman" w:cs="Times New Roman"/>
          <w:snapToGrid w:val="0"/>
          <w:color w:val="auto"/>
          <w:szCs w:val="18"/>
          <w:bdr w:val="none" w:sz="0" w:space="0" w:color="auto"/>
          <w:lang w:val="en-GB"/>
        </w:rPr>
        <w:t>ed instrument within the meaning of Article 4(4) of the Protocol.</w:t>
      </w:r>
      <w:r w:rsidRPr="00DF02C5">
        <w:rPr>
          <w:rStyle w:val="FootnoteReference"/>
          <w:rFonts w:eastAsia="Times New Roman" w:hAnsi="Times New Roman" w:cs="Times New Roman"/>
          <w:snapToGrid w:val="0"/>
          <w:color w:val="auto"/>
          <w:szCs w:val="18"/>
          <w:bdr w:val="none" w:sz="0" w:space="0" w:color="auto"/>
          <w:lang w:val="en-GB"/>
        </w:rPr>
        <w:footnoteReference w:id="291"/>
      </w:r>
      <w:r w:rsidR="00B54C38">
        <w:rPr>
          <w:rFonts w:eastAsia="Times New Roman" w:hAnsi="Times New Roman" w:cs="Times New Roman"/>
          <w:snapToGrid w:val="0"/>
          <w:color w:val="auto"/>
          <w:szCs w:val="18"/>
          <w:bdr w:val="none" w:sz="0" w:space="0" w:color="auto"/>
          <w:lang w:val="en-GB"/>
        </w:rPr>
        <w:t xml:space="preserve"> The Regulation also recogniz</w:t>
      </w:r>
      <w:r w:rsidRPr="00DF02C5">
        <w:rPr>
          <w:rFonts w:eastAsia="Times New Roman" w:hAnsi="Times New Roman" w:cs="Times New Roman"/>
          <w:snapToGrid w:val="0"/>
          <w:color w:val="auto"/>
          <w:szCs w:val="18"/>
          <w:bdr w:val="none" w:sz="0" w:space="0" w:color="auto"/>
          <w:lang w:val="en-GB"/>
        </w:rPr>
        <w:t>es that, where Parties have decided to use standard material transfer agreements for PGRFA which are not covered by ITPGRFA but which are under their control and in the public domain, no due dil</w:t>
      </w:r>
      <w:r w:rsidR="00BD4AF6" w:rsidRPr="00DF02C5">
        <w:rPr>
          <w:rFonts w:eastAsia="Times New Roman" w:hAnsi="Times New Roman" w:cs="Times New Roman"/>
          <w:snapToGrid w:val="0"/>
          <w:color w:val="auto"/>
          <w:szCs w:val="18"/>
          <w:bdr w:val="none" w:sz="0" w:space="0" w:color="auto"/>
          <w:lang w:val="en-GB"/>
        </w:rPr>
        <w:t>igence declara</w:t>
      </w:r>
      <w:r w:rsidR="007E4AC9">
        <w:rPr>
          <w:rFonts w:eastAsia="Times New Roman" w:hAnsi="Times New Roman" w:cs="Times New Roman"/>
          <w:snapToGrid w:val="0"/>
          <w:color w:val="auto"/>
          <w:szCs w:val="18"/>
          <w:bdr w:val="none" w:sz="0" w:space="0" w:color="auto"/>
          <w:lang w:val="en-GB"/>
        </w:rPr>
        <w:t>tion is required;</w:t>
      </w:r>
    </w:p>
    <w:p w14:paraId="6B38F58F" w14:textId="6E50A811" w:rsidR="00D84EFE" w:rsidRPr="00DF02C5" w:rsidRDefault="00D84EFE" w:rsidP="005038A2">
      <w:pPr>
        <w:pStyle w:val="ListParagraph"/>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snapToGrid w:val="0"/>
          <w:color w:val="auto"/>
          <w:szCs w:val="18"/>
          <w:bdr w:val="none" w:sz="0" w:space="0" w:color="auto"/>
          <w:lang w:val="en-GB"/>
        </w:rPr>
      </w:pPr>
      <w:r w:rsidRPr="00DF02C5">
        <w:rPr>
          <w:rFonts w:eastAsia="Times New Roman" w:hAnsi="Times New Roman" w:cs="Times New Roman"/>
          <w:snapToGrid w:val="0"/>
          <w:color w:val="auto"/>
          <w:szCs w:val="18"/>
          <w:bdr w:val="none" w:sz="0" w:space="0" w:color="auto"/>
          <w:lang w:val="en-GB"/>
        </w:rPr>
        <w:t xml:space="preserve">Ethiopian proclamation No. 482/2006 states that access to genetic resources under a multilateral system is </w:t>
      </w:r>
      <w:r w:rsidR="00D00A6D" w:rsidRPr="00DF02C5">
        <w:rPr>
          <w:rFonts w:eastAsia="Times New Roman" w:hAnsi="Times New Roman" w:cs="Times New Roman"/>
          <w:snapToGrid w:val="0"/>
          <w:color w:val="auto"/>
          <w:szCs w:val="18"/>
          <w:bdr w:val="none" w:sz="0" w:space="0" w:color="auto"/>
          <w:lang w:val="en-GB"/>
        </w:rPr>
        <w:t xml:space="preserve">achieved </w:t>
      </w:r>
      <w:r w:rsidRPr="00DF02C5">
        <w:rPr>
          <w:rFonts w:eastAsia="Times New Roman" w:hAnsi="Times New Roman" w:cs="Times New Roman"/>
          <w:snapToGrid w:val="0"/>
          <w:color w:val="auto"/>
          <w:szCs w:val="18"/>
          <w:bdr w:val="none" w:sz="0" w:space="0" w:color="auto"/>
          <w:lang w:val="en-GB"/>
        </w:rPr>
        <w:t xml:space="preserve">according to </w:t>
      </w:r>
      <w:r w:rsidR="00D00A6D" w:rsidRPr="00DF02C5">
        <w:rPr>
          <w:rFonts w:eastAsia="Times New Roman" w:hAnsi="Times New Roman" w:cs="Times New Roman"/>
          <w:snapToGrid w:val="0"/>
          <w:color w:val="auto"/>
          <w:szCs w:val="18"/>
          <w:bdr w:val="none" w:sz="0" w:space="0" w:color="auto"/>
          <w:lang w:val="en-GB"/>
        </w:rPr>
        <w:t xml:space="preserve">the </w:t>
      </w:r>
      <w:r w:rsidRPr="00DF02C5">
        <w:rPr>
          <w:rFonts w:eastAsia="Times New Roman" w:hAnsi="Times New Roman" w:cs="Times New Roman"/>
          <w:snapToGrid w:val="0"/>
          <w:color w:val="auto"/>
          <w:szCs w:val="18"/>
          <w:bdr w:val="none" w:sz="0" w:space="0" w:color="auto"/>
          <w:lang w:val="en-GB"/>
        </w:rPr>
        <w:t>conditions and procedures of th</w:t>
      </w:r>
      <w:r w:rsidR="00D00A6D" w:rsidRPr="00DF02C5">
        <w:rPr>
          <w:rFonts w:eastAsia="Times New Roman" w:hAnsi="Times New Roman" w:cs="Times New Roman"/>
          <w:snapToGrid w:val="0"/>
          <w:color w:val="auto"/>
          <w:szCs w:val="18"/>
          <w:bdr w:val="none" w:sz="0" w:space="0" w:color="auto"/>
          <w:lang w:val="en-GB"/>
        </w:rPr>
        <w:t>at</w:t>
      </w:r>
      <w:r w:rsidR="007E4AC9">
        <w:rPr>
          <w:rFonts w:eastAsia="Times New Roman" w:hAnsi="Times New Roman" w:cs="Times New Roman"/>
          <w:snapToGrid w:val="0"/>
          <w:color w:val="auto"/>
          <w:szCs w:val="18"/>
          <w:bdr w:val="none" w:sz="0" w:space="0" w:color="auto"/>
          <w:lang w:val="en-GB"/>
        </w:rPr>
        <w:t xml:space="preserve"> multilateral system (SMTA);</w:t>
      </w:r>
    </w:p>
    <w:p w14:paraId="033155E8" w14:textId="3A7BCF89" w:rsidR="00D84EFE" w:rsidRPr="00DF02C5" w:rsidRDefault="00D84EFE" w:rsidP="005038A2">
      <w:pPr>
        <w:pStyle w:val="ListParagraph"/>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snapToGrid w:val="0"/>
          <w:color w:val="auto"/>
          <w:szCs w:val="18"/>
          <w:bdr w:val="none" w:sz="0" w:space="0" w:color="auto"/>
          <w:lang w:val="en-GB"/>
        </w:rPr>
      </w:pPr>
      <w:r w:rsidRPr="00DF02C5">
        <w:rPr>
          <w:rFonts w:eastAsia="Times New Roman" w:hAnsi="Times New Roman" w:cs="Times New Roman"/>
          <w:snapToGrid w:val="0"/>
          <w:color w:val="auto"/>
          <w:szCs w:val="18"/>
          <w:bdr w:val="none" w:sz="0" w:space="0" w:color="auto"/>
          <w:lang w:val="en-GB"/>
        </w:rPr>
        <w:t>The Government of India has issued a notification under Section 40 of the Biological Diversit</w:t>
      </w:r>
      <w:r w:rsidR="00BD4AF6" w:rsidRPr="00DF02C5">
        <w:rPr>
          <w:rFonts w:eastAsia="Times New Roman" w:hAnsi="Times New Roman" w:cs="Times New Roman"/>
          <w:snapToGrid w:val="0"/>
          <w:color w:val="auto"/>
          <w:szCs w:val="18"/>
          <w:bdr w:val="none" w:sz="0" w:space="0" w:color="auto"/>
          <w:lang w:val="en-GB"/>
        </w:rPr>
        <w:t xml:space="preserve">y Act, 2002 </w:t>
      </w:r>
      <w:r w:rsidRPr="00DF02C5">
        <w:rPr>
          <w:rFonts w:eastAsia="Times New Roman" w:hAnsi="Times New Roman" w:cs="Times New Roman"/>
          <w:snapToGrid w:val="0"/>
          <w:color w:val="auto"/>
          <w:szCs w:val="18"/>
          <w:bdr w:val="none" w:sz="0" w:space="0" w:color="auto"/>
          <w:lang w:val="en-GB"/>
        </w:rPr>
        <w:t xml:space="preserve">exempting crops listed in Annex 1 of the ITPGRFA from the provisions of the Biological Diversity Act, if they are utilized </w:t>
      </w:r>
      <w:proofErr w:type="gramStart"/>
      <w:r w:rsidRPr="00DF02C5">
        <w:rPr>
          <w:rFonts w:eastAsia="Times New Roman" w:hAnsi="Times New Roman" w:cs="Times New Roman"/>
          <w:snapToGrid w:val="0"/>
          <w:color w:val="auto"/>
          <w:szCs w:val="18"/>
          <w:bdr w:val="none" w:sz="0" w:space="0" w:color="auto"/>
          <w:lang w:val="en-GB"/>
        </w:rPr>
        <w:t>for the purpose of</w:t>
      </w:r>
      <w:proofErr w:type="gramEnd"/>
      <w:r w:rsidRPr="00DF02C5">
        <w:rPr>
          <w:rFonts w:eastAsia="Times New Roman" w:hAnsi="Times New Roman" w:cs="Times New Roman"/>
          <w:snapToGrid w:val="0"/>
          <w:color w:val="auto"/>
          <w:szCs w:val="18"/>
          <w:bdr w:val="none" w:sz="0" w:space="0" w:color="auto"/>
          <w:lang w:val="en-GB"/>
        </w:rPr>
        <w:t xml:space="preserve"> </w:t>
      </w:r>
      <w:r w:rsidR="00BD4AF6" w:rsidRPr="00DF02C5">
        <w:rPr>
          <w:rFonts w:eastAsia="Times New Roman" w:hAnsi="Times New Roman" w:cs="Times New Roman"/>
          <w:snapToGrid w:val="0"/>
          <w:color w:val="auto"/>
          <w:szCs w:val="18"/>
          <w:bdr w:val="none" w:sz="0" w:space="0" w:color="auto"/>
          <w:lang w:val="en-GB"/>
        </w:rPr>
        <w:t>breeding, research and training.</w:t>
      </w:r>
    </w:p>
    <w:p w14:paraId="2C40528A" w14:textId="432C6549" w:rsidR="00BD4AF6" w:rsidRPr="00DF02C5" w:rsidRDefault="00BD4AF6" w:rsidP="00BD4AF6">
      <w:pPr>
        <w:pStyle w:val="Para1"/>
        <w:rPr>
          <w:rFonts w:eastAsia="Times New Roman" w:hAnsi="Times New Roman"/>
          <w:i/>
          <w:snapToGrid w:val="0"/>
          <w:color w:val="auto"/>
          <w:szCs w:val="18"/>
          <w:bdr w:val="none" w:sz="0" w:space="0" w:color="auto"/>
          <w:lang w:val="en-GB"/>
        </w:rPr>
      </w:pPr>
      <w:r w:rsidRPr="00DF02C5">
        <w:rPr>
          <w:rFonts w:eastAsia="Times New Roman" w:hAnsi="Times New Roman"/>
          <w:i/>
          <w:snapToGrid w:val="0"/>
          <w:color w:val="auto"/>
          <w:szCs w:val="18"/>
          <w:bdr w:val="none" w:sz="0" w:space="0" w:color="auto"/>
          <w:lang w:val="en-GB"/>
        </w:rPr>
        <w:t>(b)</w:t>
      </w:r>
      <w:r w:rsidRPr="00DF02C5">
        <w:rPr>
          <w:rFonts w:eastAsia="Times New Roman" w:hAnsi="Times New Roman"/>
          <w:i/>
          <w:snapToGrid w:val="0"/>
          <w:color w:val="auto"/>
          <w:szCs w:val="18"/>
          <w:bdr w:val="none" w:sz="0" w:space="0" w:color="auto"/>
          <w:lang w:val="en-GB"/>
        </w:rPr>
        <w:tab/>
        <w:t>Countries that answered “no”</w:t>
      </w:r>
    </w:p>
    <w:p w14:paraId="5D1C3858" w14:textId="302F46B8" w:rsidR="00D84EFE" w:rsidRPr="00DF02C5" w:rsidRDefault="00D84EFE" w:rsidP="00A2498F">
      <w:pPr>
        <w:pStyle w:val="Para1"/>
        <w:numPr>
          <w:ilvl w:val="0"/>
          <w:numId w:val="1"/>
        </w:numPr>
        <w:rPr>
          <w:rFonts w:eastAsia="Times New Roman" w:hAnsi="Times New Roman"/>
          <w:snapToGrid w:val="0"/>
          <w:color w:val="auto"/>
          <w:szCs w:val="18"/>
          <w:bdr w:val="none" w:sz="0" w:space="0" w:color="auto"/>
          <w:lang w:val="en-GB"/>
        </w:rPr>
      </w:pPr>
      <w:r w:rsidRPr="00DF02C5">
        <w:rPr>
          <w:rFonts w:eastAsia="Times New Roman" w:hAnsi="Times New Roman"/>
          <w:snapToGrid w:val="0"/>
          <w:color w:val="auto"/>
          <w:szCs w:val="18"/>
          <w:bdr w:val="none" w:sz="0" w:space="0" w:color="auto"/>
          <w:lang w:val="en-GB"/>
        </w:rPr>
        <w:t xml:space="preserve">A number of countries that provided further information stated that </w:t>
      </w:r>
      <w:r w:rsidR="000603E8" w:rsidRPr="00DF02C5">
        <w:rPr>
          <w:rFonts w:eastAsia="Times New Roman" w:hAnsi="Times New Roman"/>
          <w:snapToGrid w:val="0"/>
          <w:color w:val="auto"/>
          <w:szCs w:val="18"/>
          <w:bdr w:val="none" w:sz="0" w:space="0" w:color="auto"/>
          <w:lang w:val="en-GB"/>
        </w:rPr>
        <w:t xml:space="preserve">they </w:t>
      </w:r>
      <w:r w:rsidRPr="00DF02C5">
        <w:rPr>
          <w:rFonts w:eastAsia="Times New Roman" w:hAnsi="Times New Roman"/>
          <w:snapToGrid w:val="0"/>
          <w:color w:val="auto"/>
          <w:szCs w:val="18"/>
          <w:bdr w:val="none" w:sz="0" w:space="0" w:color="auto"/>
          <w:lang w:val="en-GB"/>
        </w:rPr>
        <w:t>are planning to address this issue.</w:t>
      </w:r>
      <w:r w:rsidR="000603E8" w:rsidRPr="00DF02C5">
        <w:rPr>
          <w:rStyle w:val="FootnoteReference"/>
          <w:rFonts w:eastAsia="Times New Roman" w:hAnsi="Times New Roman"/>
          <w:snapToGrid w:val="0"/>
          <w:color w:val="auto"/>
          <w:szCs w:val="18"/>
          <w:bdr w:val="none" w:sz="0" w:space="0" w:color="auto"/>
          <w:lang w:val="en-GB"/>
        </w:rPr>
        <w:t xml:space="preserve"> </w:t>
      </w:r>
      <w:r w:rsidR="000603E8" w:rsidRPr="00DF02C5">
        <w:rPr>
          <w:rStyle w:val="FootnoteReference"/>
          <w:rFonts w:eastAsia="Times New Roman" w:hAnsi="Times New Roman"/>
          <w:snapToGrid w:val="0"/>
          <w:color w:val="auto"/>
          <w:szCs w:val="18"/>
          <w:bdr w:val="none" w:sz="0" w:space="0" w:color="auto"/>
          <w:lang w:val="en-GB"/>
        </w:rPr>
        <w:footnoteReference w:id="292"/>
      </w:r>
      <w:r w:rsidRPr="00DF02C5">
        <w:rPr>
          <w:rFonts w:eastAsia="Times New Roman" w:hAnsi="Times New Roman"/>
          <w:snapToGrid w:val="0"/>
          <w:color w:val="auto"/>
          <w:szCs w:val="18"/>
          <w:bdr w:val="none" w:sz="0" w:space="0" w:color="auto"/>
          <w:lang w:val="en-GB"/>
        </w:rPr>
        <w:t xml:space="preserve"> Two countries explained that they have not yet done so due to </w:t>
      </w:r>
      <w:r w:rsidR="000603E8" w:rsidRPr="00DF02C5">
        <w:rPr>
          <w:rFonts w:eastAsia="Times New Roman" w:hAnsi="Times New Roman"/>
          <w:snapToGrid w:val="0"/>
          <w:color w:val="auto"/>
          <w:szCs w:val="18"/>
          <w:bdr w:val="none" w:sz="0" w:space="0" w:color="auto"/>
          <w:lang w:val="en-GB"/>
        </w:rPr>
        <w:t>a</w:t>
      </w:r>
      <w:r w:rsidRPr="00DF02C5">
        <w:rPr>
          <w:rFonts w:eastAsia="Times New Roman" w:hAnsi="Times New Roman"/>
          <w:snapToGrid w:val="0"/>
          <w:color w:val="auto"/>
          <w:szCs w:val="18"/>
          <w:bdr w:val="none" w:sz="0" w:space="0" w:color="auto"/>
          <w:lang w:val="en-GB"/>
        </w:rPr>
        <w:t xml:space="preserve"> lack of ABS measures.</w:t>
      </w:r>
      <w:r w:rsidR="000603E8" w:rsidRPr="00DF02C5">
        <w:rPr>
          <w:rStyle w:val="FootnoteReference"/>
          <w:rFonts w:eastAsia="Times New Roman" w:hAnsi="Times New Roman"/>
          <w:snapToGrid w:val="0"/>
          <w:color w:val="auto"/>
          <w:szCs w:val="18"/>
          <w:bdr w:val="none" w:sz="0" w:space="0" w:color="auto"/>
          <w:lang w:val="en-GB"/>
        </w:rPr>
        <w:t xml:space="preserve"> </w:t>
      </w:r>
      <w:r w:rsidR="000603E8" w:rsidRPr="00DF02C5">
        <w:rPr>
          <w:rStyle w:val="FootnoteReference"/>
          <w:rFonts w:eastAsia="Times New Roman" w:hAnsi="Times New Roman"/>
          <w:snapToGrid w:val="0"/>
          <w:color w:val="auto"/>
          <w:szCs w:val="18"/>
          <w:bdr w:val="none" w:sz="0" w:space="0" w:color="auto"/>
          <w:lang w:val="en-GB"/>
        </w:rPr>
        <w:footnoteReference w:id="293"/>
      </w:r>
      <w:r w:rsidRPr="00DF02C5">
        <w:rPr>
          <w:rFonts w:eastAsia="Times New Roman" w:hAnsi="Times New Roman"/>
          <w:snapToGrid w:val="0"/>
          <w:color w:val="auto"/>
          <w:szCs w:val="18"/>
          <w:bdr w:val="none" w:sz="0" w:space="0" w:color="auto"/>
          <w:lang w:val="en-GB"/>
        </w:rPr>
        <w:t xml:space="preserve">   </w:t>
      </w:r>
    </w:p>
    <w:p w14:paraId="1EAA6209" w14:textId="2BC19B4E" w:rsidR="00D84EFE" w:rsidRPr="007E4AC9" w:rsidRDefault="00D84EFE" w:rsidP="007E4AC9">
      <w:pPr>
        <w:pStyle w:val="ListParagraph"/>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before="240" w:after="120"/>
        <w:ind w:left="0" w:firstLine="0"/>
        <w:jc w:val="center"/>
        <w:rPr>
          <w:rFonts w:eastAsia="Calibri" w:hAnsi="Times New Roman" w:cs="Times New Roman"/>
          <w:i/>
          <w:snapToGrid w:val="0"/>
          <w:color w:val="auto"/>
          <w:kern w:val="22"/>
          <w:bdr w:val="none" w:sz="0" w:space="0" w:color="auto"/>
          <w:lang w:val="en-GB"/>
        </w:rPr>
      </w:pPr>
      <w:r w:rsidRPr="007E4AC9">
        <w:rPr>
          <w:rFonts w:eastAsia="Calibri" w:hAnsi="Times New Roman" w:cs="Times New Roman"/>
          <w:i/>
          <w:snapToGrid w:val="0"/>
          <w:color w:val="auto"/>
          <w:kern w:val="22"/>
          <w:bdr w:val="none" w:sz="0" w:space="0" w:color="auto"/>
          <w:lang w:val="en-GB"/>
        </w:rPr>
        <w:t>Additional information</w:t>
      </w:r>
      <w:r w:rsidR="00BD4AF6" w:rsidRPr="007E4AC9">
        <w:rPr>
          <w:rFonts w:eastAsia="Calibri" w:hAnsi="Times New Roman" w:cs="Times New Roman"/>
          <w:i/>
          <w:snapToGrid w:val="0"/>
          <w:color w:val="auto"/>
          <w:kern w:val="22"/>
          <w:bdr w:val="none" w:sz="0" w:space="0" w:color="auto"/>
          <w:lang w:val="en-GB"/>
        </w:rPr>
        <w:t xml:space="preserve">: </w:t>
      </w:r>
      <w:r w:rsidRPr="007E4AC9">
        <w:rPr>
          <w:rFonts w:eastAsia="Calibri" w:hAnsi="Times New Roman" w:cs="Times New Roman"/>
          <w:i/>
          <w:snapToGrid w:val="0"/>
          <w:color w:val="auto"/>
          <w:kern w:val="22"/>
          <w:bdr w:val="none" w:sz="0" w:space="0" w:color="auto"/>
          <w:lang w:val="en-GB"/>
        </w:rPr>
        <w:t xml:space="preserve"> </w:t>
      </w:r>
      <w:r w:rsidR="00BD4AF6" w:rsidRPr="007E4AC9">
        <w:rPr>
          <w:rFonts w:eastAsia="Calibri" w:hAnsi="Times New Roman" w:cs="Times New Roman"/>
          <w:i/>
          <w:snapToGrid w:val="0"/>
          <w:color w:val="auto"/>
          <w:kern w:val="22"/>
          <w:bdr w:val="none" w:sz="0" w:space="0" w:color="auto"/>
          <w:lang w:val="en-GB"/>
        </w:rPr>
        <w:t xml:space="preserve">summary of the main difficulties and challenges </w:t>
      </w:r>
      <w:r w:rsidRPr="007E4AC9">
        <w:rPr>
          <w:rFonts w:eastAsia="Calibri" w:hAnsi="Times New Roman" w:cs="Times New Roman"/>
          <w:i/>
          <w:snapToGrid w:val="0"/>
          <w:color w:val="auto"/>
          <w:kern w:val="22"/>
          <w:bdr w:val="none" w:sz="0" w:space="0" w:color="auto"/>
          <w:lang w:val="en-GB"/>
        </w:rPr>
        <w:t>(question 36)</w:t>
      </w:r>
    </w:p>
    <w:p w14:paraId="03156914" w14:textId="5A307819" w:rsidR="00D84EFE" w:rsidRPr="00DF02C5" w:rsidRDefault="00BD4AF6"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Twenty-two countries that answered this question. </w:t>
      </w:r>
      <w:r w:rsidR="00453EE2" w:rsidRPr="00DF02C5">
        <w:rPr>
          <w:rFonts w:eastAsia="Calibri" w:hAnsi="Times New Roman"/>
          <w:snapToGrid w:val="0"/>
          <w:color w:val="auto"/>
          <w:kern w:val="22"/>
          <w:bdr w:val="none" w:sz="0" w:space="0" w:color="auto"/>
          <w:lang w:val="en-GB"/>
        </w:rPr>
        <w:t xml:space="preserve">Some </w:t>
      </w:r>
      <w:r w:rsidR="000603E8" w:rsidRPr="00DF02C5">
        <w:rPr>
          <w:rFonts w:eastAsia="Calibri" w:hAnsi="Times New Roman"/>
          <w:snapToGrid w:val="0"/>
          <w:color w:val="auto"/>
          <w:kern w:val="22"/>
          <w:bdr w:val="none" w:sz="0" w:space="0" w:color="auto"/>
          <w:lang w:val="en-GB"/>
        </w:rPr>
        <w:t>c</w:t>
      </w:r>
      <w:r w:rsidR="00D84EFE" w:rsidRPr="00DF02C5">
        <w:rPr>
          <w:rFonts w:eastAsia="Calibri" w:hAnsi="Times New Roman"/>
          <w:snapToGrid w:val="0"/>
          <w:color w:val="auto"/>
          <w:kern w:val="22"/>
          <w:bdr w:val="none" w:sz="0" w:space="0" w:color="auto"/>
          <w:lang w:val="en-GB"/>
        </w:rPr>
        <w:t>ountries, when providing information on the main difficulties and challenges encountered, refer</w:t>
      </w:r>
      <w:r w:rsidRPr="00DF02C5">
        <w:rPr>
          <w:rFonts w:eastAsia="Calibri" w:hAnsi="Times New Roman"/>
          <w:snapToGrid w:val="0"/>
          <w:color w:val="auto"/>
          <w:kern w:val="22"/>
          <w:bdr w:val="none" w:sz="0" w:space="0" w:color="auto"/>
          <w:lang w:val="en-GB"/>
        </w:rPr>
        <w:t>red</w:t>
      </w:r>
      <w:r w:rsidR="00D84EFE" w:rsidRPr="00DF02C5">
        <w:rPr>
          <w:rFonts w:eastAsia="Calibri" w:hAnsi="Times New Roman"/>
          <w:snapToGrid w:val="0"/>
          <w:color w:val="auto"/>
          <w:kern w:val="22"/>
          <w:bdr w:val="none" w:sz="0" w:space="0" w:color="auto"/>
          <w:lang w:val="en-GB"/>
        </w:rPr>
        <w:t xml:space="preserve"> to general </w:t>
      </w:r>
      <w:r w:rsidRPr="00DF02C5">
        <w:rPr>
          <w:rFonts w:eastAsia="Calibri" w:hAnsi="Times New Roman"/>
          <w:snapToGrid w:val="0"/>
          <w:color w:val="auto"/>
          <w:kern w:val="22"/>
          <w:bdr w:val="none" w:sz="0" w:space="0" w:color="auto"/>
          <w:lang w:val="en-GB"/>
        </w:rPr>
        <w:t xml:space="preserve">similar difficulties to those </w:t>
      </w:r>
      <w:r w:rsidR="00D84EFE" w:rsidRPr="00DF02C5">
        <w:rPr>
          <w:rFonts w:eastAsia="Calibri" w:hAnsi="Times New Roman"/>
          <w:snapToGrid w:val="0"/>
          <w:color w:val="auto"/>
          <w:kern w:val="22"/>
          <w:bdr w:val="none" w:sz="0" w:space="0" w:color="auto"/>
          <w:lang w:val="en-GB"/>
        </w:rPr>
        <w:t xml:space="preserve">raised </w:t>
      </w:r>
      <w:r w:rsidRPr="00DF02C5">
        <w:rPr>
          <w:rFonts w:eastAsia="Calibri" w:hAnsi="Times New Roman"/>
          <w:snapToGrid w:val="0"/>
          <w:color w:val="auto"/>
          <w:kern w:val="22"/>
          <w:bdr w:val="none" w:sz="0" w:space="0" w:color="auto"/>
          <w:lang w:val="en-GB"/>
        </w:rPr>
        <w:t>earlier in the document</w:t>
      </w:r>
      <w:r w:rsidR="00D84EFE" w:rsidRPr="00DF02C5">
        <w:rPr>
          <w:rFonts w:eastAsia="Calibri" w:hAnsi="Times New Roman"/>
          <w:snapToGrid w:val="0"/>
          <w:color w:val="auto"/>
          <w:kern w:val="22"/>
          <w:bdr w:val="none" w:sz="0" w:space="0" w:color="auto"/>
          <w:lang w:val="en-GB"/>
        </w:rPr>
        <w:t xml:space="preserve">, such as lack of financial resources. </w:t>
      </w:r>
      <w:r w:rsidRPr="00DF02C5">
        <w:rPr>
          <w:rFonts w:eastAsia="Calibri" w:hAnsi="Times New Roman"/>
          <w:snapToGrid w:val="0"/>
          <w:color w:val="auto"/>
          <w:kern w:val="22"/>
          <w:bdr w:val="none" w:sz="0" w:space="0" w:color="auto"/>
          <w:lang w:val="en-GB"/>
        </w:rPr>
        <w:t>T</w:t>
      </w:r>
      <w:r w:rsidR="00D84EFE" w:rsidRPr="00DF02C5">
        <w:rPr>
          <w:rFonts w:eastAsia="Calibri" w:hAnsi="Times New Roman"/>
          <w:snapToGrid w:val="0"/>
          <w:color w:val="auto"/>
          <w:kern w:val="22"/>
          <w:bdr w:val="none" w:sz="0" w:space="0" w:color="auto"/>
          <w:lang w:val="en-GB"/>
        </w:rPr>
        <w:t>he main difficulty identified</w:t>
      </w:r>
      <w:r w:rsidRPr="00DF02C5">
        <w:rPr>
          <w:rFonts w:eastAsia="Calibri" w:hAnsi="Times New Roman"/>
          <w:snapToGrid w:val="0"/>
          <w:color w:val="auto"/>
          <w:kern w:val="22"/>
          <w:bdr w:val="none" w:sz="0" w:space="0" w:color="auto"/>
          <w:lang w:val="en-GB"/>
        </w:rPr>
        <w:t xml:space="preserve"> </w:t>
      </w:r>
      <w:r w:rsidR="00D84EFE" w:rsidRPr="00DF02C5">
        <w:rPr>
          <w:rFonts w:eastAsia="Calibri" w:hAnsi="Times New Roman"/>
          <w:snapToGrid w:val="0"/>
          <w:color w:val="auto"/>
          <w:kern w:val="22"/>
          <w:bdr w:val="none" w:sz="0" w:space="0" w:color="auto"/>
          <w:lang w:val="en-GB"/>
        </w:rPr>
        <w:t xml:space="preserve">is the absence of ABS measures in place or the need to further develop or review measures to be in line with the Nagoya Protocol. </w:t>
      </w:r>
    </w:p>
    <w:p w14:paraId="676CCD40" w14:textId="0DDF0759" w:rsidR="00D84EFE" w:rsidRPr="00DF02C5" w:rsidRDefault="00D84EFE"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Some countries highlighted the lack of capacity as well as the lack of experiences to benefit from when preparing the law. The need to improve coordination between different institutions and actors involved was</w:t>
      </w:r>
      <w:r w:rsidR="00BD4AF6" w:rsidRPr="00DF02C5">
        <w:rPr>
          <w:rFonts w:eastAsia="Calibri" w:hAnsi="Times New Roman"/>
          <w:snapToGrid w:val="0"/>
          <w:color w:val="auto"/>
          <w:kern w:val="22"/>
          <w:bdr w:val="none" w:sz="0" w:space="0" w:color="auto"/>
          <w:lang w:val="en-GB"/>
        </w:rPr>
        <w:t xml:space="preserve"> also</w:t>
      </w:r>
      <w:r w:rsidRPr="00DF02C5">
        <w:rPr>
          <w:rFonts w:eastAsia="Calibri" w:hAnsi="Times New Roman"/>
          <w:snapToGrid w:val="0"/>
          <w:color w:val="auto"/>
          <w:kern w:val="22"/>
          <w:bdr w:val="none" w:sz="0" w:space="0" w:color="auto"/>
          <w:lang w:val="en-GB"/>
        </w:rPr>
        <w:t xml:space="preserve"> highlighted by some.</w:t>
      </w:r>
    </w:p>
    <w:p w14:paraId="5DE50348" w14:textId="056BA79E" w:rsidR="005F3A08" w:rsidRPr="00DF02C5" w:rsidRDefault="00D84EFE"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One country mentioned the need to take into consideration possible changes in intent in non-commercial research.</w:t>
      </w:r>
      <w:r w:rsidRPr="00DF02C5">
        <w:rPr>
          <w:rStyle w:val="FootnoteReference"/>
          <w:rFonts w:eastAsia="Calibri" w:hAnsi="Times New Roman"/>
          <w:snapToGrid w:val="0"/>
          <w:color w:val="auto"/>
          <w:kern w:val="22"/>
          <w:bdr w:val="none" w:sz="0" w:space="0" w:color="auto"/>
          <w:lang w:val="en-GB"/>
        </w:rPr>
        <w:footnoteReference w:id="294"/>
      </w:r>
      <w:r w:rsidRPr="00DF02C5">
        <w:rPr>
          <w:rFonts w:eastAsia="Calibri" w:hAnsi="Times New Roman"/>
          <w:snapToGrid w:val="0"/>
          <w:color w:val="auto"/>
          <w:kern w:val="22"/>
          <w:bdr w:val="none" w:sz="0" w:space="0" w:color="auto"/>
          <w:lang w:val="en-GB"/>
        </w:rPr>
        <w:t xml:space="preserve"> In relation to Article 8(b), </w:t>
      </w:r>
      <w:r w:rsidR="001D5991" w:rsidRPr="00DF02C5">
        <w:rPr>
          <w:rFonts w:eastAsia="Calibri" w:hAnsi="Times New Roman"/>
          <w:snapToGrid w:val="0"/>
          <w:color w:val="auto"/>
          <w:kern w:val="22"/>
          <w:bdr w:val="none" w:sz="0" w:space="0" w:color="auto"/>
          <w:lang w:val="en-GB"/>
        </w:rPr>
        <w:t>an</w:t>
      </w:r>
      <w:r w:rsidRPr="00DF02C5">
        <w:rPr>
          <w:rFonts w:eastAsia="Calibri" w:hAnsi="Times New Roman"/>
          <w:snapToGrid w:val="0"/>
          <w:color w:val="auto"/>
          <w:kern w:val="22"/>
          <w:bdr w:val="none" w:sz="0" w:space="0" w:color="auto"/>
          <w:lang w:val="en-GB"/>
        </w:rPr>
        <w:t>other country indicated that</w:t>
      </w:r>
      <w:r w:rsidR="00BD4AF6" w:rsidRPr="00DF02C5">
        <w:rPr>
          <w:rFonts w:eastAsia="Calibri" w:hAnsi="Times New Roman"/>
          <w:snapToGrid w:val="0"/>
          <w:color w:val="auto"/>
          <w:kern w:val="22"/>
          <w:bdr w:val="none" w:sz="0" w:space="0" w:color="auto"/>
          <w:lang w:val="en-GB"/>
        </w:rPr>
        <w:t xml:space="preserve"> it was a challenge</w:t>
      </w:r>
      <w:r w:rsidRPr="00DF02C5">
        <w:rPr>
          <w:rFonts w:eastAsia="Calibri" w:hAnsi="Times New Roman"/>
          <w:snapToGrid w:val="0"/>
          <w:color w:val="auto"/>
          <w:kern w:val="22"/>
          <w:bdr w:val="none" w:sz="0" w:space="0" w:color="auto"/>
          <w:lang w:val="en-GB"/>
        </w:rPr>
        <w:t xml:space="preserve"> to deve</w:t>
      </w:r>
      <w:r w:rsidR="00BD4AF6" w:rsidRPr="00DF02C5">
        <w:rPr>
          <w:rFonts w:eastAsia="Calibri" w:hAnsi="Times New Roman"/>
          <w:snapToGrid w:val="0"/>
          <w:color w:val="auto"/>
          <w:kern w:val="22"/>
          <w:bdr w:val="none" w:sz="0" w:space="0" w:color="auto"/>
          <w:lang w:val="en-GB"/>
        </w:rPr>
        <w:t xml:space="preserve">lop measures that do not result in </w:t>
      </w:r>
      <w:r w:rsidRPr="00DF02C5">
        <w:rPr>
          <w:rFonts w:eastAsia="Calibri" w:hAnsi="Times New Roman"/>
          <w:snapToGrid w:val="0"/>
          <w:color w:val="auto"/>
          <w:kern w:val="22"/>
          <w:bdr w:val="none" w:sz="0" w:space="0" w:color="auto"/>
          <w:lang w:val="en-GB"/>
        </w:rPr>
        <w:t xml:space="preserve">putting developing countries in less favourable situations than developed countries and that protect the most vulnerable populations. Another country reported having difficulties in ensuring </w:t>
      </w:r>
      <w:r w:rsidR="001A656B" w:rsidRPr="00DF02C5">
        <w:rPr>
          <w:rFonts w:eastAsia="Calibri" w:hAnsi="Times New Roman"/>
          <w:snapToGrid w:val="0"/>
          <w:color w:val="auto"/>
          <w:kern w:val="22"/>
          <w:bdr w:val="none" w:sz="0" w:space="0" w:color="auto"/>
          <w:lang w:val="en-GB"/>
        </w:rPr>
        <w:t xml:space="preserve">mutually supportive implementation of </w:t>
      </w:r>
      <w:r w:rsidRPr="00DF02C5">
        <w:rPr>
          <w:rFonts w:eastAsia="Calibri" w:hAnsi="Times New Roman"/>
          <w:snapToGrid w:val="0"/>
          <w:color w:val="auto"/>
          <w:kern w:val="22"/>
          <w:bdr w:val="none" w:sz="0" w:space="0" w:color="auto"/>
          <w:lang w:val="en-GB"/>
        </w:rPr>
        <w:t xml:space="preserve">the Nagoya Protocol and the ITPGRFA, </w:t>
      </w:r>
      <w:r w:rsidR="001A656B" w:rsidRPr="00DF02C5">
        <w:rPr>
          <w:rFonts w:eastAsia="Calibri" w:hAnsi="Times New Roman"/>
          <w:snapToGrid w:val="0"/>
          <w:color w:val="auto"/>
          <w:kern w:val="22"/>
          <w:bdr w:val="none" w:sz="0" w:space="0" w:color="auto"/>
          <w:lang w:val="en-GB"/>
        </w:rPr>
        <w:t>and considered particularly difficult</w:t>
      </w:r>
      <w:r w:rsidRPr="00DF02C5">
        <w:rPr>
          <w:rFonts w:eastAsia="Calibri" w:hAnsi="Times New Roman"/>
          <w:snapToGrid w:val="0"/>
          <w:color w:val="auto"/>
          <w:kern w:val="22"/>
          <w:bdr w:val="none" w:sz="0" w:space="0" w:color="auto"/>
          <w:lang w:val="en-GB"/>
        </w:rPr>
        <w:t xml:space="preserve"> </w:t>
      </w:r>
      <w:r w:rsidR="001A656B" w:rsidRPr="00DF02C5">
        <w:rPr>
          <w:rFonts w:eastAsia="Calibri" w:hAnsi="Times New Roman"/>
          <w:snapToGrid w:val="0"/>
          <w:color w:val="auto"/>
          <w:kern w:val="22"/>
          <w:bdr w:val="none" w:sz="0" w:space="0" w:color="auto"/>
          <w:lang w:val="en-GB"/>
        </w:rPr>
        <w:t>how to monitor possible</w:t>
      </w:r>
      <w:r w:rsidRPr="00DF02C5">
        <w:rPr>
          <w:rFonts w:eastAsia="Calibri" w:hAnsi="Times New Roman"/>
          <w:snapToGrid w:val="0"/>
          <w:color w:val="auto"/>
          <w:kern w:val="22"/>
          <w:bdr w:val="none" w:sz="0" w:space="0" w:color="auto"/>
          <w:lang w:val="en-GB"/>
        </w:rPr>
        <w:t xml:space="preserve"> change</w:t>
      </w:r>
      <w:r w:rsidR="001A656B" w:rsidRPr="00DF02C5">
        <w:rPr>
          <w:rFonts w:eastAsia="Calibri" w:hAnsi="Times New Roman"/>
          <w:snapToGrid w:val="0"/>
          <w:color w:val="auto"/>
          <w:kern w:val="22"/>
          <w:bdr w:val="none" w:sz="0" w:space="0" w:color="auto"/>
          <w:lang w:val="en-GB"/>
        </w:rPr>
        <w:t>s</w:t>
      </w:r>
      <w:r w:rsidRPr="00DF02C5">
        <w:rPr>
          <w:rFonts w:eastAsia="Calibri" w:hAnsi="Times New Roman"/>
          <w:snapToGrid w:val="0"/>
          <w:color w:val="auto"/>
          <w:kern w:val="22"/>
          <w:bdr w:val="none" w:sz="0" w:space="0" w:color="auto"/>
          <w:lang w:val="en-GB"/>
        </w:rPr>
        <w:t xml:space="preserve"> of intent in the use of genetic resources accessed within the ITPGRFA system.</w:t>
      </w:r>
    </w:p>
    <w:p w14:paraId="35BBBE85" w14:textId="54D591D3" w:rsidR="005F3A08" w:rsidRPr="00DF02C5" w:rsidRDefault="005F3A08" w:rsidP="007E4AC9">
      <w:pPr>
        <w:pStyle w:val="Heading2"/>
        <w:numPr>
          <w:ilvl w:val="0"/>
          <w:numId w:val="10"/>
        </w:numPr>
        <w:tabs>
          <w:tab w:val="clear" w:pos="720"/>
          <w:tab w:val="left" w:pos="1170"/>
        </w:tabs>
        <w:spacing w:before="240"/>
        <w:ind w:left="1170" w:hanging="540"/>
        <w:jc w:val="left"/>
        <w:rPr>
          <w:rFonts w:eastAsia="Calibri"/>
          <w:snapToGrid w:val="0"/>
          <w:bdr w:val="none" w:sz="0" w:space="0" w:color="auto"/>
          <w:lang w:val="en-GB"/>
        </w:rPr>
      </w:pPr>
      <w:bookmarkStart w:id="13" w:name="_Toc511112609"/>
      <w:r w:rsidRPr="00DF02C5">
        <w:rPr>
          <w:rFonts w:eastAsia="Calibri"/>
          <w:snapToGrid w:val="0"/>
          <w:bdr w:val="none" w:sz="0" w:space="0" w:color="auto"/>
          <w:lang w:val="en-GB"/>
        </w:rPr>
        <w:t xml:space="preserve">Provisions related to indigenous and local communities: </w:t>
      </w:r>
      <w:r w:rsidR="007E4AC9">
        <w:rPr>
          <w:rFonts w:eastAsia="Calibri"/>
          <w:snapToGrid w:val="0"/>
          <w:bdr w:val="none" w:sz="0" w:space="0" w:color="auto"/>
          <w:lang w:val="en-GB"/>
        </w:rPr>
        <w:t>Articles 6, 7 and 12 (questions </w:t>
      </w:r>
      <w:r w:rsidRPr="00DF02C5">
        <w:rPr>
          <w:rFonts w:eastAsia="Calibri"/>
          <w:snapToGrid w:val="0"/>
          <w:bdr w:val="none" w:sz="0" w:space="0" w:color="auto"/>
          <w:lang w:val="en-GB"/>
        </w:rPr>
        <w:t>37 to 44)</w:t>
      </w:r>
      <w:bookmarkEnd w:id="13"/>
    </w:p>
    <w:p w14:paraId="7E88B43A" w14:textId="393BE4A6" w:rsidR="005F3A08" w:rsidRPr="007E4AC9" w:rsidRDefault="001A656B" w:rsidP="007E4AC9">
      <w:pPr>
        <w:numPr>
          <w:ilvl w:val="0"/>
          <w:numId w:val="45"/>
        </w:numPr>
        <w:spacing w:before="240" w:after="120"/>
        <w:ind w:left="0" w:firstLine="0"/>
        <w:jc w:val="center"/>
        <w:rPr>
          <w:rFonts w:eastAsia="Calibri" w:hAnsi="Times New Roman" w:cs="Times New Roman"/>
          <w:i/>
          <w:snapToGrid w:val="0"/>
          <w:color w:val="auto"/>
          <w:kern w:val="22"/>
          <w:bdr w:val="none" w:sz="0" w:space="0" w:color="auto"/>
          <w:lang w:val="en-GB"/>
        </w:rPr>
      </w:pPr>
      <w:r w:rsidRPr="007E4AC9">
        <w:rPr>
          <w:rFonts w:eastAsia="Calibri" w:hAnsi="Times New Roman" w:cs="Times New Roman"/>
          <w:i/>
          <w:snapToGrid w:val="0"/>
          <w:color w:val="auto"/>
          <w:kern w:val="22"/>
          <w:bdr w:val="none" w:sz="0" w:space="0" w:color="auto"/>
          <w:lang w:val="en-GB"/>
        </w:rPr>
        <w:t xml:space="preserve">Does your country have indigenous and local communities </w:t>
      </w:r>
      <w:r w:rsidR="005F3A08" w:rsidRPr="007E4AC9">
        <w:rPr>
          <w:rFonts w:eastAsia="Calibri" w:hAnsi="Times New Roman" w:cs="Times New Roman"/>
          <w:i/>
          <w:snapToGrid w:val="0"/>
          <w:color w:val="auto"/>
          <w:kern w:val="22"/>
          <w:bdr w:val="none" w:sz="0" w:space="0" w:color="auto"/>
          <w:lang w:val="en-GB"/>
        </w:rPr>
        <w:t xml:space="preserve">(question </w:t>
      </w:r>
      <w:proofErr w:type="gramStart"/>
      <w:r w:rsidR="005F3A08" w:rsidRPr="007E4AC9">
        <w:rPr>
          <w:rFonts w:eastAsia="Calibri" w:hAnsi="Times New Roman" w:cs="Times New Roman"/>
          <w:i/>
          <w:snapToGrid w:val="0"/>
          <w:color w:val="auto"/>
          <w:kern w:val="22"/>
          <w:bdr w:val="none" w:sz="0" w:space="0" w:color="auto"/>
          <w:lang w:val="en-GB"/>
        </w:rPr>
        <w:t>37)</w:t>
      </w:r>
      <w:proofErr w:type="gramEnd"/>
    </w:p>
    <w:p w14:paraId="1B532585" w14:textId="50A79349" w:rsidR="003B65C5" w:rsidRPr="00DF02C5" w:rsidRDefault="003B65C5" w:rsidP="00A2498F">
      <w:pPr>
        <w:pStyle w:val="Para1"/>
        <w:numPr>
          <w:ilvl w:val="0"/>
          <w:numId w:val="1"/>
        </w:numPr>
        <w:rPr>
          <w:rFonts w:eastAsia="Calibri" w:hAnsi="Times New Roman"/>
          <w:snapToGrid w:val="0"/>
          <w:kern w:val="22"/>
          <w:bdr w:val="none" w:sz="0" w:space="0" w:color="auto"/>
          <w:lang w:val="en-GB"/>
        </w:rPr>
      </w:pPr>
      <w:proofErr w:type="gramStart"/>
      <w:r w:rsidRPr="00DF02C5">
        <w:rPr>
          <w:rFonts w:eastAsia="Calibri" w:hAnsi="Times New Roman"/>
          <w:snapToGrid w:val="0"/>
          <w:kern w:val="22"/>
          <w:bdr w:val="none" w:sz="0" w:space="0" w:color="auto"/>
          <w:lang w:val="en-GB"/>
        </w:rPr>
        <w:t>Forty-seven</w:t>
      </w:r>
      <w:proofErr w:type="gramEnd"/>
      <w:r w:rsidRPr="00DF02C5">
        <w:rPr>
          <w:rFonts w:eastAsia="Calibri" w:hAnsi="Times New Roman"/>
          <w:snapToGrid w:val="0"/>
          <w:kern w:val="22"/>
          <w:bdr w:val="none" w:sz="0" w:space="0" w:color="auto"/>
          <w:lang w:val="en-GB"/>
        </w:rPr>
        <w:t xml:space="preserve"> Parties and two non-Parties responded that </w:t>
      </w:r>
      <w:r w:rsidR="001A656B" w:rsidRPr="00DF02C5">
        <w:rPr>
          <w:rFonts w:eastAsia="Calibri" w:hAnsi="Times New Roman"/>
          <w:snapToGrid w:val="0"/>
          <w:kern w:val="22"/>
          <w:bdr w:val="none" w:sz="0" w:space="0" w:color="auto"/>
          <w:lang w:val="en-GB"/>
        </w:rPr>
        <w:t xml:space="preserve">there are </w:t>
      </w:r>
      <w:r w:rsidRPr="00DF02C5">
        <w:rPr>
          <w:rFonts w:eastAsia="Calibri" w:hAnsi="Times New Roman"/>
          <w:snapToGrid w:val="0"/>
          <w:kern w:val="22"/>
          <w:bdr w:val="none" w:sz="0" w:space="0" w:color="auto"/>
          <w:lang w:val="en-GB"/>
        </w:rPr>
        <w:t xml:space="preserve">indigenous </w:t>
      </w:r>
      <w:r w:rsidR="001A656B" w:rsidRPr="00DF02C5">
        <w:rPr>
          <w:rFonts w:eastAsia="Calibri" w:hAnsi="Times New Roman"/>
          <w:snapToGrid w:val="0"/>
          <w:kern w:val="22"/>
          <w:bdr w:val="none" w:sz="0" w:space="0" w:color="auto"/>
          <w:lang w:val="en-GB"/>
        </w:rPr>
        <w:t xml:space="preserve">peoples </w:t>
      </w:r>
      <w:r w:rsidRPr="00DF02C5">
        <w:rPr>
          <w:rFonts w:eastAsia="Calibri" w:hAnsi="Times New Roman"/>
          <w:snapToGrid w:val="0"/>
          <w:kern w:val="22"/>
          <w:bdr w:val="none" w:sz="0" w:space="0" w:color="auto"/>
          <w:lang w:val="en-GB"/>
        </w:rPr>
        <w:t>and local communities</w:t>
      </w:r>
      <w:r w:rsidR="001A656B" w:rsidRPr="00DF02C5">
        <w:rPr>
          <w:rFonts w:eastAsia="Calibri" w:hAnsi="Times New Roman"/>
          <w:snapToGrid w:val="0"/>
          <w:kern w:val="22"/>
          <w:bdr w:val="none" w:sz="0" w:space="0" w:color="auto"/>
          <w:lang w:val="en-GB"/>
        </w:rPr>
        <w:t xml:space="preserve"> in their country, while twenty-two Parties and four non-Parties answered that there are not.</w:t>
      </w:r>
    </w:p>
    <w:p w14:paraId="193A0B5D" w14:textId="20954FA1" w:rsidR="001A656B" w:rsidRPr="00DF02C5" w:rsidRDefault="00E5256F" w:rsidP="00E5256F">
      <w:pPr>
        <w:pStyle w:val="Caption"/>
        <w:keepNext/>
        <w:keepLines/>
        <w:rPr>
          <w:snapToGrid w:val="0"/>
          <w:bdr w:val="none" w:sz="0" w:space="0" w:color="auto"/>
          <w:lang w:val="en-GB"/>
        </w:rPr>
      </w:pPr>
      <w:r w:rsidRPr="00DF02C5">
        <w:rPr>
          <w:lang w:val="en-GB"/>
        </w:rPr>
        <w:lastRenderedPageBreak/>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Pr="00DF02C5">
        <w:rPr>
          <w:noProof/>
          <w:lang w:val="en-GB"/>
        </w:rPr>
        <w:t>35</w:t>
      </w:r>
      <w:r w:rsidRPr="00DF02C5">
        <w:rPr>
          <w:lang w:val="en-GB"/>
        </w:rPr>
        <w:fldChar w:fldCharType="end"/>
      </w:r>
      <w:r w:rsidR="001A656B" w:rsidRPr="00DF02C5">
        <w:rPr>
          <w:snapToGrid w:val="0"/>
          <w:bdr w:val="none" w:sz="0" w:space="0" w:color="auto"/>
          <w:lang w:val="en-GB"/>
        </w:rPr>
        <w:t>: Countries with indigenous peoples and local communities (percentage)</w:t>
      </w:r>
    </w:p>
    <w:p w14:paraId="2E660443" w14:textId="1ABE545C" w:rsidR="001A656B" w:rsidRPr="00DF02C5" w:rsidRDefault="001A656B" w:rsidP="001A656B">
      <w:pPr>
        <w:pStyle w:val="Para1"/>
        <w:jc w:val="center"/>
        <w:rPr>
          <w:rFonts w:eastAsia="Calibri" w:hAnsi="Times New Roman"/>
          <w:snapToGrid w:val="0"/>
          <w:kern w:val="22"/>
          <w:bdr w:val="none" w:sz="0" w:space="0" w:color="auto"/>
          <w:lang w:val="en-GB"/>
        </w:rPr>
      </w:pPr>
      <w:r w:rsidRPr="00DF02C5">
        <w:rPr>
          <w:noProof/>
          <w:color w:val="auto"/>
        </w:rPr>
        <w:drawing>
          <wp:inline distT="0" distB="0" distL="0" distR="0" wp14:anchorId="12B714FB" wp14:editId="693A692C">
            <wp:extent cx="3257550" cy="1905000"/>
            <wp:effectExtent l="0" t="0" r="19050"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B12C896" w14:textId="25C07E03" w:rsidR="001A656B" w:rsidRPr="00DF02C5" w:rsidRDefault="001A656B" w:rsidP="001A656B">
      <w:pPr>
        <w:pStyle w:val="ListParagraph"/>
        <w:ind w:left="0"/>
        <w:rPr>
          <w:rFonts w:eastAsia="Calibri" w:hAnsi="Times New Roman" w:cs="Times New Roman"/>
          <w:i/>
          <w:snapToGrid w:val="0"/>
          <w:color w:val="auto"/>
          <w:kern w:val="22"/>
          <w:bdr w:val="none" w:sz="0" w:space="0" w:color="auto"/>
          <w:lang w:val="en-GB"/>
        </w:rPr>
      </w:pPr>
      <w:r w:rsidRPr="00DF02C5">
        <w:rPr>
          <w:rFonts w:eastAsia="Calibri" w:hAnsi="Times New Roman" w:cs="Times New Roman"/>
          <w:i/>
          <w:snapToGrid w:val="0"/>
          <w:color w:val="auto"/>
          <w:kern w:val="22"/>
          <w:bdr w:val="none" w:sz="0" w:space="0" w:color="auto"/>
          <w:lang w:val="en-GB"/>
        </w:rPr>
        <w:t>(a)</w:t>
      </w:r>
      <w:r w:rsidRPr="00DF02C5">
        <w:rPr>
          <w:rFonts w:eastAsia="Calibri" w:hAnsi="Times New Roman" w:cs="Times New Roman"/>
          <w:i/>
          <w:snapToGrid w:val="0"/>
          <w:color w:val="auto"/>
          <w:kern w:val="22"/>
          <w:bdr w:val="none" w:sz="0" w:space="0" w:color="auto"/>
          <w:lang w:val="en-GB"/>
        </w:rPr>
        <w:tab/>
        <w:t>Countries that answered “yes”</w:t>
      </w:r>
    </w:p>
    <w:p w14:paraId="3C1ED41C" w14:textId="761F1F09" w:rsidR="005F3A08" w:rsidRPr="00DF02C5" w:rsidRDefault="001A656B"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Some c</w:t>
      </w:r>
      <w:r w:rsidR="005F3A08" w:rsidRPr="00DF02C5">
        <w:rPr>
          <w:rFonts w:eastAsia="Calibri" w:hAnsi="Times New Roman"/>
          <w:snapToGrid w:val="0"/>
          <w:color w:val="auto"/>
          <w:kern w:val="22"/>
          <w:bdr w:val="none" w:sz="0" w:space="0" w:color="auto"/>
          <w:lang w:val="en-GB"/>
        </w:rPr>
        <w:t xml:space="preserve">ountries indicated </w:t>
      </w:r>
      <w:r w:rsidRPr="00DF02C5">
        <w:rPr>
          <w:rFonts w:eastAsia="Calibri" w:hAnsi="Times New Roman"/>
          <w:snapToGrid w:val="0"/>
          <w:color w:val="auto"/>
          <w:kern w:val="22"/>
          <w:bdr w:val="none" w:sz="0" w:space="0" w:color="auto"/>
          <w:lang w:val="en-GB"/>
        </w:rPr>
        <w:t>that there are there are either indigenous peoples,</w:t>
      </w:r>
      <w:r w:rsidRPr="00DF02C5">
        <w:rPr>
          <w:rStyle w:val="FootnoteReference"/>
          <w:rFonts w:eastAsia="Calibri" w:hAnsi="Times New Roman"/>
          <w:snapToGrid w:val="0"/>
          <w:color w:val="auto"/>
          <w:kern w:val="22"/>
          <w:bdr w:val="none" w:sz="0" w:space="0" w:color="auto"/>
          <w:lang w:val="en-GB"/>
        </w:rPr>
        <w:t xml:space="preserve"> </w:t>
      </w:r>
      <w:r w:rsidRPr="00DF02C5">
        <w:rPr>
          <w:rStyle w:val="FootnoteReference"/>
          <w:rFonts w:eastAsia="Calibri" w:hAnsi="Times New Roman"/>
          <w:snapToGrid w:val="0"/>
          <w:color w:val="auto"/>
          <w:kern w:val="22"/>
          <w:bdr w:val="none" w:sz="0" w:space="0" w:color="auto"/>
          <w:lang w:val="en-GB"/>
        </w:rPr>
        <w:footnoteReference w:id="295"/>
      </w:r>
      <w:r w:rsidRPr="00DF02C5">
        <w:rPr>
          <w:rFonts w:eastAsia="Calibri" w:hAnsi="Times New Roman"/>
          <w:snapToGrid w:val="0"/>
          <w:color w:val="auto"/>
          <w:kern w:val="22"/>
          <w:bdr w:val="none" w:sz="0" w:space="0" w:color="auto"/>
          <w:lang w:val="en-GB"/>
        </w:rPr>
        <w:t xml:space="preserve"> local communities </w:t>
      </w:r>
      <w:r w:rsidRPr="00DF02C5">
        <w:rPr>
          <w:rStyle w:val="FootnoteReference"/>
          <w:rFonts w:eastAsia="Calibri" w:hAnsi="Times New Roman"/>
          <w:snapToGrid w:val="0"/>
          <w:color w:val="auto"/>
          <w:kern w:val="22"/>
          <w:bdr w:val="none" w:sz="0" w:space="0" w:color="auto"/>
          <w:lang w:val="en-GB"/>
        </w:rPr>
        <w:footnoteReference w:id="296"/>
      </w:r>
      <w:r w:rsidRPr="00DF02C5">
        <w:rPr>
          <w:rFonts w:eastAsia="Calibri" w:hAnsi="Times New Roman"/>
          <w:snapToGrid w:val="0"/>
          <w:color w:val="auto"/>
          <w:kern w:val="22"/>
          <w:bdr w:val="none" w:sz="0" w:space="0" w:color="auto"/>
          <w:lang w:val="en-GB"/>
        </w:rPr>
        <w:t>or both.</w:t>
      </w:r>
      <w:r w:rsidRPr="00DF02C5">
        <w:rPr>
          <w:rStyle w:val="FootnoteReference"/>
          <w:rFonts w:eastAsia="Calibri" w:hAnsi="Times New Roman"/>
          <w:snapToGrid w:val="0"/>
          <w:color w:val="auto"/>
          <w:kern w:val="22"/>
          <w:bdr w:val="none" w:sz="0" w:space="0" w:color="auto"/>
          <w:lang w:val="en-GB"/>
        </w:rPr>
        <w:footnoteReference w:id="297"/>
      </w:r>
      <w:r w:rsidRPr="00DF02C5">
        <w:rPr>
          <w:rFonts w:eastAsia="Calibri" w:hAnsi="Times New Roman"/>
          <w:snapToGrid w:val="0"/>
          <w:color w:val="auto"/>
          <w:kern w:val="22"/>
          <w:bdr w:val="none" w:sz="0" w:space="0" w:color="auto"/>
          <w:lang w:val="en-GB"/>
        </w:rPr>
        <w:t xml:space="preserve"> </w:t>
      </w:r>
      <w:r w:rsidR="005F3A08" w:rsidRPr="00DF02C5">
        <w:rPr>
          <w:rFonts w:eastAsia="Calibri" w:hAnsi="Times New Roman"/>
          <w:snapToGrid w:val="0"/>
          <w:color w:val="auto"/>
          <w:kern w:val="22"/>
          <w:bdr w:val="none" w:sz="0" w:space="0" w:color="auto"/>
          <w:lang w:val="en-GB"/>
        </w:rPr>
        <w:t xml:space="preserve">Some countries used a different terminology in the submissions, for instance, Japan talked about “indigenous communities” and Peru referred to “indigenous peoples, peasant communities and native communities”. In France, the law on biodiversity gives a definition of the terminology </w:t>
      </w:r>
      <w:r w:rsidR="000A1A42" w:rsidRPr="00DF02C5">
        <w:rPr>
          <w:rFonts w:eastAsia="Calibri" w:hAnsi="Times New Roman"/>
          <w:snapToGrid w:val="0"/>
          <w:color w:val="auto"/>
          <w:kern w:val="22"/>
          <w:bdr w:val="none" w:sz="0" w:space="0" w:color="auto"/>
          <w:lang w:val="en-GB"/>
        </w:rPr>
        <w:t>“</w:t>
      </w:r>
      <w:r w:rsidR="005F3A08" w:rsidRPr="00DF02C5">
        <w:rPr>
          <w:rFonts w:eastAsia="Calibri" w:hAnsi="Times New Roman"/>
          <w:snapToGrid w:val="0"/>
          <w:color w:val="auto"/>
          <w:kern w:val="22"/>
          <w:bdr w:val="none" w:sz="0" w:space="0" w:color="auto"/>
          <w:lang w:val="en-GB"/>
        </w:rPr>
        <w:t>indigenous and local communities”</w:t>
      </w:r>
      <w:r w:rsidR="005F3A08" w:rsidRPr="00DF02C5">
        <w:rPr>
          <w:rStyle w:val="FootnoteReference"/>
          <w:rFonts w:eastAsia="Calibri" w:hAnsi="Times New Roman"/>
          <w:snapToGrid w:val="0"/>
          <w:color w:val="auto"/>
          <w:kern w:val="22"/>
          <w:bdr w:val="none" w:sz="0" w:space="0" w:color="auto"/>
          <w:lang w:val="en-GB"/>
        </w:rPr>
        <w:footnoteReference w:id="298"/>
      </w:r>
      <w:r w:rsidR="005F3A08" w:rsidRPr="00DF02C5">
        <w:rPr>
          <w:rFonts w:eastAsia="Calibri" w:hAnsi="Times New Roman"/>
          <w:snapToGrid w:val="0"/>
          <w:color w:val="auto"/>
          <w:kern w:val="22"/>
          <w:bdr w:val="none" w:sz="0" w:space="0" w:color="auto"/>
          <w:lang w:val="en-GB"/>
        </w:rPr>
        <w:t xml:space="preserve"> in order to address the situation overseas. One country</w:t>
      </w:r>
      <w:r w:rsidR="005F3A08" w:rsidRPr="00DF02C5">
        <w:rPr>
          <w:rStyle w:val="FootnoteReference"/>
          <w:rFonts w:eastAsia="Calibri" w:hAnsi="Times New Roman"/>
          <w:snapToGrid w:val="0"/>
          <w:color w:val="auto"/>
          <w:kern w:val="22"/>
          <w:bdr w:val="none" w:sz="0" w:space="0" w:color="auto"/>
          <w:lang w:val="en-GB"/>
        </w:rPr>
        <w:footnoteReference w:id="299"/>
      </w:r>
      <w:r w:rsidR="00B54C38">
        <w:rPr>
          <w:rFonts w:eastAsia="Calibri" w:hAnsi="Times New Roman"/>
          <w:snapToGrid w:val="0"/>
          <w:color w:val="auto"/>
          <w:kern w:val="22"/>
          <w:bdr w:val="none" w:sz="0" w:space="0" w:color="auto"/>
          <w:lang w:val="en-GB"/>
        </w:rPr>
        <w:t xml:space="preserve"> recogniz</w:t>
      </w:r>
      <w:r w:rsidR="005F3A08" w:rsidRPr="00DF02C5">
        <w:rPr>
          <w:rFonts w:eastAsia="Calibri" w:hAnsi="Times New Roman"/>
          <w:snapToGrid w:val="0"/>
          <w:color w:val="auto"/>
          <w:kern w:val="22"/>
          <w:bdr w:val="none" w:sz="0" w:space="0" w:color="auto"/>
          <w:lang w:val="en-GB"/>
        </w:rPr>
        <w:t>ed the need to define indigenous and local communities with respect to the local context.</w:t>
      </w:r>
    </w:p>
    <w:p w14:paraId="05BC1C3A" w14:textId="77777777" w:rsidR="005F3A08" w:rsidRPr="00DF02C5" w:rsidRDefault="005F3A08"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Some countries provided information related to the organization of local communities. For example: </w:t>
      </w:r>
    </w:p>
    <w:p w14:paraId="1C939FAF" w14:textId="79CCD1A0" w:rsidR="005F3A08" w:rsidRPr="00DF02C5" w:rsidRDefault="006538B3" w:rsidP="005038A2">
      <w:pPr>
        <w:pStyle w:val="ListParagraph"/>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snapToGrid w:val="0"/>
          <w:color w:val="auto"/>
          <w:szCs w:val="18"/>
          <w:bdr w:val="none" w:sz="0" w:space="0" w:color="auto"/>
          <w:lang w:val="en-GB"/>
        </w:rPr>
      </w:pPr>
      <w:r w:rsidRPr="00DF02C5">
        <w:rPr>
          <w:rFonts w:eastAsia="Times New Roman" w:hAnsi="Times New Roman" w:cs="Times New Roman"/>
          <w:snapToGrid w:val="0"/>
          <w:color w:val="auto"/>
          <w:szCs w:val="18"/>
          <w:bdr w:val="none" w:sz="0" w:space="0" w:color="auto"/>
          <w:lang w:val="en-GB"/>
        </w:rPr>
        <w:t xml:space="preserve">In </w:t>
      </w:r>
      <w:r w:rsidR="005F3A08" w:rsidRPr="00DF02C5">
        <w:rPr>
          <w:rFonts w:eastAsia="Times New Roman" w:hAnsi="Times New Roman" w:cs="Times New Roman"/>
          <w:snapToGrid w:val="0"/>
          <w:color w:val="auto"/>
          <w:szCs w:val="18"/>
          <w:bdr w:val="none" w:sz="0" w:space="0" w:color="auto"/>
          <w:lang w:val="en-GB"/>
        </w:rPr>
        <w:t xml:space="preserve">Côte d’Ivoire local communities </w:t>
      </w:r>
      <w:r w:rsidR="003E2278" w:rsidRPr="00DF02C5">
        <w:rPr>
          <w:rFonts w:eastAsia="Times New Roman" w:hAnsi="Times New Roman" w:cs="Times New Roman"/>
          <w:snapToGrid w:val="0"/>
          <w:color w:val="auto"/>
          <w:szCs w:val="18"/>
          <w:bdr w:val="none" w:sz="0" w:space="0" w:color="auto"/>
          <w:lang w:val="en-GB"/>
        </w:rPr>
        <w:t xml:space="preserve">are </w:t>
      </w:r>
      <w:r w:rsidR="005F3A08" w:rsidRPr="00DF02C5">
        <w:rPr>
          <w:rFonts w:eastAsia="Times New Roman" w:hAnsi="Times New Roman" w:cs="Times New Roman"/>
          <w:snapToGrid w:val="0"/>
          <w:color w:val="auto"/>
          <w:szCs w:val="18"/>
          <w:bdr w:val="none" w:sz="0" w:space="0" w:color="auto"/>
          <w:lang w:val="en-GB"/>
        </w:rPr>
        <w:t xml:space="preserve">led by village or community chiefs or by kings whose authority </w:t>
      </w:r>
      <w:r w:rsidR="007E4AC9">
        <w:rPr>
          <w:rFonts w:eastAsia="Times New Roman" w:hAnsi="Times New Roman" w:cs="Times New Roman"/>
          <w:snapToGrid w:val="0"/>
          <w:color w:val="auto"/>
          <w:szCs w:val="18"/>
          <w:bdr w:val="none" w:sz="0" w:space="0" w:color="auto"/>
          <w:lang w:val="en-GB"/>
        </w:rPr>
        <w:t>i</w:t>
      </w:r>
      <w:r w:rsidR="00B54C38">
        <w:rPr>
          <w:rFonts w:eastAsia="Times New Roman" w:hAnsi="Times New Roman" w:cs="Times New Roman"/>
          <w:snapToGrid w:val="0"/>
          <w:color w:val="auto"/>
          <w:szCs w:val="18"/>
          <w:bdr w:val="none" w:sz="0" w:space="0" w:color="auto"/>
          <w:lang w:val="en-GB"/>
        </w:rPr>
        <w:t>s recogniz</w:t>
      </w:r>
      <w:r w:rsidR="007E4AC9">
        <w:rPr>
          <w:rFonts w:eastAsia="Times New Roman" w:hAnsi="Times New Roman" w:cs="Times New Roman"/>
          <w:snapToGrid w:val="0"/>
          <w:color w:val="auto"/>
          <w:szCs w:val="18"/>
          <w:bdr w:val="none" w:sz="0" w:space="0" w:color="auto"/>
          <w:lang w:val="en-GB"/>
        </w:rPr>
        <w:t>ed by law;</w:t>
      </w:r>
    </w:p>
    <w:p w14:paraId="6661C268" w14:textId="74CE4052" w:rsidR="005F3A08" w:rsidRPr="00DF02C5" w:rsidRDefault="007E4AC9" w:rsidP="005038A2">
      <w:pPr>
        <w:pStyle w:val="ListParagraph"/>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snapToGrid w:val="0"/>
          <w:color w:val="auto"/>
          <w:szCs w:val="18"/>
          <w:bdr w:val="none" w:sz="0" w:space="0" w:color="auto"/>
          <w:lang w:val="en-GB"/>
        </w:rPr>
      </w:pPr>
      <w:r>
        <w:rPr>
          <w:rFonts w:eastAsia="Times New Roman" w:hAnsi="Times New Roman" w:cs="Times New Roman"/>
          <w:snapToGrid w:val="0"/>
          <w:color w:val="auto"/>
          <w:szCs w:val="18"/>
          <w:bdr w:val="none" w:sz="0" w:space="0" w:color="auto"/>
          <w:lang w:val="en-GB"/>
        </w:rPr>
        <w:t>In Comoros, community organiz</w:t>
      </w:r>
      <w:r w:rsidR="005F3A08" w:rsidRPr="00DF02C5">
        <w:rPr>
          <w:rFonts w:eastAsia="Times New Roman" w:hAnsi="Times New Roman" w:cs="Times New Roman"/>
          <w:snapToGrid w:val="0"/>
          <w:color w:val="auto"/>
          <w:szCs w:val="18"/>
          <w:bdr w:val="none" w:sz="0" w:space="0" w:color="auto"/>
          <w:lang w:val="en-GB"/>
        </w:rPr>
        <w:t xml:space="preserve">ations were </w:t>
      </w:r>
      <w:r w:rsidR="006538B3" w:rsidRPr="00DF02C5">
        <w:rPr>
          <w:rFonts w:eastAsia="Times New Roman" w:hAnsi="Times New Roman" w:cs="Times New Roman"/>
          <w:snapToGrid w:val="0"/>
          <w:color w:val="auto"/>
          <w:szCs w:val="18"/>
          <w:bdr w:val="none" w:sz="0" w:space="0" w:color="auto"/>
          <w:lang w:val="en-GB"/>
        </w:rPr>
        <w:t>formed</w:t>
      </w:r>
      <w:r w:rsidR="005F3A08" w:rsidRPr="00DF02C5">
        <w:rPr>
          <w:rFonts w:eastAsia="Times New Roman" w:hAnsi="Times New Roman" w:cs="Times New Roman"/>
          <w:snapToGrid w:val="0"/>
          <w:color w:val="auto"/>
          <w:szCs w:val="18"/>
          <w:bdr w:val="none" w:sz="0" w:space="0" w:color="auto"/>
          <w:lang w:val="en-GB"/>
        </w:rPr>
        <w:t xml:space="preserve"> with the es</w:t>
      </w:r>
      <w:r>
        <w:rPr>
          <w:rFonts w:eastAsia="Times New Roman" w:hAnsi="Times New Roman" w:cs="Times New Roman"/>
          <w:snapToGrid w:val="0"/>
          <w:color w:val="auto"/>
          <w:szCs w:val="18"/>
          <w:bdr w:val="none" w:sz="0" w:space="0" w:color="auto"/>
          <w:lang w:val="en-GB"/>
        </w:rPr>
        <w:t>tablishment of protected areas;</w:t>
      </w:r>
    </w:p>
    <w:p w14:paraId="4F6BF4B6" w14:textId="0BFADB12" w:rsidR="005F3A08" w:rsidRPr="00DF02C5" w:rsidRDefault="005F3A08" w:rsidP="005038A2">
      <w:pPr>
        <w:pStyle w:val="ListParagraph"/>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snapToGrid w:val="0"/>
          <w:color w:val="auto"/>
          <w:szCs w:val="18"/>
          <w:bdr w:val="none" w:sz="0" w:space="0" w:color="auto"/>
          <w:lang w:val="en-GB"/>
        </w:rPr>
      </w:pPr>
      <w:r w:rsidRPr="00DF02C5">
        <w:rPr>
          <w:rFonts w:eastAsia="Times New Roman" w:hAnsi="Times New Roman" w:cs="Times New Roman"/>
          <w:snapToGrid w:val="0"/>
          <w:color w:val="auto"/>
          <w:szCs w:val="18"/>
          <w:bdr w:val="none" w:sz="0" w:space="0" w:color="auto"/>
          <w:lang w:val="en-GB"/>
        </w:rPr>
        <w:t xml:space="preserve">Uruguay noted that the main providers of associated traditional knowledge were local producers who were not necessarily </w:t>
      </w:r>
      <w:r w:rsidR="00B54C38">
        <w:rPr>
          <w:rFonts w:eastAsia="Times New Roman" w:hAnsi="Times New Roman" w:cs="Times New Roman"/>
          <w:snapToGrid w:val="0"/>
          <w:color w:val="auto"/>
          <w:szCs w:val="18"/>
          <w:bdr w:val="none" w:sz="0" w:space="0" w:color="auto"/>
          <w:lang w:val="en-GB"/>
        </w:rPr>
        <w:t>organiz</w:t>
      </w:r>
      <w:r w:rsidR="007E4AC9">
        <w:rPr>
          <w:rFonts w:eastAsia="Times New Roman" w:hAnsi="Times New Roman" w:cs="Times New Roman"/>
          <w:snapToGrid w:val="0"/>
          <w:color w:val="auto"/>
          <w:szCs w:val="18"/>
          <w:bdr w:val="none" w:sz="0" w:space="0" w:color="auto"/>
          <w:lang w:val="en-GB"/>
        </w:rPr>
        <w:t>ed as local communities;</w:t>
      </w:r>
    </w:p>
    <w:p w14:paraId="7B97B74A" w14:textId="329F72DF" w:rsidR="005F3A08" w:rsidRPr="00DF02C5" w:rsidRDefault="005F3A08" w:rsidP="005038A2">
      <w:pPr>
        <w:pStyle w:val="ListParagraph"/>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snapToGrid w:val="0"/>
          <w:color w:val="auto"/>
          <w:szCs w:val="18"/>
          <w:bdr w:val="none" w:sz="0" w:space="0" w:color="auto"/>
          <w:lang w:val="en-GB"/>
        </w:rPr>
      </w:pPr>
      <w:r w:rsidRPr="00DF02C5">
        <w:rPr>
          <w:rFonts w:eastAsia="Times New Roman" w:hAnsi="Times New Roman" w:cs="Times New Roman"/>
          <w:snapToGrid w:val="0"/>
          <w:color w:val="auto"/>
          <w:szCs w:val="18"/>
          <w:bdr w:val="none" w:sz="0" w:space="0" w:color="auto"/>
          <w:lang w:val="en-GB"/>
        </w:rPr>
        <w:t>Mali i</w:t>
      </w:r>
      <w:r w:rsidR="003E2278" w:rsidRPr="00DF02C5">
        <w:rPr>
          <w:rFonts w:eastAsia="Times New Roman" w:hAnsi="Times New Roman" w:cs="Times New Roman"/>
          <w:snapToGrid w:val="0"/>
          <w:color w:val="auto"/>
          <w:szCs w:val="18"/>
          <w:bdr w:val="none" w:sz="0" w:space="0" w:color="auto"/>
          <w:lang w:val="en-GB"/>
        </w:rPr>
        <w:t xml:space="preserve">ndicated </w:t>
      </w:r>
      <w:r w:rsidRPr="00DF02C5">
        <w:rPr>
          <w:rFonts w:eastAsia="Times New Roman" w:hAnsi="Times New Roman" w:cs="Times New Roman"/>
          <w:snapToGrid w:val="0"/>
          <w:color w:val="auto"/>
          <w:szCs w:val="18"/>
          <w:bdr w:val="none" w:sz="0" w:space="0" w:color="auto"/>
          <w:lang w:val="en-GB"/>
        </w:rPr>
        <w:t xml:space="preserve">that the communities </w:t>
      </w:r>
      <w:r w:rsidR="003E2278" w:rsidRPr="00DF02C5">
        <w:rPr>
          <w:rFonts w:eastAsia="Times New Roman" w:hAnsi="Times New Roman" w:cs="Times New Roman"/>
          <w:snapToGrid w:val="0"/>
          <w:color w:val="auto"/>
          <w:szCs w:val="18"/>
          <w:bdr w:val="none" w:sz="0" w:space="0" w:color="auto"/>
          <w:lang w:val="en-GB"/>
        </w:rPr>
        <w:t xml:space="preserve">are </w:t>
      </w:r>
      <w:r w:rsidR="007E4AC9">
        <w:rPr>
          <w:rFonts w:eastAsia="Times New Roman" w:hAnsi="Times New Roman" w:cs="Times New Roman"/>
          <w:snapToGrid w:val="0"/>
          <w:color w:val="auto"/>
          <w:szCs w:val="18"/>
          <w:bdr w:val="none" w:sz="0" w:space="0" w:color="auto"/>
          <w:lang w:val="en-GB"/>
        </w:rPr>
        <w:t>not organiz</w:t>
      </w:r>
      <w:r w:rsidRPr="00DF02C5">
        <w:rPr>
          <w:rFonts w:eastAsia="Times New Roman" w:hAnsi="Times New Roman" w:cs="Times New Roman"/>
          <w:snapToGrid w:val="0"/>
          <w:color w:val="auto"/>
          <w:szCs w:val="18"/>
          <w:bdr w:val="none" w:sz="0" w:space="0" w:color="auto"/>
          <w:lang w:val="en-GB"/>
        </w:rPr>
        <w:t>ed.</w:t>
      </w:r>
    </w:p>
    <w:p w14:paraId="275D00ED" w14:textId="7D3F5497" w:rsidR="003E2278" w:rsidRPr="00DF02C5" w:rsidRDefault="003E2278" w:rsidP="003E2278">
      <w:pPr>
        <w:pStyle w:val="Para1"/>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t>(b)</w:t>
      </w:r>
      <w:r w:rsidRPr="00DF02C5">
        <w:rPr>
          <w:rFonts w:eastAsia="Calibri" w:hAnsi="Times New Roman"/>
          <w:i/>
          <w:snapToGrid w:val="0"/>
          <w:color w:val="auto"/>
          <w:kern w:val="22"/>
          <w:bdr w:val="none" w:sz="0" w:space="0" w:color="auto"/>
          <w:lang w:val="en-GB"/>
        </w:rPr>
        <w:tab/>
        <w:t>Countries that answered “no”</w:t>
      </w:r>
    </w:p>
    <w:p w14:paraId="22CC64FE" w14:textId="6C9FE1A9" w:rsidR="005F3A08" w:rsidRPr="00DF02C5" w:rsidRDefault="003E2278"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T</w:t>
      </w:r>
      <w:r w:rsidR="005F3A08" w:rsidRPr="00DF02C5">
        <w:rPr>
          <w:rFonts w:eastAsia="Calibri" w:hAnsi="Times New Roman"/>
          <w:snapToGrid w:val="0"/>
          <w:color w:val="auto"/>
          <w:kern w:val="22"/>
          <w:bdr w:val="none" w:sz="0" w:space="0" w:color="auto"/>
          <w:lang w:val="en-GB"/>
        </w:rPr>
        <w:t>hree countries</w:t>
      </w:r>
      <w:r w:rsidR="005F3A08" w:rsidRPr="00DF02C5">
        <w:rPr>
          <w:rStyle w:val="FootnoteReference"/>
          <w:rFonts w:eastAsia="Calibri" w:hAnsi="Times New Roman"/>
          <w:snapToGrid w:val="0"/>
          <w:color w:val="auto"/>
          <w:kern w:val="22"/>
          <w:bdr w:val="none" w:sz="0" w:space="0" w:color="auto"/>
          <w:lang w:val="en-GB"/>
        </w:rPr>
        <w:footnoteReference w:id="300"/>
      </w:r>
      <w:r w:rsidR="005F3A08" w:rsidRPr="00DF02C5">
        <w:rPr>
          <w:rFonts w:eastAsia="Calibri" w:hAnsi="Times New Roman"/>
          <w:snapToGrid w:val="0"/>
          <w:color w:val="auto"/>
          <w:kern w:val="22"/>
          <w:bdr w:val="none" w:sz="0" w:space="0" w:color="auto"/>
          <w:lang w:val="en-GB"/>
        </w:rPr>
        <w:t xml:space="preserve"> stated not having indigenous peoples and local communities as commonly understood in the context of the CBD. The European Union indicated that </w:t>
      </w:r>
      <w:r w:rsidR="005F3A08" w:rsidRPr="00DF02C5">
        <w:rPr>
          <w:lang w:val="en-GB"/>
        </w:rPr>
        <w:t xml:space="preserve">there were no measures concerning indigenous </w:t>
      </w:r>
      <w:r w:rsidRPr="00DF02C5">
        <w:rPr>
          <w:lang w:val="en-GB"/>
        </w:rPr>
        <w:t xml:space="preserve">peoples </w:t>
      </w:r>
      <w:r w:rsidR="005F3A08" w:rsidRPr="00DF02C5">
        <w:rPr>
          <w:lang w:val="en-GB"/>
        </w:rPr>
        <w:t xml:space="preserve">and local communities at </w:t>
      </w:r>
      <w:r w:rsidR="006538B3" w:rsidRPr="00DF02C5">
        <w:rPr>
          <w:lang w:val="en-GB"/>
        </w:rPr>
        <w:t xml:space="preserve">the </w:t>
      </w:r>
      <w:r w:rsidR="005F3A08" w:rsidRPr="00DF02C5">
        <w:rPr>
          <w:lang w:val="en-GB"/>
        </w:rPr>
        <w:t>EU level</w:t>
      </w:r>
      <w:r w:rsidR="005F3A08" w:rsidRPr="00DF02C5">
        <w:rPr>
          <w:rFonts w:eastAsia="Calibri" w:hAnsi="Times New Roman"/>
          <w:snapToGrid w:val="0"/>
          <w:color w:val="auto"/>
          <w:kern w:val="22"/>
          <w:bdr w:val="none" w:sz="0" w:space="0" w:color="auto"/>
          <w:lang w:val="en-GB"/>
        </w:rPr>
        <w:t>.</w:t>
      </w:r>
    </w:p>
    <w:p w14:paraId="164B1940" w14:textId="77777777" w:rsidR="005F3A08" w:rsidRPr="00DF02C5" w:rsidRDefault="005F3A08"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India specified that even though local communities existed, there was no separate set of rules and regulations governing them. In addition, India provided many details regarding measures taken to implement Articles 6, 7 and 12 of the Protocol which are considered in the sections below.</w:t>
      </w:r>
    </w:p>
    <w:p w14:paraId="5A146FD6" w14:textId="7669958D" w:rsidR="005F3A08" w:rsidRPr="00696271" w:rsidRDefault="003E2278" w:rsidP="00696271">
      <w:pPr>
        <w:pStyle w:val="ListParagraph"/>
        <w:keepNext/>
        <w:numPr>
          <w:ilvl w:val="1"/>
          <w:numId w:val="72"/>
        </w:numPr>
        <w:spacing w:before="240" w:after="120"/>
        <w:ind w:left="1080" w:hanging="720"/>
        <w:rPr>
          <w:rFonts w:eastAsia="Calibri" w:hAnsi="Times New Roman" w:cs="Times New Roman"/>
          <w:i/>
          <w:snapToGrid w:val="0"/>
          <w:color w:val="auto"/>
          <w:kern w:val="22"/>
          <w:bdr w:val="none" w:sz="0" w:space="0" w:color="auto"/>
          <w:lang w:val="en-GB"/>
        </w:rPr>
      </w:pPr>
      <w:r w:rsidRPr="00696271">
        <w:rPr>
          <w:rFonts w:eastAsia="Calibri" w:hAnsi="Times New Roman" w:cs="Times New Roman"/>
          <w:i/>
          <w:snapToGrid w:val="0"/>
          <w:color w:val="auto"/>
          <w:kern w:val="22"/>
          <w:bdr w:val="none" w:sz="0" w:space="0" w:color="auto"/>
          <w:lang w:val="en-GB"/>
        </w:rPr>
        <w:lastRenderedPageBreak/>
        <w:t>Do indigenous and local communities have the established right to grant access to genetic resources according to your domestic law? (Article 6.2)</w:t>
      </w:r>
      <w:r w:rsidR="005F3A08" w:rsidRPr="00696271">
        <w:rPr>
          <w:rFonts w:eastAsia="Calibri" w:hAnsi="Times New Roman" w:cs="Times New Roman"/>
          <w:i/>
          <w:snapToGrid w:val="0"/>
          <w:color w:val="auto"/>
          <w:kern w:val="22"/>
          <w:bdr w:val="none" w:sz="0" w:space="0" w:color="auto"/>
          <w:lang w:val="en-GB"/>
        </w:rPr>
        <w:t xml:space="preserve"> (question 38)</w:t>
      </w:r>
    </w:p>
    <w:p w14:paraId="26F685E7" w14:textId="70E002EE" w:rsidR="000C721F" w:rsidRPr="00DF02C5" w:rsidRDefault="000C721F" w:rsidP="00A2498F">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 xml:space="preserve">Of the forty-nine countries that stated they </w:t>
      </w:r>
      <w:r w:rsidR="003E2278" w:rsidRPr="00DF02C5">
        <w:rPr>
          <w:rFonts w:eastAsia="Calibri" w:hAnsi="Times New Roman"/>
          <w:snapToGrid w:val="0"/>
          <w:kern w:val="22"/>
          <w:bdr w:val="none" w:sz="0" w:space="0" w:color="auto"/>
          <w:lang w:val="en-GB"/>
        </w:rPr>
        <w:t>there are</w:t>
      </w:r>
      <w:r w:rsidR="003E2278" w:rsidRPr="00DF02C5">
        <w:rPr>
          <w:lang w:val="en-GB"/>
        </w:rPr>
        <w:t xml:space="preserve"> </w:t>
      </w:r>
      <w:r w:rsidR="003E2278" w:rsidRPr="00DF02C5">
        <w:rPr>
          <w:rFonts w:eastAsia="Calibri" w:hAnsi="Times New Roman"/>
          <w:snapToGrid w:val="0"/>
          <w:kern w:val="22"/>
          <w:bdr w:val="none" w:sz="0" w:space="0" w:color="auto"/>
          <w:lang w:val="en-GB"/>
        </w:rPr>
        <w:t xml:space="preserve">indigenous peoples and local communities (IPLCs) in their country, </w:t>
      </w:r>
      <w:r w:rsidRPr="00DF02C5">
        <w:rPr>
          <w:rFonts w:eastAsia="Calibri" w:hAnsi="Times New Roman"/>
          <w:snapToGrid w:val="0"/>
          <w:kern w:val="22"/>
          <w:bdr w:val="none" w:sz="0" w:space="0" w:color="auto"/>
          <w:lang w:val="en-GB"/>
        </w:rPr>
        <w:t xml:space="preserve">half </w:t>
      </w:r>
      <w:r w:rsidR="00803D3D" w:rsidRPr="00DF02C5">
        <w:rPr>
          <w:rFonts w:eastAsia="Calibri" w:hAnsi="Times New Roman"/>
          <w:snapToGrid w:val="0"/>
          <w:kern w:val="22"/>
          <w:bdr w:val="none" w:sz="0" w:space="0" w:color="auto"/>
          <w:lang w:val="en-GB"/>
        </w:rPr>
        <w:t>(twenty-three Parties and one non-Party) specified</w:t>
      </w:r>
      <w:r w:rsidRPr="00DF02C5">
        <w:rPr>
          <w:rFonts w:eastAsia="Calibri" w:hAnsi="Times New Roman"/>
          <w:snapToGrid w:val="0"/>
          <w:kern w:val="22"/>
          <w:bdr w:val="none" w:sz="0" w:space="0" w:color="auto"/>
          <w:lang w:val="en-GB"/>
        </w:rPr>
        <w:t xml:space="preserve"> that IPCLs </w:t>
      </w:r>
      <w:r w:rsidRPr="00DF02C5">
        <w:rPr>
          <w:rFonts w:eastAsia="Calibri" w:hAnsi="Times New Roman"/>
          <w:snapToGrid w:val="0"/>
          <w:color w:val="auto"/>
          <w:kern w:val="22"/>
          <w:bdr w:val="none" w:sz="0" w:space="0" w:color="auto"/>
          <w:lang w:val="en-GB"/>
        </w:rPr>
        <w:t xml:space="preserve">have the established right to grant access to genetic resources according to </w:t>
      </w:r>
      <w:r w:rsidR="008B457E" w:rsidRPr="00DF02C5">
        <w:rPr>
          <w:rFonts w:eastAsia="Calibri" w:hAnsi="Times New Roman"/>
          <w:snapToGrid w:val="0"/>
          <w:color w:val="auto"/>
          <w:kern w:val="22"/>
          <w:bdr w:val="none" w:sz="0" w:space="0" w:color="auto"/>
          <w:lang w:val="en-GB"/>
        </w:rPr>
        <w:t>their</w:t>
      </w:r>
      <w:r w:rsidRPr="00DF02C5">
        <w:rPr>
          <w:rFonts w:eastAsia="Calibri" w:hAnsi="Times New Roman"/>
          <w:snapToGrid w:val="0"/>
          <w:color w:val="auto"/>
          <w:kern w:val="22"/>
          <w:bdr w:val="none" w:sz="0" w:space="0" w:color="auto"/>
          <w:lang w:val="en-GB"/>
        </w:rPr>
        <w:t xml:space="preserve"> domestic law</w:t>
      </w:r>
      <w:r w:rsidRPr="00DF02C5">
        <w:rPr>
          <w:rFonts w:eastAsia="Calibri" w:hAnsi="Times New Roman"/>
          <w:snapToGrid w:val="0"/>
          <w:kern w:val="22"/>
          <w:bdr w:val="none" w:sz="0" w:space="0" w:color="auto"/>
          <w:lang w:val="en-GB"/>
        </w:rPr>
        <w:t>. </w:t>
      </w:r>
    </w:p>
    <w:p w14:paraId="2EE8549D" w14:textId="1F41098E" w:rsidR="003E2278" w:rsidRPr="00DF02C5" w:rsidRDefault="00E5256F" w:rsidP="00E5256F">
      <w:pPr>
        <w:pStyle w:val="Caption"/>
        <w:keepNext/>
        <w:keepLines/>
        <w:rPr>
          <w:snapToGrid w:val="0"/>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Pr="00DF02C5">
        <w:rPr>
          <w:noProof/>
          <w:lang w:val="en-GB"/>
        </w:rPr>
        <w:t>36</w:t>
      </w:r>
      <w:r w:rsidRPr="00DF02C5">
        <w:rPr>
          <w:lang w:val="en-GB"/>
        </w:rPr>
        <w:fldChar w:fldCharType="end"/>
      </w:r>
      <w:r w:rsidR="003E2278" w:rsidRPr="00DF02C5">
        <w:rPr>
          <w:snapToGrid w:val="0"/>
          <w:bdr w:val="none" w:sz="0" w:space="0" w:color="auto"/>
          <w:lang w:val="en-GB"/>
        </w:rPr>
        <w:t>: Established rights of indigenous peoples and local communities to grant access to genetic resources (percentage of countries)</w:t>
      </w:r>
    </w:p>
    <w:p w14:paraId="5D99D07C" w14:textId="02C5BE2F" w:rsidR="003E2278" w:rsidRPr="00DF02C5" w:rsidRDefault="003E2278" w:rsidP="003E2278">
      <w:pPr>
        <w:pStyle w:val="Para1"/>
        <w:jc w:val="center"/>
        <w:rPr>
          <w:rFonts w:eastAsia="Calibri" w:hAnsi="Times New Roman"/>
          <w:snapToGrid w:val="0"/>
          <w:kern w:val="22"/>
          <w:bdr w:val="none" w:sz="0" w:space="0" w:color="auto"/>
          <w:lang w:val="en-GB"/>
        </w:rPr>
      </w:pPr>
      <w:r w:rsidRPr="00DF02C5">
        <w:rPr>
          <w:noProof/>
        </w:rPr>
        <w:drawing>
          <wp:inline distT="0" distB="0" distL="0" distR="0" wp14:anchorId="771DC49F" wp14:editId="7B543642">
            <wp:extent cx="3543300" cy="1952625"/>
            <wp:effectExtent l="0" t="0" r="19050"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0DE0FD7" w14:textId="56F2776C" w:rsidR="003E2278" w:rsidRPr="00DF02C5" w:rsidRDefault="003E2278" w:rsidP="003E2278">
      <w:pPr>
        <w:pStyle w:val="ListParagraph"/>
        <w:ind w:left="0"/>
        <w:rPr>
          <w:rFonts w:eastAsia="Calibri" w:hAnsi="Times New Roman" w:cs="Times New Roman"/>
          <w:i/>
          <w:snapToGrid w:val="0"/>
          <w:color w:val="auto"/>
          <w:kern w:val="22"/>
          <w:bdr w:val="none" w:sz="0" w:space="0" w:color="auto"/>
          <w:lang w:val="en-GB"/>
        </w:rPr>
      </w:pPr>
      <w:r w:rsidRPr="00DF02C5">
        <w:rPr>
          <w:rFonts w:eastAsia="Calibri" w:hAnsi="Times New Roman" w:cs="Times New Roman"/>
          <w:i/>
          <w:snapToGrid w:val="0"/>
          <w:color w:val="auto"/>
          <w:kern w:val="22"/>
          <w:bdr w:val="none" w:sz="0" w:space="0" w:color="auto"/>
          <w:lang w:val="en-GB"/>
        </w:rPr>
        <w:t>(a)</w:t>
      </w:r>
      <w:r w:rsidRPr="00DF02C5">
        <w:rPr>
          <w:rFonts w:eastAsia="Calibri" w:hAnsi="Times New Roman" w:cs="Times New Roman"/>
          <w:i/>
          <w:snapToGrid w:val="0"/>
          <w:color w:val="auto"/>
          <w:kern w:val="22"/>
          <w:bdr w:val="none" w:sz="0" w:space="0" w:color="auto"/>
          <w:lang w:val="en-GB"/>
        </w:rPr>
        <w:tab/>
        <w:t>Countries that answered “yes”</w:t>
      </w:r>
    </w:p>
    <w:p w14:paraId="32CF2BE2" w14:textId="25261DF8" w:rsidR="005F3A08" w:rsidRPr="00DF02C5" w:rsidRDefault="003E2278"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C</w:t>
      </w:r>
      <w:r w:rsidR="005F3A08" w:rsidRPr="00DF02C5">
        <w:rPr>
          <w:rFonts w:eastAsia="Calibri" w:hAnsi="Times New Roman"/>
          <w:snapToGrid w:val="0"/>
          <w:color w:val="auto"/>
          <w:kern w:val="22"/>
          <w:bdr w:val="none" w:sz="0" w:space="0" w:color="auto"/>
          <w:lang w:val="en-GB"/>
        </w:rPr>
        <w:t xml:space="preserve">ountries </w:t>
      </w:r>
      <w:r w:rsidRPr="00DF02C5">
        <w:rPr>
          <w:rFonts w:eastAsia="Calibri" w:hAnsi="Times New Roman"/>
          <w:snapToGrid w:val="0"/>
          <w:color w:val="auto"/>
          <w:kern w:val="22"/>
          <w:bdr w:val="none" w:sz="0" w:space="0" w:color="auto"/>
          <w:lang w:val="en-GB"/>
        </w:rPr>
        <w:t>referred to</w:t>
      </w:r>
      <w:r w:rsidR="009C2D4E" w:rsidRPr="00DF02C5">
        <w:rPr>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legislation</w:t>
      </w:r>
      <w:r w:rsidR="009C2D4E" w:rsidRPr="00DF02C5">
        <w:rPr>
          <w:rFonts w:eastAsia="Calibri" w:hAnsi="Times New Roman"/>
          <w:snapToGrid w:val="0"/>
          <w:color w:val="auto"/>
          <w:kern w:val="22"/>
          <w:bdr w:val="none" w:sz="0" w:space="0" w:color="auto"/>
          <w:lang w:val="en-GB"/>
        </w:rPr>
        <w:t xml:space="preserve"> related to forest</w:t>
      </w:r>
      <w:r w:rsidR="00696271">
        <w:rPr>
          <w:rFonts w:eastAsia="Calibri" w:hAnsi="Times New Roman"/>
          <w:snapToGrid w:val="0"/>
          <w:color w:val="auto"/>
          <w:kern w:val="22"/>
          <w:bdr w:val="none" w:sz="0" w:space="0" w:color="auto"/>
          <w:lang w:val="en-GB"/>
        </w:rPr>
        <w:t>,</w:t>
      </w:r>
      <w:r w:rsidR="009C2D4E" w:rsidRPr="00DF02C5">
        <w:rPr>
          <w:rStyle w:val="FootnoteReference"/>
          <w:rFonts w:eastAsia="Calibri" w:hAnsi="Times New Roman"/>
          <w:snapToGrid w:val="0"/>
          <w:color w:val="auto"/>
          <w:kern w:val="22"/>
          <w:bdr w:val="none" w:sz="0" w:space="0" w:color="auto"/>
          <w:lang w:val="en-GB"/>
        </w:rPr>
        <w:footnoteReference w:id="301"/>
      </w:r>
      <w:r w:rsidR="005F3A08" w:rsidRPr="00DF02C5">
        <w:rPr>
          <w:rFonts w:eastAsia="Calibri" w:hAnsi="Times New Roman"/>
          <w:snapToGrid w:val="0"/>
          <w:color w:val="auto"/>
          <w:kern w:val="22"/>
          <w:bdr w:val="none" w:sz="0" w:space="0" w:color="auto"/>
          <w:lang w:val="en-GB"/>
        </w:rPr>
        <w:t xml:space="preserve"> land</w:t>
      </w:r>
      <w:r w:rsidR="005F3A08" w:rsidRPr="00DF02C5">
        <w:rPr>
          <w:rStyle w:val="FootnoteReference"/>
          <w:rFonts w:eastAsia="Calibri" w:hAnsi="Times New Roman"/>
          <w:snapToGrid w:val="0"/>
          <w:color w:val="auto"/>
          <w:kern w:val="22"/>
          <w:bdr w:val="none" w:sz="0" w:space="0" w:color="auto"/>
          <w:lang w:val="en-GB"/>
        </w:rPr>
        <w:footnoteReference w:id="302"/>
      </w:r>
      <w:r w:rsidR="005F3A08" w:rsidRPr="00DF02C5">
        <w:rPr>
          <w:rFonts w:eastAsia="Calibri" w:hAnsi="Times New Roman"/>
          <w:snapToGrid w:val="0"/>
          <w:color w:val="auto"/>
          <w:kern w:val="22"/>
          <w:bdr w:val="none" w:sz="0" w:space="0" w:color="auto"/>
          <w:lang w:val="en-GB"/>
        </w:rPr>
        <w:t>, rural development</w:t>
      </w:r>
      <w:r w:rsidR="005F3A08" w:rsidRPr="00DF02C5">
        <w:rPr>
          <w:rStyle w:val="FootnoteReference"/>
          <w:rFonts w:eastAsia="Calibri" w:hAnsi="Times New Roman"/>
          <w:snapToGrid w:val="0"/>
          <w:color w:val="auto"/>
          <w:kern w:val="22"/>
          <w:bdr w:val="none" w:sz="0" w:space="0" w:color="auto"/>
          <w:lang w:val="en-GB"/>
        </w:rPr>
        <w:footnoteReference w:id="303"/>
      </w:r>
      <w:r w:rsidR="005F3A08" w:rsidRPr="00DF02C5">
        <w:rPr>
          <w:rFonts w:eastAsia="Calibri" w:hAnsi="Times New Roman"/>
          <w:snapToGrid w:val="0"/>
          <w:color w:val="auto"/>
          <w:kern w:val="22"/>
          <w:bdr w:val="none" w:sz="0" w:space="0" w:color="auto"/>
          <w:lang w:val="en-GB"/>
        </w:rPr>
        <w:t xml:space="preserve">, </w:t>
      </w:r>
      <w:r w:rsidR="009C2D4E" w:rsidRPr="00DF02C5">
        <w:rPr>
          <w:rFonts w:eastAsia="Calibri" w:hAnsi="Times New Roman"/>
          <w:snapToGrid w:val="0"/>
          <w:color w:val="auto"/>
          <w:kern w:val="22"/>
          <w:bdr w:val="none" w:sz="0" w:space="0" w:color="auto"/>
          <w:lang w:val="en-GB"/>
        </w:rPr>
        <w:t xml:space="preserve">their </w:t>
      </w:r>
      <w:r w:rsidR="005F3A08" w:rsidRPr="00DF02C5">
        <w:rPr>
          <w:rFonts w:eastAsia="Calibri" w:hAnsi="Times New Roman"/>
          <w:snapToGrid w:val="0"/>
          <w:color w:val="auto"/>
          <w:kern w:val="22"/>
          <w:bdr w:val="none" w:sz="0" w:space="0" w:color="auto"/>
          <w:lang w:val="en-GB"/>
        </w:rPr>
        <w:t>constitution</w:t>
      </w:r>
      <w:r w:rsidR="005F3A08" w:rsidRPr="00DF02C5">
        <w:rPr>
          <w:rStyle w:val="FootnoteReference"/>
          <w:rFonts w:eastAsia="Calibri" w:hAnsi="Times New Roman"/>
          <w:snapToGrid w:val="0"/>
          <w:color w:val="auto"/>
          <w:kern w:val="22"/>
          <w:bdr w:val="none" w:sz="0" w:space="0" w:color="auto"/>
          <w:lang w:val="en-GB"/>
        </w:rPr>
        <w:footnoteReference w:id="304"/>
      </w:r>
      <w:r w:rsidR="005F3A08" w:rsidRPr="00DF02C5">
        <w:rPr>
          <w:rFonts w:eastAsia="Calibri" w:hAnsi="Times New Roman"/>
          <w:snapToGrid w:val="0"/>
          <w:color w:val="auto"/>
          <w:kern w:val="22"/>
          <w:bdr w:val="none" w:sz="0" w:space="0" w:color="auto"/>
          <w:lang w:val="en-GB"/>
        </w:rPr>
        <w:t xml:space="preserve"> or other general laws </w:t>
      </w:r>
      <w:r w:rsidR="00D53103" w:rsidRPr="00DF02C5">
        <w:rPr>
          <w:rFonts w:eastAsia="Calibri" w:hAnsi="Times New Roman"/>
          <w:snapToGrid w:val="0"/>
          <w:color w:val="auto"/>
          <w:kern w:val="22"/>
          <w:bdr w:val="none" w:sz="0" w:space="0" w:color="auto"/>
          <w:lang w:val="en-GB"/>
        </w:rPr>
        <w:t xml:space="preserve">on </w:t>
      </w:r>
      <w:r w:rsidR="005F3A08" w:rsidRPr="00DF02C5">
        <w:rPr>
          <w:rFonts w:eastAsia="Calibri" w:hAnsi="Times New Roman"/>
          <w:snapToGrid w:val="0"/>
          <w:color w:val="auto"/>
          <w:kern w:val="22"/>
          <w:bdr w:val="none" w:sz="0" w:space="0" w:color="auto"/>
          <w:lang w:val="en-GB"/>
        </w:rPr>
        <w:t>environment or management of natural resources</w:t>
      </w:r>
      <w:r w:rsidR="005F3A08" w:rsidRPr="00DF02C5">
        <w:rPr>
          <w:rStyle w:val="FootnoteReference"/>
          <w:rFonts w:eastAsia="Calibri" w:hAnsi="Times New Roman"/>
          <w:snapToGrid w:val="0"/>
          <w:color w:val="auto"/>
          <w:kern w:val="22"/>
          <w:bdr w:val="none" w:sz="0" w:space="0" w:color="auto"/>
          <w:lang w:val="en-GB"/>
        </w:rPr>
        <w:footnoteReference w:id="305"/>
      </w:r>
      <w:r w:rsidR="000C721F" w:rsidRPr="00DF02C5">
        <w:rPr>
          <w:rFonts w:eastAsia="Calibri" w:hAnsi="Times New Roman"/>
          <w:snapToGrid w:val="0"/>
          <w:color w:val="auto"/>
          <w:kern w:val="22"/>
          <w:bdr w:val="none" w:sz="0" w:space="0" w:color="auto"/>
          <w:lang w:val="en-GB"/>
        </w:rPr>
        <w:t>. Some countries</w:t>
      </w:r>
      <w:r w:rsidR="005F3A08" w:rsidRPr="00DF02C5">
        <w:rPr>
          <w:rFonts w:eastAsia="Calibri" w:hAnsi="Times New Roman"/>
          <w:snapToGrid w:val="0"/>
          <w:color w:val="auto"/>
          <w:kern w:val="22"/>
          <w:bdr w:val="none" w:sz="0" w:space="0" w:color="auto"/>
          <w:lang w:val="en-GB"/>
        </w:rPr>
        <w:t xml:space="preserve"> include specific reference</w:t>
      </w:r>
      <w:r w:rsidR="009C2D4E" w:rsidRPr="00DF02C5">
        <w:rPr>
          <w:rFonts w:eastAsia="Calibri" w:hAnsi="Times New Roman"/>
          <w:snapToGrid w:val="0"/>
          <w:color w:val="auto"/>
          <w:kern w:val="22"/>
          <w:bdr w:val="none" w:sz="0" w:space="0" w:color="auto"/>
          <w:lang w:val="en-GB"/>
        </w:rPr>
        <w:t>s</w:t>
      </w:r>
      <w:r w:rsidR="005F3A08" w:rsidRPr="00DF02C5">
        <w:rPr>
          <w:rFonts w:eastAsia="Calibri" w:hAnsi="Times New Roman"/>
          <w:snapToGrid w:val="0"/>
          <w:color w:val="auto"/>
          <w:kern w:val="22"/>
          <w:bdr w:val="none" w:sz="0" w:space="0" w:color="auto"/>
          <w:lang w:val="en-GB"/>
        </w:rPr>
        <w:t xml:space="preserve"> in </w:t>
      </w:r>
      <w:r w:rsidR="000A1A42" w:rsidRPr="00DF02C5">
        <w:rPr>
          <w:rFonts w:eastAsia="Calibri" w:hAnsi="Times New Roman"/>
          <w:snapToGrid w:val="0"/>
          <w:color w:val="auto"/>
          <w:kern w:val="22"/>
          <w:bdr w:val="none" w:sz="0" w:space="0" w:color="auto"/>
          <w:lang w:val="en-GB"/>
        </w:rPr>
        <w:t>their relevant</w:t>
      </w:r>
      <w:r w:rsidR="005F3A08" w:rsidRPr="00DF02C5">
        <w:rPr>
          <w:rFonts w:eastAsia="Calibri" w:hAnsi="Times New Roman"/>
          <w:snapToGrid w:val="0"/>
          <w:color w:val="auto"/>
          <w:kern w:val="22"/>
          <w:bdr w:val="none" w:sz="0" w:space="0" w:color="auto"/>
          <w:lang w:val="en-GB"/>
        </w:rPr>
        <w:t xml:space="preserve"> ABS laws</w:t>
      </w:r>
      <w:r w:rsidR="00696271">
        <w:rPr>
          <w:rFonts w:eastAsia="Calibri" w:hAnsi="Times New Roman"/>
          <w:snapToGrid w:val="0"/>
          <w:color w:val="auto"/>
          <w:kern w:val="22"/>
          <w:bdr w:val="none" w:sz="0" w:space="0" w:color="auto"/>
          <w:lang w:val="en-GB"/>
        </w:rPr>
        <w:t>.</w:t>
      </w:r>
      <w:r w:rsidR="005F3A08" w:rsidRPr="00DF02C5">
        <w:rPr>
          <w:rStyle w:val="FootnoteReference"/>
          <w:rFonts w:eastAsia="Calibri" w:hAnsi="Times New Roman"/>
          <w:snapToGrid w:val="0"/>
          <w:color w:val="auto"/>
          <w:kern w:val="22"/>
          <w:bdr w:val="none" w:sz="0" w:space="0" w:color="auto"/>
          <w:lang w:val="en-GB"/>
        </w:rPr>
        <w:footnoteReference w:id="306"/>
      </w:r>
      <w:r w:rsidR="00D53103" w:rsidRPr="00DF02C5">
        <w:rPr>
          <w:rFonts w:eastAsia="Calibri" w:hAnsi="Times New Roman"/>
          <w:snapToGrid w:val="0"/>
          <w:color w:val="auto"/>
          <w:kern w:val="22"/>
          <w:bdr w:val="none" w:sz="0" w:space="0" w:color="auto"/>
          <w:lang w:val="en-GB"/>
        </w:rPr>
        <w:t xml:space="preserve"> F</w:t>
      </w:r>
      <w:r w:rsidR="005F3A08" w:rsidRPr="00DF02C5">
        <w:rPr>
          <w:rFonts w:eastAsia="Calibri" w:hAnsi="Times New Roman"/>
          <w:snapToGrid w:val="0"/>
          <w:color w:val="auto"/>
          <w:kern w:val="22"/>
          <w:bdr w:val="none" w:sz="0" w:space="0" w:color="auto"/>
          <w:lang w:val="en-GB"/>
        </w:rPr>
        <w:t>or instance</w:t>
      </w:r>
      <w:r w:rsidR="000C721F" w:rsidRPr="00DF02C5">
        <w:rPr>
          <w:rFonts w:eastAsia="Calibri" w:hAnsi="Times New Roman"/>
          <w:snapToGrid w:val="0"/>
          <w:color w:val="auto"/>
          <w:kern w:val="22"/>
          <w:bdr w:val="none" w:sz="0" w:space="0" w:color="auto"/>
          <w:lang w:val="en-GB"/>
        </w:rPr>
        <w:t>,</w:t>
      </w:r>
      <w:r w:rsidR="005F3A08" w:rsidRPr="00DF02C5">
        <w:rPr>
          <w:rFonts w:eastAsia="Calibri" w:hAnsi="Times New Roman"/>
          <w:snapToGrid w:val="0"/>
          <w:color w:val="auto"/>
          <w:kern w:val="22"/>
          <w:bdr w:val="none" w:sz="0" w:space="0" w:color="auto"/>
          <w:lang w:val="en-GB"/>
        </w:rPr>
        <w:t xml:space="preserve"> Mexico indicated that they would clarify the rights already established in different laws in the development of new ABS measures.</w:t>
      </w:r>
    </w:p>
    <w:p w14:paraId="4C16459D" w14:textId="34C93D87" w:rsidR="00D53103" w:rsidRPr="00DF02C5" w:rsidRDefault="00D53103" w:rsidP="00D53103">
      <w:pPr>
        <w:pStyle w:val="Para1"/>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t>(b)</w:t>
      </w:r>
      <w:r w:rsidRPr="00DF02C5">
        <w:rPr>
          <w:rFonts w:eastAsia="Calibri" w:hAnsi="Times New Roman"/>
          <w:i/>
          <w:snapToGrid w:val="0"/>
          <w:color w:val="auto"/>
          <w:kern w:val="22"/>
          <w:bdr w:val="none" w:sz="0" w:space="0" w:color="auto"/>
          <w:lang w:val="en-GB"/>
        </w:rPr>
        <w:tab/>
        <w:t>Countries that answered “no”</w:t>
      </w:r>
    </w:p>
    <w:p w14:paraId="2ADE3913" w14:textId="279E17DA" w:rsidR="00D53103" w:rsidRPr="00DF02C5" w:rsidRDefault="00D53103" w:rsidP="00A2498F">
      <w:pPr>
        <w:numPr>
          <w:ilvl w:val="0"/>
          <w:numId w:val="1"/>
        </w:numPr>
        <w:spacing w:before="120" w:after="120"/>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Some countries</w:t>
      </w:r>
      <w:r w:rsidRPr="00DF02C5">
        <w:rPr>
          <w:rFonts w:eastAsia="Calibri" w:hAnsi="Times New Roman" w:cs="Times New Roman"/>
          <w:snapToGrid w:val="0"/>
          <w:color w:val="auto"/>
          <w:kern w:val="22"/>
          <w:bdr w:val="none" w:sz="0" w:space="0" w:color="auto"/>
          <w:vertAlign w:val="superscript"/>
          <w:lang w:val="en-GB"/>
        </w:rPr>
        <w:footnoteReference w:id="307"/>
      </w:r>
      <w:r w:rsidRPr="00DF02C5">
        <w:rPr>
          <w:rFonts w:eastAsia="Calibri" w:hAnsi="Times New Roman" w:cs="Times New Roman"/>
          <w:snapToGrid w:val="0"/>
          <w:color w:val="auto"/>
          <w:kern w:val="22"/>
          <w:bdr w:val="none" w:sz="0" w:space="0" w:color="auto"/>
          <w:lang w:val="en-GB"/>
        </w:rPr>
        <w:t xml:space="preserve"> indicated that genetic resources were considered to be national heritage and that as such they belonged to the State. Other countries also stated that genetic resources belonged to the State</w:t>
      </w:r>
      <w:r w:rsidRPr="00DF02C5">
        <w:rPr>
          <w:rFonts w:eastAsia="Calibri" w:hAnsi="Times New Roman" w:cs="Times New Roman"/>
          <w:snapToGrid w:val="0"/>
          <w:color w:val="auto"/>
          <w:kern w:val="22"/>
          <w:bdr w:val="none" w:sz="0" w:space="0" w:color="auto"/>
          <w:vertAlign w:val="superscript"/>
          <w:lang w:val="en-GB"/>
        </w:rPr>
        <w:footnoteReference w:id="308"/>
      </w:r>
      <w:r w:rsidRPr="00DF02C5">
        <w:rPr>
          <w:rFonts w:eastAsia="Calibri" w:hAnsi="Times New Roman" w:cs="Times New Roman"/>
          <w:snapToGrid w:val="0"/>
          <w:color w:val="auto"/>
          <w:kern w:val="22"/>
          <w:bdr w:val="none" w:sz="0" w:space="0" w:color="auto"/>
          <w:lang w:val="en-GB"/>
        </w:rPr>
        <w:t xml:space="preserve"> or that only the government could grant access to them</w:t>
      </w:r>
      <w:r w:rsidR="00696271">
        <w:rPr>
          <w:rFonts w:eastAsia="Calibri" w:hAnsi="Times New Roman" w:cs="Times New Roman"/>
          <w:snapToGrid w:val="0"/>
          <w:color w:val="auto"/>
          <w:kern w:val="22"/>
          <w:bdr w:val="none" w:sz="0" w:space="0" w:color="auto"/>
          <w:lang w:val="en-GB"/>
        </w:rPr>
        <w:t>.</w:t>
      </w:r>
      <w:r w:rsidRPr="00DF02C5">
        <w:rPr>
          <w:rFonts w:eastAsia="Calibri" w:hAnsi="Times New Roman" w:cs="Times New Roman"/>
          <w:snapToGrid w:val="0"/>
          <w:color w:val="auto"/>
          <w:kern w:val="22"/>
          <w:bdr w:val="none" w:sz="0" w:space="0" w:color="auto"/>
          <w:vertAlign w:val="superscript"/>
          <w:lang w:val="en-GB"/>
        </w:rPr>
        <w:footnoteReference w:id="309"/>
      </w:r>
      <w:r w:rsidRPr="00DF02C5">
        <w:rPr>
          <w:rFonts w:eastAsia="Calibri" w:hAnsi="Times New Roman" w:cs="Times New Roman"/>
          <w:snapToGrid w:val="0"/>
          <w:color w:val="auto"/>
          <w:kern w:val="22"/>
          <w:bdr w:val="none" w:sz="0" w:space="0" w:color="auto"/>
          <w:lang w:val="en-GB"/>
        </w:rPr>
        <w:t xml:space="preserve"> </w:t>
      </w:r>
    </w:p>
    <w:p w14:paraId="2A405C81" w14:textId="511E4460" w:rsidR="00D53103" w:rsidRPr="00DF02C5" w:rsidRDefault="00D53103" w:rsidP="00A2498F">
      <w:pPr>
        <w:numPr>
          <w:ilvl w:val="0"/>
          <w:numId w:val="1"/>
        </w:numPr>
        <w:spacing w:before="120" w:after="120"/>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In some countries indigenous peoples and local communities are integrated into the process even though the government is responsible for granting access. For example:</w:t>
      </w:r>
    </w:p>
    <w:p w14:paraId="02298919" w14:textId="3B1A3AD4" w:rsidR="00D53103" w:rsidRPr="00DF02C5" w:rsidRDefault="00D53103" w:rsidP="00BC6060">
      <w:pPr>
        <w:numPr>
          <w:ilvl w:val="1"/>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snapToGrid w:val="0"/>
          <w:color w:val="auto"/>
          <w:szCs w:val="18"/>
          <w:bdr w:val="none" w:sz="0" w:space="0" w:color="auto"/>
          <w:lang w:val="en-GB"/>
        </w:rPr>
      </w:pPr>
      <w:r w:rsidRPr="00DF02C5">
        <w:rPr>
          <w:rFonts w:eastAsia="Times New Roman" w:hAnsi="Times New Roman" w:cs="Times New Roman"/>
          <w:snapToGrid w:val="0"/>
          <w:color w:val="auto"/>
          <w:szCs w:val="18"/>
          <w:bdr w:val="none" w:sz="0" w:space="0" w:color="auto"/>
          <w:lang w:val="en-GB"/>
        </w:rPr>
        <w:t>In the Democratic Republic of the Congo, access is granted by the CNA but PIC is required from local communities as well as the establishment of</w:t>
      </w:r>
      <w:r w:rsidR="00696271">
        <w:rPr>
          <w:rFonts w:eastAsia="Times New Roman" w:hAnsi="Times New Roman" w:cs="Times New Roman"/>
          <w:snapToGrid w:val="0"/>
          <w:color w:val="auto"/>
          <w:szCs w:val="18"/>
          <w:bdr w:val="none" w:sz="0" w:space="0" w:color="auto"/>
          <w:lang w:val="en-GB"/>
        </w:rPr>
        <w:t xml:space="preserve"> MAT involves local communities;</w:t>
      </w:r>
    </w:p>
    <w:p w14:paraId="0E7D3B75" w14:textId="77850EFB" w:rsidR="00D53103" w:rsidRPr="00DF02C5" w:rsidRDefault="00D53103" w:rsidP="00BC6060">
      <w:pPr>
        <w:numPr>
          <w:ilvl w:val="1"/>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snapToGrid w:val="0"/>
          <w:color w:val="auto"/>
          <w:szCs w:val="18"/>
          <w:bdr w:val="none" w:sz="0" w:space="0" w:color="auto"/>
          <w:lang w:val="en-GB"/>
        </w:rPr>
      </w:pPr>
      <w:r w:rsidRPr="00DF02C5">
        <w:rPr>
          <w:rFonts w:eastAsia="Times New Roman" w:hAnsi="Times New Roman" w:cs="Times New Roman"/>
          <w:snapToGrid w:val="0"/>
          <w:color w:val="auto"/>
          <w:szCs w:val="18"/>
          <w:bdr w:val="none" w:sz="0" w:space="0" w:color="auto"/>
          <w:lang w:val="en-GB"/>
        </w:rPr>
        <w:t>In Ethiopia local communities have the right to demand the restriction or withdrawal of the PIC given by the CNA for access to their genetic resources in cases where such consent is likely to be detrimental to their socio-economic life or thei</w:t>
      </w:r>
      <w:r w:rsidR="00696271">
        <w:rPr>
          <w:rFonts w:eastAsia="Times New Roman" w:hAnsi="Times New Roman" w:cs="Times New Roman"/>
          <w:snapToGrid w:val="0"/>
          <w:color w:val="auto"/>
          <w:szCs w:val="18"/>
          <w:bdr w:val="none" w:sz="0" w:space="0" w:color="auto"/>
          <w:lang w:val="en-GB"/>
        </w:rPr>
        <w:t>r natural or cultural heritages;</w:t>
      </w:r>
      <w:r w:rsidRPr="00DF02C5">
        <w:rPr>
          <w:rFonts w:eastAsia="Times New Roman" w:hAnsi="Times New Roman" w:cs="Times New Roman"/>
          <w:snapToGrid w:val="0"/>
          <w:color w:val="auto"/>
          <w:szCs w:val="18"/>
          <w:bdr w:val="none" w:sz="0" w:space="0" w:color="auto"/>
          <w:lang w:val="en-GB"/>
        </w:rPr>
        <w:t xml:space="preserve"> </w:t>
      </w:r>
    </w:p>
    <w:p w14:paraId="755EB3E5" w14:textId="31FA3784" w:rsidR="00D53103" w:rsidRPr="00DF02C5" w:rsidRDefault="00D53103" w:rsidP="00BC6060">
      <w:pPr>
        <w:numPr>
          <w:ilvl w:val="1"/>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snapToGrid w:val="0"/>
          <w:color w:val="auto"/>
          <w:szCs w:val="18"/>
          <w:bdr w:val="none" w:sz="0" w:space="0" w:color="auto"/>
          <w:lang w:val="en-GB"/>
        </w:rPr>
      </w:pPr>
      <w:r w:rsidRPr="00DF02C5">
        <w:rPr>
          <w:rFonts w:eastAsia="Times New Roman" w:hAnsi="Times New Roman" w:cs="Times New Roman"/>
          <w:snapToGrid w:val="0"/>
          <w:color w:val="auto"/>
          <w:szCs w:val="18"/>
          <w:bdr w:val="none" w:sz="0" w:space="0" w:color="auto"/>
          <w:lang w:val="en-GB"/>
        </w:rPr>
        <w:lastRenderedPageBreak/>
        <w:t>In Togo local communities cannot grant access to genetic resources without th</w:t>
      </w:r>
      <w:r w:rsidR="00696271">
        <w:rPr>
          <w:rFonts w:eastAsia="Times New Roman" w:hAnsi="Times New Roman" w:cs="Times New Roman"/>
          <w:snapToGrid w:val="0"/>
          <w:color w:val="auto"/>
          <w:szCs w:val="18"/>
          <w:bdr w:val="none" w:sz="0" w:space="0" w:color="auto"/>
          <w:lang w:val="en-GB"/>
        </w:rPr>
        <w:t>e endorsement of the government;</w:t>
      </w:r>
      <w:r w:rsidRPr="00DF02C5">
        <w:rPr>
          <w:rFonts w:eastAsia="Times New Roman" w:hAnsi="Times New Roman" w:cs="Times New Roman"/>
          <w:snapToGrid w:val="0"/>
          <w:color w:val="auto"/>
          <w:szCs w:val="18"/>
          <w:bdr w:val="none" w:sz="0" w:space="0" w:color="auto"/>
          <w:lang w:val="en-GB"/>
        </w:rPr>
        <w:t xml:space="preserve"> </w:t>
      </w:r>
    </w:p>
    <w:p w14:paraId="4D285878" w14:textId="78F28447" w:rsidR="00D53103" w:rsidRPr="00DF02C5" w:rsidRDefault="00D53103" w:rsidP="00BC6060">
      <w:pPr>
        <w:numPr>
          <w:ilvl w:val="1"/>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snapToGrid w:val="0"/>
          <w:color w:val="auto"/>
          <w:szCs w:val="18"/>
          <w:bdr w:val="none" w:sz="0" w:space="0" w:color="auto"/>
          <w:lang w:val="en-GB"/>
        </w:rPr>
      </w:pPr>
      <w:r w:rsidRPr="00DF02C5">
        <w:rPr>
          <w:rFonts w:eastAsia="Times New Roman" w:hAnsi="Times New Roman" w:cs="Times New Roman"/>
          <w:snapToGrid w:val="0"/>
          <w:color w:val="auto"/>
          <w:szCs w:val="18"/>
          <w:bdr w:val="none" w:sz="0" w:space="0" w:color="auto"/>
          <w:lang w:val="en-GB"/>
        </w:rPr>
        <w:t xml:space="preserve">In Peru accessory contracts with the providers of biological resources are foreseen by the access regulation. When providers are peasants or native communities, an authorisation is required to enter their territory. </w:t>
      </w:r>
    </w:p>
    <w:p w14:paraId="17E7286E" w14:textId="7141C64C" w:rsidR="00D53103" w:rsidRPr="00DF02C5" w:rsidRDefault="00D53103" w:rsidP="00A2498F">
      <w:pPr>
        <w:numPr>
          <w:ilvl w:val="0"/>
          <w:numId w:val="1"/>
        </w:numPr>
        <w:spacing w:before="120" w:after="120"/>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Several countries</w:t>
      </w:r>
      <w:r w:rsidRPr="00DF02C5">
        <w:rPr>
          <w:rFonts w:eastAsia="Calibri" w:hAnsi="Times New Roman" w:cs="Times New Roman"/>
          <w:snapToGrid w:val="0"/>
          <w:color w:val="auto"/>
          <w:kern w:val="22"/>
          <w:bdr w:val="none" w:sz="0" w:space="0" w:color="auto"/>
          <w:vertAlign w:val="superscript"/>
          <w:lang w:val="en-GB"/>
        </w:rPr>
        <w:footnoteReference w:id="310"/>
      </w:r>
      <w:r w:rsidRPr="00DF02C5">
        <w:rPr>
          <w:rFonts w:eastAsia="Calibri" w:hAnsi="Times New Roman" w:cs="Times New Roman"/>
          <w:snapToGrid w:val="0"/>
          <w:color w:val="auto"/>
          <w:kern w:val="22"/>
          <w:bdr w:val="none" w:sz="0" w:space="0" w:color="auto"/>
          <w:lang w:val="en-GB"/>
        </w:rPr>
        <w:t xml:space="preserve"> answered “no” to the question on the basis of not yet having legislation in place.  </w:t>
      </w:r>
    </w:p>
    <w:p w14:paraId="50D35D16" w14:textId="4061D96A" w:rsidR="005F3A08" w:rsidRPr="00696271" w:rsidRDefault="005F3A08" w:rsidP="00696271">
      <w:pPr>
        <w:pStyle w:val="Para1"/>
        <w:numPr>
          <w:ilvl w:val="1"/>
          <w:numId w:val="72"/>
        </w:numPr>
        <w:spacing w:before="240"/>
        <w:ind w:left="1166" w:right="360" w:hanging="720"/>
        <w:rPr>
          <w:rFonts w:eastAsia="Calibri" w:hAnsi="Times New Roman"/>
          <w:i/>
          <w:snapToGrid w:val="0"/>
          <w:color w:val="auto"/>
          <w:kern w:val="22"/>
          <w:bdr w:val="none" w:sz="0" w:space="0" w:color="auto"/>
          <w:lang w:val="en-GB"/>
        </w:rPr>
      </w:pPr>
      <w:r w:rsidRPr="00696271">
        <w:rPr>
          <w:rFonts w:eastAsia="Calibri" w:hAnsi="Times New Roman"/>
          <w:i/>
          <w:snapToGrid w:val="0"/>
          <w:color w:val="auto"/>
          <w:kern w:val="22"/>
          <w:bdr w:val="none" w:sz="0" w:space="0" w:color="auto"/>
          <w:lang w:val="en-GB"/>
        </w:rPr>
        <w:t>Does your country have measures in place with the aim of ensuring that the prior informed consent or approval and involvement of indigenous and local communities is obtai</w:t>
      </w:r>
      <w:r w:rsidR="00D53103" w:rsidRPr="00696271">
        <w:rPr>
          <w:rFonts w:eastAsia="Calibri" w:hAnsi="Times New Roman"/>
          <w:i/>
          <w:snapToGrid w:val="0"/>
          <w:color w:val="auto"/>
          <w:kern w:val="22"/>
          <w:bdr w:val="none" w:sz="0" w:space="0" w:color="auto"/>
          <w:lang w:val="en-GB"/>
        </w:rPr>
        <w:t>ned as provided in Article 6.2? (question 38)</w:t>
      </w:r>
    </w:p>
    <w:p w14:paraId="1DCE3596" w14:textId="09B3C0D9" w:rsidR="00B7259A" w:rsidRPr="00DF02C5" w:rsidRDefault="00803D3D"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Of the twenty-four countries where IPCLs have the right to grant access to genet</w:t>
      </w:r>
      <w:r w:rsidR="00B7259A" w:rsidRPr="00DF02C5">
        <w:rPr>
          <w:rFonts w:eastAsia="Calibri" w:hAnsi="Times New Roman"/>
          <w:snapToGrid w:val="0"/>
          <w:color w:val="auto"/>
          <w:kern w:val="22"/>
          <w:bdr w:val="none" w:sz="0" w:space="0" w:color="auto"/>
          <w:lang w:val="en-GB"/>
        </w:rPr>
        <w:t xml:space="preserve">ic resources, </w:t>
      </w:r>
      <w:r w:rsidRPr="00DF02C5">
        <w:rPr>
          <w:rFonts w:eastAsia="Calibri" w:hAnsi="Times New Roman"/>
          <w:snapToGrid w:val="0"/>
          <w:color w:val="auto"/>
          <w:kern w:val="22"/>
          <w:bdr w:val="none" w:sz="0" w:space="0" w:color="auto"/>
          <w:lang w:val="en-GB"/>
        </w:rPr>
        <w:t>seve</w:t>
      </w:r>
      <w:r w:rsidR="00B7259A" w:rsidRPr="00DF02C5">
        <w:rPr>
          <w:rFonts w:eastAsia="Calibri" w:hAnsi="Times New Roman"/>
          <w:snapToGrid w:val="0"/>
          <w:color w:val="auto"/>
          <w:kern w:val="22"/>
          <w:bdr w:val="none" w:sz="0" w:space="0" w:color="auto"/>
          <w:lang w:val="en-GB"/>
        </w:rPr>
        <w:t>nteen Parties and one non-Party</w:t>
      </w:r>
      <w:r w:rsidRPr="00DF02C5">
        <w:rPr>
          <w:rFonts w:eastAsia="Calibri" w:hAnsi="Times New Roman"/>
          <w:snapToGrid w:val="0"/>
          <w:color w:val="auto"/>
          <w:kern w:val="22"/>
          <w:bdr w:val="none" w:sz="0" w:space="0" w:color="auto"/>
          <w:lang w:val="en-GB"/>
        </w:rPr>
        <w:t xml:space="preserve"> </w:t>
      </w:r>
      <w:r w:rsidR="008A1D73" w:rsidRPr="00DF02C5">
        <w:rPr>
          <w:rFonts w:eastAsia="Calibri" w:hAnsi="Times New Roman"/>
          <w:snapToGrid w:val="0"/>
          <w:color w:val="auto"/>
          <w:kern w:val="22"/>
          <w:bdr w:val="none" w:sz="0" w:space="0" w:color="auto"/>
          <w:lang w:val="en-GB"/>
        </w:rPr>
        <w:t xml:space="preserve">have measures in place with the aim of ensuring that the prior informed consent or approval and involvement of indigenous and local communities is obtained. </w:t>
      </w:r>
    </w:p>
    <w:p w14:paraId="3850A822" w14:textId="7554EDA6" w:rsidR="005F3A08" w:rsidRPr="00DF02C5" w:rsidRDefault="00B7259A"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w:t>
      </w:r>
      <w:r w:rsidR="005F3A08" w:rsidRPr="00DF02C5">
        <w:rPr>
          <w:rFonts w:eastAsia="Calibri" w:hAnsi="Times New Roman"/>
          <w:snapToGrid w:val="0"/>
          <w:color w:val="auto"/>
          <w:kern w:val="22"/>
          <w:bdr w:val="none" w:sz="0" w:space="0" w:color="auto"/>
          <w:lang w:val="en-GB"/>
        </w:rPr>
        <w:t>ome countries</w:t>
      </w:r>
      <w:r w:rsidRPr="00DF02C5">
        <w:rPr>
          <w:rStyle w:val="FootnoteReference"/>
          <w:rFonts w:eastAsia="Calibri" w:hAnsi="Times New Roman"/>
          <w:snapToGrid w:val="0"/>
          <w:color w:val="auto"/>
          <w:kern w:val="22"/>
          <w:bdr w:val="none" w:sz="0" w:space="0" w:color="auto"/>
          <w:lang w:val="en-GB"/>
        </w:rPr>
        <w:footnoteReference w:id="311"/>
      </w:r>
      <w:r w:rsidR="005F3A08" w:rsidRPr="00DF02C5">
        <w:rPr>
          <w:rFonts w:eastAsia="Calibri" w:hAnsi="Times New Roman"/>
          <w:snapToGrid w:val="0"/>
          <w:color w:val="auto"/>
          <w:kern w:val="22"/>
          <w:bdr w:val="none" w:sz="0" w:space="0" w:color="auto"/>
          <w:lang w:val="en-GB"/>
        </w:rPr>
        <w:t xml:space="preserve"> referred to existing measures addressing this issue and/or draft measures under development or approval</w:t>
      </w:r>
      <w:r w:rsidR="00696271">
        <w:rPr>
          <w:rFonts w:eastAsia="Calibri" w:hAnsi="Times New Roman"/>
          <w:snapToGrid w:val="0"/>
          <w:color w:val="auto"/>
          <w:kern w:val="22"/>
          <w:bdr w:val="none" w:sz="0" w:space="0" w:color="auto"/>
          <w:lang w:val="en-GB"/>
        </w:rPr>
        <w:t>.</w:t>
      </w:r>
      <w:r w:rsidR="009C2D4E" w:rsidRPr="00DF02C5">
        <w:rPr>
          <w:rStyle w:val="FootnoteReference"/>
          <w:rFonts w:eastAsia="Calibri" w:hAnsi="Times New Roman"/>
          <w:snapToGrid w:val="0"/>
          <w:color w:val="auto"/>
          <w:kern w:val="22"/>
          <w:bdr w:val="none" w:sz="0" w:space="0" w:color="auto"/>
          <w:lang w:val="en-GB"/>
        </w:rPr>
        <w:footnoteReference w:id="312"/>
      </w:r>
      <w:r w:rsidR="005F3A08" w:rsidRPr="00DF02C5">
        <w:rPr>
          <w:rFonts w:eastAsia="Calibri" w:hAnsi="Times New Roman"/>
          <w:snapToGrid w:val="0"/>
          <w:color w:val="auto"/>
          <w:kern w:val="22"/>
          <w:bdr w:val="none" w:sz="0" w:space="0" w:color="auto"/>
          <w:lang w:val="en-GB"/>
        </w:rPr>
        <w:t xml:space="preserve">  South Africa, for example, indicated that </w:t>
      </w:r>
      <w:r w:rsidR="00BF6BAF" w:rsidRPr="00DF02C5">
        <w:rPr>
          <w:rFonts w:eastAsia="Calibri" w:hAnsi="Times New Roman"/>
          <w:snapToGrid w:val="0"/>
          <w:color w:val="auto"/>
          <w:kern w:val="22"/>
          <w:bdr w:val="none" w:sz="0" w:space="0" w:color="auto"/>
          <w:lang w:val="en-GB"/>
        </w:rPr>
        <w:t>when the party to the material transfer agreement is a community, a community resolution authorizing a representative to enter into material transfer agreement following a prescribed format is required.</w:t>
      </w:r>
      <w:r w:rsidR="005F3A08" w:rsidRPr="00DF02C5">
        <w:rPr>
          <w:rFonts w:eastAsia="Calibri" w:hAnsi="Times New Roman"/>
          <w:snapToGrid w:val="0"/>
          <w:color w:val="auto"/>
          <w:kern w:val="22"/>
          <w:bdr w:val="none" w:sz="0" w:space="0" w:color="auto"/>
          <w:lang w:val="en-GB"/>
        </w:rPr>
        <w:t xml:space="preserve"> </w:t>
      </w:r>
      <w:r w:rsidR="00BF6BAF" w:rsidRPr="00DF02C5">
        <w:rPr>
          <w:rFonts w:eastAsia="Calibri" w:hAnsi="Times New Roman"/>
          <w:snapToGrid w:val="0"/>
          <w:color w:val="auto"/>
          <w:kern w:val="22"/>
          <w:bdr w:val="none" w:sz="0" w:space="0" w:color="auto"/>
          <w:lang w:val="en-GB"/>
        </w:rPr>
        <w:t xml:space="preserve"> </w:t>
      </w:r>
    </w:p>
    <w:p w14:paraId="3CA1EDBF" w14:textId="0B48FB3E" w:rsidR="009C2D4E" w:rsidRPr="00696271" w:rsidRDefault="005F3A08" w:rsidP="00696271">
      <w:pPr>
        <w:pStyle w:val="Para1"/>
        <w:numPr>
          <w:ilvl w:val="1"/>
          <w:numId w:val="72"/>
        </w:numPr>
        <w:spacing w:before="240"/>
        <w:ind w:left="1252" w:hanging="806"/>
        <w:rPr>
          <w:rFonts w:eastAsia="Calibri" w:hAnsi="Times New Roman"/>
          <w:i/>
          <w:snapToGrid w:val="0"/>
          <w:color w:val="auto"/>
          <w:kern w:val="22"/>
          <w:bdr w:val="none" w:sz="0" w:space="0" w:color="auto"/>
          <w:lang w:val="en-GB"/>
        </w:rPr>
      </w:pPr>
      <w:r w:rsidRPr="00696271">
        <w:rPr>
          <w:rFonts w:eastAsia="Calibri" w:hAnsi="Times New Roman"/>
          <w:i/>
          <w:snapToGrid w:val="0"/>
          <w:color w:val="auto"/>
          <w:kern w:val="22"/>
          <w:bdr w:val="none" w:sz="0" w:space="0" w:color="auto"/>
          <w:lang w:val="en-GB"/>
        </w:rPr>
        <w:t>“Has your country set out criteria and/or process for obtaining prior informed consent or approval and involvement of indigenous and local communities for access to genet</w:t>
      </w:r>
      <w:r w:rsidR="00BF6BAF" w:rsidRPr="00696271">
        <w:rPr>
          <w:rFonts w:eastAsia="Calibri" w:hAnsi="Times New Roman"/>
          <w:i/>
          <w:snapToGrid w:val="0"/>
          <w:color w:val="auto"/>
          <w:kern w:val="22"/>
          <w:bdr w:val="none" w:sz="0" w:space="0" w:color="auto"/>
          <w:lang w:val="en-GB"/>
        </w:rPr>
        <w:t>ic resources in Article 6.3(f)?</w:t>
      </w:r>
      <w:r w:rsidR="00BC6060" w:rsidRPr="00696271">
        <w:rPr>
          <w:rFonts w:eastAsia="Calibri" w:hAnsi="Times New Roman"/>
          <w:i/>
          <w:snapToGrid w:val="0"/>
          <w:color w:val="auto"/>
          <w:kern w:val="22"/>
          <w:bdr w:val="none" w:sz="0" w:space="0" w:color="auto"/>
          <w:lang w:val="en-GB"/>
        </w:rPr>
        <w:t xml:space="preserve"> (question 38)</w:t>
      </w:r>
    </w:p>
    <w:p w14:paraId="1CCBD717" w14:textId="058A6678" w:rsidR="00545005" w:rsidRPr="00DF02C5" w:rsidRDefault="00545005"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Of the twenty-four countries where IPCLs have the right to grant access to genetic resources, </w:t>
      </w:r>
      <w:r w:rsidR="00005115" w:rsidRPr="00DF02C5">
        <w:rPr>
          <w:rFonts w:eastAsia="Calibri" w:hAnsi="Times New Roman"/>
          <w:snapToGrid w:val="0"/>
          <w:color w:val="auto"/>
          <w:kern w:val="22"/>
          <w:bdr w:val="none" w:sz="0" w:space="0" w:color="auto"/>
          <w:lang w:val="en-GB"/>
        </w:rPr>
        <w:t>thirteen</w:t>
      </w:r>
      <w:r w:rsidRPr="00DF02C5">
        <w:rPr>
          <w:rFonts w:eastAsia="Calibri" w:hAnsi="Times New Roman"/>
          <w:snapToGrid w:val="0"/>
          <w:color w:val="auto"/>
          <w:kern w:val="22"/>
          <w:bdr w:val="none" w:sz="0" w:space="0" w:color="auto"/>
          <w:lang w:val="en-GB"/>
        </w:rPr>
        <w:t xml:space="preserve"> Parties and one non-Party</w:t>
      </w:r>
      <w:r w:rsidR="00BF6BAF" w:rsidRPr="00DF02C5">
        <w:rPr>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 xml:space="preserve">have </w:t>
      </w:r>
      <w:r w:rsidR="00005115" w:rsidRPr="00DF02C5">
        <w:rPr>
          <w:rFonts w:eastAsia="Calibri" w:hAnsi="Times New Roman"/>
          <w:snapToGrid w:val="0"/>
          <w:color w:val="auto"/>
          <w:kern w:val="22"/>
          <w:bdr w:val="none" w:sz="0" w:space="0" w:color="auto"/>
          <w:lang w:val="en-GB"/>
        </w:rPr>
        <w:t>set out criteria and/or process for obtaining prior informed consent or approval and involvement of indigenous and local communities for access to genetic resources</w:t>
      </w:r>
      <w:r w:rsidRPr="00DF02C5">
        <w:rPr>
          <w:rFonts w:eastAsia="Calibri" w:hAnsi="Times New Roman"/>
          <w:snapToGrid w:val="0"/>
          <w:color w:val="auto"/>
          <w:kern w:val="22"/>
          <w:bdr w:val="none" w:sz="0" w:space="0" w:color="auto"/>
          <w:lang w:val="en-GB"/>
        </w:rPr>
        <w:t xml:space="preserve">. </w:t>
      </w:r>
    </w:p>
    <w:p w14:paraId="5E6BDC72" w14:textId="4C0677FA" w:rsidR="005F3A08" w:rsidRPr="00DF02C5" w:rsidRDefault="005F3A08"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In providing further information, some countries referre</w:t>
      </w:r>
      <w:r w:rsidR="009C2D4E" w:rsidRPr="00DF02C5">
        <w:rPr>
          <w:rFonts w:eastAsia="Calibri" w:hAnsi="Times New Roman"/>
          <w:snapToGrid w:val="0"/>
          <w:color w:val="auto"/>
          <w:kern w:val="22"/>
          <w:bdr w:val="none" w:sz="0" w:space="0" w:color="auto"/>
          <w:lang w:val="en-GB"/>
        </w:rPr>
        <w:t>d to existing relevant measures</w:t>
      </w:r>
      <w:r w:rsidRPr="00DF02C5">
        <w:rPr>
          <w:rStyle w:val="FootnoteReference"/>
          <w:rFonts w:eastAsia="Calibri" w:hAnsi="Times New Roman"/>
          <w:snapToGrid w:val="0"/>
          <w:color w:val="auto"/>
          <w:kern w:val="22"/>
          <w:bdr w:val="none" w:sz="0" w:space="0" w:color="auto"/>
          <w:lang w:val="en-GB"/>
        </w:rPr>
        <w:footnoteReference w:id="313"/>
      </w:r>
      <w:r w:rsidRPr="00DF02C5">
        <w:rPr>
          <w:rFonts w:eastAsia="Calibri" w:hAnsi="Times New Roman"/>
          <w:snapToGrid w:val="0"/>
          <w:color w:val="auto"/>
          <w:kern w:val="22"/>
          <w:bdr w:val="none" w:sz="0" w:space="0" w:color="auto"/>
          <w:lang w:val="en-GB"/>
        </w:rPr>
        <w:t xml:space="preserve"> addressing this issue or to draft measures under development or approval</w:t>
      </w:r>
      <w:r w:rsidR="00696271">
        <w:rPr>
          <w:rFonts w:eastAsia="Calibri" w:hAnsi="Times New Roman"/>
          <w:snapToGrid w:val="0"/>
          <w:color w:val="auto"/>
          <w:kern w:val="22"/>
          <w:bdr w:val="none" w:sz="0" w:space="0" w:color="auto"/>
          <w:lang w:val="en-GB"/>
        </w:rPr>
        <w:t>.</w:t>
      </w:r>
      <w:r w:rsidR="009C2D4E" w:rsidRPr="00DF02C5">
        <w:rPr>
          <w:rStyle w:val="FootnoteReference"/>
          <w:rFonts w:eastAsia="Calibri" w:hAnsi="Times New Roman"/>
          <w:snapToGrid w:val="0"/>
          <w:color w:val="auto"/>
          <w:kern w:val="22"/>
          <w:bdr w:val="none" w:sz="0" w:space="0" w:color="auto"/>
          <w:lang w:val="en-GB"/>
        </w:rPr>
        <w:footnoteReference w:id="314"/>
      </w:r>
      <w:r w:rsidRPr="00DF02C5">
        <w:rPr>
          <w:rFonts w:eastAsia="Calibri" w:hAnsi="Times New Roman"/>
          <w:snapToGrid w:val="0"/>
          <w:color w:val="auto"/>
          <w:kern w:val="22"/>
          <w:bdr w:val="none" w:sz="0" w:space="0" w:color="auto"/>
          <w:lang w:val="en-GB"/>
        </w:rPr>
        <w:t xml:space="preserve"> Three countries</w:t>
      </w:r>
      <w:r w:rsidRPr="00DF02C5">
        <w:rPr>
          <w:rStyle w:val="FootnoteReference"/>
          <w:rFonts w:eastAsia="Calibri" w:hAnsi="Times New Roman"/>
          <w:snapToGrid w:val="0"/>
          <w:color w:val="auto"/>
          <w:kern w:val="22"/>
          <w:bdr w:val="none" w:sz="0" w:space="0" w:color="auto"/>
          <w:lang w:val="en-GB"/>
        </w:rPr>
        <w:footnoteReference w:id="315"/>
      </w:r>
      <w:r w:rsidRPr="00DF02C5">
        <w:rPr>
          <w:rFonts w:eastAsia="Calibri" w:hAnsi="Times New Roman"/>
          <w:snapToGrid w:val="0"/>
          <w:color w:val="auto"/>
          <w:kern w:val="22"/>
          <w:bdr w:val="none" w:sz="0" w:space="0" w:color="auto"/>
          <w:lang w:val="en-GB"/>
        </w:rPr>
        <w:t xml:space="preserve"> mentioned the role of community protocols for gr</w:t>
      </w:r>
      <w:r w:rsidR="00E007A3" w:rsidRPr="00DF02C5">
        <w:rPr>
          <w:rFonts w:eastAsia="Calibri" w:hAnsi="Times New Roman"/>
          <w:snapToGrid w:val="0"/>
          <w:color w:val="auto"/>
          <w:kern w:val="22"/>
          <w:bdr w:val="none" w:sz="0" w:space="0" w:color="auto"/>
          <w:lang w:val="en-GB"/>
        </w:rPr>
        <w:t>anting PIC and establishing MAT. F</w:t>
      </w:r>
      <w:r w:rsidRPr="00DF02C5">
        <w:rPr>
          <w:rFonts w:eastAsia="Calibri" w:hAnsi="Times New Roman"/>
          <w:snapToGrid w:val="0"/>
          <w:color w:val="auto"/>
          <w:kern w:val="22"/>
          <w:bdr w:val="none" w:sz="0" w:space="0" w:color="auto"/>
          <w:lang w:val="en-GB"/>
        </w:rPr>
        <w:t>or example</w:t>
      </w:r>
      <w:r w:rsidR="00E007A3" w:rsidRPr="00DF02C5">
        <w:rPr>
          <w:rFonts w:eastAsia="Calibri" w:hAnsi="Times New Roman"/>
          <w:snapToGrid w:val="0"/>
          <w:color w:val="auto"/>
          <w:kern w:val="22"/>
          <w:bdr w:val="none" w:sz="0" w:space="0" w:color="auto"/>
          <w:lang w:val="en-GB"/>
        </w:rPr>
        <w:t>,</w:t>
      </w:r>
      <w:r w:rsidRPr="00DF02C5">
        <w:rPr>
          <w:rFonts w:eastAsia="Calibri" w:hAnsi="Times New Roman"/>
          <w:snapToGrid w:val="0"/>
          <w:color w:val="auto"/>
          <w:kern w:val="22"/>
          <w:bdr w:val="none" w:sz="0" w:space="0" w:color="auto"/>
          <w:lang w:val="en-GB"/>
        </w:rPr>
        <w:t xml:space="preserve"> Bhutan indicated that at the national level, the NFP was required to consult and obtain PIC from local communities prior to granting access and </w:t>
      </w:r>
      <w:r w:rsidR="00E007A3" w:rsidRPr="00DF02C5">
        <w:rPr>
          <w:rFonts w:eastAsia="Calibri" w:hAnsi="Times New Roman"/>
          <w:snapToGrid w:val="0"/>
          <w:color w:val="auto"/>
          <w:kern w:val="22"/>
          <w:bdr w:val="none" w:sz="0" w:space="0" w:color="auto"/>
          <w:lang w:val="en-GB"/>
        </w:rPr>
        <w:t xml:space="preserve">that </w:t>
      </w:r>
      <w:r w:rsidRPr="00DF02C5">
        <w:rPr>
          <w:rFonts w:eastAsia="Calibri" w:hAnsi="Times New Roman"/>
          <w:snapToGrid w:val="0"/>
          <w:color w:val="auto"/>
          <w:kern w:val="22"/>
          <w:bdr w:val="none" w:sz="0" w:space="0" w:color="auto"/>
          <w:lang w:val="en-GB"/>
        </w:rPr>
        <w:t xml:space="preserve">the communities were engaged throughout the process. Bhutan </w:t>
      </w:r>
      <w:r w:rsidR="00E007A3" w:rsidRPr="00DF02C5">
        <w:rPr>
          <w:rFonts w:eastAsia="Calibri" w:hAnsi="Times New Roman"/>
          <w:snapToGrid w:val="0"/>
          <w:color w:val="auto"/>
          <w:kern w:val="22"/>
          <w:bdr w:val="none" w:sz="0" w:space="0" w:color="auto"/>
          <w:lang w:val="en-GB"/>
        </w:rPr>
        <w:t xml:space="preserve">explained </w:t>
      </w:r>
      <w:r w:rsidRPr="00DF02C5">
        <w:rPr>
          <w:rFonts w:eastAsia="Calibri" w:hAnsi="Times New Roman"/>
          <w:snapToGrid w:val="0"/>
          <w:color w:val="auto"/>
          <w:kern w:val="22"/>
          <w:bdr w:val="none" w:sz="0" w:space="0" w:color="auto"/>
          <w:lang w:val="en-GB"/>
        </w:rPr>
        <w:t>that at the community level, the criteria/process for obtaining PIC and involvement of the local communities was guided by the community protocol developed by the respective communities.</w:t>
      </w:r>
    </w:p>
    <w:p w14:paraId="0676ACE6" w14:textId="15434C37" w:rsidR="005F3A08" w:rsidRPr="00696271" w:rsidRDefault="00832FDF" w:rsidP="00696271">
      <w:pPr>
        <w:numPr>
          <w:ilvl w:val="0"/>
          <w:numId w:val="72"/>
        </w:numPr>
        <w:spacing w:before="240" w:after="120"/>
        <w:ind w:left="993" w:hanging="547"/>
        <w:rPr>
          <w:rFonts w:eastAsia="Calibri" w:hAnsi="Times New Roman" w:cs="Times New Roman"/>
          <w:i/>
          <w:snapToGrid w:val="0"/>
          <w:color w:val="auto"/>
          <w:kern w:val="22"/>
          <w:bdr w:val="none" w:sz="0" w:space="0" w:color="auto"/>
          <w:lang w:val="en-GB"/>
        </w:rPr>
      </w:pPr>
      <w:r w:rsidRPr="00696271">
        <w:rPr>
          <w:rFonts w:eastAsia="Calibri" w:hAnsi="Times New Roman"/>
          <w:i/>
          <w:snapToGrid w:val="0"/>
          <w:color w:val="auto"/>
          <w:kern w:val="22"/>
          <w:bdr w:val="none" w:sz="0" w:space="0" w:color="auto"/>
          <w:lang w:val="en-GB"/>
        </w:rPr>
        <w:t>In accordance with domestic law has your country taken measures with the aim of ensuring that traditional knowledge associated with genetic resources that is held by indigenous and local communities within your country is accessed with the PIC or approval and involvement of these indigenous and local communities and that MAT have been established as provided in Article 7?</w:t>
      </w:r>
      <w:r w:rsidR="005F3A08" w:rsidRPr="00696271">
        <w:rPr>
          <w:rFonts w:eastAsia="Calibri" w:hAnsi="Times New Roman" w:cs="Times New Roman"/>
          <w:i/>
          <w:snapToGrid w:val="0"/>
          <w:color w:val="auto"/>
          <w:kern w:val="22"/>
          <w:bdr w:val="none" w:sz="0" w:space="0" w:color="auto"/>
          <w:lang w:val="en-GB"/>
        </w:rPr>
        <w:t xml:space="preserve"> (question 39) </w:t>
      </w:r>
    </w:p>
    <w:p w14:paraId="6048CCA6" w14:textId="4E82DFB4" w:rsidR="008B457E" w:rsidRPr="00DF02C5" w:rsidRDefault="00832FDF" w:rsidP="00A2498F">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Of the forty-nine countries that stated they there are indigenous peoples and local communities in their country</w:t>
      </w:r>
      <w:r w:rsidR="008B457E" w:rsidRPr="00DF02C5">
        <w:rPr>
          <w:rFonts w:eastAsia="Calibri" w:hAnsi="Times New Roman"/>
          <w:snapToGrid w:val="0"/>
          <w:kern w:val="22"/>
          <w:bdr w:val="none" w:sz="0" w:space="0" w:color="auto"/>
          <w:lang w:val="en-GB"/>
        </w:rPr>
        <w:t>, twenty-one Parties and two non-Parties specified that they have taken such measures</w:t>
      </w:r>
      <w:r w:rsidRPr="00DF02C5">
        <w:rPr>
          <w:rFonts w:eastAsia="Calibri" w:hAnsi="Times New Roman"/>
          <w:snapToGrid w:val="0"/>
          <w:kern w:val="22"/>
          <w:bdr w:val="none" w:sz="0" w:space="0" w:color="auto"/>
          <w:lang w:val="en-GB"/>
        </w:rPr>
        <w:t xml:space="preserve"> to implement Article 7, while twenty-six Parties reported not having taken such measures.</w:t>
      </w:r>
    </w:p>
    <w:p w14:paraId="67E1BE51" w14:textId="69EE4B1A" w:rsidR="00E71A09" w:rsidRPr="00DF02C5" w:rsidRDefault="00E5256F" w:rsidP="00E5256F">
      <w:pPr>
        <w:pStyle w:val="Caption"/>
        <w:keepNext/>
        <w:keepLines/>
        <w:rPr>
          <w:snapToGrid w:val="0"/>
          <w:bdr w:val="none" w:sz="0" w:space="0" w:color="auto"/>
          <w:lang w:val="en-GB"/>
        </w:rPr>
      </w:pPr>
      <w:r w:rsidRPr="00DF02C5">
        <w:rPr>
          <w:lang w:val="en-GB"/>
        </w:rPr>
        <w:lastRenderedPageBreak/>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Pr="00DF02C5">
        <w:rPr>
          <w:noProof/>
          <w:lang w:val="en-GB"/>
        </w:rPr>
        <w:t>37</w:t>
      </w:r>
      <w:r w:rsidRPr="00DF02C5">
        <w:rPr>
          <w:lang w:val="en-GB"/>
        </w:rPr>
        <w:fldChar w:fldCharType="end"/>
      </w:r>
      <w:r w:rsidR="00E71A09" w:rsidRPr="00DF02C5">
        <w:rPr>
          <w:snapToGrid w:val="0"/>
          <w:bdr w:val="none" w:sz="0" w:space="0" w:color="auto"/>
          <w:lang w:val="en-GB"/>
        </w:rPr>
        <w:t>: Measures to implement Article 7 (percentage of countries)</w:t>
      </w:r>
    </w:p>
    <w:p w14:paraId="0DCCD3D6" w14:textId="641B1A7B" w:rsidR="00832FDF" w:rsidRPr="00DF02C5" w:rsidRDefault="0047578D" w:rsidP="00E71A09">
      <w:pPr>
        <w:pStyle w:val="Para1"/>
        <w:jc w:val="center"/>
        <w:rPr>
          <w:rFonts w:eastAsia="Calibri" w:hAnsi="Times New Roman"/>
          <w:snapToGrid w:val="0"/>
          <w:kern w:val="22"/>
          <w:bdr w:val="none" w:sz="0" w:space="0" w:color="auto"/>
          <w:lang w:val="en-GB"/>
        </w:rPr>
      </w:pPr>
      <w:r w:rsidRPr="00DF02C5">
        <w:rPr>
          <w:noProof/>
          <w:color w:val="auto"/>
        </w:rPr>
        <w:drawing>
          <wp:inline distT="0" distB="0" distL="0" distR="0" wp14:anchorId="7ED3CDDA" wp14:editId="198724D7">
            <wp:extent cx="3324225" cy="1914525"/>
            <wp:effectExtent l="0" t="0" r="9525" b="952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C0C79A4" w14:textId="25A34127" w:rsidR="00E71A09" w:rsidRPr="00DF02C5" w:rsidRDefault="00E71A09" w:rsidP="00E71A09">
      <w:pPr>
        <w:pStyle w:val="Para1"/>
        <w:rPr>
          <w:rFonts w:eastAsia="Calibri" w:hAnsi="Times New Roman"/>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t>(a)</w:t>
      </w:r>
      <w:r w:rsidRPr="00DF02C5">
        <w:rPr>
          <w:rFonts w:eastAsia="Calibri" w:hAnsi="Times New Roman"/>
          <w:i/>
          <w:snapToGrid w:val="0"/>
          <w:color w:val="auto"/>
          <w:kern w:val="22"/>
          <w:bdr w:val="none" w:sz="0" w:space="0" w:color="auto"/>
          <w:lang w:val="en-GB"/>
        </w:rPr>
        <w:tab/>
        <w:t>Countries that answered “yes”</w:t>
      </w:r>
    </w:p>
    <w:p w14:paraId="7FB8C533" w14:textId="6C6E4A6A" w:rsidR="005F3A08" w:rsidRPr="00DF02C5" w:rsidRDefault="00E71A09" w:rsidP="00BC6060">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C</w:t>
      </w:r>
      <w:r w:rsidR="005F3A08" w:rsidRPr="00DF02C5">
        <w:rPr>
          <w:rFonts w:eastAsia="Calibri" w:hAnsi="Times New Roman"/>
          <w:snapToGrid w:val="0"/>
          <w:color w:val="auto"/>
          <w:kern w:val="22"/>
          <w:bdr w:val="none" w:sz="0" w:space="0" w:color="auto"/>
          <w:lang w:val="en-GB"/>
        </w:rPr>
        <w:t>ountries referred to existing relevant measures</w:t>
      </w:r>
      <w:r w:rsidR="005F3A08" w:rsidRPr="00DF02C5">
        <w:rPr>
          <w:rStyle w:val="FootnoteReference"/>
          <w:rFonts w:eastAsia="Calibri" w:hAnsi="Times New Roman"/>
          <w:snapToGrid w:val="0"/>
          <w:color w:val="auto"/>
          <w:kern w:val="22"/>
          <w:bdr w:val="none" w:sz="0" w:space="0" w:color="auto"/>
          <w:lang w:val="en-GB"/>
        </w:rPr>
        <w:footnoteReference w:id="316"/>
      </w:r>
      <w:r w:rsidR="005F3A08" w:rsidRPr="00DF02C5">
        <w:rPr>
          <w:rFonts w:eastAsia="Calibri" w:hAnsi="Times New Roman"/>
          <w:snapToGrid w:val="0"/>
          <w:color w:val="auto"/>
          <w:kern w:val="22"/>
          <w:bdr w:val="none" w:sz="0" w:space="0" w:color="auto"/>
          <w:lang w:val="en-GB"/>
        </w:rPr>
        <w:t xml:space="preserve"> addressing this issue or to draft measures under development or approval</w:t>
      </w:r>
      <w:r w:rsidR="005F3A08" w:rsidRPr="00DF02C5">
        <w:rPr>
          <w:rStyle w:val="FootnoteReference"/>
          <w:rFonts w:eastAsia="Calibri" w:hAnsi="Times New Roman"/>
          <w:snapToGrid w:val="0"/>
          <w:color w:val="auto"/>
          <w:kern w:val="22"/>
          <w:bdr w:val="none" w:sz="0" w:space="0" w:color="auto"/>
          <w:lang w:val="en-GB"/>
        </w:rPr>
        <w:footnoteReference w:id="317"/>
      </w:r>
      <w:r w:rsidR="005F3A08" w:rsidRPr="00DF02C5">
        <w:rPr>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S</w:t>
      </w:r>
      <w:r w:rsidR="005F3A08" w:rsidRPr="00DF02C5">
        <w:rPr>
          <w:rFonts w:eastAsia="Calibri" w:hAnsi="Times New Roman"/>
          <w:snapToGrid w:val="0"/>
          <w:color w:val="auto"/>
          <w:kern w:val="22"/>
          <w:bdr w:val="none" w:sz="0" w:space="0" w:color="auto"/>
          <w:lang w:val="en-GB"/>
        </w:rPr>
        <w:t>ome countries provided fu</w:t>
      </w:r>
      <w:r w:rsidRPr="00DF02C5">
        <w:rPr>
          <w:rFonts w:eastAsia="Calibri" w:hAnsi="Times New Roman"/>
          <w:snapToGrid w:val="0"/>
          <w:color w:val="auto"/>
          <w:kern w:val="22"/>
          <w:bdr w:val="none" w:sz="0" w:space="0" w:color="auto"/>
          <w:lang w:val="en-GB"/>
        </w:rPr>
        <w:t>rther details on measures taken, for example:</w:t>
      </w:r>
    </w:p>
    <w:p w14:paraId="6E72343B" w14:textId="288C3F0D" w:rsidR="005F3A08" w:rsidRPr="00DF02C5" w:rsidRDefault="00E71A09" w:rsidP="00BC6060">
      <w:pPr>
        <w:pStyle w:val="ListParagraph"/>
        <w:numPr>
          <w:ilvl w:val="1"/>
          <w:numId w:val="73"/>
        </w:numPr>
        <w:spacing w:before="120" w:after="120" w:line="228" w:lineRule="auto"/>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Benin shared information on</w:t>
      </w:r>
      <w:r w:rsidR="005F3A08" w:rsidRPr="00DF02C5">
        <w:rPr>
          <w:rFonts w:eastAsia="Calibri" w:hAnsi="Times New Roman" w:cs="Times New Roman"/>
          <w:snapToGrid w:val="0"/>
          <w:color w:val="auto"/>
          <w:kern w:val="22"/>
          <w:bdr w:val="none" w:sz="0" w:space="0" w:color="auto"/>
          <w:lang w:val="en-GB"/>
        </w:rPr>
        <w:t xml:space="preserve"> their activities to build </w:t>
      </w:r>
      <w:r w:rsidRPr="00DF02C5">
        <w:rPr>
          <w:rFonts w:eastAsia="Calibri" w:hAnsi="Times New Roman" w:cs="Times New Roman"/>
          <w:snapToGrid w:val="0"/>
          <w:color w:val="auto"/>
          <w:kern w:val="22"/>
          <w:bdr w:val="none" w:sz="0" w:space="0" w:color="auto"/>
          <w:lang w:val="en-GB"/>
        </w:rPr>
        <w:t>the capacity of communities,</w:t>
      </w:r>
      <w:r w:rsidR="005F3A08" w:rsidRPr="00DF02C5">
        <w:rPr>
          <w:rFonts w:eastAsia="Calibri" w:hAnsi="Times New Roman" w:cs="Times New Roman"/>
          <w:snapToGrid w:val="0"/>
          <w:color w:val="auto"/>
          <w:kern w:val="22"/>
          <w:bdr w:val="none" w:sz="0" w:space="0" w:color="auto"/>
          <w:lang w:val="en-GB"/>
        </w:rPr>
        <w:t xml:space="preserve"> support the development of community protocols</w:t>
      </w:r>
      <w:r w:rsidRPr="00DF02C5">
        <w:rPr>
          <w:rFonts w:eastAsia="Calibri" w:hAnsi="Times New Roman" w:cs="Times New Roman"/>
          <w:snapToGrid w:val="0"/>
          <w:color w:val="auto"/>
          <w:kern w:val="22"/>
          <w:bdr w:val="none" w:sz="0" w:space="0" w:color="auto"/>
          <w:lang w:val="en-GB"/>
        </w:rPr>
        <w:t>,</w:t>
      </w:r>
      <w:r w:rsidR="005F3A08" w:rsidRPr="00DF02C5">
        <w:rPr>
          <w:rFonts w:eastAsia="Calibri" w:hAnsi="Times New Roman" w:cs="Times New Roman"/>
          <w:snapToGrid w:val="0"/>
          <w:color w:val="auto"/>
          <w:kern w:val="22"/>
          <w:bdr w:val="none" w:sz="0" w:space="0" w:color="auto"/>
          <w:lang w:val="en-GB"/>
        </w:rPr>
        <w:t xml:space="preserve"> and support communities in</w:t>
      </w:r>
      <w:r w:rsidR="00696271">
        <w:rPr>
          <w:rFonts w:eastAsia="Calibri" w:hAnsi="Times New Roman" w:cs="Times New Roman"/>
          <w:snapToGrid w:val="0"/>
          <w:color w:val="auto"/>
          <w:kern w:val="22"/>
          <w:bdr w:val="none" w:sz="0" w:space="0" w:color="auto"/>
          <w:lang w:val="en-GB"/>
        </w:rPr>
        <w:t xml:space="preserve"> the negotiation of PIC and MAT;</w:t>
      </w:r>
    </w:p>
    <w:p w14:paraId="013E8E4C" w14:textId="4CB18D9C" w:rsidR="005F3A08" w:rsidRPr="00DF02C5" w:rsidRDefault="00E71A09" w:rsidP="00BC6060">
      <w:pPr>
        <w:pStyle w:val="ListParagraph"/>
        <w:numPr>
          <w:ilvl w:val="1"/>
          <w:numId w:val="73"/>
        </w:numPr>
        <w:spacing w:before="120" w:after="120" w:line="228" w:lineRule="auto"/>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In China, t</w:t>
      </w:r>
      <w:r w:rsidR="005F3A08" w:rsidRPr="00DF02C5">
        <w:rPr>
          <w:rFonts w:eastAsia="Calibri" w:hAnsi="Times New Roman" w:cs="Times New Roman"/>
          <w:snapToGrid w:val="0"/>
          <w:color w:val="auto"/>
          <w:kern w:val="22"/>
          <w:bdr w:val="none" w:sz="0" w:space="0" w:color="auto"/>
          <w:lang w:val="en-GB"/>
        </w:rPr>
        <w:t xml:space="preserve">he Chinese Medicine Law </w:t>
      </w:r>
      <w:r w:rsidRPr="00DF02C5">
        <w:rPr>
          <w:rFonts w:eastAsia="Calibri" w:hAnsi="Times New Roman" w:cs="Times New Roman"/>
          <w:snapToGrid w:val="0"/>
          <w:color w:val="auto"/>
          <w:kern w:val="22"/>
          <w:bdr w:val="none" w:sz="0" w:space="0" w:color="auto"/>
          <w:lang w:val="en-GB"/>
        </w:rPr>
        <w:t xml:space="preserve">gives the </w:t>
      </w:r>
      <w:r w:rsidR="005F3A08" w:rsidRPr="00DF02C5">
        <w:rPr>
          <w:rFonts w:eastAsia="Calibri" w:hAnsi="Times New Roman" w:cs="Times New Roman"/>
          <w:snapToGrid w:val="0"/>
          <w:color w:val="auto"/>
          <w:kern w:val="22"/>
          <w:bdr w:val="none" w:sz="0" w:space="0" w:color="auto"/>
          <w:lang w:val="en-GB"/>
        </w:rPr>
        <w:t>holder</w:t>
      </w:r>
      <w:r w:rsidRPr="00DF02C5">
        <w:rPr>
          <w:rFonts w:eastAsia="Calibri" w:hAnsi="Times New Roman" w:cs="Times New Roman"/>
          <w:snapToGrid w:val="0"/>
          <w:color w:val="auto"/>
          <w:kern w:val="22"/>
          <w:bdr w:val="none" w:sz="0" w:space="0" w:color="auto"/>
          <w:lang w:val="en-GB"/>
        </w:rPr>
        <w:t>s</w:t>
      </w:r>
      <w:r w:rsidR="005F3A08" w:rsidRPr="00DF02C5">
        <w:rPr>
          <w:rFonts w:eastAsia="Calibri" w:hAnsi="Times New Roman" w:cs="Times New Roman"/>
          <w:snapToGrid w:val="0"/>
          <w:color w:val="auto"/>
          <w:kern w:val="22"/>
          <w:bdr w:val="none" w:sz="0" w:space="0" w:color="auto"/>
          <w:lang w:val="en-GB"/>
        </w:rPr>
        <w:t xml:space="preserve"> of traditional knowledge associated with </w:t>
      </w:r>
      <w:r w:rsidRPr="00DF02C5">
        <w:rPr>
          <w:rFonts w:eastAsia="Calibri" w:hAnsi="Times New Roman" w:cs="Times New Roman"/>
          <w:snapToGrid w:val="0"/>
          <w:color w:val="auto"/>
          <w:kern w:val="22"/>
          <w:bdr w:val="none" w:sz="0" w:space="0" w:color="auto"/>
          <w:lang w:val="en-GB"/>
        </w:rPr>
        <w:t xml:space="preserve">this </w:t>
      </w:r>
      <w:r w:rsidR="005F3A08" w:rsidRPr="00DF02C5">
        <w:rPr>
          <w:rFonts w:eastAsia="Calibri" w:hAnsi="Times New Roman" w:cs="Times New Roman"/>
          <w:snapToGrid w:val="0"/>
          <w:color w:val="auto"/>
          <w:kern w:val="22"/>
          <w:bdr w:val="none" w:sz="0" w:space="0" w:color="auto"/>
          <w:lang w:val="en-GB"/>
        </w:rPr>
        <w:t xml:space="preserve">medicine the </w:t>
      </w:r>
      <w:r w:rsidRPr="00DF02C5">
        <w:rPr>
          <w:rFonts w:eastAsia="Calibri" w:hAnsi="Times New Roman" w:cs="Times New Roman"/>
          <w:snapToGrid w:val="0"/>
          <w:color w:val="auto"/>
          <w:kern w:val="22"/>
          <w:bdr w:val="none" w:sz="0" w:space="0" w:color="auto"/>
          <w:lang w:val="en-GB"/>
        </w:rPr>
        <w:t>right to pass the knowledge on to his/her inheritor(s)</w:t>
      </w:r>
      <w:r w:rsidR="005F3A08" w:rsidRPr="00DF02C5">
        <w:rPr>
          <w:rFonts w:eastAsia="Calibri" w:hAnsi="Times New Roman" w:cs="Times New Roman"/>
          <w:snapToGrid w:val="0"/>
          <w:color w:val="auto"/>
          <w:kern w:val="22"/>
          <w:bdr w:val="none" w:sz="0" w:space="0" w:color="auto"/>
          <w:lang w:val="en-GB"/>
        </w:rPr>
        <w:t xml:space="preserve"> and to require prior informed consent for access to his/her traditional knowledge and benefit-sharing from </w:t>
      </w:r>
      <w:r w:rsidRPr="00DF02C5">
        <w:rPr>
          <w:rFonts w:eastAsia="Calibri" w:hAnsi="Times New Roman" w:cs="Times New Roman"/>
          <w:snapToGrid w:val="0"/>
          <w:color w:val="auto"/>
          <w:kern w:val="22"/>
          <w:bdr w:val="none" w:sz="0" w:space="0" w:color="auto"/>
          <w:lang w:val="en-GB"/>
        </w:rPr>
        <w:t xml:space="preserve">its </w:t>
      </w:r>
      <w:r w:rsidR="005F3A08" w:rsidRPr="00DF02C5">
        <w:rPr>
          <w:rFonts w:eastAsia="Calibri" w:hAnsi="Times New Roman" w:cs="Times New Roman"/>
          <w:snapToGrid w:val="0"/>
          <w:color w:val="auto"/>
          <w:kern w:val="22"/>
          <w:bdr w:val="none" w:sz="0" w:space="0" w:color="auto"/>
          <w:lang w:val="en-GB"/>
        </w:rPr>
        <w:t>use</w:t>
      </w:r>
      <w:r w:rsidR="00696271">
        <w:rPr>
          <w:rFonts w:eastAsia="Calibri" w:hAnsi="Times New Roman" w:cs="Times New Roman"/>
          <w:snapToGrid w:val="0"/>
          <w:color w:val="auto"/>
          <w:kern w:val="22"/>
          <w:bdr w:val="none" w:sz="0" w:space="0" w:color="auto"/>
          <w:lang w:val="en-GB"/>
        </w:rPr>
        <w:t>;</w:t>
      </w:r>
    </w:p>
    <w:p w14:paraId="57E5AE0F" w14:textId="24C4265C" w:rsidR="005F3A08" w:rsidRPr="00DF02C5" w:rsidRDefault="005F3A08" w:rsidP="00BC6060">
      <w:pPr>
        <w:pStyle w:val="ListParagraph"/>
        <w:numPr>
          <w:ilvl w:val="1"/>
          <w:numId w:val="73"/>
        </w:numPr>
        <w:spacing w:before="120" w:after="120" w:line="228" w:lineRule="auto"/>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In Finland, the Sami Parliament manages a database in which traditional knowledge of the Sami people associated with genetic resources intended for research and development purposes can be recorded. </w:t>
      </w:r>
      <w:r w:rsidR="00E71A09" w:rsidRPr="00DF02C5">
        <w:rPr>
          <w:rFonts w:eastAsia="Calibri" w:hAnsi="Times New Roman" w:cs="Times New Roman"/>
          <w:snapToGrid w:val="0"/>
          <w:color w:val="auto"/>
          <w:kern w:val="22"/>
          <w:bdr w:val="none" w:sz="0" w:space="0" w:color="auto"/>
          <w:lang w:val="en-GB"/>
        </w:rPr>
        <w:t xml:space="preserve">Applications to </w:t>
      </w:r>
      <w:r w:rsidRPr="00DF02C5">
        <w:rPr>
          <w:rFonts w:eastAsia="Calibri" w:hAnsi="Times New Roman" w:cs="Times New Roman"/>
          <w:snapToGrid w:val="0"/>
          <w:color w:val="auto"/>
          <w:kern w:val="22"/>
          <w:bdr w:val="none" w:sz="0" w:space="0" w:color="auto"/>
          <w:lang w:val="en-GB"/>
        </w:rPr>
        <w:t xml:space="preserve">access the knowledge in this </w:t>
      </w:r>
      <w:r w:rsidR="000A1A42" w:rsidRPr="00DF02C5">
        <w:rPr>
          <w:rFonts w:eastAsia="Calibri" w:hAnsi="Times New Roman" w:cs="Times New Roman"/>
          <w:snapToGrid w:val="0"/>
          <w:color w:val="auto"/>
          <w:kern w:val="22"/>
          <w:bdr w:val="none" w:sz="0" w:space="0" w:color="auto"/>
          <w:lang w:val="en-GB"/>
        </w:rPr>
        <w:t xml:space="preserve">database </w:t>
      </w:r>
      <w:r w:rsidR="005F2162" w:rsidRPr="00DF02C5">
        <w:rPr>
          <w:rFonts w:eastAsia="Calibri" w:hAnsi="Times New Roman" w:cs="Times New Roman"/>
          <w:snapToGrid w:val="0"/>
          <w:color w:val="auto"/>
          <w:kern w:val="22"/>
          <w:bdr w:val="none" w:sz="0" w:space="0" w:color="auto"/>
          <w:lang w:val="en-GB"/>
        </w:rPr>
        <w:t xml:space="preserve">can be </w:t>
      </w:r>
      <w:r w:rsidR="00E71A09" w:rsidRPr="00DF02C5">
        <w:rPr>
          <w:rFonts w:eastAsia="Calibri" w:hAnsi="Times New Roman" w:cs="Times New Roman"/>
          <w:snapToGrid w:val="0"/>
          <w:color w:val="auto"/>
          <w:kern w:val="22"/>
          <w:bdr w:val="none" w:sz="0" w:space="0" w:color="auto"/>
          <w:lang w:val="en-GB"/>
        </w:rPr>
        <w:t xml:space="preserve">submitted </w:t>
      </w:r>
      <w:r w:rsidR="005F2162" w:rsidRPr="00DF02C5">
        <w:rPr>
          <w:rFonts w:eastAsia="Calibri" w:hAnsi="Times New Roman" w:cs="Times New Roman"/>
          <w:snapToGrid w:val="0"/>
          <w:color w:val="auto"/>
          <w:kern w:val="22"/>
          <w:bdr w:val="none" w:sz="0" w:space="0" w:color="auto"/>
          <w:lang w:val="en-GB"/>
        </w:rPr>
        <w:t>to</w:t>
      </w:r>
      <w:r w:rsidRPr="00DF02C5">
        <w:rPr>
          <w:rFonts w:eastAsia="Calibri" w:hAnsi="Times New Roman" w:cs="Times New Roman"/>
          <w:snapToGrid w:val="0"/>
          <w:color w:val="auto"/>
          <w:kern w:val="22"/>
          <w:bdr w:val="none" w:sz="0" w:space="0" w:color="auto"/>
          <w:lang w:val="en-GB"/>
        </w:rPr>
        <w:t xml:space="preserve"> the competent authority, who shall notify the Sami Parliament. </w:t>
      </w:r>
      <w:r w:rsidR="00E71A09" w:rsidRPr="00DF02C5">
        <w:rPr>
          <w:rFonts w:eastAsia="Calibri" w:hAnsi="Times New Roman" w:cs="Times New Roman"/>
          <w:snapToGrid w:val="0"/>
          <w:color w:val="auto"/>
          <w:kern w:val="22"/>
          <w:bdr w:val="none" w:sz="0" w:space="0" w:color="auto"/>
          <w:lang w:val="en-GB"/>
        </w:rPr>
        <w:t xml:space="preserve">The mutually agreed terms between the Sami Parliament and the user are to be approved by the </w:t>
      </w:r>
      <w:r w:rsidR="005F2162" w:rsidRPr="00DF02C5">
        <w:rPr>
          <w:rFonts w:eastAsia="Calibri" w:hAnsi="Times New Roman" w:cs="Times New Roman"/>
          <w:snapToGrid w:val="0"/>
          <w:color w:val="auto"/>
          <w:kern w:val="22"/>
          <w:bdr w:val="none" w:sz="0" w:space="0" w:color="auto"/>
          <w:lang w:val="en-GB"/>
        </w:rPr>
        <w:t>competent authority</w:t>
      </w:r>
      <w:r w:rsidRPr="00DF02C5">
        <w:rPr>
          <w:rFonts w:eastAsia="Calibri" w:hAnsi="Times New Roman" w:cs="Times New Roman"/>
          <w:snapToGrid w:val="0"/>
          <w:color w:val="auto"/>
          <w:kern w:val="22"/>
          <w:bdr w:val="none" w:sz="0" w:space="0" w:color="auto"/>
          <w:lang w:val="en-GB"/>
        </w:rPr>
        <w:t xml:space="preserve">. The Sami Parliament may require fair and equitable sharing of benefits arising from the utilization of the knowledge to be delivered to the Sami people in a way that promotes the language and culture of the Sami people and their position as an indigenous people. Where necessary, the competent authority shall negotiate with the Sami Parliament </w:t>
      </w:r>
      <w:r w:rsidR="005F2162" w:rsidRPr="00DF02C5">
        <w:rPr>
          <w:rFonts w:eastAsia="Calibri" w:hAnsi="Times New Roman" w:cs="Times New Roman"/>
          <w:snapToGrid w:val="0"/>
          <w:color w:val="auto"/>
          <w:kern w:val="22"/>
          <w:bdr w:val="none" w:sz="0" w:space="0" w:color="auto"/>
          <w:lang w:val="en-GB"/>
        </w:rPr>
        <w:t xml:space="preserve">about </w:t>
      </w:r>
      <w:r w:rsidR="00696271">
        <w:rPr>
          <w:rFonts w:eastAsia="Calibri" w:hAnsi="Times New Roman" w:cs="Times New Roman"/>
          <w:snapToGrid w:val="0"/>
          <w:color w:val="auto"/>
          <w:kern w:val="22"/>
          <w:bdr w:val="none" w:sz="0" w:space="0" w:color="auto"/>
          <w:lang w:val="en-GB"/>
        </w:rPr>
        <w:t>mutually agreed terms;</w:t>
      </w:r>
    </w:p>
    <w:p w14:paraId="215354FC" w14:textId="6B0392B3" w:rsidR="005F3A08" w:rsidRPr="00DF02C5" w:rsidRDefault="00027801" w:rsidP="00BC6060">
      <w:pPr>
        <w:pStyle w:val="ListParagraph"/>
        <w:numPr>
          <w:ilvl w:val="1"/>
          <w:numId w:val="73"/>
        </w:numPr>
        <w:spacing w:before="120" w:after="120" w:line="228" w:lineRule="auto"/>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In India, t</w:t>
      </w:r>
      <w:r w:rsidR="005F3A08" w:rsidRPr="00DF02C5">
        <w:rPr>
          <w:rFonts w:eastAsia="Calibri" w:hAnsi="Times New Roman" w:cs="Times New Roman"/>
          <w:snapToGrid w:val="0"/>
          <w:color w:val="auto"/>
          <w:kern w:val="22"/>
          <w:bdr w:val="none" w:sz="0" w:space="0" w:color="auto"/>
          <w:lang w:val="en-GB"/>
        </w:rPr>
        <w:t>he Biological Diversity Act from 2002 provides for the involvement of local communities</w:t>
      </w:r>
      <w:r w:rsidRPr="00DF02C5">
        <w:rPr>
          <w:rFonts w:eastAsia="Calibri" w:hAnsi="Times New Roman" w:cs="Times New Roman"/>
          <w:snapToGrid w:val="0"/>
          <w:color w:val="auto"/>
          <w:kern w:val="22"/>
          <w:bdr w:val="none" w:sz="0" w:space="0" w:color="auto"/>
          <w:lang w:val="en-GB"/>
        </w:rPr>
        <w:t xml:space="preserve"> in the decision-making process relating to access to biological resources and associated traditional knowledge</w:t>
      </w:r>
      <w:r w:rsidR="005F3A08" w:rsidRPr="00DF02C5">
        <w:rPr>
          <w:rFonts w:eastAsia="Calibri" w:hAnsi="Times New Roman" w:cs="Times New Roman"/>
          <w:snapToGrid w:val="0"/>
          <w:color w:val="auto"/>
          <w:kern w:val="22"/>
          <w:bdr w:val="none" w:sz="0" w:space="0" w:color="auto"/>
          <w:lang w:val="en-GB"/>
        </w:rPr>
        <w:t xml:space="preserve"> </w:t>
      </w:r>
      <w:r w:rsidRPr="00DF02C5">
        <w:rPr>
          <w:rFonts w:eastAsia="Calibri" w:hAnsi="Times New Roman" w:cs="Times New Roman"/>
          <w:snapToGrid w:val="0"/>
          <w:color w:val="auto"/>
          <w:kern w:val="22"/>
          <w:bdr w:val="none" w:sz="0" w:space="0" w:color="auto"/>
          <w:lang w:val="en-GB"/>
        </w:rPr>
        <w:t xml:space="preserve">through the </w:t>
      </w:r>
      <w:r w:rsidR="005F3A08" w:rsidRPr="00DF02C5">
        <w:rPr>
          <w:rFonts w:eastAsia="Calibri" w:hAnsi="Times New Roman" w:cs="Times New Roman"/>
          <w:snapToGrid w:val="0"/>
          <w:color w:val="auto"/>
          <w:kern w:val="22"/>
          <w:bdr w:val="none" w:sz="0" w:space="0" w:color="auto"/>
          <w:lang w:val="en-GB"/>
        </w:rPr>
        <w:t>Biodiversity Management Committees</w:t>
      </w:r>
      <w:r w:rsidR="00696271">
        <w:rPr>
          <w:rFonts w:eastAsia="Calibri" w:hAnsi="Times New Roman" w:cs="Times New Roman"/>
          <w:snapToGrid w:val="0"/>
          <w:color w:val="auto"/>
          <w:kern w:val="22"/>
          <w:bdr w:val="none" w:sz="0" w:space="0" w:color="auto"/>
          <w:lang w:val="en-GB"/>
        </w:rPr>
        <w:t>;</w:t>
      </w:r>
    </w:p>
    <w:p w14:paraId="14F01D31" w14:textId="721D0F19" w:rsidR="005F3A08" w:rsidRPr="00DF02C5" w:rsidRDefault="00027801" w:rsidP="00BC6060">
      <w:pPr>
        <w:pStyle w:val="ListParagraph"/>
        <w:numPr>
          <w:ilvl w:val="1"/>
          <w:numId w:val="73"/>
        </w:numPr>
        <w:spacing w:before="120" w:after="120" w:line="228" w:lineRule="auto"/>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In Norway </w:t>
      </w:r>
      <w:r w:rsidR="005F3A08" w:rsidRPr="00DF02C5">
        <w:rPr>
          <w:rFonts w:eastAsia="Calibri" w:hAnsi="Times New Roman" w:cs="Times New Roman"/>
          <w:snapToGrid w:val="0"/>
          <w:color w:val="auto"/>
          <w:kern w:val="22"/>
          <w:bdr w:val="none" w:sz="0" w:space="0" w:color="auto"/>
          <w:lang w:val="en-GB"/>
        </w:rPr>
        <w:t>access to and use by others of traditional knowledge associated with genetic material that is unique to or characteristic of an indigenous people or local communit</w:t>
      </w:r>
      <w:r w:rsidRPr="00DF02C5">
        <w:rPr>
          <w:rFonts w:eastAsia="Calibri" w:hAnsi="Times New Roman" w:cs="Times New Roman"/>
          <w:snapToGrid w:val="0"/>
          <w:color w:val="auto"/>
          <w:kern w:val="22"/>
          <w:bdr w:val="none" w:sz="0" w:space="0" w:color="auto"/>
          <w:lang w:val="en-GB"/>
        </w:rPr>
        <w:t xml:space="preserve">y, </w:t>
      </w:r>
      <w:r w:rsidR="005F3A08" w:rsidRPr="00DF02C5">
        <w:rPr>
          <w:rFonts w:eastAsia="Calibri" w:hAnsi="Times New Roman" w:cs="Times New Roman"/>
          <w:snapToGrid w:val="0"/>
          <w:color w:val="auto"/>
          <w:kern w:val="22"/>
          <w:bdr w:val="none" w:sz="0" w:space="0" w:color="auto"/>
          <w:lang w:val="en-GB"/>
        </w:rPr>
        <w:t>or that is linked to the traditio</w:t>
      </w:r>
      <w:r w:rsidRPr="00DF02C5">
        <w:rPr>
          <w:rFonts w:eastAsia="Calibri" w:hAnsi="Times New Roman" w:cs="Times New Roman"/>
          <w:snapToGrid w:val="0"/>
          <w:color w:val="auto"/>
          <w:kern w:val="22"/>
          <w:bdr w:val="none" w:sz="0" w:space="0" w:color="auto"/>
          <w:lang w:val="en-GB"/>
        </w:rPr>
        <w:t xml:space="preserve">nal way of life of the community, </w:t>
      </w:r>
      <w:r w:rsidR="005F3A08" w:rsidRPr="00DF02C5">
        <w:rPr>
          <w:rFonts w:eastAsia="Calibri" w:hAnsi="Times New Roman" w:cs="Times New Roman"/>
          <w:snapToGrid w:val="0"/>
          <w:color w:val="auto"/>
          <w:kern w:val="22"/>
          <w:bdr w:val="none" w:sz="0" w:space="0" w:color="auto"/>
          <w:lang w:val="en-GB"/>
        </w:rPr>
        <w:t xml:space="preserve">requires </w:t>
      </w:r>
      <w:r w:rsidRPr="00DF02C5">
        <w:rPr>
          <w:rFonts w:eastAsia="Calibri" w:hAnsi="Times New Roman" w:cs="Times New Roman"/>
          <w:snapToGrid w:val="0"/>
          <w:color w:val="auto"/>
          <w:kern w:val="22"/>
          <w:bdr w:val="none" w:sz="0" w:space="0" w:color="auto"/>
          <w:lang w:val="en-GB"/>
        </w:rPr>
        <w:t xml:space="preserve">the </w:t>
      </w:r>
      <w:r w:rsidR="005F3A08" w:rsidRPr="00DF02C5">
        <w:rPr>
          <w:rFonts w:eastAsia="Calibri" w:hAnsi="Times New Roman" w:cs="Times New Roman"/>
          <w:snapToGrid w:val="0"/>
          <w:color w:val="auto"/>
          <w:kern w:val="22"/>
          <w:bdr w:val="none" w:sz="0" w:space="0" w:color="auto"/>
          <w:lang w:val="en-GB"/>
        </w:rPr>
        <w:t xml:space="preserve">consent from a representative or decision-making body that is entitled to represent and make commitments on behalf of the indigenous peoples or local community. The regulations apply to traditional knowledge relating to genetic material developed, used, sustained and passed on by indigenous peoples and local communities in other countries, </w:t>
      </w:r>
      <w:proofErr w:type="gramStart"/>
      <w:r w:rsidR="005F3A08" w:rsidRPr="00DF02C5">
        <w:rPr>
          <w:rFonts w:eastAsia="Calibri" w:hAnsi="Times New Roman" w:cs="Times New Roman"/>
          <w:snapToGrid w:val="0"/>
          <w:color w:val="auto"/>
          <w:kern w:val="22"/>
          <w:bdr w:val="none" w:sz="0" w:space="0" w:color="auto"/>
          <w:lang w:val="en-GB"/>
        </w:rPr>
        <w:t>provided that</w:t>
      </w:r>
      <w:proofErr w:type="gramEnd"/>
      <w:r w:rsidR="005F3A08" w:rsidRPr="00DF02C5">
        <w:rPr>
          <w:rFonts w:eastAsia="Calibri" w:hAnsi="Times New Roman" w:cs="Times New Roman"/>
          <w:snapToGrid w:val="0"/>
          <w:color w:val="auto"/>
          <w:kern w:val="22"/>
          <w:bdr w:val="none" w:sz="0" w:space="0" w:color="auto"/>
          <w:lang w:val="en-GB"/>
        </w:rPr>
        <w:t xml:space="preserve"> access to or use of such knowledge requires consent under the legislation of th</w:t>
      </w:r>
      <w:r w:rsidRPr="00DF02C5">
        <w:rPr>
          <w:rFonts w:eastAsia="Calibri" w:hAnsi="Times New Roman" w:cs="Times New Roman"/>
          <w:snapToGrid w:val="0"/>
          <w:color w:val="auto"/>
          <w:kern w:val="22"/>
          <w:bdr w:val="none" w:sz="0" w:space="0" w:color="auto"/>
          <w:lang w:val="en-GB"/>
        </w:rPr>
        <w:t>e country in</w:t>
      </w:r>
      <w:r w:rsidR="00696271">
        <w:rPr>
          <w:rFonts w:eastAsia="Calibri" w:hAnsi="Times New Roman" w:cs="Times New Roman"/>
          <w:snapToGrid w:val="0"/>
          <w:color w:val="auto"/>
          <w:kern w:val="22"/>
          <w:bdr w:val="none" w:sz="0" w:space="0" w:color="auto"/>
          <w:lang w:val="en-GB"/>
        </w:rPr>
        <w:t xml:space="preserve"> question;</w:t>
      </w:r>
    </w:p>
    <w:p w14:paraId="5A9CABE1" w14:textId="262551E4" w:rsidR="005F3A08" w:rsidRPr="00DF02C5" w:rsidRDefault="003F1E90" w:rsidP="00BC6060">
      <w:pPr>
        <w:pStyle w:val="ListParagraph"/>
        <w:numPr>
          <w:ilvl w:val="1"/>
          <w:numId w:val="73"/>
        </w:numPr>
        <w:spacing w:before="120" w:after="120" w:line="228" w:lineRule="auto"/>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Peru, among other measures, </w:t>
      </w:r>
      <w:r w:rsidR="005F3A08" w:rsidRPr="00DF02C5">
        <w:rPr>
          <w:rFonts w:eastAsia="Calibri" w:hAnsi="Times New Roman" w:cs="Times New Roman"/>
          <w:snapToGrid w:val="0"/>
          <w:color w:val="auto"/>
          <w:kern w:val="22"/>
          <w:bdr w:val="none" w:sz="0" w:space="0" w:color="auto"/>
          <w:lang w:val="en-GB"/>
        </w:rPr>
        <w:t xml:space="preserve">has put in place a fund for the development of indigenous peoples. Resources </w:t>
      </w:r>
      <w:r w:rsidR="004C7412" w:rsidRPr="00DF02C5">
        <w:rPr>
          <w:rFonts w:eastAsia="Calibri" w:hAnsi="Times New Roman" w:cs="Times New Roman"/>
          <w:snapToGrid w:val="0"/>
          <w:color w:val="auto"/>
          <w:kern w:val="22"/>
          <w:bdr w:val="none" w:sz="0" w:space="0" w:color="auto"/>
          <w:lang w:val="en-GB"/>
        </w:rPr>
        <w:t xml:space="preserve">for the fund </w:t>
      </w:r>
      <w:r w:rsidR="005F3A08" w:rsidRPr="00DF02C5">
        <w:rPr>
          <w:rFonts w:eastAsia="Calibri" w:hAnsi="Times New Roman" w:cs="Times New Roman"/>
          <w:snapToGrid w:val="0"/>
          <w:color w:val="auto"/>
          <w:kern w:val="22"/>
          <w:bdr w:val="none" w:sz="0" w:space="0" w:color="auto"/>
          <w:lang w:val="en-GB"/>
        </w:rPr>
        <w:t xml:space="preserve">come from the public budget, international technical cooperation, donations </w:t>
      </w:r>
      <w:r w:rsidR="004C7412" w:rsidRPr="00DF02C5">
        <w:rPr>
          <w:rFonts w:eastAsia="Calibri" w:hAnsi="Times New Roman" w:cs="Times New Roman"/>
          <w:snapToGrid w:val="0"/>
          <w:color w:val="auto"/>
          <w:kern w:val="22"/>
          <w:bdr w:val="none" w:sz="0" w:space="0" w:color="auto"/>
          <w:lang w:val="en-GB"/>
        </w:rPr>
        <w:t>as well as from a</w:t>
      </w:r>
      <w:r w:rsidR="005F3A08" w:rsidRPr="00DF02C5">
        <w:rPr>
          <w:rFonts w:eastAsia="Calibri" w:hAnsi="Times New Roman" w:cs="Times New Roman"/>
          <w:snapToGrid w:val="0"/>
          <w:color w:val="auto"/>
          <w:kern w:val="22"/>
          <w:bdr w:val="none" w:sz="0" w:space="0" w:color="auto"/>
          <w:lang w:val="en-GB"/>
        </w:rPr>
        <w:t xml:space="preserve"> percentage not less than the 10% of the net sales, before taxes, resulting from the commercialisation of products developed from a collective knowledge subject of a licence contract</w:t>
      </w:r>
      <w:r w:rsidR="004C7412" w:rsidRPr="00DF02C5">
        <w:rPr>
          <w:rFonts w:eastAsia="Calibri" w:hAnsi="Times New Roman" w:cs="Times New Roman"/>
          <w:snapToGrid w:val="0"/>
          <w:color w:val="auto"/>
          <w:kern w:val="22"/>
          <w:bdr w:val="none" w:sz="0" w:space="0" w:color="auto"/>
          <w:lang w:val="en-GB"/>
        </w:rPr>
        <w:t xml:space="preserve"> and </w:t>
      </w:r>
      <w:r w:rsidR="005F3A08" w:rsidRPr="00DF02C5">
        <w:rPr>
          <w:rFonts w:eastAsia="Calibri" w:hAnsi="Times New Roman" w:cs="Times New Roman"/>
          <w:snapToGrid w:val="0"/>
          <w:color w:val="auto"/>
          <w:kern w:val="22"/>
          <w:bdr w:val="none" w:sz="0" w:space="0" w:color="auto"/>
          <w:lang w:val="en-GB"/>
        </w:rPr>
        <w:t xml:space="preserve">a percentage (not determined) of the value of the net sales, before taxes, resulting from the commercialisation </w:t>
      </w:r>
      <w:r w:rsidR="005F3A08" w:rsidRPr="00DF02C5">
        <w:rPr>
          <w:rFonts w:eastAsia="Calibri" w:hAnsi="Times New Roman" w:cs="Times New Roman"/>
          <w:snapToGrid w:val="0"/>
          <w:color w:val="auto"/>
          <w:kern w:val="22"/>
          <w:bdr w:val="none" w:sz="0" w:space="0" w:color="auto"/>
          <w:lang w:val="en-GB"/>
        </w:rPr>
        <w:lastRenderedPageBreak/>
        <w:t>of products developed from the collective knowledge that have entered into the public domain 20 years before the adoption of Law 27811 (1982-2002).</w:t>
      </w:r>
    </w:p>
    <w:p w14:paraId="477AB0BA" w14:textId="5066B59C" w:rsidR="005F3A08" w:rsidRPr="00DF02C5" w:rsidRDefault="003B3005" w:rsidP="003B3005">
      <w:pPr>
        <w:spacing w:before="120" w:after="120" w:line="228" w:lineRule="auto"/>
        <w:jc w:val="left"/>
        <w:rPr>
          <w:rFonts w:eastAsia="Calibri" w:hAnsi="Times New Roman" w:cs="Times New Roman"/>
          <w:i/>
          <w:snapToGrid w:val="0"/>
          <w:color w:val="auto"/>
          <w:kern w:val="22"/>
          <w:bdr w:val="none" w:sz="0" w:space="0" w:color="auto"/>
          <w:lang w:val="en-GB"/>
        </w:rPr>
      </w:pPr>
      <w:r w:rsidRPr="00DF02C5">
        <w:rPr>
          <w:rFonts w:eastAsia="Calibri" w:hAnsi="Times New Roman" w:cs="Times New Roman"/>
          <w:i/>
          <w:snapToGrid w:val="0"/>
          <w:color w:val="auto"/>
          <w:kern w:val="22"/>
          <w:bdr w:val="none" w:sz="0" w:space="0" w:color="auto"/>
          <w:lang w:val="en-GB"/>
        </w:rPr>
        <w:t>(b)</w:t>
      </w:r>
      <w:r w:rsidRPr="00DF02C5">
        <w:rPr>
          <w:rFonts w:eastAsia="Calibri" w:hAnsi="Times New Roman" w:cs="Times New Roman"/>
          <w:i/>
          <w:snapToGrid w:val="0"/>
          <w:color w:val="auto"/>
          <w:kern w:val="22"/>
          <w:bdr w:val="none" w:sz="0" w:space="0" w:color="auto"/>
          <w:lang w:val="en-GB"/>
        </w:rPr>
        <w:tab/>
      </w:r>
      <w:r w:rsidR="004C7412" w:rsidRPr="00DF02C5">
        <w:rPr>
          <w:rFonts w:eastAsia="Calibri" w:hAnsi="Times New Roman" w:cs="Times New Roman"/>
          <w:i/>
          <w:snapToGrid w:val="0"/>
          <w:color w:val="auto"/>
          <w:kern w:val="22"/>
          <w:bdr w:val="none" w:sz="0" w:space="0" w:color="auto"/>
          <w:lang w:val="en-GB"/>
        </w:rPr>
        <w:t>Countries that answered “no”</w:t>
      </w:r>
    </w:p>
    <w:p w14:paraId="087F48DD" w14:textId="4B95ED42" w:rsidR="005F3A08" w:rsidRPr="00DF02C5" w:rsidRDefault="004C7412"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A</w:t>
      </w:r>
      <w:r w:rsidR="005F3A08" w:rsidRPr="00DF02C5">
        <w:rPr>
          <w:rFonts w:eastAsia="Calibri" w:hAnsi="Times New Roman"/>
          <w:snapToGrid w:val="0"/>
          <w:color w:val="auto"/>
          <w:kern w:val="22"/>
          <w:bdr w:val="none" w:sz="0" w:space="0" w:color="auto"/>
          <w:lang w:val="en-GB"/>
        </w:rPr>
        <w:t xml:space="preserve"> number of countries</w:t>
      </w:r>
      <w:r w:rsidR="005F3A08" w:rsidRPr="00DF02C5">
        <w:rPr>
          <w:rStyle w:val="FootnoteReference"/>
          <w:rFonts w:eastAsia="Calibri" w:hAnsi="Times New Roman"/>
          <w:snapToGrid w:val="0"/>
          <w:color w:val="auto"/>
          <w:kern w:val="22"/>
          <w:bdr w:val="none" w:sz="0" w:space="0" w:color="auto"/>
          <w:lang w:val="en-GB"/>
        </w:rPr>
        <w:footnoteReference w:id="318"/>
      </w:r>
      <w:r w:rsidR="005F3A08" w:rsidRPr="00DF02C5">
        <w:rPr>
          <w:rFonts w:eastAsia="Calibri" w:hAnsi="Times New Roman"/>
          <w:snapToGrid w:val="0"/>
          <w:color w:val="auto"/>
          <w:kern w:val="22"/>
          <w:bdr w:val="none" w:sz="0" w:space="0" w:color="auto"/>
          <w:lang w:val="en-GB"/>
        </w:rPr>
        <w:t xml:space="preserve"> indicated that they were planning to address this issue in the development or review of their ABS measures.</w:t>
      </w:r>
    </w:p>
    <w:p w14:paraId="224BB244" w14:textId="0BF257A0" w:rsidR="005F3A08" w:rsidRPr="00701EA8" w:rsidRDefault="00374609" w:rsidP="00701EA8">
      <w:pPr>
        <w:numPr>
          <w:ilvl w:val="0"/>
          <w:numId w:val="72"/>
        </w:numPr>
        <w:spacing w:before="240" w:after="120"/>
        <w:ind w:left="1094" w:right="806" w:hanging="547"/>
        <w:rPr>
          <w:rFonts w:eastAsia="Calibri" w:hAnsi="Times New Roman" w:cs="Times New Roman"/>
          <w:i/>
          <w:snapToGrid w:val="0"/>
          <w:color w:val="auto"/>
          <w:kern w:val="22"/>
          <w:bdr w:val="none" w:sz="0" w:space="0" w:color="auto"/>
          <w:lang w:val="en-GB"/>
        </w:rPr>
      </w:pPr>
      <w:r w:rsidRPr="00701EA8">
        <w:rPr>
          <w:rFonts w:eastAsia="Calibri" w:hAnsi="Times New Roman" w:cs="Times New Roman"/>
          <w:i/>
          <w:snapToGrid w:val="0"/>
          <w:color w:val="auto"/>
          <w:kern w:val="22"/>
          <w:bdr w:val="none" w:sz="0" w:space="0" w:color="auto"/>
          <w:lang w:val="en-GB"/>
        </w:rPr>
        <w:t xml:space="preserve">In implementing the Protocol and in accordance with your domestic law, is your country taking into consideration indigenous and local communities’ customary laws, community protocols and procedures with respect to traditional knowledge associated with genetic resources as provided in Article 12.1? </w:t>
      </w:r>
      <w:r w:rsidR="005F3A08" w:rsidRPr="00701EA8">
        <w:rPr>
          <w:rFonts w:eastAsia="Calibri" w:hAnsi="Times New Roman" w:cs="Times New Roman"/>
          <w:i/>
          <w:snapToGrid w:val="0"/>
          <w:color w:val="auto"/>
          <w:kern w:val="22"/>
          <w:bdr w:val="none" w:sz="0" w:space="0" w:color="auto"/>
          <w:lang w:val="en-GB"/>
        </w:rPr>
        <w:t>(question 40)</w:t>
      </w:r>
    </w:p>
    <w:p w14:paraId="36A0C007" w14:textId="363D9925" w:rsidR="00CA240C" w:rsidRPr="00DF02C5" w:rsidRDefault="00011D81" w:rsidP="00A2498F">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 xml:space="preserve">Of the forty-nine countries that stated they there are indigenous peoples and local communities in their country, </w:t>
      </w:r>
      <w:r w:rsidR="00CA240C" w:rsidRPr="00DF02C5">
        <w:rPr>
          <w:rFonts w:eastAsia="Calibri" w:hAnsi="Times New Roman"/>
          <w:snapToGrid w:val="0"/>
          <w:kern w:val="22"/>
          <w:bdr w:val="none" w:sz="0" w:space="0" w:color="auto"/>
          <w:lang w:val="en-GB"/>
        </w:rPr>
        <w:t xml:space="preserve">twenty-four Parties and one non-Party specified that they have taken </w:t>
      </w:r>
      <w:r w:rsidR="0096661D" w:rsidRPr="00DF02C5">
        <w:rPr>
          <w:rFonts w:eastAsia="Calibri" w:hAnsi="Times New Roman"/>
          <w:snapToGrid w:val="0"/>
          <w:color w:val="auto"/>
          <w:kern w:val="22"/>
          <w:bdr w:val="none" w:sz="0" w:space="0" w:color="auto"/>
          <w:lang w:val="en-GB"/>
        </w:rPr>
        <w:t>into consideration indigenous and local communities’ customary laws, community protocols and procedures with respect to traditional knowledge associated with genetic resources</w:t>
      </w:r>
      <w:r w:rsidRPr="00DF02C5">
        <w:rPr>
          <w:lang w:val="en-GB"/>
        </w:rPr>
        <w:t xml:space="preserve">, while </w:t>
      </w:r>
      <w:r w:rsidRPr="00DF02C5">
        <w:rPr>
          <w:rFonts w:eastAsia="Calibri" w:hAnsi="Times New Roman"/>
          <w:snapToGrid w:val="0"/>
          <w:color w:val="auto"/>
          <w:kern w:val="22"/>
          <w:bdr w:val="none" w:sz="0" w:space="0" w:color="auto"/>
          <w:lang w:val="en-GB"/>
        </w:rPr>
        <w:t>twenty-four Parties and one non-Party reported not having done so.</w:t>
      </w:r>
    </w:p>
    <w:p w14:paraId="29D537E3" w14:textId="281215DF" w:rsidR="00011D81" w:rsidRPr="00DF02C5" w:rsidRDefault="00E5256F" w:rsidP="00E5256F">
      <w:pPr>
        <w:pStyle w:val="Caption"/>
        <w:keepNext/>
        <w:keepLines/>
        <w:rPr>
          <w:snapToGrid w:val="0"/>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Pr="00DF02C5">
        <w:rPr>
          <w:noProof/>
          <w:lang w:val="en-GB"/>
        </w:rPr>
        <w:t>38</w:t>
      </w:r>
      <w:r w:rsidRPr="00DF02C5">
        <w:rPr>
          <w:lang w:val="en-GB"/>
        </w:rPr>
        <w:fldChar w:fldCharType="end"/>
      </w:r>
      <w:r w:rsidR="00011D81" w:rsidRPr="00DF02C5">
        <w:rPr>
          <w:snapToGrid w:val="0"/>
          <w:bdr w:val="none" w:sz="0" w:space="0" w:color="auto"/>
          <w:lang w:val="en-GB"/>
        </w:rPr>
        <w:t>: Measures to implement Article 12.1 (percentage of countries)</w:t>
      </w:r>
    </w:p>
    <w:p w14:paraId="660AB18C" w14:textId="4842E8CB" w:rsidR="00011D81" w:rsidRPr="00DF02C5" w:rsidRDefault="0047578D" w:rsidP="00011D81">
      <w:pPr>
        <w:pStyle w:val="Para1"/>
        <w:jc w:val="center"/>
        <w:rPr>
          <w:rFonts w:eastAsia="Calibri" w:hAnsi="Times New Roman"/>
          <w:snapToGrid w:val="0"/>
          <w:kern w:val="22"/>
          <w:bdr w:val="none" w:sz="0" w:space="0" w:color="auto"/>
          <w:lang w:val="en-GB"/>
        </w:rPr>
      </w:pPr>
      <w:r w:rsidRPr="00DF02C5">
        <w:rPr>
          <w:noProof/>
          <w:color w:val="auto"/>
        </w:rPr>
        <w:drawing>
          <wp:inline distT="0" distB="0" distL="0" distR="0" wp14:anchorId="49E98545" wp14:editId="10DDDE27">
            <wp:extent cx="3600450" cy="2105025"/>
            <wp:effectExtent l="0" t="0" r="1905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66CB4EB" w14:textId="2850F324" w:rsidR="00011D81" w:rsidRPr="00DF02C5" w:rsidRDefault="00011D81" w:rsidP="00011D81">
      <w:pPr>
        <w:pStyle w:val="Para1"/>
        <w:rPr>
          <w:rFonts w:eastAsia="Calibri" w:hAnsi="Times New Roman"/>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t>(a)</w:t>
      </w:r>
      <w:r w:rsidRPr="00DF02C5">
        <w:rPr>
          <w:rFonts w:eastAsia="Calibri" w:hAnsi="Times New Roman"/>
          <w:i/>
          <w:snapToGrid w:val="0"/>
          <w:color w:val="auto"/>
          <w:kern w:val="22"/>
          <w:bdr w:val="none" w:sz="0" w:space="0" w:color="auto"/>
          <w:lang w:val="en-GB"/>
        </w:rPr>
        <w:tab/>
        <w:t>Countries that answered “yes”</w:t>
      </w:r>
    </w:p>
    <w:p w14:paraId="79540701" w14:textId="781AF7F7" w:rsidR="005F3A08" w:rsidRPr="00DF02C5" w:rsidRDefault="00011D81"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w:t>
      </w:r>
      <w:r w:rsidR="005F3A08" w:rsidRPr="00DF02C5">
        <w:rPr>
          <w:rFonts w:eastAsia="Calibri" w:hAnsi="Times New Roman"/>
          <w:snapToGrid w:val="0"/>
          <w:color w:val="auto"/>
          <w:kern w:val="22"/>
          <w:bdr w:val="none" w:sz="0" w:space="0" w:color="auto"/>
          <w:lang w:val="en-GB"/>
        </w:rPr>
        <w:t>ome countries provided information on relevant laws providing recognition of customary law</w:t>
      </w:r>
      <w:r w:rsidR="005F3A08" w:rsidRPr="00DF02C5">
        <w:rPr>
          <w:rStyle w:val="FootnoteReference"/>
          <w:rFonts w:eastAsia="Calibri" w:hAnsi="Times New Roman"/>
          <w:snapToGrid w:val="0"/>
          <w:color w:val="auto"/>
          <w:kern w:val="22"/>
          <w:bdr w:val="none" w:sz="0" w:space="0" w:color="auto"/>
          <w:lang w:val="en-GB"/>
        </w:rPr>
        <w:footnoteReference w:id="319"/>
      </w:r>
      <w:r w:rsidR="005F3A08" w:rsidRPr="00DF02C5">
        <w:rPr>
          <w:rFonts w:eastAsia="Calibri" w:hAnsi="Times New Roman"/>
          <w:snapToGrid w:val="0"/>
          <w:color w:val="auto"/>
          <w:kern w:val="22"/>
          <w:bdr w:val="none" w:sz="0" w:space="0" w:color="auto"/>
          <w:lang w:val="en-GB"/>
        </w:rPr>
        <w:t xml:space="preserve"> and som</w:t>
      </w:r>
      <w:r w:rsidR="00B54C38">
        <w:rPr>
          <w:rFonts w:eastAsia="Calibri" w:hAnsi="Times New Roman"/>
          <w:snapToGrid w:val="0"/>
          <w:color w:val="auto"/>
          <w:kern w:val="22"/>
          <w:bdr w:val="none" w:sz="0" w:space="0" w:color="auto"/>
          <w:lang w:val="en-GB"/>
        </w:rPr>
        <w:t>e also indicated having recogniz</w:t>
      </w:r>
      <w:r w:rsidR="005F3A08" w:rsidRPr="00DF02C5">
        <w:rPr>
          <w:rFonts w:eastAsia="Calibri" w:hAnsi="Times New Roman"/>
          <w:snapToGrid w:val="0"/>
          <w:color w:val="auto"/>
          <w:kern w:val="22"/>
          <w:bdr w:val="none" w:sz="0" w:space="0" w:color="auto"/>
          <w:lang w:val="en-GB"/>
        </w:rPr>
        <w:t>ed customary laws in their ABS measures</w:t>
      </w:r>
      <w:r w:rsidR="005F3A08" w:rsidRPr="00DF02C5">
        <w:rPr>
          <w:rStyle w:val="FootnoteReference"/>
          <w:rFonts w:eastAsia="Calibri" w:hAnsi="Times New Roman"/>
          <w:snapToGrid w:val="0"/>
          <w:color w:val="auto"/>
          <w:kern w:val="22"/>
          <w:bdr w:val="none" w:sz="0" w:space="0" w:color="auto"/>
          <w:lang w:val="en-GB"/>
        </w:rPr>
        <w:footnoteReference w:id="320"/>
      </w:r>
      <w:r w:rsidR="005F3A08" w:rsidRPr="00DF02C5">
        <w:rPr>
          <w:rFonts w:eastAsia="Calibri" w:hAnsi="Times New Roman"/>
          <w:snapToGrid w:val="0"/>
          <w:color w:val="auto"/>
          <w:kern w:val="22"/>
          <w:bdr w:val="none" w:sz="0" w:space="0" w:color="auto"/>
          <w:lang w:val="en-GB"/>
        </w:rPr>
        <w:t>. One country</w:t>
      </w:r>
      <w:r w:rsidR="005F3A08" w:rsidRPr="00DF02C5">
        <w:rPr>
          <w:rStyle w:val="FootnoteReference"/>
          <w:rFonts w:eastAsia="Calibri" w:hAnsi="Times New Roman"/>
          <w:snapToGrid w:val="0"/>
          <w:color w:val="auto"/>
          <w:kern w:val="22"/>
          <w:bdr w:val="none" w:sz="0" w:space="0" w:color="auto"/>
          <w:lang w:val="en-GB"/>
        </w:rPr>
        <w:footnoteReference w:id="321"/>
      </w:r>
      <w:r w:rsidR="005F3A08" w:rsidRPr="00DF02C5">
        <w:rPr>
          <w:rFonts w:eastAsia="Calibri" w:hAnsi="Times New Roman"/>
          <w:snapToGrid w:val="0"/>
          <w:color w:val="auto"/>
          <w:kern w:val="22"/>
          <w:bdr w:val="none" w:sz="0" w:space="0" w:color="auto"/>
          <w:lang w:val="en-GB"/>
        </w:rPr>
        <w:t xml:space="preserve"> provided information o</w:t>
      </w:r>
      <w:r w:rsidR="00222995" w:rsidRPr="00DF02C5">
        <w:rPr>
          <w:rFonts w:eastAsia="Calibri" w:hAnsi="Times New Roman"/>
          <w:snapToGrid w:val="0"/>
          <w:color w:val="auto"/>
          <w:kern w:val="22"/>
          <w:bdr w:val="none" w:sz="0" w:space="0" w:color="auto"/>
          <w:lang w:val="en-GB"/>
        </w:rPr>
        <w:t>n</w:t>
      </w:r>
      <w:r w:rsidR="005F3A08" w:rsidRPr="00DF02C5">
        <w:rPr>
          <w:rFonts w:eastAsia="Calibri" w:hAnsi="Times New Roman"/>
          <w:snapToGrid w:val="0"/>
          <w:color w:val="auto"/>
          <w:kern w:val="22"/>
          <w:bdr w:val="none" w:sz="0" w:space="0" w:color="auto"/>
          <w:lang w:val="en-GB"/>
        </w:rPr>
        <w:t xml:space="preserve"> the recognition o</w:t>
      </w:r>
      <w:r w:rsidR="007310DC" w:rsidRPr="00DF02C5">
        <w:rPr>
          <w:rFonts w:eastAsia="Calibri" w:hAnsi="Times New Roman"/>
          <w:snapToGrid w:val="0"/>
          <w:color w:val="auto"/>
          <w:kern w:val="22"/>
          <w:bdr w:val="none" w:sz="0" w:space="0" w:color="auto"/>
          <w:lang w:val="en-GB"/>
        </w:rPr>
        <w:t>f</w:t>
      </w:r>
      <w:r w:rsidR="005F3A08" w:rsidRPr="00DF02C5">
        <w:rPr>
          <w:rFonts w:eastAsia="Calibri" w:hAnsi="Times New Roman"/>
          <w:snapToGrid w:val="0"/>
          <w:color w:val="auto"/>
          <w:kern w:val="22"/>
          <w:bdr w:val="none" w:sz="0" w:space="0" w:color="auto"/>
          <w:lang w:val="en-GB"/>
        </w:rPr>
        <w:t xml:space="preserve"> community protocols. A number of countries</w:t>
      </w:r>
      <w:r w:rsidR="005F3A08" w:rsidRPr="00DF02C5">
        <w:rPr>
          <w:rStyle w:val="FootnoteReference"/>
          <w:rFonts w:eastAsia="Calibri" w:hAnsi="Times New Roman"/>
          <w:snapToGrid w:val="0"/>
          <w:color w:val="auto"/>
          <w:kern w:val="22"/>
          <w:bdr w:val="none" w:sz="0" w:space="0" w:color="auto"/>
          <w:lang w:val="en-GB"/>
        </w:rPr>
        <w:footnoteReference w:id="322"/>
      </w:r>
      <w:r w:rsidR="005F3A08" w:rsidRPr="00DF02C5">
        <w:rPr>
          <w:rFonts w:eastAsia="Calibri" w:hAnsi="Times New Roman"/>
          <w:snapToGrid w:val="0"/>
          <w:color w:val="auto"/>
          <w:kern w:val="22"/>
          <w:bdr w:val="none" w:sz="0" w:space="0" w:color="auto"/>
          <w:lang w:val="en-GB"/>
        </w:rPr>
        <w:t xml:space="preserve"> indicated that they were planning to address this issue of customary laws and/or community protocols in the development or review of their ABS measures.</w:t>
      </w:r>
    </w:p>
    <w:p w14:paraId="279DAF65" w14:textId="4F569443" w:rsidR="005F3A08" w:rsidRPr="00DF02C5" w:rsidRDefault="005F3A08"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Some examples of information provided are</w:t>
      </w:r>
      <w:r w:rsidR="00222995" w:rsidRPr="00DF02C5">
        <w:rPr>
          <w:rFonts w:eastAsia="Calibri" w:hAnsi="Times New Roman"/>
          <w:snapToGrid w:val="0"/>
          <w:color w:val="auto"/>
          <w:kern w:val="22"/>
          <w:bdr w:val="none" w:sz="0" w:space="0" w:color="auto"/>
          <w:lang w:val="en-GB"/>
        </w:rPr>
        <w:t xml:space="preserve"> the following</w:t>
      </w:r>
      <w:r w:rsidRPr="00DF02C5">
        <w:rPr>
          <w:rFonts w:eastAsia="Calibri" w:hAnsi="Times New Roman"/>
          <w:snapToGrid w:val="0"/>
          <w:color w:val="auto"/>
          <w:kern w:val="22"/>
          <w:bdr w:val="none" w:sz="0" w:space="0" w:color="auto"/>
          <w:lang w:val="en-GB"/>
        </w:rPr>
        <w:t>:</w:t>
      </w:r>
    </w:p>
    <w:p w14:paraId="675E7D19" w14:textId="71B7489B" w:rsidR="005F3A08" w:rsidRPr="00DF02C5" w:rsidRDefault="005F3A08" w:rsidP="00701EA8">
      <w:pPr>
        <w:pStyle w:val="ListParagraph"/>
        <w:numPr>
          <w:ilvl w:val="1"/>
          <w:numId w:val="51"/>
        </w:numPr>
        <w:spacing w:before="120" w:after="120" w:line="228" w:lineRule="auto"/>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Peru, in law 27811 on a sui generis regime of intellectual property rights, incorporates elements of traditional intellectual property rights as well as elements of customary laws of indigenous peoples, for example: (a) PIC is to b</w:t>
      </w:r>
      <w:r w:rsidR="00B54C38">
        <w:rPr>
          <w:rFonts w:eastAsia="Calibri" w:hAnsi="Times New Roman" w:cs="Times New Roman"/>
          <w:snapToGrid w:val="0"/>
          <w:color w:val="auto"/>
          <w:kern w:val="22"/>
          <w:bdr w:val="none" w:sz="0" w:space="0" w:color="auto"/>
          <w:lang w:val="en-GB"/>
        </w:rPr>
        <w:t>e obtained according to recogniz</w:t>
      </w:r>
      <w:r w:rsidRPr="00DF02C5">
        <w:rPr>
          <w:rFonts w:eastAsia="Calibri" w:hAnsi="Times New Roman" w:cs="Times New Roman"/>
          <w:snapToGrid w:val="0"/>
          <w:color w:val="auto"/>
          <w:kern w:val="22"/>
          <w:bdr w:val="none" w:sz="0" w:space="0" w:color="auto"/>
          <w:lang w:val="en-GB"/>
        </w:rPr>
        <w:t xml:space="preserve">ed norms of indigenous peoples; (b) </w:t>
      </w:r>
      <w:r w:rsidR="00222995" w:rsidRPr="00DF02C5">
        <w:rPr>
          <w:rFonts w:eastAsia="Calibri" w:hAnsi="Times New Roman" w:cs="Times New Roman"/>
          <w:snapToGrid w:val="0"/>
          <w:color w:val="auto"/>
          <w:kern w:val="22"/>
          <w:bdr w:val="none" w:sz="0" w:space="0" w:color="auto"/>
          <w:lang w:val="en-GB"/>
        </w:rPr>
        <w:t xml:space="preserve">provides for a </w:t>
      </w:r>
      <w:r w:rsidRPr="00DF02C5">
        <w:rPr>
          <w:rFonts w:eastAsia="Calibri" w:hAnsi="Times New Roman" w:cs="Times New Roman"/>
          <w:snapToGrid w:val="0"/>
          <w:color w:val="auto"/>
          <w:kern w:val="22"/>
          <w:bdr w:val="none" w:sz="0" w:space="0" w:color="auto"/>
          <w:lang w:val="en-GB"/>
        </w:rPr>
        <w:t xml:space="preserve">dispute resolution </w:t>
      </w:r>
      <w:r w:rsidR="00222995" w:rsidRPr="00DF02C5">
        <w:rPr>
          <w:rFonts w:eastAsia="Calibri" w:hAnsi="Times New Roman" w:cs="Times New Roman"/>
          <w:snapToGrid w:val="0"/>
          <w:color w:val="auto"/>
          <w:kern w:val="22"/>
          <w:bdr w:val="none" w:sz="0" w:space="0" w:color="auto"/>
          <w:lang w:val="en-GB"/>
        </w:rPr>
        <w:t xml:space="preserve">mechanism </w:t>
      </w:r>
      <w:r w:rsidRPr="00DF02C5">
        <w:rPr>
          <w:rFonts w:eastAsia="Calibri" w:hAnsi="Times New Roman" w:cs="Times New Roman"/>
          <w:snapToGrid w:val="0"/>
          <w:color w:val="auto"/>
          <w:kern w:val="22"/>
          <w:bdr w:val="none" w:sz="0" w:space="0" w:color="auto"/>
          <w:lang w:val="en-GB"/>
        </w:rPr>
        <w:t xml:space="preserve">among indigenous peoples; (c) the representatives of indigenous peoples need to have respected the traditional methods for election and organisation of their </w:t>
      </w:r>
      <w:r w:rsidRPr="00DF02C5">
        <w:rPr>
          <w:rFonts w:eastAsia="Calibri" w:hAnsi="Times New Roman" w:cs="Times New Roman"/>
          <w:snapToGrid w:val="0"/>
          <w:color w:val="auto"/>
          <w:kern w:val="22"/>
          <w:bdr w:val="none" w:sz="0" w:space="0" w:color="auto"/>
          <w:lang w:val="en-GB"/>
        </w:rPr>
        <w:lastRenderedPageBreak/>
        <w:t>own indigenous peoples; and (d) the committee administering the fund for the development of indigenous peoples use, as much as possible, mechanisms traditionally used by indigenous peoples t</w:t>
      </w:r>
      <w:r w:rsidR="00701EA8">
        <w:rPr>
          <w:rFonts w:eastAsia="Calibri" w:hAnsi="Times New Roman" w:cs="Times New Roman"/>
          <w:snapToGrid w:val="0"/>
          <w:color w:val="auto"/>
          <w:kern w:val="22"/>
          <w:bdr w:val="none" w:sz="0" w:space="0" w:color="auto"/>
          <w:lang w:val="en-GB"/>
        </w:rPr>
        <w:t>o share and distribute benefits;</w:t>
      </w:r>
    </w:p>
    <w:p w14:paraId="15D8E58E" w14:textId="12EAA2CA" w:rsidR="005F3A08" w:rsidRPr="00DF02C5" w:rsidRDefault="005F3A08" w:rsidP="00701EA8">
      <w:pPr>
        <w:pStyle w:val="ListParagraph"/>
        <w:numPr>
          <w:ilvl w:val="1"/>
          <w:numId w:val="51"/>
        </w:numPr>
        <w:spacing w:before="120" w:after="120" w:line="228" w:lineRule="auto"/>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In South Africa</w:t>
      </w:r>
      <w:r w:rsidR="007310DC" w:rsidRPr="00DF02C5">
        <w:rPr>
          <w:rFonts w:eastAsia="Calibri" w:hAnsi="Times New Roman" w:cs="Times New Roman"/>
          <w:snapToGrid w:val="0"/>
          <w:color w:val="auto"/>
          <w:kern w:val="22"/>
          <w:bdr w:val="none" w:sz="0" w:space="0" w:color="auto"/>
          <w:lang w:val="en-GB"/>
        </w:rPr>
        <w:t>,</w:t>
      </w:r>
      <w:r w:rsidRPr="00DF02C5">
        <w:rPr>
          <w:rFonts w:eastAsia="Calibri" w:hAnsi="Times New Roman" w:cs="Times New Roman"/>
          <w:snapToGrid w:val="0"/>
          <w:color w:val="auto"/>
          <w:kern w:val="22"/>
          <w:bdr w:val="none" w:sz="0" w:space="0" w:color="auto"/>
          <w:lang w:val="en-GB"/>
        </w:rPr>
        <w:t xml:space="preserve"> representatives of local and indigenous communities cannot act without getting approval from the entire communit</w:t>
      </w:r>
      <w:r w:rsidR="007310DC" w:rsidRPr="00DF02C5">
        <w:rPr>
          <w:rFonts w:eastAsia="Calibri" w:hAnsi="Times New Roman" w:cs="Times New Roman"/>
          <w:snapToGrid w:val="0"/>
          <w:color w:val="auto"/>
          <w:kern w:val="22"/>
          <w:bdr w:val="none" w:sz="0" w:space="0" w:color="auto"/>
          <w:lang w:val="en-GB"/>
        </w:rPr>
        <w:t>y</w:t>
      </w:r>
      <w:r w:rsidRPr="00DF02C5">
        <w:rPr>
          <w:rFonts w:eastAsia="Calibri" w:hAnsi="Times New Roman" w:cs="Times New Roman"/>
          <w:snapToGrid w:val="0"/>
          <w:color w:val="auto"/>
          <w:kern w:val="22"/>
          <w:bdr w:val="none" w:sz="0" w:space="0" w:color="auto"/>
          <w:lang w:val="en-GB"/>
        </w:rPr>
        <w:t xml:space="preserve">. </w:t>
      </w:r>
      <w:r w:rsidR="00222995" w:rsidRPr="00DF02C5">
        <w:rPr>
          <w:rFonts w:eastAsia="Calibri" w:hAnsi="Times New Roman" w:cs="Times New Roman"/>
          <w:snapToGrid w:val="0"/>
          <w:color w:val="auto"/>
          <w:kern w:val="22"/>
          <w:bdr w:val="none" w:sz="0" w:space="0" w:color="auto"/>
          <w:lang w:val="en-GB"/>
        </w:rPr>
        <w:t xml:space="preserve">The traditional councils comprised of the elders and the chief of that community are the point of entry </w:t>
      </w:r>
      <w:r w:rsidRPr="00DF02C5">
        <w:rPr>
          <w:rFonts w:eastAsia="Calibri" w:hAnsi="Times New Roman" w:cs="Times New Roman"/>
          <w:snapToGrid w:val="0"/>
          <w:color w:val="auto"/>
          <w:kern w:val="22"/>
          <w:bdr w:val="none" w:sz="0" w:space="0" w:color="auto"/>
          <w:lang w:val="en-GB"/>
        </w:rPr>
        <w:t>when engaging with i</w:t>
      </w:r>
      <w:r w:rsidR="00222995" w:rsidRPr="00DF02C5">
        <w:rPr>
          <w:rFonts w:eastAsia="Calibri" w:hAnsi="Times New Roman" w:cs="Times New Roman"/>
          <w:snapToGrid w:val="0"/>
          <w:color w:val="auto"/>
          <w:kern w:val="22"/>
          <w:bdr w:val="none" w:sz="0" w:space="0" w:color="auto"/>
          <w:lang w:val="en-GB"/>
        </w:rPr>
        <w:t>ndigenous and local communities.</w:t>
      </w:r>
      <w:r w:rsidRPr="00DF02C5">
        <w:rPr>
          <w:rFonts w:eastAsia="Calibri" w:hAnsi="Times New Roman" w:cs="Times New Roman"/>
          <w:snapToGrid w:val="0"/>
          <w:color w:val="auto"/>
          <w:kern w:val="22"/>
          <w:bdr w:val="none" w:sz="0" w:space="0" w:color="auto"/>
          <w:lang w:val="en-GB"/>
        </w:rPr>
        <w:t xml:space="preserve"> South Africa also encourages communities that do not have formal structures to organise themselves. </w:t>
      </w:r>
    </w:p>
    <w:p w14:paraId="4FEDEB3E" w14:textId="17C53508" w:rsidR="00222995" w:rsidRPr="00DF02C5" w:rsidRDefault="003B3005" w:rsidP="003B3005">
      <w:pPr>
        <w:pStyle w:val="Para1"/>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t>(b)</w:t>
      </w:r>
      <w:r w:rsidRPr="00DF02C5">
        <w:rPr>
          <w:rFonts w:eastAsia="Calibri" w:hAnsi="Times New Roman"/>
          <w:i/>
          <w:snapToGrid w:val="0"/>
          <w:color w:val="auto"/>
          <w:kern w:val="22"/>
          <w:bdr w:val="none" w:sz="0" w:space="0" w:color="auto"/>
          <w:lang w:val="en-GB"/>
        </w:rPr>
        <w:tab/>
      </w:r>
      <w:r w:rsidR="00222995" w:rsidRPr="00DF02C5">
        <w:rPr>
          <w:rFonts w:eastAsia="Calibri" w:hAnsi="Times New Roman"/>
          <w:i/>
          <w:snapToGrid w:val="0"/>
          <w:color w:val="auto"/>
          <w:kern w:val="22"/>
          <w:bdr w:val="none" w:sz="0" w:space="0" w:color="auto"/>
          <w:lang w:val="en-GB"/>
        </w:rPr>
        <w:t>Countries that answered “no”</w:t>
      </w:r>
    </w:p>
    <w:p w14:paraId="26B83FF5" w14:textId="1A7CDBFD" w:rsidR="005F3A08" w:rsidRPr="00DF02C5" w:rsidRDefault="005F3A08"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In providing further information, </w:t>
      </w:r>
      <w:r w:rsidR="007310DC" w:rsidRPr="00DF02C5">
        <w:rPr>
          <w:rFonts w:eastAsia="Calibri" w:hAnsi="Times New Roman"/>
          <w:snapToGrid w:val="0"/>
          <w:color w:val="auto"/>
          <w:kern w:val="22"/>
          <w:bdr w:val="none" w:sz="0" w:space="0" w:color="auto"/>
          <w:lang w:val="en-GB"/>
        </w:rPr>
        <w:t>ten</w:t>
      </w:r>
      <w:r w:rsidRPr="00DF02C5">
        <w:rPr>
          <w:rFonts w:eastAsia="Calibri" w:hAnsi="Times New Roman"/>
          <w:snapToGrid w:val="0"/>
          <w:color w:val="auto"/>
          <w:kern w:val="22"/>
          <w:bdr w:val="none" w:sz="0" w:space="0" w:color="auto"/>
          <w:lang w:val="en-GB"/>
        </w:rPr>
        <w:t xml:space="preserve"> countries</w:t>
      </w:r>
      <w:r w:rsidRPr="00DF02C5">
        <w:rPr>
          <w:rStyle w:val="FootnoteReference"/>
          <w:rFonts w:eastAsia="Calibri" w:hAnsi="Times New Roman"/>
          <w:snapToGrid w:val="0"/>
          <w:color w:val="auto"/>
          <w:kern w:val="22"/>
          <w:bdr w:val="none" w:sz="0" w:space="0" w:color="auto"/>
          <w:lang w:val="en-GB"/>
        </w:rPr>
        <w:footnoteReference w:id="323"/>
      </w:r>
      <w:r w:rsidRPr="00DF02C5">
        <w:rPr>
          <w:rFonts w:eastAsia="Calibri" w:hAnsi="Times New Roman"/>
          <w:snapToGrid w:val="0"/>
          <w:color w:val="auto"/>
          <w:kern w:val="22"/>
          <w:bdr w:val="none" w:sz="0" w:space="0" w:color="auto"/>
          <w:lang w:val="en-GB"/>
        </w:rPr>
        <w:t xml:space="preserve"> indicated that they were planning to address the issue of customary laws or community protocols in the development or review of their ABS measures.</w:t>
      </w:r>
    </w:p>
    <w:p w14:paraId="057A6AEE" w14:textId="35193DEE" w:rsidR="005F3A08" w:rsidRPr="00701EA8" w:rsidRDefault="00222995" w:rsidP="00701EA8">
      <w:pPr>
        <w:numPr>
          <w:ilvl w:val="0"/>
          <w:numId w:val="72"/>
        </w:numPr>
        <w:spacing w:before="240" w:after="120"/>
        <w:ind w:left="1080" w:right="630" w:hanging="540"/>
        <w:rPr>
          <w:rFonts w:eastAsia="Calibri" w:hAnsi="Times New Roman" w:cs="Times New Roman"/>
          <w:i/>
          <w:snapToGrid w:val="0"/>
          <w:color w:val="auto"/>
          <w:kern w:val="22"/>
          <w:bdr w:val="none" w:sz="0" w:space="0" w:color="auto"/>
          <w:lang w:val="en-GB"/>
        </w:rPr>
      </w:pPr>
      <w:r w:rsidRPr="00701EA8">
        <w:rPr>
          <w:rFonts w:eastAsia="Calibri" w:hAnsi="Times New Roman"/>
          <w:i/>
          <w:snapToGrid w:val="0"/>
          <w:color w:val="auto"/>
          <w:kern w:val="22"/>
          <w:bdr w:val="none" w:sz="0" w:space="0" w:color="auto"/>
          <w:lang w:val="en-GB"/>
        </w:rPr>
        <w:t>Has your country established mechanisms to inform potential users of traditional knowledge associated with genetic resources about their obligations as provided in Article 12.2?</w:t>
      </w:r>
      <w:r w:rsidR="0047578D" w:rsidRPr="00701EA8">
        <w:rPr>
          <w:rFonts w:eastAsia="Calibri" w:hAnsi="Times New Roman"/>
          <w:i/>
          <w:snapToGrid w:val="0"/>
          <w:color w:val="auto"/>
          <w:kern w:val="22"/>
          <w:bdr w:val="none" w:sz="0" w:space="0" w:color="auto"/>
          <w:lang w:val="en-GB"/>
        </w:rPr>
        <w:t xml:space="preserve"> </w:t>
      </w:r>
      <w:r w:rsidR="005F3A08" w:rsidRPr="00701EA8">
        <w:rPr>
          <w:rFonts w:eastAsia="Calibri" w:hAnsi="Times New Roman" w:cs="Times New Roman"/>
          <w:i/>
          <w:snapToGrid w:val="0"/>
          <w:color w:val="auto"/>
          <w:kern w:val="22"/>
          <w:bdr w:val="none" w:sz="0" w:space="0" w:color="auto"/>
          <w:lang w:val="en-GB"/>
        </w:rPr>
        <w:t>(question 41)</w:t>
      </w:r>
    </w:p>
    <w:p w14:paraId="25E721C1" w14:textId="165FDA44" w:rsidR="0096661D" w:rsidRPr="00DF02C5" w:rsidRDefault="0047578D" w:rsidP="00A2498F">
      <w:pPr>
        <w:pStyle w:val="Para1"/>
        <w:numPr>
          <w:ilvl w:val="0"/>
          <w:numId w:val="1"/>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 xml:space="preserve">Of the forty-nine countries that stated they there are indigenous peoples and local communities in their country, </w:t>
      </w:r>
      <w:r w:rsidR="0096661D" w:rsidRPr="00DF02C5">
        <w:rPr>
          <w:rFonts w:eastAsia="Calibri" w:hAnsi="Times New Roman"/>
          <w:snapToGrid w:val="0"/>
          <w:kern w:val="22"/>
          <w:bdr w:val="none" w:sz="0" w:space="0" w:color="auto"/>
          <w:lang w:val="en-GB"/>
        </w:rPr>
        <w:t xml:space="preserve">nineteen Parties and two non-Parties specified that they have </w:t>
      </w:r>
      <w:r w:rsidR="0096661D" w:rsidRPr="00DF02C5">
        <w:rPr>
          <w:rFonts w:eastAsia="Calibri" w:hAnsi="Times New Roman"/>
          <w:snapToGrid w:val="0"/>
          <w:color w:val="auto"/>
          <w:kern w:val="22"/>
          <w:bdr w:val="none" w:sz="0" w:space="0" w:color="auto"/>
          <w:lang w:val="en-GB"/>
        </w:rPr>
        <w:t>established mechanisms to inform potential users of traditional knowledge associated with genetic resources about their obligations</w:t>
      </w:r>
      <w:r w:rsidRPr="00DF02C5">
        <w:rPr>
          <w:rFonts w:eastAsia="Calibri" w:hAnsi="Times New Roman"/>
          <w:snapToGrid w:val="0"/>
          <w:kern w:val="22"/>
          <w:bdr w:val="none" w:sz="0" w:space="0" w:color="auto"/>
          <w:lang w:val="en-GB"/>
        </w:rPr>
        <w:t>, while twenty-eight Parties reported not having established such mechanisms.</w:t>
      </w:r>
    </w:p>
    <w:p w14:paraId="488531DD" w14:textId="69AA6A2D" w:rsidR="0047578D" w:rsidRPr="00DF02C5" w:rsidRDefault="00E5256F" w:rsidP="00E5256F">
      <w:pPr>
        <w:pStyle w:val="Caption"/>
        <w:keepNext/>
        <w:keepLines/>
        <w:rPr>
          <w:snapToGrid w:val="0"/>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Pr="00DF02C5">
        <w:rPr>
          <w:noProof/>
          <w:lang w:val="en-GB"/>
        </w:rPr>
        <w:t>39</w:t>
      </w:r>
      <w:r w:rsidRPr="00DF02C5">
        <w:rPr>
          <w:lang w:val="en-GB"/>
        </w:rPr>
        <w:fldChar w:fldCharType="end"/>
      </w:r>
      <w:r w:rsidR="0047578D" w:rsidRPr="00DF02C5">
        <w:rPr>
          <w:snapToGrid w:val="0"/>
          <w:bdr w:val="none" w:sz="0" w:space="0" w:color="auto"/>
          <w:lang w:val="en-GB"/>
        </w:rPr>
        <w:t>: Establishment of mechanisms to inform potential users of traditional knowledge associated with genetic resources about their obligations (percentage of countries)</w:t>
      </w:r>
    </w:p>
    <w:p w14:paraId="4C102566" w14:textId="7E245433" w:rsidR="0047578D" w:rsidRPr="00DF02C5" w:rsidRDefault="0047578D" w:rsidP="0047578D">
      <w:pPr>
        <w:pStyle w:val="Para1"/>
        <w:jc w:val="center"/>
        <w:rPr>
          <w:rFonts w:eastAsia="Calibri" w:hAnsi="Times New Roman"/>
          <w:snapToGrid w:val="0"/>
          <w:kern w:val="22"/>
          <w:bdr w:val="none" w:sz="0" w:space="0" w:color="auto"/>
          <w:lang w:val="en-GB"/>
        </w:rPr>
      </w:pPr>
      <w:r w:rsidRPr="00DF02C5">
        <w:rPr>
          <w:noProof/>
          <w:color w:val="auto"/>
        </w:rPr>
        <w:drawing>
          <wp:inline distT="0" distB="0" distL="0" distR="0" wp14:anchorId="52BF1CE4" wp14:editId="0A50B3B4">
            <wp:extent cx="3476625" cy="1981200"/>
            <wp:effectExtent l="0" t="0" r="9525" b="1905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EF0C79E" w14:textId="0B6793CF" w:rsidR="0047578D" w:rsidRPr="00DF02C5" w:rsidRDefault="0047578D" w:rsidP="0047578D">
      <w:pPr>
        <w:pStyle w:val="Para1"/>
        <w:rPr>
          <w:rFonts w:eastAsia="Calibri" w:hAnsi="Times New Roman"/>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t>(a)</w:t>
      </w:r>
      <w:r w:rsidRPr="00DF02C5">
        <w:rPr>
          <w:rFonts w:eastAsia="Calibri" w:hAnsi="Times New Roman"/>
          <w:i/>
          <w:snapToGrid w:val="0"/>
          <w:color w:val="auto"/>
          <w:kern w:val="22"/>
          <w:bdr w:val="none" w:sz="0" w:space="0" w:color="auto"/>
          <w:lang w:val="en-GB"/>
        </w:rPr>
        <w:tab/>
        <w:t>Countries that answered “yes”</w:t>
      </w:r>
    </w:p>
    <w:p w14:paraId="3CD253D3" w14:textId="77777777" w:rsidR="009059BF" w:rsidRPr="00DF02C5" w:rsidRDefault="005F3A08"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Some countries</w:t>
      </w:r>
      <w:r w:rsidRPr="00DF02C5">
        <w:rPr>
          <w:rStyle w:val="FootnoteReference"/>
          <w:rFonts w:eastAsia="Calibri" w:hAnsi="Times New Roman"/>
          <w:snapToGrid w:val="0"/>
          <w:color w:val="auto"/>
          <w:kern w:val="22"/>
          <w:bdr w:val="none" w:sz="0" w:space="0" w:color="auto"/>
          <w:lang w:val="en-GB"/>
        </w:rPr>
        <w:footnoteReference w:id="324"/>
      </w:r>
      <w:r w:rsidRPr="00DF02C5">
        <w:rPr>
          <w:rFonts w:eastAsia="Calibri" w:hAnsi="Times New Roman"/>
          <w:snapToGrid w:val="0"/>
          <w:color w:val="auto"/>
          <w:kern w:val="22"/>
          <w:bdr w:val="none" w:sz="0" w:space="0" w:color="auto"/>
          <w:lang w:val="en-GB"/>
        </w:rPr>
        <w:t xml:space="preserve"> i</w:t>
      </w:r>
      <w:r w:rsidR="009059BF" w:rsidRPr="00DF02C5">
        <w:rPr>
          <w:rFonts w:eastAsia="Calibri" w:hAnsi="Times New Roman"/>
          <w:snapToGrid w:val="0"/>
          <w:color w:val="auto"/>
          <w:kern w:val="22"/>
          <w:bdr w:val="none" w:sz="0" w:space="0" w:color="auto"/>
          <w:lang w:val="en-GB"/>
        </w:rPr>
        <w:t xml:space="preserve">ndicated </w:t>
      </w:r>
      <w:r w:rsidRPr="00DF02C5">
        <w:rPr>
          <w:rFonts w:eastAsia="Calibri" w:hAnsi="Times New Roman"/>
          <w:snapToGrid w:val="0"/>
          <w:color w:val="auto"/>
          <w:kern w:val="22"/>
          <w:bdr w:val="none" w:sz="0" w:space="0" w:color="auto"/>
          <w:lang w:val="en-GB"/>
        </w:rPr>
        <w:t xml:space="preserve">that they planned to </w:t>
      </w:r>
      <w:r w:rsidR="009059BF" w:rsidRPr="00DF02C5">
        <w:rPr>
          <w:rFonts w:eastAsia="Calibri" w:hAnsi="Times New Roman"/>
          <w:snapToGrid w:val="0"/>
          <w:color w:val="auto"/>
          <w:kern w:val="22"/>
          <w:bdr w:val="none" w:sz="0" w:space="0" w:color="auto"/>
          <w:lang w:val="en-GB"/>
        </w:rPr>
        <w:t xml:space="preserve">address </w:t>
      </w:r>
      <w:r w:rsidRPr="00DF02C5">
        <w:rPr>
          <w:rFonts w:eastAsia="Calibri" w:hAnsi="Times New Roman"/>
          <w:snapToGrid w:val="0"/>
          <w:color w:val="auto"/>
          <w:kern w:val="22"/>
          <w:bdr w:val="none" w:sz="0" w:space="0" w:color="auto"/>
          <w:lang w:val="en-GB"/>
        </w:rPr>
        <w:t xml:space="preserve">or that they already </w:t>
      </w:r>
      <w:r w:rsidR="009059BF" w:rsidRPr="00DF02C5">
        <w:rPr>
          <w:rFonts w:eastAsia="Calibri" w:hAnsi="Times New Roman"/>
          <w:snapToGrid w:val="0"/>
          <w:color w:val="auto"/>
          <w:kern w:val="22"/>
          <w:bdr w:val="none" w:sz="0" w:space="0" w:color="auto"/>
          <w:lang w:val="en-GB"/>
        </w:rPr>
        <w:t xml:space="preserve">addressed </w:t>
      </w:r>
      <w:r w:rsidRPr="00DF02C5">
        <w:rPr>
          <w:rFonts w:eastAsia="Calibri" w:hAnsi="Times New Roman"/>
          <w:snapToGrid w:val="0"/>
          <w:color w:val="auto"/>
          <w:kern w:val="22"/>
          <w:bdr w:val="none" w:sz="0" w:space="0" w:color="auto"/>
          <w:lang w:val="en-GB"/>
        </w:rPr>
        <w:t xml:space="preserve">this issue in their ABS measures. </w:t>
      </w:r>
    </w:p>
    <w:p w14:paraId="7024AD34" w14:textId="5692E4CF" w:rsidR="005F3A08" w:rsidRPr="00DF02C5" w:rsidRDefault="005F3A08"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A number of countries shared details on activities conducted to inform potential users about their obligations, such as awareness-raising activities</w:t>
      </w:r>
      <w:r w:rsidRPr="00DF02C5">
        <w:rPr>
          <w:rStyle w:val="FootnoteReference"/>
          <w:rFonts w:eastAsia="Calibri" w:hAnsi="Times New Roman"/>
          <w:snapToGrid w:val="0"/>
          <w:color w:val="auto"/>
          <w:kern w:val="22"/>
          <w:bdr w:val="none" w:sz="0" w:space="0" w:color="auto"/>
          <w:lang w:val="en-GB"/>
        </w:rPr>
        <w:footnoteReference w:id="325"/>
      </w:r>
      <w:r w:rsidRPr="00DF02C5">
        <w:rPr>
          <w:rFonts w:eastAsia="Calibri" w:hAnsi="Times New Roman"/>
          <w:snapToGrid w:val="0"/>
          <w:color w:val="auto"/>
          <w:kern w:val="22"/>
          <w:bdr w:val="none" w:sz="0" w:space="0" w:color="auto"/>
          <w:lang w:val="en-GB"/>
        </w:rPr>
        <w:t xml:space="preserve"> or the development and implementation of a communication plan</w:t>
      </w:r>
      <w:r w:rsidR="00701EA8">
        <w:rPr>
          <w:rFonts w:eastAsia="Calibri" w:hAnsi="Times New Roman"/>
          <w:snapToGrid w:val="0"/>
          <w:color w:val="auto"/>
          <w:kern w:val="22"/>
          <w:bdr w:val="none" w:sz="0" w:space="0" w:color="auto"/>
          <w:lang w:val="en-GB"/>
        </w:rPr>
        <w:t>.</w:t>
      </w:r>
      <w:r w:rsidRPr="00DF02C5">
        <w:rPr>
          <w:rStyle w:val="FootnoteReference"/>
          <w:rFonts w:eastAsia="Calibri" w:hAnsi="Times New Roman"/>
          <w:snapToGrid w:val="0"/>
          <w:color w:val="auto"/>
          <w:kern w:val="22"/>
          <w:bdr w:val="none" w:sz="0" w:space="0" w:color="auto"/>
          <w:lang w:val="en-GB"/>
        </w:rPr>
        <w:footnoteReference w:id="326"/>
      </w:r>
      <w:r w:rsidR="00701EA8">
        <w:rPr>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For instance, Bhutan</w:t>
      </w:r>
      <w:r w:rsidRPr="00DF02C5">
        <w:rPr>
          <w:lang w:val="en-GB"/>
        </w:rPr>
        <w:t xml:space="preserve"> indicated that they have developed </w:t>
      </w:r>
      <w:r w:rsidRPr="00DF02C5">
        <w:rPr>
          <w:rFonts w:eastAsia="Calibri" w:hAnsi="Times New Roman"/>
          <w:snapToGrid w:val="0"/>
          <w:color w:val="auto"/>
          <w:kern w:val="22"/>
          <w:bdr w:val="none" w:sz="0" w:space="0" w:color="auto"/>
          <w:lang w:val="en-GB"/>
        </w:rPr>
        <w:t xml:space="preserve">communication materials such as brochures, posters, articles and audio-visuals on material transfer agreements, </w:t>
      </w:r>
      <w:r w:rsidR="00D77961">
        <w:rPr>
          <w:rFonts w:eastAsia="Calibri" w:hAnsi="Times New Roman"/>
          <w:snapToGrid w:val="0"/>
          <w:color w:val="auto"/>
          <w:kern w:val="22"/>
          <w:bdr w:val="none" w:sz="0" w:space="0" w:color="auto"/>
          <w:lang w:val="en-GB"/>
        </w:rPr>
        <w:t xml:space="preserve">the </w:t>
      </w:r>
      <w:r w:rsidRPr="00DF02C5">
        <w:rPr>
          <w:rFonts w:eastAsia="Calibri" w:hAnsi="Times New Roman"/>
          <w:snapToGrid w:val="0"/>
          <w:color w:val="auto"/>
          <w:kern w:val="22"/>
          <w:bdr w:val="none" w:sz="0" w:space="0" w:color="auto"/>
          <w:lang w:val="en-GB"/>
        </w:rPr>
        <w:t xml:space="preserve">general process for ABS, ABS regime </w:t>
      </w:r>
      <w:r w:rsidR="000A1A42" w:rsidRPr="00DF02C5">
        <w:rPr>
          <w:rFonts w:eastAsia="Calibri" w:hAnsi="Times New Roman"/>
          <w:snapToGrid w:val="0"/>
          <w:color w:val="auto"/>
          <w:kern w:val="22"/>
          <w:bdr w:val="none" w:sz="0" w:space="0" w:color="auto"/>
          <w:lang w:val="en-GB"/>
        </w:rPr>
        <w:t>etc.</w:t>
      </w:r>
      <w:r w:rsidRPr="00DF02C5">
        <w:rPr>
          <w:rFonts w:eastAsia="Calibri" w:hAnsi="Times New Roman"/>
          <w:snapToGrid w:val="0"/>
          <w:color w:val="auto"/>
          <w:kern w:val="22"/>
          <w:bdr w:val="none" w:sz="0" w:space="0" w:color="auto"/>
          <w:lang w:val="en-GB"/>
        </w:rPr>
        <w:t xml:space="preserve"> and that awareness campaigns on ABS have been mainstreamed into the national plans. They further explained that more than 180 awareness </w:t>
      </w:r>
      <w:r w:rsidR="00D77961">
        <w:rPr>
          <w:rFonts w:eastAsia="Calibri" w:hAnsi="Times New Roman"/>
          <w:snapToGrid w:val="0"/>
          <w:color w:val="auto"/>
          <w:kern w:val="22"/>
          <w:bdr w:val="none" w:sz="0" w:space="0" w:color="auto"/>
          <w:lang w:val="en-GB"/>
        </w:rPr>
        <w:t xml:space="preserve">raising </w:t>
      </w:r>
      <w:r w:rsidRPr="00DF02C5">
        <w:rPr>
          <w:rFonts w:eastAsia="Calibri" w:hAnsi="Times New Roman"/>
          <w:snapToGrid w:val="0"/>
          <w:color w:val="auto"/>
          <w:kern w:val="22"/>
          <w:bdr w:val="none" w:sz="0" w:space="0" w:color="auto"/>
          <w:lang w:val="en-GB"/>
        </w:rPr>
        <w:t xml:space="preserve">programs have been conducted at the </w:t>
      </w:r>
      <w:r w:rsidRPr="00DF02C5">
        <w:rPr>
          <w:rFonts w:eastAsia="Calibri" w:hAnsi="Times New Roman"/>
          <w:snapToGrid w:val="0"/>
          <w:color w:val="auto"/>
          <w:kern w:val="22"/>
          <w:bdr w:val="none" w:sz="0" w:space="0" w:color="auto"/>
          <w:lang w:val="en-GB"/>
        </w:rPr>
        <w:lastRenderedPageBreak/>
        <w:t>community level and more than 50 advocacy and consultation programs were carried out for academia, policy makers, researchers, entrepreneurs etc. both at the national and international levels.</w:t>
      </w:r>
    </w:p>
    <w:p w14:paraId="4A1599FA" w14:textId="490CADF2" w:rsidR="005F3A08" w:rsidRPr="00DF02C5" w:rsidRDefault="005F3A08"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Other countries </w:t>
      </w:r>
      <w:r w:rsidR="009059BF" w:rsidRPr="00DF02C5">
        <w:rPr>
          <w:rFonts w:eastAsia="Calibri" w:hAnsi="Times New Roman"/>
          <w:snapToGrid w:val="0"/>
          <w:color w:val="auto"/>
          <w:kern w:val="22"/>
          <w:bdr w:val="none" w:sz="0" w:space="0" w:color="auto"/>
          <w:lang w:val="en-GB"/>
        </w:rPr>
        <w:t>indicated using</w:t>
      </w:r>
      <w:r w:rsidRPr="00DF02C5">
        <w:rPr>
          <w:rFonts w:eastAsia="Calibri" w:hAnsi="Times New Roman"/>
          <w:snapToGrid w:val="0"/>
          <w:color w:val="auto"/>
          <w:kern w:val="22"/>
          <w:bdr w:val="none" w:sz="0" w:space="0" w:color="auto"/>
          <w:lang w:val="en-GB"/>
        </w:rPr>
        <w:t xml:space="preserve"> the ABS Clearing-House</w:t>
      </w:r>
      <w:r w:rsidR="00701EA8">
        <w:rPr>
          <w:rFonts w:eastAsia="Calibri" w:hAnsi="Times New Roman"/>
          <w:snapToGrid w:val="0"/>
          <w:color w:val="auto"/>
          <w:kern w:val="22"/>
          <w:bdr w:val="none" w:sz="0" w:space="0" w:color="auto"/>
          <w:lang w:val="en-GB"/>
        </w:rPr>
        <w:t>,</w:t>
      </w:r>
      <w:r w:rsidRPr="00DF02C5">
        <w:rPr>
          <w:rStyle w:val="FootnoteReference"/>
          <w:rFonts w:eastAsia="Calibri" w:hAnsi="Times New Roman"/>
          <w:snapToGrid w:val="0"/>
          <w:color w:val="auto"/>
          <w:kern w:val="22"/>
          <w:bdr w:val="none" w:sz="0" w:space="0" w:color="auto"/>
          <w:lang w:val="en-GB"/>
        </w:rPr>
        <w:footnoteReference w:id="327"/>
      </w:r>
      <w:r w:rsidR="00701EA8">
        <w:rPr>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websites</w:t>
      </w:r>
      <w:r w:rsidR="00701EA8">
        <w:rPr>
          <w:rFonts w:eastAsia="Calibri" w:hAnsi="Times New Roman"/>
          <w:snapToGrid w:val="0"/>
          <w:color w:val="auto"/>
          <w:kern w:val="22"/>
          <w:bdr w:val="none" w:sz="0" w:space="0" w:color="auto"/>
          <w:lang w:val="en-GB"/>
        </w:rPr>
        <w:t>,</w:t>
      </w:r>
      <w:r w:rsidRPr="00DF02C5">
        <w:rPr>
          <w:rStyle w:val="FootnoteReference"/>
          <w:rFonts w:eastAsia="Calibri" w:hAnsi="Times New Roman"/>
          <w:snapToGrid w:val="0"/>
          <w:color w:val="auto"/>
          <w:kern w:val="22"/>
          <w:bdr w:val="none" w:sz="0" w:space="0" w:color="auto"/>
          <w:lang w:val="en-GB"/>
        </w:rPr>
        <w:footnoteReference w:id="328"/>
      </w:r>
      <w:r w:rsidRPr="00DF02C5">
        <w:rPr>
          <w:rFonts w:eastAsia="Calibri" w:hAnsi="Times New Roman"/>
          <w:snapToGrid w:val="0"/>
          <w:color w:val="auto"/>
          <w:kern w:val="22"/>
          <w:bdr w:val="none" w:sz="0" w:space="0" w:color="auto"/>
          <w:lang w:val="en-GB"/>
        </w:rPr>
        <w:t xml:space="preserve"> or </w:t>
      </w:r>
      <w:r w:rsidR="00701EA8">
        <w:rPr>
          <w:rFonts w:eastAsia="Calibri" w:hAnsi="Times New Roman"/>
          <w:snapToGrid w:val="0"/>
          <w:color w:val="auto"/>
          <w:kern w:val="22"/>
          <w:bdr w:val="none" w:sz="0" w:space="0" w:color="auto"/>
          <w:lang w:val="en-GB"/>
        </w:rPr>
        <w:t>the national clearing</w:t>
      </w:r>
      <w:r w:rsidR="00701EA8">
        <w:rPr>
          <w:rFonts w:eastAsia="Calibri" w:hAnsi="Times New Roman"/>
          <w:snapToGrid w:val="0"/>
          <w:color w:val="auto"/>
          <w:kern w:val="22"/>
          <w:bdr w:val="none" w:sz="0" w:space="0" w:color="auto"/>
          <w:lang w:val="en-GB"/>
        </w:rPr>
        <w:noBreakHyphen/>
      </w:r>
      <w:r w:rsidR="009059BF" w:rsidRPr="00DF02C5">
        <w:rPr>
          <w:rFonts w:eastAsia="Calibri" w:hAnsi="Times New Roman"/>
          <w:snapToGrid w:val="0"/>
          <w:color w:val="auto"/>
          <w:kern w:val="22"/>
          <w:bdr w:val="none" w:sz="0" w:space="0" w:color="auto"/>
          <w:lang w:val="en-GB"/>
        </w:rPr>
        <w:t>house</w:t>
      </w:r>
      <w:r w:rsidRPr="00DF02C5">
        <w:rPr>
          <w:rStyle w:val="FootnoteReference"/>
          <w:rFonts w:eastAsia="Calibri" w:hAnsi="Times New Roman"/>
          <w:snapToGrid w:val="0"/>
          <w:color w:val="auto"/>
          <w:kern w:val="22"/>
          <w:bdr w:val="none" w:sz="0" w:space="0" w:color="auto"/>
          <w:lang w:val="en-GB"/>
        </w:rPr>
        <w:footnoteReference w:id="329"/>
      </w:r>
      <w:r w:rsidRPr="00DF02C5">
        <w:rPr>
          <w:rFonts w:eastAsia="Calibri" w:hAnsi="Times New Roman"/>
          <w:snapToGrid w:val="0"/>
          <w:color w:val="auto"/>
          <w:kern w:val="22"/>
          <w:bdr w:val="none" w:sz="0" w:space="0" w:color="auto"/>
          <w:lang w:val="en-GB"/>
        </w:rPr>
        <w:t xml:space="preserve"> to inform users of associated traditional knowledge about their obligations.  </w:t>
      </w:r>
    </w:p>
    <w:p w14:paraId="62872F82" w14:textId="407DDA4E" w:rsidR="009059BF" w:rsidRPr="00DF02C5" w:rsidRDefault="003B3005" w:rsidP="003B3005">
      <w:pPr>
        <w:pStyle w:val="Para1"/>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t>(b)</w:t>
      </w:r>
      <w:r w:rsidRPr="00DF02C5">
        <w:rPr>
          <w:rFonts w:eastAsia="Calibri" w:hAnsi="Times New Roman"/>
          <w:i/>
          <w:snapToGrid w:val="0"/>
          <w:color w:val="auto"/>
          <w:kern w:val="22"/>
          <w:bdr w:val="none" w:sz="0" w:space="0" w:color="auto"/>
          <w:lang w:val="en-GB"/>
        </w:rPr>
        <w:tab/>
      </w:r>
      <w:r w:rsidR="009059BF" w:rsidRPr="00DF02C5">
        <w:rPr>
          <w:rFonts w:eastAsia="Calibri" w:hAnsi="Times New Roman"/>
          <w:i/>
          <w:snapToGrid w:val="0"/>
          <w:color w:val="auto"/>
          <w:kern w:val="22"/>
          <w:bdr w:val="none" w:sz="0" w:space="0" w:color="auto"/>
          <w:lang w:val="en-GB"/>
        </w:rPr>
        <w:t>Countries that answered “no”</w:t>
      </w:r>
    </w:p>
    <w:p w14:paraId="39BE447B" w14:textId="1DE783E6" w:rsidR="005F3A08" w:rsidRPr="00DF02C5" w:rsidRDefault="009059BF"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A</w:t>
      </w:r>
      <w:r w:rsidR="005F3A08" w:rsidRPr="00DF02C5">
        <w:rPr>
          <w:rFonts w:eastAsia="Calibri" w:hAnsi="Times New Roman"/>
          <w:snapToGrid w:val="0"/>
          <w:color w:val="auto"/>
          <w:kern w:val="22"/>
          <w:bdr w:val="none" w:sz="0" w:space="0" w:color="auto"/>
          <w:lang w:val="en-GB"/>
        </w:rPr>
        <w:t xml:space="preserve"> number of countries</w:t>
      </w:r>
      <w:r w:rsidR="005F3A08" w:rsidRPr="00DF02C5">
        <w:rPr>
          <w:rStyle w:val="FootnoteReference"/>
          <w:rFonts w:eastAsia="Calibri" w:hAnsi="Times New Roman"/>
          <w:snapToGrid w:val="0"/>
          <w:color w:val="auto"/>
          <w:kern w:val="22"/>
          <w:bdr w:val="none" w:sz="0" w:space="0" w:color="auto"/>
          <w:lang w:val="en-GB"/>
        </w:rPr>
        <w:footnoteReference w:id="330"/>
      </w:r>
      <w:r w:rsidR="005F3A08" w:rsidRPr="00DF02C5">
        <w:rPr>
          <w:rFonts w:eastAsia="Calibri" w:hAnsi="Times New Roman"/>
          <w:snapToGrid w:val="0"/>
          <w:color w:val="auto"/>
          <w:kern w:val="22"/>
          <w:bdr w:val="none" w:sz="0" w:space="0" w:color="auto"/>
          <w:lang w:val="en-GB"/>
        </w:rPr>
        <w:t xml:space="preserve"> indicated that they were planning to address this issue. Nevertheless, two countries</w:t>
      </w:r>
      <w:r w:rsidR="005F3A08" w:rsidRPr="00DF02C5">
        <w:rPr>
          <w:rStyle w:val="FootnoteReference"/>
          <w:rFonts w:eastAsia="Calibri" w:hAnsi="Times New Roman"/>
          <w:snapToGrid w:val="0"/>
          <w:color w:val="auto"/>
          <w:kern w:val="22"/>
          <w:bdr w:val="none" w:sz="0" w:space="0" w:color="auto"/>
          <w:lang w:val="en-GB"/>
        </w:rPr>
        <w:footnoteReference w:id="331"/>
      </w:r>
      <w:r w:rsidR="005F3A08" w:rsidRPr="00DF02C5">
        <w:rPr>
          <w:rFonts w:eastAsia="Calibri" w:hAnsi="Times New Roman"/>
          <w:snapToGrid w:val="0"/>
          <w:color w:val="auto"/>
          <w:kern w:val="22"/>
          <w:bdr w:val="none" w:sz="0" w:space="0" w:color="auto"/>
          <w:lang w:val="en-GB"/>
        </w:rPr>
        <w:t xml:space="preserve"> reported having conducted awareness-raising activities and</w:t>
      </w:r>
      <w:r w:rsidRPr="00DF02C5">
        <w:rPr>
          <w:rFonts w:eastAsia="Calibri" w:hAnsi="Times New Roman"/>
          <w:snapToGrid w:val="0"/>
          <w:color w:val="auto"/>
          <w:kern w:val="22"/>
          <w:bdr w:val="none" w:sz="0" w:space="0" w:color="auto"/>
          <w:lang w:val="en-GB"/>
        </w:rPr>
        <w:t xml:space="preserve"> other</w:t>
      </w:r>
      <w:r w:rsidR="005F3A08" w:rsidRPr="00DF02C5">
        <w:rPr>
          <w:rFonts w:eastAsia="Calibri" w:hAnsi="Times New Roman"/>
          <w:snapToGrid w:val="0"/>
          <w:color w:val="auto"/>
          <w:kern w:val="22"/>
          <w:bdr w:val="none" w:sz="0" w:space="0" w:color="auto"/>
          <w:lang w:val="en-GB"/>
        </w:rPr>
        <w:t xml:space="preserve"> two countries </w:t>
      </w:r>
      <w:r w:rsidRPr="00DF02C5">
        <w:rPr>
          <w:rFonts w:eastAsia="Calibri" w:hAnsi="Times New Roman"/>
          <w:snapToGrid w:val="0"/>
          <w:color w:val="auto"/>
          <w:kern w:val="22"/>
          <w:bdr w:val="none" w:sz="0" w:space="0" w:color="auto"/>
          <w:lang w:val="en-GB"/>
        </w:rPr>
        <w:t>shared their</w:t>
      </w:r>
      <w:r w:rsidR="005F3A08" w:rsidRPr="00DF02C5">
        <w:rPr>
          <w:rFonts w:eastAsia="Calibri" w:hAnsi="Times New Roman"/>
          <w:snapToGrid w:val="0"/>
          <w:color w:val="auto"/>
          <w:kern w:val="22"/>
          <w:bdr w:val="none" w:sz="0" w:space="0" w:color="auto"/>
          <w:lang w:val="en-GB"/>
        </w:rPr>
        <w:t xml:space="preserve"> plan</w:t>
      </w:r>
      <w:r w:rsidRPr="00DF02C5">
        <w:rPr>
          <w:rFonts w:eastAsia="Calibri" w:hAnsi="Times New Roman"/>
          <w:snapToGrid w:val="0"/>
          <w:color w:val="auto"/>
          <w:kern w:val="22"/>
          <w:bdr w:val="none" w:sz="0" w:space="0" w:color="auto"/>
          <w:lang w:val="en-GB"/>
        </w:rPr>
        <w:t>s</w:t>
      </w:r>
      <w:r w:rsidR="005F3A08" w:rsidRPr="00DF02C5">
        <w:rPr>
          <w:rFonts w:eastAsia="Calibri" w:hAnsi="Times New Roman"/>
          <w:snapToGrid w:val="0"/>
          <w:color w:val="auto"/>
          <w:kern w:val="22"/>
          <w:bdr w:val="none" w:sz="0" w:space="0" w:color="auto"/>
          <w:lang w:val="en-GB"/>
        </w:rPr>
        <w:t xml:space="preserve"> to develop a national ABS clearing-house or other types of information platforms.</w:t>
      </w:r>
      <w:r w:rsidR="005F3A08" w:rsidRPr="00DF02C5">
        <w:rPr>
          <w:rStyle w:val="FootnoteReference"/>
          <w:rFonts w:eastAsia="Calibri" w:hAnsi="Times New Roman"/>
          <w:snapToGrid w:val="0"/>
          <w:color w:val="auto"/>
          <w:kern w:val="22"/>
          <w:bdr w:val="none" w:sz="0" w:space="0" w:color="auto"/>
          <w:lang w:val="en-GB"/>
        </w:rPr>
        <w:footnoteReference w:id="332"/>
      </w:r>
    </w:p>
    <w:p w14:paraId="21335B7B" w14:textId="5F089CED" w:rsidR="005F3A08" w:rsidRPr="00701EA8" w:rsidRDefault="009059BF" w:rsidP="00701EA8">
      <w:pPr>
        <w:numPr>
          <w:ilvl w:val="0"/>
          <w:numId w:val="72"/>
        </w:numPr>
        <w:spacing w:before="240" w:after="120"/>
        <w:ind w:left="1181" w:right="630" w:hanging="634"/>
        <w:rPr>
          <w:rFonts w:eastAsia="Calibri" w:hAnsi="Times New Roman" w:cs="Times New Roman"/>
          <w:i/>
          <w:snapToGrid w:val="0"/>
          <w:color w:val="auto"/>
          <w:kern w:val="22"/>
          <w:bdr w:val="none" w:sz="0" w:space="0" w:color="auto"/>
          <w:lang w:val="en-GB"/>
        </w:rPr>
      </w:pPr>
      <w:r w:rsidRPr="00701EA8">
        <w:rPr>
          <w:rFonts w:eastAsia="Calibri" w:hAnsi="Times New Roman" w:cs="Times New Roman"/>
          <w:i/>
          <w:snapToGrid w:val="0"/>
          <w:color w:val="auto"/>
          <w:kern w:val="22"/>
          <w:bdr w:val="none" w:sz="0" w:space="0" w:color="auto"/>
          <w:lang w:val="en-GB"/>
        </w:rPr>
        <w:t xml:space="preserve">Is your country supporting the development by indigenous and local communities of </w:t>
      </w:r>
      <w:r w:rsidR="00DA12B7" w:rsidRPr="00701EA8">
        <w:rPr>
          <w:rFonts w:eastAsia="Calibri" w:hAnsi="Times New Roman" w:cs="Times New Roman"/>
          <w:i/>
          <w:snapToGrid w:val="0"/>
          <w:color w:val="auto"/>
          <w:kern w:val="22"/>
          <w:bdr w:val="none" w:sz="0" w:space="0" w:color="auto"/>
          <w:lang w:val="en-GB"/>
        </w:rPr>
        <w:t xml:space="preserve">community protocols, minimum requirements for mutually agreed terms and model contractual clauses </w:t>
      </w:r>
      <w:r w:rsidRPr="00701EA8">
        <w:rPr>
          <w:rFonts w:eastAsia="Calibri" w:hAnsi="Times New Roman" w:cs="Times New Roman"/>
          <w:i/>
          <w:snapToGrid w:val="0"/>
          <w:color w:val="auto"/>
          <w:kern w:val="22"/>
          <w:bdr w:val="none" w:sz="0" w:space="0" w:color="auto"/>
          <w:lang w:val="en-GB"/>
        </w:rPr>
        <w:t xml:space="preserve">as provided in Article </w:t>
      </w:r>
      <w:proofErr w:type="gramStart"/>
      <w:r w:rsidRPr="00701EA8">
        <w:rPr>
          <w:rFonts w:eastAsia="Calibri" w:hAnsi="Times New Roman" w:cs="Times New Roman"/>
          <w:i/>
          <w:snapToGrid w:val="0"/>
          <w:color w:val="auto"/>
          <w:kern w:val="22"/>
          <w:bdr w:val="none" w:sz="0" w:space="0" w:color="auto"/>
          <w:lang w:val="en-GB"/>
        </w:rPr>
        <w:t>12.3?</w:t>
      </w:r>
      <w:r w:rsidR="005F3A08" w:rsidRPr="00701EA8">
        <w:rPr>
          <w:rFonts w:eastAsia="Calibri" w:hAnsi="Times New Roman" w:cs="Times New Roman"/>
          <w:i/>
          <w:snapToGrid w:val="0"/>
          <w:color w:val="auto"/>
          <w:kern w:val="22"/>
          <w:bdr w:val="none" w:sz="0" w:space="0" w:color="auto"/>
          <w:lang w:val="en-GB"/>
        </w:rPr>
        <w:t>(</w:t>
      </w:r>
      <w:proofErr w:type="gramEnd"/>
      <w:r w:rsidR="005F3A08" w:rsidRPr="00701EA8">
        <w:rPr>
          <w:rFonts w:eastAsia="Calibri" w:hAnsi="Times New Roman" w:cs="Times New Roman"/>
          <w:i/>
          <w:snapToGrid w:val="0"/>
          <w:color w:val="auto"/>
          <w:kern w:val="22"/>
          <w:bdr w:val="none" w:sz="0" w:space="0" w:color="auto"/>
          <w:lang w:val="en-GB"/>
        </w:rPr>
        <w:t>question 42)</w:t>
      </w:r>
    </w:p>
    <w:p w14:paraId="75CA39BC" w14:textId="0C426805" w:rsidR="005F3A08" w:rsidRPr="00DF02C5" w:rsidRDefault="009059BF" w:rsidP="00A2498F">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Of the forty-nine countries that stated they there are indigenous peoples and local communities in their country</w:t>
      </w:r>
      <w:r w:rsidR="00DA12B7" w:rsidRPr="00DF02C5">
        <w:rPr>
          <w:rFonts w:eastAsia="Calibri" w:hAnsi="Times New Roman"/>
          <w:snapToGrid w:val="0"/>
          <w:color w:val="auto"/>
          <w:kern w:val="22"/>
          <w:bdr w:val="none" w:sz="0" w:space="0" w:color="auto"/>
          <w:lang w:val="en-GB"/>
        </w:rPr>
        <w:t>:</w:t>
      </w:r>
      <w:r w:rsidRPr="00DF02C5">
        <w:rPr>
          <w:rFonts w:eastAsia="Calibri" w:hAnsi="Times New Roman"/>
          <w:snapToGrid w:val="0"/>
          <w:color w:val="auto"/>
          <w:kern w:val="22"/>
          <w:bdr w:val="none" w:sz="0" w:space="0" w:color="auto"/>
          <w:lang w:val="en-GB"/>
        </w:rPr>
        <w:t xml:space="preserve"> 30 Parties and one non-Party</w:t>
      </w:r>
      <w:r w:rsidR="005F3A08" w:rsidRPr="00DF02C5">
        <w:rPr>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 xml:space="preserve">responded </w:t>
      </w:r>
      <w:r w:rsidR="005F3A08" w:rsidRPr="00DF02C5">
        <w:rPr>
          <w:rFonts w:eastAsia="Calibri" w:hAnsi="Times New Roman"/>
          <w:snapToGrid w:val="0"/>
          <w:color w:val="auto"/>
          <w:kern w:val="22"/>
          <w:bdr w:val="none" w:sz="0" w:space="0" w:color="auto"/>
          <w:lang w:val="en-GB"/>
        </w:rPr>
        <w:t>that they were supporting the development of community protocols</w:t>
      </w:r>
      <w:r w:rsidRPr="00DF02C5">
        <w:rPr>
          <w:rFonts w:eastAsia="Calibri" w:hAnsi="Times New Roman"/>
          <w:snapToGrid w:val="0"/>
          <w:color w:val="auto"/>
          <w:kern w:val="22"/>
          <w:bdr w:val="none" w:sz="0" w:space="0" w:color="auto"/>
          <w:lang w:val="en-GB"/>
        </w:rPr>
        <w:t>; 27 Parties and one non-Party</w:t>
      </w:r>
      <w:r w:rsidR="005F3A08" w:rsidRPr="00DF02C5">
        <w:rPr>
          <w:rFonts w:eastAsia="Calibri" w:hAnsi="Times New Roman"/>
          <w:snapToGrid w:val="0"/>
          <w:color w:val="auto"/>
          <w:kern w:val="22"/>
          <w:bdr w:val="none" w:sz="0" w:space="0" w:color="auto"/>
          <w:lang w:val="en-GB"/>
        </w:rPr>
        <w:t xml:space="preserve"> indicated </w:t>
      </w:r>
      <w:r w:rsidR="001B3FF1" w:rsidRPr="00DF02C5">
        <w:rPr>
          <w:rFonts w:eastAsia="Calibri" w:hAnsi="Times New Roman"/>
          <w:snapToGrid w:val="0"/>
          <w:color w:val="auto"/>
          <w:kern w:val="22"/>
          <w:bdr w:val="none" w:sz="0" w:space="0" w:color="auto"/>
          <w:lang w:val="en-GB"/>
        </w:rPr>
        <w:t>they are</w:t>
      </w:r>
      <w:r w:rsidR="005F3A08" w:rsidRPr="00DF02C5">
        <w:rPr>
          <w:rFonts w:eastAsia="Calibri" w:hAnsi="Times New Roman"/>
          <w:snapToGrid w:val="0"/>
          <w:color w:val="auto"/>
          <w:kern w:val="22"/>
          <w:bdr w:val="none" w:sz="0" w:space="0" w:color="auto"/>
          <w:lang w:val="en-GB"/>
        </w:rPr>
        <w:t xml:space="preserve"> supporting the development of minimum requirements for mutually agreed terms</w:t>
      </w:r>
      <w:r w:rsidR="001B3FF1" w:rsidRPr="00DF02C5">
        <w:rPr>
          <w:rFonts w:eastAsia="Calibri" w:hAnsi="Times New Roman"/>
          <w:snapToGrid w:val="0"/>
          <w:color w:val="auto"/>
          <w:kern w:val="22"/>
          <w:bdr w:val="none" w:sz="0" w:space="0" w:color="auto"/>
          <w:lang w:val="en-GB"/>
        </w:rPr>
        <w:t>;</w:t>
      </w:r>
      <w:r w:rsidRPr="00DF02C5">
        <w:rPr>
          <w:rFonts w:eastAsia="Calibri" w:hAnsi="Times New Roman"/>
          <w:snapToGrid w:val="0"/>
          <w:color w:val="auto"/>
          <w:kern w:val="22"/>
          <w:bdr w:val="none" w:sz="0" w:space="0" w:color="auto"/>
          <w:lang w:val="en-GB"/>
        </w:rPr>
        <w:t xml:space="preserve"> and 22 Parties and 1 non-Party</w:t>
      </w:r>
      <w:r w:rsidR="005F3A08" w:rsidRPr="00DF02C5">
        <w:rPr>
          <w:rFonts w:eastAsia="Calibri" w:hAnsi="Times New Roman"/>
          <w:snapToGrid w:val="0"/>
          <w:color w:val="auto"/>
          <w:kern w:val="22"/>
          <w:bdr w:val="none" w:sz="0" w:space="0" w:color="auto"/>
          <w:lang w:val="en-GB"/>
        </w:rPr>
        <w:t xml:space="preserve"> </w:t>
      </w:r>
      <w:r w:rsidR="001B3FF1" w:rsidRPr="00DF02C5">
        <w:rPr>
          <w:rFonts w:eastAsia="Calibri" w:hAnsi="Times New Roman"/>
          <w:snapToGrid w:val="0"/>
          <w:color w:val="auto"/>
          <w:kern w:val="22"/>
          <w:bdr w:val="none" w:sz="0" w:space="0" w:color="auto"/>
          <w:lang w:val="en-GB"/>
        </w:rPr>
        <w:t>are</w:t>
      </w:r>
      <w:r w:rsidR="005F3A08" w:rsidRPr="00DF02C5">
        <w:rPr>
          <w:rFonts w:eastAsia="Calibri" w:hAnsi="Times New Roman"/>
          <w:snapToGrid w:val="0"/>
          <w:color w:val="auto"/>
          <w:kern w:val="22"/>
          <w:bdr w:val="none" w:sz="0" w:space="0" w:color="auto"/>
          <w:lang w:val="en-GB"/>
        </w:rPr>
        <w:t xml:space="preserve"> supporting the development of model contractual clauses. </w:t>
      </w:r>
    </w:p>
    <w:p w14:paraId="384030FB" w14:textId="1BE3363A" w:rsidR="00890797" w:rsidRPr="00DF02C5" w:rsidRDefault="00E5256F" w:rsidP="00E5256F">
      <w:pPr>
        <w:pStyle w:val="Caption"/>
        <w:keepNext/>
        <w:keepLines/>
        <w:rPr>
          <w:snapToGrid w:val="0"/>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Pr="00DF02C5">
        <w:rPr>
          <w:noProof/>
          <w:lang w:val="en-GB"/>
        </w:rPr>
        <w:t>40</w:t>
      </w:r>
      <w:r w:rsidRPr="00DF02C5">
        <w:rPr>
          <w:lang w:val="en-GB"/>
        </w:rPr>
        <w:fldChar w:fldCharType="end"/>
      </w:r>
      <w:r w:rsidR="00890797" w:rsidRPr="00DF02C5">
        <w:rPr>
          <w:snapToGrid w:val="0"/>
          <w:bdr w:val="none" w:sz="0" w:space="0" w:color="auto"/>
          <w:lang w:val="en-GB"/>
        </w:rPr>
        <w:t>: Support the development by indigenous peoples and local communities of the tools provided in Article 12.3 (percentage of countries)</w:t>
      </w:r>
    </w:p>
    <w:p w14:paraId="5E0C75E4" w14:textId="1AFD7FE4" w:rsidR="00890797" w:rsidRPr="00DF02C5" w:rsidRDefault="00890797" w:rsidP="00890797">
      <w:pPr>
        <w:pStyle w:val="Para1"/>
        <w:jc w:val="center"/>
        <w:rPr>
          <w:rFonts w:eastAsia="Calibri" w:hAnsi="Times New Roman"/>
          <w:snapToGrid w:val="0"/>
          <w:color w:val="auto"/>
          <w:kern w:val="22"/>
          <w:bdr w:val="none" w:sz="0" w:space="0" w:color="auto"/>
          <w:lang w:val="en-GB"/>
        </w:rPr>
      </w:pPr>
      <w:r w:rsidRPr="00DF02C5">
        <w:rPr>
          <w:noProof/>
          <w:color w:val="auto"/>
        </w:rPr>
        <w:drawing>
          <wp:inline distT="0" distB="0" distL="0" distR="0" wp14:anchorId="09547381" wp14:editId="79E99AA0">
            <wp:extent cx="4752975" cy="2314575"/>
            <wp:effectExtent l="0" t="0" r="9525"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A15DAC1" w14:textId="5C59DED0" w:rsidR="005F3A08" w:rsidRPr="00DF02C5" w:rsidRDefault="005F3A08" w:rsidP="00A2498F">
      <w:pPr>
        <w:pStyle w:val="ListParagraph"/>
        <w:numPr>
          <w:ilvl w:val="1"/>
          <w:numId w:val="1"/>
        </w:numPr>
        <w:spacing w:before="120" w:after="120" w:line="228" w:lineRule="auto"/>
        <w:ind w:left="0"/>
        <w:jc w:val="left"/>
        <w:rPr>
          <w:rFonts w:eastAsia="Calibri" w:hAnsi="Times New Roman" w:cs="Times New Roman"/>
          <w:i/>
          <w:snapToGrid w:val="0"/>
          <w:color w:val="auto"/>
          <w:kern w:val="22"/>
          <w:bdr w:val="none" w:sz="0" w:space="0" w:color="auto"/>
          <w:lang w:val="en-GB"/>
        </w:rPr>
      </w:pPr>
      <w:r w:rsidRPr="00DF02C5">
        <w:rPr>
          <w:rFonts w:eastAsia="Calibri" w:hAnsi="Times New Roman" w:cs="Times New Roman"/>
          <w:i/>
          <w:snapToGrid w:val="0"/>
          <w:color w:val="auto"/>
          <w:kern w:val="22"/>
          <w:bdr w:val="none" w:sz="0" w:space="0" w:color="auto"/>
          <w:lang w:val="en-GB"/>
        </w:rPr>
        <w:t>Community protocols</w:t>
      </w:r>
    </w:p>
    <w:p w14:paraId="637608E2" w14:textId="1D5BC6DC" w:rsidR="005F3A08" w:rsidRPr="00DF02C5" w:rsidRDefault="005F3A08" w:rsidP="00BC6060">
      <w:pPr>
        <w:pStyle w:val="Para1"/>
        <w:numPr>
          <w:ilvl w:val="0"/>
          <w:numId w:val="1"/>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Some countries</w:t>
      </w:r>
      <w:r w:rsidRPr="00DF02C5">
        <w:rPr>
          <w:rStyle w:val="FootnoteReference"/>
          <w:rFonts w:eastAsia="Calibri" w:hAnsi="Times New Roman"/>
          <w:snapToGrid w:val="0"/>
          <w:color w:val="auto"/>
          <w:kern w:val="22"/>
          <w:bdr w:val="none" w:sz="0" w:space="0" w:color="auto"/>
          <w:lang w:val="en-GB"/>
        </w:rPr>
        <w:footnoteReference w:id="333"/>
      </w:r>
      <w:r w:rsidRPr="00DF02C5">
        <w:rPr>
          <w:rFonts w:eastAsia="Calibri" w:hAnsi="Times New Roman"/>
          <w:snapToGrid w:val="0"/>
          <w:color w:val="auto"/>
          <w:kern w:val="22"/>
          <w:bdr w:val="none" w:sz="0" w:space="0" w:color="auto"/>
          <w:lang w:val="en-GB"/>
        </w:rPr>
        <w:t xml:space="preserve"> </w:t>
      </w:r>
      <w:r w:rsidR="00890797" w:rsidRPr="00DF02C5">
        <w:rPr>
          <w:rFonts w:eastAsia="Calibri" w:hAnsi="Times New Roman"/>
          <w:snapToGrid w:val="0"/>
          <w:color w:val="auto"/>
          <w:kern w:val="22"/>
          <w:bdr w:val="none" w:sz="0" w:space="0" w:color="auto"/>
          <w:lang w:val="en-GB"/>
        </w:rPr>
        <w:t xml:space="preserve">shared information on </w:t>
      </w:r>
      <w:r w:rsidRPr="00DF02C5">
        <w:rPr>
          <w:rFonts w:eastAsia="Calibri" w:hAnsi="Times New Roman"/>
          <w:snapToGrid w:val="0"/>
          <w:color w:val="auto"/>
          <w:kern w:val="22"/>
          <w:bdr w:val="none" w:sz="0" w:space="0" w:color="auto"/>
          <w:lang w:val="en-GB"/>
        </w:rPr>
        <w:t>their progress</w:t>
      </w:r>
      <w:r w:rsidR="00890797" w:rsidRPr="00DF02C5">
        <w:rPr>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 xml:space="preserve">or </w:t>
      </w:r>
      <w:r w:rsidR="00DA12B7" w:rsidRPr="00DF02C5">
        <w:rPr>
          <w:rFonts w:eastAsia="Calibri" w:hAnsi="Times New Roman"/>
          <w:snapToGrid w:val="0"/>
          <w:color w:val="auto"/>
          <w:kern w:val="22"/>
          <w:bdr w:val="none" w:sz="0" w:space="0" w:color="auto"/>
          <w:lang w:val="en-GB"/>
        </w:rPr>
        <w:t>plan</w:t>
      </w:r>
      <w:r w:rsidRPr="00DF02C5">
        <w:rPr>
          <w:rFonts w:eastAsia="Calibri" w:hAnsi="Times New Roman"/>
          <w:snapToGrid w:val="0"/>
          <w:color w:val="auto"/>
          <w:kern w:val="22"/>
          <w:bdr w:val="none" w:sz="0" w:space="0" w:color="auto"/>
          <w:lang w:val="en-GB"/>
        </w:rPr>
        <w:t xml:space="preserve"> to support community protocol</w:t>
      </w:r>
      <w:r w:rsidR="001B3FF1" w:rsidRPr="00DF02C5">
        <w:rPr>
          <w:rFonts w:eastAsia="Calibri" w:hAnsi="Times New Roman"/>
          <w:snapToGrid w:val="0"/>
          <w:color w:val="auto"/>
          <w:kern w:val="22"/>
          <w:bdr w:val="none" w:sz="0" w:space="0" w:color="auto"/>
          <w:lang w:val="en-GB"/>
        </w:rPr>
        <w:t>s</w:t>
      </w:r>
      <w:r w:rsidR="00890797" w:rsidRPr="00DF02C5">
        <w:rPr>
          <w:rFonts w:eastAsia="Calibri" w:hAnsi="Times New Roman"/>
          <w:snapToGrid w:val="0"/>
          <w:color w:val="auto"/>
          <w:kern w:val="22"/>
          <w:bdr w:val="none" w:sz="0" w:space="0" w:color="auto"/>
          <w:lang w:val="en-GB"/>
        </w:rPr>
        <w:t>, including</w:t>
      </w:r>
      <w:r w:rsidRPr="00DF02C5">
        <w:rPr>
          <w:rFonts w:eastAsia="Calibri" w:hAnsi="Times New Roman"/>
          <w:snapToGrid w:val="0"/>
          <w:color w:val="auto"/>
          <w:kern w:val="22"/>
          <w:bdr w:val="none" w:sz="0" w:space="0" w:color="auto"/>
          <w:lang w:val="en-GB"/>
        </w:rPr>
        <w:t xml:space="preserve"> information on awareness-raising and capacity-building activities</w:t>
      </w:r>
      <w:r w:rsidR="00701EA8">
        <w:rPr>
          <w:rFonts w:eastAsia="Calibri" w:hAnsi="Times New Roman"/>
          <w:snapToGrid w:val="0"/>
          <w:color w:val="auto"/>
          <w:kern w:val="22"/>
          <w:bdr w:val="none" w:sz="0" w:space="0" w:color="auto"/>
          <w:lang w:val="en-GB"/>
        </w:rPr>
        <w:t>.</w:t>
      </w:r>
      <w:r w:rsidR="00890797" w:rsidRPr="00DF02C5">
        <w:rPr>
          <w:rStyle w:val="FootnoteReference"/>
          <w:rFonts w:eastAsia="Calibri" w:hAnsi="Times New Roman"/>
          <w:snapToGrid w:val="0"/>
          <w:color w:val="auto"/>
          <w:kern w:val="22"/>
          <w:bdr w:val="none" w:sz="0" w:space="0" w:color="auto"/>
          <w:lang w:val="en-GB"/>
        </w:rPr>
        <w:footnoteReference w:id="334"/>
      </w:r>
      <w:r w:rsidR="00890797" w:rsidRPr="00DF02C5">
        <w:rPr>
          <w:rFonts w:eastAsia="Calibri" w:hAnsi="Times New Roman"/>
          <w:snapToGrid w:val="0"/>
          <w:color w:val="auto"/>
          <w:kern w:val="22"/>
          <w:bdr w:val="none" w:sz="0" w:space="0" w:color="auto"/>
          <w:lang w:val="en-GB"/>
        </w:rPr>
        <w:t xml:space="preserve"> For example:</w:t>
      </w:r>
    </w:p>
    <w:p w14:paraId="423FC016" w14:textId="154DDBF3" w:rsidR="005F3A08" w:rsidRPr="00DF02C5" w:rsidRDefault="005F3A08" w:rsidP="00BC6060">
      <w:pPr>
        <w:pStyle w:val="ListParagraph"/>
        <w:numPr>
          <w:ilvl w:val="1"/>
          <w:numId w:val="46"/>
        </w:numPr>
        <w:spacing w:before="120" w:after="120" w:line="228" w:lineRule="auto"/>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lastRenderedPageBreak/>
        <w:t xml:space="preserve">Benin </w:t>
      </w:r>
      <w:r w:rsidR="00890797" w:rsidRPr="00DF02C5">
        <w:rPr>
          <w:rFonts w:eastAsia="Calibri" w:hAnsi="Times New Roman" w:cs="Times New Roman"/>
          <w:snapToGrid w:val="0"/>
          <w:color w:val="auto"/>
          <w:kern w:val="22"/>
          <w:bdr w:val="none" w:sz="0" w:space="0" w:color="auto"/>
          <w:lang w:val="en-GB"/>
        </w:rPr>
        <w:t xml:space="preserve">indicated that the </w:t>
      </w:r>
      <w:r w:rsidRPr="00DF02C5">
        <w:rPr>
          <w:rFonts w:eastAsia="Calibri" w:hAnsi="Times New Roman" w:cs="Times New Roman"/>
          <w:snapToGrid w:val="0"/>
          <w:color w:val="auto"/>
          <w:kern w:val="22"/>
          <w:bdr w:val="none" w:sz="0" w:space="0" w:color="auto"/>
          <w:lang w:val="en-GB"/>
        </w:rPr>
        <w:t xml:space="preserve">community protocols </w:t>
      </w:r>
      <w:r w:rsidR="00890797" w:rsidRPr="00DF02C5">
        <w:rPr>
          <w:rFonts w:eastAsia="Calibri" w:hAnsi="Times New Roman" w:cs="Times New Roman"/>
          <w:snapToGrid w:val="0"/>
          <w:color w:val="auto"/>
          <w:kern w:val="22"/>
          <w:bdr w:val="none" w:sz="0" w:space="0" w:color="auto"/>
          <w:lang w:val="en-GB"/>
        </w:rPr>
        <w:t>on ABS developed as pi</w:t>
      </w:r>
      <w:r w:rsidR="00B54C38">
        <w:rPr>
          <w:rFonts w:eastAsia="Calibri" w:hAnsi="Times New Roman" w:cs="Times New Roman"/>
          <w:snapToGrid w:val="0"/>
          <w:color w:val="auto"/>
          <w:kern w:val="22"/>
          <w:bdr w:val="none" w:sz="0" w:space="0" w:color="auto"/>
          <w:lang w:val="en-GB"/>
        </w:rPr>
        <w:t>lot projects were almost finaliz</w:t>
      </w:r>
      <w:r w:rsidR="00890797" w:rsidRPr="00DF02C5">
        <w:rPr>
          <w:rFonts w:eastAsia="Calibri" w:hAnsi="Times New Roman" w:cs="Times New Roman"/>
          <w:snapToGrid w:val="0"/>
          <w:color w:val="auto"/>
          <w:kern w:val="22"/>
          <w:bdr w:val="none" w:sz="0" w:space="0" w:color="auto"/>
          <w:lang w:val="en-GB"/>
        </w:rPr>
        <w:t xml:space="preserve">ed and that they are planning </w:t>
      </w:r>
      <w:r w:rsidRPr="00DF02C5">
        <w:rPr>
          <w:rFonts w:eastAsia="Calibri" w:hAnsi="Times New Roman" w:cs="Times New Roman"/>
          <w:snapToGrid w:val="0"/>
          <w:color w:val="auto"/>
          <w:kern w:val="22"/>
          <w:bdr w:val="none" w:sz="0" w:space="0" w:color="auto"/>
          <w:lang w:val="en-GB"/>
        </w:rPr>
        <w:t xml:space="preserve">to </w:t>
      </w:r>
      <w:r w:rsidR="00890797" w:rsidRPr="00DF02C5">
        <w:rPr>
          <w:rFonts w:eastAsia="Calibri" w:hAnsi="Times New Roman" w:cs="Times New Roman"/>
          <w:snapToGrid w:val="0"/>
          <w:color w:val="auto"/>
          <w:kern w:val="22"/>
          <w:bdr w:val="none" w:sz="0" w:space="0" w:color="auto"/>
          <w:lang w:val="en-GB"/>
        </w:rPr>
        <w:t>establish</w:t>
      </w:r>
      <w:r w:rsidRPr="00DF02C5">
        <w:rPr>
          <w:rFonts w:eastAsia="Calibri" w:hAnsi="Times New Roman" w:cs="Times New Roman"/>
          <w:snapToGrid w:val="0"/>
          <w:color w:val="auto"/>
          <w:kern w:val="22"/>
          <w:bdr w:val="none" w:sz="0" w:space="0" w:color="auto"/>
          <w:lang w:val="en-GB"/>
        </w:rPr>
        <w:t xml:space="preserve"> a national organisation representing local communities, a</w:t>
      </w:r>
      <w:r w:rsidR="00890797" w:rsidRPr="00DF02C5">
        <w:rPr>
          <w:rFonts w:eastAsia="Calibri" w:hAnsi="Times New Roman" w:cs="Times New Roman"/>
          <w:snapToGrid w:val="0"/>
          <w:color w:val="auto"/>
          <w:kern w:val="22"/>
          <w:bdr w:val="none" w:sz="0" w:space="0" w:color="auto"/>
          <w:lang w:val="en-GB"/>
        </w:rPr>
        <w:t xml:space="preserve"> competent national authority for local</w:t>
      </w:r>
      <w:r w:rsidRPr="00DF02C5">
        <w:rPr>
          <w:rFonts w:eastAsia="Calibri" w:hAnsi="Times New Roman" w:cs="Times New Roman"/>
          <w:snapToGrid w:val="0"/>
          <w:color w:val="auto"/>
          <w:kern w:val="22"/>
          <w:bdr w:val="none" w:sz="0" w:space="0" w:color="auto"/>
          <w:lang w:val="en-GB"/>
        </w:rPr>
        <w:t xml:space="preserve"> communities and a model community protocol to support the development </w:t>
      </w:r>
      <w:r w:rsidR="00890797" w:rsidRPr="00DF02C5">
        <w:rPr>
          <w:rFonts w:eastAsia="Calibri" w:hAnsi="Times New Roman" w:cs="Times New Roman"/>
          <w:snapToGrid w:val="0"/>
          <w:color w:val="auto"/>
          <w:kern w:val="22"/>
          <w:bdr w:val="none" w:sz="0" w:space="0" w:color="auto"/>
          <w:lang w:val="en-GB"/>
        </w:rPr>
        <w:t>of community pro</w:t>
      </w:r>
      <w:r w:rsidR="00701EA8">
        <w:rPr>
          <w:rFonts w:eastAsia="Calibri" w:hAnsi="Times New Roman" w:cs="Times New Roman"/>
          <w:snapToGrid w:val="0"/>
          <w:color w:val="auto"/>
          <w:kern w:val="22"/>
          <w:bdr w:val="none" w:sz="0" w:space="0" w:color="auto"/>
          <w:lang w:val="en-GB"/>
        </w:rPr>
        <w:t>tocols by all local communities;</w:t>
      </w:r>
    </w:p>
    <w:p w14:paraId="22B8DABE" w14:textId="1948B707" w:rsidR="005F3A08" w:rsidRPr="00DF02C5" w:rsidRDefault="005F3A08" w:rsidP="00BC6060">
      <w:pPr>
        <w:pStyle w:val="ListParagraph"/>
        <w:numPr>
          <w:ilvl w:val="1"/>
          <w:numId w:val="46"/>
        </w:numPr>
        <w:spacing w:before="120" w:after="120" w:line="228" w:lineRule="auto"/>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In Bhutan, </w:t>
      </w:r>
      <w:r w:rsidR="00D66232" w:rsidRPr="00DF02C5">
        <w:rPr>
          <w:rFonts w:eastAsia="Calibri" w:hAnsi="Times New Roman" w:cs="Times New Roman"/>
          <w:snapToGrid w:val="0"/>
          <w:color w:val="auto"/>
          <w:kern w:val="22"/>
          <w:bdr w:val="none" w:sz="0" w:space="0" w:color="auto"/>
          <w:lang w:val="en-GB"/>
        </w:rPr>
        <w:t xml:space="preserve">the NFP supports the development of community protocols by </w:t>
      </w:r>
      <w:r w:rsidRPr="00DF02C5">
        <w:rPr>
          <w:rFonts w:eastAsia="Calibri" w:hAnsi="Times New Roman" w:cs="Times New Roman"/>
          <w:snapToGrid w:val="0"/>
          <w:color w:val="auto"/>
          <w:kern w:val="22"/>
          <w:bdr w:val="none" w:sz="0" w:space="0" w:color="auto"/>
          <w:lang w:val="en-GB"/>
        </w:rPr>
        <w:t xml:space="preserve">local communities. </w:t>
      </w:r>
      <w:r w:rsidR="00D66232" w:rsidRPr="00DF02C5">
        <w:rPr>
          <w:rFonts w:eastAsia="Calibri" w:hAnsi="Times New Roman" w:cs="Times New Roman"/>
          <w:snapToGrid w:val="0"/>
          <w:color w:val="auto"/>
          <w:kern w:val="22"/>
          <w:bdr w:val="none" w:sz="0" w:space="0" w:color="auto"/>
          <w:lang w:val="en-GB"/>
        </w:rPr>
        <w:t xml:space="preserve">First, </w:t>
      </w:r>
      <w:r w:rsidRPr="00DF02C5">
        <w:rPr>
          <w:rFonts w:eastAsia="Calibri" w:hAnsi="Times New Roman" w:cs="Times New Roman"/>
          <w:snapToGrid w:val="0"/>
          <w:color w:val="auto"/>
          <w:kern w:val="22"/>
          <w:bdr w:val="none" w:sz="0" w:space="0" w:color="auto"/>
          <w:lang w:val="en-GB"/>
        </w:rPr>
        <w:t>an inception workshop is conducted with local communities</w:t>
      </w:r>
      <w:r w:rsidR="00D66232" w:rsidRPr="00DF02C5">
        <w:rPr>
          <w:rFonts w:eastAsia="Calibri" w:hAnsi="Times New Roman" w:cs="Times New Roman"/>
          <w:snapToGrid w:val="0"/>
          <w:color w:val="auto"/>
          <w:kern w:val="22"/>
          <w:bdr w:val="none" w:sz="0" w:space="0" w:color="auto"/>
          <w:lang w:val="en-GB"/>
        </w:rPr>
        <w:t xml:space="preserve"> with a view</w:t>
      </w:r>
      <w:r w:rsidRPr="00DF02C5">
        <w:rPr>
          <w:rFonts w:eastAsia="Calibri" w:hAnsi="Times New Roman" w:cs="Times New Roman"/>
          <w:snapToGrid w:val="0"/>
          <w:color w:val="auto"/>
          <w:kern w:val="22"/>
          <w:bdr w:val="none" w:sz="0" w:space="0" w:color="auto"/>
          <w:lang w:val="en-GB"/>
        </w:rPr>
        <w:t xml:space="preserve"> to understand the existing customary laws and </w:t>
      </w:r>
      <w:r w:rsidR="00D66232" w:rsidRPr="00DF02C5">
        <w:rPr>
          <w:rFonts w:eastAsia="Calibri" w:hAnsi="Times New Roman" w:cs="Times New Roman"/>
          <w:snapToGrid w:val="0"/>
          <w:color w:val="auto"/>
          <w:kern w:val="22"/>
          <w:bdr w:val="none" w:sz="0" w:space="0" w:color="auto"/>
          <w:lang w:val="en-GB"/>
        </w:rPr>
        <w:t>norms, decision-making process</w:t>
      </w:r>
      <w:r w:rsidRPr="00DF02C5">
        <w:rPr>
          <w:rFonts w:eastAsia="Calibri" w:hAnsi="Times New Roman" w:cs="Times New Roman"/>
          <w:snapToGrid w:val="0"/>
          <w:color w:val="auto"/>
          <w:kern w:val="22"/>
          <w:bdr w:val="none" w:sz="0" w:space="0" w:color="auto"/>
          <w:lang w:val="en-GB"/>
        </w:rPr>
        <w:t xml:space="preserve">, community priorities etc. as well as to </w:t>
      </w:r>
      <w:r w:rsidR="00D66232" w:rsidRPr="00DF02C5">
        <w:rPr>
          <w:rFonts w:eastAsia="Calibri" w:hAnsi="Times New Roman" w:cs="Times New Roman"/>
          <w:snapToGrid w:val="0"/>
          <w:color w:val="auto"/>
          <w:kern w:val="22"/>
          <w:bdr w:val="none" w:sz="0" w:space="0" w:color="auto"/>
          <w:lang w:val="en-GB"/>
        </w:rPr>
        <w:t xml:space="preserve">support the local communities to understand </w:t>
      </w:r>
      <w:r w:rsidRPr="00DF02C5">
        <w:rPr>
          <w:rFonts w:eastAsia="Calibri" w:hAnsi="Times New Roman" w:cs="Times New Roman"/>
          <w:snapToGrid w:val="0"/>
          <w:color w:val="auto"/>
          <w:kern w:val="22"/>
          <w:bdr w:val="none" w:sz="0" w:space="0" w:color="auto"/>
          <w:lang w:val="en-GB"/>
        </w:rPr>
        <w:t xml:space="preserve">the legal aspects. </w:t>
      </w:r>
      <w:r w:rsidR="00D66232" w:rsidRPr="00DF02C5">
        <w:rPr>
          <w:rFonts w:eastAsia="Calibri" w:hAnsi="Times New Roman" w:cs="Times New Roman"/>
          <w:snapToGrid w:val="0"/>
          <w:color w:val="auto"/>
          <w:kern w:val="22"/>
          <w:bdr w:val="none" w:sz="0" w:space="0" w:color="auto"/>
          <w:lang w:val="en-GB"/>
        </w:rPr>
        <w:t xml:space="preserve">On this basis and under the guidance of the NFP and legal unit </w:t>
      </w:r>
      <w:r w:rsidR="001B3FF1" w:rsidRPr="00DF02C5">
        <w:rPr>
          <w:rFonts w:eastAsia="Calibri" w:hAnsi="Times New Roman" w:cs="Times New Roman"/>
          <w:snapToGrid w:val="0"/>
          <w:color w:val="auto"/>
          <w:kern w:val="22"/>
          <w:bdr w:val="none" w:sz="0" w:space="0" w:color="auto"/>
          <w:lang w:val="en-GB"/>
        </w:rPr>
        <w:t>a</w:t>
      </w:r>
      <w:r w:rsidRPr="00DF02C5">
        <w:rPr>
          <w:rFonts w:eastAsia="Calibri" w:hAnsi="Times New Roman" w:cs="Times New Roman"/>
          <w:snapToGrid w:val="0"/>
          <w:color w:val="auto"/>
          <w:kern w:val="22"/>
          <w:bdr w:val="none" w:sz="0" w:space="0" w:color="auto"/>
          <w:lang w:val="en-GB"/>
        </w:rPr>
        <w:t xml:space="preserve"> community protocol is developed and endorsed by the local communities</w:t>
      </w:r>
      <w:r w:rsidR="00701EA8">
        <w:rPr>
          <w:rFonts w:eastAsia="Calibri" w:hAnsi="Times New Roman" w:cs="Times New Roman"/>
          <w:snapToGrid w:val="0"/>
          <w:color w:val="auto"/>
          <w:kern w:val="22"/>
          <w:bdr w:val="none" w:sz="0" w:space="0" w:color="auto"/>
          <w:lang w:val="en-GB"/>
        </w:rPr>
        <w:t>;</w:t>
      </w:r>
    </w:p>
    <w:p w14:paraId="28AC8131" w14:textId="77B25320" w:rsidR="005F3A08" w:rsidRPr="00DF02C5" w:rsidRDefault="00D66232" w:rsidP="00BC6060">
      <w:pPr>
        <w:pStyle w:val="ListParagraph"/>
        <w:numPr>
          <w:ilvl w:val="1"/>
          <w:numId w:val="46"/>
        </w:numPr>
        <w:spacing w:before="120" w:after="120" w:line="228" w:lineRule="auto"/>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Kenya indicated that they have </w:t>
      </w:r>
      <w:r w:rsidR="005F3A08" w:rsidRPr="00DF02C5">
        <w:rPr>
          <w:rFonts w:eastAsia="Calibri" w:hAnsi="Times New Roman" w:cs="Times New Roman"/>
          <w:snapToGrid w:val="0"/>
          <w:color w:val="auto"/>
          <w:kern w:val="22"/>
          <w:bdr w:val="none" w:sz="0" w:space="0" w:color="auto"/>
          <w:lang w:val="en-GB"/>
        </w:rPr>
        <w:t>various</w:t>
      </w:r>
      <w:r w:rsidRPr="00DF02C5">
        <w:rPr>
          <w:rFonts w:eastAsia="Calibri" w:hAnsi="Times New Roman" w:cs="Times New Roman"/>
          <w:snapToGrid w:val="0"/>
          <w:color w:val="auto"/>
          <w:kern w:val="22"/>
          <w:bdr w:val="none" w:sz="0" w:space="0" w:color="auto"/>
          <w:lang w:val="en-GB"/>
        </w:rPr>
        <w:t xml:space="preserve"> on-going</w:t>
      </w:r>
      <w:r w:rsidR="005F3A08" w:rsidRPr="00DF02C5">
        <w:rPr>
          <w:rFonts w:eastAsia="Calibri" w:hAnsi="Times New Roman" w:cs="Times New Roman"/>
          <w:snapToGrid w:val="0"/>
          <w:color w:val="auto"/>
          <w:kern w:val="22"/>
          <w:bdr w:val="none" w:sz="0" w:space="0" w:color="auto"/>
          <w:lang w:val="en-GB"/>
        </w:rPr>
        <w:t xml:space="preserve"> initiatives </w:t>
      </w:r>
      <w:r w:rsidRPr="00DF02C5">
        <w:rPr>
          <w:rFonts w:eastAsia="Calibri" w:hAnsi="Times New Roman" w:cs="Times New Roman"/>
          <w:snapToGrid w:val="0"/>
          <w:color w:val="auto"/>
          <w:kern w:val="22"/>
          <w:bdr w:val="none" w:sz="0" w:space="0" w:color="auto"/>
          <w:lang w:val="en-GB"/>
        </w:rPr>
        <w:t xml:space="preserve">to </w:t>
      </w:r>
      <w:r w:rsidR="005F3A08" w:rsidRPr="00DF02C5">
        <w:rPr>
          <w:rFonts w:eastAsia="Calibri" w:hAnsi="Times New Roman" w:cs="Times New Roman"/>
          <w:snapToGrid w:val="0"/>
          <w:color w:val="auto"/>
          <w:kern w:val="22"/>
          <w:bdr w:val="none" w:sz="0" w:space="0" w:color="auto"/>
          <w:lang w:val="en-GB"/>
        </w:rPr>
        <w:t>establish</w:t>
      </w:r>
      <w:r w:rsidR="00770D3D" w:rsidRPr="00DF02C5">
        <w:rPr>
          <w:rFonts w:eastAsia="Calibri" w:hAnsi="Times New Roman" w:cs="Times New Roman"/>
          <w:snapToGrid w:val="0"/>
          <w:color w:val="auto"/>
          <w:kern w:val="22"/>
          <w:bdr w:val="none" w:sz="0" w:space="0" w:color="auto"/>
          <w:lang w:val="en-GB"/>
        </w:rPr>
        <w:t xml:space="preserve"> </w:t>
      </w:r>
      <w:r w:rsidR="005F3A08" w:rsidRPr="00DF02C5">
        <w:rPr>
          <w:rFonts w:eastAsia="Calibri" w:hAnsi="Times New Roman" w:cs="Times New Roman"/>
          <w:snapToGrid w:val="0"/>
          <w:color w:val="auto"/>
          <w:kern w:val="22"/>
          <w:bdr w:val="none" w:sz="0" w:space="0" w:color="auto"/>
          <w:lang w:val="en-GB"/>
        </w:rPr>
        <w:t>community platforms and protocols for improved resource management and equitable shar</w:t>
      </w:r>
      <w:r w:rsidR="00770D3D" w:rsidRPr="00DF02C5">
        <w:rPr>
          <w:rFonts w:eastAsia="Calibri" w:hAnsi="Times New Roman" w:cs="Times New Roman"/>
          <w:snapToGrid w:val="0"/>
          <w:color w:val="auto"/>
          <w:kern w:val="22"/>
          <w:bdr w:val="none" w:sz="0" w:space="0" w:color="auto"/>
          <w:lang w:val="en-GB"/>
        </w:rPr>
        <w:t>ing</w:t>
      </w:r>
      <w:r w:rsidR="00701EA8">
        <w:rPr>
          <w:rFonts w:eastAsia="Calibri" w:hAnsi="Times New Roman" w:cs="Times New Roman"/>
          <w:snapToGrid w:val="0"/>
          <w:color w:val="auto"/>
          <w:kern w:val="22"/>
          <w:bdr w:val="none" w:sz="0" w:space="0" w:color="auto"/>
          <w:lang w:val="en-GB"/>
        </w:rPr>
        <w:t xml:space="preserve"> of resultant benefits;</w:t>
      </w:r>
    </w:p>
    <w:p w14:paraId="7CE50A4A" w14:textId="1736815E" w:rsidR="005F3A08" w:rsidRPr="00DF02C5" w:rsidRDefault="005F3A08" w:rsidP="00BC6060">
      <w:pPr>
        <w:pStyle w:val="ListParagraph"/>
        <w:numPr>
          <w:ilvl w:val="1"/>
          <w:numId w:val="46"/>
        </w:numPr>
        <w:spacing w:before="120" w:after="120" w:line="228" w:lineRule="auto"/>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Madagascar</w:t>
      </w:r>
      <w:r w:rsidR="00D66232" w:rsidRPr="00DF02C5">
        <w:rPr>
          <w:rFonts w:eastAsia="Calibri" w:hAnsi="Times New Roman" w:cs="Times New Roman"/>
          <w:snapToGrid w:val="0"/>
          <w:color w:val="auto"/>
          <w:kern w:val="22"/>
          <w:bdr w:val="none" w:sz="0" w:space="0" w:color="auto"/>
          <w:lang w:val="en-GB"/>
        </w:rPr>
        <w:t xml:space="preserve"> reported that around</w:t>
      </w:r>
      <w:r w:rsidRPr="00DF02C5">
        <w:rPr>
          <w:rFonts w:eastAsia="Calibri" w:hAnsi="Times New Roman" w:cs="Times New Roman"/>
          <w:snapToGrid w:val="0"/>
          <w:color w:val="auto"/>
          <w:kern w:val="22"/>
          <w:bdr w:val="none" w:sz="0" w:space="0" w:color="auto"/>
          <w:lang w:val="en-GB"/>
        </w:rPr>
        <w:t xml:space="preserve"> 10 community protocols </w:t>
      </w:r>
      <w:r w:rsidR="00B54C38">
        <w:rPr>
          <w:rFonts w:eastAsia="Calibri" w:hAnsi="Times New Roman" w:cs="Times New Roman"/>
          <w:snapToGrid w:val="0"/>
          <w:color w:val="auto"/>
          <w:kern w:val="22"/>
          <w:bdr w:val="none" w:sz="0" w:space="0" w:color="auto"/>
          <w:lang w:val="en-GB"/>
        </w:rPr>
        <w:t>are being finaliz</w:t>
      </w:r>
      <w:r w:rsidR="00701EA8">
        <w:rPr>
          <w:rFonts w:eastAsia="Calibri" w:hAnsi="Times New Roman" w:cs="Times New Roman"/>
          <w:snapToGrid w:val="0"/>
          <w:color w:val="auto"/>
          <w:kern w:val="22"/>
          <w:bdr w:val="none" w:sz="0" w:space="0" w:color="auto"/>
          <w:lang w:val="en-GB"/>
        </w:rPr>
        <w:t>ed;</w:t>
      </w:r>
    </w:p>
    <w:p w14:paraId="79C8C2BF" w14:textId="07465EEA" w:rsidR="005F3A08" w:rsidRPr="00DF02C5" w:rsidRDefault="005F3A08" w:rsidP="00BC6060">
      <w:pPr>
        <w:pStyle w:val="ListParagraph"/>
        <w:numPr>
          <w:ilvl w:val="1"/>
          <w:numId w:val="46"/>
        </w:numPr>
        <w:spacing w:before="120" w:after="120" w:line="228" w:lineRule="auto"/>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China, Dominican Republic, Mexico, Panama and Uruguay indicated that they were working on developing community protocols as part of regional or national </w:t>
      </w:r>
      <w:r w:rsidR="00D66232" w:rsidRPr="00DF02C5">
        <w:rPr>
          <w:rFonts w:eastAsia="Calibri" w:hAnsi="Times New Roman" w:cs="Times New Roman"/>
          <w:snapToGrid w:val="0"/>
          <w:color w:val="auto"/>
          <w:kern w:val="22"/>
          <w:bdr w:val="none" w:sz="0" w:space="0" w:color="auto"/>
          <w:lang w:val="en-GB"/>
        </w:rPr>
        <w:t xml:space="preserve">capacity development </w:t>
      </w:r>
      <w:r w:rsidRPr="00DF02C5">
        <w:rPr>
          <w:rFonts w:eastAsia="Calibri" w:hAnsi="Times New Roman" w:cs="Times New Roman"/>
          <w:snapToGrid w:val="0"/>
          <w:color w:val="auto"/>
          <w:kern w:val="22"/>
          <w:bdr w:val="none" w:sz="0" w:space="0" w:color="auto"/>
          <w:lang w:val="en-GB"/>
        </w:rPr>
        <w:t xml:space="preserve">projects. </w:t>
      </w:r>
    </w:p>
    <w:p w14:paraId="25E421FC" w14:textId="5246802F" w:rsidR="005F3A08" w:rsidRPr="00DF02C5" w:rsidRDefault="005F3A08" w:rsidP="00CB6ACA">
      <w:pPr>
        <w:pStyle w:val="ListParagraph"/>
        <w:numPr>
          <w:ilvl w:val="1"/>
          <w:numId w:val="92"/>
        </w:numPr>
        <w:spacing w:before="120" w:after="120" w:line="228" w:lineRule="auto"/>
        <w:jc w:val="left"/>
        <w:rPr>
          <w:rFonts w:eastAsia="Calibri" w:hAnsi="Times New Roman" w:cs="Times New Roman"/>
          <w:i/>
          <w:snapToGrid w:val="0"/>
          <w:color w:val="auto"/>
          <w:kern w:val="22"/>
          <w:bdr w:val="none" w:sz="0" w:space="0" w:color="auto"/>
          <w:lang w:val="en-GB"/>
        </w:rPr>
      </w:pPr>
      <w:r w:rsidRPr="00DF02C5">
        <w:rPr>
          <w:rFonts w:eastAsia="Calibri" w:hAnsi="Times New Roman" w:cs="Times New Roman"/>
          <w:i/>
          <w:snapToGrid w:val="0"/>
          <w:color w:val="auto"/>
          <w:kern w:val="22"/>
          <w:bdr w:val="none" w:sz="0" w:space="0" w:color="auto"/>
          <w:lang w:val="en-GB"/>
        </w:rPr>
        <w:t>Minimum requirements for mutually agreed terms</w:t>
      </w:r>
    </w:p>
    <w:p w14:paraId="1D709A42" w14:textId="6FB7FC3C" w:rsidR="00B228C3" w:rsidRPr="00DF02C5" w:rsidRDefault="00173F32" w:rsidP="00CB6ACA">
      <w:pPr>
        <w:pStyle w:val="Para1"/>
        <w:numPr>
          <w:ilvl w:val="0"/>
          <w:numId w:val="92"/>
        </w:numPr>
        <w:spacing w:line="228" w:lineRule="auto"/>
        <w:rPr>
          <w:rFonts w:eastAsia="Calibri" w:hAnsi="Times New Roman"/>
          <w:i/>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Many </w:t>
      </w:r>
      <w:r w:rsidR="005F3A08" w:rsidRPr="00DF02C5">
        <w:rPr>
          <w:rFonts w:eastAsia="Calibri" w:hAnsi="Times New Roman"/>
          <w:snapToGrid w:val="0"/>
          <w:color w:val="auto"/>
          <w:kern w:val="22"/>
          <w:bdr w:val="none" w:sz="0" w:space="0" w:color="auto"/>
          <w:lang w:val="en-GB"/>
        </w:rPr>
        <w:t>countries</w:t>
      </w:r>
      <w:r w:rsidR="00DA12B7" w:rsidRPr="00DF02C5">
        <w:rPr>
          <w:rFonts w:eastAsia="Calibri" w:hAnsi="Times New Roman"/>
          <w:snapToGrid w:val="0"/>
          <w:color w:val="auto"/>
          <w:kern w:val="22"/>
          <w:bdr w:val="none" w:sz="0" w:space="0" w:color="auto"/>
          <w:lang w:val="en-GB"/>
        </w:rPr>
        <w:t xml:space="preserve"> reported on progress on the inclusion of </w:t>
      </w:r>
      <w:r w:rsidR="005F3A08" w:rsidRPr="00DF02C5">
        <w:rPr>
          <w:rFonts w:eastAsia="Calibri" w:hAnsi="Times New Roman"/>
          <w:snapToGrid w:val="0"/>
          <w:color w:val="auto"/>
          <w:kern w:val="22"/>
          <w:bdr w:val="none" w:sz="0" w:space="0" w:color="auto"/>
          <w:lang w:val="en-GB"/>
        </w:rPr>
        <w:t>minimum requirements for MAT</w:t>
      </w:r>
      <w:r w:rsidR="00DA12B7" w:rsidRPr="00DF02C5">
        <w:rPr>
          <w:rFonts w:eastAsia="Calibri" w:hAnsi="Times New Roman"/>
          <w:snapToGrid w:val="0"/>
          <w:color w:val="auto"/>
          <w:kern w:val="22"/>
          <w:bdr w:val="none" w:sz="0" w:space="0" w:color="auto"/>
          <w:lang w:val="en-GB"/>
        </w:rPr>
        <w:t xml:space="preserve"> in the national legal framework rather than on progress to support </w:t>
      </w:r>
      <w:r w:rsidR="005F3A08" w:rsidRPr="00DF02C5">
        <w:rPr>
          <w:rFonts w:eastAsia="Calibri" w:hAnsi="Times New Roman"/>
          <w:snapToGrid w:val="0"/>
          <w:color w:val="auto"/>
          <w:kern w:val="22"/>
          <w:bdr w:val="none" w:sz="0" w:space="0" w:color="auto"/>
          <w:lang w:val="en-GB"/>
        </w:rPr>
        <w:t xml:space="preserve">indigenous peoples and local communities in the development of minimum requirements for mutually agreed terms. </w:t>
      </w:r>
    </w:p>
    <w:p w14:paraId="52BE3426" w14:textId="03DA9A3E" w:rsidR="005F3A08" w:rsidRPr="00DF02C5" w:rsidRDefault="005F3A08" w:rsidP="00CB6ACA">
      <w:pPr>
        <w:pStyle w:val="ListParagraph"/>
        <w:numPr>
          <w:ilvl w:val="1"/>
          <w:numId w:val="93"/>
        </w:numPr>
        <w:spacing w:before="120" w:after="120" w:line="228" w:lineRule="auto"/>
        <w:jc w:val="left"/>
        <w:rPr>
          <w:rFonts w:eastAsia="Calibri" w:hAnsi="Times New Roman" w:cs="Times New Roman"/>
          <w:i/>
          <w:snapToGrid w:val="0"/>
          <w:color w:val="auto"/>
          <w:kern w:val="22"/>
          <w:bdr w:val="none" w:sz="0" w:space="0" w:color="auto"/>
          <w:lang w:val="en-GB"/>
        </w:rPr>
      </w:pPr>
      <w:r w:rsidRPr="00DF02C5">
        <w:rPr>
          <w:rFonts w:eastAsia="Calibri" w:hAnsi="Times New Roman" w:cs="Times New Roman"/>
          <w:i/>
          <w:snapToGrid w:val="0"/>
          <w:color w:val="auto"/>
          <w:kern w:val="22"/>
          <w:bdr w:val="none" w:sz="0" w:space="0" w:color="auto"/>
          <w:lang w:val="en-GB"/>
        </w:rPr>
        <w:t>Model contract clauses</w:t>
      </w:r>
    </w:p>
    <w:p w14:paraId="65E37D81" w14:textId="00548D4D" w:rsidR="005F3A08" w:rsidRPr="00DF02C5" w:rsidRDefault="00DA12B7"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Many countries reported </w:t>
      </w:r>
      <w:r w:rsidR="00C21C61" w:rsidRPr="00DF02C5">
        <w:rPr>
          <w:rFonts w:eastAsia="Calibri" w:hAnsi="Times New Roman"/>
          <w:snapToGrid w:val="0"/>
          <w:color w:val="auto"/>
          <w:kern w:val="22"/>
          <w:bdr w:val="none" w:sz="0" w:space="0" w:color="auto"/>
          <w:lang w:val="en-GB"/>
        </w:rPr>
        <w:t>on</w:t>
      </w:r>
      <w:r w:rsidR="005F3A08" w:rsidRPr="00DF02C5">
        <w:rPr>
          <w:rFonts w:eastAsia="Calibri" w:hAnsi="Times New Roman"/>
          <w:snapToGrid w:val="0"/>
          <w:color w:val="auto"/>
          <w:kern w:val="22"/>
          <w:bdr w:val="none" w:sz="0" w:space="0" w:color="auto"/>
          <w:lang w:val="en-GB"/>
        </w:rPr>
        <w:t xml:space="preserve"> progress in the development of model contractual clauses </w:t>
      </w:r>
      <w:r w:rsidRPr="00DF02C5">
        <w:rPr>
          <w:rFonts w:eastAsia="Calibri" w:hAnsi="Times New Roman"/>
          <w:snapToGrid w:val="0"/>
          <w:color w:val="auto"/>
          <w:kern w:val="22"/>
          <w:bdr w:val="none" w:sz="0" w:space="0" w:color="auto"/>
          <w:lang w:val="en-GB"/>
        </w:rPr>
        <w:t xml:space="preserve">as part of the national legal framework </w:t>
      </w:r>
      <w:r w:rsidR="005F3A08" w:rsidRPr="00DF02C5">
        <w:rPr>
          <w:rFonts w:eastAsia="Calibri" w:hAnsi="Times New Roman"/>
          <w:snapToGrid w:val="0"/>
          <w:color w:val="auto"/>
          <w:kern w:val="22"/>
          <w:bdr w:val="none" w:sz="0" w:space="0" w:color="auto"/>
          <w:lang w:val="en-GB"/>
        </w:rPr>
        <w:t xml:space="preserve">rather than </w:t>
      </w:r>
      <w:r w:rsidRPr="00DF02C5">
        <w:rPr>
          <w:rFonts w:eastAsia="Calibri" w:hAnsi="Times New Roman"/>
          <w:snapToGrid w:val="0"/>
          <w:color w:val="auto"/>
          <w:kern w:val="22"/>
          <w:bdr w:val="none" w:sz="0" w:space="0" w:color="auto"/>
          <w:lang w:val="en-GB"/>
        </w:rPr>
        <w:t xml:space="preserve">on </w:t>
      </w:r>
      <w:r w:rsidR="005F3A08" w:rsidRPr="00DF02C5">
        <w:rPr>
          <w:rFonts w:eastAsia="Calibri" w:hAnsi="Times New Roman"/>
          <w:snapToGrid w:val="0"/>
          <w:color w:val="auto"/>
          <w:kern w:val="22"/>
          <w:bdr w:val="none" w:sz="0" w:space="0" w:color="auto"/>
          <w:lang w:val="en-GB"/>
        </w:rPr>
        <w:t>progress to support the development of such clauses by indigenous peoples and local communities.</w:t>
      </w:r>
    </w:p>
    <w:p w14:paraId="6352A6B0" w14:textId="7B7CF883" w:rsidR="005F3A08" w:rsidRPr="00701EA8" w:rsidRDefault="00DA12B7" w:rsidP="00701EA8">
      <w:pPr>
        <w:numPr>
          <w:ilvl w:val="0"/>
          <w:numId w:val="72"/>
        </w:numPr>
        <w:spacing w:before="240" w:after="120"/>
        <w:ind w:left="1170" w:right="1260" w:hanging="630"/>
        <w:rPr>
          <w:rFonts w:eastAsia="Calibri" w:hAnsi="Times New Roman" w:cs="Times New Roman"/>
          <w:i/>
          <w:snapToGrid w:val="0"/>
          <w:color w:val="auto"/>
          <w:kern w:val="22"/>
          <w:bdr w:val="none" w:sz="0" w:space="0" w:color="auto"/>
          <w:lang w:val="en-GB"/>
        </w:rPr>
      </w:pPr>
      <w:r w:rsidRPr="00701EA8">
        <w:rPr>
          <w:rFonts w:eastAsia="Calibri" w:hAnsi="Times New Roman" w:cs="Times New Roman"/>
          <w:i/>
          <w:snapToGrid w:val="0"/>
          <w:color w:val="auto"/>
          <w:kern w:val="22"/>
          <w:bdr w:val="none" w:sz="0" w:space="0" w:color="auto"/>
          <w:lang w:val="en-GB"/>
        </w:rPr>
        <w:t xml:space="preserve">Has your country endeavoured not to restrict the customary use and exchange of genetic resources and associated traditional knowledge within and among indigenous and local communities as provided in Article 12.4? </w:t>
      </w:r>
      <w:r w:rsidR="005F3A08" w:rsidRPr="00701EA8">
        <w:rPr>
          <w:rFonts w:eastAsia="Calibri" w:hAnsi="Times New Roman" w:cs="Times New Roman"/>
          <w:i/>
          <w:snapToGrid w:val="0"/>
          <w:color w:val="auto"/>
          <w:kern w:val="22"/>
          <w:bdr w:val="none" w:sz="0" w:space="0" w:color="auto"/>
          <w:lang w:val="en-GB"/>
        </w:rPr>
        <w:t>(question 43)</w:t>
      </w:r>
    </w:p>
    <w:p w14:paraId="1DE474AF" w14:textId="3DE2055A" w:rsidR="0096661D" w:rsidRPr="00DF02C5" w:rsidRDefault="00DA12B7" w:rsidP="00CB6ACA">
      <w:pPr>
        <w:pStyle w:val="Para1"/>
        <w:numPr>
          <w:ilvl w:val="0"/>
          <w:numId w:val="93"/>
        </w:numPr>
        <w:rPr>
          <w:rFonts w:eastAsia="Calibri" w:hAnsi="Times New Roman"/>
          <w:snapToGrid w:val="0"/>
          <w:kern w:val="22"/>
          <w:bdr w:val="none" w:sz="0" w:space="0" w:color="auto"/>
          <w:lang w:val="en-GB"/>
        </w:rPr>
      </w:pPr>
      <w:r w:rsidRPr="00DF02C5">
        <w:rPr>
          <w:rFonts w:eastAsia="Calibri" w:hAnsi="Times New Roman"/>
          <w:snapToGrid w:val="0"/>
          <w:kern w:val="22"/>
          <w:bdr w:val="none" w:sz="0" w:space="0" w:color="auto"/>
          <w:lang w:val="en-GB"/>
        </w:rPr>
        <w:t xml:space="preserve">Of the forty-nine countries that stated they there are indigenous peoples and local communities in their country, </w:t>
      </w:r>
      <w:r w:rsidR="00783A29" w:rsidRPr="00DF02C5">
        <w:rPr>
          <w:rFonts w:eastAsia="Calibri" w:hAnsi="Times New Roman"/>
          <w:snapToGrid w:val="0"/>
          <w:kern w:val="22"/>
          <w:bdr w:val="none" w:sz="0" w:space="0" w:color="auto"/>
          <w:lang w:val="en-GB"/>
        </w:rPr>
        <w:t>thirty-five</w:t>
      </w:r>
      <w:r w:rsidR="0096661D" w:rsidRPr="00DF02C5">
        <w:rPr>
          <w:rFonts w:eastAsia="Calibri" w:hAnsi="Times New Roman"/>
          <w:snapToGrid w:val="0"/>
          <w:kern w:val="22"/>
          <w:bdr w:val="none" w:sz="0" w:space="0" w:color="auto"/>
          <w:lang w:val="en-GB"/>
        </w:rPr>
        <w:t xml:space="preserve"> Parties and </w:t>
      </w:r>
      <w:r w:rsidR="00783A29" w:rsidRPr="00DF02C5">
        <w:rPr>
          <w:rFonts w:eastAsia="Calibri" w:hAnsi="Times New Roman"/>
          <w:snapToGrid w:val="0"/>
          <w:kern w:val="22"/>
          <w:bdr w:val="none" w:sz="0" w:space="0" w:color="auto"/>
          <w:lang w:val="en-GB"/>
        </w:rPr>
        <w:t>one</w:t>
      </w:r>
      <w:r w:rsidR="0096661D" w:rsidRPr="00DF02C5">
        <w:rPr>
          <w:rFonts w:eastAsia="Calibri" w:hAnsi="Times New Roman"/>
          <w:snapToGrid w:val="0"/>
          <w:kern w:val="22"/>
          <w:bdr w:val="none" w:sz="0" w:space="0" w:color="auto"/>
          <w:lang w:val="en-GB"/>
        </w:rPr>
        <w:t xml:space="preserve"> non-Part</w:t>
      </w:r>
      <w:r w:rsidR="00783A29" w:rsidRPr="00DF02C5">
        <w:rPr>
          <w:rFonts w:eastAsia="Calibri" w:hAnsi="Times New Roman"/>
          <w:snapToGrid w:val="0"/>
          <w:kern w:val="22"/>
          <w:bdr w:val="none" w:sz="0" w:space="0" w:color="auto"/>
          <w:lang w:val="en-GB"/>
        </w:rPr>
        <w:t>y</w:t>
      </w:r>
      <w:r w:rsidR="0096661D" w:rsidRPr="00DF02C5">
        <w:rPr>
          <w:rFonts w:eastAsia="Calibri" w:hAnsi="Times New Roman"/>
          <w:snapToGrid w:val="0"/>
          <w:kern w:val="22"/>
          <w:bdr w:val="none" w:sz="0" w:space="0" w:color="auto"/>
          <w:lang w:val="en-GB"/>
        </w:rPr>
        <w:t xml:space="preserve"> specified that they </w:t>
      </w:r>
      <w:r w:rsidR="00783A29" w:rsidRPr="00DF02C5">
        <w:rPr>
          <w:rFonts w:eastAsia="Calibri" w:hAnsi="Times New Roman"/>
          <w:snapToGrid w:val="0"/>
          <w:color w:val="auto"/>
          <w:kern w:val="22"/>
          <w:bdr w:val="none" w:sz="0" w:space="0" w:color="auto"/>
          <w:lang w:val="en-GB"/>
        </w:rPr>
        <w:t>endeavoured not to restrict the customary use and exchange of genetic resources and associated traditional knowledge within and among indigenous and local communities</w:t>
      </w:r>
      <w:r w:rsidR="00317766" w:rsidRPr="00DF02C5">
        <w:rPr>
          <w:rFonts w:eastAsia="Calibri" w:hAnsi="Times New Roman"/>
          <w:snapToGrid w:val="0"/>
          <w:color w:val="auto"/>
          <w:kern w:val="22"/>
          <w:bdr w:val="none" w:sz="0" w:space="0" w:color="auto"/>
          <w:lang w:val="en-GB"/>
        </w:rPr>
        <w:t>, while thirteen Parties and one non-Party reported not having done so.</w:t>
      </w:r>
    </w:p>
    <w:p w14:paraId="22F420CB" w14:textId="2530F407" w:rsidR="00317766" w:rsidRPr="00DF02C5" w:rsidRDefault="00E5256F" w:rsidP="00E5256F">
      <w:pPr>
        <w:pStyle w:val="Caption"/>
        <w:keepNext/>
        <w:keepLines/>
        <w:rPr>
          <w:snapToGrid w:val="0"/>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Pr="00DF02C5">
        <w:rPr>
          <w:noProof/>
          <w:lang w:val="en-GB"/>
        </w:rPr>
        <w:t>41</w:t>
      </w:r>
      <w:r w:rsidRPr="00DF02C5">
        <w:rPr>
          <w:lang w:val="en-GB"/>
        </w:rPr>
        <w:fldChar w:fldCharType="end"/>
      </w:r>
      <w:r w:rsidR="002930AC" w:rsidRPr="00DF02C5">
        <w:rPr>
          <w:snapToGrid w:val="0"/>
          <w:bdr w:val="none" w:sz="0" w:space="0" w:color="auto"/>
          <w:lang w:val="en-GB"/>
        </w:rPr>
        <w:t xml:space="preserve">: </w:t>
      </w:r>
      <w:r w:rsidR="00317766" w:rsidRPr="00DF02C5">
        <w:rPr>
          <w:snapToGrid w:val="0"/>
          <w:bdr w:val="none" w:sz="0" w:space="0" w:color="auto"/>
          <w:lang w:val="en-GB"/>
        </w:rPr>
        <w:t>Endeavoured not to restrict the customary use and exchange of genetic resources and associated traditional knowledge within and among indigenous and local communities (percentage of countries)</w:t>
      </w:r>
    </w:p>
    <w:p w14:paraId="4821F8D2" w14:textId="5A536A0D" w:rsidR="0067625B" w:rsidRPr="00DF02C5" w:rsidRDefault="0067625B" w:rsidP="00317766">
      <w:pPr>
        <w:pStyle w:val="Para1"/>
        <w:jc w:val="center"/>
        <w:rPr>
          <w:rFonts w:eastAsia="Calibri" w:hAnsi="Times New Roman"/>
          <w:snapToGrid w:val="0"/>
          <w:kern w:val="22"/>
          <w:bdr w:val="none" w:sz="0" w:space="0" w:color="auto"/>
          <w:lang w:val="en-GB"/>
        </w:rPr>
      </w:pPr>
      <w:r w:rsidRPr="00DF02C5">
        <w:rPr>
          <w:noProof/>
          <w:color w:val="auto"/>
        </w:rPr>
        <w:drawing>
          <wp:inline distT="0" distB="0" distL="0" distR="0" wp14:anchorId="4D1865CA" wp14:editId="09FBCC5F">
            <wp:extent cx="3371850" cy="1857375"/>
            <wp:effectExtent l="0" t="0" r="19050" b="9525"/>
            <wp:docPr id="77" name="Chart 77">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5C35D83" w14:textId="4412C211" w:rsidR="00317766" w:rsidRPr="00DF02C5" w:rsidRDefault="00317766" w:rsidP="00701EA8">
      <w:pPr>
        <w:pStyle w:val="Para1"/>
        <w:keepNext/>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lastRenderedPageBreak/>
        <w:t>(a)</w:t>
      </w:r>
      <w:r w:rsidRPr="00DF02C5">
        <w:rPr>
          <w:rFonts w:eastAsia="Calibri" w:hAnsi="Times New Roman"/>
          <w:i/>
          <w:snapToGrid w:val="0"/>
          <w:color w:val="auto"/>
          <w:kern w:val="22"/>
          <w:bdr w:val="none" w:sz="0" w:space="0" w:color="auto"/>
          <w:lang w:val="en-GB"/>
        </w:rPr>
        <w:tab/>
        <w:t>Countries that answered “yes”</w:t>
      </w:r>
    </w:p>
    <w:p w14:paraId="5A497ABE" w14:textId="56C564BF" w:rsidR="005F3A08" w:rsidRPr="00DF02C5" w:rsidRDefault="00317766"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M</w:t>
      </w:r>
      <w:r w:rsidR="005F3A08" w:rsidRPr="00DF02C5">
        <w:rPr>
          <w:rFonts w:eastAsia="Calibri" w:hAnsi="Times New Roman"/>
          <w:snapToGrid w:val="0"/>
          <w:color w:val="auto"/>
          <w:kern w:val="22"/>
          <w:bdr w:val="none" w:sz="0" w:space="0" w:color="auto"/>
          <w:lang w:val="en-GB"/>
        </w:rPr>
        <w:t>any countries noted that nothing in their legislation restricted customary use and exchange.</w:t>
      </w:r>
      <w:r w:rsidR="005F3A08" w:rsidRPr="00DF02C5">
        <w:rPr>
          <w:rStyle w:val="FootnoteReference"/>
          <w:rFonts w:eastAsia="Calibri" w:hAnsi="Times New Roman"/>
          <w:snapToGrid w:val="0"/>
          <w:color w:val="auto"/>
          <w:kern w:val="22"/>
          <w:bdr w:val="none" w:sz="0" w:space="0" w:color="auto"/>
          <w:lang w:val="en-GB"/>
        </w:rPr>
        <w:footnoteReference w:id="335"/>
      </w:r>
      <w:r w:rsidR="005F3A08" w:rsidRPr="00DF02C5">
        <w:rPr>
          <w:rFonts w:eastAsia="Calibri" w:hAnsi="Times New Roman"/>
          <w:snapToGrid w:val="0"/>
          <w:color w:val="auto"/>
          <w:kern w:val="22"/>
          <w:bdr w:val="none" w:sz="0" w:space="0" w:color="auto"/>
          <w:lang w:val="en-GB"/>
        </w:rPr>
        <w:t xml:space="preserve"> Nevertheless, some countries reported addressing this issue in the existing relevant ABS measures</w:t>
      </w:r>
      <w:r w:rsidR="005F3A08" w:rsidRPr="00DF02C5">
        <w:rPr>
          <w:rStyle w:val="FootnoteReference"/>
          <w:rFonts w:eastAsia="Calibri" w:hAnsi="Times New Roman"/>
          <w:snapToGrid w:val="0"/>
          <w:color w:val="auto"/>
          <w:kern w:val="22"/>
          <w:bdr w:val="none" w:sz="0" w:space="0" w:color="auto"/>
          <w:lang w:val="en-GB"/>
        </w:rPr>
        <w:footnoteReference w:id="336"/>
      </w:r>
      <w:r w:rsidR="005F3A08" w:rsidRPr="00DF02C5">
        <w:rPr>
          <w:rFonts w:eastAsia="Calibri" w:hAnsi="Times New Roman"/>
          <w:snapToGrid w:val="0"/>
          <w:color w:val="auto"/>
          <w:kern w:val="22"/>
          <w:bdr w:val="none" w:sz="0" w:space="0" w:color="auto"/>
          <w:lang w:val="en-GB"/>
        </w:rPr>
        <w:t xml:space="preserve"> or in the draft measures under development</w:t>
      </w:r>
      <w:r w:rsidR="00701EA8">
        <w:rPr>
          <w:rFonts w:eastAsia="Calibri" w:hAnsi="Times New Roman"/>
          <w:snapToGrid w:val="0"/>
          <w:color w:val="auto"/>
          <w:kern w:val="22"/>
          <w:bdr w:val="none" w:sz="0" w:space="0" w:color="auto"/>
          <w:lang w:val="en-GB"/>
        </w:rPr>
        <w:t>.</w:t>
      </w:r>
      <w:r w:rsidR="005F3A08" w:rsidRPr="00DF02C5">
        <w:rPr>
          <w:rStyle w:val="FootnoteReference"/>
          <w:rFonts w:eastAsia="Calibri" w:hAnsi="Times New Roman"/>
          <w:snapToGrid w:val="0"/>
          <w:color w:val="auto"/>
          <w:kern w:val="22"/>
          <w:bdr w:val="none" w:sz="0" w:space="0" w:color="auto"/>
          <w:lang w:val="en-GB"/>
        </w:rPr>
        <w:footnoteReference w:id="337"/>
      </w:r>
      <w:r w:rsidRPr="00DF02C5">
        <w:rPr>
          <w:rFonts w:eastAsia="Calibri" w:hAnsi="Times New Roman"/>
          <w:snapToGrid w:val="0"/>
          <w:color w:val="auto"/>
          <w:kern w:val="22"/>
          <w:bdr w:val="none" w:sz="0" w:space="0" w:color="auto"/>
          <w:lang w:val="en-GB"/>
        </w:rPr>
        <w:t xml:space="preserve"> For example:</w:t>
      </w:r>
    </w:p>
    <w:p w14:paraId="4FF6B652" w14:textId="3D47369E" w:rsidR="005F3A08" w:rsidRPr="00DF02C5" w:rsidRDefault="00317766" w:rsidP="005038A2">
      <w:pPr>
        <w:pStyle w:val="ListParagraph"/>
        <w:numPr>
          <w:ilvl w:val="1"/>
          <w:numId w:val="74"/>
        </w:numPr>
        <w:spacing w:before="120" w:after="120" w:line="228" w:lineRule="auto"/>
        <w:jc w:val="left"/>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The use of traditional knowledge within and between local communities within their traditional context is excluded from t</w:t>
      </w:r>
      <w:r w:rsidR="005F3A08" w:rsidRPr="00DF02C5">
        <w:rPr>
          <w:rFonts w:eastAsia="Calibri" w:hAnsi="Times New Roman" w:cs="Times New Roman"/>
          <w:snapToGrid w:val="0"/>
          <w:color w:val="auto"/>
          <w:kern w:val="22"/>
          <w:bdr w:val="none" w:sz="0" w:space="0" w:color="auto"/>
          <w:lang w:val="en-GB"/>
        </w:rPr>
        <w:t>he scope of the ABS Policy of Bhutan of 2015</w:t>
      </w:r>
      <w:r w:rsidR="00701EA8">
        <w:rPr>
          <w:rFonts w:eastAsia="Calibri" w:hAnsi="Times New Roman" w:cs="Times New Roman"/>
          <w:snapToGrid w:val="0"/>
          <w:color w:val="auto"/>
          <w:kern w:val="22"/>
          <w:bdr w:val="none" w:sz="0" w:space="0" w:color="auto"/>
          <w:lang w:val="en-GB"/>
        </w:rPr>
        <w:t>;</w:t>
      </w:r>
    </w:p>
    <w:p w14:paraId="46BD45D3" w14:textId="6B962718" w:rsidR="005F3A08" w:rsidRPr="00DF02C5" w:rsidRDefault="005570E8" w:rsidP="005038A2">
      <w:pPr>
        <w:pStyle w:val="ListParagraph"/>
        <w:numPr>
          <w:ilvl w:val="1"/>
          <w:numId w:val="74"/>
        </w:numPr>
        <w:spacing w:before="120" w:after="120" w:line="228" w:lineRule="auto"/>
        <w:jc w:val="left"/>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Ethiopia explained that </w:t>
      </w:r>
      <w:r w:rsidR="005F3A08" w:rsidRPr="00DF02C5">
        <w:rPr>
          <w:rFonts w:eastAsia="Calibri" w:hAnsi="Times New Roman" w:cs="Times New Roman"/>
          <w:snapToGrid w:val="0"/>
          <w:color w:val="auto"/>
          <w:kern w:val="22"/>
          <w:bdr w:val="none" w:sz="0" w:space="0" w:color="auto"/>
          <w:lang w:val="en-GB"/>
        </w:rPr>
        <w:t xml:space="preserve">Article 6(2) and 8 of the Proclamation </w:t>
      </w:r>
      <w:r w:rsidRPr="00DF02C5">
        <w:rPr>
          <w:rFonts w:eastAsia="Calibri" w:hAnsi="Times New Roman" w:cs="Times New Roman"/>
          <w:snapToGrid w:val="0"/>
          <w:color w:val="auto"/>
          <w:kern w:val="22"/>
          <w:bdr w:val="none" w:sz="0" w:space="0" w:color="auto"/>
          <w:lang w:val="en-GB"/>
        </w:rPr>
        <w:t xml:space="preserve">No. 482/2006 </w:t>
      </w:r>
      <w:r w:rsidR="005F3A08" w:rsidRPr="00DF02C5">
        <w:rPr>
          <w:rFonts w:eastAsia="Calibri" w:hAnsi="Times New Roman" w:cs="Times New Roman"/>
          <w:snapToGrid w:val="0"/>
          <w:color w:val="auto"/>
          <w:kern w:val="22"/>
          <w:bdr w:val="none" w:sz="0" w:space="0" w:color="auto"/>
          <w:lang w:val="en-GB"/>
        </w:rPr>
        <w:t xml:space="preserve">provides that local communities have an inalienable right to use or exchange among themselves their genetic resources or community knowledge </w:t>
      </w:r>
      <w:proofErr w:type="gramStart"/>
      <w:r w:rsidR="005F3A08" w:rsidRPr="00DF02C5">
        <w:rPr>
          <w:rFonts w:eastAsia="Calibri" w:hAnsi="Times New Roman" w:cs="Times New Roman"/>
          <w:snapToGrid w:val="0"/>
          <w:color w:val="auto"/>
          <w:kern w:val="22"/>
          <w:bdr w:val="none" w:sz="0" w:space="0" w:color="auto"/>
          <w:lang w:val="en-GB"/>
        </w:rPr>
        <w:t>in the course of</w:t>
      </w:r>
      <w:proofErr w:type="gramEnd"/>
      <w:r w:rsidR="005F3A08" w:rsidRPr="00DF02C5">
        <w:rPr>
          <w:rFonts w:eastAsia="Calibri" w:hAnsi="Times New Roman" w:cs="Times New Roman"/>
          <w:snapToGrid w:val="0"/>
          <w:color w:val="auto"/>
          <w:kern w:val="22"/>
          <w:bdr w:val="none" w:sz="0" w:space="0" w:color="auto"/>
          <w:lang w:val="en-GB"/>
        </w:rPr>
        <w:t xml:space="preserve"> sustaining their livelihood systems in accordance with their customary practices or norms, and that no legal restriction shall be placed on the traditional system of use and exchange of their genetic re</w:t>
      </w:r>
      <w:r w:rsidR="00701EA8">
        <w:rPr>
          <w:rFonts w:eastAsia="Calibri" w:hAnsi="Times New Roman" w:cs="Times New Roman"/>
          <w:snapToGrid w:val="0"/>
          <w:color w:val="auto"/>
          <w:kern w:val="22"/>
          <w:bdr w:val="none" w:sz="0" w:space="0" w:color="auto"/>
          <w:lang w:val="en-GB"/>
        </w:rPr>
        <w:t>sources and community knowledge;</w:t>
      </w:r>
    </w:p>
    <w:p w14:paraId="662C87EA" w14:textId="0AF87490" w:rsidR="005F3A08" w:rsidRPr="00DF02C5" w:rsidRDefault="005F3A08" w:rsidP="005038A2">
      <w:pPr>
        <w:pStyle w:val="ListParagraph"/>
        <w:numPr>
          <w:ilvl w:val="1"/>
          <w:numId w:val="74"/>
        </w:numPr>
        <w:spacing w:before="120" w:after="120" w:line="228" w:lineRule="auto"/>
        <w:jc w:val="left"/>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In Finland, according to the Act on the Implementation of the Nagoya Protocol, Section 8, the use of traditional knowledge contained in the database shall not, to more than a minor extent, weaken the opportunities of the Sami people to use their rights as an indigenous people to maintain and develop their culture and to engage i</w:t>
      </w:r>
      <w:r w:rsidR="00701EA8">
        <w:rPr>
          <w:rFonts w:eastAsia="Calibri" w:hAnsi="Times New Roman" w:cs="Times New Roman"/>
          <w:snapToGrid w:val="0"/>
          <w:color w:val="auto"/>
          <w:kern w:val="22"/>
          <w:bdr w:val="none" w:sz="0" w:space="0" w:color="auto"/>
          <w:lang w:val="en-GB"/>
        </w:rPr>
        <w:t>n their traditional livelihoods;</w:t>
      </w:r>
    </w:p>
    <w:p w14:paraId="1AA86D08" w14:textId="177D015C" w:rsidR="00DC068C" w:rsidRPr="00DF02C5" w:rsidRDefault="00DC068C" w:rsidP="005038A2">
      <w:pPr>
        <w:pStyle w:val="ListParagraph"/>
        <w:numPr>
          <w:ilvl w:val="1"/>
          <w:numId w:val="74"/>
        </w:numPr>
        <w:spacing w:before="120" w:after="120" w:line="228" w:lineRule="auto"/>
        <w:jc w:val="left"/>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India provided as an example that in the </w:t>
      </w:r>
      <w:r w:rsidR="005F3A08" w:rsidRPr="00DF02C5">
        <w:rPr>
          <w:rFonts w:eastAsia="Calibri" w:hAnsi="Times New Roman" w:cs="Times New Roman"/>
          <w:snapToGrid w:val="0"/>
          <w:color w:val="auto"/>
          <w:kern w:val="22"/>
          <w:bdr w:val="none" w:sz="0" w:space="0" w:color="auto"/>
          <w:lang w:val="en-GB"/>
        </w:rPr>
        <w:t>Biological Diversity Act 2002 the definition of ‘commercial utilisation’ does not include conventional breeding or traditional practices in use in any agriculture, horticulture, poultry, dairy farming, a</w:t>
      </w:r>
      <w:r w:rsidR="00701EA8">
        <w:rPr>
          <w:rFonts w:eastAsia="Calibri" w:hAnsi="Times New Roman" w:cs="Times New Roman"/>
          <w:snapToGrid w:val="0"/>
          <w:color w:val="auto"/>
          <w:kern w:val="22"/>
          <w:bdr w:val="none" w:sz="0" w:space="0" w:color="auto"/>
          <w:lang w:val="en-GB"/>
        </w:rPr>
        <w:t>nimal husbandry or bee keeping;</w:t>
      </w:r>
    </w:p>
    <w:p w14:paraId="0162C9F5" w14:textId="67C867A7" w:rsidR="00DC068C" w:rsidRPr="00DF02C5" w:rsidRDefault="00DC068C" w:rsidP="005038A2">
      <w:pPr>
        <w:pStyle w:val="ListParagraph"/>
        <w:numPr>
          <w:ilvl w:val="1"/>
          <w:numId w:val="74"/>
        </w:numPr>
        <w:spacing w:before="120" w:after="120" w:line="228" w:lineRule="auto"/>
        <w:jc w:val="left"/>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Lao </w:t>
      </w:r>
      <w:r w:rsidRPr="00DF02C5">
        <w:rPr>
          <w:rFonts w:eastAsia="Calibri" w:hAnsi="Times New Roman" w:cs="Times New Roman"/>
          <w:snapToGrid w:val="0"/>
          <w:color w:val="auto"/>
          <w:kern w:val="22"/>
          <w:bdr w:val="none" w:sz="0" w:space="0" w:color="auto"/>
          <w:lang w:val="en-GB"/>
        </w:rPr>
        <w:t>People's</w:t>
      </w:r>
      <w:r w:rsidRPr="00DF02C5">
        <w:rPr>
          <w:rFonts w:eastAsia="Calibri" w:hAnsi="Times New Roman"/>
          <w:snapToGrid w:val="0"/>
          <w:color w:val="auto"/>
          <w:kern w:val="22"/>
          <w:bdr w:val="none" w:sz="0" w:space="0" w:color="auto"/>
          <w:lang w:val="en-GB"/>
        </w:rPr>
        <w:t xml:space="preserve"> Democratic Republic</w:t>
      </w:r>
      <w:r w:rsidRPr="00DF02C5">
        <w:rPr>
          <w:lang w:val="en-GB"/>
        </w:rPr>
        <w:t xml:space="preserve"> indicated that Lao </w:t>
      </w:r>
      <w:r w:rsidRPr="00DF02C5">
        <w:rPr>
          <w:rFonts w:eastAsia="Calibri" w:hAnsi="Times New Roman"/>
          <w:snapToGrid w:val="0"/>
          <w:color w:val="auto"/>
          <w:kern w:val="22"/>
          <w:bdr w:val="none" w:sz="0" w:space="0" w:color="auto"/>
          <w:lang w:val="en-GB"/>
        </w:rPr>
        <w:t xml:space="preserve">individuals and organizations are exempted of the customary use and exchange of genetic resources and associated traditional knowledge within the country for non-commercial purposes. </w:t>
      </w:r>
      <w:r w:rsidR="005F3A08" w:rsidRPr="00DF02C5">
        <w:rPr>
          <w:rFonts w:eastAsia="Calibri" w:hAnsi="Times New Roman"/>
          <w:snapToGrid w:val="0"/>
          <w:color w:val="auto"/>
          <w:kern w:val="22"/>
          <w:bdr w:val="none" w:sz="0" w:space="0" w:color="auto"/>
          <w:lang w:val="en-GB"/>
        </w:rPr>
        <w:t>Vietnam</w:t>
      </w:r>
      <w:r w:rsidR="00701EA8">
        <w:rPr>
          <w:rFonts w:eastAsia="Calibri" w:hAnsi="Times New Roman"/>
          <w:snapToGrid w:val="0"/>
          <w:color w:val="auto"/>
          <w:kern w:val="22"/>
          <w:bdr w:val="none" w:sz="0" w:space="0" w:color="auto"/>
          <w:lang w:val="en-GB"/>
        </w:rPr>
        <w:t xml:space="preserve"> has a similar provision;</w:t>
      </w:r>
    </w:p>
    <w:p w14:paraId="05FB9817" w14:textId="77777777" w:rsidR="00DC068C" w:rsidRPr="00DF02C5" w:rsidRDefault="005F3A08" w:rsidP="005038A2">
      <w:pPr>
        <w:pStyle w:val="ListParagraph"/>
        <w:numPr>
          <w:ilvl w:val="1"/>
          <w:numId w:val="74"/>
        </w:numPr>
        <w:spacing w:before="120" w:after="120" w:line="228" w:lineRule="auto"/>
        <w:jc w:val="left"/>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China and Bhutan provided information regarding seed law and breeders’ right</w:t>
      </w:r>
      <w:r w:rsidR="005865EC" w:rsidRPr="00DF02C5">
        <w:rPr>
          <w:rFonts w:eastAsia="Calibri" w:hAnsi="Times New Roman"/>
          <w:snapToGrid w:val="0"/>
          <w:color w:val="auto"/>
          <w:kern w:val="22"/>
          <w:bdr w:val="none" w:sz="0" w:space="0" w:color="auto"/>
          <w:lang w:val="en-GB"/>
        </w:rPr>
        <w:t>s</w:t>
      </w:r>
      <w:r w:rsidRPr="00DF02C5">
        <w:rPr>
          <w:rFonts w:eastAsia="Calibri" w:hAnsi="Times New Roman"/>
          <w:snapToGrid w:val="0"/>
          <w:color w:val="auto"/>
          <w:kern w:val="22"/>
          <w:bdr w:val="none" w:sz="0" w:space="0" w:color="auto"/>
          <w:lang w:val="en-GB"/>
        </w:rPr>
        <w:t xml:space="preserve"> which allow for customary use and exchange. </w:t>
      </w:r>
    </w:p>
    <w:p w14:paraId="299095E5" w14:textId="20066CD2" w:rsidR="005F3A08" w:rsidRPr="00DF02C5" w:rsidRDefault="005F3A08"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A number of countries</w:t>
      </w:r>
      <w:r w:rsidRPr="00DF02C5">
        <w:rPr>
          <w:rStyle w:val="FootnoteReference"/>
          <w:rFonts w:eastAsia="Calibri" w:hAnsi="Times New Roman"/>
          <w:snapToGrid w:val="0"/>
          <w:color w:val="auto"/>
          <w:kern w:val="22"/>
          <w:bdr w:val="none" w:sz="0" w:space="0" w:color="auto"/>
          <w:lang w:val="en-GB"/>
        </w:rPr>
        <w:footnoteReference w:id="338"/>
      </w:r>
      <w:r w:rsidRPr="00DF02C5">
        <w:rPr>
          <w:rFonts w:eastAsia="Calibri" w:hAnsi="Times New Roman"/>
          <w:snapToGrid w:val="0"/>
          <w:color w:val="auto"/>
          <w:kern w:val="22"/>
          <w:bdr w:val="none" w:sz="0" w:space="0" w:color="auto"/>
          <w:lang w:val="en-GB"/>
        </w:rPr>
        <w:t xml:space="preserve"> provided information on additional activities or measures taken to promote the customary use and exchange of resources and knowledge.</w:t>
      </w:r>
    </w:p>
    <w:p w14:paraId="1E998967" w14:textId="38EA6CD6" w:rsidR="00DC068C" w:rsidRPr="00DF02C5" w:rsidRDefault="00DC068C" w:rsidP="003B3005">
      <w:pPr>
        <w:pStyle w:val="Para1"/>
        <w:numPr>
          <w:ilvl w:val="1"/>
          <w:numId w:val="92"/>
        </w:numPr>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t>Countries that answered “no”</w:t>
      </w:r>
    </w:p>
    <w:p w14:paraId="4208778F" w14:textId="1AABFFB1" w:rsidR="005F3A08" w:rsidRPr="00DF02C5" w:rsidRDefault="00622D69"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w:t>
      </w:r>
      <w:r w:rsidR="005F3A08" w:rsidRPr="00DF02C5">
        <w:rPr>
          <w:rFonts w:eastAsia="Calibri" w:hAnsi="Times New Roman"/>
          <w:snapToGrid w:val="0"/>
          <w:color w:val="auto"/>
          <w:kern w:val="22"/>
          <w:bdr w:val="none" w:sz="0" w:space="0" w:color="auto"/>
          <w:lang w:val="en-GB"/>
        </w:rPr>
        <w:t>everal countries</w:t>
      </w:r>
      <w:r w:rsidR="005F3A08" w:rsidRPr="00DF02C5">
        <w:rPr>
          <w:rStyle w:val="FootnoteReference"/>
          <w:rFonts w:eastAsia="Calibri" w:hAnsi="Times New Roman"/>
          <w:snapToGrid w:val="0"/>
          <w:color w:val="auto"/>
          <w:kern w:val="22"/>
          <w:bdr w:val="none" w:sz="0" w:space="0" w:color="auto"/>
          <w:lang w:val="en-GB"/>
        </w:rPr>
        <w:footnoteReference w:id="339"/>
      </w:r>
      <w:r w:rsidR="005F3A08" w:rsidRPr="00DF02C5">
        <w:rPr>
          <w:rFonts w:eastAsia="Calibri" w:hAnsi="Times New Roman"/>
          <w:snapToGrid w:val="0"/>
          <w:color w:val="auto"/>
          <w:kern w:val="22"/>
          <w:bdr w:val="none" w:sz="0" w:space="0" w:color="auto"/>
          <w:lang w:val="en-GB"/>
        </w:rPr>
        <w:t xml:space="preserve"> indicated that they were planning to address this issue in the development or review of their ABS measures and </w:t>
      </w:r>
      <w:r w:rsidR="005865EC" w:rsidRPr="00DF02C5">
        <w:rPr>
          <w:rFonts w:eastAsia="Calibri" w:hAnsi="Times New Roman"/>
          <w:snapToGrid w:val="0"/>
          <w:color w:val="auto"/>
          <w:kern w:val="22"/>
          <w:bdr w:val="none" w:sz="0" w:space="0" w:color="auto"/>
          <w:lang w:val="en-GB"/>
        </w:rPr>
        <w:t>an</w:t>
      </w:r>
      <w:r w:rsidR="005F3A08" w:rsidRPr="00DF02C5">
        <w:rPr>
          <w:rFonts w:eastAsia="Calibri" w:hAnsi="Times New Roman"/>
          <w:snapToGrid w:val="0"/>
          <w:color w:val="auto"/>
          <w:kern w:val="22"/>
          <w:bdr w:val="none" w:sz="0" w:space="0" w:color="auto"/>
          <w:lang w:val="en-GB"/>
        </w:rPr>
        <w:t>other two countries</w:t>
      </w:r>
      <w:r w:rsidR="005F3A08" w:rsidRPr="00DF02C5">
        <w:rPr>
          <w:rStyle w:val="FootnoteReference"/>
          <w:rFonts w:eastAsia="Calibri" w:hAnsi="Times New Roman"/>
          <w:snapToGrid w:val="0"/>
          <w:color w:val="auto"/>
          <w:kern w:val="22"/>
          <w:bdr w:val="none" w:sz="0" w:space="0" w:color="auto"/>
          <w:lang w:val="en-GB"/>
        </w:rPr>
        <w:footnoteReference w:id="340"/>
      </w:r>
      <w:r w:rsidR="005F3A08" w:rsidRPr="00DF02C5">
        <w:rPr>
          <w:rFonts w:eastAsia="Calibri" w:hAnsi="Times New Roman"/>
          <w:snapToGrid w:val="0"/>
          <w:color w:val="auto"/>
          <w:kern w:val="22"/>
          <w:bdr w:val="none" w:sz="0" w:space="0" w:color="auto"/>
          <w:lang w:val="en-GB"/>
        </w:rPr>
        <w:t xml:space="preserve"> said that this would</w:t>
      </w:r>
      <w:r w:rsidR="005865EC" w:rsidRPr="00DF02C5">
        <w:rPr>
          <w:rFonts w:eastAsia="Calibri" w:hAnsi="Times New Roman"/>
          <w:snapToGrid w:val="0"/>
          <w:color w:val="auto"/>
          <w:kern w:val="22"/>
          <w:bdr w:val="none" w:sz="0" w:space="0" w:color="auto"/>
          <w:lang w:val="en-GB"/>
        </w:rPr>
        <w:t xml:space="preserve"> depend if the genetic resource</w:t>
      </w:r>
      <w:r w:rsidR="005F3A08" w:rsidRPr="00DF02C5">
        <w:rPr>
          <w:rFonts w:eastAsia="Calibri" w:hAnsi="Times New Roman"/>
          <w:snapToGrid w:val="0"/>
          <w:color w:val="auto"/>
          <w:kern w:val="22"/>
          <w:bdr w:val="none" w:sz="0" w:space="0" w:color="auto"/>
          <w:lang w:val="en-GB"/>
        </w:rPr>
        <w:t xml:space="preserve"> is from </w:t>
      </w:r>
      <w:r w:rsidR="005865EC" w:rsidRPr="00DF02C5">
        <w:rPr>
          <w:rFonts w:eastAsia="Calibri" w:hAnsi="Times New Roman"/>
          <w:snapToGrid w:val="0"/>
          <w:color w:val="auto"/>
          <w:kern w:val="22"/>
          <w:bdr w:val="none" w:sz="0" w:space="0" w:color="auto"/>
          <w:lang w:val="en-GB"/>
        </w:rPr>
        <w:t xml:space="preserve">a </w:t>
      </w:r>
      <w:r w:rsidR="005F3A08" w:rsidRPr="00DF02C5">
        <w:rPr>
          <w:rFonts w:eastAsia="Calibri" w:hAnsi="Times New Roman"/>
          <w:snapToGrid w:val="0"/>
          <w:color w:val="auto"/>
          <w:kern w:val="22"/>
          <w:bdr w:val="none" w:sz="0" w:space="0" w:color="auto"/>
          <w:lang w:val="en-GB"/>
        </w:rPr>
        <w:t>protected species.</w:t>
      </w:r>
    </w:p>
    <w:p w14:paraId="59DF8A48" w14:textId="5E01C929" w:rsidR="005F3A08" w:rsidRPr="00701EA8" w:rsidRDefault="005F3A08" w:rsidP="00701EA8">
      <w:pPr>
        <w:numPr>
          <w:ilvl w:val="0"/>
          <w:numId w:val="72"/>
        </w:numPr>
        <w:spacing w:before="240" w:after="120"/>
        <w:ind w:left="0" w:firstLine="0"/>
        <w:jc w:val="center"/>
        <w:rPr>
          <w:rFonts w:eastAsia="Calibri" w:hAnsi="Times New Roman" w:cs="Times New Roman"/>
          <w:i/>
          <w:snapToGrid w:val="0"/>
          <w:color w:val="auto"/>
          <w:kern w:val="22"/>
          <w:bdr w:val="none" w:sz="0" w:space="0" w:color="auto"/>
          <w:lang w:val="en-GB"/>
        </w:rPr>
      </w:pPr>
      <w:r w:rsidRPr="00701EA8">
        <w:rPr>
          <w:rFonts w:eastAsia="Calibri" w:hAnsi="Times New Roman" w:cs="Times New Roman"/>
          <w:i/>
          <w:snapToGrid w:val="0"/>
          <w:color w:val="auto"/>
          <w:kern w:val="22"/>
          <w:bdr w:val="none" w:sz="0" w:space="0" w:color="auto"/>
          <w:lang w:val="en-GB"/>
        </w:rPr>
        <w:t>Additional information</w:t>
      </w:r>
      <w:r w:rsidR="00622D69" w:rsidRPr="00701EA8">
        <w:rPr>
          <w:rFonts w:eastAsia="Calibri" w:hAnsi="Times New Roman" w:cs="Times New Roman"/>
          <w:i/>
          <w:snapToGrid w:val="0"/>
          <w:color w:val="auto"/>
          <w:kern w:val="22"/>
          <w:bdr w:val="none" w:sz="0" w:space="0" w:color="auto"/>
          <w:lang w:val="en-GB"/>
        </w:rPr>
        <w:t>: summary of the main difficulties and challenges</w:t>
      </w:r>
      <w:r w:rsidRPr="00701EA8">
        <w:rPr>
          <w:rFonts w:eastAsia="Calibri" w:hAnsi="Times New Roman" w:cs="Times New Roman"/>
          <w:i/>
          <w:snapToGrid w:val="0"/>
          <w:color w:val="auto"/>
          <w:kern w:val="22"/>
          <w:bdr w:val="none" w:sz="0" w:space="0" w:color="auto"/>
          <w:lang w:val="en-GB"/>
        </w:rPr>
        <w:t xml:space="preserve"> (question 44)</w:t>
      </w:r>
    </w:p>
    <w:p w14:paraId="1E6F4C7B" w14:textId="77777777" w:rsidR="00276D00" w:rsidRPr="00DF02C5" w:rsidRDefault="00B9550B"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Twenty-eight countries answered this question. </w:t>
      </w:r>
      <w:r w:rsidR="005F3A08" w:rsidRPr="00DF02C5">
        <w:rPr>
          <w:rFonts w:eastAsia="Calibri" w:hAnsi="Times New Roman"/>
          <w:snapToGrid w:val="0"/>
          <w:color w:val="auto"/>
          <w:kern w:val="22"/>
          <w:bdr w:val="none" w:sz="0" w:space="0" w:color="auto"/>
          <w:lang w:val="en-GB"/>
        </w:rPr>
        <w:t>A number of countries indicated that there was a need to raise the awareness</w:t>
      </w:r>
      <w:r w:rsidR="00276D00" w:rsidRPr="00DF02C5">
        <w:rPr>
          <w:rFonts w:eastAsia="Calibri" w:hAnsi="Times New Roman"/>
          <w:snapToGrid w:val="0"/>
          <w:color w:val="auto"/>
          <w:kern w:val="22"/>
          <w:bdr w:val="none" w:sz="0" w:space="0" w:color="auto"/>
          <w:lang w:val="en-GB"/>
        </w:rPr>
        <w:t xml:space="preserve"> </w:t>
      </w:r>
      <w:r w:rsidR="005F3A08" w:rsidRPr="00DF02C5">
        <w:rPr>
          <w:rFonts w:eastAsia="Calibri" w:hAnsi="Times New Roman"/>
          <w:snapToGrid w:val="0"/>
          <w:color w:val="auto"/>
          <w:kern w:val="22"/>
          <w:bdr w:val="none" w:sz="0" w:space="0" w:color="auto"/>
          <w:lang w:val="en-GB"/>
        </w:rPr>
        <w:t xml:space="preserve">and capacity of traditional knowledge holders, and it was noted that the lack of appropriate tools and the limited access to information was an added challenge. </w:t>
      </w:r>
    </w:p>
    <w:p w14:paraId="05E91879" w14:textId="646511DF" w:rsidR="00276D00" w:rsidRPr="00DF02C5" w:rsidRDefault="00276D00"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Some countries reported difficulties in identifying the different groups of indigenous peoples and local communities, unders</w:t>
      </w:r>
      <w:r w:rsidR="00701EA8">
        <w:rPr>
          <w:rFonts w:eastAsia="Calibri" w:hAnsi="Times New Roman"/>
          <w:snapToGrid w:val="0"/>
          <w:color w:val="auto"/>
          <w:kern w:val="22"/>
          <w:bdr w:val="none" w:sz="0" w:space="0" w:color="auto"/>
          <w:lang w:val="en-GB"/>
        </w:rPr>
        <w:t>tanding the way they are organiz</w:t>
      </w:r>
      <w:r w:rsidRPr="00DF02C5">
        <w:rPr>
          <w:rFonts w:eastAsia="Calibri" w:hAnsi="Times New Roman"/>
          <w:snapToGrid w:val="0"/>
          <w:color w:val="auto"/>
          <w:kern w:val="22"/>
          <w:bdr w:val="none" w:sz="0" w:space="0" w:color="auto"/>
          <w:lang w:val="en-GB"/>
        </w:rPr>
        <w:t xml:space="preserve">ed, and being able to link traditional knowledge with the holder/s of such knowledge. </w:t>
      </w:r>
    </w:p>
    <w:p w14:paraId="2705AAC3" w14:textId="7DF0B5CD" w:rsidR="005F3A08" w:rsidRPr="00DF02C5" w:rsidRDefault="00276D00"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lastRenderedPageBreak/>
        <w:t xml:space="preserve">Several countries highlighted the importance of </w:t>
      </w:r>
      <w:r w:rsidR="005F3A08" w:rsidRPr="00DF02C5">
        <w:rPr>
          <w:rFonts w:eastAsia="Calibri" w:hAnsi="Times New Roman"/>
          <w:snapToGrid w:val="0"/>
          <w:color w:val="auto"/>
          <w:kern w:val="22"/>
          <w:bdr w:val="none" w:sz="0" w:space="0" w:color="auto"/>
          <w:lang w:val="en-GB"/>
        </w:rPr>
        <w:t>documenting genetic resources, traditional knowledge or its use</w:t>
      </w:r>
      <w:r w:rsidRPr="00DF02C5">
        <w:rPr>
          <w:rFonts w:eastAsia="Calibri" w:hAnsi="Times New Roman"/>
          <w:snapToGrid w:val="0"/>
          <w:color w:val="auto"/>
          <w:kern w:val="22"/>
          <w:bdr w:val="none" w:sz="0" w:space="0" w:color="auto"/>
          <w:lang w:val="en-GB"/>
        </w:rPr>
        <w:t xml:space="preserve">, in particular in view of </w:t>
      </w:r>
      <w:r w:rsidR="005F3A08" w:rsidRPr="00DF02C5">
        <w:rPr>
          <w:rFonts w:eastAsia="Calibri" w:hAnsi="Times New Roman"/>
          <w:snapToGrid w:val="0"/>
          <w:color w:val="auto"/>
          <w:kern w:val="22"/>
          <w:bdr w:val="none" w:sz="0" w:space="0" w:color="auto"/>
          <w:lang w:val="en-GB"/>
        </w:rPr>
        <w:t xml:space="preserve">the loss of traditional knowledge. </w:t>
      </w:r>
      <w:r w:rsidR="00236DD0" w:rsidRPr="00DF02C5">
        <w:rPr>
          <w:rFonts w:eastAsia="Calibri" w:hAnsi="Times New Roman"/>
          <w:snapToGrid w:val="0"/>
          <w:color w:val="auto"/>
          <w:kern w:val="22"/>
          <w:bdr w:val="none" w:sz="0" w:space="0" w:color="auto"/>
          <w:lang w:val="en-GB"/>
        </w:rPr>
        <w:t>Some countries had difficulties to address</w:t>
      </w:r>
      <w:r w:rsidR="005F3A08" w:rsidRPr="00DF02C5">
        <w:rPr>
          <w:rFonts w:eastAsia="Calibri" w:hAnsi="Times New Roman"/>
          <w:snapToGrid w:val="0"/>
          <w:color w:val="auto"/>
          <w:kern w:val="22"/>
          <w:bdr w:val="none" w:sz="0" w:space="0" w:color="auto"/>
          <w:lang w:val="en-GB"/>
        </w:rPr>
        <w:t xml:space="preserve"> the relationship between traditional knowledge and intellectual property rights. </w:t>
      </w:r>
    </w:p>
    <w:p w14:paraId="6116B200" w14:textId="6790FDF2" w:rsidR="005F3A08" w:rsidRPr="00DF02C5" w:rsidRDefault="005F3A08"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Other challenges identified are the following: (a) the fact that industries have resistance to conclude benefit sharing agreements with traditional knowledge holders; (b) </w:t>
      </w:r>
      <w:r w:rsidR="00133C28" w:rsidRPr="00DF02C5">
        <w:rPr>
          <w:rFonts w:eastAsia="Calibri" w:hAnsi="Times New Roman"/>
          <w:snapToGrid w:val="0"/>
          <w:color w:val="auto"/>
          <w:kern w:val="22"/>
          <w:bdr w:val="none" w:sz="0" w:space="0" w:color="auto"/>
          <w:lang w:val="en-GB"/>
        </w:rPr>
        <w:t xml:space="preserve">making </w:t>
      </w:r>
      <w:r w:rsidRPr="00DF02C5">
        <w:rPr>
          <w:rFonts w:eastAsia="Calibri" w:hAnsi="Times New Roman"/>
          <w:snapToGrid w:val="0"/>
          <w:color w:val="auto"/>
          <w:kern w:val="22"/>
          <w:bdr w:val="none" w:sz="0" w:space="0" w:color="auto"/>
          <w:lang w:val="en-GB"/>
        </w:rPr>
        <w:t>community protocols clear for users</w:t>
      </w:r>
      <w:r w:rsidR="00133C28" w:rsidRPr="00DF02C5">
        <w:rPr>
          <w:rFonts w:eastAsia="Calibri" w:hAnsi="Times New Roman"/>
          <w:snapToGrid w:val="0"/>
          <w:color w:val="auto"/>
          <w:kern w:val="22"/>
          <w:bdr w:val="none" w:sz="0" w:space="0" w:color="auto"/>
          <w:lang w:val="en-GB"/>
        </w:rPr>
        <w:t>;</w:t>
      </w:r>
      <w:r w:rsidRPr="00DF02C5">
        <w:rPr>
          <w:rFonts w:eastAsia="Calibri" w:hAnsi="Times New Roman"/>
          <w:snapToGrid w:val="0"/>
          <w:color w:val="auto"/>
          <w:kern w:val="22"/>
          <w:bdr w:val="none" w:sz="0" w:space="0" w:color="auto"/>
          <w:lang w:val="en-GB"/>
        </w:rPr>
        <w:t xml:space="preserve"> and (c) the need for legal expertise in contracts </w:t>
      </w:r>
      <w:r w:rsidR="00133C28" w:rsidRPr="00DF02C5">
        <w:rPr>
          <w:rFonts w:eastAsia="Calibri" w:hAnsi="Times New Roman"/>
          <w:snapToGrid w:val="0"/>
          <w:color w:val="auto"/>
          <w:kern w:val="22"/>
          <w:bdr w:val="none" w:sz="0" w:space="0" w:color="auto"/>
          <w:lang w:val="en-GB"/>
        </w:rPr>
        <w:t xml:space="preserve">dealing with </w:t>
      </w:r>
      <w:r w:rsidRPr="00DF02C5">
        <w:rPr>
          <w:rFonts w:eastAsia="Calibri" w:hAnsi="Times New Roman"/>
          <w:snapToGrid w:val="0"/>
          <w:color w:val="auto"/>
          <w:kern w:val="22"/>
          <w:bdr w:val="none" w:sz="0" w:space="0" w:color="auto"/>
          <w:lang w:val="en-GB"/>
        </w:rPr>
        <w:t>traditional knowledge.</w:t>
      </w:r>
    </w:p>
    <w:p w14:paraId="3EB79513" w14:textId="77777777" w:rsidR="005F3A08" w:rsidRPr="00DF02C5" w:rsidRDefault="005F3A08" w:rsidP="00701EA8">
      <w:pPr>
        <w:pStyle w:val="Heading2"/>
        <w:numPr>
          <w:ilvl w:val="0"/>
          <w:numId w:val="10"/>
        </w:numPr>
        <w:tabs>
          <w:tab w:val="clear" w:pos="720"/>
        </w:tabs>
        <w:spacing w:before="240"/>
        <w:ind w:left="0" w:firstLine="0"/>
        <w:rPr>
          <w:rFonts w:eastAsia="Calibri"/>
          <w:snapToGrid w:val="0"/>
          <w:bdr w:val="none" w:sz="0" w:space="0" w:color="auto"/>
          <w:lang w:val="en-GB"/>
        </w:rPr>
      </w:pPr>
      <w:bookmarkStart w:id="14" w:name="_Toc511112610"/>
      <w:r w:rsidRPr="00DF02C5">
        <w:rPr>
          <w:rFonts w:eastAsia="Calibri"/>
          <w:snapToGrid w:val="0"/>
          <w:bdr w:val="none" w:sz="0" w:space="0" w:color="auto"/>
          <w:lang w:val="en-GB"/>
        </w:rPr>
        <w:t>Contribution to conservation and sustainable use: Article 9 (question 45 to 47)</w:t>
      </w:r>
      <w:bookmarkEnd w:id="14"/>
    </w:p>
    <w:p w14:paraId="23DEC309" w14:textId="5B5BF9AE" w:rsidR="005F3A08" w:rsidRPr="00701EA8" w:rsidRDefault="00133C28" w:rsidP="00701EA8">
      <w:pPr>
        <w:numPr>
          <w:ilvl w:val="0"/>
          <w:numId w:val="47"/>
        </w:numPr>
        <w:spacing w:before="240" w:after="120"/>
        <w:ind w:left="1440" w:right="720" w:hanging="634"/>
        <w:rPr>
          <w:rFonts w:eastAsia="Calibri" w:hAnsi="Times New Roman" w:cs="Times New Roman"/>
          <w:i/>
          <w:snapToGrid w:val="0"/>
          <w:color w:val="auto"/>
          <w:kern w:val="22"/>
          <w:bdr w:val="none" w:sz="0" w:space="0" w:color="auto"/>
          <w:lang w:val="en-GB"/>
        </w:rPr>
      </w:pPr>
      <w:r w:rsidRPr="00701EA8">
        <w:rPr>
          <w:rFonts w:eastAsia="Calibri" w:hAnsi="Times New Roman"/>
          <w:i/>
          <w:snapToGrid w:val="0"/>
          <w:color w:val="auto"/>
          <w:kern w:val="22"/>
          <w:bdr w:val="none" w:sz="0" w:space="0" w:color="auto"/>
          <w:lang w:val="en-GB"/>
        </w:rPr>
        <w:t xml:space="preserve">Is your country encouraging users and providers to direct benefits arising from the utilization of genetic resources towards the conservation of biological diversity and sustainable use of its components as provided in Article 9? </w:t>
      </w:r>
      <w:r w:rsidR="005F3A08" w:rsidRPr="00701EA8">
        <w:rPr>
          <w:rFonts w:eastAsia="Calibri" w:hAnsi="Times New Roman" w:cs="Times New Roman"/>
          <w:i/>
          <w:snapToGrid w:val="0"/>
          <w:color w:val="auto"/>
          <w:kern w:val="22"/>
          <w:bdr w:val="none" w:sz="0" w:space="0" w:color="auto"/>
          <w:lang w:val="en-GB"/>
        </w:rPr>
        <w:t>(question 45)</w:t>
      </w:r>
    </w:p>
    <w:p w14:paraId="027700FE" w14:textId="238F8E06" w:rsidR="00D354FB" w:rsidRPr="00DF02C5" w:rsidRDefault="00D354FB" w:rsidP="00CB6ACA">
      <w:pPr>
        <w:pStyle w:val="Para1"/>
        <w:numPr>
          <w:ilvl w:val="0"/>
          <w:numId w:val="93"/>
        </w:numPr>
        <w:rPr>
          <w:rFonts w:eastAsia="Calibri" w:hAnsi="Times New Roman"/>
          <w:snapToGrid w:val="0"/>
          <w:color w:val="auto"/>
          <w:kern w:val="22"/>
          <w:bdr w:val="none" w:sz="0" w:space="0" w:color="auto"/>
          <w:lang w:val="en-GB"/>
        </w:rPr>
      </w:pPr>
      <w:proofErr w:type="gramStart"/>
      <w:r w:rsidRPr="00DF02C5">
        <w:rPr>
          <w:rFonts w:hAnsi="Times New Roman"/>
          <w:bdr w:val="none" w:sz="0" w:space="0" w:color="auto"/>
          <w:lang w:val="en-GB"/>
        </w:rPr>
        <w:t>Fifty-five</w:t>
      </w:r>
      <w:proofErr w:type="gramEnd"/>
      <w:r w:rsidRPr="00DF02C5">
        <w:rPr>
          <w:rFonts w:hAnsi="Times New Roman"/>
          <w:bdr w:val="none" w:sz="0" w:space="0" w:color="auto"/>
          <w:lang w:val="en-GB"/>
        </w:rPr>
        <w:t xml:space="preserve"> Parties and four non-Parties responded that they encourage users and providers to direct benefits arising from the utilization of genetic resources towards the conservation of biological diversity and </w:t>
      </w:r>
      <w:r w:rsidRPr="00DF02C5">
        <w:rPr>
          <w:rFonts w:hAnsi="Times New Roman"/>
          <w:color w:val="auto"/>
          <w:bdr w:val="none" w:sz="0" w:space="0" w:color="auto"/>
          <w:lang w:val="en-GB"/>
        </w:rPr>
        <w:t>sus</w:t>
      </w:r>
      <w:r w:rsidR="00133C28" w:rsidRPr="00DF02C5">
        <w:rPr>
          <w:rFonts w:hAnsi="Times New Roman"/>
          <w:color w:val="auto"/>
          <w:bdr w:val="none" w:sz="0" w:space="0" w:color="auto"/>
          <w:lang w:val="en-GB"/>
        </w:rPr>
        <w:t>tainable use of its components, while fourteen Parties and two non-Parties reported that they do not.</w:t>
      </w:r>
    </w:p>
    <w:p w14:paraId="5E2C236E" w14:textId="1C532458" w:rsidR="00133C28" w:rsidRPr="00DF02C5" w:rsidRDefault="00E5256F" w:rsidP="00E5256F">
      <w:pPr>
        <w:pStyle w:val="Caption"/>
        <w:keepNext/>
        <w:keepLines/>
        <w:rPr>
          <w:snapToGrid w:val="0"/>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Pr="00DF02C5">
        <w:rPr>
          <w:noProof/>
          <w:lang w:val="en-GB"/>
        </w:rPr>
        <w:t>42</w:t>
      </w:r>
      <w:r w:rsidRPr="00DF02C5">
        <w:rPr>
          <w:lang w:val="en-GB"/>
        </w:rPr>
        <w:fldChar w:fldCharType="end"/>
      </w:r>
      <w:r w:rsidR="00133C28" w:rsidRPr="00DF02C5">
        <w:rPr>
          <w:snapToGrid w:val="0"/>
          <w:bdr w:val="none" w:sz="0" w:space="0" w:color="auto"/>
          <w:lang w:val="en-GB"/>
        </w:rPr>
        <w:t>: Encourage users and providers to direct benefits towards the conservation of biological diversity and sustainable use of its components (percentage of countries)</w:t>
      </w:r>
    </w:p>
    <w:p w14:paraId="1308FBF8" w14:textId="4084DB78" w:rsidR="00133C28" w:rsidRPr="00DF02C5" w:rsidRDefault="00133C28" w:rsidP="00133C28">
      <w:pPr>
        <w:pStyle w:val="Para1"/>
        <w:jc w:val="center"/>
        <w:rPr>
          <w:rFonts w:hAnsi="Times New Roman"/>
          <w:bdr w:val="none" w:sz="0" w:space="0" w:color="auto"/>
          <w:lang w:val="en-GB"/>
        </w:rPr>
      </w:pPr>
      <w:r w:rsidRPr="00DF02C5">
        <w:rPr>
          <w:noProof/>
        </w:rPr>
        <w:drawing>
          <wp:inline distT="0" distB="0" distL="0" distR="0" wp14:anchorId="43E46C60" wp14:editId="2E6F1AE3">
            <wp:extent cx="3019425" cy="1895475"/>
            <wp:effectExtent l="0" t="0" r="9525" b="9525"/>
            <wp:docPr id="43" name="Chart 43">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BD1F3DA" w14:textId="6C57BC10" w:rsidR="00133C28" w:rsidRPr="00DF02C5" w:rsidRDefault="00133C28" w:rsidP="00133C28">
      <w:pPr>
        <w:pStyle w:val="Para1"/>
        <w:rPr>
          <w:rFonts w:hAnsi="Times New Roman"/>
          <w:i/>
          <w:bdr w:val="none" w:sz="0" w:space="0" w:color="auto"/>
          <w:lang w:val="en-GB"/>
        </w:rPr>
      </w:pPr>
      <w:r w:rsidRPr="00DF02C5">
        <w:rPr>
          <w:rFonts w:hAnsi="Times New Roman"/>
          <w:i/>
          <w:bdr w:val="none" w:sz="0" w:space="0" w:color="auto"/>
          <w:lang w:val="en-GB"/>
        </w:rPr>
        <w:t>(a)</w:t>
      </w:r>
      <w:r w:rsidRPr="00DF02C5">
        <w:rPr>
          <w:rFonts w:hAnsi="Times New Roman"/>
          <w:i/>
          <w:bdr w:val="none" w:sz="0" w:space="0" w:color="auto"/>
          <w:lang w:val="en-GB"/>
        </w:rPr>
        <w:tab/>
        <w:t>Countries that answered “yes”</w:t>
      </w:r>
    </w:p>
    <w:p w14:paraId="2D13F118" w14:textId="5847AA79" w:rsidR="005F3A08" w:rsidRPr="00DF02C5" w:rsidRDefault="00133C28"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w:t>
      </w:r>
      <w:r w:rsidR="005F3A08" w:rsidRPr="00DF02C5">
        <w:rPr>
          <w:rFonts w:eastAsia="Calibri" w:hAnsi="Times New Roman"/>
          <w:snapToGrid w:val="0"/>
          <w:color w:val="auto"/>
          <w:kern w:val="22"/>
          <w:bdr w:val="none" w:sz="0" w:space="0" w:color="auto"/>
          <w:lang w:val="en-GB"/>
        </w:rPr>
        <w:t>ome countries referred to existing relevant ABS measures</w:t>
      </w:r>
      <w:r w:rsidR="005F3A08" w:rsidRPr="00DF02C5">
        <w:rPr>
          <w:rStyle w:val="FootnoteReference"/>
          <w:rFonts w:eastAsia="Calibri" w:hAnsi="Times New Roman"/>
          <w:snapToGrid w:val="0"/>
          <w:color w:val="auto"/>
          <w:kern w:val="22"/>
          <w:bdr w:val="none" w:sz="0" w:space="0" w:color="auto"/>
          <w:lang w:val="en-GB"/>
        </w:rPr>
        <w:footnoteReference w:id="341"/>
      </w:r>
      <w:r w:rsidR="005F3A08" w:rsidRPr="00DF02C5">
        <w:rPr>
          <w:rFonts w:eastAsia="Calibri" w:hAnsi="Times New Roman"/>
          <w:snapToGrid w:val="0"/>
          <w:color w:val="auto"/>
          <w:kern w:val="22"/>
          <w:bdr w:val="none" w:sz="0" w:space="0" w:color="auto"/>
          <w:lang w:val="en-GB"/>
        </w:rPr>
        <w:t xml:space="preserve"> addressing this issue or to draft measures under development or approval</w:t>
      </w:r>
      <w:r w:rsidR="00701EA8">
        <w:rPr>
          <w:rFonts w:eastAsia="Calibri" w:hAnsi="Times New Roman"/>
          <w:snapToGrid w:val="0"/>
          <w:color w:val="auto"/>
          <w:kern w:val="22"/>
          <w:bdr w:val="none" w:sz="0" w:space="0" w:color="auto"/>
          <w:lang w:val="en-GB"/>
        </w:rPr>
        <w:t>.</w:t>
      </w:r>
      <w:r w:rsidR="005F3A08" w:rsidRPr="00DF02C5">
        <w:rPr>
          <w:rStyle w:val="FootnoteReference"/>
          <w:rFonts w:eastAsia="Calibri" w:hAnsi="Times New Roman"/>
          <w:snapToGrid w:val="0"/>
          <w:color w:val="auto"/>
          <w:kern w:val="22"/>
          <w:bdr w:val="none" w:sz="0" w:space="0" w:color="auto"/>
          <w:lang w:val="en-GB"/>
        </w:rPr>
        <w:footnoteReference w:id="342"/>
      </w:r>
      <w:r w:rsidR="005F3A08" w:rsidRPr="00DF02C5">
        <w:rPr>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 xml:space="preserve">Others </w:t>
      </w:r>
      <w:r w:rsidR="005F3A08" w:rsidRPr="00DF02C5">
        <w:rPr>
          <w:rFonts w:eastAsia="Calibri" w:hAnsi="Times New Roman"/>
          <w:snapToGrid w:val="0"/>
          <w:color w:val="auto"/>
          <w:kern w:val="22"/>
          <w:bdr w:val="none" w:sz="0" w:space="0" w:color="auto"/>
          <w:lang w:val="en-GB"/>
        </w:rPr>
        <w:t xml:space="preserve">reported having measures in place </w:t>
      </w:r>
      <w:r w:rsidRPr="00DF02C5">
        <w:rPr>
          <w:rFonts w:eastAsia="Calibri" w:hAnsi="Times New Roman"/>
          <w:snapToGrid w:val="0"/>
          <w:color w:val="auto"/>
          <w:kern w:val="22"/>
          <w:bdr w:val="none" w:sz="0" w:space="0" w:color="auto"/>
          <w:lang w:val="en-GB"/>
        </w:rPr>
        <w:t xml:space="preserve">that direct </w:t>
      </w:r>
      <w:r w:rsidR="005F3A08" w:rsidRPr="00DF02C5">
        <w:rPr>
          <w:rFonts w:eastAsia="Calibri" w:hAnsi="Times New Roman"/>
          <w:snapToGrid w:val="0"/>
          <w:color w:val="auto"/>
          <w:kern w:val="22"/>
          <w:bdr w:val="none" w:sz="0" w:space="0" w:color="auto"/>
          <w:lang w:val="en-GB"/>
        </w:rPr>
        <w:t>resources for conservation and sustainable use of biodiversity</w:t>
      </w:r>
      <w:r w:rsidR="00701EA8">
        <w:rPr>
          <w:rFonts w:eastAsia="Calibri" w:hAnsi="Times New Roman"/>
          <w:snapToGrid w:val="0"/>
          <w:color w:val="auto"/>
          <w:kern w:val="22"/>
          <w:bdr w:val="none" w:sz="0" w:space="0" w:color="auto"/>
          <w:lang w:val="en-GB"/>
        </w:rPr>
        <w:t>,</w:t>
      </w:r>
      <w:r w:rsidR="005F3A08" w:rsidRPr="00DF02C5">
        <w:rPr>
          <w:rStyle w:val="FootnoteReference"/>
          <w:rFonts w:eastAsia="Calibri" w:hAnsi="Times New Roman"/>
          <w:snapToGrid w:val="0"/>
          <w:color w:val="auto"/>
          <w:kern w:val="22"/>
          <w:bdr w:val="none" w:sz="0" w:space="0" w:color="auto"/>
          <w:lang w:val="en-GB"/>
        </w:rPr>
        <w:footnoteReference w:id="343"/>
      </w:r>
      <w:r w:rsidR="005F3A08" w:rsidRPr="00DF02C5">
        <w:rPr>
          <w:rFonts w:eastAsia="Calibri" w:hAnsi="Times New Roman"/>
          <w:snapToGrid w:val="0"/>
          <w:color w:val="auto"/>
          <w:kern w:val="22"/>
          <w:bdr w:val="none" w:sz="0" w:space="0" w:color="auto"/>
          <w:lang w:val="en-GB"/>
        </w:rPr>
        <w:t xml:space="preserve"> and other countries reported addressing or planning to address this issue in MAT.</w:t>
      </w:r>
      <w:r w:rsidR="005F3A08" w:rsidRPr="00DF02C5">
        <w:rPr>
          <w:rStyle w:val="FootnoteReference"/>
          <w:rFonts w:eastAsia="Calibri" w:hAnsi="Times New Roman"/>
          <w:snapToGrid w:val="0"/>
          <w:color w:val="auto"/>
          <w:kern w:val="22"/>
          <w:bdr w:val="none" w:sz="0" w:space="0" w:color="auto"/>
          <w:lang w:val="en-GB"/>
        </w:rPr>
        <w:footnoteReference w:id="344"/>
      </w:r>
    </w:p>
    <w:p w14:paraId="4E353BC4" w14:textId="5005326D" w:rsidR="005F3A08" w:rsidRPr="00DF02C5" w:rsidRDefault="00133C28"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E</w:t>
      </w:r>
      <w:r w:rsidR="005F3A08" w:rsidRPr="00DF02C5">
        <w:rPr>
          <w:rFonts w:eastAsia="Calibri" w:hAnsi="Times New Roman"/>
          <w:snapToGrid w:val="0"/>
          <w:color w:val="auto"/>
          <w:kern w:val="22"/>
          <w:bdr w:val="none" w:sz="0" w:space="0" w:color="auto"/>
          <w:lang w:val="en-GB"/>
        </w:rPr>
        <w:t>xamples of provisions included in measures are the following:</w:t>
      </w:r>
    </w:p>
    <w:p w14:paraId="6B42B36E" w14:textId="2FC0501B" w:rsidR="005F3A08" w:rsidRPr="00DF02C5" w:rsidRDefault="00133C28" w:rsidP="00BC6060">
      <w:pPr>
        <w:pStyle w:val="ListParagraph"/>
        <w:numPr>
          <w:ilvl w:val="1"/>
          <w:numId w:val="48"/>
        </w:numPr>
        <w:spacing w:before="120" w:after="120" w:line="228" w:lineRule="auto"/>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In Benin the interim ABS measure directs </w:t>
      </w:r>
      <w:r w:rsidR="005F3A08" w:rsidRPr="00DF02C5">
        <w:rPr>
          <w:rFonts w:eastAsia="Calibri" w:hAnsi="Times New Roman" w:cs="Times New Roman"/>
          <w:snapToGrid w:val="0"/>
          <w:color w:val="auto"/>
          <w:kern w:val="22"/>
          <w:bdr w:val="none" w:sz="0" w:space="0" w:color="auto"/>
          <w:lang w:val="en-GB"/>
        </w:rPr>
        <w:t>monetary benefits received to an account for further distribution among all actors and to be used primarily for financing projects for the protection of biodive</w:t>
      </w:r>
      <w:r w:rsidRPr="00DF02C5">
        <w:rPr>
          <w:rFonts w:eastAsia="Calibri" w:hAnsi="Times New Roman" w:cs="Times New Roman"/>
          <w:snapToGrid w:val="0"/>
          <w:color w:val="auto"/>
          <w:kern w:val="22"/>
          <w:bdr w:val="none" w:sz="0" w:space="0" w:color="auto"/>
          <w:lang w:val="en-GB"/>
        </w:rPr>
        <w:t>rsit</w:t>
      </w:r>
      <w:r w:rsidR="00701EA8">
        <w:rPr>
          <w:rFonts w:eastAsia="Calibri" w:hAnsi="Times New Roman" w:cs="Times New Roman"/>
          <w:snapToGrid w:val="0"/>
          <w:color w:val="auto"/>
          <w:kern w:val="22"/>
          <w:bdr w:val="none" w:sz="0" w:space="0" w:color="auto"/>
          <w:lang w:val="en-GB"/>
        </w:rPr>
        <w:t>y and traditional knowledge;</w:t>
      </w:r>
    </w:p>
    <w:p w14:paraId="78EA6C02" w14:textId="1FF36CD1" w:rsidR="005F3A08" w:rsidRPr="00DF02C5" w:rsidRDefault="00133C28" w:rsidP="00BC6060">
      <w:pPr>
        <w:pStyle w:val="ListParagraph"/>
        <w:numPr>
          <w:ilvl w:val="1"/>
          <w:numId w:val="48"/>
        </w:numPr>
        <w:spacing w:before="120" w:after="120" w:line="228" w:lineRule="auto"/>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Bhutan’s </w:t>
      </w:r>
      <w:r w:rsidR="005F3A08" w:rsidRPr="00DF02C5">
        <w:rPr>
          <w:rFonts w:eastAsia="Calibri" w:hAnsi="Times New Roman" w:cs="Times New Roman"/>
          <w:snapToGrid w:val="0"/>
          <w:color w:val="auto"/>
          <w:kern w:val="22"/>
          <w:bdr w:val="none" w:sz="0" w:space="0" w:color="auto"/>
          <w:lang w:val="en-GB"/>
        </w:rPr>
        <w:t>ABS Policy</w:t>
      </w:r>
      <w:r w:rsidRPr="00DF02C5">
        <w:rPr>
          <w:rFonts w:eastAsia="Calibri" w:hAnsi="Times New Roman" w:cs="Times New Roman"/>
          <w:snapToGrid w:val="0"/>
          <w:color w:val="auto"/>
          <w:kern w:val="22"/>
          <w:bdr w:val="none" w:sz="0" w:space="0" w:color="auto"/>
          <w:lang w:val="en-GB"/>
        </w:rPr>
        <w:t xml:space="preserve"> </w:t>
      </w:r>
      <w:r w:rsidR="005F3A08" w:rsidRPr="00DF02C5">
        <w:rPr>
          <w:rFonts w:eastAsia="Calibri" w:hAnsi="Times New Roman" w:cs="Times New Roman"/>
          <w:snapToGrid w:val="0"/>
          <w:color w:val="auto"/>
          <w:kern w:val="22"/>
          <w:bdr w:val="none" w:sz="0" w:space="0" w:color="auto"/>
          <w:lang w:val="en-GB"/>
        </w:rPr>
        <w:t xml:space="preserve">encourages that ABS agreements </w:t>
      </w:r>
      <w:r w:rsidR="00A749F9" w:rsidRPr="00DF02C5">
        <w:rPr>
          <w:rFonts w:eastAsia="Calibri" w:hAnsi="Times New Roman" w:cs="Times New Roman"/>
          <w:snapToGrid w:val="0"/>
          <w:color w:val="auto"/>
          <w:kern w:val="22"/>
          <w:bdr w:val="none" w:sz="0" w:space="0" w:color="auto"/>
          <w:lang w:val="en-GB"/>
        </w:rPr>
        <w:t xml:space="preserve">include support for </w:t>
      </w:r>
      <w:r w:rsidR="005F3A08" w:rsidRPr="00DF02C5">
        <w:rPr>
          <w:rFonts w:eastAsia="Calibri" w:hAnsi="Times New Roman" w:cs="Times New Roman"/>
          <w:snapToGrid w:val="0"/>
          <w:color w:val="auto"/>
          <w:kern w:val="22"/>
          <w:bdr w:val="none" w:sz="0" w:space="0" w:color="auto"/>
          <w:lang w:val="en-GB"/>
        </w:rPr>
        <w:t>national capacities, adopt sustainable cultivation and collection me</w:t>
      </w:r>
      <w:r w:rsidR="00A749F9" w:rsidRPr="00DF02C5">
        <w:rPr>
          <w:rFonts w:eastAsia="Calibri" w:hAnsi="Times New Roman" w:cs="Times New Roman"/>
          <w:snapToGrid w:val="0"/>
          <w:color w:val="auto"/>
          <w:kern w:val="22"/>
          <w:bdr w:val="none" w:sz="0" w:space="0" w:color="auto"/>
          <w:lang w:val="en-GB"/>
        </w:rPr>
        <w:t xml:space="preserve">thods and </w:t>
      </w:r>
      <w:r w:rsidR="005F3A08" w:rsidRPr="00DF02C5">
        <w:rPr>
          <w:rFonts w:eastAsia="Calibri" w:hAnsi="Times New Roman" w:cs="Times New Roman"/>
          <w:snapToGrid w:val="0"/>
          <w:color w:val="auto"/>
          <w:kern w:val="22"/>
          <w:bdr w:val="none" w:sz="0" w:space="0" w:color="auto"/>
          <w:lang w:val="en-GB"/>
        </w:rPr>
        <w:t xml:space="preserve">secure premium prices for the </w:t>
      </w:r>
      <w:r w:rsidR="005F3A08" w:rsidRPr="00DF02C5">
        <w:rPr>
          <w:rFonts w:eastAsia="Calibri" w:hAnsi="Times New Roman" w:cs="Times New Roman"/>
          <w:snapToGrid w:val="0"/>
          <w:color w:val="auto"/>
          <w:kern w:val="22"/>
          <w:bdr w:val="none" w:sz="0" w:space="0" w:color="auto"/>
          <w:lang w:val="en-GB"/>
        </w:rPr>
        <w:lastRenderedPageBreak/>
        <w:t>communities</w:t>
      </w:r>
      <w:r w:rsidR="00A749F9" w:rsidRPr="00DF02C5">
        <w:rPr>
          <w:rFonts w:eastAsia="Calibri" w:hAnsi="Times New Roman" w:cs="Times New Roman"/>
          <w:snapToGrid w:val="0"/>
          <w:color w:val="auto"/>
          <w:kern w:val="22"/>
          <w:bdr w:val="none" w:sz="0" w:space="0" w:color="auto"/>
          <w:lang w:val="en-GB"/>
        </w:rPr>
        <w:t>. It also</w:t>
      </w:r>
      <w:r w:rsidR="005F3A08" w:rsidRPr="00DF02C5">
        <w:rPr>
          <w:rFonts w:eastAsia="Calibri" w:hAnsi="Times New Roman" w:cs="Times New Roman"/>
          <w:snapToGrid w:val="0"/>
          <w:color w:val="auto"/>
          <w:kern w:val="22"/>
          <w:bdr w:val="none" w:sz="0" w:space="0" w:color="auto"/>
          <w:lang w:val="en-GB"/>
        </w:rPr>
        <w:t xml:space="preserve"> ensures that part of the monetary benefits</w:t>
      </w:r>
      <w:r w:rsidR="00A749F9" w:rsidRPr="00DF02C5">
        <w:rPr>
          <w:rFonts w:eastAsia="Calibri" w:hAnsi="Times New Roman" w:cs="Times New Roman"/>
          <w:snapToGrid w:val="0"/>
          <w:color w:val="auto"/>
          <w:kern w:val="22"/>
          <w:bdr w:val="none" w:sz="0" w:space="0" w:color="auto"/>
          <w:lang w:val="en-GB"/>
        </w:rPr>
        <w:t xml:space="preserve"> is</w:t>
      </w:r>
      <w:r w:rsidR="005F3A08" w:rsidRPr="00DF02C5">
        <w:rPr>
          <w:rFonts w:eastAsia="Calibri" w:hAnsi="Times New Roman" w:cs="Times New Roman"/>
          <w:snapToGrid w:val="0"/>
          <w:color w:val="auto"/>
          <w:kern w:val="22"/>
          <w:bdr w:val="none" w:sz="0" w:space="0" w:color="auto"/>
          <w:lang w:val="en-GB"/>
        </w:rPr>
        <w:t xml:space="preserve"> chan</w:t>
      </w:r>
      <w:r w:rsidR="00A749F9" w:rsidRPr="00DF02C5">
        <w:rPr>
          <w:rFonts w:eastAsia="Calibri" w:hAnsi="Times New Roman" w:cs="Times New Roman"/>
          <w:snapToGrid w:val="0"/>
          <w:color w:val="auto"/>
          <w:kern w:val="22"/>
          <w:bdr w:val="none" w:sz="0" w:space="0" w:color="auto"/>
          <w:lang w:val="en-GB"/>
        </w:rPr>
        <w:t>nelled into the Bhutan ABS fund</w:t>
      </w:r>
      <w:r w:rsidR="005F3A08" w:rsidRPr="00DF02C5">
        <w:rPr>
          <w:rFonts w:eastAsia="Calibri" w:hAnsi="Times New Roman" w:cs="Times New Roman"/>
          <w:snapToGrid w:val="0"/>
          <w:color w:val="auto"/>
          <w:kern w:val="22"/>
          <w:bdr w:val="none" w:sz="0" w:space="0" w:color="auto"/>
          <w:lang w:val="en-GB"/>
        </w:rPr>
        <w:t xml:space="preserve"> established </w:t>
      </w:r>
      <w:r w:rsidR="00A749F9" w:rsidRPr="00DF02C5">
        <w:rPr>
          <w:rFonts w:eastAsia="Calibri" w:hAnsi="Times New Roman" w:cs="Times New Roman"/>
          <w:snapToGrid w:val="0"/>
          <w:color w:val="auto"/>
          <w:kern w:val="22"/>
          <w:bdr w:val="none" w:sz="0" w:space="0" w:color="auto"/>
          <w:lang w:val="en-GB"/>
        </w:rPr>
        <w:t xml:space="preserve">to support </w:t>
      </w:r>
      <w:r w:rsidR="005F3A08" w:rsidRPr="00DF02C5">
        <w:rPr>
          <w:rFonts w:eastAsia="Calibri" w:hAnsi="Times New Roman" w:cs="Times New Roman"/>
          <w:snapToGrid w:val="0"/>
          <w:color w:val="auto"/>
          <w:kern w:val="22"/>
          <w:bdr w:val="none" w:sz="0" w:space="0" w:color="auto"/>
          <w:lang w:val="en-GB"/>
        </w:rPr>
        <w:t xml:space="preserve">conservation </w:t>
      </w:r>
      <w:r w:rsidR="00701EA8">
        <w:rPr>
          <w:rFonts w:eastAsia="Calibri" w:hAnsi="Times New Roman" w:cs="Times New Roman"/>
          <w:snapToGrid w:val="0"/>
          <w:color w:val="auto"/>
          <w:kern w:val="22"/>
          <w:bdr w:val="none" w:sz="0" w:space="0" w:color="auto"/>
          <w:lang w:val="en-GB"/>
        </w:rPr>
        <w:t>efforts at the grass root level;</w:t>
      </w:r>
    </w:p>
    <w:p w14:paraId="53DF9F20" w14:textId="747ABBEE" w:rsidR="00133C28" w:rsidRPr="00DF02C5" w:rsidRDefault="00133C28" w:rsidP="00BC6060">
      <w:pPr>
        <w:pStyle w:val="ListParagraph"/>
        <w:numPr>
          <w:ilvl w:val="1"/>
          <w:numId w:val="48"/>
        </w:numPr>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The European Union indicated Article 13 of Regulation 511/2014</w:t>
      </w:r>
      <w:r w:rsidR="00A749F9" w:rsidRPr="00DF02C5">
        <w:rPr>
          <w:rFonts w:eastAsia="Calibri" w:hAnsi="Times New Roman" w:cs="Times New Roman"/>
          <w:snapToGrid w:val="0"/>
          <w:color w:val="auto"/>
          <w:kern w:val="22"/>
          <w:bdr w:val="none" w:sz="0" w:space="0" w:color="auto"/>
          <w:lang w:val="en-GB"/>
        </w:rPr>
        <w:t xml:space="preserve"> provides that </w:t>
      </w:r>
      <w:r w:rsidRPr="00DF02C5">
        <w:rPr>
          <w:rFonts w:eastAsia="Calibri" w:hAnsi="Times New Roman" w:cs="Times New Roman"/>
          <w:snapToGrid w:val="0"/>
          <w:color w:val="auto"/>
          <w:kern w:val="22"/>
          <w:bdr w:val="none" w:sz="0" w:space="0" w:color="auto"/>
          <w:lang w:val="en-GB"/>
        </w:rPr>
        <w:t xml:space="preserve">the European Commission and the Member States shall encourage users and providers to direct benefits from the utilisation of genetic resources towards the conservation of biological diversity and the sustainable use of its components in accordance with the provisions of the Convention.  The European Commission </w:t>
      </w:r>
      <w:r w:rsidR="00A749F9" w:rsidRPr="00DF02C5">
        <w:rPr>
          <w:rFonts w:eastAsia="Calibri" w:hAnsi="Times New Roman" w:cs="Times New Roman"/>
          <w:snapToGrid w:val="0"/>
          <w:color w:val="auto"/>
          <w:kern w:val="22"/>
          <w:bdr w:val="none" w:sz="0" w:space="0" w:color="auto"/>
          <w:lang w:val="en-GB"/>
        </w:rPr>
        <w:t xml:space="preserve">indicated </w:t>
      </w:r>
      <w:r w:rsidRPr="00DF02C5">
        <w:rPr>
          <w:rFonts w:eastAsia="Calibri" w:hAnsi="Times New Roman" w:cs="Times New Roman"/>
          <w:snapToGrid w:val="0"/>
          <w:color w:val="auto"/>
          <w:kern w:val="22"/>
          <w:bdr w:val="none" w:sz="0" w:space="0" w:color="auto"/>
          <w:lang w:val="en-GB"/>
        </w:rPr>
        <w:t xml:space="preserve">that, when assessing applications for recognition of best practices, </w:t>
      </w:r>
      <w:r w:rsidR="00681860">
        <w:rPr>
          <w:rFonts w:eastAsia="Calibri" w:hAnsi="Times New Roman" w:cs="Times New Roman"/>
          <w:snapToGrid w:val="0"/>
          <w:color w:val="auto"/>
          <w:kern w:val="22"/>
          <w:bdr w:val="none" w:sz="0" w:space="0" w:color="auto"/>
          <w:lang w:val="en-GB"/>
        </w:rPr>
        <w:t xml:space="preserve">it </w:t>
      </w:r>
      <w:r w:rsidRPr="00DF02C5">
        <w:rPr>
          <w:rFonts w:eastAsia="Calibri" w:hAnsi="Times New Roman" w:cs="Times New Roman"/>
          <w:snapToGrid w:val="0"/>
          <w:color w:val="auto"/>
          <w:kern w:val="22"/>
          <w:bdr w:val="none" w:sz="0" w:space="0" w:color="auto"/>
          <w:lang w:val="en-GB"/>
        </w:rPr>
        <w:t>encourages the applicants to incorporate this aspect in</w:t>
      </w:r>
      <w:r w:rsidR="00701EA8">
        <w:rPr>
          <w:rFonts w:eastAsia="Calibri" w:hAnsi="Times New Roman" w:cs="Times New Roman"/>
          <w:snapToGrid w:val="0"/>
          <w:color w:val="auto"/>
          <w:kern w:val="22"/>
          <w:bdr w:val="none" w:sz="0" w:space="0" w:color="auto"/>
          <w:lang w:val="en-GB"/>
        </w:rPr>
        <w:t>to their proposed best practice;</w:t>
      </w:r>
    </w:p>
    <w:p w14:paraId="543E7BE4" w14:textId="4B786C8D" w:rsidR="005F3A08" w:rsidRPr="00DF02C5" w:rsidRDefault="005F3A08" w:rsidP="00BC6060">
      <w:pPr>
        <w:pStyle w:val="ListParagraph"/>
        <w:numPr>
          <w:ilvl w:val="1"/>
          <w:numId w:val="48"/>
        </w:numPr>
        <w:spacing w:before="120" w:after="120" w:line="228" w:lineRule="auto"/>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The Bioprospecting, Access and Benefit-Sharing (BABS) Regulations of South Africa provide that the</w:t>
      </w:r>
      <w:r w:rsidR="00701EA8">
        <w:rPr>
          <w:rFonts w:eastAsia="Calibri" w:hAnsi="Times New Roman" w:cs="Times New Roman"/>
          <w:snapToGrid w:val="0"/>
          <w:color w:val="auto"/>
          <w:kern w:val="22"/>
          <w:bdr w:val="none" w:sz="0" w:space="0" w:color="auto"/>
          <w:lang w:val="en-GB"/>
        </w:rPr>
        <w:t xml:space="preserve"> monetary benefits may be utiliz</w:t>
      </w:r>
      <w:r w:rsidRPr="00DF02C5">
        <w:rPr>
          <w:rFonts w:eastAsia="Calibri" w:hAnsi="Times New Roman" w:cs="Times New Roman"/>
          <w:snapToGrid w:val="0"/>
          <w:color w:val="auto"/>
          <w:kern w:val="22"/>
          <w:bdr w:val="none" w:sz="0" w:space="0" w:color="auto"/>
          <w:lang w:val="en-GB"/>
        </w:rPr>
        <w:t>ed to support the following:  (i) conservation of the indigenous genetic and biological resources; (ii) support for further research on indigenous genetic and biological resources and traditional knowledge; (iii) enhancement of the scientific knowledge and technical capacity to conserve, use and develop the indigenous genetic and biological resources;</w:t>
      </w:r>
      <w:r w:rsidR="00A749F9" w:rsidRPr="00DF02C5">
        <w:rPr>
          <w:rFonts w:eastAsia="Calibri" w:hAnsi="Times New Roman" w:cs="Times New Roman"/>
          <w:snapToGrid w:val="0"/>
          <w:color w:val="auto"/>
          <w:kern w:val="22"/>
          <w:bdr w:val="none" w:sz="0" w:space="0" w:color="auto"/>
          <w:lang w:val="en-GB"/>
        </w:rPr>
        <w:t xml:space="preserve"> or </w:t>
      </w:r>
      <w:r w:rsidRPr="00DF02C5">
        <w:rPr>
          <w:rFonts w:eastAsia="Calibri" w:hAnsi="Times New Roman" w:cs="Times New Roman"/>
          <w:snapToGrid w:val="0"/>
          <w:color w:val="auto"/>
          <w:kern w:val="22"/>
          <w:bdr w:val="none" w:sz="0" w:space="0" w:color="auto"/>
          <w:lang w:val="en-GB"/>
        </w:rPr>
        <w:t>(iv) any other activity to promote conservation, sustainable use and development of indigenous biological resources for the benefit of South Africa</w:t>
      </w:r>
      <w:r w:rsidR="00A749F9" w:rsidRPr="00DF02C5">
        <w:rPr>
          <w:rFonts w:eastAsia="Calibri" w:hAnsi="Times New Roman" w:cs="Times New Roman"/>
          <w:snapToGrid w:val="0"/>
          <w:color w:val="auto"/>
          <w:kern w:val="22"/>
          <w:bdr w:val="none" w:sz="0" w:space="0" w:color="auto"/>
          <w:lang w:val="en-GB"/>
        </w:rPr>
        <w:t xml:space="preserve"> </w:t>
      </w:r>
      <w:r w:rsidRPr="00DF02C5">
        <w:rPr>
          <w:rFonts w:eastAsia="Calibri" w:hAnsi="Times New Roman" w:cs="Times New Roman"/>
          <w:snapToGrid w:val="0"/>
          <w:color w:val="auto"/>
          <w:kern w:val="22"/>
          <w:bdr w:val="none" w:sz="0" w:space="0" w:color="auto"/>
          <w:lang w:val="en-GB"/>
        </w:rPr>
        <w:t>or improve livelihoods of the communities and enhancement of technical capacity of the commu</w:t>
      </w:r>
      <w:r w:rsidR="00701EA8">
        <w:rPr>
          <w:rFonts w:eastAsia="Calibri" w:hAnsi="Times New Roman" w:cs="Times New Roman"/>
          <w:snapToGrid w:val="0"/>
          <w:color w:val="auto"/>
          <w:kern w:val="22"/>
          <w:bdr w:val="none" w:sz="0" w:space="0" w:color="auto"/>
          <w:lang w:val="en-GB"/>
        </w:rPr>
        <w:t>nities or individuals involved;</w:t>
      </w:r>
    </w:p>
    <w:p w14:paraId="7C23BAB5" w14:textId="576AA3EC" w:rsidR="005F3A08" w:rsidRPr="00DF02C5" w:rsidRDefault="00A749F9" w:rsidP="00BC6060">
      <w:pPr>
        <w:pStyle w:val="ListParagraph"/>
        <w:numPr>
          <w:ilvl w:val="1"/>
          <w:numId w:val="48"/>
        </w:numPr>
        <w:spacing w:before="120" w:after="120" w:line="228" w:lineRule="auto"/>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V</w:t>
      </w:r>
      <w:r w:rsidR="005F3A08" w:rsidRPr="00DF02C5">
        <w:rPr>
          <w:rFonts w:eastAsia="Calibri" w:hAnsi="Times New Roman" w:cs="Times New Roman"/>
          <w:snapToGrid w:val="0"/>
          <w:color w:val="auto"/>
          <w:kern w:val="22"/>
          <w:bdr w:val="none" w:sz="0" w:space="0" w:color="auto"/>
          <w:lang w:val="en-GB"/>
        </w:rPr>
        <w:t xml:space="preserve">iet Nam’s Decree </w:t>
      </w:r>
      <w:r w:rsidRPr="00DF02C5">
        <w:rPr>
          <w:rFonts w:eastAsia="Calibri" w:hAnsi="Times New Roman" w:cs="Times New Roman"/>
          <w:snapToGrid w:val="0"/>
          <w:color w:val="auto"/>
          <w:kern w:val="22"/>
          <w:bdr w:val="none" w:sz="0" w:space="0" w:color="auto"/>
          <w:lang w:val="en-GB"/>
        </w:rPr>
        <w:t xml:space="preserve">provides </w:t>
      </w:r>
      <w:r w:rsidR="005F3A08" w:rsidRPr="00DF02C5">
        <w:rPr>
          <w:rFonts w:eastAsia="Calibri" w:hAnsi="Times New Roman" w:cs="Times New Roman"/>
          <w:snapToGrid w:val="0"/>
          <w:color w:val="auto"/>
          <w:kern w:val="22"/>
          <w:bdr w:val="none" w:sz="0" w:space="0" w:color="auto"/>
          <w:lang w:val="en-GB"/>
        </w:rPr>
        <w:t>that 50% to 70% of monetary benefits from the use of genetic resources shall be remitted to the State budget for use in conservation and sustainable use of biodiversity.</w:t>
      </w:r>
    </w:p>
    <w:p w14:paraId="01BEACA4" w14:textId="0D77DFED" w:rsidR="005F3A08" w:rsidRPr="00DF02C5" w:rsidRDefault="005F3A08"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Some countries</w:t>
      </w:r>
      <w:r w:rsidRPr="00DF02C5">
        <w:rPr>
          <w:rStyle w:val="FootnoteReference"/>
          <w:rFonts w:eastAsia="Calibri" w:hAnsi="Times New Roman"/>
          <w:snapToGrid w:val="0"/>
          <w:color w:val="auto"/>
          <w:kern w:val="22"/>
          <w:bdr w:val="none" w:sz="0" w:space="0" w:color="auto"/>
          <w:lang w:val="en-GB"/>
        </w:rPr>
        <w:footnoteReference w:id="345"/>
      </w:r>
      <w:r w:rsidRPr="00DF02C5">
        <w:rPr>
          <w:rFonts w:eastAsia="Calibri" w:hAnsi="Times New Roman"/>
          <w:snapToGrid w:val="0"/>
          <w:color w:val="auto"/>
          <w:kern w:val="22"/>
          <w:bdr w:val="none" w:sz="0" w:space="0" w:color="auto"/>
          <w:lang w:val="en-GB"/>
        </w:rPr>
        <w:t xml:space="preserve"> specified </w:t>
      </w:r>
      <w:r w:rsidR="00A749F9" w:rsidRPr="00DF02C5">
        <w:rPr>
          <w:rFonts w:eastAsia="Calibri" w:hAnsi="Times New Roman"/>
          <w:snapToGrid w:val="0"/>
          <w:color w:val="auto"/>
          <w:kern w:val="22"/>
          <w:bdr w:val="none" w:sz="0" w:space="0" w:color="auto"/>
          <w:lang w:val="en-GB"/>
        </w:rPr>
        <w:t xml:space="preserve">that the CNA has the responsibility </w:t>
      </w:r>
      <w:r w:rsidRPr="00DF02C5">
        <w:rPr>
          <w:rFonts w:eastAsia="Calibri" w:hAnsi="Times New Roman"/>
          <w:snapToGrid w:val="0"/>
          <w:color w:val="auto"/>
          <w:kern w:val="22"/>
          <w:bdr w:val="none" w:sz="0" w:space="0" w:color="auto"/>
          <w:lang w:val="en-GB"/>
        </w:rPr>
        <w:t xml:space="preserve">to encourage users and providers to direct benefits towards conservation and sustainable use of biodiversity, and </w:t>
      </w:r>
      <w:r w:rsidR="000A1A42" w:rsidRPr="00DF02C5">
        <w:rPr>
          <w:rFonts w:eastAsia="Calibri" w:hAnsi="Times New Roman"/>
          <w:snapToGrid w:val="0"/>
          <w:color w:val="auto"/>
          <w:kern w:val="22"/>
          <w:bdr w:val="none" w:sz="0" w:space="0" w:color="auto"/>
          <w:lang w:val="en-GB"/>
        </w:rPr>
        <w:t>several countries</w:t>
      </w:r>
      <w:r w:rsidRPr="00DF02C5">
        <w:rPr>
          <w:rStyle w:val="FootnoteReference"/>
          <w:rFonts w:eastAsia="Calibri" w:hAnsi="Times New Roman"/>
          <w:snapToGrid w:val="0"/>
          <w:color w:val="auto"/>
          <w:kern w:val="22"/>
          <w:bdr w:val="none" w:sz="0" w:space="0" w:color="auto"/>
          <w:lang w:val="en-GB"/>
        </w:rPr>
        <w:footnoteReference w:id="346"/>
      </w:r>
      <w:r w:rsidRPr="00DF02C5">
        <w:rPr>
          <w:rFonts w:eastAsia="Calibri" w:hAnsi="Times New Roman"/>
          <w:snapToGrid w:val="0"/>
          <w:color w:val="auto"/>
          <w:kern w:val="22"/>
          <w:bdr w:val="none" w:sz="0" w:space="0" w:color="auto"/>
          <w:lang w:val="en-GB"/>
        </w:rPr>
        <w:t xml:space="preserve"> reported doing so through awareness-raising activities. </w:t>
      </w:r>
    </w:p>
    <w:p w14:paraId="7733C900" w14:textId="480CAFED" w:rsidR="005F3A08" w:rsidRPr="00DF02C5" w:rsidRDefault="000A1A42"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India</w:t>
      </w:r>
      <w:r w:rsidR="005F3A08" w:rsidRPr="00DF02C5">
        <w:rPr>
          <w:rFonts w:eastAsia="Calibri" w:hAnsi="Times New Roman"/>
          <w:snapToGrid w:val="0"/>
          <w:color w:val="auto"/>
          <w:kern w:val="22"/>
          <w:bdr w:val="none" w:sz="0" w:space="0" w:color="auto"/>
          <w:lang w:val="en-GB"/>
        </w:rPr>
        <w:t xml:space="preserve"> provided two </w:t>
      </w:r>
      <w:r w:rsidR="00A749F9" w:rsidRPr="00DF02C5">
        <w:rPr>
          <w:rFonts w:eastAsia="Calibri" w:hAnsi="Times New Roman"/>
          <w:snapToGrid w:val="0"/>
          <w:color w:val="auto"/>
          <w:kern w:val="22"/>
          <w:bdr w:val="none" w:sz="0" w:space="0" w:color="auto"/>
          <w:lang w:val="en-GB"/>
        </w:rPr>
        <w:t xml:space="preserve">specific </w:t>
      </w:r>
      <w:r w:rsidR="005F3A08" w:rsidRPr="00DF02C5">
        <w:rPr>
          <w:rFonts w:eastAsia="Calibri" w:hAnsi="Times New Roman"/>
          <w:snapToGrid w:val="0"/>
          <w:color w:val="auto"/>
          <w:kern w:val="22"/>
          <w:bdr w:val="none" w:sz="0" w:space="0" w:color="auto"/>
          <w:lang w:val="en-GB"/>
        </w:rPr>
        <w:t>examples</w:t>
      </w:r>
      <w:r w:rsidR="00A749F9" w:rsidRPr="00DF02C5">
        <w:rPr>
          <w:rFonts w:eastAsia="Calibri" w:hAnsi="Times New Roman"/>
          <w:snapToGrid w:val="0"/>
          <w:color w:val="auto"/>
          <w:kern w:val="22"/>
          <w:bdr w:val="none" w:sz="0" w:space="0" w:color="auto"/>
          <w:lang w:val="en-GB"/>
        </w:rPr>
        <w:t xml:space="preserve"> on directing benefits obtained from access to</w:t>
      </w:r>
      <w:r w:rsidR="005F3A08" w:rsidRPr="00DF02C5">
        <w:rPr>
          <w:rFonts w:eastAsia="Calibri" w:hAnsi="Times New Roman"/>
          <w:snapToGrid w:val="0"/>
          <w:color w:val="auto"/>
          <w:kern w:val="22"/>
          <w:bdr w:val="none" w:sz="0" w:space="0" w:color="auto"/>
          <w:lang w:val="en-GB"/>
        </w:rPr>
        <w:t xml:space="preserve"> red sanders (Pterocarpus santalinus) for c</w:t>
      </w:r>
      <w:r w:rsidR="00B25AD7" w:rsidRPr="00DF02C5">
        <w:rPr>
          <w:rFonts w:eastAsia="Calibri" w:hAnsi="Times New Roman"/>
          <w:snapToGrid w:val="0"/>
          <w:color w:val="auto"/>
          <w:kern w:val="22"/>
          <w:bdr w:val="none" w:sz="0" w:space="0" w:color="auto"/>
          <w:lang w:val="en-GB"/>
        </w:rPr>
        <w:t xml:space="preserve">onservation and sustainable use of red sanders, as well as </w:t>
      </w:r>
      <w:r w:rsidR="005F3A08" w:rsidRPr="00DF02C5">
        <w:rPr>
          <w:rFonts w:eastAsia="Calibri" w:hAnsi="Times New Roman"/>
          <w:snapToGrid w:val="0"/>
          <w:color w:val="auto"/>
          <w:kern w:val="22"/>
          <w:bdr w:val="none" w:sz="0" w:space="0" w:color="auto"/>
          <w:lang w:val="en-GB"/>
        </w:rPr>
        <w:t>for biodiversity conservation of bamboo, broom grass, cotton, wild cardamom, and many other commercially significant crops.</w:t>
      </w:r>
      <w:r w:rsidR="00B25AD7" w:rsidRPr="00DF02C5">
        <w:rPr>
          <w:rFonts w:eastAsia="Calibri" w:hAnsi="Times New Roman"/>
          <w:snapToGrid w:val="0"/>
          <w:color w:val="auto"/>
          <w:kern w:val="22"/>
          <w:bdr w:val="none" w:sz="0" w:space="0" w:color="auto"/>
          <w:lang w:val="en-GB"/>
        </w:rPr>
        <w:t xml:space="preserve"> </w:t>
      </w:r>
    </w:p>
    <w:p w14:paraId="2BCCC0F0" w14:textId="049851E3" w:rsidR="00B25AD7" w:rsidRPr="00DF02C5" w:rsidRDefault="003B3005" w:rsidP="003B3005">
      <w:pPr>
        <w:pStyle w:val="Para1"/>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t>(b)</w:t>
      </w:r>
      <w:r w:rsidRPr="00DF02C5">
        <w:rPr>
          <w:rFonts w:eastAsia="Calibri" w:hAnsi="Times New Roman"/>
          <w:i/>
          <w:snapToGrid w:val="0"/>
          <w:color w:val="auto"/>
          <w:kern w:val="22"/>
          <w:bdr w:val="none" w:sz="0" w:space="0" w:color="auto"/>
          <w:lang w:val="en-GB"/>
        </w:rPr>
        <w:tab/>
      </w:r>
      <w:r w:rsidR="00B25AD7" w:rsidRPr="00DF02C5">
        <w:rPr>
          <w:rFonts w:eastAsia="Calibri" w:hAnsi="Times New Roman"/>
          <w:i/>
          <w:snapToGrid w:val="0"/>
          <w:color w:val="auto"/>
          <w:kern w:val="22"/>
          <w:bdr w:val="none" w:sz="0" w:space="0" w:color="auto"/>
          <w:lang w:val="en-GB"/>
        </w:rPr>
        <w:t>Countries that answered “no”</w:t>
      </w:r>
    </w:p>
    <w:p w14:paraId="24938BCE" w14:textId="654A0E27" w:rsidR="005F3A08" w:rsidRPr="00DF02C5" w:rsidRDefault="005F3A08" w:rsidP="00CB6ACA">
      <w:pPr>
        <w:pStyle w:val="Para1"/>
        <w:numPr>
          <w:ilvl w:val="0"/>
          <w:numId w:val="93"/>
        </w:numPr>
        <w:rPr>
          <w:rFonts w:eastAsia="Times New Roman" w:hAnsi="Times New Roman"/>
          <w:snapToGrid w:val="0"/>
          <w:color w:val="auto"/>
          <w:szCs w:val="18"/>
          <w:bdr w:val="none" w:sz="0" w:space="0" w:color="auto"/>
          <w:lang w:val="en-GB"/>
        </w:rPr>
      </w:pPr>
      <w:r w:rsidRPr="00DF02C5">
        <w:rPr>
          <w:rFonts w:eastAsia="Times New Roman" w:hAnsi="Times New Roman"/>
          <w:snapToGrid w:val="0"/>
          <w:color w:val="auto"/>
          <w:szCs w:val="18"/>
          <w:bdr w:val="none" w:sz="0" w:space="0" w:color="auto"/>
          <w:lang w:val="en-GB"/>
        </w:rPr>
        <w:t>Many countries</w:t>
      </w:r>
      <w:r w:rsidRPr="00DF02C5">
        <w:rPr>
          <w:rStyle w:val="FootnoteReference"/>
          <w:rFonts w:eastAsia="Times New Roman" w:hAnsi="Times New Roman"/>
          <w:snapToGrid w:val="0"/>
          <w:color w:val="auto"/>
          <w:szCs w:val="18"/>
          <w:bdr w:val="none" w:sz="0" w:space="0" w:color="auto"/>
          <w:lang w:val="en-GB"/>
        </w:rPr>
        <w:footnoteReference w:id="347"/>
      </w:r>
      <w:r w:rsidRPr="00DF02C5">
        <w:rPr>
          <w:rFonts w:eastAsia="Times New Roman" w:hAnsi="Times New Roman"/>
          <w:snapToGrid w:val="0"/>
          <w:color w:val="auto"/>
          <w:szCs w:val="18"/>
          <w:bdr w:val="none" w:sz="0" w:space="0" w:color="auto"/>
          <w:lang w:val="en-GB"/>
        </w:rPr>
        <w:t xml:space="preserve"> that provided further information stated that they were planning to address this issue. Three countries</w:t>
      </w:r>
      <w:r w:rsidRPr="00DF02C5">
        <w:rPr>
          <w:rStyle w:val="FootnoteReference"/>
          <w:rFonts w:eastAsia="Times New Roman" w:hAnsi="Times New Roman"/>
          <w:snapToGrid w:val="0"/>
          <w:color w:val="auto"/>
          <w:szCs w:val="18"/>
          <w:bdr w:val="none" w:sz="0" w:space="0" w:color="auto"/>
          <w:lang w:val="en-GB"/>
        </w:rPr>
        <w:footnoteReference w:id="348"/>
      </w:r>
      <w:r w:rsidRPr="00DF02C5">
        <w:rPr>
          <w:rFonts w:eastAsia="Times New Roman" w:hAnsi="Times New Roman"/>
          <w:snapToGrid w:val="0"/>
          <w:color w:val="auto"/>
          <w:szCs w:val="18"/>
          <w:bdr w:val="none" w:sz="0" w:space="0" w:color="auto"/>
          <w:lang w:val="en-GB"/>
        </w:rPr>
        <w:t xml:space="preserve"> explained that they have not yet done so due to the lack of ABS measures.  </w:t>
      </w:r>
    </w:p>
    <w:p w14:paraId="4B672DB6" w14:textId="46C68F38" w:rsidR="005F3A08" w:rsidRPr="00701EA8" w:rsidRDefault="00B25AD7" w:rsidP="00701EA8">
      <w:pPr>
        <w:numPr>
          <w:ilvl w:val="0"/>
          <w:numId w:val="47"/>
        </w:numPr>
        <w:spacing w:before="120" w:after="120" w:line="228" w:lineRule="auto"/>
        <w:ind w:left="1260" w:right="990" w:hanging="720"/>
        <w:rPr>
          <w:rFonts w:eastAsia="Calibri" w:hAnsi="Times New Roman" w:cs="Times New Roman"/>
          <w:i/>
          <w:snapToGrid w:val="0"/>
          <w:color w:val="auto"/>
          <w:kern w:val="22"/>
          <w:bdr w:val="none" w:sz="0" w:space="0" w:color="auto"/>
          <w:lang w:val="en-GB"/>
        </w:rPr>
      </w:pPr>
      <w:r w:rsidRPr="00701EA8">
        <w:rPr>
          <w:rFonts w:eastAsia="Times New Roman" w:hAnsi="Times New Roman"/>
          <w:i/>
          <w:snapToGrid w:val="0"/>
          <w:color w:val="auto"/>
          <w:szCs w:val="18"/>
          <w:bdr w:val="none" w:sz="0" w:space="0" w:color="auto"/>
          <w:lang w:val="en-GB"/>
        </w:rPr>
        <w:t>Indicate how the implementation of the Nagoya Protocol has contributed to conservation and sustainable use of biodiversity in their country</w:t>
      </w:r>
      <w:r w:rsidRPr="00701EA8">
        <w:rPr>
          <w:rFonts w:eastAsia="Calibri" w:hAnsi="Times New Roman" w:cs="Times New Roman"/>
          <w:i/>
          <w:snapToGrid w:val="0"/>
          <w:color w:val="auto"/>
          <w:kern w:val="22"/>
          <w:bdr w:val="none" w:sz="0" w:space="0" w:color="auto"/>
          <w:lang w:val="en-GB"/>
        </w:rPr>
        <w:t xml:space="preserve"> </w:t>
      </w:r>
      <w:r w:rsidR="005F3A08" w:rsidRPr="00701EA8">
        <w:rPr>
          <w:rFonts w:eastAsia="Calibri" w:hAnsi="Times New Roman" w:cs="Times New Roman"/>
          <w:i/>
          <w:snapToGrid w:val="0"/>
          <w:color w:val="auto"/>
          <w:kern w:val="22"/>
          <w:bdr w:val="none" w:sz="0" w:space="0" w:color="auto"/>
          <w:lang w:val="en-GB"/>
        </w:rPr>
        <w:t>(question 46)</w:t>
      </w:r>
    </w:p>
    <w:p w14:paraId="5E77F93F" w14:textId="2BA881BB" w:rsidR="005F3A08" w:rsidRPr="00DF02C5" w:rsidRDefault="00B9550B" w:rsidP="00CB6ACA">
      <w:pPr>
        <w:pStyle w:val="Para1"/>
        <w:numPr>
          <w:ilvl w:val="0"/>
          <w:numId w:val="93"/>
        </w:numPr>
        <w:rPr>
          <w:rFonts w:eastAsia="Times New Roman" w:hAnsi="Times New Roman"/>
          <w:snapToGrid w:val="0"/>
          <w:color w:val="auto"/>
          <w:szCs w:val="18"/>
          <w:bdr w:val="none" w:sz="0" w:space="0" w:color="auto"/>
          <w:lang w:val="en-GB"/>
        </w:rPr>
      </w:pPr>
      <w:r w:rsidRPr="00DF02C5">
        <w:rPr>
          <w:rFonts w:eastAsia="Times New Roman" w:hAnsi="Times New Roman"/>
          <w:snapToGrid w:val="0"/>
          <w:color w:val="auto"/>
          <w:szCs w:val="18"/>
          <w:bdr w:val="none" w:sz="0" w:space="0" w:color="auto"/>
          <w:lang w:val="en-GB"/>
        </w:rPr>
        <w:t>Sixty-two countries answered this question</w:t>
      </w:r>
      <w:r w:rsidR="00B25AD7" w:rsidRPr="00DF02C5">
        <w:rPr>
          <w:rFonts w:eastAsia="Times New Roman" w:hAnsi="Times New Roman"/>
          <w:snapToGrid w:val="0"/>
          <w:color w:val="auto"/>
          <w:szCs w:val="18"/>
          <w:bdr w:val="none" w:sz="0" w:space="0" w:color="auto"/>
          <w:lang w:val="en-GB"/>
        </w:rPr>
        <w:t>. M</w:t>
      </w:r>
      <w:r w:rsidR="005F3A08" w:rsidRPr="00DF02C5">
        <w:rPr>
          <w:rFonts w:eastAsia="Times New Roman" w:hAnsi="Times New Roman"/>
          <w:snapToGrid w:val="0"/>
          <w:color w:val="auto"/>
          <w:szCs w:val="18"/>
          <w:bdr w:val="none" w:sz="0" w:space="0" w:color="auto"/>
          <w:lang w:val="en-GB"/>
        </w:rPr>
        <w:t>any</w:t>
      </w:r>
      <w:r w:rsidR="005F3A08" w:rsidRPr="00DF02C5">
        <w:rPr>
          <w:rStyle w:val="FootnoteReference"/>
          <w:rFonts w:eastAsia="Times New Roman" w:hAnsi="Times New Roman"/>
          <w:snapToGrid w:val="0"/>
          <w:color w:val="auto"/>
          <w:szCs w:val="18"/>
          <w:bdr w:val="none" w:sz="0" w:space="0" w:color="auto"/>
          <w:lang w:val="en-GB"/>
        </w:rPr>
        <w:footnoteReference w:id="349"/>
      </w:r>
      <w:r w:rsidR="005F3A08" w:rsidRPr="00DF02C5">
        <w:rPr>
          <w:rFonts w:eastAsia="Times New Roman" w:hAnsi="Times New Roman"/>
          <w:snapToGrid w:val="0"/>
          <w:color w:val="auto"/>
          <w:szCs w:val="18"/>
          <w:bdr w:val="none" w:sz="0" w:space="0" w:color="auto"/>
          <w:lang w:val="en-GB"/>
        </w:rPr>
        <w:t xml:space="preserve"> considered that it was premature to answer this question as implementation of the Nagoya Protocol was at an early stage. </w:t>
      </w:r>
    </w:p>
    <w:p w14:paraId="3BA1CF03" w14:textId="6A8E00E8" w:rsidR="005F3A08" w:rsidRPr="00DF02C5" w:rsidRDefault="005F3A08" w:rsidP="00CB6ACA">
      <w:pPr>
        <w:pStyle w:val="Para1"/>
        <w:numPr>
          <w:ilvl w:val="0"/>
          <w:numId w:val="93"/>
        </w:numPr>
        <w:rPr>
          <w:rFonts w:eastAsia="Times New Roman" w:hAnsi="Times New Roman"/>
          <w:snapToGrid w:val="0"/>
          <w:color w:val="auto"/>
          <w:szCs w:val="18"/>
          <w:bdr w:val="none" w:sz="0" w:space="0" w:color="auto"/>
          <w:lang w:val="en-GB"/>
        </w:rPr>
      </w:pPr>
      <w:r w:rsidRPr="00DF02C5">
        <w:rPr>
          <w:rFonts w:eastAsia="Times New Roman" w:hAnsi="Times New Roman"/>
          <w:snapToGrid w:val="0"/>
          <w:color w:val="auto"/>
          <w:szCs w:val="18"/>
          <w:bdr w:val="none" w:sz="0" w:space="0" w:color="auto"/>
          <w:lang w:val="en-GB"/>
        </w:rPr>
        <w:t>The most common benefit reported is the fact that there is more awareness of the value of conservation and sustainable use of biodiversity</w:t>
      </w:r>
      <w:r w:rsidRPr="00DF02C5">
        <w:rPr>
          <w:rStyle w:val="FootnoteReference"/>
          <w:rFonts w:eastAsia="Times New Roman" w:hAnsi="Times New Roman"/>
          <w:snapToGrid w:val="0"/>
          <w:color w:val="auto"/>
          <w:szCs w:val="18"/>
          <w:bdr w:val="none" w:sz="0" w:space="0" w:color="auto"/>
          <w:lang w:val="en-GB"/>
        </w:rPr>
        <w:footnoteReference w:id="350"/>
      </w:r>
      <w:r w:rsidRPr="00DF02C5">
        <w:rPr>
          <w:rFonts w:eastAsia="Times New Roman" w:hAnsi="Times New Roman"/>
          <w:snapToGrid w:val="0"/>
          <w:color w:val="auto"/>
          <w:szCs w:val="18"/>
          <w:bdr w:val="none" w:sz="0" w:space="0" w:color="auto"/>
          <w:lang w:val="en-GB"/>
        </w:rPr>
        <w:t xml:space="preserve"> and ecosystem services</w:t>
      </w:r>
      <w:r w:rsidR="005D4302">
        <w:rPr>
          <w:rFonts w:eastAsia="Times New Roman" w:hAnsi="Times New Roman"/>
          <w:snapToGrid w:val="0"/>
          <w:color w:val="auto"/>
          <w:szCs w:val="18"/>
          <w:bdr w:val="none" w:sz="0" w:space="0" w:color="auto"/>
          <w:lang w:val="en-GB"/>
        </w:rPr>
        <w:t>.</w:t>
      </w:r>
      <w:r w:rsidRPr="00DF02C5">
        <w:rPr>
          <w:rStyle w:val="FootnoteReference"/>
          <w:rFonts w:eastAsia="Times New Roman" w:hAnsi="Times New Roman"/>
          <w:snapToGrid w:val="0"/>
          <w:color w:val="auto"/>
          <w:szCs w:val="18"/>
          <w:bdr w:val="none" w:sz="0" w:space="0" w:color="auto"/>
          <w:lang w:val="en-GB"/>
        </w:rPr>
        <w:footnoteReference w:id="351"/>
      </w:r>
      <w:r w:rsidRPr="00DF02C5">
        <w:rPr>
          <w:rFonts w:eastAsia="Times New Roman" w:hAnsi="Times New Roman"/>
          <w:snapToGrid w:val="0"/>
          <w:color w:val="auto"/>
          <w:szCs w:val="18"/>
          <w:bdr w:val="none" w:sz="0" w:space="0" w:color="auto"/>
          <w:lang w:val="en-GB"/>
        </w:rPr>
        <w:t xml:space="preserve"> </w:t>
      </w:r>
      <w:r w:rsidR="00B25AD7" w:rsidRPr="00DF02C5">
        <w:rPr>
          <w:rFonts w:eastAsia="Times New Roman" w:hAnsi="Times New Roman"/>
          <w:snapToGrid w:val="0"/>
          <w:color w:val="auto"/>
          <w:szCs w:val="18"/>
          <w:bdr w:val="none" w:sz="0" w:space="0" w:color="auto"/>
          <w:lang w:val="en-GB"/>
        </w:rPr>
        <w:t xml:space="preserve">Examples of </w:t>
      </w:r>
      <w:r w:rsidRPr="00DF02C5">
        <w:rPr>
          <w:rFonts w:eastAsia="Times New Roman" w:hAnsi="Times New Roman"/>
          <w:snapToGrid w:val="0"/>
          <w:color w:val="auto"/>
          <w:szCs w:val="18"/>
          <w:bdr w:val="none" w:sz="0" w:space="0" w:color="auto"/>
          <w:lang w:val="en-GB"/>
        </w:rPr>
        <w:t>other contributions highlighted by countries</w:t>
      </w:r>
      <w:r w:rsidR="00B25AD7" w:rsidRPr="00DF02C5">
        <w:rPr>
          <w:rFonts w:eastAsia="Times New Roman" w:hAnsi="Times New Roman"/>
          <w:snapToGrid w:val="0"/>
          <w:color w:val="auto"/>
          <w:szCs w:val="18"/>
          <w:bdr w:val="none" w:sz="0" w:space="0" w:color="auto"/>
          <w:lang w:val="en-GB"/>
        </w:rPr>
        <w:t xml:space="preserve"> are the following</w:t>
      </w:r>
      <w:r w:rsidRPr="00DF02C5">
        <w:rPr>
          <w:rFonts w:eastAsia="Times New Roman" w:hAnsi="Times New Roman"/>
          <w:snapToGrid w:val="0"/>
          <w:color w:val="auto"/>
          <w:szCs w:val="18"/>
          <w:bdr w:val="none" w:sz="0" w:space="0" w:color="auto"/>
          <w:lang w:val="en-GB"/>
        </w:rPr>
        <w:t>:</w:t>
      </w:r>
    </w:p>
    <w:p w14:paraId="498F79DC" w14:textId="77777777" w:rsidR="005F3A08" w:rsidRPr="00DF02C5" w:rsidRDefault="005F3A08" w:rsidP="00CB6ACA">
      <w:pPr>
        <w:pStyle w:val="ListParagraph"/>
        <w:numPr>
          <w:ilvl w:val="1"/>
          <w:numId w:val="49"/>
        </w:numPr>
        <w:spacing w:before="120" w:after="120" w:line="228" w:lineRule="auto"/>
        <w:rPr>
          <w:rStyle w:val="FootnoteReference"/>
          <w:rFonts w:eastAsia="Calibri" w:hAnsi="Times New Roman" w:cs="Times New Roman"/>
          <w:snapToGrid w:val="0"/>
          <w:color w:val="auto"/>
          <w:kern w:val="22"/>
          <w:bdr w:val="none" w:sz="0" w:space="0" w:color="auto"/>
          <w:vertAlign w:val="baseline"/>
          <w:lang w:val="en-GB"/>
        </w:rPr>
      </w:pPr>
      <w:r w:rsidRPr="00DF02C5">
        <w:rPr>
          <w:rFonts w:eastAsia="Calibri" w:hAnsi="Times New Roman" w:cs="Times New Roman"/>
          <w:snapToGrid w:val="0"/>
          <w:color w:val="auto"/>
          <w:kern w:val="22"/>
          <w:bdr w:val="none" w:sz="0" w:space="0" w:color="auto"/>
          <w:lang w:val="en-GB"/>
        </w:rPr>
        <w:t>Managers of natural resources or authorities are more aware of the potential advantages of the Nagoya Protocol and are developing conservation practices;</w:t>
      </w:r>
      <w:r w:rsidRPr="00DF02C5">
        <w:rPr>
          <w:rStyle w:val="FootnoteReference"/>
          <w:rFonts w:hAnsi="Times New Roman"/>
          <w:snapToGrid w:val="0"/>
          <w:color w:val="auto"/>
          <w:bdr w:val="none" w:sz="0" w:space="0" w:color="auto"/>
          <w:lang w:val="en-GB"/>
        </w:rPr>
        <w:t xml:space="preserve"> </w:t>
      </w:r>
      <w:r w:rsidRPr="00DF02C5">
        <w:rPr>
          <w:rStyle w:val="FootnoteReference"/>
          <w:rFonts w:hAnsi="Times New Roman"/>
          <w:snapToGrid w:val="0"/>
          <w:color w:val="auto"/>
          <w:bdr w:val="none" w:sz="0" w:space="0" w:color="auto"/>
          <w:lang w:val="en-GB"/>
        </w:rPr>
        <w:footnoteReference w:id="352"/>
      </w:r>
    </w:p>
    <w:p w14:paraId="2042C99C" w14:textId="2E89FA40" w:rsidR="005F3A08" w:rsidRPr="00DF02C5" w:rsidRDefault="005F3A08" w:rsidP="00CB6ACA">
      <w:pPr>
        <w:pStyle w:val="ListParagraph"/>
        <w:numPr>
          <w:ilvl w:val="1"/>
          <w:numId w:val="49"/>
        </w:numPr>
        <w:spacing w:before="120" w:after="120" w:line="228" w:lineRule="auto"/>
        <w:rPr>
          <w:rFonts w:eastAsia="Calibri" w:hAnsi="Times New Roman" w:cs="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lastRenderedPageBreak/>
        <w:t>Implementing the Nagoya Protocol helped improving the knowledge about species,</w:t>
      </w:r>
      <w:r w:rsidRPr="00DF02C5">
        <w:rPr>
          <w:rStyle w:val="FootnoteReference"/>
          <w:rFonts w:eastAsia="Calibri" w:hAnsi="Times New Roman"/>
          <w:snapToGrid w:val="0"/>
          <w:color w:val="auto"/>
          <w:kern w:val="22"/>
          <w:bdr w:val="none" w:sz="0" w:space="0" w:color="auto"/>
          <w:lang w:val="en-GB"/>
        </w:rPr>
        <w:footnoteReference w:id="353"/>
      </w:r>
      <w:r w:rsidRPr="00DF02C5">
        <w:rPr>
          <w:rFonts w:eastAsia="Calibri" w:hAnsi="Times New Roman"/>
          <w:snapToGrid w:val="0"/>
          <w:color w:val="auto"/>
          <w:kern w:val="22"/>
          <w:bdr w:val="none" w:sz="0" w:space="0" w:color="auto"/>
          <w:lang w:val="en-GB"/>
        </w:rPr>
        <w:t xml:space="preserve"> including through the development of databases or inventories</w:t>
      </w:r>
      <w:r w:rsidRPr="00DF02C5">
        <w:rPr>
          <w:rStyle w:val="FootnoteReference"/>
          <w:rFonts w:eastAsia="Calibri" w:hAnsi="Times New Roman"/>
          <w:snapToGrid w:val="0"/>
          <w:color w:val="auto"/>
          <w:kern w:val="22"/>
          <w:bdr w:val="none" w:sz="0" w:space="0" w:color="auto"/>
          <w:lang w:val="en-GB"/>
        </w:rPr>
        <w:footnoteReference w:id="354"/>
      </w:r>
      <w:r w:rsidRPr="00DF02C5">
        <w:rPr>
          <w:rFonts w:eastAsia="Calibri" w:hAnsi="Times New Roman"/>
          <w:snapToGrid w:val="0"/>
          <w:color w:val="auto"/>
          <w:kern w:val="22"/>
          <w:bdr w:val="none" w:sz="0" w:space="0" w:color="auto"/>
          <w:lang w:val="en-GB"/>
        </w:rPr>
        <w:t xml:space="preserve"> and their population</w:t>
      </w:r>
      <w:r w:rsidR="002661FA" w:rsidRPr="00DF02C5">
        <w:rPr>
          <w:rFonts w:eastAsia="Calibri" w:hAnsi="Times New Roman"/>
          <w:snapToGrid w:val="0"/>
          <w:color w:val="auto"/>
          <w:kern w:val="22"/>
          <w:bdr w:val="none" w:sz="0" w:space="0" w:color="auto"/>
          <w:lang w:val="en-GB"/>
        </w:rPr>
        <w:t>,</w:t>
      </w:r>
      <w:r w:rsidRPr="00DF02C5">
        <w:rPr>
          <w:rStyle w:val="FootnoteReference"/>
          <w:rFonts w:eastAsia="Calibri" w:hAnsi="Times New Roman"/>
          <w:snapToGrid w:val="0"/>
          <w:color w:val="auto"/>
          <w:kern w:val="22"/>
          <w:bdr w:val="none" w:sz="0" w:space="0" w:color="auto"/>
          <w:lang w:val="en-GB"/>
        </w:rPr>
        <w:footnoteReference w:id="355"/>
      </w:r>
      <w:r w:rsidR="002661FA" w:rsidRPr="00DF02C5">
        <w:rPr>
          <w:rFonts w:eastAsia="Calibri" w:hAnsi="Times New Roman"/>
          <w:snapToGrid w:val="0"/>
          <w:color w:val="auto"/>
          <w:kern w:val="22"/>
          <w:bdr w:val="none" w:sz="0" w:space="0" w:color="auto"/>
          <w:lang w:val="en-GB"/>
        </w:rPr>
        <w:t xml:space="preserve"> and </w:t>
      </w:r>
      <w:r w:rsidRPr="00DF02C5">
        <w:rPr>
          <w:rFonts w:eastAsia="Calibri" w:hAnsi="Times New Roman"/>
          <w:snapToGrid w:val="0"/>
          <w:color w:val="auto"/>
          <w:kern w:val="22"/>
          <w:bdr w:val="none" w:sz="0" w:space="0" w:color="auto"/>
          <w:lang w:val="en-GB"/>
        </w:rPr>
        <w:t>supports the valorisation of genetic resources and special conservation approaches</w:t>
      </w:r>
      <w:r w:rsidR="002661FA" w:rsidRPr="00DF02C5">
        <w:rPr>
          <w:rFonts w:eastAsia="Calibri" w:hAnsi="Times New Roman"/>
          <w:snapToGrid w:val="0"/>
          <w:color w:val="auto"/>
          <w:kern w:val="22"/>
          <w:bdr w:val="none" w:sz="0" w:space="0" w:color="auto"/>
          <w:lang w:val="en-GB"/>
        </w:rPr>
        <w:t>;</w:t>
      </w:r>
      <w:r w:rsidRPr="00DF02C5">
        <w:rPr>
          <w:rStyle w:val="FootnoteReference"/>
          <w:rFonts w:eastAsia="Calibri" w:hAnsi="Times New Roman"/>
          <w:snapToGrid w:val="0"/>
          <w:color w:val="auto"/>
          <w:kern w:val="22"/>
          <w:bdr w:val="none" w:sz="0" w:space="0" w:color="auto"/>
          <w:lang w:val="en-GB"/>
        </w:rPr>
        <w:footnoteReference w:id="356"/>
      </w:r>
    </w:p>
    <w:p w14:paraId="3D3D3399" w14:textId="7747F191" w:rsidR="005F3A08" w:rsidRPr="00DF02C5" w:rsidRDefault="005F3A08" w:rsidP="00CB6ACA">
      <w:pPr>
        <w:pStyle w:val="ListParagraph"/>
        <w:numPr>
          <w:ilvl w:val="1"/>
          <w:numId w:val="49"/>
        </w:numPr>
        <w:spacing w:before="120" w:after="120" w:line="228" w:lineRule="auto"/>
        <w:rPr>
          <w:rFonts w:eastAsia="Calibri" w:hAnsi="Times New Roman" w:cs="Times New Roman"/>
          <w:snapToGrid w:val="0"/>
          <w:color w:val="auto"/>
          <w:kern w:val="22"/>
          <w:bdr w:val="none" w:sz="0" w:space="0" w:color="auto"/>
          <w:lang w:val="en-GB"/>
        </w:rPr>
      </w:pPr>
      <w:r w:rsidRPr="00DF02C5">
        <w:rPr>
          <w:rFonts w:eastAsia="Times New Roman" w:hAnsi="Times New Roman"/>
          <w:snapToGrid w:val="0"/>
          <w:color w:val="auto"/>
          <w:szCs w:val="18"/>
          <w:bdr w:val="none" w:sz="0" w:space="0" w:color="auto"/>
          <w:lang w:val="en-GB"/>
        </w:rPr>
        <w:t>Increased involvement of communities in conservation and sustainable use;</w:t>
      </w:r>
      <w:r w:rsidRPr="00DF02C5">
        <w:rPr>
          <w:rStyle w:val="FootnoteReference"/>
          <w:rFonts w:eastAsia="Times New Roman" w:hAnsi="Times New Roman"/>
          <w:snapToGrid w:val="0"/>
          <w:color w:val="auto"/>
          <w:szCs w:val="18"/>
          <w:bdr w:val="none" w:sz="0" w:space="0" w:color="auto"/>
          <w:lang w:val="en-GB"/>
        </w:rPr>
        <w:footnoteReference w:id="357"/>
      </w:r>
      <w:r w:rsidRPr="00DF02C5">
        <w:rPr>
          <w:rFonts w:eastAsia="Times New Roman" w:hAnsi="Times New Roman"/>
          <w:snapToGrid w:val="0"/>
          <w:color w:val="auto"/>
          <w:szCs w:val="18"/>
          <w:bdr w:val="none" w:sz="0" w:space="0" w:color="auto"/>
          <w:lang w:val="en-GB"/>
        </w:rPr>
        <w:t xml:space="preserve"> </w:t>
      </w:r>
    </w:p>
    <w:p w14:paraId="6FF14AD2" w14:textId="7E523154" w:rsidR="005F3A08" w:rsidRPr="00DF02C5" w:rsidRDefault="005F3A08" w:rsidP="00CB6ACA">
      <w:pPr>
        <w:pStyle w:val="ListParagraph"/>
        <w:numPr>
          <w:ilvl w:val="1"/>
          <w:numId w:val="49"/>
        </w:numPr>
        <w:spacing w:before="120" w:after="120" w:line="228" w:lineRule="auto"/>
        <w:rPr>
          <w:rFonts w:eastAsia="Calibri" w:hAnsi="Times New Roman" w:cs="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Increased compliance by users</w:t>
      </w:r>
      <w:r w:rsidR="002661FA" w:rsidRPr="00DF02C5">
        <w:rPr>
          <w:rFonts w:eastAsia="Calibri" w:hAnsi="Times New Roman"/>
          <w:snapToGrid w:val="0"/>
          <w:color w:val="auto"/>
          <w:kern w:val="22"/>
          <w:bdr w:val="none" w:sz="0" w:space="0" w:color="auto"/>
          <w:lang w:val="en-GB"/>
        </w:rPr>
        <w:t xml:space="preserve"> of genetic resources</w:t>
      </w:r>
      <w:r w:rsidRPr="00DF02C5">
        <w:rPr>
          <w:rFonts w:eastAsia="Calibri" w:hAnsi="Times New Roman"/>
          <w:snapToGrid w:val="0"/>
          <w:color w:val="auto"/>
          <w:kern w:val="22"/>
          <w:bdr w:val="none" w:sz="0" w:space="0" w:color="auto"/>
          <w:lang w:val="en-GB"/>
        </w:rPr>
        <w:t>;</w:t>
      </w:r>
      <w:r w:rsidRPr="00DF02C5">
        <w:rPr>
          <w:rStyle w:val="FootnoteReference"/>
          <w:rFonts w:eastAsia="Calibri" w:hAnsi="Times New Roman"/>
          <w:snapToGrid w:val="0"/>
          <w:color w:val="auto"/>
          <w:kern w:val="22"/>
          <w:bdr w:val="none" w:sz="0" w:space="0" w:color="auto"/>
          <w:lang w:val="en-GB"/>
        </w:rPr>
        <w:footnoteReference w:id="358"/>
      </w:r>
    </w:p>
    <w:p w14:paraId="16D05D1E" w14:textId="77777777" w:rsidR="005F3A08" w:rsidRPr="00DF02C5" w:rsidRDefault="005F3A08" w:rsidP="00CB6ACA">
      <w:pPr>
        <w:pStyle w:val="ListParagraph"/>
        <w:numPr>
          <w:ilvl w:val="1"/>
          <w:numId w:val="49"/>
        </w:numPr>
        <w:spacing w:before="120" w:after="120" w:line="228" w:lineRule="auto"/>
        <w:rPr>
          <w:rFonts w:eastAsia="Calibri" w:hAnsi="Times New Roman" w:cs="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Recognition of research and development as a key to the country’s valorisation of genetic resources;</w:t>
      </w:r>
      <w:r w:rsidRPr="00DF02C5">
        <w:rPr>
          <w:rStyle w:val="FootnoteReference"/>
          <w:rFonts w:eastAsia="Calibri" w:hAnsi="Times New Roman"/>
          <w:snapToGrid w:val="0"/>
          <w:color w:val="auto"/>
          <w:kern w:val="22"/>
          <w:bdr w:val="none" w:sz="0" w:space="0" w:color="auto"/>
          <w:lang w:val="en-GB"/>
        </w:rPr>
        <w:footnoteReference w:id="359"/>
      </w:r>
      <w:r w:rsidRPr="00DF02C5">
        <w:rPr>
          <w:rFonts w:eastAsia="Calibri" w:hAnsi="Times New Roman"/>
          <w:snapToGrid w:val="0"/>
          <w:color w:val="auto"/>
          <w:kern w:val="22"/>
          <w:bdr w:val="none" w:sz="0" w:space="0" w:color="auto"/>
          <w:lang w:val="en-GB"/>
        </w:rPr>
        <w:t xml:space="preserve"> </w:t>
      </w:r>
    </w:p>
    <w:p w14:paraId="529100EB" w14:textId="2466BEC5" w:rsidR="005F3A08" w:rsidRPr="00DF02C5" w:rsidRDefault="005F3A08" w:rsidP="00CB6ACA">
      <w:pPr>
        <w:pStyle w:val="ListParagraph"/>
        <w:numPr>
          <w:ilvl w:val="1"/>
          <w:numId w:val="49"/>
        </w:numPr>
        <w:spacing w:before="120" w:after="120" w:line="228" w:lineRule="auto"/>
        <w:rPr>
          <w:rFonts w:eastAsia="Calibri" w:hAnsi="Times New Roman" w:cs="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Implementing the Protocol played a key role in factoring elements of biodiversity conservation and use in government development agenda including </w:t>
      </w:r>
      <w:r w:rsidR="002661FA" w:rsidRPr="00DF02C5">
        <w:rPr>
          <w:rFonts w:eastAsia="Calibri" w:hAnsi="Times New Roman"/>
          <w:snapToGrid w:val="0"/>
          <w:color w:val="auto"/>
          <w:kern w:val="22"/>
          <w:bdr w:val="none" w:sz="0" w:space="0" w:color="auto"/>
          <w:lang w:val="en-GB"/>
        </w:rPr>
        <w:t xml:space="preserve">in 2030 </w:t>
      </w:r>
      <w:r w:rsidRPr="00DF02C5">
        <w:rPr>
          <w:rFonts w:eastAsia="Calibri" w:hAnsi="Times New Roman"/>
          <w:snapToGrid w:val="0"/>
          <w:color w:val="auto"/>
          <w:kern w:val="22"/>
          <w:bdr w:val="none" w:sz="0" w:space="0" w:color="auto"/>
          <w:lang w:val="en-GB"/>
        </w:rPr>
        <w:t>vision</w:t>
      </w:r>
      <w:r w:rsidR="005D4302">
        <w:rPr>
          <w:rFonts w:eastAsia="Calibri" w:hAnsi="Times New Roman"/>
          <w:snapToGrid w:val="0"/>
          <w:color w:val="auto"/>
          <w:kern w:val="22"/>
          <w:bdr w:val="none" w:sz="0" w:space="0" w:color="auto"/>
          <w:lang w:val="en-GB"/>
        </w:rPr>
        <w:t>.</w:t>
      </w:r>
      <w:r w:rsidRPr="00DF02C5">
        <w:rPr>
          <w:rStyle w:val="FootnoteReference"/>
          <w:rFonts w:eastAsia="Calibri" w:hAnsi="Times New Roman"/>
          <w:snapToGrid w:val="0"/>
          <w:color w:val="auto"/>
          <w:kern w:val="22"/>
          <w:bdr w:val="none" w:sz="0" w:space="0" w:color="auto"/>
          <w:lang w:val="en-GB"/>
        </w:rPr>
        <w:footnoteReference w:id="360"/>
      </w:r>
    </w:p>
    <w:p w14:paraId="1FDD19FB" w14:textId="77777777" w:rsidR="005F3A08" w:rsidRPr="00DF02C5" w:rsidRDefault="005F3A08"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Some countries provided specific examples: </w:t>
      </w:r>
    </w:p>
    <w:p w14:paraId="003A672A" w14:textId="32408A59" w:rsidR="005F3A08" w:rsidRPr="00DF02C5" w:rsidRDefault="005F3A08" w:rsidP="00CB6ACA">
      <w:pPr>
        <w:pStyle w:val="ListParagraph"/>
        <w:numPr>
          <w:ilvl w:val="1"/>
          <w:numId w:val="50"/>
        </w:numPr>
        <w:spacing w:before="120" w:after="120" w:line="228" w:lineRule="auto"/>
        <w:rPr>
          <w:rFonts w:eastAsia="Times New Roman" w:hAnsi="Times New Roman"/>
          <w:snapToGrid w:val="0"/>
          <w:color w:val="auto"/>
          <w:szCs w:val="18"/>
          <w:bdr w:val="none" w:sz="0" w:space="0" w:color="auto"/>
          <w:lang w:val="en-GB"/>
        </w:rPr>
      </w:pPr>
      <w:r w:rsidRPr="00DF02C5">
        <w:rPr>
          <w:rFonts w:eastAsia="Times New Roman" w:hAnsi="Times New Roman"/>
          <w:snapToGrid w:val="0"/>
          <w:color w:val="auto"/>
          <w:szCs w:val="18"/>
          <w:bdr w:val="none" w:sz="0" w:space="0" w:color="auto"/>
          <w:lang w:val="en-GB"/>
        </w:rPr>
        <w:t xml:space="preserve">South Africa </w:t>
      </w:r>
      <w:r w:rsidR="006E3151" w:rsidRPr="00DF02C5">
        <w:rPr>
          <w:rFonts w:eastAsia="Times New Roman" w:hAnsi="Times New Roman"/>
          <w:snapToGrid w:val="0"/>
          <w:color w:val="auto"/>
          <w:szCs w:val="18"/>
          <w:bdr w:val="none" w:sz="0" w:space="0" w:color="auto"/>
          <w:lang w:val="en-GB"/>
        </w:rPr>
        <w:t xml:space="preserve">indicated that </w:t>
      </w:r>
      <w:r w:rsidRPr="00DF02C5">
        <w:rPr>
          <w:rFonts w:eastAsia="Times New Roman" w:hAnsi="Times New Roman"/>
          <w:snapToGrid w:val="0"/>
          <w:color w:val="auto"/>
          <w:szCs w:val="18"/>
          <w:bdr w:val="none" w:sz="0" w:space="0" w:color="auto"/>
          <w:lang w:val="en-GB"/>
        </w:rPr>
        <w:t>a national species management plan for Pel</w:t>
      </w:r>
      <w:r w:rsidR="006E3151" w:rsidRPr="00DF02C5">
        <w:rPr>
          <w:rFonts w:eastAsia="Times New Roman" w:hAnsi="Times New Roman"/>
          <w:snapToGrid w:val="0"/>
          <w:color w:val="auto"/>
          <w:szCs w:val="18"/>
          <w:bdr w:val="none" w:sz="0" w:space="0" w:color="auto"/>
          <w:lang w:val="en-GB"/>
        </w:rPr>
        <w:t xml:space="preserve">argonium species was developed, </w:t>
      </w:r>
      <w:r w:rsidRPr="00DF02C5">
        <w:rPr>
          <w:rFonts w:eastAsia="Times New Roman" w:hAnsi="Times New Roman"/>
          <w:snapToGrid w:val="0"/>
          <w:color w:val="auto"/>
          <w:szCs w:val="18"/>
          <w:bdr w:val="none" w:sz="0" w:space="0" w:color="auto"/>
          <w:lang w:val="en-GB"/>
        </w:rPr>
        <w:t>a resource assessment for Al</w:t>
      </w:r>
      <w:r w:rsidR="006E3151" w:rsidRPr="00DF02C5">
        <w:rPr>
          <w:rFonts w:eastAsia="Times New Roman" w:hAnsi="Times New Roman"/>
          <w:snapToGrid w:val="0"/>
          <w:color w:val="auto"/>
          <w:szCs w:val="18"/>
          <w:bdr w:val="none" w:sz="0" w:space="0" w:color="auto"/>
          <w:lang w:val="en-GB"/>
        </w:rPr>
        <w:t>oe ferox species was undertaken, and</w:t>
      </w:r>
      <w:r w:rsidR="00B54C38">
        <w:rPr>
          <w:rFonts w:eastAsia="Times New Roman" w:hAnsi="Times New Roman"/>
          <w:snapToGrid w:val="0"/>
          <w:color w:val="auto"/>
          <w:szCs w:val="18"/>
          <w:bdr w:val="none" w:sz="0" w:space="0" w:color="auto"/>
          <w:lang w:val="en-GB"/>
        </w:rPr>
        <w:t xml:space="preserve"> </w:t>
      </w:r>
      <w:proofErr w:type="gramStart"/>
      <w:r w:rsidR="00B54C38">
        <w:rPr>
          <w:rFonts w:eastAsia="Times New Roman" w:hAnsi="Times New Roman"/>
          <w:snapToGrid w:val="0"/>
          <w:color w:val="auto"/>
          <w:szCs w:val="18"/>
          <w:bdr w:val="none" w:sz="0" w:space="0" w:color="auto"/>
          <w:lang w:val="en-GB"/>
        </w:rPr>
        <w:t>a number of</w:t>
      </w:r>
      <w:proofErr w:type="gramEnd"/>
      <w:r w:rsidR="00B54C38">
        <w:rPr>
          <w:rFonts w:eastAsia="Times New Roman" w:hAnsi="Times New Roman"/>
          <w:snapToGrid w:val="0"/>
          <w:color w:val="auto"/>
          <w:szCs w:val="18"/>
          <w:bdr w:val="none" w:sz="0" w:space="0" w:color="auto"/>
          <w:lang w:val="en-GB"/>
        </w:rPr>
        <w:t xml:space="preserve"> species utiliz</w:t>
      </w:r>
      <w:r w:rsidRPr="00DF02C5">
        <w:rPr>
          <w:rFonts w:eastAsia="Times New Roman" w:hAnsi="Times New Roman"/>
          <w:snapToGrid w:val="0"/>
          <w:color w:val="auto"/>
          <w:szCs w:val="18"/>
          <w:bdr w:val="none" w:sz="0" w:space="0" w:color="auto"/>
          <w:lang w:val="en-GB"/>
        </w:rPr>
        <w:t>ed for ABS are being cultivated in order to reduce press</w:t>
      </w:r>
      <w:r w:rsidR="005D4302">
        <w:rPr>
          <w:rFonts w:eastAsia="Times New Roman" w:hAnsi="Times New Roman"/>
          <w:snapToGrid w:val="0"/>
          <w:color w:val="auto"/>
          <w:szCs w:val="18"/>
          <w:bdr w:val="none" w:sz="0" w:space="0" w:color="auto"/>
          <w:lang w:val="en-GB"/>
        </w:rPr>
        <w:t>ure on the wild population;</w:t>
      </w:r>
      <w:r w:rsidRPr="00DF02C5">
        <w:rPr>
          <w:rFonts w:eastAsia="Times New Roman" w:hAnsi="Times New Roman"/>
          <w:snapToGrid w:val="0"/>
          <w:color w:val="auto"/>
          <w:szCs w:val="18"/>
          <w:bdr w:val="none" w:sz="0" w:space="0" w:color="auto"/>
          <w:lang w:val="en-GB"/>
        </w:rPr>
        <w:t xml:space="preserve"> </w:t>
      </w:r>
    </w:p>
    <w:p w14:paraId="5B94537A" w14:textId="5A70E655" w:rsidR="005F3A08" w:rsidRPr="00DF02C5" w:rsidRDefault="005F3A08" w:rsidP="00CB6ACA">
      <w:pPr>
        <w:pStyle w:val="ListParagraph"/>
        <w:numPr>
          <w:ilvl w:val="1"/>
          <w:numId w:val="50"/>
        </w:numPr>
        <w:spacing w:before="120" w:after="120" w:line="228" w:lineRule="auto"/>
        <w:rPr>
          <w:rFonts w:eastAsia="Times New Roman" w:hAnsi="Times New Roman"/>
          <w:snapToGrid w:val="0"/>
          <w:color w:val="auto"/>
          <w:szCs w:val="18"/>
          <w:bdr w:val="none" w:sz="0" w:space="0" w:color="auto"/>
          <w:lang w:val="en-GB"/>
        </w:rPr>
      </w:pPr>
      <w:r w:rsidRPr="00DF02C5">
        <w:rPr>
          <w:rFonts w:eastAsia="Times New Roman" w:hAnsi="Times New Roman"/>
          <w:snapToGrid w:val="0"/>
          <w:color w:val="auto"/>
          <w:szCs w:val="18"/>
          <w:bdr w:val="none" w:sz="0" w:space="0" w:color="auto"/>
          <w:lang w:val="en-GB"/>
        </w:rPr>
        <w:t xml:space="preserve">Cameroon stated that </w:t>
      </w:r>
      <w:r w:rsidR="006E3151" w:rsidRPr="00DF02C5">
        <w:rPr>
          <w:rFonts w:eastAsia="Times New Roman" w:hAnsi="Times New Roman"/>
          <w:snapToGrid w:val="0"/>
          <w:color w:val="auto"/>
          <w:szCs w:val="18"/>
          <w:bdr w:val="none" w:sz="0" w:space="0" w:color="auto"/>
          <w:lang w:val="en-GB"/>
        </w:rPr>
        <w:t xml:space="preserve">measures were taken to ensure sustainability and conservation </w:t>
      </w:r>
      <w:r w:rsidRPr="00DF02C5">
        <w:rPr>
          <w:rFonts w:eastAsia="Times New Roman" w:hAnsi="Times New Roman"/>
          <w:snapToGrid w:val="0"/>
          <w:color w:val="auto"/>
          <w:szCs w:val="18"/>
          <w:bdr w:val="none" w:sz="0" w:space="0" w:color="auto"/>
          <w:lang w:val="en-GB"/>
        </w:rPr>
        <w:t>of Echinops giganteus and Mondia whitei</w:t>
      </w:r>
      <w:r w:rsidR="006E3151" w:rsidRPr="00DF02C5">
        <w:rPr>
          <w:rFonts w:eastAsia="Times New Roman" w:hAnsi="Times New Roman"/>
          <w:snapToGrid w:val="0"/>
          <w:color w:val="auto"/>
          <w:szCs w:val="18"/>
          <w:bdr w:val="none" w:sz="0" w:space="0" w:color="auto"/>
          <w:lang w:val="en-GB"/>
        </w:rPr>
        <w:t>.</w:t>
      </w:r>
    </w:p>
    <w:p w14:paraId="64536961" w14:textId="77DFD155" w:rsidR="005F3A08" w:rsidRPr="005D4302" w:rsidRDefault="006E3151" w:rsidP="005D4302">
      <w:pPr>
        <w:numPr>
          <w:ilvl w:val="0"/>
          <w:numId w:val="47"/>
        </w:numPr>
        <w:spacing w:before="120" w:after="120" w:line="228" w:lineRule="auto"/>
        <w:ind w:left="0" w:right="90" w:firstLine="0"/>
        <w:jc w:val="center"/>
        <w:rPr>
          <w:rFonts w:eastAsia="Calibri" w:hAnsi="Times New Roman" w:cs="Times New Roman"/>
          <w:i/>
          <w:snapToGrid w:val="0"/>
          <w:color w:val="auto"/>
          <w:kern w:val="22"/>
          <w:bdr w:val="none" w:sz="0" w:space="0" w:color="auto"/>
          <w:lang w:val="en-GB"/>
        </w:rPr>
      </w:pPr>
      <w:r w:rsidRPr="005D4302">
        <w:rPr>
          <w:rFonts w:eastAsia="Calibri" w:hAnsi="Times New Roman" w:cs="Times New Roman"/>
          <w:i/>
          <w:snapToGrid w:val="0"/>
          <w:color w:val="auto"/>
          <w:kern w:val="22"/>
          <w:bdr w:val="none" w:sz="0" w:space="0" w:color="auto"/>
          <w:lang w:val="en-GB"/>
        </w:rPr>
        <w:t>Additional information:</w:t>
      </w:r>
      <w:r w:rsidR="005F3A08" w:rsidRPr="005D4302">
        <w:rPr>
          <w:rFonts w:eastAsia="Calibri" w:hAnsi="Times New Roman" w:cs="Times New Roman"/>
          <w:i/>
          <w:snapToGrid w:val="0"/>
          <w:color w:val="auto"/>
          <w:kern w:val="22"/>
          <w:bdr w:val="none" w:sz="0" w:space="0" w:color="auto"/>
          <w:lang w:val="en-GB"/>
        </w:rPr>
        <w:t xml:space="preserve"> </w:t>
      </w:r>
      <w:r w:rsidRPr="005D4302">
        <w:rPr>
          <w:rFonts w:eastAsia="Calibri" w:hAnsi="Times New Roman"/>
          <w:i/>
          <w:snapToGrid w:val="0"/>
          <w:color w:val="auto"/>
          <w:kern w:val="22"/>
          <w:bdr w:val="none" w:sz="0" w:space="0" w:color="auto"/>
          <w:lang w:val="en-GB"/>
        </w:rPr>
        <w:t>summary of the main difficulties and challenges</w:t>
      </w:r>
      <w:r w:rsidRPr="005D4302">
        <w:rPr>
          <w:rFonts w:eastAsia="Calibri" w:hAnsi="Times New Roman" w:cs="Times New Roman"/>
          <w:i/>
          <w:snapToGrid w:val="0"/>
          <w:color w:val="auto"/>
          <w:kern w:val="22"/>
          <w:bdr w:val="none" w:sz="0" w:space="0" w:color="auto"/>
          <w:lang w:val="en-GB"/>
        </w:rPr>
        <w:t xml:space="preserve"> </w:t>
      </w:r>
      <w:r w:rsidR="005F3A08" w:rsidRPr="005D4302">
        <w:rPr>
          <w:rFonts w:eastAsia="Calibri" w:hAnsi="Times New Roman" w:cs="Times New Roman"/>
          <w:i/>
          <w:snapToGrid w:val="0"/>
          <w:color w:val="auto"/>
          <w:kern w:val="22"/>
          <w:bdr w:val="none" w:sz="0" w:space="0" w:color="auto"/>
          <w:lang w:val="en-GB"/>
        </w:rPr>
        <w:t>(question 47)</w:t>
      </w:r>
    </w:p>
    <w:p w14:paraId="5D15604F" w14:textId="77777777" w:rsidR="006E3151" w:rsidRPr="00DF02C5" w:rsidRDefault="00866AB5"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Twenty-seven countries answered this question. </w:t>
      </w:r>
      <w:r w:rsidR="006E3151" w:rsidRPr="00DF02C5">
        <w:rPr>
          <w:rFonts w:eastAsia="Calibri" w:hAnsi="Times New Roman"/>
          <w:snapToGrid w:val="0"/>
          <w:color w:val="auto"/>
          <w:kern w:val="22"/>
          <w:bdr w:val="none" w:sz="0" w:space="0" w:color="auto"/>
          <w:lang w:val="en-GB"/>
        </w:rPr>
        <w:t>Many</w:t>
      </w:r>
      <w:r w:rsidR="005F3A08" w:rsidRPr="00DF02C5">
        <w:rPr>
          <w:rFonts w:eastAsia="Calibri" w:hAnsi="Times New Roman"/>
          <w:snapToGrid w:val="0"/>
          <w:color w:val="auto"/>
          <w:kern w:val="22"/>
          <w:bdr w:val="none" w:sz="0" w:space="0" w:color="auto"/>
          <w:lang w:val="en-GB"/>
        </w:rPr>
        <w:t xml:space="preserve"> countries refer to</w:t>
      </w:r>
      <w:r w:rsidR="006E3151" w:rsidRPr="00DF02C5">
        <w:rPr>
          <w:rFonts w:eastAsia="Calibri" w:hAnsi="Times New Roman"/>
          <w:snapToGrid w:val="0"/>
          <w:color w:val="auto"/>
          <w:kern w:val="22"/>
          <w:bdr w:val="none" w:sz="0" w:space="0" w:color="auto"/>
          <w:lang w:val="en-GB"/>
        </w:rPr>
        <w:t xml:space="preserve"> similar</w:t>
      </w:r>
      <w:r w:rsidR="005F3A08" w:rsidRPr="00DF02C5">
        <w:rPr>
          <w:rFonts w:eastAsia="Calibri" w:hAnsi="Times New Roman"/>
          <w:snapToGrid w:val="0"/>
          <w:color w:val="auto"/>
          <w:kern w:val="22"/>
          <w:bdr w:val="none" w:sz="0" w:space="0" w:color="auto"/>
          <w:lang w:val="en-GB"/>
        </w:rPr>
        <w:t xml:space="preserve"> difficulties </w:t>
      </w:r>
      <w:r w:rsidR="006E3151" w:rsidRPr="00DF02C5">
        <w:rPr>
          <w:rFonts w:eastAsia="Calibri" w:hAnsi="Times New Roman"/>
          <w:snapToGrid w:val="0"/>
          <w:color w:val="auto"/>
          <w:kern w:val="22"/>
          <w:bdr w:val="none" w:sz="0" w:space="0" w:color="auto"/>
          <w:lang w:val="en-GB"/>
        </w:rPr>
        <w:t>to those mentioned</w:t>
      </w:r>
      <w:r w:rsidR="005F3A08" w:rsidRPr="00DF02C5">
        <w:rPr>
          <w:rFonts w:eastAsia="Calibri" w:hAnsi="Times New Roman"/>
          <w:snapToGrid w:val="0"/>
          <w:color w:val="auto"/>
          <w:kern w:val="22"/>
          <w:bdr w:val="none" w:sz="0" w:space="0" w:color="auto"/>
          <w:lang w:val="en-GB"/>
        </w:rPr>
        <w:t xml:space="preserve"> before regarding implementation of the Nagoya Protocol or to general challenges on conserving and sustainably use biodiversity.</w:t>
      </w:r>
    </w:p>
    <w:p w14:paraId="634B0D01" w14:textId="5C412066" w:rsidR="00D84EFE" w:rsidRPr="00DF02C5" w:rsidRDefault="006E3151"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Examples of </w:t>
      </w:r>
      <w:r w:rsidR="005F3A08" w:rsidRPr="00DF02C5">
        <w:rPr>
          <w:rFonts w:eastAsia="Calibri" w:hAnsi="Times New Roman"/>
          <w:snapToGrid w:val="0"/>
          <w:color w:val="auto"/>
          <w:kern w:val="22"/>
          <w:bdr w:val="none" w:sz="0" w:space="0" w:color="auto"/>
          <w:lang w:val="en-GB"/>
        </w:rPr>
        <w:t>difficulties related</w:t>
      </w:r>
      <w:r w:rsidRPr="00DF02C5">
        <w:rPr>
          <w:rFonts w:eastAsia="Calibri" w:hAnsi="Times New Roman"/>
          <w:snapToGrid w:val="0"/>
          <w:color w:val="auto"/>
          <w:kern w:val="22"/>
          <w:bdr w:val="none" w:sz="0" w:space="0" w:color="auto"/>
          <w:lang w:val="en-GB"/>
        </w:rPr>
        <w:t xml:space="preserve"> to implementation of Article 9 are the following:</w:t>
      </w:r>
      <w:r w:rsidR="005F3A08" w:rsidRPr="00DF02C5">
        <w:rPr>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 xml:space="preserve">(a) </w:t>
      </w:r>
      <w:r w:rsidR="005F3A08" w:rsidRPr="00DF02C5">
        <w:rPr>
          <w:rFonts w:eastAsia="Calibri" w:hAnsi="Times New Roman"/>
          <w:snapToGrid w:val="0"/>
          <w:color w:val="auto"/>
          <w:kern w:val="22"/>
          <w:bdr w:val="none" w:sz="0" w:space="0" w:color="auto"/>
          <w:lang w:val="en-GB"/>
        </w:rPr>
        <w:t xml:space="preserve">The need to evaluate the impact in conservation and sustainable use of the benefits </w:t>
      </w:r>
      <w:r w:rsidRPr="00DF02C5">
        <w:rPr>
          <w:rFonts w:eastAsia="Calibri" w:hAnsi="Times New Roman"/>
          <w:snapToGrid w:val="0"/>
          <w:color w:val="auto"/>
          <w:kern w:val="22"/>
          <w:bdr w:val="none" w:sz="0" w:space="0" w:color="auto"/>
          <w:lang w:val="en-GB"/>
        </w:rPr>
        <w:t xml:space="preserve">received resulting from </w:t>
      </w:r>
      <w:r w:rsidR="005F3A08" w:rsidRPr="00DF02C5">
        <w:rPr>
          <w:rFonts w:eastAsia="Calibri" w:hAnsi="Times New Roman"/>
          <w:snapToGrid w:val="0"/>
          <w:color w:val="auto"/>
          <w:kern w:val="22"/>
          <w:bdr w:val="none" w:sz="0" w:space="0" w:color="auto"/>
          <w:lang w:val="en-GB"/>
        </w:rPr>
        <w:t>previous access authorisations;</w:t>
      </w:r>
      <w:r w:rsidRPr="00DF02C5">
        <w:rPr>
          <w:rFonts w:eastAsia="Calibri" w:hAnsi="Times New Roman"/>
          <w:snapToGrid w:val="0"/>
          <w:color w:val="auto"/>
          <w:kern w:val="22"/>
          <w:bdr w:val="none" w:sz="0" w:space="0" w:color="auto"/>
          <w:lang w:val="en-GB"/>
        </w:rPr>
        <w:t xml:space="preserve"> and</w:t>
      </w:r>
      <w:r w:rsidR="005F3A08" w:rsidRPr="00DF02C5">
        <w:rPr>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(b) t</w:t>
      </w:r>
      <w:r w:rsidR="005F3A08" w:rsidRPr="00DF02C5">
        <w:rPr>
          <w:rFonts w:eastAsia="Calibri" w:hAnsi="Times New Roman"/>
          <w:snapToGrid w:val="0"/>
          <w:color w:val="auto"/>
          <w:kern w:val="22"/>
          <w:bdr w:val="none" w:sz="0" w:space="0" w:color="auto"/>
          <w:lang w:val="en-GB"/>
        </w:rPr>
        <w:t>he need to further study the links between Article 9 of the Nagoya Protocol, Aichi Target 16 and SDG Target 15.6 to understand how benefits from ABS can contribute to biodiversity conservation.</w:t>
      </w:r>
    </w:p>
    <w:p w14:paraId="04655548" w14:textId="67E5777E" w:rsidR="00A60AB6" w:rsidRPr="00DF02C5" w:rsidRDefault="00A60AB6" w:rsidP="003500AA">
      <w:pPr>
        <w:pStyle w:val="Heading2"/>
        <w:numPr>
          <w:ilvl w:val="0"/>
          <w:numId w:val="42"/>
        </w:numPr>
        <w:spacing w:before="240"/>
        <w:jc w:val="both"/>
        <w:rPr>
          <w:rFonts w:eastAsia="Calibri"/>
          <w:snapToGrid w:val="0"/>
          <w:bdr w:val="none" w:sz="0" w:space="0" w:color="auto"/>
          <w:lang w:val="en-GB"/>
        </w:rPr>
      </w:pPr>
      <w:bookmarkStart w:id="15" w:name="_Toc511112611"/>
      <w:r w:rsidRPr="00DF02C5">
        <w:rPr>
          <w:rFonts w:eastAsia="Calibri"/>
          <w:snapToGrid w:val="0"/>
          <w:bdr w:val="none" w:sz="0" w:space="0" w:color="auto"/>
          <w:lang w:val="en-GB"/>
        </w:rPr>
        <w:t>Transboundary cooperation (Article 11)</w:t>
      </w:r>
      <w:r w:rsidR="00774F8E" w:rsidRPr="00DF02C5">
        <w:rPr>
          <w:rFonts w:eastAsia="Calibri"/>
          <w:snapToGrid w:val="0"/>
          <w:bdr w:val="none" w:sz="0" w:space="0" w:color="auto"/>
          <w:lang w:val="en-GB"/>
        </w:rPr>
        <w:t xml:space="preserve"> (questions 48 to 50)</w:t>
      </w:r>
      <w:bookmarkEnd w:id="15"/>
    </w:p>
    <w:p w14:paraId="3E856FB7" w14:textId="3D51CE99" w:rsidR="00A60AB6" w:rsidRPr="005D4302" w:rsidRDefault="00FF2A87" w:rsidP="005D4302">
      <w:pPr>
        <w:numPr>
          <w:ilvl w:val="0"/>
          <w:numId w:val="75"/>
        </w:numPr>
        <w:spacing w:before="240" w:after="120"/>
        <w:rPr>
          <w:rFonts w:eastAsia="Calibri" w:hAnsi="Times New Roman" w:cs="Times New Roman"/>
          <w:i/>
          <w:snapToGrid w:val="0"/>
          <w:color w:val="auto"/>
          <w:kern w:val="22"/>
          <w:bdr w:val="none" w:sz="0" w:space="0" w:color="auto"/>
          <w:lang w:val="en-GB"/>
        </w:rPr>
      </w:pPr>
      <w:r w:rsidRPr="005D4302">
        <w:rPr>
          <w:rFonts w:eastAsia="Calibri" w:hAnsi="Times New Roman" w:cs="Times New Roman"/>
          <w:i/>
          <w:snapToGrid w:val="0"/>
          <w:color w:val="auto"/>
          <w:kern w:val="22"/>
          <w:bdr w:val="none" w:sz="0" w:space="0" w:color="auto"/>
          <w:lang w:val="en-GB"/>
        </w:rPr>
        <w:t>Is your country endeavouring to cooperate, with the involvement of indigenous and local communities concerned, with a view to implementing the Protocol in instances where the same genetic resources are found in situ within the territory of more than one Party as provided in Article 11.1?”</w:t>
      </w:r>
      <w:r w:rsidR="00A60AB6" w:rsidRPr="005D4302">
        <w:rPr>
          <w:rFonts w:eastAsia="Calibri" w:hAnsi="Times New Roman" w:cs="Times New Roman"/>
          <w:i/>
          <w:snapToGrid w:val="0"/>
          <w:color w:val="auto"/>
          <w:kern w:val="22"/>
          <w:bdr w:val="none" w:sz="0" w:space="0" w:color="auto"/>
          <w:lang w:val="en-GB"/>
        </w:rPr>
        <w:t xml:space="preserve"> (question 48)</w:t>
      </w:r>
    </w:p>
    <w:p w14:paraId="044F4A16" w14:textId="04929899" w:rsidR="00D354FB" w:rsidRPr="00DF02C5" w:rsidRDefault="00D354FB" w:rsidP="00CB6ACA">
      <w:pPr>
        <w:pStyle w:val="Para1"/>
        <w:numPr>
          <w:ilvl w:val="0"/>
          <w:numId w:val="93"/>
        </w:numPr>
        <w:rPr>
          <w:rFonts w:eastAsia="Calibri" w:hAnsi="Times New Roman"/>
          <w:snapToGrid w:val="0"/>
          <w:color w:val="auto"/>
          <w:kern w:val="22"/>
          <w:bdr w:val="none" w:sz="0" w:space="0" w:color="auto"/>
          <w:lang w:val="en-GB"/>
        </w:rPr>
      </w:pPr>
      <w:r w:rsidRPr="00DF02C5">
        <w:rPr>
          <w:rFonts w:hAnsi="Times New Roman"/>
          <w:color w:val="auto"/>
          <w:bdr w:val="none" w:sz="0" w:space="0" w:color="auto"/>
          <w:lang w:val="en-GB"/>
        </w:rPr>
        <w:t xml:space="preserve">Thirty Parties and one non-Party responded that they </w:t>
      </w:r>
      <w:r w:rsidR="00DF02C5" w:rsidRPr="00DF02C5">
        <w:rPr>
          <w:rFonts w:hAnsi="Times New Roman"/>
          <w:color w:val="auto"/>
          <w:bdr w:val="none" w:sz="0" w:space="0" w:color="auto"/>
          <w:lang w:val="en-GB"/>
        </w:rPr>
        <w:t>endeavour</w:t>
      </w:r>
      <w:r w:rsidR="00204E3F" w:rsidRPr="00DF02C5">
        <w:rPr>
          <w:rFonts w:hAnsi="Times New Roman"/>
          <w:color w:val="auto"/>
          <w:bdr w:val="none" w:sz="0" w:space="0" w:color="auto"/>
          <w:lang w:val="en-GB"/>
        </w:rPr>
        <w:t xml:space="preserve"> to cooperate while thirty-nine Parties and five non-Parties answered that they do not.</w:t>
      </w:r>
    </w:p>
    <w:p w14:paraId="46D59744" w14:textId="1E48793E" w:rsidR="00204E3F" w:rsidRPr="00DF02C5" w:rsidRDefault="00E5256F" w:rsidP="00E5256F">
      <w:pPr>
        <w:pStyle w:val="Caption"/>
        <w:keepNext/>
        <w:keepLines/>
        <w:rPr>
          <w:snapToGrid w:val="0"/>
          <w:bdr w:val="none" w:sz="0" w:space="0" w:color="auto"/>
          <w:lang w:val="en-GB"/>
        </w:rPr>
      </w:pPr>
      <w:r w:rsidRPr="00DF02C5">
        <w:rPr>
          <w:lang w:val="en-GB"/>
        </w:rPr>
        <w:lastRenderedPageBreak/>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Pr="00DF02C5">
        <w:rPr>
          <w:noProof/>
          <w:lang w:val="en-GB"/>
        </w:rPr>
        <w:t>43</w:t>
      </w:r>
      <w:r w:rsidRPr="00DF02C5">
        <w:rPr>
          <w:lang w:val="en-GB"/>
        </w:rPr>
        <w:fldChar w:fldCharType="end"/>
      </w:r>
      <w:r w:rsidR="00204E3F" w:rsidRPr="00DF02C5">
        <w:rPr>
          <w:snapToGrid w:val="0"/>
          <w:bdr w:val="none" w:sz="0" w:space="0" w:color="auto"/>
          <w:lang w:val="en-GB"/>
        </w:rPr>
        <w:t>: Cooperation</w:t>
      </w:r>
      <w:r w:rsidR="00204E3F" w:rsidRPr="00DF02C5">
        <w:rPr>
          <w:lang w:val="en-GB"/>
        </w:rPr>
        <w:t xml:space="preserve"> </w:t>
      </w:r>
      <w:r w:rsidR="00204E3F" w:rsidRPr="00DF02C5">
        <w:rPr>
          <w:snapToGrid w:val="0"/>
          <w:bdr w:val="none" w:sz="0" w:space="0" w:color="auto"/>
          <w:lang w:val="en-GB"/>
        </w:rPr>
        <w:t>in instances where the same genetic resources are found in situ within the territory of more than one Party (percentage of countries)</w:t>
      </w:r>
    </w:p>
    <w:p w14:paraId="33CC895A" w14:textId="48BE2400" w:rsidR="00204E3F" w:rsidRPr="00DF02C5" w:rsidRDefault="00204E3F" w:rsidP="00204E3F">
      <w:pPr>
        <w:pStyle w:val="Para1"/>
        <w:jc w:val="center"/>
        <w:rPr>
          <w:rFonts w:eastAsia="Calibri" w:hAnsi="Times New Roman"/>
          <w:snapToGrid w:val="0"/>
          <w:color w:val="auto"/>
          <w:kern w:val="22"/>
          <w:bdr w:val="none" w:sz="0" w:space="0" w:color="auto"/>
          <w:lang w:val="en-GB"/>
        </w:rPr>
      </w:pPr>
      <w:r w:rsidRPr="00DF02C5">
        <w:rPr>
          <w:noProof/>
        </w:rPr>
        <w:drawing>
          <wp:inline distT="0" distB="0" distL="0" distR="0" wp14:anchorId="4177F9D4" wp14:editId="77BB26CD">
            <wp:extent cx="3438525" cy="1914525"/>
            <wp:effectExtent l="0" t="0" r="9525" b="9525"/>
            <wp:docPr id="44" name="Chart 44">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2CCCA29" w14:textId="4F843D74" w:rsidR="00204E3F" w:rsidRPr="00DF02C5" w:rsidRDefault="00204E3F" w:rsidP="00204E3F">
      <w:pPr>
        <w:pStyle w:val="Para1"/>
        <w:rPr>
          <w:rFonts w:hAnsi="Times New Roman"/>
          <w:i/>
          <w:bdr w:val="none" w:sz="0" w:space="0" w:color="auto"/>
          <w:lang w:val="en-GB"/>
        </w:rPr>
      </w:pPr>
      <w:r w:rsidRPr="00DF02C5">
        <w:rPr>
          <w:rFonts w:hAnsi="Times New Roman"/>
          <w:i/>
          <w:bdr w:val="none" w:sz="0" w:space="0" w:color="auto"/>
          <w:lang w:val="en-GB"/>
        </w:rPr>
        <w:t>(a)</w:t>
      </w:r>
      <w:r w:rsidRPr="00DF02C5">
        <w:rPr>
          <w:rFonts w:hAnsi="Times New Roman"/>
          <w:i/>
          <w:bdr w:val="none" w:sz="0" w:space="0" w:color="auto"/>
          <w:lang w:val="en-GB"/>
        </w:rPr>
        <w:tab/>
        <w:t>Countries that answered “yes”</w:t>
      </w:r>
    </w:p>
    <w:p w14:paraId="483412FF" w14:textId="1E785761" w:rsidR="00A60AB6" w:rsidRPr="00DF02C5" w:rsidRDefault="00A60AB6"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Some countries</w:t>
      </w:r>
      <w:r w:rsidRPr="00DF02C5">
        <w:rPr>
          <w:rStyle w:val="FootnoteReference"/>
          <w:rFonts w:eastAsia="Calibri" w:hAnsi="Times New Roman"/>
          <w:snapToGrid w:val="0"/>
          <w:color w:val="auto"/>
          <w:kern w:val="22"/>
          <w:bdr w:val="none" w:sz="0" w:space="0" w:color="auto"/>
          <w:lang w:val="en-GB"/>
        </w:rPr>
        <w:footnoteReference w:id="361"/>
      </w:r>
      <w:r w:rsidRPr="00DF02C5">
        <w:rPr>
          <w:rFonts w:eastAsia="Calibri" w:hAnsi="Times New Roman"/>
          <w:snapToGrid w:val="0"/>
          <w:color w:val="auto"/>
          <w:kern w:val="22"/>
          <w:bdr w:val="none" w:sz="0" w:space="0" w:color="auto"/>
          <w:lang w:val="en-GB"/>
        </w:rPr>
        <w:t xml:space="preserve"> said that if the case arises they endeavour to cooperate, and two of them noted that the situation would be dealt on a case-by-case basis</w:t>
      </w:r>
      <w:r w:rsidR="005D4302">
        <w:rPr>
          <w:rFonts w:eastAsia="Calibri" w:hAnsi="Times New Roman"/>
          <w:snapToGrid w:val="0"/>
          <w:color w:val="auto"/>
          <w:kern w:val="22"/>
          <w:bdr w:val="none" w:sz="0" w:space="0" w:color="auto"/>
          <w:lang w:val="en-GB"/>
        </w:rPr>
        <w:t>.</w:t>
      </w:r>
      <w:r w:rsidRPr="00DF02C5">
        <w:rPr>
          <w:rStyle w:val="FootnoteReference"/>
          <w:rFonts w:eastAsia="Calibri" w:hAnsi="Times New Roman"/>
          <w:snapToGrid w:val="0"/>
          <w:color w:val="auto"/>
          <w:kern w:val="22"/>
          <w:bdr w:val="none" w:sz="0" w:space="0" w:color="auto"/>
          <w:lang w:val="en-GB"/>
        </w:rPr>
        <w:footnoteReference w:id="362"/>
      </w:r>
      <w:r w:rsidRPr="00DF02C5">
        <w:rPr>
          <w:rFonts w:eastAsia="Calibri" w:hAnsi="Times New Roman"/>
          <w:snapToGrid w:val="0"/>
          <w:color w:val="auto"/>
          <w:kern w:val="22"/>
          <w:bdr w:val="none" w:sz="0" w:space="0" w:color="auto"/>
          <w:lang w:val="en-GB"/>
        </w:rPr>
        <w:t xml:space="preserve"> Some countries</w:t>
      </w:r>
      <w:r w:rsidRPr="00DF02C5">
        <w:rPr>
          <w:rStyle w:val="FootnoteReference"/>
          <w:rFonts w:eastAsia="Calibri" w:hAnsi="Times New Roman"/>
          <w:snapToGrid w:val="0"/>
          <w:color w:val="auto"/>
          <w:kern w:val="22"/>
          <w:bdr w:val="none" w:sz="0" w:space="0" w:color="auto"/>
          <w:lang w:val="en-GB"/>
        </w:rPr>
        <w:footnoteReference w:id="363"/>
      </w:r>
      <w:r w:rsidRPr="00DF02C5">
        <w:rPr>
          <w:rFonts w:eastAsia="Calibri" w:hAnsi="Times New Roman"/>
          <w:snapToGrid w:val="0"/>
          <w:color w:val="auto"/>
          <w:kern w:val="22"/>
          <w:bdr w:val="none" w:sz="0" w:space="0" w:color="auto"/>
          <w:lang w:val="en-GB"/>
        </w:rPr>
        <w:t xml:space="preserve"> explained that they were planning to incorporate this aspect in their ABS measures. </w:t>
      </w:r>
    </w:p>
    <w:p w14:paraId="52A8E671" w14:textId="77777777" w:rsidR="00204E3F" w:rsidRPr="00DF02C5" w:rsidRDefault="00A60AB6"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One country</w:t>
      </w:r>
      <w:r w:rsidRPr="00DF02C5">
        <w:rPr>
          <w:rStyle w:val="FootnoteReference"/>
          <w:rFonts w:eastAsia="Calibri" w:hAnsi="Times New Roman"/>
          <w:snapToGrid w:val="0"/>
          <w:color w:val="auto"/>
          <w:kern w:val="22"/>
          <w:bdr w:val="none" w:sz="0" w:space="0" w:color="auto"/>
          <w:lang w:val="en-GB"/>
        </w:rPr>
        <w:footnoteReference w:id="364"/>
      </w:r>
      <w:r w:rsidRPr="00DF02C5">
        <w:rPr>
          <w:rFonts w:eastAsia="Calibri" w:hAnsi="Times New Roman"/>
          <w:snapToGrid w:val="0"/>
          <w:color w:val="auto"/>
          <w:kern w:val="22"/>
          <w:bdr w:val="none" w:sz="0" w:space="0" w:color="auto"/>
          <w:lang w:val="en-GB"/>
        </w:rPr>
        <w:t xml:space="preserve"> suggested that the issue could be taken up by regional economic organisations through multilateral agreements, and another</w:t>
      </w:r>
      <w:r w:rsidRPr="00DF02C5">
        <w:rPr>
          <w:rStyle w:val="FootnoteReference"/>
          <w:rFonts w:eastAsia="Calibri" w:hAnsi="Times New Roman"/>
          <w:snapToGrid w:val="0"/>
          <w:color w:val="auto"/>
          <w:kern w:val="22"/>
          <w:bdr w:val="none" w:sz="0" w:space="0" w:color="auto"/>
          <w:lang w:val="en-GB"/>
        </w:rPr>
        <w:footnoteReference w:id="365"/>
      </w:r>
      <w:r w:rsidRPr="00DF02C5">
        <w:rPr>
          <w:rFonts w:eastAsia="Calibri" w:hAnsi="Times New Roman"/>
          <w:snapToGrid w:val="0"/>
          <w:color w:val="auto"/>
          <w:kern w:val="22"/>
          <w:bdr w:val="none" w:sz="0" w:space="0" w:color="auto"/>
          <w:lang w:val="en-GB"/>
        </w:rPr>
        <w:t xml:space="preserve"> explained that as part of a regional project on the Nagoya Protocol a regional ABS clearing-house was planned to acknowledge com</w:t>
      </w:r>
      <w:r w:rsidR="00204E3F" w:rsidRPr="00DF02C5">
        <w:rPr>
          <w:rFonts w:eastAsia="Calibri" w:hAnsi="Times New Roman"/>
          <w:snapToGrid w:val="0"/>
          <w:color w:val="auto"/>
          <w:kern w:val="22"/>
          <w:bdr w:val="none" w:sz="0" w:space="0" w:color="auto"/>
          <w:lang w:val="en-GB"/>
        </w:rPr>
        <w:t xml:space="preserve">monalities across territories. </w:t>
      </w:r>
    </w:p>
    <w:p w14:paraId="10C98F17" w14:textId="279D6687" w:rsidR="00A60AB6" w:rsidRPr="00DF02C5" w:rsidRDefault="00204E3F"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w:t>
      </w:r>
      <w:r w:rsidR="00A60AB6" w:rsidRPr="00DF02C5">
        <w:rPr>
          <w:rFonts w:eastAsia="Calibri" w:hAnsi="Times New Roman"/>
          <w:snapToGrid w:val="0"/>
          <w:color w:val="auto"/>
          <w:kern w:val="22"/>
          <w:bdr w:val="none" w:sz="0" w:space="0" w:color="auto"/>
          <w:lang w:val="en-GB"/>
        </w:rPr>
        <w:t xml:space="preserve">ome </w:t>
      </w:r>
      <w:r w:rsidRPr="00DF02C5">
        <w:rPr>
          <w:rFonts w:eastAsia="Calibri" w:hAnsi="Times New Roman"/>
          <w:snapToGrid w:val="0"/>
          <w:color w:val="auto"/>
          <w:kern w:val="22"/>
          <w:bdr w:val="none" w:sz="0" w:space="0" w:color="auto"/>
          <w:lang w:val="en-GB"/>
        </w:rPr>
        <w:t>countries</w:t>
      </w:r>
      <w:r w:rsidRPr="00DF02C5">
        <w:rPr>
          <w:rStyle w:val="FootnoteReference"/>
          <w:rFonts w:eastAsia="Calibri" w:hAnsi="Times New Roman"/>
          <w:snapToGrid w:val="0"/>
          <w:color w:val="auto"/>
          <w:kern w:val="22"/>
          <w:bdr w:val="none" w:sz="0" w:space="0" w:color="auto"/>
          <w:lang w:val="en-GB"/>
        </w:rPr>
        <w:footnoteReference w:id="366"/>
      </w:r>
      <w:r w:rsidRPr="00DF02C5">
        <w:rPr>
          <w:rFonts w:eastAsia="Calibri" w:hAnsi="Times New Roman"/>
          <w:snapToGrid w:val="0"/>
          <w:color w:val="auto"/>
          <w:kern w:val="22"/>
          <w:bdr w:val="none" w:sz="0" w:space="0" w:color="auto"/>
          <w:lang w:val="en-GB"/>
        </w:rPr>
        <w:t xml:space="preserve"> </w:t>
      </w:r>
      <w:r w:rsidR="00A60AB6" w:rsidRPr="00DF02C5">
        <w:rPr>
          <w:rFonts w:eastAsia="Calibri" w:hAnsi="Times New Roman"/>
          <w:snapToGrid w:val="0"/>
          <w:color w:val="auto"/>
          <w:kern w:val="22"/>
          <w:bdr w:val="none" w:sz="0" w:space="0" w:color="auto"/>
          <w:lang w:val="en-GB"/>
        </w:rPr>
        <w:t>provided information on other cooperation initiatives, organisations, and instruments they are part of, noting that the experience acquired through these initiatives could be useful for transboundary cooperation in the context of the Nagoya Protocol.</w:t>
      </w:r>
      <w:r w:rsidR="00A60AB6" w:rsidRPr="00DF02C5">
        <w:rPr>
          <w:rStyle w:val="FootnoteReference"/>
          <w:rFonts w:eastAsia="Calibri" w:hAnsi="Times New Roman"/>
          <w:snapToGrid w:val="0"/>
          <w:color w:val="auto"/>
          <w:kern w:val="22"/>
          <w:bdr w:val="none" w:sz="0" w:space="0" w:color="auto"/>
          <w:lang w:val="en-GB"/>
        </w:rPr>
        <w:footnoteReference w:id="367"/>
      </w:r>
      <w:r w:rsidR="00A60AB6" w:rsidRPr="00DF02C5">
        <w:rPr>
          <w:rFonts w:eastAsia="Calibri" w:hAnsi="Times New Roman"/>
          <w:snapToGrid w:val="0"/>
          <w:color w:val="auto"/>
          <w:kern w:val="22"/>
          <w:bdr w:val="none" w:sz="0" w:space="0" w:color="auto"/>
          <w:lang w:val="en-GB"/>
        </w:rPr>
        <w:t xml:space="preserve"> For example:</w:t>
      </w:r>
    </w:p>
    <w:p w14:paraId="1F831FA7" w14:textId="14C5AF48" w:rsidR="00A60AB6" w:rsidRPr="00DF02C5" w:rsidRDefault="00A60AB6" w:rsidP="00BC6060">
      <w:pPr>
        <w:pStyle w:val="ListParagraph"/>
        <w:numPr>
          <w:ilvl w:val="1"/>
          <w:numId w:val="76"/>
        </w:numPr>
        <w:spacing w:before="120" w:after="120" w:line="228" w:lineRule="auto"/>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Uganda explained that cooperation was done through the East Africa Community Protocol on Environment and Natural Resources Management which has provisions on ABS</w:t>
      </w:r>
      <w:r w:rsidRPr="00DF02C5">
        <w:rPr>
          <w:rStyle w:val="FootnoteReference"/>
          <w:rFonts w:eastAsia="Calibri" w:hAnsi="Times New Roman" w:cs="Times New Roman"/>
          <w:snapToGrid w:val="0"/>
          <w:color w:val="auto"/>
          <w:kern w:val="22"/>
          <w:bdr w:val="none" w:sz="0" w:space="0" w:color="auto"/>
          <w:lang w:val="en-GB"/>
        </w:rPr>
        <w:footnoteReference w:id="368"/>
      </w:r>
      <w:r w:rsidR="00204E3F" w:rsidRPr="00DF02C5">
        <w:rPr>
          <w:rFonts w:eastAsia="Calibri" w:hAnsi="Times New Roman" w:cs="Times New Roman"/>
          <w:snapToGrid w:val="0"/>
          <w:color w:val="auto"/>
          <w:kern w:val="22"/>
          <w:bdr w:val="none" w:sz="0" w:space="0" w:color="auto"/>
          <w:lang w:val="en-GB"/>
        </w:rPr>
        <w:t xml:space="preserve"> and through </w:t>
      </w:r>
      <w:proofErr w:type="gramStart"/>
      <w:r w:rsidRPr="00DF02C5">
        <w:rPr>
          <w:rFonts w:eastAsia="Calibri" w:hAnsi="Times New Roman" w:cs="Times New Roman"/>
          <w:snapToGrid w:val="0"/>
          <w:color w:val="auto"/>
          <w:kern w:val="22"/>
          <w:bdr w:val="none" w:sz="0" w:space="0" w:color="auto"/>
          <w:lang w:val="en-GB"/>
        </w:rPr>
        <w:t>a number of</w:t>
      </w:r>
      <w:proofErr w:type="gramEnd"/>
      <w:r w:rsidRPr="00DF02C5">
        <w:rPr>
          <w:rFonts w:eastAsia="Calibri" w:hAnsi="Times New Roman" w:cs="Times New Roman"/>
          <w:snapToGrid w:val="0"/>
          <w:color w:val="auto"/>
          <w:kern w:val="22"/>
          <w:bdr w:val="none" w:sz="0" w:space="0" w:color="auto"/>
          <w:lang w:val="en-GB"/>
        </w:rPr>
        <w:t xml:space="preserve"> trans-boundary projects, programmes</w:t>
      </w:r>
      <w:r w:rsidR="00657D5D" w:rsidRPr="00DF02C5">
        <w:rPr>
          <w:rFonts w:eastAsia="Calibri" w:hAnsi="Times New Roman" w:cs="Times New Roman"/>
          <w:snapToGrid w:val="0"/>
          <w:color w:val="auto"/>
          <w:kern w:val="22"/>
          <w:bdr w:val="none" w:sz="0" w:space="0" w:color="auto"/>
          <w:lang w:val="en-GB"/>
        </w:rPr>
        <w:t>,</w:t>
      </w:r>
      <w:r w:rsidRPr="00DF02C5">
        <w:rPr>
          <w:rFonts w:eastAsia="Calibri" w:hAnsi="Times New Roman" w:cs="Times New Roman"/>
          <w:snapToGrid w:val="0"/>
          <w:color w:val="auto"/>
          <w:kern w:val="22"/>
          <w:bdr w:val="none" w:sz="0" w:space="0" w:color="auto"/>
          <w:lang w:val="en-GB"/>
        </w:rPr>
        <w:t xml:space="preserve"> and agreement</w:t>
      </w:r>
      <w:r w:rsidR="00657D5D" w:rsidRPr="00DF02C5">
        <w:rPr>
          <w:rFonts w:eastAsia="Calibri" w:hAnsi="Times New Roman" w:cs="Times New Roman"/>
          <w:snapToGrid w:val="0"/>
          <w:color w:val="auto"/>
          <w:kern w:val="22"/>
          <w:bdr w:val="none" w:sz="0" w:space="0" w:color="auto"/>
          <w:lang w:val="en-GB"/>
        </w:rPr>
        <w:t>s</w:t>
      </w:r>
      <w:r w:rsidRPr="00DF02C5">
        <w:rPr>
          <w:rFonts w:eastAsia="Calibri" w:hAnsi="Times New Roman" w:cs="Times New Roman"/>
          <w:snapToGrid w:val="0"/>
          <w:color w:val="auto"/>
          <w:kern w:val="22"/>
          <w:bdr w:val="none" w:sz="0" w:space="0" w:color="auto"/>
          <w:lang w:val="en-GB"/>
        </w:rPr>
        <w:t xml:space="preserve"> between Ug</w:t>
      </w:r>
      <w:r w:rsidR="005D4302">
        <w:rPr>
          <w:rFonts w:eastAsia="Calibri" w:hAnsi="Times New Roman" w:cs="Times New Roman"/>
          <w:snapToGrid w:val="0"/>
          <w:color w:val="auto"/>
          <w:kern w:val="22"/>
          <w:bdr w:val="none" w:sz="0" w:space="0" w:color="auto"/>
          <w:lang w:val="en-GB"/>
        </w:rPr>
        <w:t>anda and neighbouring countries;</w:t>
      </w:r>
      <w:r w:rsidRPr="00DF02C5">
        <w:rPr>
          <w:rStyle w:val="FootnoteReference"/>
          <w:rFonts w:eastAsia="Calibri" w:hAnsi="Times New Roman" w:cs="Times New Roman"/>
          <w:snapToGrid w:val="0"/>
          <w:color w:val="auto"/>
          <w:kern w:val="22"/>
          <w:bdr w:val="none" w:sz="0" w:space="0" w:color="auto"/>
          <w:lang w:val="en-GB"/>
        </w:rPr>
        <w:footnoteReference w:id="369"/>
      </w:r>
      <w:r w:rsidRPr="00DF02C5">
        <w:rPr>
          <w:rFonts w:eastAsia="Calibri" w:hAnsi="Times New Roman" w:cs="Times New Roman"/>
          <w:snapToGrid w:val="0"/>
          <w:color w:val="auto"/>
          <w:kern w:val="22"/>
          <w:bdr w:val="none" w:sz="0" w:space="0" w:color="auto"/>
          <w:lang w:val="en-GB"/>
        </w:rPr>
        <w:t xml:space="preserve"> </w:t>
      </w:r>
    </w:p>
    <w:p w14:paraId="04620949" w14:textId="4A2208DD" w:rsidR="00A60AB6" w:rsidRPr="00DF02C5" w:rsidRDefault="00A60AB6" w:rsidP="00BC6060">
      <w:pPr>
        <w:pStyle w:val="ListParagraph"/>
        <w:numPr>
          <w:ilvl w:val="1"/>
          <w:numId w:val="76"/>
        </w:numPr>
        <w:spacing w:before="120" w:after="120" w:line="228" w:lineRule="auto"/>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India </w:t>
      </w:r>
      <w:r w:rsidR="00204E3F" w:rsidRPr="00DF02C5">
        <w:rPr>
          <w:rFonts w:eastAsia="Calibri" w:hAnsi="Times New Roman" w:cs="Times New Roman"/>
          <w:snapToGrid w:val="0"/>
          <w:color w:val="auto"/>
          <w:kern w:val="22"/>
          <w:bdr w:val="none" w:sz="0" w:space="0" w:color="auto"/>
          <w:lang w:val="en-GB"/>
        </w:rPr>
        <w:t>reported on</w:t>
      </w:r>
      <w:r w:rsidRPr="00DF02C5">
        <w:rPr>
          <w:rFonts w:eastAsia="Calibri" w:hAnsi="Times New Roman" w:cs="Times New Roman"/>
          <w:snapToGrid w:val="0"/>
          <w:color w:val="auto"/>
          <w:kern w:val="22"/>
          <w:bdr w:val="none" w:sz="0" w:space="0" w:color="auto"/>
          <w:lang w:val="en-GB"/>
        </w:rPr>
        <w:t xml:space="preserve"> </w:t>
      </w:r>
      <w:r w:rsidR="00204E3F" w:rsidRPr="00DF02C5">
        <w:rPr>
          <w:rFonts w:eastAsia="Calibri" w:hAnsi="Times New Roman" w:cs="Times New Roman"/>
          <w:snapToGrid w:val="0"/>
          <w:color w:val="auto"/>
          <w:kern w:val="22"/>
          <w:bdr w:val="none" w:sz="0" w:space="0" w:color="auto"/>
          <w:lang w:val="en-GB"/>
        </w:rPr>
        <w:t>cooperation projects with</w:t>
      </w:r>
      <w:r w:rsidRPr="00DF02C5">
        <w:rPr>
          <w:rFonts w:eastAsia="Calibri" w:hAnsi="Times New Roman" w:cs="Times New Roman"/>
          <w:snapToGrid w:val="0"/>
          <w:color w:val="auto"/>
          <w:kern w:val="22"/>
          <w:bdr w:val="none" w:sz="0" w:space="0" w:color="auto"/>
          <w:lang w:val="en-GB"/>
        </w:rPr>
        <w:t xml:space="preserve"> </w:t>
      </w:r>
      <w:r w:rsidR="00204E3F" w:rsidRPr="00DF02C5">
        <w:rPr>
          <w:rFonts w:eastAsia="Calibri" w:hAnsi="Times New Roman" w:cs="Times New Roman"/>
          <w:snapToGrid w:val="0"/>
          <w:color w:val="auto"/>
          <w:kern w:val="22"/>
          <w:bdr w:val="none" w:sz="0" w:space="0" w:color="auto"/>
          <w:lang w:val="en-GB"/>
        </w:rPr>
        <w:t>other countries of the region, such as the Kailash Landscape Project (</w:t>
      </w:r>
      <w:r w:rsidRPr="00DF02C5">
        <w:rPr>
          <w:rFonts w:eastAsia="Calibri" w:hAnsi="Times New Roman" w:cs="Times New Roman"/>
          <w:snapToGrid w:val="0"/>
          <w:color w:val="auto"/>
          <w:kern w:val="22"/>
          <w:bdr w:val="none" w:sz="0" w:space="0" w:color="auto"/>
          <w:lang w:val="en-GB"/>
        </w:rPr>
        <w:t>a</w:t>
      </w:r>
      <w:r w:rsidR="00204E3F" w:rsidRPr="00DF02C5">
        <w:rPr>
          <w:rFonts w:eastAsia="Calibri" w:hAnsi="Times New Roman" w:cs="Times New Roman"/>
          <w:snapToGrid w:val="0"/>
          <w:color w:val="auto"/>
          <w:kern w:val="22"/>
          <w:bdr w:val="none" w:sz="0" w:space="0" w:color="auto"/>
          <w:lang w:val="en-GB"/>
        </w:rPr>
        <w:t xml:space="preserve"> transboundary holy site)</w:t>
      </w:r>
      <w:r w:rsidRPr="00DF02C5">
        <w:rPr>
          <w:rFonts w:eastAsia="Calibri" w:hAnsi="Times New Roman" w:cs="Times New Roman"/>
          <w:snapToGrid w:val="0"/>
          <w:color w:val="auto"/>
          <w:kern w:val="22"/>
          <w:bdr w:val="none" w:sz="0" w:space="0" w:color="auto"/>
          <w:lang w:val="en-GB"/>
        </w:rPr>
        <w:t xml:space="preserve"> and Bay of Bengal </w:t>
      </w:r>
      <w:r w:rsidR="00204E3F" w:rsidRPr="00DF02C5">
        <w:rPr>
          <w:rFonts w:eastAsia="Calibri" w:hAnsi="Times New Roman" w:cs="Times New Roman"/>
          <w:snapToGrid w:val="0"/>
          <w:color w:val="auto"/>
          <w:kern w:val="22"/>
          <w:bdr w:val="none" w:sz="0" w:space="0" w:color="auto"/>
          <w:lang w:val="en-GB"/>
        </w:rPr>
        <w:t>Large Marine Ecosystem Project (</w:t>
      </w:r>
      <w:r w:rsidRPr="00DF02C5">
        <w:rPr>
          <w:rFonts w:eastAsia="Calibri" w:hAnsi="Times New Roman" w:cs="Times New Roman"/>
          <w:snapToGrid w:val="0"/>
          <w:color w:val="auto"/>
          <w:kern w:val="22"/>
          <w:bdr w:val="none" w:sz="0" w:space="0" w:color="auto"/>
          <w:lang w:val="en-GB"/>
        </w:rPr>
        <w:t>a protected marine and coastal area</w:t>
      </w:r>
      <w:r w:rsidR="005D4302">
        <w:rPr>
          <w:rFonts w:eastAsia="Calibri" w:hAnsi="Times New Roman" w:cs="Times New Roman"/>
          <w:snapToGrid w:val="0"/>
          <w:color w:val="auto"/>
          <w:kern w:val="22"/>
          <w:bdr w:val="none" w:sz="0" w:space="0" w:color="auto"/>
          <w:lang w:val="en-GB"/>
        </w:rPr>
        <w:t>);</w:t>
      </w:r>
    </w:p>
    <w:p w14:paraId="400AF12A" w14:textId="5561E867" w:rsidR="00A60AB6" w:rsidRPr="00DF02C5" w:rsidRDefault="00A60AB6" w:rsidP="00BC6060">
      <w:pPr>
        <w:pStyle w:val="ListParagraph"/>
        <w:numPr>
          <w:ilvl w:val="1"/>
          <w:numId w:val="76"/>
        </w:numPr>
        <w:spacing w:before="120" w:after="120" w:line="228" w:lineRule="auto"/>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Belarus</w:t>
      </w:r>
      <w:r w:rsidR="009009C3" w:rsidRPr="00DF02C5">
        <w:rPr>
          <w:rFonts w:eastAsia="Calibri" w:hAnsi="Times New Roman" w:cs="Times New Roman"/>
          <w:snapToGrid w:val="0"/>
          <w:color w:val="auto"/>
          <w:kern w:val="22"/>
          <w:bdr w:val="none" w:sz="0" w:space="0" w:color="auto"/>
          <w:lang w:val="en-GB"/>
        </w:rPr>
        <w:t xml:space="preserve"> has</w:t>
      </w:r>
      <w:r w:rsidRPr="00DF02C5">
        <w:rPr>
          <w:rFonts w:eastAsia="Calibri" w:hAnsi="Times New Roman" w:cs="Times New Roman"/>
          <w:snapToGrid w:val="0"/>
          <w:color w:val="auto"/>
          <w:kern w:val="22"/>
          <w:bdr w:val="none" w:sz="0" w:space="0" w:color="auto"/>
          <w:lang w:val="en-GB"/>
        </w:rPr>
        <w:t xml:space="preserve"> implemented joint projects within the framework of </w:t>
      </w:r>
      <w:r w:rsidR="009009C3" w:rsidRPr="00DF02C5">
        <w:rPr>
          <w:rFonts w:eastAsia="Calibri" w:hAnsi="Times New Roman" w:cs="Times New Roman"/>
          <w:snapToGrid w:val="0"/>
          <w:color w:val="auto"/>
          <w:kern w:val="22"/>
          <w:bdr w:val="none" w:sz="0" w:space="0" w:color="auto"/>
          <w:lang w:val="en-GB"/>
        </w:rPr>
        <w:t>the Cross-border Cooperation Programme, Poland-Belarus-Ukraine 2014-2020.</w:t>
      </w:r>
    </w:p>
    <w:p w14:paraId="37CED4D7" w14:textId="7F8CE7D9" w:rsidR="009009C3" w:rsidRPr="00DF02C5" w:rsidRDefault="003B3005" w:rsidP="003B3005">
      <w:pPr>
        <w:pStyle w:val="Para1"/>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t>(b)</w:t>
      </w:r>
      <w:r w:rsidRPr="00DF02C5">
        <w:rPr>
          <w:rFonts w:eastAsia="Calibri" w:hAnsi="Times New Roman"/>
          <w:i/>
          <w:snapToGrid w:val="0"/>
          <w:color w:val="auto"/>
          <w:kern w:val="22"/>
          <w:bdr w:val="none" w:sz="0" w:space="0" w:color="auto"/>
          <w:lang w:val="en-GB"/>
        </w:rPr>
        <w:tab/>
      </w:r>
      <w:r w:rsidR="009009C3" w:rsidRPr="00DF02C5">
        <w:rPr>
          <w:rFonts w:eastAsia="Calibri" w:hAnsi="Times New Roman"/>
          <w:i/>
          <w:snapToGrid w:val="0"/>
          <w:color w:val="auto"/>
          <w:kern w:val="22"/>
          <w:bdr w:val="none" w:sz="0" w:space="0" w:color="auto"/>
          <w:lang w:val="en-GB"/>
        </w:rPr>
        <w:t>Countries that answered “no”</w:t>
      </w:r>
    </w:p>
    <w:p w14:paraId="71A5D62B" w14:textId="69C46FA4" w:rsidR="00A60AB6" w:rsidRPr="00DF02C5" w:rsidRDefault="009009C3"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lastRenderedPageBreak/>
        <w:t>S</w:t>
      </w:r>
      <w:r w:rsidR="00A60AB6" w:rsidRPr="00DF02C5">
        <w:rPr>
          <w:rFonts w:eastAsia="Calibri" w:hAnsi="Times New Roman"/>
          <w:snapToGrid w:val="0"/>
          <w:color w:val="auto"/>
          <w:kern w:val="22"/>
          <w:bdr w:val="none" w:sz="0" w:space="0" w:color="auto"/>
          <w:lang w:val="en-GB"/>
        </w:rPr>
        <w:t>ome countries</w:t>
      </w:r>
      <w:r w:rsidR="00A60AB6" w:rsidRPr="00DF02C5">
        <w:rPr>
          <w:rStyle w:val="FootnoteReference"/>
          <w:rFonts w:eastAsia="Calibri" w:hAnsi="Times New Roman"/>
          <w:snapToGrid w:val="0"/>
          <w:color w:val="auto"/>
          <w:kern w:val="22"/>
          <w:bdr w:val="none" w:sz="0" w:space="0" w:color="auto"/>
          <w:lang w:val="en-GB"/>
        </w:rPr>
        <w:footnoteReference w:id="370"/>
      </w:r>
      <w:r w:rsidR="00A60AB6" w:rsidRPr="00DF02C5">
        <w:rPr>
          <w:rFonts w:eastAsia="Calibri" w:hAnsi="Times New Roman"/>
          <w:snapToGrid w:val="0"/>
          <w:color w:val="auto"/>
          <w:kern w:val="22"/>
          <w:bdr w:val="none" w:sz="0" w:space="0" w:color="auto"/>
          <w:lang w:val="en-GB"/>
        </w:rPr>
        <w:t xml:space="preserve"> clarified that the question was not applicable </w:t>
      </w:r>
      <w:r w:rsidRPr="00DF02C5">
        <w:rPr>
          <w:rFonts w:eastAsia="Calibri" w:hAnsi="Times New Roman"/>
          <w:snapToGrid w:val="0"/>
          <w:color w:val="auto"/>
          <w:kern w:val="22"/>
          <w:bdr w:val="none" w:sz="0" w:space="0" w:color="auto"/>
          <w:lang w:val="en-GB"/>
        </w:rPr>
        <w:t xml:space="preserve">for them </w:t>
      </w:r>
      <w:r w:rsidR="00A60AB6" w:rsidRPr="00DF02C5">
        <w:rPr>
          <w:rFonts w:eastAsia="Calibri" w:hAnsi="Times New Roman"/>
          <w:snapToGrid w:val="0"/>
          <w:color w:val="auto"/>
          <w:kern w:val="22"/>
          <w:bdr w:val="none" w:sz="0" w:space="0" w:color="auto"/>
          <w:lang w:val="en-GB"/>
        </w:rPr>
        <w:t>as they have no access requirements in place and/or there are no IPLCs</w:t>
      </w:r>
      <w:r w:rsidRPr="00DF02C5">
        <w:rPr>
          <w:rFonts w:eastAsia="Calibri" w:hAnsi="Times New Roman"/>
          <w:snapToGrid w:val="0"/>
          <w:color w:val="auto"/>
          <w:kern w:val="22"/>
          <w:bdr w:val="none" w:sz="0" w:space="0" w:color="auto"/>
          <w:lang w:val="en-GB"/>
        </w:rPr>
        <w:t xml:space="preserve"> in their countries</w:t>
      </w:r>
      <w:r w:rsidR="00A60AB6" w:rsidRPr="00DF02C5">
        <w:rPr>
          <w:rFonts w:eastAsia="Calibri" w:hAnsi="Times New Roman"/>
          <w:snapToGrid w:val="0"/>
          <w:color w:val="auto"/>
          <w:kern w:val="22"/>
          <w:bdr w:val="none" w:sz="0" w:space="0" w:color="auto"/>
          <w:lang w:val="en-GB"/>
        </w:rPr>
        <w:t>. Some countries</w:t>
      </w:r>
      <w:r w:rsidR="00A60AB6" w:rsidRPr="00DF02C5">
        <w:rPr>
          <w:rStyle w:val="FootnoteReference"/>
          <w:rFonts w:eastAsia="Calibri" w:hAnsi="Times New Roman"/>
          <w:snapToGrid w:val="0"/>
          <w:color w:val="auto"/>
          <w:kern w:val="22"/>
          <w:bdr w:val="none" w:sz="0" w:space="0" w:color="auto"/>
          <w:lang w:val="en-GB"/>
        </w:rPr>
        <w:footnoteReference w:id="371"/>
      </w:r>
      <w:r w:rsidR="00A60AB6" w:rsidRPr="00DF02C5">
        <w:rPr>
          <w:rFonts w:eastAsia="Calibri" w:hAnsi="Times New Roman"/>
          <w:snapToGrid w:val="0"/>
          <w:color w:val="auto"/>
          <w:kern w:val="22"/>
          <w:bdr w:val="none" w:sz="0" w:space="0" w:color="auto"/>
          <w:lang w:val="en-GB"/>
        </w:rPr>
        <w:t xml:space="preserve"> said that if the case arises they endeavour to cooperate and other countries explained that they were planning to incorporate this aspect in their ABS measures</w:t>
      </w:r>
      <w:r w:rsidR="005D4302">
        <w:rPr>
          <w:rFonts w:eastAsia="Calibri" w:hAnsi="Times New Roman"/>
          <w:snapToGrid w:val="0"/>
          <w:color w:val="auto"/>
          <w:kern w:val="22"/>
          <w:bdr w:val="none" w:sz="0" w:space="0" w:color="auto"/>
          <w:lang w:val="en-GB"/>
        </w:rPr>
        <w:t>.</w:t>
      </w:r>
      <w:r w:rsidR="00657D5D" w:rsidRPr="00DF02C5">
        <w:rPr>
          <w:rStyle w:val="FootnoteReference"/>
          <w:rFonts w:eastAsia="Calibri" w:hAnsi="Times New Roman"/>
          <w:snapToGrid w:val="0"/>
          <w:color w:val="auto"/>
          <w:kern w:val="22"/>
          <w:bdr w:val="none" w:sz="0" w:space="0" w:color="auto"/>
          <w:lang w:val="en-GB"/>
        </w:rPr>
        <w:footnoteReference w:id="372"/>
      </w:r>
      <w:r w:rsidR="00A60AB6" w:rsidRPr="00DF02C5">
        <w:rPr>
          <w:rFonts w:eastAsia="Calibri" w:hAnsi="Times New Roman"/>
          <w:snapToGrid w:val="0"/>
          <w:color w:val="auto"/>
          <w:kern w:val="22"/>
          <w:bdr w:val="none" w:sz="0" w:space="0" w:color="auto"/>
          <w:lang w:val="en-GB"/>
        </w:rPr>
        <w:t xml:space="preserve"> Some provided information on their experiences in managing regional parks or other regional cooperation projects.</w:t>
      </w:r>
      <w:r w:rsidR="00657D5D" w:rsidRPr="00DF02C5">
        <w:rPr>
          <w:rStyle w:val="FootnoteReference"/>
          <w:rFonts w:eastAsia="Calibri" w:hAnsi="Times New Roman"/>
          <w:snapToGrid w:val="0"/>
          <w:color w:val="auto"/>
          <w:kern w:val="22"/>
          <w:bdr w:val="none" w:sz="0" w:space="0" w:color="auto"/>
          <w:lang w:val="en-GB"/>
        </w:rPr>
        <w:footnoteReference w:id="373"/>
      </w:r>
    </w:p>
    <w:p w14:paraId="021626B0" w14:textId="75FAC622" w:rsidR="00A60AB6" w:rsidRPr="00DF02C5" w:rsidRDefault="00A60AB6" w:rsidP="00CB6ACA">
      <w:pPr>
        <w:pStyle w:val="Para1"/>
        <w:numPr>
          <w:ilvl w:val="0"/>
          <w:numId w:val="93"/>
        </w:numPr>
        <w:rPr>
          <w:rFonts w:ascii="Consolas" w:hAnsi="Consolas"/>
          <w:color w:val="333333"/>
          <w:sz w:val="20"/>
          <w:szCs w:val="20"/>
          <w:shd w:val="clear" w:color="auto" w:fill="F5F5F5"/>
          <w:lang w:val="en-GB"/>
        </w:rPr>
      </w:pPr>
      <w:r w:rsidRPr="00DF02C5">
        <w:rPr>
          <w:rFonts w:eastAsia="Calibri" w:hAnsi="Times New Roman"/>
          <w:snapToGrid w:val="0"/>
          <w:color w:val="auto"/>
          <w:kern w:val="22"/>
          <w:bdr w:val="none" w:sz="0" w:space="0" w:color="auto"/>
          <w:lang w:val="en-GB"/>
        </w:rPr>
        <w:t xml:space="preserve">The subregional strategy on ABS developed by </w:t>
      </w:r>
      <w:r w:rsidR="00657D5D" w:rsidRPr="00DF02C5">
        <w:rPr>
          <w:rFonts w:eastAsia="Calibri" w:hAnsi="Times New Roman"/>
          <w:snapToGrid w:val="0"/>
          <w:color w:val="auto"/>
          <w:kern w:val="22"/>
          <w:bdr w:val="none" w:sz="0" w:space="0" w:color="auto"/>
          <w:lang w:val="en-GB"/>
        </w:rPr>
        <w:t xml:space="preserve">the Central African Forests Commission, </w:t>
      </w:r>
      <w:r w:rsidR="009009C3" w:rsidRPr="00DF02C5">
        <w:rPr>
          <w:rFonts w:eastAsia="Calibri" w:hAnsi="Times New Roman"/>
          <w:snapToGrid w:val="0"/>
          <w:color w:val="auto"/>
          <w:kern w:val="22"/>
          <w:bdr w:val="none" w:sz="0" w:space="0" w:color="auto"/>
          <w:lang w:val="en-GB"/>
        </w:rPr>
        <w:t>(</w:t>
      </w:r>
      <w:r w:rsidRPr="00DF02C5">
        <w:rPr>
          <w:rFonts w:eastAsia="Calibri" w:hAnsi="Times New Roman"/>
          <w:snapToGrid w:val="0"/>
          <w:color w:val="auto"/>
          <w:kern w:val="22"/>
          <w:bdr w:val="none" w:sz="0" w:space="0" w:color="auto"/>
          <w:lang w:val="en-GB"/>
        </w:rPr>
        <w:t>COMIFAC</w:t>
      </w:r>
      <w:r w:rsidR="009009C3" w:rsidRPr="00DF02C5">
        <w:rPr>
          <w:rFonts w:eastAsia="Calibri" w:hAnsi="Times New Roman"/>
          <w:snapToGrid w:val="0"/>
          <w:color w:val="auto"/>
          <w:kern w:val="22"/>
          <w:bdr w:val="none" w:sz="0" w:space="0" w:color="auto"/>
          <w:lang w:val="en-GB"/>
        </w:rPr>
        <w:t>)</w:t>
      </w:r>
      <w:r w:rsidRPr="00DF02C5">
        <w:rPr>
          <w:rFonts w:eastAsia="Calibri" w:hAnsi="Times New Roman"/>
          <w:snapToGrid w:val="0"/>
          <w:color w:val="auto"/>
          <w:kern w:val="22"/>
          <w:bdr w:val="none" w:sz="0" w:space="0" w:color="auto"/>
          <w:lang w:val="en-GB"/>
        </w:rPr>
        <w:t xml:space="preserve"> was mentioned</w:t>
      </w:r>
      <w:r w:rsidR="009009C3" w:rsidRPr="00DF02C5">
        <w:rPr>
          <w:rFonts w:eastAsia="Calibri" w:hAnsi="Times New Roman"/>
          <w:snapToGrid w:val="0"/>
          <w:color w:val="auto"/>
          <w:kern w:val="22"/>
          <w:bdr w:val="none" w:sz="0" w:space="0" w:color="auto"/>
          <w:lang w:val="en-GB"/>
        </w:rPr>
        <w:t>, and</w:t>
      </w:r>
      <w:r w:rsidRPr="00DF02C5">
        <w:rPr>
          <w:rFonts w:eastAsia="Calibri" w:hAnsi="Times New Roman"/>
          <w:snapToGrid w:val="0"/>
          <w:color w:val="auto"/>
          <w:kern w:val="22"/>
          <w:bdr w:val="none" w:sz="0" w:space="0" w:color="auto"/>
          <w:lang w:val="en-GB"/>
        </w:rPr>
        <w:t xml:space="preserve"> a country</w:t>
      </w:r>
      <w:r w:rsidRPr="00DF02C5">
        <w:rPr>
          <w:rStyle w:val="FootnoteReference"/>
          <w:rFonts w:eastAsia="Calibri" w:hAnsi="Times New Roman"/>
          <w:snapToGrid w:val="0"/>
          <w:color w:val="auto"/>
          <w:kern w:val="22"/>
          <w:bdr w:val="none" w:sz="0" w:space="0" w:color="auto"/>
          <w:lang w:val="en-GB"/>
        </w:rPr>
        <w:footnoteReference w:id="374"/>
      </w:r>
      <w:r w:rsidRPr="00DF02C5">
        <w:rPr>
          <w:rFonts w:eastAsia="Calibri" w:hAnsi="Times New Roman"/>
          <w:snapToGrid w:val="0"/>
          <w:color w:val="auto"/>
          <w:kern w:val="22"/>
          <w:bdr w:val="none" w:sz="0" w:space="0" w:color="auto"/>
          <w:lang w:val="en-GB"/>
        </w:rPr>
        <w:t xml:space="preserve"> </w:t>
      </w:r>
      <w:r w:rsidR="009009C3" w:rsidRPr="00DF02C5">
        <w:rPr>
          <w:rFonts w:eastAsia="Calibri" w:hAnsi="Times New Roman"/>
          <w:snapToGrid w:val="0"/>
          <w:color w:val="auto"/>
          <w:kern w:val="22"/>
          <w:bdr w:val="none" w:sz="0" w:space="0" w:color="auto"/>
          <w:lang w:val="en-GB"/>
        </w:rPr>
        <w:t xml:space="preserve"> indicated that they are planning </w:t>
      </w:r>
      <w:r w:rsidRPr="00DF02C5">
        <w:rPr>
          <w:rFonts w:eastAsia="Calibri" w:hAnsi="Times New Roman"/>
          <w:snapToGrid w:val="0"/>
          <w:color w:val="auto"/>
          <w:kern w:val="22"/>
          <w:bdr w:val="none" w:sz="0" w:space="0" w:color="auto"/>
          <w:lang w:val="en-GB"/>
        </w:rPr>
        <w:t>to have a project under GEF-7 with a national and subregional component that could address this issue.</w:t>
      </w:r>
    </w:p>
    <w:p w14:paraId="26D6D32E" w14:textId="21432A40" w:rsidR="00A60AB6" w:rsidRPr="005D4302" w:rsidRDefault="009009C3" w:rsidP="005D4302">
      <w:pPr>
        <w:numPr>
          <w:ilvl w:val="0"/>
          <w:numId w:val="75"/>
        </w:numPr>
        <w:spacing w:before="240" w:after="120"/>
        <w:ind w:left="1440" w:right="547" w:hanging="634"/>
        <w:rPr>
          <w:rFonts w:eastAsia="Calibri" w:hAnsi="Times New Roman" w:cs="Times New Roman"/>
          <w:i/>
          <w:snapToGrid w:val="0"/>
          <w:color w:val="auto"/>
          <w:kern w:val="22"/>
          <w:bdr w:val="none" w:sz="0" w:space="0" w:color="auto"/>
          <w:lang w:val="en-GB"/>
        </w:rPr>
      </w:pPr>
      <w:r w:rsidRPr="005D4302">
        <w:rPr>
          <w:rFonts w:eastAsia="Calibri" w:hAnsi="Times New Roman" w:cs="Times New Roman"/>
          <w:i/>
          <w:snapToGrid w:val="0"/>
          <w:color w:val="auto"/>
          <w:kern w:val="22"/>
          <w:bdr w:val="none" w:sz="0" w:space="0" w:color="auto"/>
          <w:lang w:val="en-GB"/>
        </w:rPr>
        <w:t>Is your country endeavouring to cooperate with a view to implementing the Protocol in instances where the same traditional knowledge associated with genetic resources is shared by one or more indigenous and local communities in several Parties as provided in Article 11.2?</w:t>
      </w:r>
      <w:r w:rsidR="00A60AB6" w:rsidRPr="005D4302">
        <w:rPr>
          <w:rFonts w:eastAsia="Calibri" w:hAnsi="Times New Roman" w:cs="Times New Roman"/>
          <w:i/>
          <w:snapToGrid w:val="0"/>
          <w:color w:val="auto"/>
          <w:kern w:val="22"/>
          <w:bdr w:val="none" w:sz="0" w:space="0" w:color="auto"/>
          <w:lang w:val="en-GB"/>
        </w:rPr>
        <w:t xml:space="preserve"> (question 49)</w:t>
      </w:r>
    </w:p>
    <w:p w14:paraId="08B7D915" w14:textId="7486C6C8" w:rsidR="00D354FB" w:rsidRPr="00DF02C5" w:rsidRDefault="00D354FB" w:rsidP="00CB6ACA">
      <w:pPr>
        <w:pStyle w:val="Para1"/>
        <w:numPr>
          <w:ilvl w:val="0"/>
          <w:numId w:val="93"/>
        </w:numPr>
        <w:rPr>
          <w:rFonts w:eastAsia="Calibri" w:hAnsi="Times New Roman"/>
          <w:snapToGrid w:val="0"/>
          <w:color w:val="auto"/>
          <w:kern w:val="22"/>
          <w:bdr w:val="none" w:sz="0" w:space="0" w:color="auto"/>
          <w:lang w:val="en-GB"/>
        </w:rPr>
      </w:pPr>
      <w:proofErr w:type="gramStart"/>
      <w:r w:rsidRPr="00DF02C5">
        <w:rPr>
          <w:rFonts w:hAnsi="Times New Roman"/>
          <w:bdr w:val="none" w:sz="0" w:space="0" w:color="auto"/>
          <w:lang w:val="en-GB"/>
        </w:rPr>
        <w:t>Twenty-seven</w:t>
      </w:r>
      <w:proofErr w:type="gramEnd"/>
      <w:r w:rsidRPr="00DF02C5">
        <w:rPr>
          <w:rFonts w:hAnsi="Times New Roman"/>
          <w:bdr w:val="none" w:sz="0" w:space="0" w:color="auto"/>
          <w:lang w:val="en-GB"/>
        </w:rPr>
        <w:t xml:space="preserve"> Parties responded that they are </w:t>
      </w:r>
      <w:r w:rsidR="00DF02C5" w:rsidRPr="00DF02C5">
        <w:rPr>
          <w:rFonts w:hAnsi="Times New Roman"/>
          <w:color w:val="00000A"/>
          <w:bdr w:val="none" w:sz="0" w:space="0" w:color="auto"/>
          <w:lang w:val="en-GB"/>
        </w:rPr>
        <w:t>endeavouring</w:t>
      </w:r>
      <w:r w:rsidRPr="00DF02C5">
        <w:rPr>
          <w:rFonts w:hAnsi="Times New Roman"/>
          <w:color w:val="00000A"/>
          <w:bdr w:val="none" w:sz="0" w:space="0" w:color="auto"/>
          <w:lang w:val="en-GB"/>
        </w:rPr>
        <w:t xml:space="preserve"> to cooperate</w:t>
      </w:r>
      <w:r w:rsidR="009009C3" w:rsidRPr="00DF02C5">
        <w:rPr>
          <w:rFonts w:hAnsi="Times New Roman"/>
          <w:color w:val="00000A"/>
          <w:bdr w:val="none" w:sz="0" w:space="0" w:color="auto"/>
          <w:lang w:val="en-GB"/>
        </w:rPr>
        <w:t>, while twenty-one Parties and one non-Party answered that they do not, and twenty-one Parties and five non-Parties responded that the question was not applicable.</w:t>
      </w:r>
    </w:p>
    <w:p w14:paraId="6CDAAD7E" w14:textId="402C3FF0" w:rsidR="009009C3" w:rsidRPr="00DF02C5" w:rsidRDefault="00E5256F" w:rsidP="00E5256F">
      <w:pPr>
        <w:pStyle w:val="Caption"/>
        <w:keepNext/>
        <w:keepLines/>
        <w:rPr>
          <w:snapToGrid w:val="0"/>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Pr="00DF02C5">
        <w:rPr>
          <w:noProof/>
          <w:lang w:val="en-GB"/>
        </w:rPr>
        <w:t>44</w:t>
      </w:r>
      <w:r w:rsidRPr="00DF02C5">
        <w:rPr>
          <w:lang w:val="en-GB"/>
        </w:rPr>
        <w:fldChar w:fldCharType="end"/>
      </w:r>
      <w:r w:rsidR="002930AC" w:rsidRPr="00DF02C5">
        <w:rPr>
          <w:snapToGrid w:val="0"/>
          <w:bdr w:val="none" w:sz="0" w:space="0" w:color="auto"/>
          <w:lang w:val="en-GB"/>
        </w:rPr>
        <w:t xml:space="preserve">: </w:t>
      </w:r>
      <w:r w:rsidR="009009C3" w:rsidRPr="00DF02C5">
        <w:rPr>
          <w:snapToGrid w:val="0"/>
          <w:bdr w:val="none" w:sz="0" w:space="0" w:color="auto"/>
          <w:lang w:val="en-GB"/>
        </w:rPr>
        <w:t>Cooperation in instances where the same traditional knowledge associated with genetic resources is shared by one or more indigenous and local communities in several Parties (percentage of countries)</w:t>
      </w:r>
    </w:p>
    <w:p w14:paraId="56FE93C2" w14:textId="259A4D11" w:rsidR="009009C3" w:rsidRPr="00DF02C5" w:rsidRDefault="009009C3" w:rsidP="009009C3">
      <w:pPr>
        <w:pStyle w:val="Para1"/>
        <w:jc w:val="center"/>
        <w:rPr>
          <w:rFonts w:eastAsia="Calibri" w:hAnsi="Times New Roman"/>
          <w:snapToGrid w:val="0"/>
          <w:color w:val="auto"/>
          <w:kern w:val="22"/>
          <w:bdr w:val="none" w:sz="0" w:space="0" w:color="auto"/>
          <w:lang w:val="en-GB"/>
        </w:rPr>
      </w:pPr>
      <w:r w:rsidRPr="00DF02C5">
        <w:rPr>
          <w:noProof/>
        </w:rPr>
        <w:drawing>
          <wp:inline distT="0" distB="0" distL="0" distR="0" wp14:anchorId="2B8B46D1" wp14:editId="189984C7">
            <wp:extent cx="4267200" cy="2209800"/>
            <wp:effectExtent l="0" t="0" r="19050" b="19050"/>
            <wp:docPr id="45" name="Chart 45">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08C8055" w14:textId="40C9FC9F" w:rsidR="009009C3" w:rsidRPr="00DF02C5" w:rsidRDefault="009009C3" w:rsidP="009009C3">
      <w:pPr>
        <w:pStyle w:val="Para1"/>
        <w:rPr>
          <w:rFonts w:hAnsi="Times New Roman"/>
          <w:i/>
          <w:bdr w:val="none" w:sz="0" w:space="0" w:color="auto"/>
          <w:lang w:val="en-GB"/>
        </w:rPr>
      </w:pPr>
      <w:r w:rsidRPr="00DF02C5">
        <w:rPr>
          <w:rFonts w:hAnsi="Times New Roman"/>
          <w:i/>
          <w:bdr w:val="none" w:sz="0" w:space="0" w:color="auto"/>
          <w:lang w:val="en-GB"/>
        </w:rPr>
        <w:t>(a)</w:t>
      </w:r>
      <w:r w:rsidRPr="00DF02C5">
        <w:rPr>
          <w:rFonts w:hAnsi="Times New Roman"/>
          <w:i/>
          <w:bdr w:val="none" w:sz="0" w:space="0" w:color="auto"/>
          <w:lang w:val="en-GB"/>
        </w:rPr>
        <w:tab/>
        <w:t>Countries that answered “yes”</w:t>
      </w:r>
    </w:p>
    <w:p w14:paraId="1FED436B" w14:textId="77777777" w:rsidR="009009C3" w:rsidRPr="00DF02C5" w:rsidRDefault="00A60AB6"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Several countries </w:t>
      </w:r>
      <w:r w:rsidR="00657D5D" w:rsidRPr="00DF02C5">
        <w:rPr>
          <w:rFonts w:eastAsia="Calibri" w:hAnsi="Times New Roman"/>
          <w:snapToGrid w:val="0"/>
          <w:color w:val="auto"/>
          <w:kern w:val="22"/>
          <w:bdr w:val="none" w:sz="0" w:space="0" w:color="auto"/>
          <w:lang w:val="en-GB"/>
        </w:rPr>
        <w:t>reported</w:t>
      </w:r>
      <w:r w:rsidRPr="00DF02C5">
        <w:rPr>
          <w:rFonts w:eastAsia="Calibri" w:hAnsi="Times New Roman"/>
          <w:snapToGrid w:val="0"/>
          <w:color w:val="auto"/>
          <w:kern w:val="22"/>
          <w:bdr w:val="none" w:sz="0" w:space="0" w:color="auto"/>
          <w:lang w:val="en-GB"/>
        </w:rPr>
        <w:t xml:space="preserve"> that if the case arises they endeavour to cooperate</w:t>
      </w:r>
      <w:r w:rsidRPr="00DF02C5">
        <w:rPr>
          <w:rFonts w:eastAsia="Calibri" w:hAnsi="Times New Roman"/>
          <w:snapToGrid w:val="0"/>
          <w:color w:val="auto"/>
          <w:kern w:val="22"/>
          <w:bdr w:val="none" w:sz="0" w:space="0" w:color="auto"/>
          <w:vertAlign w:val="superscript"/>
          <w:lang w:val="en-GB"/>
        </w:rPr>
        <w:footnoteReference w:id="375"/>
      </w:r>
      <w:r w:rsidRPr="00DF02C5">
        <w:rPr>
          <w:rFonts w:eastAsia="Calibri" w:hAnsi="Times New Roman"/>
          <w:snapToGrid w:val="0"/>
          <w:color w:val="auto"/>
          <w:kern w:val="22"/>
          <w:bdr w:val="none" w:sz="0" w:space="0" w:color="auto"/>
          <w:lang w:val="en-GB"/>
        </w:rPr>
        <w:t xml:space="preserve"> and others explained that they were planning to incorporate this aspect in their ABS measures</w:t>
      </w:r>
      <w:r w:rsidRPr="00DF02C5">
        <w:rPr>
          <w:rFonts w:eastAsia="Calibri" w:hAnsi="Times New Roman"/>
          <w:snapToGrid w:val="0"/>
          <w:color w:val="auto"/>
          <w:kern w:val="22"/>
          <w:bdr w:val="none" w:sz="0" w:space="0" w:color="auto"/>
          <w:vertAlign w:val="superscript"/>
          <w:lang w:val="en-GB"/>
        </w:rPr>
        <w:footnoteReference w:id="376"/>
      </w:r>
      <w:r w:rsidRPr="00DF02C5">
        <w:rPr>
          <w:rFonts w:eastAsia="Calibri" w:hAnsi="Times New Roman"/>
          <w:snapToGrid w:val="0"/>
          <w:color w:val="auto"/>
          <w:kern w:val="22"/>
          <w:bdr w:val="none" w:sz="0" w:space="0" w:color="auto"/>
          <w:lang w:val="en-GB"/>
        </w:rPr>
        <w:t xml:space="preserve">. </w:t>
      </w:r>
    </w:p>
    <w:p w14:paraId="4BA76471" w14:textId="398C8231" w:rsidR="00A60AB6" w:rsidRPr="00DF02C5" w:rsidRDefault="00A60AB6"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Some</w:t>
      </w:r>
      <w:r w:rsidR="009009C3" w:rsidRPr="00DF02C5">
        <w:rPr>
          <w:rFonts w:eastAsia="Calibri" w:hAnsi="Times New Roman"/>
          <w:snapToGrid w:val="0"/>
          <w:color w:val="auto"/>
          <w:kern w:val="22"/>
          <w:bdr w:val="none" w:sz="0" w:space="0" w:color="auto"/>
          <w:lang w:val="en-GB"/>
        </w:rPr>
        <w:t xml:space="preserve"> countries</w:t>
      </w:r>
      <w:r w:rsidR="009009C3" w:rsidRPr="00DF02C5">
        <w:rPr>
          <w:rStyle w:val="FootnoteReference"/>
          <w:rFonts w:eastAsia="Calibri" w:hAnsi="Times New Roman"/>
          <w:snapToGrid w:val="0"/>
          <w:color w:val="auto"/>
          <w:kern w:val="22"/>
          <w:bdr w:val="none" w:sz="0" w:space="0" w:color="auto"/>
          <w:lang w:val="en-GB"/>
        </w:rPr>
        <w:footnoteReference w:id="377"/>
      </w:r>
      <w:r w:rsidR="009009C3" w:rsidRPr="00DF02C5">
        <w:rPr>
          <w:rFonts w:eastAsia="Calibri" w:hAnsi="Times New Roman"/>
          <w:snapToGrid w:val="0"/>
          <w:color w:val="auto"/>
          <w:kern w:val="22"/>
          <w:bdr w:val="none" w:sz="0" w:space="0" w:color="auto"/>
          <w:lang w:val="en-GB"/>
        </w:rPr>
        <w:t>.</w:t>
      </w:r>
      <w:r w:rsidRPr="00DF02C5">
        <w:rPr>
          <w:rFonts w:eastAsia="Calibri" w:hAnsi="Times New Roman"/>
          <w:snapToGrid w:val="0"/>
          <w:color w:val="auto"/>
          <w:kern w:val="22"/>
          <w:bdr w:val="none" w:sz="0" w:space="0" w:color="auto"/>
          <w:lang w:val="en-GB"/>
        </w:rPr>
        <w:t xml:space="preserve"> provided information on other cooperation initiatives</w:t>
      </w:r>
      <w:r w:rsidR="00657D5D" w:rsidRPr="00DF02C5">
        <w:rPr>
          <w:rFonts w:eastAsia="Calibri" w:hAnsi="Times New Roman"/>
          <w:snapToGrid w:val="0"/>
          <w:color w:val="auto"/>
          <w:kern w:val="22"/>
          <w:bdr w:val="none" w:sz="0" w:space="0" w:color="auto"/>
          <w:lang w:val="en-GB"/>
        </w:rPr>
        <w:t>,</w:t>
      </w:r>
      <w:r w:rsidRPr="00DF02C5">
        <w:rPr>
          <w:rFonts w:eastAsia="Calibri" w:hAnsi="Times New Roman"/>
          <w:snapToGrid w:val="0"/>
          <w:color w:val="auto"/>
          <w:kern w:val="22"/>
          <w:bdr w:val="none" w:sz="0" w:space="0" w:color="auto"/>
          <w:lang w:val="en-GB"/>
        </w:rPr>
        <w:t xml:space="preserve"> organisations</w:t>
      </w:r>
      <w:r w:rsidR="00657D5D" w:rsidRPr="00DF02C5">
        <w:rPr>
          <w:rFonts w:eastAsia="Calibri" w:hAnsi="Times New Roman"/>
          <w:snapToGrid w:val="0"/>
          <w:color w:val="auto"/>
          <w:kern w:val="22"/>
          <w:bdr w:val="none" w:sz="0" w:space="0" w:color="auto"/>
          <w:lang w:val="en-GB"/>
        </w:rPr>
        <w:t>,</w:t>
      </w:r>
      <w:r w:rsidRPr="00DF02C5">
        <w:rPr>
          <w:rFonts w:eastAsia="Calibri" w:hAnsi="Times New Roman"/>
          <w:snapToGrid w:val="0"/>
          <w:color w:val="auto"/>
          <w:kern w:val="22"/>
          <w:bdr w:val="none" w:sz="0" w:space="0" w:color="auto"/>
          <w:lang w:val="en-GB"/>
        </w:rPr>
        <w:t xml:space="preserve"> and instruments they are part of For example:</w:t>
      </w:r>
    </w:p>
    <w:p w14:paraId="787F0229" w14:textId="5CA6668E" w:rsidR="00A60AB6" w:rsidRPr="00DF02C5" w:rsidRDefault="00A60AB6" w:rsidP="00BC6060">
      <w:pPr>
        <w:pStyle w:val="ListParagraph"/>
        <w:numPr>
          <w:ilvl w:val="1"/>
          <w:numId w:val="39"/>
        </w:numPr>
        <w:spacing w:before="120" w:after="120" w:line="228" w:lineRule="auto"/>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lastRenderedPageBreak/>
        <w:t>Kenya indicated that there are ongoing efforts in regional cooperation platforms to develop appropriate protocols on resource governance and utilization taking into considerations the requirements of N</w:t>
      </w:r>
      <w:r w:rsidR="009009C3" w:rsidRPr="00DF02C5">
        <w:rPr>
          <w:rFonts w:eastAsia="Calibri" w:hAnsi="Times New Roman" w:cs="Times New Roman"/>
          <w:snapToGrid w:val="0"/>
          <w:color w:val="auto"/>
          <w:kern w:val="22"/>
          <w:bdr w:val="none" w:sz="0" w:space="0" w:color="auto"/>
          <w:lang w:val="en-GB"/>
        </w:rPr>
        <w:t>agoya Protocol on Article 11.2 (</w:t>
      </w:r>
      <w:r w:rsidR="00DF02C5" w:rsidRPr="00DF02C5">
        <w:rPr>
          <w:rFonts w:eastAsia="Calibri" w:hAnsi="Times New Roman" w:cs="Times New Roman"/>
          <w:snapToGrid w:val="0"/>
          <w:color w:val="auto"/>
          <w:kern w:val="22"/>
          <w:bdr w:val="none" w:sz="0" w:space="0" w:color="auto"/>
          <w:lang w:val="en-GB"/>
        </w:rPr>
        <w:t>e.g.</w:t>
      </w:r>
      <w:r w:rsidR="009009C3" w:rsidRPr="00DF02C5">
        <w:rPr>
          <w:rFonts w:eastAsia="Calibri" w:hAnsi="Times New Roman" w:cs="Times New Roman"/>
          <w:snapToGrid w:val="0"/>
          <w:color w:val="auto"/>
          <w:kern w:val="22"/>
          <w:bdr w:val="none" w:sz="0" w:space="0" w:color="auto"/>
          <w:lang w:val="en-GB"/>
        </w:rPr>
        <w:t xml:space="preserve"> </w:t>
      </w:r>
      <w:r w:rsidRPr="00DF02C5">
        <w:rPr>
          <w:rFonts w:eastAsia="Calibri" w:hAnsi="Times New Roman" w:cs="Times New Roman"/>
          <w:snapToGrid w:val="0"/>
          <w:color w:val="auto"/>
          <w:kern w:val="22"/>
          <w:bdr w:val="none" w:sz="0" w:space="0" w:color="auto"/>
          <w:lang w:val="en-GB"/>
        </w:rPr>
        <w:t>Busia County Draft Policy Biodiversity Mainstreaming</w:t>
      </w:r>
      <w:r w:rsidR="005D4302">
        <w:rPr>
          <w:rFonts w:eastAsia="Calibri" w:hAnsi="Times New Roman" w:cs="Times New Roman"/>
          <w:snapToGrid w:val="0"/>
          <w:color w:val="auto"/>
          <w:kern w:val="22"/>
          <w:bdr w:val="none" w:sz="0" w:space="0" w:color="auto"/>
          <w:lang w:val="en-GB"/>
        </w:rPr>
        <w:t>);</w:t>
      </w:r>
    </w:p>
    <w:p w14:paraId="3B82D49C" w14:textId="3950A73A" w:rsidR="00A60AB6" w:rsidRPr="00DF02C5" w:rsidRDefault="00A60AB6" w:rsidP="00BC6060">
      <w:pPr>
        <w:pStyle w:val="ListParagraph"/>
        <w:numPr>
          <w:ilvl w:val="1"/>
          <w:numId w:val="39"/>
        </w:numPr>
        <w:spacing w:before="120" w:after="120" w:line="228" w:lineRule="auto"/>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Sudan i</w:t>
      </w:r>
      <w:r w:rsidR="009009C3" w:rsidRPr="00DF02C5">
        <w:rPr>
          <w:rFonts w:eastAsia="Calibri" w:hAnsi="Times New Roman" w:cs="Times New Roman"/>
          <w:snapToGrid w:val="0"/>
          <w:color w:val="auto"/>
          <w:kern w:val="22"/>
          <w:bdr w:val="none" w:sz="0" w:space="0" w:color="auto"/>
          <w:lang w:val="en-GB"/>
        </w:rPr>
        <w:t>ndicate</w:t>
      </w:r>
      <w:r w:rsidR="00B144EC" w:rsidRPr="00DF02C5">
        <w:rPr>
          <w:rFonts w:eastAsia="Calibri" w:hAnsi="Times New Roman" w:cs="Times New Roman"/>
          <w:snapToGrid w:val="0"/>
          <w:color w:val="auto"/>
          <w:kern w:val="22"/>
          <w:bdr w:val="none" w:sz="0" w:space="0" w:color="auto"/>
          <w:lang w:val="en-GB"/>
        </w:rPr>
        <w:t>d</w:t>
      </w:r>
      <w:r w:rsidRPr="00DF02C5">
        <w:rPr>
          <w:rFonts w:eastAsia="Calibri" w:hAnsi="Times New Roman" w:cs="Times New Roman"/>
          <w:snapToGrid w:val="0"/>
          <w:color w:val="auto"/>
          <w:kern w:val="22"/>
          <w:bdr w:val="none" w:sz="0" w:space="0" w:color="auto"/>
          <w:lang w:val="en-GB"/>
        </w:rPr>
        <w:t xml:space="preserve"> that they </w:t>
      </w:r>
      <w:r w:rsidR="009009C3" w:rsidRPr="00DF02C5">
        <w:rPr>
          <w:rFonts w:eastAsia="Calibri" w:hAnsi="Times New Roman" w:cs="Times New Roman"/>
          <w:snapToGrid w:val="0"/>
          <w:color w:val="auto"/>
          <w:kern w:val="22"/>
          <w:bdr w:val="none" w:sz="0" w:space="0" w:color="auto"/>
          <w:lang w:val="en-GB"/>
        </w:rPr>
        <w:t xml:space="preserve">plan to </w:t>
      </w:r>
      <w:r w:rsidRPr="00DF02C5">
        <w:rPr>
          <w:rFonts w:eastAsia="Calibri" w:hAnsi="Times New Roman" w:cs="Times New Roman"/>
          <w:snapToGrid w:val="0"/>
          <w:color w:val="auto"/>
          <w:kern w:val="22"/>
          <w:bdr w:val="none" w:sz="0" w:space="0" w:color="auto"/>
          <w:lang w:val="en-GB"/>
        </w:rPr>
        <w:t>implement the Article in accordance with the Intergovernmental Authority on Development (IGAD) Access and Benefit-Sharing Strategy</w:t>
      </w:r>
      <w:r w:rsidR="005D4302">
        <w:rPr>
          <w:rFonts w:eastAsia="Calibri" w:hAnsi="Times New Roman" w:cs="Times New Roman"/>
          <w:snapToGrid w:val="0"/>
          <w:color w:val="auto"/>
          <w:kern w:val="22"/>
          <w:bdr w:val="none" w:sz="0" w:space="0" w:color="auto"/>
          <w:lang w:val="en-GB"/>
        </w:rPr>
        <w:t>;</w:t>
      </w:r>
    </w:p>
    <w:p w14:paraId="252325F0" w14:textId="3D993D07" w:rsidR="00A60AB6" w:rsidRPr="00DF02C5" w:rsidRDefault="00A60AB6" w:rsidP="00BC6060">
      <w:pPr>
        <w:pStyle w:val="ListParagraph"/>
        <w:numPr>
          <w:ilvl w:val="1"/>
          <w:numId w:val="39"/>
        </w:numPr>
        <w:spacing w:before="120" w:after="120" w:line="228" w:lineRule="auto"/>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Togo explained that there are mechanisms in place </w:t>
      </w:r>
      <w:r w:rsidR="00B144EC" w:rsidRPr="00DF02C5">
        <w:rPr>
          <w:rFonts w:eastAsia="Calibri" w:hAnsi="Times New Roman" w:cs="Times New Roman"/>
          <w:snapToGrid w:val="0"/>
          <w:color w:val="auto"/>
          <w:kern w:val="22"/>
          <w:bdr w:val="none" w:sz="0" w:space="0" w:color="auto"/>
          <w:lang w:val="en-GB"/>
        </w:rPr>
        <w:t>that reinforce</w:t>
      </w:r>
      <w:r w:rsidRPr="00DF02C5">
        <w:rPr>
          <w:rFonts w:eastAsia="Calibri" w:hAnsi="Times New Roman" w:cs="Times New Roman"/>
          <w:snapToGrid w:val="0"/>
          <w:color w:val="auto"/>
          <w:kern w:val="22"/>
          <w:bdr w:val="none" w:sz="0" w:space="0" w:color="auto"/>
          <w:lang w:val="en-GB"/>
        </w:rPr>
        <w:t xml:space="preserve"> the historic links between different communities sharing the same cultural values, such as the Ewe peoples which are located between Benin, Ghana and Togo.  </w:t>
      </w:r>
    </w:p>
    <w:p w14:paraId="008F20D2" w14:textId="0807996B" w:rsidR="00B144EC" w:rsidRPr="00DF02C5" w:rsidRDefault="00CB6ACA" w:rsidP="00CB6ACA">
      <w:pPr>
        <w:pStyle w:val="Para1"/>
        <w:rPr>
          <w:rFonts w:hAnsi="Times New Roman"/>
          <w:i/>
          <w:bdr w:val="none" w:sz="0" w:space="0" w:color="auto"/>
          <w:lang w:val="en-GB"/>
        </w:rPr>
      </w:pPr>
      <w:r w:rsidRPr="00DF02C5">
        <w:rPr>
          <w:rFonts w:hAnsi="Times New Roman"/>
          <w:i/>
          <w:bdr w:val="none" w:sz="0" w:space="0" w:color="auto"/>
          <w:lang w:val="en-GB"/>
        </w:rPr>
        <w:t>(b)</w:t>
      </w:r>
      <w:r w:rsidRPr="00DF02C5">
        <w:rPr>
          <w:rFonts w:hAnsi="Times New Roman"/>
          <w:i/>
          <w:bdr w:val="none" w:sz="0" w:space="0" w:color="auto"/>
          <w:lang w:val="en-GB"/>
        </w:rPr>
        <w:tab/>
      </w:r>
      <w:r w:rsidR="00B144EC" w:rsidRPr="00DF02C5">
        <w:rPr>
          <w:rFonts w:hAnsi="Times New Roman"/>
          <w:i/>
          <w:bdr w:val="none" w:sz="0" w:space="0" w:color="auto"/>
          <w:lang w:val="en-GB"/>
        </w:rPr>
        <w:t>Countries that answered “no” or “not applicable”</w:t>
      </w:r>
    </w:p>
    <w:p w14:paraId="08E609A8" w14:textId="3BBCEAEE" w:rsidR="00A60AB6" w:rsidRPr="00DF02C5" w:rsidRDefault="00A60AB6" w:rsidP="00CB6ACA">
      <w:pPr>
        <w:pStyle w:val="Para1"/>
        <w:numPr>
          <w:ilvl w:val="0"/>
          <w:numId w:val="93"/>
        </w:numPr>
        <w:rPr>
          <w:rFonts w:ascii="Consolas" w:hAnsi="Consolas"/>
          <w:color w:val="333333"/>
          <w:sz w:val="20"/>
          <w:szCs w:val="20"/>
          <w:shd w:val="clear" w:color="auto" w:fill="F5F5F5"/>
          <w:lang w:val="en-GB"/>
        </w:rPr>
      </w:pPr>
      <w:r w:rsidRPr="00DF02C5">
        <w:rPr>
          <w:rFonts w:eastAsia="Calibri" w:hAnsi="Times New Roman"/>
          <w:snapToGrid w:val="0"/>
          <w:color w:val="auto"/>
          <w:kern w:val="22"/>
          <w:bdr w:val="none" w:sz="0" w:space="0" w:color="auto"/>
          <w:lang w:val="en-GB"/>
        </w:rPr>
        <w:t>One country</w:t>
      </w:r>
      <w:r w:rsidRPr="00DF02C5">
        <w:rPr>
          <w:rStyle w:val="FootnoteReference"/>
          <w:rFonts w:eastAsia="Calibri" w:hAnsi="Times New Roman"/>
          <w:snapToGrid w:val="0"/>
          <w:color w:val="auto"/>
          <w:kern w:val="22"/>
          <w:bdr w:val="none" w:sz="0" w:space="0" w:color="auto"/>
          <w:lang w:val="en-GB"/>
        </w:rPr>
        <w:footnoteReference w:id="378"/>
      </w:r>
      <w:r w:rsidRPr="00DF02C5">
        <w:rPr>
          <w:rFonts w:eastAsia="Calibri" w:hAnsi="Times New Roman"/>
          <w:snapToGrid w:val="0"/>
          <w:color w:val="auto"/>
          <w:kern w:val="22"/>
          <w:bdr w:val="none" w:sz="0" w:space="0" w:color="auto"/>
          <w:lang w:val="en-GB"/>
        </w:rPr>
        <w:t xml:space="preserve"> stated that if the case arises they endeavour to cooperate, and </w:t>
      </w:r>
      <w:r w:rsidR="00657D5D" w:rsidRPr="00DF02C5">
        <w:rPr>
          <w:rFonts w:eastAsia="Calibri" w:hAnsi="Times New Roman"/>
          <w:snapToGrid w:val="0"/>
          <w:color w:val="auto"/>
          <w:kern w:val="22"/>
          <w:bdr w:val="none" w:sz="0" w:space="0" w:color="auto"/>
          <w:lang w:val="en-GB"/>
        </w:rPr>
        <w:t>some other countries</w:t>
      </w:r>
      <w:r w:rsidRPr="00DF02C5">
        <w:rPr>
          <w:rStyle w:val="FootnoteReference"/>
          <w:rFonts w:eastAsia="Calibri" w:hAnsi="Times New Roman"/>
          <w:snapToGrid w:val="0"/>
          <w:color w:val="auto"/>
          <w:kern w:val="22"/>
          <w:bdr w:val="none" w:sz="0" w:space="0" w:color="auto"/>
          <w:lang w:val="en-GB"/>
        </w:rPr>
        <w:footnoteReference w:id="379"/>
      </w:r>
      <w:r w:rsidRPr="00DF02C5">
        <w:rPr>
          <w:rFonts w:eastAsia="Calibri" w:hAnsi="Times New Roman"/>
          <w:snapToGrid w:val="0"/>
          <w:color w:val="auto"/>
          <w:kern w:val="22"/>
          <w:bdr w:val="none" w:sz="0" w:space="0" w:color="auto"/>
          <w:lang w:val="en-GB"/>
        </w:rPr>
        <w:t xml:space="preserve"> explained that they were planning to incorporate this aspect in their ABS measures. In this regard one country</w:t>
      </w:r>
      <w:r w:rsidRPr="00DF02C5">
        <w:rPr>
          <w:rStyle w:val="FootnoteReference"/>
          <w:rFonts w:eastAsia="Calibri" w:hAnsi="Times New Roman"/>
          <w:snapToGrid w:val="0"/>
          <w:color w:val="auto"/>
          <w:kern w:val="22"/>
          <w:bdr w:val="none" w:sz="0" w:space="0" w:color="auto"/>
          <w:lang w:val="en-GB"/>
        </w:rPr>
        <w:footnoteReference w:id="380"/>
      </w:r>
      <w:r w:rsidRPr="00DF02C5">
        <w:rPr>
          <w:rFonts w:eastAsia="Calibri" w:hAnsi="Times New Roman"/>
          <w:snapToGrid w:val="0"/>
          <w:color w:val="auto"/>
          <w:kern w:val="22"/>
          <w:bdr w:val="none" w:sz="0" w:space="0" w:color="auto"/>
          <w:lang w:val="en-GB"/>
        </w:rPr>
        <w:t xml:space="preserve"> indicated that implementation of Article 11.2 of the Protocol will be done according to the Guidelines for a Coordinated Implementation of the Nagoya Protocol of the African Union. Another country</w:t>
      </w:r>
      <w:r w:rsidRPr="00DF02C5">
        <w:rPr>
          <w:rStyle w:val="FootnoteReference"/>
          <w:rFonts w:eastAsia="Calibri" w:hAnsi="Times New Roman"/>
          <w:snapToGrid w:val="0"/>
          <w:color w:val="auto"/>
          <w:kern w:val="22"/>
          <w:bdr w:val="none" w:sz="0" w:space="0" w:color="auto"/>
          <w:lang w:val="en-GB"/>
        </w:rPr>
        <w:footnoteReference w:id="381"/>
      </w:r>
      <w:r w:rsidRPr="00DF02C5">
        <w:rPr>
          <w:rFonts w:eastAsia="Calibri" w:hAnsi="Times New Roman"/>
          <w:snapToGrid w:val="0"/>
          <w:color w:val="auto"/>
          <w:kern w:val="22"/>
          <w:bdr w:val="none" w:sz="0" w:space="0" w:color="auto"/>
          <w:lang w:val="en-GB"/>
        </w:rPr>
        <w:t xml:space="preserve"> additionally identified the ABS regional strategy of COMIFAC and the Treaty for the Establishment of the East African Community as relevant frameworks for the consideration of this issue. </w:t>
      </w:r>
    </w:p>
    <w:p w14:paraId="7C0D1B9D" w14:textId="68459C56" w:rsidR="00A60AB6" w:rsidRPr="00DF02C5" w:rsidRDefault="00A60AB6"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Two countries</w:t>
      </w:r>
      <w:r w:rsidRPr="00DF02C5">
        <w:rPr>
          <w:rStyle w:val="FootnoteReference"/>
          <w:rFonts w:eastAsia="Calibri" w:hAnsi="Times New Roman"/>
          <w:snapToGrid w:val="0"/>
          <w:color w:val="auto"/>
          <w:kern w:val="22"/>
          <w:bdr w:val="none" w:sz="0" w:space="0" w:color="auto"/>
          <w:lang w:val="en-GB"/>
        </w:rPr>
        <w:footnoteReference w:id="382"/>
      </w:r>
      <w:r w:rsidRPr="00DF02C5">
        <w:rPr>
          <w:rFonts w:eastAsia="Calibri" w:hAnsi="Times New Roman"/>
          <w:snapToGrid w:val="0"/>
          <w:color w:val="auto"/>
          <w:kern w:val="22"/>
          <w:bdr w:val="none" w:sz="0" w:space="0" w:color="auto"/>
          <w:lang w:val="en-GB"/>
        </w:rPr>
        <w:t xml:space="preserve"> noted that the situation has not yet arisen and other two</w:t>
      </w:r>
      <w:r w:rsidRPr="00DF02C5">
        <w:rPr>
          <w:rStyle w:val="FootnoteReference"/>
          <w:rFonts w:eastAsia="Calibri" w:hAnsi="Times New Roman"/>
          <w:snapToGrid w:val="0"/>
          <w:color w:val="auto"/>
          <w:kern w:val="22"/>
          <w:bdr w:val="none" w:sz="0" w:space="0" w:color="auto"/>
          <w:lang w:val="en-GB"/>
        </w:rPr>
        <w:footnoteReference w:id="383"/>
      </w:r>
      <w:r w:rsidRPr="00DF02C5">
        <w:rPr>
          <w:rFonts w:eastAsia="Calibri" w:hAnsi="Times New Roman"/>
          <w:snapToGrid w:val="0"/>
          <w:color w:val="auto"/>
          <w:kern w:val="22"/>
          <w:bdr w:val="none" w:sz="0" w:space="0" w:color="auto"/>
          <w:lang w:val="en-GB"/>
        </w:rPr>
        <w:t xml:space="preserve"> indicated that they are already cooperating </w:t>
      </w:r>
      <w:r w:rsidR="00C82129" w:rsidRPr="00DF02C5">
        <w:rPr>
          <w:rFonts w:eastAsia="Calibri" w:hAnsi="Times New Roman"/>
          <w:snapToGrid w:val="0"/>
          <w:color w:val="auto"/>
          <w:kern w:val="22"/>
          <w:bdr w:val="none" w:sz="0" w:space="0" w:color="auto"/>
          <w:lang w:val="en-GB"/>
        </w:rPr>
        <w:t>on</w:t>
      </w:r>
      <w:r w:rsidRPr="00DF02C5">
        <w:rPr>
          <w:rFonts w:eastAsia="Calibri" w:hAnsi="Times New Roman"/>
          <w:snapToGrid w:val="0"/>
          <w:color w:val="auto"/>
          <w:kern w:val="22"/>
          <w:bdr w:val="none" w:sz="0" w:space="0" w:color="auto"/>
          <w:lang w:val="en-GB"/>
        </w:rPr>
        <w:t xml:space="preserve"> this aspect.</w:t>
      </w:r>
    </w:p>
    <w:p w14:paraId="1DE94EF9" w14:textId="024C15C3" w:rsidR="00A60AB6" w:rsidRPr="005D4302" w:rsidRDefault="00A60AB6" w:rsidP="005D4302">
      <w:pPr>
        <w:numPr>
          <w:ilvl w:val="0"/>
          <w:numId w:val="75"/>
        </w:numPr>
        <w:spacing w:before="240" w:after="120"/>
        <w:ind w:left="0" w:firstLine="0"/>
        <w:jc w:val="center"/>
        <w:rPr>
          <w:rFonts w:eastAsia="Calibri" w:hAnsi="Times New Roman" w:cs="Times New Roman"/>
          <w:i/>
          <w:snapToGrid w:val="0"/>
          <w:color w:val="auto"/>
          <w:kern w:val="22"/>
          <w:bdr w:val="none" w:sz="0" w:space="0" w:color="auto"/>
          <w:lang w:val="en-GB"/>
        </w:rPr>
      </w:pPr>
      <w:r w:rsidRPr="005D4302">
        <w:rPr>
          <w:rFonts w:eastAsia="Calibri" w:hAnsi="Times New Roman" w:cs="Times New Roman"/>
          <w:i/>
          <w:snapToGrid w:val="0"/>
          <w:color w:val="auto"/>
          <w:kern w:val="22"/>
          <w:bdr w:val="none" w:sz="0" w:space="0" w:color="auto"/>
          <w:lang w:val="en-GB"/>
        </w:rPr>
        <w:t>Additional information</w:t>
      </w:r>
      <w:r w:rsidR="005D4302">
        <w:rPr>
          <w:rFonts w:eastAsia="Calibri" w:hAnsi="Times New Roman" w:cs="Times New Roman"/>
          <w:i/>
          <w:snapToGrid w:val="0"/>
          <w:color w:val="auto"/>
          <w:kern w:val="22"/>
          <w:bdr w:val="none" w:sz="0" w:space="0" w:color="auto"/>
          <w:lang w:val="en-GB"/>
        </w:rPr>
        <w:t>:</w:t>
      </w:r>
      <w:r w:rsidRPr="005D4302">
        <w:rPr>
          <w:rFonts w:eastAsia="Calibri" w:hAnsi="Times New Roman" w:cs="Times New Roman"/>
          <w:i/>
          <w:snapToGrid w:val="0"/>
          <w:color w:val="auto"/>
          <w:kern w:val="22"/>
          <w:bdr w:val="none" w:sz="0" w:space="0" w:color="auto"/>
          <w:lang w:val="en-GB"/>
        </w:rPr>
        <w:t xml:space="preserve"> </w:t>
      </w:r>
      <w:r w:rsidR="00B144EC" w:rsidRPr="005D4302">
        <w:rPr>
          <w:rFonts w:eastAsia="Calibri" w:hAnsi="Times New Roman" w:cs="Times New Roman"/>
          <w:i/>
          <w:snapToGrid w:val="0"/>
          <w:color w:val="auto"/>
          <w:kern w:val="22"/>
          <w:bdr w:val="none" w:sz="0" w:space="0" w:color="auto"/>
          <w:lang w:val="en-GB"/>
        </w:rPr>
        <w:t xml:space="preserve">summary of the main difficulties and challenges </w:t>
      </w:r>
      <w:r w:rsidRPr="005D4302">
        <w:rPr>
          <w:rFonts w:eastAsia="Calibri" w:hAnsi="Times New Roman" w:cs="Times New Roman"/>
          <w:i/>
          <w:snapToGrid w:val="0"/>
          <w:color w:val="auto"/>
          <w:kern w:val="22"/>
          <w:bdr w:val="none" w:sz="0" w:space="0" w:color="auto"/>
          <w:lang w:val="en-GB"/>
        </w:rPr>
        <w:t>(question 50)</w:t>
      </w:r>
    </w:p>
    <w:p w14:paraId="1EACE2BA" w14:textId="77777777" w:rsidR="0014299C" w:rsidRPr="00DF02C5" w:rsidRDefault="00866AB5"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Twenty-one countries answered this question. </w:t>
      </w:r>
      <w:r w:rsidR="00B144EC" w:rsidRPr="00DF02C5">
        <w:rPr>
          <w:rFonts w:eastAsia="Calibri" w:hAnsi="Times New Roman"/>
          <w:snapToGrid w:val="0"/>
          <w:color w:val="auto"/>
          <w:kern w:val="22"/>
          <w:bdr w:val="none" w:sz="0" w:space="0" w:color="auto"/>
          <w:lang w:val="en-GB"/>
        </w:rPr>
        <w:t xml:space="preserve">Many of those countries </w:t>
      </w:r>
      <w:r w:rsidR="00A60AB6" w:rsidRPr="00DF02C5">
        <w:rPr>
          <w:rFonts w:eastAsia="Calibri" w:hAnsi="Times New Roman"/>
          <w:snapToGrid w:val="0"/>
          <w:color w:val="auto"/>
          <w:kern w:val="22"/>
          <w:bdr w:val="none" w:sz="0" w:space="0" w:color="auto"/>
          <w:lang w:val="en-GB"/>
        </w:rPr>
        <w:t>refer</w:t>
      </w:r>
      <w:r w:rsidR="00B144EC" w:rsidRPr="00DF02C5">
        <w:rPr>
          <w:rFonts w:eastAsia="Calibri" w:hAnsi="Times New Roman"/>
          <w:snapToGrid w:val="0"/>
          <w:color w:val="auto"/>
          <w:kern w:val="22"/>
          <w:bdr w:val="none" w:sz="0" w:space="0" w:color="auto"/>
          <w:lang w:val="en-GB"/>
        </w:rPr>
        <w:t>red</w:t>
      </w:r>
      <w:r w:rsidR="00A60AB6" w:rsidRPr="00DF02C5">
        <w:rPr>
          <w:rFonts w:eastAsia="Calibri" w:hAnsi="Times New Roman"/>
          <w:snapToGrid w:val="0"/>
          <w:color w:val="auto"/>
          <w:kern w:val="22"/>
          <w:bdr w:val="none" w:sz="0" w:space="0" w:color="auto"/>
          <w:lang w:val="en-GB"/>
        </w:rPr>
        <w:t xml:space="preserve"> to </w:t>
      </w:r>
      <w:r w:rsidR="00B144EC" w:rsidRPr="00DF02C5">
        <w:rPr>
          <w:rFonts w:eastAsia="Calibri" w:hAnsi="Times New Roman"/>
          <w:snapToGrid w:val="0"/>
          <w:color w:val="auto"/>
          <w:kern w:val="22"/>
          <w:bdr w:val="none" w:sz="0" w:space="0" w:color="auto"/>
          <w:lang w:val="en-GB"/>
        </w:rPr>
        <w:t xml:space="preserve">similar </w:t>
      </w:r>
      <w:r w:rsidR="00A60AB6" w:rsidRPr="00DF02C5">
        <w:rPr>
          <w:rFonts w:eastAsia="Calibri" w:hAnsi="Times New Roman"/>
          <w:snapToGrid w:val="0"/>
          <w:color w:val="auto"/>
          <w:kern w:val="22"/>
          <w:bdr w:val="none" w:sz="0" w:space="0" w:color="auto"/>
          <w:lang w:val="en-GB"/>
        </w:rPr>
        <w:t xml:space="preserve">difficulties </w:t>
      </w:r>
      <w:r w:rsidR="00B144EC" w:rsidRPr="00DF02C5">
        <w:rPr>
          <w:rFonts w:eastAsia="Calibri" w:hAnsi="Times New Roman"/>
          <w:snapToGrid w:val="0"/>
          <w:color w:val="auto"/>
          <w:kern w:val="22"/>
          <w:bdr w:val="none" w:sz="0" w:space="0" w:color="auto"/>
          <w:lang w:val="en-GB"/>
        </w:rPr>
        <w:t xml:space="preserve">to those </w:t>
      </w:r>
      <w:r w:rsidR="00A60AB6" w:rsidRPr="00DF02C5">
        <w:rPr>
          <w:rFonts w:eastAsia="Calibri" w:hAnsi="Times New Roman"/>
          <w:snapToGrid w:val="0"/>
          <w:color w:val="auto"/>
          <w:kern w:val="22"/>
          <w:bdr w:val="none" w:sz="0" w:space="0" w:color="auto"/>
          <w:lang w:val="en-GB"/>
        </w:rPr>
        <w:t>mentioned in previous sections</w:t>
      </w:r>
      <w:r w:rsidR="00B144EC" w:rsidRPr="00DF02C5">
        <w:rPr>
          <w:rFonts w:eastAsia="Calibri" w:hAnsi="Times New Roman"/>
          <w:snapToGrid w:val="0"/>
          <w:color w:val="auto"/>
          <w:kern w:val="22"/>
          <w:bdr w:val="none" w:sz="0" w:space="0" w:color="auto"/>
          <w:lang w:val="en-GB"/>
        </w:rPr>
        <w:t>.</w:t>
      </w:r>
      <w:r w:rsidR="00A60AB6" w:rsidRPr="00DF02C5">
        <w:rPr>
          <w:rFonts w:eastAsia="Calibri" w:hAnsi="Times New Roman"/>
          <w:snapToGrid w:val="0"/>
          <w:color w:val="auto"/>
          <w:kern w:val="22"/>
          <w:bdr w:val="none" w:sz="0" w:space="0" w:color="auto"/>
          <w:lang w:val="en-GB"/>
        </w:rPr>
        <w:t xml:space="preserve"> </w:t>
      </w:r>
    </w:p>
    <w:p w14:paraId="56892C5F" w14:textId="11D71E94" w:rsidR="00A60AB6" w:rsidRPr="00DF02C5" w:rsidRDefault="0014299C"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w:t>
      </w:r>
      <w:r w:rsidR="00A60AB6" w:rsidRPr="00DF02C5">
        <w:rPr>
          <w:rFonts w:eastAsia="Calibri" w:hAnsi="Times New Roman"/>
          <w:snapToGrid w:val="0"/>
          <w:color w:val="auto"/>
          <w:kern w:val="22"/>
          <w:bdr w:val="none" w:sz="0" w:space="0" w:color="auto"/>
          <w:lang w:val="en-GB"/>
        </w:rPr>
        <w:t xml:space="preserve">ome </w:t>
      </w:r>
      <w:r w:rsidRPr="00DF02C5">
        <w:rPr>
          <w:rFonts w:eastAsia="Calibri" w:hAnsi="Times New Roman"/>
          <w:snapToGrid w:val="0"/>
          <w:color w:val="auto"/>
          <w:kern w:val="22"/>
          <w:bdr w:val="none" w:sz="0" w:space="0" w:color="auto"/>
          <w:lang w:val="en-GB"/>
        </w:rPr>
        <w:t>countries</w:t>
      </w:r>
      <w:r w:rsidR="00866AB5" w:rsidRPr="00DF02C5">
        <w:rPr>
          <w:rFonts w:eastAsia="Calibri" w:hAnsi="Times New Roman"/>
          <w:snapToGrid w:val="0"/>
          <w:color w:val="auto"/>
          <w:kern w:val="22"/>
          <w:bdr w:val="none" w:sz="0" w:space="0" w:color="auto"/>
          <w:lang w:val="en-GB"/>
        </w:rPr>
        <w:t xml:space="preserve"> </w:t>
      </w:r>
      <w:r w:rsidR="00A60AB6" w:rsidRPr="00DF02C5">
        <w:rPr>
          <w:rFonts w:eastAsia="Calibri" w:hAnsi="Times New Roman"/>
          <w:snapToGrid w:val="0"/>
          <w:color w:val="auto"/>
          <w:kern w:val="22"/>
          <w:bdr w:val="none" w:sz="0" w:space="0" w:color="auto"/>
          <w:lang w:val="en-GB"/>
        </w:rPr>
        <w:t xml:space="preserve">pointed </w:t>
      </w:r>
      <w:r w:rsidR="00C82129" w:rsidRPr="00DF02C5">
        <w:rPr>
          <w:rFonts w:eastAsia="Calibri" w:hAnsi="Times New Roman"/>
          <w:snapToGrid w:val="0"/>
          <w:color w:val="auto"/>
          <w:kern w:val="22"/>
          <w:bdr w:val="none" w:sz="0" w:space="0" w:color="auto"/>
          <w:lang w:val="en-GB"/>
        </w:rPr>
        <w:t xml:space="preserve">out </w:t>
      </w:r>
      <w:r w:rsidR="00A60AB6" w:rsidRPr="00DF02C5">
        <w:rPr>
          <w:rFonts w:eastAsia="Calibri" w:hAnsi="Times New Roman"/>
          <w:snapToGrid w:val="0"/>
          <w:color w:val="auto"/>
          <w:kern w:val="22"/>
          <w:bdr w:val="none" w:sz="0" w:space="0" w:color="auto"/>
          <w:lang w:val="en-GB"/>
        </w:rPr>
        <w:t>that</w:t>
      </w:r>
      <w:r w:rsidR="00B144EC" w:rsidRPr="00DF02C5">
        <w:rPr>
          <w:rFonts w:eastAsia="Calibri" w:hAnsi="Times New Roman"/>
          <w:snapToGrid w:val="0"/>
          <w:color w:val="auto"/>
          <w:kern w:val="22"/>
          <w:bdr w:val="none" w:sz="0" w:space="0" w:color="auto"/>
          <w:lang w:val="en-GB"/>
        </w:rPr>
        <w:t xml:space="preserve"> it was difficult to implement this article</w:t>
      </w:r>
      <w:r w:rsidR="00A60AB6" w:rsidRPr="00DF02C5">
        <w:rPr>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 xml:space="preserve">as </w:t>
      </w:r>
      <w:r w:rsidR="00A60AB6" w:rsidRPr="00DF02C5">
        <w:rPr>
          <w:rFonts w:eastAsia="Calibri" w:hAnsi="Times New Roman"/>
          <w:snapToGrid w:val="0"/>
          <w:color w:val="auto"/>
          <w:kern w:val="22"/>
          <w:bdr w:val="none" w:sz="0" w:space="0" w:color="auto"/>
          <w:lang w:val="en-GB"/>
        </w:rPr>
        <w:t>countries are progressing at different rhythms in the implementation of the Protocol and using different approaches in the</w:t>
      </w:r>
      <w:r w:rsidR="00C82129" w:rsidRPr="00DF02C5">
        <w:rPr>
          <w:rFonts w:eastAsia="Calibri" w:hAnsi="Times New Roman"/>
          <w:snapToGrid w:val="0"/>
          <w:color w:val="auto"/>
          <w:kern w:val="22"/>
          <w:bdr w:val="none" w:sz="0" w:space="0" w:color="auto"/>
          <w:lang w:val="en-GB"/>
        </w:rPr>
        <w:t>ir</w:t>
      </w:r>
      <w:r w:rsidR="00A60AB6" w:rsidRPr="00DF02C5">
        <w:rPr>
          <w:rFonts w:eastAsia="Calibri" w:hAnsi="Times New Roman"/>
          <w:snapToGrid w:val="0"/>
          <w:color w:val="auto"/>
          <w:kern w:val="22"/>
          <w:bdr w:val="none" w:sz="0" w:space="0" w:color="auto"/>
          <w:lang w:val="en-GB"/>
        </w:rPr>
        <w:t xml:space="preserve"> legislation</w:t>
      </w:r>
      <w:r w:rsidRPr="00DF02C5">
        <w:rPr>
          <w:rFonts w:eastAsia="Calibri" w:hAnsi="Times New Roman"/>
          <w:snapToGrid w:val="0"/>
          <w:color w:val="auto"/>
          <w:kern w:val="22"/>
          <w:bdr w:val="none" w:sz="0" w:space="0" w:color="auto"/>
          <w:lang w:val="en-GB"/>
        </w:rPr>
        <w:t xml:space="preserve">, </w:t>
      </w:r>
      <w:r w:rsidR="00A60AB6" w:rsidRPr="00DF02C5">
        <w:rPr>
          <w:rFonts w:eastAsia="Calibri" w:hAnsi="Times New Roman"/>
          <w:snapToGrid w:val="0"/>
          <w:color w:val="auto"/>
          <w:kern w:val="22"/>
          <w:bdr w:val="none" w:sz="0" w:space="0" w:color="auto"/>
          <w:lang w:val="en-GB"/>
        </w:rPr>
        <w:t>and</w:t>
      </w:r>
      <w:r w:rsidRPr="00DF02C5">
        <w:rPr>
          <w:rFonts w:eastAsia="Calibri" w:hAnsi="Times New Roman"/>
          <w:snapToGrid w:val="0"/>
          <w:color w:val="auto"/>
          <w:kern w:val="22"/>
          <w:bdr w:val="none" w:sz="0" w:space="0" w:color="auto"/>
          <w:lang w:val="en-GB"/>
        </w:rPr>
        <w:t xml:space="preserve"> some noted </w:t>
      </w:r>
      <w:r w:rsidR="00A60AB6" w:rsidRPr="00DF02C5">
        <w:rPr>
          <w:rFonts w:eastAsia="Calibri" w:hAnsi="Times New Roman"/>
          <w:snapToGrid w:val="0"/>
          <w:color w:val="auto"/>
          <w:kern w:val="22"/>
          <w:bdr w:val="none" w:sz="0" w:space="0" w:color="auto"/>
          <w:lang w:val="en-GB"/>
        </w:rPr>
        <w:t>th</w:t>
      </w:r>
      <w:r w:rsidRPr="00DF02C5">
        <w:rPr>
          <w:rFonts w:eastAsia="Calibri" w:hAnsi="Times New Roman"/>
          <w:snapToGrid w:val="0"/>
          <w:color w:val="auto"/>
          <w:kern w:val="22"/>
          <w:bdr w:val="none" w:sz="0" w:space="0" w:color="auto"/>
          <w:lang w:val="en-GB"/>
        </w:rPr>
        <w:t>at many</w:t>
      </w:r>
      <w:r w:rsidR="00A60AB6" w:rsidRPr="00DF02C5">
        <w:rPr>
          <w:rFonts w:eastAsia="Calibri" w:hAnsi="Times New Roman"/>
          <w:snapToGrid w:val="0"/>
          <w:color w:val="auto"/>
          <w:kern w:val="22"/>
          <w:bdr w:val="none" w:sz="0" w:space="0" w:color="auto"/>
          <w:lang w:val="en-GB"/>
        </w:rPr>
        <w:t xml:space="preserve"> countries have not yet ratified the Protocol.</w:t>
      </w:r>
    </w:p>
    <w:p w14:paraId="67782F1F" w14:textId="083E7BBE" w:rsidR="00A60AB6" w:rsidRPr="00DF02C5" w:rsidRDefault="0014299C"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Some </w:t>
      </w:r>
      <w:r w:rsidR="00A60AB6" w:rsidRPr="00DF02C5">
        <w:rPr>
          <w:rFonts w:eastAsia="Calibri" w:hAnsi="Times New Roman"/>
          <w:snapToGrid w:val="0"/>
          <w:color w:val="auto"/>
          <w:kern w:val="22"/>
          <w:bdr w:val="none" w:sz="0" w:space="0" w:color="auto"/>
          <w:lang w:val="en-GB"/>
        </w:rPr>
        <w:t xml:space="preserve">noted that </w:t>
      </w:r>
      <w:r w:rsidRPr="00DF02C5">
        <w:rPr>
          <w:rFonts w:eastAsia="Calibri" w:hAnsi="Times New Roman"/>
          <w:snapToGrid w:val="0"/>
          <w:color w:val="auto"/>
          <w:kern w:val="22"/>
          <w:bdr w:val="none" w:sz="0" w:space="0" w:color="auto"/>
          <w:lang w:val="en-GB"/>
        </w:rPr>
        <w:t xml:space="preserve">reinforcement of the capacity of regional structures would be needed with a view to enable them to coordinate </w:t>
      </w:r>
      <w:r w:rsidR="00A60AB6" w:rsidRPr="00DF02C5">
        <w:rPr>
          <w:rFonts w:eastAsia="Calibri" w:hAnsi="Times New Roman"/>
          <w:snapToGrid w:val="0"/>
          <w:color w:val="auto"/>
          <w:kern w:val="22"/>
          <w:bdr w:val="none" w:sz="0" w:space="0" w:color="auto"/>
          <w:lang w:val="en-GB"/>
        </w:rPr>
        <w:t xml:space="preserve">the </w:t>
      </w:r>
      <w:r w:rsidRPr="00DF02C5">
        <w:rPr>
          <w:rFonts w:eastAsia="Calibri" w:hAnsi="Times New Roman"/>
          <w:snapToGrid w:val="0"/>
          <w:color w:val="auto"/>
          <w:kern w:val="22"/>
          <w:bdr w:val="none" w:sz="0" w:space="0" w:color="auto"/>
          <w:lang w:val="en-GB"/>
        </w:rPr>
        <w:t xml:space="preserve">implementation of the Protocol. </w:t>
      </w:r>
      <w:r w:rsidR="00A60AB6" w:rsidRPr="00DF02C5">
        <w:rPr>
          <w:rFonts w:eastAsia="Calibri" w:hAnsi="Times New Roman"/>
          <w:snapToGrid w:val="0"/>
          <w:color w:val="auto"/>
          <w:kern w:val="22"/>
          <w:bdr w:val="none" w:sz="0" w:space="0" w:color="auto"/>
          <w:lang w:val="en-GB"/>
        </w:rPr>
        <w:t xml:space="preserve">In this regard, a country pointed out that </w:t>
      </w:r>
      <w:r w:rsidRPr="00DF02C5">
        <w:rPr>
          <w:rFonts w:eastAsia="Calibri" w:hAnsi="Times New Roman"/>
          <w:snapToGrid w:val="0"/>
          <w:color w:val="auto"/>
          <w:kern w:val="22"/>
          <w:bdr w:val="none" w:sz="0" w:space="0" w:color="auto"/>
          <w:lang w:val="en-GB"/>
        </w:rPr>
        <w:t>ABS regional policies were not fully implemented</w:t>
      </w:r>
      <w:r w:rsidR="00A60AB6" w:rsidRPr="00DF02C5">
        <w:rPr>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 xml:space="preserve">at </w:t>
      </w:r>
      <w:r w:rsidR="00A60AB6" w:rsidRPr="00DF02C5">
        <w:rPr>
          <w:rFonts w:eastAsia="Calibri" w:hAnsi="Times New Roman"/>
          <w:snapToGrid w:val="0"/>
          <w:color w:val="auto"/>
          <w:kern w:val="22"/>
          <w:bdr w:val="none" w:sz="0" w:space="0" w:color="auto"/>
          <w:lang w:val="en-GB"/>
        </w:rPr>
        <w:t>national level. The need for financial resources to support transboundary cooperation was noted by a number of countries.</w:t>
      </w:r>
    </w:p>
    <w:p w14:paraId="08B4A6B6" w14:textId="01DB88AA" w:rsidR="00A60AB6" w:rsidRPr="00DF02C5" w:rsidRDefault="00A60AB6"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Some countries </w:t>
      </w:r>
      <w:r w:rsidR="0014299C" w:rsidRPr="00DF02C5">
        <w:rPr>
          <w:rFonts w:eastAsia="Calibri" w:hAnsi="Times New Roman"/>
          <w:snapToGrid w:val="0"/>
          <w:color w:val="auto"/>
          <w:kern w:val="22"/>
          <w:bdr w:val="none" w:sz="0" w:space="0" w:color="auto"/>
          <w:lang w:val="en-GB"/>
        </w:rPr>
        <w:t>indicated that no cases had</w:t>
      </w:r>
      <w:r w:rsidRPr="00DF02C5">
        <w:rPr>
          <w:rFonts w:eastAsia="Calibri" w:hAnsi="Times New Roman"/>
          <w:snapToGrid w:val="0"/>
          <w:color w:val="auto"/>
          <w:kern w:val="22"/>
          <w:bdr w:val="none" w:sz="0" w:space="0" w:color="auto"/>
          <w:lang w:val="en-GB"/>
        </w:rPr>
        <w:t xml:space="preserve"> yet been identified of access to genetic resources or associated traditional knowledge located in the territory of more than one country, and </w:t>
      </w:r>
      <w:r w:rsidR="0014299C" w:rsidRPr="00DF02C5">
        <w:rPr>
          <w:rFonts w:eastAsia="Calibri" w:hAnsi="Times New Roman"/>
          <w:snapToGrid w:val="0"/>
          <w:color w:val="auto"/>
          <w:kern w:val="22"/>
          <w:bdr w:val="none" w:sz="0" w:space="0" w:color="auto"/>
          <w:lang w:val="en-GB"/>
        </w:rPr>
        <w:t>that there was a</w:t>
      </w:r>
      <w:r w:rsidRPr="00DF02C5">
        <w:rPr>
          <w:rFonts w:eastAsia="Calibri" w:hAnsi="Times New Roman"/>
          <w:snapToGrid w:val="0"/>
          <w:color w:val="auto"/>
          <w:kern w:val="22"/>
          <w:bdr w:val="none" w:sz="0" w:space="0" w:color="auto"/>
          <w:lang w:val="en-GB"/>
        </w:rPr>
        <w:t xml:space="preserve"> need to gain more experience</w:t>
      </w:r>
      <w:r w:rsidR="0014299C" w:rsidRPr="00DF02C5">
        <w:rPr>
          <w:rFonts w:eastAsia="Calibri" w:hAnsi="Times New Roman"/>
          <w:snapToGrid w:val="0"/>
          <w:color w:val="auto"/>
          <w:kern w:val="22"/>
          <w:bdr w:val="none" w:sz="0" w:space="0" w:color="auto"/>
          <w:lang w:val="en-GB"/>
        </w:rPr>
        <w:t xml:space="preserve"> on this issue. The importance of sharing </w:t>
      </w:r>
      <w:r w:rsidRPr="00DF02C5">
        <w:rPr>
          <w:rFonts w:eastAsia="Calibri" w:hAnsi="Times New Roman"/>
          <w:snapToGrid w:val="0"/>
          <w:color w:val="auto"/>
          <w:kern w:val="22"/>
          <w:bdr w:val="none" w:sz="0" w:space="0" w:color="auto"/>
          <w:lang w:val="en-GB"/>
        </w:rPr>
        <w:t>information</w:t>
      </w:r>
      <w:r w:rsidR="0014299C" w:rsidRPr="00DF02C5">
        <w:rPr>
          <w:rFonts w:eastAsia="Calibri" w:hAnsi="Times New Roman"/>
          <w:snapToGrid w:val="0"/>
          <w:color w:val="auto"/>
          <w:kern w:val="22"/>
          <w:bdr w:val="none" w:sz="0" w:space="0" w:color="auto"/>
          <w:lang w:val="en-GB"/>
        </w:rPr>
        <w:t xml:space="preserve"> and experience was highlighted. </w:t>
      </w:r>
      <w:r w:rsidRPr="00DF02C5">
        <w:rPr>
          <w:rFonts w:eastAsia="Calibri" w:hAnsi="Times New Roman"/>
          <w:snapToGrid w:val="0"/>
          <w:color w:val="auto"/>
          <w:kern w:val="22"/>
          <w:bdr w:val="none" w:sz="0" w:space="0" w:color="auto"/>
          <w:lang w:val="en-GB"/>
        </w:rPr>
        <w:t>One country</w:t>
      </w:r>
      <w:r w:rsidR="0014299C" w:rsidRPr="00DF02C5">
        <w:rPr>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 xml:space="preserve">was of the view that the experiences acquired in other subregional and bilateral project would be of most relevance to assist in the implementation of Article 11 of the Nagoya Protocol. </w:t>
      </w:r>
    </w:p>
    <w:p w14:paraId="42408DDE" w14:textId="143FE6EE" w:rsidR="00A60AB6" w:rsidRPr="00DF02C5" w:rsidRDefault="0014299C"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The need to</w:t>
      </w:r>
      <w:r w:rsidR="00CF400E" w:rsidRPr="00DF02C5">
        <w:rPr>
          <w:rFonts w:eastAsia="Calibri" w:hAnsi="Times New Roman"/>
          <w:snapToGrid w:val="0"/>
          <w:color w:val="auto"/>
          <w:kern w:val="22"/>
          <w:bdr w:val="none" w:sz="0" w:space="0" w:color="auto"/>
          <w:lang w:val="en-GB"/>
        </w:rPr>
        <w:t xml:space="preserve"> </w:t>
      </w:r>
      <w:r w:rsidR="00A60AB6" w:rsidRPr="00DF02C5">
        <w:rPr>
          <w:rFonts w:eastAsia="Calibri" w:hAnsi="Times New Roman"/>
          <w:snapToGrid w:val="0"/>
          <w:color w:val="auto"/>
          <w:kern w:val="22"/>
          <w:bdr w:val="none" w:sz="0" w:space="0" w:color="auto"/>
          <w:lang w:val="en-GB"/>
        </w:rPr>
        <w:t>identify and document shared traditional knowledge was also men</w:t>
      </w:r>
      <w:r w:rsidR="007601F8" w:rsidRPr="00DF02C5">
        <w:rPr>
          <w:rFonts w:eastAsia="Calibri" w:hAnsi="Times New Roman"/>
          <w:snapToGrid w:val="0"/>
          <w:color w:val="auto"/>
          <w:kern w:val="22"/>
          <w:bdr w:val="none" w:sz="0" w:space="0" w:color="auto"/>
          <w:lang w:val="en-GB"/>
        </w:rPr>
        <w:t>tioned by a number of countries, and o</w:t>
      </w:r>
      <w:r w:rsidR="00A60AB6" w:rsidRPr="00DF02C5">
        <w:rPr>
          <w:rFonts w:eastAsia="Calibri" w:hAnsi="Times New Roman"/>
          <w:snapToGrid w:val="0"/>
          <w:color w:val="auto"/>
          <w:kern w:val="22"/>
          <w:bdr w:val="none" w:sz="0" w:space="0" w:color="auto"/>
          <w:lang w:val="en-GB"/>
        </w:rPr>
        <w:t xml:space="preserve">ne country pointed out that their </w:t>
      </w:r>
      <w:r w:rsidR="00CF400E" w:rsidRPr="00DF02C5">
        <w:rPr>
          <w:rFonts w:eastAsia="Calibri" w:hAnsi="Times New Roman"/>
          <w:snapToGrid w:val="0"/>
          <w:color w:val="auto"/>
          <w:kern w:val="22"/>
          <w:bdr w:val="none" w:sz="0" w:space="0" w:color="auto"/>
          <w:lang w:val="en-GB"/>
        </w:rPr>
        <w:t xml:space="preserve">associated </w:t>
      </w:r>
      <w:r w:rsidR="00A60AB6" w:rsidRPr="00DF02C5">
        <w:rPr>
          <w:rFonts w:eastAsia="Calibri" w:hAnsi="Times New Roman"/>
          <w:snapToGrid w:val="0"/>
          <w:color w:val="auto"/>
          <w:kern w:val="22"/>
          <w:bdr w:val="none" w:sz="0" w:space="0" w:color="auto"/>
          <w:lang w:val="en-GB"/>
        </w:rPr>
        <w:t xml:space="preserve">traditional knowledge </w:t>
      </w:r>
      <w:r w:rsidR="007601F8" w:rsidRPr="00DF02C5">
        <w:rPr>
          <w:rFonts w:eastAsia="Calibri" w:hAnsi="Times New Roman"/>
          <w:snapToGrid w:val="0"/>
          <w:color w:val="auto"/>
          <w:kern w:val="22"/>
          <w:bdr w:val="none" w:sz="0" w:space="0" w:color="auto"/>
          <w:lang w:val="en-GB"/>
        </w:rPr>
        <w:t>has</w:t>
      </w:r>
      <w:r w:rsidR="00A60AB6" w:rsidRPr="00DF02C5">
        <w:rPr>
          <w:rFonts w:eastAsia="Calibri" w:hAnsi="Times New Roman"/>
          <w:snapToGrid w:val="0"/>
          <w:color w:val="auto"/>
          <w:kern w:val="22"/>
          <w:bdr w:val="none" w:sz="0" w:space="0" w:color="auto"/>
          <w:lang w:val="en-GB"/>
        </w:rPr>
        <w:t xml:space="preserve"> </w:t>
      </w:r>
      <w:r w:rsidR="00C82129" w:rsidRPr="00DF02C5">
        <w:rPr>
          <w:rFonts w:eastAsia="Calibri" w:hAnsi="Times New Roman"/>
          <w:snapToGrid w:val="0"/>
          <w:color w:val="auto"/>
          <w:kern w:val="22"/>
          <w:bdr w:val="none" w:sz="0" w:space="0" w:color="auto"/>
          <w:lang w:val="en-GB"/>
        </w:rPr>
        <w:t xml:space="preserve">already </w:t>
      </w:r>
      <w:r w:rsidR="00A60AB6" w:rsidRPr="00DF02C5">
        <w:rPr>
          <w:rFonts w:eastAsia="Calibri" w:hAnsi="Times New Roman"/>
          <w:snapToGrid w:val="0"/>
          <w:color w:val="auto"/>
          <w:kern w:val="22"/>
          <w:bdr w:val="none" w:sz="0" w:space="0" w:color="auto"/>
          <w:lang w:val="en-GB"/>
        </w:rPr>
        <w:t xml:space="preserve">been partly documented or widely disseminated. </w:t>
      </w:r>
    </w:p>
    <w:p w14:paraId="418F6679" w14:textId="69261196" w:rsidR="00A60AB6" w:rsidRPr="00DF02C5" w:rsidRDefault="00A60AB6" w:rsidP="003500AA">
      <w:pPr>
        <w:pStyle w:val="Heading2"/>
        <w:numPr>
          <w:ilvl w:val="0"/>
          <w:numId w:val="43"/>
        </w:numPr>
        <w:spacing w:before="240"/>
        <w:jc w:val="both"/>
        <w:rPr>
          <w:rFonts w:eastAsia="Calibri"/>
          <w:snapToGrid w:val="0"/>
          <w:bdr w:val="none" w:sz="0" w:space="0" w:color="auto"/>
          <w:lang w:val="en-GB"/>
        </w:rPr>
      </w:pPr>
      <w:bookmarkStart w:id="16" w:name="_Toc511112612"/>
      <w:r w:rsidRPr="00DF02C5">
        <w:rPr>
          <w:rFonts w:eastAsia="Calibri"/>
          <w:snapToGrid w:val="0"/>
          <w:bdr w:val="none" w:sz="0" w:space="0" w:color="auto"/>
          <w:lang w:val="en-GB"/>
        </w:rPr>
        <w:lastRenderedPageBreak/>
        <w:t>Model contractual clauses, codes of conduct, guidelines and best practices and/or standards (Article 19 and 20)</w:t>
      </w:r>
      <w:r w:rsidR="00774F8E" w:rsidRPr="00DF02C5">
        <w:rPr>
          <w:rFonts w:eastAsia="Calibri"/>
          <w:snapToGrid w:val="0"/>
          <w:bdr w:val="none" w:sz="0" w:space="0" w:color="auto"/>
          <w:lang w:val="en-GB"/>
        </w:rPr>
        <w:t xml:space="preserve"> (questions 51 to 53)</w:t>
      </w:r>
      <w:bookmarkEnd w:id="16"/>
    </w:p>
    <w:p w14:paraId="355B0E38" w14:textId="4CE200C6" w:rsidR="00A60AB6" w:rsidRPr="005D4302" w:rsidRDefault="007601F8" w:rsidP="005D4302">
      <w:pPr>
        <w:numPr>
          <w:ilvl w:val="0"/>
          <w:numId w:val="77"/>
        </w:numPr>
        <w:spacing w:before="240" w:after="120"/>
        <w:ind w:left="1267" w:right="446" w:hanging="547"/>
        <w:rPr>
          <w:rFonts w:eastAsia="Calibri" w:hAnsi="Times New Roman" w:cs="Times New Roman"/>
          <w:i/>
          <w:snapToGrid w:val="0"/>
          <w:color w:val="auto"/>
          <w:kern w:val="22"/>
          <w:bdr w:val="none" w:sz="0" w:space="0" w:color="auto"/>
          <w:lang w:val="en-GB"/>
        </w:rPr>
      </w:pPr>
      <w:r w:rsidRPr="005D4302">
        <w:rPr>
          <w:rFonts w:eastAsia="Calibri" w:hAnsi="Times New Roman" w:cs="Times New Roman"/>
          <w:i/>
          <w:snapToGrid w:val="0"/>
          <w:color w:val="auto"/>
          <w:kern w:val="22"/>
          <w:bdr w:val="none" w:sz="0" w:space="0" w:color="auto"/>
          <w:lang w:val="en-GB"/>
        </w:rPr>
        <w:t xml:space="preserve">Is your country encouraging the development, update and use of model contractual clauses for MAT as provided in Article 19? </w:t>
      </w:r>
      <w:r w:rsidR="00A60AB6" w:rsidRPr="005D4302">
        <w:rPr>
          <w:rFonts w:eastAsia="Calibri" w:hAnsi="Times New Roman" w:cs="Times New Roman"/>
          <w:i/>
          <w:snapToGrid w:val="0"/>
          <w:color w:val="auto"/>
          <w:kern w:val="22"/>
          <w:bdr w:val="none" w:sz="0" w:space="0" w:color="auto"/>
          <w:lang w:val="en-GB"/>
        </w:rPr>
        <w:t>(question 51)</w:t>
      </w:r>
    </w:p>
    <w:p w14:paraId="50758938" w14:textId="68EE3509" w:rsidR="00D354FB" w:rsidRPr="00DF02C5" w:rsidRDefault="00D354FB" w:rsidP="00CB6ACA">
      <w:pPr>
        <w:pStyle w:val="Para1"/>
        <w:numPr>
          <w:ilvl w:val="0"/>
          <w:numId w:val="93"/>
        </w:numPr>
        <w:rPr>
          <w:rFonts w:eastAsia="Calibri" w:hAnsi="Times New Roman"/>
          <w:snapToGrid w:val="0"/>
          <w:color w:val="auto"/>
          <w:kern w:val="22"/>
          <w:bdr w:val="none" w:sz="0" w:space="0" w:color="auto"/>
          <w:lang w:val="en-GB"/>
        </w:rPr>
      </w:pPr>
      <w:proofErr w:type="gramStart"/>
      <w:r w:rsidRPr="00DF02C5">
        <w:rPr>
          <w:rFonts w:hAnsi="Times New Roman"/>
          <w:bdr w:val="none" w:sz="0" w:space="0" w:color="auto"/>
          <w:lang w:val="en-GB"/>
        </w:rPr>
        <w:t>Forty-eight</w:t>
      </w:r>
      <w:proofErr w:type="gramEnd"/>
      <w:r w:rsidRPr="00DF02C5">
        <w:rPr>
          <w:rFonts w:hAnsi="Times New Roman"/>
          <w:bdr w:val="none" w:sz="0" w:space="0" w:color="auto"/>
          <w:lang w:val="en-GB"/>
        </w:rPr>
        <w:t xml:space="preserve"> Parties and three non-Parties responded that they are </w:t>
      </w:r>
      <w:r w:rsidRPr="00DF02C5">
        <w:rPr>
          <w:rFonts w:eastAsia="Calibri" w:hAnsi="Times New Roman"/>
          <w:snapToGrid w:val="0"/>
          <w:color w:val="auto"/>
          <w:kern w:val="22"/>
          <w:bdr w:val="none" w:sz="0" w:space="0" w:color="auto"/>
          <w:lang w:val="en-GB"/>
        </w:rPr>
        <w:t>encouraging the development, update and use of model contractual clauses for MAT</w:t>
      </w:r>
      <w:r w:rsidR="007601F8" w:rsidRPr="00DF02C5">
        <w:rPr>
          <w:lang w:val="en-GB"/>
        </w:rPr>
        <w:t xml:space="preserve">, while </w:t>
      </w:r>
      <w:r w:rsidR="007601F8" w:rsidRPr="00DF02C5">
        <w:rPr>
          <w:rFonts w:eastAsia="Calibri" w:hAnsi="Times New Roman"/>
          <w:snapToGrid w:val="0"/>
          <w:color w:val="auto"/>
          <w:kern w:val="22"/>
          <w:bdr w:val="none" w:sz="0" w:space="0" w:color="auto"/>
          <w:lang w:val="en-GB"/>
        </w:rPr>
        <w:t>twenty-one Parties and three non-Parties reported that they are not.</w:t>
      </w:r>
    </w:p>
    <w:p w14:paraId="0BBE0B0E" w14:textId="6F47D345" w:rsidR="007601F8" w:rsidRPr="00DF02C5" w:rsidRDefault="00E5256F" w:rsidP="00E5256F">
      <w:pPr>
        <w:pStyle w:val="Caption"/>
        <w:keepNext/>
        <w:keepLines/>
        <w:rPr>
          <w:snapToGrid w:val="0"/>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Pr="00DF02C5">
        <w:rPr>
          <w:noProof/>
          <w:lang w:val="en-GB"/>
        </w:rPr>
        <w:t>45</w:t>
      </w:r>
      <w:r w:rsidRPr="00DF02C5">
        <w:rPr>
          <w:lang w:val="en-GB"/>
        </w:rPr>
        <w:fldChar w:fldCharType="end"/>
      </w:r>
      <w:r w:rsidR="007601F8" w:rsidRPr="00DF02C5">
        <w:rPr>
          <w:snapToGrid w:val="0"/>
          <w:bdr w:val="none" w:sz="0" w:space="0" w:color="auto"/>
          <w:lang w:val="en-GB"/>
        </w:rPr>
        <w:t>: Encouraging the development, update and use of model contractual clauses for MAT (percentage of countries)</w:t>
      </w:r>
    </w:p>
    <w:p w14:paraId="15757E9A" w14:textId="1B5199D5" w:rsidR="007601F8" w:rsidRPr="00DF02C5" w:rsidRDefault="007601F8" w:rsidP="007601F8">
      <w:pPr>
        <w:pStyle w:val="Para1"/>
        <w:jc w:val="center"/>
        <w:rPr>
          <w:rFonts w:eastAsia="Calibri" w:hAnsi="Times New Roman"/>
          <w:snapToGrid w:val="0"/>
          <w:color w:val="auto"/>
          <w:kern w:val="22"/>
          <w:bdr w:val="none" w:sz="0" w:space="0" w:color="auto"/>
          <w:lang w:val="en-GB"/>
        </w:rPr>
      </w:pPr>
      <w:r w:rsidRPr="00DF02C5">
        <w:rPr>
          <w:noProof/>
        </w:rPr>
        <w:drawing>
          <wp:inline distT="0" distB="0" distL="0" distR="0" wp14:anchorId="2487349B" wp14:editId="23AF6437">
            <wp:extent cx="3419475" cy="1885950"/>
            <wp:effectExtent l="0" t="0" r="9525" b="19050"/>
            <wp:docPr id="46" name="Chart 46">
              <a:extLst xmlns:a="http://schemas.openxmlformats.org/drawingml/2006/main">
                <a:ext uri="{FF2B5EF4-FFF2-40B4-BE49-F238E27FC236}">
                  <a16:creationId xmlns:a16="http://schemas.microsoft.com/office/drawing/2014/main" id="{00000000-0008-0000-00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DC24A64" w14:textId="3B4FEDB7" w:rsidR="007601F8" w:rsidRPr="00DF02C5" w:rsidRDefault="007601F8" w:rsidP="007601F8">
      <w:pPr>
        <w:pStyle w:val="Para1"/>
        <w:rPr>
          <w:rFonts w:hAnsi="Times New Roman"/>
          <w:i/>
          <w:bdr w:val="none" w:sz="0" w:space="0" w:color="auto"/>
          <w:lang w:val="en-GB"/>
        </w:rPr>
      </w:pPr>
      <w:r w:rsidRPr="00DF02C5">
        <w:rPr>
          <w:rFonts w:hAnsi="Times New Roman"/>
          <w:i/>
          <w:bdr w:val="none" w:sz="0" w:space="0" w:color="auto"/>
          <w:lang w:val="en-GB"/>
        </w:rPr>
        <w:t>(a)</w:t>
      </w:r>
      <w:r w:rsidRPr="00DF02C5">
        <w:rPr>
          <w:rFonts w:hAnsi="Times New Roman"/>
          <w:i/>
          <w:bdr w:val="none" w:sz="0" w:space="0" w:color="auto"/>
          <w:lang w:val="en-GB"/>
        </w:rPr>
        <w:tab/>
        <w:t>Countries that answered “yes”</w:t>
      </w:r>
    </w:p>
    <w:p w14:paraId="6656488C" w14:textId="77777777" w:rsidR="00A60AB6" w:rsidRPr="00DF02C5" w:rsidRDefault="00A60AB6"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In providing further information, some countries referred to existing ABS measures in their legislation that contain MAT obligations</w:t>
      </w:r>
      <w:r w:rsidRPr="00DF02C5">
        <w:rPr>
          <w:rStyle w:val="FootnoteReference"/>
          <w:rFonts w:eastAsia="Calibri" w:hAnsi="Times New Roman"/>
          <w:snapToGrid w:val="0"/>
          <w:color w:val="auto"/>
          <w:kern w:val="22"/>
          <w:bdr w:val="none" w:sz="0" w:space="0" w:color="auto"/>
          <w:lang w:val="en-GB"/>
        </w:rPr>
        <w:footnoteReference w:id="384"/>
      </w:r>
      <w:r w:rsidRPr="00DF02C5">
        <w:rPr>
          <w:rFonts w:eastAsia="Calibri" w:hAnsi="Times New Roman"/>
          <w:snapToGrid w:val="0"/>
          <w:color w:val="auto"/>
          <w:kern w:val="22"/>
          <w:bdr w:val="none" w:sz="0" w:space="0" w:color="auto"/>
          <w:lang w:val="en-GB"/>
        </w:rPr>
        <w:t xml:space="preserve"> or to the plans to address this issue</w:t>
      </w:r>
      <w:r w:rsidRPr="00DF02C5">
        <w:rPr>
          <w:rStyle w:val="FootnoteReference"/>
          <w:rFonts w:eastAsia="Calibri" w:hAnsi="Times New Roman"/>
          <w:snapToGrid w:val="0"/>
          <w:color w:val="auto"/>
          <w:kern w:val="22"/>
          <w:bdr w:val="none" w:sz="0" w:space="0" w:color="auto"/>
          <w:lang w:val="en-GB"/>
        </w:rPr>
        <w:footnoteReference w:id="385"/>
      </w:r>
      <w:r w:rsidRPr="00DF02C5">
        <w:rPr>
          <w:rFonts w:eastAsia="Calibri" w:hAnsi="Times New Roman"/>
          <w:snapToGrid w:val="0"/>
          <w:color w:val="auto"/>
          <w:kern w:val="22"/>
          <w:bdr w:val="none" w:sz="0" w:space="0" w:color="auto"/>
          <w:lang w:val="en-GB"/>
        </w:rPr>
        <w:t xml:space="preserve">. </w:t>
      </w:r>
    </w:p>
    <w:p w14:paraId="172A1085" w14:textId="3D0BB960" w:rsidR="00A60AB6" w:rsidRPr="00DF02C5" w:rsidRDefault="00A60AB6"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Some countries indicated that they are encouraging different </w:t>
      </w:r>
      <w:r w:rsidR="000A1A42" w:rsidRPr="00DF02C5">
        <w:rPr>
          <w:rFonts w:eastAsia="Calibri" w:hAnsi="Times New Roman"/>
          <w:snapToGrid w:val="0"/>
          <w:color w:val="auto"/>
          <w:kern w:val="22"/>
          <w:bdr w:val="none" w:sz="0" w:space="0" w:color="auto"/>
          <w:lang w:val="en-GB"/>
        </w:rPr>
        <w:t>actors to</w:t>
      </w:r>
      <w:r w:rsidRPr="00DF02C5">
        <w:rPr>
          <w:rFonts w:eastAsia="Calibri" w:hAnsi="Times New Roman"/>
          <w:snapToGrid w:val="0"/>
          <w:color w:val="auto"/>
          <w:kern w:val="22"/>
          <w:bdr w:val="none" w:sz="0" w:space="0" w:color="auto"/>
          <w:lang w:val="en-GB"/>
        </w:rPr>
        <w:t xml:space="preserve"> develop model contractual clauses.</w:t>
      </w:r>
      <w:r w:rsidRPr="00DF02C5">
        <w:rPr>
          <w:rStyle w:val="FootnoteReference"/>
          <w:rFonts w:eastAsia="Calibri" w:hAnsi="Times New Roman"/>
          <w:snapToGrid w:val="0"/>
          <w:color w:val="auto"/>
          <w:kern w:val="22"/>
          <w:bdr w:val="none" w:sz="0" w:space="0" w:color="auto"/>
          <w:lang w:val="en-GB"/>
        </w:rPr>
        <w:footnoteReference w:id="386"/>
      </w:r>
      <w:r w:rsidRPr="00DF02C5">
        <w:rPr>
          <w:rFonts w:eastAsia="Calibri" w:hAnsi="Times New Roman"/>
          <w:snapToGrid w:val="0"/>
          <w:color w:val="auto"/>
          <w:kern w:val="22"/>
          <w:bdr w:val="none" w:sz="0" w:space="0" w:color="auto"/>
          <w:lang w:val="en-GB"/>
        </w:rPr>
        <w:t xml:space="preserve"> For instance:</w:t>
      </w:r>
    </w:p>
    <w:p w14:paraId="43C87E88" w14:textId="2E6D66D8" w:rsidR="00A60AB6" w:rsidRPr="00DF02C5" w:rsidRDefault="00A60AB6" w:rsidP="005D4302">
      <w:pPr>
        <w:pStyle w:val="ListParagraph"/>
        <w:numPr>
          <w:ilvl w:val="0"/>
          <w:numId w:val="28"/>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The EU indicated</w:t>
      </w:r>
      <w:r w:rsidR="00432948" w:rsidRPr="00DF02C5">
        <w:rPr>
          <w:rFonts w:eastAsia="Calibri" w:hAnsi="Times New Roman" w:cs="Times New Roman"/>
          <w:snapToGrid w:val="0"/>
          <w:color w:val="auto"/>
          <w:kern w:val="22"/>
          <w:bdr w:val="none" w:sz="0" w:space="0" w:color="auto"/>
          <w:lang w:val="en-GB"/>
        </w:rPr>
        <w:t xml:space="preserve"> that</w:t>
      </w:r>
      <w:r w:rsidRPr="00DF02C5">
        <w:rPr>
          <w:rFonts w:eastAsia="Calibri" w:hAnsi="Times New Roman" w:cs="Times New Roman"/>
          <w:snapToGrid w:val="0"/>
          <w:color w:val="auto"/>
          <w:kern w:val="22"/>
          <w:bdr w:val="none" w:sz="0" w:space="0" w:color="auto"/>
          <w:lang w:val="en-GB"/>
        </w:rPr>
        <w:t xml:space="preserve"> Art</w:t>
      </w:r>
      <w:r w:rsidR="00432948" w:rsidRPr="00DF02C5">
        <w:rPr>
          <w:rFonts w:eastAsia="Calibri" w:hAnsi="Times New Roman" w:cs="Times New Roman"/>
          <w:snapToGrid w:val="0"/>
          <w:color w:val="auto"/>
          <w:kern w:val="22"/>
          <w:bdr w:val="none" w:sz="0" w:space="0" w:color="auto"/>
          <w:lang w:val="en-GB"/>
        </w:rPr>
        <w:t xml:space="preserve">icle 13 of Regulation 511/2014 provides that </w:t>
      </w:r>
      <w:r w:rsidRPr="00DF02C5">
        <w:rPr>
          <w:rFonts w:eastAsia="Calibri" w:hAnsi="Times New Roman" w:cs="Times New Roman"/>
          <w:snapToGrid w:val="0"/>
          <w:color w:val="auto"/>
          <w:kern w:val="22"/>
          <w:bdr w:val="none" w:sz="0" w:space="0" w:color="auto"/>
          <w:lang w:val="en-GB"/>
        </w:rPr>
        <w:t>the European Commission and the Member States shall encourage the development of codes of conduct, model contractual clauses, guidelines and best practices</w:t>
      </w:r>
      <w:r w:rsidR="005D4302">
        <w:rPr>
          <w:rFonts w:eastAsia="Calibri" w:hAnsi="Times New Roman" w:cs="Times New Roman"/>
          <w:snapToGrid w:val="0"/>
          <w:color w:val="auto"/>
          <w:kern w:val="22"/>
          <w:bdr w:val="none" w:sz="0" w:space="0" w:color="auto"/>
          <w:lang w:val="en-GB"/>
        </w:rPr>
        <w:t>;</w:t>
      </w:r>
      <w:r w:rsidRPr="00DF02C5">
        <w:rPr>
          <w:rStyle w:val="FootnoteReference"/>
          <w:rFonts w:eastAsia="Calibri" w:hAnsi="Times New Roman" w:cs="Times New Roman"/>
          <w:snapToGrid w:val="0"/>
          <w:color w:val="auto"/>
          <w:kern w:val="22"/>
          <w:bdr w:val="none" w:sz="0" w:space="0" w:color="auto"/>
          <w:lang w:val="en-GB"/>
        </w:rPr>
        <w:footnoteReference w:id="387"/>
      </w:r>
    </w:p>
    <w:p w14:paraId="7DAAF46E" w14:textId="09B2E6BE" w:rsidR="00A60AB6" w:rsidRPr="00DF02C5" w:rsidRDefault="00A60AB6" w:rsidP="005D4302">
      <w:pPr>
        <w:pStyle w:val="ListParagraph"/>
        <w:numPr>
          <w:ilvl w:val="0"/>
          <w:numId w:val="28"/>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Japan stated that in accordance with the ABS Guidelines, the Minister of the Environment, in cooperation with other competent ministers, encourages relevant organizations to develop, update and </w:t>
      </w:r>
      <w:r w:rsidR="00432948" w:rsidRPr="00DF02C5">
        <w:rPr>
          <w:rFonts w:eastAsia="Calibri" w:hAnsi="Times New Roman" w:cs="Times New Roman"/>
          <w:snapToGrid w:val="0"/>
          <w:color w:val="auto"/>
          <w:kern w:val="22"/>
          <w:bdr w:val="none" w:sz="0" w:space="0" w:color="auto"/>
          <w:lang w:val="en-GB"/>
        </w:rPr>
        <w:t xml:space="preserve">use </w:t>
      </w:r>
      <w:r w:rsidRPr="00DF02C5">
        <w:rPr>
          <w:rFonts w:eastAsia="Calibri" w:hAnsi="Times New Roman" w:cs="Times New Roman"/>
          <w:snapToGrid w:val="0"/>
          <w:color w:val="auto"/>
          <w:kern w:val="22"/>
          <w:bdr w:val="none" w:sz="0" w:space="0" w:color="auto"/>
          <w:lang w:val="en-GB"/>
        </w:rPr>
        <w:t>cross-sectoral model contractual clauses for MAT. Furthermore, competent ministers encourage industrial associations and other relevant organizations</w:t>
      </w:r>
      <w:r w:rsidR="007601F8" w:rsidRPr="00DF02C5">
        <w:rPr>
          <w:rFonts w:eastAsia="Calibri" w:hAnsi="Times New Roman" w:cs="Times New Roman"/>
          <w:snapToGrid w:val="0"/>
          <w:color w:val="auto"/>
          <w:kern w:val="22"/>
          <w:bdr w:val="none" w:sz="0" w:space="0" w:color="auto"/>
          <w:lang w:val="en-GB"/>
        </w:rPr>
        <w:t xml:space="preserve"> under their respective purview</w:t>
      </w:r>
      <w:r w:rsidRPr="00DF02C5">
        <w:rPr>
          <w:rFonts w:eastAsia="Calibri" w:hAnsi="Times New Roman" w:cs="Times New Roman"/>
          <w:snapToGrid w:val="0"/>
          <w:color w:val="auto"/>
          <w:kern w:val="22"/>
          <w:bdr w:val="none" w:sz="0" w:space="0" w:color="auto"/>
          <w:lang w:val="en-GB"/>
        </w:rPr>
        <w:t xml:space="preserve"> to develop, update and </w:t>
      </w:r>
      <w:r w:rsidR="00432948" w:rsidRPr="00DF02C5">
        <w:rPr>
          <w:rFonts w:eastAsia="Calibri" w:hAnsi="Times New Roman" w:cs="Times New Roman"/>
          <w:snapToGrid w:val="0"/>
          <w:color w:val="auto"/>
          <w:kern w:val="22"/>
          <w:bdr w:val="none" w:sz="0" w:space="0" w:color="auto"/>
          <w:lang w:val="en-GB"/>
        </w:rPr>
        <w:t xml:space="preserve">use </w:t>
      </w:r>
      <w:r w:rsidRPr="00DF02C5">
        <w:rPr>
          <w:rFonts w:eastAsia="Calibri" w:hAnsi="Times New Roman" w:cs="Times New Roman"/>
          <w:snapToGrid w:val="0"/>
          <w:color w:val="auto"/>
          <w:kern w:val="22"/>
          <w:bdr w:val="none" w:sz="0" w:space="0" w:color="auto"/>
          <w:lang w:val="en-GB"/>
        </w:rPr>
        <w:t>sectoral model contractual clauses for MAT.</w:t>
      </w:r>
    </w:p>
    <w:p w14:paraId="2A73C708" w14:textId="6215C085" w:rsidR="00A60AB6" w:rsidRPr="00DF02C5" w:rsidRDefault="00A60AB6" w:rsidP="005D4302">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Some countries</w:t>
      </w:r>
      <w:r w:rsidRPr="00DF02C5">
        <w:rPr>
          <w:rStyle w:val="FootnoteReference"/>
          <w:rFonts w:eastAsia="Calibri" w:hAnsi="Times New Roman"/>
          <w:snapToGrid w:val="0"/>
          <w:color w:val="auto"/>
          <w:kern w:val="22"/>
          <w:bdr w:val="none" w:sz="0" w:space="0" w:color="auto"/>
          <w:lang w:val="en-GB"/>
        </w:rPr>
        <w:footnoteReference w:id="388"/>
      </w:r>
      <w:r w:rsidRPr="00DF02C5">
        <w:rPr>
          <w:rFonts w:eastAsia="Calibri" w:hAnsi="Times New Roman"/>
          <w:snapToGrid w:val="0"/>
          <w:color w:val="auto"/>
          <w:kern w:val="22"/>
          <w:bdr w:val="none" w:sz="0" w:space="0" w:color="auto"/>
          <w:lang w:val="en-GB"/>
        </w:rPr>
        <w:t xml:space="preserve"> also provided information on awareness raising activities among stakeholders to encourage the development of model</w:t>
      </w:r>
      <w:r w:rsidR="00432948" w:rsidRPr="00DF02C5">
        <w:rPr>
          <w:rFonts w:eastAsia="Calibri" w:hAnsi="Times New Roman"/>
          <w:snapToGrid w:val="0"/>
          <w:color w:val="auto"/>
          <w:kern w:val="22"/>
          <w:bdr w:val="none" w:sz="0" w:space="0" w:color="auto"/>
          <w:lang w:val="en-GB"/>
        </w:rPr>
        <w:t xml:space="preserve"> contractual clauses. For instance, Denmark indicated </w:t>
      </w:r>
      <w:r w:rsidRPr="00DF02C5">
        <w:rPr>
          <w:rFonts w:eastAsia="Calibri" w:hAnsi="Times New Roman"/>
          <w:snapToGrid w:val="0"/>
          <w:color w:val="auto"/>
          <w:kern w:val="22"/>
          <w:bdr w:val="none" w:sz="0" w:space="0" w:color="auto"/>
          <w:lang w:val="en-GB"/>
        </w:rPr>
        <w:t>that national stakeholders receive information about the development of model contractual clauses at the national stakeholder meetings (1-4 meetings annually).</w:t>
      </w:r>
    </w:p>
    <w:p w14:paraId="36A739ED" w14:textId="3D1ECDAB" w:rsidR="00A60AB6" w:rsidRPr="00DF02C5" w:rsidRDefault="00A60AB6"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lastRenderedPageBreak/>
        <w:t>Several countries</w:t>
      </w:r>
      <w:r w:rsidRPr="00DF02C5">
        <w:rPr>
          <w:rStyle w:val="FootnoteReference"/>
          <w:rFonts w:eastAsia="Calibri" w:hAnsi="Times New Roman"/>
          <w:snapToGrid w:val="0"/>
          <w:color w:val="auto"/>
          <w:kern w:val="22"/>
          <w:bdr w:val="none" w:sz="0" w:space="0" w:color="auto"/>
          <w:lang w:val="en-GB"/>
        </w:rPr>
        <w:footnoteReference w:id="389"/>
      </w:r>
      <w:r w:rsidRPr="00DF02C5">
        <w:rPr>
          <w:rFonts w:eastAsia="Calibri" w:hAnsi="Times New Roman"/>
          <w:snapToGrid w:val="0"/>
          <w:color w:val="auto"/>
          <w:kern w:val="22"/>
          <w:bdr w:val="none" w:sz="0" w:space="0" w:color="auto"/>
          <w:lang w:val="en-GB"/>
        </w:rPr>
        <w:t xml:space="preserve"> </w:t>
      </w:r>
      <w:r w:rsidR="00432948" w:rsidRPr="00DF02C5">
        <w:rPr>
          <w:rFonts w:eastAsia="Calibri" w:hAnsi="Times New Roman"/>
          <w:snapToGrid w:val="0"/>
          <w:color w:val="auto"/>
          <w:kern w:val="22"/>
          <w:bdr w:val="none" w:sz="0" w:space="0" w:color="auto"/>
          <w:lang w:val="en-GB"/>
        </w:rPr>
        <w:t xml:space="preserve">shared information </w:t>
      </w:r>
      <w:r w:rsidRPr="00DF02C5">
        <w:rPr>
          <w:rFonts w:eastAsia="Calibri" w:hAnsi="Times New Roman"/>
          <w:snapToGrid w:val="0"/>
          <w:color w:val="auto"/>
          <w:kern w:val="22"/>
          <w:bdr w:val="none" w:sz="0" w:space="0" w:color="auto"/>
          <w:lang w:val="en-GB"/>
        </w:rPr>
        <w:t xml:space="preserve">on progress </w:t>
      </w:r>
      <w:r w:rsidR="00432948" w:rsidRPr="00DF02C5">
        <w:rPr>
          <w:rFonts w:eastAsia="Calibri" w:hAnsi="Times New Roman"/>
          <w:snapToGrid w:val="0"/>
          <w:color w:val="auto"/>
          <w:kern w:val="22"/>
          <w:bdr w:val="none" w:sz="0" w:space="0" w:color="auto"/>
          <w:lang w:val="en-GB"/>
        </w:rPr>
        <w:t xml:space="preserve">in the development of </w:t>
      </w:r>
      <w:r w:rsidRPr="00DF02C5">
        <w:rPr>
          <w:rFonts w:eastAsia="Calibri" w:hAnsi="Times New Roman"/>
          <w:snapToGrid w:val="0"/>
          <w:color w:val="auto"/>
          <w:kern w:val="22"/>
          <w:bdr w:val="none" w:sz="0" w:space="0" w:color="auto"/>
          <w:lang w:val="en-GB"/>
        </w:rPr>
        <w:t>model clauses for a particular group of actors or sectors:</w:t>
      </w:r>
    </w:p>
    <w:p w14:paraId="4865FF88" w14:textId="000B57A5" w:rsidR="00A60AB6" w:rsidRPr="00DF02C5" w:rsidRDefault="00432948" w:rsidP="00BC6060">
      <w:pPr>
        <w:pStyle w:val="ListParagraph"/>
        <w:numPr>
          <w:ilvl w:val="0"/>
          <w:numId w:val="27"/>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Germany reported</w:t>
      </w:r>
      <w:r w:rsidR="00A60AB6" w:rsidRPr="00DF02C5">
        <w:rPr>
          <w:rFonts w:eastAsia="Calibri" w:hAnsi="Times New Roman" w:cs="Times New Roman"/>
          <w:snapToGrid w:val="0"/>
          <w:color w:val="auto"/>
          <w:kern w:val="22"/>
          <w:bdr w:val="none" w:sz="0" w:space="0" w:color="auto"/>
          <w:lang w:val="en-GB"/>
        </w:rPr>
        <w:t xml:space="preserve"> that the German Research Foundation (Deutsche Forschungsgemeinschaft - DFG) has developed model contractual clauses for researchers applying for </w:t>
      </w:r>
      <w:r w:rsidR="005D4302">
        <w:rPr>
          <w:rFonts w:eastAsia="Calibri" w:hAnsi="Times New Roman" w:cs="Times New Roman"/>
          <w:snapToGrid w:val="0"/>
          <w:color w:val="auto"/>
          <w:kern w:val="22"/>
          <w:bdr w:val="none" w:sz="0" w:space="0" w:color="auto"/>
          <w:lang w:val="en-GB"/>
        </w:rPr>
        <w:t>funding;</w:t>
      </w:r>
    </w:p>
    <w:p w14:paraId="0C08D45C" w14:textId="4BCEE301" w:rsidR="00A60AB6" w:rsidRPr="00DF02C5" w:rsidRDefault="00432948" w:rsidP="00BC6060">
      <w:pPr>
        <w:pStyle w:val="ListParagraph"/>
        <w:numPr>
          <w:ilvl w:val="0"/>
          <w:numId w:val="27"/>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Côte d’Ivoire indicated model contractual clauses for animal genetic resources will be developed </w:t>
      </w:r>
      <w:r w:rsidR="00A60AB6" w:rsidRPr="00DF02C5">
        <w:rPr>
          <w:rFonts w:eastAsia="Calibri" w:hAnsi="Times New Roman" w:cs="Times New Roman"/>
          <w:snapToGrid w:val="0"/>
          <w:color w:val="auto"/>
          <w:kern w:val="22"/>
          <w:bdr w:val="none" w:sz="0" w:space="0" w:color="auto"/>
          <w:lang w:val="en-GB"/>
        </w:rPr>
        <w:t>in the context of an ABS project</w:t>
      </w:r>
      <w:r w:rsidR="005D4302">
        <w:rPr>
          <w:rFonts w:eastAsia="Calibri" w:hAnsi="Times New Roman" w:cs="Times New Roman"/>
          <w:snapToGrid w:val="0"/>
          <w:color w:val="auto"/>
          <w:kern w:val="22"/>
          <w:bdr w:val="none" w:sz="0" w:space="0" w:color="auto"/>
          <w:lang w:val="en-GB"/>
        </w:rPr>
        <w:t>;</w:t>
      </w:r>
    </w:p>
    <w:p w14:paraId="49C779A1" w14:textId="58763818" w:rsidR="00A60AB6" w:rsidRPr="00DF02C5" w:rsidRDefault="00432948" w:rsidP="00BC6060">
      <w:pPr>
        <w:pStyle w:val="ListParagraph"/>
        <w:numPr>
          <w:ilvl w:val="0"/>
          <w:numId w:val="27"/>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Japan </w:t>
      </w:r>
      <w:r w:rsidR="00A60AB6" w:rsidRPr="00DF02C5">
        <w:rPr>
          <w:rFonts w:eastAsia="Calibri" w:hAnsi="Times New Roman" w:cs="Times New Roman"/>
          <w:snapToGrid w:val="0"/>
          <w:color w:val="auto"/>
          <w:kern w:val="22"/>
          <w:bdr w:val="none" w:sz="0" w:space="0" w:color="auto"/>
          <w:lang w:val="en-GB"/>
        </w:rPr>
        <w:t>stated that the National Institute of Genetics under the Ministry of Education, Culture, Sports, Science and Technology has been preparing model contracts for universitie</w:t>
      </w:r>
      <w:r w:rsidR="005D4302">
        <w:rPr>
          <w:rFonts w:eastAsia="Calibri" w:hAnsi="Times New Roman" w:cs="Times New Roman"/>
          <w:snapToGrid w:val="0"/>
          <w:color w:val="auto"/>
          <w:kern w:val="22"/>
          <w:bdr w:val="none" w:sz="0" w:space="0" w:color="auto"/>
          <w:lang w:val="en-GB"/>
        </w:rPr>
        <w:t>s and other research institutes;</w:t>
      </w:r>
    </w:p>
    <w:p w14:paraId="0491F5C6" w14:textId="03BE254E" w:rsidR="00A60AB6" w:rsidRPr="00DF02C5" w:rsidRDefault="00A60AB6" w:rsidP="00BC6060">
      <w:pPr>
        <w:pStyle w:val="ListParagraph"/>
        <w:numPr>
          <w:ilvl w:val="0"/>
          <w:numId w:val="27"/>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Peru</w:t>
      </w:r>
      <w:r w:rsidR="00395E21" w:rsidRPr="00DF02C5">
        <w:rPr>
          <w:rFonts w:eastAsia="Calibri" w:hAnsi="Times New Roman" w:cs="Times New Roman"/>
          <w:snapToGrid w:val="0"/>
          <w:color w:val="auto"/>
          <w:kern w:val="22"/>
          <w:bdr w:val="none" w:sz="0" w:space="0" w:color="auto"/>
          <w:lang w:val="en-GB"/>
        </w:rPr>
        <w:t xml:space="preserve"> reported</w:t>
      </w:r>
      <w:r w:rsidRPr="00DF02C5">
        <w:rPr>
          <w:rFonts w:eastAsia="Calibri" w:hAnsi="Times New Roman" w:cs="Times New Roman"/>
          <w:snapToGrid w:val="0"/>
          <w:color w:val="auto"/>
          <w:kern w:val="22"/>
          <w:bdr w:val="none" w:sz="0" w:space="0" w:color="auto"/>
          <w:lang w:val="en-GB"/>
        </w:rPr>
        <w:t xml:space="preserve"> on work underway to develop model contractual clauses for biotrade activities with the support of </w:t>
      </w:r>
      <w:r w:rsidR="00395E21" w:rsidRPr="00DF02C5">
        <w:rPr>
          <w:rFonts w:eastAsia="Calibri" w:hAnsi="Times New Roman" w:cs="Times New Roman"/>
          <w:snapToGrid w:val="0"/>
          <w:color w:val="auto"/>
          <w:kern w:val="22"/>
          <w:bdr w:val="none" w:sz="0" w:space="0" w:color="auto"/>
          <w:lang w:val="en-GB"/>
        </w:rPr>
        <w:t>the United Nations Conference on Trade and Development (</w:t>
      </w:r>
      <w:r w:rsidRPr="00DF02C5">
        <w:rPr>
          <w:rFonts w:eastAsia="Calibri" w:hAnsi="Times New Roman" w:cs="Times New Roman"/>
          <w:snapToGrid w:val="0"/>
          <w:color w:val="auto"/>
          <w:kern w:val="22"/>
          <w:bdr w:val="none" w:sz="0" w:space="0" w:color="auto"/>
          <w:lang w:val="en-GB"/>
        </w:rPr>
        <w:t>UNCTAD</w:t>
      </w:r>
      <w:r w:rsidR="005D4302">
        <w:rPr>
          <w:rFonts w:eastAsia="Calibri" w:hAnsi="Times New Roman" w:cs="Times New Roman"/>
          <w:snapToGrid w:val="0"/>
          <w:color w:val="auto"/>
          <w:kern w:val="22"/>
          <w:bdr w:val="none" w:sz="0" w:space="0" w:color="auto"/>
          <w:lang w:val="en-GB"/>
        </w:rPr>
        <w:t>);</w:t>
      </w:r>
    </w:p>
    <w:p w14:paraId="6E8E7010" w14:textId="537A0C4A" w:rsidR="00A60AB6" w:rsidRPr="00DF02C5" w:rsidRDefault="00395E21" w:rsidP="00BC6060">
      <w:pPr>
        <w:pStyle w:val="ListParagraph"/>
        <w:numPr>
          <w:ilvl w:val="0"/>
          <w:numId w:val="27"/>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Qatar indicated that material transfer a</w:t>
      </w:r>
      <w:r w:rsidR="00A60AB6" w:rsidRPr="00DF02C5">
        <w:rPr>
          <w:rFonts w:eastAsia="Calibri" w:hAnsi="Times New Roman" w:cs="Times New Roman"/>
          <w:snapToGrid w:val="0"/>
          <w:color w:val="auto"/>
          <w:kern w:val="22"/>
          <w:bdr w:val="none" w:sz="0" w:space="0" w:color="auto"/>
          <w:lang w:val="en-GB"/>
        </w:rPr>
        <w:t>greement</w:t>
      </w:r>
      <w:r w:rsidR="00FD6307" w:rsidRPr="00DF02C5">
        <w:rPr>
          <w:rFonts w:eastAsia="Calibri" w:hAnsi="Times New Roman" w:cs="Times New Roman"/>
          <w:snapToGrid w:val="0"/>
          <w:color w:val="auto"/>
          <w:kern w:val="22"/>
          <w:bdr w:val="none" w:sz="0" w:space="0" w:color="auto"/>
          <w:lang w:val="en-GB"/>
        </w:rPr>
        <w:t>s</w:t>
      </w:r>
      <w:r w:rsidR="00A60AB6" w:rsidRPr="00DF02C5">
        <w:rPr>
          <w:rFonts w:eastAsia="Calibri" w:hAnsi="Times New Roman" w:cs="Times New Roman"/>
          <w:snapToGrid w:val="0"/>
          <w:color w:val="auto"/>
          <w:kern w:val="22"/>
          <w:bdr w:val="none" w:sz="0" w:space="0" w:color="auto"/>
          <w:lang w:val="en-GB"/>
        </w:rPr>
        <w:t xml:space="preserve"> for genetic resources have been prepared as a model for the Qatar Gene Bank</w:t>
      </w:r>
      <w:r w:rsidR="005D4302">
        <w:rPr>
          <w:rFonts w:eastAsia="Calibri" w:hAnsi="Times New Roman" w:cs="Times New Roman"/>
          <w:snapToGrid w:val="0"/>
          <w:color w:val="auto"/>
          <w:kern w:val="22"/>
          <w:bdr w:val="none" w:sz="0" w:space="0" w:color="auto"/>
          <w:lang w:val="en-GB"/>
        </w:rPr>
        <w:t>;</w:t>
      </w:r>
    </w:p>
    <w:p w14:paraId="696E0C6C" w14:textId="77777777" w:rsidR="00A60AB6" w:rsidRPr="00DF02C5" w:rsidRDefault="00A60AB6"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Many countries reported having developed model clauses as part of the implementation of their national</w:t>
      </w:r>
      <w:r w:rsidRPr="00DF02C5">
        <w:rPr>
          <w:rStyle w:val="FootnoteReference"/>
          <w:rFonts w:eastAsia="Calibri" w:hAnsi="Times New Roman"/>
          <w:snapToGrid w:val="0"/>
          <w:color w:val="auto"/>
          <w:kern w:val="22"/>
          <w:bdr w:val="none" w:sz="0" w:space="0" w:color="auto"/>
          <w:lang w:val="en-GB"/>
        </w:rPr>
        <w:footnoteReference w:id="390"/>
      </w:r>
      <w:r w:rsidRPr="00DF02C5">
        <w:rPr>
          <w:rFonts w:eastAsia="Calibri" w:hAnsi="Times New Roman"/>
          <w:snapToGrid w:val="0"/>
          <w:color w:val="auto"/>
          <w:kern w:val="22"/>
          <w:bdr w:val="none" w:sz="0" w:space="0" w:color="auto"/>
          <w:lang w:val="en-GB"/>
        </w:rPr>
        <w:t xml:space="preserve"> or regional</w:t>
      </w:r>
      <w:r w:rsidRPr="00DF02C5">
        <w:rPr>
          <w:rStyle w:val="FootnoteReference"/>
          <w:rFonts w:eastAsia="Calibri" w:hAnsi="Times New Roman"/>
          <w:snapToGrid w:val="0"/>
          <w:color w:val="auto"/>
          <w:kern w:val="22"/>
          <w:bdr w:val="none" w:sz="0" w:space="0" w:color="auto"/>
          <w:lang w:val="en-GB"/>
        </w:rPr>
        <w:footnoteReference w:id="391"/>
      </w:r>
      <w:r w:rsidRPr="00DF02C5">
        <w:rPr>
          <w:rFonts w:eastAsia="Calibri" w:hAnsi="Times New Roman"/>
          <w:snapToGrid w:val="0"/>
          <w:color w:val="auto"/>
          <w:kern w:val="22"/>
          <w:bdr w:val="none" w:sz="0" w:space="0" w:color="auto"/>
          <w:lang w:val="en-GB"/>
        </w:rPr>
        <w:t xml:space="preserve"> framework. For example:</w:t>
      </w:r>
    </w:p>
    <w:p w14:paraId="3DDF79C1" w14:textId="10320376" w:rsidR="00A60AB6" w:rsidRPr="00DF02C5" w:rsidRDefault="00A60AB6" w:rsidP="00BC6060">
      <w:pPr>
        <w:pStyle w:val="ListParagraph"/>
        <w:numPr>
          <w:ilvl w:val="0"/>
          <w:numId w:val="29"/>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Bhutan indicated that they have four different model contract agreements</w:t>
      </w:r>
      <w:r w:rsidR="00395E21" w:rsidRPr="00DF02C5">
        <w:rPr>
          <w:rFonts w:eastAsia="Calibri" w:hAnsi="Times New Roman" w:cs="Times New Roman"/>
          <w:snapToGrid w:val="0"/>
          <w:color w:val="auto"/>
          <w:kern w:val="22"/>
          <w:bdr w:val="none" w:sz="0" w:space="0" w:color="auto"/>
          <w:lang w:val="en-GB"/>
        </w:rPr>
        <w:t xml:space="preserve">:  </w:t>
      </w:r>
      <w:r w:rsidRPr="00DF02C5">
        <w:rPr>
          <w:rFonts w:eastAsia="Calibri" w:hAnsi="Times New Roman" w:cs="Times New Roman"/>
          <w:snapToGrid w:val="0"/>
          <w:color w:val="auto"/>
          <w:kern w:val="22"/>
          <w:bdr w:val="none" w:sz="0" w:space="0" w:color="auto"/>
          <w:lang w:val="en-GB"/>
        </w:rPr>
        <w:t>scoping agreements, ABS agreements, material transfer agreements and standard material transfer agreements</w:t>
      </w:r>
      <w:r w:rsidR="005D4302">
        <w:rPr>
          <w:rFonts w:eastAsia="Calibri" w:hAnsi="Times New Roman" w:cs="Times New Roman"/>
          <w:snapToGrid w:val="0"/>
          <w:color w:val="auto"/>
          <w:kern w:val="22"/>
          <w:bdr w:val="none" w:sz="0" w:space="0" w:color="auto"/>
          <w:lang w:val="en-GB"/>
        </w:rPr>
        <w:t>;</w:t>
      </w:r>
    </w:p>
    <w:p w14:paraId="414EB7E1" w14:textId="351F3B27" w:rsidR="00A60AB6" w:rsidRPr="00DF02C5" w:rsidRDefault="00A60AB6" w:rsidP="00BC6060">
      <w:pPr>
        <w:pStyle w:val="ListParagraph"/>
        <w:numPr>
          <w:ilvl w:val="0"/>
          <w:numId w:val="29"/>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In India </w:t>
      </w:r>
      <w:r w:rsidR="00395E21" w:rsidRPr="00DF02C5">
        <w:rPr>
          <w:rFonts w:eastAsia="Calibri" w:hAnsi="Times New Roman" w:cs="Times New Roman"/>
          <w:snapToGrid w:val="0"/>
          <w:color w:val="auto"/>
          <w:kern w:val="22"/>
          <w:bdr w:val="none" w:sz="0" w:space="0" w:color="auto"/>
          <w:lang w:val="en-GB"/>
        </w:rPr>
        <w:t xml:space="preserve">reported having </w:t>
      </w:r>
      <w:r w:rsidRPr="00DF02C5">
        <w:rPr>
          <w:rFonts w:eastAsia="Calibri" w:hAnsi="Times New Roman" w:cs="Times New Roman"/>
          <w:snapToGrid w:val="0"/>
          <w:color w:val="auto"/>
          <w:kern w:val="22"/>
          <w:bdr w:val="none" w:sz="0" w:space="0" w:color="auto"/>
          <w:lang w:val="en-GB"/>
        </w:rPr>
        <w:t xml:space="preserve">four different types of model contractual agreements. These relate to: research or commercial utilisation or bio-survey and bio-utilisation; </w:t>
      </w:r>
      <w:r w:rsidR="00FD6307" w:rsidRPr="00DF02C5">
        <w:rPr>
          <w:rFonts w:eastAsia="Calibri" w:hAnsi="Times New Roman" w:cs="Times New Roman"/>
          <w:snapToGrid w:val="0"/>
          <w:color w:val="auto"/>
          <w:kern w:val="22"/>
          <w:bdr w:val="none" w:sz="0" w:space="0" w:color="auto"/>
          <w:lang w:val="en-GB"/>
        </w:rPr>
        <w:t>transferring</w:t>
      </w:r>
      <w:r w:rsidRPr="00DF02C5">
        <w:rPr>
          <w:rFonts w:eastAsia="Calibri" w:hAnsi="Times New Roman" w:cs="Times New Roman"/>
          <w:snapToGrid w:val="0"/>
          <w:color w:val="auto"/>
          <w:kern w:val="22"/>
          <w:bdr w:val="none" w:sz="0" w:space="0" w:color="auto"/>
          <w:lang w:val="en-GB"/>
        </w:rPr>
        <w:t xml:space="preserve"> the results of research; seeking intellectual property right</w:t>
      </w:r>
      <w:r w:rsidR="00395E21" w:rsidRPr="00DF02C5">
        <w:rPr>
          <w:rFonts w:eastAsia="Calibri" w:hAnsi="Times New Roman" w:cs="Times New Roman"/>
          <w:snapToGrid w:val="0"/>
          <w:color w:val="auto"/>
          <w:kern w:val="22"/>
          <w:bdr w:val="none" w:sz="0" w:space="0" w:color="auto"/>
          <w:lang w:val="en-GB"/>
        </w:rPr>
        <w:t>s</w:t>
      </w:r>
      <w:r w:rsidRPr="00DF02C5">
        <w:rPr>
          <w:rFonts w:eastAsia="Calibri" w:hAnsi="Times New Roman" w:cs="Times New Roman"/>
          <w:snapToGrid w:val="0"/>
          <w:color w:val="auto"/>
          <w:kern w:val="22"/>
          <w:bdr w:val="none" w:sz="0" w:space="0" w:color="auto"/>
          <w:lang w:val="en-GB"/>
        </w:rPr>
        <w:t>;</w:t>
      </w:r>
      <w:r w:rsidR="00395E21" w:rsidRPr="00DF02C5">
        <w:rPr>
          <w:rFonts w:eastAsia="Calibri" w:hAnsi="Times New Roman" w:cs="Times New Roman"/>
          <w:snapToGrid w:val="0"/>
          <w:color w:val="auto"/>
          <w:kern w:val="22"/>
          <w:bdr w:val="none" w:sz="0" w:space="0" w:color="auto"/>
          <w:lang w:val="en-GB"/>
        </w:rPr>
        <w:t xml:space="preserve"> and</w:t>
      </w:r>
      <w:r w:rsidRPr="00DF02C5">
        <w:rPr>
          <w:rFonts w:eastAsia="Calibri" w:hAnsi="Times New Roman" w:cs="Times New Roman"/>
          <w:snapToGrid w:val="0"/>
          <w:color w:val="auto"/>
          <w:kern w:val="22"/>
          <w:bdr w:val="none" w:sz="0" w:space="0" w:color="auto"/>
          <w:lang w:val="en-GB"/>
        </w:rPr>
        <w:t xml:space="preserve"> third party transfer</w:t>
      </w:r>
      <w:r w:rsidR="00FD6307" w:rsidRPr="00DF02C5">
        <w:rPr>
          <w:rFonts w:eastAsia="Calibri" w:hAnsi="Times New Roman" w:cs="Times New Roman"/>
          <w:snapToGrid w:val="0"/>
          <w:color w:val="auto"/>
          <w:kern w:val="22"/>
          <w:bdr w:val="none" w:sz="0" w:space="0" w:color="auto"/>
          <w:lang w:val="en-GB"/>
        </w:rPr>
        <w:t xml:space="preserve"> of resources</w:t>
      </w:r>
      <w:r w:rsidRPr="00DF02C5">
        <w:rPr>
          <w:rFonts w:eastAsia="Calibri" w:hAnsi="Times New Roman" w:cs="Times New Roman"/>
          <w:snapToGrid w:val="0"/>
          <w:color w:val="auto"/>
          <w:kern w:val="22"/>
          <w:bdr w:val="none" w:sz="0" w:space="0" w:color="auto"/>
          <w:lang w:val="en-GB"/>
        </w:rPr>
        <w:t xml:space="preserve">. </w:t>
      </w:r>
      <w:r w:rsidR="00395E21" w:rsidRPr="00DF02C5">
        <w:rPr>
          <w:rFonts w:eastAsia="Calibri" w:hAnsi="Times New Roman" w:cs="Times New Roman"/>
          <w:snapToGrid w:val="0"/>
          <w:color w:val="auto"/>
          <w:kern w:val="22"/>
          <w:bdr w:val="none" w:sz="0" w:space="0" w:color="auto"/>
          <w:lang w:val="en-GB"/>
        </w:rPr>
        <w:t>In addition, t</w:t>
      </w:r>
      <w:r w:rsidRPr="00DF02C5">
        <w:rPr>
          <w:rFonts w:eastAsia="Calibri" w:hAnsi="Times New Roman" w:cs="Times New Roman"/>
          <w:snapToGrid w:val="0"/>
          <w:color w:val="auto"/>
          <w:kern w:val="22"/>
          <w:bdr w:val="none" w:sz="0" w:space="0" w:color="auto"/>
          <w:lang w:val="en-GB"/>
        </w:rPr>
        <w:t>here are other clauses which are case specific and depend on the purpose for which access is sought.</w:t>
      </w:r>
    </w:p>
    <w:p w14:paraId="5B406567" w14:textId="73FD9AC4" w:rsidR="00395E21" w:rsidRPr="00DF02C5" w:rsidRDefault="003B3005" w:rsidP="003B3005">
      <w:pPr>
        <w:pStyle w:val="Para1"/>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t>(b)</w:t>
      </w:r>
      <w:r w:rsidRPr="00DF02C5">
        <w:rPr>
          <w:rFonts w:eastAsia="Calibri" w:hAnsi="Times New Roman"/>
          <w:i/>
          <w:snapToGrid w:val="0"/>
          <w:color w:val="auto"/>
          <w:kern w:val="22"/>
          <w:bdr w:val="none" w:sz="0" w:space="0" w:color="auto"/>
          <w:lang w:val="en-GB"/>
        </w:rPr>
        <w:tab/>
      </w:r>
      <w:r w:rsidR="00395E21" w:rsidRPr="00DF02C5">
        <w:rPr>
          <w:rFonts w:eastAsia="Calibri" w:hAnsi="Times New Roman"/>
          <w:i/>
          <w:snapToGrid w:val="0"/>
          <w:color w:val="auto"/>
          <w:kern w:val="22"/>
          <w:bdr w:val="none" w:sz="0" w:space="0" w:color="auto"/>
          <w:lang w:val="en-GB"/>
        </w:rPr>
        <w:t>Countries that answered “no”</w:t>
      </w:r>
    </w:p>
    <w:p w14:paraId="537084EF" w14:textId="77777777" w:rsidR="00A60AB6" w:rsidRPr="00DF02C5" w:rsidRDefault="00A60AB6"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In providing further information, many countries</w:t>
      </w:r>
      <w:r w:rsidRPr="00DF02C5">
        <w:rPr>
          <w:rStyle w:val="FootnoteReference"/>
          <w:rFonts w:eastAsia="Calibri" w:hAnsi="Times New Roman"/>
          <w:snapToGrid w:val="0"/>
          <w:color w:val="auto"/>
          <w:kern w:val="22"/>
          <w:bdr w:val="none" w:sz="0" w:space="0" w:color="auto"/>
          <w:lang w:val="en-GB"/>
        </w:rPr>
        <w:footnoteReference w:id="392"/>
      </w:r>
      <w:r w:rsidRPr="00DF02C5">
        <w:rPr>
          <w:rFonts w:eastAsia="Calibri" w:hAnsi="Times New Roman"/>
          <w:snapToGrid w:val="0"/>
          <w:color w:val="auto"/>
          <w:kern w:val="22"/>
          <w:bdr w:val="none" w:sz="0" w:space="0" w:color="auto"/>
          <w:lang w:val="en-GB"/>
        </w:rPr>
        <w:t xml:space="preserve"> indicated that they were planning to address this issue in the development or review of their ABS measures. One country indicated that even though it was not included in the legislation they encourage users to develop model clauses.</w:t>
      </w:r>
      <w:r w:rsidRPr="00DF02C5">
        <w:rPr>
          <w:rStyle w:val="FootnoteReference"/>
          <w:rFonts w:eastAsia="Calibri" w:hAnsi="Times New Roman"/>
          <w:snapToGrid w:val="0"/>
          <w:color w:val="auto"/>
          <w:kern w:val="22"/>
          <w:bdr w:val="none" w:sz="0" w:space="0" w:color="auto"/>
          <w:lang w:val="en-GB"/>
        </w:rPr>
        <w:footnoteReference w:id="393"/>
      </w:r>
    </w:p>
    <w:p w14:paraId="1EA8AA0E" w14:textId="33A8737C" w:rsidR="00A60AB6" w:rsidRPr="005D4302" w:rsidRDefault="00395E21" w:rsidP="005D4302">
      <w:pPr>
        <w:numPr>
          <w:ilvl w:val="0"/>
          <w:numId w:val="77"/>
        </w:numPr>
        <w:spacing w:before="240" w:after="120"/>
        <w:ind w:left="908" w:right="994" w:hanging="634"/>
        <w:rPr>
          <w:rFonts w:eastAsia="Calibri" w:hAnsi="Times New Roman" w:cs="Times New Roman"/>
          <w:i/>
          <w:snapToGrid w:val="0"/>
          <w:color w:val="auto"/>
          <w:kern w:val="22"/>
          <w:bdr w:val="none" w:sz="0" w:space="0" w:color="auto"/>
          <w:lang w:val="en-GB"/>
        </w:rPr>
      </w:pPr>
      <w:r w:rsidRPr="005D4302">
        <w:rPr>
          <w:rFonts w:eastAsia="Calibri" w:hAnsi="Times New Roman" w:cs="Times New Roman"/>
          <w:i/>
          <w:snapToGrid w:val="0"/>
          <w:color w:val="auto"/>
          <w:kern w:val="22"/>
          <w:bdr w:val="none" w:sz="0" w:space="0" w:color="auto"/>
          <w:lang w:val="en-GB"/>
        </w:rPr>
        <w:t xml:space="preserve">Is your country encouraging the development, update and use of codes of conduct, guidelines and best practices or standards as provided in Article 20 </w:t>
      </w:r>
      <w:r w:rsidR="00A60AB6" w:rsidRPr="005D4302">
        <w:rPr>
          <w:rFonts w:eastAsia="Calibri" w:hAnsi="Times New Roman" w:cs="Times New Roman"/>
          <w:i/>
          <w:snapToGrid w:val="0"/>
          <w:color w:val="auto"/>
          <w:kern w:val="22"/>
          <w:bdr w:val="none" w:sz="0" w:space="0" w:color="auto"/>
          <w:lang w:val="en-GB"/>
        </w:rPr>
        <w:t xml:space="preserve">(question </w:t>
      </w:r>
      <w:proofErr w:type="gramStart"/>
      <w:r w:rsidR="00A60AB6" w:rsidRPr="005D4302">
        <w:rPr>
          <w:rFonts w:eastAsia="Calibri" w:hAnsi="Times New Roman" w:cs="Times New Roman"/>
          <w:i/>
          <w:snapToGrid w:val="0"/>
          <w:color w:val="auto"/>
          <w:kern w:val="22"/>
          <w:bdr w:val="none" w:sz="0" w:space="0" w:color="auto"/>
          <w:lang w:val="en-GB"/>
        </w:rPr>
        <w:t>52)</w:t>
      </w:r>
      <w:proofErr w:type="gramEnd"/>
    </w:p>
    <w:p w14:paraId="3E1F2378" w14:textId="3F3262A1" w:rsidR="00395E21" w:rsidRPr="00DF02C5" w:rsidRDefault="00A742A4" w:rsidP="00CB6ACA">
      <w:pPr>
        <w:pStyle w:val="Para1"/>
        <w:numPr>
          <w:ilvl w:val="0"/>
          <w:numId w:val="93"/>
        </w:numPr>
        <w:rPr>
          <w:rFonts w:eastAsia="Calibri" w:hAnsi="Times New Roman"/>
          <w:snapToGrid w:val="0"/>
          <w:color w:val="auto"/>
          <w:kern w:val="22"/>
          <w:bdr w:val="none" w:sz="0" w:space="0" w:color="auto"/>
          <w:lang w:val="en-GB"/>
        </w:rPr>
      </w:pPr>
      <w:proofErr w:type="gramStart"/>
      <w:r w:rsidRPr="00DF02C5">
        <w:rPr>
          <w:rFonts w:hAnsi="Times New Roman"/>
          <w:bdr w:val="none" w:sz="0" w:space="0" w:color="auto"/>
          <w:lang w:val="en-GB"/>
        </w:rPr>
        <w:t>Forty-eight</w:t>
      </w:r>
      <w:proofErr w:type="gramEnd"/>
      <w:r w:rsidRPr="00DF02C5">
        <w:rPr>
          <w:rFonts w:hAnsi="Times New Roman"/>
          <w:bdr w:val="none" w:sz="0" w:space="0" w:color="auto"/>
          <w:lang w:val="en-GB"/>
        </w:rPr>
        <w:t xml:space="preserve"> Parties and </w:t>
      </w:r>
      <w:r w:rsidR="0067625B" w:rsidRPr="00DF02C5">
        <w:rPr>
          <w:rFonts w:hAnsi="Times New Roman"/>
          <w:bdr w:val="none" w:sz="0" w:space="0" w:color="auto"/>
          <w:lang w:val="en-GB"/>
        </w:rPr>
        <w:t xml:space="preserve">three </w:t>
      </w:r>
      <w:r w:rsidRPr="00DF02C5">
        <w:rPr>
          <w:rFonts w:hAnsi="Times New Roman"/>
          <w:bdr w:val="none" w:sz="0" w:space="0" w:color="auto"/>
          <w:lang w:val="en-GB"/>
        </w:rPr>
        <w:t xml:space="preserve">non-Parties responded that they are </w:t>
      </w:r>
      <w:r w:rsidRPr="00DF02C5">
        <w:rPr>
          <w:rFonts w:eastAsia="Calibri" w:hAnsi="Times New Roman"/>
          <w:snapToGrid w:val="0"/>
          <w:color w:val="auto"/>
          <w:kern w:val="22"/>
          <w:bdr w:val="none" w:sz="0" w:space="0" w:color="auto"/>
          <w:lang w:val="en-GB"/>
        </w:rPr>
        <w:t>encouraging the development, update and use of codes of conduct, guidelines and best practices or standards</w:t>
      </w:r>
      <w:r w:rsidR="00395E21" w:rsidRPr="00DF02C5">
        <w:rPr>
          <w:rFonts w:hAnsi="Times New Roman"/>
          <w:bdr w:val="none" w:sz="0" w:space="0" w:color="auto"/>
          <w:lang w:val="en-GB"/>
        </w:rPr>
        <w:t xml:space="preserve"> and </w:t>
      </w:r>
      <w:r w:rsidR="00395E21" w:rsidRPr="00DF02C5">
        <w:rPr>
          <w:rFonts w:eastAsia="Calibri" w:hAnsi="Times New Roman"/>
          <w:snapToGrid w:val="0"/>
          <w:color w:val="auto"/>
          <w:kern w:val="22"/>
          <w:bdr w:val="none" w:sz="0" w:space="0" w:color="auto"/>
          <w:lang w:val="en-GB"/>
        </w:rPr>
        <w:t xml:space="preserve">twenty-one Parties and </w:t>
      </w:r>
      <w:r w:rsidR="0067625B" w:rsidRPr="00DF02C5">
        <w:rPr>
          <w:rFonts w:eastAsia="Calibri" w:hAnsi="Times New Roman"/>
          <w:snapToGrid w:val="0"/>
          <w:color w:val="auto"/>
          <w:kern w:val="22"/>
          <w:bdr w:val="none" w:sz="0" w:space="0" w:color="auto"/>
          <w:lang w:val="en-GB"/>
        </w:rPr>
        <w:t xml:space="preserve">three </w:t>
      </w:r>
      <w:r w:rsidR="00395E21" w:rsidRPr="00DF02C5">
        <w:rPr>
          <w:rFonts w:eastAsia="Calibri" w:hAnsi="Times New Roman"/>
          <w:snapToGrid w:val="0"/>
          <w:color w:val="auto"/>
          <w:kern w:val="22"/>
          <w:bdr w:val="none" w:sz="0" w:space="0" w:color="auto"/>
          <w:lang w:val="en-GB"/>
        </w:rPr>
        <w:t>non-Parties reported that they do not.</w:t>
      </w:r>
      <w:r w:rsidR="00395E21" w:rsidRPr="00DF02C5">
        <w:rPr>
          <w:noProof/>
          <w:color w:val="auto"/>
          <w:lang w:val="en-GB"/>
        </w:rPr>
        <w:t xml:space="preserve"> </w:t>
      </w:r>
    </w:p>
    <w:p w14:paraId="233171A5" w14:textId="770AC0A7" w:rsidR="00395E21" w:rsidRPr="00DF02C5" w:rsidRDefault="00E5256F" w:rsidP="00E5256F">
      <w:pPr>
        <w:pStyle w:val="Caption"/>
        <w:keepNext/>
        <w:keepLines/>
        <w:rPr>
          <w:rFonts w:eastAsia="Calibri" w:hAnsi="Times New Roman"/>
          <w:snapToGrid w:val="0"/>
          <w:kern w:val="22"/>
          <w:bdr w:val="none" w:sz="0" w:space="0" w:color="auto"/>
          <w:lang w:val="en-GB"/>
        </w:rPr>
      </w:pPr>
      <w:r w:rsidRPr="00DF02C5">
        <w:rPr>
          <w:lang w:val="en-GB"/>
        </w:rPr>
        <w:lastRenderedPageBreak/>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Pr="00DF02C5">
        <w:rPr>
          <w:noProof/>
          <w:lang w:val="en-GB"/>
        </w:rPr>
        <w:t>46</w:t>
      </w:r>
      <w:r w:rsidRPr="00DF02C5">
        <w:rPr>
          <w:lang w:val="en-GB"/>
        </w:rPr>
        <w:fldChar w:fldCharType="end"/>
      </w:r>
      <w:r w:rsidR="00395E21" w:rsidRPr="00DF02C5">
        <w:rPr>
          <w:noProof/>
          <w:lang w:val="en-GB"/>
        </w:rPr>
        <w:t>: Encouraging the development, update and use of codes of conduct, guidelines and best practices or standards (percentage of countries)</w:t>
      </w:r>
    </w:p>
    <w:p w14:paraId="056DA266" w14:textId="63878443" w:rsidR="00395E21" w:rsidRPr="00DF02C5" w:rsidRDefault="0067625B" w:rsidP="0067625B">
      <w:pPr>
        <w:pStyle w:val="Para1"/>
        <w:jc w:val="center"/>
        <w:rPr>
          <w:rFonts w:eastAsia="Calibri" w:hAnsi="Times New Roman"/>
          <w:snapToGrid w:val="0"/>
          <w:color w:val="auto"/>
          <w:kern w:val="22"/>
          <w:bdr w:val="none" w:sz="0" w:space="0" w:color="auto"/>
          <w:lang w:val="en-GB"/>
        </w:rPr>
      </w:pPr>
      <w:r w:rsidRPr="00DF02C5">
        <w:rPr>
          <w:noProof/>
        </w:rPr>
        <w:drawing>
          <wp:inline distT="0" distB="0" distL="0" distR="0" wp14:anchorId="56406E5C" wp14:editId="74510707">
            <wp:extent cx="3419475" cy="1924050"/>
            <wp:effectExtent l="0" t="0" r="9525" b="19050"/>
            <wp:docPr id="78" name="Chart 78">
              <a:extLst xmlns:a="http://schemas.openxmlformats.org/drawingml/2006/main">
                <a:ext uri="{FF2B5EF4-FFF2-40B4-BE49-F238E27FC236}">
                  <a16:creationId xmlns:a16="http://schemas.microsoft.com/office/drawing/2014/main" id="{00000000-0008-0000-00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17474EE" w14:textId="4602E26A" w:rsidR="00395E21" w:rsidRPr="00DF02C5" w:rsidRDefault="00395E21" w:rsidP="00395E21">
      <w:pPr>
        <w:pStyle w:val="Para1"/>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t>(a)</w:t>
      </w:r>
      <w:r w:rsidRPr="00DF02C5">
        <w:rPr>
          <w:rFonts w:eastAsia="Calibri" w:hAnsi="Times New Roman"/>
          <w:i/>
          <w:snapToGrid w:val="0"/>
          <w:color w:val="auto"/>
          <w:kern w:val="22"/>
          <w:bdr w:val="none" w:sz="0" w:space="0" w:color="auto"/>
          <w:lang w:val="en-GB"/>
        </w:rPr>
        <w:tab/>
        <w:t>Countries that answered “yes”</w:t>
      </w:r>
    </w:p>
    <w:p w14:paraId="5EDAC3BD" w14:textId="769DC348" w:rsidR="00A60AB6" w:rsidRPr="00DF02C5" w:rsidRDefault="00395E21"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w:t>
      </w:r>
      <w:r w:rsidR="00A60AB6" w:rsidRPr="00DF02C5">
        <w:rPr>
          <w:rFonts w:eastAsia="Calibri" w:hAnsi="Times New Roman"/>
          <w:snapToGrid w:val="0"/>
          <w:color w:val="auto"/>
          <w:kern w:val="22"/>
          <w:bdr w:val="none" w:sz="0" w:space="0" w:color="auto"/>
          <w:lang w:val="en-GB"/>
        </w:rPr>
        <w:t>ome countries referred to existing ABS measures</w:t>
      </w:r>
      <w:r w:rsidR="00A60AB6" w:rsidRPr="00DF02C5">
        <w:rPr>
          <w:rStyle w:val="FootnoteReference"/>
          <w:rFonts w:eastAsia="Calibri" w:hAnsi="Times New Roman"/>
          <w:snapToGrid w:val="0"/>
          <w:color w:val="auto"/>
          <w:kern w:val="22"/>
          <w:bdr w:val="none" w:sz="0" w:space="0" w:color="auto"/>
          <w:lang w:val="en-GB"/>
        </w:rPr>
        <w:footnoteReference w:id="394"/>
      </w:r>
      <w:r w:rsidR="00A60AB6" w:rsidRPr="00DF02C5">
        <w:rPr>
          <w:rFonts w:eastAsia="Calibri" w:hAnsi="Times New Roman"/>
          <w:snapToGrid w:val="0"/>
          <w:color w:val="auto"/>
          <w:kern w:val="22"/>
          <w:bdr w:val="none" w:sz="0" w:space="0" w:color="auto"/>
          <w:lang w:val="en-GB"/>
        </w:rPr>
        <w:t xml:space="preserve"> or to plans to address this issue</w:t>
      </w:r>
      <w:r w:rsidR="00A60AB6" w:rsidRPr="00DF02C5">
        <w:rPr>
          <w:rStyle w:val="FootnoteReference"/>
          <w:rFonts w:eastAsia="Calibri" w:hAnsi="Times New Roman"/>
          <w:snapToGrid w:val="0"/>
          <w:color w:val="auto"/>
          <w:kern w:val="22"/>
          <w:bdr w:val="none" w:sz="0" w:space="0" w:color="auto"/>
          <w:lang w:val="en-GB"/>
        </w:rPr>
        <w:footnoteReference w:id="395"/>
      </w:r>
      <w:r w:rsidR="00A60AB6" w:rsidRPr="00DF02C5">
        <w:rPr>
          <w:rFonts w:eastAsia="Calibri" w:hAnsi="Times New Roman"/>
          <w:snapToGrid w:val="0"/>
          <w:color w:val="auto"/>
          <w:kern w:val="22"/>
          <w:bdr w:val="none" w:sz="0" w:space="0" w:color="auto"/>
          <w:lang w:val="en-GB"/>
        </w:rPr>
        <w:t xml:space="preserve">. </w:t>
      </w:r>
    </w:p>
    <w:p w14:paraId="25D8BE54" w14:textId="02AFEA4F" w:rsidR="00A60AB6" w:rsidRPr="00DF02C5" w:rsidRDefault="00A60AB6"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Some countries indicated that they are encouraging the development, update and use of codes of conduct, guidelines and best practices by different actors</w:t>
      </w:r>
      <w:r w:rsidR="00DA3EB4" w:rsidRPr="00DF02C5">
        <w:rPr>
          <w:rFonts w:eastAsia="Calibri" w:hAnsi="Times New Roman"/>
          <w:snapToGrid w:val="0"/>
          <w:color w:val="auto"/>
          <w:kern w:val="22"/>
          <w:bdr w:val="none" w:sz="0" w:space="0" w:color="auto"/>
          <w:lang w:val="en-GB"/>
        </w:rPr>
        <w:t xml:space="preserve"> in their ABS measures</w:t>
      </w:r>
      <w:r w:rsidRPr="00DF02C5">
        <w:rPr>
          <w:rFonts w:eastAsia="Calibri" w:hAnsi="Times New Roman"/>
          <w:snapToGrid w:val="0"/>
          <w:color w:val="auto"/>
          <w:kern w:val="22"/>
          <w:bdr w:val="none" w:sz="0" w:space="0" w:color="auto"/>
          <w:lang w:val="en-GB"/>
        </w:rPr>
        <w:t>.</w:t>
      </w:r>
      <w:r w:rsidRPr="00DF02C5">
        <w:rPr>
          <w:rStyle w:val="FootnoteReference"/>
          <w:rFonts w:eastAsia="Calibri" w:hAnsi="Times New Roman"/>
          <w:snapToGrid w:val="0"/>
          <w:color w:val="auto"/>
          <w:kern w:val="22"/>
          <w:bdr w:val="none" w:sz="0" w:space="0" w:color="auto"/>
          <w:lang w:val="en-GB"/>
        </w:rPr>
        <w:footnoteReference w:id="396"/>
      </w:r>
      <w:r w:rsidRPr="00DF02C5">
        <w:rPr>
          <w:rFonts w:eastAsia="Calibri" w:hAnsi="Times New Roman"/>
          <w:snapToGrid w:val="0"/>
          <w:color w:val="auto"/>
          <w:kern w:val="22"/>
          <w:bdr w:val="none" w:sz="0" w:space="0" w:color="auto"/>
          <w:lang w:val="en-GB"/>
        </w:rPr>
        <w:t xml:space="preserve"> </w:t>
      </w:r>
      <w:r w:rsidR="00DA3EB4" w:rsidRPr="00DF02C5">
        <w:rPr>
          <w:rFonts w:eastAsia="Calibri" w:hAnsi="Times New Roman"/>
          <w:snapToGrid w:val="0"/>
          <w:color w:val="auto"/>
          <w:kern w:val="22"/>
          <w:bdr w:val="none" w:sz="0" w:space="0" w:color="auto"/>
          <w:lang w:val="en-GB"/>
        </w:rPr>
        <w:t xml:space="preserve">For example, </w:t>
      </w:r>
    </w:p>
    <w:p w14:paraId="3DD171FB" w14:textId="447877D3" w:rsidR="00DA3EB4" w:rsidRPr="00DF02C5" w:rsidRDefault="00DA3EB4" w:rsidP="005038A2">
      <w:pPr>
        <w:pStyle w:val="ListParagraph"/>
        <w:numPr>
          <w:ilvl w:val="0"/>
          <w:numId w:val="30"/>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In addition to </w:t>
      </w:r>
      <w:r w:rsidRPr="00DF02C5">
        <w:rPr>
          <w:rFonts w:eastAsia="Calibri" w:hAnsi="Times New Roman" w:cs="Times New Roman"/>
          <w:snapToGrid w:val="0"/>
          <w:color w:val="auto"/>
          <w:kern w:val="22"/>
          <w:bdr w:val="none" w:sz="0" w:space="0" w:color="auto"/>
          <w:lang w:val="en-GB"/>
        </w:rPr>
        <w:t>Article 13 of Regulation 511/2014</w:t>
      </w:r>
      <w:r w:rsidRPr="00DF02C5">
        <w:rPr>
          <w:rFonts w:eastAsia="Calibri" w:hAnsi="Times New Roman"/>
          <w:snapToGrid w:val="0"/>
          <w:color w:val="auto"/>
          <w:kern w:val="22"/>
          <w:bdr w:val="none" w:sz="0" w:space="0" w:color="auto"/>
          <w:lang w:val="en-GB"/>
        </w:rPr>
        <w:t xml:space="preserve">, </w:t>
      </w:r>
      <w:r w:rsidRPr="00DF02C5">
        <w:rPr>
          <w:rFonts w:eastAsia="Calibri" w:hAnsi="Times New Roman" w:cs="Times New Roman"/>
          <w:snapToGrid w:val="0"/>
          <w:color w:val="auto"/>
          <w:kern w:val="22"/>
          <w:bdr w:val="none" w:sz="0" w:space="0" w:color="auto"/>
          <w:lang w:val="en-GB"/>
        </w:rPr>
        <w:t xml:space="preserve">the EU indicated that Article 8 </w:t>
      </w:r>
      <w:r w:rsidRPr="00DF02C5">
        <w:rPr>
          <w:rFonts w:eastAsia="Calibri" w:hAnsi="Times New Roman"/>
          <w:snapToGrid w:val="0"/>
          <w:color w:val="auto"/>
          <w:kern w:val="22"/>
          <w:bdr w:val="none" w:sz="0" w:space="0" w:color="auto"/>
          <w:lang w:val="en-GB"/>
        </w:rPr>
        <w:t xml:space="preserve">of the same regulation </w:t>
      </w:r>
      <w:r w:rsidRPr="00DF02C5">
        <w:rPr>
          <w:rFonts w:eastAsia="Calibri" w:hAnsi="Times New Roman" w:cs="Times New Roman"/>
          <w:snapToGrid w:val="0"/>
          <w:color w:val="auto"/>
          <w:kern w:val="22"/>
          <w:bdr w:val="none" w:sz="0" w:space="0" w:color="auto"/>
          <w:lang w:val="en-GB"/>
        </w:rPr>
        <w:t xml:space="preserve">provides that associations of users or other interested parties may submit an application to the European Commission to have a combination of procedures, tools or mechanisms recognized as best practice. Details concerning the application and the process of recognition are laid down in the Commission Implementing Regulation.  </w:t>
      </w:r>
      <w:r w:rsidRPr="00DF02C5">
        <w:rPr>
          <w:rFonts w:eastAsia="Calibri" w:hAnsi="Times New Roman"/>
          <w:snapToGrid w:val="0"/>
          <w:color w:val="auto"/>
          <w:kern w:val="22"/>
          <w:bdr w:val="none" w:sz="0" w:space="0" w:color="auto"/>
          <w:lang w:val="en-GB"/>
        </w:rPr>
        <w:t>The EU also reported that the European Commission had</w:t>
      </w:r>
      <w:r w:rsidRPr="00DF02C5">
        <w:rPr>
          <w:rFonts w:eastAsia="Calibri" w:hAnsi="Times New Roman" w:cs="Times New Roman"/>
          <w:snapToGrid w:val="0"/>
          <w:color w:val="auto"/>
          <w:kern w:val="22"/>
          <w:bdr w:val="none" w:sz="0" w:space="0" w:color="auto"/>
          <w:lang w:val="en-GB"/>
        </w:rPr>
        <w:t xml:space="preserve"> received 3 applications for</w:t>
      </w:r>
      <w:r w:rsidR="0029724B">
        <w:rPr>
          <w:rFonts w:eastAsia="Calibri" w:hAnsi="Times New Roman" w:cs="Times New Roman"/>
          <w:snapToGrid w:val="0"/>
          <w:color w:val="auto"/>
          <w:kern w:val="22"/>
          <w:bdr w:val="none" w:sz="0" w:space="0" w:color="auto"/>
          <w:lang w:val="en-GB"/>
        </w:rPr>
        <w:t xml:space="preserve"> recognition as a best practice;</w:t>
      </w:r>
    </w:p>
    <w:p w14:paraId="39F825F2" w14:textId="1B917A94" w:rsidR="00A60AB6" w:rsidRPr="00DF02C5" w:rsidRDefault="00A60AB6" w:rsidP="005038A2">
      <w:pPr>
        <w:pStyle w:val="ListParagraph"/>
        <w:numPr>
          <w:ilvl w:val="0"/>
          <w:numId w:val="30"/>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Switzerland explained that the Nagoya Ordinance gives the possibility to recognize best practices and collections and that there are ongoing</w:t>
      </w:r>
      <w:r w:rsidR="00DA3EB4" w:rsidRPr="00DF02C5">
        <w:rPr>
          <w:rFonts w:eastAsia="Calibri" w:hAnsi="Times New Roman" w:cs="Times New Roman"/>
          <w:snapToGrid w:val="0"/>
          <w:color w:val="auto"/>
          <w:kern w:val="22"/>
          <w:bdr w:val="none" w:sz="0" w:space="0" w:color="auto"/>
          <w:lang w:val="en-GB"/>
        </w:rPr>
        <w:t xml:space="preserve"> processes for such re</w:t>
      </w:r>
      <w:r w:rsidR="0029724B">
        <w:rPr>
          <w:rFonts w:eastAsia="Calibri" w:hAnsi="Times New Roman" w:cs="Times New Roman"/>
          <w:snapToGrid w:val="0"/>
          <w:color w:val="auto"/>
          <w:kern w:val="22"/>
          <w:bdr w:val="none" w:sz="0" w:space="0" w:color="auto"/>
          <w:lang w:val="en-GB"/>
        </w:rPr>
        <w:t>cognition;</w:t>
      </w:r>
    </w:p>
    <w:p w14:paraId="7FD4957E" w14:textId="1ADE6F25" w:rsidR="00A60AB6" w:rsidRPr="00DF02C5" w:rsidRDefault="00A60AB6"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Some countries</w:t>
      </w:r>
      <w:r w:rsidRPr="00DF02C5">
        <w:rPr>
          <w:rStyle w:val="FootnoteReference"/>
          <w:rFonts w:eastAsia="Calibri" w:hAnsi="Times New Roman"/>
          <w:snapToGrid w:val="0"/>
          <w:color w:val="auto"/>
          <w:kern w:val="22"/>
          <w:bdr w:val="none" w:sz="0" w:space="0" w:color="auto"/>
          <w:lang w:val="en-GB"/>
        </w:rPr>
        <w:footnoteReference w:id="397"/>
      </w:r>
      <w:r w:rsidRPr="00DF02C5">
        <w:rPr>
          <w:rFonts w:eastAsia="Calibri" w:hAnsi="Times New Roman"/>
          <w:snapToGrid w:val="0"/>
          <w:color w:val="auto"/>
          <w:kern w:val="22"/>
          <w:bdr w:val="none" w:sz="0" w:space="0" w:color="auto"/>
          <w:lang w:val="en-GB"/>
        </w:rPr>
        <w:t xml:space="preserve"> also provided information on awareness raising activities among stakeholders to encourage the development</w:t>
      </w:r>
      <w:r w:rsidRPr="00DF02C5">
        <w:rPr>
          <w:lang w:val="en-GB"/>
        </w:rPr>
        <w:t xml:space="preserve"> </w:t>
      </w:r>
      <w:r w:rsidRPr="00DF02C5">
        <w:rPr>
          <w:rFonts w:eastAsia="Calibri" w:hAnsi="Times New Roman"/>
          <w:snapToGrid w:val="0"/>
          <w:color w:val="auto"/>
          <w:kern w:val="22"/>
          <w:bdr w:val="none" w:sz="0" w:space="0" w:color="auto"/>
          <w:lang w:val="en-GB"/>
        </w:rPr>
        <w:t>update and use of codes of conduct, guidelines and best practices. For example, in line with obligation contained in Article 13 of the EU Regulation, the European Commission and two Member States</w:t>
      </w:r>
      <w:r w:rsidRPr="00DF02C5">
        <w:rPr>
          <w:rStyle w:val="FootnoteReference"/>
          <w:rFonts w:eastAsia="Calibri" w:hAnsi="Times New Roman"/>
          <w:snapToGrid w:val="0"/>
          <w:color w:val="auto"/>
          <w:kern w:val="22"/>
          <w:bdr w:val="none" w:sz="0" w:space="0" w:color="auto"/>
          <w:lang w:val="en-GB"/>
        </w:rPr>
        <w:footnoteReference w:id="398"/>
      </w:r>
      <w:r w:rsidRPr="00DF02C5">
        <w:rPr>
          <w:rFonts w:eastAsia="Calibri" w:hAnsi="Times New Roman"/>
          <w:snapToGrid w:val="0"/>
          <w:color w:val="auto"/>
          <w:kern w:val="22"/>
          <w:bdr w:val="none" w:sz="0" w:space="0" w:color="auto"/>
          <w:lang w:val="en-GB"/>
        </w:rPr>
        <w:t xml:space="preserve"> reported having engaged in the preparation of guidance for "upstream" users (academics, universities, non-commercial research, and collections) as well as sectorial guidance aimed to ass</w:t>
      </w:r>
      <w:r w:rsidR="0029724B">
        <w:rPr>
          <w:rFonts w:eastAsia="Calibri" w:hAnsi="Times New Roman"/>
          <w:snapToGrid w:val="0"/>
          <w:color w:val="auto"/>
          <w:kern w:val="22"/>
          <w:bdr w:val="none" w:sz="0" w:space="0" w:color="auto"/>
          <w:lang w:val="en-GB"/>
        </w:rPr>
        <w:t>ist various sectors which utiliz</w:t>
      </w:r>
      <w:r w:rsidRPr="00DF02C5">
        <w:rPr>
          <w:rFonts w:eastAsia="Calibri" w:hAnsi="Times New Roman"/>
          <w:snapToGrid w:val="0"/>
          <w:color w:val="auto"/>
          <w:kern w:val="22"/>
          <w:bdr w:val="none" w:sz="0" w:space="0" w:color="auto"/>
          <w:lang w:val="en-GB"/>
        </w:rPr>
        <w:t xml:space="preserve">e genetic resources in better understanding their duties stemming from the Regulation. </w:t>
      </w:r>
    </w:p>
    <w:p w14:paraId="19780826" w14:textId="3567D588" w:rsidR="00A60AB6" w:rsidRPr="00DF02C5" w:rsidRDefault="00A60AB6"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Several countries</w:t>
      </w:r>
      <w:r w:rsidRPr="00DF02C5">
        <w:rPr>
          <w:rStyle w:val="FootnoteReference"/>
          <w:rFonts w:eastAsia="Calibri" w:hAnsi="Times New Roman"/>
          <w:snapToGrid w:val="0"/>
          <w:color w:val="auto"/>
          <w:kern w:val="22"/>
          <w:bdr w:val="none" w:sz="0" w:space="0" w:color="auto"/>
          <w:lang w:val="en-GB"/>
        </w:rPr>
        <w:footnoteReference w:id="399"/>
      </w:r>
      <w:r w:rsidRPr="00DF02C5">
        <w:rPr>
          <w:rFonts w:eastAsia="Calibri" w:hAnsi="Times New Roman"/>
          <w:snapToGrid w:val="0"/>
          <w:color w:val="auto"/>
          <w:kern w:val="22"/>
          <w:bdr w:val="none" w:sz="0" w:space="0" w:color="auto"/>
          <w:lang w:val="en-GB"/>
        </w:rPr>
        <w:t xml:space="preserve"> </w:t>
      </w:r>
      <w:r w:rsidR="00DA3EB4" w:rsidRPr="00DF02C5">
        <w:rPr>
          <w:rFonts w:eastAsia="Calibri" w:hAnsi="Times New Roman"/>
          <w:snapToGrid w:val="0"/>
          <w:color w:val="auto"/>
          <w:kern w:val="22"/>
          <w:bdr w:val="none" w:sz="0" w:space="0" w:color="auto"/>
          <w:lang w:val="en-GB"/>
        </w:rPr>
        <w:t xml:space="preserve">shared information </w:t>
      </w:r>
      <w:r w:rsidRPr="00DF02C5">
        <w:rPr>
          <w:rFonts w:eastAsia="Calibri" w:hAnsi="Times New Roman"/>
          <w:snapToGrid w:val="0"/>
          <w:color w:val="auto"/>
          <w:kern w:val="22"/>
          <w:bdr w:val="none" w:sz="0" w:space="0" w:color="auto"/>
          <w:lang w:val="en-GB"/>
        </w:rPr>
        <w:t xml:space="preserve">on progress </w:t>
      </w:r>
      <w:r w:rsidR="00DA3EB4" w:rsidRPr="00DF02C5">
        <w:rPr>
          <w:rFonts w:eastAsia="Calibri" w:hAnsi="Times New Roman"/>
          <w:snapToGrid w:val="0"/>
          <w:color w:val="auto"/>
          <w:kern w:val="22"/>
          <w:bdr w:val="none" w:sz="0" w:space="0" w:color="auto"/>
          <w:lang w:val="en-GB"/>
        </w:rPr>
        <w:t xml:space="preserve">in the </w:t>
      </w:r>
      <w:r w:rsidRPr="00DF02C5">
        <w:rPr>
          <w:rFonts w:eastAsia="Calibri" w:hAnsi="Times New Roman"/>
          <w:snapToGrid w:val="0"/>
          <w:color w:val="auto"/>
          <w:kern w:val="22"/>
          <w:bdr w:val="none" w:sz="0" w:space="0" w:color="auto"/>
          <w:lang w:val="en-GB"/>
        </w:rPr>
        <w:t>development, update and use of codes of conduct, guidelines and best practices for a partic</w:t>
      </w:r>
      <w:r w:rsidR="00DA3EB4" w:rsidRPr="00DF02C5">
        <w:rPr>
          <w:rFonts w:eastAsia="Calibri" w:hAnsi="Times New Roman"/>
          <w:snapToGrid w:val="0"/>
          <w:color w:val="auto"/>
          <w:kern w:val="22"/>
          <w:bdr w:val="none" w:sz="0" w:space="0" w:color="auto"/>
          <w:lang w:val="en-GB"/>
        </w:rPr>
        <w:t>ular group of actors or sectors. For example:</w:t>
      </w:r>
    </w:p>
    <w:p w14:paraId="1A82F566" w14:textId="7714F5E0" w:rsidR="00DA3EB4" w:rsidRPr="00DF02C5" w:rsidRDefault="00A60AB6" w:rsidP="005038A2">
      <w:pPr>
        <w:pStyle w:val="ListParagraph"/>
        <w:numPr>
          <w:ilvl w:val="0"/>
          <w:numId w:val="31"/>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Mexico </w:t>
      </w:r>
      <w:r w:rsidR="00DA3EB4" w:rsidRPr="00DF02C5">
        <w:rPr>
          <w:rFonts w:eastAsia="Calibri" w:hAnsi="Times New Roman" w:cs="Times New Roman"/>
          <w:snapToGrid w:val="0"/>
          <w:color w:val="auto"/>
          <w:kern w:val="22"/>
          <w:bdr w:val="none" w:sz="0" w:space="0" w:color="auto"/>
          <w:lang w:val="en-GB"/>
        </w:rPr>
        <w:t xml:space="preserve">reported on </w:t>
      </w:r>
      <w:r w:rsidRPr="00DF02C5">
        <w:rPr>
          <w:rFonts w:eastAsia="Calibri" w:hAnsi="Times New Roman" w:cs="Times New Roman"/>
          <w:snapToGrid w:val="0"/>
          <w:color w:val="auto"/>
          <w:kern w:val="22"/>
          <w:bdr w:val="none" w:sz="0" w:space="0" w:color="auto"/>
          <w:lang w:val="en-GB"/>
        </w:rPr>
        <w:t>the development of an Ethical Code of Conduct of the Mexican A</w:t>
      </w:r>
      <w:r w:rsidR="0029724B">
        <w:rPr>
          <w:rFonts w:eastAsia="Calibri" w:hAnsi="Times New Roman" w:cs="Times New Roman"/>
          <w:snapToGrid w:val="0"/>
          <w:color w:val="auto"/>
          <w:kern w:val="22"/>
          <w:bdr w:val="none" w:sz="0" w:space="0" w:color="auto"/>
          <w:lang w:val="en-GB"/>
        </w:rPr>
        <w:t>ssociation of Botanical Gardens;</w:t>
      </w:r>
    </w:p>
    <w:p w14:paraId="42C1FF9E" w14:textId="11C0A33B" w:rsidR="00A60AB6" w:rsidRPr="00DF02C5" w:rsidRDefault="00A60AB6" w:rsidP="005038A2">
      <w:pPr>
        <w:pStyle w:val="ListParagraph"/>
        <w:numPr>
          <w:ilvl w:val="0"/>
          <w:numId w:val="31"/>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lastRenderedPageBreak/>
        <w:t xml:space="preserve">Madagascar indicated that a code of conduct on access to genetic resources and the sharing of benefits arising from their utilization </w:t>
      </w:r>
      <w:r w:rsidR="00DA3EB4" w:rsidRPr="00DF02C5">
        <w:rPr>
          <w:rFonts w:eastAsia="Calibri" w:hAnsi="Times New Roman" w:cs="Times New Roman"/>
          <w:snapToGrid w:val="0"/>
          <w:color w:val="auto"/>
          <w:kern w:val="22"/>
          <w:bdr w:val="none" w:sz="0" w:space="0" w:color="auto"/>
          <w:lang w:val="en-GB"/>
        </w:rPr>
        <w:t xml:space="preserve">was </w:t>
      </w:r>
      <w:r w:rsidRPr="00DF02C5">
        <w:rPr>
          <w:rFonts w:eastAsia="Calibri" w:hAnsi="Times New Roman" w:cs="Times New Roman"/>
          <w:snapToGrid w:val="0"/>
          <w:color w:val="auto"/>
          <w:kern w:val="22"/>
          <w:bdr w:val="none" w:sz="0" w:space="0" w:color="auto"/>
          <w:lang w:val="en-GB"/>
        </w:rPr>
        <w:t>developed in 2</w:t>
      </w:r>
      <w:r w:rsidR="00DA3EB4" w:rsidRPr="00DF02C5">
        <w:rPr>
          <w:rFonts w:eastAsia="Calibri" w:hAnsi="Times New Roman" w:cs="Times New Roman"/>
          <w:snapToGrid w:val="0"/>
          <w:color w:val="auto"/>
          <w:kern w:val="22"/>
          <w:bdr w:val="none" w:sz="0" w:space="0" w:color="auto"/>
          <w:lang w:val="en-GB"/>
        </w:rPr>
        <w:t>014 in collaboration with the Agricultural Research Centre for In</w:t>
      </w:r>
      <w:r w:rsidR="0029724B">
        <w:rPr>
          <w:rFonts w:eastAsia="Calibri" w:hAnsi="Times New Roman" w:cs="Times New Roman"/>
          <w:snapToGrid w:val="0"/>
          <w:color w:val="auto"/>
          <w:kern w:val="22"/>
          <w:bdr w:val="none" w:sz="0" w:space="0" w:color="auto"/>
          <w:lang w:val="en-GB"/>
        </w:rPr>
        <w:t>ternational Development (CIRAD);</w:t>
      </w:r>
    </w:p>
    <w:p w14:paraId="2778387A" w14:textId="4727A670" w:rsidR="00A60AB6" w:rsidRPr="00DF02C5" w:rsidRDefault="00A60AB6" w:rsidP="005038A2">
      <w:pPr>
        <w:pStyle w:val="ListParagraph"/>
        <w:numPr>
          <w:ilvl w:val="0"/>
          <w:numId w:val="31"/>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Switzerla</w:t>
      </w:r>
      <w:r w:rsidR="00DA3EB4" w:rsidRPr="00DF02C5">
        <w:rPr>
          <w:rFonts w:eastAsia="Calibri" w:hAnsi="Times New Roman" w:cs="Times New Roman"/>
          <w:snapToGrid w:val="0"/>
          <w:color w:val="auto"/>
          <w:kern w:val="22"/>
          <w:bdr w:val="none" w:sz="0" w:space="0" w:color="auto"/>
          <w:lang w:val="en-GB"/>
        </w:rPr>
        <w:t>nd reported on its contribution</w:t>
      </w:r>
      <w:r w:rsidRPr="00DF02C5">
        <w:rPr>
          <w:rFonts w:eastAsia="Calibri" w:hAnsi="Times New Roman" w:cs="Times New Roman"/>
          <w:snapToGrid w:val="0"/>
          <w:color w:val="auto"/>
          <w:kern w:val="22"/>
          <w:bdr w:val="none" w:sz="0" w:space="0" w:color="auto"/>
          <w:lang w:val="en-GB"/>
        </w:rPr>
        <w:t xml:space="preserve"> to </w:t>
      </w:r>
      <w:r w:rsidR="00DA3EB4" w:rsidRPr="00DF02C5">
        <w:rPr>
          <w:rFonts w:eastAsia="Calibri" w:hAnsi="Times New Roman" w:cs="Times New Roman"/>
          <w:snapToGrid w:val="0"/>
          <w:color w:val="auto"/>
          <w:kern w:val="22"/>
          <w:bdr w:val="none" w:sz="0" w:space="0" w:color="auto"/>
          <w:lang w:val="en-GB"/>
        </w:rPr>
        <w:t>the ABS Management Tool - Best Practice Standard and Handbook for Implementing Genetic Resource Access and Benefit Sharing Activities.</w:t>
      </w:r>
    </w:p>
    <w:p w14:paraId="6FE07182" w14:textId="77777777" w:rsidR="003B3005" w:rsidRPr="00DF02C5" w:rsidRDefault="00A60AB6" w:rsidP="003B3005">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A number of countries reported having developed codes of conduct, guidelines and best practices model clauses as part of the their national or regional framework to implement ABS</w:t>
      </w:r>
      <w:r w:rsidR="00460FC2" w:rsidRPr="00DF02C5">
        <w:rPr>
          <w:rFonts w:eastAsia="Calibri" w:hAnsi="Times New Roman"/>
          <w:snapToGrid w:val="0"/>
          <w:color w:val="auto"/>
          <w:kern w:val="22"/>
          <w:bdr w:val="none" w:sz="0" w:space="0" w:color="auto"/>
          <w:lang w:val="en-GB"/>
        </w:rPr>
        <w:t>.</w:t>
      </w:r>
      <w:r w:rsidRPr="00DF02C5">
        <w:rPr>
          <w:rFonts w:eastAsia="Calibri" w:hAnsi="Times New Roman"/>
          <w:snapToGrid w:val="0"/>
          <w:color w:val="auto"/>
          <w:kern w:val="22"/>
          <w:bdr w:val="none" w:sz="0" w:space="0" w:color="auto"/>
          <w:lang w:val="en-GB"/>
        </w:rPr>
        <w:t xml:space="preserve"> For example:</w:t>
      </w:r>
    </w:p>
    <w:p w14:paraId="172256FF" w14:textId="113A5049" w:rsidR="00A60AB6" w:rsidRPr="00DF02C5" w:rsidRDefault="00A60AB6" w:rsidP="003B3005">
      <w:pPr>
        <w:pStyle w:val="ListParagraph"/>
        <w:numPr>
          <w:ilvl w:val="0"/>
          <w:numId w:val="41"/>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Ethiopia, Peru, Swaziland</w:t>
      </w:r>
      <w:r w:rsidR="00460FC2" w:rsidRPr="00DF02C5">
        <w:rPr>
          <w:rFonts w:eastAsia="Calibri" w:hAnsi="Times New Roman" w:cs="Times New Roman"/>
          <w:snapToGrid w:val="0"/>
          <w:color w:val="auto"/>
          <w:kern w:val="22"/>
          <w:bdr w:val="none" w:sz="0" w:space="0" w:color="auto"/>
          <w:lang w:val="en-GB"/>
        </w:rPr>
        <w:t>,</w:t>
      </w:r>
      <w:r w:rsidRPr="00DF02C5">
        <w:rPr>
          <w:rFonts w:eastAsia="Calibri" w:hAnsi="Times New Roman" w:cs="Times New Roman"/>
          <w:snapToGrid w:val="0"/>
          <w:color w:val="auto"/>
          <w:kern w:val="22"/>
          <w:bdr w:val="none" w:sz="0" w:space="0" w:color="auto"/>
          <w:lang w:val="en-GB"/>
        </w:rPr>
        <w:t xml:space="preserve"> and Uganda reported </w:t>
      </w:r>
      <w:r w:rsidR="0029724B">
        <w:rPr>
          <w:rFonts w:eastAsia="Calibri" w:hAnsi="Times New Roman" w:cs="Times New Roman"/>
          <w:snapToGrid w:val="0"/>
          <w:color w:val="auto"/>
          <w:kern w:val="22"/>
          <w:bdr w:val="none" w:sz="0" w:space="0" w:color="auto"/>
          <w:lang w:val="en-GB"/>
        </w:rPr>
        <w:t>having developed ABS guidelines;</w:t>
      </w:r>
    </w:p>
    <w:p w14:paraId="1B703D52" w14:textId="523AA59C" w:rsidR="00A60AB6" w:rsidRPr="00DF02C5" w:rsidRDefault="00A60AB6" w:rsidP="005038A2">
      <w:pPr>
        <w:pStyle w:val="ListParagraph"/>
        <w:numPr>
          <w:ilvl w:val="0"/>
          <w:numId w:val="41"/>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Ethiopia has developed a draft code of conduct </w:t>
      </w:r>
      <w:r w:rsidR="00DA3EB4" w:rsidRPr="00DF02C5">
        <w:rPr>
          <w:rFonts w:eastAsia="Calibri" w:hAnsi="Times New Roman" w:cs="Times New Roman"/>
          <w:snapToGrid w:val="0"/>
          <w:color w:val="auto"/>
          <w:kern w:val="22"/>
          <w:bdr w:val="none" w:sz="0" w:space="0" w:color="auto"/>
          <w:lang w:val="en-GB"/>
        </w:rPr>
        <w:t xml:space="preserve">which outlines </w:t>
      </w:r>
      <w:r w:rsidRPr="00DF02C5">
        <w:rPr>
          <w:rFonts w:eastAsia="Calibri" w:hAnsi="Times New Roman" w:cs="Times New Roman"/>
          <w:snapToGrid w:val="0"/>
          <w:color w:val="auto"/>
          <w:kern w:val="22"/>
          <w:bdr w:val="none" w:sz="0" w:space="0" w:color="auto"/>
          <w:lang w:val="en-GB"/>
        </w:rPr>
        <w:t xml:space="preserve">users the responsibilities </w:t>
      </w:r>
      <w:r w:rsidR="00DA3EB4" w:rsidRPr="00DF02C5">
        <w:rPr>
          <w:rFonts w:eastAsia="Calibri" w:hAnsi="Times New Roman" w:cs="Times New Roman"/>
          <w:snapToGrid w:val="0"/>
          <w:color w:val="auto"/>
          <w:kern w:val="22"/>
          <w:bdr w:val="none" w:sz="0" w:space="0" w:color="auto"/>
          <w:lang w:val="en-GB"/>
        </w:rPr>
        <w:t>and requirements for users to access</w:t>
      </w:r>
      <w:r w:rsidRPr="00DF02C5">
        <w:rPr>
          <w:rFonts w:eastAsia="Calibri" w:hAnsi="Times New Roman" w:cs="Times New Roman"/>
          <w:snapToGrid w:val="0"/>
          <w:color w:val="auto"/>
          <w:kern w:val="22"/>
          <w:bdr w:val="none" w:sz="0" w:space="0" w:color="auto"/>
          <w:lang w:val="en-GB"/>
        </w:rPr>
        <w:t xml:space="preserve"> genetic resources a</w:t>
      </w:r>
      <w:r w:rsidR="00460FC2" w:rsidRPr="00DF02C5">
        <w:rPr>
          <w:rFonts w:eastAsia="Calibri" w:hAnsi="Times New Roman" w:cs="Times New Roman"/>
          <w:snapToGrid w:val="0"/>
          <w:color w:val="auto"/>
          <w:kern w:val="22"/>
          <w:bdr w:val="none" w:sz="0" w:space="0" w:color="auto"/>
          <w:lang w:val="en-GB"/>
        </w:rPr>
        <w:t>nd</w:t>
      </w:r>
      <w:r w:rsidRPr="00DF02C5">
        <w:rPr>
          <w:rFonts w:eastAsia="Calibri" w:hAnsi="Times New Roman" w:cs="Times New Roman"/>
          <w:snapToGrid w:val="0"/>
          <w:color w:val="auto"/>
          <w:kern w:val="22"/>
          <w:bdr w:val="none" w:sz="0" w:space="0" w:color="auto"/>
          <w:lang w:val="en-GB"/>
        </w:rPr>
        <w:t>/or associated community knowledge;</w:t>
      </w:r>
    </w:p>
    <w:p w14:paraId="3BED2D9C" w14:textId="642F17A4" w:rsidR="00A60AB6" w:rsidRPr="00DF02C5" w:rsidRDefault="00A60AB6" w:rsidP="005038A2">
      <w:pPr>
        <w:pStyle w:val="ListParagraph"/>
        <w:numPr>
          <w:ilvl w:val="0"/>
          <w:numId w:val="41"/>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Cameroon, Swaziland, </w:t>
      </w:r>
      <w:r w:rsidR="00460FC2" w:rsidRPr="00DF02C5">
        <w:rPr>
          <w:rFonts w:eastAsia="Calibri" w:hAnsi="Times New Roman" w:cs="Times New Roman"/>
          <w:snapToGrid w:val="0"/>
          <w:color w:val="auto"/>
          <w:kern w:val="22"/>
          <w:bdr w:val="none" w:sz="0" w:space="0" w:color="auto"/>
          <w:lang w:val="en-GB"/>
        </w:rPr>
        <w:t xml:space="preserve">and </w:t>
      </w:r>
      <w:r w:rsidRPr="00DF02C5">
        <w:rPr>
          <w:rFonts w:eastAsia="Calibri" w:hAnsi="Times New Roman" w:cs="Times New Roman"/>
          <w:snapToGrid w:val="0"/>
          <w:color w:val="auto"/>
          <w:kern w:val="22"/>
          <w:bdr w:val="none" w:sz="0" w:space="0" w:color="auto"/>
          <w:lang w:val="en-GB"/>
        </w:rPr>
        <w:t xml:space="preserve">Togo referred to the </w:t>
      </w:r>
      <w:r w:rsidRPr="00DF02C5">
        <w:rPr>
          <w:rFonts w:eastAsia="Calibri" w:hAnsi="Times New Roman"/>
          <w:snapToGrid w:val="0"/>
          <w:color w:val="auto"/>
          <w:kern w:val="22"/>
          <w:bdr w:val="none" w:sz="0" w:space="0" w:color="auto"/>
          <w:lang w:val="en-GB"/>
        </w:rPr>
        <w:t>Guidelines for a Coordinated Implementation of the Nagoya Protocol of the African Union</w:t>
      </w:r>
      <w:r w:rsidRPr="00DF02C5">
        <w:rPr>
          <w:rFonts w:eastAsia="Calibri" w:hAnsi="Times New Roman" w:cs="Times New Roman"/>
          <w:snapToGrid w:val="0"/>
          <w:color w:val="auto"/>
          <w:kern w:val="22"/>
          <w:bdr w:val="none" w:sz="0" w:space="0" w:color="auto"/>
          <w:lang w:val="en-GB"/>
        </w:rPr>
        <w:t xml:space="preserve"> in their reports. </w:t>
      </w:r>
    </w:p>
    <w:p w14:paraId="4E9F93D0" w14:textId="7DAB8E53" w:rsidR="00DA3EB4" w:rsidRPr="00DF02C5" w:rsidRDefault="003B3005" w:rsidP="003B3005">
      <w:pPr>
        <w:pStyle w:val="Para1"/>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t>(b)</w:t>
      </w:r>
      <w:r w:rsidRPr="00DF02C5">
        <w:rPr>
          <w:rFonts w:eastAsia="Calibri" w:hAnsi="Times New Roman"/>
          <w:i/>
          <w:snapToGrid w:val="0"/>
          <w:color w:val="auto"/>
          <w:kern w:val="22"/>
          <w:bdr w:val="none" w:sz="0" w:space="0" w:color="auto"/>
          <w:lang w:val="en-GB"/>
        </w:rPr>
        <w:tab/>
      </w:r>
      <w:r w:rsidR="00DA3EB4" w:rsidRPr="00DF02C5">
        <w:rPr>
          <w:rFonts w:eastAsia="Calibri" w:hAnsi="Times New Roman"/>
          <w:i/>
          <w:snapToGrid w:val="0"/>
          <w:color w:val="auto"/>
          <w:kern w:val="22"/>
          <w:bdr w:val="none" w:sz="0" w:space="0" w:color="auto"/>
          <w:lang w:val="en-GB"/>
        </w:rPr>
        <w:t>Countries that answered “no”</w:t>
      </w:r>
    </w:p>
    <w:p w14:paraId="0FF8558D" w14:textId="77777777" w:rsidR="00A60AB6" w:rsidRPr="00DF02C5" w:rsidRDefault="00A60AB6"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In providing further information, a number of countries</w:t>
      </w:r>
      <w:r w:rsidRPr="00DF02C5">
        <w:rPr>
          <w:rStyle w:val="FootnoteReference"/>
          <w:rFonts w:eastAsia="Calibri" w:hAnsi="Times New Roman"/>
          <w:snapToGrid w:val="0"/>
          <w:color w:val="auto"/>
          <w:kern w:val="22"/>
          <w:bdr w:val="none" w:sz="0" w:space="0" w:color="auto"/>
          <w:lang w:val="en-GB"/>
        </w:rPr>
        <w:footnoteReference w:id="400"/>
      </w:r>
      <w:r w:rsidRPr="00DF02C5">
        <w:rPr>
          <w:rFonts w:eastAsia="Calibri" w:hAnsi="Times New Roman"/>
          <w:snapToGrid w:val="0"/>
          <w:color w:val="auto"/>
          <w:kern w:val="22"/>
          <w:bdr w:val="none" w:sz="0" w:space="0" w:color="auto"/>
          <w:lang w:val="en-GB"/>
        </w:rPr>
        <w:t xml:space="preserve"> indicated that they were planning to address this issue in the development or review of their ABS measures. </w:t>
      </w:r>
    </w:p>
    <w:p w14:paraId="44F6CECD" w14:textId="267DF4DF" w:rsidR="00A60AB6" w:rsidRPr="0029724B" w:rsidRDefault="00DA3EB4" w:rsidP="0029724B">
      <w:pPr>
        <w:numPr>
          <w:ilvl w:val="0"/>
          <w:numId w:val="77"/>
        </w:numPr>
        <w:spacing w:before="240" w:after="120"/>
        <w:ind w:left="0" w:firstLine="0"/>
        <w:jc w:val="center"/>
        <w:rPr>
          <w:rFonts w:eastAsia="Calibri" w:hAnsi="Times New Roman" w:cs="Times New Roman"/>
          <w:i/>
          <w:snapToGrid w:val="0"/>
          <w:color w:val="auto"/>
          <w:kern w:val="22"/>
          <w:bdr w:val="none" w:sz="0" w:space="0" w:color="auto"/>
          <w:lang w:val="en-GB"/>
        </w:rPr>
      </w:pPr>
      <w:r w:rsidRPr="0029724B">
        <w:rPr>
          <w:rFonts w:eastAsia="Calibri" w:hAnsi="Times New Roman" w:cs="Times New Roman"/>
          <w:i/>
          <w:snapToGrid w:val="0"/>
          <w:color w:val="auto"/>
          <w:kern w:val="22"/>
          <w:bdr w:val="none" w:sz="0" w:space="0" w:color="auto"/>
          <w:lang w:val="en-GB"/>
        </w:rPr>
        <w:t xml:space="preserve">Additional information: summary of the main difficulties and challenges </w:t>
      </w:r>
      <w:r w:rsidR="00A60AB6" w:rsidRPr="0029724B">
        <w:rPr>
          <w:rFonts w:eastAsia="Calibri" w:hAnsi="Times New Roman" w:cs="Times New Roman"/>
          <w:i/>
          <w:snapToGrid w:val="0"/>
          <w:color w:val="auto"/>
          <w:kern w:val="22"/>
          <w:bdr w:val="none" w:sz="0" w:space="0" w:color="auto"/>
          <w:lang w:val="en-GB"/>
        </w:rPr>
        <w:t>(question 53)</w:t>
      </w:r>
    </w:p>
    <w:p w14:paraId="7D5FEEC9" w14:textId="56E1B1D3" w:rsidR="00A60AB6" w:rsidRPr="00DF02C5" w:rsidRDefault="00C66980"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T</w:t>
      </w:r>
      <w:r w:rsidR="00AA6BF9" w:rsidRPr="00DF02C5">
        <w:rPr>
          <w:rFonts w:eastAsia="Calibri" w:hAnsi="Times New Roman"/>
          <w:snapToGrid w:val="0"/>
          <w:color w:val="auto"/>
          <w:kern w:val="22"/>
          <w:bdr w:val="none" w:sz="0" w:space="0" w:color="auto"/>
          <w:lang w:val="en-GB"/>
        </w:rPr>
        <w:t xml:space="preserve">wenty-two </w:t>
      </w:r>
      <w:r w:rsidR="00A60AB6" w:rsidRPr="00DF02C5">
        <w:rPr>
          <w:rFonts w:eastAsia="Calibri" w:hAnsi="Times New Roman"/>
          <w:snapToGrid w:val="0"/>
          <w:color w:val="auto"/>
          <w:kern w:val="22"/>
          <w:bdr w:val="none" w:sz="0" w:space="0" w:color="auto"/>
          <w:lang w:val="en-GB"/>
        </w:rPr>
        <w:t>countries</w:t>
      </w:r>
      <w:r w:rsidRPr="00DF02C5">
        <w:rPr>
          <w:rFonts w:eastAsia="Calibri" w:hAnsi="Times New Roman"/>
          <w:snapToGrid w:val="0"/>
          <w:color w:val="auto"/>
          <w:kern w:val="22"/>
          <w:bdr w:val="none" w:sz="0" w:space="0" w:color="auto"/>
          <w:lang w:val="en-GB"/>
        </w:rPr>
        <w:t xml:space="preserve"> that answered this question. M</w:t>
      </w:r>
      <w:r w:rsidR="00AA6BF9" w:rsidRPr="00DF02C5">
        <w:rPr>
          <w:rFonts w:eastAsia="Calibri" w:hAnsi="Times New Roman"/>
          <w:snapToGrid w:val="0"/>
          <w:color w:val="auto"/>
          <w:kern w:val="22"/>
          <w:bdr w:val="none" w:sz="0" w:space="0" w:color="auto"/>
          <w:lang w:val="en-GB"/>
        </w:rPr>
        <w:t>any</w:t>
      </w:r>
      <w:r w:rsidRPr="00DF02C5">
        <w:rPr>
          <w:rFonts w:eastAsia="Calibri" w:hAnsi="Times New Roman"/>
          <w:snapToGrid w:val="0"/>
          <w:color w:val="auto"/>
          <w:kern w:val="22"/>
          <w:bdr w:val="none" w:sz="0" w:space="0" w:color="auto"/>
          <w:lang w:val="en-GB"/>
        </w:rPr>
        <w:t xml:space="preserve"> countries</w:t>
      </w:r>
      <w:r w:rsidR="00A60AB6" w:rsidRPr="00DF02C5">
        <w:rPr>
          <w:rFonts w:eastAsia="Calibri" w:hAnsi="Times New Roman"/>
          <w:snapToGrid w:val="0"/>
          <w:color w:val="auto"/>
          <w:kern w:val="22"/>
          <w:bdr w:val="none" w:sz="0" w:space="0" w:color="auto"/>
          <w:lang w:val="en-GB"/>
        </w:rPr>
        <w:t xml:space="preserve"> referred to the need for financial resources or </w:t>
      </w:r>
      <w:r w:rsidRPr="00DF02C5">
        <w:rPr>
          <w:rFonts w:eastAsia="Calibri" w:hAnsi="Times New Roman"/>
          <w:snapToGrid w:val="0"/>
          <w:color w:val="auto"/>
          <w:kern w:val="22"/>
          <w:bdr w:val="none" w:sz="0" w:space="0" w:color="auto"/>
          <w:lang w:val="en-GB"/>
        </w:rPr>
        <w:t xml:space="preserve">similar </w:t>
      </w:r>
      <w:r w:rsidR="00A60AB6" w:rsidRPr="00DF02C5">
        <w:rPr>
          <w:rFonts w:eastAsia="Calibri" w:hAnsi="Times New Roman"/>
          <w:snapToGrid w:val="0"/>
          <w:color w:val="auto"/>
          <w:kern w:val="22"/>
          <w:bdr w:val="none" w:sz="0" w:space="0" w:color="auto"/>
          <w:lang w:val="en-GB"/>
        </w:rPr>
        <w:t xml:space="preserve">difficulties </w:t>
      </w:r>
      <w:r w:rsidRPr="00DF02C5">
        <w:rPr>
          <w:rFonts w:eastAsia="Calibri" w:hAnsi="Times New Roman"/>
          <w:snapToGrid w:val="0"/>
          <w:color w:val="auto"/>
          <w:kern w:val="22"/>
          <w:bdr w:val="none" w:sz="0" w:space="0" w:color="auto"/>
          <w:lang w:val="en-GB"/>
        </w:rPr>
        <w:t>to those identified earlier in the document.</w:t>
      </w:r>
    </w:p>
    <w:p w14:paraId="35337F86" w14:textId="6BA3E761" w:rsidR="00A60AB6" w:rsidRPr="00DF02C5" w:rsidRDefault="00A60AB6"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In addition, two countries</w:t>
      </w:r>
      <w:r w:rsidR="00C66980" w:rsidRPr="00DF02C5">
        <w:rPr>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 xml:space="preserve">highlighted the importance of sharing best practices, lessons learned, </w:t>
      </w:r>
      <w:r w:rsidR="00C66980" w:rsidRPr="00DF02C5">
        <w:rPr>
          <w:rFonts w:eastAsia="Calibri" w:hAnsi="Times New Roman"/>
          <w:snapToGrid w:val="0"/>
          <w:color w:val="auto"/>
          <w:kern w:val="22"/>
          <w:bdr w:val="none" w:sz="0" w:space="0" w:color="auto"/>
          <w:lang w:val="en-GB"/>
        </w:rPr>
        <w:t xml:space="preserve">and templates between countries, and one </w:t>
      </w:r>
      <w:r w:rsidRPr="00DF02C5">
        <w:rPr>
          <w:rFonts w:eastAsia="Calibri" w:hAnsi="Times New Roman"/>
          <w:snapToGrid w:val="0"/>
          <w:color w:val="auto"/>
          <w:kern w:val="22"/>
          <w:bdr w:val="none" w:sz="0" w:space="0" w:color="auto"/>
          <w:lang w:val="en-GB"/>
        </w:rPr>
        <w:t>country</w:t>
      </w:r>
      <w:r w:rsidR="00C66980" w:rsidRPr="00DF02C5">
        <w:rPr>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 xml:space="preserve">was of the view that identifying best practices and </w:t>
      </w:r>
      <w:r w:rsidR="00460FC2" w:rsidRPr="00DF02C5">
        <w:rPr>
          <w:rFonts w:eastAsia="Calibri" w:hAnsi="Times New Roman"/>
          <w:snapToGrid w:val="0"/>
          <w:color w:val="auto"/>
          <w:kern w:val="22"/>
          <w:bdr w:val="none" w:sz="0" w:space="0" w:color="auto"/>
          <w:lang w:val="en-GB"/>
        </w:rPr>
        <w:t>having these validated</w:t>
      </w:r>
      <w:r w:rsidRPr="00DF02C5">
        <w:rPr>
          <w:rFonts w:eastAsia="Calibri" w:hAnsi="Times New Roman"/>
          <w:snapToGrid w:val="0"/>
          <w:color w:val="auto"/>
          <w:kern w:val="22"/>
          <w:bdr w:val="none" w:sz="0" w:space="0" w:color="auto"/>
          <w:lang w:val="en-GB"/>
        </w:rPr>
        <w:t xml:space="preserve"> in an expeditious manner was challenging and time consuming.</w:t>
      </w:r>
    </w:p>
    <w:p w14:paraId="13B00D40" w14:textId="747D8826" w:rsidR="00A60AB6" w:rsidRPr="00DF02C5" w:rsidRDefault="00A60AB6" w:rsidP="0029724B">
      <w:pPr>
        <w:pStyle w:val="Heading2"/>
        <w:numPr>
          <w:ilvl w:val="0"/>
          <w:numId w:val="43"/>
        </w:numPr>
        <w:spacing w:before="240"/>
        <w:ind w:left="0" w:firstLine="0"/>
        <w:rPr>
          <w:rFonts w:eastAsia="Calibri"/>
          <w:snapToGrid w:val="0"/>
          <w:bdr w:val="none" w:sz="0" w:space="0" w:color="auto"/>
          <w:lang w:val="en-GB"/>
        </w:rPr>
      </w:pPr>
      <w:bookmarkStart w:id="17" w:name="_Toc511112613"/>
      <w:r w:rsidRPr="00DF02C5">
        <w:rPr>
          <w:rFonts w:eastAsia="Calibri"/>
          <w:snapToGrid w:val="0"/>
          <w:bdr w:val="none" w:sz="0" w:space="0" w:color="auto"/>
          <w:lang w:val="en-GB"/>
        </w:rPr>
        <w:t>Awareness-raising and capacity (Article 21 and 22)</w:t>
      </w:r>
      <w:r w:rsidR="00774F8E" w:rsidRPr="00DF02C5">
        <w:rPr>
          <w:rFonts w:eastAsia="Calibri"/>
          <w:snapToGrid w:val="0"/>
          <w:bdr w:val="none" w:sz="0" w:space="0" w:color="auto"/>
          <w:lang w:val="en-GB"/>
        </w:rPr>
        <w:t xml:space="preserve"> (questions 54 to 58)</w:t>
      </w:r>
      <w:bookmarkEnd w:id="17"/>
    </w:p>
    <w:p w14:paraId="63F9145C" w14:textId="670BC927" w:rsidR="00A60AB6" w:rsidRPr="00DF02C5" w:rsidRDefault="00CD4D64" w:rsidP="0029724B">
      <w:pPr>
        <w:pStyle w:val="ListParagraph"/>
        <w:numPr>
          <w:ilvl w:val="1"/>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240" w:after="120"/>
        <w:ind w:left="1440" w:right="360" w:hanging="806"/>
        <w:jc w:val="left"/>
        <w:rPr>
          <w:rFonts w:eastAsia="Calibri" w:hAnsi="Times New Roman" w:cs="Times New Roman"/>
          <w:b/>
          <w:i/>
          <w:snapToGrid w:val="0"/>
          <w:color w:val="auto"/>
          <w:kern w:val="22"/>
          <w:bdr w:val="none" w:sz="0" w:space="0" w:color="auto"/>
          <w:lang w:val="en-GB"/>
        </w:rPr>
      </w:pPr>
      <w:r w:rsidRPr="0029724B">
        <w:rPr>
          <w:rFonts w:eastAsia="Calibri" w:hAnsi="Times New Roman" w:cs="Times New Roman"/>
          <w:i/>
          <w:snapToGrid w:val="0"/>
          <w:color w:val="auto"/>
          <w:kern w:val="22"/>
          <w:bdr w:val="none" w:sz="0" w:space="0" w:color="auto"/>
          <w:lang w:val="en-GB"/>
        </w:rPr>
        <w:t>Has your country taken measures to raise awareness of the importance of genetic resources and traditional knowledge associated with genetic resources and related access and benefit-sharing issues as provided in Article 21?</w:t>
      </w:r>
      <w:r w:rsidR="00A60AB6" w:rsidRPr="0029724B">
        <w:rPr>
          <w:rFonts w:eastAsia="Calibri" w:hAnsi="Times New Roman" w:cs="Times New Roman"/>
          <w:i/>
          <w:snapToGrid w:val="0"/>
          <w:color w:val="auto"/>
          <w:kern w:val="22"/>
          <w:bdr w:val="none" w:sz="0" w:space="0" w:color="auto"/>
          <w:lang w:val="en-GB"/>
        </w:rPr>
        <w:t> </w:t>
      </w:r>
      <w:r w:rsidRPr="0029724B">
        <w:rPr>
          <w:rFonts w:eastAsia="Calibri" w:hAnsi="Times New Roman" w:cs="Times New Roman"/>
          <w:i/>
          <w:snapToGrid w:val="0"/>
          <w:color w:val="auto"/>
          <w:kern w:val="22"/>
          <w:bdr w:val="none" w:sz="0" w:space="0" w:color="auto"/>
          <w:lang w:val="en-GB"/>
        </w:rPr>
        <w:t xml:space="preserve"> </w:t>
      </w:r>
      <w:r w:rsidR="00A60AB6" w:rsidRPr="0029724B">
        <w:rPr>
          <w:rFonts w:eastAsia="Calibri" w:hAnsi="Times New Roman" w:cs="Times New Roman"/>
          <w:i/>
          <w:snapToGrid w:val="0"/>
          <w:color w:val="auto"/>
          <w:kern w:val="22"/>
          <w:bdr w:val="none" w:sz="0" w:space="0" w:color="auto"/>
          <w:lang w:val="en-GB"/>
        </w:rPr>
        <w:t>(question 54</w:t>
      </w:r>
      <w:r w:rsidR="00A60AB6" w:rsidRPr="00DF02C5">
        <w:rPr>
          <w:rFonts w:eastAsia="Calibri" w:hAnsi="Times New Roman" w:cs="Times New Roman"/>
          <w:b/>
          <w:i/>
          <w:snapToGrid w:val="0"/>
          <w:color w:val="auto"/>
          <w:kern w:val="22"/>
          <w:bdr w:val="none" w:sz="0" w:space="0" w:color="auto"/>
          <w:lang w:val="en-GB"/>
        </w:rPr>
        <w:t>)</w:t>
      </w:r>
    </w:p>
    <w:p w14:paraId="1326795D" w14:textId="0752D9DD" w:rsidR="00CD4D64" w:rsidRPr="00DF02C5" w:rsidRDefault="00305DD3" w:rsidP="00CB6ACA">
      <w:pPr>
        <w:pStyle w:val="Para1"/>
        <w:numPr>
          <w:ilvl w:val="0"/>
          <w:numId w:val="93"/>
        </w:numPr>
        <w:rPr>
          <w:rFonts w:eastAsia="Calibri" w:hAnsi="Times New Roman"/>
          <w:snapToGrid w:val="0"/>
          <w:color w:val="auto"/>
          <w:kern w:val="22"/>
          <w:bdr w:val="none" w:sz="0" w:space="0" w:color="auto"/>
          <w:lang w:val="en-GB"/>
        </w:rPr>
      </w:pPr>
      <w:r w:rsidRPr="00DF02C5">
        <w:rPr>
          <w:rFonts w:hAnsi="Times New Roman"/>
          <w:bdr w:val="none" w:sz="0" w:space="0" w:color="auto"/>
          <w:lang w:val="en-GB"/>
        </w:rPr>
        <w:t>Sixty-one</w:t>
      </w:r>
      <w:r w:rsidR="00A742A4" w:rsidRPr="00DF02C5">
        <w:rPr>
          <w:rFonts w:hAnsi="Times New Roman"/>
          <w:bdr w:val="none" w:sz="0" w:space="0" w:color="auto"/>
          <w:lang w:val="en-GB"/>
        </w:rPr>
        <w:t xml:space="preserve"> Parties and </w:t>
      </w:r>
      <w:r w:rsidRPr="00DF02C5">
        <w:rPr>
          <w:rFonts w:hAnsi="Times New Roman"/>
          <w:bdr w:val="none" w:sz="0" w:space="0" w:color="auto"/>
          <w:lang w:val="en-GB"/>
        </w:rPr>
        <w:t>five</w:t>
      </w:r>
      <w:r w:rsidR="00A742A4" w:rsidRPr="00DF02C5">
        <w:rPr>
          <w:rFonts w:hAnsi="Times New Roman"/>
          <w:bdr w:val="none" w:sz="0" w:space="0" w:color="auto"/>
          <w:lang w:val="en-GB"/>
        </w:rPr>
        <w:t xml:space="preserve"> non-Parties responded that they </w:t>
      </w:r>
      <w:r w:rsidRPr="00DF02C5">
        <w:rPr>
          <w:rFonts w:hAnsi="Times New Roman"/>
          <w:bdr w:val="none" w:sz="0" w:space="0" w:color="auto"/>
          <w:lang w:val="en-GB"/>
        </w:rPr>
        <w:t xml:space="preserve">have </w:t>
      </w:r>
      <w:r w:rsidRPr="00DF02C5">
        <w:rPr>
          <w:rFonts w:eastAsia="Calibri" w:hAnsi="Times New Roman"/>
          <w:snapToGrid w:val="0"/>
          <w:color w:val="auto"/>
          <w:kern w:val="22"/>
          <w:bdr w:val="none" w:sz="0" w:space="0" w:color="auto"/>
          <w:lang w:val="en-GB"/>
        </w:rPr>
        <w:t>taken measures to raise awareness of the importance of genetic resources and traditional knowledge associated with genetic resources and related access and benefit-sharing issues</w:t>
      </w:r>
      <w:r w:rsidR="00CD4D64" w:rsidRPr="00DF02C5">
        <w:rPr>
          <w:rFonts w:hAnsi="Times New Roman"/>
          <w:bdr w:val="none" w:sz="0" w:space="0" w:color="auto"/>
          <w:lang w:val="en-GB"/>
        </w:rPr>
        <w:t xml:space="preserve">, while </w:t>
      </w:r>
      <w:r w:rsidR="00CD4D64" w:rsidRPr="00DF02C5">
        <w:rPr>
          <w:rFonts w:eastAsia="Calibri" w:hAnsi="Times New Roman"/>
          <w:snapToGrid w:val="0"/>
          <w:color w:val="auto"/>
          <w:kern w:val="22"/>
          <w:bdr w:val="none" w:sz="0" w:space="0" w:color="auto"/>
          <w:lang w:val="en-GB"/>
        </w:rPr>
        <w:t xml:space="preserve">eight Parties and one non-Party reported not having taken </w:t>
      </w:r>
      <w:r w:rsidR="002F4669" w:rsidRPr="00DF02C5">
        <w:rPr>
          <w:rFonts w:eastAsia="Calibri" w:hAnsi="Times New Roman"/>
          <w:snapToGrid w:val="0"/>
          <w:color w:val="auto"/>
          <w:kern w:val="22"/>
          <w:bdr w:val="none" w:sz="0" w:space="0" w:color="auto"/>
          <w:lang w:val="en-GB"/>
        </w:rPr>
        <w:t xml:space="preserve">such </w:t>
      </w:r>
      <w:r w:rsidR="00CD4D64" w:rsidRPr="00DF02C5">
        <w:rPr>
          <w:rFonts w:eastAsia="Calibri" w:hAnsi="Times New Roman"/>
          <w:snapToGrid w:val="0"/>
          <w:color w:val="auto"/>
          <w:kern w:val="22"/>
          <w:bdr w:val="none" w:sz="0" w:space="0" w:color="auto"/>
          <w:lang w:val="en-GB"/>
        </w:rPr>
        <w:t>measures.</w:t>
      </w:r>
    </w:p>
    <w:p w14:paraId="1E24D2C6" w14:textId="7E2BF8EC" w:rsidR="00CD4D64" w:rsidRPr="00DF02C5" w:rsidRDefault="00E5256F" w:rsidP="00E5256F">
      <w:pPr>
        <w:pStyle w:val="Caption"/>
        <w:keepNext/>
        <w:keepLines/>
        <w:rPr>
          <w:snapToGrid w:val="0"/>
          <w:bdr w:val="none" w:sz="0" w:space="0" w:color="auto"/>
          <w:lang w:val="en-GB"/>
        </w:rPr>
      </w:pPr>
      <w:r w:rsidRPr="00DF02C5">
        <w:rPr>
          <w:lang w:val="en-GB"/>
        </w:rPr>
        <w:lastRenderedPageBreak/>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Pr="00DF02C5">
        <w:rPr>
          <w:noProof/>
          <w:lang w:val="en-GB"/>
        </w:rPr>
        <w:t>47</w:t>
      </w:r>
      <w:r w:rsidRPr="00DF02C5">
        <w:rPr>
          <w:lang w:val="en-GB"/>
        </w:rPr>
        <w:fldChar w:fldCharType="end"/>
      </w:r>
      <w:r w:rsidR="00CD4D64" w:rsidRPr="00DF02C5">
        <w:rPr>
          <w:snapToGrid w:val="0"/>
          <w:bdr w:val="none" w:sz="0" w:space="0" w:color="auto"/>
          <w:lang w:val="en-GB"/>
        </w:rPr>
        <w:t>: Measures to implement Article 21 (percentage of countries)</w:t>
      </w:r>
    </w:p>
    <w:p w14:paraId="41458D0E" w14:textId="22E93984" w:rsidR="00CD4D64" w:rsidRPr="00DF02C5" w:rsidRDefault="00CD4D64" w:rsidP="00CD4D64">
      <w:pPr>
        <w:pStyle w:val="Para1"/>
        <w:jc w:val="center"/>
        <w:rPr>
          <w:rFonts w:eastAsia="Calibri" w:hAnsi="Times New Roman"/>
          <w:snapToGrid w:val="0"/>
          <w:color w:val="auto"/>
          <w:kern w:val="22"/>
          <w:bdr w:val="none" w:sz="0" w:space="0" w:color="auto"/>
          <w:lang w:val="en-GB"/>
        </w:rPr>
      </w:pPr>
      <w:r w:rsidRPr="00DF02C5">
        <w:rPr>
          <w:noProof/>
        </w:rPr>
        <w:drawing>
          <wp:inline distT="0" distB="0" distL="0" distR="0" wp14:anchorId="68502F4E" wp14:editId="451A6716">
            <wp:extent cx="3381375" cy="1952625"/>
            <wp:effectExtent l="0" t="0" r="9525" b="952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94B945E" w14:textId="5C271382" w:rsidR="00CD4D64" w:rsidRPr="00DF02C5" w:rsidRDefault="00CD4D64" w:rsidP="00CD4D64">
      <w:pPr>
        <w:pStyle w:val="Para1"/>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t>(a)</w:t>
      </w:r>
      <w:r w:rsidRPr="00DF02C5">
        <w:rPr>
          <w:rFonts w:eastAsia="Calibri" w:hAnsi="Times New Roman"/>
          <w:i/>
          <w:snapToGrid w:val="0"/>
          <w:color w:val="auto"/>
          <w:kern w:val="22"/>
          <w:bdr w:val="none" w:sz="0" w:space="0" w:color="auto"/>
          <w:lang w:val="en-GB"/>
        </w:rPr>
        <w:tab/>
        <w:t>Countries that answered “yes”</w:t>
      </w:r>
    </w:p>
    <w:p w14:paraId="54BB0581" w14:textId="255FD2D8" w:rsidR="00A60AB6" w:rsidRPr="00DF02C5" w:rsidRDefault="00A60AB6"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Several countries</w:t>
      </w:r>
      <w:r w:rsidRPr="00DF02C5">
        <w:rPr>
          <w:rStyle w:val="FootnoteReference"/>
          <w:rFonts w:eastAsia="Calibri" w:hAnsi="Times New Roman"/>
          <w:snapToGrid w:val="0"/>
          <w:color w:val="auto"/>
          <w:kern w:val="22"/>
          <w:bdr w:val="none" w:sz="0" w:space="0" w:color="auto"/>
          <w:lang w:val="en-GB"/>
        </w:rPr>
        <w:footnoteReference w:id="401"/>
      </w:r>
      <w:r w:rsidR="00CD4D64" w:rsidRPr="00DF02C5">
        <w:rPr>
          <w:rFonts w:eastAsia="Calibri" w:hAnsi="Times New Roman"/>
          <w:snapToGrid w:val="0"/>
          <w:color w:val="auto"/>
          <w:kern w:val="22"/>
          <w:bdr w:val="none" w:sz="0" w:space="0" w:color="auto"/>
          <w:lang w:val="en-GB"/>
        </w:rPr>
        <w:t xml:space="preserve"> indicated that they plan to implement </w:t>
      </w:r>
      <w:r w:rsidRPr="00DF02C5">
        <w:rPr>
          <w:rFonts w:eastAsia="Calibri" w:hAnsi="Times New Roman"/>
          <w:snapToGrid w:val="0"/>
          <w:color w:val="auto"/>
          <w:kern w:val="22"/>
          <w:bdr w:val="none" w:sz="0" w:space="0" w:color="auto"/>
          <w:lang w:val="en-GB"/>
        </w:rPr>
        <w:t>Article 21 through an ABS capacity initiative or project</w:t>
      </w:r>
      <w:r w:rsidR="00460FC2" w:rsidRPr="00DF02C5">
        <w:rPr>
          <w:rStyle w:val="FootnoteReference"/>
          <w:rFonts w:eastAsia="Calibri" w:hAnsi="Times New Roman"/>
          <w:snapToGrid w:val="0"/>
          <w:color w:val="auto"/>
          <w:kern w:val="22"/>
          <w:bdr w:val="none" w:sz="0" w:space="0" w:color="auto"/>
          <w:lang w:val="en-GB"/>
        </w:rPr>
        <w:footnoteReference w:id="402"/>
      </w:r>
      <w:r w:rsidRPr="00DF02C5">
        <w:rPr>
          <w:rFonts w:eastAsia="Calibri" w:hAnsi="Times New Roman"/>
          <w:snapToGrid w:val="0"/>
          <w:color w:val="auto"/>
          <w:kern w:val="22"/>
          <w:bdr w:val="none" w:sz="0" w:space="0" w:color="auto"/>
          <w:lang w:val="en-GB"/>
        </w:rPr>
        <w:t>.</w:t>
      </w:r>
    </w:p>
    <w:p w14:paraId="25CF07A6" w14:textId="4D4913FF" w:rsidR="00A60AB6" w:rsidRPr="00DF02C5" w:rsidRDefault="00A60AB6"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Many countries provided details on the activities</w:t>
      </w:r>
      <w:r w:rsidR="00CD4D64" w:rsidRPr="00DF02C5">
        <w:rPr>
          <w:rFonts w:eastAsia="Calibri" w:hAnsi="Times New Roman"/>
          <w:snapToGrid w:val="0"/>
          <w:color w:val="auto"/>
          <w:kern w:val="22"/>
          <w:bdr w:val="none" w:sz="0" w:space="0" w:color="auto"/>
          <w:lang w:val="en-GB"/>
        </w:rPr>
        <w:t xml:space="preserve"> carried out to raise awareness</w:t>
      </w:r>
      <w:r w:rsidR="009E3366" w:rsidRPr="00DF02C5">
        <w:rPr>
          <w:rFonts w:eastAsia="Calibri" w:hAnsi="Times New Roman"/>
          <w:snapToGrid w:val="0"/>
          <w:color w:val="auto"/>
          <w:kern w:val="22"/>
          <w:bdr w:val="none" w:sz="0" w:space="0" w:color="auto"/>
          <w:lang w:val="en-GB"/>
        </w:rPr>
        <w:t xml:space="preserve"> on ABS, and a large number of countries reported doing so</w:t>
      </w:r>
      <w:r w:rsidR="00CD4D64" w:rsidRPr="00DF02C5">
        <w:rPr>
          <w:rFonts w:eastAsia="Calibri" w:hAnsi="Times New Roman"/>
          <w:snapToGrid w:val="0"/>
          <w:color w:val="auto"/>
          <w:kern w:val="22"/>
          <w:bdr w:val="none" w:sz="0" w:space="0" w:color="auto"/>
          <w:lang w:val="en-GB"/>
        </w:rPr>
        <w:t xml:space="preserve"> </w:t>
      </w:r>
      <w:r w:rsidR="009E3366" w:rsidRPr="00DF02C5">
        <w:rPr>
          <w:rFonts w:eastAsia="Calibri" w:hAnsi="Times New Roman"/>
          <w:snapToGrid w:val="0"/>
          <w:color w:val="auto"/>
          <w:kern w:val="22"/>
          <w:bdr w:val="none" w:sz="0" w:space="0" w:color="auto"/>
          <w:lang w:val="en-GB"/>
        </w:rPr>
        <w:t xml:space="preserve">through </w:t>
      </w:r>
      <w:r w:rsidRPr="00DF02C5">
        <w:rPr>
          <w:rFonts w:eastAsia="Calibri" w:hAnsi="Times New Roman"/>
          <w:snapToGrid w:val="0"/>
          <w:color w:val="auto"/>
          <w:kern w:val="22"/>
          <w:bdr w:val="none" w:sz="0" w:space="0" w:color="auto"/>
          <w:lang w:val="en-GB"/>
        </w:rPr>
        <w:t>the organisation of workshops, meetings, seminars and conferences.</w:t>
      </w:r>
      <w:r w:rsidRPr="00DF02C5">
        <w:rPr>
          <w:rStyle w:val="FootnoteReference"/>
          <w:rFonts w:eastAsia="Calibri" w:hAnsi="Times New Roman"/>
          <w:snapToGrid w:val="0"/>
          <w:color w:val="auto"/>
          <w:kern w:val="22"/>
          <w:bdr w:val="none" w:sz="0" w:space="0" w:color="auto"/>
          <w:lang w:val="en-GB"/>
        </w:rPr>
        <w:footnoteReference w:id="403"/>
      </w:r>
      <w:r w:rsidRPr="00DF02C5">
        <w:rPr>
          <w:rFonts w:eastAsia="Calibri" w:hAnsi="Times New Roman"/>
          <w:snapToGrid w:val="0"/>
          <w:color w:val="auto"/>
          <w:kern w:val="22"/>
          <w:bdr w:val="none" w:sz="0" w:space="0" w:color="auto"/>
          <w:lang w:val="en-GB"/>
        </w:rPr>
        <w:t xml:space="preserve">  Other means to raise awaren</w:t>
      </w:r>
      <w:r w:rsidR="009E3366" w:rsidRPr="00DF02C5">
        <w:rPr>
          <w:rFonts w:eastAsia="Calibri" w:hAnsi="Times New Roman"/>
          <w:snapToGrid w:val="0"/>
          <w:color w:val="auto"/>
          <w:kern w:val="22"/>
          <w:bdr w:val="none" w:sz="0" w:space="0" w:color="auto"/>
          <w:lang w:val="en-GB"/>
        </w:rPr>
        <w:t>ess mentioned are: (a) i</w:t>
      </w:r>
      <w:r w:rsidRPr="00DF02C5">
        <w:rPr>
          <w:rFonts w:eastAsia="Calibri" w:hAnsi="Times New Roman"/>
          <w:snapToGrid w:val="0"/>
          <w:color w:val="auto"/>
          <w:kern w:val="22"/>
          <w:bdr w:val="none" w:sz="0" w:space="0" w:color="auto"/>
          <w:lang w:val="en-GB"/>
        </w:rPr>
        <w:t>nformation leaflets</w:t>
      </w:r>
      <w:r w:rsidR="009E3366" w:rsidRPr="00DF02C5">
        <w:rPr>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 xml:space="preserve"> brochures or other materials</w:t>
      </w:r>
      <w:r w:rsidRPr="00DF02C5">
        <w:rPr>
          <w:rStyle w:val="FootnoteReference"/>
          <w:rFonts w:eastAsia="Calibri" w:hAnsi="Times New Roman"/>
          <w:snapToGrid w:val="0"/>
          <w:color w:val="auto"/>
          <w:kern w:val="22"/>
          <w:bdr w:val="none" w:sz="0" w:space="0" w:color="auto"/>
          <w:lang w:val="en-GB"/>
        </w:rPr>
        <w:footnoteReference w:id="404"/>
      </w:r>
      <w:r w:rsidR="00911617" w:rsidRPr="00DF02C5">
        <w:rPr>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(b) national clearing-houses and websites</w:t>
      </w:r>
      <w:r w:rsidRPr="00DF02C5">
        <w:rPr>
          <w:rStyle w:val="FootnoteReference"/>
          <w:rFonts w:eastAsia="Calibri" w:hAnsi="Times New Roman"/>
          <w:snapToGrid w:val="0"/>
          <w:color w:val="auto"/>
          <w:kern w:val="22"/>
          <w:bdr w:val="none" w:sz="0" w:space="0" w:color="auto"/>
          <w:lang w:val="en-GB"/>
        </w:rPr>
        <w:footnoteReference w:id="405"/>
      </w:r>
      <w:r w:rsidRPr="00DF02C5">
        <w:rPr>
          <w:rFonts w:eastAsia="Calibri" w:hAnsi="Times New Roman"/>
          <w:snapToGrid w:val="0"/>
          <w:color w:val="auto"/>
          <w:kern w:val="22"/>
          <w:bdr w:val="none" w:sz="0" w:space="0" w:color="auto"/>
          <w:lang w:val="en-GB"/>
        </w:rPr>
        <w:t>; (c) dialogues and exchanges</w:t>
      </w:r>
      <w:r w:rsidRPr="00DF02C5">
        <w:rPr>
          <w:rStyle w:val="FootnoteReference"/>
          <w:rFonts w:eastAsia="Calibri" w:hAnsi="Times New Roman"/>
          <w:snapToGrid w:val="0"/>
          <w:color w:val="auto"/>
          <w:kern w:val="22"/>
          <w:bdr w:val="none" w:sz="0" w:space="0" w:color="auto"/>
          <w:lang w:val="en-GB"/>
        </w:rPr>
        <w:footnoteReference w:id="406"/>
      </w:r>
      <w:r w:rsidRPr="00DF02C5">
        <w:rPr>
          <w:rFonts w:eastAsia="Calibri" w:hAnsi="Times New Roman"/>
          <w:snapToGrid w:val="0"/>
          <w:color w:val="auto"/>
          <w:kern w:val="22"/>
          <w:bdr w:val="none" w:sz="0" w:space="0" w:color="auto"/>
          <w:lang w:val="en-GB"/>
        </w:rPr>
        <w:t>; (d) ABS committees with different stakeholders</w:t>
      </w:r>
      <w:r w:rsidR="00911617" w:rsidRPr="00DF02C5">
        <w:rPr>
          <w:rStyle w:val="FootnoteReference"/>
          <w:rFonts w:eastAsia="Calibri" w:hAnsi="Times New Roman"/>
          <w:snapToGrid w:val="0"/>
          <w:color w:val="auto"/>
          <w:kern w:val="22"/>
          <w:bdr w:val="none" w:sz="0" w:space="0" w:color="auto"/>
          <w:lang w:val="en-GB"/>
        </w:rPr>
        <w:footnoteReference w:id="407"/>
      </w:r>
      <w:r w:rsidRPr="00DF02C5">
        <w:rPr>
          <w:rFonts w:eastAsia="Calibri" w:hAnsi="Times New Roman"/>
          <w:snapToGrid w:val="0"/>
          <w:color w:val="auto"/>
          <w:kern w:val="22"/>
          <w:bdr w:val="none" w:sz="0" w:space="0" w:color="auto"/>
          <w:lang w:val="en-GB"/>
        </w:rPr>
        <w:t>; (e) emails or newsletters</w:t>
      </w:r>
      <w:r w:rsidRPr="00DF02C5">
        <w:rPr>
          <w:rStyle w:val="FootnoteReference"/>
          <w:rFonts w:eastAsia="Calibri" w:hAnsi="Times New Roman"/>
          <w:snapToGrid w:val="0"/>
          <w:color w:val="auto"/>
          <w:kern w:val="22"/>
          <w:bdr w:val="none" w:sz="0" w:space="0" w:color="auto"/>
          <w:lang w:val="en-GB"/>
        </w:rPr>
        <w:footnoteReference w:id="408"/>
      </w:r>
      <w:r w:rsidRPr="00DF02C5">
        <w:rPr>
          <w:rFonts w:eastAsia="Calibri" w:hAnsi="Times New Roman"/>
          <w:snapToGrid w:val="0"/>
          <w:color w:val="auto"/>
          <w:kern w:val="22"/>
          <w:bdr w:val="none" w:sz="0" w:space="0" w:color="auto"/>
          <w:lang w:val="en-GB"/>
        </w:rPr>
        <w:t>; (f) consulting services</w:t>
      </w:r>
      <w:r w:rsidR="00911617" w:rsidRPr="00DF02C5">
        <w:rPr>
          <w:rStyle w:val="FootnoteReference"/>
          <w:rFonts w:eastAsia="Calibri" w:hAnsi="Times New Roman"/>
          <w:snapToGrid w:val="0"/>
          <w:color w:val="auto"/>
          <w:kern w:val="22"/>
          <w:bdr w:val="none" w:sz="0" w:space="0" w:color="auto"/>
          <w:lang w:val="en-GB"/>
        </w:rPr>
        <w:footnoteReference w:id="409"/>
      </w:r>
      <w:r w:rsidRPr="00DF02C5">
        <w:rPr>
          <w:rFonts w:eastAsia="Calibri" w:hAnsi="Times New Roman"/>
          <w:snapToGrid w:val="0"/>
          <w:color w:val="auto"/>
          <w:kern w:val="22"/>
          <w:bdr w:val="none" w:sz="0" w:space="0" w:color="auto"/>
          <w:lang w:val="en-GB"/>
        </w:rPr>
        <w:t>,</w:t>
      </w:r>
      <w:r w:rsidR="00911617" w:rsidRPr="00DF02C5">
        <w:rPr>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helpdesk</w:t>
      </w:r>
      <w:r w:rsidRPr="00DF02C5">
        <w:rPr>
          <w:rStyle w:val="FootnoteReference"/>
          <w:rFonts w:eastAsia="Calibri" w:hAnsi="Times New Roman"/>
          <w:snapToGrid w:val="0"/>
          <w:color w:val="auto"/>
          <w:kern w:val="22"/>
          <w:bdr w:val="none" w:sz="0" w:space="0" w:color="auto"/>
          <w:lang w:val="en-GB"/>
        </w:rPr>
        <w:footnoteReference w:id="410"/>
      </w:r>
      <w:r w:rsidRPr="00DF02C5">
        <w:rPr>
          <w:rFonts w:eastAsia="Calibri" w:hAnsi="Times New Roman"/>
          <w:snapToGrid w:val="0"/>
          <w:color w:val="auto"/>
          <w:kern w:val="22"/>
          <w:bdr w:val="none" w:sz="0" w:space="0" w:color="auto"/>
          <w:lang w:val="en-GB"/>
        </w:rPr>
        <w:t xml:space="preserve"> </w:t>
      </w:r>
      <w:r w:rsidR="009E3366" w:rsidRPr="00DF02C5">
        <w:rPr>
          <w:rFonts w:eastAsia="Calibri" w:hAnsi="Times New Roman"/>
          <w:snapToGrid w:val="0"/>
          <w:color w:val="auto"/>
          <w:kern w:val="22"/>
          <w:bdr w:val="none" w:sz="0" w:space="0" w:color="auto"/>
          <w:lang w:val="en-GB"/>
        </w:rPr>
        <w:t xml:space="preserve">or </w:t>
      </w:r>
      <w:r w:rsidRPr="00DF02C5">
        <w:rPr>
          <w:rFonts w:eastAsia="Calibri" w:hAnsi="Times New Roman"/>
          <w:snapToGrid w:val="0"/>
          <w:color w:val="auto"/>
          <w:kern w:val="22"/>
          <w:bdr w:val="none" w:sz="0" w:space="0" w:color="auto"/>
          <w:lang w:val="en-GB"/>
        </w:rPr>
        <w:t>provision of information by the NFP</w:t>
      </w:r>
      <w:r w:rsidR="00911617" w:rsidRPr="00DF02C5">
        <w:rPr>
          <w:rStyle w:val="FootnoteReference"/>
          <w:rFonts w:eastAsia="Calibri" w:hAnsi="Times New Roman"/>
          <w:snapToGrid w:val="0"/>
          <w:color w:val="auto"/>
          <w:kern w:val="22"/>
          <w:bdr w:val="none" w:sz="0" w:space="0" w:color="auto"/>
          <w:lang w:val="en-GB"/>
        </w:rPr>
        <w:footnoteReference w:id="411"/>
      </w:r>
      <w:r w:rsidRPr="00DF02C5">
        <w:rPr>
          <w:rFonts w:eastAsia="Calibri" w:hAnsi="Times New Roman"/>
          <w:snapToGrid w:val="0"/>
          <w:color w:val="auto"/>
          <w:kern w:val="22"/>
          <w:bdr w:val="none" w:sz="0" w:space="0" w:color="auto"/>
          <w:lang w:val="en-GB"/>
        </w:rPr>
        <w:t>;</w:t>
      </w:r>
      <w:r w:rsidR="00911617" w:rsidRPr="00DF02C5">
        <w:rPr>
          <w:rFonts w:eastAsia="Calibri" w:hAnsi="Times New Roman"/>
          <w:snapToGrid w:val="0"/>
          <w:color w:val="auto"/>
          <w:kern w:val="22"/>
          <w:bdr w:val="none" w:sz="0" w:space="0" w:color="auto"/>
          <w:lang w:val="en-GB"/>
        </w:rPr>
        <w:t xml:space="preserve"> </w:t>
      </w:r>
      <w:r w:rsidR="009E3366" w:rsidRPr="00DF02C5">
        <w:rPr>
          <w:rFonts w:eastAsia="Calibri" w:hAnsi="Times New Roman"/>
          <w:snapToGrid w:val="0"/>
          <w:color w:val="auto"/>
          <w:kern w:val="22"/>
          <w:bdr w:val="none" w:sz="0" w:space="0" w:color="auto"/>
          <w:lang w:val="en-GB"/>
        </w:rPr>
        <w:t xml:space="preserve">(g) online surveys and </w:t>
      </w:r>
      <w:r w:rsidRPr="00DF02C5">
        <w:rPr>
          <w:rFonts w:eastAsia="Calibri" w:hAnsi="Times New Roman"/>
          <w:snapToGrid w:val="0"/>
          <w:color w:val="auto"/>
          <w:kern w:val="22"/>
          <w:bdr w:val="none" w:sz="0" w:space="0" w:color="auto"/>
          <w:lang w:val="en-GB"/>
        </w:rPr>
        <w:t>questionnaires</w:t>
      </w:r>
      <w:r w:rsidRPr="00DF02C5">
        <w:rPr>
          <w:rStyle w:val="FootnoteReference"/>
          <w:rFonts w:eastAsia="Calibri" w:hAnsi="Times New Roman"/>
          <w:snapToGrid w:val="0"/>
          <w:color w:val="auto"/>
          <w:kern w:val="22"/>
          <w:bdr w:val="none" w:sz="0" w:space="0" w:color="auto"/>
          <w:lang w:val="en-GB"/>
        </w:rPr>
        <w:footnoteReference w:id="412"/>
      </w:r>
      <w:r w:rsidRPr="00DF02C5">
        <w:rPr>
          <w:rFonts w:eastAsia="Calibri" w:hAnsi="Times New Roman"/>
          <w:snapToGrid w:val="0"/>
          <w:color w:val="auto"/>
          <w:kern w:val="22"/>
          <w:bdr w:val="none" w:sz="0" w:space="0" w:color="auto"/>
          <w:lang w:val="en-GB"/>
        </w:rPr>
        <w:t xml:space="preserve">; (h) development of </w:t>
      </w:r>
      <w:r w:rsidR="009E3366" w:rsidRPr="00DF02C5">
        <w:rPr>
          <w:rFonts w:eastAsia="Calibri" w:hAnsi="Times New Roman"/>
          <w:snapToGrid w:val="0"/>
          <w:color w:val="auto"/>
          <w:kern w:val="22"/>
          <w:bdr w:val="none" w:sz="0" w:space="0" w:color="auto"/>
          <w:lang w:val="en-GB"/>
        </w:rPr>
        <w:t xml:space="preserve">user </w:t>
      </w:r>
      <w:r w:rsidRPr="00DF02C5">
        <w:rPr>
          <w:rFonts w:eastAsia="Calibri" w:hAnsi="Times New Roman"/>
          <w:snapToGrid w:val="0"/>
          <w:color w:val="auto"/>
          <w:kern w:val="22"/>
          <w:bdr w:val="none" w:sz="0" w:space="0" w:color="auto"/>
          <w:lang w:val="en-GB"/>
        </w:rPr>
        <w:t>database</w:t>
      </w:r>
      <w:r w:rsidR="009E3366" w:rsidRPr="00DF02C5">
        <w:rPr>
          <w:rFonts w:eastAsia="Calibri" w:hAnsi="Times New Roman"/>
          <w:snapToGrid w:val="0"/>
          <w:color w:val="auto"/>
          <w:kern w:val="22"/>
          <w:bdr w:val="none" w:sz="0" w:space="0" w:color="auto"/>
          <w:lang w:val="en-GB"/>
        </w:rPr>
        <w:t>s</w:t>
      </w:r>
      <w:r w:rsidR="00911617" w:rsidRPr="00DF02C5">
        <w:rPr>
          <w:rStyle w:val="FootnoteReference"/>
          <w:rFonts w:eastAsia="Calibri" w:hAnsi="Times New Roman"/>
          <w:snapToGrid w:val="0"/>
          <w:color w:val="auto"/>
          <w:kern w:val="22"/>
          <w:bdr w:val="none" w:sz="0" w:space="0" w:color="auto"/>
          <w:lang w:val="en-GB"/>
        </w:rPr>
        <w:footnoteReference w:id="413"/>
      </w:r>
      <w:r w:rsidRPr="00DF02C5">
        <w:rPr>
          <w:rFonts w:eastAsia="Calibri" w:hAnsi="Times New Roman"/>
          <w:snapToGrid w:val="0"/>
          <w:color w:val="auto"/>
          <w:kern w:val="22"/>
          <w:bdr w:val="none" w:sz="0" w:space="0" w:color="auto"/>
          <w:lang w:val="en-GB"/>
        </w:rPr>
        <w:t>; (i) radio or television programs</w:t>
      </w:r>
      <w:r w:rsidRPr="00DF02C5">
        <w:rPr>
          <w:rStyle w:val="FootnoteReference"/>
          <w:rFonts w:eastAsia="Calibri" w:hAnsi="Times New Roman"/>
          <w:snapToGrid w:val="0"/>
          <w:color w:val="auto"/>
          <w:kern w:val="22"/>
          <w:bdr w:val="none" w:sz="0" w:space="0" w:color="auto"/>
          <w:lang w:val="en-GB"/>
        </w:rPr>
        <w:footnoteReference w:id="414"/>
      </w:r>
      <w:r w:rsidRPr="00DF02C5">
        <w:rPr>
          <w:rFonts w:eastAsia="Calibri" w:hAnsi="Times New Roman"/>
          <w:snapToGrid w:val="0"/>
          <w:color w:val="auto"/>
          <w:kern w:val="22"/>
          <w:bdr w:val="none" w:sz="0" w:space="0" w:color="auto"/>
          <w:lang w:val="en-GB"/>
        </w:rPr>
        <w:t>; and (j) scientific journals and print media</w:t>
      </w:r>
      <w:r w:rsidRPr="00DF02C5">
        <w:rPr>
          <w:rStyle w:val="FootnoteReference"/>
          <w:rFonts w:eastAsia="Calibri" w:hAnsi="Times New Roman"/>
          <w:snapToGrid w:val="0"/>
          <w:color w:val="auto"/>
          <w:kern w:val="22"/>
          <w:bdr w:val="none" w:sz="0" w:space="0" w:color="auto"/>
          <w:lang w:val="en-GB"/>
        </w:rPr>
        <w:footnoteReference w:id="415"/>
      </w:r>
      <w:r w:rsidRPr="00DF02C5">
        <w:rPr>
          <w:rFonts w:eastAsia="Calibri" w:hAnsi="Times New Roman"/>
          <w:snapToGrid w:val="0"/>
          <w:color w:val="auto"/>
          <w:kern w:val="22"/>
          <w:bdr w:val="none" w:sz="0" w:space="0" w:color="auto"/>
          <w:lang w:val="en-GB"/>
        </w:rPr>
        <w:t>. Some countries reported on specific awareness-raising activities targeted to IPLCs.</w:t>
      </w:r>
      <w:r w:rsidRPr="00DF02C5">
        <w:rPr>
          <w:rStyle w:val="FootnoteReference"/>
          <w:rFonts w:eastAsia="Calibri" w:hAnsi="Times New Roman"/>
          <w:snapToGrid w:val="0"/>
          <w:color w:val="auto"/>
          <w:kern w:val="22"/>
          <w:bdr w:val="none" w:sz="0" w:space="0" w:color="auto"/>
          <w:lang w:val="en-GB"/>
        </w:rPr>
        <w:footnoteReference w:id="416"/>
      </w:r>
      <w:r w:rsidR="00911617" w:rsidRPr="00DF02C5">
        <w:rPr>
          <w:rFonts w:eastAsia="Calibri" w:hAnsi="Times New Roman"/>
          <w:snapToGrid w:val="0"/>
          <w:color w:val="auto"/>
          <w:kern w:val="22"/>
          <w:bdr w:val="none" w:sz="0" w:space="0" w:color="auto"/>
          <w:lang w:val="en-GB"/>
        </w:rPr>
        <w:t xml:space="preserve"> </w:t>
      </w:r>
    </w:p>
    <w:p w14:paraId="1265205B" w14:textId="1B57921D" w:rsidR="00A60AB6" w:rsidRPr="00DF02C5" w:rsidRDefault="009E3366"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Examples of awareness-raising </w:t>
      </w:r>
      <w:r w:rsidR="00A60AB6" w:rsidRPr="00DF02C5">
        <w:rPr>
          <w:rFonts w:eastAsia="Calibri" w:hAnsi="Times New Roman"/>
          <w:snapToGrid w:val="0"/>
          <w:color w:val="auto"/>
          <w:kern w:val="22"/>
          <w:bdr w:val="none" w:sz="0" w:space="0" w:color="auto"/>
          <w:lang w:val="en-GB"/>
        </w:rPr>
        <w:t>activities carried out by countries</w:t>
      </w:r>
      <w:r w:rsidRPr="00DF02C5">
        <w:rPr>
          <w:rFonts w:eastAsia="Calibri" w:hAnsi="Times New Roman"/>
          <w:snapToGrid w:val="0"/>
          <w:color w:val="auto"/>
          <w:kern w:val="22"/>
          <w:bdr w:val="none" w:sz="0" w:space="0" w:color="auto"/>
          <w:lang w:val="en-GB"/>
        </w:rPr>
        <w:t xml:space="preserve"> are the following</w:t>
      </w:r>
      <w:r w:rsidR="00A60AB6" w:rsidRPr="00DF02C5">
        <w:rPr>
          <w:rFonts w:eastAsia="Calibri" w:hAnsi="Times New Roman"/>
          <w:snapToGrid w:val="0"/>
          <w:color w:val="auto"/>
          <w:kern w:val="22"/>
          <w:bdr w:val="none" w:sz="0" w:space="0" w:color="auto"/>
          <w:lang w:val="en-GB"/>
        </w:rPr>
        <w:t xml:space="preserve">: </w:t>
      </w:r>
    </w:p>
    <w:p w14:paraId="4C970D9D" w14:textId="4AD1890E" w:rsidR="00A60AB6" w:rsidRPr="00DF02C5" w:rsidRDefault="00A60AB6" w:rsidP="005038A2">
      <w:pPr>
        <w:pStyle w:val="ListParagraph"/>
        <w:numPr>
          <w:ilvl w:val="0"/>
          <w:numId w:val="78"/>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lastRenderedPageBreak/>
        <w:t xml:space="preserve">Ethiopia indicated that weekly radio programmes </w:t>
      </w:r>
      <w:r w:rsidR="009E3366" w:rsidRPr="00DF02C5">
        <w:rPr>
          <w:rFonts w:eastAsia="Calibri" w:hAnsi="Times New Roman" w:cs="Times New Roman"/>
          <w:snapToGrid w:val="0"/>
          <w:color w:val="auto"/>
          <w:kern w:val="22"/>
          <w:bdr w:val="none" w:sz="0" w:space="0" w:color="auto"/>
          <w:lang w:val="en-GB"/>
        </w:rPr>
        <w:t>have been produced and disseminated addressing the</w:t>
      </w:r>
      <w:r w:rsidRPr="00DF02C5">
        <w:rPr>
          <w:rFonts w:eastAsia="Calibri" w:hAnsi="Times New Roman" w:cs="Times New Roman"/>
          <w:snapToGrid w:val="0"/>
          <w:color w:val="auto"/>
          <w:kern w:val="22"/>
          <w:bdr w:val="none" w:sz="0" w:space="0" w:color="auto"/>
          <w:lang w:val="en-GB"/>
        </w:rPr>
        <w:t xml:space="preserve"> importance of biological diversity, the benefits of sustainable utilization, the importance of legal transfer and access of genetic resources</w:t>
      </w:r>
      <w:r w:rsidR="009E3366" w:rsidRPr="00DF02C5">
        <w:rPr>
          <w:rFonts w:eastAsia="Calibri" w:hAnsi="Times New Roman" w:cs="Times New Roman"/>
          <w:snapToGrid w:val="0"/>
          <w:color w:val="auto"/>
          <w:kern w:val="22"/>
          <w:bdr w:val="none" w:sz="0" w:space="0" w:color="auto"/>
          <w:lang w:val="en-GB"/>
        </w:rPr>
        <w:t xml:space="preserve">, and </w:t>
      </w:r>
      <w:r w:rsidRPr="00DF02C5">
        <w:rPr>
          <w:rFonts w:eastAsia="Calibri" w:hAnsi="Times New Roman" w:cs="Times New Roman"/>
          <w:snapToGrid w:val="0"/>
          <w:color w:val="auto"/>
          <w:kern w:val="22"/>
          <w:bdr w:val="none" w:sz="0" w:space="0" w:color="auto"/>
          <w:lang w:val="en-GB"/>
        </w:rPr>
        <w:t xml:space="preserve">the legal consequences of illegal access </w:t>
      </w:r>
      <w:r w:rsidR="00A47E45" w:rsidRPr="00DF02C5">
        <w:rPr>
          <w:rFonts w:eastAsia="Calibri" w:hAnsi="Times New Roman" w:cs="Times New Roman"/>
          <w:snapToGrid w:val="0"/>
          <w:color w:val="auto"/>
          <w:kern w:val="22"/>
          <w:bdr w:val="none" w:sz="0" w:space="0" w:color="auto"/>
          <w:lang w:val="en-GB"/>
        </w:rPr>
        <w:t>to</w:t>
      </w:r>
      <w:r w:rsidRPr="00DF02C5">
        <w:rPr>
          <w:rFonts w:eastAsia="Calibri" w:hAnsi="Times New Roman" w:cs="Times New Roman"/>
          <w:snapToGrid w:val="0"/>
          <w:color w:val="auto"/>
          <w:kern w:val="22"/>
          <w:bdr w:val="none" w:sz="0" w:space="0" w:color="auto"/>
          <w:lang w:val="en-GB"/>
        </w:rPr>
        <w:t xml:space="preserve"> genetic resources</w:t>
      </w:r>
      <w:r w:rsidR="009E3366" w:rsidRPr="00DF02C5">
        <w:rPr>
          <w:rFonts w:eastAsia="Calibri" w:hAnsi="Times New Roman" w:cs="Times New Roman"/>
          <w:snapToGrid w:val="0"/>
          <w:color w:val="auto"/>
          <w:kern w:val="22"/>
          <w:bdr w:val="none" w:sz="0" w:space="0" w:color="auto"/>
          <w:lang w:val="en-GB"/>
        </w:rPr>
        <w:t>. Short advertisements and</w:t>
      </w:r>
      <w:r w:rsidRPr="00DF02C5">
        <w:rPr>
          <w:rFonts w:eastAsia="Calibri" w:hAnsi="Times New Roman" w:cs="Times New Roman"/>
          <w:snapToGrid w:val="0"/>
          <w:color w:val="auto"/>
          <w:kern w:val="22"/>
          <w:bdr w:val="none" w:sz="0" w:space="0" w:color="auto"/>
          <w:lang w:val="en-GB"/>
        </w:rPr>
        <w:t xml:space="preserve"> television programmes and documentaries have been produced and aired through </w:t>
      </w:r>
      <w:r w:rsidR="00A47E45" w:rsidRPr="00DF02C5">
        <w:rPr>
          <w:rFonts w:eastAsia="Calibri" w:hAnsi="Times New Roman" w:cs="Times New Roman"/>
          <w:snapToGrid w:val="0"/>
          <w:color w:val="auto"/>
          <w:kern w:val="22"/>
          <w:bdr w:val="none" w:sz="0" w:space="0" w:color="auto"/>
          <w:lang w:val="en-GB"/>
        </w:rPr>
        <w:t xml:space="preserve">the </w:t>
      </w:r>
      <w:r w:rsidRPr="00DF02C5">
        <w:rPr>
          <w:rFonts w:eastAsia="Calibri" w:hAnsi="Times New Roman" w:cs="Times New Roman"/>
          <w:snapToGrid w:val="0"/>
          <w:color w:val="auto"/>
          <w:kern w:val="22"/>
          <w:bdr w:val="none" w:sz="0" w:space="0" w:color="auto"/>
          <w:lang w:val="en-GB"/>
        </w:rPr>
        <w:t xml:space="preserve">Ethiopian Broadcasting Corporation and Addis TV. Billboards on </w:t>
      </w:r>
      <w:r w:rsidR="00A47E45" w:rsidRPr="00DF02C5">
        <w:rPr>
          <w:rFonts w:eastAsia="Calibri" w:hAnsi="Times New Roman" w:cs="Times New Roman"/>
          <w:snapToGrid w:val="0"/>
          <w:color w:val="auto"/>
          <w:kern w:val="22"/>
          <w:bdr w:val="none" w:sz="0" w:space="0" w:color="auto"/>
          <w:lang w:val="en-GB"/>
        </w:rPr>
        <w:t xml:space="preserve">the </w:t>
      </w:r>
      <w:r w:rsidRPr="00DF02C5">
        <w:rPr>
          <w:rFonts w:eastAsia="Calibri" w:hAnsi="Times New Roman" w:cs="Times New Roman"/>
          <w:snapToGrid w:val="0"/>
          <w:color w:val="auto"/>
          <w:kern w:val="22"/>
          <w:bdr w:val="none" w:sz="0" w:space="0" w:color="auto"/>
          <w:lang w:val="en-GB"/>
        </w:rPr>
        <w:t xml:space="preserve">importance of genetic resources and the benefits of legal access to genetic resources have also been posted at the </w:t>
      </w:r>
      <w:r w:rsidR="009E3366" w:rsidRPr="00DF02C5">
        <w:rPr>
          <w:rFonts w:eastAsia="Calibri" w:hAnsi="Times New Roman" w:cs="Times New Roman"/>
          <w:snapToGrid w:val="0"/>
          <w:color w:val="auto"/>
          <w:kern w:val="22"/>
          <w:bdr w:val="none" w:sz="0" w:space="0" w:color="auto"/>
          <w:lang w:val="en-GB"/>
        </w:rPr>
        <w:t>a</w:t>
      </w:r>
      <w:r w:rsidRPr="00DF02C5">
        <w:rPr>
          <w:rFonts w:eastAsia="Calibri" w:hAnsi="Times New Roman" w:cs="Times New Roman"/>
          <w:snapToGrid w:val="0"/>
          <w:color w:val="auto"/>
          <w:kern w:val="22"/>
          <w:bdr w:val="none" w:sz="0" w:space="0" w:color="auto"/>
          <w:lang w:val="en-GB"/>
        </w:rPr>
        <w:t xml:space="preserve">irport. </w:t>
      </w:r>
      <w:r w:rsidR="000A1A42" w:rsidRPr="00DF02C5">
        <w:rPr>
          <w:rFonts w:eastAsia="Calibri" w:hAnsi="Times New Roman" w:cs="Times New Roman"/>
          <w:snapToGrid w:val="0"/>
          <w:color w:val="auto"/>
          <w:kern w:val="22"/>
          <w:bdr w:val="none" w:sz="0" w:space="0" w:color="auto"/>
          <w:lang w:val="en-GB"/>
        </w:rPr>
        <w:t>The Ethiopia</w:t>
      </w:r>
      <w:r w:rsidRPr="00DF02C5">
        <w:rPr>
          <w:rFonts w:eastAsia="Calibri" w:hAnsi="Times New Roman" w:cs="Times New Roman"/>
          <w:snapToGrid w:val="0"/>
          <w:color w:val="auto"/>
          <w:kern w:val="22"/>
          <w:bdr w:val="none" w:sz="0" w:space="0" w:color="auto"/>
          <w:lang w:val="en-GB"/>
        </w:rPr>
        <w:t xml:space="preserve"> Biodiversity Institute has a newspaper column in </w:t>
      </w:r>
      <w:r w:rsidR="009E3366" w:rsidRPr="00DF02C5">
        <w:rPr>
          <w:rFonts w:eastAsia="Calibri" w:hAnsi="Times New Roman" w:cs="Times New Roman"/>
          <w:snapToGrid w:val="0"/>
          <w:color w:val="auto"/>
          <w:kern w:val="22"/>
          <w:bdr w:val="none" w:sz="0" w:space="0" w:color="auto"/>
          <w:lang w:val="en-GB"/>
        </w:rPr>
        <w:t xml:space="preserve">two newspapers </w:t>
      </w:r>
      <w:r w:rsidRPr="00DF02C5">
        <w:rPr>
          <w:rFonts w:eastAsia="Calibri" w:hAnsi="Times New Roman" w:cs="Times New Roman"/>
          <w:snapToGrid w:val="0"/>
          <w:color w:val="auto"/>
          <w:kern w:val="22"/>
          <w:bdr w:val="none" w:sz="0" w:space="0" w:color="auto"/>
          <w:lang w:val="en-GB"/>
        </w:rPr>
        <w:t>and has published information on biodiversity conservation, sustainable use and access and benefit-sharing in different local languages (Amharic, Or</w:t>
      </w:r>
      <w:r w:rsidR="003C477F">
        <w:rPr>
          <w:rFonts w:eastAsia="Calibri" w:hAnsi="Times New Roman" w:cs="Times New Roman"/>
          <w:snapToGrid w:val="0"/>
          <w:color w:val="auto"/>
          <w:kern w:val="22"/>
          <w:bdr w:val="none" w:sz="0" w:space="0" w:color="auto"/>
          <w:lang w:val="en-GB"/>
        </w:rPr>
        <w:t>omifa and Tigrigna) and English;</w:t>
      </w:r>
      <w:r w:rsidRPr="00DF02C5">
        <w:rPr>
          <w:rFonts w:eastAsia="Calibri" w:hAnsi="Times New Roman" w:cs="Times New Roman"/>
          <w:snapToGrid w:val="0"/>
          <w:color w:val="auto"/>
          <w:kern w:val="22"/>
          <w:bdr w:val="none" w:sz="0" w:space="0" w:color="auto"/>
          <w:lang w:val="en-GB"/>
        </w:rPr>
        <w:t xml:space="preserve"> </w:t>
      </w:r>
    </w:p>
    <w:p w14:paraId="59F20F9C" w14:textId="1607ABD4" w:rsidR="00A60AB6" w:rsidRPr="00DF02C5" w:rsidRDefault="00A60AB6" w:rsidP="005038A2">
      <w:pPr>
        <w:pStyle w:val="ListParagraph"/>
        <w:numPr>
          <w:ilvl w:val="0"/>
          <w:numId w:val="78"/>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Malawi reported having engaged with the media about Malawi's ratification of the Nagoy</w:t>
      </w:r>
      <w:r w:rsidR="003C477F">
        <w:rPr>
          <w:rFonts w:eastAsia="Calibri" w:hAnsi="Times New Roman" w:cs="Times New Roman"/>
          <w:snapToGrid w:val="0"/>
          <w:color w:val="auto"/>
          <w:kern w:val="22"/>
          <w:bdr w:val="none" w:sz="0" w:space="0" w:color="auto"/>
          <w:lang w:val="en-GB"/>
        </w:rPr>
        <w:t>a Protocol;</w:t>
      </w:r>
    </w:p>
    <w:p w14:paraId="364DA9C4" w14:textId="523865A0" w:rsidR="00A60AB6" w:rsidRPr="00DF02C5" w:rsidRDefault="00A60AB6" w:rsidP="005038A2">
      <w:pPr>
        <w:pStyle w:val="ListParagraph"/>
        <w:numPr>
          <w:ilvl w:val="0"/>
          <w:numId w:val="78"/>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Bhutan’s awareness campaigns on A</w:t>
      </w:r>
      <w:r w:rsidR="009E3366" w:rsidRPr="00DF02C5">
        <w:rPr>
          <w:rFonts w:eastAsia="Calibri" w:hAnsi="Times New Roman" w:cs="Times New Roman"/>
          <w:snapToGrid w:val="0"/>
          <w:color w:val="auto"/>
          <w:kern w:val="22"/>
          <w:bdr w:val="none" w:sz="0" w:space="0" w:color="auto"/>
          <w:lang w:val="en-GB"/>
        </w:rPr>
        <w:t xml:space="preserve">BS have been mainstreamed into </w:t>
      </w:r>
      <w:r w:rsidRPr="00DF02C5">
        <w:rPr>
          <w:rFonts w:eastAsia="Calibri" w:hAnsi="Times New Roman" w:cs="Times New Roman"/>
          <w:snapToGrid w:val="0"/>
          <w:color w:val="auto"/>
          <w:kern w:val="22"/>
          <w:bdr w:val="none" w:sz="0" w:space="0" w:color="auto"/>
          <w:lang w:val="en-GB"/>
        </w:rPr>
        <w:t>national plans and more than 180 awareness programs have been conducted at the community level, and more than 50 advocacy and consultation programs were carried out for academia, policy makers, researchers, entrepreneurs etc. both at national and international level. They reported that around 26 awareness programs are planned</w:t>
      </w:r>
      <w:r w:rsidR="009E3366" w:rsidRPr="00DF02C5">
        <w:rPr>
          <w:rFonts w:eastAsia="Calibri" w:hAnsi="Times New Roman" w:cs="Times New Roman"/>
          <w:snapToGrid w:val="0"/>
          <w:color w:val="auto"/>
          <w:kern w:val="22"/>
          <w:bdr w:val="none" w:sz="0" w:space="0" w:color="auto"/>
          <w:lang w:val="en-GB"/>
        </w:rPr>
        <w:t xml:space="preserve"> targeting communities and academia.</w:t>
      </w:r>
    </w:p>
    <w:p w14:paraId="7DDC0405" w14:textId="4A09612A" w:rsidR="00AB3B35" w:rsidRPr="00DF02C5" w:rsidRDefault="003B3005" w:rsidP="003B3005">
      <w:pPr>
        <w:pStyle w:val="Para1"/>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t>(b)</w:t>
      </w:r>
      <w:r w:rsidRPr="00DF02C5">
        <w:rPr>
          <w:rFonts w:eastAsia="Calibri" w:hAnsi="Times New Roman"/>
          <w:i/>
          <w:snapToGrid w:val="0"/>
          <w:color w:val="auto"/>
          <w:kern w:val="22"/>
          <w:bdr w:val="none" w:sz="0" w:space="0" w:color="auto"/>
          <w:lang w:val="en-GB"/>
        </w:rPr>
        <w:tab/>
      </w:r>
      <w:r w:rsidR="00AB3B35" w:rsidRPr="00DF02C5">
        <w:rPr>
          <w:rFonts w:eastAsia="Calibri" w:hAnsi="Times New Roman"/>
          <w:i/>
          <w:snapToGrid w:val="0"/>
          <w:color w:val="auto"/>
          <w:kern w:val="22"/>
          <w:bdr w:val="none" w:sz="0" w:space="0" w:color="auto"/>
          <w:lang w:val="en-GB"/>
        </w:rPr>
        <w:t>Countries that answered “no”</w:t>
      </w:r>
    </w:p>
    <w:p w14:paraId="7C932375" w14:textId="4C0B8E15" w:rsidR="00AB3B35" w:rsidRPr="00DF02C5" w:rsidRDefault="00AB3B35"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Two countries indicated that they were planning to address this issue</w:t>
      </w:r>
      <w:r w:rsidRPr="00DF02C5">
        <w:rPr>
          <w:rStyle w:val="FootnoteReference"/>
          <w:rFonts w:eastAsia="Calibri" w:hAnsi="Times New Roman"/>
          <w:snapToGrid w:val="0"/>
          <w:color w:val="auto"/>
          <w:kern w:val="22"/>
          <w:bdr w:val="none" w:sz="0" w:space="0" w:color="auto"/>
          <w:lang w:val="en-GB"/>
        </w:rPr>
        <w:footnoteReference w:id="417"/>
      </w:r>
      <w:r w:rsidRPr="00DF02C5">
        <w:rPr>
          <w:rFonts w:eastAsia="Calibri" w:hAnsi="Times New Roman"/>
          <w:snapToGrid w:val="0"/>
          <w:color w:val="auto"/>
          <w:kern w:val="22"/>
          <w:bdr w:val="none" w:sz="0" w:space="0" w:color="auto"/>
          <w:lang w:val="en-GB"/>
        </w:rPr>
        <w:t xml:space="preserve"> and two other countries reported on activities done to raise awareness</w:t>
      </w:r>
      <w:r w:rsidR="003C477F">
        <w:rPr>
          <w:rFonts w:eastAsia="Calibri" w:hAnsi="Times New Roman"/>
          <w:snapToGrid w:val="0"/>
          <w:color w:val="auto"/>
          <w:kern w:val="22"/>
          <w:bdr w:val="none" w:sz="0" w:space="0" w:color="auto"/>
          <w:lang w:val="en-GB"/>
        </w:rPr>
        <w:t>.</w:t>
      </w:r>
      <w:r w:rsidRPr="00DF02C5">
        <w:rPr>
          <w:rStyle w:val="FootnoteReference"/>
          <w:rFonts w:eastAsia="Calibri" w:hAnsi="Times New Roman"/>
          <w:snapToGrid w:val="0"/>
          <w:color w:val="auto"/>
          <w:kern w:val="22"/>
          <w:bdr w:val="none" w:sz="0" w:space="0" w:color="auto"/>
          <w:lang w:val="en-GB"/>
        </w:rPr>
        <w:footnoteReference w:id="418"/>
      </w:r>
      <w:r w:rsidRPr="00DF02C5">
        <w:rPr>
          <w:rStyle w:val="FootnoteReference"/>
          <w:rFonts w:eastAsia="Calibri" w:hAnsi="Times New Roman"/>
          <w:snapToGrid w:val="0"/>
          <w:color w:val="auto"/>
          <w:kern w:val="22"/>
          <w:bdr w:val="none" w:sz="0" w:space="0" w:color="auto"/>
          <w:lang w:val="en-GB"/>
        </w:rPr>
        <w:t xml:space="preserve"> </w:t>
      </w:r>
    </w:p>
    <w:p w14:paraId="08F1CAC3" w14:textId="76F2D039" w:rsidR="00AB3B35" w:rsidRPr="003C477F" w:rsidRDefault="00AB3B35" w:rsidP="003C477F">
      <w:pPr>
        <w:pStyle w:val="ListParagraph"/>
        <w:numPr>
          <w:ilvl w:val="1"/>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240"/>
        <w:ind w:left="1710" w:right="540" w:hanging="720"/>
        <w:jc w:val="left"/>
        <w:rPr>
          <w:rFonts w:eastAsia="Calibri" w:hAnsi="Times New Roman" w:cs="Times New Roman"/>
          <w:i/>
          <w:snapToGrid w:val="0"/>
          <w:color w:val="auto"/>
          <w:kern w:val="22"/>
          <w:bdr w:val="none" w:sz="0" w:space="0" w:color="auto"/>
          <w:lang w:val="en-GB"/>
        </w:rPr>
      </w:pPr>
      <w:r w:rsidRPr="003C477F">
        <w:rPr>
          <w:rFonts w:eastAsia="Calibri" w:hAnsi="Times New Roman" w:cs="Times New Roman"/>
          <w:i/>
          <w:snapToGrid w:val="0"/>
          <w:color w:val="auto"/>
          <w:kern w:val="22"/>
          <w:bdr w:val="none" w:sz="0" w:space="0" w:color="auto"/>
          <w:lang w:val="en-GB"/>
        </w:rPr>
        <w:t>Has your country taken measures to implement the awareness-raising strategy for the Nagoya</w:t>
      </w:r>
      <w:r w:rsidR="00261A8A" w:rsidRPr="003C477F">
        <w:rPr>
          <w:rFonts w:eastAsia="Calibri" w:hAnsi="Times New Roman" w:cs="Times New Roman"/>
          <w:i/>
          <w:snapToGrid w:val="0"/>
          <w:color w:val="auto"/>
          <w:kern w:val="22"/>
          <w:bdr w:val="none" w:sz="0" w:space="0" w:color="auto"/>
          <w:lang w:val="en-GB"/>
        </w:rPr>
        <w:t xml:space="preserve"> Protocol on ABS? Adopted as de</w:t>
      </w:r>
      <w:r w:rsidRPr="003C477F">
        <w:rPr>
          <w:rFonts w:eastAsia="Calibri" w:hAnsi="Times New Roman" w:cs="Times New Roman"/>
          <w:i/>
          <w:snapToGrid w:val="0"/>
          <w:color w:val="auto"/>
          <w:kern w:val="22"/>
          <w:bdr w:val="none" w:sz="0" w:space="0" w:color="auto"/>
          <w:lang w:val="en-GB"/>
        </w:rPr>
        <w:t>cision NP-1/9</w:t>
      </w:r>
      <w:r w:rsidR="00261A8A" w:rsidRPr="003C477F">
        <w:rPr>
          <w:rFonts w:eastAsia="Calibri" w:hAnsi="Times New Roman" w:cs="Times New Roman"/>
          <w:i/>
          <w:snapToGrid w:val="0"/>
          <w:color w:val="auto"/>
          <w:kern w:val="22"/>
          <w:bdr w:val="none" w:sz="0" w:space="0" w:color="auto"/>
          <w:lang w:val="en-GB"/>
        </w:rPr>
        <w:t xml:space="preserve"> (question 54)</w:t>
      </w:r>
    </w:p>
    <w:p w14:paraId="5C2B17C3" w14:textId="38B175CC" w:rsidR="00261A8A" w:rsidRPr="00DF02C5" w:rsidRDefault="00261A8A"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Of the sixty-six countries that responded that they have taken measures to implement Article 21</w:t>
      </w:r>
      <w:r w:rsidR="007209D2" w:rsidRPr="00DF02C5">
        <w:rPr>
          <w:rFonts w:eastAsia="Calibri" w:hAnsi="Times New Roman"/>
          <w:snapToGrid w:val="0"/>
          <w:color w:val="auto"/>
          <w:kern w:val="22"/>
          <w:bdr w:val="none" w:sz="0" w:space="0" w:color="auto"/>
          <w:lang w:val="en-GB"/>
        </w:rPr>
        <w:t>, fifty Parties and three</w:t>
      </w:r>
      <w:r w:rsidRPr="00DF02C5">
        <w:rPr>
          <w:rFonts w:eastAsia="Calibri" w:hAnsi="Times New Roman"/>
          <w:snapToGrid w:val="0"/>
          <w:color w:val="auto"/>
          <w:kern w:val="22"/>
          <w:bdr w:val="none" w:sz="0" w:space="0" w:color="auto"/>
          <w:lang w:val="en-GB"/>
        </w:rPr>
        <w:t xml:space="preserve"> non-Parties reported that they have taken measures to implement the awareness-raising strategy for the Nagoya Protocol.</w:t>
      </w:r>
    </w:p>
    <w:p w14:paraId="5C7692BA" w14:textId="29F08C3F" w:rsidR="00A60AB6" w:rsidRPr="00DF02C5" w:rsidRDefault="00A60AB6"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Some indicated that such a strategy is integrated or taken into account within their current framework</w:t>
      </w:r>
      <w:r w:rsidRPr="00DF02C5">
        <w:rPr>
          <w:rStyle w:val="FootnoteReference"/>
          <w:rFonts w:eastAsia="Calibri" w:hAnsi="Times New Roman"/>
          <w:snapToGrid w:val="0"/>
          <w:color w:val="auto"/>
          <w:kern w:val="22"/>
          <w:bdr w:val="none" w:sz="0" w:space="0" w:color="auto"/>
          <w:lang w:val="en-GB"/>
        </w:rPr>
        <w:footnoteReference w:id="419"/>
      </w:r>
      <w:r w:rsidRPr="00DF02C5">
        <w:rPr>
          <w:rFonts w:eastAsia="Calibri" w:hAnsi="Times New Roman"/>
          <w:snapToGrid w:val="0"/>
          <w:color w:val="auto"/>
          <w:kern w:val="22"/>
          <w:bdr w:val="none" w:sz="0" w:space="0" w:color="auto"/>
          <w:lang w:val="en-GB"/>
        </w:rPr>
        <w:t xml:space="preserve"> and others seemed to have developed a communication or awareness-raising strategy on ABS</w:t>
      </w:r>
      <w:r w:rsidRPr="00DF02C5">
        <w:rPr>
          <w:rStyle w:val="FootnoteReference"/>
          <w:rFonts w:eastAsia="Calibri" w:hAnsi="Times New Roman"/>
          <w:snapToGrid w:val="0"/>
          <w:color w:val="auto"/>
          <w:kern w:val="22"/>
          <w:bdr w:val="none" w:sz="0" w:space="0" w:color="auto"/>
          <w:lang w:val="en-GB"/>
        </w:rPr>
        <w:footnoteReference w:id="420"/>
      </w:r>
      <w:r w:rsidRPr="00DF02C5">
        <w:rPr>
          <w:rFonts w:eastAsia="Calibri" w:hAnsi="Times New Roman"/>
          <w:snapToGrid w:val="0"/>
          <w:color w:val="auto"/>
          <w:kern w:val="22"/>
          <w:bdr w:val="none" w:sz="0" w:space="0" w:color="auto"/>
          <w:lang w:val="en-GB"/>
        </w:rPr>
        <w:t xml:space="preserve"> or are planning to do so.</w:t>
      </w:r>
      <w:r w:rsidRPr="00DF02C5">
        <w:rPr>
          <w:rStyle w:val="FootnoteReference"/>
          <w:rFonts w:eastAsia="Calibri" w:hAnsi="Times New Roman"/>
          <w:snapToGrid w:val="0"/>
          <w:color w:val="auto"/>
          <w:kern w:val="22"/>
          <w:bdr w:val="none" w:sz="0" w:space="0" w:color="auto"/>
          <w:lang w:val="en-GB"/>
        </w:rPr>
        <w:footnoteReference w:id="421"/>
      </w:r>
      <w:r w:rsidRPr="00DF02C5">
        <w:rPr>
          <w:rFonts w:eastAsia="Calibri" w:hAnsi="Times New Roman"/>
          <w:snapToGrid w:val="0"/>
          <w:color w:val="auto"/>
          <w:kern w:val="22"/>
          <w:bdr w:val="none" w:sz="0" w:space="0" w:color="auto"/>
          <w:lang w:val="en-GB"/>
        </w:rPr>
        <w:t xml:space="preserve"> For instance:</w:t>
      </w:r>
    </w:p>
    <w:p w14:paraId="4BE7D132" w14:textId="12FAEE74" w:rsidR="00A60AB6" w:rsidRPr="00DF02C5" w:rsidRDefault="00A60AB6" w:rsidP="005038A2">
      <w:pPr>
        <w:pStyle w:val="ListParagraph"/>
        <w:numPr>
          <w:ilvl w:val="0"/>
          <w:numId w:val="32"/>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Morocco indicated having developed a strategy and communication tools on ABS. The strategy has three stages: </w:t>
      </w:r>
      <w:r w:rsidR="00A47E45" w:rsidRPr="00DF02C5">
        <w:rPr>
          <w:rFonts w:eastAsia="Calibri" w:hAnsi="Times New Roman" w:cs="Times New Roman"/>
          <w:snapToGrid w:val="0"/>
          <w:color w:val="auto"/>
          <w:kern w:val="22"/>
          <w:bdr w:val="none" w:sz="0" w:space="0" w:color="auto"/>
          <w:lang w:val="en-GB"/>
        </w:rPr>
        <w:t>popularization</w:t>
      </w:r>
      <w:r w:rsidRPr="00DF02C5">
        <w:rPr>
          <w:rFonts w:eastAsia="Calibri" w:hAnsi="Times New Roman" w:cs="Times New Roman"/>
          <w:snapToGrid w:val="0"/>
          <w:color w:val="auto"/>
          <w:kern w:val="22"/>
          <w:bdr w:val="none" w:sz="0" w:space="0" w:color="auto"/>
          <w:lang w:val="en-GB"/>
        </w:rPr>
        <w:t xml:space="preserve"> of the concepts and terms of the Nagoya Protocol and ABS principles; consolidating information for stakeholders and open</w:t>
      </w:r>
      <w:r w:rsidR="00B66998" w:rsidRPr="00DF02C5">
        <w:rPr>
          <w:rFonts w:eastAsia="Calibri" w:hAnsi="Times New Roman" w:cs="Times New Roman"/>
          <w:snapToGrid w:val="0"/>
          <w:color w:val="auto"/>
          <w:kern w:val="22"/>
          <w:bdr w:val="none" w:sz="0" w:space="0" w:color="auto"/>
          <w:lang w:val="en-GB"/>
        </w:rPr>
        <w:t xml:space="preserve">ing to the general public; and </w:t>
      </w:r>
      <w:r w:rsidRPr="00DF02C5">
        <w:rPr>
          <w:rFonts w:eastAsia="Calibri" w:hAnsi="Times New Roman" w:cs="Times New Roman"/>
          <w:snapToGrid w:val="0"/>
          <w:color w:val="auto"/>
          <w:kern w:val="22"/>
          <w:bdr w:val="none" w:sz="0" w:space="0" w:color="auto"/>
          <w:lang w:val="en-GB"/>
        </w:rPr>
        <w:t>follow up in parliamentary debate and</w:t>
      </w:r>
      <w:r w:rsidR="00B66998" w:rsidRPr="00DF02C5">
        <w:rPr>
          <w:rFonts w:eastAsia="Calibri" w:hAnsi="Times New Roman" w:cs="Times New Roman"/>
          <w:snapToGrid w:val="0"/>
          <w:color w:val="auto"/>
          <w:kern w:val="22"/>
          <w:bdr w:val="none" w:sz="0" w:space="0" w:color="auto"/>
          <w:lang w:val="en-GB"/>
        </w:rPr>
        <w:t xml:space="preserve"> adoption of law and regulation.</w:t>
      </w:r>
    </w:p>
    <w:p w14:paraId="17514D06" w14:textId="2DB3F2F4" w:rsidR="00A60AB6" w:rsidRPr="00DF02C5" w:rsidRDefault="00A60AB6" w:rsidP="005038A2">
      <w:pPr>
        <w:pStyle w:val="ListParagraph"/>
        <w:numPr>
          <w:ilvl w:val="0"/>
          <w:numId w:val="32"/>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China reported that the Ministry of Environmental Protection is developing a national communication strategy for the Nagoya Protocol. In collaboration with relevant departments and institutions, the ministry, with the support of the GEF project, will undertake wide</w:t>
      </w:r>
      <w:r w:rsidR="00DD5E82" w:rsidRPr="00DF02C5">
        <w:rPr>
          <w:rFonts w:eastAsia="Calibri" w:hAnsi="Times New Roman" w:cs="Times New Roman"/>
          <w:snapToGrid w:val="0"/>
          <w:color w:val="auto"/>
          <w:kern w:val="22"/>
          <w:bdr w:val="none" w:sz="0" w:space="0" w:color="auto"/>
          <w:lang w:val="en-GB"/>
        </w:rPr>
        <w:t>-ranging</w:t>
      </w:r>
      <w:r w:rsidRPr="00DF02C5">
        <w:rPr>
          <w:rFonts w:eastAsia="Calibri" w:hAnsi="Times New Roman" w:cs="Times New Roman"/>
          <w:snapToGrid w:val="0"/>
          <w:color w:val="auto"/>
          <w:kern w:val="22"/>
          <w:bdr w:val="none" w:sz="0" w:space="0" w:color="auto"/>
          <w:lang w:val="en-GB"/>
        </w:rPr>
        <w:t xml:space="preserve"> communication and education activities related to ABS and organize training activities at national and local level</w:t>
      </w:r>
      <w:r w:rsidR="00DD5E82" w:rsidRPr="00DF02C5">
        <w:rPr>
          <w:rFonts w:eastAsia="Calibri" w:hAnsi="Times New Roman" w:cs="Times New Roman"/>
          <w:snapToGrid w:val="0"/>
          <w:color w:val="auto"/>
          <w:kern w:val="22"/>
          <w:bdr w:val="none" w:sz="0" w:space="0" w:color="auto"/>
          <w:lang w:val="en-GB"/>
        </w:rPr>
        <w:t>s</w:t>
      </w:r>
      <w:r w:rsidRPr="00DF02C5">
        <w:rPr>
          <w:rFonts w:eastAsia="Calibri" w:hAnsi="Times New Roman" w:cs="Times New Roman"/>
          <w:snapToGrid w:val="0"/>
          <w:color w:val="auto"/>
          <w:kern w:val="22"/>
          <w:bdr w:val="none" w:sz="0" w:space="0" w:color="auto"/>
          <w:lang w:val="en-GB"/>
        </w:rPr>
        <w:t xml:space="preserve"> for over 5,000 persons working </w:t>
      </w:r>
      <w:r w:rsidR="00DD5E82" w:rsidRPr="00DF02C5">
        <w:rPr>
          <w:rFonts w:eastAsia="Calibri" w:hAnsi="Times New Roman" w:cs="Times New Roman"/>
          <w:snapToGrid w:val="0"/>
          <w:color w:val="auto"/>
          <w:kern w:val="22"/>
          <w:bdr w:val="none" w:sz="0" w:space="0" w:color="auto"/>
          <w:lang w:val="en-GB"/>
        </w:rPr>
        <w:t>in</w:t>
      </w:r>
      <w:r w:rsidRPr="00DF02C5">
        <w:rPr>
          <w:rFonts w:eastAsia="Calibri" w:hAnsi="Times New Roman" w:cs="Times New Roman"/>
          <w:snapToGrid w:val="0"/>
          <w:color w:val="auto"/>
          <w:kern w:val="22"/>
          <w:bdr w:val="none" w:sz="0" w:space="0" w:color="auto"/>
          <w:lang w:val="en-GB"/>
        </w:rPr>
        <w:t xml:space="preserve"> ABS management departments, local communities, companies and social media.</w:t>
      </w:r>
    </w:p>
    <w:p w14:paraId="25049B33" w14:textId="0B345081" w:rsidR="00A60AB6" w:rsidRPr="00DF02C5" w:rsidRDefault="00A60AB6"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Congo reported that </w:t>
      </w:r>
      <w:r w:rsidR="00DD5E82" w:rsidRPr="00DF02C5">
        <w:rPr>
          <w:rFonts w:eastAsia="Calibri" w:hAnsi="Times New Roman"/>
          <w:snapToGrid w:val="0"/>
          <w:color w:val="auto"/>
          <w:kern w:val="22"/>
          <w:bdr w:val="none" w:sz="0" w:space="0" w:color="auto"/>
          <w:lang w:val="en-GB"/>
        </w:rPr>
        <w:t xml:space="preserve">it </w:t>
      </w:r>
      <w:r w:rsidR="00B66998" w:rsidRPr="00DF02C5">
        <w:rPr>
          <w:rFonts w:eastAsia="Calibri" w:hAnsi="Times New Roman"/>
          <w:snapToGrid w:val="0"/>
          <w:color w:val="auto"/>
          <w:kern w:val="22"/>
          <w:bdr w:val="none" w:sz="0" w:space="0" w:color="auto"/>
          <w:lang w:val="en-GB"/>
        </w:rPr>
        <w:t xml:space="preserve">created a specific department </w:t>
      </w:r>
      <w:r w:rsidRPr="00DF02C5">
        <w:rPr>
          <w:rFonts w:eastAsia="Calibri" w:hAnsi="Times New Roman"/>
          <w:snapToGrid w:val="0"/>
          <w:color w:val="auto"/>
          <w:kern w:val="22"/>
          <w:bdr w:val="none" w:sz="0" w:space="0" w:color="auto"/>
          <w:lang w:val="en-GB"/>
        </w:rPr>
        <w:t>for awareness-raising</w:t>
      </w:r>
      <w:r w:rsidR="00B66998" w:rsidRPr="00DF02C5">
        <w:rPr>
          <w:rFonts w:eastAsia="Calibri" w:hAnsi="Times New Roman"/>
          <w:snapToGrid w:val="0"/>
          <w:color w:val="auto"/>
          <w:kern w:val="22"/>
          <w:bdr w:val="none" w:sz="0" w:space="0" w:color="auto"/>
          <w:lang w:val="en-GB"/>
        </w:rPr>
        <w:t xml:space="preserve"> and outreach </w:t>
      </w:r>
      <w:r w:rsidRPr="00DF02C5">
        <w:rPr>
          <w:rFonts w:eastAsia="Calibri" w:hAnsi="Times New Roman"/>
          <w:snapToGrid w:val="0"/>
          <w:color w:val="auto"/>
          <w:kern w:val="22"/>
          <w:bdr w:val="none" w:sz="0" w:space="0" w:color="auto"/>
          <w:lang w:val="en-GB"/>
        </w:rPr>
        <w:t>in the ministry in charge of sustainable development.</w:t>
      </w:r>
    </w:p>
    <w:p w14:paraId="5A4B0FFF" w14:textId="40B4B010" w:rsidR="00A60AB6" w:rsidRPr="003C477F" w:rsidRDefault="007209D2" w:rsidP="003C477F">
      <w:pPr>
        <w:pBdr>
          <w:top w:val="none" w:sz="0" w:space="0" w:color="auto"/>
          <w:left w:val="none" w:sz="0" w:space="0" w:color="auto"/>
          <w:bottom w:val="none" w:sz="0" w:space="0" w:color="auto"/>
          <w:right w:val="none" w:sz="0" w:space="0" w:color="auto"/>
          <w:between w:val="none" w:sz="0" w:space="0" w:color="auto"/>
          <w:bar w:val="none" w:sz="0" w:color="auto"/>
        </w:pBdr>
        <w:spacing w:before="240" w:after="120"/>
        <w:ind w:left="1526" w:right="360" w:hanging="720"/>
        <w:jc w:val="left"/>
        <w:rPr>
          <w:rFonts w:eastAsia="Calibri" w:hAnsi="Times New Roman" w:cs="Times New Roman"/>
          <w:i/>
          <w:snapToGrid w:val="0"/>
          <w:color w:val="auto"/>
          <w:kern w:val="22"/>
          <w:bdr w:val="none" w:sz="0" w:space="0" w:color="auto"/>
          <w:lang w:val="en-GB"/>
        </w:rPr>
      </w:pPr>
      <w:r w:rsidRPr="003C477F">
        <w:rPr>
          <w:rFonts w:eastAsia="Calibri" w:hAnsi="Times New Roman" w:cs="Times New Roman"/>
          <w:i/>
          <w:snapToGrid w:val="0"/>
          <w:color w:val="auto"/>
          <w:kern w:val="22"/>
          <w:bdr w:val="none" w:sz="0" w:space="0" w:color="auto"/>
          <w:lang w:val="en-GB"/>
        </w:rPr>
        <w:t xml:space="preserve">2.1 </w:t>
      </w:r>
      <w:r w:rsidR="003C477F">
        <w:rPr>
          <w:rFonts w:eastAsia="Calibri" w:hAnsi="Times New Roman" w:cs="Times New Roman"/>
          <w:i/>
          <w:snapToGrid w:val="0"/>
          <w:color w:val="auto"/>
          <w:kern w:val="22"/>
          <w:bdr w:val="none" w:sz="0" w:space="0" w:color="auto"/>
          <w:lang w:val="en-GB"/>
        </w:rPr>
        <w:tab/>
      </w:r>
      <w:r w:rsidR="00B66998" w:rsidRPr="003C477F">
        <w:rPr>
          <w:rFonts w:eastAsia="Calibri" w:hAnsi="Times New Roman" w:cs="Times New Roman"/>
          <w:i/>
          <w:snapToGrid w:val="0"/>
          <w:color w:val="auto"/>
          <w:kern w:val="22"/>
          <w:bdr w:val="none" w:sz="0" w:space="0" w:color="auto"/>
          <w:lang w:val="en-GB"/>
        </w:rPr>
        <w:t>Has your country taken measures to build and develop capacity and strengthening of human resources and institutional capacities to effectively implement the Protocol as provided in Article 22? (</w:t>
      </w:r>
      <w:r w:rsidR="00A60AB6" w:rsidRPr="003C477F">
        <w:rPr>
          <w:rFonts w:eastAsia="Calibri" w:hAnsi="Times New Roman" w:cs="Times New Roman"/>
          <w:i/>
          <w:snapToGrid w:val="0"/>
          <w:color w:val="auto"/>
          <w:kern w:val="22"/>
          <w:bdr w:val="none" w:sz="0" w:space="0" w:color="auto"/>
          <w:lang w:val="en-GB"/>
        </w:rPr>
        <w:t>question 55)</w:t>
      </w:r>
    </w:p>
    <w:p w14:paraId="0CB189EC" w14:textId="77777777" w:rsidR="00A60AB6" w:rsidRPr="00DF02C5" w:rsidRDefault="00A60AB6" w:rsidP="00A60AB6">
      <w:pPr>
        <w:pStyle w:val="ListParagraph"/>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left"/>
        <w:rPr>
          <w:rFonts w:ascii="Helvetica Neue" w:eastAsia="Times New Roman" w:hAnsi="Helvetica Neue" w:cs="Times New Roman"/>
          <w:color w:val="333333"/>
          <w:sz w:val="21"/>
          <w:szCs w:val="21"/>
          <w:bdr w:val="none" w:sz="0" w:space="0" w:color="auto"/>
          <w:lang w:val="en-GB"/>
        </w:rPr>
      </w:pPr>
    </w:p>
    <w:p w14:paraId="6C5B60AD" w14:textId="4B2937EA" w:rsidR="00AD7BD7" w:rsidRPr="00DF02C5" w:rsidRDefault="00AD7BD7" w:rsidP="00CB6ACA">
      <w:pPr>
        <w:pStyle w:val="Para1"/>
        <w:numPr>
          <w:ilvl w:val="0"/>
          <w:numId w:val="93"/>
        </w:numPr>
        <w:rPr>
          <w:rFonts w:eastAsia="Calibri" w:hAnsi="Times New Roman"/>
          <w:snapToGrid w:val="0"/>
          <w:color w:val="auto"/>
          <w:kern w:val="22"/>
          <w:bdr w:val="none" w:sz="0" w:space="0" w:color="auto"/>
          <w:lang w:val="en-GB"/>
        </w:rPr>
      </w:pPr>
      <w:r w:rsidRPr="00DF02C5">
        <w:rPr>
          <w:rFonts w:hAnsi="Times New Roman"/>
          <w:bdr w:val="none" w:sz="0" w:space="0" w:color="auto"/>
          <w:lang w:val="en-GB"/>
        </w:rPr>
        <w:t>Fifty-</w:t>
      </w:r>
      <w:r w:rsidR="004D17AC" w:rsidRPr="00DF02C5">
        <w:rPr>
          <w:rFonts w:hAnsi="Times New Roman"/>
          <w:bdr w:val="none" w:sz="0" w:space="0" w:color="auto"/>
          <w:lang w:val="en-GB"/>
        </w:rPr>
        <w:t>three</w:t>
      </w:r>
      <w:r w:rsidRPr="00DF02C5">
        <w:rPr>
          <w:rFonts w:hAnsi="Times New Roman"/>
          <w:bdr w:val="none" w:sz="0" w:space="0" w:color="auto"/>
          <w:lang w:val="en-GB"/>
        </w:rPr>
        <w:t xml:space="preserve"> Parties and three non-Parties responded that they </w:t>
      </w:r>
      <w:r w:rsidR="004D17AC" w:rsidRPr="00DF02C5">
        <w:rPr>
          <w:rFonts w:hAnsi="Times New Roman"/>
          <w:bdr w:val="none" w:sz="0" w:space="0" w:color="auto"/>
          <w:lang w:val="en-GB"/>
        </w:rPr>
        <w:t xml:space="preserve">have </w:t>
      </w:r>
      <w:r w:rsidR="004D17AC" w:rsidRPr="00DF02C5">
        <w:rPr>
          <w:rFonts w:eastAsia="Calibri" w:hAnsi="Times New Roman"/>
          <w:snapToGrid w:val="0"/>
          <w:color w:val="auto"/>
          <w:kern w:val="22"/>
          <w:bdr w:val="none" w:sz="0" w:space="0" w:color="auto"/>
          <w:lang w:val="en-GB"/>
        </w:rPr>
        <w:t>taken measures to build and develop capacity and strengthening of human resources and institutional capacities to effectively implement the Protocol</w:t>
      </w:r>
      <w:r w:rsidR="002F4669" w:rsidRPr="00DF02C5">
        <w:rPr>
          <w:rFonts w:hAnsi="Times New Roman"/>
          <w:bdr w:val="none" w:sz="0" w:space="0" w:color="auto"/>
          <w:lang w:val="en-GB"/>
        </w:rPr>
        <w:t xml:space="preserve"> and </w:t>
      </w:r>
      <w:r w:rsidR="002F4669" w:rsidRPr="00DF02C5">
        <w:rPr>
          <w:rFonts w:eastAsia="Calibri" w:hAnsi="Times New Roman"/>
          <w:snapToGrid w:val="0"/>
          <w:color w:val="auto"/>
          <w:kern w:val="22"/>
          <w:bdr w:val="none" w:sz="0" w:space="0" w:color="auto"/>
          <w:lang w:val="en-GB"/>
        </w:rPr>
        <w:t>sixteen Parties and three non-Parties responded that they have not taken such measures.</w:t>
      </w:r>
    </w:p>
    <w:p w14:paraId="4C862065" w14:textId="30B5682C" w:rsidR="002F4669" w:rsidRPr="00DF02C5" w:rsidRDefault="00E5256F" w:rsidP="00E5256F">
      <w:pPr>
        <w:pStyle w:val="Caption"/>
        <w:keepNext/>
        <w:keepLines/>
        <w:rPr>
          <w:snapToGrid w:val="0"/>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Pr="00DF02C5">
        <w:rPr>
          <w:noProof/>
          <w:lang w:val="en-GB"/>
        </w:rPr>
        <w:t>48</w:t>
      </w:r>
      <w:r w:rsidRPr="00DF02C5">
        <w:rPr>
          <w:lang w:val="en-GB"/>
        </w:rPr>
        <w:fldChar w:fldCharType="end"/>
      </w:r>
      <w:r w:rsidR="002F4669" w:rsidRPr="00DF02C5">
        <w:rPr>
          <w:snapToGrid w:val="0"/>
          <w:bdr w:val="none" w:sz="0" w:space="0" w:color="auto"/>
          <w:lang w:val="en-GB"/>
        </w:rPr>
        <w:t>: Measures to implement Article 22 (percentage of countries)</w:t>
      </w:r>
    </w:p>
    <w:p w14:paraId="76AFE285" w14:textId="5491F197" w:rsidR="002F4669" w:rsidRPr="00DF02C5" w:rsidRDefault="002F4669" w:rsidP="002F4669">
      <w:pPr>
        <w:pStyle w:val="Para1"/>
        <w:jc w:val="center"/>
        <w:rPr>
          <w:rFonts w:eastAsia="Calibri" w:hAnsi="Times New Roman"/>
          <w:snapToGrid w:val="0"/>
          <w:color w:val="auto"/>
          <w:kern w:val="22"/>
          <w:bdr w:val="none" w:sz="0" w:space="0" w:color="auto"/>
          <w:lang w:val="en-GB"/>
        </w:rPr>
      </w:pPr>
      <w:r w:rsidRPr="00DF02C5">
        <w:rPr>
          <w:noProof/>
        </w:rPr>
        <w:drawing>
          <wp:inline distT="0" distB="0" distL="0" distR="0" wp14:anchorId="7DEE0FA2" wp14:editId="10D2AF23">
            <wp:extent cx="3314700" cy="1914525"/>
            <wp:effectExtent l="0" t="0" r="19050" b="952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AD504B6" w14:textId="400D34D8" w:rsidR="002F4669" w:rsidRPr="00DF02C5" w:rsidRDefault="002F4669" w:rsidP="002F4669">
      <w:pPr>
        <w:pStyle w:val="Para1"/>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t>(a)</w:t>
      </w:r>
      <w:r w:rsidRPr="00DF02C5">
        <w:rPr>
          <w:rFonts w:eastAsia="Calibri" w:hAnsi="Times New Roman"/>
          <w:i/>
          <w:snapToGrid w:val="0"/>
          <w:color w:val="auto"/>
          <w:kern w:val="22"/>
          <w:bdr w:val="none" w:sz="0" w:space="0" w:color="auto"/>
          <w:lang w:val="en-GB"/>
        </w:rPr>
        <w:tab/>
        <w:t>Countries that answered “yes”</w:t>
      </w:r>
    </w:p>
    <w:p w14:paraId="3F6F1509" w14:textId="7555DA77" w:rsidR="00A60AB6" w:rsidRPr="00DF02C5" w:rsidRDefault="00A60AB6"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Many countries</w:t>
      </w:r>
      <w:r w:rsidRPr="00DF02C5">
        <w:rPr>
          <w:rStyle w:val="FootnoteReference"/>
          <w:snapToGrid w:val="0"/>
          <w:kern w:val="22"/>
          <w:lang w:val="en-GB"/>
        </w:rPr>
        <w:footnoteReference w:id="422"/>
      </w:r>
      <w:r w:rsidRPr="00DF02C5">
        <w:rPr>
          <w:rStyle w:val="FootnoteReference"/>
          <w:lang w:val="en-GB"/>
        </w:rPr>
        <w:t xml:space="preserve"> </w:t>
      </w:r>
      <w:r w:rsidRPr="00DF02C5">
        <w:rPr>
          <w:rFonts w:eastAsia="Calibri" w:hAnsi="Times New Roman"/>
          <w:snapToGrid w:val="0"/>
          <w:color w:val="auto"/>
          <w:kern w:val="22"/>
          <w:bdr w:val="none" w:sz="0" w:space="0" w:color="auto"/>
          <w:lang w:val="en-GB"/>
        </w:rPr>
        <w:t xml:space="preserve">indicated that they received or are receiving external support by way of projects or funding </w:t>
      </w:r>
      <w:r w:rsidR="000E7249" w:rsidRPr="00DF02C5">
        <w:rPr>
          <w:rFonts w:eastAsia="Calibri" w:hAnsi="Times New Roman"/>
          <w:snapToGrid w:val="0"/>
          <w:color w:val="auto"/>
          <w:kern w:val="22"/>
          <w:bdr w:val="none" w:sz="0" w:space="0" w:color="auto"/>
          <w:lang w:val="en-GB"/>
        </w:rPr>
        <w:t>for</w:t>
      </w:r>
      <w:r w:rsidRPr="00DF02C5">
        <w:rPr>
          <w:rFonts w:eastAsia="Calibri" w:hAnsi="Times New Roman"/>
          <w:snapToGrid w:val="0"/>
          <w:color w:val="auto"/>
          <w:kern w:val="22"/>
          <w:bdr w:val="none" w:sz="0" w:space="0" w:color="auto"/>
          <w:lang w:val="en-GB"/>
        </w:rPr>
        <w:t xml:space="preserve"> capacity-building projects. Other countries</w:t>
      </w:r>
      <w:r w:rsidRPr="00DF02C5">
        <w:rPr>
          <w:rStyle w:val="FootnoteReference"/>
          <w:snapToGrid w:val="0"/>
          <w:kern w:val="22"/>
          <w:lang w:val="en-GB"/>
        </w:rPr>
        <w:footnoteReference w:id="423"/>
      </w:r>
      <w:r w:rsidRPr="00DF02C5">
        <w:rPr>
          <w:rStyle w:val="FootnoteReference"/>
          <w:lang w:val="en-GB"/>
        </w:rPr>
        <w:t xml:space="preserve"> </w:t>
      </w:r>
      <w:r w:rsidRPr="00DF02C5">
        <w:rPr>
          <w:rFonts w:eastAsia="Calibri" w:hAnsi="Times New Roman"/>
          <w:snapToGrid w:val="0"/>
          <w:color w:val="auto"/>
          <w:kern w:val="22"/>
          <w:bdr w:val="none" w:sz="0" w:space="0" w:color="auto"/>
          <w:lang w:val="en-GB"/>
        </w:rPr>
        <w:t>provided information about capa</w:t>
      </w:r>
      <w:r w:rsidR="00B54C38">
        <w:rPr>
          <w:rFonts w:eastAsia="Calibri" w:hAnsi="Times New Roman"/>
          <w:snapToGrid w:val="0"/>
          <w:color w:val="auto"/>
          <w:kern w:val="22"/>
          <w:bdr w:val="none" w:sz="0" w:space="0" w:color="auto"/>
          <w:lang w:val="en-GB"/>
        </w:rPr>
        <w:t>city-building activities organiz</w:t>
      </w:r>
      <w:r w:rsidRPr="00DF02C5">
        <w:rPr>
          <w:rFonts w:eastAsia="Calibri" w:hAnsi="Times New Roman"/>
          <w:snapToGrid w:val="0"/>
          <w:color w:val="auto"/>
          <w:kern w:val="22"/>
          <w:bdr w:val="none" w:sz="0" w:space="0" w:color="auto"/>
          <w:lang w:val="en-GB"/>
        </w:rPr>
        <w:t xml:space="preserve">ed within their country </w:t>
      </w:r>
      <w:r w:rsidR="00E06ECF" w:rsidRPr="00DF02C5">
        <w:rPr>
          <w:rFonts w:eastAsia="Calibri" w:hAnsi="Times New Roman"/>
          <w:snapToGrid w:val="0"/>
          <w:color w:val="auto"/>
          <w:kern w:val="22"/>
          <w:bdr w:val="none" w:sz="0" w:space="0" w:color="auto"/>
          <w:lang w:val="en-GB"/>
        </w:rPr>
        <w:t xml:space="preserve">or about </w:t>
      </w:r>
      <w:r w:rsidRPr="00DF02C5">
        <w:rPr>
          <w:rFonts w:eastAsia="Calibri" w:hAnsi="Times New Roman"/>
          <w:snapToGrid w:val="0"/>
          <w:color w:val="auto"/>
          <w:kern w:val="22"/>
          <w:bdr w:val="none" w:sz="0" w:space="0" w:color="auto"/>
          <w:lang w:val="en-GB"/>
        </w:rPr>
        <w:t>funds or technical expertise provided for capacity-building activities</w:t>
      </w:r>
      <w:r w:rsidR="00E06ECF" w:rsidRPr="00DF02C5">
        <w:rPr>
          <w:rFonts w:eastAsia="Calibri" w:hAnsi="Times New Roman"/>
          <w:snapToGrid w:val="0"/>
          <w:color w:val="auto"/>
          <w:kern w:val="22"/>
          <w:bdr w:val="none" w:sz="0" w:space="0" w:color="auto"/>
          <w:lang w:val="en-GB"/>
        </w:rPr>
        <w:t xml:space="preserve"> carried out</w:t>
      </w:r>
      <w:r w:rsidRPr="00DF02C5">
        <w:rPr>
          <w:rFonts w:eastAsia="Calibri" w:hAnsi="Times New Roman"/>
          <w:snapToGrid w:val="0"/>
          <w:color w:val="auto"/>
          <w:kern w:val="22"/>
          <w:bdr w:val="none" w:sz="0" w:space="0" w:color="auto"/>
          <w:lang w:val="en-GB"/>
        </w:rPr>
        <w:t xml:space="preserve"> in other countries.</w:t>
      </w:r>
    </w:p>
    <w:p w14:paraId="2386BEFB" w14:textId="7DB69F7C" w:rsidR="00A60AB6" w:rsidRPr="00DF02C5" w:rsidRDefault="00A60AB6"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Activities mentioned are very similar to those reported in question </w:t>
      </w:r>
      <w:r w:rsidR="00E06ECF" w:rsidRPr="00DF02C5">
        <w:rPr>
          <w:rFonts w:eastAsia="Calibri" w:hAnsi="Times New Roman"/>
          <w:snapToGrid w:val="0"/>
          <w:color w:val="auto"/>
          <w:kern w:val="22"/>
          <w:bdr w:val="none" w:sz="0" w:space="0" w:color="auto"/>
          <w:lang w:val="en-GB"/>
        </w:rPr>
        <w:t xml:space="preserve">21 above, being </w:t>
      </w:r>
      <w:r w:rsidRPr="00DF02C5">
        <w:rPr>
          <w:rFonts w:eastAsia="Calibri" w:hAnsi="Times New Roman"/>
          <w:snapToGrid w:val="0"/>
          <w:color w:val="auto"/>
          <w:kern w:val="22"/>
          <w:bdr w:val="none" w:sz="0" w:space="0" w:color="auto"/>
          <w:lang w:val="en-GB"/>
        </w:rPr>
        <w:t xml:space="preserve">the organisation of trainings and workshops the most common means for building capacity. </w:t>
      </w:r>
    </w:p>
    <w:p w14:paraId="03596C51" w14:textId="2A60FD45" w:rsidR="00A60AB6" w:rsidRPr="00DF02C5" w:rsidRDefault="00A60AB6"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Some countries provided information on activities </w:t>
      </w:r>
      <w:r w:rsidR="000E7249" w:rsidRPr="00DF02C5">
        <w:rPr>
          <w:rFonts w:eastAsia="Calibri" w:hAnsi="Times New Roman"/>
          <w:snapToGrid w:val="0"/>
          <w:color w:val="auto"/>
          <w:kern w:val="22"/>
          <w:bdr w:val="none" w:sz="0" w:space="0" w:color="auto"/>
          <w:lang w:val="en-GB"/>
        </w:rPr>
        <w:t>targeting specific audiences</w:t>
      </w:r>
      <w:r w:rsidR="00AB3B35" w:rsidRPr="00DF02C5">
        <w:rPr>
          <w:rFonts w:eastAsia="Calibri" w:hAnsi="Times New Roman"/>
          <w:snapToGrid w:val="0"/>
          <w:color w:val="auto"/>
          <w:kern w:val="22"/>
          <w:bdr w:val="none" w:sz="0" w:space="0" w:color="auto"/>
          <w:lang w:val="en-GB"/>
        </w:rPr>
        <w:t xml:space="preserve"> and many countries</w:t>
      </w:r>
      <w:r w:rsidR="00AB3B35" w:rsidRPr="00DF02C5">
        <w:rPr>
          <w:rStyle w:val="FootnoteReference"/>
          <w:rFonts w:eastAsia="Calibri" w:hAnsi="Times New Roman"/>
          <w:snapToGrid w:val="0"/>
          <w:color w:val="auto"/>
          <w:kern w:val="22"/>
          <w:bdr w:val="none" w:sz="0" w:space="0" w:color="auto"/>
          <w:lang w:val="en-GB"/>
        </w:rPr>
        <w:footnoteReference w:id="424"/>
      </w:r>
      <w:r w:rsidR="00AB3B35" w:rsidRPr="00DF02C5">
        <w:rPr>
          <w:rFonts w:eastAsia="Calibri" w:hAnsi="Times New Roman"/>
          <w:snapToGrid w:val="0"/>
          <w:color w:val="auto"/>
          <w:kern w:val="22"/>
          <w:bdr w:val="none" w:sz="0" w:space="0" w:color="auto"/>
          <w:lang w:val="en-GB"/>
        </w:rPr>
        <w:t xml:space="preserve">  reported on </w:t>
      </w:r>
      <w:r w:rsidRPr="00DF02C5">
        <w:rPr>
          <w:rFonts w:eastAsia="Calibri" w:hAnsi="Times New Roman"/>
          <w:snapToGrid w:val="0"/>
          <w:color w:val="auto"/>
          <w:kern w:val="22"/>
          <w:bdr w:val="none" w:sz="0" w:space="0" w:color="auto"/>
          <w:lang w:val="en-GB"/>
        </w:rPr>
        <w:t>activities to build institutional capacities. Other target groups include: (a) users of genetic resources</w:t>
      </w:r>
      <w:r w:rsidR="000E7249" w:rsidRPr="00DF02C5">
        <w:rPr>
          <w:rStyle w:val="FootnoteReference"/>
          <w:rFonts w:eastAsia="Calibri" w:hAnsi="Times New Roman"/>
          <w:snapToGrid w:val="0"/>
          <w:color w:val="auto"/>
          <w:kern w:val="22"/>
          <w:bdr w:val="none" w:sz="0" w:space="0" w:color="auto"/>
          <w:lang w:val="en-GB"/>
        </w:rPr>
        <w:footnoteReference w:id="425"/>
      </w:r>
      <w:r w:rsidRPr="00DF02C5">
        <w:rPr>
          <w:rFonts w:eastAsia="Calibri" w:hAnsi="Times New Roman"/>
          <w:snapToGrid w:val="0"/>
          <w:color w:val="auto"/>
          <w:kern w:val="22"/>
          <w:bdr w:val="none" w:sz="0" w:space="0" w:color="auto"/>
          <w:lang w:val="en-GB"/>
        </w:rPr>
        <w:t>; (b)</w:t>
      </w:r>
      <w:r w:rsidR="000E7249" w:rsidRPr="00DF02C5">
        <w:rPr>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indigenous peoples and local communities</w:t>
      </w:r>
      <w:r w:rsidRPr="00DF02C5">
        <w:rPr>
          <w:rStyle w:val="FootnoteReference"/>
          <w:rFonts w:eastAsia="Calibri" w:hAnsi="Times New Roman"/>
          <w:snapToGrid w:val="0"/>
          <w:color w:val="auto"/>
          <w:kern w:val="22"/>
          <w:bdr w:val="none" w:sz="0" w:space="0" w:color="auto"/>
          <w:lang w:val="en-GB"/>
        </w:rPr>
        <w:footnoteReference w:id="426"/>
      </w:r>
      <w:r w:rsidRPr="00DF02C5">
        <w:rPr>
          <w:rFonts w:eastAsia="Calibri" w:hAnsi="Times New Roman"/>
          <w:snapToGrid w:val="0"/>
          <w:color w:val="auto"/>
          <w:kern w:val="22"/>
          <w:bdr w:val="none" w:sz="0" w:space="0" w:color="auto"/>
          <w:lang w:val="en-GB"/>
        </w:rPr>
        <w:t>; (d) trainers</w:t>
      </w:r>
      <w:r w:rsidRPr="00DF02C5">
        <w:rPr>
          <w:rStyle w:val="FootnoteReference"/>
          <w:rFonts w:eastAsia="Calibri" w:hAnsi="Times New Roman"/>
          <w:snapToGrid w:val="0"/>
          <w:color w:val="auto"/>
          <w:kern w:val="22"/>
          <w:bdr w:val="none" w:sz="0" w:space="0" w:color="auto"/>
          <w:lang w:val="en-GB"/>
        </w:rPr>
        <w:footnoteReference w:id="427"/>
      </w:r>
      <w:r w:rsidRPr="00DF02C5">
        <w:rPr>
          <w:rFonts w:eastAsia="Calibri" w:hAnsi="Times New Roman"/>
          <w:snapToGrid w:val="0"/>
          <w:color w:val="auto"/>
          <w:kern w:val="22"/>
          <w:bdr w:val="none" w:sz="0" w:space="0" w:color="auto"/>
          <w:lang w:val="en-GB"/>
        </w:rPr>
        <w:t>; and (e) patent examiners and reviewers</w:t>
      </w:r>
      <w:r w:rsidRPr="00DF02C5">
        <w:rPr>
          <w:rStyle w:val="FootnoteReference"/>
          <w:rFonts w:eastAsia="Calibri" w:hAnsi="Times New Roman"/>
          <w:snapToGrid w:val="0"/>
          <w:color w:val="auto"/>
          <w:kern w:val="22"/>
          <w:bdr w:val="none" w:sz="0" w:space="0" w:color="auto"/>
          <w:lang w:val="en-GB"/>
        </w:rPr>
        <w:footnoteReference w:id="428"/>
      </w:r>
      <w:r w:rsidR="000E7249" w:rsidRPr="00DF02C5">
        <w:rPr>
          <w:rFonts w:eastAsia="Calibri" w:hAnsi="Times New Roman"/>
          <w:snapToGrid w:val="0"/>
          <w:color w:val="auto"/>
          <w:kern w:val="22"/>
          <w:bdr w:val="none" w:sz="0" w:space="0" w:color="auto"/>
          <w:lang w:val="en-GB"/>
        </w:rPr>
        <w:t>.</w:t>
      </w:r>
    </w:p>
    <w:p w14:paraId="189D1DB2" w14:textId="20BF2469" w:rsidR="00A60AB6" w:rsidRPr="00DF02C5" w:rsidRDefault="00AB3B35"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E</w:t>
      </w:r>
      <w:r w:rsidR="00A60AB6" w:rsidRPr="00DF02C5">
        <w:rPr>
          <w:rFonts w:eastAsia="Calibri" w:hAnsi="Times New Roman"/>
          <w:snapToGrid w:val="0"/>
          <w:color w:val="auto"/>
          <w:kern w:val="22"/>
          <w:bdr w:val="none" w:sz="0" w:space="0" w:color="auto"/>
          <w:lang w:val="en-GB"/>
        </w:rPr>
        <w:t>xamples of</w:t>
      </w:r>
      <w:r w:rsidRPr="00DF02C5">
        <w:rPr>
          <w:rFonts w:eastAsia="Calibri" w:hAnsi="Times New Roman"/>
          <w:snapToGrid w:val="0"/>
          <w:color w:val="auto"/>
          <w:kern w:val="22"/>
          <w:bdr w:val="none" w:sz="0" w:space="0" w:color="auto"/>
          <w:lang w:val="en-GB"/>
        </w:rPr>
        <w:t xml:space="preserve"> capacity-building</w:t>
      </w:r>
      <w:r w:rsidR="00A60AB6" w:rsidRPr="00DF02C5">
        <w:rPr>
          <w:rFonts w:eastAsia="Calibri" w:hAnsi="Times New Roman"/>
          <w:snapToGrid w:val="0"/>
          <w:color w:val="auto"/>
          <w:kern w:val="22"/>
          <w:bdr w:val="none" w:sz="0" w:space="0" w:color="auto"/>
          <w:lang w:val="en-GB"/>
        </w:rPr>
        <w:t xml:space="preserve"> activities conducted by countries</w:t>
      </w:r>
      <w:r w:rsidRPr="00DF02C5">
        <w:rPr>
          <w:rFonts w:eastAsia="Calibri" w:hAnsi="Times New Roman"/>
          <w:snapToGrid w:val="0"/>
          <w:color w:val="auto"/>
          <w:kern w:val="22"/>
          <w:bdr w:val="none" w:sz="0" w:space="0" w:color="auto"/>
          <w:lang w:val="en-GB"/>
        </w:rPr>
        <w:t xml:space="preserve"> are the following</w:t>
      </w:r>
      <w:r w:rsidR="00A60AB6" w:rsidRPr="00DF02C5">
        <w:rPr>
          <w:rFonts w:eastAsia="Calibri" w:hAnsi="Times New Roman"/>
          <w:snapToGrid w:val="0"/>
          <w:color w:val="auto"/>
          <w:kern w:val="22"/>
          <w:bdr w:val="none" w:sz="0" w:space="0" w:color="auto"/>
          <w:lang w:val="en-GB"/>
        </w:rPr>
        <w:t xml:space="preserve">: </w:t>
      </w:r>
    </w:p>
    <w:p w14:paraId="45117F80" w14:textId="12496EEB" w:rsidR="00A60AB6" w:rsidRPr="00DF02C5" w:rsidRDefault="00A60AB6" w:rsidP="005038A2">
      <w:pPr>
        <w:pStyle w:val="ListParagraph"/>
        <w:numPr>
          <w:ilvl w:val="0"/>
          <w:numId w:val="33"/>
        </w:numPr>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Peru held several </w:t>
      </w:r>
      <w:r w:rsidR="00AB3B35" w:rsidRPr="00DF02C5">
        <w:rPr>
          <w:rFonts w:eastAsia="Calibri" w:hAnsi="Times New Roman" w:cs="Times New Roman"/>
          <w:snapToGrid w:val="0"/>
          <w:color w:val="auto"/>
          <w:kern w:val="22"/>
          <w:bdr w:val="none" w:sz="0" w:space="0" w:color="auto"/>
          <w:lang w:val="en-GB"/>
        </w:rPr>
        <w:t xml:space="preserve">capacity-building </w:t>
      </w:r>
      <w:r w:rsidRPr="00DF02C5">
        <w:rPr>
          <w:rFonts w:eastAsia="Calibri" w:hAnsi="Times New Roman" w:cs="Times New Roman"/>
          <w:snapToGrid w:val="0"/>
          <w:color w:val="auto"/>
          <w:kern w:val="22"/>
          <w:bdr w:val="none" w:sz="0" w:space="0" w:color="auto"/>
          <w:lang w:val="en-GB"/>
        </w:rPr>
        <w:t xml:space="preserve">activities in 2017. For example, Peru </w:t>
      </w:r>
      <w:r w:rsidR="00AB3B35" w:rsidRPr="00DF02C5">
        <w:rPr>
          <w:rFonts w:eastAsia="Calibri" w:hAnsi="Times New Roman" w:cs="Times New Roman"/>
          <w:snapToGrid w:val="0"/>
          <w:color w:val="auto"/>
          <w:kern w:val="22"/>
          <w:bdr w:val="none" w:sz="0" w:space="0" w:color="auto"/>
          <w:lang w:val="en-GB"/>
        </w:rPr>
        <w:t xml:space="preserve">has </w:t>
      </w:r>
      <w:r w:rsidRPr="00DF02C5">
        <w:rPr>
          <w:rFonts w:eastAsia="Calibri" w:hAnsi="Times New Roman" w:cs="Times New Roman"/>
          <w:snapToGrid w:val="0"/>
          <w:color w:val="auto"/>
          <w:kern w:val="22"/>
          <w:bdr w:val="none" w:sz="0" w:space="0" w:color="auto"/>
          <w:lang w:val="en-GB"/>
        </w:rPr>
        <w:t>developed interactive modules on managing access to genetic resources and associated traditional knowledge based on national legislation and the Nagoya Protocol</w:t>
      </w:r>
      <w:r w:rsidR="00AB3B35" w:rsidRPr="00DF02C5">
        <w:rPr>
          <w:rFonts w:eastAsia="Calibri" w:hAnsi="Times New Roman" w:cs="Times New Roman"/>
          <w:snapToGrid w:val="0"/>
          <w:color w:val="auto"/>
          <w:kern w:val="22"/>
          <w:bdr w:val="none" w:sz="0" w:space="0" w:color="auto"/>
          <w:lang w:val="en-GB"/>
        </w:rPr>
        <w:t>. The modules</w:t>
      </w:r>
      <w:r w:rsidRPr="00DF02C5">
        <w:rPr>
          <w:rFonts w:eastAsia="Calibri" w:hAnsi="Times New Roman" w:cs="Times New Roman"/>
          <w:snapToGrid w:val="0"/>
          <w:color w:val="auto"/>
          <w:kern w:val="22"/>
          <w:bdr w:val="none" w:sz="0" w:space="0" w:color="auto"/>
          <w:lang w:val="en-GB"/>
        </w:rPr>
        <w:t xml:space="preserve"> </w:t>
      </w:r>
      <w:r w:rsidR="00AB3B35" w:rsidRPr="00DF02C5">
        <w:rPr>
          <w:rFonts w:eastAsia="Calibri" w:hAnsi="Times New Roman" w:cs="Times New Roman"/>
          <w:snapToGrid w:val="0"/>
          <w:color w:val="auto"/>
          <w:kern w:val="22"/>
          <w:bdr w:val="none" w:sz="0" w:space="0" w:color="auto"/>
          <w:lang w:val="en-GB"/>
        </w:rPr>
        <w:t xml:space="preserve">are </w:t>
      </w:r>
      <w:r w:rsidRPr="00DF02C5">
        <w:rPr>
          <w:rFonts w:eastAsia="Calibri" w:hAnsi="Times New Roman" w:cs="Times New Roman"/>
          <w:snapToGrid w:val="0"/>
          <w:color w:val="auto"/>
          <w:kern w:val="22"/>
          <w:bdr w:val="none" w:sz="0" w:space="0" w:color="auto"/>
          <w:lang w:val="en-GB"/>
        </w:rPr>
        <w:t>designed for diffe</w:t>
      </w:r>
      <w:r w:rsidR="00AB3B35" w:rsidRPr="00DF02C5">
        <w:rPr>
          <w:rFonts w:eastAsia="Calibri" w:hAnsi="Times New Roman" w:cs="Times New Roman"/>
          <w:snapToGrid w:val="0"/>
          <w:color w:val="auto"/>
          <w:kern w:val="22"/>
          <w:bdr w:val="none" w:sz="0" w:space="0" w:color="auto"/>
          <w:lang w:val="en-GB"/>
        </w:rPr>
        <w:t xml:space="preserve">rent target groups (i.e. </w:t>
      </w:r>
      <w:r w:rsidRPr="00DF02C5">
        <w:rPr>
          <w:rFonts w:eastAsia="Calibri" w:hAnsi="Times New Roman" w:cs="Times New Roman"/>
          <w:snapToGrid w:val="0"/>
          <w:color w:val="auto"/>
          <w:kern w:val="22"/>
          <w:bdr w:val="none" w:sz="0" w:space="0" w:color="auto"/>
          <w:lang w:val="en-GB"/>
        </w:rPr>
        <w:t>civil servants, academics, researchers and entrepreneurs</w:t>
      </w:r>
      <w:r w:rsidR="00AB3B35" w:rsidRPr="00DF02C5">
        <w:rPr>
          <w:rFonts w:eastAsia="Calibri" w:hAnsi="Times New Roman" w:cs="Times New Roman"/>
          <w:snapToGrid w:val="0"/>
          <w:color w:val="auto"/>
          <w:kern w:val="22"/>
          <w:bdr w:val="none" w:sz="0" w:space="0" w:color="auto"/>
          <w:lang w:val="en-GB"/>
        </w:rPr>
        <w:t>)</w:t>
      </w:r>
      <w:r w:rsidRPr="00DF02C5">
        <w:rPr>
          <w:rFonts w:eastAsia="Calibri" w:hAnsi="Times New Roman" w:cs="Times New Roman"/>
          <w:snapToGrid w:val="0"/>
          <w:color w:val="auto"/>
          <w:kern w:val="22"/>
          <w:bdr w:val="none" w:sz="0" w:space="0" w:color="auto"/>
          <w:lang w:val="en-GB"/>
        </w:rPr>
        <w:t xml:space="preserve">. </w:t>
      </w:r>
      <w:r w:rsidR="00AB3B35" w:rsidRPr="00DF02C5">
        <w:rPr>
          <w:rFonts w:eastAsia="Calibri" w:hAnsi="Times New Roman" w:cs="Times New Roman"/>
          <w:snapToGrid w:val="0"/>
          <w:color w:val="auto"/>
          <w:kern w:val="22"/>
          <w:bdr w:val="none" w:sz="0" w:space="0" w:color="auto"/>
          <w:lang w:val="en-GB"/>
        </w:rPr>
        <w:t xml:space="preserve">Peru </w:t>
      </w:r>
      <w:r w:rsidRPr="00DF02C5">
        <w:rPr>
          <w:rFonts w:eastAsia="Calibri" w:hAnsi="Times New Roman" w:cs="Times New Roman"/>
          <w:snapToGrid w:val="0"/>
          <w:color w:val="auto"/>
          <w:kern w:val="22"/>
          <w:bdr w:val="none" w:sz="0" w:space="0" w:color="auto"/>
          <w:lang w:val="en-GB"/>
        </w:rPr>
        <w:t>also carried out an intercultural capacity programme</w:t>
      </w:r>
      <w:r w:rsidR="00AB3B35" w:rsidRPr="00DF02C5">
        <w:rPr>
          <w:rFonts w:eastAsia="Calibri" w:hAnsi="Times New Roman" w:cs="Times New Roman"/>
          <w:snapToGrid w:val="0"/>
          <w:color w:val="auto"/>
          <w:kern w:val="22"/>
          <w:bdr w:val="none" w:sz="0" w:space="0" w:color="auto"/>
          <w:lang w:val="en-GB"/>
        </w:rPr>
        <w:t xml:space="preserve"> for</w:t>
      </w:r>
      <w:r w:rsidRPr="00DF02C5">
        <w:rPr>
          <w:rFonts w:eastAsia="Calibri" w:hAnsi="Times New Roman" w:cs="Times New Roman"/>
          <w:snapToGrid w:val="0"/>
          <w:color w:val="auto"/>
          <w:kern w:val="22"/>
          <w:bdr w:val="none" w:sz="0" w:space="0" w:color="auto"/>
          <w:lang w:val="en-GB"/>
        </w:rPr>
        <w:t xml:space="preserve"> indigenous peoples and local communities about ABS </w:t>
      </w:r>
      <w:r w:rsidR="00AB3B35" w:rsidRPr="00DF02C5">
        <w:rPr>
          <w:rFonts w:eastAsia="Calibri" w:hAnsi="Times New Roman" w:cs="Times New Roman"/>
          <w:snapToGrid w:val="0"/>
          <w:color w:val="auto"/>
          <w:kern w:val="22"/>
          <w:bdr w:val="none" w:sz="0" w:space="0" w:color="auto"/>
          <w:lang w:val="en-GB"/>
        </w:rPr>
        <w:t xml:space="preserve">which </w:t>
      </w:r>
      <w:r w:rsidR="003C477F">
        <w:rPr>
          <w:rFonts w:eastAsia="Calibri" w:hAnsi="Times New Roman" w:cs="Times New Roman"/>
          <w:snapToGrid w:val="0"/>
          <w:color w:val="auto"/>
          <w:kern w:val="22"/>
          <w:bdr w:val="none" w:sz="0" w:space="0" w:color="auto"/>
          <w:lang w:val="en-GB"/>
        </w:rPr>
        <w:t>included gender considerations;</w:t>
      </w:r>
    </w:p>
    <w:p w14:paraId="4B552F4F" w14:textId="77777777" w:rsidR="00A60AB6" w:rsidRPr="00DF02C5" w:rsidRDefault="00A60AB6" w:rsidP="005038A2">
      <w:pPr>
        <w:pStyle w:val="ListParagraph"/>
        <w:numPr>
          <w:ilvl w:val="0"/>
          <w:numId w:val="33"/>
        </w:numPr>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Cuba reported having a postgraduate course on the implementation of the Nagoya Protocol on ABS.</w:t>
      </w:r>
    </w:p>
    <w:p w14:paraId="195D8E4D" w14:textId="44BFCB49" w:rsidR="00AB3B35" w:rsidRPr="00DF02C5" w:rsidRDefault="003B3005" w:rsidP="003B3005">
      <w:pPr>
        <w:pStyle w:val="Para1"/>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lastRenderedPageBreak/>
        <w:t>(b)</w:t>
      </w:r>
      <w:r w:rsidRPr="00DF02C5">
        <w:rPr>
          <w:rFonts w:eastAsia="Calibri" w:hAnsi="Times New Roman"/>
          <w:i/>
          <w:snapToGrid w:val="0"/>
          <w:color w:val="auto"/>
          <w:kern w:val="22"/>
          <w:bdr w:val="none" w:sz="0" w:space="0" w:color="auto"/>
          <w:lang w:val="en-GB"/>
        </w:rPr>
        <w:tab/>
      </w:r>
      <w:r w:rsidR="00AB3B35" w:rsidRPr="00DF02C5">
        <w:rPr>
          <w:rFonts w:eastAsia="Calibri" w:hAnsi="Times New Roman"/>
          <w:i/>
          <w:snapToGrid w:val="0"/>
          <w:color w:val="auto"/>
          <w:kern w:val="22"/>
          <w:bdr w:val="none" w:sz="0" w:space="0" w:color="auto"/>
          <w:lang w:val="en-GB"/>
        </w:rPr>
        <w:t>Countries that answered “no”</w:t>
      </w:r>
    </w:p>
    <w:p w14:paraId="70172888" w14:textId="47AE1E02" w:rsidR="00AB3B35" w:rsidRPr="00DF02C5" w:rsidRDefault="00AB3B35"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Countries that answered “no” to question 55 were invited to provide further information. Three countries</w:t>
      </w:r>
      <w:r w:rsidRPr="00DF02C5">
        <w:rPr>
          <w:rStyle w:val="FootnoteReference"/>
          <w:rFonts w:eastAsia="Calibri" w:hAnsi="Times New Roman"/>
          <w:snapToGrid w:val="0"/>
          <w:color w:val="auto"/>
          <w:kern w:val="22"/>
          <w:bdr w:val="none" w:sz="0" w:space="0" w:color="auto"/>
          <w:lang w:val="en-GB"/>
        </w:rPr>
        <w:footnoteReference w:id="429"/>
      </w:r>
      <w:r w:rsidRPr="00DF02C5">
        <w:rPr>
          <w:rFonts w:eastAsia="Calibri" w:hAnsi="Times New Roman"/>
          <w:snapToGrid w:val="0"/>
          <w:color w:val="auto"/>
          <w:kern w:val="22"/>
          <w:bdr w:val="none" w:sz="0" w:space="0" w:color="auto"/>
          <w:lang w:val="en-GB"/>
        </w:rPr>
        <w:t xml:space="preserve"> indicated that capacity-building measures had not been taken due to the absence of an ABS legal framework, and another three countries indicated that they had s</w:t>
      </w:r>
      <w:r w:rsidR="003C477F">
        <w:rPr>
          <w:rFonts w:eastAsia="Calibri" w:hAnsi="Times New Roman"/>
          <w:snapToGrid w:val="0"/>
          <w:color w:val="auto"/>
          <w:kern w:val="22"/>
          <w:bdr w:val="none" w:sz="0" w:space="0" w:color="auto"/>
          <w:lang w:val="en-GB"/>
        </w:rPr>
        <w:t>tarted working on some capacity</w:t>
      </w:r>
      <w:r w:rsidR="003C477F">
        <w:rPr>
          <w:rFonts w:eastAsia="Calibri" w:hAnsi="Times New Roman"/>
          <w:snapToGrid w:val="0"/>
          <w:color w:val="auto"/>
          <w:kern w:val="22"/>
          <w:bdr w:val="none" w:sz="0" w:space="0" w:color="auto"/>
          <w:lang w:val="en-GB"/>
        </w:rPr>
        <w:noBreakHyphen/>
      </w:r>
      <w:r w:rsidRPr="00DF02C5">
        <w:rPr>
          <w:rFonts w:eastAsia="Calibri" w:hAnsi="Times New Roman"/>
          <w:snapToGrid w:val="0"/>
          <w:color w:val="auto"/>
          <w:kern w:val="22"/>
          <w:bdr w:val="none" w:sz="0" w:space="0" w:color="auto"/>
          <w:lang w:val="en-GB"/>
        </w:rPr>
        <w:t>building initiatives</w:t>
      </w:r>
      <w:r w:rsidR="003C477F">
        <w:rPr>
          <w:rFonts w:eastAsia="Calibri" w:hAnsi="Times New Roman"/>
          <w:snapToGrid w:val="0"/>
          <w:color w:val="auto"/>
          <w:kern w:val="22"/>
          <w:bdr w:val="none" w:sz="0" w:space="0" w:color="auto"/>
          <w:lang w:val="en-GB"/>
        </w:rPr>
        <w:t>.</w:t>
      </w:r>
      <w:r w:rsidRPr="00DF02C5">
        <w:rPr>
          <w:rStyle w:val="FootnoteReference"/>
          <w:rFonts w:eastAsia="Calibri" w:hAnsi="Times New Roman"/>
          <w:snapToGrid w:val="0"/>
          <w:color w:val="auto"/>
          <w:kern w:val="22"/>
          <w:bdr w:val="none" w:sz="0" w:space="0" w:color="auto"/>
          <w:lang w:val="en-GB"/>
        </w:rPr>
        <w:footnoteReference w:id="430"/>
      </w:r>
    </w:p>
    <w:p w14:paraId="1E04D36D" w14:textId="33BD0D8E" w:rsidR="00A60AB6" w:rsidRPr="003C477F" w:rsidRDefault="007209D2" w:rsidP="003C477F">
      <w:pPr>
        <w:pBdr>
          <w:top w:val="none" w:sz="0" w:space="0" w:color="auto"/>
          <w:left w:val="none" w:sz="0" w:space="0" w:color="auto"/>
          <w:bottom w:val="none" w:sz="0" w:space="0" w:color="auto"/>
          <w:right w:val="none" w:sz="0" w:space="0" w:color="auto"/>
          <w:between w:val="none" w:sz="0" w:space="0" w:color="auto"/>
          <w:bar w:val="none" w:sz="0" w:color="auto"/>
        </w:pBdr>
        <w:spacing w:before="240" w:after="120"/>
        <w:ind w:left="1440" w:right="540" w:hanging="810"/>
        <w:jc w:val="left"/>
        <w:rPr>
          <w:rFonts w:eastAsia="Calibri" w:hAnsi="Times New Roman" w:cs="Times New Roman"/>
          <w:i/>
          <w:snapToGrid w:val="0"/>
          <w:color w:val="auto"/>
          <w:kern w:val="22"/>
          <w:bdr w:val="none" w:sz="0" w:space="0" w:color="auto"/>
          <w:lang w:val="en-GB"/>
        </w:rPr>
      </w:pPr>
      <w:r w:rsidRPr="003C477F">
        <w:rPr>
          <w:rFonts w:eastAsia="Calibri" w:hAnsi="Times New Roman" w:cs="Times New Roman"/>
          <w:i/>
          <w:snapToGrid w:val="0"/>
          <w:color w:val="auto"/>
          <w:kern w:val="22"/>
          <w:bdr w:val="none" w:sz="0" w:space="0" w:color="auto"/>
          <w:lang w:val="en-GB"/>
        </w:rPr>
        <w:t xml:space="preserve">2.2 </w:t>
      </w:r>
      <w:r w:rsidR="003C477F">
        <w:rPr>
          <w:rFonts w:eastAsia="Calibri" w:hAnsi="Times New Roman" w:cs="Times New Roman"/>
          <w:i/>
          <w:snapToGrid w:val="0"/>
          <w:color w:val="auto"/>
          <w:kern w:val="22"/>
          <w:bdr w:val="none" w:sz="0" w:space="0" w:color="auto"/>
          <w:lang w:val="en-GB"/>
        </w:rPr>
        <w:tab/>
      </w:r>
      <w:r w:rsidRPr="003C477F">
        <w:rPr>
          <w:rFonts w:eastAsia="Calibri" w:hAnsi="Times New Roman" w:cs="Times New Roman"/>
          <w:i/>
          <w:snapToGrid w:val="0"/>
          <w:color w:val="auto"/>
          <w:kern w:val="22"/>
          <w:bdr w:val="none" w:sz="0" w:space="0" w:color="auto"/>
          <w:lang w:val="en-GB"/>
        </w:rPr>
        <w:t>Has your country taken measures to implement the strategic framework for capacity-building and development to support effective implementation of the Nagoya Protocol on ABS?</w:t>
      </w:r>
      <w:r w:rsidR="003C477F">
        <w:rPr>
          <w:rFonts w:eastAsia="Calibri" w:hAnsi="Times New Roman" w:cs="Times New Roman"/>
          <w:i/>
          <w:snapToGrid w:val="0"/>
          <w:color w:val="auto"/>
          <w:kern w:val="22"/>
          <w:bdr w:val="none" w:sz="0" w:space="0" w:color="auto"/>
          <w:lang w:val="en-GB"/>
        </w:rPr>
        <w:t xml:space="preserve"> </w:t>
      </w:r>
      <w:r w:rsidRPr="003C477F">
        <w:rPr>
          <w:rFonts w:eastAsia="Calibri" w:hAnsi="Times New Roman" w:cs="Times New Roman"/>
          <w:i/>
          <w:snapToGrid w:val="0"/>
          <w:color w:val="auto"/>
          <w:kern w:val="22"/>
          <w:bdr w:val="none" w:sz="0" w:space="0" w:color="auto"/>
          <w:lang w:val="en-GB"/>
        </w:rPr>
        <w:t>(question 55)</w:t>
      </w:r>
    </w:p>
    <w:p w14:paraId="7BCC7289" w14:textId="13917B19" w:rsidR="00652ACB" w:rsidRPr="00DF02C5" w:rsidRDefault="007209D2"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Of the fifty-six countries that responded that they have taken measures to implement Article 22, forty-two Parties and three non-Parties </w:t>
      </w:r>
      <w:r w:rsidR="00652ACB" w:rsidRPr="00DF02C5">
        <w:rPr>
          <w:rFonts w:eastAsia="Calibri" w:hAnsi="Times New Roman"/>
          <w:snapToGrid w:val="0"/>
          <w:color w:val="auto"/>
          <w:kern w:val="22"/>
          <w:bdr w:val="none" w:sz="0" w:space="0" w:color="auto"/>
          <w:lang w:val="en-GB"/>
        </w:rPr>
        <w:t>reported</w:t>
      </w:r>
      <w:r w:rsidR="00652ACB" w:rsidRPr="00DF02C5">
        <w:rPr>
          <w:lang w:val="en-GB"/>
        </w:rPr>
        <w:t xml:space="preserve"> taking </w:t>
      </w:r>
      <w:r w:rsidR="00652ACB" w:rsidRPr="00DF02C5">
        <w:rPr>
          <w:rFonts w:eastAsia="Calibri" w:hAnsi="Times New Roman"/>
          <w:snapToGrid w:val="0"/>
          <w:color w:val="auto"/>
          <w:kern w:val="22"/>
          <w:bdr w:val="none" w:sz="0" w:space="0" w:color="auto"/>
          <w:lang w:val="en-GB"/>
        </w:rPr>
        <w:t>measures to implement the strategic framework for capacity-building and development</w:t>
      </w:r>
      <w:r w:rsidR="00A60AB6" w:rsidRPr="00DF02C5">
        <w:rPr>
          <w:rFonts w:eastAsia="Calibri" w:hAnsi="Times New Roman"/>
          <w:snapToGrid w:val="0"/>
          <w:color w:val="auto"/>
          <w:kern w:val="22"/>
          <w:bdr w:val="none" w:sz="0" w:space="0" w:color="auto"/>
          <w:lang w:val="en-GB"/>
        </w:rPr>
        <w:t xml:space="preserve">. </w:t>
      </w:r>
    </w:p>
    <w:p w14:paraId="3A2FBB63" w14:textId="23336288" w:rsidR="00A60AB6" w:rsidRPr="00DF02C5" w:rsidRDefault="00A60AB6"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Some</w:t>
      </w:r>
      <w:r w:rsidR="00652ACB" w:rsidRPr="00DF02C5">
        <w:rPr>
          <w:rFonts w:eastAsia="Calibri" w:hAnsi="Times New Roman"/>
          <w:snapToGrid w:val="0"/>
          <w:color w:val="auto"/>
          <w:kern w:val="22"/>
          <w:bdr w:val="none" w:sz="0" w:space="0" w:color="auto"/>
          <w:lang w:val="en-GB"/>
        </w:rPr>
        <w:t xml:space="preserve"> countries</w:t>
      </w:r>
      <w:r w:rsidRPr="00DF02C5">
        <w:rPr>
          <w:rStyle w:val="FootnoteReference"/>
          <w:rFonts w:eastAsia="Calibri" w:hAnsi="Times New Roman"/>
          <w:snapToGrid w:val="0"/>
          <w:color w:val="auto"/>
          <w:kern w:val="22"/>
          <w:bdr w:val="none" w:sz="0" w:space="0" w:color="auto"/>
          <w:lang w:val="en-GB"/>
        </w:rPr>
        <w:footnoteReference w:id="431"/>
      </w:r>
      <w:r w:rsidRPr="00DF02C5">
        <w:rPr>
          <w:rFonts w:eastAsia="Calibri" w:hAnsi="Times New Roman"/>
          <w:snapToGrid w:val="0"/>
          <w:color w:val="auto"/>
          <w:kern w:val="22"/>
          <w:bdr w:val="none" w:sz="0" w:space="0" w:color="auto"/>
          <w:lang w:val="en-GB"/>
        </w:rPr>
        <w:t xml:space="preserve"> indicated that such a strategy is integrated or taken into account within their current framework while others seemed to have developed a capacity-building strategy on ABS</w:t>
      </w:r>
      <w:r w:rsidRPr="00DF02C5">
        <w:rPr>
          <w:rStyle w:val="FootnoteReference"/>
          <w:rFonts w:eastAsia="Calibri" w:hAnsi="Times New Roman"/>
          <w:snapToGrid w:val="0"/>
          <w:color w:val="auto"/>
          <w:kern w:val="22"/>
          <w:bdr w:val="none" w:sz="0" w:space="0" w:color="auto"/>
          <w:lang w:val="en-GB"/>
        </w:rPr>
        <w:footnoteReference w:id="432"/>
      </w:r>
      <w:r w:rsidRPr="00DF02C5">
        <w:rPr>
          <w:rFonts w:eastAsia="Calibri" w:hAnsi="Times New Roman"/>
          <w:snapToGrid w:val="0"/>
          <w:color w:val="auto"/>
          <w:kern w:val="22"/>
          <w:bdr w:val="none" w:sz="0" w:space="0" w:color="auto"/>
          <w:lang w:val="en-GB"/>
        </w:rPr>
        <w:t xml:space="preserve"> or are planning to do so</w:t>
      </w:r>
      <w:r w:rsidRPr="00DF02C5">
        <w:rPr>
          <w:rStyle w:val="FootnoteReference"/>
          <w:rFonts w:eastAsia="Calibri" w:hAnsi="Times New Roman"/>
          <w:snapToGrid w:val="0"/>
          <w:color w:val="auto"/>
          <w:kern w:val="22"/>
          <w:bdr w:val="none" w:sz="0" w:space="0" w:color="auto"/>
          <w:lang w:val="en-GB"/>
        </w:rPr>
        <w:footnoteReference w:id="433"/>
      </w:r>
      <w:r w:rsidRPr="00DF02C5">
        <w:rPr>
          <w:rFonts w:eastAsia="Calibri" w:hAnsi="Times New Roman"/>
          <w:snapToGrid w:val="0"/>
          <w:color w:val="auto"/>
          <w:kern w:val="22"/>
          <w:bdr w:val="none" w:sz="0" w:space="0" w:color="auto"/>
          <w:lang w:val="en-GB"/>
        </w:rPr>
        <w:t>. For instance:</w:t>
      </w:r>
    </w:p>
    <w:p w14:paraId="5434A70C" w14:textId="7F5EF615" w:rsidR="00A60AB6" w:rsidRPr="00DF02C5" w:rsidRDefault="00A60AB6" w:rsidP="005038A2">
      <w:pPr>
        <w:pStyle w:val="ListParagraph"/>
        <w:numPr>
          <w:ilvl w:val="0"/>
          <w:numId w:val="40"/>
        </w:numPr>
        <w:ind w:left="0" w:firstLine="720"/>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China </w:t>
      </w:r>
      <w:r w:rsidR="00652ACB" w:rsidRPr="00DF02C5">
        <w:rPr>
          <w:rFonts w:eastAsia="Calibri" w:hAnsi="Times New Roman" w:cs="Times New Roman"/>
          <w:snapToGrid w:val="0"/>
          <w:color w:val="auto"/>
          <w:kern w:val="22"/>
          <w:bdr w:val="none" w:sz="0" w:space="0" w:color="auto"/>
          <w:lang w:val="en-GB"/>
        </w:rPr>
        <w:t xml:space="preserve">reported on </w:t>
      </w:r>
      <w:r w:rsidRPr="00DF02C5">
        <w:rPr>
          <w:rFonts w:eastAsia="Calibri" w:hAnsi="Times New Roman" w:cs="Times New Roman"/>
          <w:snapToGrid w:val="0"/>
          <w:color w:val="auto"/>
          <w:kern w:val="22"/>
          <w:bdr w:val="none" w:sz="0" w:space="0" w:color="auto"/>
          <w:lang w:val="en-GB"/>
        </w:rPr>
        <w:t>the approval of two relevant programmes</w:t>
      </w:r>
      <w:r w:rsidR="00652ACB" w:rsidRPr="00DF02C5">
        <w:rPr>
          <w:rFonts w:eastAsia="Calibri" w:hAnsi="Times New Roman" w:cs="Times New Roman"/>
          <w:snapToGrid w:val="0"/>
          <w:color w:val="auto"/>
          <w:kern w:val="22"/>
          <w:bdr w:val="none" w:sz="0" w:space="0" w:color="auto"/>
          <w:lang w:val="en-GB"/>
        </w:rPr>
        <w:t xml:space="preserve">: </w:t>
      </w:r>
      <w:proofErr w:type="gramStart"/>
      <w:r w:rsidRPr="00DF02C5">
        <w:rPr>
          <w:rFonts w:eastAsia="Calibri" w:hAnsi="Times New Roman" w:cs="Times New Roman"/>
          <w:snapToGrid w:val="0"/>
          <w:color w:val="auto"/>
          <w:kern w:val="22"/>
          <w:bdr w:val="none" w:sz="0" w:space="0" w:color="auto"/>
          <w:lang w:val="en-GB"/>
        </w:rPr>
        <w:t>the</w:t>
      </w:r>
      <w:proofErr w:type="gramEnd"/>
      <w:r w:rsidRPr="00DF02C5">
        <w:rPr>
          <w:rFonts w:eastAsia="Calibri" w:hAnsi="Times New Roman" w:cs="Times New Roman"/>
          <w:snapToGrid w:val="0"/>
          <w:color w:val="auto"/>
          <w:kern w:val="22"/>
          <w:bdr w:val="none" w:sz="0" w:space="0" w:color="auto"/>
          <w:lang w:val="en-GB"/>
        </w:rPr>
        <w:t xml:space="preserve"> National Programme for Strengthening Management of Genetic Resources 2014-2020</w:t>
      </w:r>
      <w:r w:rsidR="00652ACB" w:rsidRPr="00DF02C5">
        <w:rPr>
          <w:rFonts w:eastAsia="Calibri" w:hAnsi="Times New Roman" w:cs="Times New Roman"/>
          <w:snapToGrid w:val="0"/>
          <w:color w:val="auto"/>
          <w:kern w:val="22"/>
          <w:bdr w:val="none" w:sz="0" w:space="0" w:color="auto"/>
          <w:lang w:val="en-GB"/>
        </w:rPr>
        <w:t xml:space="preserve"> and</w:t>
      </w:r>
      <w:r w:rsidRPr="00DF02C5">
        <w:rPr>
          <w:rFonts w:eastAsia="Calibri" w:hAnsi="Times New Roman" w:cs="Times New Roman"/>
          <w:snapToGrid w:val="0"/>
          <w:color w:val="auto"/>
          <w:kern w:val="22"/>
          <w:bdr w:val="none" w:sz="0" w:space="0" w:color="auto"/>
          <w:lang w:val="en-GB"/>
        </w:rPr>
        <w:t xml:space="preserve"> the National Action Plan for Conservation and Sustainable Use of Timb</w:t>
      </w:r>
      <w:r w:rsidR="003C477F">
        <w:rPr>
          <w:rFonts w:eastAsia="Calibri" w:hAnsi="Times New Roman" w:cs="Times New Roman"/>
          <w:snapToGrid w:val="0"/>
          <w:color w:val="auto"/>
          <w:kern w:val="22"/>
          <w:bdr w:val="none" w:sz="0" w:space="0" w:color="auto"/>
          <w:lang w:val="en-GB"/>
        </w:rPr>
        <w:t>er Genetic Resources 2015-2025;</w:t>
      </w:r>
    </w:p>
    <w:p w14:paraId="541979B8" w14:textId="5A38BA6D" w:rsidR="00A60AB6" w:rsidRPr="003C477F" w:rsidRDefault="003C477F" w:rsidP="003C477F">
      <w:pPr>
        <w:pStyle w:val="ListParagraph"/>
        <w:numPr>
          <w:ilvl w:val="0"/>
          <w:numId w:val="40"/>
        </w:numPr>
        <w:ind w:left="0" w:firstLine="720"/>
        <w:rPr>
          <w:rFonts w:eastAsia="Calibri" w:hAnsi="Times New Roman" w:cs="Times New Roman"/>
          <w:snapToGrid w:val="0"/>
          <w:color w:val="auto"/>
          <w:kern w:val="22"/>
          <w:bdr w:val="none" w:sz="0" w:space="0" w:color="auto"/>
          <w:lang w:val="en-GB"/>
        </w:rPr>
      </w:pPr>
      <w:r>
        <w:rPr>
          <w:rFonts w:eastAsia="Calibri" w:hAnsi="Times New Roman" w:cs="Times New Roman"/>
          <w:snapToGrid w:val="0"/>
          <w:color w:val="auto"/>
          <w:kern w:val="22"/>
          <w:bdr w:val="none" w:sz="0" w:space="0" w:color="auto"/>
          <w:lang w:val="en-GB"/>
        </w:rPr>
        <w:t>Peru organiz</w:t>
      </w:r>
      <w:r w:rsidR="00A60AB6" w:rsidRPr="00DF02C5">
        <w:rPr>
          <w:rFonts w:eastAsia="Calibri" w:hAnsi="Times New Roman" w:cs="Times New Roman"/>
          <w:snapToGrid w:val="0"/>
          <w:color w:val="auto"/>
          <w:kern w:val="22"/>
          <w:bdr w:val="none" w:sz="0" w:space="0" w:color="auto"/>
          <w:lang w:val="en-GB"/>
        </w:rPr>
        <w:t>ed participatory workshops with civil servants, researchers, the private sector and providers of genetic resources and associated traditional knowledge to prepare a proposal for strategic measures on capacity-building. The proposal contains the following elements: a matrix of expectations and national demands in the implementation of the Nagoya Protocol; strategic measures and activities for the short, medium and long-term responding to the current ABS situation; and a</w:t>
      </w:r>
      <w:r>
        <w:rPr>
          <w:rFonts w:eastAsia="Calibri" w:hAnsi="Times New Roman" w:cs="Times New Roman"/>
          <w:snapToGrid w:val="0"/>
          <w:color w:val="auto"/>
          <w:kern w:val="22"/>
          <w:bdr w:val="none" w:sz="0" w:space="0" w:color="auto"/>
          <w:lang w:val="en-GB"/>
        </w:rPr>
        <w:t xml:space="preserve"> roadmap with activities organiz</w:t>
      </w:r>
      <w:r w:rsidR="00A60AB6" w:rsidRPr="00DF02C5">
        <w:rPr>
          <w:rFonts w:eastAsia="Calibri" w:hAnsi="Times New Roman" w:cs="Times New Roman"/>
          <w:snapToGrid w:val="0"/>
          <w:color w:val="auto"/>
          <w:kern w:val="22"/>
          <w:bdr w:val="none" w:sz="0" w:space="0" w:color="auto"/>
          <w:lang w:val="en-GB"/>
        </w:rPr>
        <w:t>ed in terms of priority.</w:t>
      </w:r>
    </w:p>
    <w:p w14:paraId="705F77DC" w14:textId="551D558D" w:rsidR="00A60AB6" w:rsidRPr="003C477F" w:rsidRDefault="00D955FB" w:rsidP="003C477F">
      <w:pPr>
        <w:pStyle w:val="ListParagraph"/>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240" w:after="120"/>
        <w:ind w:left="1354" w:right="360" w:hanging="720"/>
        <w:jc w:val="left"/>
        <w:rPr>
          <w:rFonts w:eastAsia="Calibri" w:hAnsi="Times New Roman" w:cs="Times New Roman"/>
          <w:i/>
          <w:snapToGrid w:val="0"/>
          <w:color w:val="auto"/>
          <w:kern w:val="22"/>
          <w:bdr w:val="none" w:sz="0" w:space="0" w:color="auto"/>
          <w:lang w:val="en-GB"/>
        </w:rPr>
      </w:pPr>
      <w:r w:rsidRPr="003C477F">
        <w:rPr>
          <w:rFonts w:eastAsia="Calibri" w:hAnsi="Times New Roman"/>
          <w:i/>
          <w:snapToGrid w:val="0"/>
          <w:color w:val="auto"/>
          <w:kern w:val="22"/>
          <w:bdr w:val="none" w:sz="0" w:space="0" w:color="auto"/>
          <w:lang w:val="en-GB"/>
        </w:rPr>
        <w:t>Has your country received external support for building and developing capacity for the implementation of the Nagoya Protocol?</w:t>
      </w:r>
      <w:r w:rsidR="000F63D8" w:rsidRPr="003C477F">
        <w:rPr>
          <w:rFonts w:eastAsia="Calibri" w:hAnsi="Times New Roman"/>
          <w:i/>
          <w:snapToGrid w:val="0"/>
          <w:color w:val="auto"/>
          <w:kern w:val="22"/>
          <w:bdr w:val="none" w:sz="0" w:space="0" w:color="auto"/>
          <w:lang w:val="en-GB"/>
        </w:rPr>
        <w:t xml:space="preserve"> </w:t>
      </w:r>
      <w:r w:rsidR="000F63D8" w:rsidRPr="003C477F">
        <w:rPr>
          <w:rFonts w:eastAsia="Calibri" w:hAnsi="Times New Roman" w:cs="Times New Roman"/>
          <w:i/>
          <w:snapToGrid w:val="0"/>
          <w:color w:val="auto"/>
          <w:kern w:val="22"/>
          <w:bdr w:val="none" w:sz="0" w:space="0" w:color="auto"/>
          <w:lang w:val="en-GB"/>
        </w:rPr>
        <w:t>(</w:t>
      </w:r>
      <w:r w:rsidR="00A60AB6" w:rsidRPr="003C477F">
        <w:rPr>
          <w:rFonts w:eastAsia="Calibri" w:hAnsi="Times New Roman" w:cs="Times New Roman"/>
          <w:i/>
          <w:snapToGrid w:val="0"/>
          <w:color w:val="auto"/>
          <w:kern w:val="22"/>
          <w:bdr w:val="none" w:sz="0" w:space="0" w:color="auto"/>
          <w:lang w:val="en-GB"/>
        </w:rPr>
        <w:t>question 56)</w:t>
      </w:r>
    </w:p>
    <w:p w14:paraId="1A953DEB" w14:textId="498524B5" w:rsidR="00D955FB" w:rsidRPr="00DF02C5" w:rsidRDefault="004D17AC" w:rsidP="00CB6ACA">
      <w:pPr>
        <w:pStyle w:val="Para1"/>
        <w:numPr>
          <w:ilvl w:val="0"/>
          <w:numId w:val="93"/>
        </w:numPr>
        <w:rPr>
          <w:rFonts w:eastAsia="Calibri" w:hAnsi="Times New Roman"/>
          <w:snapToGrid w:val="0"/>
          <w:color w:val="FF0000"/>
          <w:kern w:val="22"/>
          <w:bdr w:val="none" w:sz="0" w:space="0" w:color="auto"/>
          <w:lang w:val="en-GB"/>
        </w:rPr>
      </w:pPr>
      <w:proofErr w:type="gramStart"/>
      <w:r w:rsidRPr="00DF02C5">
        <w:rPr>
          <w:rFonts w:hAnsi="Times New Roman"/>
          <w:bdr w:val="none" w:sz="0" w:space="0" w:color="auto"/>
          <w:lang w:val="en-GB"/>
        </w:rPr>
        <w:t>Forty-five</w:t>
      </w:r>
      <w:proofErr w:type="gramEnd"/>
      <w:r w:rsidRPr="00DF02C5">
        <w:rPr>
          <w:rFonts w:hAnsi="Times New Roman"/>
          <w:bdr w:val="none" w:sz="0" w:space="0" w:color="auto"/>
          <w:lang w:val="en-GB"/>
        </w:rPr>
        <w:t xml:space="preserve"> Parties and two non-Parties responded that they </w:t>
      </w:r>
      <w:r w:rsidR="00D955FB" w:rsidRPr="00DF02C5">
        <w:rPr>
          <w:rFonts w:hAnsi="Times New Roman"/>
          <w:bdr w:val="none" w:sz="0" w:space="0" w:color="auto"/>
          <w:lang w:val="en-GB"/>
        </w:rPr>
        <w:t>have received external support, while thirty-two Parties and four non-Parties responded that they have not.</w:t>
      </w:r>
    </w:p>
    <w:p w14:paraId="30B86762" w14:textId="26C127B0" w:rsidR="00D955FB" w:rsidRPr="00DF02C5" w:rsidRDefault="00E5256F" w:rsidP="00E5256F">
      <w:pPr>
        <w:pStyle w:val="Caption"/>
        <w:keepNext/>
        <w:keepLines/>
        <w:rPr>
          <w:snapToGrid w:val="0"/>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Pr="00DF02C5">
        <w:rPr>
          <w:noProof/>
          <w:lang w:val="en-GB"/>
        </w:rPr>
        <w:t>49</w:t>
      </w:r>
      <w:r w:rsidRPr="00DF02C5">
        <w:rPr>
          <w:lang w:val="en-GB"/>
        </w:rPr>
        <w:fldChar w:fldCharType="end"/>
      </w:r>
      <w:r w:rsidR="00D955FB" w:rsidRPr="00DF02C5">
        <w:rPr>
          <w:snapToGrid w:val="0"/>
          <w:bdr w:val="none" w:sz="0" w:space="0" w:color="auto"/>
          <w:lang w:val="en-GB"/>
        </w:rPr>
        <w:t>: Receipt of external support (percentage of countries)</w:t>
      </w:r>
    </w:p>
    <w:p w14:paraId="49D1E1EA" w14:textId="69C21625" w:rsidR="00A60AB6" w:rsidRPr="00DF02C5" w:rsidRDefault="00D955FB" w:rsidP="00D955FB">
      <w:pPr>
        <w:pStyle w:val="Para1"/>
        <w:jc w:val="center"/>
        <w:rPr>
          <w:rFonts w:eastAsia="Calibri" w:hAnsi="Times New Roman"/>
          <w:snapToGrid w:val="0"/>
          <w:color w:val="FF0000"/>
          <w:kern w:val="22"/>
          <w:bdr w:val="none" w:sz="0" w:space="0" w:color="auto"/>
          <w:lang w:val="en-GB"/>
        </w:rPr>
      </w:pPr>
      <w:r w:rsidRPr="00DF02C5">
        <w:rPr>
          <w:noProof/>
        </w:rPr>
        <w:drawing>
          <wp:inline distT="0" distB="0" distL="0" distR="0" wp14:anchorId="6C878F04" wp14:editId="7F2B7BF3">
            <wp:extent cx="3581400" cy="2009775"/>
            <wp:effectExtent l="0" t="0" r="19050" b="952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B954452" w14:textId="117C579F" w:rsidR="00A60AB6" w:rsidRPr="003C477F" w:rsidRDefault="00D955FB" w:rsidP="003C477F">
      <w:pPr>
        <w:pStyle w:val="ListParagraph"/>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ind w:left="1350" w:right="450" w:hanging="720"/>
        <w:jc w:val="left"/>
        <w:rPr>
          <w:rFonts w:eastAsia="Calibri" w:hAnsi="Times New Roman" w:cs="Times New Roman"/>
          <w:i/>
          <w:snapToGrid w:val="0"/>
          <w:color w:val="auto"/>
          <w:kern w:val="22"/>
          <w:bdr w:val="none" w:sz="0" w:space="0" w:color="auto"/>
          <w:lang w:val="en-GB"/>
        </w:rPr>
      </w:pPr>
      <w:r w:rsidRPr="003C477F">
        <w:rPr>
          <w:rFonts w:eastAsia="Calibri" w:hAnsi="Times New Roman" w:cs="Times New Roman"/>
          <w:i/>
          <w:snapToGrid w:val="0"/>
          <w:color w:val="auto"/>
          <w:kern w:val="22"/>
          <w:bdr w:val="none" w:sz="0" w:space="0" w:color="auto"/>
          <w:lang w:val="en-GB"/>
        </w:rPr>
        <w:lastRenderedPageBreak/>
        <w:t>Has your country provided external support for building and developing capacity for the implementation of the Nagoya Protocol</w:t>
      </w:r>
      <w:r w:rsidR="00A60AB6" w:rsidRPr="003C477F">
        <w:rPr>
          <w:rFonts w:eastAsia="Calibri" w:hAnsi="Times New Roman" w:cs="Times New Roman"/>
          <w:i/>
          <w:snapToGrid w:val="0"/>
          <w:color w:val="auto"/>
          <w:kern w:val="22"/>
          <w:bdr w:val="none" w:sz="0" w:space="0" w:color="auto"/>
          <w:lang w:val="en-GB"/>
        </w:rPr>
        <w:t xml:space="preserve"> (question </w:t>
      </w:r>
      <w:proofErr w:type="gramStart"/>
      <w:r w:rsidR="00A60AB6" w:rsidRPr="003C477F">
        <w:rPr>
          <w:rFonts w:eastAsia="Calibri" w:hAnsi="Times New Roman" w:cs="Times New Roman"/>
          <w:i/>
          <w:snapToGrid w:val="0"/>
          <w:color w:val="auto"/>
          <w:kern w:val="22"/>
          <w:bdr w:val="none" w:sz="0" w:space="0" w:color="auto"/>
          <w:lang w:val="en-GB"/>
        </w:rPr>
        <w:t>57)</w:t>
      </w:r>
      <w:proofErr w:type="gramEnd"/>
    </w:p>
    <w:p w14:paraId="78146DAF" w14:textId="77777777" w:rsidR="00D955FB" w:rsidRPr="00DF02C5" w:rsidRDefault="00D05D3F" w:rsidP="00CB6ACA">
      <w:pPr>
        <w:pStyle w:val="Para1"/>
        <w:numPr>
          <w:ilvl w:val="0"/>
          <w:numId w:val="93"/>
        </w:numPr>
        <w:rPr>
          <w:rFonts w:eastAsia="Calibri" w:hAnsi="Times New Roman"/>
          <w:snapToGrid w:val="0"/>
          <w:color w:val="auto"/>
          <w:kern w:val="22"/>
          <w:bdr w:val="none" w:sz="0" w:space="0" w:color="auto"/>
          <w:lang w:val="en-GB"/>
        </w:rPr>
      </w:pPr>
      <w:proofErr w:type="gramStart"/>
      <w:r w:rsidRPr="00DF02C5">
        <w:rPr>
          <w:rFonts w:hAnsi="Times New Roman"/>
          <w:bdr w:val="none" w:sz="0" w:space="0" w:color="auto"/>
          <w:lang w:val="en-GB"/>
        </w:rPr>
        <w:t>Twenty-seven</w:t>
      </w:r>
      <w:proofErr w:type="gramEnd"/>
      <w:r w:rsidRPr="00DF02C5">
        <w:rPr>
          <w:rFonts w:hAnsi="Times New Roman"/>
          <w:bdr w:val="none" w:sz="0" w:space="0" w:color="auto"/>
          <w:lang w:val="en-GB"/>
        </w:rPr>
        <w:t xml:space="preserve"> Parties responded that they have </w:t>
      </w:r>
      <w:r w:rsidRPr="00DF02C5">
        <w:rPr>
          <w:rFonts w:eastAsia="Calibri" w:hAnsi="Times New Roman"/>
          <w:snapToGrid w:val="0"/>
          <w:color w:val="auto"/>
          <w:kern w:val="22"/>
          <w:bdr w:val="none" w:sz="0" w:space="0" w:color="auto"/>
          <w:lang w:val="en-GB"/>
        </w:rPr>
        <w:t>provided external support for b</w:t>
      </w:r>
      <w:r w:rsidR="00D955FB" w:rsidRPr="00DF02C5">
        <w:rPr>
          <w:rFonts w:eastAsia="Calibri" w:hAnsi="Times New Roman"/>
          <w:snapToGrid w:val="0"/>
          <w:color w:val="auto"/>
          <w:kern w:val="22"/>
          <w:bdr w:val="none" w:sz="0" w:space="0" w:color="auto"/>
          <w:lang w:val="en-GB"/>
        </w:rPr>
        <w:t xml:space="preserve">uilding and developing capacity and </w:t>
      </w:r>
      <w:r w:rsidR="00D955FB" w:rsidRPr="00DF02C5">
        <w:rPr>
          <w:rFonts w:hAnsi="Times New Roman"/>
          <w:bdr w:val="none" w:sz="0" w:space="0" w:color="auto"/>
          <w:lang w:val="en-GB"/>
        </w:rPr>
        <w:t>forty-three Parties and 5 non-Parties answered that they have not.</w:t>
      </w:r>
    </w:p>
    <w:p w14:paraId="786466A6" w14:textId="7C753815" w:rsidR="00D955FB" w:rsidRPr="00DF02C5" w:rsidRDefault="00E5256F" w:rsidP="00E5256F">
      <w:pPr>
        <w:pStyle w:val="Caption"/>
        <w:keepNext/>
        <w:keepLines/>
        <w:rPr>
          <w:snapToGrid w:val="0"/>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Pr="00DF02C5">
        <w:rPr>
          <w:noProof/>
          <w:lang w:val="en-GB"/>
        </w:rPr>
        <w:t>50</w:t>
      </w:r>
      <w:r w:rsidRPr="00DF02C5">
        <w:rPr>
          <w:lang w:val="en-GB"/>
        </w:rPr>
        <w:fldChar w:fldCharType="end"/>
      </w:r>
      <w:r w:rsidR="00D955FB" w:rsidRPr="00DF02C5">
        <w:rPr>
          <w:snapToGrid w:val="0"/>
          <w:bdr w:val="none" w:sz="0" w:space="0" w:color="auto"/>
          <w:lang w:val="en-GB"/>
        </w:rPr>
        <w:t>: Provision of external support (percentage of countries)</w:t>
      </w:r>
    </w:p>
    <w:p w14:paraId="72D7A0A5" w14:textId="553ACFF4" w:rsidR="00D955FB" w:rsidRPr="00DF02C5" w:rsidRDefault="00D955FB" w:rsidP="00D955FB">
      <w:pPr>
        <w:pStyle w:val="Para1"/>
        <w:jc w:val="center"/>
        <w:rPr>
          <w:rFonts w:eastAsia="Calibri" w:hAnsi="Times New Roman"/>
          <w:snapToGrid w:val="0"/>
          <w:color w:val="auto"/>
          <w:kern w:val="22"/>
          <w:bdr w:val="none" w:sz="0" w:space="0" w:color="auto"/>
          <w:lang w:val="en-GB"/>
        </w:rPr>
      </w:pPr>
      <w:r w:rsidRPr="00DF02C5">
        <w:rPr>
          <w:noProof/>
        </w:rPr>
        <w:drawing>
          <wp:inline distT="0" distB="0" distL="0" distR="0" wp14:anchorId="4C48A0C7" wp14:editId="0FEBC69B">
            <wp:extent cx="3581400" cy="1952625"/>
            <wp:effectExtent l="0" t="0" r="19050" b="952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6338DE7" w14:textId="52B12312" w:rsidR="00D955FB" w:rsidRPr="00DF02C5" w:rsidRDefault="00A60AB6" w:rsidP="00CB6ACA">
      <w:pPr>
        <w:pStyle w:val="Para1"/>
        <w:numPr>
          <w:ilvl w:val="0"/>
          <w:numId w:val="93"/>
        </w:numPr>
        <w:rPr>
          <w:lang w:val="en-GB"/>
        </w:rPr>
      </w:pPr>
      <w:r w:rsidRPr="00DF02C5">
        <w:rPr>
          <w:rFonts w:ascii="Helvetica Neue" w:eastAsia="Times New Roman" w:hAnsi="Helvetica Neue"/>
          <w:bCs/>
          <w:color w:val="333333"/>
          <w:sz w:val="21"/>
          <w:szCs w:val="21"/>
          <w:bdr w:val="none" w:sz="0" w:space="0" w:color="auto"/>
          <w:lang w:val="en-GB"/>
        </w:rPr>
        <w:t>In</w:t>
      </w:r>
      <w:r w:rsidRPr="00DF02C5">
        <w:rPr>
          <w:rFonts w:eastAsia="Calibri" w:hAnsi="Times New Roman"/>
          <w:snapToGrid w:val="0"/>
          <w:color w:val="auto"/>
          <w:kern w:val="22"/>
          <w:bdr w:val="none" w:sz="0" w:space="0" w:color="auto"/>
          <w:lang w:val="en-GB"/>
        </w:rPr>
        <w:t xml:space="preserve"> providing further information, many countries</w:t>
      </w:r>
      <w:r w:rsidRPr="00DF02C5">
        <w:rPr>
          <w:rStyle w:val="FootnoteReference"/>
          <w:rFonts w:eastAsia="Calibri" w:hAnsi="Times New Roman"/>
          <w:snapToGrid w:val="0"/>
          <w:color w:val="auto"/>
          <w:kern w:val="22"/>
          <w:bdr w:val="none" w:sz="0" w:space="0" w:color="auto"/>
          <w:lang w:val="en-GB"/>
        </w:rPr>
        <w:footnoteReference w:id="434"/>
      </w:r>
      <w:r w:rsidRPr="00DF02C5">
        <w:rPr>
          <w:rFonts w:eastAsia="Calibri" w:hAnsi="Times New Roman"/>
          <w:snapToGrid w:val="0"/>
          <w:color w:val="auto"/>
          <w:kern w:val="22"/>
          <w:bdr w:val="none" w:sz="0" w:space="0" w:color="auto"/>
          <w:lang w:val="en-GB"/>
        </w:rPr>
        <w:t xml:space="preserve"> reported on having participated in experience sharing, international workshops or providing technical expertise about the implementation of the Nagoya Protocol, and others provided information about their contributions to ABS projects, initiatives or funds</w:t>
      </w:r>
      <w:r w:rsidRPr="00DF02C5">
        <w:rPr>
          <w:rStyle w:val="FootnoteReference"/>
          <w:rFonts w:eastAsia="Calibri" w:hAnsi="Times New Roman"/>
          <w:snapToGrid w:val="0"/>
          <w:color w:val="auto"/>
          <w:kern w:val="22"/>
          <w:bdr w:val="none" w:sz="0" w:space="0" w:color="auto"/>
          <w:lang w:val="en-GB"/>
        </w:rPr>
        <w:footnoteReference w:id="435"/>
      </w:r>
      <w:r w:rsidRPr="00DF02C5">
        <w:rPr>
          <w:rFonts w:eastAsia="Calibri" w:hAnsi="Times New Roman"/>
          <w:snapToGrid w:val="0"/>
          <w:color w:val="auto"/>
          <w:kern w:val="22"/>
          <w:bdr w:val="none" w:sz="0" w:space="0" w:color="auto"/>
          <w:lang w:val="en-GB"/>
        </w:rPr>
        <w:t>,  to bilateral projects</w:t>
      </w:r>
      <w:r w:rsidRPr="00DF02C5">
        <w:rPr>
          <w:rStyle w:val="FootnoteReference"/>
          <w:rFonts w:eastAsia="Calibri" w:hAnsi="Times New Roman"/>
          <w:snapToGrid w:val="0"/>
          <w:color w:val="auto"/>
          <w:kern w:val="22"/>
          <w:bdr w:val="none" w:sz="0" w:space="0" w:color="auto"/>
          <w:lang w:val="en-GB"/>
        </w:rPr>
        <w:footnoteReference w:id="436"/>
      </w:r>
      <w:r w:rsidRPr="00DF02C5">
        <w:rPr>
          <w:rFonts w:eastAsia="Calibri" w:hAnsi="Times New Roman"/>
          <w:snapToGrid w:val="0"/>
          <w:color w:val="auto"/>
          <w:kern w:val="22"/>
          <w:bdr w:val="none" w:sz="0" w:space="0" w:color="auto"/>
          <w:lang w:val="en-GB"/>
        </w:rPr>
        <w:t xml:space="preserve"> or regional initiatives</w:t>
      </w:r>
      <w:r w:rsidRPr="00DF02C5">
        <w:rPr>
          <w:rStyle w:val="FootnoteReference"/>
          <w:rFonts w:eastAsia="Calibri" w:hAnsi="Times New Roman"/>
          <w:snapToGrid w:val="0"/>
          <w:color w:val="auto"/>
          <w:kern w:val="22"/>
          <w:bdr w:val="none" w:sz="0" w:space="0" w:color="auto"/>
          <w:lang w:val="en-GB"/>
        </w:rPr>
        <w:footnoteReference w:id="437"/>
      </w:r>
      <w:r w:rsidRPr="00DF02C5">
        <w:rPr>
          <w:rFonts w:eastAsia="Calibri" w:hAnsi="Times New Roman"/>
          <w:snapToGrid w:val="0"/>
          <w:color w:val="FF0000"/>
          <w:kern w:val="22"/>
          <w:bdr w:val="none" w:sz="0" w:space="0" w:color="auto"/>
          <w:lang w:val="en-GB"/>
        </w:rPr>
        <w:t xml:space="preserve"> </w:t>
      </w:r>
      <w:r w:rsidRPr="00DF02C5">
        <w:rPr>
          <w:rFonts w:eastAsia="Calibri" w:hAnsi="Times New Roman"/>
          <w:snapToGrid w:val="0"/>
          <w:color w:val="auto"/>
          <w:kern w:val="22"/>
          <w:bdr w:val="none" w:sz="0" w:space="0" w:color="auto"/>
          <w:lang w:val="en-GB"/>
        </w:rPr>
        <w:t>or about hosting capacity-building activities</w:t>
      </w:r>
      <w:r w:rsidR="0036635C" w:rsidRPr="00DF02C5">
        <w:rPr>
          <w:rStyle w:val="FootnoteReference"/>
          <w:rFonts w:eastAsia="Calibri" w:hAnsi="Times New Roman"/>
          <w:snapToGrid w:val="0"/>
          <w:kern w:val="22"/>
          <w:bdr w:val="none" w:sz="0" w:space="0" w:color="auto"/>
          <w:lang w:val="en-GB"/>
        </w:rPr>
        <w:footnoteReference w:id="438"/>
      </w:r>
      <w:r w:rsidRPr="00DF02C5">
        <w:rPr>
          <w:rFonts w:eastAsia="Calibri" w:hAnsi="Times New Roman"/>
          <w:snapToGrid w:val="0"/>
          <w:color w:val="auto"/>
          <w:kern w:val="22"/>
          <w:bdr w:val="none" w:sz="0" w:space="0" w:color="auto"/>
          <w:lang w:val="en-GB"/>
        </w:rPr>
        <w:t>.</w:t>
      </w:r>
      <w:r w:rsidRPr="00DF02C5">
        <w:rPr>
          <w:rStyle w:val="FootnoteReference"/>
          <w:rFonts w:eastAsia="Calibri" w:hAnsi="Times New Roman"/>
          <w:snapToGrid w:val="0"/>
          <w:color w:val="FF0000"/>
          <w:kern w:val="22"/>
          <w:bdr w:val="none" w:sz="0" w:space="0" w:color="auto"/>
          <w:lang w:val="en-GB"/>
        </w:rPr>
        <w:t xml:space="preserve"> </w:t>
      </w:r>
      <w:r w:rsidR="008C21B1" w:rsidRPr="00DF02C5">
        <w:rPr>
          <w:lang w:val="en-GB"/>
        </w:rPr>
        <w:t xml:space="preserve"> For example:</w:t>
      </w:r>
    </w:p>
    <w:p w14:paraId="6D0EB2A2" w14:textId="02579CF0" w:rsidR="00A60AB6" w:rsidRPr="00DF02C5" w:rsidRDefault="00A60AB6" w:rsidP="005038A2">
      <w:pPr>
        <w:pStyle w:val="ListParagraph"/>
        <w:numPr>
          <w:ilvl w:val="0"/>
          <w:numId w:val="34"/>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Denmark, </w:t>
      </w:r>
      <w:r w:rsidR="0036635C" w:rsidRPr="00DF02C5">
        <w:rPr>
          <w:rFonts w:eastAsia="Calibri" w:hAnsi="Times New Roman" w:cs="Times New Roman"/>
          <w:snapToGrid w:val="0"/>
          <w:color w:val="auto"/>
          <w:kern w:val="22"/>
          <w:bdr w:val="none" w:sz="0" w:space="0" w:color="auto"/>
          <w:lang w:val="en-GB"/>
        </w:rPr>
        <w:t xml:space="preserve">the </w:t>
      </w:r>
      <w:r w:rsidRPr="00DF02C5">
        <w:rPr>
          <w:rFonts w:eastAsia="Calibri" w:hAnsi="Times New Roman" w:cs="Times New Roman"/>
          <w:snapToGrid w:val="0"/>
          <w:color w:val="auto"/>
          <w:kern w:val="22"/>
          <w:bdr w:val="none" w:sz="0" w:space="0" w:color="auto"/>
          <w:lang w:val="en-GB"/>
        </w:rPr>
        <w:t>European Union, France, Germany and Norway reported having contributed to the ABS Capacity Development Initiative</w:t>
      </w:r>
      <w:r w:rsidR="003C477F">
        <w:rPr>
          <w:rFonts w:eastAsia="Calibri" w:hAnsi="Times New Roman" w:cs="Times New Roman"/>
          <w:snapToGrid w:val="0"/>
          <w:color w:val="auto"/>
          <w:kern w:val="22"/>
          <w:bdr w:val="none" w:sz="0" w:space="0" w:color="auto"/>
          <w:lang w:val="en-GB"/>
        </w:rPr>
        <w:t>;</w:t>
      </w:r>
    </w:p>
    <w:p w14:paraId="67E7DBEC" w14:textId="4EE9E2DC" w:rsidR="00A60AB6" w:rsidRPr="00DF02C5" w:rsidRDefault="00A60AB6" w:rsidP="005038A2">
      <w:pPr>
        <w:pStyle w:val="ListParagraph"/>
        <w:numPr>
          <w:ilvl w:val="0"/>
          <w:numId w:val="34"/>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The European Union </w:t>
      </w:r>
      <w:r w:rsidR="00BD60A0" w:rsidRPr="00DF02C5">
        <w:rPr>
          <w:rFonts w:eastAsia="Calibri" w:hAnsi="Times New Roman" w:cs="Times New Roman"/>
          <w:snapToGrid w:val="0"/>
          <w:color w:val="auto"/>
          <w:kern w:val="22"/>
          <w:bdr w:val="none" w:sz="0" w:space="0" w:color="auto"/>
          <w:lang w:val="en-GB"/>
        </w:rPr>
        <w:t>indicated</w:t>
      </w:r>
      <w:r w:rsidRPr="00DF02C5">
        <w:rPr>
          <w:rFonts w:eastAsia="Calibri" w:hAnsi="Times New Roman" w:cs="Times New Roman"/>
          <w:snapToGrid w:val="0"/>
          <w:color w:val="auto"/>
          <w:kern w:val="22"/>
          <w:bdr w:val="none" w:sz="0" w:space="0" w:color="auto"/>
          <w:lang w:val="en-GB"/>
        </w:rPr>
        <w:t xml:space="preserve"> that in addition to contributing to the ABS Capacity Development Initiative, they provide on-going support to the CBD Secretariat for the implementation of the Protocol and support African-Caribbean-Pacific (ACP) countries for accession a</w:t>
      </w:r>
      <w:r w:rsidR="008C21B1" w:rsidRPr="00DF02C5">
        <w:rPr>
          <w:rFonts w:eastAsia="Calibri" w:hAnsi="Times New Roman" w:cs="Times New Roman"/>
          <w:snapToGrid w:val="0"/>
          <w:color w:val="auto"/>
          <w:kern w:val="22"/>
          <w:bdr w:val="none" w:sz="0" w:space="0" w:color="auto"/>
          <w:lang w:val="en-GB"/>
        </w:rPr>
        <w:t>nd ratification of the Pro</w:t>
      </w:r>
      <w:r w:rsidR="003C477F">
        <w:rPr>
          <w:rFonts w:eastAsia="Calibri" w:hAnsi="Times New Roman" w:cs="Times New Roman"/>
          <w:snapToGrid w:val="0"/>
          <w:color w:val="auto"/>
          <w:kern w:val="22"/>
          <w:bdr w:val="none" w:sz="0" w:space="0" w:color="auto"/>
          <w:lang w:val="en-GB"/>
        </w:rPr>
        <w:t>tocol;</w:t>
      </w:r>
    </w:p>
    <w:p w14:paraId="44ECDC4D" w14:textId="05FAFEE6" w:rsidR="00A60AB6" w:rsidRPr="00DF02C5" w:rsidRDefault="00A60AB6" w:rsidP="005038A2">
      <w:pPr>
        <w:pStyle w:val="ListParagraph"/>
        <w:numPr>
          <w:ilvl w:val="0"/>
          <w:numId w:val="34"/>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Under the ASEAN India Green Fund, the Government of India collaborates with ASEAN Secretariat for capacity</w:t>
      </w:r>
      <w:r w:rsidR="0036635C" w:rsidRPr="00DF02C5">
        <w:rPr>
          <w:rFonts w:eastAsia="Calibri" w:hAnsi="Times New Roman" w:cs="Times New Roman"/>
          <w:snapToGrid w:val="0"/>
          <w:color w:val="auto"/>
          <w:kern w:val="22"/>
          <w:bdr w:val="none" w:sz="0" w:space="0" w:color="auto"/>
          <w:lang w:val="en-GB"/>
        </w:rPr>
        <w:t>-</w:t>
      </w:r>
      <w:r w:rsidRPr="00DF02C5">
        <w:rPr>
          <w:rFonts w:eastAsia="Calibri" w:hAnsi="Times New Roman" w:cs="Times New Roman"/>
          <w:snapToGrid w:val="0"/>
          <w:color w:val="auto"/>
          <w:kern w:val="22"/>
          <w:bdr w:val="none" w:sz="0" w:space="0" w:color="auto"/>
          <w:lang w:val="en-GB"/>
        </w:rPr>
        <w:t>building among ASEAN countries for ABS and traditional knowledg</w:t>
      </w:r>
      <w:r w:rsidR="003C477F">
        <w:rPr>
          <w:rFonts w:eastAsia="Calibri" w:hAnsi="Times New Roman" w:cs="Times New Roman"/>
          <w:snapToGrid w:val="0"/>
          <w:color w:val="auto"/>
          <w:kern w:val="22"/>
          <w:bdr w:val="none" w:sz="0" w:space="0" w:color="auto"/>
          <w:lang w:val="en-GB"/>
        </w:rPr>
        <w:t>e associated with bio-resources;</w:t>
      </w:r>
    </w:p>
    <w:p w14:paraId="4DCC6192" w14:textId="7D7F4ADD" w:rsidR="00A60AB6" w:rsidRPr="00DF02C5" w:rsidRDefault="00A60AB6" w:rsidP="005038A2">
      <w:pPr>
        <w:pStyle w:val="ListParagraph"/>
        <w:numPr>
          <w:ilvl w:val="0"/>
          <w:numId w:val="34"/>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Japan has been assisting developing country Parties and others with their capacity building for effective implementation of the Protocol through contributions to the Nagoya Protocol Implementation Fund and the Japan Biodiversity Fund as well as </w:t>
      </w:r>
      <w:r w:rsidR="003C477F">
        <w:rPr>
          <w:rFonts w:eastAsia="Calibri" w:hAnsi="Times New Roman" w:cs="Times New Roman"/>
          <w:snapToGrid w:val="0"/>
          <w:color w:val="auto"/>
          <w:kern w:val="22"/>
          <w:bdr w:val="none" w:sz="0" w:space="0" w:color="auto"/>
          <w:lang w:val="en-GB"/>
        </w:rPr>
        <w:t>development assistance projects;</w:t>
      </w:r>
    </w:p>
    <w:p w14:paraId="34C7F196" w14:textId="77777777" w:rsidR="00A60AB6" w:rsidRPr="00DF02C5" w:rsidRDefault="00A60AB6" w:rsidP="005038A2">
      <w:pPr>
        <w:pStyle w:val="ListParagraph"/>
        <w:numPr>
          <w:ilvl w:val="0"/>
          <w:numId w:val="34"/>
        </w:numPr>
        <w:spacing w:before="120" w:after="120" w:line="228" w:lineRule="auto"/>
        <w:ind w:left="0" w:firstLine="709"/>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Through the Darwin Initiative the United Kingdom of Great Britain and Northern Ireland is supporting a project in Cameroon, Namibia and South Africa to develop a Community of Practice around ABS.</w:t>
      </w:r>
    </w:p>
    <w:p w14:paraId="5D258A09" w14:textId="06965F15" w:rsidR="00A60AB6" w:rsidRPr="003C477F" w:rsidRDefault="00A60AB6" w:rsidP="003C477F">
      <w:pPr>
        <w:pStyle w:val="ListParagraph"/>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240" w:after="120"/>
        <w:ind w:left="0" w:firstLine="0"/>
        <w:jc w:val="center"/>
        <w:rPr>
          <w:rFonts w:eastAsia="Calibri" w:hAnsi="Times New Roman"/>
          <w:i/>
          <w:snapToGrid w:val="0"/>
          <w:color w:val="auto"/>
          <w:kern w:val="22"/>
          <w:bdr w:val="none" w:sz="0" w:space="0" w:color="auto"/>
          <w:lang w:val="en-GB"/>
        </w:rPr>
      </w:pPr>
      <w:r w:rsidRPr="003C477F">
        <w:rPr>
          <w:rFonts w:eastAsia="Calibri" w:hAnsi="Times New Roman" w:cs="Times New Roman"/>
          <w:i/>
          <w:snapToGrid w:val="0"/>
          <w:color w:val="auto"/>
          <w:kern w:val="22"/>
          <w:bdr w:val="none" w:sz="0" w:space="0" w:color="auto"/>
          <w:lang w:val="en-GB"/>
        </w:rPr>
        <w:t>Additional informati</w:t>
      </w:r>
      <w:r w:rsidR="008C21B1" w:rsidRPr="003C477F">
        <w:rPr>
          <w:rFonts w:eastAsia="Calibri" w:hAnsi="Times New Roman" w:cs="Times New Roman"/>
          <w:i/>
          <w:snapToGrid w:val="0"/>
          <w:color w:val="auto"/>
          <w:kern w:val="22"/>
          <w:bdr w:val="none" w:sz="0" w:space="0" w:color="auto"/>
          <w:lang w:val="en-GB"/>
        </w:rPr>
        <w:t xml:space="preserve">on: summary of the main difficulties and challenges </w:t>
      </w:r>
      <w:r w:rsidRPr="003C477F">
        <w:rPr>
          <w:rFonts w:eastAsia="Calibri" w:hAnsi="Times New Roman" w:cs="Times New Roman"/>
          <w:i/>
          <w:snapToGrid w:val="0"/>
          <w:color w:val="auto"/>
          <w:kern w:val="22"/>
          <w:bdr w:val="none" w:sz="0" w:space="0" w:color="auto"/>
          <w:lang w:val="en-GB"/>
        </w:rPr>
        <w:t>(question 58)</w:t>
      </w:r>
    </w:p>
    <w:p w14:paraId="5D2C220E" w14:textId="4A49E6AE" w:rsidR="00A60AB6" w:rsidRPr="00DF02C5" w:rsidRDefault="00AA6BF9"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Twenty-nine countries answered this question. </w:t>
      </w:r>
      <w:r w:rsidR="008C21B1" w:rsidRPr="00DF02C5">
        <w:rPr>
          <w:rFonts w:eastAsia="Calibri" w:hAnsi="Times New Roman"/>
          <w:snapToGrid w:val="0"/>
          <w:color w:val="auto"/>
          <w:kern w:val="22"/>
          <w:bdr w:val="none" w:sz="0" w:space="0" w:color="auto"/>
          <w:lang w:val="en-GB"/>
        </w:rPr>
        <w:t>M</w:t>
      </w:r>
      <w:r w:rsidR="00A60AB6" w:rsidRPr="00DF02C5">
        <w:rPr>
          <w:rFonts w:eastAsia="Calibri" w:hAnsi="Times New Roman"/>
          <w:snapToGrid w:val="0"/>
          <w:color w:val="auto"/>
          <w:kern w:val="22"/>
          <w:bdr w:val="none" w:sz="0" w:space="0" w:color="auto"/>
          <w:lang w:val="en-GB"/>
        </w:rPr>
        <w:t xml:space="preserve">any countries referred to the need for financial resources. </w:t>
      </w:r>
      <w:proofErr w:type="gramStart"/>
      <w:r w:rsidR="00A60AB6" w:rsidRPr="00DF02C5">
        <w:rPr>
          <w:rFonts w:eastAsia="Calibri" w:hAnsi="Times New Roman"/>
          <w:snapToGrid w:val="0"/>
          <w:color w:val="auto"/>
          <w:kern w:val="22"/>
          <w:bdr w:val="none" w:sz="0" w:space="0" w:color="auto"/>
          <w:lang w:val="en-GB"/>
        </w:rPr>
        <w:t>Th</w:t>
      </w:r>
      <w:r w:rsidR="00B54C38">
        <w:rPr>
          <w:rFonts w:eastAsia="Calibri" w:hAnsi="Times New Roman"/>
          <w:snapToGrid w:val="0"/>
          <w:color w:val="auto"/>
          <w:kern w:val="22"/>
          <w:bdr w:val="none" w:sz="0" w:space="0" w:color="auto"/>
          <w:lang w:val="en-GB"/>
        </w:rPr>
        <w:t>e majority of</w:t>
      </w:r>
      <w:proofErr w:type="gramEnd"/>
      <w:r w:rsidR="00B54C38">
        <w:rPr>
          <w:rFonts w:eastAsia="Calibri" w:hAnsi="Times New Roman"/>
          <w:snapToGrid w:val="0"/>
          <w:color w:val="auto"/>
          <w:kern w:val="22"/>
          <w:bdr w:val="none" w:sz="0" w:space="0" w:color="auto"/>
          <w:lang w:val="en-GB"/>
        </w:rPr>
        <w:t xml:space="preserve"> countries recogniz</w:t>
      </w:r>
      <w:r w:rsidR="00A60AB6" w:rsidRPr="00DF02C5">
        <w:rPr>
          <w:rFonts w:eastAsia="Calibri" w:hAnsi="Times New Roman"/>
          <w:snapToGrid w:val="0"/>
          <w:color w:val="auto"/>
          <w:kern w:val="22"/>
          <w:bdr w:val="none" w:sz="0" w:space="0" w:color="auto"/>
          <w:lang w:val="en-GB"/>
        </w:rPr>
        <w:t>ed that they require more capacity to implement the Protocol. The need to raise awareness of the Protocol and ABS was also noted by many.</w:t>
      </w:r>
    </w:p>
    <w:p w14:paraId="01235073" w14:textId="38D26678" w:rsidR="00A60AB6" w:rsidRPr="00DF02C5" w:rsidRDefault="00A60AB6"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lastRenderedPageBreak/>
        <w:t>Some countries specified that further capacity was needed to achieve the following goals: (a) provide information to the</w:t>
      </w:r>
      <w:r w:rsidR="00B54C38">
        <w:rPr>
          <w:rFonts w:eastAsia="Calibri" w:hAnsi="Times New Roman"/>
          <w:snapToGrid w:val="0"/>
          <w:color w:val="auto"/>
          <w:kern w:val="22"/>
          <w:bdr w:val="none" w:sz="0" w:space="0" w:color="auto"/>
          <w:lang w:val="en-GB"/>
        </w:rPr>
        <w:t xml:space="preserve"> ABS Clearing-House; (b) mobilize financial resources; </w:t>
      </w:r>
      <w:r w:rsidRPr="00DF02C5">
        <w:rPr>
          <w:rFonts w:eastAsia="Calibri" w:hAnsi="Times New Roman"/>
          <w:snapToGrid w:val="0"/>
          <w:color w:val="auto"/>
          <w:kern w:val="22"/>
          <w:bdr w:val="none" w:sz="0" w:space="0" w:color="auto"/>
          <w:lang w:val="en-GB"/>
        </w:rPr>
        <w:t>(c) communicate ABS issues; (d) identify checkpoints and monitor the utilization of genetic resources; (d) negotiate mutually agreed terms and understand the value of genetic resources; and (</w:t>
      </w:r>
      <w:proofErr w:type="gramStart"/>
      <w:r w:rsidRPr="00DF02C5">
        <w:rPr>
          <w:rFonts w:eastAsia="Calibri" w:hAnsi="Times New Roman"/>
          <w:snapToGrid w:val="0"/>
          <w:color w:val="auto"/>
          <w:kern w:val="22"/>
          <w:bdr w:val="none" w:sz="0" w:space="0" w:color="auto"/>
          <w:lang w:val="en-GB"/>
        </w:rPr>
        <w:t>e)  add</w:t>
      </w:r>
      <w:proofErr w:type="gramEnd"/>
      <w:r w:rsidRPr="00DF02C5">
        <w:rPr>
          <w:rFonts w:eastAsia="Calibri" w:hAnsi="Times New Roman"/>
          <w:snapToGrid w:val="0"/>
          <w:color w:val="auto"/>
          <w:kern w:val="22"/>
          <w:bdr w:val="none" w:sz="0" w:space="0" w:color="auto"/>
          <w:lang w:val="en-GB"/>
        </w:rPr>
        <w:t xml:space="preserve"> value to their own genetic resources.</w:t>
      </w:r>
    </w:p>
    <w:p w14:paraId="42D20BB1" w14:textId="4B429319" w:rsidR="00A60AB6" w:rsidRPr="00DF02C5" w:rsidRDefault="00A60AB6"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The need to enhance the capacity of relevant stakeholders in relation to ABS</w:t>
      </w:r>
      <w:r w:rsidR="008C21B1" w:rsidRPr="00DF02C5">
        <w:rPr>
          <w:rFonts w:eastAsia="Calibri" w:hAnsi="Times New Roman"/>
          <w:snapToGrid w:val="0"/>
          <w:color w:val="auto"/>
          <w:kern w:val="22"/>
          <w:bdr w:val="none" w:sz="0" w:space="0" w:color="auto"/>
          <w:lang w:val="en-GB"/>
        </w:rPr>
        <w:t xml:space="preserve"> </w:t>
      </w:r>
      <w:r w:rsidR="00B54C38">
        <w:rPr>
          <w:rFonts w:eastAsia="Calibri" w:hAnsi="Times New Roman"/>
          <w:snapToGrid w:val="0"/>
          <w:color w:val="auto"/>
          <w:kern w:val="22"/>
          <w:bdr w:val="none" w:sz="0" w:space="0" w:color="auto"/>
          <w:lang w:val="en-GB"/>
        </w:rPr>
        <w:t>and of IPLCs was also emphasiz</w:t>
      </w:r>
      <w:r w:rsidRPr="00DF02C5">
        <w:rPr>
          <w:rFonts w:eastAsia="Calibri" w:hAnsi="Times New Roman"/>
          <w:snapToGrid w:val="0"/>
          <w:color w:val="auto"/>
          <w:kern w:val="22"/>
          <w:bdr w:val="none" w:sz="0" w:space="0" w:color="auto"/>
          <w:lang w:val="en-GB"/>
        </w:rPr>
        <w:t>ed.</w:t>
      </w:r>
      <w:r w:rsidRPr="00DF02C5">
        <w:rPr>
          <w:rStyle w:val="FootnoteReference"/>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 xml:space="preserve">Some noted the difficulties in raising the awareness of </w:t>
      </w:r>
      <w:proofErr w:type="gramStart"/>
      <w:r w:rsidRPr="00DF02C5">
        <w:rPr>
          <w:rFonts w:eastAsia="Calibri" w:hAnsi="Times New Roman"/>
          <w:snapToGrid w:val="0"/>
          <w:color w:val="auto"/>
          <w:kern w:val="22"/>
          <w:bdr w:val="none" w:sz="0" w:space="0" w:color="auto"/>
          <w:lang w:val="en-GB"/>
        </w:rPr>
        <w:t>a large number of</w:t>
      </w:r>
      <w:proofErr w:type="gramEnd"/>
      <w:r w:rsidRPr="00DF02C5">
        <w:rPr>
          <w:rFonts w:eastAsia="Calibri" w:hAnsi="Times New Roman"/>
          <w:snapToGrid w:val="0"/>
          <w:color w:val="auto"/>
          <w:kern w:val="22"/>
          <w:bdr w:val="none" w:sz="0" w:space="0" w:color="auto"/>
          <w:lang w:val="en-GB"/>
        </w:rPr>
        <w:t xml:space="preserve"> different communities and in different languages.</w:t>
      </w:r>
    </w:p>
    <w:p w14:paraId="0E50A93A" w14:textId="72305503" w:rsidR="00A60AB6" w:rsidRPr="00DF02C5" w:rsidRDefault="00A60AB6" w:rsidP="00CB6ACA">
      <w:pPr>
        <w:pStyle w:val="Para1"/>
        <w:numPr>
          <w:ilvl w:val="0"/>
          <w:numId w:val="93"/>
        </w:numPr>
        <w:rPr>
          <w:rFonts w:ascii="Arial" w:eastAsia="Times New Roman" w:hAnsi="Arial" w:cs="Arial"/>
          <w:b/>
          <w:bCs/>
          <w:color w:val="333333"/>
          <w:sz w:val="18"/>
          <w:szCs w:val="18"/>
          <w:bdr w:val="none" w:sz="0" w:space="0" w:color="auto"/>
          <w:lang w:val="en-GB"/>
        </w:rPr>
      </w:pPr>
      <w:r w:rsidRPr="00DF02C5">
        <w:rPr>
          <w:rFonts w:eastAsia="Calibri" w:hAnsi="Times New Roman"/>
          <w:snapToGrid w:val="0"/>
          <w:color w:val="auto"/>
          <w:kern w:val="22"/>
          <w:bdr w:val="none" w:sz="0" w:space="0" w:color="auto"/>
          <w:lang w:val="en-GB"/>
        </w:rPr>
        <w:t>One country commented on the challenge of getting local expertise for capacity</w:t>
      </w:r>
      <w:r w:rsidR="00691E76" w:rsidRPr="00DF02C5">
        <w:rPr>
          <w:rFonts w:eastAsia="Calibri" w:hAnsi="Times New Roman"/>
          <w:snapToGrid w:val="0"/>
          <w:color w:val="auto"/>
          <w:kern w:val="22"/>
          <w:bdr w:val="none" w:sz="0" w:space="0" w:color="auto"/>
          <w:lang w:val="en-GB"/>
        </w:rPr>
        <w:t>-</w:t>
      </w:r>
      <w:r w:rsidRPr="00DF02C5">
        <w:rPr>
          <w:rFonts w:eastAsia="Calibri" w:hAnsi="Times New Roman"/>
          <w:snapToGrid w:val="0"/>
          <w:color w:val="auto"/>
          <w:kern w:val="22"/>
          <w:bdr w:val="none" w:sz="0" w:space="0" w:color="auto"/>
          <w:lang w:val="en-GB"/>
        </w:rPr>
        <w:t>building in ABS, and on the difficulties of getting timely external expertise due to the fact that it is also limited worldwide</w:t>
      </w:r>
      <w:r w:rsidR="008C21B1" w:rsidRPr="00DF02C5">
        <w:rPr>
          <w:rFonts w:eastAsia="Calibri" w:hAnsi="Times New Roman"/>
          <w:snapToGrid w:val="0"/>
          <w:color w:val="auto"/>
          <w:kern w:val="22"/>
          <w:bdr w:val="none" w:sz="0" w:space="0" w:color="auto"/>
          <w:lang w:val="en-GB"/>
        </w:rPr>
        <w:t>.</w:t>
      </w:r>
      <w:r w:rsidRPr="00DF02C5">
        <w:rPr>
          <w:rFonts w:eastAsia="Calibri" w:hAnsi="Times New Roman"/>
          <w:snapToGrid w:val="0"/>
          <w:color w:val="auto"/>
          <w:kern w:val="22"/>
          <w:bdr w:val="none" w:sz="0" w:space="0" w:color="auto"/>
          <w:lang w:val="en-GB"/>
        </w:rPr>
        <w:t xml:space="preserve"> </w:t>
      </w:r>
    </w:p>
    <w:p w14:paraId="70EBD287" w14:textId="4F4D7DBD" w:rsidR="00082E64" w:rsidRPr="00DF02C5" w:rsidRDefault="00082E64" w:rsidP="003C477F">
      <w:pPr>
        <w:pStyle w:val="Heading2"/>
        <w:numPr>
          <w:ilvl w:val="0"/>
          <w:numId w:val="43"/>
        </w:numPr>
        <w:spacing w:before="240"/>
        <w:ind w:left="0" w:firstLine="0"/>
        <w:rPr>
          <w:rFonts w:eastAsia="Calibri"/>
          <w:snapToGrid w:val="0"/>
          <w:bdr w:val="none" w:sz="0" w:space="0" w:color="auto"/>
          <w:lang w:val="en-GB"/>
        </w:rPr>
      </w:pPr>
      <w:bookmarkStart w:id="18" w:name="_Toc511112614"/>
      <w:r w:rsidRPr="00DF02C5">
        <w:rPr>
          <w:rFonts w:eastAsia="Calibri"/>
          <w:snapToGrid w:val="0"/>
          <w:bdr w:val="none" w:sz="0" w:space="0" w:color="auto"/>
          <w:lang w:val="en-GB"/>
        </w:rPr>
        <w:t>Technology transfer, collaboration and cooperation (Article 23)</w:t>
      </w:r>
      <w:r w:rsidR="00774F8E" w:rsidRPr="00DF02C5">
        <w:rPr>
          <w:rFonts w:eastAsia="Calibri"/>
          <w:snapToGrid w:val="0"/>
          <w:bdr w:val="none" w:sz="0" w:space="0" w:color="auto"/>
          <w:lang w:val="en-GB"/>
        </w:rPr>
        <w:t xml:space="preserve"> (question 59)</w:t>
      </w:r>
      <w:bookmarkEnd w:id="18"/>
    </w:p>
    <w:p w14:paraId="21F87690" w14:textId="71AD0D2B" w:rsidR="00082E64" w:rsidRPr="003C477F" w:rsidRDefault="002A5FA5" w:rsidP="003C477F">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before="240" w:after="120"/>
        <w:ind w:left="1354" w:right="270" w:hanging="634"/>
        <w:jc w:val="left"/>
        <w:rPr>
          <w:rFonts w:eastAsia="Calibri" w:hAnsi="Times New Roman" w:cs="Times New Roman"/>
          <w:i/>
          <w:snapToGrid w:val="0"/>
          <w:color w:val="auto"/>
          <w:kern w:val="22"/>
          <w:bdr w:val="none" w:sz="0" w:space="0" w:color="auto"/>
          <w:lang w:val="en-GB"/>
        </w:rPr>
      </w:pPr>
      <w:r w:rsidRPr="003C477F">
        <w:rPr>
          <w:rFonts w:eastAsia="Calibri" w:hAnsi="Times New Roman" w:cs="Times New Roman"/>
          <w:i/>
          <w:snapToGrid w:val="0"/>
          <w:color w:val="auto"/>
          <w:kern w:val="22"/>
          <w:bdr w:val="none" w:sz="0" w:space="0" w:color="auto"/>
          <w:lang w:val="en-GB"/>
        </w:rPr>
        <w:t xml:space="preserve">Is your country collaborating and cooperating in technical and scientific research and development programmes </w:t>
      </w:r>
      <w:proofErr w:type="gramStart"/>
      <w:r w:rsidRPr="003C477F">
        <w:rPr>
          <w:rFonts w:eastAsia="Calibri" w:hAnsi="Times New Roman" w:cs="Times New Roman"/>
          <w:i/>
          <w:snapToGrid w:val="0"/>
          <w:color w:val="auto"/>
          <w:kern w:val="22"/>
          <w:bdr w:val="none" w:sz="0" w:space="0" w:color="auto"/>
          <w:lang w:val="en-GB"/>
        </w:rPr>
        <w:t>as a means to</w:t>
      </w:r>
      <w:proofErr w:type="gramEnd"/>
      <w:r w:rsidRPr="003C477F">
        <w:rPr>
          <w:rFonts w:eastAsia="Calibri" w:hAnsi="Times New Roman" w:cs="Times New Roman"/>
          <w:i/>
          <w:snapToGrid w:val="0"/>
          <w:color w:val="auto"/>
          <w:kern w:val="22"/>
          <w:bdr w:val="none" w:sz="0" w:space="0" w:color="auto"/>
          <w:lang w:val="en-GB"/>
        </w:rPr>
        <w:t xml:space="preserve"> achieve that objective of the Protocol as provided in Article 23? </w:t>
      </w:r>
      <w:r w:rsidR="00082E64" w:rsidRPr="003C477F">
        <w:rPr>
          <w:rFonts w:eastAsia="Calibri" w:hAnsi="Times New Roman" w:cs="Times New Roman"/>
          <w:i/>
          <w:snapToGrid w:val="0"/>
          <w:color w:val="auto"/>
          <w:kern w:val="22"/>
          <w:bdr w:val="none" w:sz="0" w:space="0" w:color="auto"/>
          <w:lang w:val="en-GB"/>
        </w:rPr>
        <w:t>(question 59)</w:t>
      </w:r>
    </w:p>
    <w:p w14:paraId="6C49776B" w14:textId="06103FD4" w:rsidR="0081504F" w:rsidRPr="00DF02C5" w:rsidRDefault="0081504F" w:rsidP="00CB6ACA">
      <w:pPr>
        <w:pStyle w:val="Para1"/>
        <w:numPr>
          <w:ilvl w:val="0"/>
          <w:numId w:val="93"/>
        </w:numPr>
        <w:rPr>
          <w:rFonts w:eastAsia="Calibri" w:hAnsi="Times New Roman"/>
          <w:snapToGrid w:val="0"/>
          <w:color w:val="auto"/>
          <w:kern w:val="22"/>
          <w:bdr w:val="none" w:sz="0" w:space="0" w:color="auto"/>
          <w:lang w:val="en-GB"/>
        </w:rPr>
      </w:pPr>
      <w:proofErr w:type="gramStart"/>
      <w:r w:rsidRPr="00DF02C5">
        <w:rPr>
          <w:rFonts w:hAnsi="Times New Roman"/>
          <w:bdr w:val="none" w:sz="0" w:space="0" w:color="auto"/>
          <w:lang w:val="en-GB"/>
        </w:rPr>
        <w:t>Forty-six</w:t>
      </w:r>
      <w:proofErr w:type="gramEnd"/>
      <w:r w:rsidRPr="00DF02C5">
        <w:rPr>
          <w:rFonts w:hAnsi="Times New Roman"/>
          <w:bdr w:val="none" w:sz="0" w:space="0" w:color="auto"/>
          <w:lang w:val="en-GB"/>
        </w:rPr>
        <w:t xml:space="preserve"> Parties and two non-Parties responded that they are </w:t>
      </w:r>
      <w:r w:rsidRPr="00DF02C5">
        <w:rPr>
          <w:rFonts w:hAnsi="Times New Roman"/>
          <w:snapToGrid w:val="0"/>
          <w:color w:val="auto"/>
          <w:kern w:val="22"/>
          <w:lang w:val="en-GB"/>
        </w:rPr>
        <w:t>collaborating and cooperating in technical and scientific research and development programmes as a means to achieve that objective of the Protocol</w:t>
      </w:r>
      <w:r w:rsidR="002A5FA5" w:rsidRPr="00DF02C5">
        <w:rPr>
          <w:rFonts w:hAnsi="Times New Roman"/>
          <w:bdr w:val="none" w:sz="0" w:space="0" w:color="auto"/>
          <w:lang w:val="en-GB"/>
        </w:rPr>
        <w:t xml:space="preserve">, while </w:t>
      </w:r>
      <w:r w:rsidRPr="00DF02C5">
        <w:rPr>
          <w:rFonts w:hAnsi="Times New Roman"/>
          <w:bdr w:val="none" w:sz="0" w:space="0" w:color="auto"/>
          <w:lang w:val="en-GB"/>
        </w:rPr>
        <w:t xml:space="preserve">twenty-three Parties and four non-Parties </w:t>
      </w:r>
      <w:r w:rsidR="002A5FA5" w:rsidRPr="00DF02C5">
        <w:rPr>
          <w:rFonts w:hAnsi="Times New Roman"/>
          <w:bdr w:val="none" w:sz="0" w:space="0" w:color="auto"/>
          <w:lang w:val="en-GB"/>
        </w:rPr>
        <w:t xml:space="preserve">answered that they </w:t>
      </w:r>
      <w:r w:rsidRPr="00DF02C5">
        <w:rPr>
          <w:rFonts w:hAnsi="Times New Roman"/>
          <w:bdr w:val="none" w:sz="0" w:space="0" w:color="auto"/>
          <w:lang w:val="en-GB"/>
        </w:rPr>
        <w:t xml:space="preserve">are not.  </w:t>
      </w:r>
    </w:p>
    <w:p w14:paraId="1E867841" w14:textId="0C50ABF2" w:rsidR="002A5FA5" w:rsidRPr="00DF02C5" w:rsidRDefault="00E5256F" w:rsidP="00E5256F">
      <w:pPr>
        <w:pStyle w:val="Caption"/>
        <w:keepNext/>
        <w:keepLines/>
        <w:rPr>
          <w:snapToGrid w:val="0"/>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Pr="00DF02C5">
        <w:rPr>
          <w:noProof/>
          <w:lang w:val="en-GB"/>
        </w:rPr>
        <w:t>51</w:t>
      </w:r>
      <w:r w:rsidRPr="00DF02C5">
        <w:rPr>
          <w:lang w:val="en-GB"/>
        </w:rPr>
        <w:fldChar w:fldCharType="end"/>
      </w:r>
      <w:r w:rsidR="002A5FA5" w:rsidRPr="00DF02C5">
        <w:rPr>
          <w:snapToGrid w:val="0"/>
          <w:bdr w:val="none" w:sz="0" w:space="0" w:color="auto"/>
          <w:lang w:val="en-GB"/>
        </w:rPr>
        <w:t>: Collaboration and cooperation as provided in Article 23 (percentage of countries)</w:t>
      </w:r>
    </w:p>
    <w:p w14:paraId="132785B4" w14:textId="6E40F3AC" w:rsidR="002A5FA5" w:rsidRPr="00DF02C5" w:rsidRDefault="002A5FA5" w:rsidP="002A5FA5">
      <w:pPr>
        <w:pStyle w:val="Para1"/>
        <w:jc w:val="center"/>
        <w:rPr>
          <w:rFonts w:eastAsia="Calibri" w:hAnsi="Times New Roman"/>
          <w:snapToGrid w:val="0"/>
          <w:color w:val="auto"/>
          <w:kern w:val="22"/>
          <w:bdr w:val="none" w:sz="0" w:space="0" w:color="auto"/>
          <w:lang w:val="en-GB"/>
        </w:rPr>
      </w:pPr>
      <w:r w:rsidRPr="00DF02C5">
        <w:rPr>
          <w:noProof/>
        </w:rPr>
        <w:drawing>
          <wp:inline distT="0" distB="0" distL="0" distR="0" wp14:anchorId="4CD110E8" wp14:editId="0FEF474E">
            <wp:extent cx="3505200" cy="2000250"/>
            <wp:effectExtent l="0" t="0" r="19050" b="1905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49C37E4" w14:textId="3049A2F0" w:rsidR="002A5FA5" w:rsidRPr="00DF02C5" w:rsidRDefault="002A5FA5" w:rsidP="002A5FA5">
      <w:pPr>
        <w:pStyle w:val="Para1"/>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t>(a)</w:t>
      </w:r>
      <w:r w:rsidRPr="00DF02C5">
        <w:rPr>
          <w:rFonts w:eastAsia="Calibri" w:hAnsi="Times New Roman"/>
          <w:i/>
          <w:snapToGrid w:val="0"/>
          <w:color w:val="auto"/>
          <w:kern w:val="22"/>
          <w:bdr w:val="none" w:sz="0" w:space="0" w:color="auto"/>
          <w:lang w:val="en-GB"/>
        </w:rPr>
        <w:tab/>
        <w:t>Countries that answered “yes”</w:t>
      </w:r>
    </w:p>
    <w:p w14:paraId="56E70FFA" w14:textId="26C96709" w:rsidR="00082E64" w:rsidRPr="00DF02C5" w:rsidRDefault="0010533C"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The type of information provided varied from country to country. Some </w:t>
      </w:r>
      <w:r w:rsidR="00082E64" w:rsidRPr="00DF02C5">
        <w:rPr>
          <w:rFonts w:eastAsia="Calibri" w:hAnsi="Times New Roman"/>
          <w:snapToGrid w:val="0"/>
          <w:color w:val="auto"/>
          <w:kern w:val="22"/>
          <w:bdr w:val="none" w:sz="0" w:space="0" w:color="auto"/>
          <w:lang w:val="en-GB"/>
        </w:rPr>
        <w:t xml:space="preserve">countries reported on research projects or instances of collaboration and </w:t>
      </w:r>
      <w:r w:rsidR="00082E64" w:rsidRPr="00DF02C5">
        <w:rPr>
          <w:rFonts w:hAnsi="Times New Roman"/>
          <w:snapToGrid w:val="0"/>
          <w:color w:val="auto"/>
          <w:kern w:val="22"/>
          <w:lang w:val="en-GB"/>
        </w:rPr>
        <w:t>cooperation</w:t>
      </w:r>
      <w:r w:rsidR="00082E64" w:rsidRPr="00DF02C5">
        <w:rPr>
          <w:rFonts w:eastAsia="Calibri" w:hAnsi="Times New Roman"/>
          <w:snapToGrid w:val="0"/>
          <w:color w:val="auto"/>
          <w:kern w:val="22"/>
          <w:bdr w:val="none" w:sz="0" w:space="0" w:color="auto"/>
          <w:lang w:val="en-GB"/>
        </w:rPr>
        <w:t xml:space="preserve"> between research centres or universities in technical and scientific research</w:t>
      </w:r>
      <w:r w:rsidR="00082E64" w:rsidRPr="00DF02C5">
        <w:rPr>
          <w:rStyle w:val="FootnoteReference"/>
          <w:rFonts w:eastAsia="Calibri" w:hAnsi="Times New Roman"/>
          <w:snapToGrid w:val="0"/>
          <w:color w:val="auto"/>
          <w:kern w:val="22"/>
          <w:bdr w:val="none" w:sz="0" w:space="0" w:color="auto"/>
          <w:lang w:val="en-GB"/>
        </w:rPr>
        <w:footnoteReference w:id="439"/>
      </w:r>
      <w:r w:rsidR="00082E64" w:rsidRPr="00DF02C5">
        <w:rPr>
          <w:rFonts w:eastAsia="Calibri" w:hAnsi="Times New Roman"/>
          <w:snapToGrid w:val="0"/>
          <w:color w:val="auto"/>
          <w:kern w:val="22"/>
          <w:bdr w:val="none" w:sz="0" w:space="0" w:color="auto"/>
          <w:lang w:val="en-GB"/>
        </w:rPr>
        <w:t>. For example:</w:t>
      </w:r>
    </w:p>
    <w:p w14:paraId="795CDC02" w14:textId="5DC67F33" w:rsidR="00082E64" w:rsidRPr="00DF02C5" w:rsidRDefault="00082E64" w:rsidP="005038A2">
      <w:pPr>
        <w:pStyle w:val="ListParagraph"/>
        <w:numPr>
          <w:ilvl w:val="0"/>
          <w:numId w:val="81"/>
        </w:numPr>
        <w:spacing w:before="120" w:after="120" w:line="228" w:lineRule="auto"/>
        <w:ind w:left="0" w:firstLine="709"/>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Guinea provided details of their bilateral projects or exchange</w:t>
      </w:r>
      <w:r w:rsidR="0010533C" w:rsidRPr="00DF02C5">
        <w:rPr>
          <w:rFonts w:eastAsia="Calibri" w:hAnsi="Times New Roman"/>
          <w:snapToGrid w:val="0"/>
          <w:color w:val="auto"/>
          <w:kern w:val="22"/>
          <w:bdr w:val="none" w:sz="0" w:space="0" w:color="auto"/>
          <w:lang w:val="en-GB"/>
        </w:rPr>
        <w:t xml:space="preserve">s with natural history museums and </w:t>
      </w:r>
      <w:r w:rsidRPr="00DF02C5">
        <w:rPr>
          <w:rFonts w:eastAsia="Calibri" w:hAnsi="Times New Roman"/>
          <w:snapToGrid w:val="0"/>
          <w:color w:val="auto"/>
          <w:kern w:val="22"/>
          <w:bdr w:val="none" w:sz="0" w:space="0" w:color="auto"/>
          <w:lang w:val="en-GB"/>
        </w:rPr>
        <w:t xml:space="preserve">botanical gardens and indicated that the technology transfer was </w:t>
      </w:r>
      <w:r w:rsidR="0010533C" w:rsidRPr="00DF02C5">
        <w:rPr>
          <w:rFonts w:eastAsia="Calibri" w:hAnsi="Times New Roman"/>
          <w:snapToGrid w:val="0"/>
          <w:color w:val="auto"/>
          <w:kern w:val="22"/>
          <w:bdr w:val="none" w:sz="0" w:space="0" w:color="auto"/>
          <w:lang w:val="en-GB"/>
        </w:rPr>
        <w:t>done through</w:t>
      </w:r>
      <w:r w:rsidRPr="00DF02C5">
        <w:rPr>
          <w:rFonts w:eastAsia="Calibri" w:hAnsi="Times New Roman"/>
          <w:snapToGrid w:val="0"/>
          <w:color w:val="auto"/>
          <w:kern w:val="22"/>
          <w:bdr w:val="none" w:sz="0" w:space="0" w:color="auto"/>
          <w:lang w:val="en-GB"/>
        </w:rPr>
        <w:t xml:space="preserve"> building the capac</w:t>
      </w:r>
      <w:r w:rsidR="003C477F">
        <w:rPr>
          <w:rFonts w:eastAsia="Calibri" w:hAnsi="Times New Roman"/>
          <w:snapToGrid w:val="0"/>
          <w:color w:val="auto"/>
          <w:kern w:val="22"/>
          <w:bdr w:val="none" w:sz="0" w:space="0" w:color="auto"/>
          <w:lang w:val="en-GB"/>
        </w:rPr>
        <w:t>ity of students and researchers;</w:t>
      </w:r>
    </w:p>
    <w:p w14:paraId="7A713208" w14:textId="22CD2AD4" w:rsidR="00082E64" w:rsidRPr="00DF02C5" w:rsidRDefault="00082E64" w:rsidP="005038A2">
      <w:pPr>
        <w:pStyle w:val="ListParagraph"/>
        <w:numPr>
          <w:ilvl w:val="0"/>
          <w:numId w:val="81"/>
        </w:numPr>
        <w:spacing w:before="120" w:after="120" w:line="228" w:lineRule="auto"/>
        <w:ind w:left="0" w:firstLine="709"/>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In Japan, the National Institute of Technology and Evaluation</w:t>
      </w:r>
      <w:r w:rsidRPr="00DF02C5">
        <w:rPr>
          <w:rFonts w:ascii="Arial" w:hAnsi="Arial" w:cs="Arial"/>
          <w:color w:val="545454"/>
          <w:shd w:val="clear" w:color="auto" w:fill="FFFFFF"/>
          <w:lang w:val="en-GB"/>
        </w:rPr>
        <w:t> </w:t>
      </w:r>
      <w:r w:rsidRPr="00DF02C5">
        <w:rPr>
          <w:rFonts w:eastAsia="Calibri" w:hAnsi="Times New Roman"/>
          <w:snapToGrid w:val="0"/>
          <w:color w:val="auto"/>
          <w:kern w:val="22"/>
          <w:bdr w:val="none" w:sz="0" w:space="0" w:color="auto"/>
          <w:lang w:val="en-GB"/>
        </w:rPr>
        <w:t xml:space="preserve">has concluded joint project agreements with several Asian </w:t>
      </w:r>
      <w:r w:rsidRPr="00DF02C5">
        <w:rPr>
          <w:rFonts w:eastAsia="Calibri" w:hAnsi="Times New Roman" w:cs="Times New Roman"/>
          <w:snapToGrid w:val="0"/>
          <w:color w:val="auto"/>
          <w:kern w:val="22"/>
          <w:bdr w:val="none" w:sz="0" w:space="0" w:color="auto"/>
          <w:lang w:val="en-GB"/>
        </w:rPr>
        <w:t>countries</w:t>
      </w:r>
      <w:r w:rsidRPr="00DF02C5">
        <w:rPr>
          <w:rFonts w:eastAsia="Calibri" w:hAnsi="Times New Roman"/>
          <w:snapToGrid w:val="0"/>
          <w:color w:val="auto"/>
          <w:kern w:val="22"/>
          <w:bdr w:val="none" w:sz="0" w:space="0" w:color="auto"/>
          <w:lang w:val="en-GB"/>
        </w:rPr>
        <w:t xml:space="preserve"> (China, Indonesia, the Republic of Korea, Mongolia, Myanmar, Thailand and Vietnam) to transfer technology for acquisition, preservation, and utilization of microbial </w:t>
      </w:r>
      <w:r w:rsidRPr="00DF02C5">
        <w:rPr>
          <w:rFonts w:eastAsia="Calibri" w:hAnsi="Times New Roman"/>
          <w:snapToGrid w:val="0"/>
          <w:color w:val="auto"/>
          <w:kern w:val="22"/>
          <w:bdr w:val="none" w:sz="0" w:space="0" w:color="auto"/>
          <w:lang w:val="en-GB"/>
        </w:rPr>
        <w:lastRenderedPageBreak/>
        <w:t xml:space="preserve">resources. </w:t>
      </w:r>
      <w:proofErr w:type="gramStart"/>
      <w:r w:rsidRPr="00DF02C5">
        <w:rPr>
          <w:rFonts w:eastAsia="Calibri" w:hAnsi="Times New Roman"/>
          <w:snapToGrid w:val="0"/>
          <w:color w:val="auto"/>
          <w:kern w:val="22"/>
          <w:bdr w:val="none" w:sz="0" w:space="0" w:color="auto"/>
          <w:lang w:val="en-GB"/>
        </w:rPr>
        <w:t>In particular, the</w:t>
      </w:r>
      <w:proofErr w:type="gramEnd"/>
      <w:r w:rsidRPr="00DF02C5">
        <w:rPr>
          <w:rFonts w:eastAsia="Calibri" w:hAnsi="Times New Roman"/>
          <w:snapToGrid w:val="0"/>
          <w:color w:val="auto"/>
          <w:kern w:val="22"/>
          <w:bdr w:val="none" w:sz="0" w:space="0" w:color="auto"/>
          <w:lang w:val="en-GB"/>
        </w:rPr>
        <w:t xml:space="preserve"> institute is engaged in the Sleeping Microbial Beauties Project and assisted Indonesia in constructing conservation facilities for microbial resources</w:t>
      </w:r>
      <w:r w:rsidR="003C477F">
        <w:rPr>
          <w:rFonts w:eastAsia="Calibri" w:hAnsi="Times New Roman"/>
          <w:snapToGrid w:val="0"/>
          <w:color w:val="auto"/>
          <w:kern w:val="22"/>
          <w:bdr w:val="none" w:sz="0" w:space="0" w:color="auto"/>
          <w:lang w:val="en-GB"/>
        </w:rPr>
        <w:t>;</w:t>
      </w:r>
    </w:p>
    <w:p w14:paraId="6399601B" w14:textId="06F3107D" w:rsidR="00082E64" w:rsidRPr="00DF02C5" w:rsidRDefault="00082E64" w:rsidP="005038A2">
      <w:pPr>
        <w:pStyle w:val="ListParagraph"/>
        <w:numPr>
          <w:ilvl w:val="0"/>
          <w:numId w:val="81"/>
        </w:numPr>
        <w:spacing w:before="120" w:after="120" w:line="228" w:lineRule="auto"/>
        <w:ind w:left="0" w:firstLine="709"/>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Mexico explained t</w:t>
      </w:r>
      <w:r w:rsidR="00B54C38">
        <w:rPr>
          <w:rFonts w:eastAsia="Calibri" w:hAnsi="Times New Roman"/>
          <w:snapToGrid w:val="0"/>
          <w:color w:val="auto"/>
          <w:kern w:val="22"/>
          <w:bdr w:val="none" w:sz="0" w:space="0" w:color="auto"/>
          <w:lang w:val="en-GB"/>
        </w:rPr>
        <w:t>hat the internationally recogniz</w:t>
      </w:r>
      <w:r w:rsidRPr="00DF02C5">
        <w:rPr>
          <w:rFonts w:eastAsia="Calibri" w:hAnsi="Times New Roman"/>
          <w:snapToGrid w:val="0"/>
          <w:color w:val="auto"/>
          <w:kern w:val="22"/>
          <w:bdr w:val="none" w:sz="0" w:space="0" w:color="auto"/>
          <w:lang w:val="en-GB"/>
        </w:rPr>
        <w:t>ed certificated of compliance issued for</w:t>
      </w:r>
      <w:r w:rsidR="0010533C" w:rsidRPr="00DF02C5">
        <w:rPr>
          <w:rFonts w:eastAsia="Calibri" w:hAnsi="Times New Roman"/>
          <w:snapToGrid w:val="0"/>
          <w:color w:val="auto"/>
          <w:kern w:val="22"/>
          <w:bdr w:val="none" w:sz="0" w:space="0" w:color="auto"/>
          <w:lang w:val="en-GB"/>
        </w:rPr>
        <w:t xml:space="preserve"> access to Chayote is part of a</w:t>
      </w:r>
      <w:r w:rsidRPr="00DF02C5">
        <w:rPr>
          <w:rFonts w:eastAsia="Calibri" w:hAnsi="Times New Roman"/>
          <w:snapToGrid w:val="0"/>
          <w:color w:val="auto"/>
          <w:kern w:val="22"/>
          <w:bdr w:val="none" w:sz="0" w:space="0" w:color="auto"/>
          <w:lang w:val="en-GB"/>
        </w:rPr>
        <w:t xml:space="preserve"> </w:t>
      </w:r>
      <w:r w:rsidRPr="00DF02C5">
        <w:rPr>
          <w:rFonts w:eastAsia="Calibri" w:hAnsi="Times New Roman" w:cs="Times New Roman"/>
          <w:snapToGrid w:val="0"/>
          <w:color w:val="auto"/>
          <w:kern w:val="22"/>
          <w:bdr w:val="none" w:sz="0" w:space="0" w:color="auto"/>
          <w:lang w:val="en-GB"/>
        </w:rPr>
        <w:t>scientific</w:t>
      </w:r>
      <w:r w:rsidRPr="00DF02C5">
        <w:rPr>
          <w:rFonts w:eastAsia="Calibri" w:hAnsi="Times New Roman"/>
          <w:snapToGrid w:val="0"/>
          <w:color w:val="auto"/>
          <w:kern w:val="22"/>
          <w:bdr w:val="none" w:sz="0" w:space="0" w:color="auto"/>
          <w:lang w:val="en-GB"/>
        </w:rPr>
        <w:t xml:space="preserve"> cooperation project between the national cent</w:t>
      </w:r>
      <w:r w:rsidR="0028280A" w:rsidRPr="00DF02C5">
        <w:rPr>
          <w:rFonts w:eastAsia="Calibri" w:hAnsi="Times New Roman"/>
          <w:snapToGrid w:val="0"/>
          <w:color w:val="auto"/>
          <w:kern w:val="22"/>
          <w:bdr w:val="none" w:sz="0" w:space="0" w:color="auto"/>
          <w:lang w:val="en-GB"/>
        </w:rPr>
        <w:t>re</w:t>
      </w:r>
      <w:r w:rsidRPr="00DF02C5">
        <w:rPr>
          <w:rFonts w:eastAsia="Calibri" w:hAnsi="Times New Roman"/>
          <w:snapToGrid w:val="0"/>
          <w:color w:val="auto"/>
          <w:kern w:val="22"/>
          <w:bdr w:val="none" w:sz="0" w:space="0" w:color="auto"/>
          <w:lang w:val="en-GB"/>
        </w:rPr>
        <w:t xml:space="preserve"> of genetic resources from Mexico and the University of Tsukuba, Japan</w:t>
      </w:r>
      <w:r w:rsidR="0010533C" w:rsidRPr="00DF02C5">
        <w:rPr>
          <w:rFonts w:eastAsia="Calibri" w:hAnsi="Times New Roman"/>
          <w:snapToGrid w:val="0"/>
          <w:color w:val="auto"/>
          <w:kern w:val="22"/>
          <w:bdr w:val="none" w:sz="0" w:space="0" w:color="auto"/>
          <w:lang w:val="en-GB"/>
        </w:rPr>
        <w:t>,</w:t>
      </w:r>
      <w:r w:rsidRPr="00DF02C5">
        <w:rPr>
          <w:rFonts w:eastAsia="Calibri" w:hAnsi="Times New Roman"/>
          <w:snapToGrid w:val="0"/>
          <w:color w:val="auto"/>
          <w:kern w:val="22"/>
          <w:bdr w:val="none" w:sz="0" w:space="0" w:color="auto"/>
          <w:lang w:val="en-GB"/>
        </w:rPr>
        <w:t xml:space="preserve"> on knowledge on genetic resources for food and agriculture and technology tra</w:t>
      </w:r>
      <w:r w:rsidR="003C477F">
        <w:rPr>
          <w:rFonts w:eastAsia="Calibri" w:hAnsi="Times New Roman"/>
          <w:snapToGrid w:val="0"/>
          <w:color w:val="auto"/>
          <w:kern w:val="22"/>
          <w:bdr w:val="none" w:sz="0" w:space="0" w:color="auto"/>
          <w:lang w:val="en-GB"/>
        </w:rPr>
        <w:t>nsfer between the two countries.</w:t>
      </w:r>
      <w:r w:rsidRPr="00DF02C5">
        <w:rPr>
          <w:rStyle w:val="FootnoteReference"/>
          <w:rFonts w:eastAsia="Calibri" w:hAnsi="Times New Roman"/>
          <w:snapToGrid w:val="0"/>
          <w:color w:val="auto"/>
          <w:kern w:val="22"/>
          <w:bdr w:val="none" w:sz="0" w:space="0" w:color="auto"/>
          <w:lang w:val="en-GB"/>
        </w:rPr>
        <w:footnoteReference w:id="440"/>
      </w:r>
    </w:p>
    <w:p w14:paraId="0E08C7C0" w14:textId="00FEDEA6" w:rsidR="00082E64" w:rsidRPr="00DF02C5" w:rsidRDefault="00082E64"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One country</w:t>
      </w:r>
      <w:r w:rsidR="00691302" w:rsidRPr="00DF02C5">
        <w:rPr>
          <w:rStyle w:val="FootnoteReference"/>
          <w:rFonts w:eastAsia="Calibri" w:hAnsi="Times New Roman"/>
          <w:snapToGrid w:val="0"/>
          <w:color w:val="auto"/>
          <w:kern w:val="22"/>
          <w:bdr w:val="none" w:sz="0" w:space="0" w:color="auto"/>
          <w:lang w:val="en-GB"/>
        </w:rPr>
        <w:footnoteReference w:id="441"/>
      </w:r>
      <w:r w:rsidRPr="00DF02C5">
        <w:rPr>
          <w:rFonts w:eastAsia="Calibri" w:hAnsi="Times New Roman"/>
          <w:snapToGrid w:val="0"/>
          <w:color w:val="auto"/>
          <w:kern w:val="22"/>
          <w:bdr w:val="none" w:sz="0" w:space="0" w:color="auto"/>
          <w:lang w:val="en-GB"/>
        </w:rPr>
        <w:t xml:space="preserve"> mentioned that the cooperation agree</w:t>
      </w:r>
      <w:r w:rsidR="0010533C" w:rsidRPr="00DF02C5">
        <w:rPr>
          <w:rFonts w:eastAsia="Calibri" w:hAnsi="Times New Roman"/>
          <w:snapToGrid w:val="0"/>
          <w:color w:val="auto"/>
          <w:kern w:val="22"/>
          <w:bdr w:val="none" w:sz="0" w:space="0" w:color="auto"/>
          <w:lang w:val="en-GB"/>
        </w:rPr>
        <w:t xml:space="preserve">ments with western universities were </w:t>
      </w:r>
      <w:r w:rsidRPr="00DF02C5">
        <w:rPr>
          <w:rFonts w:eastAsia="Calibri" w:hAnsi="Times New Roman"/>
          <w:snapToGrid w:val="0"/>
          <w:color w:val="auto"/>
          <w:kern w:val="22"/>
          <w:bdr w:val="none" w:sz="0" w:space="0" w:color="auto"/>
          <w:lang w:val="en-GB"/>
        </w:rPr>
        <w:t xml:space="preserve">often for the benefit of the users of genetic resources and that benefit-sharing was not always </w:t>
      </w:r>
      <w:r w:rsidRPr="00DF02C5">
        <w:rPr>
          <w:rFonts w:hAnsi="Times New Roman"/>
          <w:snapToGrid w:val="0"/>
          <w:color w:val="auto"/>
          <w:kern w:val="22"/>
          <w:lang w:val="en-GB"/>
        </w:rPr>
        <w:t>effective</w:t>
      </w:r>
      <w:r w:rsidRPr="00DF02C5">
        <w:rPr>
          <w:rFonts w:eastAsia="Calibri" w:hAnsi="Times New Roman"/>
          <w:snapToGrid w:val="0"/>
          <w:color w:val="auto"/>
          <w:kern w:val="22"/>
          <w:bdr w:val="none" w:sz="0" w:space="0" w:color="auto"/>
          <w:lang w:val="en-GB"/>
        </w:rPr>
        <w:t>.</w:t>
      </w:r>
    </w:p>
    <w:p w14:paraId="02ED8D87" w14:textId="2DDFB56F" w:rsidR="00082E64" w:rsidRPr="00DF02C5" w:rsidRDefault="00082E64"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Several countries</w:t>
      </w:r>
      <w:r w:rsidRPr="00DF02C5">
        <w:rPr>
          <w:rStyle w:val="FootnoteReference"/>
          <w:rFonts w:eastAsia="Calibri" w:hAnsi="Times New Roman"/>
          <w:snapToGrid w:val="0"/>
          <w:color w:val="auto"/>
          <w:kern w:val="22"/>
          <w:bdr w:val="none" w:sz="0" w:space="0" w:color="auto"/>
          <w:lang w:val="en-GB"/>
        </w:rPr>
        <w:footnoteReference w:id="442"/>
      </w:r>
      <w:r w:rsidRPr="00DF02C5">
        <w:rPr>
          <w:rFonts w:eastAsia="Calibri" w:hAnsi="Times New Roman"/>
          <w:snapToGrid w:val="0"/>
          <w:color w:val="auto"/>
          <w:kern w:val="22"/>
          <w:bdr w:val="none" w:sz="0" w:space="0" w:color="auto"/>
          <w:lang w:val="en-GB"/>
        </w:rPr>
        <w:t xml:space="preserve"> provided information on national programmes or institutions dealing with scientific resea</w:t>
      </w:r>
      <w:r w:rsidR="0010533C" w:rsidRPr="00DF02C5">
        <w:rPr>
          <w:rFonts w:eastAsia="Calibri" w:hAnsi="Times New Roman"/>
          <w:snapToGrid w:val="0"/>
          <w:color w:val="auto"/>
          <w:kern w:val="22"/>
          <w:bdr w:val="none" w:sz="0" w:space="0" w:color="auto"/>
          <w:lang w:val="en-GB"/>
        </w:rPr>
        <w:t>rch and development programmes or shared information on</w:t>
      </w:r>
      <w:r w:rsidRPr="00DF02C5">
        <w:rPr>
          <w:rFonts w:eastAsia="Calibri" w:hAnsi="Times New Roman"/>
          <w:snapToGrid w:val="0"/>
          <w:color w:val="auto"/>
          <w:kern w:val="22"/>
          <w:bdr w:val="none" w:sz="0" w:space="0" w:color="auto"/>
          <w:lang w:val="en-GB"/>
        </w:rPr>
        <w:t xml:space="preserve"> their on-going research projects.</w:t>
      </w:r>
      <w:r w:rsidRPr="00DF02C5">
        <w:rPr>
          <w:rStyle w:val="FootnoteReference"/>
          <w:rFonts w:eastAsia="Calibri" w:hAnsi="Times New Roman"/>
          <w:snapToGrid w:val="0"/>
          <w:color w:val="auto"/>
          <w:kern w:val="22"/>
          <w:bdr w:val="none" w:sz="0" w:space="0" w:color="auto"/>
          <w:lang w:val="en-GB"/>
        </w:rPr>
        <w:footnoteReference w:id="443"/>
      </w:r>
      <w:r w:rsidR="0010533C" w:rsidRPr="00DF02C5">
        <w:rPr>
          <w:rFonts w:eastAsia="Calibri" w:hAnsi="Times New Roman"/>
          <w:snapToGrid w:val="0"/>
          <w:color w:val="auto"/>
          <w:kern w:val="22"/>
          <w:bdr w:val="none" w:sz="0" w:space="0" w:color="auto"/>
          <w:lang w:val="en-GB"/>
        </w:rPr>
        <w:t xml:space="preserve"> While s</w:t>
      </w:r>
      <w:r w:rsidRPr="00DF02C5">
        <w:rPr>
          <w:rFonts w:eastAsia="Calibri" w:hAnsi="Times New Roman"/>
          <w:snapToGrid w:val="0"/>
          <w:color w:val="auto"/>
          <w:kern w:val="22"/>
          <w:bdr w:val="none" w:sz="0" w:space="0" w:color="auto"/>
          <w:lang w:val="en-GB"/>
        </w:rPr>
        <w:t xml:space="preserve">ome </w:t>
      </w:r>
      <w:r w:rsidR="0010533C" w:rsidRPr="00DF02C5">
        <w:rPr>
          <w:rFonts w:eastAsia="Calibri" w:hAnsi="Times New Roman"/>
          <w:snapToGrid w:val="0"/>
          <w:color w:val="auto"/>
          <w:kern w:val="22"/>
          <w:bdr w:val="none" w:sz="0" w:space="0" w:color="auto"/>
          <w:lang w:val="en-GB"/>
        </w:rPr>
        <w:t xml:space="preserve">other </w:t>
      </w:r>
      <w:r w:rsidRPr="00DF02C5">
        <w:rPr>
          <w:rFonts w:eastAsia="Calibri" w:hAnsi="Times New Roman"/>
          <w:snapToGrid w:val="0"/>
          <w:color w:val="auto"/>
          <w:kern w:val="22"/>
          <w:bdr w:val="none" w:sz="0" w:space="0" w:color="auto"/>
          <w:lang w:val="en-GB"/>
        </w:rPr>
        <w:t xml:space="preserve">countries provided information on their funding to research and development </w:t>
      </w:r>
      <w:r w:rsidR="0010533C" w:rsidRPr="00DF02C5">
        <w:rPr>
          <w:rFonts w:eastAsia="Calibri" w:hAnsi="Times New Roman"/>
          <w:snapToGrid w:val="0"/>
          <w:color w:val="auto"/>
          <w:kern w:val="22"/>
          <w:bdr w:val="none" w:sz="0" w:space="0" w:color="auto"/>
          <w:lang w:val="en-GB"/>
        </w:rPr>
        <w:t xml:space="preserve">programmes </w:t>
      </w:r>
      <w:r w:rsidRPr="00DF02C5">
        <w:rPr>
          <w:rStyle w:val="FootnoteReference"/>
          <w:rFonts w:eastAsia="Calibri" w:hAnsi="Times New Roman"/>
          <w:snapToGrid w:val="0"/>
          <w:color w:val="auto"/>
          <w:kern w:val="22"/>
          <w:bdr w:val="none" w:sz="0" w:space="0" w:color="auto"/>
          <w:lang w:val="en-GB"/>
        </w:rPr>
        <w:footnoteReference w:id="444"/>
      </w:r>
      <w:r w:rsidR="0010533C" w:rsidRPr="00DF02C5">
        <w:rPr>
          <w:rFonts w:eastAsia="Calibri" w:hAnsi="Times New Roman"/>
          <w:snapToGrid w:val="0"/>
          <w:color w:val="auto"/>
          <w:kern w:val="22"/>
          <w:bdr w:val="none" w:sz="0" w:space="0" w:color="auto"/>
          <w:lang w:val="en-GB"/>
        </w:rPr>
        <w:t>or on</w:t>
      </w:r>
      <w:r w:rsidRPr="00DF02C5">
        <w:rPr>
          <w:rFonts w:eastAsia="Calibri" w:hAnsi="Times New Roman"/>
          <w:snapToGrid w:val="0"/>
          <w:color w:val="auto"/>
          <w:kern w:val="22"/>
          <w:bdr w:val="none" w:sz="0" w:space="0" w:color="auto"/>
          <w:lang w:val="en-GB"/>
        </w:rPr>
        <w:t xml:space="preserve"> their contributions to ABS capacity projects or initiatives</w:t>
      </w:r>
      <w:r w:rsidRPr="00DF02C5">
        <w:rPr>
          <w:rStyle w:val="FootnoteReference"/>
          <w:rFonts w:eastAsia="Calibri" w:hAnsi="Times New Roman"/>
          <w:snapToGrid w:val="0"/>
          <w:color w:val="auto"/>
          <w:kern w:val="22"/>
          <w:bdr w:val="none" w:sz="0" w:space="0" w:color="auto"/>
          <w:lang w:val="en-GB"/>
        </w:rPr>
        <w:footnoteReference w:id="445"/>
      </w:r>
      <w:r w:rsidRPr="00DF02C5">
        <w:rPr>
          <w:rFonts w:eastAsia="Calibri" w:hAnsi="Times New Roman"/>
          <w:snapToGrid w:val="0"/>
          <w:color w:val="auto"/>
          <w:kern w:val="22"/>
          <w:bdr w:val="none" w:sz="0" w:space="0" w:color="auto"/>
          <w:lang w:val="en-GB"/>
        </w:rPr>
        <w:t>.</w:t>
      </w:r>
    </w:p>
    <w:p w14:paraId="5321AD11" w14:textId="30794947" w:rsidR="003F6DFD" w:rsidRPr="00DF02C5" w:rsidRDefault="00082E64" w:rsidP="00CB6ACA">
      <w:pPr>
        <w:pStyle w:val="ListParagraph"/>
        <w:numPr>
          <w:ilvl w:val="0"/>
          <w:numId w:val="93"/>
        </w:numPr>
        <w:rPr>
          <w:rFonts w:eastAsia="Calibri" w:hAnsi="Times New Roman" w:cs="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 xml:space="preserve">In their responses, a number of countries provided information on how Article 23 of the Protocol has been incorporated in their national </w:t>
      </w:r>
      <w:r w:rsidR="0010533C" w:rsidRPr="00DF02C5">
        <w:rPr>
          <w:rFonts w:eastAsia="Calibri" w:hAnsi="Times New Roman" w:cs="Times New Roman"/>
          <w:snapToGrid w:val="0"/>
          <w:color w:val="auto"/>
          <w:kern w:val="22"/>
          <w:bdr w:val="none" w:sz="0" w:space="0" w:color="auto"/>
          <w:lang w:val="en-GB"/>
        </w:rPr>
        <w:t>framework.</w:t>
      </w:r>
      <w:r w:rsidRPr="00DF02C5">
        <w:rPr>
          <w:rFonts w:eastAsia="Calibri" w:hAnsi="Times New Roman" w:cs="Times New Roman"/>
          <w:snapToGrid w:val="0"/>
          <w:color w:val="auto"/>
          <w:kern w:val="22"/>
          <w:bdr w:val="none" w:sz="0" w:space="0" w:color="auto"/>
          <w:lang w:val="en-GB"/>
        </w:rPr>
        <w:t xml:space="preserve"> </w:t>
      </w:r>
      <w:r w:rsidR="0010533C" w:rsidRPr="00DF02C5">
        <w:rPr>
          <w:rFonts w:eastAsia="Calibri" w:hAnsi="Times New Roman" w:cs="Times New Roman"/>
          <w:snapToGrid w:val="0"/>
          <w:color w:val="auto"/>
          <w:kern w:val="22"/>
          <w:bdr w:val="none" w:sz="0" w:space="0" w:color="auto"/>
          <w:lang w:val="en-GB"/>
        </w:rPr>
        <w:t>S</w:t>
      </w:r>
      <w:r w:rsidRPr="00DF02C5">
        <w:rPr>
          <w:rFonts w:eastAsia="Calibri" w:hAnsi="Times New Roman" w:cs="Times New Roman"/>
          <w:snapToGrid w:val="0"/>
          <w:color w:val="auto"/>
          <w:kern w:val="22"/>
          <w:bdr w:val="none" w:sz="0" w:space="0" w:color="auto"/>
          <w:lang w:val="en-GB"/>
        </w:rPr>
        <w:t xml:space="preserve">ome </w:t>
      </w:r>
      <w:r w:rsidR="0010533C" w:rsidRPr="00DF02C5">
        <w:rPr>
          <w:rFonts w:eastAsia="Calibri" w:hAnsi="Times New Roman" w:cs="Times New Roman"/>
          <w:snapToGrid w:val="0"/>
          <w:color w:val="auto"/>
          <w:kern w:val="22"/>
          <w:bdr w:val="none" w:sz="0" w:space="0" w:color="auto"/>
          <w:lang w:val="en-GB"/>
        </w:rPr>
        <w:t xml:space="preserve">countries </w:t>
      </w:r>
      <w:r w:rsidRPr="00DF02C5">
        <w:rPr>
          <w:rFonts w:eastAsia="Calibri" w:hAnsi="Times New Roman" w:cs="Times New Roman"/>
          <w:snapToGrid w:val="0"/>
          <w:color w:val="auto"/>
          <w:kern w:val="22"/>
          <w:bdr w:val="none" w:sz="0" w:space="0" w:color="auto"/>
          <w:lang w:val="en-GB"/>
        </w:rPr>
        <w:t>reported having included technology transfer in MATs</w:t>
      </w:r>
      <w:r w:rsidRPr="00DF02C5">
        <w:rPr>
          <w:rStyle w:val="FootnoteReference"/>
          <w:rFonts w:eastAsia="Calibri" w:hAnsi="Times New Roman" w:cs="Times New Roman"/>
          <w:snapToGrid w:val="0"/>
          <w:color w:val="auto"/>
          <w:kern w:val="22"/>
          <w:bdr w:val="none" w:sz="0" w:space="0" w:color="auto"/>
          <w:lang w:val="en-GB"/>
        </w:rPr>
        <w:footnoteReference w:id="446"/>
      </w:r>
      <w:r w:rsidR="0010533C" w:rsidRPr="00DF02C5">
        <w:rPr>
          <w:rFonts w:eastAsia="Calibri" w:hAnsi="Times New Roman" w:cs="Times New Roman"/>
          <w:snapToGrid w:val="0"/>
          <w:color w:val="auto"/>
          <w:kern w:val="22"/>
          <w:bdr w:val="none" w:sz="0" w:space="0" w:color="auto"/>
          <w:lang w:val="en-GB"/>
        </w:rPr>
        <w:t xml:space="preserve"> and/or in their ABS measures</w:t>
      </w:r>
      <w:r w:rsidRPr="00DF02C5">
        <w:rPr>
          <w:rStyle w:val="FootnoteReference"/>
          <w:rFonts w:eastAsia="Calibri" w:hAnsi="Times New Roman" w:cs="Times New Roman"/>
          <w:snapToGrid w:val="0"/>
          <w:color w:val="auto"/>
          <w:kern w:val="22"/>
          <w:bdr w:val="none" w:sz="0" w:space="0" w:color="auto"/>
          <w:lang w:val="en-GB"/>
        </w:rPr>
        <w:footnoteReference w:id="447"/>
      </w:r>
      <w:r w:rsidR="00DF02C5">
        <w:rPr>
          <w:rFonts w:eastAsia="Calibri" w:hAnsi="Times New Roman" w:cs="Times New Roman"/>
          <w:snapToGrid w:val="0"/>
          <w:color w:val="auto"/>
          <w:kern w:val="22"/>
          <w:bdr w:val="none" w:sz="0" w:space="0" w:color="auto"/>
          <w:lang w:val="en-GB"/>
        </w:rPr>
        <w:t xml:space="preserve">, </w:t>
      </w:r>
      <w:r w:rsidR="0010533C" w:rsidRPr="00DF02C5">
        <w:rPr>
          <w:rFonts w:eastAsia="Calibri" w:hAnsi="Times New Roman" w:cs="Times New Roman"/>
          <w:snapToGrid w:val="0"/>
          <w:color w:val="auto"/>
          <w:kern w:val="22"/>
          <w:bdr w:val="none" w:sz="0" w:space="0" w:color="auto"/>
          <w:lang w:val="en-GB"/>
        </w:rPr>
        <w:t xml:space="preserve">and some have included </w:t>
      </w:r>
      <w:r w:rsidR="001B1CE2" w:rsidRPr="00DF02C5">
        <w:rPr>
          <w:rFonts w:eastAsia="Calibri" w:hAnsi="Times New Roman" w:cs="Times New Roman"/>
          <w:snapToGrid w:val="0"/>
          <w:color w:val="auto"/>
          <w:kern w:val="22"/>
          <w:bdr w:val="none" w:sz="0" w:space="0" w:color="auto"/>
          <w:lang w:val="en-GB"/>
        </w:rPr>
        <w:t>a r</w:t>
      </w:r>
      <w:r w:rsidRPr="00DF02C5">
        <w:rPr>
          <w:rFonts w:eastAsia="Calibri" w:hAnsi="Times New Roman" w:cs="Times New Roman"/>
          <w:snapToGrid w:val="0"/>
          <w:color w:val="auto"/>
          <w:kern w:val="22"/>
          <w:bdr w:val="none" w:sz="0" w:space="0" w:color="auto"/>
          <w:lang w:val="en-GB"/>
        </w:rPr>
        <w:t>equirement to partner or involve a local research institution</w:t>
      </w:r>
      <w:r w:rsidRPr="00DF02C5">
        <w:rPr>
          <w:rStyle w:val="FootnoteReference"/>
          <w:rFonts w:eastAsia="Calibri" w:hAnsi="Times New Roman" w:cs="Times New Roman"/>
          <w:snapToGrid w:val="0"/>
          <w:color w:val="auto"/>
          <w:kern w:val="22"/>
          <w:bdr w:val="none" w:sz="0" w:space="0" w:color="auto"/>
          <w:lang w:val="en-GB"/>
        </w:rPr>
        <w:footnoteReference w:id="448"/>
      </w:r>
      <w:r w:rsidRPr="00DF02C5">
        <w:rPr>
          <w:rFonts w:eastAsia="Calibri" w:hAnsi="Times New Roman" w:cs="Times New Roman"/>
          <w:snapToGrid w:val="0"/>
          <w:color w:val="auto"/>
          <w:kern w:val="22"/>
          <w:bdr w:val="none" w:sz="0" w:space="0" w:color="auto"/>
          <w:lang w:val="en-GB"/>
        </w:rPr>
        <w:t xml:space="preserve">. </w:t>
      </w:r>
    </w:p>
    <w:p w14:paraId="3816A15D" w14:textId="1B523D41" w:rsidR="00082E64" w:rsidRPr="00DF02C5" w:rsidRDefault="003F6DFD"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Examples on measures taken by countries to implement Article 23 include the following:</w:t>
      </w:r>
    </w:p>
    <w:p w14:paraId="57394D37" w14:textId="76C2F58B" w:rsidR="00082E64" w:rsidRPr="00DF02C5" w:rsidRDefault="003F6DFD" w:rsidP="005038A2">
      <w:pPr>
        <w:pStyle w:val="ListParagraph"/>
        <w:numPr>
          <w:ilvl w:val="0"/>
          <w:numId w:val="82"/>
        </w:numPr>
        <w:spacing w:before="120" w:after="120" w:line="228" w:lineRule="auto"/>
        <w:ind w:left="0" w:firstLine="709"/>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In </w:t>
      </w:r>
      <w:r w:rsidR="00082E64" w:rsidRPr="00DF02C5">
        <w:rPr>
          <w:rFonts w:eastAsia="Calibri" w:hAnsi="Times New Roman"/>
          <w:snapToGrid w:val="0"/>
          <w:color w:val="auto"/>
          <w:kern w:val="22"/>
          <w:bdr w:val="none" w:sz="0" w:space="0" w:color="auto"/>
          <w:lang w:val="en-GB"/>
        </w:rPr>
        <w:t>China foreign institutions or individuals that wish to use genetic resources of livestock and poultry on the protection list within the jurisdiction of China, need to undertake collaborative research and fairly share relevant research results with Chinese institutions or</w:t>
      </w:r>
      <w:r w:rsidRPr="00DF02C5">
        <w:rPr>
          <w:rFonts w:eastAsia="Calibri" w:hAnsi="Times New Roman"/>
          <w:snapToGrid w:val="0"/>
          <w:color w:val="auto"/>
          <w:kern w:val="22"/>
          <w:bdr w:val="none" w:sz="0" w:space="0" w:color="auto"/>
          <w:lang w:val="en-GB"/>
        </w:rPr>
        <w:t xml:space="preserve"> individuals. China also</w:t>
      </w:r>
      <w:r w:rsidR="00082E64" w:rsidRPr="00DF02C5">
        <w:rPr>
          <w:rFonts w:eastAsia="Calibri" w:hAnsi="Times New Roman"/>
          <w:snapToGrid w:val="0"/>
          <w:color w:val="auto"/>
          <w:kern w:val="22"/>
          <w:bdr w:val="none" w:sz="0" w:space="0" w:color="auto"/>
          <w:lang w:val="en-GB"/>
        </w:rPr>
        <w:t xml:space="preserve"> requires that the international collaboration and exchange programmes/projects using genetic resources from China should fully involve relevant research in</w:t>
      </w:r>
      <w:r w:rsidR="003C477F">
        <w:rPr>
          <w:rFonts w:eastAsia="Calibri" w:hAnsi="Times New Roman"/>
          <w:snapToGrid w:val="0"/>
          <w:color w:val="auto"/>
          <w:kern w:val="22"/>
          <w:bdr w:val="none" w:sz="0" w:space="0" w:color="auto"/>
          <w:lang w:val="en-GB"/>
        </w:rPr>
        <w:t>stitutions and staff from China;</w:t>
      </w:r>
    </w:p>
    <w:p w14:paraId="4C542E6A" w14:textId="58D29185" w:rsidR="00082E64" w:rsidRPr="00DF02C5" w:rsidRDefault="00082E64" w:rsidP="005038A2">
      <w:pPr>
        <w:pStyle w:val="ListParagraph"/>
        <w:numPr>
          <w:ilvl w:val="0"/>
          <w:numId w:val="82"/>
        </w:numPr>
        <w:spacing w:before="120" w:after="120" w:line="228" w:lineRule="auto"/>
        <w:ind w:left="0" w:firstLine="709"/>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Malawi stated that </w:t>
      </w:r>
      <w:r w:rsidR="003F6DFD" w:rsidRPr="00DF02C5">
        <w:rPr>
          <w:rFonts w:eastAsia="Calibri" w:hAnsi="Times New Roman"/>
          <w:snapToGrid w:val="0"/>
          <w:color w:val="auto"/>
          <w:kern w:val="22"/>
          <w:bdr w:val="none" w:sz="0" w:space="0" w:color="auto"/>
          <w:lang w:val="en-GB"/>
        </w:rPr>
        <w:t xml:space="preserve">technology transfer is included </w:t>
      </w:r>
      <w:r w:rsidR="001B1CE2" w:rsidRPr="00DF02C5">
        <w:rPr>
          <w:rFonts w:eastAsia="Calibri" w:hAnsi="Times New Roman"/>
          <w:snapToGrid w:val="0"/>
          <w:color w:val="auto"/>
          <w:kern w:val="22"/>
          <w:bdr w:val="none" w:sz="0" w:space="0" w:color="auto"/>
          <w:lang w:val="en-GB"/>
        </w:rPr>
        <w:t>in the MATs</w:t>
      </w:r>
      <w:r w:rsidRPr="00DF02C5">
        <w:rPr>
          <w:rFonts w:eastAsia="Calibri" w:hAnsi="Times New Roman"/>
          <w:snapToGrid w:val="0"/>
          <w:color w:val="auto"/>
          <w:kern w:val="22"/>
          <w:bdr w:val="none" w:sz="0" w:space="0" w:color="auto"/>
          <w:lang w:val="en-GB"/>
        </w:rPr>
        <w:t xml:space="preserve"> under development</w:t>
      </w:r>
      <w:r w:rsidR="003F6DFD" w:rsidRPr="00DF02C5">
        <w:rPr>
          <w:rFonts w:eastAsia="Calibri" w:hAnsi="Times New Roman"/>
          <w:snapToGrid w:val="0"/>
          <w:color w:val="auto"/>
          <w:kern w:val="22"/>
          <w:bdr w:val="none" w:sz="0" w:space="0" w:color="auto"/>
          <w:lang w:val="en-GB"/>
        </w:rPr>
        <w:t xml:space="preserve"> and </w:t>
      </w:r>
      <w:r w:rsidRPr="00DF02C5">
        <w:rPr>
          <w:rFonts w:eastAsia="Calibri" w:hAnsi="Times New Roman"/>
          <w:snapToGrid w:val="0"/>
          <w:color w:val="auto"/>
          <w:kern w:val="22"/>
          <w:bdr w:val="none" w:sz="0" w:space="0" w:color="auto"/>
          <w:lang w:val="en-GB"/>
        </w:rPr>
        <w:t>that most institutions that conduct research in Malawi are also required, as a condition to getting a research permit, to partner with local researche</w:t>
      </w:r>
      <w:r w:rsidR="003F6DFD" w:rsidRPr="00DF02C5">
        <w:rPr>
          <w:rFonts w:eastAsia="Calibri" w:hAnsi="Times New Roman"/>
          <w:snapToGrid w:val="0"/>
          <w:color w:val="auto"/>
          <w:kern w:val="22"/>
          <w:bdr w:val="none" w:sz="0" w:space="0" w:color="auto"/>
          <w:lang w:val="en-GB"/>
        </w:rPr>
        <w:t>rs.</w:t>
      </w:r>
    </w:p>
    <w:p w14:paraId="548586E0" w14:textId="1C2436C0" w:rsidR="00082E64" w:rsidRPr="00DF02C5" w:rsidRDefault="00082E64" w:rsidP="005038A2">
      <w:pPr>
        <w:pStyle w:val="ListParagraph"/>
        <w:numPr>
          <w:ilvl w:val="0"/>
          <w:numId w:val="82"/>
        </w:numPr>
        <w:spacing w:before="120" w:after="120" w:line="228" w:lineRule="auto"/>
        <w:ind w:left="0" w:firstLine="709"/>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Morocco indicated having developed a strategy for research and development of genetic resources in the context of the Nagoya Protocol. </w:t>
      </w:r>
      <w:r w:rsidR="003F6DFD" w:rsidRPr="00DF02C5">
        <w:rPr>
          <w:rFonts w:eastAsia="Calibri" w:hAnsi="Times New Roman"/>
          <w:snapToGrid w:val="0"/>
          <w:color w:val="auto"/>
          <w:kern w:val="22"/>
          <w:bdr w:val="none" w:sz="0" w:space="0" w:color="auto"/>
          <w:lang w:val="en-GB"/>
        </w:rPr>
        <w:t xml:space="preserve">The </w:t>
      </w:r>
      <w:r w:rsidRPr="00DF02C5">
        <w:rPr>
          <w:rFonts w:eastAsia="Calibri" w:hAnsi="Times New Roman"/>
          <w:snapToGrid w:val="0"/>
          <w:color w:val="auto"/>
          <w:kern w:val="22"/>
          <w:bdr w:val="none" w:sz="0" w:space="0" w:color="auto"/>
          <w:lang w:val="en-GB"/>
        </w:rPr>
        <w:t xml:space="preserve">objective is to build the endogenous research capacities to add value to </w:t>
      </w:r>
      <w:r w:rsidR="003F6DFD" w:rsidRPr="00DF02C5">
        <w:rPr>
          <w:rFonts w:eastAsia="Calibri" w:hAnsi="Times New Roman"/>
          <w:snapToGrid w:val="0"/>
          <w:color w:val="auto"/>
          <w:kern w:val="22"/>
          <w:bdr w:val="none" w:sz="0" w:space="0" w:color="auto"/>
          <w:lang w:val="en-GB"/>
        </w:rPr>
        <w:t xml:space="preserve">Morocco’s </w:t>
      </w:r>
      <w:r w:rsidRPr="00DF02C5">
        <w:rPr>
          <w:rFonts w:eastAsia="Calibri" w:hAnsi="Times New Roman"/>
          <w:snapToGrid w:val="0"/>
          <w:color w:val="auto"/>
          <w:kern w:val="22"/>
          <w:bdr w:val="none" w:sz="0" w:space="0" w:color="auto"/>
          <w:lang w:val="en-GB"/>
        </w:rPr>
        <w:t>genetic resources so that research and development of genetic resources becomes a productive sector th</w:t>
      </w:r>
      <w:r w:rsidR="003C477F">
        <w:rPr>
          <w:rFonts w:eastAsia="Calibri" w:hAnsi="Times New Roman"/>
          <w:snapToGrid w:val="0"/>
          <w:color w:val="auto"/>
          <w:kern w:val="22"/>
          <w:bdr w:val="none" w:sz="0" w:space="0" w:color="auto"/>
          <w:lang w:val="en-GB"/>
        </w:rPr>
        <w:t>at brings wealth to the country;</w:t>
      </w:r>
    </w:p>
    <w:p w14:paraId="21942E92" w14:textId="419F9F8C" w:rsidR="00082E64" w:rsidRPr="00DF02C5" w:rsidRDefault="00082E64" w:rsidP="005038A2">
      <w:pPr>
        <w:pStyle w:val="ListParagraph"/>
        <w:numPr>
          <w:ilvl w:val="0"/>
          <w:numId w:val="82"/>
        </w:numPr>
        <w:spacing w:before="120" w:after="120" w:line="228" w:lineRule="auto"/>
        <w:ind w:left="0" w:firstLine="709"/>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In Uganda, the National Council for Science and Technology (which is the CNA) reviews and approves applications for research in Uganda. Collaborative research, capacity building and sharing of information are among the</w:t>
      </w:r>
      <w:r w:rsidR="003F6DFD" w:rsidRPr="00DF02C5">
        <w:rPr>
          <w:rFonts w:eastAsia="Calibri" w:hAnsi="Times New Roman"/>
          <w:snapToGrid w:val="0"/>
          <w:color w:val="auto"/>
          <w:kern w:val="22"/>
          <w:bdr w:val="none" w:sz="0" w:space="0" w:color="auto"/>
          <w:lang w:val="en-GB"/>
        </w:rPr>
        <w:t xml:space="preserve"> criteria</w:t>
      </w:r>
      <w:r w:rsidRPr="00DF02C5">
        <w:rPr>
          <w:rFonts w:eastAsia="Calibri" w:hAnsi="Times New Roman"/>
          <w:snapToGrid w:val="0"/>
          <w:color w:val="auto"/>
          <w:kern w:val="22"/>
          <w:bdr w:val="none" w:sz="0" w:space="0" w:color="auto"/>
          <w:lang w:val="en-GB"/>
        </w:rPr>
        <w:t xml:space="preserve"> that are consi</w:t>
      </w:r>
      <w:r w:rsidR="003F6DFD" w:rsidRPr="00DF02C5">
        <w:rPr>
          <w:rFonts w:eastAsia="Calibri" w:hAnsi="Times New Roman"/>
          <w:snapToGrid w:val="0"/>
          <w:color w:val="auto"/>
          <w:kern w:val="22"/>
          <w:bdr w:val="none" w:sz="0" w:space="0" w:color="auto"/>
          <w:lang w:val="en-GB"/>
        </w:rPr>
        <w:t>dered during the review process.</w:t>
      </w:r>
    </w:p>
    <w:p w14:paraId="7C24B9BF" w14:textId="3726BD3A" w:rsidR="003F6DFD" w:rsidRPr="00DF02C5" w:rsidRDefault="003B3005" w:rsidP="003B3005">
      <w:pPr>
        <w:pStyle w:val="Para1"/>
        <w:rPr>
          <w:i/>
          <w:lang w:val="en-GB"/>
        </w:rPr>
      </w:pPr>
      <w:r w:rsidRPr="00DF02C5">
        <w:rPr>
          <w:i/>
          <w:lang w:val="en-GB"/>
        </w:rPr>
        <w:t>(b)</w:t>
      </w:r>
      <w:r w:rsidRPr="00DF02C5">
        <w:rPr>
          <w:i/>
          <w:lang w:val="en-GB"/>
        </w:rPr>
        <w:tab/>
      </w:r>
      <w:r w:rsidR="003F6DFD" w:rsidRPr="00DF02C5">
        <w:rPr>
          <w:i/>
          <w:lang w:val="en-GB"/>
        </w:rPr>
        <w:t xml:space="preserve">Countries that answered </w:t>
      </w:r>
      <w:r w:rsidR="003F6DFD" w:rsidRPr="00DF02C5">
        <w:rPr>
          <w:i/>
          <w:lang w:val="en-GB"/>
        </w:rPr>
        <w:t>“</w:t>
      </w:r>
      <w:r w:rsidR="003F6DFD" w:rsidRPr="00DF02C5">
        <w:rPr>
          <w:i/>
          <w:lang w:val="en-GB"/>
        </w:rPr>
        <w:t>no</w:t>
      </w:r>
      <w:r w:rsidR="003F6DFD" w:rsidRPr="00DF02C5">
        <w:rPr>
          <w:i/>
          <w:lang w:val="en-GB"/>
        </w:rPr>
        <w:t>”</w:t>
      </w:r>
    </w:p>
    <w:p w14:paraId="6BD1C9C3" w14:textId="3F8E9E4A" w:rsidR="00082E64" w:rsidRPr="00DF02C5" w:rsidRDefault="003F6DFD" w:rsidP="00CB6ACA">
      <w:pPr>
        <w:pStyle w:val="Para1"/>
        <w:numPr>
          <w:ilvl w:val="0"/>
          <w:numId w:val="93"/>
        </w:numPr>
        <w:rPr>
          <w:lang w:val="en-GB"/>
        </w:rPr>
      </w:pPr>
      <w:r w:rsidRPr="00DF02C5">
        <w:rPr>
          <w:rFonts w:eastAsia="Calibri" w:hAnsi="Times New Roman"/>
          <w:snapToGrid w:val="0"/>
          <w:color w:val="auto"/>
          <w:kern w:val="22"/>
          <w:bdr w:val="none" w:sz="0" w:space="0" w:color="auto"/>
          <w:lang w:val="en-GB"/>
        </w:rPr>
        <w:t xml:space="preserve">Some </w:t>
      </w:r>
      <w:r w:rsidR="00082E64" w:rsidRPr="00DF02C5">
        <w:rPr>
          <w:rFonts w:eastAsia="Calibri" w:hAnsi="Times New Roman"/>
          <w:snapToGrid w:val="0"/>
          <w:color w:val="auto"/>
          <w:kern w:val="22"/>
          <w:bdr w:val="none" w:sz="0" w:space="0" w:color="auto"/>
          <w:lang w:val="en-GB"/>
        </w:rPr>
        <w:t xml:space="preserve">countries </w:t>
      </w:r>
      <w:r w:rsidRPr="00DF02C5">
        <w:rPr>
          <w:rFonts w:eastAsia="Calibri" w:hAnsi="Times New Roman"/>
          <w:snapToGrid w:val="0"/>
          <w:color w:val="auto"/>
          <w:kern w:val="22"/>
          <w:bdr w:val="none" w:sz="0" w:space="0" w:color="auto"/>
          <w:lang w:val="en-GB"/>
        </w:rPr>
        <w:t xml:space="preserve">indicated </w:t>
      </w:r>
      <w:r w:rsidR="00082E64" w:rsidRPr="00DF02C5">
        <w:rPr>
          <w:rFonts w:eastAsia="Calibri" w:hAnsi="Times New Roman"/>
          <w:snapToGrid w:val="0"/>
          <w:color w:val="auto"/>
          <w:kern w:val="22"/>
          <w:bdr w:val="none" w:sz="0" w:space="0" w:color="auto"/>
          <w:lang w:val="en-GB"/>
        </w:rPr>
        <w:t>that there has not been any cooperation or collaboration programmes developed</w:t>
      </w:r>
      <w:r w:rsidR="00082E64" w:rsidRPr="00DF02C5">
        <w:rPr>
          <w:rStyle w:val="FootnoteReference"/>
          <w:lang w:val="en-GB"/>
        </w:rPr>
        <w:footnoteReference w:id="449"/>
      </w:r>
      <w:r w:rsidR="00082E64" w:rsidRPr="00DF02C5">
        <w:rPr>
          <w:lang w:val="en-GB"/>
        </w:rPr>
        <w:t xml:space="preserve">  and several countries provided information on their plans to address this issue</w:t>
      </w:r>
      <w:r w:rsidR="003C477F">
        <w:rPr>
          <w:lang w:val="en-GB"/>
        </w:rPr>
        <w:t>.</w:t>
      </w:r>
      <w:r w:rsidR="00082E64" w:rsidRPr="00DF02C5">
        <w:rPr>
          <w:rStyle w:val="FootnoteReference"/>
          <w:lang w:val="en-GB"/>
        </w:rPr>
        <w:footnoteReference w:id="450"/>
      </w:r>
    </w:p>
    <w:p w14:paraId="3B731AB6" w14:textId="77777777" w:rsidR="00082E64" w:rsidRPr="00DF02C5" w:rsidRDefault="00082E64" w:rsidP="00082E64">
      <w:pPr>
        <w:rPr>
          <w:lang w:val="en-GB"/>
        </w:rPr>
      </w:pPr>
    </w:p>
    <w:p w14:paraId="35F7C080" w14:textId="6ADD8C95" w:rsidR="00C50381" w:rsidRPr="00DF02C5" w:rsidRDefault="00C50381" w:rsidP="003C477F">
      <w:pPr>
        <w:pStyle w:val="Heading2"/>
        <w:numPr>
          <w:ilvl w:val="0"/>
          <w:numId w:val="43"/>
        </w:numPr>
        <w:spacing w:before="240"/>
        <w:ind w:left="0" w:firstLine="0"/>
        <w:rPr>
          <w:rFonts w:eastAsia="Calibri"/>
          <w:snapToGrid w:val="0"/>
          <w:bdr w:val="none" w:sz="0" w:space="0" w:color="auto"/>
          <w:lang w:val="en-GB"/>
        </w:rPr>
      </w:pPr>
      <w:bookmarkStart w:id="19" w:name="_Toc511112615"/>
      <w:r w:rsidRPr="00DF02C5">
        <w:rPr>
          <w:rFonts w:eastAsia="Calibri"/>
          <w:snapToGrid w:val="0"/>
          <w:bdr w:val="none" w:sz="0" w:space="0" w:color="auto"/>
          <w:lang w:val="en-GB"/>
        </w:rPr>
        <w:t>Optional additional information</w:t>
      </w:r>
      <w:r w:rsidR="00774F8E" w:rsidRPr="00DF02C5">
        <w:rPr>
          <w:rFonts w:eastAsia="Calibri"/>
          <w:snapToGrid w:val="0"/>
          <w:bdr w:val="none" w:sz="0" w:space="0" w:color="auto"/>
          <w:lang w:val="en-GB"/>
        </w:rPr>
        <w:t xml:space="preserve"> (questions 60 to 65)</w:t>
      </w:r>
      <w:bookmarkEnd w:id="19"/>
    </w:p>
    <w:p w14:paraId="7CA0C051" w14:textId="5BB0F726" w:rsidR="00C50381" w:rsidRPr="003C477F" w:rsidRDefault="00410F7E" w:rsidP="003C477F">
      <w:pPr>
        <w:pStyle w:val="ListParagraph"/>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before="240" w:after="120"/>
        <w:ind w:left="1440" w:right="270" w:hanging="806"/>
        <w:jc w:val="left"/>
        <w:rPr>
          <w:rFonts w:eastAsia="Calibri" w:hAnsi="Times New Roman" w:cs="Times New Roman"/>
          <w:i/>
          <w:snapToGrid w:val="0"/>
          <w:color w:val="auto"/>
          <w:kern w:val="22"/>
          <w:bdr w:val="none" w:sz="0" w:space="0" w:color="auto"/>
          <w:lang w:val="en-GB"/>
        </w:rPr>
      </w:pPr>
      <w:r w:rsidRPr="003C477F">
        <w:rPr>
          <w:rFonts w:eastAsia="Calibri" w:hAnsi="Times New Roman" w:cs="Times New Roman"/>
          <w:i/>
          <w:snapToGrid w:val="0"/>
          <w:color w:val="auto"/>
          <w:kern w:val="22"/>
          <w:bdr w:val="none" w:sz="0" w:space="0" w:color="auto"/>
          <w:lang w:val="en-GB"/>
        </w:rPr>
        <w:t>S</w:t>
      </w:r>
      <w:r w:rsidR="00D72718" w:rsidRPr="003C477F">
        <w:rPr>
          <w:rFonts w:eastAsia="Calibri" w:hAnsi="Times New Roman" w:cs="Times New Roman"/>
          <w:i/>
          <w:snapToGrid w:val="0"/>
          <w:color w:val="auto"/>
          <w:kern w:val="22"/>
          <w:bdr w:val="none" w:sz="0" w:space="0" w:color="auto"/>
          <w:lang w:val="en-GB"/>
        </w:rPr>
        <w:t xml:space="preserve">ummary of the main difficulties and challenges </w:t>
      </w:r>
      <w:r w:rsidR="00C50381" w:rsidRPr="003C477F">
        <w:rPr>
          <w:rFonts w:eastAsia="Calibri" w:hAnsi="Times New Roman" w:cs="Times New Roman"/>
          <w:i/>
          <w:snapToGrid w:val="0"/>
          <w:color w:val="auto"/>
          <w:kern w:val="22"/>
          <w:bdr w:val="none" w:sz="0" w:space="0" w:color="auto"/>
          <w:lang w:val="en-GB"/>
        </w:rPr>
        <w:t>encountered for becoming a Party to the Nagoya Protocol (question 60)</w:t>
      </w:r>
    </w:p>
    <w:p w14:paraId="7874D1F4" w14:textId="7F67273A" w:rsidR="00C50381" w:rsidRPr="00DF02C5" w:rsidRDefault="00C50381" w:rsidP="00CB6ACA">
      <w:pPr>
        <w:pStyle w:val="Para1"/>
        <w:numPr>
          <w:ilvl w:val="0"/>
          <w:numId w:val="93"/>
        </w:numPr>
        <w:rPr>
          <w:rFonts w:eastAsia="Calibri" w:hAnsi="Times New Roman"/>
          <w:snapToGrid w:val="0"/>
          <w:color w:val="auto"/>
          <w:kern w:val="22"/>
          <w:bdr w:val="none" w:sz="0" w:space="0" w:color="auto"/>
          <w:lang w:val="en-GB"/>
        </w:rPr>
      </w:pPr>
      <w:proofErr w:type="gramStart"/>
      <w:r w:rsidRPr="00DF02C5">
        <w:rPr>
          <w:rFonts w:eastAsia="Calibri" w:hAnsi="Times New Roman"/>
          <w:snapToGrid w:val="0"/>
          <w:color w:val="auto"/>
          <w:kern w:val="22"/>
          <w:bdr w:val="none" w:sz="0" w:space="0" w:color="auto"/>
          <w:lang w:val="en-GB"/>
        </w:rPr>
        <w:t>Thirty</w:t>
      </w:r>
      <w:r w:rsidR="007149F2" w:rsidRPr="00DF02C5">
        <w:rPr>
          <w:rFonts w:eastAsia="Calibri" w:hAnsi="Times New Roman"/>
          <w:snapToGrid w:val="0"/>
          <w:color w:val="auto"/>
          <w:kern w:val="22"/>
          <w:bdr w:val="none" w:sz="0" w:space="0" w:color="auto"/>
          <w:lang w:val="en-GB"/>
        </w:rPr>
        <w:t>-</w:t>
      </w:r>
      <w:r w:rsidR="00410F7E" w:rsidRPr="00DF02C5">
        <w:rPr>
          <w:rFonts w:eastAsia="Calibri" w:hAnsi="Times New Roman"/>
          <w:snapToGrid w:val="0"/>
          <w:color w:val="auto"/>
          <w:kern w:val="22"/>
          <w:bdr w:val="none" w:sz="0" w:space="0" w:color="auto"/>
          <w:lang w:val="en-GB"/>
        </w:rPr>
        <w:t>five</w:t>
      </w:r>
      <w:proofErr w:type="gramEnd"/>
      <w:r w:rsidRPr="00DF02C5">
        <w:rPr>
          <w:rFonts w:eastAsia="Calibri" w:hAnsi="Times New Roman"/>
          <w:snapToGrid w:val="0"/>
          <w:color w:val="auto"/>
          <w:kern w:val="22"/>
          <w:bdr w:val="none" w:sz="0" w:space="0" w:color="auto"/>
          <w:lang w:val="en-GB"/>
        </w:rPr>
        <w:t xml:space="preserve"> </w:t>
      </w:r>
      <w:r w:rsidR="00410F7E" w:rsidRPr="00DF02C5">
        <w:rPr>
          <w:rFonts w:eastAsia="Calibri" w:hAnsi="Times New Roman"/>
          <w:snapToGrid w:val="0"/>
          <w:color w:val="auto"/>
          <w:kern w:val="22"/>
          <w:bdr w:val="none" w:sz="0" w:space="0" w:color="auto"/>
          <w:lang w:val="en-GB"/>
        </w:rPr>
        <w:t xml:space="preserve">Parties and four non-Parties </w:t>
      </w:r>
      <w:r w:rsidRPr="00DF02C5">
        <w:rPr>
          <w:rFonts w:eastAsia="Calibri" w:hAnsi="Times New Roman"/>
          <w:snapToGrid w:val="0"/>
          <w:color w:val="auto"/>
          <w:kern w:val="22"/>
          <w:bdr w:val="none" w:sz="0" w:space="0" w:color="auto"/>
          <w:lang w:val="en-GB"/>
        </w:rPr>
        <w:t>answered this question</w:t>
      </w:r>
      <w:r w:rsidR="00410F7E" w:rsidRPr="00DF02C5">
        <w:rPr>
          <w:rFonts w:eastAsia="Calibri" w:hAnsi="Times New Roman"/>
          <w:snapToGrid w:val="0"/>
          <w:color w:val="auto"/>
          <w:kern w:val="22"/>
          <w:bdr w:val="none" w:sz="0" w:space="0" w:color="auto"/>
          <w:lang w:val="en-GB"/>
        </w:rPr>
        <w:t>. S</w:t>
      </w:r>
      <w:r w:rsidRPr="00DF02C5">
        <w:rPr>
          <w:rFonts w:eastAsia="Calibri" w:hAnsi="Times New Roman"/>
          <w:snapToGrid w:val="0"/>
          <w:color w:val="auto"/>
          <w:kern w:val="22"/>
          <w:bdr w:val="none" w:sz="0" w:space="0" w:color="auto"/>
          <w:lang w:val="en-GB"/>
        </w:rPr>
        <w:t>ixteen</w:t>
      </w:r>
      <w:r w:rsidR="00410F7E" w:rsidRPr="00DF02C5">
        <w:rPr>
          <w:rFonts w:eastAsia="Calibri" w:hAnsi="Times New Roman"/>
          <w:snapToGrid w:val="0"/>
          <w:color w:val="auto"/>
          <w:kern w:val="22"/>
          <w:bdr w:val="none" w:sz="0" w:space="0" w:color="auto"/>
          <w:lang w:val="en-GB"/>
        </w:rPr>
        <w:t xml:space="preserve"> countries</w:t>
      </w:r>
      <w:r w:rsidRPr="00DF02C5">
        <w:rPr>
          <w:rFonts w:eastAsia="Calibri" w:hAnsi="Times New Roman"/>
          <w:snapToGrid w:val="0"/>
          <w:color w:val="auto"/>
          <w:kern w:val="22"/>
          <w:bdr w:val="none" w:sz="0" w:space="0" w:color="auto"/>
          <w:lang w:val="en-GB"/>
        </w:rPr>
        <w:t xml:space="preserve"> reported not having encountered major difficulties for ratifying the Protocol</w:t>
      </w:r>
      <w:r w:rsidR="00410F7E" w:rsidRPr="00DF02C5">
        <w:rPr>
          <w:rFonts w:eastAsia="Calibri" w:hAnsi="Times New Roman"/>
          <w:snapToGrid w:val="0"/>
          <w:color w:val="auto"/>
          <w:kern w:val="22"/>
          <w:bdr w:val="none" w:sz="0" w:space="0" w:color="auto"/>
          <w:lang w:val="en-GB"/>
        </w:rPr>
        <w:t>.</w:t>
      </w:r>
      <w:r w:rsidRPr="00DF02C5">
        <w:rPr>
          <w:rFonts w:eastAsia="Calibri" w:hAnsi="Times New Roman"/>
          <w:snapToGrid w:val="0"/>
          <w:color w:val="auto"/>
          <w:kern w:val="22"/>
          <w:bdr w:val="none" w:sz="0" w:space="0" w:color="auto"/>
          <w:lang w:val="en-GB"/>
        </w:rPr>
        <w:t xml:space="preserve">  Many countries</w:t>
      </w:r>
      <w:r w:rsidR="00410F7E" w:rsidRPr="00DF02C5">
        <w:rPr>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 xml:space="preserve">provided information on challenges related to </w:t>
      </w:r>
      <w:r w:rsidR="009C2966" w:rsidRPr="00DF02C5">
        <w:rPr>
          <w:rFonts w:eastAsia="Calibri" w:hAnsi="Times New Roman"/>
          <w:snapToGrid w:val="0"/>
          <w:color w:val="auto"/>
          <w:kern w:val="22"/>
          <w:bdr w:val="none" w:sz="0" w:space="0" w:color="auto"/>
          <w:lang w:val="en-GB"/>
        </w:rPr>
        <w:t xml:space="preserve">the </w:t>
      </w:r>
      <w:r w:rsidRPr="00DF02C5">
        <w:rPr>
          <w:rFonts w:eastAsia="Calibri" w:hAnsi="Times New Roman"/>
          <w:snapToGrid w:val="0"/>
          <w:color w:val="auto"/>
          <w:kern w:val="22"/>
          <w:bdr w:val="none" w:sz="0" w:space="0" w:color="auto"/>
          <w:lang w:val="en-GB"/>
        </w:rPr>
        <w:t>implementation of the Protocol</w:t>
      </w:r>
      <w:r w:rsidR="009C2966" w:rsidRPr="00DF02C5">
        <w:rPr>
          <w:rFonts w:eastAsia="Calibri" w:hAnsi="Times New Roman"/>
          <w:snapToGrid w:val="0"/>
          <w:color w:val="auto"/>
          <w:kern w:val="22"/>
          <w:bdr w:val="none" w:sz="0" w:space="0" w:color="auto"/>
          <w:lang w:val="en-GB"/>
        </w:rPr>
        <w:t xml:space="preserve"> (following ratification)</w:t>
      </w:r>
      <w:r w:rsidRPr="00DF02C5">
        <w:rPr>
          <w:rFonts w:eastAsia="Calibri" w:hAnsi="Times New Roman"/>
          <w:snapToGrid w:val="0"/>
          <w:color w:val="auto"/>
          <w:kern w:val="22"/>
          <w:bdr w:val="none" w:sz="0" w:space="0" w:color="auto"/>
          <w:lang w:val="en-GB"/>
        </w:rPr>
        <w:t>, such as the need to strengthen human resources, technical and institutional capacity</w:t>
      </w:r>
      <w:r w:rsidR="00410F7E" w:rsidRPr="00DF02C5">
        <w:rPr>
          <w:rFonts w:eastAsia="Calibri" w:hAnsi="Times New Roman"/>
          <w:snapToGrid w:val="0"/>
          <w:color w:val="auto"/>
          <w:kern w:val="22"/>
          <w:bdr w:val="none" w:sz="0" w:space="0" w:color="auto"/>
          <w:lang w:val="en-GB"/>
        </w:rPr>
        <w:t xml:space="preserve">, national coordination </w:t>
      </w:r>
      <w:r w:rsidRPr="00DF02C5">
        <w:rPr>
          <w:rFonts w:eastAsia="Calibri" w:hAnsi="Times New Roman"/>
          <w:snapToGrid w:val="0"/>
          <w:color w:val="auto"/>
          <w:kern w:val="22"/>
          <w:bdr w:val="none" w:sz="0" w:space="0" w:color="auto"/>
          <w:lang w:val="en-GB"/>
        </w:rPr>
        <w:t>and public awareness of ABS</w:t>
      </w:r>
      <w:r w:rsidR="009C2966" w:rsidRPr="00DF02C5">
        <w:rPr>
          <w:rFonts w:eastAsia="Calibri" w:hAnsi="Times New Roman"/>
          <w:snapToGrid w:val="0"/>
          <w:color w:val="auto"/>
          <w:kern w:val="22"/>
          <w:bdr w:val="none" w:sz="0" w:space="0" w:color="auto"/>
          <w:lang w:val="en-GB"/>
        </w:rPr>
        <w:t>.</w:t>
      </w:r>
      <w:r w:rsidRPr="00DF02C5">
        <w:rPr>
          <w:rFonts w:eastAsia="Calibri" w:hAnsi="Times New Roman"/>
          <w:snapToGrid w:val="0"/>
          <w:color w:val="auto"/>
          <w:kern w:val="22"/>
          <w:bdr w:val="none" w:sz="0" w:space="0" w:color="auto"/>
          <w:lang w:val="en-GB"/>
        </w:rPr>
        <w:t xml:space="preserve">   </w:t>
      </w:r>
    </w:p>
    <w:p w14:paraId="34A7777A" w14:textId="5C9E89B5" w:rsidR="00C50381" w:rsidRPr="00DF02C5" w:rsidRDefault="00C50381"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Nevertheless, a number of countries provided information on some difficulties and challenges to ratify the Protocol,</w:t>
      </w:r>
      <w:r w:rsidR="009C2966" w:rsidRPr="00DF02C5">
        <w:rPr>
          <w:rFonts w:eastAsia="Calibri" w:hAnsi="Times New Roman"/>
          <w:snapToGrid w:val="0"/>
          <w:color w:val="auto"/>
          <w:kern w:val="22"/>
          <w:bdr w:val="none" w:sz="0" w:space="0" w:color="auto"/>
          <w:lang w:val="en-GB"/>
        </w:rPr>
        <w:t xml:space="preserve"> such as</w:t>
      </w:r>
      <w:r w:rsidRPr="00DF02C5">
        <w:rPr>
          <w:rFonts w:eastAsia="Calibri" w:hAnsi="Times New Roman"/>
          <w:snapToGrid w:val="0"/>
          <w:color w:val="auto"/>
          <w:kern w:val="22"/>
          <w:bdr w:val="none" w:sz="0" w:space="0" w:color="auto"/>
          <w:lang w:val="en-GB"/>
        </w:rPr>
        <w:t>: (a) raising awar</w:t>
      </w:r>
      <w:r w:rsidR="002D17E1">
        <w:rPr>
          <w:rFonts w:eastAsia="Calibri" w:hAnsi="Times New Roman"/>
          <w:snapToGrid w:val="0"/>
          <w:color w:val="auto"/>
          <w:kern w:val="22"/>
          <w:bdr w:val="none" w:sz="0" w:space="0" w:color="auto"/>
          <w:lang w:val="en-GB"/>
        </w:rPr>
        <w:t xml:space="preserve">eness of the importance of ABS for </w:t>
      </w:r>
      <w:r w:rsidRPr="00DF02C5">
        <w:rPr>
          <w:rFonts w:eastAsia="Calibri" w:hAnsi="Times New Roman"/>
          <w:snapToGrid w:val="0"/>
          <w:color w:val="auto"/>
          <w:kern w:val="22"/>
          <w:bdr w:val="none" w:sz="0" w:space="0" w:color="auto"/>
          <w:lang w:val="en-GB"/>
        </w:rPr>
        <w:t xml:space="preserve">parliamentarians and other stakeholders; (b) administrative challenges or complex procedures; </w:t>
      </w:r>
      <w:r w:rsidR="00410F7E" w:rsidRPr="00DF02C5">
        <w:rPr>
          <w:rFonts w:eastAsia="Calibri" w:hAnsi="Times New Roman"/>
          <w:snapToGrid w:val="0"/>
          <w:color w:val="auto"/>
          <w:kern w:val="22"/>
          <w:bdr w:val="none" w:sz="0" w:space="0" w:color="auto"/>
          <w:lang w:val="en-GB"/>
        </w:rPr>
        <w:t xml:space="preserve">and </w:t>
      </w:r>
      <w:r w:rsidRPr="00DF02C5">
        <w:rPr>
          <w:rFonts w:eastAsia="Calibri" w:hAnsi="Times New Roman"/>
          <w:snapToGrid w:val="0"/>
          <w:color w:val="auto"/>
          <w:kern w:val="22"/>
          <w:bdr w:val="none" w:sz="0" w:space="0" w:color="auto"/>
          <w:lang w:val="en-GB"/>
        </w:rPr>
        <w:t>(c) clarifying institutional competencies</w:t>
      </w:r>
      <w:r w:rsidR="00410F7E" w:rsidRPr="00DF02C5">
        <w:rPr>
          <w:rFonts w:eastAsia="Calibri" w:hAnsi="Times New Roman"/>
          <w:snapToGrid w:val="0"/>
          <w:color w:val="auto"/>
          <w:kern w:val="22"/>
          <w:bdr w:val="none" w:sz="0" w:space="0" w:color="auto"/>
          <w:lang w:val="en-GB"/>
        </w:rPr>
        <w:t>.</w:t>
      </w:r>
    </w:p>
    <w:p w14:paraId="179F4423" w14:textId="34B100AA" w:rsidR="00C50381" w:rsidRPr="003C477F" w:rsidRDefault="00410F7E" w:rsidP="003C477F">
      <w:pPr>
        <w:pStyle w:val="ListParagraph"/>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before="240" w:after="120"/>
        <w:ind w:left="1080" w:right="450" w:hanging="540"/>
        <w:jc w:val="left"/>
        <w:rPr>
          <w:rFonts w:eastAsia="Calibri" w:hAnsi="Times New Roman" w:cs="Times New Roman"/>
          <w:i/>
          <w:snapToGrid w:val="0"/>
          <w:color w:val="auto"/>
          <w:kern w:val="22"/>
          <w:bdr w:val="none" w:sz="0" w:space="0" w:color="auto"/>
          <w:lang w:val="en-GB"/>
        </w:rPr>
      </w:pPr>
      <w:r w:rsidRPr="003C477F">
        <w:rPr>
          <w:rFonts w:eastAsia="Calibri" w:hAnsi="Times New Roman" w:cs="Times New Roman"/>
          <w:i/>
          <w:snapToGrid w:val="0"/>
          <w:color w:val="auto"/>
          <w:kern w:val="22"/>
          <w:bdr w:val="none" w:sz="0" w:space="0" w:color="auto"/>
          <w:lang w:val="en-GB"/>
        </w:rPr>
        <w:t xml:space="preserve">Has your country established a mechanism for budgetary allocations of funds for the implementation of the Nagoya Protocol? </w:t>
      </w:r>
      <w:r w:rsidR="00C50381" w:rsidRPr="003C477F">
        <w:rPr>
          <w:rFonts w:eastAsia="Calibri" w:hAnsi="Times New Roman" w:cs="Times New Roman"/>
          <w:i/>
          <w:snapToGrid w:val="0"/>
          <w:color w:val="auto"/>
          <w:kern w:val="22"/>
          <w:bdr w:val="none" w:sz="0" w:space="0" w:color="auto"/>
          <w:lang w:val="en-GB"/>
        </w:rPr>
        <w:t>(question 61)</w:t>
      </w:r>
    </w:p>
    <w:p w14:paraId="7874CF95" w14:textId="39C62B20" w:rsidR="00C50381" w:rsidRPr="00DF02C5" w:rsidRDefault="0081504F" w:rsidP="00CB6ACA">
      <w:pPr>
        <w:pStyle w:val="Para1"/>
        <w:numPr>
          <w:ilvl w:val="0"/>
          <w:numId w:val="93"/>
        </w:numPr>
        <w:rPr>
          <w:rFonts w:eastAsia="Calibri" w:hAnsi="Times New Roman"/>
          <w:snapToGrid w:val="0"/>
          <w:color w:val="FF0000"/>
          <w:kern w:val="22"/>
          <w:bdr w:val="none" w:sz="0" w:space="0" w:color="auto"/>
          <w:lang w:val="en-GB"/>
        </w:rPr>
      </w:pPr>
      <w:proofErr w:type="gramStart"/>
      <w:r w:rsidRPr="00DF02C5">
        <w:rPr>
          <w:rFonts w:hAnsi="Times New Roman"/>
          <w:bdr w:val="none" w:sz="0" w:space="0" w:color="auto"/>
          <w:lang w:val="en-GB"/>
        </w:rPr>
        <w:t>Twenty-four</w:t>
      </w:r>
      <w:proofErr w:type="gramEnd"/>
      <w:r w:rsidRPr="00DF02C5">
        <w:rPr>
          <w:rFonts w:hAnsi="Times New Roman"/>
          <w:bdr w:val="none" w:sz="0" w:space="0" w:color="auto"/>
          <w:lang w:val="en-GB"/>
        </w:rPr>
        <w:t xml:space="preserve"> Parties and two non-Parties responded that they have </w:t>
      </w:r>
      <w:r w:rsidRPr="00DF02C5">
        <w:rPr>
          <w:rFonts w:eastAsia="Calibri" w:hAnsi="Times New Roman"/>
          <w:snapToGrid w:val="0"/>
          <w:color w:val="auto"/>
          <w:kern w:val="22"/>
          <w:bdr w:val="none" w:sz="0" w:space="0" w:color="auto"/>
          <w:lang w:val="en-GB"/>
        </w:rPr>
        <w:t>established a mechanism for budgetary allocations of funds for the implementation of the Nagoya Protocol</w:t>
      </w:r>
      <w:r w:rsidR="00410F7E" w:rsidRPr="00DF02C5">
        <w:rPr>
          <w:rFonts w:hAnsi="Times New Roman"/>
          <w:bdr w:val="none" w:sz="0" w:space="0" w:color="auto"/>
          <w:lang w:val="en-GB"/>
        </w:rPr>
        <w:t xml:space="preserve">, and </w:t>
      </w:r>
      <w:r w:rsidRPr="00DF02C5">
        <w:rPr>
          <w:rFonts w:hAnsi="Times New Roman"/>
          <w:bdr w:val="none" w:sz="0" w:space="0" w:color="auto"/>
          <w:lang w:val="en-GB"/>
        </w:rPr>
        <w:t xml:space="preserve">forty-one Parties and three non-Parties </w:t>
      </w:r>
      <w:r w:rsidR="00410F7E" w:rsidRPr="00DF02C5">
        <w:rPr>
          <w:rFonts w:hAnsi="Times New Roman"/>
          <w:bdr w:val="none" w:sz="0" w:space="0" w:color="auto"/>
          <w:lang w:val="en-GB"/>
        </w:rPr>
        <w:t xml:space="preserve">answered that they have not. </w:t>
      </w:r>
    </w:p>
    <w:p w14:paraId="6C33FC14" w14:textId="6F098456" w:rsidR="00410F7E" w:rsidRPr="00DF02C5" w:rsidRDefault="00E5256F" w:rsidP="00E5256F">
      <w:pPr>
        <w:pStyle w:val="Caption"/>
        <w:keepNext/>
        <w:keepLines/>
        <w:rPr>
          <w:snapToGrid w:val="0"/>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Pr="00DF02C5">
        <w:rPr>
          <w:noProof/>
          <w:lang w:val="en-GB"/>
        </w:rPr>
        <w:t>52</w:t>
      </w:r>
      <w:r w:rsidRPr="00DF02C5">
        <w:rPr>
          <w:lang w:val="en-GB"/>
        </w:rPr>
        <w:fldChar w:fldCharType="end"/>
      </w:r>
      <w:r w:rsidR="00410F7E" w:rsidRPr="00DF02C5">
        <w:rPr>
          <w:snapToGrid w:val="0"/>
          <w:bdr w:val="none" w:sz="0" w:space="0" w:color="auto"/>
          <w:lang w:val="en-GB"/>
        </w:rPr>
        <w:t>: Mechanism for budgetary allocations of funds for the implementation of the Nagoya Protocol (percentage of countries)</w:t>
      </w:r>
    </w:p>
    <w:p w14:paraId="24C944ED" w14:textId="58660AD1" w:rsidR="00410F7E" w:rsidRPr="00DF02C5" w:rsidRDefault="00410F7E" w:rsidP="00410F7E">
      <w:pPr>
        <w:pStyle w:val="Para1"/>
        <w:jc w:val="center"/>
        <w:rPr>
          <w:rFonts w:eastAsia="Calibri" w:hAnsi="Times New Roman"/>
          <w:snapToGrid w:val="0"/>
          <w:color w:val="FF0000"/>
          <w:kern w:val="22"/>
          <w:bdr w:val="none" w:sz="0" w:space="0" w:color="auto"/>
          <w:lang w:val="en-GB"/>
        </w:rPr>
      </w:pPr>
      <w:r w:rsidRPr="00DF02C5">
        <w:rPr>
          <w:noProof/>
        </w:rPr>
        <w:drawing>
          <wp:inline distT="0" distB="0" distL="0" distR="0" wp14:anchorId="5DB9E225" wp14:editId="3468F47D">
            <wp:extent cx="3505200" cy="1752600"/>
            <wp:effectExtent l="0" t="0" r="19050" b="1905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D5B3A59" w14:textId="684828C2" w:rsidR="00410F7E" w:rsidRPr="00DF02C5" w:rsidRDefault="00410F7E" w:rsidP="00410F7E">
      <w:pPr>
        <w:pStyle w:val="Para1"/>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t>(a)</w:t>
      </w:r>
      <w:r w:rsidRPr="00DF02C5">
        <w:rPr>
          <w:rFonts w:eastAsia="Calibri" w:hAnsi="Times New Roman"/>
          <w:i/>
          <w:snapToGrid w:val="0"/>
          <w:color w:val="auto"/>
          <w:kern w:val="22"/>
          <w:bdr w:val="none" w:sz="0" w:space="0" w:color="auto"/>
          <w:lang w:val="en-GB"/>
        </w:rPr>
        <w:tab/>
        <w:t>Countries that answered “yes”</w:t>
      </w:r>
    </w:p>
    <w:p w14:paraId="344C71AE" w14:textId="5CA96C08" w:rsidR="00C50381" w:rsidRPr="00DF02C5" w:rsidRDefault="00C50381"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In answering the question, </w:t>
      </w:r>
      <w:r w:rsidR="00410F7E" w:rsidRPr="00DF02C5">
        <w:rPr>
          <w:rFonts w:eastAsia="Calibri" w:hAnsi="Times New Roman"/>
          <w:snapToGrid w:val="0"/>
          <w:color w:val="auto"/>
          <w:kern w:val="22"/>
          <w:bdr w:val="none" w:sz="0" w:space="0" w:color="auto"/>
          <w:lang w:val="en-GB"/>
        </w:rPr>
        <w:t xml:space="preserve">some </w:t>
      </w:r>
      <w:r w:rsidRPr="00DF02C5">
        <w:rPr>
          <w:rFonts w:eastAsia="Calibri" w:hAnsi="Times New Roman"/>
          <w:snapToGrid w:val="0"/>
          <w:color w:val="auto"/>
          <w:kern w:val="22"/>
          <w:bdr w:val="none" w:sz="0" w:space="0" w:color="auto"/>
          <w:lang w:val="en-GB"/>
        </w:rPr>
        <w:t>countries specified where t</w:t>
      </w:r>
      <w:r w:rsidR="00410F7E" w:rsidRPr="00DF02C5">
        <w:rPr>
          <w:rFonts w:eastAsia="Calibri" w:hAnsi="Times New Roman"/>
          <w:snapToGrid w:val="0"/>
          <w:color w:val="auto"/>
          <w:kern w:val="22"/>
          <w:bdr w:val="none" w:sz="0" w:space="0" w:color="auto"/>
          <w:lang w:val="en-GB"/>
        </w:rPr>
        <w:t>he</w:t>
      </w:r>
      <w:r w:rsidRPr="00DF02C5">
        <w:rPr>
          <w:rFonts w:eastAsia="Calibri" w:hAnsi="Times New Roman"/>
          <w:snapToGrid w:val="0"/>
          <w:color w:val="auto"/>
          <w:kern w:val="22"/>
          <w:bdr w:val="none" w:sz="0" w:space="0" w:color="auto"/>
          <w:lang w:val="en-GB"/>
        </w:rPr>
        <w:t xml:space="preserve"> funds </w:t>
      </w:r>
      <w:r w:rsidR="00410F7E" w:rsidRPr="00DF02C5">
        <w:rPr>
          <w:rFonts w:eastAsia="Calibri" w:hAnsi="Times New Roman"/>
          <w:snapToGrid w:val="0"/>
          <w:color w:val="auto"/>
          <w:kern w:val="22"/>
          <w:bdr w:val="none" w:sz="0" w:space="0" w:color="auto"/>
          <w:lang w:val="en-GB"/>
        </w:rPr>
        <w:t xml:space="preserve">for the implementation of the Nagoya Protocol come from. For </w:t>
      </w:r>
      <w:r w:rsidR="00B80AF5">
        <w:rPr>
          <w:rFonts w:eastAsia="Calibri" w:hAnsi="Times New Roman"/>
          <w:snapToGrid w:val="0"/>
          <w:color w:val="auto"/>
          <w:kern w:val="22"/>
          <w:bdr w:val="none" w:sz="0" w:space="0" w:color="auto"/>
          <w:lang w:val="en-GB"/>
        </w:rPr>
        <w:t>some</w:t>
      </w:r>
      <w:r w:rsidR="002D17E1">
        <w:rPr>
          <w:rFonts w:eastAsia="Calibri" w:hAnsi="Times New Roman"/>
          <w:snapToGrid w:val="0"/>
          <w:color w:val="auto"/>
          <w:kern w:val="22"/>
          <w:bdr w:val="none" w:sz="0" w:space="0" w:color="auto"/>
          <w:lang w:val="en-GB"/>
        </w:rPr>
        <w:t>,</w:t>
      </w:r>
      <w:r w:rsidR="00B80AF5">
        <w:rPr>
          <w:rFonts w:eastAsia="Calibri" w:hAnsi="Times New Roman"/>
          <w:snapToGrid w:val="0"/>
          <w:color w:val="auto"/>
          <w:kern w:val="22"/>
          <w:bdr w:val="none" w:sz="0" w:space="0" w:color="auto"/>
          <w:lang w:val="en-GB"/>
        </w:rPr>
        <w:t xml:space="preserve"> the S</w:t>
      </w:r>
      <w:r w:rsidRPr="00DF02C5">
        <w:rPr>
          <w:rFonts w:eastAsia="Calibri" w:hAnsi="Times New Roman"/>
          <w:snapToGrid w:val="0"/>
          <w:color w:val="auto"/>
          <w:kern w:val="22"/>
          <w:bdr w:val="none" w:sz="0" w:space="0" w:color="auto"/>
          <w:lang w:val="en-GB"/>
        </w:rPr>
        <w:t>tate provides the funds</w:t>
      </w:r>
      <w:r w:rsidRPr="00DF02C5">
        <w:rPr>
          <w:rStyle w:val="FootnoteReference"/>
          <w:rFonts w:eastAsia="Calibri" w:hAnsi="Times New Roman"/>
          <w:snapToGrid w:val="0"/>
          <w:color w:val="auto"/>
          <w:kern w:val="22"/>
          <w:bdr w:val="none" w:sz="0" w:space="0" w:color="auto"/>
          <w:lang w:val="en-GB"/>
        </w:rPr>
        <w:footnoteReference w:id="451"/>
      </w:r>
      <w:r w:rsidRPr="00DF02C5">
        <w:rPr>
          <w:rFonts w:eastAsia="Calibri" w:hAnsi="Times New Roman"/>
          <w:snapToGrid w:val="0"/>
          <w:color w:val="auto"/>
          <w:kern w:val="22"/>
          <w:bdr w:val="none" w:sz="0" w:space="0" w:color="auto"/>
          <w:lang w:val="en-GB"/>
        </w:rPr>
        <w:t xml:space="preserve"> or contributes funds</w:t>
      </w:r>
      <w:r w:rsidRPr="00DF02C5">
        <w:rPr>
          <w:rStyle w:val="FootnoteReference"/>
          <w:rFonts w:eastAsia="Calibri" w:hAnsi="Times New Roman"/>
          <w:snapToGrid w:val="0"/>
          <w:color w:val="auto"/>
          <w:kern w:val="22"/>
          <w:bdr w:val="none" w:sz="0" w:space="0" w:color="auto"/>
          <w:lang w:val="en-GB"/>
        </w:rPr>
        <w:footnoteReference w:id="452"/>
      </w:r>
      <w:r w:rsidR="00410F7E" w:rsidRPr="00DF02C5">
        <w:rPr>
          <w:rFonts w:eastAsia="Calibri" w:hAnsi="Times New Roman"/>
          <w:snapToGrid w:val="0"/>
          <w:color w:val="auto"/>
          <w:kern w:val="22"/>
          <w:bdr w:val="none" w:sz="0" w:space="0" w:color="auto"/>
          <w:lang w:val="en-GB"/>
        </w:rPr>
        <w:t>, and</w:t>
      </w:r>
      <w:r w:rsidRPr="00DF02C5">
        <w:rPr>
          <w:rFonts w:eastAsia="Calibri" w:hAnsi="Times New Roman"/>
          <w:snapToGrid w:val="0"/>
          <w:color w:val="auto"/>
          <w:kern w:val="22"/>
          <w:bdr w:val="none" w:sz="0" w:space="0" w:color="auto"/>
          <w:lang w:val="en-GB"/>
        </w:rPr>
        <w:t xml:space="preserve"> </w:t>
      </w:r>
      <w:r w:rsidR="00410F7E" w:rsidRPr="00DF02C5">
        <w:rPr>
          <w:rFonts w:eastAsia="Calibri" w:hAnsi="Times New Roman"/>
          <w:snapToGrid w:val="0"/>
          <w:color w:val="auto"/>
          <w:kern w:val="22"/>
          <w:bdr w:val="none" w:sz="0" w:space="0" w:color="auto"/>
          <w:lang w:val="en-GB"/>
        </w:rPr>
        <w:t>for other</w:t>
      </w:r>
      <w:r w:rsidR="002D17E1">
        <w:rPr>
          <w:rFonts w:eastAsia="Calibri" w:hAnsi="Times New Roman"/>
          <w:snapToGrid w:val="0"/>
          <w:color w:val="auto"/>
          <w:kern w:val="22"/>
          <w:bdr w:val="none" w:sz="0" w:space="0" w:color="auto"/>
          <w:lang w:val="en-GB"/>
        </w:rPr>
        <w:t>s</w:t>
      </w:r>
      <w:r w:rsidR="00410F7E" w:rsidRPr="00DF02C5">
        <w:rPr>
          <w:rFonts w:eastAsia="Calibri" w:hAnsi="Times New Roman"/>
          <w:snapToGrid w:val="0"/>
          <w:color w:val="auto"/>
          <w:kern w:val="22"/>
          <w:bdr w:val="none" w:sz="0" w:space="0" w:color="auto"/>
          <w:lang w:val="en-GB"/>
        </w:rPr>
        <w:t xml:space="preserve"> the funds </w:t>
      </w:r>
      <w:r w:rsidRPr="00DF02C5">
        <w:rPr>
          <w:rFonts w:eastAsia="Calibri" w:hAnsi="Times New Roman"/>
          <w:snapToGrid w:val="0"/>
          <w:color w:val="auto"/>
          <w:kern w:val="22"/>
          <w:bdr w:val="none" w:sz="0" w:space="0" w:color="auto"/>
          <w:lang w:val="en-GB"/>
        </w:rPr>
        <w:t xml:space="preserve">received </w:t>
      </w:r>
      <w:r w:rsidR="00410F7E" w:rsidRPr="00DF02C5">
        <w:rPr>
          <w:rFonts w:eastAsia="Calibri" w:hAnsi="Times New Roman"/>
          <w:snapToGrid w:val="0"/>
          <w:color w:val="auto"/>
          <w:kern w:val="22"/>
          <w:bdr w:val="none" w:sz="0" w:space="0" w:color="auto"/>
          <w:lang w:val="en-GB"/>
        </w:rPr>
        <w:t xml:space="preserve">come from </w:t>
      </w:r>
      <w:r w:rsidRPr="00DF02C5">
        <w:rPr>
          <w:rFonts w:eastAsia="Calibri" w:hAnsi="Times New Roman"/>
          <w:snapToGrid w:val="0"/>
          <w:color w:val="auto"/>
          <w:kern w:val="22"/>
          <w:bdr w:val="none" w:sz="0" w:space="0" w:color="auto"/>
          <w:lang w:val="en-GB"/>
        </w:rPr>
        <w:t>external</w:t>
      </w:r>
      <w:r w:rsidR="00410F7E" w:rsidRPr="00DF02C5">
        <w:rPr>
          <w:rFonts w:eastAsia="Calibri" w:hAnsi="Times New Roman"/>
          <w:snapToGrid w:val="0"/>
          <w:color w:val="auto"/>
          <w:kern w:val="22"/>
          <w:bdr w:val="none" w:sz="0" w:space="0" w:color="auto"/>
          <w:lang w:val="en-GB"/>
        </w:rPr>
        <w:t xml:space="preserve"> sources</w:t>
      </w:r>
      <w:r w:rsidR="003C477F">
        <w:rPr>
          <w:rFonts w:eastAsia="Calibri" w:hAnsi="Times New Roman"/>
          <w:snapToGrid w:val="0"/>
          <w:color w:val="auto"/>
          <w:kern w:val="22"/>
          <w:bdr w:val="none" w:sz="0" w:space="0" w:color="auto"/>
          <w:lang w:val="en-GB"/>
        </w:rPr>
        <w:t>.</w:t>
      </w:r>
      <w:r w:rsidRPr="00DF02C5">
        <w:rPr>
          <w:rStyle w:val="FootnoteReference"/>
          <w:rFonts w:eastAsia="Calibri" w:hAnsi="Times New Roman"/>
          <w:snapToGrid w:val="0"/>
          <w:color w:val="auto"/>
          <w:kern w:val="22"/>
          <w:bdr w:val="none" w:sz="0" w:space="0" w:color="auto"/>
          <w:lang w:val="en-GB"/>
        </w:rPr>
        <w:footnoteReference w:id="453"/>
      </w:r>
      <w:r w:rsidRPr="00DF02C5">
        <w:rPr>
          <w:rFonts w:eastAsia="Calibri" w:hAnsi="Times New Roman"/>
          <w:snapToGrid w:val="0"/>
          <w:color w:val="auto"/>
          <w:kern w:val="22"/>
          <w:bdr w:val="none" w:sz="0" w:space="0" w:color="auto"/>
          <w:lang w:val="en-GB"/>
        </w:rPr>
        <w:t xml:space="preserve"> </w:t>
      </w:r>
    </w:p>
    <w:p w14:paraId="73B1DEEC" w14:textId="4149AE3D" w:rsidR="00C50381" w:rsidRPr="00DF02C5" w:rsidRDefault="00C50381"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Several countries indicated that governments are using existing budget </w:t>
      </w:r>
      <w:r w:rsidR="00D75480" w:rsidRPr="00DF02C5">
        <w:rPr>
          <w:rFonts w:eastAsia="Calibri" w:hAnsi="Times New Roman"/>
          <w:snapToGrid w:val="0"/>
          <w:color w:val="auto"/>
          <w:kern w:val="22"/>
          <w:bdr w:val="none" w:sz="0" w:space="0" w:color="auto"/>
          <w:lang w:val="en-GB"/>
        </w:rPr>
        <w:t xml:space="preserve">mechanisms </w:t>
      </w:r>
      <w:r w:rsidRPr="00DF02C5">
        <w:rPr>
          <w:rFonts w:eastAsia="Calibri" w:hAnsi="Times New Roman"/>
          <w:snapToGrid w:val="0"/>
          <w:color w:val="auto"/>
          <w:kern w:val="22"/>
          <w:bdr w:val="none" w:sz="0" w:space="0" w:color="auto"/>
          <w:lang w:val="en-GB"/>
        </w:rPr>
        <w:t>within the responsible ministries for implementing the Nagoya Protocol</w:t>
      </w:r>
      <w:r w:rsidR="003C477F">
        <w:rPr>
          <w:rFonts w:eastAsia="Calibri" w:hAnsi="Times New Roman"/>
          <w:snapToGrid w:val="0"/>
          <w:color w:val="auto"/>
          <w:kern w:val="22"/>
          <w:bdr w:val="none" w:sz="0" w:space="0" w:color="auto"/>
          <w:lang w:val="en-GB"/>
        </w:rPr>
        <w:t>.</w:t>
      </w:r>
      <w:r w:rsidRPr="00DF02C5">
        <w:rPr>
          <w:rStyle w:val="FootnoteReference"/>
          <w:rFonts w:eastAsia="Calibri" w:hAnsi="Times New Roman"/>
          <w:snapToGrid w:val="0"/>
          <w:color w:val="auto"/>
          <w:kern w:val="22"/>
          <w:bdr w:val="none" w:sz="0" w:space="0" w:color="auto"/>
          <w:lang w:val="en-GB"/>
        </w:rPr>
        <w:footnoteReference w:id="454"/>
      </w:r>
      <w:r w:rsidRPr="00DF02C5">
        <w:rPr>
          <w:rFonts w:eastAsia="Calibri" w:hAnsi="Times New Roman"/>
          <w:snapToGrid w:val="0"/>
          <w:color w:val="auto"/>
          <w:kern w:val="22"/>
          <w:bdr w:val="none" w:sz="0" w:space="0" w:color="auto"/>
          <w:lang w:val="en-GB"/>
        </w:rPr>
        <w:t xml:space="preserve"> For example, every year, Viet</w:t>
      </w:r>
      <w:r w:rsidR="00D75480" w:rsidRPr="00DF02C5">
        <w:rPr>
          <w:rFonts w:eastAsia="Calibri" w:hAnsi="Times New Roman"/>
          <w:snapToGrid w:val="0"/>
          <w:color w:val="auto"/>
          <w:kern w:val="22"/>
          <w:bdr w:val="none" w:sz="0" w:space="0" w:color="auto"/>
          <w:lang w:val="en-GB"/>
        </w:rPr>
        <w:t xml:space="preserve"> N</w:t>
      </w:r>
      <w:r w:rsidRPr="00DF02C5">
        <w:rPr>
          <w:rFonts w:eastAsia="Calibri" w:hAnsi="Times New Roman"/>
          <w:snapToGrid w:val="0"/>
          <w:color w:val="auto"/>
          <w:kern w:val="22"/>
          <w:bdr w:val="none" w:sz="0" w:space="0" w:color="auto"/>
          <w:lang w:val="en-GB"/>
        </w:rPr>
        <w:t xml:space="preserve">am allocates funds from </w:t>
      </w:r>
      <w:r w:rsidR="00D75480" w:rsidRPr="00DF02C5">
        <w:rPr>
          <w:rFonts w:eastAsia="Calibri" w:hAnsi="Times New Roman"/>
          <w:snapToGrid w:val="0"/>
          <w:color w:val="auto"/>
          <w:kern w:val="22"/>
          <w:bdr w:val="none" w:sz="0" w:space="0" w:color="auto"/>
          <w:lang w:val="en-GB"/>
        </w:rPr>
        <w:t xml:space="preserve">the </w:t>
      </w:r>
      <w:r w:rsidRPr="00DF02C5">
        <w:rPr>
          <w:rFonts w:eastAsia="Calibri" w:hAnsi="Times New Roman"/>
          <w:snapToGrid w:val="0"/>
          <w:color w:val="auto"/>
          <w:kern w:val="22"/>
          <w:bdr w:val="none" w:sz="0" w:space="0" w:color="auto"/>
          <w:lang w:val="en-GB"/>
        </w:rPr>
        <w:t xml:space="preserve">environment budget to </w:t>
      </w:r>
      <w:r w:rsidR="006053C5" w:rsidRPr="00DF02C5">
        <w:rPr>
          <w:rFonts w:eastAsia="Calibri" w:hAnsi="Times New Roman"/>
          <w:snapToGrid w:val="0"/>
          <w:color w:val="auto"/>
          <w:kern w:val="22"/>
          <w:bdr w:val="none" w:sz="0" w:space="0" w:color="auto"/>
          <w:lang w:val="en-GB"/>
        </w:rPr>
        <w:t>coordinate</w:t>
      </w:r>
      <w:r w:rsidRPr="00DF02C5">
        <w:rPr>
          <w:rFonts w:eastAsia="Calibri" w:hAnsi="Times New Roman"/>
          <w:snapToGrid w:val="0"/>
          <w:color w:val="auto"/>
          <w:kern w:val="22"/>
          <w:bdr w:val="none" w:sz="0" w:space="0" w:color="auto"/>
          <w:lang w:val="en-GB"/>
        </w:rPr>
        <w:t xml:space="preserve"> the implementation of biodiversity related international agreements. The Government of China has established specialized funds for the </w:t>
      </w:r>
      <w:r w:rsidRPr="00DF02C5">
        <w:rPr>
          <w:rFonts w:eastAsia="Calibri" w:hAnsi="Times New Roman"/>
          <w:snapToGrid w:val="0"/>
          <w:color w:val="auto"/>
          <w:kern w:val="22"/>
          <w:bdr w:val="none" w:sz="0" w:space="0" w:color="auto"/>
          <w:lang w:val="en-GB"/>
        </w:rPr>
        <w:lastRenderedPageBreak/>
        <w:t>implementation of the Convention on Biol</w:t>
      </w:r>
      <w:r w:rsidR="006053C5" w:rsidRPr="00DF02C5">
        <w:rPr>
          <w:rFonts w:eastAsia="Calibri" w:hAnsi="Times New Roman"/>
          <w:snapToGrid w:val="0"/>
          <w:color w:val="auto"/>
          <w:kern w:val="22"/>
          <w:bdr w:val="none" w:sz="0" w:space="0" w:color="auto"/>
          <w:lang w:val="en-GB"/>
        </w:rPr>
        <w:t xml:space="preserve">ogical Diversity which include funds </w:t>
      </w:r>
      <w:r w:rsidRPr="00DF02C5">
        <w:rPr>
          <w:rFonts w:eastAsia="Calibri" w:hAnsi="Times New Roman"/>
          <w:snapToGrid w:val="0"/>
          <w:color w:val="auto"/>
          <w:kern w:val="22"/>
          <w:bdr w:val="none" w:sz="0" w:space="0" w:color="auto"/>
          <w:lang w:val="en-GB"/>
        </w:rPr>
        <w:t xml:space="preserve">for the implementation of the Nagoya Protocol. </w:t>
      </w:r>
    </w:p>
    <w:p w14:paraId="15113F47" w14:textId="17837F8D" w:rsidR="006053C5" w:rsidRPr="00DF02C5" w:rsidRDefault="00C50381"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Some countries specify that the mechanism exists but there are challenges to using it or it does not suffice.</w:t>
      </w:r>
      <w:r w:rsidRPr="00DF02C5">
        <w:rPr>
          <w:rStyle w:val="FootnoteReference"/>
          <w:rFonts w:eastAsia="Calibri" w:hAnsi="Times New Roman"/>
          <w:snapToGrid w:val="0"/>
          <w:color w:val="auto"/>
          <w:kern w:val="22"/>
          <w:bdr w:val="none" w:sz="0" w:space="0" w:color="auto"/>
          <w:lang w:val="en-GB"/>
        </w:rPr>
        <w:footnoteReference w:id="455"/>
      </w:r>
      <w:r w:rsidRPr="00DF02C5">
        <w:rPr>
          <w:rStyle w:val="FootnoteReference"/>
          <w:lang w:val="en-GB"/>
        </w:rPr>
        <w:t xml:space="preserve"> </w:t>
      </w:r>
      <w:r w:rsidR="006053C5" w:rsidRPr="00DF02C5">
        <w:rPr>
          <w:rFonts w:eastAsia="Calibri" w:hAnsi="Times New Roman"/>
          <w:snapToGrid w:val="0"/>
          <w:color w:val="auto"/>
          <w:kern w:val="22"/>
          <w:bdr w:val="none" w:sz="0" w:space="0" w:color="auto"/>
          <w:lang w:val="en-GB"/>
        </w:rPr>
        <w:t>Kenya</w:t>
      </w:r>
      <w:r w:rsidR="00916807" w:rsidRPr="00DF02C5">
        <w:rPr>
          <w:rFonts w:eastAsia="Calibri" w:hAnsi="Times New Roman"/>
          <w:snapToGrid w:val="0"/>
          <w:color w:val="auto"/>
          <w:kern w:val="22"/>
          <w:bdr w:val="none" w:sz="0" w:space="0" w:color="auto"/>
          <w:lang w:val="en-GB"/>
        </w:rPr>
        <w:t xml:space="preserve"> and Sudan reported having a resource mobilization strategy.</w:t>
      </w:r>
    </w:p>
    <w:p w14:paraId="4781047C" w14:textId="7744ECCD" w:rsidR="00916807" w:rsidRPr="00DF02C5" w:rsidRDefault="003B3005" w:rsidP="003B3005">
      <w:pPr>
        <w:pStyle w:val="Para1"/>
        <w:rPr>
          <w:rFonts w:eastAsia="Calibri" w:hAnsi="Times New Roman"/>
          <w:i/>
          <w:snapToGrid w:val="0"/>
          <w:color w:val="auto"/>
          <w:kern w:val="22"/>
          <w:bdr w:val="none" w:sz="0" w:space="0" w:color="auto"/>
          <w:lang w:val="en-GB"/>
        </w:rPr>
      </w:pPr>
      <w:r w:rsidRPr="00DF02C5">
        <w:rPr>
          <w:rFonts w:eastAsia="Calibri" w:hAnsi="Times New Roman"/>
          <w:i/>
          <w:snapToGrid w:val="0"/>
          <w:color w:val="auto"/>
          <w:kern w:val="22"/>
          <w:bdr w:val="none" w:sz="0" w:space="0" w:color="auto"/>
          <w:lang w:val="en-GB"/>
        </w:rPr>
        <w:t>(b)</w:t>
      </w:r>
      <w:r w:rsidRPr="00DF02C5">
        <w:rPr>
          <w:rFonts w:eastAsia="Calibri" w:hAnsi="Times New Roman"/>
          <w:i/>
          <w:snapToGrid w:val="0"/>
          <w:color w:val="auto"/>
          <w:kern w:val="22"/>
          <w:bdr w:val="none" w:sz="0" w:space="0" w:color="auto"/>
          <w:lang w:val="en-GB"/>
        </w:rPr>
        <w:tab/>
      </w:r>
      <w:r w:rsidR="00916807" w:rsidRPr="00DF02C5">
        <w:rPr>
          <w:rFonts w:eastAsia="Calibri" w:hAnsi="Times New Roman"/>
          <w:i/>
          <w:snapToGrid w:val="0"/>
          <w:color w:val="auto"/>
          <w:kern w:val="22"/>
          <w:bdr w:val="none" w:sz="0" w:space="0" w:color="auto"/>
          <w:lang w:val="en-GB"/>
        </w:rPr>
        <w:t>Countries that answered “no”</w:t>
      </w:r>
    </w:p>
    <w:p w14:paraId="09C20537" w14:textId="64C5484E" w:rsidR="00C50381" w:rsidRPr="00DF02C5" w:rsidRDefault="006053C5"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Several countries reported having allocated funds for the short-to-medium term</w:t>
      </w:r>
      <w:r w:rsidRPr="00DF02C5">
        <w:rPr>
          <w:rStyle w:val="FootnoteReference"/>
          <w:rFonts w:eastAsia="Calibri" w:hAnsi="Times New Roman"/>
          <w:snapToGrid w:val="0"/>
          <w:color w:val="auto"/>
          <w:kern w:val="22"/>
          <w:bdr w:val="none" w:sz="0" w:space="0" w:color="auto"/>
          <w:lang w:val="en-GB"/>
        </w:rPr>
        <w:footnoteReference w:id="456"/>
      </w:r>
      <w:r w:rsidRPr="00DF02C5">
        <w:rPr>
          <w:rFonts w:eastAsia="Calibri" w:hAnsi="Times New Roman"/>
          <w:snapToGrid w:val="0"/>
          <w:color w:val="auto"/>
          <w:kern w:val="22"/>
          <w:bdr w:val="none" w:sz="0" w:space="0" w:color="auto"/>
          <w:lang w:val="en-GB"/>
        </w:rPr>
        <w:t xml:space="preserve"> or are planning to do so either through the national budget or through GEF projects</w:t>
      </w:r>
      <w:r w:rsidRPr="00DF02C5">
        <w:rPr>
          <w:rStyle w:val="FootnoteReference"/>
          <w:rFonts w:eastAsia="Calibri" w:hAnsi="Times New Roman"/>
          <w:snapToGrid w:val="0"/>
          <w:color w:val="auto"/>
          <w:kern w:val="22"/>
          <w:bdr w:val="none" w:sz="0" w:space="0" w:color="auto"/>
          <w:lang w:val="en-GB"/>
        </w:rPr>
        <w:footnoteReference w:id="457"/>
      </w:r>
      <w:r w:rsidRPr="00DF02C5">
        <w:rPr>
          <w:rFonts w:eastAsia="Calibri" w:hAnsi="Times New Roman"/>
          <w:snapToGrid w:val="0"/>
          <w:color w:val="auto"/>
          <w:kern w:val="22"/>
          <w:bdr w:val="none" w:sz="0" w:space="0" w:color="auto"/>
          <w:lang w:val="en-GB"/>
        </w:rPr>
        <w:t>.</w:t>
      </w:r>
    </w:p>
    <w:p w14:paraId="2ECEDC74" w14:textId="04F9F562" w:rsidR="00C50381" w:rsidRPr="00DF02C5" w:rsidRDefault="00C50381"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The most commonly identified difficulty was the lack of financial resources</w:t>
      </w:r>
      <w:r w:rsidR="008A0A7F" w:rsidRPr="00DF02C5">
        <w:rPr>
          <w:rStyle w:val="FootnoteReference"/>
          <w:rFonts w:eastAsia="Calibri" w:hAnsi="Times New Roman"/>
          <w:snapToGrid w:val="0"/>
          <w:color w:val="auto"/>
          <w:kern w:val="22"/>
          <w:bdr w:val="none" w:sz="0" w:space="0" w:color="auto"/>
          <w:lang w:val="en-GB"/>
        </w:rPr>
        <w:footnoteReference w:id="458"/>
      </w:r>
      <w:r w:rsidR="00916807" w:rsidRPr="00DF02C5">
        <w:rPr>
          <w:rFonts w:eastAsia="Calibri" w:hAnsi="Times New Roman"/>
          <w:snapToGrid w:val="0"/>
          <w:color w:val="auto"/>
          <w:kern w:val="22"/>
          <w:bdr w:val="none" w:sz="0" w:space="0" w:color="auto"/>
          <w:lang w:val="en-GB"/>
        </w:rPr>
        <w:t>, and s</w:t>
      </w:r>
      <w:r w:rsidRPr="00DF02C5">
        <w:rPr>
          <w:rFonts w:eastAsia="Calibri" w:hAnsi="Times New Roman"/>
          <w:snapToGrid w:val="0"/>
          <w:color w:val="auto"/>
          <w:kern w:val="22"/>
          <w:bdr w:val="none" w:sz="0" w:space="0" w:color="auto"/>
          <w:lang w:val="en-GB"/>
        </w:rPr>
        <w:t>ome countries mentioned the need to raise awareness of ABS so it can be prioritize</w:t>
      </w:r>
      <w:r w:rsidR="002D17E1">
        <w:rPr>
          <w:rFonts w:eastAsia="Calibri" w:hAnsi="Times New Roman"/>
          <w:snapToGrid w:val="0"/>
          <w:color w:val="auto"/>
          <w:kern w:val="22"/>
          <w:bdr w:val="none" w:sz="0" w:space="0" w:color="auto"/>
          <w:lang w:val="en-GB"/>
        </w:rPr>
        <w:t>d</w:t>
      </w:r>
      <w:r w:rsidRPr="00DF02C5">
        <w:rPr>
          <w:rFonts w:eastAsia="Calibri" w:hAnsi="Times New Roman"/>
          <w:snapToGrid w:val="0"/>
          <w:color w:val="auto"/>
          <w:kern w:val="22"/>
          <w:bdr w:val="none" w:sz="0" w:space="0" w:color="auto"/>
          <w:lang w:val="en-GB"/>
        </w:rPr>
        <w:t>.</w:t>
      </w:r>
      <w:r w:rsidRPr="00DF02C5">
        <w:rPr>
          <w:rStyle w:val="FootnoteReference"/>
          <w:rFonts w:eastAsia="Calibri" w:hAnsi="Times New Roman"/>
          <w:snapToGrid w:val="0"/>
          <w:color w:val="auto"/>
          <w:kern w:val="22"/>
          <w:bdr w:val="none" w:sz="0" w:space="0" w:color="auto"/>
          <w:lang w:val="en-GB"/>
        </w:rPr>
        <w:footnoteReference w:id="459"/>
      </w:r>
      <w:r w:rsidR="00916807" w:rsidRPr="00DF02C5">
        <w:rPr>
          <w:rFonts w:eastAsia="Calibri" w:hAnsi="Times New Roman"/>
          <w:snapToGrid w:val="0"/>
          <w:color w:val="auto"/>
          <w:kern w:val="22"/>
          <w:bdr w:val="none" w:sz="0" w:space="0" w:color="auto"/>
          <w:lang w:val="en-GB"/>
        </w:rPr>
        <w:t xml:space="preserve"> One country explained that the lack of established mechanisms was due to ABS not being integrated into their development policies</w:t>
      </w:r>
      <w:r w:rsidR="00916807" w:rsidRPr="00DF02C5">
        <w:rPr>
          <w:rStyle w:val="FootnoteReference"/>
          <w:rFonts w:eastAsia="Calibri" w:hAnsi="Times New Roman"/>
          <w:snapToGrid w:val="0"/>
          <w:color w:val="auto"/>
          <w:kern w:val="22"/>
          <w:bdr w:val="none" w:sz="0" w:space="0" w:color="auto"/>
          <w:lang w:val="en-GB"/>
        </w:rPr>
        <w:footnoteReference w:id="460"/>
      </w:r>
      <w:r w:rsidR="00916807" w:rsidRPr="00DF02C5">
        <w:rPr>
          <w:rFonts w:eastAsia="Calibri" w:hAnsi="Times New Roman"/>
          <w:snapToGrid w:val="0"/>
          <w:color w:val="auto"/>
          <w:kern w:val="22"/>
          <w:bdr w:val="none" w:sz="0" w:space="0" w:color="auto"/>
          <w:lang w:val="en-GB"/>
        </w:rPr>
        <w:t>.</w:t>
      </w:r>
    </w:p>
    <w:p w14:paraId="60E06388" w14:textId="5FD3436B" w:rsidR="006053C5" w:rsidRPr="00DF02C5" w:rsidRDefault="00C50381" w:rsidP="00CB6ACA">
      <w:pPr>
        <w:pStyle w:val="Para1"/>
        <w:numPr>
          <w:ilvl w:val="0"/>
          <w:numId w:val="93"/>
        </w:numPr>
        <w:rPr>
          <w:rFonts w:eastAsia="Calibri" w:hAnsi="Times New Roman"/>
          <w:snapToGrid w:val="0"/>
          <w:color w:val="FF0000"/>
          <w:kern w:val="22"/>
          <w:bdr w:val="none" w:sz="0" w:space="0" w:color="auto"/>
          <w:lang w:val="en-GB"/>
        </w:rPr>
      </w:pPr>
      <w:r w:rsidRPr="00DF02C5">
        <w:rPr>
          <w:rFonts w:eastAsia="Calibri" w:hAnsi="Times New Roman"/>
          <w:snapToGrid w:val="0"/>
          <w:color w:val="auto"/>
          <w:kern w:val="22"/>
          <w:bdr w:val="none" w:sz="0" w:space="0" w:color="auto"/>
          <w:lang w:val="en-GB"/>
        </w:rPr>
        <w:t>Some countries stated that once they have ABS measures in place they would consider the allocation of funds.</w:t>
      </w:r>
      <w:r w:rsidR="008A0A7F" w:rsidRPr="00DF02C5">
        <w:rPr>
          <w:rStyle w:val="FootnoteReference"/>
          <w:rFonts w:eastAsia="Calibri" w:hAnsi="Times New Roman"/>
          <w:snapToGrid w:val="0"/>
          <w:color w:val="auto"/>
          <w:kern w:val="22"/>
          <w:bdr w:val="none" w:sz="0" w:space="0" w:color="auto"/>
          <w:lang w:val="en-GB"/>
        </w:rPr>
        <w:footnoteReference w:id="461"/>
      </w:r>
      <w:r w:rsidRPr="00DF02C5">
        <w:rPr>
          <w:rFonts w:eastAsia="Calibri" w:hAnsi="Times New Roman"/>
          <w:snapToGrid w:val="0"/>
          <w:color w:val="auto"/>
          <w:kern w:val="22"/>
          <w:bdr w:val="none" w:sz="0" w:space="0" w:color="auto"/>
          <w:lang w:val="en-GB"/>
        </w:rPr>
        <w:t xml:space="preserve"> One country indicated that implementation of the Protocol was not expected to demand large amounts of funding and that funds were mobilized on a case-by-case basis.</w:t>
      </w:r>
      <w:r w:rsidRPr="00DF02C5">
        <w:rPr>
          <w:rStyle w:val="FootnoteReference"/>
          <w:rFonts w:eastAsia="Calibri" w:hAnsi="Times New Roman"/>
          <w:snapToGrid w:val="0"/>
          <w:color w:val="auto"/>
          <w:kern w:val="22"/>
          <w:bdr w:val="none" w:sz="0" w:space="0" w:color="auto"/>
          <w:lang w:val="en-GB"/>
        </w:rPr>
        <w:footnoteReference w:id="462"/>
      </w:r>
    </w:p>
    <w:p w14:paraId="4CC84B9A" w14:textId="2C3FFEA7" w:rsidR="00C50381" w:rsidRPr="003C477F" w:rsidRDefault="00916807" w:rsidP="003C477F">
      <w:pPr>
        <w:pStyle w:val="ListParagraph"/>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before="240" w:after="120"/>
        <w:ind w:left="1440" w:hanging="806"/>
        <w:jc w:val="left"/>
        <w:rPr>
          <w:rFonts w:eastAsia="Calibri" w:hAnsi="Times New Roman" w:cs="Times New Roman"/>
          <w:i/>
          <w:snapToGrid w:val="0"/>
          <w:color w:val="auto"/>
          <w:kern w:val="22"/>
          <w:bdr w:val="none" w:sz="0" w:space="0" w:color="auto"/>
          <w:lang w:val="en-GB"/>
        </w:rPr>
      </w:pPr>
      <w:r w:rsidRPr="003C477F">
        <w:rPr>
          <w:rFonts w:eastAsia="Calibri" w:hAnsi="Times New Roman" w:cs="Times New Roman"/>
          <w:i/>
          <w:snapToGrid w:val="0"/>
          <w:color w:val="auto"/>
          <w:kern w:val="22"/>
          <w:bdr w:val="none" w:sz="0" w:space="0" w:color="auto"/>
          <w:lang w:val="en-GB"/>
        </w:rPr>
        <w:t>Has your country made financial resources available to other Parties or received financial resources from other Parties or financial institutions for the purposes of implementation of the Protocol as provided in Article 25? (question 62</w:t>
      </w:r>
      <w:r w:rsidR="003C477F">
        <w:rPr>
          <w:rFonts w:eastAsia="Calibri" w:hAnsi="Times New Roman" w:cs="Times New Roman"/>
          <w:i/>
          <w:snapToGrid w:val="0"/>
          <w:color w:val="auto"/>
          <w:kern w:val="22"/>
          <w:bdr w:val="none" w:sz="0" w:space="0" w:color="auto"/>
          <w:lang w:val="en-GB"/>
        </w:rPr>
        <w:t>.1</w:t>
      </w:r>
      <w:r w:rsidR="00C50381" w:rsidRPr="003C477F">
        <w:rPr>
          <w:rFonts w:eastAsia="Calibri" w:hAnsi="Times New Roman" w:cs="Times New Roman"/>
          <w:i/>
          <w:snapToGrid w:val="0"/>
          <w:color w:val="auto"/>
          <w:kern w:val="22"/>
          <w:bdr w:val="none" w:sz="0" w:space="0" w:color="auto"/>
          <w:lang w:val="en-GB"/>
        </w:rPr>
        <w:t>)</w:t>
      </w:r>
    </w:p>
    <w:p w14:paraId="631C2B5B" w14:textId="5795B964" w:rsidR="007D44A9" w:rsidRPr="00DF02C5" w:rsidRDefault="00916807" w:rsidP="00CB6ACA">
      <w:pPr>
        <w:pStyle w:val="Para1"/>
        <w:numPr>
          <w:ilvl w:val="0"/>
          <w:numId w:val="93"/>
        </w:numPr>
        <w:rPr>
          <w:rFonts w:eastAsia="Calibri" w:hAnsi="Times New Roman"/>
          <w:snapToGrid w:val="0"/>
          <w:color w:val="auto"/>
          <w:kern w:val="22"/>
          <w:bdr w:val="none" w:sz="0" w:space="0" w:color="auto"/>
          <w:lang w:val="en-GB"/>
        </w:rPr>
      </w:pPr>
      <w:proofErr w:type="gramStart"/>
      <w:r w:rsidRPr="00DF02C5">
        <w:rPr>
          <w:rFonts w:eastAsia="Calibri" w:hAnsi="Times New Roman"/>
          <w:snapToGrid w:val="0"/>
          <w:color w:val="auto"/>
          <w:kern w:val="22"/>
          <w:bdr w:val="none" w:sz="0" w:space="0" w:color="auto"/>
          <w:lang w:val="en-GB"/>
        </w:rPr>
        <w:t>T</w:t>
      </w:r>
      <w:r w:rsidR="00DE3580" w:rsidRPr="00DF02C5">
        <w:rPr>
          <w:rFonts w:eastAsia="Calibri" w:hAnsi="Times New Roman"/>
          <w:snapToGrid w:val="0"/>
          <w:color w:val="auto"/>
          <w:kern w:val="22"/>
          <w:bdr w:val="none" w:sz="0" w:space="0" w:color="auto"/>
          <w:lang w:val="en-GB"/>
        </w:rPr>
        <w:t>hirty-</w:t>
      </w:r>
      <w:r w:rsidRPr="00DF02C5">
        <w:rPr>
          <w:rFonts w:eastAsia="Calibri" w:hAnsi="Times New Roman"/>
          <w:snapToGrid w:val="0"/>
          <w:color w:val="auto"/>
          <w:kern w:val="22"/>
          <w:bdr w:val="none" w:sz="0" w:space="0" w:color="auto"/>
          <w:lang w:val="en-GB"/>
        </w:rPr>
        <w:t>five</w:t>
      </w:r>
      <w:proofErr w:type="gramEnd"/>
      <w:r w:rsidRPr="00DF02C5">
        <w:rPr>
          <w:rFonts w:eastAsia="Calibri" w:hAnsi="Times New Roman"/>
          <w:snapToGrid w:val="0"/>
          <w:color w:val="auto"/>
          <w:kern w:val="22"/>
          <w:bdr w:val="none" w:sz="0" w:space="0" w:color="auto"/>
          <w:lang w:val="en-GB"/>
        </w:rPr>
        <w:t xml:space="preserve"> Parties and three non-Parties responded </w:t>
      </w:r>
      <w:r w:rsidR="007E05A7" w:rsidRPr="00DF02C5">
        <w:rPr>
          <w:rFonts w:eastAsia="Calibri" w:hAnsi="Times New Roman"/>
          <w:snapToGrid w:val="0"/>
          <w:color w:val="auto"/>
          <w:kern w:val="22"/>
          <w:bdr w:val="none" w:sz="0" w:space="0" w:color="auto"/>
          <w:lang w:val="en-GB"/>
        </w:rPr>
        <w:t>they ha</w:t>
      </w:r>
      <w:r w:rsidR="002D17E1">
        <w:rPr>
          <w:rFonts w:eastAsia="Calibri" w:hAnsi="Times New Roman"/>
          <w:snapToGrid w:val="0"/>
          <w:color w:val="auto"/>
          <w:kern w:val="22"/>
          <w:bdr w:val="none" w:sz="0" w:space="0" w:color="auto"/>
          <w:lang w:val="en-GB"/>
        </w:rPr>
        <w:t>d</w:t>
      </w:r>
      <w:r w:rsidR="007E05A7" w:rsidRPr="00DF02C5">
        <w:rPr>
          <w:rFonts w:eastAsia="Calibri" w:hAnsi="Times New Roman"/>
          <w:snapToGrid w:val="0"/>
          <w:color w:val="auto"/>
          <w:kern w:val="22"/>
          <w:bdr w:val="none" w:sz="0" w:space="0" w:color="auto"/>
          <w:lang w:val="en-GB"/>
        </w:rPr>
        <w:t xml:space="preserve"> received financial resources, whereas</w:t>
      </w:r>
      <w:r w:rsidR="00DD1437" w:rsidRPr="00DF02C5">
        <w:rPr>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 xml:space="preserve">thirteen Parties and one non-Party replied </w:t>
      </w:r>
      <w:r w:rsidR="002D17E1">
        <w:rPr>
          <w:rFonts w:eastAsia="Calibri" w:hAnsi="Times New Roman"/>
          <w:snapToGrid w:val="0"/>
          <w:color w:val="auto"/>
          <w:kern w:val="22"/>
          <w:bdr w:val="none" w:sz="0" w:space="0" w:color="auto"/>
          <w:lang w:val="en-GB"/>
        </w:rPr>
        <w:t>that they had</w:t>
      </w:r>
      <w:r w:rsidR="00DD1437" w:rsidRPr="00DF02C5">
        <w:rPr>
          <w:rFonts w:eastAsia="Calibri" w:hAnsi="Times New Roman"/>
          <w:snapToGrid w:val="0"/>
          <w:color w:val="auto"/>
          <w:kern w:val="22"/>
          <w:bdr w:val="none" w:sz="0" w:space="0" w:color="auto"/>
          <w:lang w:val="en-GB"/>
        </w:rPr>
        <w:t xml:space="preserve"> mad</w:t>
      </w:r>
      <w:r w:rsidRPr="00DF02C5">
        <w:rPr>
          <w:rFonts w:eastAsia="Calibri" w:hAnsi="Times New Roman"/>
          <w:snapToGrid w:val="0"/>
          <w:color w:val="auto"/>
          <w:kern w:val="22"/>
          <w:bdr w:val="none" w:sz="0" w:space="0" w:color="auto"/>
          <w:lang w:val="en-GB"/>
        </w:rPr>
        <w:t>e financial resources available.</w:t>
      </w:r>
      <w:r w:rsidR="009A1DE9" w:rsidRPr="00DF02C5">
        <w:rPr>
          <w:rFonts w:eastAsia="Calibri" w:hAnsi="Times New Roman"/>
          <w:snapToGrid w:val="0"/>
          <w:color w:val="auto"/>
          <w:kern w:val="22"/>
          <w:bdr w:val="none" w:sz="0" w:space="0" w:color="auto"/>
          <w:lang w:val="en-GB"/>
        </w:rPr>
        <w:t xml:space="preserve"> Finally twenty-one Parties and two non-Parties h</w:t>
      </w:r>
      <w:r w:rsidR="002D17E1">
        <w:rPr>
          <w:rFonts w:eastAsia="Calibri" w:hAnsi="Times New Roman"/>
          <w:snapToGrid w:val="0"/>
          <w:color w:val="auto"/>
          <w:kern w:val="22"/>
          <w:bdr w:val="none" w:sz="0" w:space="0" w:color="auto"/>
          <w:lang w:val="en-GB"/>
        </w:rPr>
        <w:t>ad</w:t>
      </w:r>
      <w:r w:rsidR="009A1DE9" w:rsidRPr="00DF02C5">
        <w:rPr>
          <w:rFonts w:eastAsia="Calibri" w:hAnsi="Times New Roman"/>
          <w:snapToGrid w:val="0"/>
          <w:color w:val="auto"/>
          <w:kern w:val="22"/>
          <w:bdr w:val="none" w:sz="0" w:space="0" w:color="auto"/>
          <w:lang w:val="en-GB"/>
        </w:rPr>
        <w:t xml:space="preserve"> not made available or received financial resources.</w:t>
      </w:r>
    </w:p>
    <w:p w14:paraId="5E623126" w14:textId="08603E9B" w:rsidR="00916807" w:rsidRPr="00DF02C5" w:rsidRDefault="00E5256F" w:rsidP="00E5256F">
      <w:pPr>
        <w:pStyle w:val="Caption"/>
        <w:keepNext/>
        <w:keepLines/>
        <w:rPr>
          <w:snapToGrid w:val="0"/>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Pr="00DF02C5">
        <w:rPr>
          <w:noProof/>
          <w:lang w:val="en-GB"/>
        </w:rPr>
        <w:t>53</w:t>
      </w:r>
      <w:r w:rsidRPr="00DF02C5">
        <w:rPr>
          <w:lang w:val="en-GB"/>
        </w:rPr>
        <w:fldChar w:fldCharType="end"/>
      </w:r>
      <w:r w:rsidRPr="00DF02C5">
        <w:rPr>
          <w:lang w:val="en-GB"/>
        </w:rPr>
        <w:t>:</w:t>
      </w:r>
      <w:r w:rsidR="00916807" w:rsidRPr="00DF02C5">
        <w:rPr>
          <w:snapToGrid w:val="0"/>
          <w:bdr w:val="none" w:sz="0" w:space="0" w:color="auto"/>
          <w:lang w:val="en-GB"/>
        </w:rPr>
        <w:t xml:space="preserve"> Financial resources made available or received (percentage of countries)</w:t>
      </w:r>
    </w:p>
    <w:p w14:paraId="660DAE2E" w14:textId="2878AD6F" w:rsidR="00916807" w:rsidRPr="00DF02C5" w:rsidRDefault="00756B08" w:rsidP="00D62F86">
      <w:pPr>
        <w:pStyle w:val="Para1"/>
        <w:jc w:val="center"/>
        <w:rPr>
          <w:rFonts w:eastAsia="Calibri" w:hAnsi="Times New Roman"/>
          <w:snapToGrid w:val="0"/>
          <w:color w:val="auto"/>
          <w:kern w:val="22"/>
          <w:highlight w:val="yellow"/>
          <w:bdr w:val="none" w:sz="0" w:space="0" w:color="auto"/>
          <w:lang w:val="en-GB"/>
        </w:rPr>
      </w:pPr>
      <w:r>
        <w:rPr>
          <w:noProof/>
        </w:rPr>
        <w:drawing>
          <wp:inline distT="0" distB="0" distL="0" distR="0" wp14:anchorId="38A240B5" wp14:editId="0A376DDE">
            <wp:extent cx="4505325" cy="2438400"/>
            <wp:effectExtent l="0" t="0" r="9525"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FF0BDBA" w14:textId="5FF900A7" w:rsidR="009A1DE9" w:rsidRPr="00DF02C5" w:rsidRDefault="009A1DE9"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Thirty-four countries received financial resourc</w:t>
      </w:r>
      <w:r w:rsidR="002D17E1">
        <w:rPr>
          <w:rFonts w:eastAsia="Calibri" w:hAnsi="Times New Roman"/>
          <w:snapToGrid w:val="0"/>
          <w:color w:val="auto"/>
          <w:kern w:val="22"/>
          <w:bdr w:val="none" w:sz="0" w:space="0" w:color="auto"/>
          <w:lang w:val="en-GB"/>
        </w:rPr>
        <w:t xml:space="preserve">es from a financial institution, </w:t>
      </w:r>
      <w:r w:rsidR="002D17E1" w:rsidRPr="00DF02C5">
        <w:rPr>
          <w:rFonts w:eastAsia="Calibri" w:hAnsi="Times New Roman"/>
          <w:snapToGrid w:val="0"/>
          <w:color w:val="auto"/>
          <w:kern w:val="22"/>
          <w:bdr w:val="none" w:sz="0" w:space="0" w:color="auto"/>
          <w:lang w:val="en-GB"/>
        </w:rPr>
        <w:t xml:space="preserve">the </w:t>
      </w:r>
      <w:r w:rsidR="00D62F86">
        <w:rPr>
          <w:rFonts w:eastAsia="Calibri" w:hAnsi="Times New Roman"/>
          <w:snapToGrid w:val="0"/>
          <w:color w:val="auto"/>
          <w:kern w:val="22"/>
          <w:bdr w:val="none" w:sz="0" w:space="0" w:color="auto"/>
          <w:lang w:val="en-GB"/>
        </w:rPr>
        <w:t>Global Environmental Facility</w:t>
      </w:r>
      <w:r w:rsidR="002D17E1" w:rsidRPr="00DF02C5">
        <w:rPr>
          <w:rFonts w:eastAsia="Calibri" w:hAnsi="Times New Roman"/>
          <w:snapToGrid w:val="0"/>
          <w:color w:val="auto"/>
          <w:kern w:val="22"/>
          <w:bdr w:val="none" w:sz="0" w:space="0" w:color="auto"/>
          <w:lang w:val="en-GB"/>
        </w:rPr>
        <w:t xml:space="preserve"> </w:t>
      </w:r>
      <w:r w:rsidR="002D17E1">
        <w:rPr>
          <w:rFonts w:eastAsia="Calibri" w:hAnsi="Times New Roman"/>
          <w:snapToGrid w:val="0"/>
          <w:color w:val="auto"/>
          <w:kern w:val="22"/>
          <w:bdr w:val="none" w:sz="0" w:space="0" w:color="auto"/>
          <w:lang w:val="en-GB"/>
        </w:rPr>
        <w:t>b</w:t>
      </w:r>
      <w:r w:rsidRPr="00DF02C5">
        <w:rPr>
          <w:rFonts w:eastAsia="Calibri" w:hAnsi="Times New Roman"/>
          <w:snapToGrid w:val="0"/>
          <w:color w:val="auto"/>
          <w:kern w:val="22"/>
          <w:bdr w:val="none" w:sz="0" w:space="0" w:color="auto"/>
          <w:lang w:val="en-GB"/>
        </w:rPr>
        <w:t xml:space="preserve">eing the most common source of funding (thirty-one countries reported accessing </w:t>
      </w:r>
      <w:r w:rsidRPr="00DF02C5">
        <w:rPr>
          <w:rFonts w:eastAsia="Calibri" w:hAnsi="Times New Roman"/>
          <w:snapToGrid w:val="0"/>
          <w:color w:val="auto"/>
          <w:kern w:val="22"/>
          <w:bdr w:val="none" w:sz="0" w:space="0" w:color="auto"/>
          <w:lang w:val="en-GB"/>
        </w:rPr>
        <w:lastRenderedPageBreak/>
        <w:t>these funds).</w:t>
      </w:r>
      <w:r w:rsidR="008442A7" w:rsidRPr="008442A7">
        <w:rPr>
          <w:rFonts w:eastAsia="Calibri" w:hAnsi="Times New Roman"/>
          <w:snapToGrid w:val="0"/>
          <w:color w:val="auto"/>
          <w:kern w:val="22"/>
          <w:bdr w:val="none" w:sz="0" w:space="0" w:color="auto"/>
          <w:lang w:val="en-GB"/>
        </w:rPr>
        <w:t xml:space="preserve"> In addition, two countries reported having received funds from the Nagoya Protocol Implementation Fund and twelve reported from other sources</w:t>
      </w:r>
      <w:r w:rsidR="008442A7">
        <w:rPr>
          <w:rFonts w:eastAsia="Calibri" w:hAnsi="Times New Roman"/>
          <w:snapToGrid w:val="0"/>
          <w:color w:val="auto"/>
          <w:kern w:val="22"/>
          <w:bdr w:val="none" w:sz="0" w:space="0" w:color="auto"/>
          <w:lang w:val="en-GB"/>
        </w:rPr>
        <w:t>.</w:t>
      </w:r>
    </w:p>
    <w:p w14:paraId="48A254C3" w14:textId="6B73243A" w:rsidR="009A1DE9" w:rsidRPr="00DF02C5" w:rsidRDefault="00E5256F" w:rsidP="00E5256F">
      <w:pPr>
        <w:pStyle w:val="Caption"/>
        <w:keepNext/>
        <w:keepLines/>
        <w:rPr>
          <w:snapToGrid w:val="0"/>
          <w:bdr w:val="none" w:sz="0" w:space="0" w:color="auto"/>
          <w:lang w:val="en-GB"/>
        </w:rPr>
      </w:pPr>
      <w:r w:rsidRPr="008442A7">
        <w:rPr>
          <w:lang w:val="en-GB"/>
        </w:rPr>
        <w:t xml:space="preserve">Graph </w:t>
      </w:r>
      <w:r w:rsidRPr="008442A7">
        <w:rPr>
          <w:lang w:val="en-GB"/>
        </w:rPr>
        <w:fldChar w:fldCharType="begin"/>
      </w:r>
      <w:r w:rsidRPr="008442A7">
        <w:rPr>
          <w:lang w:val="en-GB"/>
        </w:rPr>
        <w:instrText xml:space="preserve"> SEQ Graph \* ARABIC </w:instrText>
      </w:r>
      <w:r w:rsidRPr="008442A7">
        <w:rPr>
          <w:lang w:val="en-GB"/>
        </w:rPr>
        <w:fldChar w:fldCharType="separate"/>
      </w:r>
      <w:r w:rsidRPr="008442A7">
        <w:rPr>
          <w:noProof/>
          <w:lang w:val="en-GB"/>
        </w:rPr>
        <w:t>54</w:t>
      </w:r>
      <w:r w:rsidRPr="008442A7">
        <w:rPr>
          <w:lang w:val="en-GB"/>
        </w:rPr>
        <w:fldChar w:fldCharType="end"/>
      </w:r>
      <w:r w:rsidR="009A1DE9" w:rsidRPr="008442A7">
        <w:rPr>
          <w:snapToGrid w:val="0"/>
          <w:bdr w:val="none" w:sz="0" w:space="0" w:color="auto"/>
          <w:lang w:val="en-GB"/>
        </w:rPr>
        <w:t>: Source of funding (percentage of countries)</w:t>
      </w:r>
    </w:p>
    <w:p w14:paraId="145E1BA8" w14:textId="4A5B5349" w:rsidR="009A1DE9" w:rsidRPr="00DF02C5" w:rsidRDefault="008442A7" w:rsidP="00916807">
      <w:pPr>
        <w:pStyle w:val="Para1"/>
        <w:jc w:val="center"/>
        <w:rPr>
          <w:rFonts w:eastAsia="Calibri" w:hAnsi="Times New Roman"/>
          <w:snapToGrid w:val="0"/>
          <w:color w:val="auto"/>
          <w:kern w:val="22"/>
          <w:highlight w:val="yellow"/>
          <w:bdr w:val="none" w:sz="0" w:space="0" w:color="auto"/>
          <w:lang w:val="en-GB"/>
        </w:rPr>
      </w:pPr>
      <w:r>
        <w:rPr>
          <w:noProof/>
        </w:rPr>
        <w:drawing>
          <wp:inline distT="0" distB="0" distL="0" distR="0" wp14:anchorId="2C9702D1" wp14:editId="737C7BA8">
            <wp:extent cx="4333875" cy="223837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1251590" w14:textId="77777777" w:rsidR="00DE3580" w:rsidRPr="00DF02C5" w:rsidRDefault="00DE3580" w:rsidP="00DE3580">
      <w:pPr>
        <w:pStyle w:val="Para1"/>
        <w:rPr>
          <w:rFonts w:eastAsia="Calibri" w:hAnsi="Times New Roman"/>
          <w:snapToGrid w:val="0"/>
          <w:color w:val="FF0000"/>
          <w:kern w:val="22"/>
          <w:bdr w:val="none" w:sz="0" w:space="0" w:color="auto"/>
          <w:lang w:val="en-GB"/>
        </w:rPr>
      </w:pPr>
    </w:p>
    <w:p w14:paraId="50FD00ED" w14:textId="63A7383B" w:rsidR="00C50381" w:rsidRPr="003C477F" w:rsidRDefault="00C50381" w:rsidP="003C477F">
      <w:pPr>
        <w:pStyle w:val="ListParagraph"/>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before="240" w:after="120"/>
        <w:ind w:left="1440" w:right="446" w:hanging="806"/>
        <w:jc w:val="left"/>
        <w:rPr>
          <w:rFonts w:eastAsia="Calibri" w:hAnsi="Times New Roman" w:cs="Times New Roman"/>
          <w:i/>
          <w:snapToGrid w:val="0"/>
          <w:color w:val="auto"/>
          <w:kern w:val="22"/>
          <w:bdr w:val="none" w:sz="0" w:space="0" w:color="auto"/>
          <w:lang w:val="en-GB"/>
        </w:rPr>
      </w:pPr>
      <w:r w:rsidRPr="003C477F">
        <w:rPr>
          <w:rFonts w:eastAsia="Calibri" w:hAnsi="Times New Roman" w:cs="Times New Roman"/>
          <w:i/>
          <w:snapToGrid w:val="0"/>
          <w:color w:val="auto"/>
          <w:kern w:val="22"/>
          <w:bdr w:val="none" w:sz="0" w:space="0" w:color="auto"/>
          <w:lang w:val="en-GB"/>
        </w:rPr>
        <w:t>Experiences related to the mobilization of resources in support of the implementation of the Protocol (question 62.2)</w:t>
      </w:r>
    </w:p>
    <w:p w14:paraId="07DCA162" w14:textId="009E56CF" w:rsidR="00C50381" w:rsidRPr="00DF02C5" w:rsidRDefault="00AA6BF9"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Thirty</w:t>
      </w:r>
      <w:r w:rsidR="00C50381" w:rsidRPr="00DF02C5">
        <w:rPr>
          <w:rFonts w:eastAsia="Calibri" w:hAnsi="Times New Roman"/>
          <w:snapToGrid w:val="0"/>
          <w:color w:val="auto"/>
          <w:kern w:val="22"/>
          <w:bdr w:val="none" w:sz="0" w:space="0" w:color="auto"/>
          <w:lang w:val="en-GB"/>
        </w:rPr>
        <w:t xml:space="preserve"> countries answered this question.  </w:t>
      </w:r>
      <w:r w:rsidR="009A1DE9" w:rsidRPr="00DF02C5">
        <w:rPr>
          <w:rFonts w:eastAsia="Calibri" w:hAnsi="Times New Roman"/>
          <w:snapToGrid w:val="0"/>
          <w:color w:val="auto"/>
          <w:kern w:val="22"/>
          <w:bdr w:val="none" w:sz="0" w:space="0" w:color="auto"/>
          <w:lang w:val="en-GB"/>
        </w:rPr>
        <w:t>M</w:t>
      </w:r>
      <w:r w:rsidR="00C50381" w:rsidRPr="00DF02C5">
        <w:rPr>
          <w:rFonts w:eastAsia="Calibri" w:hAnsi="Times New Roman"/>
          <w:snapToGrid w:val="0"/>
          <w:color w:val="auto"/>
          <w:kern w:val="22"/>
          <w:bdr w:val="none" w:sz="0" w:space="0" w:color="auto"/>
          <w:lang w:val="en-GB"/>
        </w:rPr>
        <w:t xml:space="preserve">any countries referred to projects planned or underway or </w:t>
      </w:r>
      <w:r w:rsidR="009A1DE9" w:rsidRPr="00DF02C5">
        <w:rPr>
          <w:rFonts w:eastAsia="Calibri" w:hAnsi="Times New Roman"/>
          <w:snapToGrid w:val="0"/>
          <w:color w:val="auto"/>
          <w:kern w:val="22"/>
          <w:bdr w:val="none" w:sz="0" w:space="0" w:color="auto"/>
          <w:lang w:val="en-GB"/>
        </w:rPr>
        <w:t xml:space="preserve">to the </w:t>
      </w:r>
      <w:r w:rsidR="00C50381" w:rsidRPr="00DF02C5">
        <w:rPr>
          <w:rFonts w:eastAsia="Calibri" w:hAnsi="Times New Roman"/>
          <w:snapToGrid w:val="0"/>
          <w:color w:val="auto"/>
          <w:kern w:val="22"/>
          <w:bdr w:val="none" w:sz="0" w:space="0" w:color="auto"/>
          <w:lang w:val="en-GB"/>
        </w:rPr>
        <w:t>sources of funding.</w:t>
      </w:r>
      <w:r w:rsidR="00C50381" w:rsidRPr="00DF02C5">
        <w:rPr>
          <w:rStyle w:val="FootnoteReference"/>
          <w:rFonts w:eastAsia="Calibri" w:hAnsi="Times New Roman"/>
          <w:snapToGrid w:val="0"/>
          <w:color w:val="auto"/>
          <w:kern w:val="22"/>
          <w:bdr w:val="none" w:sz="0" w:space="0" w:color="auto"/>
          <w:lang w:val="en-GB"/>
        </w:rPr>
        <w:footnoteReference w:id="463"/>
      </w:r>
    </w:p>
    <w:p w14:paraId="3627DB6F" w14:textId="77777777" w:rsidR="00C50381" w:rsidRPr="00DF02C5" w:rsidRDefault="00C50381"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Some countries shared experiences and lessons learned in mobilizing resources. For instance: </w:t>
      </w:r>
    </w:p>
    <w:p w14:paraId="3219F8F5" w14:textId="5310F5C6" w:rsidR="00C50381" w:rsidRPr="00DF02C5" w:rsidRDefault="00C50381" w:rsidP="00CB6ACA">
      <w:pPr>
        <w:pStyle w:val="ListParagraph"/>
        <w:numPr>
          <w:ilvl w:val="1"/>
          <w:numId w:val="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Bhutan and Lao People’s Democratic Republic</w:t>
      </w:r>
      <w:r w:rsidR="009A1DE9" w:rsidRPr="00DF02C5">
        <w:rPr>
          <w:rFonts w:eastAsia="Calibri" w:hAnsi="Times New Roman"/>
          <w:snapToGrid w:val="0"/>
          <w:color w:val="auto"/>
          <w:kern w:val="22"/>
          <w:bdr w:val="none" w:sz="0" w:space="0" w:color="auto"/>
          <w:lang w:val="en-GB"/>
        </w:rPr>
        <w:t xml:space="preserve"> indicated that</w:t>
      </w:r>
      <w:r w:rsidRPr="00DF02C5">
        <w:rPr>
          <w:rFonts w:eastAsia="Calibri" w:hAnsi="Times New Roman"/>
          <w:snapToGrid w:val="0"/>
          <w:color w:val="auto"/>
          <w:kern w:val="22"/>
          <w:bdr w:val="none" w:sz="0" w:space="0" w:color="auto"/>
          <w:lang w:val="en-GB"/>
        </w:rPr>
        <w:t xml:space="preserve"> </w:t>
      </w:r>
      <w:r w:rsidR="009A1DE9" w:rsidRPr="00DF02C5">
        <w:rPr>
          <w:rFonts w:eastAsia="Calibri" w:hAnsi="Times New Roman"/>
          <w:snapToGrid w:val="0"/>
          <w:color w:val="auto"/>
          <w:kern w:val="22"/>
          <w:bdr w:val="none" w:sz="0" w:space="0" w:color="auto"/>
          <w:lang w:val="en-GB"/>
        </w:rPr>
        <w:t xml:space="preserve">playing an active role was essential for </w:t>
      </w:r>
      <w:r w:rsidRPr="00DF02C5">
        <w:rPr>
          <w:rFonts w:eastAsia="Calibri" w:hAnsi="Times New Roman"/>
          <w:snapToGrid w:val="0"/>
          <w:color w:val="auto"/>
          <w:kern w:val="22"/>
          <w:bdr w:val="none" w:sz="0" w:space="0" w:color="auto"/>
          <w:lang w:val="en-GB"/>
        </w:rPr>
        <w:t xml:space="preserve">mobilizing resources, and Bhutan </w:t>
      </w:r>
      <w:r w:rsidR="009A1DE9" w:rsidRPr="00DF02C5">
        <w:rPr>
          <w:rFonts w:eastAsia="Calibri" w:hAnsi="Times New Roman"/>
          <w:snapToGrid w:val="0"/>
          <w:color w:val="auto"/>
          <w:kern w:val="22"/>
          <w:bdr w:val="none" w:sz="0" w:space="0" w:color="auto"/>
          <w:lang w:val="en-GB"/>
        </w:rPr>
        <w:t xml:space="preserve">highlighted the importance of </w:t>
      </w:r>
      <w:r w:rsidRPr="00DF02C5">
        <w:rPr>
          <w:rFonts w:eastAsia="Calibri" w:hAnsi="Times New Roman"/>
          <w:snapToGrid w:val="0"/>
          <w:color w:val="auto"/>
          <w:kern w:val="22"/>
          <w:bdr w:val="none" w:sz="0" w:space="0" w:color="auto"/>
          <w:lang w:val="en-GB"/>
        </w:rPr>
        <w:t>exposure to funding partners</w:t>
      </w:r>
      <w:r w:rsidR="009A1DE9" w:rsidRPr="00DF02C5">
        <w:rPr>
          <w:rFonts w:eastAsia="Calibri" w:hAnsi="Times New Roman"/>
          <w:snapToGrid w:val="0"/>
          <w:color w:val="auto"/>
          <w:kern w:val="22"/>
          <w:bdr w:val="none" w:sz="0" w:space="0" w:color="auto"/>
          <w:lang w:val="en-GB"/>
        </w:rPr>
        <w:t xml:space="preserve"> (</w:t>
      </w:r>
      <w:r w:rsidR="00DF02C5" w:rsidRPr="00DF02C5">
        <w:rPr>
          <w:rFonts w:eastAsia="Calibri" w:hAnsi="Times New Roman"/>
          <w:snapToGrid w:val="0"/>
          <w:color w:val="auto"/>
          <w:kern w:val="22"/>
          <w:bdr w:val="none" w:sz="0" w:space="0" w:color="auto"/>
          <w:lang w:val="en-GB"/>
        </w:rPr>
        <w:t>e.g.</w:t>
      </w:r>
      <w:r w:rsidR="009A1DE9" w:rsidRPr="00DF02C5">
        <w:rPr>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at the</w:t>
      </w:r>
      <w:r w:rsidR="009A1DE9" w:rsidRPr="00DF02C5">
        <w:rPr>
          <w:rFonts w:eastAsia="Calibri" w:hAnsi="Times New Roman"/>
          <w:snapToGrid w:val="0"/>
          <w:color w:val="auto"/>
          <w:kern w:val="22"/>
          <w:bdr w:val="none" w:sz="0" w:space="0" w:color="auto"/>
          <w:lang w:val="en-GB"/>
        </w:rPr>
        <w:t xml:space="preserve"> margins</w:t>
      </w:r>
      <w:r w:rsidRPr="00DF02C5">
        <w:rPr>
          <w:rFonts w:eastAsia="Calibri" w:hAnsi="Times New Roman"/>
          <w:snapToGrid w:val="0"/>
          <w:color w:val="auto"/>
          <w:kern w:val="22"/>
          <w:bdr w:val="none" w:sz="0" w:space="0" w:color="auto"/>
          <w:lang w:val="en-GB"/>
        </w:rPr>
        <w:t xml:space="preserve"> of relevant meetings</w:t>
      </w:r>
      <w:r w:rsidR="003C477F">
        <w:rPr>
          <w:rFonts w:eastAsia="Calibri" w:hAnsi="Times New Roman"/>
          <w:snapToGrid w:val="0"/>
          <w:color w:val="auto"/>
          <w:kern w:val="22"/>
          <w:bdr w:val="none" w:sz="0" w:space="0" w:color="auto"/>
          <w:lang w:val="en-GB"/>
        </w:rPr>
        <w:t>);</w:t>
      </w:r>
    </w:p>
    <w:p w14:paraId="29709B5C" w14:textId="716D1EF0" w:rsidR="00C50381" w:rsidRPr="00DF02C5" w:rsidRDefault="00C50381" w:rsidP="00CB6ACA">
      <w:pPr>
        <w:pStyle w:val="ListParagraph"/>
        <w:numPr>
          <w:ilvl w:val="1"/>
          <w:numId w:val="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Benin </w:t>
      </w:r>
      <w:r w:rsidR="00A47FDE" w:rsidRPr="00DF02C5">
        <w:rPr>
          <w:rFonts w:eastAsia="Calibri" w:hAnsi="Times New Roman"/>
          <w:snapToGrid w:val="0"/>
          <w:color w:val="auto"/>
          <w:kern w:val="22"/>
          <w:bdr w:val="none" w:sz="0" w:space="0" w:color="auto"/>
          <w:lang w:val="en-GB"/>
        </w:rPr>
        <w:t>was of the view that</w:t>
      </w:r>
      <w:r w:rsidRPr="00DF02C5">
        <w:rPr>
          <w:rFonts w:eastAsia="Calibri" w:hAnsi="Times New Roman"/>
          <w:snapToGrid w:val="0"/>
          <w:color w:val="auto"/>
          <w:kern w:val="22"/>
          <w:bdr w:val="none" w:sz="0" w:space="0" w:color="auto"/>
          <w:lang w:val="en-GB"/>
        </w:rPr>
        <w:t xml:space="preserve"> partnering with a local NGO that submits A</w:t>
      </w:r>
      <w:r w:rsidR="003C477F">
        <w:rPr>
          <w:rFonts w:eastAsia="Calibri" w:hAnsi="Times New Roman"/>
          <w:snapToGrid w:val="0"/>
          <w:color w:val="auto"/>
          <w:kern w:val="22"/>
          <w:bdr w:val="none" w:sz="0" w:space="0" w:color="auto"/>
          <w:lang w:val="en-GB"/>
        </w:rPr>
        <w:t>BS projects to different organiz</w:t>
      </w:r>
      <w:r w:rsidRPr="00DF02C5">
        <w:rPr>
          <w:rFonts w:eastAsia="Calibri" w:hAnsi="Times New Roman"/>
          <w:snapToGrid w:val="0"/>
          <w:color w:val="auto"/>
          <w:kern w:val="22"/>
          <w:bdr w:val="none" w:sz="0" w:space="0" w:color="auto"/>
          <w:lang w:val="en-GB"/>
        </w:rPr>
        <w:t>ations represented in the country</w:t>
      </w:r>
      <w:r w:rsidR="00A47FDE" w:rsidRPr="00DF02C5">
        <w:rPr>
          <w:rFonts w:eastAsia="Calibri" w:hAnsi="Times New Roman"/>
          <w:snapToGrid w:val="0"/>
          <w:color w:val="auto"/>
          <w:kern w:val="22"/>
          <w:bdr w:val="none" w:sz="0" w:space="0" w:color="auto"/>
          <w:lang w:val="en-GB"/>
        </w:rPr>
        <w:t xml:space="preserve"> has helped them to mobilize resources</w:t>
      </w:r>
      <w:r w:rsidRPr="00DF02C5">
        <w:rPr>
          <w:rFonts w:eastAsia="Calibri" w:hAnsi="Times New Roman"/>
          <w:snapToGrid w:val="0"/>
          <w:color w:val="auto"/>
          <w:kern w:val="22"/>
          <w:bdr w:val="none" w:sz="0" w:space="0" w:color="auto"/>
          <w:lang w:val="en-GB"/>
        </w:rPr>
        <w:t>;</w:t>
      </w:r>
    </w:p>
    <w:p w14:paraId="6004CF6B" w14:textId="5307D6E1" w:rsidR="00C50381" w:rsidRPr="00DF02C5" w:rsidRDefault="00C50381" w:rsidP="00CB6ACA">
      <w:pPr>
        <w:pStyle w:val="ListParagraph"/>
        <w:numPr>
          <w:ilvl w:val="1"/>
          <w:numId w:val="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 Malawi </w:t>
      </w:r>
      <w:r w:rsidR="00A47FDE" w:rsidRPr="00DF02C5">
        <w:rPr>
          <w:rFonts w:eastAsia="Calibri" w:hAnsi="Times New Roman"/>
          <w:snapToGrid w:val="0"/>
          <w:color w:val="auto"/>
          <w:kern w:val="22"/>
          <w:bdr w:val="none" w:sz="0" w:space="0" w:color="auto"/>
          <w:lang w:val="en-GB"/>
        </w:rPr>
        <w:t xml:space="preserve">explained </w:t>
      </w:r>
      <w:r w:rsidRPr="00DF02C5">
        <w:rPr>
          <w:rFonts w:eastAsia="Calibri" w:hAnsi="Times New Roman"/>
          <w:snapToGrid w:val="0"/>
          <w:color w:val="auto"/>
          <w:kern w:val="22"/>
          <w:bdr w:val="none" w:sz="0" w:space="0" w:color="auto"/>
          <w:lang w:val="en-GB"/>
        </w:rPr>
        <w:t xml:space="preserve">that </w:t>
      </w:r>
      <w:r w:rsidR="00A47FDE" w:rsidRPr="00DF02C5">
        <w:rPr>
          <w:rFonts w:eastAsia="Calibri" w:hAnsi="Times New Roman"/>
          <w:snapToGrid w:val="0"/>
          <w:color w:val="auto"/>
          <w:kern w:val="22"/>
          <w:bdr w:val="none" w:sz="0" w:space="0" w:color="auto"/>
          <w:lang w:val="en-GB"/>
        </w:rPr>
        <w:t xml:space="preserve">although the resources that were allocated to ABS in a </w:t>
      </w:r>
      <w:r w:rsidR="00DF02C5" w:rsidRPr="00DF02C5">
        <w:rPr>
          <w:rFonts w:eastAsia="Calibri" w:hAnsi="Times New Roman"/>
          <w:snapToGrid w:val="0"/>
          <w:color w:val="auto"/>
          <w:kern w:val="22"/>
          <w:bdr w:val="none" w:sz="0" w:space="0" w:color="auto"/>
          <w:lang w:val="en-GB"/>
        </w:rPr>
        <w:t>GEF project</w:t>
      </w:r>
      <w:r w:rsidR="00A47FDE" w:rsidRPr="00DF02C5">
        <w:rPr>
          <w:rFonts w:eastAsia="Calibri" w:hAnsi="Times New Roman"/>
          <w:snapToGrid w:val="0"/>
          <w:color w:val="auto"/>
          <w:kern w:val="22"/>
          <w:bdr w:val="none" w:sz="0" w:space="0" w:color="auto"/>
          <w:lang w:val="en-GB"/>
        </w:rPr>
        <w:t xml:space="preserve"> were limited due to competing needs, the amount received was useful to start developing ABS regulations and carry out capacity building activities. Further resource mobilization will be conducted to ensure t</w:t>
      </w:r>
      <w:r w:rsidR="003C477F">
        <w:rPr>
          <w:rFonts w:eastAsia="Calibri" w:hAnsi="Times New Roman"/>
          <w:snapToGrid w:val="0"/>
          <w:color w:val="auto"/>
          <w:kern w:val="22"/>
          <w:bdr w:val="none" w:sz="0" w:space="0" w:color="auto"/>
          <w:lang w:val="en-GB"/>
        </w:rPr>
        <w:t>he process is finalized by 2019;</w:t>
      </w:r>
      <w:r w:rsidRPr="00DF02C5">
        <w:rPr>
          <w:rFonts w:eastAsia="Calibri" w:hAnsi="Times New Roman"/>
          <w:snapToGrid w:val="0"/>
          <w:color w:val="auto"/>
          <w:kern w:val="22"/>
          <w:bdr w:val="none" w:sz="0" w:space="0" w:color="auto"/>
          <w:lang w:val="en-GB"/>
        </w:rPr>
        <w:t xml:space="preserve"> </w:t>
      </w:r>
    </w:p>
    <w:p w14:paraId="33962226" w14:textId="6D918E96" w:rsidR="00C50381" w:rsidRPr="00DF02C5" w:rsidRDefault="00C50381" w:rsidP="00CB6ACA">
      <w:pPr>
        <w:pStyle w:val="ListParagraph"/>
        <w:numPr>
          <w:ilvl w:val="1"/>
          <w:numId w:val="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Calibri" w:hAnsi="Times New Roman" w:cs="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Sudan i</w:t>
      </w:r>
      <w:r w:rsidR="00A47FDE" w:rsidRPr="00DF02C5">
        <w:rPr>
          <w:rFonts w:eastAsia="Calibri" w:hAnsi="Times New Roman"/>
          <w:snapToGrid w:val="0"/>
          <w:color w:val="auto"/>
          <w:kern w:val="22"/>
          <w:bdr w:val="none" w:sz="0" w:space="0" w:color="auto"/>
          <w:lang w:val="en-GB"/>
        </w:rPr>
        <w:t>ndicated</w:t>
      </w:r>
      <w:r w:rsidRPr="00DF02C5">
        <w:rPr>
          <w:rFonts w:eastAsia="Calibri" w:hAnsi="Times New Roman"/>
          <w:snapToGrid w:val="0"/>
          <w:color w:val="auto"/>
          <w:kern w:val="22"/>
          <w:bdr w:val="none" w:sz="0" w:space="0" w:color="auto"/>
          <w:lang w:val="en-GB"/>
        </w:rPr>
        <w:t xml:space="preserve"> that a national committee </w:t>
      </w:r>
      <w:r w:rsidR="00A47FDE" w:rsidRPr="00DF02C5">
        <w:rPr>
          <w:rFonts w:eastAsia="Calibri" w:hAnsi="Times New Roman"/>
          <w:snapToGrid w:val="0"/>
          <w:color w:val="auto"/>
          <w:kern w:val="22"/>
          <w:bdr w:val="none" w:sz="0" w:space="0" w:color="auto"/>
          <w:lang w:val="en-GB"/>
        </w:rPr>
        <w:t xml:space="preserve">was established to </w:t>
      </w:r>
      <w:r w:rsidRPr="00DF02C5">
        <w:rPr>
          <w:rFonts w:eastAsia="Calibri" w:hAnsi="Times New Roman"/>
          <w:snapToGrid w:val="0"/>
          <w:color w:val="auto"/>
          <w:kern w:val="22"/>
          <w:bdr w:val="none" w:sz="0" w:space="0" w:color="auto"/>
          <w:lang w:val="en-GB"/>
        </w:rPr>
        <w:t>formulate the resource mobilization plan fo</w:t>
      </w:r>
      <w:r w:rsidR="00A47FDE" w:rsidRPr="00DF02C5">
        <w:rPr>
          <w:rFonts w:eastAsia="Calibri" w:hAnsi="Times New Roman"/>
          <w:snapToGrid w:val="0"/>
          <w:color w:val="auto"/>
          <w:kern w:val="22"/>
          <w:bdr w:val="none" w:sz="0" w:space="0" w:color="auto"/>
          <w:lang w:val="en-GB"/>
        </w:rPr>
        <w:t xml:space="preserve">r implementing the </w:t>
      </w:r>
      <w:r w:rsidRPr="00DF02C5">
        <w:rPr>
          <w:rFonts w:eastAsia="Calibri" w:hAnsi="Times New Roman"/>
          <w:snapToGrid w:val="0"/>
          <w:color w:val="auto"/>
          <w:kern w:val="22"/>
          <w:bdr w:val="none" w:sz="0" w:space="0" w:color="auto"/>
          <w:lang w:val="en-GB"/>
        </w:rPr>
        <w:t xml:space="preserve">NBSAP and </w:t>
      </w:r>
      <w:r w:rsidR="001D58BC" w:rsidRPr="00DF02C5">
        <w:rPr>
          <w:rFonts w:eastAsia="Calibri" w:hAnsi="Times New Roman"/>
          <w:snapToGrid w:val="0"/>
          <w:color w:val="auto"/>
          <w:kern w:val="22"/>
          <w:bdr w:val="none" w:sz="0" w:space="0" w:color="auto"/>
          <w:lang w:val="en-GB"/>
        </w:rPr>
        <w:t xml:space="preserve">the </w:t>
      </w:r>
      <w:r w:rsidRPr="00DF02C5">
        <w:rPr>
          <w:rFonts w:eastAsia="Calibri" w:hAnsi="Times New Roman"/>
          <w:snapToGrid w:val="0"/>
          <w:color w:val="auto"/>
          <w:kern w:val="22"/>
          <w:bdr w:val="none" w:sz="0" w:space="0" w:color="auto"/>
          <w:lang w:val="en-GB"/>
        </w:rPr>
        <w:t xml:space="preserve">Nagoya </w:t>
      </w:r>
      <w:r w:rsidR="00A47FDE" w:rsidRPr="00DF02C5">
        <w:rPr>
          <w:rFonts w:eastAsia="Calibri" w:hAnsi="Times New Roman"/>
          <w:snapToGrid w:val="0"/>
          <w:color w:val="auto"/>
          <w:kern w:val="22"/>
          <w:bdr w:val="none" w:sz="0" w:space="0" w:color="auto"/>
          <w:lang w:val="en-GB"/>
        </w:rPr>
        <w:t>Protocol for the</w:t>
      </w:r>
      <w:r w:rsidR="003C477F">
        <w:rPr>
          <w:rFonts w:eastAsia="Calibri" w:hAnsi="Times New Roman"/>
          <w:snapToGrid w:val="0"/>
          <w:color w:val="auto"/>
          <w:kern w:val="22"/>
          <w:bdr w:val="none" w:sz="0" w:space="0" w:color="auto"/>
          <w:lang w:val="en-GB"/>
        </w:rPr>
        <w:t xml:space="preserve"> period 2015-2020;</w:t>
      </w:r>
    </w:p>
    <w:p w14:paraId="701C229A" w14:textId="4C254F0F" w:rsidR="00A47FDE" w:rsidRPr="00DF02C5" w:rsidRDefault="00C50381" w:rsidP="00CB6ACA">
      <w:pPr>
        <w:pStyle w:val="ListParagraph"/>
        <w:numPr>
          <w:ilvl w:val="1"/>
          <w:numId w:val="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Calibri" w:hAnsi="Times New Roman"/>
          <w:snapToGrid w:val="0"/>
          <w:color w:val="auto"/>
          <w:kern w:val="22"/>
          <w:bdr w:val="none" w:sz="0" w:space="0" w:color="auto"/>
          <w:lang w:val="en-GB"/>
        </w:rPr>
      </w:pPr>
      <w:r w:rsidRPr="00DF02C5">
        <w:rPr>
          <w:rFonts w:eastAsia="Calibri" w:hAnsi="Times New Roman" w:cs="Times New Roman"/>
          <w:snapToGrid w:val="0"/>
          <w:color w:val="auto"/>
          <w:kern w:val="22"/>
          <w:bdr w:val="none" w:sz="0" w:space="0" w:color="auto"/>
          <w:lang w:val="en-GB"/>
        </w:rPr>
        <w:t>Uganda reported t</w:t>
      </w:r>
      <w:r w:rsidR="00A47FDE" w:rsidRPr="00DF02C5">
        <w:rPr>
          <w:rFonts w:eastAsia="Calibri" w:hAnsi="Times New Roman" w:cs="Times New Roman"/>
          <w:snapToGrid w:val="0"/>
          <w:color w:val="auto"/>
          <w:kern w:val="22"/>
          <w:bdr w:val="none" w:sz="0" w:space="0" w:color="auto"/>
          <w:lang w:val="en-GB"/>
        </w:rPr>
        <w:t>hat targets and activities for implementing the Protocol</w:t>
      </w:r>
      <w:r w:rsidRPr="00DF02C5">
        <w:rPr>
          <w:rFonts w:eastAsia="Calibri" w:hAnsi="Times New Roman" w:cs="Times New Roman"/>
          <w:snapToGrid w:val="0"/>
          <w:color w:val="auto"/>
          <w:kern w:val="22"/>
          <w:bdr w:val="none" w:sz="0" w:space="0" w:color="auto"/>
          <w:lang w:val="en-GB"/>
        </w:rPr>
        <w:t xml:space="preserve"> are included in the revised NBSAP (2015</w:t>
      </w:r>
      <w:r w:rsidR="001D58BC" w:rsidRPr="00DF02C5">
        <w:rPr>
          <w:rFonts w:eastAsia="Calibri" w:hAnsi="Times New Roman" w:cs="Times New Roman"/>
          <w:snapToGrid w:val="0"/>
          <w:color w:val="auto"/>
          <w:kern w:val="22"/>
          <w:bdr w:val="none" w:sz="0" w:space="0" w:color="auto"/>
          <w:lang w:val="en-GB"/>
        </w:rPr>
        <w:t>-</w:t>
      </w:r>
      <w:r w:rsidR="00A47FDE" w:rsidRPr="00DF02C5">
        <w:rPr>
          <w:rFonts w:eastAsia="Calibri" w:hAnsi="Times New Roman" w:cs="Times New Roman"/>
          <w:snapToGrid w:val="0"/>
          <w:color w:val="auto"/>
          <w:kern w:val="22"/>
          <w:bdr w:val="none" w:sz="0" w:space="0" w:color="auto"/>
          <w:lang w:val="en-GB"/>
        </w:rPr>
        <w:t xml:space="preserve">2025), which </w:t>
      </w:r>
      <w:r w:rsidRPr="00DF02C5">
        <w:rPr>
          <w:rFonts w:eastAsia="Calibri" w:hAnsi="Times New Roman" w:cs="Times New Roman"/>
          <w:snapToGrid w:val="0"/>
          <w:color w:val="auto"/>
          <w:kern w:val="22"/>
          <w:bdr w:val="none" w:sz="0" w:space="0" w:color="auto"/>
          <w:lang w:val="en-GB"/>
        </w:rPr>
        <w:t>has been mainstreamed into t</w:t>
      </w:r>
      <w:r w:rsidR="00A47FDE" w:rsidRPr="00DF02C5">
        <w:rPr>
          <w:rFonts w:eastAsia="Calibri" w:hAnsi="Times New Roman" w:cs="Times New Roman"/>
          <w:snapToGrid w:val="0"/>
          <w:color w:val="auto"/>
          <w:kern w:val="22"/>
          <w:bdr w:val="none" w:sz="0" w:space="0" w:color="auto"/>
          <w:lang w:val="en-GB"/>
        </w:rPr>
        <w:t>he national development plan.</w:t>
      </w:r>
    </w:p>
    <w:p w14:paraId="0EA3E98A" w14:textId="5FD10E02" w:rsidR="00C50381" w:rsidRPr="00DF02C5" w:rsidRDefault="00C50381"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Some countries reported on some of the difficulties </w:t>
      </w:r>
      <w:r w:rsidR="00B54C38">
        <w:rPr>
          <w:rFonts w:eastAsia="Calibri" w:hAnsi="Times New Roman"/>
          <w:snapToGrid w:val="0"/>
          <w:color w:val="auto"/>
          <w:kern w:val="22"/>
          <w:bdr w:val="none" w:sz="0" w:space="0" w:color="auto"/>
          <w:lang w:val="en-GB"/>
        </w:rPr>
        <w:t>to mobiliz</w:t>
      </w:r>
      <w:r w:rsidRPr="00DF02C5">
        <w:rPr>
          <w:rFonts w:eastAsia="Calibri" w:hAnsi="Times New Roman"/>
          <w:snapToGrid w:val="0"/>
          <w:color w:val="auto"/>
          <w:kern w:val="22"/>
          <w:bdr w:val="none" w:sz="0" w:space="0" w:color="auto"/>
          <w:lang w:val="en-GB"/>
        </w:rPr>
        <w:t>e resources. For example, it was noted</w:t>
      </w:r>
      <w:r w:rsidRPr="00DF02C5">
        <w:rPr>
          <w:rFonts w:eastAsia="Calibri" w:hAnsi="Times New Roman"/>
          <w:snapToGrid w:val="0"/>
          <w:color w:val="auto"/>
          <w:kern w:val="22"/>
          <w:bdr w:val="none" w:sz="0" w:space="0" w:color="auto"/>
          <w:vertAlign w:val="superscript"/>
          <w:lang w:val="en-GB"/>
        </w:rPr>
        <w:footnoteReference w:id="464"/>
      </w:r>
      <w:r w:rsidRPr="00DF02C5">
        <w:rPr>
          <w:rFonts w:eastAsia="Calibri" w:hAnsi="Times New Roman"/>
          <w:snapToGrid w:val="0"/>
          <w:color w:val="auto"/>
          <w:kern w:val="22"/>
          <w:bdr w:val="none" w:sz="0" w:space="0" w:color="auto"/>
          <w:lang w:val="en-GB"/>
        </w:rPr>
        <w:t xml:space="preserve"> that some development partners within the country do not clearly understand ABS aspects and how they can be linked to their development activities, and that</w:t>
      </w:r>
      <w:r w:rsidR="00B54C38">
        <w:rPr>
          <w:rFonts w:eastAsia="Calibri" w:hAnsi="Times New Roman"/>
          <w:snapToGrid w:val="0"/>
          <w:color w:val="auto"/>
          <w:kern w:val="22"/>
          <w:bdr w:val="none" w:sz="0" w:space="0" w:color="auto"/>
          <w:lang w:val="en-GB"/>
        </w:rPr>
        <w:t xml:space="preserve"> it was a challenge to prioritiz</w:t>
      </w:r>
      <w:r w:rsidRPr="00DF02C5">
        <w:rPr>
          <w:rFonts w:eastAsia="Calibri" w:hAnsi="Times New Roman"/>
          <w:snapToGrid w:val="0"/>
          <w:color w:val="auto"/>
          <w:kern w:val="22"/>
          <w:bdr w:val="none" w:sz="0" w:space="0" w:color="auto"/>
          <w:lang w:val="en-GB"/>
        </w:rPr>
        <w:t>e ABS among other competing priorities</w:t>
      </w:r>
      <w:r w:rsidR="003C477F">
        <w:rPr>
          <w:rFonts w:eastAsia="Calibri" w:hAnsi="Times New Roman"/>
          <w:snapToGrid w:val="0"/>
          <w:color w:val="auto"/>
          <w:kern w:val="22"/>
          <w:bdr w:val="none" w:sz="0" w:space="0" w:color="auto"/>
          <w:lang w:val="en-GB"/>
        </w:rPr>
        <w:t>.</w:t>
      </w:r>
      <w:r w:rsidRPr="00DF02C5">
        <w:rPr>
          <w:rFonts w:eastAsia="Calibri" w:hAnsi="Times New Roman"/>
          <w:snapToGrid w:val="0"/>
          <w:color w:val="auto"/>
          <w:kern w:val="22"/>
          <w:bdr w:val="none" w:sz="0" w:space="0" w:color="auto"/>
          <w:vertAlign w:val="superscript"/>
          <w:lang w:val="en-GB"/>
        </w:rPr>
        <w:footnoteReference w:id="465"/>
      </w:r>
      <w:r w:rsidRPr="00DF02C5">
        <w:rPr>
          <w:rFonts w:eastAsia="Calibri" w:hAnsi="Times New Roman"/>
          <w:snapToGrid w:val="0"/>
          <w:color w:val="auto"/>
          <w:kern w:val="22"/>
          <w:bdr w:val="none" w:sz="0" w:space="0" w:color="auto"/>
          <w:lang w:val="en-GB"/>
        </w:rPr>
        <w:t xml:space="preserve"> Some countries</w:t>
      </w:r>
      <w:r w:rsidRPr="00DF02C5">
        <w:rPr>
          <w:rFonts w:eastAsia="Calibri" w:hAnsi="Times New Roman"/>
          <w:snapToGrid w:val="0"/>
          <w:color w:val="auto"/>
          <w:kern w:val="22"/>
          <w:bdr w:val="none" w:sz="0" w:space="0" w:color="auto"/>
          <w:vertAlign w:val="superscript"/>
          <w:lang w:val="en-GB"/>
        </w:rPr>
        <w:footnoteReference w:id="466"/>
      </w:r>
      <w:r w:rsidRPr="00DF02C5">
        <w:rPr>
          <w:rFonts w:eastAsia="Calibri" w:hAnsi="Times New Roman"/>
          <w:snapToGrid w:val="0"/>
          <w:color w:val="auto"/>
          <w:kern w:val="22"/>
          <w:bdr w:val="none" w:sz="0" w:space="0" w:color="auto"/>
          <w:lang w:val="en-GB"/>
        </w:rPr>
        <w:t xml:space="preserve"> were of the view that the process for disbursing the funds was slow and the requirements of funding partners were</w:t>
      </w:r>
      <w:r w:rsidR="00A47FDE" w:rsidRPr="00DF02C5">
        <w:rPr>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 xml:space="preserve">complex. </w:t>
      </w:r>
    </w:p>
    <w:p w14:paraId="414318F7" w14:textId="77777777" w:rsidR="00C50381" w:rsidRPr="00DF02C5" w:rsidRDefault="00C50381" w:rsidP="00C5038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left"/>
        <w:rPr>
          <w:rFonts w:eastAsia="Calibri" w:hAnsi="Times New Roman" w:cs="Times New Roman"/>
          <w:snapToGrid w:val="0"/>
          <w:color w:val="auto"/>
          <w:kern w:val="22"/>
          <w:bdr w:val="none" w:sz="0" w:space="0" w:color="auto"/>
          <w:lang w:val="en-GB"/>
        </w:rPr>
      </w:pPr>
    </w:p>
    <w:p w14:paraId="4621A0A9" w14:textId="2A05AE69" w:rsidR="00C50381" w:rsidRPr="003C477F" w:rsidRDefault="00C50381" w:rsidP="003C477F">
      <w:pPr>
        <w:pStyle w:val="ListParagraph"/>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before="240" w:after="120"/>
        <w:ind w:left="1541" w:right="360" w:hanging="634"/>
        <w:jc w:val="left"/>
        <w:rPr>
          <w:rFonts w:eastAsia="Calibri" w:hAnsi="Times New Roman" w:cs="Times New Roman"/>
          <w:i/>
          <w:snapToGrid w:val="0"/>
          <w:color w:val="auto"/>
          <w:kern w:val="22"/>
          <w:bdr w:val="none" w:sz="0" w:space="0" w:color="auto"/>
          <w:lang w:val="en-GB"/>
        </w:rPr>
      </w:pPr>
      <w:r w:rsidRPr="003C477F">
        <w:rPr>
          <w:rFonts w:eastAsia="Calibri" w:hAnsi="Times New Roman" w:cs="Times New Roman"/>
          <w:i/>
          <w:snapToGrid w:val="0"/>
          <w:color w:val="auto"/>
          <w:kern w:val="22"/>
          <w:bdr w:val="none" w:sz="0" w:space="0" w:color="auto"/>
          <w:lang w:val="en-GB"/>
        </w:rPr>
        <w:lastRenderedPageBreak/>
        <w:t>Information on the status of funds mobilized in support of the implementation of the Protocol (question 62.3)</w:t>
      </w:r>
    </w:p>
    <w:p w14:paraId="1D65D416" w14:textId="23527C37" w:rsidR="00A10E31" w:rsidRPr="00DF02C5" w:rsidRDefault="00C50381"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Thirty</w:t>
      </w:r>
      <w:r w:rsidR="007149F2" w:rsidRPr="00DF02C5">
        <w:rPr>
          <w:rFonts w:eastAsia="Calibri" w:hAnsi="Times New Roman"/>
          <w:snapToGrid w:val="0"/>
          <w:color w:val="auto"/>
          <w:kern w:val="22"/>
          <w:bdr w:val="none" w:sz="0" w:space="0" w:color="auto"/>
          <w:lang w:val="en-GB"/>
        </w:rPr>
        <w:t>-</w:t>
      </w:r>
      <w:r w:rsidR="00AA6BF9" w:rsidRPr="00DF02C5">
        <w:rPr>
          <w:rFonts w:eastAsia="Calibri" w:hAnsi="Times New Roman"/>
          <w:snapToGrid w:val="0"/>
          <w:color w:val="auto"/>
          <w:kern w:val="22"/>
          <w:bdr w:val="none" w:sz="0" w:space="0" w:color="auto"/>
          <w:lang w:val="en-GB"/>
        </w:rPr>
        <w:t>two</w:t>
      </w:r>
      <w:r w:rsidRPr="00DF02C5">
        <w:rPr>
          <w:rFonts w:eastAsia="Calibri" w:hAnsi="Times New Roman"/>
          <w:snapToGrid w:val="0"/>
          <w:color w:val="auto"/>
          <w:kern w:val="22"/>
          <w:bdr w:val="none" w:sz="0" w:space="0" w:color="auto"/>
          <w:lang w:val="en-GB"/>
        </w:rPr>
        <w:t xml:space="preserve"> countries answered this question. Many countries</w:t>
      </w:r>
      <w:r w:rsidR="00A47FDE" w:rsidRPr="00DF02C5">
        <w:rPr>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provided information on the funds they were able to mobilize, for what projects, and the amounts. According to the information provided, five countries</w:t>
      </w:r>
      <w:r w:rsidRPr="00DF02C5">
        <w:rPr>
          <w:rStyle w:val="FootnoteReference"/>
          <w:rFonts w:eastAsia="Calibri" w:hAnsi="Times New Roman"/>
          <w:snapToGrid w:val="0"/>
          <w:color w:val="auto"/>
          <w:kern w:val="22"/>
          <w:bdr w:val="none" w:sz="0" w:space="0" w:color="auto"/>
          <w:lang w:val="en-GB"/>
        </w:rPr>
        <w:footnoteReference w:id="467"/>
      </w:r>
      <w:r w:rsidR="00B54C38">
        <w:rPr>
          <w:rFonts w:eastAsia="Calibri" w:hAnsi="Times New Roman"/>
          <w:snapToGrid w:val="0"/>
          <w:color w:val="auto"/>
          <w:kern w:val="22"/>
          <w:bdr w:val="none" w:sz="0" w:space="0" w:color="auto"/>
          <w:lang w:val="en-GB"/>
        </w:rPr>
        <w:t xml:space="preserve">  have mobiliz</w:t>
      </w:r>
      <w:r w:rsidRPr="00DF02C5">
        <w:rPr>
          <w:rFonts w:eastAsia="Calibri" w:hAnsi="Times New Roman"/>
          <w:snapToGrid w:val="0"/>
          <w:color w:val="auto"/>
          <w:kern w:val="22"/>
          <w:bdr w:val="none" w:sz="0" w:space="0" w:color="auto"/>
          <w:lang w:val="en-GB"/>
        </w:rPr>
        <w:t>ed 3 million USD or more to implement the Protocol; four countries</w:t>
      </w:r>
      <w:r w:rsidRPr="00DF02C5">
        <w:rPr>
          <w:rStyle w:val="FootnoteReference"/>
          <w:rFonts w:eastAsia="Calibri" w:hAnsi="Times New Roman"/>
          <w:snapToGrid w:val="0"/>
          <w:color w:val="auto"/>
          <w:kern w:val="22"/>
          <w:bdr w:val="none" w:sz="0" w:space="0" w:color="auto"/>
          <w:lang w:val="en-GB"/>
        </w:rPr>
        <w:footnoteReference w:id="468"/>
      </w:r>
      <w:r w:rsidR="00B54C38">
        <w:rPr>
          <w:rFonts w:eastAsia="Calibri" w:hAnsi="Times New Roman"/>
          <w:snapToGrid w:val="0"/>
          <w:color w:val="auto"/>
          <w:kern w:val="22"/>
          <w:bdr w:val="none" w:sz="0" w:space="0" w:color="auto"/>
          <w:lang w:val="en-GB"/>
        </w:rPr>
        <w:t xml:space="preserve"> mobiliz</w:t>
      </w:r>
      <w:r w:rsidRPr="00DF02C5">
        <w:rPr>
          <w:rFonts w:eastAsia="Calibri" w:hAnsi="Times New Roman"/>
          <w:snapToGrid w:val="0"/>
          <w:color w:val="auto"/>
          <w:kern w:val="22"/>
          <w:bdr w:val="none" w:sz="0" w:space="0" w:color="auto"/>
          <w:lang w:val="en-GB"/>
        </w:rPr>
        <w:t>ed between 100,000 USD and one million; and three countries</w:t>
      </w:r>
      <w:r w:rsidRPr="00DF02C5">
        <w:rPr>
          <w:rStyle w:val="FootnoteReference"/>
          <w:rFonts w:eastAsia="Calibri" w:hAnsi="Times New Roman"/>
          <w:snapToGrid w:val="0"/>
          <w:color w:val="auto"/>
          <w:kern w:val="22"/>
          <w:bdr w:val="none" w:sz="0" w:space="0" w:color="auto"/>
          <w:lang w:val="en-GB"/>
        </w:rPr>
        <w:footnoteReference w:id="469"/>
      </w:r>
      <w:r w:rsidR="00B54C38">
        <w:rPr>
          <w:rFonts w:eastAsia="Calibri" w:hAnsi="Times New Roman"/>
          <w:snapToGrid w:val="0"/>
          <w:color w:val="auto"/>
          <w:kern w:val="22"/>
          <w:bdr w:val="none" w:sz="0" w:space="0" w:color="auto"/>
          <w:lang w:val="en-GB"/>
        </w:rPr>
        <w:t xml:space="preserve"> mobiliz</w:t>
      </w:r>
      <w:r w:rsidRPr="00DF02C5">
        <w:rPr>
          <w:rFonts w:eastAsia="Calibri" w:hAnsi="Times New Roman"/>
          <w:snapToGrid w:val="0"/>
          <w:color w:val="auto"/>
          <w:kern w:val="22"/>
          <w:bdr w:val="none" w:sz="0" w:space="0" w:color="auto"/>
          <w:lang w:val="en-GB"/>
        </w:rPr>
        <w:t xml:space="preserve">ed 100,000 USD or less.  </w:t>
      </w:r>
    </w:p>
    <w:p w14:paraId="79239575" w14:textId="66860C75" w:rsidR="00C50381" w:rsidRPr="00DF02C5" w:rsidRDefault="00C50381"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Two countries provided information on their contribution to projects supporting the implementation of the Nagoya Protocol.</w:t>
      </w:r>
      <w:r w:rsidRPr="00DF02C5">
        <w:rPr>
          <w:rStyle w:val="FootnoteReference"/>
          <w:rFonts w:eastAsia="Calibri" w:hAnsi="Times New Roman"/>
          <w:snapToGrid w:val="0"/>
          <w:color w:val="auto"/>
          <w:kern w:val="22"/>
          <w:bdr w:val="none" w:sz="0" w:space="0" w:color="auto"/>
          <w:lang w:val="en-GB"/>
        </w:rPr>
        <w:footnoteReference w:id="470"/>
      </w:r>
      <w:r w:rsidRPr="00DF02C5">
        <w:rPr>
          <w:rFonts w:eastAsia="Calibri" w:hAnsi="Times New Roman"/>
          <w:snapToGrid w:val="0"/>
          <w:color w:val="auto"/>
          <w:kern w:val="22"/>
          <w:bdr w:val="none" w:sz="0" w:space="0" w:color="auto"/>
          <w:lang w:val="en-GB"/>
        </w:rPr>
        <w:t xml:space="preserve"> One country</w:t>
      </w:r>
      <w:r w:rsidRPr="00DF02C5">
        <w:rPr>
          <w:rStyle w:val="FootnoteReference"/>
          <w:rFonts w:eastAsia="Calibri" w:hAnsi="Times New Roman"/>
          <w:snapToGrid w:val="0"/>
          <w:color w:val="auto"/>
          <w:kern w:val="22"/>
          <w:bdr w:val="none" w:sz="0" w:space="0" w:color="auto"/>
          <w:lang w:val="en-GB"/>
        </w:rPr>
        <w:footnoteReference w:id="471"/>
      </w:r>
      <w:r w:rsidRPr="00DF02C5">
        <w:rPr>
          <w:rFonts w:eastAsia="Calibri" w:hAnsi="Times New Roman"/>
          <w:snapToGrid w:val="0"/>
          <w:color w:val="auto"/>
          <w:kern w:val="22"/>
          <w:bdr w:val="none" w:sz="0" w:space="0" w:color="auto"/>
          <w:lang w:val="en-GB"/>
        </w:rPr>
        <w:t xml:space="preserve"> explained that 10% of the yearly budget allocat</w:t>
      </w:r>
      <w:r w:rsidR="001D58BC" w:rsidRPr="00DF02C5">
        <w:rPr>
          <w:rFonts w:eastAsia="Calibri" w:hAnsi="Times New Roman"/>
          <w:snapToGrid w:val="0"/>
          <w:color w:val="auto"/>
          <w:kern w:val="22"/>
          <w:bdr w:val="none" w:sz="0" w:space="0" w:color="auto"/>
          <w:lang w:val="en-GB"/>
        </w:rPr>
        <w:t>ed</w:t>
      </w:r>
      <w:r w:rsidRPr="00DF02C5">
        <w:rPr>
          <w:rFonts w:eastAsia="Calibri" w:hAnsi="Times New Roman"/>
          <w:snapToGrid w:val="0"/>
          <w:color w:val="auto"/>
          <w:kern w:val="22"/>
          <w:bdr w:val="none" w:sz="0" w:space="0" w:color="auto"/>
          <w:lang w:val="en-GB"/>
        </w:rPr>
        <w:t xml:space="preserve"> </w:t>
      </w:r>
      <w:r w:rsidR="001D58BC" w:rsidRPr="00DF02C5">
        <w:rPr>
          <w:rFonts w:eastAsia="Calibri" w:hAnsi="Times New Roman"/>
          <w:snapToGrid w:val="0"/>
          <w:color w:val="auto"/>
          <w:kern w:val="22"/>
          <w:bdr w:val="none" w:sz="0" w:space="0" w:color="auto"/>
          <w:lang w:val="en-GB"/>
        </w:rPr>
        <w:t>to the</w:t>
      </w:r>
      <w:r w:rsidRPr="00DF02C5">
        <w:rPr>
          <w:rFonts w:eastAsia="Calibri" w:hAnsi="Times New Roman"/>
          <w:snapToGrid w:val="0"/>
          <w:color w:val="auto"/>
          <w:kern w:val="22"/>
          <w:bdr w:val="none" w:sz="0" w:space="0" w:color="auto"/>
          <w:lang w:val="en-GB"/>
        </w:rPr>
        <w:t xml:space="preserve"> biodiversity conservation unit is directed to </w:t>
      </w:r>
      <w:r w:rsidR="001D58BC" w:rsidRPr="00DF02C5">
        <w:rPr>
          <w:rFonts w:eastAsia="Calibri" w:hAnsi="Times New Roman"/>
          <w:snapToGrid w:val="0"/>
          <w:color w:val="auto"/>
          <w:kern w:val="22"/>
          <w:bdr w:val="none" w:sz="0" w:space="0" w:color="auto"/>
          <w:lang w:val="en-GB"/>
        </w:rPr>
        <w:t xml:space="preserve">the </w:t>
      </w:r>
      <w:r w:rsidRPr="00DF02C5">
        <w:rPr>
          <w:rFonts w:eastAsia="Calibri" w:hAnsi="Times New Roman"/>
          <w:snapToGrid w:val="0"/>
          <w:color w:val="auto"/>
          <w:kern w:val="22"/>
          <w:bdr w:val="none" w:sz="0" w:space="0" w:color="auto"/>
          <w:lang w:val="en-GB"/>
        </w:rPr>
        <w:t>implementation of the Nagoya Protocol.</w:t>
      </w:r>
    </w:p>
    <w:p w14:paraId="0AA55367" w14:textId="3CA396D7" w:rsidR="00C50381" w:rsidRPr="003C477F" w:rsidRDefault="00A10E31" w:rsidP="003C477F">
      <w:pPr>
        <w:pStyle w:val="ListParagraph"/>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before="240" w:after="120"/>
        <w:ind w:left="1440" w:right="187" w:hanging="720"/>
        <w:jc w:val="left"/>
        <w:rPr>
          <w:rFonts w:eastAsia="Calibri" w:hAnsi="Times New Roman" w:cs="Times New Roman"/>
          <w:i/>
          <w:snapToGrid w:val="0"/>
          <w:color w:val="auto"/>
          <w:kern w:val="22"/>
          <w:bdr w:val="none" w:sz="0" w:space="0" w:color="auto"/>
          <w:lang w:val="en-GB"/>
        </w:rPr>
      </w:pPr>
      <w:r w:rsidRPr="003C477F">
        <w:rPr>
          <w:rFonts w:eastAsia="Calibri" w:hAnsi="Times New Roman" w:cs="Times New Roman"/>
          <w:i/>
          <w:snapToGrid w:val="0"/>
          <w:color w:val="auto"/>
          <w:kern w:val="22"/>
          <w:bdr w:val="none" w:sz="0" w:space="0" w:color="auto"/>
          <w:lang w:val="en-GB"/>
        </w:rPr>
        <w:t xml:space="preserve">Does your country have specific staff to administer functions directly related to the implementation of the Nagoya Protocol? </w:t>
      </w:r>
      <w:r w:rsidR="00C50381" w:rsidRPr="003C477F">
        <w:rPr>
          <w:rFonts w:eastAsia="Calibri" w:hAnsi="Times New Roman" w:cs="Times New Roman"/>
          <w:i/>
          <w:snapToGrid w:val="0"/>
          <w:color w:val="auto"/>
          <w:kern w:val="22"/>
          <w:bdr w:val="none" w:sz="0" w:space="0" w:color="auto"/>
          <w:lang w:val="en-GB"/>
        </w:rPr>
        <w:t>(question 63)</w:t>
      </w:r>
    </w:p>
    <w:p w14:paraId="762FE2E4" w14:textId="70924FC3" w:rsidR="00C50381" w:rsidRPr="00DF02C5" w:rsidRDefault="00A10E31" w:rsidP="00CB6ACA">
      <w:pPr>
        <w:pStyle w:val="Para1"/>
        <w:numPr>
          <w:ilvl w:val="0"/>
          <w:numId w:val="93"/>
        </w:numPr>
        <w:rPr>
          <w:rFonts w:eastAsia="Calibri" w:hAnsi="Times New Roman"/>
          <w:snapToGrid w:val="0"/>
          <w:color w:val="auto"/>
          <w:kern w:val="22"/>
          <w:bdr w:val="none" w:sz="0" w:space="0" w:color="auto"/>
          <w:lang w:val="en-GB"/>
        </w:rPr>
      </w:pPr>
      <w:proofErr w:type="gramStart"/>
      <w:r w:rsidRPr="00DF02C5">
        <w:rPr>
          <w:rFonts w:eastAsia="Calibri" w:hAnsi="Times New Roman"/>
          <w:snapToGrid w:val="0"/>
          <w:color w:val="auto"/>
          <w:kern w:val="22"/>
          <w:bdr w:val="none" w:sz="0" w:space="0" w:color="auto"/>
          <w:lang w:val="en-GB"/>
        </w:rPr>
        <w:t>Fifty-six</w:t>
      </w:r>
      <w:proofErr w:type="gramEnd"/>
      <w:r w:rsidRPr="00DF02C5">
        <w:rPr>
          <w:rFonts w:eastAsia="Calibri" w:hAnsi="Times New Roman"/>
          <w:snapToGrid w:val="0"/>
          <w:color w:val="auto"/>
          <w:kern w:val="22"/>
          <w:bdr w:val="none" w:sz="0" w:space="0" w:color="auto"/>
          <w:lang w:val="en-GB"/>
        </w:rPr>
        <w:t xml:space="preserve"> Parties and four non-Parties responded that they have specific staff to administer functions directly related to the Protocol and nine Parties and one non-Party answered</w:t>
      </w:r>
      <w:r w:rsidR="00C50381" w:rsidRPr="00DF02C5">
        <w:rPr>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that they do not have.</w:t>
      </w:r>
    </w:p>
    <w:p w14:paraId="54DA5C8E" w14:textId="7CE890E4" w:rsidR="00A10E31" w:rsidRPr="00DF02C5" w:rsidRDefault="00E5256F" w:rsidP="00E5256F">
      <w:pPr>
        <w:pStyle w:val="Caption"/>
        <w:keepNext/>
        <w:keepLines/>
        <w:rPr>
          <w:snapToGrid w:val="0"/>
          <w:bdr w:val="none" w:sz="0" w:space="0" w:color="auto"/>
          <w:lang w:val="en-GB"/>
        </w:rPr>
      </w:pPr>
      <w:r w:rsidRPr="00DF02C5">
        <w:rPr>
          <w:lang w:val="en-GB"/>
        </w:rPr>
        <w:t xml:space="preserve">Graph </w:t>
      </w:r>
      <w:r w:rsidRPr="00DF02C5">
        <w:rPr>
          <w:lang w:val="en-GB"/>
        </w:rPr>
        <w:fldChar w:fldCharType="begin"/>
      </w:r>
      <w:r w:rsidRPr="00DF02C5">
        <w:rPr>
          <w:lang w:val="en-GB"/>
        </w:rPr>
        <w:instrText xml:space="preserve"> SEQ Graph \* ARABIC </w:instrText>
      </w:r>
      <w:r w:rsidRPr="00DF02C5">
        <w:rPr>
          <w:lang w:val="en-GB"/>
        </w:rPr>
        <w:fldChar w:fldCharType="separate"/>
      </w:r>
      <w:r w:rsidRPr="00DF02C5">
        <w:rPr>
          <w:noProof/>
          <w:lang w:val="en-GB"/>
        </w:rPr>
        <w:t>55</w:t>
      </w:r>
      <w:r w:rsidRPr="00DF02C5">
        <w:rPr>
          <w:lang w:val="en-GB"/>
        </w:rPr>
        <w:fldChar w:fldCharType="end"/>
      </w:r>
      <w:r w:rsidR="00A10E31" w:rsidRPr="00DF02C5">
        <w:rPr>
          <w:snapToGrid w:val="0"/>
          <w:bdr w:val="none" w:sz="0" w:space="0" w:color="auto"/>
          <w:lang w:val="en-GB"/>
        </w:rPr>
        <w:t>: Specific staff to administer functions related to the implementation of the Protocol (percentage of countries)</w:t>
      </w:r>
    </w:p>
    <w:p w14:paraId="515269D7" w14:textId="430253E9" w:rsidR="00A10E31" w:rsidRPr="00DF02C5" w:rsidRDefault="00A10E31" w:rsidP="00A10E31">
      <w:pPr>
        <w:pStyle w:val="Para1"/>
        <w:jc w:val="center"/>
        <w:rPr>
          <w:rFonts w:eastAsia="Calibri" w:hAnsi="Times New Roman"/>
          <w:snapToGrid w:val="0"/>
          <w:color w:val="auto"/>
          <w:kern w:val="22"/>
          <w:bdr w:val="none" w:sz="0" w:space="0" w:color="auto"/>
          <w:lang w:val="en-GB"/>
        </w:rPr>
      </w:pPr>
      <w:r w:rsidRPr="00DF02C5">
        <w:rPr>
          <w:noProof/>
        </w:rPr>
        <w:drawing>
          <wp:inline distT="0" distB="0" distL="0" distR="0" wp14:anchorId="4B59F500" wp14:editId="6109136C">
            <wp:extent cx="3095625" cy="1828800"/>
            <wp:effectExtent l="0" t="0" r="9525" b="1905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6202F87" w14:textId="1CEBBA2A" w:rsidR="00C50381" w:rsidRPr="00DF02C5" w:rsidRDefault="00F516C1"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Fifty-five</w:t>
      </w:r>
      <w:r w:rsidR="00C50381" w:rsidRPr="00DF02C5">
        <w:rPr>
          <w:rFonts w:eastAsia="Calibri" w:hAnsi="Times New Roman"/>
          <w:snapToGrid w:val="0"/>
          <w:color w:val="auto"/>
          <w:kern w:val="22"/>
          <w:bdr w:val="none" w:sz="0" w:space="0" w:color="auto"/>
          <w:lang w:val="en-GB"/>
        </w:rPr>
        <w:t xml:space="preserve"> </w:t>
      </w:r>
      <w:r w:rsidR="00A10E31" w:rsidRPr="00DF02C5">
        <w:rPr>
          <w:rFonts w:eastAsia="Calibri" w:hAnsi="Times New Roman"/>
          <w:snapToGrid w:val="0"/>
          <w:color w:val="auto"/>
          <w:kern w:val="22"/>
          <w:bdr w:val="none" w:sz="0" w:space="0" w:color="auto"/>
          <w:lang w:val="en-GB"/>
        </w:rPr>
        <w:t xml:space="preserve">countries </w:t>
      </w:r>
      <w:r w:rsidR="00C50381" w:rsidRPr="00DF02C5">
        <w:rPr>
          <w:rFonts w:eastAsia="Calibri" w:hAnsi="Times New Roman"/>
          <w:snapToGrid w:val="0"/>
          <w:color w:val="auto"/>
          <w:kern w:val="22"/>
          <w:bdr w:val="none" w:sz="0" w:space="0" w:color="auto"/>
          <w:lang w:val="en-GB"/>
        </w:rPr>
        <w:t>provided information on</w:t>
      </w:r>
      <w:r w:rsidR="00FA7534" w:rsidRPr="00DF02C5">
        <w:rPr>
          <w:rFonts w:eastAsia="Calibri" w:hAnsi="Times New Roman"/>
          <w:snapToGrid w:val="0"/>
          <w:color w:val="auto"/>
          <w:kern w:val="22"/>
          <w:bdr w:val="none" w:sz="0" w:space="0" w:color="auto"/>
          <w:lang w:val="en-GB"/>
        </w:rPr>
        <w:t xml:space="preserve"> </w:t>
      </w:r>
      <w:r w:rsidR="00417F4C" w:rsidRPr="00DF02C5">
        <w:rPr>
          <w:rFonts w:eastAsia="Calibri" w:hAnsi="Times New Roman"/>
          <w:snapToGrid w:val="0"/>
          <w:color w:val="auto"/>
          <w:kern w:val="22"/>
          <w:bdr w:val="none" w:sz="0" w:space="0" w:color="auto"/>
          <w:lang w:val="en-GB"/>
        </w:rPr>
        <w:t xml:space="preserve">the number of </w:t>
      </w:r>
      <w:r w:rsidR="00FA7534" w:rsidRPr="00DF02C5">
        <w:rPr>
          <w:rFonts w:eastAsia="Calibri" w:hAnsi="Times New Roman"/>
          <w:snapToGrid w:val="0"/>
          <w:color w:val="auto"/>
          <w:kern w:val="22"/>
          <w:bdr w:val="none" w:sz="0" w:space="0" w:color="auto"/>
          <w:lang w:val="en-GB"/>
        </w:rPr>
        <w:t>staff administer</w:t>
      </w:r>
      <w:r w:rsidR="00417F4C" w:rsidRPr="00DF02C5">
        <w:rPr>
          <w:rFonts w:eastAsia="Calibri" w:hAnsi="Times New Roman"/>
          <w:snapToGrid w:val="0"/>
          <w:color w:val="auto"/>
          <w:kern w:val="22"/>
          <w:bdr w:val="none" w:sz="0" w:space="0" w:color="auto"/>
          <w:lang w:val="en-GB"/>
        </w:rPr>
        <w:t>ing</w:t>
      </w:r>
      <w:r w:rsidR="00C50381" w:rsidRPr="00DF02C5">
        <w:rPr>
          <w:rFonts w:eastAsia="Calibri" w:hAnsi="Times New Roman"/>
          <w:snapToGrid w:val="0"/>
          <w:color w:val="auto"/>
          <w:kern w:val="22"/>
          <w:bdr w:val="none" w:sz="0" w:space="0" w:color="auto"/>
          <w:lang w:val="en-GB"/>
        </w:rPr>
        <w:t xml:space="preserve"> functions directly related to the implementation of the Protocol. </w:t>
      </w:r>
      <w:r w:rsidRPr="00DF02C5">
        <w:rPr>
          <w:rFonts w:eastAsia="Calibri" w:hAnsi="Times New Roman"/>
          <w:snapToGrid w:val="0"/>
          <w:color w:val="auto"/>
          <w:kern w:val="22"/>
          <w:bdr w:val="none" w:sz="0" w:space="0" w:color="auto"/>
          <w:lang w:val="en-GB"/>
        </w:rPr>
        <w:t>Thirty-three</w:t>
      </w:r>
      <w:r w:rsidR="00C50381" w:rsidRPr="00DF02C5">
        <w:rPr>
          <w:rFonts w:eastAsia="Calibri" w:hAnsi="Times New Roman"/>
          <w:snapToGrid w:val="0"/>
          <w:color w:val="auto"/>
          <w:kern w:val="22"/>
          <w:bdr w:val="none" w:sz="0" w:space="0" w:color="auto"/>
          <w:lang w:val="en-GB"/>
        </w:rPr>
        <w:t xml:space="preserve"> countries out of 55 reported having less than </w:t>
      </w:r>
      <w:r w:rsidRPr="00DF02C5">
        <w:rPr>
          <w:rFonts w:eastAsia="Calibri" w:hAnsi="Times New Roman"/>
          <w:snapToGrid w:val="0"/>
          <w:color w:val="auto"/>
          <w:kern w:val="22"/>
          <w:bdr w:val="none" w:sz="0" w:space="0" w:color="auto"/>
          <w:lang w:val="en-GB"/>
        </w:rPr>
        <w:t>five</w:t>
      </w:r>
      <w:r w:rsidR="00C50381" w:rsidRPr="00DF02C5">
        <w:rPr>
          <w:rFonts w:eastAsia="Calibri" w:hAnsi="Times New Roman"/>
          <w:snapToGrid w:val="0"/>
          <w:color w:val="auto"/>
          <w:kern w:val="22"/>
          <w:bdr w:val="none" w:sz="0" w:space="0" w:color="auto"/>
          <w:lang w:val="en-GB"/>
        </w:rPr>
        <w:t xml:space="preserve"> staff, 13 countries less than 10</w:t>
      </w:r>
      <w:r w:rsidR="00A10E31" w:rsidRPr="00DF02C5">
        <w:rPr>
          <w:rFonts w:eastAsia="Calibri" w:hAnsi="Times New Roman"/>
          <w:snapToGrid w:val="0"/>
          <w:color w:val="auto"/>
          <w:kern w:val="22"/>
          <w:bdr w:val="none" w:sz="0" w:space="0" w:color="auto"/>
          <w:lang w:val="en-GB"/>
        </w:rPr>
        <w:t>,</w:t>
      </w:r>
      <w:r w:rsidR="00C50381" w:rsidRPr="00DF02C5">
        <w:rPr>
          <w:rFonts w:eastAsia="Calibri" w:hAnsi="Times New Roman"/>
          <w:snapToGrid w:val="0"/>
          <w:color w:val="auto"/>
          <w:kern w:val="22"/>
          <w:bdr w:val="none" w:sz="0" w:space="0" w:color="auto"/>
          <w:lang w:val="en-GB"/>
        </w:rPr>
        <w:t xml:space="preserve"> and 9 countries more than 10.</w:t>
      </w:r>
    </w:p>
    <w:p w14:paraId="2028F189" w14:textId="50E7A82E" w:rsidR="00C50381" w:rsidRPr="00DF02C5" w:rsidRDefault="00C50381" w:rsidP="00746648">
      <w:pPr>
        <w:pStyle w:val="Para1"/>
        <w:numPr>
          <w:ilvl w:val="0"/>
          <w:numId w:val="93"/>
        </w:numPr>
        <w:spacing w:before="240"/>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 xml:space="preserve">In terms of difficulties and challenges, most countries mentioned that </w:t>
      </w:r>
      <w:r w:rsidR="00A10E31" w:rsidRPr="00DF02C5">
        <w:rPr>
          <w:rFonts w:eastAsia="Calibri" w:hAnsi="Times New Roman"/>
          <w:snapToGrid w:val="0"/>
          <w:color w:val="auto"/>
          <w:kern w:val="22"/>
          <w:bdr w:val="none" w:sz="0" w:space="0" w:color="auto"/>
          <w:lang w:val="en-GB"/>
        </w:rPr>
        <w:t xml:space="preserve">they </w:t>
      </w:r>
      <w:r w:rsidRPr="00DF02C5">
        <w:rPr>
          <w:rFonts w:eastAsia="Calibri" w:hAnsi="Times New Roman"/>
          <w:snapToGrid w:val="0"/>
          <w:color w:val="auto"/>
          <w:kern w:val="22"/>
          <w:bdr w:val="none" w:sz="0" w:space="0" w:color="auto"/>
          <w:lang w:val="en-GB"/>
        </w:rPr>
        <w:t>have limited human resources working on Nagoya Protocol implementation</w:t>
      </w:r>
      <w:r w:rsidR="00A10E31" w:rsidRPr="00DF02C5">
        <w:rPr>
          <w:rFonts w:eastAsia="Calibri" w:hAnsi="Times New Roman"/>
          <w:snapToGrid w:val="0"/>
          <w:color w:val="auto"/>
          <w:kern w:val="22"/>
          <w:bdr w:val="none" w:sz="0" w:space="0" w:color="auto"/>
          <w:lang w:val="en-GB"/>
        </w:rPr>
        <w:t>,</w:t>
      </w:r>
      <w:r w:rsidRPr="00DF02C5">
        <w:rPr>
          <w:rFonts w:eastAsia="Calibri" w:hAnsi="Times New Roman"/>
          <w:snapToGrid w:val="0"/>
          <w:color w:val="auto"/>
          <w:kern w:val="22"/>
          <w:bdr w:val="none" w:sz="0" w:space="0" w:color="auto"/>
          <w:lang w:val="en-GB"/>
        </w:rPr>
        <w:t xml:space="preserve"> and that t</w:t>
      </w:r>
      <w:r w:rsidR="00A10E31" w:rsidRPr="00DF02C5">
        <w:rPr>
          <w:rFonts w:eastAsia="Calibri" w:hAnsi="Times New Roman"/>
          <w:snapToGrid w:val="0"/>
          <w:color w:val="auto"/>
          <w:kern w:val="22"/>
          <w:bdr w:val="none" w:sz="0" w:space="0" w:color="auto"/>
          <w:lang w:val="en-GB"/>
        </w:rPr>
        <w:t>hose working</w:t>
      </w:r>
      <w:r w:rsidRPr="00DF02C5">
        <w:rPr>
          <w:rFonts w:eastAsia="Calibri" w:hAnsi="Times New Roman"/>
          <w:snapToGrid w:val="0"/>
          <w:color w:val="auto"/>
          <w:kern w:val="22"/>
          <w:bdr w:val="none" w:sz="0" w:space="0" w:color="auto"/>
          <w:lang w:val="en-GB"/>
        </w:rPr>
        <w:t xml:space="preserve"> </w:t>
      </w:r>
      <w:r w:rsidR="00D77961">
        <w:rPr>
          <w:rFonts w:eastAsia="Calibri" w:hAnsi="Times New Roman"/>
          <w:snapToGrid w:val="0"/>
          <w:color w:val="auto"/>
          <w:kern w:val="22"/>
          <w:bdr w:val="none" w:sz="0" w:space="0" w:color="auto"/>
          <w:lang w:val="en-GB"/>
        </w:rPr>
        <w:t xml:space="preserve">on the Nagoya Protocol or on ABS </w:t>
      </w:r>
      <w:r w:rsidRPr="00DF02C5">
        <w:rPr>
          <w:rFonts w:eastAsia="Calibri" w:hAnsi="Times New Roman"/>
          <w:snapToGrid w:val="0"/>
          <w:color w:val="auto"/>
          <w:kern w:val="22"/>
          <w:bdr w:val="none" w:sz="0" w:space="0" w:color="auto"/>
          <w:lang w:val="en-GB"/>
        </w:rPr>
        <w:t>are either temporary or have other responsibilities with which they must share their time. Some countries mentioned the lack of budget or the need for better coordination between institutions</w:t>
      </w:r>
      <w:r w:rsidR="00A10E31" w:rsidRPr="00DF02C5">
        <w:rPr>
          <w:rFonts w:eastAsia="Calibri" w:hAnsi="Times New Roman"/>
          <w:snapToGrid w:val="0"/>
          <w:color w:val="auto"/>
          <w:kern w:val="22"/>
          <w:bdr w:val="none" w:sz="0" w:space="0" w:color="auto"/>
          <w:lang w:val="en-GB"/>
        </w:rPr>
        <w:t xml:space="preserve"> as additional challenges.</w:t>
      </w:r>
    </w:p>
    <w:p w14:paraId="5DC6EA90" w14:textId="77777777" w:rsidR="00C50381" w:rsidRPr="00746648" w:rsidRDefault="00C50381" w:rsidP="00746648">
      <w:pPr>
        <w:pStyle w:val="ListParagraph"/>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before="240" w:after="120"/>
        <w:ind w:left="-90" w:firstLine="0"/>
        <w:jc w:val="center"/>
        <w:rPr>
          <w:rFonts w:eastAsia="Calibri" w:hAnsi="Times New Roman" w:cs="Times New Roman"/>
          <w:i/>
          <w:snapToGrid w:val="0"/>
          <w:color w:val="auto"/>
          <w:kern w:val="22"/>
          <w:bdr w:val="none" w:sz="0" w:space="0" w:color="auto"/>
          <w:lang w:val="en-GB"/>
        </w:rPr>
      </w:pPr>
      <w:r w:rsidRPr="00746648">
        <w:rPr>
          <w:rFonts w:eastAsia="Calibri" w:hAnsi="Times New Roman" w:cs="Times New Roman"/>
          <w:i/>
          <w:snapToGrid w:val="0"/>
          <w:color w:val="auto"/>
          <w:kern w:val="22"/>
          <w:bdr w:val="none" w:sz="0" w:space="0" w:color="auto"/>
          <w:lang w:val="en-GB"/>
        </w:rPr>
        <w:t>Any other relevant information (question 64)</w:t>
      </w:r>
    </w:p>
    <w:p w14:paraId="24B8BB44" w14:textId="622BDBD4" w:rsidR="00C50381" w:rsidRPr="00DF02C5" w:rsidRDefault="00C50381"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Twenty</w:t>
      </w:r>
      <w:r w:rsidR="007149F2" w:rsidRPr="00DF02C5">
        <w:rPr>
          <w:rFonts w:eastAsia="Calibri" w:hAnsi="Times New Roman"/>
          <w:snapToGrid w:val="0"/>
          <w:color w:val="auto"/>
          <w:kern w:val="22"/>
          <w:bdr w:val="none" w:sz="0" w:space="0" w:color="auto"/>
          <w:lang w:val="en-GB"/>
        </w:rPr>
        <w:t>-</w:t>
      </w:r>
      <w:r w:rsidRPr="00DF02C5">
        <w:rPr>
          <w:rFonts w:eastAsia="Calibri" w:hAnsi="Times New Roman"/>
          <w:snapToGrid w:val="0"/>
          <w:color w:val="auto"/>
          <w:kern w:val="22"/>
          <w:bdr w:val="none" w:sz="0" w:space="0" w:color="auto"/>
          <w:lang w:val="en-GB"/>
        </w:rPr>
        <w:t>three countries answer</w:t>
      </w:r>
      <w:r w:rsidR="00FA7534" w:rsidRPr="00DF02C5">
        <w:rPr>
          <w:rFonts w:eastAsia="Calibri" w:hAnsi="Times New Roman"/>
          <w:snapToGrid w:val="0"/>
          <w:color w:val="auto"/>
          <w:kern w:val="22"/>
          <w:bdr w:val="none" w:sz="0" w:space="0" w:color="auto"/>
          <w:lang w:val="en-GB"/>
        </w:rPr>
        <w:t>ed</w:t>
      </w:r>
      <w:r w:rsidRPr="00DF02C5">
        <w:rPr>
          <w:rFonts w:eastAsia="Calibri" w:hAnsi="Times New Roman"/>
          <w:snapToGrid w:val="0"/>
          <w:color w:val="auto"/>
          <w:kern w:val="22"/>
          <w:bdr w:val="none" w:sz="0" w:space="0" w:color="auto"/>
          <w:lang w:val="en-GB"/>
        </w:rPr>
        <w:t xml:space="preserve"> this question and address</w:t>
      </w:r>
      <w:r w:rsidR="00D77961">
        <w:rPr>
          <w:rFonts w:eastAsia="Calibri" w:hAnsi="Times New Roman"/>
          <w:snapToGrid w:val="0"/>
          <w:color w:val="auto"/>
          <w:kern w:val="22"/>
          <w:bdr w:val="none" w:sz="0" w:space="0" w:color="auto"/>
          <w:lang w:val="en-GB"/>
        </w:rPr>
        <w:t>ed</w:t>
      </w:r>
      <w:r w:rsidRPr="00DF02C5">
        <w:rPr>
          <w:rFonts w:eastAsia="Calibri" w:hAnsi="Times New Roman"/>
          <w:snapToGrid w:val="0"/>
          <w:color w:val="auto"/>
          <w:kern w:val="22"/>
          <w:bdr w:val="none" w:sz="0" w:space="0" w:color="auto"/>
          <w:lang w:val="en-GB"/>
        </w:rPr>
        <w:t xml:space="preserve"> a variety of topics. </w:t>
      </w:r>
    </w:p>
    <w:p w14:paraId="5DF4D9B2" w14:textId="4906AEC8" w:rsidR="00C50381" w:rsidRPr="00DF02C5" w:rsidRDefault="00C50381"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lastRenderedPageBreak/>
        <w:t xml:space="preserve">Many countries mentioned challenges </w:t>
      </w:r>
      <w:r w:rsidR="00E772BF" w:rsidRPr="00DF02C5">
        <w:rPr>
          <w:rFonts w:eastAsia="Calibri" w:hAnsi="Times New Roman"/>
          <w:snapToGrid w:val="0"/>
          <w:color w:val="auto"/>
          <w:kern w:val="22"/>
          <w:bdr w:val="none" w:sz="0" w:space="0" w:color="auto"/>
          <w:lang w:val="en-GB"/>
        </w:rPr>
        <w:t xml:space="preserve">to advance the </w:t>
      </w:r>
      <w:r w:rsidRPr="00DF02C5">
        <w:rPr>
          <w:rFonts w:eastAsia="Calibri" w:hAnsi="Times New Roman"/>
          <w:snapToGrid w:val="0"/>
          <w:color w:val="auto"/>
          <w:kern w:val="22"/>
          <w:bdr w:val="none" w:sz="0" w:space="0" w:color="auto"/>
          <w:lang w:val="en-GB"/>
        </w:rPr>
        <w:t>implementation of the Nagoya Protocol, including the need for additional training and capacity-building to understand ABS and the Nagoya Protocol, increase negotiation skills and use of the ABS Clearing-House. Other countries mentioned the need for financial and human resources.</w:t>
      </w:r>
      <w:r w:rsidR="003F323A" w:rsidRPr="00DF02C5">
        <w:rPr>
          <w:rStyle w:val="FootnoteReference"/>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 xml:space="preserve">One country mentioned </w:t>
      </w:r>
      <w:r w:rsidR="00E772BF" w:rsidRPr="00DF02C5">
        <w:rPr>
          <w:rFonts w:eastAsia="Calibri" w:hAnsi="Times New Roman"/>
          <w:snapToGrid w:val="0"/>
          <w:color w:val="auto"/>
          <w:kern w:val="22"/>
          <w:bdr w:val="none" w:sz="0" w:space="0" w:color="auto"/>
          <w:lang w:val="en-GB"/>
        </w:rPr>
        <w:t xml:space="preserve">that sometimes </w:t>
      </w:r>
      <w:r w:rsidRPr="00DF02C5">
        <w:rPr>
          <w:rFonts w:eastAsia="Calibri" w:hAnsi="Times New Roman"/>
          <w:snapToGrid w:val="0"/>
          <w:color w:val="auto"/>
          <w:kern w:val="22"/>
          <w:bdr w:val="none" w:sz="0" w:space="0" w:color="auto"/>
          <w:lang w:val="en-GB"/>
        </w:rPr>
        <w:t>users cannot obtain accurate and timely i</w:t>
      </w:r>
      <w:r w:rsidR="00E772BF" w:rsidRPr="00DF02C5">
        <w:rPr>
          <w:rFonts w:eastAsia="Calibri" w:hAnsi="Times New Roman"/>
          <w:snapToGrid w:val="0"/>
          <w:color w:val="auto"/>
          <w:kern w:val="22"/>
          <w:bdr w:val="none" w:sz="0" w:space="0" w:color="auto"/>
          <w:lang w:val="en-GB"/>
        </w:rPr>
        <w:t xml:space="preserve">nformation or cannot reach </w:t>
      </w:r>
      <w:r w:rsidR="006B77B3" w:rsidRPr="00DF02C5">
        <w:rPr>
          <w:rFonts w:eastAsia="Calibri" w:hAnsi="Times New Roman"/>
          <w:snapToGrid w:val="0"/>
          <w:color w:val="auto"/>
          <w:kern w:val="22"/>
          <w:bdr w:val="none" w:sz="0" w:space="0" w:color="auto"/>
          <w:lang w:val="en-GB"/>
        </w:rPr>
        <w:t>the national focal point.</w:t>
      </w:r>
    </w:p>
    <w:p w14:paraId="7A3FC757" w14:textId="2464FE3E" w:rsidR="008A0A7F" w:rsidRPr="00DF02C5" w:rsidRDefault="00C50381"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Several other cou</w:t>
      </w:r>
      <w:r w:rsidR="00E772BF" w:rsidRPr="00DF02C5">
        <w:rPr>
          <w:rFonts w:eastAsia="Calibri" w:hAnsi="Times New Roman"/>
          <w:snapToGrid w:val="0"/>
          <w:color w:val="auto"/>
          <w:kern w:val="22"/>
          <w:bdr w:val="none" w:sz="0" w:space="0" w:color="auto"/>
          <w:lang w:val="en-GB"/>
        </w:rPr>
        <w:t>ntries reported on achievements and s</w:t>
      </w:r>
      <w:r w:rsidRPr="00DF02C5">
        <w:rPr>
          <w:rFonts w:eastAsia="Calibri" w:hAnsi="Times New Roman"/>
          <w:snapToGrid w:val="0"/>
          <w:color w:val="auto"/>
          <w:kern w:val="22"/>
          <w:bdr w:val="none" w:sz="0" w:space="0" w:color="auto"/>
          <w:lang w:val="en-GB"/>
        </w:rPr>
        <w:t>ome countries provided information on the process to prepare the interim national report</w:t>
      </w:r>
      <w:r w:rsidR="00E772BF" w:rsidRPr="00DF02C5">
        <w:rPr>
          <w:rFonts w:eastAsia="Calibri" w:hAnsi="Times New Roman"/>
          <w:snapToGrid w:val="0"/>
          <w:color w:val="auto"/>
          <w:kern w:val="22"/>
          <w:bdr w:val="none" w:sz="0" w:space="0" w:color="auto"/>
          <w:lang w:val="en-GB"/>
        </w:rPr>
        <w:t xml:space="preserve">. </w:t>
      </w:r>
      <w:r w:rsidRPr="00DF02C5">
        <w:rPr>
          <w:rFonts w:eastAsia="Calibri" w:hAnsi="Times New Roman"/>
          <w:snapToGrid w:val="0"/>
          <w:color w:val="auto"/>
          <w:kern w:val="22"/>
          <w:bdr w:val="none" w:sz="0" w:space="0" w:color="auto"/>
          <w:lang w:val="en-GB"/>
        </w:rPr>
        <w:t xml:space="preserve">Lastly, </w:t>
      </w:r>
      <w:r w:rsidR="00E772BF" w:rsidRPr="00DF02C5">
        <w:rPr>
          <w:rFonts w:eastAsia="Calibri" w:hAnsi="Times New Roman"/>
          <w:snapToGrid w:val="0"/>
          <w:color w:val="auto"/>
          <w:kern w:val="22"/>
          <w:bdr w:val="none" w:sz="0" w:space="0" w:color="auto"/>
          <w:lang w:val="en-GB"/>
        </w:rPr>
        <w:t xml:space="preserve">some </w:t>
      </w:r>
      <w:r w:rsidRPr="00DF02C5">
        <w:rPr>
          <w:rFonts w:eastAsia="Calibri" w:hAnsi="Times New Roman"/>
          <w:snapToGrid w:val="0"/>
          <w:color w:val="auto"/>
          <w:kern w:val="22"/>
          <w:bdr w:val="none" w:sz="0" w:space="0" w:color="auto"/>
          <w:lang w:val="en-GB"/>
        </w:rPr>
        <w:t>countries mentioned their plans to move forward in the implementation of the Protocol.</w:t>
      </w:r>
    </w:p>
    <w:p w14:paraId="4A374E7A" w14:textId="411C17A1" w:rsidR="00C50381" w:rsidRPr="00DF02C5" w:rsidRDefault="00C50381" w:rsidP="003500AA">
      <w:pPr>
        <w:pStyle w:val="Heading2"/>
        <w:numPr>
          <w:ilvl w:val="0"/>
          <w:numId w:val="43"/>
        </w:numPr>
        <w:spacing w:before="240"/>
        <w:rPr>
          <w:rFonts w:eastAsia="Calibri"/>
          <w:snapToGrid w:val="0"/>
          <w:bdr w:val="none" w:sz="0" w:space="0" w:color="auto"/>
          <w:lang w:val="en-GB"/>
        </w:rPr>
      </w:pPr>
      <w:bookmarkStart w:id="20" w:name="_Toc511112616"/>
      <w:r w:rsidRPr="00DF02C5">
        <w:rPr>
          <w:rFonts w:eastAsia="Calibri"/>
          <w:snapToGrid w:val="0"/>
          <w:bdr w:val="none" w:sz="0" w:space="0" w:color="auto"/>
          <w:lang w:val="en-GB"/>
        </w:rPr>
        <w:t>Comments on the reporting format</w:t>
      </w:r>
      <w:r w:rsidR="00E772BF" w:rsidRPr="00DF02C5">
        <w:rPr>
          <w:rFonts w:eastAsia="Calibri"/>
          <w:snapToGrid w:val="0"/>
          <w:bdr w:val="none" w:sz="0" w:space="0" w:color="auto"/>
          <w:lang w:val="en-GB"/>
        </w:rPr>
        <w:t xml:space="preserve"> (question 66)</w:t>
      </w:r>
      <w:bookmarkEnd w:id="20"/>
    </w:p>
    <w:p w14:paraId="322AC5BA" w14:textId="6DDBC0E5" w:rsidR="00E772BF" w:rsidRPr="00DF02C5" w:rsidRDefault="00C50381"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Thirty</w:t>
      </w:r>
      <w:r w:rsidR="007149F2" w:rsidRPr="00DF02C5">
        <w:rPr>
          <w:rFonts w:eastAsia="Calibri" w:hAnsi="Times New Roman"/>
          <w:snapToGrid w:val="0"/>
          <w:color w:val="auto"/>
          <w:kern w:val="22"/>
          <w:bdr w:val="none" w:sz="0" w:space="0" w:color="auto"/>
          <w:lang w:val="en-GB"/>
        </w:rPr>
        <w:t>-</w:t>
      </w:r>
      <w:r w:rsidRPr="00DF02C5">
        <w:rPr>
          <w:rFonts w:eastAsia="Calibri" w:hAnsi="Times New Roman"/>
          <w:snapToGrid w:val="0"/>
          <w:color w:val="auto"/>
          <w:kern w:val="22"/>
          <w:bdr w:val="none" w:sz="0" w:space="0" w:color="auto"/>
          <w:lang w:val="en-GB"/>
        </w:rPr>
        <w:t>four countries answer</w:t>
      </w:r>
      <w:r w:rsidR="003F323A" w:rsidRPr="00DF02C5">
        <w:rPr>
          <w:rFonts w:eastAsia="Calibri" w:hAnsi="Times New Roman"/>
          <w:snapToGrid w:val="0"/>
          <w:color w:val="auto"/>
          <w:kern w:val="22"/>
          <w:bdr w:val="none" w:sz="0" w:space="0" w:color="auto"/>
          <w:lang w:val="en-GB"/>
        </w:rPr>
        <w:t>ed</w:t>
      </w:r>
      <w:r w:rsidRPr="00DF02C5">
        <w:rPr>
          <w:rFonts w:eastAsia="Calibri" w:hAnsi="Times New Roman"/>
          <w:snapToGrid w:val="0"/>
          <w:color w:val="auto"/>
          <w:kern w:val="22"/>
          <w:bdr w:val="none" w:sz="0" w:space="0" w:color="auto"/>
          <w:lang w:val="en-GB"/>
        </w:rPr>
        <w:t xml:space="preserve"> this question. Fourteen countries reported not having experienced difficulties with the format, or indicated that </w:t>
      </w:r>
      <w:r w:rsidR="00FD7C9A" w:rsidRPr="00DF02C5">
        <w:rPr>
          <w:rFonts w:eastAsia="Calibri" w:hAnsi="Times New Roman"/>
          <w:snapToGrid w:val="0"/>
          <w:color w:val="auto"/>
          <w:kern w:val="22"/>
          <w:bdr w:val="none" w:sz="0" w:space="0" w:color="auto"/>
          <w:lang w:val="en-GB"/>
        </w:rPr>
        <w:t xml:space="preserve">it </w:t>
      </w:r>
      <w:r w:rsidRPr="00DF02C5">
        <w:rPr>
          <w:rFonts w:eastAsia="Calibri" w:hAnsi="Times New Roman"/>
          <w:snapToGrid w:val="0"/>
          <w:color w:val="auto"/>
          <w:kern w:val="22"/>
          <w:bdr w:val="none" w:sz="0" w:space="0" w:color="auto"/>
          <w:lang w:val="en-GB"/>
        </w:rPr>
        <w:t xml:space="preserve">was clear or easy to understand. </w:t>
      </w:r>
    </w:p>
    <w:p w14:paraId="63956A5A" w14:textId="33AFDB8E" w:rsidR="00C50381" w:rsidRPr="00DF02C5" w:rsidRDefault="00C50381"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One country indicated that the questionnaire was useful as a checklist for development of guidelines and for capacity building</w:t>
      </w:r>
      <w:r w:rsidR="00E772BF" w:rsidRPr="00DF02C5">
        <w:rPr>
          <w:rFonts w:eastAsia="Calibri" w:hAnsi="Times New Roman"/>
          <w:snapToGrid w:val="0"/>
          <w:color w:val="auto"/>
          <w:kern w:val="22"/>
          <w:bdr w:val="none" w:sz="0" w:space="0" w:color="auto"/>
          <w:lang w:val="en-GB"/>
        </w:rPr>
        <w:t>.</w:t>
      </w:r>
      <w:r w:rsidRPr="00DF02C5">
        <w:rPr>
          <w:rFonts w:eastAsia="Calibri" w:hAnsi="Times New Roman"/>
          <w:snapToGrid w:val="0"/>
          <w:color w:val="auto"/>
          <w:kern w:val="22"/>
          <w:bdr w:val="none" w:sz="0" w:space="0" w:color="auto"/>
          <w:lang w:val="en-GB"/>
        </w:rPr>
        <w:t xml:space="preserve"> One country was of the view that the format was too elaborate and that it was difficult to provide challenges and difficulties for all the sections.</w:t>
      </w:r>
    </w:p>
    <w:p w14:paraId="0224D7C8" w14:textId="7A5F9481" w:rsidR="00C50381" w:rsidRPr="00D77961" w:rsidRDefault="00D77961" w:rsidP="00D77961">
      <w:pPr>
        <w:pStyle w:val="ListParagraph"/>
        <w:numPr>
          <w:ilvl w:val="0"/>
          <w:numId w:val="93"/>
        </w:numPr>
        <w:rPr>
          <w:rFonts w:eastAsia="Calibri" w:hAnsi="Times New Roman" w:cs="Times New Roman"/>
          <w:snapToGrid w:val="0"/>
          <w:color w:val="auto"/>
          <w:kern w:val="22"/>
          <w:bdr w:val="none" w:sz="0" w:space="0" w:color="auto"/>
          <w:lang w:val="en-GB"/>
        </w:rPr>
      </w:pPr>
      <w:r w:rsidRPr="00D77961">
        <w:rPr>
          <w:rFonts w:eastAsia="Calibri" w:hAnsi="Times New Roman" w:cs="Times New Roman"/>
          <w:snapToGrid w:val="0"/>
          <w:color w:val="auto"/>
          <w:kern w:val="22"/>
          <w:bdr w:val="none" w:sz="0" w:space="0" w:color="auto"/>
          <w:lang w:val="en-GB"/>
        </w:rPr>
        <w:t>Some countries provided suggestions to improve the reporting format and these will be taken into account by the Secretariat.</w:t>
      </w:r>
      <w:r>
        <w:rPr>
          <w:rFonts w:eastAsia="Calibri" w:hAnsi="Times New Roman" w:cs="Times New Roman"/>
          <w:snapToGrid w:val="0"/>
          <w:color w:val="auto"/>
          <w:kern w:val="22"/>
          <w:bdr w:val="none" w:sz="0" w:space="0" w:color="auto"/>
          <w:lang w:val="en-GB"/>
        </w:rPr>
        <w:t xml:space="preserve"> </w:t>
      </w:r>
      <w:r>
        <w:rPr>
          <w:rFonts w:eastAsia="Calibri" w:hAnsi="Times New Roman"/>
          <w:snapToGrid w:val="0"/>
          <w:color w:val="auto"/>
          <w:kern w:val="22"/>
          <w:bdr w:val="none" w:sz="0" w:space="0" w:color="auto"/>
          <w:lang w:val="en-GB"/>
        </w:rPr>
        <w:t xml:space="preserve">Some countries identified the questions they considered to be repetitive (e.g.  </w:t>
      </w:r>
      <w:r w:rsidR="00045AED">
        <w:rPr>
          <w:rFonts w:eastAsia="Calibri" w:hAnsi="Times New Roman"/>
          <w:snapToGrid w:val="0"/>
          <w:color w:val="auto"/>
          <w:kern w:val="22"/>
          <w:bdr w:val="none" w:sz="0" w:space="0" w:color="auto"/>
          <w:lang w:val="en-GB"/>
        </w:rPr>
        <w:t>Questions</w:t>
      </w:r>
      <w:r>
        <w:rPr>
          <w:rFonts w:eastAsia="Calibri" w:hAnsi="Times New Roman"/>
          <w:snapToGrid w:val="0"/>
          <w:color w:val="auto"/>
          <w:kern w:val="22"/>
          <w:bdr w:val="none" w:sz="0" w:space="0" w:color="auto"/>
          <w:lang w:val="en-GB"/>
        </w:rPr>
        <w:t xml:space="preserve"> 7, 8 and 16) and others</w:t>
      </w:r>
      <w:r w:rsidR="00E772BF" w:rsidRPr="00D77961">
        <w:rPr>
          <w:rFonts w:eastAsia="Calibri" w:hAnsi="Times New Roman"/>
          <w:snapToGrid w:val="0"/>
          <w:color w:val="auto"/>
          <w:kern w:val="22"/>
          <w:bdr w:val="none" w:sz="0" w:space="0" w:color="auto"/>
          <w:lang w:val="en-GB"/>
        </w:rPr>
        <w:t xml:space="preserve"> pointed out to questions that in their view were not </w:t>
      </w:r>
      <w:r w:rsidRPr="00D77961">
        <w:rPr>
          <w:rFonts w:eastAsia="Calibri" w:hAnsi="Times New Roman"/>
          <w:snapToGrid w:val="0"/>
          <w:color w:val="auto"/>
          <w:kern w:val="22"/>
          <w:bdr w:val="none" w:sz="0" w:space="0" w:color="auto"/>
          <w:lang w:val="en-GB"/>
        </w:rPr>
        <w:t>sufficiently clear</w:t>
      </w:r>
      <w:r>
        <w:rPr>
          <w:rFonts w:eastAsia="Calibri" w:hAnsi="Times New Roman"/>
          <w:snapToGrid w:val="0"/>
          <w:color w:val="auto"/>
          <w:kern w:val="22"/>
          <w:bdr w:val="none" w:sz="0" w:space="0" w:color="auto"/>
          <w:lang w:val="en-GB"/>
        </w:rPr>
        <w:t xml:space="preserve"> or that could be improved (e.g</w:t>
      </w:r>
      <w:r w:rsidR="008442A7">
        <w:rPr>
          <w:rFonts w:eastAsia="Calibri" w:hAnsi="Times New Roman"/>
          <w:snapToGrid w:val="0"/>
          <w:color w:val="auto"/>
          <w:kern w:val="22"/>
          <w:bdr w:val="none" w:sz="0" w:space="0" w:color="auto"/>
          <w:lang w:val="en-GB"/>
        </w:rPr>
        <w:t>.</w:t>
      </w:r>
      <w:r>
        <w:rPr>
          <w:rFonts w:eastAsia="Calibri" w:hAnsi="Times New Roman"/>
          <w:snapToGrid w:val="0"/>
          <w:color w:val="auto"/>
          <w:kern w:val="22"/>
          <w:bdr w:val="none" w:sz="0" w:space="0" w:color="auto"/>
          <w:lang w:val="en-GB"/>
        </w:rPr>
        <w:t xml:space="preserve"> question 3)</w:t>
      </w:r>
      <w:r w:rsidRPr="00D77961">
        <w:rPr>
          <w:rFonts w:eastAsia="Calibri" w:hAnsi="Times New Roman"/>
          <w:snapToGrid w:val="0"/>
          <w:color w:val="auto"/>
          <w:kern w:val="22"/>
          <w:bdr w:val="none" w:sz="0" w:space="0" w:color="auto"/>
          <w:lang w:val="en-GB"/>
        </w:rPr>
        <w:t>.</w:t>
      </w:r>
    </w:p>
    <w:p w14:paraId="5A76D0DF" w14:textId="155BC572" w:rsidR="00C50381" w:rsidRDefault="00C50381" w:rsidP="00CB6ACA">
      <w:pPr>
        <w:pStyle w:val="Para1"/>
        <w:numPr>
          <w:ilvl w:val="0"/>
          <w:numId w:val="93"/>
        </w:numPr>
        <w:rPr>
          <w:rFonts w:eastAsia="Calibri" w:hAnsi="Times New Roman"/>
          <w:snapToGrid w:val="0"/>
          <w:color w:val="auto"/>
          <w:kern w:val="22"/>
          <w:bdr w:val="none" w:sz="0" w:space="0" w:color="auto"/>
          <w:lang w:val="en-GB"/>
        </w:rPr>
      </w:pPr>
      <w:r w:rsidRPr="00DF02C5">
        <w:rPr>
          <w:rFonts w:eastAsia="Calibri" w:hAnsi="Times New Roman"/>
          <w:snapToGrid w:val="0"/>
          <w:color w:val="auto"/>
          <w:kern w:val="22"/>
          <w:bdr w:val="none" w:sz="0" w:space="0" w:color="auto"/>
          <w:lang w:val="en-GB"/>
        </w:rPr>
        <w:t>Some countries identified technical issues related to the online submission of the interim national report, such as to in</w:t>
      </w:r>
      <w:r w:rsidR="00417F4C" w:rsidRPr="00DF02C5">
        <w:rPr>
          <w:rFonts w:eastAsia="Calibri" w:hAnsi="Times New Roman"/>
          <w:snapToGrid w:val="0"/>
          <w:color w:val="auto"/>
          <w:kern w:val="22"/>
          <w:bdr w:val="none" w:sz="0" w:space="0" w:color="auto"/>
          <w:lang w:val="en-GB"/>
        </w:rPr>
        <w:t xml:space="preserve">clude </w:t>
      </w:r>
      <w:r w:rsidR="00D77961">
        <w:rPr>
          <w:rFonts w:eastAsia="Calibri" w:hAnsi="Times New Roman"/>
          <w:snapToGrid w:val="0"/>
          <w:color w:val="auto"/>
          <w:kern w:val="22"/>
          <w:bdr w:val="none" w:sz="0" w:space="0" w:color="auto"/>
          <w:lang w:val="en-GB"/>
        </w:rPr>
        <w:t xml:space="preserve">functions for </w:t>
      </w:r>
      <w:r w:rsidR="00417F4C" w:rsidRPr="00DF02C5">
        <w:rPr>
          <w:rFonts w:eastAsia="Calibri" w:hAnsi="Times New Roman"/>
          <w:snapToGrid w:val="0"/>
          <w:color w:val="auto"/>
          <w:kern w:val="22"/>
          <w:bdr w:val="none" w:sz="0" w:space="0" w:color="auto"/>
          <w:lang w:val="en-GB"/>
        </w:rPr>
        <w:t>automatic saving of draft</w:t>
      </w:r>
      <w:r w:rsidR="00D77961">
        <w:rPr>
          <w:rFonts w:eastAsia="Calibri" w:hAnsi="Times New Roman"/>
          <w:snapToGrid w:val="0"/>
          <w:color w:val="auto"/>
          <w:kern w:val="22"/>
          <w:bdr w:val="none" w:sz="0" w:space="0" w:color="auto"/>
          <w:lang w:val="en-GB"/>
        </w:rPr>
        <w:t>s</w:t>
      </w:r>
      <w:r w:rsidR="00417F4C" w:rsidRPr="00DF02C5">
        <w:rPr>
          <w:rFonts w:eastAsia="Calibri" w:hAnsi="Times New Roman"/>
          <w:snapToGrid w:val="0"/>
          <w:color w:val="auto"/>
          <w:kern w:val="22"/>
          <w:bdr w:val="none" w:sz="0" w:space="0" w:color="auto"/>
          <w:lang w:val="en-GB"/>
        </w:rPr>
        <w:t xml:space="preserve"> or to</w:t>
      </w:r>
      <w:r w:rsidRPr="00DF02C5">
        <w:rPr>
          <w:rFonts w:eastAsia="Calibri" w:hAnsi="Times New Roman"/>
          <w:snapToGrid w:val="0"/>
          <w:color w:val="auto"/>
          <w:kern w:val="22"/>
          <w:bdr w:val="none" w:sz="0" w:space="0" w:color="auto"/>
          <w:lang w:val="en-GB"/>
        </w:rPr>
        <w:t xml:space="preserve"> </w:t>
      </w:r>
      <w:r w:rsidR="00D77961">
        <w:rPr>
          <w:rFonts w:eastAsia="Calibri" w:hAnsi="Times New Roman"/>
          <w:snapToGrid w:val="0"/>
          <w:color w:val="auto"/>
          <w:kern w:val="22"/>
          <w:bdr w:val="none" w:sz="0" w:space="0" w:color="auto"/>
          <w:lang w:val="en-GB"/>
        </w:rPr>
        <w:t xml:space="preserve">establish functions to link </w:t>
      </w:r>
      <w:r w:rsidRPr="00DF02C5">
        <w:rPr>
          <w:rFonts w:eastAsia="Calibri" w:hAnsi="Times New Roman"/>
          <w:snapToGrid w:val="0"/>
          <w:color w:val="auto"/>
          <w:kern w:val="22"/>
          <w:bdr w:val="none" w:sz="0" w:space="0" w:color="auto"/>
          <w:lang w:val="en-GB"/>
        </w:rPr>
        <w:t>existing reference records or contacts</w:t>
      </w:r>
      <w:r w:rsidR="00417F4C" w:rsidRPr="00DF02C5">
        <w:rPr>
          <w:rFonts w:eastAsia="Calibri" w:hAnsi="Times New Roman"/>
          <w:snapToGrid w:val="0"/>
          <w:color w:val="auto"/>
          <w:kern w:val="22"/>
          <w:bdr w:val="none" w:sz="0" w:space="0" w:color="auto"/>
          <w:lang w:val="en-GB"/>
        </w:rPr>
        <w:t>.</w:t>
      </w:r>
    </w:p>
    <w:p w14:paraId="7CB274DC" w14:textId="507486CF" w:rsidR="00746648" w:rsidRPr="00DF02C5" w:rsidRDefault="00746648" w:rsidP="00746648">
      <w:pPr>
        <w:pStyle w:val="Para1"/>
        <w:jc w:val="center"/>
        <w:rPr>
          <w:rFonts w:eastAsia="Calibri" w:hAnsi="Times New Roman"/>
          <w:snapToGrid w:val="0"/>
          <w:color w:val="auto"/>
          <w:kern w:val="22"/>
          <w:bdr w:val="none" w:sz="0" w:space="0" w:color="auto"/>
          <w:lang w:val="en-GB"/>
        </w:rPr>
      </w:pPr>
      <w:r>
        <w:rPr>
          <w:rFonts w:eastAsia="Calibri" w:hAnsi="Times New Roman"/>
          <w:snapToGrid w:val="0"/>
          <w:color w:val="auto"/>
          <w:kern w:val="22"/>
          <w:bdr w:val="none" w:sz="0" w:space="0" w:color="auto"/>
          <w:lang w:val="en-GB"/>
        </w:rPr>
        <w:t>__________</w:t>
      </w:r>
    </w:p>
    <w:sectPr w:rsidR="00746648" w:rsidRPr="00DF02C5" w:rsidSect="00D93893">
      <w:headerReference w:type="even" r:id="rId72"/>
      <w:headerReference w:type="default" r:id="rId73"/>
      <w:footerReference w:type="even" r:id="rId74"/>
      <w:footerReference w:type="default" r:id="rId75"/>
      <w:footerReference w:type="first" r:id="rId76"/>
      <w:type w:val="continuous"/>
      <w:pgSz w:w="12240" w:h="15840"/>
      <w:pgMar w:top="567" w:right="1440" w:bottom="1134" w:left="1440" w:header="461"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F1DDB4" w14:textId="77777777" w:rsidR="005D4302" w:rsidRDefault="005D4302">
      <w:r>
        <w:separator/>
      </w:r>
    </w:p>
  </w:endnote>
  <w:endnote w:type="continuationSeparator" w:id="0">
    <w:p w14:paraId="6611B613" w14:textId="77777777" w:rsidR="005D4302" w:rsidRDefault="005D4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amp;quot">
    <w:altName w:val="Times New Roman"/>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D0DA1" w14:textId="77777777" w:rsidR="005D4302" w:rsidRPr="00A97E97" w:rsidRDefault="005D4302" w:rsidP="000F5F7A">
    <w:pPr>
      <w:pStyle w:val="Footer"/>
      <w:tabs>
        <w:tab w:val="clear" w:pos="4320"/>
        <w:tab w:val="clear" w:pos="8640"/>
      </w:tabs>
      <w:ind w:firstLine="0"/>
      <w:rPr>
        <w:noProof/>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3744F" w14:textId="77777777" w:rsidR="005D4302" w:rsidRDefault="005D4302" w:rsidP="000F5F7A">
    <w:pPr>
      <w:pStyle w:val="Footer"/>
      <w:tabs>
        <w:tab w:val="clear" w:pos="4320"/>
        <w:tab w:val="clear" w:pos="8640"/>
      </w:tabs>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8720C" w14:textId="77777777" w:rsidR="005D4302" w:rsidRPr="00A97E97" w:rsidRDefault="005D4302" w:rsidP="000F5F7A">
    <w:pPr>
      <w:pStyle w:val="Footer"/>
      <w:tabs>
        <w:tab w:val="clear" w:pos="4320"/>
        <w:tab w:val="clear" w:pos="8640"/>
      </w:tabs>
      <w:ind w:firstLine="0"/>
      <w:rPr>
        <w:noProof/>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6D03BB" w14:textId="77777777" w:rsidR="005D4302" w:rsidRDefault="005D4302">
      <w:r>
        <w:separator/>
      </w:r>
    </w:p>
  </w:footnote>
  <w:footnote w:type="continuationSeparator" w:id="0">
    <w:p w14:paraId="30F44FB4" w14:textId="77777777" w:rsidR="005D4302" w:rsidRDefault="005D4302">
      <w:r>
        <w:continuationSeparator/>
      </w:r>
    </w:p>
  </w:footnote>
  <w:footnote w:type="continuationNotice" w:id="1">
    <w:p w14:paraId="219F9020" w14:textId="77777777" w:rsidR="005D4302" w:rsidRDefault="005D4302"/>
  </w:footnote>
  <w:footnote w:id="2">
    <w:p w14:paraId="4CC9EBC5" w14:textId="77777777" w:rsidR="005D4302" w:rsidRPr="00DF02C5" w:rsidRDefault="005D4302" w:rsidP="008C6EB8">
      <w:pPr>
        <w:pStyle w:val="FootnoteText"/>
        <w:ind w:firstLine="0"/>
        <w:jc w:val="left"/>
        <w:rPr>
          <w:noProof/>
          <w:lang w:val="en-GB"/>
        </w:rPr>
      </w:pPr>
      <w:r w:rsidRPr="00DF02C5">
        <w:rPr>
          <w:rStyle w:val="FootnoteReference"/>
          <w:lang w:val="en-GB"/>
        </w:rPr>
        <w:sym w:font="Symbol" w:char="F02A"/>
      </w:r>
      <w:r w:rsidRPr="00DF02C5">
        <w:rPr>
          <w:lang w:val="en-GB"/>
        </w:rPr>
        <w:t xml:space="preserve"> </w:t>
      </w:r>
      <w:r w:rsidRPr="00DF02C5">
        <w:rPr>
          <w:noProof/>
          <w:lang w:val="en-GB"/>
        </w:rPr>
        <w:t>CBD/ABS/CC/2/1.</w:t>
      </w:r>
    </w:p>
  </w:footnote>
  <w:footnote w:id="3">
    <w:p w14:paraId="438ED1C2" w14:textId="5140BFB6" w:rsidR="005D4302" w:rsidRPr="00DF02C5" w:rsidRDefault="005D4302" w:rsidP="008C6EB8">
      <w:pPr>
        <w:pStyle w:val="FootnoteText"/>
        <w:ind w:firstLine="0"/>
        <w:rPr>
          <w:lang w:val="en-GB"/>
        </w:rPr>
      </w:pPr>
      <w:r w:rsidRPr="00B80AF5">
        <w:rPr>
          <w:rStyle w:val="FootnoteReference"/>
          <w:lang w:val="en-GB"/>
        </w:rPr>
        <w:footnoteRef/>
      </w:r>
      <w:r w:rsidRPr="00B80AF5">
        <w:rPr>
          <w:lang w:val="en-GB"/>
        </w:rPr>
        <w:t xml:space="preserve"> This is an advanced unedited version. The final version will be circulated as an information document for the Subsidiary Body on Implementation CBD/SBI/2/INF/3.</w:t>
      </w:r>
    </w:p>
  </w:footnote>
  <w:footnote w:id="4">
    <w:p w14:paraId="0703A6A3" w14:textId="77777777" w:rsidR="005D4302" w:rsidRPr="00DF02C5" w:rsidRDefault="005D4302" w:rsidP="00966889">
      <w:pPr>
        <w:pStyle w:val="FootnoteText"/>
        <w:ind w:firstLine="0"/>
        <w:rPr>
          <w:lang w:val="en-GB"/>
        </w:rPr>
      </w:pPr>
      <w:r w:rsidRPr="00DF02C5">
        <w:rPr>
          <w:rStyle w:val="FootnoteReference"/>
          <w:lang w:val="en-GB"/>
        </w:rPr>
        <w:footnoteRef/>
      </w:r>
      <w:r w:rsidRPr="00DF02C5">
        <w:rPr>
          <w:lang w:val="en-GB"/>
        </w:rPr>
        <w:t xml:space="preserve"> </w:t>
      </w:r>
      <w:r w:rsidRPr="00DF02C5">
        <w:rPr>
          <w:snapToGrid w:val="0"/>
          <w:kern w:val="22"/>
          <w:lang w:val="en-GB"/>
        </w:rPr>
        <w:t>Through notifications 2017-017 of 23 February 2017 and the reminders 2017-076 of 9 August 2017, 2017-102 of 16 October 2017, and 2017-119 of 10 November 2017</w:t>
      </w:r>
    </w:p>
  </w:footnote>
  <w:footnote w:id="5">
    <w:p w14:paraId="4EDCC066" w14:textId="77777777" w:rsidR="005D4302" w:rsidRPr="00DF02C5" w:rsidRDefault="005D4302" w:rsidP="00966889">
      <w:pPr>
        <w:pStyle w:val="FootnoteText"/>
        <w:ind w:firstLine="0"/>
        <w:rPr>
          <w:lang w:val="en-GB"/>
        </w:rPr>
      </w:pPr>
      <w:r w:rsidRPr="00DF02C5">
        <w:rPr>
          <w:rStyle w:val="FootnoteReference"/>
          <w:lang w:val="en-GB"/>
        </w:rPr>
        <w:footnoteRef/>
      </w:r>
      <w:r w:rsidRPr="00DF02C5">
        <w:rPr>
          <w:lang w:val="en-GB"/>
        </w:rPr>
        <w:t xml:space="preserve"> In addition the Secretariat received a report from: Nigeria (however the submission was in a different format from the one agreed at COP-MOP 1) and Philippines (the report was submitted offline and several mandatory questions were not filled). The Secretariat is engaging with these countries to make the information available as soon as possible. </w:t>
      </w:r>
    </w:p>
  </w:footnote>
  <w:footnote w:id="6">
    <w:p w14:paraId="59655376" w14:textId="08288196" w:rsidR="005D4302" w:rsidRPr="00DF02C5" w:rsidRDefault="005D4302" w:rsidP="00AD1BFA">
      <w:pPr>
        <w:pStyle w:val="FootnoteText"/>
        <w:ind w:firstLine="0"/>
        <w:rPr>
          <w:lang w:val="en-GB"/>
        </w:rPr>
      </w:pPr>
      <w:r w:rsidRPr="00DF02C5">
        <w:rPr>
          <w:rStyle w:val="FootnoteReference"/>
          <w:lang w:val="en-GB"/>
        </w:rPr>
        <w:footnoteRef/>
      </w:r>
      <w:r w:rsidRPr="00DF02C5">
        <w:rPr>
          <w:lang w:val="en-GB"/>
        </w:rPr>
        <w:t xml:space="preserve">Kazakhstan </w:t>
      </w:r>
    </w:p>
  </w:footnote>
  <w:footnote w:id="7">
    <w:p w14:paraId="4F780F21" w14:textId="3EF38AC1" w:rsidR="005D4302" w:rsidRPr="00DF02C5" w:rsidRDefault="005D4302" w:rsidP="00AD1BFA">
      <w:pPr>
        <w:pStyle w:val="FootnoteText"/>
        <w:ind w:firstLine="0"/>
        <w:rPr>
          <w:lang w:val="en-GB"/>
        </w:rPr>
      </w:pPr>
      <w:r w:rsidRPr="00DF02C5">
        <w:rPr>
          <w:rStyle w:val="FootnoteReference"/>
          <w:lang w:val="en-GB"/>
        </w:rPr>
        <w:footnoteRef/>
      </w:r>
      <w:r w:rsidRPr="00DF02C5">
        <w:rPr>
          <w:lang w:val="en-GB"/>
        </w:rPr>
        <w:t xml:space="preserve"> For the purpose of this document the term “Parties” includes those who had ratified the Nagoya Protocol by 22 February but for whom the Protocol has not yet entered into force following the 90-day period set out in Article 33.2 of the Protocol.</w:t>
      </w:r>
    </w:p>
  </w:footnote>
  <w:footnote w:id="8">
    <w:p w14:paraId="5A6C419B" w14:textId="77777777" w:rsidR="005D4302" w:rsidRPr="00DF02C5" w:rsidRDefault="005D4302" w:rsidP="00E266DE">
      <w:pPr>
        <w:pStyle w:val="FootnoteText"/>
        <w:ind w:firstLine="0"/>
        <w:rPr>
          <w:lang w:val="en-GB"/>
        </w:rPr>
      </w:pPr>
      <w:r w:rsidRPr="00DF02C5">
        <w:rPr>
          <w:rStyle w:val="FootnoteReference"/>
          <w:lang w:val="en-GB"/>
        </w:rPr>
        <w:footnoteRef/>
      </w:r>
      <w:r w:rsidRPr="00DF02C5">
        <w:rPr>
          <w:lang w:val="en-GB"/>
        </w:rPr>
        <w:t xml:space="preserve"> For ease of reference during the analysis the European Union and its Member States is considered included under the term “countries</w:t>
      </w:r>
      <w:r w:rsidRPr="00DF02C5">
        <w:rPr>
          <w:snapToGrid w:val="0"/>
          <w:color w:val="auto"/>
          <w:kern w:val="22"/>
          <w:lang w:val="en-GB"/>
        </w:rPr>
        <w:t>”</w:t>
      </w:r>
    </w:p>
  </w:footnote>
  <w:footnote w:id="9">
    <w:p w14:paraId="682A47CF" w14:textId="77777777" w:rsidR="005D4302" w:rsidRPr="00DF02C5" w:rsidRDefault="005D4302" w:rsidP="00710BF0">
      <w:pPr>
        <w:pStyle w:val="FootnoteText"/>
        <w:ind w:firstLine="0"/>
        <w:rPr>
          <w:lang w:val="en-GB"/>
        </w:rPr>
      </w:pPr>
      <w:r w:rsidRPr="00DF02C5">
        <w:rPr>
          <w:rStyle w:val="FootnoteReference"/>
          <w:lang w:val="en-GB"/>
        </w:rPr>
        <w:footnoteRef/>
      </w:r>
      <w:r w:rsidRPr="00DF02C5">
        <w:rPr>
          <w:lang w:val="en-GB"/>
        </w:rPr>
        <w:t xml:space="preserve"> </w:t>
      </w:r>
      <w:r w:rsidRPr="00DF02C5">
        <w:rPr>
          <w:snapToGrid w:val="0"/>
          <w:color w:val="auto"/>
          <w:kern w:val="22"/>
          <w:lang w:val="en-GB"/>
        </w:rPr>
        <w:t>The publication of national databases, national focal points, the interim national report, reference records or regional measures displayed in the country profile were not considered for the purposes of this overview.</w:t>
      </w:r>
    </w:p>
  </w:footnote>
  <w:footnote w:id="10">
    <w:p w14:paraId="3DBFCC60" w14:textId="77777777" w:rsidR="005D4302" w:rsidRPr="00DF02C5" w:rsidRDefault="005D4302" w:rsidP="00F937B9">
      <w:pPr>
        <w:pStyle w:val="FootnoteText"/>
        <w:ind w:firstLine="0"/>
        <w:rPr>
          <w:lang w:val="en-GB"/>
        </w:rPr>
      </w:pPr>
      <w:r w:rsidRPr="00DF02C5">
        <w:rPr>
          <w:rStyle w:val="FootnoteReference"/>
          <w:lang w:val="en-GB"/>
        </w:rPr>
        <w:footnoteRef/>
      </w:r>
      <w:r w:rsidRPr="00DF02C5">
        <w:rPr>
          <w:lang w:val="en-GB"/>
        </w:rPr>
        <w:t xml:space="preserve"> Some of these Parties </w:t>
      </w:r>
      <w:r w:rsidRPr="00DF02C5">
        <w:rPr>
          <w:rFonts w:eastAsia="SimSun"/>
          <w:kern w:val="22"/>
          <w:lang w:val="en-GB"/>
        </w:rPr>
        <w:t>have published some information in the ABS Clearing-House and also indicated that they have information available that has not yet been published.</w:t>
      </w:r>
    </w:p>
  </w:footnote>
  <w:footnote w:id="11">
    <w:p w14:paraId="710B9D7B" w14:textId="45B80CDC"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Denmark, European Union, Finland, Germany, Hungary, Japan, Malta, Mozambique, Netherlands, Portugal, Slovakia, South Africa, Sweden, Switzerland, United Kingdom of Great Britain and Northern Ireland, Viet Nam</w:t>
      </w:r>
    </w:p>
  </w:footnote>
  <w:footnote w:id="12">
    <w:p w14:paraId="65A5702B" w14:textId="57470791"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Antigua and Barbuda, Argentina, Bhutan, Bulgaria, Burkina Faso, Burundi, Cameroon, China, Comoros, Côte d’Ivoire , Cuba, Czech Republic, Dominican Republic, Egypt, ,Ethiopia, France, Guyana, Honduras, India, Indonesia, Jordan, Kenya, Kyrgyzstan, Lao People's Democratic Republic, Madagascar, Malawi, Mauritania, Mexico, Mongolia, Norway, Pakistan, Panama, Peru, Philippines, Republic of Moldova, Sao Tome and Principe, Senegal, Seychelles, Spain, United Arab Emirates, Uruguay,</w:t>
      </w:r>
      <w:r w:rsidRPr="00DF02C5">
        <w:rPr>
          <w:snapToGrid w:val="0"/>
          <w:kern w:val="22"/>
          <w:lang w:val="en-GB"/>
        </w:rPr>
        <w:t xml:space="preserve"> Zimbabwe</w:t>
      </w:r>
    </w:p>
  </w:footnote>
  <w:footnote w:id="13">
    <w:p w14:paraId="16CD1563" w14:textId="2CC0AF90"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Belgium, Benin, Democratic Republic of the Congo, Gambia, Niger, Rwanda, Sierra Leone, Swaziland, Togo, Uganda</w:t>
      </w:r>
    </w:p>
  </w:footnote>
  <w:footnote w:id="14">
    <w:p w14:paraId="54BA42CB" w14:textId="77777777"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Albania, Belarus</w:t>
      </w:r>
    </w:p>
  </w:footnote>
  <w:footnote w:id="15">
    <w:p w14:paraId="08A138B2" w14:textId="77777777" w:rsidR="005D4302" w:rsidRPr="00DF02C5" w:rsidRDefault="005D4302" w:rsidP="0049703E">
      <w:pPr>
        <w:pStyle w:val="FootnoteText"/>
        <w:ind w:firstLine="0"/>
        <w:rPr>
          <w:lang w:val="en-GB"/>
        </w:rPr>
      </w:pPr>
      <w:r w:rsidRPr="00DF02C5">
        <w:rPr>
          <w:vertAlign w:val="superscript"/>
          <w:lang w:val="en-GB"/>
        </w:rPr>
        <w:footnoteRef/>
      </w:r>
      <w:r w:rsidRPr="00DF02C5">
        <w:rPr>
          <w:lang w:val="en-GB"/>
        </w:rPr>
        <w:t xml:space="preserve"> Qatar</w:t>
      </w:r>
    </w:p>
  </w:footnote>
  <w:footnote w:id="16">
    <w:p w14:paraId="2C08BB10" w14:textId="53023279" w:rsidR="005D4302" w:rsidRPr="00DF02C5" w:rsidRDefault="005D4302" w:rsidP="0049703E">
      <w:pPr>
        <w:pStyle w:val="FootnoteText"/>
        <w:ind w:firstLine="0"/>
        <w:rPr>
          <w:lang w:val="en-GB"/>
        </w:rPr>
      </w:pPr>
      <w:r w:rsidRPr="00DF02C5">
        <w:rPr>
          <w:vertAlign w:val="superscript"/>
          <w:lang w:val="en-GB"/>
        </w:rPr>
        <w:footnoteRef/>
      </w:r>
      <w:r w:rsidRPr="00DF02C5">
        <w:rPr>
          <w:vertAlign w:val="superscript"/>
          <w:lang w:val="en-GB"/>
        </w:rPr>
        <w:t xml:space="preserve"> </w:t>
      </w:r>
      <w:r w:rsidRPr="00DF02C5">
        <w:rPr>
          <w:lang w:val="en-GB"/>
        </w:rPr>
        <w:t>Croatia, Guatemala, Ecuador, Luxembourg</w:t>
      </w:r>
    </w:p>
  </w:footnote>
  <w:footnote w:id="17">
    <w:p w14:paraId="65FD29B4" w14:textId="53302377" w:rsidR="005D4302" w:rsidRPr="00DF02C5" w:rsidRDefault="005D4302" w:rsidP="0049703E">
      <w:pPr>
        <w:pStyle w:val="FootnoteText"/>
        <w:ind w:firstLine="0"/>
        <w:rPr>
          <w:lang w:val="en-GB"/>
        </w:rPr>
      </w:pPr>
      <w:r w:rsidRPr="00DF02C5">
        <w:rPr>
          <w:vertAlign w:val="superscript"/>
          <w:lang w:val="en-GB"/>
        </w:rPr>
        <w:footnoteRef/>
      </w:r>
      <w:r w:rsidRPr="00DF02C5">
        <w:rPr>
          <w:lang w:val="en-GB"/>
        </w:rPr>
        <w:t xml:space="preserve"> </w:t>
      </w:r>
      <w:r w:rsidRPr="00DF02C5">
        <w:rPr>
          <w:snapToGrid w:val="0"/>
          <w:kern w:val="22"/>
          <w:lang w:val="en-GB"/>
        </w:rPr>
        <w:t xml:space="preserve">Angola, Cambodia, </w:t>
      </w:r>
      <w:r w:rsidRPr="00DF02C5">
        <w:rPr>
          <w:lang w:val="en-GB"/>
        </w:rPr>
        <w:t xml:space="preserve">Congo, </w:t>
      </w:r>
      <w:r w:rsidRPr="00DF02C5">
        <w:rPr>
          <w:snapToGrid w:val="0"/>
          <w:kern w:val="22"/>
          <w:lang w:val="en-GB"/>
        </w:rPr>
        <w:t>Djibouti, Lebanon, Liberia,</w:t>
      </w:r>
      <w:r w:rsidRPr="00DF02C5">
        <w:rPr>
          <w:lang w:val="en-GB"/>
        </w:rPr>
        <w:t xml:space="preserve"> </w:t>
      </w:r>
      <w:r w:rsidRPr="00DF02C5">
        <w:rPr>
          <w:snapToGrid w:val="0"/>
          <w:kern w:val="22"/>
          <w:lang w:val="en-GB"/>
        </w:rPr>
        <w:t xml:space="preserve">Marshall Islands, Micronesia (Federated States of), Namibia. Republic of Korea, </w:t>
      </w:r>
      <w:r w:rsidRPr="00DF02C5">
        <w:rPr>
          <w:lang w:val="en-GB"/>
        </w:rPr>
        <w:t>Sudan</w:t>
      </w:r>
      <w:r w:rsidRPr="00DF02C5">
        <w:rPr>
          <w:snapToGrid w:val="0"/>
          <w:kern w:val="22"/>
          <w:lang w:val="en-GB"/>
        </w:rPr>
        <w:t>, United Republic of Tanzania</w:t>
      </w:r>
    </w:p>
  </w:footnote>
  <w:footnote w:id="18">
    <w:p w14:paraId="3C35D6E0" w14:textId="1B1F825F"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Botswana, </w:t>
      </w:r>
      <w:r w:rsidRPr="00DF02C5">
        <w:rPr>
          <w:snapToGrid w:val="0"/>
          <w:kern w:val="22"/>
          <w:lang w:val="en-GB"/>
        </w:rPr>
        <w:t>Chad,</w:t>
      </w:r>
      <w:r w:rsidRPr="00DF02C5">
        <w:rPr>
          <w:lang w:val="en-GB"/>
        </w:rPr>
        <w:t xml:space="preserve"> </w:t>
      </w:r>
      <w:r w:rsidRPr="00DF02C5">
        <w:rPr>
          <w:snapToGrid w:val="0"/>
          <w:kern w:val="22"/>
          <w:lang w:val="en-GB"/>
        </w:rPr>
        <w:t>Gabon,</w:t>
      </w:r>
      <w:r w:rsidRPr="00DF02C5">
        <w:rPr>
          <w:lang w:val="en-GB"/>
        </w:rPr>
        <w:t xml:space="preserve"> Guinea, Guinea-Bissau, Kazakhstan, Kuwait,</w:t>
      </w:r>
      <w:r w:rsidRPr="00DF02C5">
        <w:rPr>
          <w:snapToGrid w:val="0"/>
          <w:kern w:val="22"/>
          <w:lang w:val="en-GB"/>
        </w:rPr>
        <w:t xml:space="preserve"> Lesotho, Mauritius, Myanmar, Samoa, Tajikistan, Zambia</w:t>
      </w:r>
    </w:p>
  </w:footnote>
  <w:footnote w:id="19">
    <w:p w14:paraId="78812C35" w14:textId="77777777"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Mali</w:t>
      </w:r>
    </w:p>
  </w:footnote>
  <w:footnote w:id="20">
    <w:p w14:paraId="292789C9" w14:textId="57C163AE"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Costa Rica, Estonia, Poland</w:t>
      </w:r>
    </w:p>
  </w:footnote>
  <w:footnote w:id="21">
    <w:p w14:paraId="6CDDBC5C" w14:textId="7823A0C2"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Algeria, Colombia, Georgia, Greece, Lithuania, Morocco, Nepal </w:t>
      </w:r>
    </w:p>
  </w:footnote>
  <w:footnote w:id="22">
    <w:p w14:paraId="118FF52F" w14:textId="267C110B"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w:t>
      </w:r>
      <w:r w:rsidRPr="00DF02C5">
        <w:rPr>
          <w:snapToGrid w:val="0"/>
          <w:color w:val="auto"/>
          <w:kern w:val="22"/>
          <w:lang w:val="en-GB"/>
        </w:rPr>
        <w:t>Afghanistan, Australia</w:t>
      </w:r>
      <w:r w:rsidRPr="00DF02C5">
        <w:rPr>
          <w:lang w:val="en-GB"/>
        </w:rPr>
        <w:t xml:space="preserve">, Austria, </w:t>
      </w:r>
      <w:r w:rsidRPr="00DF02C5">
        <w:rPr>
          <w:snapToGrid w:val="0"/>
          <w:color w:val="auto"/>
          <w:kern w:val="22"/>
          <w:lang w:val="en-GB"/>
        </w:rPr>
        <w:t xml:space="preserve">Canada, El Salvador, Ireland, Italia, Malaysia, Nicaragua, Romania, Slovenia, Solomon Islands, Thailand, </w:t>
      </w:r>
    </w:p>
  </w:footnote>
  <w:footnote w:id="23">
    <w:p w14:paraId="5ABDC4CB" w14:textId="77777777"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Barbados, Venezuela (Bolivarian Republic of)</w:t>
      </w:r>
    </w:p>
  </w:footnote>
  <w:footnote w:id="24">
    <w:p w14:paraId="3D338CD8" w14:textId="16914692"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Brazil, Cyprus, Latvia, </w:t>
      </w:r>
    </w:p>
  </w:footnote>
  <w:footnote w:id="25">
    <w:p w14:paraId="7E57CB7A" w14:textId="652025D6" w:rsidR="005D4302" w:rsidRPr="00DF02C5" w:rsidRDefault="005D4302" w:rsidP="00511F13">
      <w:pPr>
        <w:spacing w:before="120" w:after="120"/>
        <w:rPr>
          <w:rFonts w:eastAsia="Times New Roman" w:hAnsi="Times New Roman" w:cs="Times New Roman"/>
          <w:sz w:val="18"/>
          <w:szCs w:val="18"/>
          <w:lang w:val="en-GB"/>
        </w:rPr>
      </w:pPr>
      <w:r w:rsidRPr="00DF02C5">
        <w:rPr>
          <w:rStyle w:val="FootnoteReference"/>
          <w:lang w:val="en-GB"/>
        </w:rPr>
        <w:footnoteRef/>
      </w:r>
      <w:r w:rsidRPr="00DF02C5">
        <w:rPr>
          <w:lang w:val="en-GB"/>
        </w:rPr>
        <w:t xml:space="preserve"> </w:t>
      </w:r>
      <w:r w:rsidRPr="00DF02C5">
        <w:rPr>
          <w:rFonts w:eastAsia="Times New Roman" w:hAnsi="Times New Roman" w:cs="Times New Roman"/>
          <w:sz w:val="18"/>
          <w:szCs w:val="18"/>
          <w:lang w:val="en-GB"/>
        </w:rPr>
        <w:t>Bahamas, Bahrain, Bangladesh, Brunei Darussalam, Central African Republic, Dominica, Palau, Paraguay, Singapore, Saint Lucia, State of Palestine, Timor-Leste, Tunisia</w:t>
      </w:r>
    </w:p>
  </w:footnote>
  <w:footnote w:id="26">
    <w:p w14:paraId="3A4D341D" w14:textId="75A7ACB8" w:rsidR="005D4302" w:rsidRPr="00DF02C5" w:rsidRDefault="005D4302" w:rsidP="00511F13">
      <w:pPr>
        <w:pStyle w:val="FootnoteText"/>
        <w:ind w:firstLine="0"/>
        <w:rPr>
          <w:lang w:val="en-GB"/>
        </w:rPr>
      </w:pPr>
      <w:r w:rsidRPr="00DF02C5">
        <w:rPr>
          <w:rStyle w:val="FootnoteReference"/>
          <w:lang w:val="en-GB"/>
        </w:rPr>
        <w:footnoteRef/>
      </w:r>
      <w:r w:rsidRPr="00DF02C5">
        <w:rPr>
          <w:lang w:val="en-GB"/>
        </w:rPr>
        <w:t xml:space="preserve"> </w:t>
      </w:r>
      <w:r w:rsidRPr="00DF02C5">
        <w:rPr>
          <w:snapToGrid w:val="0"/>
          <w:color w:val="auto"/>
          <w:kern w:val="22"/>
          <w:lang w:val="en-GB"/>
        </w:rPr>
        <w:t>Armenia, Belize, Bosnia and Herzegovina, Cabo Verde, Chile, Cook Islands, Equatorial Guinea, Eritrea ,Ghana, Grenada Jamaica, Kiribati, Maldives, Nauru, Nigeria, Niue, Papua New Guinea, Russian Federation, Sri Lanka, Saint Kitts and Nevis, The former Yugoslav Republic of Macedonia, Tonga, Trinidad and Tobago, Ukraine, Yemen</w:t>
      </w:r>
    </w:p>
  </w:footnote>
  <w:footnote w:id="27">
    <w:p w14:paraId="7DAEFFED" w14:textId="6DA86B6E"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E.g. Bhutan, Burundi, Cameroon, Côte  d’Ivoire, Indonesia, Lao People’s Democratic Republic, Senegal, Togo</w:t>
      </w:r>
    </w:p>
  </w:footnote>
  <w:footnote w:id="28">
    <w:p w14:paraId="3D9D0F8C" w14:textId="77777777"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E.g. Cameroon, Indonesia, Mexico, Senegal </w:t>
      </w:r>
    </w:p>
  </w:footnote>
  <w:footnote w:id="29">
    <w:p w14:paraId="4D6A4FA4" w14:textId="3A21A011"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E.g. Cuba, Democratic Republic of Congo, Ecuador, Germany, Republic of Moldova, Uruguay, Viet Nam </w:t>
      </w:r>
    </w:p>
  </w:footnote>
  <w:footnote w:id="30">
    <w:p w14:paraId="027E21FF" w14:textId="77777777"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E.g. Ethiopia, Peru </w:t>
      </w:r>
    </w:p>
  </w:footnote>
  <w:footnote w:id="31">
    <w:p w14:paraId="3BEAD7D4" w14:textId="77777777"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E.g. Cuba </w:t>
      </w:r>
    </w:p>
  </w:footnote>
  <w:footnote w:id="32">
    <w:p w14:paraId="3B66AF98" w14:textId="77777777"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E.g. Mongolia </w:t>
      </w:r>
    </w:p>
  </w:footnote>
  <w:footnote w:id="33">
    <w:p w14:paraId="6D6B20F3" w14:textId="77777777"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Bulgaria, Croatia, Denmark, Estonia, Finland, France, Germany, Hungary, Malta, Netherlands, Poland, Portugal, Slovakia, Spain, Sweden, United Kingdom of Great Britain and Northern Ireland</w:t>
      </w:r>
    </w:p>
  </w:footnote>
  <w:footnote w:id="34">
    <w:p w14:paraId="41DBF619" w14:textId="77777777"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w:t>
      </w:r>
      <w:r w:rsidRPr="00DF02C5">
        <w:rPr>
          <w:snapToGrid w:val="0"/>
          <w:color w:val="auto"/>
          <w:kern w:val="22"/>
          <w:lang w:val="en-GB"/>
        </w:rPr>
        <w:t>Kyrgyzstan and Kazakhstan have NFPs in the ABS Clearing-House however they answered “no” to question 5 of the interim national report.</w:t>
      </w:r>
    </w:p>
  </w:footnote>
  <w:footnote w:id="35">
    <w:p w14:paraId="2E7D059C" w14:textId="121BB58B" w:rsidR="005D4302" w:rsidRPr="00DF02C5" w:rsidRDefault="005D4302" w:rsidP="0049703E">
      <w:pPr>
        <w:pStyle w:val="FootnoteText"/>
        <w:ind w:firstLine="0"/>
        <w:rPr>
          <w:rFonts w:ascii="Calibri" w:hAnsi="Calibri"/>
          <w:lang w:val="en-GB"/>
        </w:rPr>
      </w:pPr>
      <w:r w:rsidRPr="00DF02C5">
        <w:rPr>
          <w:rStyle w:val="FootnoteReference"/>
          <w:rFonts w:ascii="Calibri" w:hAnsi="Calibri"/>
          <w:lang w:val="en-GB"/>
        </w:rPr>
        <w:footnoteRef/>
      </w:r>
      <w:r w:rsidRPr="00DF02C5">
        <w:rPr>
          <w:rFonts w:ascii="Calibri" w:hAnsi="Calibri"/>
          <w:lang w:val="en-GB"/>
        </w:rPr>
        <w:t xml:space="preserve"> </w:t>
      </w:r>
      <w:r w:rsidRPr="00DF02C5">
        <w:rPr>
          <w:lang w:val="en-GB"/>
        </w:rPr>
        <w:t>Marshall Islands,  Zimbabwe</w:t>
      </w:r>
      <w:r w:rsidRPr="00DF02C5">
        <w:rPr>
          <w:rFonts w:ascii="Calibri" w:hAnsi="Calibri"/>
          <w:lang w:val="en-GB"/>
        </w:rPr>
        <w:t> </w:t>
      </w:r>
    </w:p>
  </w:footnote>
  <w:footnote w:id="36">
    <w:p w14:paraId="0D4CF410" w14:textId="77777777"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Albania, Antigua and Barbuda, Belarus, Benin, Bulgaria, Burundi, Cambodia, Comoros, Côte d’Ivoire, Croatia, Czech Republic, Democratic Republic of the Congo, Denmark, Dominican Republic, Ethiopia, Finland, Gambia, Germany, Guatemala, Guinea-Bissau, Honduras, Hungary, India, Kenya, Malawi, Malta, Mauritania, Mexico, Netherlands, Norway, Panama, Peru, Portugal, Republic of Moldova, Sao Tome and Principe, Seychelles, Slovakia, South Africa, Spain, Sweden, Switzerland, Syrian Arab Republic, Uganda, United Kingdom of Great Britain and Northern Ireland, Viet Nam</w:t>
      </w:r>
    </w:p>
  </w:footnote>
  <w:footnote w:id="37">
    <w:p w14:paraId="5C3BBABD" w14:textId="77777777"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Three of these Parties had entered some of the information in the ABS Clearing-House but not all.</w:t>
      </w:r>
    </w:p>
  </w:footnote>
  <w:footnote w:id="38">
    <w:p w14:paraId="7A77D5F3" w14:textId="73037998"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Bhutan, Cuba, France, Guinea, Indonesia, Kyrgyzstan, Lao People's Democratic Republic, Mongolia, Qatar, Rwanda, Swaziland, United Republic of Tanzania</w:t>
      </w:r>
    </w:p>
  </w:footnote>
  <w:footnote w:id="39">
    <w:p w14:paraId="6257BDB1" w14:textId="4052F975"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Brazil, Costa Rica, Eritrea, Estonia, Grenada, Poland, Saint Kitts and Nevis, Singapore </w:t>
      </w:r>
    </w:p>
  </w:footnote>
  <w:footnote w:id="40">
    <w:p w14:paraId="5B15173A" w14:textId="4AD061A5"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Burkina Faso, China, Congo, Kazakhstan, Kuwait, Madagascar, Pakistan, Namibia, Republic of Moldova</w:t>
      </w:r>
    </w:p>
  </w:footnote>
  <w:footnote w:id="41">
    <w:p w14:paraId="5328E370" w14:textId="77777777"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Morocco</w:t>
      </w:r>
    </w:p>
  </w:footnote>
  <w:footnote w:id="42">
    <w:p w14:paraId="62AA1195" w14:textId="112AA046"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Botswana, Cameroon, Djibouti, Senegal, Sudan</w:t>
      </w:r>
    </w:p>
  </w:footnote>
  <w:footnote w:id="43">
    <w:p w14:paraId="31716F6D" w14:textId="77777777"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Three countries (Qatar, Rwanda and Swaziland) did not specified in their report the number of CNAs.</w:t>
      </w:r>
    </w:p>
  </w:footnote>
  <w:footnote w:id="44">
    <w:p w14:paraId="67CC6A75" w14:textId="77777777"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Japan </w:t>
      </w:r>
    </w:p>
  </w:footnote>
  <w:footnote w:id="45">
    <w:p w14:paraId="12C5B8DB" w14:textId="7362F753" w:rsidR="005D4302" w:rsidRPr="00DF02C5" w:rsidRDefault="005D4302" w:rsidP="00855DF0">
      <w:pPr>
        <w:pStyle w:val="FootnoteText"/>
        <w:ind w:firstLine="0"/>
        <w:rPr>
          <w:lang w:val="en-GB"/>
        </w:rPr>
      </w:pPr>
      <w:r w:rsidRPr="00DF02C5">
        <w:rPr>
          <w:rStyle w:val="FootnoteReference"/>
          <w:lang w:val="en-GB"/>
        </w:rPr>
        <w:footnoteRef/>
      </w:r>
      <w:r w:rsidRPr="00DF02C5">
        <w:rPr>
          <w:lang w:val="en-GB"/>
        </w:rPr>
        <w:t xml:space="preserve"> </w:t>
      </w:r>
      <w:r w:rsidRPr="00DF02C5">
        <w:rPr>
          <w:snapToGrid w:val="0"/>
          <w:color w:val="auto"/>
          <w:kern w:val="22"/>
          <w:lang w:val="en-GB"/>
        </w:rPr>
        <w:t>E.g. Bulgaria, Estonia, Finland, Indonesia, Mexico, Peru, Syrian Arab Republic and Viet Nam</w:t>
      </w:r>
    </w:p>
  </w:footnote>
  <w:footnote w:id="46">
    <w:p w14:paraId="281CFDBF" w14:textId="77777777" w:rsidR="005D4302" w:rsidRPr="00DF02C5" w:rsidRDefault="005D4302" w:rsidP="005920B7">
      <w:pPr>
        <w:pStyle w:val="FootnoteText"/>
        <w:ind w:firstLine="0"/>
        <w:rPr>
          <w:lang w:val="en-GB"/>
        </w:rPr>
      </w:pPr>
      <w:r w:rsidRPr="00DF02C5">
        <w:rPr>
          <w:rStyle w:val="FootnoteReference"/>
          <w:lang w:val="en-GB"/>
        </w:rPr>
        <w:footnoteRef/>
      </w:r>
      <w:r w:rsidRPr="00DF02C5">
        <w:rPr>
          <w:lang w:val="en-GB"/>
        </w:rPr>
        <w:t xml:space="preserve"> Bhutan, Cuba, Côte d’Ivoire, Dominican Republic, Ethiopia, Kenya, Malawi, Peru, Seychelles, South Africa, Uganda</w:t>
      </w:r>
    </w:p>
  </w:footnote>
  <w:footnote w:id="47">
    <w:p w14:paraId="3B7C18AC" w14:textId="5E5002B9" w:rsidR="005D4302" w:rsidRPr="00DF02C5" w:rsidRDefault="005D4302" w:rsidP="0095308D">
      <w:pPr>
        <w:pStyle w:val="FootnoteText"/>
        <w:ind w:firstLine="0"/>
        <w:rPr>
          <w:lang w:val="en-GB"/>
        </w:rPr>
      </w:pPr>
      <w:r w:rsidRPr="00DF02C5">
        <w:rPr>
          <w:rStyle w:val="FootnoteReference"/>
          <w:lang w:val="en-GB"/>
        </w:rPr>
        <w:footnoteRef/>
      </w:r>
      <w:r w:rsidRPr="00DF02C5">
        <w:rPr>
          <w:lang w:val="en-GB"/>
        </w:rPr>
        <w:t xml:space="preserve"> Belarus, Bhutan, Bulgaria, Cuba, Denmark, Dominican Republic, European Union, Finland, France, Germany, Hungary, Indonesia, Japan, Kenya, Malta, Mauritania, Netherlands, Peru, Portugal, Qatar, Rwanda, Slovakia, Spain, South Africa, Swaziland, Sweden, Switzerland, United Kingdom of Great Britain and Northern Ireland, Viet Nam</w:t>
      </w:r>
    </w:p>
  </w:footnote>
  <w:footnote w:id="48">
    <w:p w14:paraId="3DC754A2" w14:textId="3239F3B4"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Poland </w:t>
      </w:r>
    </w:p>
  </w:footnote>
  <w:footnote w:id="49">
    <w:p w14:paraId="38880D8F" w14:textId="77777777"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Bhutan, Cuba, France, Indonesia, Qatar, Rwanda, Swaziland, Viet Nam</w:t>
      </w:r>
    </w:p>
  </w:footnote>
  <w:footnote w:id="50">
    <w:p w14:paraId="4F47AEAB" w14:textId="77777777" w:rsidR="005D4302" w:rsidRPr="00DF02C5" w:rsidRDefault="005D4302" w:rsidP="0095308D">
      <w:pPr>
        <w:pStyle w:val="FootnoteText"/>
        <w:ind w:firstLine="0"/>
        <w:rPr>
          <w:lang w:val="en-GB"/>
        </w:rPr>
      </w:pPr>
      <w:r w:rsidRPr="00DF02C5">
        <w:rPr>
          <w:rStyle w:val="FootnoteReference"/>
          <w:lang w:val="en-GB"/>
        </w:rPr>
        <w:footnoteRef/>
      </w:r>
      <w:r w:rsidRPr="00DF02C5">
        <w:rPr>
          <w:lang w:val="en-GB"/>
        </w:rPr>
        <w:t xml:space="preserve"> Three of these Parties have only entered some of their designated checkpoints in the ABS Clearing-House but not all.</w:t>
      </w:r>
    </w:p>
  </w:footnote>
  <w:footnote w:id="51">
    <w:p w14:paraId="567CED3B" w14:textId="0A134E74"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w:t>
      </w:r>
      <w:r w:rsidRPr="00DF02C5">
        <w:rPr>
          <w:snapToGrid w:val="0"/>
          <w:color w:val="auto"/>
          <w:kern w:val="22"/>
          <w:lang w:val="en-GB"/>
        </w:rPr>
        <w:t>Albania, Antigua and Barbuda, Belgium, Benin, Burundi, China, Congo, Côte d’Ivoire, Czech Republic, Guinea-Bissau, India, Kuwait, Lao People’s Democratic Republic, Mexico, Norway, Philippines, Sao Tome and Principe, Seychelles</w:t>
      </w:r>
    </w:p>
  </w:footnote>
  <w:footnote w:id="52">
    <w:p w14:paraId="11A5D8D0" w14:textId="77777777"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w:t>
      </w:r>
      <w:r w:rsidRPr="00DF02C5">
        <w:rPr>
          <w:snapToGrid w:val="0"/>
          <w:color w:val="auto"/>
          <w:kern w:val="22"/>
          <w:lang w:val="en-GB"/>
        </w:rPr>
        <w:t>Morocco</w:t>
      </w:r>
    </w:p>
  </w:footnote>
  <w:footnote w:id="53">
    <w:p w14:paraId="227B5804" w14:textId="77777777"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w:t>
      </w:r>
      <w:r w:rsidRPr="00DF02C5">
        <w:rPr>
          <w:snapToGrid w:val="0"/>
          <w:color w:val="auto"/>
          <w:kern w:val="22"/>
          <w:lang w:val="en-GB"/>
        </w:rPr>
        <w:t>Democratic Republic of Congo, Ethiopia, Guinea, Kazakhstan, Kyrgyzstan, Madagascar, Pakistan, Senegal, Sudan, Togo, Uruguay</w:t>
      </w:r>
    </w:p>
  </w:footnote>
  <w:footnote w:id="54">
    <w:p w14:paraId="70EC4A9F" w14:textId="77777777" w:rsidR="005D4302" w:rsidRPr="00DF02C5" w:rsidRDefault="005D4302" w:rsidP="0049703E">
      <w:pPr>
        <w:pStyle w:val="FootnoteText"/>
        <w:ind w:firstLine="0"/>
        <w:jc w:val="left"/>
        <w:rPr>
          <w:snapToGrid w:val="0"/>
          <w:kern w:val="18"/>
          <w:lang w:val="en-GB"/>
        </w:rPr>
      </w:pPr>
      <w:r w:rsidRPr="00DF02C5">
        <w:rPr>
          <w:rStyle w:val="FootnoteReference"/>
          <w:snapToGrid w:val="0"/>
          <w:kern w:val="18"/>
          <w:lang w:val="en-GB"/>
        </w:rPr>
        <w:footnoteRef/>
      </w:r>
      <w:r w:rsidRPr="00DF02C5">
        <w:rPr>
          <w:snapToGrid w:val="0"/>
          <w:kern w:val="18"/>
          <w:lang w:val="en-GB"/>
        </w:rPr>
        <w:t xml:space="preserve"> Commission Implementing Regulation (EU) 2015/1866 of 13 October 2015 is laying out detailed rules for the implementation of Regulation (EU) No 511/2014 of the European Parliament and of the Council as regards the register of collections, monitoring user compliance and best practices.</w:t>
      </w:r>
    </w:p>
  </w:footnote>
  <w:footnote w:id="55">
    <w:p w14:paraId="33F7A64E" w14:textId="77777777"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Belarus, Denmark, Germany, Indonesia, Japan, Malta, Netherlands, Poland, Portugal, Spain, Sweden, United Kingdom of Great Britain and Northern Ireland</w:t>
      </w:r>
    </w:p>
  </w:footnote>
  <w:footnote w:id="56">
    <w:p w14:paraId="3EB3D16F" w14:textId="77777777"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Bhutan, Bulgaria, Cuba, Dominican Republic, Finland, France, Hungary, Kenya, Mauritania, Peru, Slovakia, South Africa, Switzerland, Viet Nam</w:t>
      </w:r>
    </w:p>
  </w:footnote>
  <w:footnote w:id="57">
    <w:p w14:paraId="137653A9" w14:textId="77777777"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w:t>
      </w:r>
      <w:r w:rsidRPr="00DF02C5">
        <w:rPr>
          <w:snapToGrid w:val="0"/>
          <w:kern w:val="22"/>
          <w:lang w:val="en-GB"/>
        </w:rPr>
        <w:t>It is unknown how many checkpoints Qatar, Rwanda and Swaziland had, as they did not specified this in their report.</w:t>
      </w:r>
    </w:p>
  </w:footnote>
  <w:footnote w:id="58">
    <w:p w14:paraId="3D74470C" w14:textId="77777777"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Belarus, Bulgaria, Cuba, Denmark, Dominican Republic, Finland, Germany, Hungary, Malta, Mauritania, Poland, Portugal, Slovakia, South Africa, Spain, Sweden, Switzerland, United Kingdom of Great Britain and Northern Ireland, Viet Nam</w:t>
      </w:r>
    </w:p>
  </w:footnote>
  <w:footnote w:id="59">
    <w:p w14:paraId="30D66A3B" w14:textId="77777777" w:rsidR="005D4302" w:rsidRPr="00DF02C5" w:rsidRDefault="005D4302" w:rsidP="0049703E">
      <w:pPr>
        <w:pStyle w:val="FootnoteText"/>
        <w:ind w:firstLine="0"/>
        <w:rPr>
          <w:lang w:val="en-GB"/>
        </w:rPr>
      </w:pPr>
      <w:r w:rsidRPr="00DF02C5">
        <w:rPr>
          <w:rStyle w:val="FootnoteReference"/>
          <w:lang w:val="en-GB"/>
        </w:rPr>
        <w:footnoteRef/>
      </w:r>
      <w:r w:rsidRPr="00DF02C5">
        <w:rPr>
          <w:snapToGrid w:val="0"/>
          <w:kern w:val="22"/>
          <w:lang w:val="en-GB"/>
        </w:rPr>
        <w:t>Belarus, Bulgaria,</w:t>
      </w:r>
      <w:r w:rsidRPr="00DF02C5">
        <w:rPr>
          <w:lang w:val="en-GB"/>
        </w:rPr>
        <w:t xml:space="preserve"> </w:t>
      </w:r>
      <w:r w:rsidRPr="00DF02C5">
        <w:rPr>
          <w:snapToGrid w:val="0"/>
          <w:kern w:val="22"/>
          <w:lang w:val="en-GB"/>
        </w:rPr>
        <w:t xml:space="preserve">Denmark, Dominican Republic, Finland, Germany, Japan, Mauritania, Portugal, Slovakia, Spain, South Africa, Sweden, Switzerland </w:t>
      </w:r>
    </w:p>
  </w:footnote>
  <w:footnote w:id="60">
    <w:p w14:paraId="2CB62F3A" w14:textId="77777777"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E.g. </w:t>
      </w:r>
      <w:r w:rsidRPr="00DF02C5">
        <w:rPr>
          <w:snapToGrid w:val="0"/>
          <w:kern w:val="22"/>
          <w:lang w:val="en-GB"/>
        </w:rPr>
        <w:t xml:space="preserve">Bulgaria, Denmark, Kenya, Madagascar, Netherlands, Slovakia </w:t>
      </w:r>
    </w:p>
  </w:footnote>
  <w:footnote w:id="61">
    <w:p w14:paraId="643E9D15" w14:textId="77777777"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E.g. </w:t>
      </w:r>
      <w:r w:rsidRPr="00DF02C5">
        <w:rPr>
          <w:snapToGrid w:val="0"/>
          <w:kern w:val="22"/>
          <w:lang w:val="en-GB"/>
        </w:rPr>
        <w:t xml:space="preserve">Cuba, Kenya, Lao People’s Democratic Republic, South Africa </w:t>
      </w:r>
    </w:p>
  </w:footnote>
  <w:footnote w:id="62">
    <w:p w14:paraId="511D26BD" w14:textId="77777777"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E.g. Bhutan, </w:t>
      </w:r>
      <w:r w:rsidRPr="00DF02C5">
        <w:rPr>
          <w:snapToGrid w:val="0"/>
          <w:kern w:val="22"/>
          <w:lang w:val="en-GB"/>
        </w:rPr>
        <w:t>Cuba, France, Kenya, Peru, South Africa, Switzerland</w:t>
      </w:r>
    </w:p>
  </w:footnote>
  <w:footnote w:id="63">
    <w:p w14:paraId="66640104" w14:textId="77777777" w:rsidR="005D4302" w:rsidRPr="00DF02C5" w:rsidRDefault="005D4302" w:rsidP="0049703E">
      <w:pPr>
        <w:pStyle w:val="Para1"/>
        <w:rPr>
          <w:rFonts w:eastAsia="Times New Roman" w:hAnsi="Times New Roman"/>
          <w:snapToGrid w:val="0"/>
          <w:kern w:val="22"/>
          <w:sz w:val="18"/>
          <w:szCs w:val="18"/>
          <w:lang w:val="en-GB"/>
        </w:rPr>
      </w:pPr>
      <w:r w:rsidRPr="00DF02C5">
        <w:rPr>
          <w:rStyle w:val="FootnoteReference"/>
          <w:sz w:val="18"/>
          <w:szCs w:val="18"/>
          <w:lang w:val="en-GB"/>
        </w:rPr>
        <w:footnoteRef/>
      </w:r>
      <w:r w:rsidRPr="00DF02C5">
        <w:rPr>
          <w:sz w:val="18"/>
          <w:szCs w:val="18"/>
          <w:lang w:val="en-GB"/>
        </w:rPr>
        <w:t xml:space="preserve"> E.g.</w:t>
      </w:r>
      <w:r w:rsidRPr="00DF02C5">
        <w:rPr>
          <w:lang w:val="en-GB"/>
        </w:rPr>
        <w:t xml:space="preserve"> </w:t>
      </w:r>
      <w:r w:rsidRPr="00DF02C5">
        <w:rPr>
          <w:rFonts w:eastAsia="Times New Roman" w:hAnsi="Times New Roman"/>
          <w:snapToGrid w:val="0"/>
          <w:kern w:val="22"/>
          <w:sz w:val="18"/>
          <w:szCs w:val="18"/>
          <w:lang w:val="en-GB"/>
        </w:rPr>
        <w:t xml:space="preserve">Hungary, Kenya, Malta, Slovakia </w:t>
      </w:r>
    </w:p>
  </w:footnote>
  <w:footnote w:id="64">
    <w:p w14:paraId="2587E6EC" w14:textId="77777777"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E.g. </w:t>
      </w:r>
      <w:r w:rsidRPr="00DF02C5">
        <w:rPr>
          <w:snapToGrid w:val="0"/>
          <w:kern w:val="22"/>
          <w:lang w:val="en-GB"/>
        </w:rPr>
        <w:t xml:space="preserve">Dominican Republic, Hungary, Kenya </w:t>
      </w:r>
    </w:p>
  </w:footnote>
  <w:footnote w:id="65">
    <w:p w14:paraId="69B2B7DC" w14:textId="77777777"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E.g. </w:t>
      </w:r>
      <w:r w:rsidRPr="00DF02C5">
        <w:rPr>
          <w:snapToGrid w:val="0"/>
          <w:kern w:val="22"/>
          <w:lang w:val="en-GB"/>
        </w:rPr>
        <w:t>Hungary</w:t>
      </w:r>
    </w:p>
  </w:footnote>
  <w:footnote w:id="66">
    <w:p w14:paraId="084461BF" w14:textId="77777777"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E.g. </w:t>
      </w:r>
      <w:r w:rsidRPr="00DF02C5">
        <w:rPr>
          <w:snapToGrid w:val="0"/>
          <w:kern w:val="22"/>
          <w:lang w:val="en-GB"/>
        </w:rPr>
        <w:t>Slovakia</w:t>
      </w:r>
    </w:p>
  </w:footnote>
  <w:footnote w:id="67">
    <w:p w14:paraId="4266824D" w14:textId="77777777"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E.g. </w:t>
      </w:r>
      <w:r w:rsidRPr="00DF02C5">
        <w:rPr>
          <w:snapToGrid w:val="0"/>
          <w:kern w:val="22"/>
          <w:lang w:val="en-GB"/>
        </w:rPr>
        <w:t>Hungary, Slovakia</w:t>
      </w:r>
    </w:p>
  </w:footnote>
  <w:footnote w:id="68">
    <w:p w14:paraId="71A19A5D" w14:textId="77777777"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E.g. Bulgaria, United Kingdom of Great Britain and Northern Ireland</w:t>
      </w:r>
    </w:p>
  </w:footnote>
  <w:footnote w:id="69">
    <w:p w14:paraId="5FABCC2F" w14:textId="77777777"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E.g. France </w:t>
      </w:r>
    </w:p>
  </w:footnote>
  <w:footnote w:id="70">
    <w:p w14:paraId="5CC4FE37" w14:textId="12A16F2F" w:rsidR="005D4302" w:rsidRPr="00DF02C5" w:rsidRDefault="005D4302" w:rsidP="0049703E">
      <w:pPr>
        <w:pStyle w:val="FootnoteText"/>
        <w:ind w:firstLine="0"/>
        <w:rPr>
          <w:lang w:val="en-GB"/>
        </w:rPr>
      </w:pPr>
      <w:r w:rsidRPr="00DF02C5">
        <w:rPr>
          <w:rStyle w:val="FootnoteReference"/>
          <w:lang w:val="en-GB"/>
        </w:rPr>
        <w:footnoteRef/>
      </w:r>
      <w:r w:rsidRPr="00DF02C5">
        <w:rPr>
          <w:lang w:val="en-GB"/>
        </w:rPr>
        <w:t xml:space="preserve"> </w:t>
      </w:r>
      <w:r w:rsidRPr="00DF02C5">
        <w:rPr>
          <w:snapToGrid w:val="0"/>
          <w:kern w:val="22"/>
          <w:lang w:val="en-GB"/>
        </w:rPr>
        <w:t>Cuba, Kenya, Peru</w:t>
      </w:r>
    </w:p>
  </w:footnote>
  <w:footnote w:id="71">
    <w:p w14:paraId="587167F8" w14:textId="35E367A6"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Albania, Antigua and Barbuda, Benin,  Bulgaria, Dominican Republic, Ethiopia, Guinea, India, Peru, Swaziland, Uganda, Viet Nam </w:t>
      </w:r>
    </w:p>
  </w:footnote>
  <w:footnote w:id="72">
    <w:p w14:paraId="11AE7814" w14:textId="17FC67FF"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Botswana, China, Côte  d’Ivoire, Comoros, Cuba, Democratic Republic of the Congo, Mauritania, </w:t>
      </w:r>
    </w:p>
  </w:footnote>
  <w:footnote w:id="73">
    <w:p w14:paraId="6D4148B7" w14:textId="133EB74B"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China, Côte  d’Ivoire, Comoros  Democratic Republic of the Congo  Mexico, Morocco, Senegal,  </w:t>
      </w:r>
    </w:p>
  </w:footnote>
  <w:footnote w:id="74">
    <w:p w14:paraId="7C8F902F" w14:textId="6B7E0563" w:rsidR="005D4302" w:rsidRPr="00DF02C5" w:rsidRDefault="005D4302" w:rsidP="00EA65E0">
      <w:pPr>
        <w:pStyle w:val="FootnoteText"/>
        <w:ind w:firstLine="0"/>
        <w:rPr>
          <w:lang w:val="en-GB"/>
        </w:rPr>
      </w:pPr>
      <w:r w:rsidRPr="00DF02C5">
        <w:rPr>
          <w:rStyle w:val="FootnoteReference"/>
          <w:color w:val="auto"/>
          <w:lang w:val="en-GB"/>
        </w:rPr>
        <w:footnoteRef/>
      </w:r>
      <w:r w:rsidRPr="00DF02C5">
        <w:rPr>
          <w:color w:val="auto"/>
          <w:lang w:val="en-GB"/>
        </w:rPr>
        <w:t xml:space="preserve"> E.g. </w:t>
      </w:r>
      <w:r w:rsidRPr="00DF02C5">
        <w:rPr>
          <w:rFonts w:eastAsia="Calibri"/>
          <w:noProof/>
          <w:snapToGrid w:val="0"/>
          <w:color w:val="auto"/>
          <w:kern w:val="22"/>
          <w:bdr w:val="none" w:sz="0" w:space="0" w:color="auto"/>
          <w:lang w:val="en-GB"/>
        </w:rPr>
        <w:t xml:space="preserve">Austria, Burkina </w:t>
      </w:r>
      <w:r w:rsidRPr="00DF02C5">
        <w:rPr>
          <w:rFonts w:eastAsia="Calibri"/>
          <w:noProof/>
          <w:snapToGrid w:val="0"/>
          <w:kern w:val="22"/>
          <w:bdr w:val="none" w:sz="0" w:space="0" w:color="auto"/>
          <w:lang w:val="en-GB"/>
        </w:rPr>
        <w:t>Faso, Burundi, Denmark, Congo, Germany, Japan, Kazakhstan, Lao People’s Democratic Republic, Mongolia, Netherlands, Niger, Republic of Moldova, Sudan, Sweeden, United Kingdom of Great Britain and Northern Ireland</w:t>
      </w:r>
    </w:p>
  </w:footnote>
  <w:footnote w:id="75">
    <w:p w14:paraId="2A9B5715" w14:textId="3B83A8D3"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Belarus, </w:t>
      </w:r>
      <w:r w:rsidRPr="00DF02C5">
        <w:rPr>
          <w:rFonts w:eastAsia="Calibri"/>
          <w:noProof/>
          <w:snapToGrid w:val="0"/>
          <w:kern w:val="22"/>
          <w:bdr w:val="none" w:sz="0" w:space="0" w:color="auto"/>
          <w:lang w:val="en-GB"/>
        </w:rPr>
        <w:t xml:space="preserve">Burkina Faso, Burundi, Cameroon, Guinea Bissau,  Kuwait, Lao People’s Democratic Republic, Pakistan, Norway, Sudan, Uruguay </w:t>
      </w:r>
    </w:p>
  </w:footnote>
  <w:footnote w:id="76">
    <w:p w14:paraId="24688BC9" w14:textId="40D5BE0A"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E.g. Antigua and Barbuda, Albania, Benin, Bhutan, Bulgaria, Democratic Republic of the Congo, Dominican Republic, Ethiopia, India,  Kenya, Malta, Panama,  Peru, Portugal, Spain, South Africa, Swaziland, Uganda, Viet Nam</w:t>
      </w:r>
    </w:p>
  </w:footnote>
  <w:footnote w:id="77">
    <w:p w14:paraId="59C7589D" w14:textId="175BBF57"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China, Kenya,  Malawi, Morocco, Panama </w:t>
      </w:r>
    </w:p>
  </w:footnote>
  <w:footnote w:id="78">
    <w:p w14:paraId="4F9F5A86" w14:textId="208A74A1"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w:t>
      </w:r>
      <w:r w:rsidRPr="00DF02C5">
        <w:rPr>
          <w:rFonts w:eastAsia="Calibri"/>
          <w:snapToGrid w:val="0"/>
          <w:kern w:val="22"/>
          <w:bdr w:val="none" w:sz="0" w:space="0" w:color="auto"/>
          <w:lang w:val="en-GB"/>
        </w:rPr>
        <w:t>Viet Nam, Uganda</w:t>
      </w:r>
    </w:p>
  </w:footnote>
  <w:footnote w:id="79">
    <w:p w14:paraId="2F609834" w14:textId="169EA7ED"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Botswana, Mexico,  Senegal</w:t>
      </w:r>
    </w:p>
  </w:footnote>
  <w:footnote w:id="80">
    <w:p w14:paraId="6AE7DC6F" w14:textId="15EEAF21" w:rsidR="005D4302" w:rsidRPr="00B50576" w:rsidRDefault="005D4302" w:rsidP="00EA65E0">
      <w:pPr>
        <w:pStyle w:val="FootnoteText"/>
        <w:ind w:firstLine="0"/>
        <w:rPr>
          <w:lang w:val="fr-FR"/>
        </w:rPr>
      </w:pPr>
      <w:r w:rsidRPr="00DF02C5">
        <w:rPr>
          <w:rStyle w:val="FootnoteReference"/>
          <w:lang w:val="en-GB"/>
        </w:rPr>
        <w:footnoteRef/>
      </w:r>
      <w:r>
        <w:rPr>
          <w:lang w:val="fr-FR"/>
        </w:rPr>
        <w:t xml:space="preserve"> </w:t>
      </w:r>
      <w:proofErr w:type="spellStart"/>
      <w:r>
        <w:rPr>
          <w:lang w:val="fr-FR"/>
        </w:rPr>
        <w:t>Comoros</w:t>
      </w:r>
      <w:proofErr w:type="spellEnd"/>
      <w:r>
        <w:rPr>
          <w:lang w:val="fr-FR"/>
        </w:rPr>
        <w:t>, Côte</w:t>
      </w:r>
      <w:r w:rsidRPr="00B50576">
        <w:rPr>
          <w:lang w:val="fr-FR"/>
        </w:rPr>
        <w:t xml:space="preserve"> d’Ivoire, Togo </w:t>
      </w:r>
    </w:p>
  </w:footnote>
  <w:footnote w:id="81">
    <w:p w14:paraId="5C007FB0" w14:textId="0CA5C7AE" w:rsidR="005D4302" w:rsidRPr="00B50576" w:rsidRDefault="005D4302" w:rsidP="00EA65E0">
      <w:pPr>
        <w:pStyle w:val="FootnoteText"/>
        <w:ind w:firstLine="0"/>
        <w:rPr>
          <w:lang w:val="fr-FR"/>
        </w:rPr>
      </w:pPr>
      <w:r w:rsidRPr="00DF02C5">
        <w:rPr>
          <w:rStyle w:val="FootnoteReference"/>
          <w:lang w:val="en-GB"/>
        </w:rPr>
        <w:footnoteRef/>
      </w:r>
      <w:r w:rsidRPr="00B50576">
        <w:rPr>
          <w:lang w:val="fr-FR"/>
        </w:rPr>
        <w:t xml:space="preserve"> France, Malawi, Mexico, Seychelles</w:t>
      </w:r>
    </w:p>
  </w:footnote>
  <w:footnote w:id="82">
    <w:p w14:paraId="1A2F7C66" w14:textId="413AA0FA"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Antigua and Barbuda, China, Dominican Republic, Ethiopia, India, Malta, South Africa, Spain, Swaziland, Viet Nam</w:t>
      </w:r>
    </w:p>
  </w:footnote>
  <w:footnote w:id="83">
    <w:p w14:paraId="2AC41964" w14:textId="61B2FD30"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Bulgaria, China, Dominican Republic, Malawi, Morocco </w:t>
      </w:r>
    </w:p>
  </w:footnote>
  <w:footnote w:id="84">
    <w:p w14:paraId="400EDDFB" w14:textId="35CB3B38"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Benin, India, Madagascar, Mexico</w:t>
      </w:r>
    </w:p>
  </w:footnote>
  <w:footnote w:id="85">
    <w:p w14:paraId="1566B90F" w14:textId="73C2B361"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India,  Kenya,  Malta, Uganda</w:t>
      </w:r>
    </w:p>
  </w:footnote>
  <w:footnote w:id="86">
    <w:p w14:paraId="20D623E2" w14:textId="6C0508D2" w:rsidR="005D4302" w:rsidRPr="00DF02C5" w:rsidRDefault="005D4302" w:rsidP="00EA65E0">
      <w:pPr>
        <w:rPr>
          <w:rFonts w:eastAsia="Calibri" w:hAnsi="Times New Roman"/>
          <w:noProof/>
          <w:snapToGrid w:val="0"/>
          <w:kern w:val="22"/>
          <w:bdr w:val="none" w:sz="0" w:space="0" w:color="auto"/>
          <w:lang w:val="en-GB"/>
        </w:rPr>
      </w:pPr>
      <w:r w:rsidRPr="00DF02C5">
        <w:rPr>
          <w:rStyle w:val="FootnoteReference"/>
          <w:sz w:val="18"/>
          <w:szCs w:val="18"/>
          <w:lang w:val="en-GB"/>
        </w:rPr>
        <w:footnoteRef/>
      </w:r>
      <w:r w:rsidRPr="00DF02C5">
        <w:rPr>
          <w:lang w:val="en-GB"/>
        </w:rPr>
        <w:t xml:space="preserve"> </w:t>
      </w:r>
      <w:r w:rsidRPr="00DF02C5">
        <w:rPr>
          <w:rFonts w:eastAsia="Times New Roman" w:hAnsi="Times New Roman" w:cs="Times New Roman"/>
          <w:sz w:val="18"/>
          <w:szCs w:val="18"/>
          <w:lang w:val="en-GB"/>
        </w:rPr>
        <w:t>E.g. China, Ethiopia, India (online application system www.nbaindia.org) ; Malta (https://agriculturE.g.ov.mt/en/phd/); Peru (</w:t>
      </w:r>
      <w:hyperlink r:id="rId1" w:history="1">
        <w:r w:rsidRPr="00DF02C5">
          <w:rPr>
            <w:rStyle w:val="Hyperlink"/>
            <w:rFonts w:eastAsia="Times New Roman" w:hAnsi="Times New Roman" w:cs="Times New Roman"/>
            <w:sz w:val="18"/>
            <w:szCs w:val="18"/>
            <w:lang w:val="en-GB"/>
          </w:rPr>
          <w:t>http://genesperu</w:t>
        </w:r>
        <w:r w:rsidRPr="00DF02C5">
          <w:rPr>
            <w:rStyle w:val="Hyperlink"/>
            <w:rFonts w:eastAsia="Calibri" w:hAnsi="Times New Roman"/>
            <w:noProof/>
            <w:snapToGrid w:val="0"/>
            <w:kern w:val="22"/>
            <w:sz w:val="18"/>
            <w:szCs w:val="18"/>
            <w:bdr w:val="none" w:sz="0" w:space="0" w:color="auto"/>
            <w:lang w:val="en-GB"/>
          </w:rPr>
          <w:t>.minam.gob.pe/obtener-cfp-establecer-cma/)</w:t>
        </w:r>
      </w:hyperlink>
      <w:r w:rsidRPr="00DF02C5">
        <w:rPr>
          <w:rFonts w:eastAsia="Calibri" w:hAnsi="Times New Roman"/>
          <w:noProof/>
          <w:snapToGrid w:val="0"/>
          <w:kern w:val="22"/>
          <w:sz w:val="18"/>
          <w:szCs w:val="18"/>
          <w:bdr w:val="none" w:sz="0" w:space="0" w:color="auto"/>
          <w:lang w:val="en-GB"/>
        </w:rPr>
        <w:t>; Portugal (http://www.formstack.com/forms/GRA-Request_Access_Sampling_Scientific_Purposes)</w:t>
      </w:r>
    </w:p>
  </w:footnote>
  <w:footnote w:id="87">
    <w:p w14:paraId="522B47C1" w14:textId="77777777"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Ethiopia</w:t>
      </w:r>
    </w:p>
  </w:footnote>
  <w:footnote w:id="88">
    <w:p w14:paraId="5E5A65E0" w14:textId="77777777" w:rsidR="005D4302" w:rsidRPr="00DF02C5" w:rsidRDefault="005D4302" w:rsidP="008A3D16">
      <w:pPr>
        <w:pStyle w:val="FootnoteText"/>
        <w:ind w:firstLine="0"/>
        <w:rPr>
          <w:lang w:val="en-GB"/>
        </w:rPr>
      </w:pPr>
      <w:r w:rsidRPr="00DF02C5">
        <w:rPr>
          <w:rStyle w:val="FootnoteReference"/>
          <w:lang w:val="en-GB"/>
        </w:rPr>
        <w:footnoteRef/>
      </w:r>
      <w:r w:rsidRPr="00DF02C5">
        <w:rPr>
          <w:lang w:val="en-GB"/>
        </w:rPr>
        <w:t xml:space="preserve"> Albania, Democratic Republic of Congo, Guinea, Mauritania, Senegal </w:t>
      </w:r>
    </w:p>
  </w:footnote>
  <w:footnote w:id="89">
    <w:p w14:paraId="1BCB4048" w14:textId="11D3FFE6" w:rsidR="005D4302" w:rsidRPr="00DF02C5" w:rsidRDefault="005D4302" w:rsidP="00EA65E0">
      <w:pPr>
        <w:pStyle w:val="Para1"/>
        <w:spacing w:line="228" w:lineRule="auto"/>
        <w:jc w:val="left"/>
        <w:rPr>
          <w:rFonts w:eastAsia="Calibri" w:hAnsi="Times New Roman"/>
          <w:noProof/>
          <w:snapToGrid w:val="0"/>
          <w:kern w:val="22"/>
          <w:bdr w:val="none" w:sz="0" w:space="0" w:color="auto"/>
          <w:lang w:val="en-GB"/>
        </w:rPr>
      </w:pPr>
      <w:r w:rsidRPr="00DF02C5">
        <w:rPr>
          <w:rStyle w:val="FootnoteReference"/>
          <w:sz w:val="18"/>
          <w:szCs w:val="18"/>
          <w:lang w:val="en-GB"/>
        </w:rPr>
        <w:footnoteRef/>
      </w:r>
      <w:r w:rsidRPr="00DF02C5">
        <w:rPr>
          <w:lang w:val="en-GB"/>
        </w:rPr>
        <w:t xml:space="preserve"> </w:t>
      </w:r>
      <w:r w:rsidRPr="00DF02C5">
        <w:rPr>
          <w:rFonts w:eastAsia="Times New Roman" w:hAnsi="Times New Roman"/>
          <w:sz w:val="18"/>
          <w:szCs w:val="18"/>
          <w:lang w:val="en-GB"/>
        </w:rPr>
        <w:t>E.g.</w:t>
      </w:r>
      <w:r w:rsidRPr="00DF02C5">
        <w:rPr>
          <w:lang w:val="en-GB"/>
        </w:rPr>
        <w:t xml:space="preserve"> </w:t>
      </w:r>
      <w:r w:rsidRPr="00DF02C5">
        <w:rPr>
          <w:rFonts w:eastAsia="Times New Roman" w:hAnsi="Times New Roman"/>
          <w:sz w:val="18"/>
          <w:szCs w:val="18"/>
          <w:lang w:val="en-GB"/>
        </w:rPr>
        <w:t>Antigua and Barbuda; Benin, Ethiopia, Peru, Portugal, Spain, Swaziland</w:t>
      </w:r>
    </w:p>
  </w:footnote>
  <w:footnote w:id="90">
    <w:p w14:paraId="5F6DD442" w14:textId="2C916729"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Rwanda, France, Dominican Republic</w:t>
      </w:r>
    </w:p>
  </w:footnote>
  <w:footnote w:id="91">
    <w:p w14:paraId="7E4BE91B" w14:textId="75A260FE" w:rsidR="005D4302" w:rsidRPr="00DF02C5" w:rsidRDefault="005D4302" w:rsidP="00C62E4B">
      <w:pPr>
        <w:pStyle w:val="FootnoteText"/>
        <w:ind w:firstLine="0"/>
        <w:rPr>
          <w:lang w:val="en-GB"/>
        </w:rPr>
      </w:pPr>
      <w:r w:rsidRPr="00DF02C5">
        <w:rPr>
          <w:rStyle w:val="FootnoteReference"/>
          <w:lang w:val="en-GB"/>
        </w:rPr>
        <w:footnoteRef/>
      </w:r>
      <w:r w:rsidRPr="00DF02C5">
        <w:rPr>
          <w:lang w:val="en-GB"/>
        </w:rPr>
        <w:t xml:space="preserve"> E.g. China, Mexico</w:t>
      </w:r>
    </w:p>
  </w:footnote>
  <w:footnote w:id="92">
    <w:p w14:paraId="04EDF60E" w14:textId="4189B77A"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Peru, Uganda </w:t>
      </w:r>
    </w:p>
  </w:footnote>
  <w:footnote w:id="93">
    <w:p w14:paraId="38051D00" w14:textId="67DD20C9"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Dominican Republic, India </w:t>
      </w:r>
    </w:p>
  </w:footnote>
  <w:footnote w:id="94">
    <w:p w14:paraId="37365F65" w14:textId="77777777"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Benin </w:t>
      </w:r>
    </w:p>
  </w:footnote>
  <w:footnote w:id="95">
    <w:p w14:paraId="5B332BFC" w14:textId="45197AA9" w:rsidR="005D4302" w:rsidRPr="00DF02C5" w:rsidRDefault="005D4302" w:rsidP="00386F63">
      <w:pPr>
        <w:pStyle w:val="FootnoteText"/>
        <w:ind w:firstLine="0"/>
        <w:rPr>
          <w:lang w:val="en-GB"/>
        </w:rPr>
      </w:pPr>
      <w:r w:rsidRPr="00DF02C5">
        <w:rPr>
          <w:rStyle w:val="FootnoteReference"/>
          <w:lang w:val="en-GB"/>
        </w:rPr>
        <w:footnoteRef/>
      </w:r>
      <w:r w:rsidRPr="00DF02C5">
        <w:rPr>
          <w:lang w:val="en-GB"/>
        </w:rPr>
        <w:t xml:space="preserve"> E.g. India, Malta, Viet Nam</w:t>
      </w:r>
    </w:p>
  </w:footnote>
  <w:footnote w:id="96">
    <w:p w14:paraId="7D034529" w14:textId="066A257A" w:rsidR="005D4302" w:rsidRPr="00DF02C5" w:rsidRDefault="005D4302" w:rsidP="009A1EF2">
      <w:pPr>
        <w:pStyle w:val="FootnoteText"/>
        <w:ind w:firstLine="0"/>
        <w:rPr>
          <w:lang w:val="en-GB"/>
        </w:rPr>
      </w:pPr>
      <w:r w:rsidRPr="00DF02C5">
        <w:rPr>
          <w:rStyle w:val="FootnoteReference"/>
          <w:lang w:val="en-GB"/>
        </w:rPr>
        <w:footnoteRef/>
      </w:r>
      <w:r w:rsidRPr="00DF02C5">
        <w:rPr>
          <w:lang w:val="en-GB"/>
        </w:rPr>
        <w:t xml:space="preserve"> </w:t>
      </w:r>
      <w:r w:rsidRPr="00DF02C5">
        <w:rPr>
          <w:rFonts w:eastAsia="Calibri"/>
          <w:snapToGrid w:val="0"/>
          <w:kern w:val="22"/>
          <w:bdr w:val="none" w:sz="0" w:space="0" w:color="auto"/>
          <w:lang w:val="en-GB"/>
        </w:rPr>
        <w:t>Husbandry Law, the Seeds Law, the Rules for Approval of Import and Export of Genetic Resources of Livestock and Poultry and Their Use by Related International Collaborative Research</w:t>
      </w:r>
    </w:p>
  </w:footnote>
  <w:footnote w:id="97">
    <w:p w14:paraId="7742DBB5" w14:textId="50B3ED97"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Albania, Senegal. </w:t>
      </w:r>
    </w:p>
  </w:footnote>
  <w:footnote w:id="98">
    <w:p w14:paraId="5AF3B879" w14:textId="6350885F"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w:t>
      </w:r>
      <w:r w:rsidRPr="00DF02C5">
        <w:rPr>
          <w:rFonts w:eastAsia="Calibri"/>
          <w:noProof/>
          <w:snapToGrid w:val="0"/>
          <w:kern w:val="22"/>
          <w:bdr w:val="none" w:sz="0" w:space="0" w:color="auto"/>
          <w:lang w:val="en-GB"/>
        </w:rPr>
        <w:t>Côte d’Ivoire</w:t>
      </w:r>
    </w:p>
  </w:footnote>
  <w:footnote w:id="99">
    <w:p w14:paraId="52F8CE40" w14:textId="77777777"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Democratic Republic of Congo </w:t>
      </w:r>
    </w:p>
  </w:footnote>
  <w:footnote w:id="100">
    <w:p w14:paraId="2E0D545A" w14:textId="0EDE8C98"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w:t>
      </w:r>
      <w:r w:rsidRPr="00DF02C5">
        <w:rPr>
          <w:rFonts w:eastAsia="Calibri"/>
          <w:snapToGrid w:val="0"/>
          <w:color w:val="auto"/>
          <w:kern w:val="22"/>
          <w:bdr w:val="none" w:sz="0" w:space="0" w:color="auto"/>
          <w:lang w:val="en-GB"/>
        </w:rPr>
        <w:t>Antigua and Barbuda, Malta, Mexico, Peru, Portugal, South Africa, Spain, Swaziland</w:t>
      </w:r>
    </w:p>
  </w:footnote>
  <w:footnote w:id="101">
    <w:p w14:paraId="5069D823" w14:textId="087AE657"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China, </w:t>
      </w:r>
      <w:r w:rsidRPr="00DF02C5">
        <w:rPr>
          <w:rFonts w:eastAsia="Calibri"/>
          <w:noProof/>
          <w:snapToGrid w:val="0"/>
          <w:kern w:val="22"/>
          <w:bdr w:val="none" w:sz="0" w:space="0" w:color="auto"/>
          <w:lang w:val="en-GB"/>
        </w:rPr>
        <w:t>Morocco, Rwanda</w:t>
      </w:r>
    </w:p>
  </w:footnote>
  <w:footnote w:id="102">
    <w:p w14:paraId="07958F95" w14:textId="45E93D99"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Bhutan </w:t>
      </w:r>
    </w:p>
  </w:footnote>
  <w:footnote w:id="103">
    <w:p w14:paraId="0FB20AF1" w14:textId="13BF2EA8"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Bhutan </w:t>
      </w:r>
    </w:p>
  </w:footnote>
  <w:footnote w:id="104">
    <w:p w14:paraId="3C5A81CA" w14:textId="04314576" w:rsidR="005D4302" w:rsidRPr="00B50576" w:rsidRDefault="005D4302" w:rsidP="00EA65E0">
      <w:pPr>
        <w:pStyle w:val="FootnoteText"/>
        <w:ind w:firstLine="0"/>
        <w:rPr>
          <w:lang w:val="fr-FR"/>
        </w:rPr>
      </w:pPr>
      <w:r w:rsidRPr="00DF02C5">
        <w:rPr>
          <w:rStyle w:val="FootnoteReference"/>
          <w:lang w:val="en-GB"/>
        </w:rPr>
        <w:footnoteRef/>
      </w:r>
      <w:r w:rsidRPr="00B50576">
        <w:rPr>
          <w:lang w:val="fr-FR"/>
        </w:rPr>
        <w:t xml:space="preserve"> E.g. Bhutan, Seychelles</w:t>
      </w:r>
    </w:p>
  </w:footnote>
  <w:footnote w:id="105">
    <w:p w14:paraId="7731EBBC" w14:textId="32591859" w:rsidR="005D4302" w:rsidRPr="00B50576" w:rsidRDefault="005D4302" w:rsidP="00EA65E0">
      <w:pPr>
        <w:pStyle w:val="FootnoteText"/>
        <w:ind w:firstLine="0"/>
        <w:rPr>
          <w:lang w:val="fr-FR"/>
        </w:rPr>
      </w:pPr>
      <w:r w:rsidRPr="00DF02C5">
        <w:rPr>
          <w:rStyle w:val="FootnoteReference"/>
          <w:lang w:val="en-GB"/>
        </w:rPr>
        <w:footnoteRef/>
      </w:r>
      <w:r w:rsidRPr="00B50576">
        <w:rPr>
          <w:lang w:val="fr-FR"/>
        </w:rPr>
        <w:t xml:space="preserve"> E.g. Bhutan, </w:t>
      </w:r>
      <w:proofErr w:type="spellStart"/>
      <w:r w:rsidRPr="00B50576">
        <w:rPr>
          <w:lang w:val="fr-FR"/>
        </w:rPr>
        <w:t>Dominican</w:t>
      </w:r>
      <w:proofErr w:type="spellEnd"/>
      <w:r w:rsidRPr="00B50576">
        <w:rPr>
          <w:lang w:val="fr-FR"/>
        </w:rPr>
        <w:t xml:space="preserve"> </w:t>
      </w:r>
      <w:proofErr w:type="spellStart"/>
      <w:r w:rsidRPr="00B50576">
        <w:rPr>
          <w:lang w:val="fr-FR"/>
        </w:rPr>
        <w:t>Republic</w:t>
      </w:r>
      <w:proofErr w:type="spellEnd"/>
      <w:r w:rsidRPr="00B50576">
        <w:rPr>
          <w:lang w:val="fr-FR"/>
        </w:rPr>
        <w:t>, Venezuela</w:t>
      </w:r>
    </w:p>
  </w:footnote>
  <w:footnote w:id="106">
    <w:p w14:paraId="512D84D4" w14:textId="0D62B1A9"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Malawi, Uganda </w:t>
      </w:r>
    </w:p>
  </w:footnote>
  <w:footnote w:id="107">
    <w:p w14:paraId="5A4DAAAE" w14:textId="0AFB2477"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South Africa </w:t>
      </w:r>
    </w:p>
  </w:footnote>
  <w:footnote w:id="108">
    <w:p w14:paraId="7099C41A" w14:textId="601635BD"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Cuba, China, Mauritania</w:t>
      </w:r>
    </w:p>
  </w:footnote>
  <w:footnote w:id="109">
    <w:p w14:paraId="5605130E" w14:textId="286DADF6"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Comoros </w:t>
      </w:r>
    </w:p>
  </w:footnote>
  <w:footnote w:id="110">
    <w:p w14:paraId="1E69FA12" w14:textId="12B7826C" w:rsidR="005D4302" w:rsidRPr="00DF02C5" w:rsidRDefault="005D4302" w:rsidP="004E77A5">
      <w:pPr>
        <w:pStyle w:val="FootnoteText"/>
        <w:ind w:firstLine="0"/>
        <w:rPr>
          <w:lang w:val="en-GB"/>
        </w:rPr>
      </w:pPr>
      <w:r w:rsidRPr="00DF02C5">
        <w:rPr>
          <w:rStyle w:val="FootnoteReference"/>
          <w:lang w:val="en-GB"/>
        </w:rPr>
        <w:footnoteRef/>
      </w:r>
      <w:r w:rsidRPr="00DF02C5">
        <w:rPr>
          <w:lang w:val="en-GB"/>
        </w:rPr>
        <w:t xml:space="preserve"> Togo </w:t>
      </w:r>
    </w:p>
  </w:footnote>
  <w:footnote w:id="111">
    <w:p w14:paraId="1BB8D26F" w14:textId="70358BD5"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w:t>
      </w:r>
      <w:r w:rsidRPr="00DF02C5">
        <w:rPr>
          <w:color w:val="auto"/>
          <w:lang w:val="en-GB"/>
        </w:rPr>
        <w:t>Côte  d’Ivoire, Democratic Republic of the Congo, Senegal</w:t>
      </w:r>
    </w:p>
  </w:footnote>
  <w:footnote w:id="112">
    <w:p w14:paraId="1C6DB7B4" w14:textId="76D8614F" w:rsidR="005D4302" w:rsidRPr="00DF02C5" w:rsidRDefault="005D4302" w:rsidP="00EA65E0">
      <w:pPr>
        <w:pStyle w:val="Para1"/>
        <w:spacing w:line="228" w:lineRule="auto"/>
        <w:jc w:val="left"/>
        <w:rPr>
          <w:rFonts w:eastAsia="Calibri" w:hAnsi="Times New Roman"/>
          <w:noProof/>
          <w:snapToGrid w:val="0"/>
          <w:kern w:val="22"/>
          <w:bdr w:val="none" w:sz="0" w:space="0" w:color="auto"/>
          <w:lang w:val="en-GB"/>
        </w:rPr>
      </w:pPr>
      <w:r w:rsidRPr="00DF02C5">
        <w:rPr>
          <w:rStyle w:val="FootnoteReference"/>
          <w:lang w:val="en-GB"/>
        </w:rPr>
        <w:footnoteRef/>
      </w:r>
      <w:r w:rsidRPr="00DF02C5">
        <w:rPr>
          <w:lang w:val="en-GB"/>
        </w:rPr>
        <w:t xml:space="preserve"> </w:t>
      </w:r>
      <w:r w:rsidRPr="00DF02C5">
        <w:rPr>
          <w:rFonts w:eastAsia="Times New Roman" w:hAnsi="Times New Roman"/>
          <w:sz w:val="18"/>
          <w:szCs w:val="18"/>
          <w:lang w:val="en-GB"/>
        </w:rPr>
        <w:t>E.g.</w:t>
      </w:r>
      <w:r w:rsidRPr="00DF02C5">
        <w:rPr>
          <w:lang w:val="en-GB"/>
        </w:rPr>
        <w:t xml:space="preserve"> </w:t>
      </w:r>
      <w:r w:rsidRPr="00DF02C5">
        <w:rPr>
          <w:rFonts w:eastAsia="Times New Roman" w:hAnsi="Times New Roman"/>
          <w:sz w:val="18"/>
          <w:szCs w:val="18"/>
          <w:lang w:val="en-GB"/>
        </w:rPr>
        <w:t>Albania, Antigua and Barbuda; Benin,  Bhutan, China, Democratic Republic of the Congo, Ethiopia, India, Madagascar, Malawi, Malta, Mauritania, Morocco,  Peru, Portugal, South Africa, Spain, Swaziland, Uganda, Viet Nam</w:t>
      </w:r>
    </w:p>
  </w:footnote>
  <w:footnote w:id="113">
    <w:p w14:paraId="382D43E4" w14:textId="259C56C1"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Cuba</w:t>
      </w:r>
    </w:p>
  </w:footnote>
  <w:footnote w:id="114">
    <w:p w14:paraId="3B9250F4" w14:textId="79B8EAFF"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Ethiopia, India, Indonesia, Madagascar, Malta, Viet Nam</w:t>
      </w:r>
    </w:p>
  </w:footnote>
  <w:footnote w:id="115">
    <w:p w14:paraId="77387349" w14:textId="2F124E5B"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Dominican Republic, France, Kenya, Peru</w:t>
      </w:r>
    </w:p>
  </w:footnote>
  <w:footnote w:id="116">
    <w:p w14:paraId="4BAB9EC5" w14:textId="117776B9"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Kenya </w:t>
      </w:r>
    </w:p>
  </w:footnote>
  <w:footnote w:id="117">
    <w:p w14:paraId="11F6D0F3" w14:textId="29BB7BB8"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Rwanda </w:t>
      </w:r>
    </w:p>
  </w:footnote>
  <w:footnote w:id="118">
    <w:p w14:paraId="44BAA489" w14:textId="1885F8EB"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Morocco, Spain </w:t>
      </w:r>
    </w:p>
  </w:footnote>
  <w:footnote w:id="119">
    <w:p w14:paraId="474706B1" w14:textId="02D4FDB8"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Botswana, Bulgaria, Côte d’Ivoire, Senegal</w:t>
      </w:r>
    </w:p>
  </w:footnote>
  <w:footnote w:id="120">
    <w:p w14:paraId="0AD895DC" w14:textId="60BE4E99" w:rsidR="005D4302" w:rsidRPr="00B50576" w:rsidRDefault="005D4302" w:rsidP="00EA65E0">
      <w:pPr>
        <w:pStyle w:val="FootnoteText"/>
        <w:ind w:firstLine="0"/>
        <w:rPr>
          <w:lang w:val="fr-FR"/>
        </w:rPr>
      </w:pPr>
      <w:r w:rsidRPr="00DF02C5">
        <w:rPr>
          <w:rStyle w:val="FootnoteReference"/>
          <w:lang w:val="en-GB"/>
        </w:rPr>
        <w:footnoteRef/>
      </w:r>
      <w:r w:rsidRPr="00B50576">
        <w:rPr>
          <w:lang w:val="fr-FR"/>
        </w:rPr>
        <w:t xml:space="preserve"> E.g. </w:t>
      </w:r>
      <w:proofErr w:type="spellStart"/>
      <w:r w:rsidRPr="00B50576">
        <w:rPr>
          <w:lang w:val="fr-FR"/>
        </w:rPr>
        <w:t>Comoros</w:t>
      </w:r>
      <w:proofErr w:type="spellEnd"/>
    </w:p>
  </w:footnote>
  <w:footnote w:id="121">
    <w:p w14:paraId="31F9DF6E" w14:textId="68F89F7B" w:rsidR="005D4302" w:rsidRPr="00B50576" w:rsidRDefault="005D4302" w:rsidP="00EA65E0">
      <w:pPr>
        <w:pStyle w:val="FootnoteText"/>
        <w:ind w:firstLine="0"/>
        <w:rPr>
          <w:lang w:val="fr-FR"/>
        </w:rPr>
      </w:pPr>
      <w:r w:rsidRPr="00DF02C5">
        <w:rPr>
          <w:rStyle w:val="FootnoteReference"/>
          <w:lang w:val="en-GB"/>
        </w:rPr>
        <w:footnoteRef/>
      </w:r>
      <w:r w:rsidRPr="00B50576">
        <w:rPr>
          <w:lang w:val="fr-FR"/>
        </w:rPr>
        <w:t xml:space="preserve"> E.g. Côte d’Ivoire, Panama, Mexico</w:t>
      </w:r>
    </w:p>
  </w:footnote>
  <w:footnote w:id="122">
    <w:p w14:paraId="29C3E568" w14:textId="5B0490EF" w:rsidR="005D4302" w:rsidRPr="00DF02C5" w:rsidRDefault="005D4302" w:rsidP="002F09C2">
      <w:pPr>
        <w:pStyle w:val="FootnoteText"/>
        <w:ind w:firstLine="0"/>
        <w:rPr>
          <w:lang w:val="en-GB"/>
        </w:rPr>
      </w:pPr>
      <w:r w:rsidRPr="00DF02C5">
        <w:rPr>
          <w:rStyle w:val="FootnoteReference"/>
          <w:lang w:val="en-GB"/>
        </w:rPr>
        <w:footnoteRef/>
      </w:r>
      <w:r w:rsidRPr="00DF02C5">
        <w:rPr>
          <w:lang w:val="en-GB"/>
        </w:rPr>
        <w:t xml:space="preserve"> E.g. Denmark, European Union, Finland (f</w:t>
      </w:r>
      <w:r>
        <w:rPr>
          <w:lang w:val="en-GB"/>
        </w:rPr>
        <w:t xml:space="preserve">or genetic resources) Germany, </w:t>
      </w:r>
      <w:r w:rsidRPr="00DF02C5">
        <w:rPr>
          <w:lang w:val="en-GB"/>
        </w:rPr>
        <w:t>Japan, Netherlands, Poland, Slovakia, Sweden, Switzerland, United Kingdom of Great Britain and Northern Ireland</w:t>
      </w:r>
    </w:p>
  </w:footnote>
  <w:footnote w:id="123">
    <w:p w14:paraId="66D46730" w14:textId="0CE035FE"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Austria,  Bulgaria, Burundi, Congo, Democratic Republic of the Congo, Mongolia, Niger, Senegal, Swaziland</w:t>
      </w:r>
    </w:p>
  </w:footnote>
  <w:footnote w:id="124">
    <w:p w14:paraId="7D877D17" w14:textId="2B1DEC09"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China, Honduras</w:t>
      </w:r>
    </w:p>
  </w:footnote>
  <w:footnote w:id="125">
    <w:p w14:paraId="51D6E7B2" w14:textId="77777777"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Benin, Democratic Republic of the Congo, Guinea Bissau</w:t>
      </w:r>
    </w:p>
  </w:footnote>
  <w:footnote w:id="126">
    <w:p w14:paraId="3C8379BF" w14:textId="1CC5D698" w:rsidR="005D4302" w:rsidRPr="00DF02C5" w:rsidRDefault="005D4302" w:rsidP="00EA65E0">
      <w:pPr>
        <w:pStyle w:val="Para1"/>
        <w:spacing w:line="228" w:lineRule="auto"/>
        <w:jc w:val="left"/>
        <w:rPr>
          <w:rFonts w:eastAsia="Times New Roman" w:hAnsi="Times New Roman"/>
          <w:sz w:val="18"/>
          <w:szCs w:val="18"/>
          <w:lang w:val="en-GB"/>
        </w:rPr>
      </w:pPr>
      <w:r w:rsidRPr="00DF02C5">
        <w:rPr>
          <w:rStyle w:val="FootnoteReference"/>
          <w:lang w:val="en-GB"/>
        </w:rPr>
        <w:footnoteRef/>
      </w:r>
      <w:r w:rsidRPr="00DF02C5">
        <w:rPr>
          <w:rStyle w:val="FootnoteReference"/>
          <w:lang w:val="en-GB"/>
        </w:rPr>
        <w:t xml:space="preserve">  </w:t>
      </w:r>
      <w:r w:rsidRPr="00DF02C5">
        <w:rPr>
          <w:rFonts w:eastAsia="Times New Roman" w:hAnsi="Times New Roman"/>
          <w:sz w:val="18"/>
          <w:szCs w:val="18"/>
          <w:lang w:val="en-GB"/>
        </w:rPr>
        <w:t xml:space="preserve"> E.g. Burkina Faso, Benin, Bhutan, Comoros, Cuba, Indonesia, Kenya, Lao People’s Democratic Republic, Madagascar, Mauritania,  Malawi, Panama, Peru, Seychelles, Sao Tome and Principe, Uganda, Viet Nam</w:t>
      </w:r>
    </w:p>
  </w:footnote>
  <w:footnote w:id="127">
    <w:p w14:paraId="1AE26550" w14:textId="0E1F55DD"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Benin, Comoros, Cuba, Indonesia, Panama </w:t>
      </w:r>
    </w:p>
  </w:footnote>
  <w:footnote w:id="128">
    <w:p w14:paraId="7A556821" w14:textId="7FDA2343"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Antigua and Barbuda, Burkina Faso, Botswana, Panama, Malawi</w:t>
      </w:r>
    </w:p>
  </w:footnote>
  <w:footnote w:id="129">
    <w:p w14:paraId="3988B16D" w14:textId="4859A105"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Panama</w:t>
      </w:r>
    </w:p>
  </w:footnote>
  <w:footnote w:id="130">
    <w:p w14:paraId="4C0B6A9A" w14:textId="0C03687A"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Benin </w:t>
      </w:r>
    </w:p>
  </w:footnote>
  <w:footnote w:id="131">
    <w:p w14:paraId="6D058523" w14:textId="3AA425E7"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Benin, Cameroon, Madagascar, Panama, Peru, Uganda, Venezuela (Bolivarian Republic of), Viet Nam </w:t>
      </w:r>
    </w:p>
  </w:footnote>
  <w:footnote w:id="132">
    <w:p w14:paraId="07D17ED6" w14:textId="78218A22"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Cameroon, Kenya, Mauritania, Malawi, Peru, Seychelles</w:t>
      </w:r>
    </w:p>
  </w:footnote>
  <w:footnote w:id="133">
    <w:p w14:paraId="0AFB999C" w14:textId="7BFB3FB3"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Bhutan, Cuba, Lao People’s Democratic Republic</w:t>
      </w:r>
    </w:p>
  </w:footnote>
  <w:footnote w:id="134">
    <w:p w14:paraId="71409C2F" w14:textId="71E831F8"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Burkina Faso, Mauritania</w:t>
      </w:r>
    </w:p>
  </w:footnote>
  <w:footnote w:id="135">
    <w:p w14:paraId="56B49ED9" w14:textId="18148094"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Malawi, South Africa</w:t>
      </w:r>
    </w:p>
  </w:footnote>
  <w:footnote w:id="136">
    <w:p w14:paraId="6A3EDAB3" w14:textId="73D1EFCD"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Peru </w:t>
      </w:r>
    </w:p>
  </w:footnote>
  <w:footnote w:id="137">
    <w:p w14:paraId="0858E623" w14:textId="57E97D4A"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Guinea Bissau </w:t>
      </w:r>
    </w:p>
  </w:footnote>
  <w:footnote w:id="138">
    <w:p w14:paraId="55818FC6" w14:textId="3F7AEC98" w:rsidR="005D4302" w:rsidRPr="00DF02C5" w:rsidRDefault="005D4302" w:rsidP="00EA65E0">
      <w:pPr>
        <w:pStyle w:val="FootnoteText"/>
        <w:ind w:firstLine="0"/>
        <w:rPr>
          <w:rStyle w:val="FootnoteReference"/>
          <w:lang w:val="en-GB"/>
        </w:rPr>
      </w:pPr>
      <w:r w:rsidRPr="00DF02C5">
        <w:rPr>
          <w:rStyle w:val="FootnoteReference"/>
          <w:lang w:val="en-GB"/>
        </w:rPr>
        <w:footnoteRef/>
      </w:r>
      <w:r w:rsidRPr="00DF02C5">
        <w:rPr>
          <w:lang w:val="en-GB"/>
        </w:rPr>
        <w:t xml:space="preserve"> E.g. Benin, Democratic Republic of the Congo</w:t>
      </w:r>
    </w:p>
  </w:footnote>
  <w:footnote w:id="139">
    <w:p w14:paraId="594066D7" w14:textId="2FC6CC97" w:rsidR="005D4302" w:rsidRPr="00DF02C5" w:rsidRDefault="005D4302" w:rsidP="00197D8A">
      <w:pPr>
        <w:pStyle w:val="FootnoteText"/>
        <w:ind w:firstLine="0"/>
        <w:rPr>
          <w:rStyle w:val="FootnoteReference"/>
          <w:lang w:val="en-GB"/>
        </w:rPr>
      </w:pPr>
      <w:r w:rsidRPr="00DF02C5">
        <w:rPr>
          <w:rStyle w:val="FootnoteReference"/>
          <w:lang w:val="en-GB"/>
        </w:rPr>
        <w:footnoteRef/>
      </w:r>
      <w:r w:rsidRPr="00DF02C5">
        <w:rPr>
          <w:rStyle w:val="FootnoteReference"/>
          <w:lang w:val="en-GB"/>
        </w:rPr>
        <w:t xml:space="preserve"> </w:t>
      </w:r>
      <w:r w:rsidRPr="00DF02C5">
        <w:rPr>
          <w:lang w:val="en-GB"/>
        </w:rPr>
        <w:t>E.g. Benin, Bhutan, Lao People’s Democratic Republic, Mauritania, Sao Tome and Principe</w:t>
      </w:r>
    </w:p>
  </w:footnote>
  <w:footnote w:id="140">
    <w:p w14:paraId="46EB699B" w14:textId="2A986592" w:rsidR="005D4302" w:rsidRPr="00DF02C5" w:rsidRDefault="005D4302" w:rsidP="00197D8A">
      <w:pPr>
        <w:pStyle w:val="FootnoteText"/>
        <w:ind w:firstLine="0"/>
        <w:rPr>
          <w:rStyle w:val="FootnoteReference"/>
          <w:lang w:val="en-GB"/>
        </w:rPr>
      </w:pPr>
      <w:r w:rsidRPr="00DF02C5">
        <w:rPr>
          <w:rStyle w:val="FootnoteReference"/>
          <w:lang w:val="en-GB"/>
        </w:rPr>
        <w:footnoteRef/>
      </w:r>
      <w:r w:rsidRPr="00DF02C5">
        <w:rPr>
          <w:rStyle w:val="FootnoteReference"/>
          <w:lang w:val="en-GB"/>
        </w:rPr>
        <w:t xml:space="preserve"> </w:t>
      </w:r>
      <w:r w:rsidRPr="00DF02C5">
        <w:rPr>
          <w:lang w:val="en-GB"/>
        </w:rPr>
        <w:t>E.g. Albania, Benin</w:t>
      </w:r>
      <w:r w:rsidRPr="00DF02C5">
        <w:rPr>
          <w:rStyle w:val="FootnoteReference"/>
          <w:lang w:val="en-GB"/>
        </w:rPr>
        <w:t xml:space="preserve"> </w:t>
      </w:r>
    </w:p>
  </w:footnote>
  <w:footnote w:id="141">
    <w:p w14:paraId="503F2EBB" w14:textId="22236D47" w:rsidR="005D4302" w:rsidRPr="00DF02C5" w:rsidRDefault="005D4302" w:rsidP="007354C0">
      <w:pPr>
        <w:pStyle w:val="FootnoteText"/>
        <w:ind w:firstLine="0"/>
        <w:rPr>
          <w:lang w:val="en-GB"/>
        </w:rPr>
      </w:pPr>
      <w:r w:rsidRPr="00DF02C5">
        <w:rPr>
          <w:rStyle w:val="FootnoteReference"/>
          <w:lang w:val="en-GB"/>
        </w:rPr>
        <w:footnoteRef/>
      </w:r>
      <w:r w:rsidRPr="00DF02C5">
        <w:rPr>
          <w:lang w:val="en-GB"/>
        </w:rPr>
        <w:t xml:space="preserve"> E.g. Lao People’s Democratic Republic</w:t>
      </w:r>
    </w:p>
  </w:footnote>
  <w:footnote w:id="142">
    <w:p w14:paraId="22F0AA74" w14:textId="337D60F1" w:rsidR="005D4302" w:rsidRPr="00DF02C5" w:rsidRDefault="005D4302" w:rsidP="007354C0">
      <w:pPr>
        <w:pStyle w:val="FootnoteText"/>
        <w:ind w:firstLine="0"/>
        <w:rPr>
          <w:lang w:val="en-GB"/>
        </w:rPr>
      </w:pPr>
      <w:r w:rsidRPr="00DF02C5">
        <w:rPr>
          <w:rStyle w:val="FootnoteReference"/>
          <w:lang w:val="en-GB"/>
        </w:rPr>
        <w:footnoteRef/>
      </w:r>
      <w:r w:rsidRPr="00DF02C5">
        <w:rPr>
          <w:lang w:val="en-GB"/>
        </w:rPr>
        <w:t xml:space="preserve"> E.g. Benin </w:t>
      </w:r>
    </w:p>
  </w:footnote>
  <w:footnote w:id="143">
    <w:p w14:paraId="05C7FAE9" w14:textId="6BFCBB4A" w:rsidR="005D4302" w:rsidRPr="00DF02C5" w:rsidRDefault="005D4302" w:rsidP="007354C0">
      <w:pPr>
        <w:pStyle w:val="FootnoteText"/>
        <w:ind w:firstLine="0"/>
        <w:rPr>
          <w:lang w:val="en-GB"/>
        </w:rPr>
      </w:pPr>
      <w:r w:rsidRPr="00DF02C5">
        <w:rPr>
          <w:rStyle w:val="FootnoteReference"/>
          <w:lang w:val="en-GB"/>
        </w:rPr>
        <w:footnoteRef/>
      </w:r>
      <w:r w:rsidRPr="00DF02C5">
        <w:rPr>
          <w:lang w:val="en-GB"/>
        </w:rPr>
        <w:t xml:space="preserve"> E.g. Guinea Bissau </w:t>
      </w:r>
    </w:p>
  </w:footnote>
  <w:footnote w:id="144">
    <w:p w14:paraId="63F17D28" w14:textId="59A9F97F"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Benin </w:t>
      </w:r>
    </w:p>
  </w:footnote>
  <w:footnote w:id="145">
    <w:p w14:paraId="425B506E" w14:textId="68D56177"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South Africa, Cuba </w:t>
      </w:r>
    </w:p>
  </w:footnote>
  <w:footnote w:id="146">
    <w:p w14:paraId="44297130" w14:textId="339D8963"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Cuba </w:t>
      </w:r>
    </w:p>
  </w:footnote>
  <w:footnote w:id="147">
    <w:p w14:paraId="04E8277E" w14:textId="1CDBAB12"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Venezuela (Bolivarian Republic of)</w:t>
      </w:r>
    </w:p>
  </w:footnote>
  <w:footnote w:id="148">
    <w:p w14:paraId="345AB006" w14:textId="658E02CE" w:rsidR="005D4302" w:rsidRPr="00DF02C5" w:rsidRDefault="005D4302" w:rsidP="002D431B">
      <w:pPr>
        <w:pStyle w:val="Para1"/>
        <w:spacing w:line="228" w:lineRule="auto"/>
        <w:jc w:val="left"/>
        <w:rPr>
          <w:rFonts w:eastAsia="Calibri" w:hAnsi="Times New Roman"/>
          <w:noProof/>
          <w:snapToGrid w:val="0"/>
          <w:kern w:val="22"/>
          <w:bdr w:val="none" w:sz="0" w:space="0" w:color="auto"/>
          <w:lang w:val="en-GB"/>
        </w:rPr>
      </w:pPr>
      <w:r w:rsidRPr="00DF02C5">
        <w:rPr>
          <w:rStyle w:val="FootnoteReference"/>
          <w:lang w:val="en-GB"/>
        </w:rPr>
        <w:footnoteRef/>
      </w:r>
      <w:r w:rsidRPr="00DF02C5">
        <w:rPr>
          <w:lang w:val="en-GB"/>
        </w:rPr>
        <w:t xml:space="preserve"> </w:t>
      </w:r>
      <w:r w:rsidRPr="00DF02C5">
        <w:rPr>
          <w:rFonts w:eastAsia="Times New Roman" w:hAnsi="Times New Roman"/>
          <w:sz w:val="18"/>
          <w:szCs w:val="18"/>
          <w:lang w:val="en-GB"/>
        </w:rPr>
        <w:t>E.g.</w:t>
      </w:r>
      <w:r w:rsidRPr="00DF02C5">
        <w:rPr>
          <w:lang w:val="en-GB"/>
        </w:rPr>
        <w:t xml:space="preserve"> </w:t>
      </w:r>
      <w:r w:rsidRPr="00DF02C5">
        <w:rPr>
          <w:rFonts w:eastAsia="Times New Roman" w:hAnsi="Times New Roman"/>
          <w:sz w:val="18"/>
          <w:szCs w:val="18"/>
          <w:lang w:val="en-GB"/>
        </w:rPr>
        <w:t xml:space="preserve">Albania, Antigua and Barbuda,  Benin, Burkina Faso, Burundi, Cuba, Democratic Republic of the Congo,  Guinea, Honduras, India, Kenya, Lao People’s Democratic Republic, Madagascar, Mauritania, Morocco, Peru, Republic of Moldova, South Africa, Spain, Swaziland, Switzerland, Uganda, Viet Nam </w:t>
      </w:r>
    </w:p>
  </w:footnote>
  <w:footnote w:id="149">
    <w:p w14:paraId="66C39D83" w14:textId="0DB09E9B" w:rsidR="005D4302" w:rsidRPr="00DF02C5" w:rsidRDefault="005D4302" w:rsidP="00D51A18">
      <w:pPr>
        <w:pStyle w:val="FootnoteText"/>
        <w:ind w:firstLine="0"/>
        <w:rPr>
          <w:lang w:val="en-GB"/>
        </w:rPr>
      </w:pPr>
      <w:r w:rsidRPr="00DF02C5">
        <w:rPr>
          <w:rStyle w:val="FootnoteReference"/>
          <w:lang w:val="en-GB"/>
        </w:rPr>
        <w:footnoteRef/>
      </w:r>
      <w:r w:rsidRPr="00DF02C5">
        <w:rPr>
          <w:lang w:val="en-GB"/>
        </w:rPr>
        <w:t xml:space="preserve">E.g. Bhutan, the European Union and Member States, Japan, Malawi, Norway, Switzerland </w:t>
      </w:r>
    </w:p>
  </w:footnote>
  <w:footnote w:id="150">
    <w:p w14:paraId="28DABED6" w14:textId="014EAAFC"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The same information was provided by the EU Member States in their reports.</w:t>
      </w:r>
    </w:p>
  </w:footnote>
  <w:footnote w:id="151">
    <w:p w14:paraId="41BC09D8" w14:textId="4B37EE16" w:rsidR="005D4302" w:rsidRPr="00DF02C5" w:rsidRDefault="005D4302" w:rsidP="00D51A18">
      <w:pPr>
        <w:pStyle w:val="FootnoteText"/>
        <w:ind w:firstLine="0"/>
        <w:rPr>
          <w:lang w:val="en-GB"/>
        </w:rPr>
      </w:pPr>
      <w:r w:rsidRPr="00DF02C5">
        <w:rPr>
          <w:rStyle w:val="FootnoteReference"/>
          <w:lang w:val="en-GB"/>
        </w:rPr>
        <w:footnoteRef/>
      </w:r>
      <w:r w:rsidRPr="00DF02C5">
        <w:rPr>
          <w:lang w:val="en-GB"/>
        </w:rPr>
        <w:t xml:space="preserve"> </w:t>
      </w:r>
      <w:r w:rsidRPr="00DF02C5">
        <w:rPr>
          <w:rFonts w:eastAsia="Calibri"/>
          <w:snapToGrid w:val="0"/>
          <w:kern w:val="22"/>
          <w:bdr w:val="none" w:sz="0" w:space="0" w:color="auto"/>
          <w:lang w:val="en-GB"/>
        </w:rPr>
        <w:t>The country of origin means the country in which the material was collected from in situ sources.</w:t>
      </w:r>
    </w:p>
  </w:footnote>
  <w:footnote w:id="152">
    <w:p w14:paraId="5576A1CC" w14:textId="77777777" w:rsidR="005D4302" w:rsidRPr="00DF02C5" w:rsidRDefault="005D4302" w:rsidP="00D51A18">
      <w:pPr>
        <w:pStyle w:val="FootnoteText"/>
        <w:ind w:firstLine="0"/>
        <w:rPr>
          <w:lang w:val="en-GB"/>
        </w:rPr>
      </w:pPr>
      <w:r w:rsidRPr="00DF02C5">
        <w:rPr>
          <w:rStyle w:val="FootnoteReference"/>
          <w:lang w:val="en-GB"/>
        </w:rPr>
        <w:footnoteRef/>
      </w:r>
      <w:r w:rsidRPr="00DF02C5">
        <w:rPr>
          <w:lang w:val="en-GB"/>
        </w:rPr>
        <w:t xml:space="preserve"> E.g. Albania, Burkina Faso, Burundi, Cameroon, Guinea Bissau, Kenya, Lao People’s Democratic Republic, Malawi, Morocco, Rwanda</w:t>
      </w:r>
    </w:p>
  </w:footnote>
  <w:footnote w:id="153">
    <w:p w14:paraId="6AD7D93A" w14:textId="4E2DD934"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Belarus, Botswana, Cameroon, China, Comoros, Côte d’Ivoire, Dominican Republic, Guinea Bissau, Kazakhstan Mexico, Mongolia, Niger, Pakistan, Panama, Sudan, Uruguay</w:t>
      </w:r>
    </w:p>
  </w:footnote>
  <w:footnote w:id="154">
    <w:p w14:paraId="75B57CD4" w14:textId="42024397"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Bhutan, Democratic Republic of the Congo, Guinea, Kenya, Lao People’s Democratic Republic</w:t>
      </w:r>
    </w:p>
  </w:footnote>
  <w:footnote w:id="155">
    <w:p w14:paraId="4E82CD79" w14:textId="6C88A93F"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Antigua and Barbuda, Albania, Burkina Faso, Benin, Democratic Republic of the Congo, Ethiopia, Kenya, Mauritania, Panama, Swaziland, South Africa, India, Viet Nam</w:t>
      </w:r>
    </w:p>
  </w:footnote>
  <w:footnote w:id="156">
    <w:p w14:paraId="0B11698F" w14:textId="77777777"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Bhutan,  Malawi, Morocco</w:t>
      </w:r>
    </w:p>
  </w:footnote>
  <w:footnote w:id="157">
    <w:p w14:paraId="360B5B2E" w14:textId="0F02D678"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Article 2 of the Access to Genetic Resources and Community Knowledge and Community Right  Proclamation No 482 2006 </w:t>
      </w:r>
    </w:p>
  </w:footnote>
  <w:footnote w:id="158">
    <w:p w14:paraId="6CB5D172" w14:textId="0B874E60"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The same information was provided by the EU Member States in their report.</w:t>
      </w:r>
    </w:p>
  </w:footnote>
  <w:footnote w:id="159">
    <w:p w14:paraId="06601EA6" w14:textId="6654DD39" w:rsidR="005D4302" w:rsidRPr="00DF02C5" w:rsidRDefault="005D4302" w:rsidP="00551E6E">
      <w:pPr>
        <w:pStyle w:val="FootnoteText"/>
        <w:ind w:firstLine="0"/>
        <w:rPr>
          <w:lang w:val="en-GB"/>
        </w:rPr>
      </w:pPr>
      <w:r w:rsidRPr="00DF02C5">
        <w:rPr>
          <w:rStyle w:val="FootnoteReference"/>
          <w:lang w:val="en-GB"/>
        </w:rPr>
        <w:footnoteRef/>
      </w:r>
      <w:r w:rsidRPr="00DF02C5">
        <w:rPr>
          <w:lang w:val="en-GB"/>
        </w:rPr>
        <w:t xml:space="preserve"> E.g. Belarus, Botswana, Cameroon, China, Comoros,  Côte d’Ivoire, Dominican Republic, Kazakhstan, Kuwait,</w:t>
      </w:r>
      <w:r w:rsidRPr="00DF02C5">
        <w:rPr>
          <w:smallCaps/>
          <w:lang w:val="en-GB"/>
        </w:rPr>
        <w:t xml:space="preserve"> </w:t>
      </w:r>
      <w:r w:rsidRPr="00DF02C5">
        <w:rPr>
          <w:lang w:val="en-GB"/>
        </w:rPr>
        <w:t>Mexico, Niger, Pakistan,  Sao Tome and Principe, Senegal, Sudan, Uruguay</w:t>
      </w:r>
    </w:p>
  </w:footnote>
  <w:footnote w:id="160">
    <w:p w14:paraId="6CD48BE5" w14:textId="77777777" w:rsidR="005D4302" w:rsidRPr="00DF02C5" w:rsidRDefault="005D4302" w:rsidP="00195CA3">
      <w:pPr>
        <w:pStyle w:val="FootnoteText"/>
        <w:ind w:firstLine="0"/>
        <w:rPr>
          <w:lang w:val="en-GB"/>
        </w:rPr>
      </w:pPr>
      <w:r w:rsidRPr="00DF02C5">
        <w:rPr>
          <w:rStyle w:val="FootnoteReference"/>
          <w:lang w:val="en-GB"/>
        </w:rPr>
        <w:footnoteRef/>
      </w:r>
      <w:r w:rsidRPr="00DF02C5">
        <w:rPr>
          <w:lang w:val="en-GB"/>
        </w:rPr>
        <w:t xml:space="preserve"> Burundi</w:t>
      </w:r>
    </w:p>
  </w:footnote>
  <w:footnote w:id="161">
    <w:p w14:paraId="3107B1E6" w14:textId="06692D68" w:rsidR="005D4302" w:rsidRPr="00DF02C5" w:rsidRDefault="005D4302" w:rsidP="00195CA3">
      <w:pPr>
        <w:pStyle w:val="FootnoteText"/>
        <w:ind w:firstLine="0"/>
        <w:rPr>
          <w:lang w:val="en-GB"/>
        </w:rPr>
      </w:pPr>
      <w:r w:rsidRPr="00DF02C5">
        <w:rPr>
          <w:rStyle w:val="FootnoteReference"/>
          <w:lang w:val="en-GB"/>
        </w:rPr>
        <w:footnoteRef/>
      </w:r>
      <w:r w:rsidRPr="00DF02C5">
        <w:rPr>
          <w:lang w:val="en-GB"/>
        </w:rPr>
        <w:t xml:space="preserve"> Bulgaria, Rwanda </w:t>
      </w:r>
    </w:p>
  </w:footnote>
  <w:footnote w:id="162">
    <w:p w14:paraId="0F409901" w14:textId="25D3CBD4" w:rsidR="005D4302" w:rsidRPr="00DF02C5" w:rsidRDefault="005D4302" w:rsidP="00195CA3">
      <w:pPr>
        <w:pStyle w:val="FootnoteText"/>
        <w:ind w:firstLine="0"/>
        <w:rPr>
          <w:lang w:val="en-GB"/>
        </w:rPr>
      </w:pPr>
      <w:r w:rsidRPr="00DF02C5">
        <w:rPr>
          <w:rStyle w:val="FootnoteReference"/>
          <w:lang w:val="en-GB"/>
        </w:rPr>
        <w:footnoteRef/>
      </w:r>
      <w:r w:rsidRPr="00DF02C5">
        <w:rPr>
          <w:lang w:val="en-GB"/>
        </w:rPr>
        <w:t xml:space="preserve"> China </w:t>
      </w:r>
    </w:p>
  </w:footnote>
  <w:footnote w:id="163">
    <w:p w14:paraId="75963BC0" w14:textId="121EAFBC" w:rsidR="005D4302" w:rsidRPr="00DF02C5" w:rsidRDefault="005D4302" w:rsidP="00195CA3">
      <w:pPr>
        <w:pStyle w:val="Para1"/>
        <w:spacing w:before="0" w:after="60" w:line="228" w:lineRule="auto"/>
        <w:jc w:val="left"/>
        <w:rPr>
          <w:rFonts w:eastAsia="Calibri" w:hAnsi="Times New Roman"/>
          <w:noProof/>
          <w:snapToGrid w:val="0"/>
          <w:kern w:val="22"/>
          <w:bdr w:val="none" w:sz="0" w:space="0" w:color="auto"/>
          <w:lang w:val="en-GB"/>
        </w:rPr>
      </w:pPr>
      <w:r w:rsidRPr="00DF02C5">
        <w:rPr>
          <w:rStyle w:val="FootnoteReference"/>
          <w:sz w:val="18"/>
          <w:szCs w:val="18"/>
          <w:lang w:val="en-GB"/>
        </w:rPr>
        <w:footnoteRef/>
      </w:r>
      <w:r w:rsidRPr="00DF02C5">
        <w:rPr>
          <w:sz w:val="18"/>
          <w:szCs w:val="18"/>
          <w:lang w:val="en-GB"/>
        </w:rPr>
        <w:t xml:space="preserve"> </w:t>
      </w:r>
      <w:r w:rsidRPr="00DF02C5">
        <w:rPr>
          <w:rFonts w:eastAsia="Times New Roman" w:hAnsi="Times New Roman"/>
          <w:sz w:val="18"/>
          <w:szCs w:val="18"/>
          <w:lang w:val="en-GB"/>
        </w:rPr>
        <w:t>E.g.</w:t>
      </w:r>
      <w:r w:rsidRPr="00DF02C5">
        <w:rPr>
          <w:lang w:val="en-GB"/>
        </w:rPr>
        <w:t xml:space="preserve"> </w:t>
      </w:r>
      <w:r w:rsidRPr="00DF02C5">
        <w:rPr>
          <w:rFonts w:eastAsia="Times New Roman" w:hAnsi="Times New Roman"/>
          <w:sz w:val="18"/>
          <w:szCs w:val="18"/>
          <w:lang w:val="en-GB"/>
        </w:rPr>
        <w:t>Albania, Antigua and Barbuda, Benin, Bhutan, Burkina Faso, Burundi,  Democratic Republic of the Congo, Ethiopia, Finland, Honduras, India, Indonesia, Japan, Kenya, Kyrgyzstan, Lao People’s Democratic Republic, Madagascar,  Malawi, Malta, Netherlands, Norway, Panama, Peru, South Africa, Swaziland, Switzerland</w:t>
      </w:r>
    </w:p>
  </w:footnote>
  <w:footnote w:id="164">
    <w:p w14:paraId="270EB30C" w14:textId="7F1CA86E" w:rsidR="005D4302" w:rsidRPr="00DF02C5" w:rsidRDefault="005D4302" w:rsidP="00195CA3">
      <w:pPr>
        <w:pStyle w:val="FootnoteText"/>
        <w:ind w:firstLine="0"/>
        <w:rPr>
          <w:lang w:val="en-GB"/>
        </w:rPr>
      </w:pPr>
      <w:r w:rsidRPr="00DF02C5">
        <w:rPr>
          <w:rStyle w:val="FootnoteReference"/>
          <w:lang w:val="en-GB"/>
        </w:rPr>
        <w:footnoteRef/>
      </w:r>
      <w:r w:rsidRPr="00DF02C5">
        <w:rPr>
          <w:lang w:val="en-GB"/>
        </w:rPr>
        <w:t xml:space="preserve"> E.g. Kenya, Kyrgyzstan, Lao People’s Democratic Republic, Madagascar, Norway, Peru</w:t>
      </w:r>
    </w:p>
  </w:footnote>
  <w:footnote w:id="165">
    <w:p w14:paraId="79F7ACF8" w14:textId="77777777" w:rsidR="005D4302" w:rsidRPr="00DF02C5" w:rsidRDefault="005D4302" w:rsidP="00195CA3">
      <w:pPr>
        <w:pStyle w:val="FootnoteText"/>
        <w:ind w:firstLine="0"/>
        <w:rPr>
          <w:lang w:val="en-GB"/>
        </w:rPr>
      </w:pPr>
      <w:r w:rsidRPr="00DF02C5">
        <w:rPr>
          <w:rStyle w:val="FootnoteReference"/>
          <w:lang w:val="en-GB"/>
        </w:rPr>
        <w:footnoteRef/>
      </w:r>
      <w:r w:rsidRPr="00DF02C5">
        <w:rPr>
          <w:lang w:val="en-GB"/>
        </w:rPr>
        <w:t xml:space="preserve"> </w:t>
      </w:r>
      <w:r w:rsidRPr="00DF02C5">
        <w:rPr>
          <w:rFonts w:eastAsia="Calibri"/>
          <w:noProof/>
          <w:snapToGrid w:val="0"/>
          <w:kern w:val="22"/>
          <w:bdr w:val="none" w:sz="0" w:space="0" w:color="auto"/>
          <w:lang w:val="en-GB"/>
        </w:rPr>
        <w:t>Regulations relating to the protection of traditional knowledge associated with genetic material were adopted by Royal Decree of 25. November 2016 under section 61a of the Act of 19 June 2009 No. 100 relating to the management of biological, geological and landscape diversity.</w:t>
      </w:r>
    </w:p>
  </w:footnote>
  <w:footnote w:id="166">
    <w:p w14:paraId="1CEDAA86" w14:textId="77777777" w:rsidR="005D4302" w:rsidRPr="00DF02C5" w:rsidRDefault="005D4302" w:rsidP="00EC434A">
      <w:pPr>
        <w:pStyle w:val="FootnoteText"/>
        <w:ind w:firstLine="0"/>
        <w:rPr>
          <w:lang w:val="en-GB"/>
        </w:rPr>
      </w:pPr>
      <w:r w:rsidRPr="00DF02C5">
        <w:rPr>
          <w:rStyle w:val="FootnoteReference"/>
          <w:lang w:val="en-GB"/>
        </w:rPr>
        <w:footnoteRef/>
      </w:r>
      <w:r w:rsidRPr="00DF02C5">
        <w:rPr>
          <w:lang w:val="en-GB"/>
        </w:rPr>
        <w:t xml:space="preserve"> E.g. Albania, Burundi, Morocco, </w:t>
      </w:r>
    </w:p>
  </w:footnote>
  <w:footnote w:id="167">
    <w:p w14:paraId="4222106F" w14:textId="77777777" w:rsidR="005D4302" w:rsidRPr="00DF02C5" w:rsidRDefault="005D4302" w:rsidP="00EC434A">
      <w:pPr>
        <w:pStyle w:val="FootnoteText"/>
        <w:ind w:firstLine="0"/>
        <w:rPr>
          <w:lang w:val="en-GB"/>
        </w:rPr>
      </w:pPr>
      <w:r w:rsidRPr="00DF02C5">
        <w:rPr>
          <w:rStyle w:val="FootnoteReference"/>
          <w:lang w:val="en-GB"/>
        </w:rPr>
        <w:footnoteRef/>
      </w:r>
      <w:r w:rsidRPr="00DF02C5">
        <w:rPr>
          <w:lang w:val="en-GB"/>
        </w:rPr>
        <w:t xml:space="preserve"> E.g. Belarus, Botswana, Cameroon, China, Comoros,  Guinea Bissau, Kazakhstan, Mexico, Mongolia, Niger, Pakistan, Sao Tome and Principe, Senegal, Sudan,  Uruguay</w:t>
      </w:r>
    </w:p>
  </w:footnote>
  <w:footnote w:id="168">
    <w:p w14:paraId="3C7C1E1E" w14:textId="4D3B2983"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Bulgaria, Rwanda </w:t>
      </w:r>
    </w:p>
  </w:footnote>
  <w:footnote w:id="169">
    <w:p w14:paraId="009C48B5" w14:textId="1F90AB0E"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China </w:t>
      </w:r>
    </w:p>
  </w:footnote>
  <w:footnote w:id="170">
    <w:p w14:paraId="069DF923" w14:textId="77777777"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Cuba</w:t>
      </w:r>
    </w:p>
  </w:footnote>
  <w:footnote w:id="171">
    <w:p w14:paraId="6636C6DA" w14:textId="4BF41855" w:rsidR="005D4302" w:rsidRPr="00DF02C5" w:rsidRDefault="005D4302" w:rsidP="00EA65E0">
      <w:pPr>
        <w:pStyle w:val="FootnoteText"/>
        <w:ind w:firstLine="0"/>
        <w:rPr>
          <w:color w:val="auto"/>
          <w:lang w:val="en-GB"/>
        </w:rPr>
      </w:pPr>
      <w:r w:rsidRPr="00DF02C5">
        <w:rPr>
          <w:rStyle w:val="FootnoteReference"/>
          <w:color w:val="auto"/>
          <w:lang w:val="en-GB"/>
        </w:rPr>
        <w:footnoteRef/>
      </w:r>
      <w:r w:rsidRPr="00DF02C5">
        <w:rPr>
          <w:color w:val="auto"/>
          <w:lang w:val="en-GB"/>
        </w:rPr>
        <w:t xml:space="preserve"> Peru </w:t>
      </w:r>
    </w:p>
  </w:footnote>
  <w:footnote w:id="172">
    <w:p w14:paraId="0B2AAE0E" w14:textId="3A86C2B3" w:rsidR="005D4302" w:rsidRPr="00DF02C5" w:rsidRDefault="005D4302" w:rsidP="00020046">
      <w:pPr>
        <w:pStyle w:val="FootnoteText"/>
        <w:ind w:firstLine="0"/>
        <w:rPr>
          <w:lang w:val="en-GB"/>
        </w:rPr>
      </w:pPr>
      <w:r w:rsidRPr="00DF02C5">
        <w:rPr>
          <w:rStyle w:val="FootnoteReference"/>
          <w:lang w:val="en-GB"/>
        </w:rPr>
        <w:footnoteRef/>
      </w:r>
      <w:r w:rsidRPr="00DF02C5">
        <w:rPr>
          <w:lang w:val="en-GB"/>
        </w:rPr>
        <w:t xml:space="preserve"> E.g. European Union,</w:t>
      </w:r>
      <w:r w:rsidRPr="00DF02C5">
        <w:rPr>
          <w:color w:val="auto"/>
          <w:lang w:val="en-GB"/>
        </w:rPr>
        <w:t xml:space="preserve"> </w:t>
      </w:r>
      <w:r w:rsidRPr="00DF02C5">
        <w:rPr>
          <w:lang w:val="en-GB"/>
        </w:rPr>
        <w:t>Kyrgyzstan,</w:t>
      </w:r>
      <w:r w:rsidRPr="00DF02C5">
        <w:rPr>
          <w:color w:val="auto"/>
          <w:lang w:val="en-GB"/>
        </w:rPr>
        <w:t xml:space="preserve"> Republic of Moldova,</w:t>
      </w:r>
      <w:r w:rsidRPr="00DF02C5">
        <w:rPr>
          <w:lang w:val="en-GB"/>
        </w:rPr>
        <w:t xml:space="preserve"> Sweden  </w:t>
      </w:r>
    </w:p>
  </w:footnote>
  <w:footnote w:id="173">
    <w:p w14:paraId="3BD853BA" w14:textId="21850AD6" w:rsidR="005D4302" w:rsidRPr="00DF02C5" w:rsidRDefault="005D4302" w:rsidP="00EA65E0">
      <w:pPr>
        <w:pStyle w:val="FootnoteText"/>
        <w:ind w:firstLine="0"/>
        <w:rPr>
          <w:color w:val="auto"/>
          <w:lang w:val="en-GB"/>
        </w:rPr>
      </w:pPr>
      <w:r w:rsidRPr="00DF02C5">
        <w:rPr>
          <w:rStyle w:val="FootnoteReference"/>
          <w:color w:val="auto"/>
          <w:lang w:val="en-GB"/>
        </w:rPr>
        <w:footnoteRef/>
      </w:r>
      <w:r w:rsidRPr="00DF02C5">
        <w:rPr>
          <w:color w:val="auto"/>
          <w:lang w:val="en-GB"/>
        </w:rPr>
        <w:t xml:space="preserve"> E.g. Burundi, Dominican Republic, Rwanda</w:t>
      </w:r>
    </w:p>
  </w:footnote>
  <w:footnote w:id="174">
    <w:p w14:paraId="22EDF068" w14:textId="77777777" w:rsidR="005D4302" w:rsidRPr="00DF02C5" w:rsidRDefault="005D4302" w:rsidP="00020046">
      <w:pPr>
        <w:pStyle w:val="FootnoteText"/>
        <w:ind w:firstLine="0"/>
        <w:rPr>
          <w:color w:val="auto"/>
          <w:lang w:val="en-GB"/>
        </w:rPr>
      </w:pPr>
      <w:r w:rsidRPr="00DF02C5">
        <w:rPr>
          <w:rStyle w:val="FootnoteReference"/>
          <w:color w:val="auto"/>
          <w:lang w:val="en-GB"/>
        </w:rPr>
        <w:footnoteRef/>
      </w:r>
      <w:r w:rsidRPr="00DF02C5">
        <w:rPr>
          <w:color w:val="auto"/>
          <w:lang w:val="en-GB"/>
        </w:rPr>
        <w:t xml:space="preserve"> Republic of Moldova</w:t>
      </w:r>
    </w:p>
  </w:footnote>
  <w:footnote w:id="175">
    <w:p w14:paraId="60414C80" w14:textId="69E7A016" w:rsidR="005D4302" w:rsidRPr="00DF02C5" w:rsidRDefault="005D4302" w:rsidP="00020046">
      <w:pPr>
        <w:pStyle w:val="FootnoteText"/>
        <w:ind w:firstLine="0"/>
        <w:rPr>
          <w:lang w:val="en-GB"/>
        </w:rPr>
      </w:pPr>
      <w:r w:rsidRPr="00DF02C5">
        <w:rPr>
          <w:rStyle w:val="FootnoteReference"/>
          <w:color w:val="auto"/>
          <w:lang w:val="en-GB"/>
        </w:rPr>
        <w:footnoteRef/>
      </w:r>
      <w:r w:rsidRPr="00DF02C5">
        <w:rPr>
          <w:color w:val="auto"/>
          <w:lang w:val="en-GB"/>
        </w:rPr>
        <w:t xml:space="preserve"> E.g. </w:t>
      </w:r>
      <w:r w:rsidRPr="00DF02C5">
        <w:rPr>
          <w:rFonts w:eastAsia="Calibri"/>
          <w:noProof/>
          <w:snapToGrid w:val="0"/>
          <w:color w:val="auto"/>
          <w:kern w:val="22"/>
          <w:bdr w:val="none" w:sz="0" w:space="0" w:color="auto"/>
          <w:lang w:val="en-GB"/>
        </w:rPr>
        <w:t xml:space="preserve">Bhutan, </w:t>
      </w:r>
      <w:r w:rsidRPr="00DF02C5">
        <w:rPr>
          <w:color w:val="auto"/>
          <w:lang w:val="en-GB"/>
        </w:rPr>
        <w:t xml:space="preserve">Mauritania,  Norway, Sweden, </w:t>
      </w:r>
      <w:r w:rsidRPr="00DF02C5">
        <w:rPr>
          <w:rFonts w:eastAsia="Calibri"/>
          <w:noProof/>
          <w:snapToGrid w:val="0"/>
          <w:color w:val="auto"/>
          <w:kern w:val="22"/>
          <w:bdr w:val="none" w:sz="0" w:space="0" w:color="auto"/>
          <w:lang w:val="en-GB"/>
        </w:rPr>
        <w:t>Swizerland, Uganda</w:t>
      </w:r>
    </w:p>
  </w:footnote>
  <w:footnote w:id="176">
    <w:p w14:paraId="37D5C818" w14:textId="77777777" w:rsidR="005D4302" w:rsidRPr="00DF02C5" w:rsidRDefault="005D4302" w:rsidP="00E73E0C">
      <w:pPr>
        <w:pStyle w:val="FootnoteText"/>
        <w:ind w:firstLine="0"/>
        <w:rPr>
          <w:lang w:val="en-GB"/>
        </w:rPr>
      </w:pPr>
      <w:r w:rsidRPr="00DF02C5">
        <w:rPr>
          <w:rStyle w:val="FootnoteReference"/>
          <w:lang w:val="en-GB"/>
        </w:rPr>
        <w:footnoteRef/>
      </w:r>
      <w:r w:rsidRPr="00DF02C5">
        <w:rPr>
          <w:lang w:val="en-GB"/>
        </w:rPr>
        <w:t xml:space="preserve"> E.g. Benin, Botswana, Burkina Faso, China, Cameroon, Comoros, Côte d’Ivoire, Democratic Republic of the Congo, Ethiopia, Guinea Bissau, India, Lao People’s Democratic Republic; Mexico, Mongolia; Pakistan, Panama; Senegal, South Africa</w:t>
      </w:r>
    </w:p>
  </w:footnote>
  <w:footnote w:id="177">
    <w:p w14:paraId="7DD3661F" w14:textId="0DE515BE"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Antigua and Barbuda Belgium, Bhutan,  Bulgaria, Czech Republic, Denmark, Finland, France, Germany, Estonia,  European Union, Hungary, Japan, Malta, Mauritania, Netherlands, Norway, Peru,  Poland, Portugal, Slovakia, Spain, Swaziland,  Sweden, Switzerland, United Kingdom of Great Britain and Northern Ireland, Viet Nam </w:t>
      </w:r>
    </w:p>
  </w:footnote>
  <w:footnote w:id="178">
    <w:p w14:paraId="3201BD6E" w14:textId="1A6E1358"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Morocco, Czech Republic</w:t>
      </w:r>
    </w:p>
  </w:footnote>
  <w:footnote w:id="179">
    <w:p w14:paraId="4FEAD5F7" w14:textId="60F29561" w:rsidR="005D4302" w:rsidRPr="00DF02C5" w:rsidRDefault="005D4302" w:rsidP="00413C2E">
      <w:pPr>
        <w:pStyle w:val="FootnoteText"/>
        <w:ind w:firstLine="0"/>
        <w:rPr>
          <w:lang w:val="en-GB"/>
        </w:rPr>
      </w:pPr>
      <w:r w:rsidRPr="00DF02C5">
        <w:rPr>
          <w:rStyle w:val="FootnoteReference"/>
          <w:lang w:val="en-GB"/>
        </w:rPr>
        <w:footnoteRef/>
      </w:r>
      <w:r w:rsidRPr="00DF02C5">
        <w:rPr>
          <w:lang w:val="en-GB"/>
        </w:rPr>
        <w:t>E.g. EU, Japan, Norway,  Switzerland</w:t>
      </w:r>
    </w:p>
  </w:footnote>
  <w:footnote w:id="180">
    <w:p w14:paraId="0BAC03B8" w14:textId="3FDB807C" w:rsidR="005D4302" w:rsidRPr="00DF02C5" w:rsidRDefault="005D4302" w:rsidP="0088673C">
      <w:pPr>
        <w:pStyle w:val="FootnoteText"/>
        <w:ind w:firstLine="0"/>
        <w:rPr>
          <w:lang w:val="en-GB"/>
        </w:rPr>
      </w:pPr>
      <w:r w:rsidRPr="00DF02C5">
        <w:rPr>
          <w:rStyle w:val="FootnoteReference"/>
          <w:lang w:val="en-GB"/>
        </w:rPr>
        <w:footnoteRef/>
      </w:r>
      <w:r w:rsidRPr="00DF02C5">
        <w:rPr>
          <w:lang w:val="en-GB"/>
        </w:rPr>
        <w:t xml:space="preserve"> E.g. Madagascar,  Mauritania, Morocco, Uganda, Vietnam</w:t>
      </w:r>
    </w:p>
  </w:footnote>
  <w:footnote w:id="181">
    <w:p w14:paraId="5E0753C4" w14:textId="0BE8C8CD"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Bulgaria, Denmark, Germany, Finland, France,  Malta, Netherlands,  Poland, Portugal, Slovakia,  Spain, Sweden, United Kingdom of Great Britain and Northern Ireland, Viet Nam </w:t>
      </w:r>
    </w:p>
  </w:footnote>
  <w:footnote w:id="182">
    <w:p w14:paraId="5A255FE4" w14:textId="437AD3EC"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w:t>
      </w:r>
      <w:r w:rsidRPr="00DF02C5">
        <w:rPr>
          <w:rFonts w:eastAsia="Calibri"/>
          <w:snapToGrid w:val="0"/>
          <w:color w:val="auto"/>
          <w:kern w:val="22"/>
          <w:bdr w:val="none" w:sz="0" w:space="0" w:color="auto"/>
          <w:lang w:val="en-GB"/>
        </w:rPr>
        <w:t>E.g. Hungary, Finland, Morocco, Swaziland, Switzerland, Uganda</w:t>
      </w:r>
    </w:p>
  </w:footnote>
  <w:footnote w:id="183">
    <w:p w14:paraId="288626F9" w14:textId="77777777" w:rsidR="005D4302" w:rsidRPr="00DF02C5" w:rsidRDefault="005D4302" w:rsidP="00020046">
      <w:pPr>
        <w:pStyle w:val="FootnoteText"/>
        <w:ind w:firstLine="0"/>
        <w:rPr>
          <w:lang w:val="en-GB"/>
        </w:rPr>
      </w:pPr>
      <w:r w:rsidRPr="00DF02C5">
        <w:rPr>
          <w:rStyle w:val="FootnoteReference"/>
          <w:lang w:val="en-GB"/>
        </w:rPr>
        <w:footnoteRef/>
      </w:r>
      <w:r w:rsidRPr="00DF02C5">
        <w:rPr>
          <w:lang w:val="en-GB"/>
        </w:rPr>
        <w:t xml:space="preserve"> E.g. Morocco, Uganda </w:t>
      </w:r>
    </w:p>
  </w:footnote>
  <w:footnote w:id="184">
    <w:p w14:paraId="5BBD1E79" w14:textId="77777777" w:rsidR="005D4302" w:rsidRPr="00DF02C5" w:rsidRDefault="005D4302" w:rsidP="00020046">
      <w:pPr>
        <w:pStyle w:val="FootnoteText"/>
        <w:ind w:firstLine="0"/>
        <w:rPr>
          <w:lang w:val="en-GB"/>
        </w:rPr>
      </w:pPr>
      <w:r w:rsidRPr="00DF02C5">
        <w:rPr>
          <w:rStyle w:val="FootnoteReference"/>
          <w:lang w:val="en-GB"/>
        </w:rPr>
        <w:footnoteRef/>
      </w:r>
      <w:r w:rsidRPr="00DF02C5">
        <w:rPr>
          <w:lang w:val="en-GB"/>
        </w:rPr>
        <w:t xml:space="preserve"> E.g. Peru </w:t>
      </w:r>
    </w:p>
  </w:footnote>
  <w:footnote w:id="185">
    <w:p w14:paraId="6555066E" w14:textId="77777777" w:rsidR="005D4302" w:rsidRPr="00DF02C5" w:rsidRDefault="005D4302" w:rsidP="00020046">
      <w:pPr>
        <w:pStyle w:val="FootnoteText"/>
        <w:ind w:firstLine="0"/>
        <w:rPr>
          <w:lang w:val="en-GB"/>
        </w:rPr>
      </w:pPr>
      <w:r w:rsidRPr="00DF02C5">
        <w:rPr>
          <w:rStyle w:val="FootnoteReference"/>
          <w:lang w:val="en-GB"/>
        </w:rPr>
        <w:footnoteRef/>
      </w:r>
      <w:r w:rsidRPr="00DF02C5">
        <w:rPr>
          <w:lang w:val="en-GB"/>
        </w:rPr>
        <w:t xml:space="preserve"> E.g. Morocco </w:t>
      </w:r>
    </w:p>
  </w:footnote>
  <w:footnote w:id="186">
    <w:p w14:paraId="1E74F084" w14:textId="77777777" w:rsidR="005D4302" w:rsidRPr="00DF02C5" w:rsidRDefault="005D4302" w:rsidP="00020046">
      <w:pPr>
        <w:pStyle w:val="FootnoteText"/>
        <w:ind w:firstLine="0"/>
        <w:rPr>
          <w:lang w:val="en-GB"/>
        </w:rPr>
      </w:pPr>
      <w:r w:rsidRPr="00DF02C5">
        <w:rPr>
          <w:rStyle w:val="FootnoteReference"/>
          <w:lang w:val="en-GB"/>
        </w:rPr>
        <w:footnoteRef/>
      </w:r>
      <w:r w:rsidRPr="00DF02C5">
        <w:rPr>
          <w:lang w:val="en-GB"/>
        </w:rPr>
        <w:t xml:space="preserve"> E.g. Morocco </w:t>
      </w:r>
    </w:p>
  </w:footnote>
  <w:footnote w:id="187">
    <w:p w14:paraId="5DD3BE9B" w14:textId="77777777" w:rsidR="005D4302" w:rsidRPr="00DF02C5" w:rsidRDefault="005D4302" w:rsidP="000C17EE">
      <w:pPr>
        <w:pStyle w:val="FootnoteText"/>
        <w:ind w:firstLine="0"/>
        <w:rPr>
          <w:lang w:val="en-GB"/>
        </w:rPr>
      </w:pPr>
      <w:r w:rsidRPr="00DF02C5">
        <w:rPr>
          <w:rStyle w:val="FootnoteReference"/>
          <w:lang w:val="en-GB"/>
        </w:rPr>
        <w:footnoteRef/>
      </w:r>
      <w:r w:rsidRPr="00DF02C5">
        <w:rPr>
          <w:lang w:val="en-GB"/>
        </w:rPr>
        <w:t xml:space="preserve"> Albania, Kenya </w:t>
      </w:r>
    </w:p>
  </w:footnote>
  <w:footnote w:id="188">
    <w:p w14:paraId="4016B48C" w14:textId="14747575" w:rsidR="005D4302" w:rsidRPr="00DF02C5" w:rsidRDefault="005D4302" w:rsidP="00553303">
      <w:pPr>
        <w:pStyle w:val="FootnoteText"/>
        <w:ind w:firstLine="0"/>
        <w:rPr>
          <w:lang w:val="en-GB"/>
        </w:rPr>
      </w:pPr>
      <w:r w:rsidRPr="00DF02C5">
        <w:rPr>
          <w:rStyle w:val="FootnoteReference"/>
          <w:lang w:val="en-GB"/>
        </w:rPr>
        <w:footnoteRef/>
      </w:r>
      <w:r w:rsidRPr="00DF02C5">
        <w:rPr>
          <w:lang w:val="en-GB"/>
        </w:rPr>
        <w:t xml:space="preserve"> E.g. Antigua and Barbuda Belgium, Bulgaria, Czech Republic, Denmark, Estonia, Finland, France, Germany, Hungary, Malta, Netherlands, Peru, Poland,  Portugal, Slovakia, Spain ,Sweden, United Kingdom of Great Britain and Northern Ireland, Viet Nam</w:t>
      </w:r>
    </w:p>
  </w:footnote>
  <w:footnote w:id="189">
    <w:p w14:paraId="3E070077" w14:textId="77777777"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Albania</w:t>
      </w:r>
    </w:p>
  </w:footnote>
  <w:footnote w:id="190">
    <w:p w14:paraId="645F09E8" w14:textId="77777777" w:rsidR="005D4302" w:rsidRPr="00DF02C5" w:rsidRDefault="005D4302" w:rsidP="00F94113">
      <w:pPr>
        <w:pStyle w:val="FootnoteText"/>
        <w:ind w:firstLine="0"/>
        <w:rPr>
          <w:lang w:val="en-GB"/>
        </w:rPr>
      </w:pPr>
      <w:r w:rsidRPr="00DF02C5">
        <w:rPr>
          <w:rStyle w:val="FootnoteReference"/>
          <w:lang w:val="en-GB"/>
        </w:rPr>
        <w:footnoteRef/>
      </w:r>
      <w:r w:rsidRPr="00DF02C5">
        <w:rPr>
          <w:lang w:val="en-GB"/>
        </w:rPr>
        <w:t xml:space="preserve"> E.g. Burkina Faso, Benin, Botswana, Democratic Republic of the Congo, Côte d’Ivoire, Cameroon, Ethiopia, Guinea, Guinea Bissau, India, Lao People’s Democratic Republic, Pakistan, South Africa</w:t>
      </w:r>
    </w:p>
  </w:footnote>
  <w:footnote w:id="191">
    <w:p w14:paraId="2D0BF1CF" w14:textId="77777777" w:rsidR="005D4302" w:rsidRPr="00DF02C5" w:rsidRDefault="005D4302" w:rsidP="00F94113">
      <w:pPr>
        <w:pStyle w:val="FootnoteText"/>
        <w:ind w:firstLine="0"/>
        <w:rPr>
          <w:lang w:val="en-GB"/>
        </w:rPr>
      </w:pPr>
      <w:r w:rsidRPr="00DF02C5">
        <w:rPr>
          <w:rStyle w:val="FootnoteReference"/>
          <w:lang w:val="en-GB"/>
        </w:rPr>
        <w:footnoteRef/>
      </w:r>
      <w:r w:rsidRPr="00DF02C5">
        <w:rPr>
          <w:lang w:val="en-GB"/>
        </w:rPr>
        <w:t xml:space="preserve"> Rwanda </w:t>
      </w:r>
    </w:p>
  </w:footnote>
  <w:footnote w:id="192">
    <w:p w14:paraId="3E485496" w14:textId="77777777" w:rsidR="005D4302" w:rsidRPr="00DF02C5" w:rsidRDefault="005D4302" w:rsidP="00F94113">
      <w:pPr>
        <w:pStyle w:val="FootnoteText"/>
        <w:ind w:firstLine="0"/>
        <w:rPr>
          <w:lang w:val="en-GB"/>
        </w:rPr>
      </w:pPr>
      <w:r w:rsidRPr="00DF02C5">
        <w:rPr>
          <w:rStyle w:val="FootnoteReference"/>
          <w:lang w:val="en-GB"/>
        </w:rPr>
        <w:footnoteRef/>
      </w:r>
      <w:r w:rsidRPr="00DF02C5">
        <w:rPr>
          <w:lang w:val="en-GB"/>
        </w:rPr>
        <w:t xml:space="preserve"> Togo </w:t>
      </w:r>
    </w:p>
  </w:footnote>
  <w:footnote w:id="193">
    <w:p w14:paraId="6CB74AD5" w14:textId="6042EC7E"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Bhutan, Burundi, Finland, Japan, Kenya, Madagascar, Mal</w:t>
      </w:r>
      <w:r>
        <w:rPr>
          <w:lang w:val="en-GB"/>
        </w:rPr>
        <w:t>ta, Sweden, Switzerland, Uganda.</w:t>
      </w:r>
    </w:p>
  </w:footnote>
  <w:footnote w:id="194">
    <w:p w14:paraId="08C4E02C" w14:textId="027795D0"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Japan, </w:t>
      </w:r>
      <w:r w:rsidRPr="00DF02C5">
        <w:rPr>
          <w:rFonts w:eastAsia="Calibri"/>
          <w:snapToGrid w:val="0"/>
          <w:color w:val="auto"/>
          <w:kern w:val="22"/>
          <w:bdr w:val="none" w:sz="0" w:space="0" w:color="auto"/>
          <w:lang w:val="en-GB"/>
        </w:rPr>
        <w:t>Morocco, Netherlands, Norway, Portugal, Spain</w:t>
      </w:r>
      <w:r>
        <w:rPr>
          <w:rFonts w:eastAsia="Calibri"/>
          <w:snapToGrid w:val="0"/>
          <w:color w:val="auto"/>
          <w:kern w:val="22"/>
          <w:bdr w:val="none" w:sz="0" w:space="0" w:color="auto"/>
          <w:lang w:val="en-GB"/>
        </w:rPr>
        <w:t>.</w:t>
      </w:r>
    </w:p>
  </w:footnote>
  <w:footnote w:id="195">
    <w:p w14:paraId="45B0C0A2" w14:textId="77777777" w:rsidR="005D4302" w:rsidRPr="00DF02C5" w:rsidRDefault="005D4302" w:rsidP="00207F7C">
      <w:pPr>
        <w:pStyle w:val="FootnoteText"/>
        <w:ind w:firstLine="0"/>
        <w:rPr>
          <w:lang w:val="en-GB"/>
        </w:rPr>
      </w:pPr>
      <w:r w:rsidRPr="00DF02C5">
        <w:rPr>
          <w:rStyle w:val="FootnoteReference"/>
          <w:lang w:val="en-GB"/>
        </w:rPr>
        <w:footnoteRef/>
      </w:r>
      <w:r w:rsidRPr="00DF02C5">
        <w:rPr>
          <w:lang w:val="en-GB"/>
        </w:rPr>
        <w:t xml:space="preserve"> E.g. Albania, Antigua and Barbuda, Burundi, Mexico, Morocco, Rwanda, Togo, Senegal</w:t>
      </w:r>
    </w:p>
  </w:footnote>
  <w:footnote w:id="196">
    <w:p w14:paraId="28DADCA5" w14:textId="77777777" w:rsidR="005D4302" w:rsidRPr="00DF02C5" w:rsidRDefault="005D4302" w:rsidP="00207F7C">
      <w:pPr>
        <w:pStyle w:val="Para1"/>
        <w:spacing w:line="228" w:lineRule="auto"/>
        <w:jc w:val="left"/>
        <w:rPr>
          <w:rFonts w:eastAsia="Calibri" w:hAnsi="Times New Roman"/>
          <w:snapToGrid w:val="0"/>
          <w:color w:val="auto"/>
          <w:kern w:val="22"/>
          <w:bdr w:val="none" w:sz="0" w:space="0" w:color="auto"/>
          <w:lang w:val="en-GB"/>
        </w:rPr>
      </w:pPr>
      <w:r w:rsidRPr="00DF02C5">
        <w:rPr>
          <w:rStyle w:val="FootnoteReference"/>
          <w:lang w:val="en-GB"/>
        </w:rPr>
        <w:footnoteRef/>
      </w:r>
      <w:r w:rsidRPr="00DF02C5">
        <w:rPr>
          <w:lang w:val="en-GB"/>
        </w:rPr>
        <w:t xml:space="preserve"> </w:t>
      </w:r>
      <w:r w:rsidRPr="00DF02C5">
        <w:rPr>
          <w:rFonts w:eastAsia="Times New Roman" w:hAnsi="Times New Roman"/>
          <w:sz w:val="18"/>
          <w:szCs w:val="18"/>
          <w:lang w:val="en-GB"/>
        </w:rPr>
        <w:t>E.g. Indonesia, Madagascar, Malawi, Morocco, Uganda, Viet Nam</w:t>
      </w:r>
    </w:p>
  </w:footnote>
  <w:footnote w:id="197">
    <w:p w14:paraId="6500048D" w14:textId="2F48666A"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The same information was provided by the EU Member States in their report.</w:t>
      </w:r>
    </w:p>
  </w:footnote>
  <w:footnote w:id="198">
    <w:p w14:paraId="4CBB7A13" w14:textId="16042B75"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Finland, Germany, Malta, Spain, </w:t>
      </w:r>
    </w:p>
  </w:footnote>
  <w:footnote w:id="199">
    <w:p w14:paraId="4F471779" w14:textId="77777777"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w:t>
      </w:r>
      <w:r w:rsidRPr="00DF02C5">
        <w:rPr>
          <w:rFonts w:eastAsia="Calibri"/>
          <w:snapToGrid w:val="0"/>
          <w:color w:val="auto"/>
          <w:kern w:val="22"/>
          <w:bdr w:val="none" w:sz="0" w:space="0" w:color="auto"/>
          <w:lang w:val="en-GB"/>
        </w:rPr>
        <w:t>Act on the Implementation of the Nagoya protocol to the Convention on Biological Diversity, Section 5</w:t>
      </w:r>
    </w:p>
  </w:footnote>
  <w:footnote w:id="200">
    <w:p w14:paraId="1CCF1FB5" w14:textId="36F5E4B5" w:rsidR="005D4302" w:rsidRPr="00DF02C5" w:rsidRDefault="005D4302" w:rsidP="001B01AE">
      <w:pPr>
        <w:pStyle w:val="FootnoteText"/>
        <w:ind w:firstLine="0"/>
        <w:rPr>
          <w:lang w:val="en-GB"/>
        </w:rPr>
      </w:pPr>
      <w:r w:rsidRPr="00DF02C5">
        <w:rPr>
          <w:rStyle w:val="FootnoteReference"/>
          <w:lang w:val="en-GB"/>
        </w:rPr>
        <w:footnoteRef/>
      </w:r>
      <w:r w:rsidRPr="00DF02C5">
        <w:rPr>
          <w:lang w:val="en-GB"/>
        </w:rPr>
        <w:t xml:space="preserve"> </w:t>
      </w:r>
      <w:r w:rsidRPr="00DF02C5">
        <w:rPr>
          <w:rFonts w:eastAsia="Calibri"/>
          <w:snapToGrid w:val="0"/>
          <w:color w:val="auto"/>
          <w:kern w:val="22"/>
          <w:bdr w:val="none" w:sz="0" w:space="0" w:color="auto"/>
          <w:lang w:val="en-GB"/>
        </w:rPr>
        <w:t xml:space="preserve">Cuba, Germany, </w:t>
      </w:r>
      <w:r w:rsidRPr="00DF02C5">
        <w:rPr>
          <w:lang w:val="en-GB"/>
        </w:rPr>
        <w:t xml:space="preserve">Indonesia, </w:t>
      </w:r>
      <w:r w:rsidRPr="00DF02C5">
        <w:rPr>
          <w:rFonts w:eastAsia="Calibri"/>
          <w:snapToGrid w:val="0"/>
          <w:color w:val="auto"/>
          <w:kern w:val="22"/>
          <w:bdr w:val="none" w:sz="0" w:space="0" w:color="auto"/>
          <w:lang w:val="en-GB"/>
        </w:rPr>
        <w:t>Peru , South Africa, Spain</w:t>
      </w:r>
    </w:p>
  </w:footnote>
  <w:footnote w:id="201">
    <w:p w14:paraId="6827F02F" w14:textId="54DD3975" w:rsidR="005D4302" w:rsidRPr="00DF02C5" w:rsidRDefault="005D4302" w:rsidP="001B01AE">
      <w:pPr>
        <w:pStyle w:val="FootnoteText"/>
        <w:ind w:firstLine="0"/>
        <w:rPr>
          <w:lang w:val="en-GB"/>
        </w:rPr>
      </w:pPr>
      <w:r w:rsidRPr="00DF02C5">
        <w:rPr>
          <w:rStyle w:val="FootnoteReference"/>
          <w:lang w:val="en-GB"/>
        </w:rPr>
        <w:footnoteRef/>
      </w:r>
      <w:r w:rsidRPr="00DF02C5">
        <w:rPr>
          <w:lang w:val="en-GB"/>
        </w:rPr>
        <w:t xml:space="preserve"> </w:t>
      </w:r>
      <w:r w:rsidRPr="00DF02C5">
        <w:rPr>
          <w:rFonts w:eastAsia="Calibri"/>
          <w:snapToGrid w:val="0"/>
          <w:color w:val="auto"/>
          <w:kern w:val="22"/>
          <w:bdr w:val="none" w:sz="0" w:space="0" w:color="auto"/>
          <w:lang w:val="en-GB"/>
        </w:rPr>
        <w:t>Kyrgyzstan</w:t>
      </w:r>
    </w:p>
  </w:footnote>
  <w:footnote w:id="202">
    <w:p w14:paraId="17156E2D" w14:textId="77777777" w:rsidR="005D4302" w:rsidRPr="00DF02C5" w:rsidRDefault="005D4302" w:rsidP="002F14A1">
      <w:pPr>
        <w:pStyle w:val="FootnoteText"/>
        <w:ind w:firstLine="0"/>
        <w:rPr>
          <w:lang w:val="en-GB"/>
        </w:rPr>
      </w:pPr>
      <w:r w:rsidRPr="00DF02C5">
        <w:rPr>
          <w:rStyle w:val="FootnoteReference"/>
          <w:lang w:val="en-GB"/>
        </w:rPr>
        <w:footnoteRef/>
      </w:r>
      <w:r w:rsidRPr="00DF02C5">
        <w:rPr>
          <w:lang w:val="en-GB"/>
        </w:rPr>
        <w:t xml:space="preserve"> E.g. Botswana, Burkina Faso, Cameroon, Côte  d’Ivoire, Cuba, Dominican Republic, Ethiopia, Guinea Bissau, India, Norway, Pakistan, Panama, Sudan, Uruguay</w:t>
      </w:r>
    </w:p>
  </w:footnote>
  <w:footnote w:id="203">
    <w:p w14:paraId="6892F2D5" w14:textId="77777777" w:rsidR="005D4302" w:rsidRPr="00DF02C5" w:rsidRDefault="005D4302" w:rsidP="00207F7C">
      <w:pPr>
        <w:pStyle w:val="FootnoteText"/>
        <w:ind w:firstLine="0"/>
        <w:rPr>
          <w:lang w:val="en-GB"/>
        </w:rPr>
      </w:pPr>
      <w:r w:rsidRPr="00DF02C5">
        <w:rPr>
          <w:rStyle w:val="FootnoteReference"/>
          <w:lang w:val="en-GB"/>
        </w:rPr>
        <w:footnoteRef/>
      </w:r>
      <w:r w:rsidRPr="00DF02C5">
        <w:rPr>
          <w:lang w:val="en-GB"/>
        </w:rPr>
        <w:t xml:space="preserve"> E.g. Albania, Antigua and Barbuda, Bhutan, European Union, Mauritania</w:t>
      </w:r>
    </w:p>
  </w:footnote>
  <w:footnote w:id="204">
    <w:p w14:paraId="082398E8" w14:textId="77777777" w:rsidR="005D4302" w:rsidRPr="00DF02C5" w:rsidRDefault="005D4302" w:rsidP="00207F7C">
      <w:pPr>
        <w:pStyle w:val="FootnoteText"/>
        <w:ind w:firstLine="0"/>
        <w:rPr>
          <w:lang w:val="en-GB"/>
        </w:rPr>
      </w:pPr>
      <w:r w:rsidRPr="00DF02C5">
        <w:rPr>
          <w:rStyle w:val="FootnoteReference"/>
          <w:lang w:val="en-GB"/>
        </w:rPr>
        <w:footnoteRef/>
      </w:r>
      <w:r w:rsidRPr="00DF02C5">
        <w:rPr>
          <w:lang w:val="en-GB"/>
        </w:rPr>
        <w:t xml:space="preserve"> Burundi, Morocco</w:t>
      </w:r>
    </w:p>
  </w:footnote>
  <w:footnote w:id="205">
    <w:p w14:paraId="713589A8" w14:textId="77777777" w:rsidR="005D4302" w:rsidRPr="00DF02C5" w:rsidRDefault="005D4302" w:rsidP="00C82D27">
      <w:pPr>
        <w:pStyle w:val="FootnoteText"/>
        <w:ind w:firstLine="0"/>
        <w:rPr>
          <w:lang w:val="en-GB"/>
        </w:rPr>
      </w:pPr>
      <w:r w:rsidRPr="00DF02C5">
        <w:rPr>
          <w:rStyle w:val="FootnoteReference"/>
          <w:lang w:val="en-GB"/>
        </w:rPr>
        <w:footnoteRef/>
      </w:r>
      <w:r w:rsidRPr="00DF02C5">
        <w:rPr>
          <w:lang w:val="en-GB"/>
        </w:rPr>
        <w:t xml:space="preserve"> The same information was provided by the EU Member States in their report, often including information on their competent authorities.</w:t>
      </w:r>
    </w:p>
  </w:footnote>
  <w:footnote w:id="206">
    <w:p w14:paraId="5D4A188F" w14:textId="77777777"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Bhutan, Burundi</w:t>
      </w:r>
    </w:p>
  </w:footnote>
  <w:footnote w:id="207">
    <w:p w14:paraId="7E9CFB37" w14:textId="12C5DEDD"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Botswana, Burkina Faso, Kenya, Mexico, Pakistan, Peru, Viet Nam</w:t>
      </w:r>
    </w:p>
  </w:footnote>
  <w:footnote w:id="208">
    <w:p w14:paraId="7965CE0B" w14:textId="75A67A83"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Finland, </w:t>
      </w:r>
      <w:r w:rsidRPr="00DF02C5">
        <w:rPr>
          <w:rFonts w:eastAsia="Calibri"/>
          <w:snapToGrid w:val="0"/>
          <w:color w:val="auto"/>
          <w:kern w:val="22"/>
          <w:bdr w:val="none" w:sz="0" w:space="0" w:color="auto"/>
          <w:lang w:val="en-GB"/>
        </w:rPr>
        <w:t>Netherlands, Poland, Sweden, United Kingdom of Great Britain and Northern Ireland.</w:t>
      </w:r>
    </w:p>
  </w:footnote>
  <w:footnote w:id="209">
    <w:p w14:paraId="00B85348" w14:textId="77777777" w:rsidR="005D4302" w:rsidRPr="00DF02C5" w:rsidRDefault="005D4302" w:rsidP="00BC148A">
      <w:pPr>
        <w:pStyle w:val="FootnoteText"/>
        <w:ind w:firstLine="0"/>
        <w:rPr>
          <w:lang w:val="en-GB"/>
        </w:rPr>
      </w:pPr>
      <w:r w:rsidRPr="00DF02C5">
        <w:rPr>
          <w:rStyle w:val="FootnoteReference"/>
          <w:lang w:val="en-GB"/>
        </w:rPr>
        <w:footnoteRef/>
      </w:r>
      <w:r w:rsidRPr="00DF02C5">
        <w:rPr>
          <w:lang w:val="en-GB"/>
        </w:rPr>
        <w:t xml:space="preserve"> E.g. Burundi, Ethiopia, Japan, Kyrgyzstan, Morocco, Peru, Rwanda, Swaziland, Uganda, Viet Nam</w:t>
      </w:r>
    </w:p>
  </w:footnote>
  <w:footnote w:id="210">
    <w:p w14:paraId="3886087C" w14:textId="77777777"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Spain </w:t>
      </w:r>
    </w:p>
  </w:footnote>
  <w:footnote w:id="211">
    <w:p w14:paraId="090045CE" w14:textId="1FCFE34F"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Ethiopia, </w:t>
      </w:r>
      <w:r w:rsidRPr="00DF02C5">
        <w:rPr>
          <w:rFonts w:eastAsia="Calibri"/>
          <w:snapToGrid w:val="0"/>
          <w:color w:val="auto"/>
          <w:kern w:val="22"/>
          <w:bdr w:val="none" w:sz="0" w:space="0" w:color="auto"/>
          <w:lang w:val="en-GB"/>
        </w:rPr>
        <w:t>Morocco, Peru, Uganda, Viet Nam</w:t>
      </w:r>
    </w:p>
  </w:footnote>
  <w:footnote w:id="212">
    <w:p w14:paraId="6A82B19F" w14:textId="4C03852C"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w:t>
      </w:r>
      <w:r w:rsidRPr="00DF02C5">
        <w:rPr>
          <w:rFonts w:eastAsia="Calibri"/>
          <w:snapToGrid w:val="0"/>
          <w:color w:val="auto"/>
          <w:kern w:val="22"/>
          <w:bdr w:val="none" w:sz="0" w:space="0" w:color="auto"/>
          <w:lang w:val="en-GB"/>
        </w:rPr>
        <w:t>Burundi, Japan, Rwanda</w:t>
      </w:r>
    </w:p>
  </w:footnote>
  <w:footnote w:id="213">
    <w:p w14:paraId="6B91F9ED" w14:textId="77777777" w:rsidR="005D4302" w:rsidRPr="00DF02C5" w:rsidRDefault="005D4302" w:rsidP="0096573F">
      <w:pPr>
        <w:pStyle w:val="FootnoteText"/>
        <w:ind w:firstLine="0"/>
        <w:rPr>
          <w:lang w:val="en-GB"/>
        </w:rPr>
      </w:pPr>
      <w:r w:rsidRPr="00DF02C5">
        <w:rPr>
          <w:rStyle w:val="FootnoteReference"/>
          <w:lang w:val="en-GB"/>
        </w:rPr>
        <w:footnoteRef/>
      </w:r>
      <w:r w:rsidRPr="00DF02C5">
        <w:rPr>
          <w:lang w:val="en-GB"/>
        </w:rPr>
        <w:t xml:space="preserve"> E.g. </w:t>
      </w:r>
      <w:r w:rsidRPr="00DF02C5">
        <w:rPr>
          <w:rFonts w:eastAsia="Calibri"/>
          <w:snapToGrid w:val="0"/>
          <w:color w:val="auto"/>
          <w:kern w:val="22"/>
          <w:bdr w:val="none" w:sz="0" w:space="0" w:color="auto"/>
          <w:lang w:val="en-GB"/>
        </w:rPr>
        <w:t xml:space="preserve">Benin, Bhutan, Cameroon, Cuba, India, Kenya, </w:t>
      </w:r>
      <w:r w:rsidRPr="00DF02C5">
        <w:rPr>
          <w:lang w:val="en-GB"/>
        </w:rPr>
        <w:t>Lao People’s Democratic Republic</w:t>
      </w:r>
      <w:r w:rsidRPr="00DF02C5">
        <w:rPr>
          <w:rFonts w:eastAsia="Calibri"/>
          <w:snapToGrid w:val="0"/>
          <w:color w:val="auto"/>
          <w:kern w:val="22"/>
          <w:bdr w:val="none" w:sz="0" w:space="0" w:color="auto"/>
          <w:lang w:val="en-GB"/>
        </w:rPr>
        <w:t>, Madagascar, Malawi, Mexico</w:t>
      </w:r>
    </w:p>
  </w:footnote>
  <w:footnote w:id="214">
    <w:p w14:paraId="1831D7CE" w14:textId="77777777"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w:t>
      </w:r>
      <w:r w:rsidRPr="00DF02C5">
        <w:rPr>
          <w:rFonts w:eastAsia="Calibri"/>
          <w:snapToGrid w:val="0"/>
          <w:color w:val="auto"/>
          <w:kern w:val="22"/>
          <w:bdr w:val="none" w:sz="0" w:space="0" w:color="auto"/>
          <w:lang w:val="en-GB"/>
        </w:rPr>
        <w:t>Antigua and Barbuda</w:t>
      </w:r>
    </w:p>
  </w:footnote>
  <w:footnote w:id="215">
    <w:p w14:paraId="5286658D" w14:textId="6903034D" w:rsidR="005D4302" w:rsidRPr="00DF02C5" w:rsidRDefault="005D4302" w:rsidP="00376285">
      <w:pPr>
        <w:pStyle w:val="FootnoteText"/>
        <w:ind w:firstLine="0"/>
        <w:rPr>
          <w:lang w:val="en-GB"/>
        </w:rPr>
      </w:pPr>
      <w:r w:rsidRPr="00DF02C5">
        <w:rPr>
          <w:rStyle w:val="FootnoteReference"/>
          <w:lang w:val="en-GB"/>
        </w:rPr>
        <w:footnoteRef/>
      </w:r>
      <w:r w:rsidRPr="00DF02C5">
        <w:rPr>
          <w:lang w:val="en-GB"/>
        </w:rPr>
        <w:t xml:space="preserve"> Malta </w:t>
      </w:r>
    </w:p>
  </w:footnote>
  <w:footnote w:id="216">
    <w:p w14:paraId="28B1827E" w14:textId="33A2938A"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Poland </w:t>
      </w:r>
    </w:p>
  </w:footnote>
  <w:footnote w:id="217">
    <w:p w14:paraId="3CE7D133" w14:textId="7F02E48E"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Sweden </w:t>
      </w:r>
    </w:p>
  </w:footnote>
  <w:footnote w:id="218">
    <w:p w14:paraId="3D1CD783" w14:textId="2D070A1B" w:rsidR="005D4302" w:rsidRPr="00DF02C5" w:rsidRDefault="005D4302" w:rsidP="006B6AB4">
      <w:pPr>
        <w:pStyle w:val="FootnoteText"/>
        <w:ind w:firstLine="0"/>
        <w:rPr>
          <w:lang w:val="en-GB"/>
        </w:rPr>
      </w:pPr>
      <w:r w:rsidRPr="00DF02C5">
        <w:rPr>
          <w:rStyle w:val="FootnoteReference"/>
          <w:lang w:val="en-GB"/>
        </w:rPr>
        <w:footnoteRef/>
      </w:r>
      <w:r w:rsidRPr="00DF02C5">
        <w:rPr>
          <w:lang w:val="en-GB"/>
        </w:rPr>
        <w:t xml:space="preserve"> Switzerland: </w:t>
      </w:r>
      <w:r w:rsidRPr="00DF02C5">
        <w:rPr>
          <w:rFonts w:eastAsia="Calibri"/>
          <w:snapToGrid w:val="0"/>
          <w:color w:val="auto"/>
          <w:kern w:val="22"/>
          <w:bdr w:val="none" w:sz="0" w:space="0" w:color="auto"/>
          <w:lang w:val="en-GB"/>
        </w:rPr>
        <w:t xml:space="preserve">Contribution to model clauses for the academic sector published by Swiss Academy of Sciences SCNAT </w:t>
      </w:r>
      <w:hyperlink r:id="rId2" w:history="1">
        <w:r w:rsidRPr="00DF02C5">
          <w:rPr>
            <w:rStyle w:val="Hyperlink"/>
            <w:rFonts w:eastAsia="Calibri"/>
            <w:snapToGrid w:val="0"/>
            <w:kern w:val="22"/>
            <w:bdr w:val="none" w:sz="0" w:space="0" w:color="auto"/>
            <w:lang w:val="en-GB"/>
          </w:rPr>
          <w:t>https://absch.cbd.int/database/A19A20/ABSCH-A19A20-SCBD-208298</w:t>
        </w:r>
      </w:hyperlink>
    </w:p>
  </w:footnote>
  <w:footnote w:id="219">
    <w:p w14:paraId="5FBF4748" w14:textId="7C175DDA"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Botswana,  Burkina Faso, China, Comoros, Democratic Republic of the Congo, Mexico, Mongolia, Pakistan, Panama, South Africa, Uruguay</w:t>
      </w:r>
    </w:p>
  </w:footnote>
  <w:footnote w:id="220">
    <w:p w14:paraId="481E6D1F" w14:textId="559B765A" w:rsidR="005D4302" w:rsidRPr="00DF02C5" w:rsidRDefault="005D4302" w:rsidP="00EA65E0">
      <w:pPr>
        <w:spacing w:before="120" w:after="120" w:line="228" w:lineRule="auto"/>
        <w:jc w:val="left"/>
        <w:rPr>
          <w:rFonts w:eastAsia="Calibri" w:hAnsi="Times New Roman" w:cs="Times New Roman"/>
          <w:snapToGrid w:val="0"/>
          <w:color w:val="auto"/>
          <w:kern w:val="22"/>
          <w:sz w:val="18"/>
          <w:szCs w:val="18"/>
          <w:bdr w:val="none" w:sz="0" w:space="0" w:color="auto"/>
          <w:lang w:val="en-GB"/>
        </w:rPr>
      </w:pPr>
      <w:r w:rsidRPr="00DF02C5">
        <w:rPr>
          <w:rStyle w:val="FootnoteReference"/>
          <w:sz w:val="18"/>
          <w:lang w:val="en-GB"/>
        </w:rPr>
        <w:footnoteRef/>
      </w:r>
      <w:r w:rsidRPr="00DF02C5">
        <w:rPr>
          <w:lang w:val="en-GB"/>
        </w:rPr>
        <w:t xml:space="preserve"> </w:t>
      </w:r>
      <w:r w:rsidRPr="00DF02C5">
        <w:rPr>
          <w:rFonts w:eastAsia="Calibri" w:hAnsi="Times New Roman" w:cs="Times New Roman"/>
          <w:snapToGrid w:val="0"/>
          <w:color w:val="auto"/>
          <w:kern w:val="22"/>
          <w:sz w:val="18"/>
          <w:szCs w:val="18"/>
          <w:bdr w:val="none" w:sz="0" w:space="0" w:color="auto"/>
          <w:lang w:val="en-GB"/>
        </w:rPr>
        <w:t>The online available documents and information include: The Access to Genetic Resource and Community Knowledge, and Community Rights Proclamation No. (482/2006) (ABS legal framework of Ethiopia); Material Transfer Agreement forms (MTA) (in MS-Word or pdf forms) needed for Export Permit; Instruction to users (Providing information on how to process access requests of genetic materi</w:t>
      </w:r>
      <w:r>
        <w:rPr>
          <w:rFonts w:eastAsia="Calibri" w:hAnsi="Times New Roman" w:cs="Times New Roman"/>
          <w:snapToGrid w:val="0"/>
          <w:color w:val="auto"/>
          <w:kern w:val="22"/>
          <w:sz w:val="18"/>
          <w:szCs w:val="18"/>
          <w:bdr w:val="none" w:sz="0" w:space="0" w:color="auto"/>
          <w:lang w:val="en-GB"/>
        </w:rPr>
        <w:t xml:space="preserve">als and indigenous knowledge); </w:t>
      </w:r>
      <w:r w:rsidRPr="00DF02C5">
        <w:rPr>
          <w:rFonts w:eastAsia="Calibri" w:hAnsi="Times New Roman" w:cs="Times New Roman"/>
          <w:snapToGrid w:val="0"/>
          <w:color w:val="auto"/>
          <w:kern w:val="22"/>
          <w:sz w:val="18"/>
          <w:szCs w:val="18"/>
          <w:bdr w:val="none" w:sz="0" w:space="0" w:color="auto"/>
          <w:lang w:val="en-GB"/>
        </w:rPr>
        <w:t>Assurance Letter Sample forms (E.g. Letter of Assurance to be produced from University / Research Institutions, or Competent National authorities, etc.);</w:t>
      </w:r>
      <w:r>
        <w:rPr>
          <w:rFonts w:eastAsia="Calibri" w:hAnsi="Times New Roman" w:cs="Times New Roman"/>
          <w:snapToGrid w:val="0"/>
          <w:color w:val="auto"/>
          <w:kern w:val="22"/>
          <w:sz w:val="18"/>
          <w:szCs w:val="18"/>
          <w:bdr w:val="none" w:sz="0" w:space="0" w:color="auto"/>
          <w:lang w:val="en-GB"/>
        </w:rPr>
        <w:t xml:space="preserve"> </w:t>
      </w:r>
      <w:r w:rsidRPr="00DF02C5">
        <w:rPr>
          <w:rFonts w:eastAsia="Calibri" w:hAnsi="Times New Roman" w:cs="Times New Roman"/>
          <w:snapToGrid w:val="0"/>
          <w:color w:val="auto"/>
          <w:kern w:val="22"/>
          <w:sz w:val="18"/>
          <w:szCs w:val="18"/>
          <w:bdr w:val="none" w:sz="0" w:space="0" w:color="auto"/>
          <w:lang w:val="en-GB"/>
        </w:rPr>
        <w:t>and List of potential genetic resources publicized for bioprospecting and benefit sharing purposes.</w:t>
      </w:r>
    </w:p>
  </w:footnote>
  <w:footnote w:id="221">
    <w:p w14:paraId="524D218A" w14:textId="54DDFA55" w:rsidR="005D4302" w:rsidRPr="00DF02C5" w:rsidRDefault="005D4302" w:rsidP="00EA65E0">
      <w:pPr>
        <w:pStyle w:val="FootnoteText"/>
        <w:ind w:firstLine="0"/>
        <w:rPr>
          <w:lang w:val="en-GB"/>
        </w:rPr>
      </w:pPr>
      <w:r w:rsidRPr="00DF02C5">
        <w:rPr>
          <w:rStyle w:val="FootnoteReference"/>
          <w:lang w:val="en-GB"/>
        </w:rPr>
        <w:footnoteRef/>
      </w:r>
      <w:r>
        <w:rPr>
          <w:lang w:val="en-GB"/>
        </w:rPr>
        <w:t xml:space="preserve"> E.g. Botswana, </w:t>
      </w:r>
      <w:r w:rsidRPr="00DF02C5">
        <w:rPr>
          <w:lang w:val="en-GB"/>
        </w:rPr>
        <w:t>Burkina Faso, Democratic Republic of the Congo, Madagascar, Mexico, Pakistan, Panama, South Africa; Uruguay</w:t>
      </w:r>
    </w:p>
  </w:footnote>
  <w:footnote w:id="222">
    <w:p w14:paraId="740C9ED2" w14:textId="6FABAFFF" w:rsidR="005D4302" w:rsidRPr="00B50576" w:rsidRDefault="005D4302" w:rsidP="00EA65E0">
      <w:pPr>
        <w:pStyle w:val="FootnoteText"/>
        <w:ind w:firstLine="0"/>
        <w:rPr>
          <w:lang w:val="fr-FR"/>
        </w:rPr>
      </w:pPr>
      <w:r w:rsidRPr="00DF02C5">
        <w:rPr>
          <w:rStyle w:val="FootnoteReference"/>
          <w:lang w:val="en-GB"/>
        </w:rPr>
        <w:footnoteRef/>
      </w:r>
      <w:r>
        <w:rPr>
          <w:lang w:val="fr-FR"/>
        </w:rPr>
        <w:t xml:space="preserve"> E.g. Congo, Côte </w:t>
      </w:r>
      <w:r w:rsidRPr="00B50576">
        <w:rPr>
          <w:lang w:val="fr-FR"/>
        </w:rPr>
        <w:t xml:space="preserve">d’Ivoire, </w:t>
      </w:r>
      <w:proofErr w:type="spellStart"/>
      <w:r w:rsidRPr="00B50576">
        <w:rPr>
          <w:lang w:val="fr-FR"/>
        </w:rPr>
        <w:t>Guinea</w:t>
      </w:r>
      <w:proofErr w:type="spellEnd"/>
      <w:r w:rsidRPr="00B50576">
        <w:rPr>
          <w:lang w:val="fr-FR"/>
        </w:rPr>
        <w:t xml:space="preserve">, </w:t>
      </w:r>
      <w:proofErr w:type="spellStart"/>
      <w:r w:rsidRPr="00B50576">
        <w:rPr>
          <w:lang w:val="fr-FR"/>
        </w:rPr>
        <w:t>Guinea</w:t>
      </w:r>
      <w:proofErr w:type="spellEnd"/>
      <w:r w:rsidRPr="00B50576">
        <w:rPr>
          <w:lang w:val="fr-FR"/>
        </w:rPr>
        <w:t xml:space="preserve"> Bissau, </w:t>
      </w:r>
      <w:proofErr w:type="spellStart"/>
      <w:r w:rsidRPr="00B50576">
        <w:rPr>
          <w:lang w:val="fr-FR"/>
        </w:rPr>
        <w:t>Sudan</w:t>
      </w:r>
      <w:proofErr w:type="spellEnd"/>
      <w:r w:rsidRPr="00B50576">
        <w:rPr>
          <w:lang w:val="fr-FR"/>
        </w:rPr>
        <w:t xml:space="preserve">,  </w:t>
      </w:r>
    </w:p>
  </w:footnote>
  <w:footnote w:id="223">
    <w:p w14:paraId="2335C983" w14:textId="39CA67B0"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E.g. Uruguay </w:t>
      </w:r>
    </w:p>
  </w:footnote>
  <w:footnote w:id="224">
    <w:p w14:paraId="29E23DD4" w14:textId="385345F3" w:rsidR="005D4302" w:rsidRPr="00DF02C5" w:rsidRDefault="005D4302" w:rsidP="00EA65E0">
      <w:pPr>
        <w:pStyle w:val="FootnoteText"/>
        <w:ind w:firstLine="0"/>
        <w:rPr>
          <w:lang w:val="en-GB"/>
        </w:rPr>
      </w:pPr>
      <w:r w:rsidRPr="00DF02C5">
        <w:rPr>
          <w:rStyle w:val="FootnoteReference"/>
          <w:lang w:val="en-GB"/>
        </w:rPr>
        <w:footnoteRef/>
      </w:r>
      <w:r w:rsidRPr="00DF02C5">
        <w:rPr>
          <w:lang w:val="en-GB"/>
        </w:rPr>
        <w:t xml:space="preserve"> European Union </w:t>
      </w:r>
    </w:p>
  </w:footnote>
  <w:footnote w:id="225">
    <w:p w14:paraId="64BBD679"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Albania, Bulgaria, Cuba, Ethiopia, France, India, Peru, Swaziland, Viet Nam </w:t>
      </w:r>
    </w:p>
  </w:footnote>
  <w:footnote w:id="226">
    <w:p w14:paraId="151FD513"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China, Comoros, Dominican Republic, Mexico, Mongolia, Morocco, Senegal, Spain, Togo</w:t>
      </w:r>
    </w:p>
  </w:footnote>
  <w:footnote w:id="227">
    <w:p w14:paraId="59A72F52" w14:textId="77777777" w:rsidR="005D4302" w:rsidRPr="00B50576" w:rsidRDefault="005D4302" w:rsidP="0034115A">
      <w:pPr>
        <w:pStyle w:val="FootnoteText"/>
        <w:ind w:firstLine="0"/>
        <w:rPr>
          <w:lang w:val="fr-FR"/>
        </w:rPr>
      </w:pPr>
      <w:r w:rsidRPr="00DF02C5">
        <w:rPr>
          <w:rStyle w:val="FootnoteReference"/>
          <w:lang w:val="en-GB"/>
        </w:rPr>
        <w:footnoteRef/>
      </w:r>
      <w:r w:rsidRPr="00B50576">
        <w:rPr>
          <w:lang w:val="fr-FR"/>
        </w:rPr>
        <w:t xml:space="preserve"> E.g. </w:t>
      </w:r>
      <w:proofErr w:type="spellStart"/>
      <w:r w:rsidRPr="00B50576">
        <w:rPr>
          <w:lang w:val="fr-FR"/>
        </w:rPr>
        <w:t>Albania</w:t>
      </w:r>
      <w:proofErr w:type="spellEnd"/>
      <w:r w:rsidRPr="00B50576">
        <w:rPr>
          <w:lang w:val="fr-FR"/>
        </w:rPr>
        <w:t xml:space="preserve">, </w:t>
      </w:r>
      <w:proofErr w:type="spellStart"/>
      <w:r w:rsidRPr="00B50576">
        <w:rPr>
          <w:lang w:val="fr-FR"/>
        </w:rPr>
        <w:t>Bulgaria</w:t>
      </w:r>
      <w:proofErr w:type="spellEnd"/>
      <w:r w:rsidRPr="00B50576">
        <w:rPr>
          <w:lang w:val="fr-FR"/>
        </w:rPr>
        <w:t xml:space="preserve">, </w:t>
      </w:r>
      <w:proofErr w:type="spellStart"/>
      <w:r w:rsidRPr="00B50576">
        <w:rPr>
          <w:lang w:val="fr-FR"/>
        </w:rPr>
        <w:t>Guinea</w:t>
      </w:r>
      <w:proofErr w:type="spellEnd"/>
    </w:p>
  </w:footnote>
  <w:footnote w:id="228">
    <w:p w14:paraId="3F3B9A3F" w14:textId="5BCEC5D5" w:rsidR="005D4302" w:rsidRPr="00B50576" w:rsidRDefault="005D4302" w:rsidP="00A60AB6">
      <w:pPr>
        <w:pStyle w:val="FootnoteText"/>
        <w:ind w:firstLine="0"/>
        <w:rPr>
          <w:lang w:val="fr-FR"/>
        </w:rPr>
      </w:pPr>
      <w:r w:rsidRPr="00DF02C5">
        <w:rPr>
          <w:rStyle w:val="FootnoteReference"/>
          <w:lang w:val="en-GB"/>
        </w:rPr>
        <w:footnoteRef/>
      </w:r>
      <w:r w:rsidRPr="00B50576">
        <w:rPr>
          <w:lang w:val="fr-FR"/>
        </w:rPr>
        <w:t xml:space="preserve"> E.g. Uganda, </w:t>
      </w:r>
      <w:proofErr w:type="spellStart"/>
      <w:r w:rsidRPr="00B50576">
        <w:rPr>
          <w:lang w:val="fr-FR"/>
        </w:rPr>
        <w:t>Mauritania</w:t>
      </w:r>
      <w:proofErr w:type="spellEnd"/>
    </w:p>
  </w:footnote>
  <w:footnote w:id="229">
    <w:p w14:paraId="6C994664" w14:textId="63247E36"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Antig</w:t>
      </w:r>
      <w:r>
        <w:rPr>
          <w:lang w:val="en-GB"/>
        </w:rPr>
        <w:t xml:space="preserve">ua and Barbuda, Benin, Bhutan, </w:t>
      </w:r>
      <w:r w:rsidRPr="00DF02C5">
        <w:rPr>
          <w:lang w:val="en-GB"/>
        </w:rPr>
        <w:t>Cameroon, Kenya, Lao People’s Democratic Republic, Madagascar, Malawi, Malta, Mexico, Peru, Seychelles</w:t>
      </w:r>
    </w:p>
  </w:footnote>
  <w:footnote w:id="230">
    <w:p w14:paraId="4F2E5806" w14:textId="336F6033"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Cuba, Lao People’s Democratic Republic, Malta, Mauritania</w:t>
      </w:r>
    </w:p>
  </w:footnote>
  <w:footnote w:id="231">
    <w:p w14:paraId="3FF3B506"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Botswana,  Burkina Faso, Burundi, Côte d’Ivoire, Democratic Republic of the Congo, Guinea Bissau, Niger, Pakistan, Panama, South Africa, Sudan, Uruguay</w:t>
      </w:r>
    </w:p>
  </w:footnote>
  <w:footnote w:id="232">
    <w:p w14:paraId="03746EAA"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Burkina Faso, Burundi, Democratic Republic of the Congo, Niger, Pakistan, Panama, South Africa, Uruguay</w:t>
      </w:r>
    </w:p>
  </w:footnote>
  <w:footnote w:id="233">
    <w:p w14:paraId="24C62E2D"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Belarus, Burkina Faso, China, Cuba, Democratic Republic of the Congo, Denmark, Ethiopia, Finland, France, Germany, India, Japan, Kenya, Kyrgyzstan, Lao People’s Democratic Republic, Madagascar, Malta, Mauritania, Netherlands, Peru, Poland, Portugal, Republic of Moldova, Slovakia, Sudan, Sweden,  Togo, Uganda, United Kingdom of Great Britain and Northern Ireland. </w:t>
      </w:r>
    </w:p>
  </w:footnote>
  <w:footnote w:id="234">
    <w:p w14:paraId="61E63396"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Democratic Republic of the Congo, Ethiopia, Kyrgyzstan, Portugal</w:t>
      </w:r>
    </w:p>
  </w:footnote>
  <w:footnote w:id="235">
    <w:p w14:paraId="5755E705" w14:textId="7879DF5D"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China, Cuba, Ethiopia, Germany, Japan, Lao People’s Democratic Republic, Sudan, Sweden, United Kingdom of Great Britain and Northern Ireland</w:t>
      </w:r>
    </w:p>
  </w:footnote>
  <w:footnote w:id="236">
    <w:p w14:paraId="158C8961" w14:textId="11DFE3F4"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Peru, Sweden</w:t>
      </w:r>
    </w:p>
  </w:footnote>
  <w:footnote w:id="237">
    <w:p w14:paraId="4B7F0A8E" w14:textId="7CD1D5C8"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Antigua and Barbuda, Benin, India, Swaziland</w:t>
      </w:r>
    </w:p>
  </w:footnote>
  <w:footnote w:id="238">
    <w:p w14:paraId="63C4CBE4" w14:textId="5D11CAB6"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Burkina Faso, Burundi, China, Comoros, Dominican Republic, Malawi, Mongolia, Morocco, Seychelles, South Africa, Spain</w:t>
      </w:r>
    </w:p>
  </w:footnote>
  <w:footnote w:id="239">
    <w:p w14:paraId="0FCECFA9" w14:textId="41E78C3D"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Bhutan, Cameroon, Senegal</w:t>
      </w:r>
    </w:p>
  </w:footnote>
  <w:footnote w:id="240">
    <w:p w14:paraId="25389BA5" w14:textId="62FC930B"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Botswana, Côte d'Ivoire, Mexico, Niger, Pakistan, Panama, Uruguay</w:t>
      </w:r>
    </w:p>
  </w:footnote>
  <w:footnote w:id="241">
    <w:p w14:paraId="07B7C663" w14:textId="2101882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Côte d’Ivoire, Guinea</w:t>
      </w:r>
    </w:p>
  </w:footnote>
  <w:footnote w:id="242">
    <w:p w14:paraId="719613C5" w14:textId="77777777" w:rsidR="005D4302" w:rsidRPr="00DF02C5" w:rsidRDefault="005D4302" w:rsidP="00F17232">
      <w:pPr>
        <w:pStyle w:val="FootnoteText"/>
        <w:ind w:firstLine="0"/>
        <w:rPr>
          <w:lang w:val="en-GB"/>
        </w:rPr>
      </w:pPr>
      <w:r w:rsidRPr="00DF02C5">
        <w:rPr>
          <w:rStyle w:val="FootnoteReference"/>
          <w:lang w:val="en-GB"/>
        </w:rPr>
        <w:footnoteRef/>
      </w:r>
      <w:r w:rsidRPr="00DF02C5">
        <w:rPr>
          <w:lang w:val="en-GB"/>
        </w:rPr>
        <w:t xml:space="preserve"> E.g. Belarus, Cameroon, Comoros, China, Cuba, Denmark, </w:t>
      </w:r>
      <w:r w:rsidRPr="00DF02C5">
        <w:rPr>
          <w:rFonts w:eastAsia="Calibri"/>
          <w:noProof/>
          <w:snapToGrid w:val="0"/>
          <w:color w:val="auto"/>
          <w:kern w:val="22"/>
          <w:bdr w:val="none" w:sz="0" w:space="0" w:color="auto"/>
          <w:lang w:val="en-GB"/>
        </w:rPr>
        <w:t>Democratic Republic of the Congo, Ethiopia,</w:t>
      </w:r>
      <w:r w:rsidRPr="00DF02C5">
        <w:rPr>
          <w:lang w:val="en-GB"/>
        </w:rPr>
        <w:t xml:space="preserve"> Finland, Germany, India, </w:t>
      </w:r>
      <w:r w:rsidRPr="00DF02C5">
        <w:rPr>
          <w:rFonts w:eastAsia="Calibri"/>
          <w:noProof/>
          <w:snapToGrid w:val="0"/>
          <w:color w:val="auto"/>
          <w:kern w:val="22"/>
          <w:bdr w:val="none" w:sz="0" w:space="0" w:color="auto"/>
          <w:lang w:val="en-GB"/>
        </w:rPr>
        <w:t>Kenya,</w:t>
      </w:r>
      <w:r w:rsidRPr="00DF02C5">
        <w:rPr>
          <w:lang w:val="en-GB"/>
        </w:rPr>
        <w:t xml:space="preserve"> Kyrgyzstan, Lao People’s Democratic Republic, Madagascar, Malta, Mauritania, Netherlands, Niger, Norway, Poland, Portugal, Republic of Moldova, Spain, Slovakia, Sudan, Sweden,</w:t>
      </w:r>
      <w:r w:rsidRPr="00DF02C5">
        <w:rPr>
          <w:rFonts w:eastAsia="Calibri"/>
          <w:noProof/>
          <w:snapToGrid w:val="0"/>
          <w:color w:val="auto"/>
          <w:kern w:val="22"/>
          <w:bdr w:val="none" w:sz="0" w:space="0" w:color="auto"/>
          <w:lang w:val="en-GB"/>
        </w:rPr>
        <w:t xml:space="preserve"> Togo,</w:t>
      </w:r>
      <w:r w:rsidRPr="00DF02C5">
        <w:rPr>
          <w:lang w:val="en-GB"/>
        </w:rPr>
        <w:t xml:space="preserve"> </w:t>
      </w:r>
      <w:r w:rsidRPr="00DF02C5">
        <w:rPr>
          <w:rFonts w:eastAsia="Calibri"/>
          <w:noProof/>
          <w:snapToGrid w:val="0"/>
          <w:color w:val="auto"/>
          <w:kern w:val="22"/>
          <w:bdr w:val="none" w:sz="0" w:space="0" w:color="auto"/>
          <w:lang w:val="en-GB"/>
        </w:rPr>
        <w:t>Uganda,</w:t>
      </w:r>
      <w:r w:rsidRPr="00DF02C5">
        <w:rPr>
          <w:lang w:val="en-GB"/>
        </w:rPr>
        <w:t xml:space="preserve"> United Kingdom of Great Britain and Northern Ireland</w:t>
      </w:r>
    </w:p>
  </w:footnote>
  <w:footnote w:id="243">
    <w:p w14:paraId="0ECE2CA9"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w:t>
      </w:r>
      <w:r w:rsidRPr="00DF02C5">
        <w:rPr>
          <w:rFonts w:eastAsia="Calibri"/>
          <w:noProof/>
          <w:snapToGrid w:val="0"/>
          <w:color w:val="auto"/>
          <w:kern w:val="22"/>
          <w:bdr w:val="none" w:sz="0" w:space="0" w:color="auto"/>
          <w:lang w:val="en-GB"/>
        </w:rPr>
        <w:t>Comoros, Democratic Republic of the Congo, Ethiopia, Kenya, Kyrgyzstan, Portugal, Togo,Uganda</w:t>
      </w:r>
    </w:p>
  </w:footnote>
  <w:footnote w:id="244">
    <w:p w14:paraId="16941322" w14:textId="34253600"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China, Germany, Norway, Sudan</w:t>
      </w:r>
    </w:p>
  </w:footnote>
  <w:footnote w:id="245">
    <w:p w14:paraId="49AEC61F" w14:textId="0BE0FC3F"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Malta</w:t>
      </w:r>
    </w:p>
  </w:footnote>
  <w:footnote w:id="246">
    <w:p w14:paraId="5DD94769" w14:textId="77777777" w:rsidR="005D4302" w:rsidRPr="00DF02C5" w:rsidRDefault="005D4302" w:rsidP="007A03E5">
      <w:pPr>
        <w:pStyle w:val="FootnoteText"/>
        <w:ind w:firstLine="0"/>
        <w:rPr>
          <w:lang w:val="en-GB"/>
        </w:rPr>
      </w:pPr>
      <w:r w:rsidRPr="00DF02C5">
        <w:rPr>
          <w:rStyle w:val="FootnoteReference"/>
          <w:lang w:val="en-GB"/>
        </w:rPr>
        <w:footnoteRef/>
      </w:r>
      <w:r w:rsidRPr="00DF02C5">
        <w:rPr>
          <w:lang w:val="en-GB"/>
        </w:rPr>
        <w:t xml:space="preserve"> E.g. Antigua and Barbuda, Bhutan, Cuba, Finland, Kenya, Norway, South Africa, Swaziland, Viet Nam</w:t>
      </w:r>
    </w:p>
  </w:footnote>
  <w:footnote w:id="247">
    <w:p w14:paraId="2604FC36" w14:textId="34B8EFF8"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Benin, Burkina Faso, Burundi, China, Lao People’s Democratic Republic, Morocco, Pakistan, Senegal, South Africa</w:t>
      </w:r>
    </w:p>
  </w:footnote>
  <w:footnote w:id="248">
    <w:p w14:paraId="284C75E4"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Botswana,  Côte d'Ivoire, Guinea, Mexico, Mongolia, Peru, Sao Tome and Principe, Uruguay</w:t>
      </w:r>
    </w:p>
  </w:footnote>
  <w:footnote w:id="249">
    <w:p w14:paraId="1853703E"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Belarus, Bulgaria, Cameroon, China, Comoros, Cuba, Democratic Republic of the Congo, Denmark, France, Ethiopia, Germany, India, Japan, Kenya, Mauritania, Netherlands, Niger, Norway, Peru, Poland, Portugal, Republic of Moldova, Slovakia, Sudan, Swaziland, Sweden, Switzerland, Togo, Uganda</w:t>
      </w:r>
    </w:p>
  </w:footnote>
  <w:footnote w:id="250">
    <w:p w14:paraId="5405A7C7" w14:textId="45D108BF"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China, Democratic Republic of the Congo, France, India, Niger, Peru</w:t>
      </w:r>
    </w:p>
  </w:footnote>
  <w:footnote w:id="251">
    <w:p w14:paraId="78027267"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Burkina Faso</w:t>
      </w:r>
    </w:p>
  </w:footnote>
  <w:footnote w:id="252">
    <w:p w14:paraId="1BD38913"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Benin, Botswana,  Guinea, Kuwait, Mongolia, Pakistan, Panama, Sao Tome and Principe, South Africa, Uruguay</w:t>
      </w:r>
    </w:p>
  </w:footnote>
  <w:footnote w:id="253">
    <w:p w14:paraId="1D3E59C6" w14:textId="42930D0A"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Spain</w:t>
      </w:r>
    </w:p>
  </w:footnote>
  <w:footnote w:id="254">
    <w:p w14:paraId="01BA648B" w14:textId="77777777" w:rsidR="005D4302" w:rsidRPr="00DF02C5" w:rsidRDefault="005D4302" w:rsidP="00EA59A2">
      <w:pPr>
        <w:pStyle w:val="FootnoteText"/>
        <w:ind w:firstLine="0"/>
        <w:rPr>
          <w:lang w:val="en-GB"/>
        </w:rPr>
      </w:pPr>
      <w:r w:rsidRPr="00DF02C5">
        <w:rPr>
          <w:rStyle w:val="FootnoteReference"/>
          <w:lang w:val="en-GB"/>
        </w:rPr>
        <w:footnoteRef/>
      </w:r>
      <w:r w:rsidRPr="00DF02C5">
        <w:rPr>
          <w:lang w:val="en-GB"/>
        </w:rPr>
        <w:t xml:space="preserve"> E.g. Antigua and Barbuda, Benin, Bhutan, Bulgaria, China, Ethiopia, France, India, Madagascar, Norway, Peru, South Africa, Spain, Swaziland,  Switzerland, Viet Nam</w:t>
      </w:r>
    </w:p>
  </w:footnote>
  <w:footnote w:id="255">
    <w:p w14:paraId="494ACF40" w14:textId="7B01CA03" w:rsidR="005D4302" w:rsidRPr="00DF02C5" w:rsidRDefault="005D4302" w:rsidP="00D84EFE">
      <w:pPr>
        <w:pStyle w:val="FootnoteText"/>
        <w:ind w:firstLine="0"/>
        <w:rPr>
          <w:lang w:val="en-GB"/>
        </w:rPr>
      </w:pPr>
      <w:r w:rsidRPr="00DF02C5">
        <w:rPr>
          <w:rStyle w:val="FootnoteReference"/>
          <w:lang w:val="en-GB"/>
        </w:rPr>
        <w:footnoteRef/>
      </w:r>
      <w:r w:rsidRPr="00DF02C5">
        <w:rPr>
          <w:lang w:val="en-GB"/>
        </w:rPr>
        <w:t xml:space="preserve"> E.g. Burkina Faso, China, Mexico, Morocco, Niger, Seychelles, Togo</w:t>
      </w:r>
    </w:p>
  </w:footnote>
  <w:footnote w:id="256">
    <w:p w14:paraId="55FDAA75" w14:textId="41FC08EE" w:rsidR="005D4302" w:rsidRPr="00DF02C5" w:rsidRDefault="005D4302" w:rsidP="00D84EFE">
      <w:pPr>
        <w:pStyle w:val="FootnoteText"/>
        <w:ind w:firstLine="0"/>
        <w:rPr>
          <w:lang w:val="en-GB"/>
        </w:rPr>
      </w:pPr>
      <w:r w:rsidRPr="00DF02C5">
        <w:rPr>
          <w:rStyle w:val="FootnoteReference"/>
          <w:lang w:val="en-GB"/>
        </w:rPr>
        <w:footnoteRef/>
      </w:r>
      <w:r w:rsidRPr="00DF02C5">
        <w:rPr>
          <w:lang w:val="en-GB"/>
        </w:rPr>
        <w:t xml:space="preserve"> E.g. Albania, Burkina Faso, Cuba, Democratic Republic of the Congo, Kenya, Lao People’s Democratic Republic, Mongolia </w:t>
      </w:r>
    </w:p>
  </w:footnote>
  <w:footnote w:id="257">
    <w:p w14:paraId="47B4A487" w14:textId="77777777" w:rsidR="005D4302" w:rsidRPr="00DF02C5" w:rsidRDefault="005D4302" w:rsidP="00EA59A2">
      <w:pPr>
        <w:pStyle w:val="FootnoteText"/>
        <w:ind w:firstLine="0"/>
        <w:rPr>
          <w:lang w:val="en-GB"/>
        </w:rPr>
      </w:pPr>
      <w:r w:rsidRPr="00DF02C5">
        <w:rPr>
          <w:rStyle w:val="FootnoteReference"/>
          <w:lang w:val="en-GB"/>
        </w:rPr>
        <w:footnoteRef/>
      </w:r>
      <w:r w:rsidRPr="00DF02C5">
        <w:rPr>
          <w:lang w:val="en-GB"/>
        </w:rPr>
        <w:t xml:space="preserve"> E.g. Albania, Belarus, Lao People’s Democratic Republic</w:t>
      </w:r>
    </w:p>
  </w:footnote>
  <w:footnote w:id="258">
    <w:p w14:paraId="19A986A4" w14:textId="44BFCF98" w:rsidR="005D4302" w:rsidRPr="00DF02C5" w:rsidRDefault="005D4302" w:rsidP="00D84EFE">
      <w:pPr>
        <w:pStyle w:val="FootnoteText"/>
        <w:ind w:firstLine="0"/>
        <w:rPr>
          <w:lang w:val="en-GB"/>
        </w:rPr>
      </w:pPr>
      <w:r w:rsidRPr="00DF02C5">
        <w:rPr>
          <w:rStyle w:val="FootnoteReference"/>
          <w:lang w:val="en-GB"/>
        </w:rPr>
        <w:footnoteRef/>
      </w:r>
      <w:r w:rsidRPr="00DF02C5">
        <w:rPr>
          <w:lang w:val="en-GB"/>
        </w:rPr>
        <w:t xml:space="preserve"> E.g. Qatar, Pakistan</w:t>
      </w:r>
    </w:p>
  </w:footnote>
  <w:footnote w:id="259">
    <w:p w14:paraId="179F094A" w14:textId="1A44B35E" w:rsidR="005D4302" w:rsidRPr="00DF02C5" w:rsidRDefault="005D4302" w:rsidP="00D84EFE">
      <w:pPr>
        <w:pStyle w:val="FootnoteText"/>
        <w:ind w:firstLine="0"/>
        <w:rPr>
          <w:lang w:val="en-GB"/>
        </w:rPr>
      </w:pPr>
      <w:r w:rsidRPr="00DF02C5">
        <w:rPr>
          <w:rStyle w:val="FootnoteReference"/>
          <w:lang w:val="en-GB"/>
        </w:rPr>
        <w:footnoteRef/>
      </w:r>
      <w:r w:rsidRPr="00DF02C5">
        <w:rPr>
          <w:lang w:val="en-GB"/>
        </w:rPr>
        <w:t xml:space="preserve"> E.g. Czech Republic, European Union, Finland, Germany, Netherlands, Slovakia, Sweden, United Kingdom of Great Britain and Northern Ireland</w:t>
      </w:r>
    </w:p>
  </w:footnote>
  <w:footnote w:id="260">
    <w:p w14:paraId="2643F959" w14:textId="76B67F3A" w:rsidR="005D4302" w:rsidRPr="00DF02C5" w:rsidRDefault="005D4302" w:rsidP="00D84EFE">
      <w:pPr>
        <w:pStyle w:val="FootnoteText"/>
        <w:ind w:firstLine="0"/>
        <w:rPr>
          <w:lang w:val="en-GB"/>
        </w:rPr>
      </w:pPr>
      <w:r w:rsidRPr="00DF02C5">
        <w:rPr>
          <w:rStyle w:val="FootnoteReference"/>
          <w:lang w:val="en-GB"/>
        </w:rPr>
        <w:footnoteRef/>
      </w:r>
      <w:r w:rsidRPr="00DF02C5">
        <w:rPr>
          <w:lang w:val="en-GB"/>
        </w:rPr>
        <w:t xml:space="preserve"> E.g. Botswana, Cameroon, Côte d’Ivoire, Sudan, Uruguay</w:t>
      </w:r>
    </w:p>
  </w:footnote>
  <w:footnote w:id="261">
    <w:p w14:paraId="18C18BA0" w14:textId="01A4E5B1" w:rsidR="005D4302" w:rsidRPr="00DF02C5" w:rsidRDefault="005D4302" w:rsidP="00D84EFE">
      <w:pPr>
        <w:pStyle w:val="FootnoteText"/>
        <w:ind w:firstLine="0"/>
        <w:rPr>
          <w:lang w:val="en-GB"/>
        </w:rPr>
      </w:pPr>
      <w:r w:rsidRPr="00DF02C5">
        <w:rPr>
          <w:rStyle w:val="FootnoteReference"/>
          <w:lang w:val="en-GB"/>
        </w:rPr>
        <w:footnoteRef/>
      </w:r>
      <w:r w:rsidRPr="00DF02C5">
        <w:rPr>
          <w:lang w:val="en-GB"/>
        </w:rPr>
        <w:t xml:space="preserve"> E.g. Congo, Guinea Bissau</w:t>
      </w:r>
    </w:p>
  </w:footnote>
  <w:footnote w:id="262">
    <w:p w14:paraId="541626C1" w14:textId="46295D28" w:rsidR="005D4302" w:rsidRPr="00DF02C5" w:rsidRDefault="005D4302" w:rsidP="00D84EFE">
      <w:pPr>
        <w:pStyle w:val="FootnoteText"/>
        <w:ind w:firstLine="0"/>
        <w:rPr>
          <w:lang w:val="en-GB"/>
        </w:rPr>
      </w:pPr>
      <w:r w:rsidRPr="00DF02C5">
        <w:rPr>
          <w:rStyle w:val="FootnoteReference"/>
          <w:lang w:val="en-GB"/>
        </w:rPr>
        <w:footnoteRef/>
      </w:r>
      <w:r w:rsidRPr="00DF02C5">
        <w:rPr>
          <w:lang w:val="en-GB"/>
        </w:rPr>
        <w:t xml:space="preserve"> E.g. Belgium, Estonia,  Hungary, Japan, Poland</w:t>
      </w:r>
    </w:p>
  </w:footnote>
  <w:footnote w:id="263">
    <w:p w14:paraId="70D9ABB4" w14:textId="329E78FB" w:rsidR="005D4302" w:rsidRPr="00DF02C5" w:rsidRDefault="005D4302" w:rsidP="00D84EFE">
      <w:pPr>
        <w:pStyle w:val="FootnoteText"/>
        <w:ind w:firstLine="0"/>
        <w:rPr>
          <w:lang w:val="en-GB"/>
        </w:rPr>
      </w:pPr>
      <w:r w:rsidRPr="00DF02C5">
        <w:rPr>
          <w:rStyle w:val="FootnoteReference"/>
          <w:lang w:val="en-GB"/>
        </w:rPr>
        <w:footnoteRef/>
      </w:r>
      <w:r w:rsidRPr="00DF02C5">
        <w:rPr>
          <w:lang w:val="en-GB"/>
        </w:rPr>
        <w:t xml:space="preserve"> E.g. Republic of Moldova, Senegal, Sudan</w:t>
      </w:r>
    </w:p>
  </w:footnote>
  <w:footnote w:id="264">
    <w:p w14:paraId="1B007E19" w14:textId="77777777" w:rsidR="005D4302" w:rsidRPr="00DF02C5" w:rsidRDefault="005D4302" w:rsidP="00821D6A">
      <w:pPr>
        <w:pStyle w:val="FootnoteText"/>
        <w:ind w:firstLine="0"/>
        <w:rPr>
          <w:lang w:val="en-GB"/>
        </w:rPr>
      </w:pPr>
      <w:r w:rsidRPr="00DF02C5">
        <w:rPr>
          <w:rStyle w:val="FootnoteReference"/>
          <w:lang w:val="en-GB"/>
        </w:rPr>
        <w:footnoteRef/>
      </w:r>
      <w:r w:rsidRPr="00DF02C5">
        <w:rPr>
          <w:lang w:val="en-GB"/>
        </w:rPr>
        <w:t xml:space="preserve"> E.g. Benin, </w:t>
      </w:r>
      <w:r w:rsidRPr="00DF02C5">
        <w:rPr>
          <w:rFonts w:eastAsia="Calibri"/>
          <w:noProof/>
          <w:snapToGrid w:val="0"/>
          <w:color w:val="auto"/>
          <w:kern w:val="22"/>
          <w:bdr w:val="none" w:sz="0" w:space="0" w:color="auto"/>
          <w:lang w:val="en-GB"/>
        </w:rPr>
        <w:t xml:space="preserve">Belgium, Bhutan, Czech Republic, Denmark, Finland, France, Germany, Hungary, India, </w:t>
      </w:r>
      <w:r w:rsidRPr="00DF02C5">
        <w:rPr>
          <w:lang w:val="en-GB"/>
        </w:rPr>
        <w:t xml:space="preserve">Kenya, </w:t>
      </w:r>
      <w:r w:rsidRPr="00DF02C5">
        <w:rPr>
          <w:rFonts w:eastAsia="Calibri"/>
          <w:noProof/>
          <w:snapToGrid w:val="0"/>
          <w:color w:val="auto"/>
          <w:kern w:val="22"/>
          <w:bdr w:val="none" w:sz="0" w:space="0" w:color="auto"/>
          <w:lang w:val="en-GB"/>
        </w:rPr>
        <w:t xml:space="preserve">Malta, </w:t>
      </w:r>
      <w:r w:rsidRPr="00DF02C5">
        <w:rPr>
          <w:lang w:val="en-GB"/>
        </w:rPr>
        <w:t xml:space="preserve">Mongolia,  </w:t>
      </w:r>
      <w:r w:rsidRPr="00DF02C5">
        <w:rPr>
          <w:rFonts w:eastAsia="Calibri"/>
          <w:noProof/>
          <w:snapToGrid w:val="0"/>
          <w:color w:val="auto"/>
          <w:kern w:val="22"/>
          <w:bdr w:val="none" w:sz="0" w:space="0" w:color="auto"/>
          <w:lang w:val="en-GB"/>
        </w:rPr>
        <w:t>Netherlands, Slovakia, Spain, Sweden, United Kingdom of Great Britain and Northern Ireland, Viet Nam</w:t>
      </w:r>
    </w:p>
  </w:footnote>
  <w:footnote w:id="265">
    <w:p w14:paraId="7DA1EF83" w14:textId="2ED053F0" w:rsidR="005D4302" w:rsidRPr="00DF02C5" w:rsidRDefault="005D4302" w:rsidP="00D84EFE">
      <w:pPr>
        <w:pStyle w:val="FootnoteText"/>
        <w:ind w:firstLine="0"/>
        <w:rPr>
          <w:lang w:val="en-GB"/>
        </w:rPr>
      </w:pPr>
      <w:r w:rsidRPr="00DF02C5">
        <w:rPr>
          <w:rStyle w:val="FootnoteReference"/>
          <w:lang w:val="en-GB"/>
        </w:rPr>
        <w:footnoteRef/>
      </w:r>
      <w:r w:rsidRPr="00DF02C5">
        <w:rPr>
          <w:lang w:val="en-GB"/>
        </w:rPr>
        <w:t xml:space="preserve"> E.g. </w:t>
      </w:r>
      <w:r w:rsidRPr="00DF02C5">
        <w:rPr>
          <w:rFonts w:eastAsia="Calibri"/>
          <w:noProof/>
          <w:snapToGrid w:val="0"/>
          <w:color w:val="auto"/>
          <w:kern w:val="22"/>
          <w:bdr w:val="none" w:sz="0" w:space="0" w:color="auto"/>
          <w:lang w:val="en-GB"/>
        </w:rPr>
        <w:t>China, Norway, Morocco, Togo</w:t>
      </w:r>
    </w:p>
  </w:footnote>
  <w:footnote w:id="266">
    <w:p w14:paraId="486E5EC3" w14:textId="77777777" w:rsidR="005D4302" w:rsidRPr="00DF02C5" w:rsidRDefault="005D4302" w:rsidP="00D84EFE">
      <w:pPr>
        <w:pStyle w:val="FootnoteText"/>
        <w:ind w:firstLine="0"/>
        <w:rPr>
          <w:lang w:val="en-GB"/>
        </w:rPr>
      </w:pPr>
      <w:r w:rsidRPr="00DF02C5">
        <w:rPr>
          <w:rStyle w:val="FootnoteReference"/>
          <w:lang w:val="en-GB"/>
        </w:rPr>
        <w:footnoteRef/>
      </w:r>
      <w:r w:rsidRPr="00DF02C5">
        <w:rPr>
          <w:lang w:val="en-GB"/>
        </w:rPr>
        <w:t xml:space="preserve"> E.g. Kenya, Niger, Peru, Senegal</w:t>
      </w:r>
    </w:p>
  </w:footnote>
  <w:footnote w:id="267">
    <w:p w14:paraId="2C16105A" w14:textId="77777777" w:rsidR="005D4302" w:rsidRPr="00DF02C5" w:rsidRDefault="005D4302" w:rsidP="00B30B05">
      <w:pPr>
        <w:pStyle w:val="FootnoteText"/>
        <w:ind w:firstLine="0"/>
        <w:rPr>
          <w:lang w:val="en-GB"/>
        </w:rPr>
      </w:pPr>
      <w:r w:rsidRPr="00DF02C5">
        <w:rPr>
          <w:rStyle w:val="FootnoteReference"/>
          <w:lang w:val="en-GB"/>
        </w:rPr>
        <w:footnoteRef/>
      </w:r>
      <w:r w:rsidRPr="00DF02C5">
        <w:rPr>
          <w:lang w:val="en-GB"/>
        </w:rPr>
        <w:t xml:space="preserve"> E.g. Kenya </w:t>
      </w:r>
    </w:p>
  </w:footnote>
  <w:footnote w:id="268">
    <w:p w14:paraId="17A05FF5" w14:textId="77777777" w:rsidR="005D4302" w:rsidRPr="00DF02C5" w:rsidRDefault="005D4302" w:rsidP="00821D6A">
      <w:pPr>
        <w:pStyle w:val="FootnoteText"/>
        <w:ind w:firstLine="0"/>
        <w:rPr>
          <w:lang w:val="en-GB"/>
        </w:rPr>
      </w:pPr>
      <w:r w:rsidRPr="00DF02C5">
        <w:rPr>
          <w:rStyle w:val="FootnoteReference"/>
          <w:lang w:val="en-GB"/>
        </w:rPr>
        <w:footnoteRef/>
      </w:r>
      <w:r w:rsidRPr="00DF02C5">
        <w:rPr>
          <w:lang w:val="en-GB"/>
        </w:rPr>
        <w:t xml:space="preserve"> E.g. </w:t>
      </w:r>
      <w:r w:rsidRPr="00DF02C5">
        <w:rPr>
          <w:rFonts w:eastAsia="Calibri"/>
          <w:snapToGrid w:val="0"/>
          <w:color w:val="auto"/>
          <w:kern w:val="22"/>
          <w:bdr w:val="none" w:sz="0" w:space="0" w:color="auto"/>
          <w:lang w:val="en-GB"/>
        </w:rPr>
        <w:t>China, Lao People’s Democratic Republic, Mexico</w:t>
      </w:r>
    </w:p>
  </w:footnote>
  <w:footnote w:id="269">
    <w:p w14:paraId="36626347" w14:textId="289F798B" w:rsidR="005D4302" w:rsidRPr="00DF02C5" w:rsidRDefault="005D4302" w:rsidP="00D84EFE">
      <w:pPr>
        <w:pStyle w:val="FootnoteText"/>
        <w:ind w:firstLine="0"/>
        <w:rPr>
          <w:lang w:val="en-GB"/>
        </w:rPr>
      </w:pPr>
      <w:r w:rsidRPr="00DF02C5">
        <w:rPr>
          <w:rStyle w:val="FootnoteReference"/>
          <w:lang w:val="en-GB"/>
        </w:rPr>
        <w:footnoteRef/>
      </w:r>
      <w:r w:rsidRPr="00DF02C5">
        <w:rPr>
          <w:lang w:val="en-GB"/>
        </w:rPr>
        <w:t xml:space="preserve"> The same information was provided by the EU Member States in their reports.</w:t>
      </w:r>
    </w:p>
  </w:footnote>
  <w:footnote w:id="270">
    <w:p w14:paraId="5B4EF5D3" w14:textId="77777777" w:rsidR="005D4302" w:rsidRPr="00DF02C5" w:rsidRDefault="005D4302" w:rsidP="00D84EFE">
      <w:pPr>
        <w:pStyle w:val="FootnoteText"/>
        <w:ind w:firstLine="0"/>
        <w:rPr>
          <w:lang w:val="en-GB"/>
        </w:rPr>
      </w:pPr>
      <w:r w:rsidRPr="00DF02C5">
        <w:rPr>
          <w:rStyle w:val="FootnoteReference"/>
          <w:lang w:val="en-GB"/>
        </w:rPr>
        <w:footnoteRef/>
      </w:r>
      <w:r w:rsidRPr="00DF02C5">
        <w:rPr>
          <w:lang w:val="en-GB"/>
        </w:rPr>
        <w:t xml:space="preserve"> E.g. </w:t>
      </w:r>
      <w:r w:rsidRPr="00DF02C5">
        <w:rPr>
          <w:rFonts w:eastAsia="Calibri"/>
          <w:noProof/>
          <w:snapToGrid w:val="0"/>
          <w:color w:val="auto"/>
          <w:kern w:val="22"/>
          <w:bdr w:val="none" w:sz="0" w:space="0" w:color="auto"/>
          <w:lang w:val="en-GB"/>
        </w:rPr>
        <w:t>Antigua and Barbuda, Belarus, Botswana, Comoros, Côte d’Ivoire, Democratic Republic of Congo, Ethiopia, Madagascar, Malawi, Mexico, South Africa, Sudan, Uruguay</w:t>
      </w:r>
    </w:p>
  </w:footnote>
  <w:footnote w:id="271">
    <w:p w14:paraId="7F3977C4" w14:textId="77777777" w:rsidR="005D4302" w:rsidRPr="00DF02C5" w:rsidRDefault="005D4302" w:rsidP="00D84EFE">
      <w:pPr>
        <w:pStyle w:val="FootnoteText"/>
        <w:ind w:firstLine="0"/>
        <w:rPr>
          <w:lang w:val="en-GB"/>
        </w:rPr>
      </w:pPr>
      <w:r w:rsidRPr="00DF02C5">
        <w:rPr>
          <w:rStyle w:val="FootnoteReference"/>
          <w:lang w:val="en-GB"/>
        </w:rPr>
        <w:footnoteRef/>
      </w:r>
      <w:r w:rsidRPr="00DF02C5">
        <w:rPr>
          <w:lang w:val="en-GB"/>
        </w:rPr>
        <w:t xml:space="preserve"> E.g. Congo, Guinea Bissau</w:t>
      </w:r>
    </w:p>
  </w:footnote>
  <w:footnote w:id="272">
    <w:p w14:paraId="5AB48B6B" w14:textId="77777777" w:rsidR="005D4302" w:rsidRPr="00DF02C5" w:rsidRDefault="005D4302" w:rsidP="00D84EFE">
      <w:pPr>
        <w:pStyle w:val="FootnoteText"/>
        <w:ind w:firstLine="0"/>
        <w:rPr>
          <w:lang w:val="en-GB"/>
        </w:rPr>
      </w:pPr>
      <w:r w:rsidRPr="00DF02C5">
        <w:rPr>
          <w:rStyle w:val="FootnoteReference"/>
          <w:lang w:val="en-GB"/>
        </w:rPr>
        <w:footnoteRef/>
      </w:r>
      <w:r w:rsidRPr="00DF02C5">
        <w:rPr>
          <w:lang w:val="en-GB"/>
        </w:rPr>
        <w:t xml:space="preserve"> E.g. </w:t>
      </w:r>
      <w:r w:rsidRPr="00DF02C5">
        <w:rPr>
          <w:rFonts w:eastAsia="Calibri"/>
          <w:noProof/>
          <w:snapToGrid w:val="0"/>
          <w:color w:val="auto"/>
          <w:kern w:val="22"/>
          <w:bdr w:val="none" w:sz="0" w:space="0" w:color="auto"/>
          <w:lang w:val="en-GB"/>
        </w:rPr>
        <w:t xml:space="preserve">Japan, Poland  </w:t>
      </w:r>
    </w:p>
  </w:footnote>
  <w:footnote w:id="273">
    <w:p w14:paraId="5B557364" w14:textId="77777777" w:rsidR="005D4302" w:rsidRPr="00DF02C5" w:rsidRDefault="005D4302" w:rsidP="00D84EFE">
      <w:pPr>
        <w:pStyle w:val="FootnoteText"/>
        <w:ind w:firstLine="0"/>
        <w:rPr>
          <w:lang w:val="en-GB"/>
        </w:rPr>
      </w:pPr>
      <w:r w:rsidRPr="00DF02C5">
        <w:rPr>
          <w:rStyle w:val="FootnoteReference"/>
          <w:lang w:val="en-GB"/>
        </w:rPr>
        <w:footnoteRef/>
      </w:r>
      <w:r w:rsidRPr="00DF02C5">
        <w:rPr>
          <w:lang w:val="en-GB"/>
        </w:rPr>
        <w:t xml:space="preserve"> E.g. Cuba, Mexico </w:t>
      </w:r>
    </w:p>
  </w:footnote>
  <w:footnote w:id="274">
    <w:p w14:paraId="7838B644" w14:textId="77777777" w:rsidR="005D4302" w:rsidRPr="00DF02C5" w:rsidRDefault="005D4302" w:rsidP="00D84EFE">
      <w:pPr>
        <w:pStyle w:val="FootnoteText"/>
        <w:ind w:firstLine="0"/>
        <w:rPr>
          <w:lang w:val="en-GB"/>
        </w:rPr>
      </w:pPr>
      <w:r w:rsidRPr="00DF02C5">
        <w:rPr>
          <w:rStyle w:val="FootnoteReference"/>
          <w:lang w:val="en-GB"/>
        </w:rPr>
        <w:footnoteRef/>
      </w:r>
      <w:r w:rsidRPr="00DF02C5">
        <w:rPr>
          <w:lang w:val="en-GB"/>
        </w:rPr>
        <w:t xml:space="preserve"> E.g. Bhutan, Malta, Spain</w:t>
      </w:r>
    </w:p>
  </w:footnote>
  <w:footnote w:id="275">
    <w:p w14:paraId="32B540F8" w14:textId="77777777" w:rsidR="005D4302" w:rsidRPr="00DF02C5" w:rsidRDefault="005D4302" w:rsidP="00D84EFE">
      <w:pPr>
        <w:pStyle w:val="FootnoteText"/>
        <w:ind w:firstLine="0"/>
        <w:rPr>
          <w:lang w:val="en-GB"/>
        </w:rPr>
      </w:pPr>
      <w:r w:rsidRPr="00DF02C5">
        <w:rPr>
          <w:rStyle w:val="FootnoteReference"/>
          <w:lang w:val="en-GB"/>
        </w:rPr>
        <w:footnoteRef/>
      </w:r>
      <w:r w:rsidRPr="00DF02C5">
        <w:rPr>
          <w:lang w:val="en-GB"/>
        </w:rPr>
        <w:t xml:space="preserve"> E.g. </w:t>
      </w:r>
      <w:r w:rsidRPr="00DF02C5">
        <w:rPr>
          <w:rFonts w:eastAsia="Calibri"/>
          <w:noProof/>
          <w:snapToGrid w:val="0"/>
          <w:color w:val="auto"/>
          <w:kern w:val="22"/>
          <w:bdr w:val="none" w:sz="0" w:space="0" w:color="auto"/>
          <w:lang w:val="en-GB"/>
        </w:rPr>
        <w:t>China, Mexico, Niger, Norway, Uganda</w:t>
      </w:r>
    </w:p>
  </w:footnote>
  <w:footnote w:id="276">
    <w:p w14:paraId="6E8A4415" w14:textId="77777777" w:rsidR="005D4302" w:rsidRPr="00DF02C5" w:rsidRDefault="005D4302" w:rsidP="00D84EFE">
      <w:pPr>
        <w:pStyle w:val="FootnoteText"/>
        <w:ind w:firstLine="0"/>
        <w:rPr>
          <w:lang w:val="en-GB"/>
        </w:rPr>
      </w:pPr>
      <w:r w:rsidRPr="00DF02C5">
        <w:rPr>
          <w:rStyle w:val="FootnoteReference"/>
          <w:lang w:val="en-GB"/>
        </w:rPr>
        <w:footnoteRef/>
      </w:r>
      <w:r w:rsidRPr="00DF02C5">
        <w:rPr>
          <w:lang w:val="en-GB"/>
        </w:rPr>
        <w:t xml:space="preserve"> E.g. Benin, Kenya,</w:t>
      </w:r>
    </w:p>
  </w:footnote>
  <w:footnote w:id="277">
    <w:p w14:paraId="08E35F50" w14:textId="15CC2621" w:rsidR="005D4302" w:rsidRPr="00DF02C5" w:rsidRDefault="005D4302" w:rsidP="00D30CF5">
      <w:pPr>
        <w:pStyle w:val="FootnoteText"/>
        <w:ind w:firstLine="0"/>
        <w:rPr>
          <w:lang w:val="en-GB"/>
        </w:rPr>
      </w:pPr>
      <w:r w:rsidRPr="00DF02C5">
        <w:rPr>
          <w:rStyle w:val="FootnoteReference"/>
          <w:lang w:val="en-GB"/>
        </w:rPr>
        <w:footnoteRef/>
      </w:r>
      <w:r w:rsidRPr="00DF02C5">
        <w:rPr>
          <w:lang w:val="en-GB"/>
        </w:rPr>
        <w:t xml:space="preserve"> E.g. Kenya </w:t>
      </w:r>
    </w:p>
  </w:footnote>
  <w:footnote w:id="278">
    <w:p w14:paraId="6B692A4E" w14:textId="77777777" w:rsidR="005D4302" w:rsidRPr="00DF02C5" w:rsidRDefault="005D4302" w:rsidP="00D84EFE">
      <w:pPr>
        <w:pStyle w:val="FootnoteText"/>
        <w:ind w:firstLine="0"/>
        <w:rPr>
          <w:lang w:val="en-GB"/>
        </w:rPr>
      </w:pPr>
      <w:r w:rsidRPr="00DF02C5">
        <w:rPr>
          <w:rStyle w:val="FootnoteReference"/>
          <w:lang w:val="en-GB"/>
        </w:rPr>
        <w:footnoteRef/>
      </w:r>
      <w:r w:rsidRPr="00DF02C5">
        <w:rPr>
          <w:lang w:val="en-GB"/>
        </w:rPr>
        <w:t xml:space="preserve"> Netherlands </w:t>
      </w:r>
    </w:p>
  </w:footnote>
  <w:footnote w:id="279">
    <w:p w14:paraId="6B2C9C8E" w14:textId="4DF908D8" w:rsidR="005D4302" w:rsidRPr="00DF02C5" w:rsidRDefault="005D4302" w:rsidP="00D84EFE">
      <w:pPr>
        <w:pStyle w:val="FootnoteText"/>
        <w:ind w:firstLine="0"/>
        <w:rPr>
          <w:lang w:val="en-GB"/>
        </w:rPr>
      </w:pPr>
      <w:r w:rsidRPr="00DF02C5">
        <w:rPr>
          <w:rStyle w:val="FootnoteReference"/>
          <w:lang w:val="en-GB"/>
        </w:rPr>
        <w:footnoteRef/>
      </w:r>
      <w:r w:rsidRPr="00DF02C5">
        <w:rPr>
          <w:lang w:val="en-GB"/>
        </w:rPr>
        <w:t xml:space="preserve"> E.g. Antigua and Barbuda, Botswana,  Comoros, Côte d’Ivoire, Kenya, Malawi, Mongolia, South Africa, Sudan, Uruguay</w:t>
      </w:r>
    </w:p>
  </w:footnote>
  <w:footnote w:id="280">
    <w:p w14:paraId="297EE315" w14:textId="1BF41EE4" w:rsidR="005D4302" w:rsidRPr="00DF02C5" w:rsidRDefault="005D4302" w:rsidP="00D84EFE">
      <w:pPr>
        <w:pStyle w:val="FootnoteText"/>
        <w:ind w:firstLine="0"/>
        <w:rPr>
          <w:lang w:val="en-GB"/>
        </w:rPr>
      </w:pPr>
      <w:r w:rsidRPr="00DF02C5">
        <w:rPr>
          <w:rStyle w:val="FootnoteReference"/>
          <w:lang w:val="en-GB"/>
        </w:rPr>
        <w:footnoteRef/>
      </w:r>
      <w:r w:rsidRPr="00DF02C5">
        <w:rPr>
          <w:lang w:val="en-GB"/>
        </w:rPr>
        <w:t xml:space="preserve"> E.g. Belgium, Estonia,  European Union, Finland, Germany, Japan, Poland, Slovakia, Sweden, </w:t>
      </w:r>
      <w:r w:rsidRPr="00DF02C5">
        <w:rPr>
          <w:rFonts w:eastAsia="Calibri"/>
          <w:noProof/>
          <w:snapToGrid w:val="0"/>
          <w:color w:val="auto"/>
          <w:kern w:val="22"/>
          <w:bdr w:val="none" w:sz="0" w:space="0" w:color="auto"/>
          <w:lang w:val="en-GB"/>
        </w:rPr>
        <w:t>United Kingdom of Great Britain and Northern Ireland</w:t>
      </w:r>
    </w:p>
  </w:footnote>
  <w:footnote w:id="281">
    <w:p w14:paraId="03DA5AE6" w14:textId="539AB53D" w:rsidR="005D4302" w:rsidRPr="00DF02C5" w:rsidRDefault="005D4302" w:rsidP="00D84EFE">
      <w:pPr>
        <w:pStyle w:val="FootnoteText"/>
        <w:ind w:firstLine="0"/>
        <w:rPr>
          <w:lang w:val="en-GB"/>
        </w:rPr>
      </w:pPr>
      <w:r w:rsidRPr="00DF02C5">
        <w:rPr>
          <w:rStyle w:val="FootnoteReference"/>
          <w:lang w:val="en-GB"/>
        </w:rPr>
        <w:footnoteRef/>
      </w:r>
      <w:r w:rsidRPr="00DF02C5">
        <w:rPr>
          <w:lang w:val="en-GB"/>
        </w:rPr>
        <w:t xml:space="preserve"> E.g. Belgium, Estonia, European Union, Finland, Poland, Slovakia, Sweden,</w:t>
      </w:r>
      <w:r w:rsidRPr="00DF02C5">
        <w:rPr>
          <w:rFonts w:eastAsia="Calibri"/>
          <w:noProof/>
          <w:snapToGrid w:val="0"/>
          <w:color w:val="auto"/>
          <w:kern w:val="22"/>
          <w:bdr w:val="none" w:sz="0" w:space="0" w:color="auto"/>
          <w:lang w:val="en-GB"/>
        </w:rPr>
        <w:t xml:space="preserve"> United Kingdom of Great Britain and Northern Ireland</w:t>
      </w:r>
    </w:p>
  </w:footnote>
  <w:footnote w:id="282">
    <w:p w14:paraId="6ADDDADB" w14:textId="41DECF0F" w:rsidR="005D4302" w:rsidRPr="00DF02C5" w:rsidRDefault="005D4302" w:rsidP="00D84EFE">
      <w:pPr>
        <w:pStyle w:val="FootnoteText"/>
        <w:ind w:firstLine="0"/>
        <w:rPr>
          <w:lang w:val="en-GB"/>
        </w:rPr>
      </w:pPr>
      <w:r w:rsidRPr="00DF02C5">
        <w:rPr>
          <w:rStyle w:val="FootnoteReference"/>
          <w:lang w:val="en-GB"/>
        </w:rPr>
        <w:footnoteRef/>
      </w:r>
      <w:r w:rsidRPr="00DF02C5">
        <w:rPr>
          <w:lang w:val="en-GB"/>
        </w:rPr>
        <w:t xml:space="preserve"> Congo, Guinea Bissau</w:t>
      </w:r>
    </w:p>
  </w:footnote>
  <w:footnote w:id="283">
    <w:p w14:paraId="5C21F154" w14:textId="77777777" w:rsidR="005D4302" w:rsidRPr="00DF02C5" w:rsidRDefault="005D4302" w:rsidP="00D84EFE">
      <w:pPr>
        <w:pStyle w:val="FootnoteText"/>
        <w:ind w:firstLine="0"/>
        <w:rPr>
          <w:lang w:val="en-GB"/>
        </w:rPr>
      </w:pPr>
      <w:r w:rsidRPr="00DF02C5">
        <w:rPr>
          <w:rStyle w:val="FootnoteReference"/>
          <w:lang w:val="en-GB"/>
        </w:rPr>
        <w:footnoteRef/>
      </w:r>
      <w:r w:rsidRPr="00DF02C5">
        <w:rPr>
          <w:lang w:val="en-GB"/>
        </w:rPr>
        <w:t xml:space="preserve"> Antigua and Barbuda</w:t>
      </w:r>
      <w:r w:rsidRPr="00DF02C5">
        <w:rPr>
          <w:rFonts w:eastAsia="Calibri"/>
          <w:noProof/>
          <w:snapToGrid w:val="0"/>
          <w:color w:val="auto"/>
          <w:kern w:val="22"/>
          <w:bdr w:val="none" w:sz="0" w:space="0" w:color="auto"/>
          <w:lang w:val="en-GB"/>
        </w:rPr>
        <w:t xml:space="preserve"> </w:t>
      </w:r>
    </w:p>
  </w:footnote>
  <w:footnote w:id="284">
    <w:p w14:paraId="1D340167" w14:textId="71D8BE7A" w:rsidR="005D4302" w:rsidRPr="00DF02C5" w:rsidRDefault="005D4302" w:rsidP="00D84EFE">
      <w:pPr>
        <w:pStyle w:val="FootnoteText"/>
        <w:ind w:firstLine="0"/>
        <w:rPr>
          <w:lang w:val="en-GB"/>
        </w:rPr>
      </w:pPr>
      <w:r w:rsidRPr="00DF02C5">
        <w:rPr>
          <w:rStyle w:val="FootnoteReference"/>
          <w:lang w:val="en-GB"/>
        </w:rPr>
        <w:footnoteRef/>
      </w:r>
      <w:r w:rsidRPr="00DF02C5">
        <w:rPr>
          <w:lang w:val="en-GB"/>
        </w:rPr>
        <w:t xml:space="preserve"> E.g. Bhutan, Cuba, Democratic Republic of Congo, Malta, Mauritania,  Norway, Peru, South Africa, Switzerland, Uganda</w:t>
      </w:r>
    </w:p>
  </w:footnote>
  <w:footnote w:id="285">
    <w:p w14:paraId="0A9C4AF0" w14:textId="77777777" w:rsidR="005D4302" w:rsidRPr="00DF02C5" w:rsidRDefault="005D4302" w:rsidP="00D00A6D">
      <w:pPr>
        <w:pStyle w:val="FootnoteText"/>
        <w:ind w:firstLine="0"/>
        <w:rPr>
          <w:lang w:val="en-GB"/>
        </w:rPr>
      </w:pPr>
      <w:r w:rsidRPr="00DF02C5">
        <w:rPr>
          <w:rStyle w:val="FootnoteReference"/>
          <w:lang w:val="en-GB"/>
        </w:rPr>
        <w:footnoteRef/>
      </w:r>
      <w:r w:rsidRPr="00DF02C5">
        <w:rPr>
          <w:lang w:val="en-GB"/>
        </w:rPr>
        <w:t xml:space="preserve"> Mexico, Botswana </w:t>
      </w:r>
    </w:p>
  </w:footnote>
  <w:footnote w:id="286">
    <w:p w14:paraId="3671FE6B" w14:textId="3FCD0874" w:rsidR="005D4302" w:rsidRPr="00DF02C5" w:rsidRDefault="005D4302" w:rsidP="00D84EFE">
      <w:pPr>
        <w:pStyle w:val="FootnoteText"/>
        <w:ind w:firstLine="0"/>
        <w:rPr>
          <w:lang w:val="en-GB"/>
        </w:rPr>
      </w:pPr>
      <w:r w:rsidRPr="00DF02C5">
        <w:rPr>
          <w:rStyle w:val="FootnoteReference"/>
          <w:lang w:val="en-GB"/>
        </w:rPr>
        <w:footnoteRef/>
      </w:r>
      <w:r w:rsidRPr="00DF02C5">
        <w:rPr>
          <w:lang w:val="en-GB"/>
        </w:rPr>
        <w:t xml:space="preserve"> E.g. Bhutan, Belgium, Benin, Bulgaria, Czech Republic, Denmark, Ethiopia, Estonia, European Union, Finland, Germany, India, Hungary, Malta, Netherlands, Norway, Poland, Slovakia, Spain, Sweden, United Kingdom of Great Britain and Northern Ireland.</w:t>
      </w:r>
    </w:p>
  </w:footnote>
  <w:footnote w:id="287">
    <w:p w14:paraId="4E3A3167" w14:textId="37CA155F" w:rsidR="005D4302" w:rsidRPr="00DF02C5" w:rsidRDefault="005D4302" w:rsidP="00D84EFE">
      <w:pPr>
        <w:pStyle w:val="FootnoteText"/>
        <w:ind w:firstLine="0"/>
        <w:rPr>
          <w:lang w:val="en-GB"/>
        </w:rPr>
      </w:pPr>
      <w:r w:rsidRPr="00DF02C5">
        <w:rPr>
          <w:rStyle w:val="FootnoteReference"/>
          <w:lang w:val="en-GB"/>
        </w:rPr>
        <w:footnoteRef/>
      </w:r>
      <w:r w:rsidRPr="00DF02C5">
        <w:rPr>
          <w:lang w:val="en-GB"/>
        </w:rPr>
        <w:t xml:space="preserve"> E.g. Burkina Faso, Niger, Seychelles, Norway</w:t>
      </w:r>
    </w:p>
  </w:footnote>
  <w:footnote w:id="288">
    <w:p w14:paraId="298610CA" w14:textId="77777777" w:rsidR="005D4302" w:rsidRPr="00DF02C5" w:rsidRDefault="005D4302" w:rsidP="00D84EFE">
      <w:pPr>
        <w:pStyle w:val="FootnoteText"/>
        <w:ind w:firstLine="0"/>
        <w:rPr>
          <w:lang w:val="en-GB"/>
        </w:rPr>
      </w:pPr>
      <w:r w:rsidRPr="00DF02C5">
        <w:rPr>
          <w:rStyle w:val="FootnoteReference"/>
          <w:lang w:val="en-GB"/>
        </w:rPr>
        <w:footnoteRef/>
      </w:r>
      <w:r w:rsidRPr="00DF02C5">
        <w:rPr>
          <w:lang w:val="en-GB"/>
        </w:rPr>
        <w:t xml:space="preserve"> Togo </w:t>
      </w:r>
    </w:p>
  </w:footnote>
  <w:footnote w:id="289">
    <w:p w14:paraId="151F4853" w14:textId="77777777" w:rsidR="005D4302" w:rsidRPr="00DF02C5" w:rsidRDefault="005D4302" w:rsidP="00D00A6D">
      <w:pPr>
        <w:pStyle w:val="FootnoteText"/>
        <w:ind w:firstLine="0"/>
        <w:rPr>
          <w:lang w:val="en-GB"/>
        </w:rPr>
      </w:pPr>
      <w:r w:rsidRPr="00DF02C5">
        <w:rPr>
          <w:rStyle w:val="FootnoteReference"/>
          <w:lang w:val="en-GB"/>
        </w:rPr>
        <w:footnoteRef/>
      </w:r>
      <w:r w:rsidRPr="00DF02C5">
        <w:rPr>
          <w:lang w:val="en-GB"/>
        </w:rPr>
        <w:t xml:space="preserve"> Comoros </w:t>
      </w:r>
    </w:p>
  </w:footnote>
  <w:footnote w:id="290">
    <w:p w14:paraId="61B48EAD" w14:textId="1FBD7345" w:rsidR="005D4302" w:rsidRPr="00DF02C5" w:rsidRDefault="005D4302" w:rsidP="00D84EFE">
      <w:pPr>
        <w:pStyle w:val="FootnoteText"/>
        <w:ind w:firstLine="0"/>
        <w:rPr>
          <w:lang w:val="en-GB"/>
        </w:rPr>
      </w:pPr>
      <w:r w:rsidRPr="00DF02C5">
        <w:rPr>
          <w:rStyle w:val="FootnoteReference"/>
          <w:lang w:val="en-GB"/>
        </w:rPr>
        <w:footnoteRef/>
      </w:r>
      <w:r w:rsidRPr="00DF02C5">
        <w:rPr>
          <w:lang w:val="en-GB"/>
        </w:rPr>
        <w:t xml:space="preserve"> E.g. Ethiopia, European Union and Member States, India, Peru, Spain </w:t>
      </w:r>
    </w:p>
  </w:footnote>
  <w:footnote w:id="291">
    <w:p w14:paraId="66D25C16" w14:textId="77777777" w:rsidR="005D4302" w:rsidRPr="00DF02C5" w:rsidRDefault="005D4302" w:rsidP="00D84EFE">
      <w:pPr>
        <w:pStyle w:val="FootnoteText"/>
        <w:ind w:firstLine="0"/>
        <w:rPr>
          <w:lang w:val="en-GB"/>
        </w:rPr>
      </w:pPr>
      <w:r w:rsidRPr="00DF02C5">
        <w:rPr>
          <w:rStyle w:val="FootnoteReference"/>
          <w:lang w:val="en-GB"/>
        </w:rPr>
        <w:footnoteRef/>
      </w:r>
      <w:r w:rsidRPr="00DF02C5">
        <w:rPr>
          <w:lang w:val="en-GB"/>
        </w:rPr>
        <w:t xml:space="preserve"> The same information was provided by the EU Member States in their report</w:t>
      </w:r>
    </w:p>
  </w:footnote>
  <w:footnote w:id="292">
    <w:p w14:paraId="5D2997B1" w14:textId="66EFE084" w:rsidR="005D4302" w:rsidRPr="00DF02C5" w:rsidRDefault="005D4302" w:rsidP="000603E8">
      <w:pPr>
        <w:pStyle w:val="FootnoteText"/>
        <w:ind w:firstLine="0"/>
        <w:rPr>
          <w:lang w:val="en-GB"/>
        </w:rPr>
      </w:pPr>
      <w:r w:rsidRPr="00DF02C5">
        <w:rPr>
          <w:rStyle w:val="FootnoteReference"/>
          <w:lang w:val="en-GB"/>
        </w:rPr>
        <w:footnoteRef/>
      </w:r>
      <w:r w:rsidRPr="00DF02C5">
        <w:rPr>
          <w:lang w:val="en-GB"/>
        </w:rPr>
        <w:t xml:space="preserve"> E.g. Botswana, Côte d’Ivoire, Madagascar, Pakistan, Uruguay</w:t>
      </w:r>
    </w:p>
  </w:footnote>
  <w:footnote w:id="293">
    <w:p w14:paraId="505D8E77" w14:textId="77777777" w:rsidR="005D4302" w:rsidRPr="00DF02C5" w:rsidRDefault="005D4302" w:rsidP="000603E8">
      <w:pPr>
        <w:pStyle w:val="FootnoteText"/>
        <w:ind w:firstLine="0"/>
        <w:rPr>
          <w:lang w:val="en-GB"/>
        </w:rPr>
      </w:pPr>
      <w:r w:rsidRPr="00DF02C5">
        <w:rPr>
          <w:rStyle w:val="FootnoteReference"/>
          <w:lang w:val="en-GB"/>
        </w:rPr>
        <w:footnoteRef/>
      </w:r>
      <w:r w:rsidRPr="00DF02C5">
        <w:rPr>
          <w:lang w:val="en-GB"/>
        </w:rPr>
        <w:t xml:space="preserve"> E.g. Congo, Guinea Bissau</w:t>
      </w:r>
    </w:p>
  </w:footnote>
  <w:footnote w:id="294">
    <w:p w14:paraId="5CD74099" w14:textId="0A7A0823" w:rsidR="005D4302" w:rsidRPr="00DF02C5" w:rsidRDefault="005D4302" w:rsidP="00D84EFE">
      <w:pPr>
        <w:pStyle w:val="FootnoteText"/>
        <w:ind w:firstLine="0"/>
        <w:rPr>
          <w:lang w:val="en-GB"/>
        </w:rPr>
      </w:pPr>
      <w:r w:rsidRPr="00DF02C5">
        <w:rPr>
          <w:rStyle w:val="FootnoteReference"/>
          <w:lang w:val="en-GB"/>
        </w:rPr>
        <w:footnoteRef/>
      </w:r>
      <w:r w:rsidRPr="00DF02C5">
        <w:rPr>
          <w:lang w:val="en-GB"/>
        </w:rPr>
        <w:t xml:space="preserve"> Burundi</w:t>
      </w:r>
    </w:p>
  </w:footnote>
  <w:footnote w:id="295">
    <w:p w14:paraId="380B3740" w14:textId="77777777" w:rsidR="005D4302" w:rsidRPr="00DF02C5" w:rsidRDefault="005D4302" w:rsidP="001A656B">
      <w:pPr>
        <w:pStyle w:val="FootnoteText"/>
        <w:ind w:firstLine="0"/>
        <w:rPr>
          <w:lang w:val="en-GB"/>
        </w:rPr>
      </w:pPr>
      <w:r w:rsidRPr="00DF02C5">
        <w:rPr>
          <w:rStyle w:val="FootnoteReference"/>
          <w:lang w:val="en-GB"/>
        </w:rPr>
        <w:footnoteRef/>
      </w:r>
      <w:r w:rsidRPr="00DF02C5">
        <w:rPr>
          <w:lang w:val="en-GB"/>
        </w:rPr>
        <w:t xml:space="preserve"> E.g. </w:t>
      </w:r>
      <w:r w:rsidRPr="00DF02C5">
        <w:rPr>
          <w:rFonts w:eastAsia="Calibri"/>
          <w:snapToGrid w:val="0"/>
          <w:color w:val="auto"/>
          <w:kern w:val="22"/>
          <w:bdr w:val="none" w:sz="0" w:space="0" w:color="auto"/>
          <w:lang w:val="en-GB"/>
        </w:rPr>
        <w:t xml:space="preserve">Finland, Mexico, Panama </w:t>
      </w:r>
    </w:p>
  </w:footnote>
  <w:footnote w:id="296">
    <w:p w14:paraId="6040C4A0" w14:textId="77777777" w:rsidR="005D4302" w:rsidRPr="00DF02C5" w:rsidRDefault="005D4302" w:rsidP="001A656B">
      <w:pPr>
        <w:pStyle w:val="FootnoteText"/>
        <w:ind w:firstLine="0"/>
        <w:rPr>
          <w:lang w:val="en-GB"/>
        </w:rPr>
      </w:pPr>
      <w:r w:rsidRPr="00DF02C5">
        <w:rPr>
          <w:rStyle w:val="FootnoteReference"/>
          <w:lang w:val="en-GB"/>
        </w:rPr>
        <w:footnoteRef/>
      </w:r>
      <w:r w:rsidRPr="00DF02C5">
        <w:rPr>
          <w:lang w:val="en-GB"/>
        </w:rPr>
        <w:t xml:space="preserve"> E.g. Antigua and Barbuda, Bhutan, Burkina Faso, Botswana, China, Côte d’Ivoire, Comoros, Cuba, Dominican Republic, Guinea, Guinea-Bissau,  Lao People’s Democratic Republic, Niger, Togo, Uruguay</w:t>
      </w:r>
    </w:p>
  </w:footnote>
  <w:footnote w:id="297">
    <w:p w14:paraId="502B6733" w14:textId="77777777" w:rsidR="005D4302" w:rsidRPr="00DF02C5" w:rsidRDefault="005D4302" w:rsidP="001A656B">
      <w:pPr>
        <w:pStyle w:val="FootnoteText"/>
        <w:ind w:firstLine="0"/>
        <w:rPr>
          <w:lang w:val="en-GB"/>
        </w:rPr>
      </w:pPr>
      <w:r w:rsidRPr="00DF02C5">
        <w:rPr>
          <w:rStyle w:val="FootnoteReference"/>
          <w:lang w:val="en-GB"/>
        </w:rPr>
        <w:footnoteRef/>
      </w:r>
      <w:r w:rsidRPr="00DF02C5">
        <w:rPr>
          <w:lang w:val="en-GB"/>
        </w:rPr>
        <w:t xml:space="preserve"> E.g. Honduras, Mauritania </w:t>
      </w:r>
    </w:p>
  </w:footnote>
  <w:footnote w:id="298">
    <w:p w14:paraId="6142ECA2"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The expression retained and defined in Art. L. 412-4 of the French law is “communautés d’habitants”.</w:t>
      </w:r>
    </w:p>
  </w:footnote>
  <w:footnote w:id="299">
    <w:p w14:paraId="5F7CFD6F"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w:t>
      </w:r>
      <w:r w:rsidRPr="00DF02C5">
        <w:rPr>
          <w:rFonts w:eastAsia="Calibri"/>
          <w:snapToGrid w:val="0"/>
          <w:color w:val="auto"/>
          <w:kern w:val="22"/>
          <w:bdr w:val="none" w:sz="0" w:space="0" w:color="auto"/>
          <w:lang w:val="en-GB"/>
        </w:rPr>
        <w:t>Swaziland</w:t>
      </w:r>
    </w:p>
  </w:footnote>
  <w:footnote w:id="300">
    <w:p w14:paraId="59136B75"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Republic of Moldova, Rwanda, Switzerland</w:t>
      </w:r>
    </w:p>
  </w:footnote>
  <w:footnote w:id="301">
    <w:p w14:paraId="2D128DAE" w14:textId="77777777" w:rsidR="005D4302" w:rsidRPr="00B50576" w:rsidRDefault="005D4302" w:rsidP="009C2D4E">
      <w:pPr>
        <w:pStyle w:val="FootnoteText"/>
        <w:ind w:firstLine="0"/>
        <w:rPr>
          <w:lang w:val="fr-FR"/>
        </w:rPr>
      </w:pPr>
      <w:r w:rsidRPr="00DF02C5">
        <w:rPr>
          <w:rStyle w:val="FootnoteReference"/>
          <w:lang w:val="en-GB"/>
        </w:rPr>
        <w:footnoteRef/>
      </w:r>
      <w:r w:rsidRPr="00B50576">
        <w:rPr>
          <w:lang w:val="fr-FR"/>
        </w:rPr>
        <w:t xml:space="preserve"> E.g. </w:t>
      </w:r>
      <w:proofErr w:type="spellStart"/>
      <w:r w:rsidRPr="00B50576">
        <w:rPr>
          <w:lang w:val="fr-FR"/>
        </w:rPr>
        <w:t>Comoros</w:t>
      </w:r>
      <w:proofErr w:type="spellEnd"/>
      <w:r w:rsidRPr="00B50576">
        <w:rPr>
          <w:lang w:val="fr-FR"/>
        </w:rPr>
        <w:t xml:space="preserve">, Côte d’Ivoire, </w:t>
      </w:r>
      <w:proofErr w:type="spellStart"/>
      <w:r w:rsidRPr="00B50576">
        <w:rPr>
          <w:lang w:val="fr-FR"/>
        </w:rPr>
        <w:t>Guinea</w:t>
      </w:r>
      <w:proofErr w:type="spellEnd"/>
      <w:r w:rsidRPr="00B50576">
        <w:rPr>
          <w:lang w:val="fr-FR"/>
        </w:rPr>
        <w:t xml:space="preserve">, Mali, </w:t>
      </w:r>
      <w:proofErr w:type="spellStart"/>
      <w:r w:rsidRPr="00B50576">
        <w:rPr>
          <w:lang w:val="fr-FR"/>
        </w:rPr>
        <w:t>Mauritania</w:t>
      </w:r>
      <w:proofErr w:type="spellEnd"/>
      <w:r w:rsidRPr="00B50576">
        <w:rPr>
          <w:lang w:val="fr-FR"/>
        </w:rPr>
        <w:t>, Mexico</w:t>
      </w:r>
    </w:p>
  </w:footnote>
  <w:footnote w:id="302">
    <w:p w14:paraId="132FBBAB" w14:textId="77777777" w:rsidR="005D4302" w:rsidRPr="00B50576" w:rsidRDefault="005D4302" w:rsidP="005F3A08">
      <w:pPr>
        <w:pStyle w:val="FootnoteText"/>
        <w:ind w:firstLine="0"/>
        <w:rPr>
          <w:lang w:val="fr-FR"/>
        </w:rPr>
      </w:pPr>
      <w:r w:rsidRPr="00DF02C5">
        <w:rPr>
          <w:rStyle w:val="FootnoteReference"/>
          <w:lang w:val="en-GB"/>
        </w:rPr>
        <w:footnoteRef/>
      </w:r>
      <w:r w:rsidRPr="00B50576">
        <w:rPr>
          <w:lang w:val="fr-FR"/>
        </w:rPr>
        <w:t xml:space="preserve"> E.g. Benin, Côte d’Ivoire, Mali</w:t>
      </w:r>
    </w:p>
  </w:footnote>
  <w:footnote w:id="303">
    <w:p w14:paraId="293F5674" w14:textId="5D8BE110"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Mexico </w:t>
      </w:r>
    </w:p>
  </w:footnote>
  <w:footnote w:id="304">
    <w:p w14:paraId="7DE476FB"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Kenya, Swaziland </w:t>
      </w:r>
    </w:p>
  </w:footnote>
  <w:footnote w:id="305">
    <w:p w14:paraId="40B56907" w14:textId="2D9EB9C4"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Burkina Faso, Kuwait, Mexico, Panama, South Africa, Viet Nam </w:t>
      </w:r>
    </w:p>
  </w:footnote>
  <w:footnote w:id="306">
    <w:p w14:paraId="0A8B1653"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Bhutan, Kenya, Madagascar, Panama , South Africa, Uganda</w:t>
      </w:r>
    </w:p>
  </w:footnote>
  <w:footnote w:id="307">
    <w:p w14:paraId="0E65EF12" w14:textId="77777777" w:rsidR="005D4302" w:rsidRPr="00DF02C5" w:rsidRDefault="005D4302" w:rsidP="00D53103">
      <w:pPr>
        <w:pStyle w:val="FootnoteText"/>
        <w:ind w:firstLine="0"/>
        <w:rPr>
          <w:lang w:val="en-GB"/>
        </w:rPr>
      </w:pPr>
      <w:r w:rsidRPr="00DF02C5">
        <w:rPr>
          <w:rStyle w:val="FootnoteReference"/>
          <w:lang w:val="en-GB"/>
        </w:rPr>
        <w:footnoteRef/>
      </w:r>
      <w:r w:rsidRPr="00DF02C5">
        <w:rPr>
          <w:lang w:val="en-GB"/>
        </w:rPr>
        <w:t xml:space="preserve"> E.g. Cameroon, Cuba, France </w:t>
      </w:r>
    </w:p>
  </w:footnote>
  <w:footnote w:id="308">
    <w:p w14:paraId="77912DC6" w14:textId="77777777" w:rsidR="005D4302" w:rsidRPr="00DF02C5" w:rsidRDefault="005D4302" w:rsidP="00D53103">
      <w:pPr>
        <w:pStyle w:val="FootnoteText"/>
        <w:ind w:firstLine="0"/>
        <w:rPr>
          <w:lang w:val="en-GB"/>
        </w:rPr>
      </w:pPr>
      <w:r w:rsidRPr="00DF02C5">
        <w:rPr>
          <w:rStyle w:val="FootnoteReference"/>
          <w:lang w:val="en-GB"/>
        </w:rPr>
        <w:footnoteRef/>
      </w:r>
      <w:r w:rsidRPr="00DF02C5">
        <w:rPr>
          <w:lang w:val="en-GB"/>
        </w:rPr>
        <w:t xml:space="preserve"> E.g. Burundi </w:t>
      </w:r>
    </w:p>
  </w:footnote>
  <w:footnote w:id="309">
    <w:p w14:paraId="1795F387" w14:textId="77777777" w:rsidR="005D4302" w:rsidRPr="00DF02C5" w:rsidRDefault="005D4302" w:rsidP="00D53103">
      <w:pPr>
        <w:pStyle w:val="FootnoteText"/>
        <w:ind w:firstLine="0"/>
        <w:rPr>
          <w:lang w:val="en-GB"/>
        </w:rPr>
      </w:pPr>
      <w:r w:rsidRPr="00DF02C5">
        <w:rPr>
          <w:rStyle w:val="FootnoteReference"/>
          <w:lang w:val="en-GB"/>
        </w:rPr>
        <w:footnoteRef/>
      </w:r>
      <w:r w:rsidRPr="00DF02C5">
        <w:rPr>
          <w:lang w:val="en-GB"/>
        </w:rPr>
        <w:t xml:space="preserve"> E.g. Antigua and Barbuda, Democratic Republic of the Congo, Ethiopia, Peru, Togo </w:t>
      </w:r>
    </w:p>
  </w:footnote>
  <w:footnote w:id="310">
    <w:p w14:paraId="6EAC396A" w14:textId="77777777" w:rsidR="005D4302" w:rsidRPr="00DF02C5" w:rsidRDefault="005D4302" w:rsidP="00D53103">
      <w:pPr>
        <w:pStyle w:val="FootnoteText"/>
        <w:ind w:firstLine="0"/>
        <w:rPr>
          <w:lang w:val="en-GB"/>
        </w:rPr>
      </w:pPr>
      <w:r w:rsidRPr="00DF02C5">
        <w:rPr>
          <w:rStyle w:val="FootnoteReference"/>
          <w:lang w:val="en-GB"/>
        </w:rPr>
        <w:footnoteRef/>
      </w:r>
      <w:r w:rsidRPr="00DF02C5">
        <w:rPr>
          <w:lang w:val="en-GB"/>
        </w:rPr>
        <w:t xml:space="preserve"> E.g. </w:t>
      </w:r>
      <w:r w:rsidRPr="00DF02C5">
        <w:rPr>
          <w:rFonts w:eastAsia="Calibri"/>
          <w:snapToGrid w:val="0"/>
          <w:color w:val="auto"/>
          <w:kern w:val="22"/>
          <w:bdr w:val="none" w:sz="0" w:space="0" w:color="auto"/>
          <w:lang w:val="en-GB"/>
        </w:rPr>
        <w:t>Botswana, Congo, Cameroon, Guinea-Bissau, Niger, Sudan, Uruguay</w:t>
      </w:r>
    </w:p>
  </w:footnote>
  <w:footnote w:id="311">
    <w:p w14:paraId="42467E5F" w14:textId="77777777" w:rsidR="005D4302" w:rsidRPr="00DF02C5" w:rsidRDefault="005D4302" w:rsidP="00B7259A">
      <w:pPr>
        <w:pStyle w:val="FootnoteText"/>
        <w:ind w:firstLine="0"/>
        <w:rPr>
          <w:lang w:val="en-GB"/>
        </w:rPr>
      </w:pPr>
      <w:r w:rsidRPr="00DF02C5">
        <w:rPr>
          <w:rStyle w:val="FootnoteReference"/>
          <w:lang w:val="en-GB"/>
        </w:rPr>
        <w:footnoteRef/>
      </w:r>
      <w:r w:rsidRPr="00DF02C5">
        <w:rPr>
          <w:lang w:val="en-GB"/>
        </w:rPr>
        <w:t xml:space="preserve"> E.g. Benin, Bhutan, Burkina Faso, Kenya, Madagascar, Malawi, South Africa, Swaziland, Uganda, Viet Nam </w:t>
      </w:r>
    </w:p>
  </w:footnote>
  <w:footnote w:id="312">
    <w:p w14:paraId="44C09B67" w14:textId="77777777" w:rsidR="005D4302" w:rsidRPr="00DF02C5" w:rsidRDefault="005D4302" w:rsidP="009C2D4E">
      <w:pPr>
        <w:pStyle w:val="FootnoteText"/>
        <w:ind w:firstLine="0"/>
        <w:rPr>
          <w:lang w:val="en-GB"/>
        </w:rPr>
      </w:pPr>
      <w:r w:rsidRPr="00DF02C5">
        <w:rPr>
          <w:rStyle w:val="FootnoteReference"/>
          <w:lang w:val="en-GB"/>
        </w:rPr>
        <w:footnoteRef/>
      </w:r>
      <w:r w:rsidRPr="00DF02C5">
        <w:rPr>
          <w:lang w:val="en-GB"/>
        </w:rPr>
        <w:t xml:space="preserve"> E.g. Burkina Faso, Mongolia, Pakistan</w:t>
      </w:r>
    </w:p>
  </w:footnote>
  <w:footnote w:id="313">
    <w:p w14:paraId="0714C21F"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Benin, Kenya, Madagascar, Mexico, South Africa, Uganda </w:t>
      </w:r>
    </w:p>
  </w:footnote>
  <w:footnote w:id="314">
    <w:p w14:paraId="2534E1FA" w14:textId="77777777" w:rsidR="005D4302" w:rsidRPr="00DF02C5" w:rsidRDefault="005D4302" w:rsidP="009C2D4E">
      <w:pPr>
        <w:pStyle w:val="FootnoteText"/>
        <w:ind w:firstLine="0"/>
        <w:rPr>
          <w:lang w:val="en-GB"/>
        </w:rPr>
      </w:pPr>
      <w:r w:rsidRPr="00DF02C5">
        <w:rPr>
          <w:rStyle w:val="FootnoteReference"/>
          <w:lang w:val="en-GB"/>
        </w:rPr>
        <w:footnoteRef/>
      </w:r>
      <w:r w:rsidRPr="00DF02C5">
        <w:rPr>
          <w:lang w:val="en-GB"/>
        </w:rPr>
        <w:t xml:space="preserve"> E.g. Burkina Faso, Côte d’Ivoire, Guinea, Malawi, Mongolia </w:t>
      </w:r>
    </w:p>
  </w:footnote>
  <w:footnote w:id="315">
    <w:p w14:paraId="255F9F13"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Bhutan, Panama, Uruguay</w:t>
      </w:r>
    </w:p>
  </w:footnote>
  <w:footnote w:id="316">
    <w:p w14:paraId="56F1BEED"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Antigua and Barbuda, Benin, Bhutan, Burkina Faso, Democratic Republic of the Congo, Ethiopia, Finland, France, India, Kenya, Madagascar, Mexico, Morocco, Norway, Panama, Peru, Swaziland </w:t>
      </w:r>
    </w:p>
  </w:footnote>
  <w:footnote w:id="317">
    <w:p w14:paraId="13367ED7"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Mexico</w:t>
      </w:r>
    </w:p>
  </w:footnote>
  <w:footnote w:id="318">
    <w:p w14:paraId="2CACB16F" w14:textId="2B7CAF72"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Burundi, Cameroon, Côte d’Ivoire, Dominican Republic, Guinea, Guinea-Bissau, Mongolia, Niger, Pakistan, Senegal, Sudan, Togo</w:t>
      </w:r>
    </w:p>
  </w:footnote>
  <w:footnote w:id="319">
    <w:p w14:paraId="781FB30E"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Benin, Cameroon, Democratic Republic of the Congo, Kenya</w:t>
      </w:r>
    </w:p>
  </w:footnote>
  <w:footnote w:id="320">
    <w:p w14:paraId="73252814"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Bhutan, Ethiopia, India, Swaziland, Peru </w:t>
      </w:r>
    </w:p>
  </w:footnote>
  <w:footnote w:id="321">
    <w:p w14:paraId="737F7B2D"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Benin </w:t>
      </w:r>
    </w:p>
  </w:footnote>
  <w:footnote w:id="322">
    <w:p w14:paraId="7CA56D8C" w14:textId="6660D29D"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Burkina Faso, Burundi, Democratic Republic of the Congo, Malawi, Mexico, Sweden, Uganda</w:t>
      </w:r>
    </w:p>
  </w:footnote>
  <w:footnote w:id="323">
    <w:p w14:paraId="71688BF7" w14:textId="1490C7D3"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Botswana, Côte d’Ivoire, Guinea, Guinea-Bissau, Mauritania, Mongolia, Niger, Pakistan, Sudan, Uruguay</w:t>
      </w:r>
    </w:p>
  </w:footnote>
  <w:footnote w:id="324">
    <w:p w14:paraId="52CE8987" w14:textId="51B9D6AB"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Benin, Burkina Faso, Cameroon, Ethiopia, India, Malawi, Morocco, South Africa</w:t>
      </w:r>
    </w:p>
  </w:footnote>
  <w:footnote w:id="325">
    <w:p w14:paraId="587ED130"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w:t>
      </w:r>
      <w:r w:rsidRPr="00DF02C5">
        <w:rPr>
          <w:rFonts w:eastAsia="Calibri"/>
          <w:snapToGrid w:val="0"/>
          <w:color w:val="auto"/>
          <w:kern w:val="22"/>
          <w:bdr w:val="none" w:sz="0" w:space="0" w:color="auto"/>
          <w:lang w:val="en-GB"/>
        </w:rPr>
        <w:t xml:space="preserve">Antigua and Barbuda, Benin, Bhutan, Ethiopia, India, Peru </w:t>
      </w:r>
    </w:p>
  </w:footnote>
  <w:footnote w:id="326">
    <w:p w14:paraId="142C13C7" w14:textId="7D44C906"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Benin </w:t>
      </w:r>
    </w:p>
  </w:footnote>
  <w:footnote w:id="327">
    <w:p w14:paraId="79FF7E00" w14:textId="185E91D1"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Burundi, Cameroon, China, India, Kenya</w:t>
      </w:r>
    </w:p>
  </w:footnote>
  <w:footnote w:id="328">
    <w:p w14:paraId="5991B57E"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w:t>
      </w:r>
      <w:r w:rsidRPr="00DF02C5">
        <w:rPr>
          <w:rFonts w:eastAsia="Calibri"/>
          <w:snapToGrid w:val="0"/>
          <w:color w:val="auto"/>
          <w:kern w:val="22"/>
          <w:bdr w:val="none" w:sz="0" w:space="0" w:color="auto"/>
          <w:lang w:val="en-GB"/>
        </w:rPr>
        <w:t xml:space="preserve">Comoros, Ethiopia, India, Norway  </w:t>
      </w:r>
    </w:p>
  </w:footnote>
  <w:footnote w:id="329">
    <w:p w14:paraId="45EC8767"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Finland </w:t>
      </w:r>
    </w:p>
  </w:footnote>
  <w:footnote w:id="330">
    <w:p w14:paraId="1E135216"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Botswana, China, Comoros, Côte d’Ivoire, Dominican Republic, Lao People's Democratic Republic, Mexico, Senegal, Togo, Uruguay</w:t>
      </w:r>
    </w:p>
  </w:footnote>
  <w:footnote w:id="331">
    <w:p w14:paraId="6640DD66" w14:textId="2891A3A6"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Mexico, Niger </w:t>
      </w:r>
    </w:p>
  </w:footnote>
  <w:footnote w:id="332">
    <w:p w14:paraId="617A6FDD" w14:textId="71C06738"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China, Comoros </w:t>
      </w:r>
    </w:p>
  </w:footnote>
  <w:footnote w:id="333">
    <w:p w14:paraId="31225B03"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Antigua and Barbuda, Benin, Burkina Faso, Cameroon, China, Dominican Republic, Guinea, India, Kenya, Madagascar,  Mexico, Panama, Uruguay </w:t>
      </w:r>
    </w:p>
  </w:footnote>
  <w:footnote w:id="334">
    <w:p w14:paraId="6A4D3E16" w14:textId="77777777" w:rsidR="005D4302" w:rsidRPr="00DF02C5" w:rsidRDefault="005D4302" w:rsidP="00890797">
      <w:pPr>
        <w:pStyle w:val="FootnoteText"/>
        <w:ind w:firstLine="0"/>
        <w:rPr>
          <w:lang w:val="en-GB"/>
        </w:rPr>
      </w:pPr>
      <w:r w:rsidRPr="00DF02C5">
        <w:rPr>
          <w:rStyle w:val="FootnoteReference"/>
          <w:lang w:val="en-GB"/>
        </w:rPr>
        <w:footnoteRef/>
      </w:r>
      <w:r w:rsidRPr="00DF02C5">
        <w:rPr>
          <w:lang w:val="en-GB"/>
        </w:rPr>
        <w:t xml:space="preserve"> E.g. Bhutan, Ethiopia, Mexico, South Africa</w:t>
      </w:r>
    </w:p>
  </w:footnote>
  <w:footnote w:id="335">
    <w:p w14:paraId="4A057F1D" w14:textId="137B23CC"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Cameroon, Côte d’Ivoire, Malawi, Mauritania, Niger, Norway, Panama, South Africa, Sudan</w:t>
      </w:r>
    </w:p>
  </w:footnote>
  <w:footnote w:id="336">
    <w:p w14:paraId="4FEA6ABA"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Antigua and Barbuda, Bhutan, Ethiopia, Finland, France, India, Kenya, Lao People's Democratic Republic, Mexico, Peru, Swaziland, Uganda, Viet Nam</w:t>
      </w:r>
    </w:p>
  </w:footnote>
  <w:footnote w:id="337">
    <w:p w14:paraId="6F0D50B0"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Burkina Faso, Burundi, Indonesia, Panama, Sudan, Togo</w:t>
      </w:r>
    </w:p>
  </w:footnote>
  <w:footnote w:id="338">
    <w:p w14:paraId="6CDD5816"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Benin, Burkina Faso, China, Cuba, Democratic Republic of the Congo</w:t>
      </w:r>
    </w:p>
  </w:footnote>
  <w:footnote w:id="339">
    <w:p w14:paraId="02893045"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Botswana, Côte d'Ivoire, Guinea, Pakistan, Uruguay</w:t>
      </w:r>
    </w:p>
  </w:footnote>
  <w:footnote w:id="340">
    <w:p w14:paraId="640D664F"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Comoros, Mongolia </w:t>
      </w:r>
    </w:p>
  </w:footnote>
  <w:footnote w:id="341">
    <w:p w14:paraId="1A8D0780"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Antigua and Barbuda, Belgium, Benin, Bhutan, Bulgaria, Burundi, Czech Republic, Democratic Republic of the Congo, Denmark, Estonia, European Union, Finland, France, Germany, Guinea, Hungary, India, Japan, Kenya, Lao People’s Democratic Republic, Madagascar, Netherlands, Peru, Portugal, Slovakia, South Africa, Spain, Swaziland, Sweden, Switzerland, Togo, </w:t>
      </w:r>
      <w:r w:rsidRPr="00DF02C5">
        <w:rPr>
          <w:rFonts w:eastAsia="Calibri"/>
          <w:noProof/>
          <w:snapToGrid w:val="0"/>
          <w:color w:val="auto"/>
          <w:kern w:val="22"/>
          <w:bdr w:val="none" w:sz="0" w:space="0" w:color="auto"/>
          <w:lang w:val="en-GB"/>
        </w:rPr>
        <w:t>United Kingdom of Great Britain and Northern Ireland, Viet Nam</w:t>
      </w:r>
    </w:p>
  </w:footnote>
  <w:footnote w:id="342">
    <w:p w14:paraId="2F657E5C"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Burkina Faso, Mexico, Morocco, Sao Tome and Principe, Senegal, Sudan, Uganda</w:t>
      </w:r>
    </w:p>
  </w:footnote>
  <w:footnote w:id="343">
    <w:p w14:paraId="63AD667D"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Benin, Burkina Faso, Comoros, Cuba,  Mongolia,</w:t>
      </w:r>
    </w:p>
  </w:footnote>
  <w:footnote w:id="344">
    <w:p w14:paraId="0E41A5CD"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Cameroon, Dominican Republic, France, Kenya, Malawi,  Malta, Mexico, Peru, Uganda</w:t>
      </w:r>
    </w:p>
  </w:footnote>
  <w:footnote w:id="345">
    <w:p w14:paraId="2EFE0A68"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w:t>
      </w:r>
      <w:r w:rsidRPr="00DF02C5">
        <w:rPr>
          <w:rFonts w:eastAsia="Calibri"/>
          <w:snapToGrid w:val="0"/>
          <w:color w:val="auto"/>
          <w:kern w:val="22"/>
          <w:bdr w:val="none" w:sz="0" w:space="0" w:color="auto"/>
          <w:lang w:val="en-GB"/>
        </w:rPr>
        <w:t>Bulgaria, Madagascar, Malta, Switzerland, United Kingdom of Great Britain and Northern Ireland</w:t>
      </w:r>
    </w:p>
  </w:footnote>
  <w:footnote w:id="346">
    <w:p w14:paraId="62E212BE"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Czech Republic, Denmark, Poland, Sweden</w:t>
      </w:r>
    </w:p>
  </w:footnote>
  <w:footnote w:id="347">
    <w:p w14:paraId="15F5F07F"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Niger, Norway, Pakistan, Panama, Republic of Moldova, Uruguay</w:t>
      </w:r>
    </w:p>
  </w:footnote>
  <w:footnote w:id="348">
    <w:p w14:paraId="1717FA14"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Congo, Guinea Bissau, Honduras</w:t>
      </w:r>
    </w:p>
  </w:footnote>
  <w:footnote w:id="349">
    <w:p w14:paraId="0DE17EC0" w14:textId="11646A63"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w:t>
      </w:r>
      <w:r w:rsidRPr="00DF02C5">
        <w:rPr>
          <w:snapToGrid w:val="0"/>
          <w:color w:val="auto"/>
          <w:bdr w:val="none" w:sz="0" w:space="0" w:color="auto"/>
          <w:lang w:val="en-GB"/>
        </w:rPr>
        <w:t>Albania, Belgium Benin, Botswana, Democratic Republic of Congo, Estonia, Finland, France, Guinea, Honduras, Hungary, Japan, Malta, Mexico, Pakistan, Portugal, Rwanda, Swaziland, Uruguay</w:t>
      </w:r>
    </w:p>
  </w:footnote>
  <w:footnote w:id="350">
    <w:p w14:paraId="1EC8490B" w14:textId="4B889612"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Benin, Burkina Faso, Burundi, Guinea, Kenya, Niger, Peru, Senegal, Sudan, Togo, Viet Nam</w:t>
      </w:r>
    </w:p>
  </w:footnote>
  <w:footnote w:id="351">
    <w:p w14:paraId="04A6F4CE"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Norway </w:t>
      </w:r>
    </w:p>
  </w:footnote>
  <w:footnote w:id="352">
    <w:p w14:paraId="140A3318"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Benin, Comoros</w:t>
      </w:r>
    </w:p>
  </w:footnote>
  <w:footnote w:id="353">
    <w:p w14:paraId="6656D24B" w14:textId="1CA0B5B9"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Antigua and Barbuda, Benin, Cameroon, Peru, Qatar , South Africa, Togo</w:t>
      </w:r>
    </w:p>
  </w:footnote>
  <w:footnote w:id="354">
    <w:p w14:paraId="2BCE7864"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Benin</w:t>
      </w:r>
    </w:p>
  </w:footnote>
  <w:footnote w:id="355">
    <w:p w14:paraId="2AED5272"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Antigua and Barbuda </w:t>
      </w:r>
    </w:p>
  </w:footnote>
  <w:footnote w:id="356">
    <w:p w14:paraId="6D80A924"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Kenya, Malawi, Peru Republic of Moldova, South Africa</w:t>
      </w:r>
    </w:p>
  </w:footnote>
  <w:footnote w:id="357">
    <w:p w14:paraId="7BE5C016"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Bhutan, China, Lao People’s Democratic Republic,  Qatar</w:t>
      </w:r>
    </w:p>
  </w:footnote>
  <w:footnote w:id="358">
    <w:p w14:paraId="38070F7E"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Benin </w:t>
      </w:r>
    </w:p>
  </w:footnote>
  <w:footnote w:id="359">
    <w:p w14:paraId="01EA2639" w14:textId="4F953A25"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Kenya </w:t>
      </w:r>
    </w:p>
  </w:footnote>
  <w:footnote w:id="360">
    <w:p w14:paraId="0EC91D32" w14:textId="77777777" w:rsidR="005D4302" w:rsidRPr="00DF02C5" w:rsidRDefault="005D4302" w:rsidP="005F3A08">
      <w:pPr>
        <w:pStyle w:val="FootnoteText"/>
        <w:ind w:firstLine="0"/>
        <w:rPr>
          <w:lang w:val="en-GB"/>
        </w:rPr>
      </w:pPr>
      <w:r w:rsidRPr="00DF02C5">
        <w:rPr>
          <w:rStyle w:val="FootnoteReference"/>
          <w:lang w:val="en-GB"/>
        </w:rPr>
        <w:footnoteRef/>
      </w:r>
      <w:r w:rsidRPr="00DF02C5">
        <w:rPr>
          <w:lang w:val="en-GB"/>
        </w:rPr>
        <w:t xml:space="preserve"> E.g. Kenya </w:t>
      </w:r>
    </w:p>
  </w:footnote>
  <w:footnote w:id="361">
    <w:p w14:paraId="3195759C" w14:textId="267C03EB"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Belarus, France, Malta, Norway Viet Nam</w:t>
      </w:r>
    </w:p>
  </w:footnote>
  <w:footnote w:id="362">
    <w:p w14:paraId="4DCDB345"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France, Malta </w:t>
      </w:r>
    </w:p>
  </w:footnote>
  <w:footnote w:id="363">
    <w:p w14:paraId="6763307C" w14:textId="37D0026F" w:rsidR="005D4302" w:rsidRPr="00DF02C5" w:rsidRDefault="005D4302" w:rsidP="00A60AB6">
      <w:pPr>
        <w:spacing w:before="120" w:after="120" w:line="228" w:lineRule="auto"/>
        <w:jc w:val="left"/>
        <w:rPr>
          <w:rFonts w:eastAsia="Calibri" w:hAnsi="Times New Roman" w:cs="Times New Roman"/>
          <w:snapToGrid w:val="0"/>
          <w:color w:val="auto"/>
          <w:kern w:val="22"/>
          <w:bdr w:val="none" w:sz="0" w:space="0" w:color="auto"/>
          <w:lang w:val="en-GB"/>
        </w:rPr>
      </w:pPr>
      <w:r w:rsidRPr="00DF02C5">
        <w:rPr>
          <w:rStyle w:val="FootnoteReference"/>
          <w:sz w:val="18"/>
          <w:lang w:val="en-GB"/>
        </w:rPr>
        <w:footnoteRef/>
      </w:r>
      <w:r w:rsidRPr="00DF02C5">
        <w:rPr>
          <w:rFonts w:eastAsia="Times New Roman" w:hAnsi="Times New Roman" w:cs="Times New Roman"/>
          <w:sz w:val="18"/>
          <w:szCs w:val="18"/>
          <w:lang w:val="en-GB"/>
        </w:rPr>
        <w:t xml:space="preserve"> E.g. Burkina</w:t>
      </w:r>
      <w:r w:rsidRPr="00DF02C5">
        <w:rPr>
          <w:sz w:val="18"/>
          <w:szCs w:val="18"/>
          <w:lang w:val="en-GB"/>
        </w:rPr>
        <w:t xml:space="preserve"> Faso,</w:t>
      </w:r>
      <w:r w:rsidRPr="00DF02C5">
        <w:rPr>
          <w:lang w:val="en-GB"/>
        </w:rPr>
        <w:t xml:space="preserve"> </w:t>
      </w:r>
      <w:r w:rsidRPr="00DF02C5">
        <w:rPr>
          <w:rFonts w:eastAsia="Times New Roman" w:hAnsi="Times New Roman" w:cs="Times New Roman"/>
          <w:sz w:val="18"/>
          <w:szCs w:val="18"/>
          <w:lang w:val="en-GB"/>
        </w:rPr>
        <w:t>Mongolia, Pakistan, South Africa</w:t>
      </w:r>
    </w:p>
  </w:footnote>
  <w:footnote w:id="364">
    <w:p w14:paraId="6347FDC1"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Malawi </w:t>
      </w:r>
    </w:p>
  </w:footnote>
  <w:footnote w:id="365">
    <w:p w14:paraId="5BDEC6DA"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Antigua and Barbuda </w:t>
      </w:r>
    </w:p>
  </w:footnote>
  <w:footnote w:id="366">
    <w:p w14:paraId="5C730FD9" w14:textId="77777777" w:rsidR="005D4302" w:rsidRPr="00DF02C5" w:rsidRDefault="005D4302" w:rsidP="00204E3F">
      <w:pPr>
        <w:pStyle w:val="FootnoteText"/>
        <w:ind w:firstLine="0"/>
        <w:rPr>
          <w:lang w:val="en-GB"/>
        </w:rPr>
      </w:pPr>
      <w:r w:rsidRPr="00DF02C5">
        <w:rPr>
          <w:rStyle w:val="FootnoteReference"/>
          <w:lang w:val="en-GB"/>
        </w:rPr>
        <w:footnoteRef/>
      </w:r>
      <w:r w:rsidRPr="00DF02C5">
        <w:rPr>
          <w:lang w:val="en-GB"/>
        </w:rPr>
        <w:t xml:space="preserve"> E.g. Cameroon, Comoros, Kenya, Mauritania, Senegal, Mexico, Uganda</w:t>
      </w:r>
    </w:p>
  </w:footnote>
  <w:footnote w:id="367">
    <w:p w14:paraId="14A00194"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Mexico </w:t>
      </w:r>
    </w:p>
  </w:footnote>
  <w:footnote w:id="368">
    <w:p w14:paraId="5969370C"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The Protocol on Environment and Natural Resources Management was signed by the Republic of Kenya, Republic of Uganda and United Republic of Tanzania on 3rd April 2006.</w:t>
      </w:r>
    </w:p>
  </w:footnote>
  <w:footnote w:id="369">
    <w:p w14:paraId="3471AE9D"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For example the Lake Victoria Environment Management Project (Uganda, Kenya, Tanzania); Lake Victoria Fisheries Organization (Uganda, Kenya, Tanzania); Virunga Trans-boundary Cooperation (Uganda, Democratic Republic of Congo, Rwanda and Tanzania); Man and Biosphere Reserve ( for Mount Elgon - Uganda and Kenya); and Collaborative Cross Border Wildlife Management (Uganda and South Sudan).</w:t>
      </w:r>
    </w:p>
  </w:footnote>
  <w:footnote w:id="370">
    <w:p w14:paraId="08447C0E" w14:textId="6D78DE4B"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Bulgaria, European Union, Finland, Germany, Netherlands, Poland, Republic of Moldova, Slovakia, </w:t>
      </w:r>
      <w:r w:rsidRPr="00DF02C5">
        <w:rPr>
          <w:rFonts w:eastAsia="Calibri"/>
          <w:snapToGrid w:val="0"/>
          <w:color w:val="auto"/>
          <w:kern w:val="22"/>
          <w:bdr w:val="none" w:sz="0" w:space="0" w:color="auto"/>
          <w:lang w:val="en-GB"/>
        </w:rPr>
        <w:t>United Kingdom of Great Britain and Northern Ireland</w:t>
      </w:r>
    </w:p>
  </w:footnote>
  <w:footnote w:id="371">
    <w:p w14:paraId="4657CF58" w14:textId="77777777" w:rsidR="005D4302" w:rsidRPr="00DF02C5" w:rsidRDefault="005D4302" w:rsidP="00A60AB6">
      <w:pPr>
        <w:pStyle w:val="FootnoteText"/>
        <w:ind w:firstLine="0"/>
        <w:rPr>
          <w:rStyle w:val="FootnoteReference"/>
          <w:lang w:val="en-GB"/>
        </w:rPr>
      </w:pPr>
      <w:r w:rsidRPr="00DF02C5">
        <w:rPr>
          <w:rStyle w:val="FootnoteReference"/>
          <w:lang w:val="en-GB"/>
        </w:rPr>
        <w:footnoteRef/>
      </w:r>
      <w:r w:rsidRPr="00DF02C5">
        <w:rPr>
          <w:rStyle w:val="FootnoteReference"/>
          <w:lang w:val="en-GB"/>
        </w:rPr>
        <w:t xml:space="preserve"> </w:t>
      </w:r>
      <w:r w:rsidRPr="00DF02C5">
        <w:rPr>
          <w:rFonts w:eastAsia="Calibri"/>
          <w:lang w:val="en-GB"/>
        </w:rPr>
        <w:t>Burundi, Sweden</w:t>
      </w:r>
      <w:r w:rsidRPr="00DF02C5">
        <w:rPr>
          <w:rStyle w:val="FootnoteReference"/>
          <w:lang w:val="en-GB"/>
        </w:rPr>
        <w:t xml:space="preserve"> </w:t>
      </w:r>
    </w:p>
  </w:footnote>
  <w:footnote w:id="372">
    <w:p w14:paraId="0BEFA511" w14:textId="77777777" w:rsidR="005D4302" w:rsidRPr="00DF02C5" w:rsidRDefault="005D4302" w:rsidP="00657D5D">
      <w:pPr>
        <w:pStyle w:val="FootnoteText"/>
        <w:ind w:firstLine="0"/>
        <w:rPr>
          <w:rStyle w:val="FootnoteReference"/>
          <w:lang w:val="en-GB"/>
        </w:rPr>
      </w:pPr>
      <w:r w:rsidRPr="00DF02C5">
        <w:rPr>
          <w:rStyle w:val="FootnoteReference"/>
          <w:lang w:val="en-GB"/>
        </w:rPr>
        <w:footnoteRef/>
      </w:r>
      <w:r w:rsidRPr="00DF02C5">
        <w:rPr>
          <w:rStyle w:val="FootnoteReference"/>
          <w:lang w:val="en-GB"/>
        </w:rPr>
        <w:t xml:space="preserve"> </w:t>
      </w:r>
      <w:r w:rsidRPr="00DF02C5">
        <w:rPr>
          <w:lang w:val="en-GB"/>
        </w:rPr>
        <w:t xml:space="preserve">E.g. </w:t>
      </w:r>
      <w:r w:rsidRPr="00DF02C5">
        <w:rPr>
          <w:rFonts w:eastAsia="Calibri"/>
          <w:lang w:val="en-GB"/>
        </w:rPr>
        <w:t>Botswana, Ethiopia, Guinea-Bissau, Madagascar, Mexico, Niger, Panama, Uruguay</w:t>
      </w:r>
    </w:p>
  </w:footnote>
  <w:footnote w:id="373">
    <w:p w14:paraId="22AC55B4" w14:textId="77777777" w:rsidR="005D4302" w:rsidRPr="00DF02C5" w:rsidRDefault="005D4302" w:rsidP="00657D5D">
      <w:pPr>
        <w:pStyle w:val="FootnoteText"/>
        <w:ind w:firstLine="0"/>
        <w:rPr>
          <w:lang w:val="en-GB"/>
        </w:rPr>
      </w:pPr>
      <w:r w:rsidRPr="00DF02C5">
        <w:rPr>
          <w:rStyle w:val="FootnoteReference"/>
          <w:lang w:val="en-GB"/>
        </w:rPr>
        <w:footnoteRef/>
      </w:r>
      <w:r w:rsidRPr="00DF02C5">
        <w:rPr>
          <w:lang w:val="en-GB"/>
        </w:rPr>
        <w:t xml:space="preserve"> E.g. Burundi, Côte d'Ivoire, Guinea, Togo, Sudan</w:t>
      </w:r>
    </w:p>
  </w:footnote>
  <w:footnote w:id="374">
    <w:p w14:paraId="001A6D7A"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rFonts w:eastAsia="Calibri"/>
          <w:lang w:val="en-GB"/>
        </w:rPr>
        <w:t xml:space="preserve"> Benin </w:t>
      </w:r>
    </w:p>
  </w:footnote>
  <w:footnote w:id="375">
    <w:p w14:paraId="10E691E1" w14:textId="77777777" w:rsidR="005D4302" w:rsidRPr="00B50576" w:rsidRDefault="005D4302" w:rsidP="00A60AB6">
      <w:pPr>
        <w:pStyle w:val="FootnoteText"/>
        <w:ind w:firstLine="0"/>
        <w:rPr>
          <w:lang w:val="fr-FR"/>
        </w:rPr>
      </w:pPr>
      <w:r w:rsidRPr="00DF02C5">
        <w:rPr>
          <w:rStyle w:val="FootnoteReference"/>
          <w:lang w:val="en-GB"/>
        </w:rPr>
        <w:footnoteRef/>
      </w:r>
      <w:r w:rsidRPr="00B50576">
        <w:rPr>
          <w:lang w:val="fr-FR"/>
        </w:rPr>
        <w:t xml:space="preserve"> E.g. Bhutan, France, Malawi, </w:t>
      </w:r>
      <w:proofErr w:type="spellStart"/>
      <w:r w:rsidRPr="00B50576">
        <w:rPr>
          <w:lang w:val="fr-FR"/>
        </w:rPr>
        <w:t>Norway</w:t>
      </w:r>
      <w:proofErr w:type="spellEnd"/>
      <w:r w:rsidRPr="00B50576">
        <w:rPr>
          <w:lang w:val="fr-FR"/>
        </w:rPr>
        <w:t>, Pakistan</w:t>
      </w:r>
    </w:p>
  </w:footnote>
  <w:footnote w:id="376">
    <w:p w14:paraId="78770CD3" w14:textId="4063CC8A" w:rsidR="005D4302" w:rsidRPr="00DF02C5" w:rsidRDefault="005D4302" w:rsidP="00A60AB6">
      <w:pPr>
        <w:spacing w:before="120" w:after="120" w:line="228" w:lineRule="auto"/>
        <w:jc w:val="left"/>
        <w:rPr>
          <w:rFonts w:eastAsia="Calibri" w:hAnsi="Times New Roman" w:cs="Times New Roman"/>
          <w:snapToGrid w:val="0"/>
          <w:color w:val="auto"/>
          <w:kern w:val="22"/>
          <w:bdr w:val="none" w:sz="0" w:space="0" w:color="auto"/>
          <w:lang w:val="en-GB"/>
        </w:rPr>
      </w:pPr>
      <w:r w:rsidRPr="00DF02C5">
        <w:rPr>
          <w:rStyle w:val="FootnoteReference"/>
          <w:sz w:val="18"/>
          <w:lang w:val="en-GB"/>
        </w:rPr>
        <w:footnoteRef/>
      </w:r>
      <w:r w:rsidRPr="00DF02C5">
        <w:rPr>
          <w:rFonts w:eastAsia="Calibri" w:hAnsi="Times New Roman" w:cs="Times New Roman"/>
          <w:sz w:val="14"/>
          <w:szCs w:val="18"/>
          <w:lang w:val="en-GB"/>
        </w:rPr>
        <w:t xml:space="preserve"> </w:t>
      </w:r>
      <w:r w:rsidRPr="00DF02C5">
        <w:rPr>
          <w:rFonts w:eastAsia="Calibri" w:hAnsi="Times New Roman" w:cs="Times New Roman"/>
          <w:sz w:val="18"/>
          <w:szCs w:val="18"/>
          <w:lang w:val="en-GB"/>
        </w:rPr>
        <w:t>E.g.</w:t>
      </w:r>
      <w:r w:rsidRPr="00DF02C5">
        <w:rPr>
          <w:lang w:val="en-GB"/>
        </w:rPr>
        <w:t xml:space="preserve"> </w:t>
      </w:r>
      <w:r w:rsidRPr="00DF02C5">
        <w:rPr>
          <w:rFonts w:eastAsia="Calibri" w:hAnsi="Times New Roman" w:cs="Times New Roman"/>
          <w:sz w:val="18"/>
          <w:szCs w:val="18"/>
          <w:lang w:val="en-GB"/>
        </w:rPr>
        <w:t>Botswana, Burkina Faso, Guinea Bissau, Mongolia, South Africa, Sudan</w:t>
      </w:r>
    </w:p>
  </w:footnote>
  <w:footnote w:id="377">
    <w:p w14:paraId="5E6B644C" w14:textId="77777777" w:rsidR="005D4302" w:rsidRPr="00DF02C5" w:rsidRDefault="005D4302" w:rsidP="009009C3">
      <w:pPr>
        <w:pStyle w:val="FootnoteText"/>
        <w:ind w:firstLine="0"/>
        <w:rPr>
          <w:lang w:val="en-GB"/>
        </w:rPr>
      </w:pPr>
      <w:r w:rsidRPr="00DF02C5">
        <w:rPr>
          <w:rStyle w:val="FootnoteReference"/>
          <w:lang w:val="en-GB"/>
        </w:rPr>
        <w:footnoteRef/>
      </w:r>
      <w:r w:rsidRPr="00DF02C5">
        <w:rPr>
          <w:lang w:val="en-GB"/>
        </w:rPr>
        <w:t xml:space="preserve"> E.g. Burkina Faso, Cameroon, Comoros, India, Kenya, Mauritania </w:t>
      </w:r>
    </w:p>
  </w:footnote>
  <w:footnote w:id="378">
    <w:p w14:paraId="04987AD3" w14:textId="77777777" w:rsidR="005D4302" w:rsidRPr="00DF02C5" w:rsidRDefault="005D4302" w:rsidP="00A60AB6">
      <w:pPr>
        <w:pStyle w:val="FootnoteText"/>
        <w:ind w:firstLine="0"/>
        <w:rPr>
          <w:rStyle w:val="FootnoteReference"/>
          <w:lang w:val="en-GB"/>
        </w:rPr>
      </w:pPr>
      <w:r w:rsidRPr="00DF02C5">
        <w:rPr>
          <w:rStyle w:val="FootnoteReference"/>
          <w:lang w:val="en-GB"/>
        </w:rPr>
        <w:footnoteRef/>
      </w:r>
      <w:r w:rsidRPr="00DF02C5">
        <w:rPr>
          <w:rStyle w:val="FootnoteReference"/>
          <w:lang w:val="en-GB"/>
        </w:rPr>
        <w:t xml:space="preserve"> </w:t>
      </w:r>
      <w:r w:rsidRPr="00DF02C5">
        <w:rPr>
          <w:rFonts w:eastAsia="Calibri"/>
          <w:lang w:val="en-GB"/>
        </w:rPr>
        <w:t>Sweden</w:t>
      </w:r>
      <w:r w:rsidRPr="00DF02C5">
        <w:rPr>
          <w:rStyle w:val="FootnoteReference"/>
          <w:lang w:val="en-GB"/>
        </w:rPr>
        <w:t xml:space="preserve"> </w:t>
      </w:r>
    </w:p>
  </w:footnote>
  <w:footnote w:id="379">
    <w:p w14:paraId="68ACB67C" w14:textId="77777777" w:rsidR="005D4302" w:rsidRPr="00DF02C5" w:rsidRDefault="005D4302" w:rsidP="00A60AB6">
      <w:pPr>
        <w:pStyle w:val="FootnoteText"/>
        <w:ind w:firstLine="0"/>
        <w:rPr>
          <w:rStyle w:val="FootnoteReference"/>
          <w:lang w:val="en-GB"/>
        </w:rPr>
      </w:pPr>
      <w:r w:rsidRPr="00DF02C5">
        <w:rPr>
          <w:rStyle w:val="FootnoteReference"/>
          <w:lang w:val="en-GB"/>
        </w:rPr>
        <w:footnoteRef/>
      </w:r>
      <w:r w:rsidRPr="00DF02C5">
        <w:rPr>
          <w:rStyle w:val="FootnoteReference"/>
          <w:lang w:val="en-GB"/>
        </w:rPr>
        <w:t xml:space="preserve"> </w:t>
      </w:r>
      <w:r w:rsidRPr="00DF02C5">
        <w:rPr>
          <w:rFonts w:eastAsia="Calibri"/>
          <w:lang w:val="en-GB"/>
        </w:rPr>
        <w:t>Ethiopia, Madagascar, Niger, Panama, Uruguay</w:t>
      </w:r>
    </w:p>
  </w:footnote>
  <w:footnote w:id="380">
    <w:p w14:paraId="44E197FA"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Niger </w:t>
      </w:r>
    </w:p>
  </w:footnote>
  <w:footnote w:id="381">
    <w:p w14:paraId="1D901F00"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Burundi </w:t>
      </w:r>
    </w:p>
  </w:footnote>
  <w:footnote w:id="382">
    <w:p w14:paraId="0FDDB20C"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Indonesia, Morocco </w:t>
      </w:r>
    </w:p>
  </w:footnote>
  <w:footnote w:id="383">
    <w:p w14:paraId="47042BA2"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Côte d’Ivoire, Guinea</w:t>
      </w:r>
    </w:p>
  </w:footnote>
  <w:footnote w:id="384">
    <w:p w14:paraId="5F2400E5"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Benin, Bhutan, Ethiopia, Japan, Peru, Portugal, Swaziland, Togo, Viet Nam </w:t>
      </w:r>
    </w:p>
  </w:footnote>
  <w:footnote w:id="385">
    <w:p w14:paraId="034344A9"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Burkina Faso, China, Comoros, Dominican Republic, Lao People’s Democratic Republic, Morocco, Mongolia, Seychelles, Sao Tome and Principe, South Africa, Spain</w:t>
      </w:r>
    </w:p>
  </w:footnote>
  <w:footnote w:id="386">
    <w:p w14:paraId="46ADB759"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Belgium, Bulgaria, </w:t>
      </w:r>
      <w:r w:rsidRPr="00DF02C5">
        <w:rPr>
          <w:rFonts w:eastAsia="Calibri"/>
          <w:snapToGrid w:val="0"/>
          <w:color w:val="auto"/>
          <w:kern w:val="22"/>
          <w:bdr w:val="none" w:sz="0" w:space="0" w:color="auto"/>
          <w:lang w:val="en-GB"/>
        </w:rPr>
        <w:t>Côte d’Ivoire,</w:t>
      </w:r>
      <w:r w:rsidRPr="00DF02C5">
        <w:rPr>
          <w:lang w:val="en-GB"/>
        </w:rPr>
        <w:t xml:space="preserve"> Czech Republic, Denmark, Estonia, </w:t>
      </w:r>
      <w:r w:rsidRPr="00DF02C5">
        <w:rPr>
          <w:rFonts w:eastAsia="Calibri"/>
          <w:snapToGrid w:val="0"/>
          <w:color w:val="auto"/>
          <w:kern w:val="22"/>
          <w:bdr w:val="none" w:sz="0" w:space="0" w:color="auto"/>
          <w:lang w:val="en-GB"/>
        </w:rPr>
        <w:t>European Union,</w:t>
      </w:r>
      <w:r w:rsidRPr="00DF02C5">
        <w:rPr>
          <w:lang w:val="en-GB"/>
        </w:rPr>
        <w:t xml:space="preserve"> Finland, France, Germany, Hungary, Japan, Malta, Netherlands, Poland, Portugal, Senegal, Slovakia, Spain, Sweden, United Kingdom of Great Britain and Northern Ireland    </w:t>
      </w:r>
    </w:p>
  </w:footnote>
  <w:footnote w:id="387">
    <w:p w14:paraId="115FB4C4" w14:textId="465B80B5"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The same information was provided by the EU Member States in their reports</w:t>
      </w:r>
    </w:p>
  </w:footnote>
  <w:footnote w:id="388">
    <w:p w14:paraId="1FA68F1C"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Denmark, European Union, Kyrgyzstan, Poland, Sweden</w:t>
      </w:r>
    </w:p>
  </w:footnote>
  <w:footnote w:id="389">
    <w:p w14:paraId="53CCD8B9"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Côte d’Ivoire, Germany, Japan, Kenya, Madagascar, Peru, Qatar, Switzerland</w:t>
      </w:r>
    </w:p>
  </w:footnote>
  <w:footnote w:id="390">
    <w:p w14:paraId="74A309D8"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Antigua and Barbuda, Benin, Bhutan, Burundi, Cameroon, Cuba, Ethiopia, France, India, Kenya, Malta, Morocco, Peru, Viet Nam</w:t>
      </w:r>
    </w:p>
  </w:footnote>
  <w:footnote w:id="391">
    <w:p w14:paraId="2DBD9F1A" w14:textId="171CE259"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Peru</w:t>
      </w:r>
    </w:p>
  </w:footnote>
  <w:footnote w:id="392">
    <w:p w14:paraId="5E8D770B" w14:textId="15ABAAA2"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Albania, Belarus, Botswana, Democratic Republic of the Congo, Guinea-Bissau, Mexico, Niger, Pakistan, Panama, Sudan, Uganda, Uruguay</w:t>
      </w:r>
    </w:p>
  </w:footnote>
  <w:footnote w:id="393">
    <w:p w14:paraId="741CCF96" w14:textId="0A8CF89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Guinea</w:t>
      </w:r>
    </w:p>
  </w:footnote>
  <w:footnote w:id="394">
    <w:p w14:paraId="1054B198" w14:textId="223F249D"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Benin, Belgium, Bulgaria, Czech Republic, Denmark, Estonia, European Union, Finland, France, Germany, Hungary, Japan, Malta, Netherlands, Poland, Portugal, Slovakia, Spain, Sweden, Switzerland, United Kingdom of Great Britain and Northern Ireland</w:t>
      </w:r>
    </w:p>
  </w:footnote>
  <w:footnote w:id="395">
    <w:p w14:paraId="1C2DD0B0"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Antigua and Barbuda, Burkina Faso, Comoros, Dominican Republic, Guinea Bissau, Kenya, Lao People’s Democratic Republic, Mexico, Mongolia, Sao Tome and Principe, Seychelles, South Africa, Togo, Viet Nam</w:t>
      </w:r>
    </w:p>
  </w:footnote>
  <w:footnote w:id="396">
    <w:p w14:paraId="24ABB9D2"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Belgium, Bulgaria, China, </w:t>
      </w:r>
      <w:r w:rsidRPr="00DF02C5">
        <w:rPr>
          <w:rFonts w:eastAsia="Calibri"/>
          <w:snapToGrid w:val="0"/>
          <w:color w:val="auto"/>
          <w:kern w:val="22"/>
          <w:bdr w:val="none" w:sz="0" w:space="0" w:color="auto"/>
          <w:lang w:val="en-GB"/>
        </w:rPr>
        <w:t>Côte d’Ivoire,</w:t>
      </w:r>
      <w:r w:rsidRPr="00DF02C5">
        <w:rPr>
          <w:lang w:val="en-GB"/>
        </w:rPr>
        <w:t xml:space="preserve"> Czech Republic, Denmark, Estonia, </w:t>
      </w:r>
      <w:r w:rsidRPr="00DF02C5">
        <w:rPr>
          <w:rFonts w:eastAsia="Calibri"/>
          <w:snapToGrid w:val="0"/>
          <w:color w:val="auto"/>
          <w:kern w:val="22"/>
          <w:bdr w:val="none" w:sz="0" w:space="0" w:color="auto"/>
          <w:lang w:val="en-GB"/>
        </w:rPr>
        <w:t>European Union,</w:t>
      </w:r>
      <w:r w:rsidRPr="00DF02C5">
        <w:rPr>
          <w:lang w:val="en-GB"/>
        </w:rPr>
        <w:t xml:space="preserve"> Finland, France, Germany, Hungary, Japan, Malta, Netherlands, Poland, Portugal, Senegal, Slovakia, Spain, Sweden, United Kingdom of Great Britain and Northern Ireland  </w:t>
      </w:r>
    </w:p>
  </w:footnote>
  <w:footnote w:id="397">
    <w:p w14:paraId="2290CA69" w14:textId="74C63592"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Czech Republic, Denmark, European Union, Hungary, Poland, Mexico,  Sweden, United Kingdom of Great Britain and Northern Ireland</w:t>
      </w:r>
    </w:p>
  </w:footnote>
  <w:footnote w:id="398">
    <w:p w14:paraId="27B1E94D" w14:textId="132F18F9" w:rsidR="005D4302" w:rsidRPr="00DF02C5" w:rsidRDefault="005D4302" w:rsidP="00A60AB6">
      <w:pPr>
        <w:pStyle w:val="FootnoteText"/>
        <w:ind w:firstLine="0"/>
        <w:rPr>
          <w:lang w:val="en-GB"/>
        </w:rPr>
      </w:pPr>
      <w:r w:rsidRPr="00DF02C5">
        <w:rPr>
          <w:rStyle w:val="FootnoteReference"/>
          <w:lang w:val="en-GB"/>
        </w:rPr>
        <w:footnoteRef/>
      </w:r>
      <w:r w:rsidRPr="00DF02C5">
        <w:rPr>
          <w:rStyle w:val="FootnoteReference"/>
          <w:lang w:val="en-GB"/>
        </w:rPr>
        <w:t xml:space="preserve"> </w:t>
      </w:r>
      <w:r w:rsidRPr="00DF02C5">
        <w:rPr>
          <w:lang w:val="en-GB"/>
        </w:rPr>
        <w:t>E.g. Sweden, United Kingdom of Great Britain and Northern Ireland</w:t>
      </w:r>
    </w:p>
  </w:footnote>
  <w:footnote w:id="399">
    <w:p w14:paraId="6F4FE990" w14:textId="65BC2BE8"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Germany, India, Mexico, Madagascar, Switzerland </w:t>
      </w:r>
    </w:p>
  </w:footnote>
  <w:footnote w:id="400">
    <w:p w14:paraId="67C03B29" w14:textId="3F74DEF3"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Albania, Belarus, Botswana, Democratic Republic of the Congo, Guinea, Mauritania,  Morocco, Pakistan, Panama, Sudan, Uruguay</w:t>
      </w:r>
    </w:p>
  </w:footnote>
  <w:footnote w:id="401">
    <w:p w14:paraId="6FB0BB84" w14:textId="475BE071"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Albania, Benin, </w:t>
      </w:r>
      <w:r w:rsidRPr="00DF02C5">
        <w:rPr>
          <w:rFonts w:eastAsia="Calibri"/>
          <w:snapToGrid w:val="0"/>
          <w:color w:val="auto"/>
          <w:kern w:val="22"/>
          <w:bdr w:val="none" w:sz="0" w:space="0" w:color="auto"/>
          <w:lang w:val="en-GB"/>
        </w:rPr>
        <w:t>Botswana, Comoros, France, Kazakhstan, Mongolia, Senegal, Seychelles, Sudan, Swaziland</w:t>
      </w:r>
    </w:p>
  </w:footnote>
  <w:footnote w:id="402">
    <w:p w14:paraId="12EAD250" w14:textId="77777777" w:rsidR="005D4302" w:rsidRPr="00DF02C5" w:rsidRDefault="005D4302" w:rsidP="00460FC2">
      <w:pPr>
        <w:pStyle w:val="FootnoteText"/>
        <w:ind w:firstLine="0"/>
        <w:rPr>
          <w:lang w:val="en-GB"/>
        </w:rPr>
      </w:pPr>
      <w:r w:rsidRPr="00DF02C5">
        <w:rPr>
          <w:rStyle w:val="FootnoteReference"/>
          <w:lang w:val="en-GB"/>
        </w:rPr>
        <w:footnoteRef/>
      </w:r>
      <w:r w:rsidRPr="00DF02C5">
        <w:rPr>
          <w:lang w:val="en-GB"/>
        </w:rPr>
        <w:t xml:space="preserve"> E.g. Albania, Antigua and Barbuda, </w:t>
      </w:r>
      <w:r w:rsidRPr="00DF02C5">
        <w:rPr>
          <w:rFonts w:eastAsia="Calibri"/>
          <w:snapToGrid w:val="0"/>
          <w:color w:val="auto"/>
          <w:kern w:val="22"/>
          <w:bdr w:val="none" w:sz="0" w:space="0" w:color="auto"/>
          <w:lang w:val="en-GB"/>
        </w:rPr>
        <w:t xml:space="preserve">Botswana, China, Comoros, Cuba, Democratic Republic of the Congo, Dominican Republic, Honduras, Malawi, Mexico, Mongolia, Sudan </w:t>
      </w:r>
    </w:p>
  </w:footnote>
  <w:footnote w:id="403">
    <w:p w14:paraId="02E23DB3"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rStyle w:val="FootnoteReference"/>
          <w:lang w:val="en-GB"/>
        </w:rPr>
        <w:t xml:space="preserve"> </w:t>
      </w:r>
      <w:r w:rsidRPr="00DF02C5">
        <w:rPr>
          <w:lang w:val="en-GB"/>
        </w:rPr>
        <w:t>E.g. Austria, Belgium, Belarus, Benin, Bhutan, Bulgaria, Burkina Faso, Burundi, China, Côte d’Ivoire, Comoros, Cuba, Czech Republic, Denmark, Ethiopia, Estonia, European Union, , Germany, Honduras, Hungary, India, Indonesia, Japan, Madagascar, Malawi, Mexico, Morocco, Netherlands, Pakistan, Peru, Poland, Portugal, Rwanda,</w:t>
      </w:r>
      <w:r w:rsidRPr="00DF02C5">
        <w:rPr>
          <w:rFonts w:eastAsia="Calibri"/>
          <w:snapToGrid w:val="0"/>
          <w:color w:val="auto"/>
          <w:kern w:val="22"/>
          <w:bdr w:val="none" w:sz="0" w:space="0" w:color="auto"/>
          <w:lang w:val="en-GB"/>
        </w:rPr>
        <w:t xml:space="preserve"> Sao Tome and Principe,</w:t>
      </w:r>
      <w:r w:rsidRPr="00DF02C5">
        <w:rPr>
          <w:lang w:val="en-GB"/>
        </w:rPr>
        <w:t xml:space="preserve"> Slovakia, Spain, South Africa, Sudan, Swaziland, Sweden, Togo, United Kingdom of Great Britain and Northern Ireland, Venezuela, Viet Nam</w:t>
      </w:r>
    </w:p>
  </w:footnote>
  <w:footnote w:id="404">
    <w:p w14:paraId="3C65BCEA"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rStyle w:val="FootnoteReference"/>
          <w:lang w:val="en-GB"/>
        </w:rPr>
        <w:t xml:space="preserve">  </w:t>
      </w:r>
      <w:r w:rsidRPr="00DF02C5">
        <w:rPr>
          <w:lang w:val="en-GB"/>
        </w:rPr>
        <w:t xml:space="preserve">E.g. Bhutan, Cameroon, China, Côte d’Ivoire, Czech Republic, Ethiopia, Germany, Japan,  </w:t>
      </w:r>
      <w:r w:rsidRPr="00DF02C5">
        <w:rPr>
          <w:rFonts w:eastAsia="Calibri"/>
          <w:snapToGrid w:val="0"/>
          <w:color w:val="auto"/>
          <w:kern w:val="22"/>
          <w:bdr w:val="none" w:sz="0" w:space="0" w:color="auto"/>
          <w:lang w:val="en-GB"/>
        </w:rPr>
        <w:t xml:space="preserve">Kazakhstan, </w:t>
      </w:r>
      <w:r w:rsidRPr="00DF02C5">
        <w:rPr>
          <w:lang w:val="en-GB"/>
        </w:rPr>
        <w:t>Kenya, Lao People’s Democratic Republic, Morocco, Spain, Sweden, Viet Nam</w:t>
      </w:r>
    </w:p>
  </w:footnote>
  <w:footnote w:id="405">
    <w:p w14:paraId="260D4264"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rStyle w:val="FootnoteReference"/>
          <w:lang w:val="en-GB"/>
        </w:rPr>
        <w:t xml:space="preserve"> </w:t>
      </w:r>
      <w:r w:rsidRPr="00DF02C5">
        <w:rPr>
          <w:lang w:val="en-GB"/>
        </w:rPr>
        <w:t>E.g. Burundi, Czech Republic, Denmark, Ethiopia, Finland, Germany, Hungary, Japan, Netherlands, Peru, Spain, Viet Nam</w:t>
      </w:r>
    </w:p>
  </w:footnote>
  <w:footnote w:id="406">
    <w:p w14:paraId="65B8B797"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Belgium, Denmark, Estonia, Malawi </w:t>
      </w:r>
    </w:p>
  </w:footnote>
  <w:footnote w:id="407">
    <w:p w14:paraId="7143E5F9" w14:textId="77777777" w:rsidR="005D4302" w:rsidRPr="00DF02C5" w:rsidRDefault="005D4302" w:rsidP="00911617">
      <w:pPr>
        <w:pStyle w:val="FootnoteText"/>
        <w:ind w:firstLine="0"/>
        <w:rPr>
          <w:lang w:val="en-GB"/>
        </w:rPr>
      </w:pPr>
      <w:r w:rsidRPr="00DF02C5">
        <w:rPr>
          <w:rStyle w:val="FootnoteReference"/>
          <w:lang w:val="en-GB"/>
        </w:rPr>
        <w:footnoteRef/>
      </w:r>
      <w:r w:rsidRPr="00DF02C5">
        <w:rPr>
          <w:lang w:val="en-GB"/>
        </w:rPr>
        <w:t xml:space="preserve"> E.g. Benin, Bulgaria, Honduras </w:t>
      </w:r>
    </w:p>
  </w:footnote>
  <w:footnote w:id="408">
    <w:p w14:paraId="027D1181"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Austria, Denmark, Finland, Japan, Netherlands </w:t>
      </w:r>
    </w:p>
  </w:footnote>
  <w:footnote w:id="409">
    <w:p w14:paraId="5D065905" w14:textId="77777777" w:rsidR="005D4302" w:rsidRPr="00DF02C5" w:rsidRDefault="005D4302" w:rsidP="00911617">
      <w:pPr>
        <w:pStyle w:val="FootnoteText"/>
        <w:ind w:firstLine="0"/>
        <w:rPr>
          <w:lang w:val="en-GB"/>
        </w:rPr>
      </w:pPr>
      <w:r w:rsidRPr="00DF02C5">
        <w:rPr>
          <w:rStyle w:val="FootnoteReference"/>
          <w:lang w:val="en-GB"/>
        </w:rPr>
        <w:footnoteRef/>
      </w:r>
      <w:r w:rsidRPr="00DF02C5">
        <w:rPr>
          <w:lang w:val="en-GB"/>
        </w:rPr>
        <w:t xml:space="preserve"> E.g. Japan </w:t>
      </w:r>
    </w:p>
  </w:footnote>
  <w:footnote w:id="410">
    <w:p w14:paraId="2CC67DA6"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Germany </w:t>
      </w:r>
    </w:p>
  </w:footnote>
  <w:footnote w:id="411">
    <w:p w14:paraId="12B2B157" w14:textId="77777777" w:rsidR="005D4302" w:rsidRPr="00DF02C5" w:rsidRDefault="005D4302" w:rsidP="00911617">
      <w:pPr>
        <w:pStyle w:val="FootnoteText"/>
        <w:ind w:firstLine="0"/>
        <w:rPr>
          <w:lang w:val="en-GB"/>
        </w:rPr>
      </w:pPr>
      <w:r w:rsidRPr="00DF02C5">
        <w:rPr>
          <w:rStyle w:val="FootnoteReference"/>
          <w:lang w:val="en-GB"/>
        </w:rPr>
        <w:footnoteRef/>
      </w:r>
      <w:r w:rsidRPr="00DF02C5">
        <w:rPr>
          <w:lang w:val="en-GB"/>
        </w:rPr>
        <w:t xml:space="preserve"> E.g. Hungary </w:t>
      </w:r>
    </w:p>
  </w:footnote>
  <w:footnote w:id="412">
    <w:p w14:paraId="0281E249"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Estonia, Germany, Sweden </w:t>
      </w:r>
    </w:p>
  </w:footnote>
  <w:footnote w:id="413">
    <w:p w14:paraId="48B325D2" w14:textId="398471C5" w:rsidR="005D4302" w:rsidRPr="00DF02C5" w:rsidRDefault="005D4302" w:rsidP="00911617">
      <w:pPr>
        <w:pStyle w:val="FootnoteText"/>
        <w:ind w:firstLine="0"/>
        <w:rPr>
          <w:lang w:val="en-GB"/>
        </w:rPr>
      </w:pPr>
      <w:r w:rsidRPr="00DF02C5">
        <w:rPr>
          <w:rStyle w:val="FootnoteReference"/>
          <w:lang w:val="en-GB"/>
        </w:rPr>
        <w:footnoteRef/>
      </w:r>
      <w:r w:rsidRPr="00DF02C5">
        <w:rPr>
          <w:lang w:val="en-GB"/>
        </w:rPr>
        <w:t xml:space="preserve"> E.g. Germany, Sweden</w:t>
      </w:r>
    </w:p>
  </w:footnote>
  <w:footnote w:id="414">
    <w:p w14:paraId="70C0FAEF"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Cameroon, Ethiopia, Morocco </w:t>
      </w:r>
    </w:p>
  </w:footnote>
  <w:footnote w:id="415">
    <w:p w14:paraId="3667A32D" w14:textId="0199E985"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Belarus, Ethiopia, Lao People’s Democratic Republic</w:t>
      </w:r>
    </w:p>
  </w:footnote>
  <w:footnote w:id="416">
    <w:p w14:paraId="40EBD508" w14:textId="437F0CD2"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Bhutan, Dominican Republic, Ethiopia, Guinea-Bissau, Madagascar,</w:t>
      </w:r>
      <w:r w:rsidRPr="00DF02C5">
        <w:rPr>
          <w:rFonts w:eastAsia="Calibri"/>
          <w:snapToGrid w:val="0"/>
          <w:color w:val="auto"/>
          <w:kern w:val="22"/>
          <w:bdr w:val="none" w:sz="0" w:space="0" w:color="auto"/>
          <w:lang w:val="en-GB"/>
        </w:rPr>
        <w:t xml:space="preserve"> Malawi, Mexico, Norway, Peru, Sao Tome and Principe, South Africa</w:t>
      </w:r>
    </w:p>
  </w:footnote>
  <w:footnote w:id="417">
    <w:p w14:paraId="33C43212" w14:textId="77777777" w:rsidR="005D4302" w:rsidRPr="00DF02C5" w:rsidRDefault="005D4302" w:rsidP="00AB3B35">
      <w:pPr>
        <w:pStyle w:val="FootnoteText"/>
        <w:ind w:firstLine="0"/>
        <w:rPr>
          <w:lang w:val="en-GB"/>
        </w:rPr>
      </w:pPr>
      <w:r w:rsidRPr="00DF02C5">
        <w:rPr>
          <w:rStyle w:val="FootnoteReference"/>
          <w:lang w:val="en-GB"/>
        </w:rPr>
        <w:footnoteRef/>
      </w:r>
      <w:r w:rsidRPr="00DF02C5">
        <w:rPr>
          <w:lang w:val="en-GB"/>
        </w:rPr>
        <w:t xml:space="preserve"> Republic of Moldova, Panama</w:t>
      </w:r>
    </w:p>
  </w:footnote>
  <w:footnote w:id="418">
    <w:p w14:paraId="08C1AC0B" w14:textId="77777777" w:rsidR="005D4302" w:rsidRPr="00DF02C5" w:rsidRDefault="005D4302" w:rsidP="00AB3B35">
      <w:pPr>
        <w:pStyle w:val="FootnoteText"/>
        <w:ind w:firstLine="0"/>
        <w:rPr>
          <w:lang w:val="en-GB"/>
        </w:rPr>
      </w:pPr>
      <w:r w:rsidRPr="00DF02C5">
        <w:rPr>
          <w:rStyle w:val="FootnoteReference"/>
          <w:lang w:val="en-GB"/>
        </w:rPr>
        <w:footnoteRef/>
      </w:r>
      <w:r w:rsidRPr="00DF02C5">
        <w:rPr>
          <w:lang w:val="en-GB"/>
        </w:rPr>
        <w:t xml:space="preserve"> Uruguay and Norway</w:t>
      </w:r>
    </w:p>
  </w:footnote>
  <w:footnote w:id="419">
    <w:p w14:paraId="32586C06"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Benin, Cuba, Democratic Republic of the Congo, Lao People’s Democratic Republic, Peru, Uganda</w:t>
      </w:r>
    </w:p>
  </w:footnote>
  <w:footnote w:id="420">
    <w:p w14:paraId="0534ED09" w14:textId="4BA10463"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Morocco, Seychelles, Swaziland, Sweden, Switzerland</w:t>
      </w:r>
    </w:p>
  </w:footnote>
  <w:footnote w:id="421">
    <w:p w14:paraId="5A76375A"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China, Mexico </w:t>
      </w:r>
    </w:p>
  </w:footnote>
  <w:footnote w:id="422">
    <w:p w14:paraId="7F73CFFA" w14:textId="32787923"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Antigua and Barbuda,  Benin, Botswana,  Comoros, Cuba, Dominican Republic, Ethiopia, Honduras, Kenya, Malawi, Mexico, Mongolia, Morocco, Panama, Peru, Sao Tome and Principe, Sudan, Uganda, Uruguay</w:t>
      </w:r>
    </w:p>
  </w:footnote>
  <w:footnote w:id="423">
    <w:p w14:paraId="7D2695D7" w14:textId="74332D7A"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Belgium, Denmark,  Germany, Norway, Switzerland</w:t>
      </w:r>
    </w:p>
  </w:footnote>
  <w:footnote w:id="424">
    <w:p w14:paraId="65E0F99C" w14:textId="77777777" w:rsidR="005D4302" w:rsidRPr="00DF02C5" w:rsidRDefault="005D4302" w:rsidP="00AB3B35">
      <w:pPr>
        <w:pStyle w:val="FootnoteText"/>
        <w:ind w:firstLine="0"/>
        <w:rPr>
          <w:lang w:val="en-GB"/>
        </w:rPr>
      </w:pPr>
      <w:r w:rsidRPr="00DF02C5">
        <w:rPr>
          <w:rStyle w:val="FootnoteReference"/>
          <w:lang w:val="en-GB"/>
        </w:rPr>
        <w:footnoteRef/>
      </w:r>
      <w:r w:rsidRPr="00DF02C5">
        <w:rPr>
          <w:lang w:val="en-GB"/>
        </w:rPr>
        <w:t xml:space="preserve"> E.g. Belgium, Bhutan, Burundi, Cameroon, Democratic Republic of the Congo, European Union, Germany, Indonesia, Madagascar, Malawi, Mauritania, Mexico, Mongolia, Morocco, Peru, South Africa, Sudan, Uganda</w:t>
      </w:r>
    </w:p>
  </w:footnote>
  <w:footnote w:id="425">
    <w:p w14:paraId="6F8AA408" w14:textId="77777777" w:rsidR="005D4302" w:rsidRPr="00DF02C5" w:rsidRDefault="005D4302" w:rsidP="000E7249">
      <w:pPr>
        <w:pStyle w:val="FootnoteText"/>
        <w:ind w:firstLine="0"/>
        <w:rPr>
          <w:lang w:val="en-GB"/>
        </w:rPr>
      </w:pPr>
      <w:r w:rsidRPr="00DF02C5">
        <w:rPr>
          <w:rStyle w:val="FootnoteReference"/>
          <w:lang w:val="en-GB"/>
        </w:rPr>
        <w:footnoteRef/>
      </w:r>
      <w:r w:rsidRPr="00DF02C5">
        <w:rPr>
          <w:lang w:val="en-GB"/>
        </w:rPr>
        <w:t xml:space="preserve"> E.g. Bhutan, Burundi, Cameroon, Finland, Germany, Hungary,  Malawi, Mexico, Netherlands, Peru, Rwanda</w:t>
      </w:r>
    </w:p>
  </w:footnote>
  <w:footnote w:id="426">
    <w:p w14:paraId="1FDF9C0A"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Bhutan, Burundi, Cameroon, Mauritania, Mexico, Morocco, Peru</w:t>
      </w:r>
    </w:p>
  </w:footnote>
  <w:footnote w:id="427">
    <w:p w14:paraId="6071DEA8"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Burundi </w:t>
      </w:r>
    </w:p>
  </w:footnote>
  <w:footnote w:id="428">
    <w:p w14:paraId="0B77C7A0"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China, Cuba </w:t>
      </w:r>
    </w:p>
  </w:footnote>
  <w:footnote w:id="429">
    <w:p w14:paraId="437ACF89" w14:textId="77777777" w:rsidR="005D4302" w:rsidRPr="00DF02C5" w:rsidRDefault="005D4302" w:rsidP="00AB3B35">
      <w:pPr>
        <w:pStyle w:val="FootnoteText"/>
        <w:ind w:firstLine="0"/>
        <w:rPr>
          <w:lang w:val="en-GB"/>
        </w:rPr>
      </w:pPr>
      <w:r w:rsidRPr="00DF02C5">
        <w:rPr>
          <w:rStyle w:val="FootnoteReference"/>
          <w:lang w:val="en-GB"/>
        </w:rPr>
        <w:footnoteRef/>
      </w:r>
      <w:r w:rsidRPr="00DF02C5">
        <w:rPr>
          <w:lang w:val="en-GB"/>
        </w:rPr>
        <w:t xml:space="preserve"> Guinea, Guinea Bissau, Niger </w:t>
      </w:r>
    </w:p>
  </w:footnote>
  <w:footnote w:id="430">
    <w:p w14:paraId="5978846C" w14:textId="77777777" w:rsidR="005D4302" w:rsidRPr="00DF02C5" w:rsidRDefault="005D4302" w:rsidP="00AB3B35">
      <w:pPr>
        <w:pStyle w:val="FootnoteText"/>
        <w:ind w:firstLine="0"/>
        <w:rPr>
          <w:lang w:val="en-GB"/>
        </w:rPr>
      </w:pPr>
      <w:r w:rsidRPr="00DF02C5">
        <w:rPr>
          <w:rStyle w:val="FootnoteReference"/>
          <w:lang w:val="en-GB"/>
        </w:rPr>
        <w:footnoteRef/>
      </w:r>
      <w:r w:rsidRPr="00DF02C5">
        <w:rPr>
          <w:lang w:val="en-GB"/>
        </w:rPr>
        <w:t xml:space="preserve"> Cuba, Panama, Uruguay </w:t>
      </w:r>
    </w:p>
  </w:footnote>
  <w:footnote w:id="431">
    <w:p w14:paraId="0D31EA85" w14:textId="7BB76A6F"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Bhutan, Burkina Faso, Burundi, India,  Lao People’s Democratic Republic, Republic of Moldova, Togo</w:t>
      </w:r>
    </w:p>
  </w:footnote>
  <w:footnote w:id="432">
    <w:p w14:paraId="4EFE95EE"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China, Peru, Viet Nam </w:t>
      </w:r>
    </w:p>
  </w:footnote>
  <w:footnote w:id="433">
    <w:p w14:paraId="17CAAC59"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Albania, Antigua and Barbuda </w:t>
      </w:r>
    </w:p>
  </w:footnote>
  <w:footnote w:id="434">
    <w:p w14:paraId="2EC3112A"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Belgium, Benin, Bhutan, Cameroon, China, Honduras, Lao People’s Democratic Republic, Madagascar, Mexico, Pakistan, Peru, Senegal, South Africa, Viet Nam</w:t>
      </w:r>
    </w:p>
  </w:footnote>
  <w:footnote w:id="435">
    <w:p w14:paraId="0C765240" w14:textId="4199A472"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China, European Union, France, Germany, Japan, , Switzerland, United Kingdom of Great Britain and Northern Ireland</w:t>
      </w:r>
    </w:p>
  </w:footnote>
  <w:footnote w:id="436">
    <w:p w14:paraId="323E1A7F"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Peru Belgium, Netherlands</w:t>
      </w:r>
    </w:p>
  </w:footnote>
  <w:footnote w:id="437">
    <w:p w14:paraId="138B4B49" w14:textId="77777777" w:rsidR="005D4302" w:rsidRPr="00DF02C5" w:rsidRDefault="005D4302" w:rsidP="00A60AB6">
      <w:pPr>
        <w:pStyle w:val="FootnoteText"/>
        <w:ind w:firstLine="0"/>
        <w:rPr>
          <w:lang w:val="en-GB"/>
        </w:rPr>
      </w:pPr>
      <w:r w:rsidRPr="00DF02C5">
        <w:rPr>
          <w:rStyle w:val="FootnoteReference"/>
          <w:lang w:val="en-GB"/>
        </w:rPr>
        <w:footnoteRef/>
      </w:r>
      <w:r w:rsidRPr="00DF02C5">
        <w:rPr>
          <w:lang w:val="en-GB"/>
        </w:rPr>
        <w:t xml:space="preserve"> E.g. Burkina Faso, Denmark, India, Belgium, Norway</w:t>
      </w:r>
    </w:p>
  </w:footnote>
  <w:footnote w:id="438">
    <w:p w14:paraId="61AA7809" w14:textId="77777777" w:rsidR="005D4302" w:rsidRPr="00DF02C5" w:rsidRDefault="005D4302" w:rsidP="0036635C">
      <w:pPr>
        <w:pStyle w:val="FootnoteText"/>
        <w:ind w:firstLine="0"/>
        <w:rPr>
          <w:lang w:val="en-GB"/>
        </w:rPr>
      </w:pPr>
      <w:r w:rsidRPr="00DF02C5">
        <w:rPr>
          <w:rStyle w:val="FootnoteReference"/>
          <w:lang w:val="en-GB"/>
        </w:rPr>
        <w:footnoteRef/>
      </w:r>
      <w:r w:rsidRPr="00DF02C5">
        <w:rPr>
          <w:lang w:val="en-GB"/>
        </w:rPr>
        <w:t xml:space="preserve"> E.g. China, Denmark, Germany, India</w:t>
      </w:r>
    </w:p>
  </w:footnote>
  <w:footnote w:id="439">
    <w:p w14:paraId="49D49ADF" w14:textId="15A8A89A" w:rsidR="005D4302" w:rsidRPr="00DF02C5" w:rsidRDefault="005D4302" w:rsidP="00082E64">
      <w:pPr>
        <w:pStyle w:val="FootnoteText"/>
        <w:ind w:firstLine="0"/>
        <w:rPr>
          <w:lang w:val="en-GB"/>
        </w:rPr>
      </w:pPr>
      <w:r w:rsidRPr="00DF02C5">
        <w:rPr>
          <w:rStyle w:val="FootnoteReference"/>
          <w:lang w:val="en-GB"/>
        </w:rPr>
        <w:footnoteRef/>
      </w:r>
      <w:r w:rsidRPr="00DF02C5">
        <w:rPr>
          <w:lang w:val="en-GB"/>
        </w:rPr>
        <w:t xml:space="preserve"> E.g. Belgium, Burkina Faso, Bhutan, Comoros, Czech Republic, Democratic Republic of the Congo, European Union, India, Indonesia, Japan, Kenya, Lao People's Democratic Republic, Mauritania, Mexico, Mongolia, Morocco, Netherlands, Niger, Norway, Peru, Republic of Moldova, Rwanda, Seychelles, Swaziland, Switzerland, United Kingdom of Great Britain and Northern Ireland</w:t>
      </w:r>
    </w:p>
  </w:footnote>
  <w:footnote w:id="440">
    <w:p w14:paraId="7C464648" w14:textId="77777777" w:rsidR="005D4302" w:rsidRPr="00DF02C5" w:rsidRDefault="005D4302" w:rsidP="00082E64">
      <w:pPr>
        <w:pStyle w:val="FootnoteText"/>
        <w:ind w:firstLine="0"/>
        <w:rPr>
          <w:lang w:val="en-GB"/>
        </w:rPr>
      </w:pPr>
      <w:r w:rsidRPr="00DF02C5">
        <w:rPr>
          <w:rStyle w:val="FootnoteReference"/>
          <w:lang w:val="en-GB"/>
        </w:rPr>
        <w:footnoteRef/>
      </w:r>
      <w:r w:rsidRPr="00DF02C5">
        <w:rPr>
          <w:lang w:val="en-GB"/>
        </w:rPr>
        <w:t xml:space="preserve"> For more information see: </w:t>
      </w:r>
      <w:hyperlink r:id="rId3" w:history="1">
        <w:r w:rsidRPr="00DF02C5">
          <w:rPr>
            <w:rStyle w:val="Hyperlink"/>
            <w:lang w:val="en-GB"/>
          </w:rPr>
          <w:t>https://www.jst.go.jp/global/english/kadai/h2407_mexico.html</w:t>
        </w:r>
      </w:hyperlink>
      <w:r w:rsidRPr="00DF02C5">
        <w:rPr>
          <w:lang w:val="en-GB"/>
        </w:rPr>
        <w:t xml:space="preserve"> </w:t>
      </w:r>
    </w:p>
  </w:footnote>
  <w:footnote w:id="441">
    <w:p w14:paraId="1FB7538F" w14:textId="6884E10F" w:rsidR="005D4302" w:rsidRPr="00DF02C5" w:rsidRDefault="005D4302" w:rsidP="00691302">
      <w:pPr>
        <w:pStyle w:val="FootnoteText"/>
        <w:ind w:firstLine="0"/>
        <w:rPr>
          <w:lang w:val="en-GB"/>
        </w:rPr>
      </w:pPr>
      <w:r w:rsidRPr="00DF02C5">
        <w:rPr>
          <w:rStyle w:val="FootnoteReference"/>
          <w:lang w:val="en-GB"/>
        </w:rPr>
        <w:footnoteRef/>
      </w:r>
      <w:r w:rsidRPr="00DF02C5">
        <w:rPr>
          <w:lang w:val="en-GB"/>
        </w:rPr>
        <w:t xml:space="preserve">Benin </w:t>
      </w:r>
    </w:p>
  </w:footnote>
  <w:footnote w:id="442">
    <w:p w14:paraId="2F03403A" w14:textId="77777777" w:rsidR="005D4302" w:rsidRPr="00DF02C5" w:rsidRDefault="005D4302" w:rsidP="00082E64">
      <w:pPr>
        <w:pStyle w:val="FootnoteText"/>
        <w:ind w:firstLine="0"/>
        <w:rPr>
          <w:lang w:val="en-GB"/>
        </w:rPr>
      </w:pPr>
      <w:r w:rsidRPr="00DF02C5">
        <w:rPr>
          <w:rStyle w:val="FootnoteReference"/>
          <w:lang w:val="en-GB"/>
        </w:rPr>
        <w:footnoteRef/>
      </w:r>
      <w:r w:rsidRPr="00DF02C5">
        <w:rPr>
          <w:lang w:val="en-GB"/>
        </w:rPr>
        <w:t xml:space="preserve"> </w:t>
      </w:r>
      <w:r w:rsidRPr="00DF02C5">
        <w:rPr>
          <w:rFonts w:eastAsia="Calibri"/>
          <w:snapToGrid w:val="0"/>
          <w:color w:val="auto"/>
          <w:kern w:val="22"/>
          <w:bdr w:val="none" w:sz="0" w:space="0" w:color="auto"/>
          <w:lang w:val="en-GB"/>
        </w:rPr>
        <w:t>Albania, Belarus, Cuba, Peru, South Africa, Uruguay</w:t>
      </w:r>
    </w:p>
  </w:footnote>
  <w:footnote w:id="443">
    <w:p w14:paraId="2AC3C584" w14:textId="77777777" w:rsidR="005D4302" w:rsidRPr="00DF02C5" w:rsidRDefault="005D4302" w:rsidP="00082E64">
      <w:pPr>
        <w:pStyle w:val="FootnoteText"/>
        <w:ind w:firstLine="0"/>
        <w:rPr>
          <w:lang w:val="en-GB"/>
        </w:rPr>
      </w:pPr>
      <w:r w:rsidRPr="00DF02C5">
        <w:rPr>
          <w:rStyle w:val="FootnoteReference"/>
          <w:lang w:val="en-GB"/>
        </w:rPr>
        <w:footnoteRef/>
      </w:r>
      <w:r w:rsidRPr="00DF02C5">
        <w:rPr>
          <w:lang w:val="en-GB"/>
        </w:rPr>
        <w:t xml:space="preserve"> Kyrgyzstan, Pakistan, Qatar</w:t>
      </w:r>
    </w:p>
  </w:footnote>
  <w:footnote w:id="444">
    <w:p w14:paraId="337D27A1" w14:textId="77777777" w:rsidR="005D4302" w:rsidRPr="00DF02C5" w:rsidRDefault="005D4302" w:rsidP="00082E64">
      <w:pPr>
        <w:pStyle w:val="FootnoteText"/>
        <w:ind w:firstLine="0"/>
        <w:rPr>
          <w:lang w:val="en-GB"/>
        </w:rPr>
      </w:pPr>
      <w:r w:rsidRPr="00DF02C5">
        <w:rPr>
          <w:rStyle w:val="FootnoteReference"/>
          <w:lang w:val="en-GB"/>
        </w:rPr>
        <w:footnoteRef/>
      </w:r>
      <w:r w:rsidRPr="00DF02C5">
        <w:rPr>
          <w:lang w:val="en-GB"/>
        </w:rPr>
        <w:t xml:space="preserve"> E.g. European Union, United Kingdom of Great Britain and Northern Ireland</w:t>
      </w:r>
    </w:p>
  </w:footnote>
  <w:footnote w:id="445">
    <w:p w14:paraId="63661AB0" w14:textId="77777777" w:rsidR="005D4302" w:rsidRPr="00DF02C5" w:rsidRDefault="005D4302" w:rsidP="00082E64">
      <w:pPr>
        <w:pStyle w:val="FootnoteText"/>
        <w:ind w:firstLine="0"/>
        <w:rPr>
          <w:lang w:val="en-GB"/>
        </w:rPr>
      </w:pPr>
      <w:r w:rsidRPr="00DF02C5">
        <w:rPr>
          <w:rStyle w:val="FootnoteReference"/>
          <w:lang w:val="en-GB"/>
        </w:rPr>
        <w:footnoteRef/>
      </w:r>
      <w:r w:rsidRPr="00DF02C5">
        <w:rPr>
          <w:lang w:val="en-GB"/>
        </w:rPr>
        <w:t xml:space="preserve"> E.g. Denmark, France, Norway</w:t>
      </w:r>
    </w:p>
  </w:footnote>
  <w:footnote w:id="446">
    <w:p w14:paraId="5F1AAB8D" w14:textId="77777777" w:rsidR="005D4302" w:rsidRPr="00DF02C5" w:rsidRDefault="005D4302" w:rsidP="00082E64">
      <w:pPr>
        <w:pStyle w:val="FootnoteText"/>
        <w:ind w:firstLine="0"/>
        <w:rPr>
          <w:lang w:val="en-GB"/>
        </w:rPr>
      </w:pPr>
      <w:r w:rsidRPr="00DF02C5">
        <w:rPr>
          <w:rStyle w:val="FootnoteReference"/>
          <w:lang w:val="en-GB"/>
        </w:rPr>
        <w:footnoteRef/>
      </w:r>
      <w:r w:rsidRPr="00DF02C5">
        <w:rPr>
          <w:lang w:val="en-GB"/>
        </w:rPr>
        <w:t xml:space="preserve"> E.g. Kenya, Malawi</w:t>
      </w:r>
    </w:p>
  </w:footnote>
  <w:footnote w:id="447">
    <w:p w14:paraId="1D34235B" w14:textId="77777777" w:rsidR="005D4302" w:rsidRPr="00DF02C5" w:rsidRDefault="005D4302" w:rsidP="00082E64">
      <w:pPr>
        <w:pStyle w:val="FootnoteText"/>
        <w:ind w:firstLine="0"/>
        <w:rPr>
          <w:lang w:val="en-GB"/>
        </w:rPr>
      </w:pPr>
      <w:r w:rsidRPr="00DF02C5">
        <w:rPr>
          <w:rStyle w:val="FootnoteReference"/>
          <w:lang w:val="en-GB"/>
        </w:rPr>
        <w:footnoteRef/>
      </w:r>
      <w:r w:rsidRPr="00DF02C5">
        <w:rPr>
          <w:lang w:val="en-GB"/>
        </w:rPr>
        <w:t xml:space="preserve"> E.g. China, Kenya, Mexico, Morocco, Republic of Moldova,  South Africa, Venezuela (Bolivarian Republic of)</w:t>
      </w:r>
    </w:p>
  </w:footnote>
  <w:footnote w:id="448">
    <w:p w14:paraId="743D1972" w14:textId="77777777" w:rsidR="005D4302" w:rsidRPr="00DF02C5" w:rsidRDefault="005D4302" w:rsidP="00082E64">
      <w:pPr>
        <w:pStyle w:val="FootnoteText"/>
        <w:ind w:firstLine="0"/>
        <w:rPr>
          <w:lang w:val="en-GB"/>
        </w:rPr>
      </w:pPr>
      <w:r w:rsidRPr="00DF02C5">
        <w:rPr>
          <w:rStyle w:val="FootnoteReference"/>
          <w:lang w:val="en-GB"/>
        </w:rPr>
        <w:footnoteRef/>
      </w:r>
      <w:r w:rsidRPr="00DF02C5">
        <w:rPr>
          <w:lang w:val="en-GB"/>
        </w:rPr>
        <w:t xml:space="preserve"> E.g. China, Malawi</w:t>
      </w:r>
    </w:p>
  </w:footnote>
  <w:footnote w:id="449">
    <w:p w14:paraId="67061DE0" w14:textId="77777777" w:rsidR="005D4302" w:rsidRPr="00DF02C5" w:rsidRDefault="005D4302" w:rsidP="00082E64">
      <w:pPr>
        <w:pStyle w:val="FootnoteText"/>
        <w:ind w:firstLine="0"/>
        <w:rPr>
          <w:lang w:val="en-GB"/>
        </w:rPr>
      </w:pPr>
      <w:r w:rsidRPr="00DF02C5">
        <w:rPr>
          <w:rStyle w:val="FootnoteReference"/>
          <w:lang w:val="en-GB"/>
        </w:rPr>
        <w:footnoteRef/>
      </w:r>
      <w:r w:rsidRPr="00DF02C5">
        <w:rPr>
          <w:lang w:val="en-GB"/>
        </w:rPr>
        <w:t xml:space="preserve"> E.g. Burundi Cameroon, Togo</w:t>
      </w:r>
    </w:p>
  </w:footnote>
  <w:footnote w:id="450">
    <w:p w14:paraId="70B51721" w14:textId="77777777" w:rsidR="005D4302" w:rsidRPr="00DF02C5" w:rsidRDefault="005D4302" w:rsidP="00082E64">
      <w:pPr>
        <w:pStyle w:val="FootnoteText"/>
        <w:ind w:firstLine="0"/>
        <w:rPr>
          <w:lang w:val="en-GB"/>
        </w:rPr>
      </w:pPr>
      <w:r w:rsidRPr="00DF02C5">
        <w:rPr>
          <w:rStyle w:val="FootnoteReference"/>
          <w:lang w:val="en-GB"/>
        </w:rPr>
        <w:footnoteRef/>
      </w:r>
      <w:r w:rsidRPr="00DF02C5">
        <w:rPr>
          <w:lang w:val="en-GB"/>
        </w:rPr>
        <w:t xml:space="preserve"> E.g. Botswana, Cameroon, Guinea-Bissau, Panama</w:t>
      </w:r>
    </w:p>
  </w:footnote>
  <w:footnote w:id="451">
    <w:p w14:paraId="5CA3D1F2" w14:textId="77777777" w:rsidR="005D4302" w:rsidRPr="00DF02C5" w:rsidRDefault="005D4302" w:rsidP="00C50381">
      <w:pPr>
        <w:pStyle w:val="FootnoteText"/>
        <w:ind w:firstLine="0"/>
        <w:rPr>
          <w:lang w:val="en-GB"/>
        </w:rPr>
      </w:pPr>
      <w:r w:rsidRPr="00DF02C5">
        <w:rPr>
          <w:rStyle w:val="FootnoteReference"/>
          <w:lang w:val="en-GB"/>
        </w:rPr>
        <w:footnoteRef/>
      </w:r>
      <w:r w:rsidRPr="00DF02C5">
        <w:rPr>
          <w:lang w:val="en-GB"/>
        </w:rPr>
        <w:t xml:space="preserve"> E.g. Belarus, China, India, Indonesia, Malawi, Panama, Peru, Poland, South Africa, Swaziland, Viet Nam</w:t>
      </w:r>
    </w:p>
  </w:footnote>
  <w:footnote w:id="452">
    <w:p w14:paraId="13BA0C7B" w14:textId="54921ADC" w:rsidR="005D4302" w:rsidRPr="00DF02C5" w:rsidRDefault="005D4302" w:rsidP="00C50381">
      <w:pPr>
        <w:pStyle w:val="FootnoteText"/>
        <w:ind w:firstLine="0"/>
        <w:rPr>
          <w:lang w:val="en-GB"/>
        </w:rPr>
      </w:pPr>
      <w:r w:rsidRPr="00DF02C5">
        <w:rPr>
          <w:rStyle w:val="FootnoteReference"/>
          <w:lang w:val="en-GB"/>
        </w:rPr>
        <w:footnoteRef/>
      </w:r>
      <w:r w:rsidRPr="00DF02C5">
        <w:rPr>
          <w:lang w:val="en-GB"/>
        </w:rPr>
        <w:t xml:space="preserve"> E.g. Cameroon, Republic of Moldova, Rwanda, Sudan</w:t>
      </w:r>
    </w:p>
  </w:footnote>
  <w:footnote w:id="453">
    <w:p w14:paraId="637D7CCF" w14:textId="77777777" w:rsidR="005D4302" w:rsidRPr="00DF02C5" w:rsidRDefault="005D4302" w:rsidP="00C50381">
      <w:pPr>
        <w:pStyle w:val="FootnoteText"/>
        <w:ind w:firstLine="0"/>
        <w:rPr>
          <w:lang w:val="en-GB"/>
        </w:rPr>
      </w:pPr>
      <w:r w:rsidRPr="00DF02C5">
        <w:rPr>
          <w:rStyle w:val="FootnoteReference"/>
          <w:lang w:val="en-GB"/>
        </w:rPr>
        <w:footnoteRef/>
      </w:r>
      <w:r w:rsidRPr="00DF02C5">
        <w:rPr>
          <w:lang w:val="en-GB"/>
        </w:rPr>
        <w:t xml:space="preserve"> E.g. Mauritania</w:t>
      </w:r>
    </w:p>
  </w:footnote>
  <w:footnote w:id="454">
    <w:p w14:paraId="6029FEE5" w14:textId="50AC8211" w:rsidR="005D4302" w:rsidRPr="00DF02C5" w:rsidRDefault="005D4302" w:rsidP="00C50381">
      <w:pPr>
        <w:pStyle w:val="FootnoteText"/>
        <w:ind w:firstLine="0"/>
        <w:rPr>
          <w:lang w:val="en-GB"/>
        </w:rPr>
      </w:pPr>
      <w:r w:rsidRPr="00DF02C5">
        <w:rPr>
          <w:rStyle w:val="FootnoteReference"/>
          <w:lang w:val="en-GB"/>
        </w:rPr>
        <w:footnoteRef/>
      </w:r>
      <w:r w:rsidRPr="00DF02C5">
        <w:rPr>
          <w:lang w:val="en-GB"/>
        </w:rPr>
        <w:t xml:space="preserve"> E.g. Belarus, China, Indonesia, Kenya, Panama, South Africa, Viet Nam</w:t>
      </w:r>
    </w:p>
  </w:footnote>
  <w:footnote w:id="455">
    <w:p w14:paraId="46246E09" w14:textId="64AFED99" w:rsidR="005D4302" w:rsidRPr="00DF02C5" w:rsidRDefault="005D4302" w:rsidP="00C50381">
      <w:pPr>
        <w:pStyle w:val="FootnoteText"/>
        <w:ind w:firstLine="0"/>
        <w:rPr>
          <w:lang w:val="en-GB"/>
        </w:rPr>
      </w:pPr>
      <w:r w:rsidRPr="00DF02C5">
        <w:rPr>
          <w:rStyle w:val="FootnoteReference"/>
          <w:lang w:val="en-GB"/>
        </w:rPr>
        <w:footnoteRef/>
      </w:r>
      <w:r w:rsidRPr="00DF02C5">
        <w:rPr>
          <w:lang w:val="en-GB"/>
        </w:rPr>
        <w:t xml:space="preserve"> E.g. Congo, Democratic Republic of the Congo, Malawi</w:t>
      </w:r>
    </w:p>
  </w:footnote>
  <w:footnote w:id="456">
    <w:p w14:paraId="071C54FB" w14:textId="77777777" w:rsidR="005D4302" w:rsidRPr="00DF02C5" w:rsidRDefault="005D4302" w:rsidP="006053C5">
      <w:pPr>
        <w:pStyle w:val="FootnoteText"/>
        <w:ind w:firstLine="0"/>
        <w:rPr>
          <w:lang w:val="en-GB"/>
        </w:rPr>
      </w:pPr>
      <w:r w:rsidRPr="00DF02C5">
        <w:rPr>
          <w:rStyle w:val="FootnoteReference"/>
          <w:lang w:val="en-GB"/>
        </w:rPr>
        <w:footnoteRef/>
      </w:r>
      <w:r w:rsidRPr="00DF02C5">
        <w:rPr>
          <w:lang w:val="en-GB"/>
        </w:rPr>
        <w:t xml:space="preserve"> E.g. Albania, Côte d'Ivoire</w:t>
      </w:r>
    </w:p>
  </w:footnote>
  <w:footnote w:id="457">
    <w:p w14:paraId="64F4E0CC" w14:textId="77777777" w:rsidR="005D4302" w:rsidRPr="00DF02C5" w:rsidRDefault="005D4302" w:rsidP="006053C5">
      <w:pPr>
        <w:pStyle w:val="FootnoteText"/>
        <w:ind w:firstLine="0"/>
        <w:rPr>
          <w:lang w:val="en-GB"/>
        </w:rPr>
      </w:pPr>
      <w:r w:rsidRPr="00DF02C5">
        <w:rPr>
          <w:rStyle w:val="FootnoteReference"/>
          <w:lang w:val="en-GB"/>
        </w:rPr>
        <w:footnoteRef/>
      </w:r>
      <w:r w:rsidRPr="00DF02C5">
        <w:rPr>
          <w:lang w:val="en-GB"/>
        </w:rPr>
        <w:t xml:space="preserve"> E.g. Comoros, Guinea, Seychelles, Togo, Uruguay</w:t>
      </w:r>
    </w:p>
  </w:footnote>
  <w:footnote w:id="458">
    <w:p w14:paraId="216C868F" w14:textId="0108A719" w:rsidR="005D4302" w:rsidRPr="00DF02C5" w:rsidRDefault="005D4302" w:rsidP="008A0A7F">
      <w:pPr>
        <w:pStyle w:val="FootnoteText"/>
        <w:ind w:firstLine="0"/>
        <w:rPr>
          <w:lang w:val="en-GB"/>
        </w:rPr>
      </w:pPr>
      <w:r w:rsidRPr="00DF02C5">
        <w:rPr>
          <w:rStyle w:val="FootnoteReference"/>
          <w:lang w:val="en-GB"/>
        </w:rPr>
        <w:footnoteRef/>
      </w:r>
      <w:r w:rsidRPr="00DF02C5">
        <w:rPr>
          <w:lang w:val="en-GB"/>
        </w:rPr>
        <w:t xml:space="preserve"> E.g. Albania, Barbados, Benin, Bhutan, Democratic Republic of the Congo, Lao People's Democratic Republic, Malawi, Peru, Republic of Moldova, Sao Tome and Principe, Swaziland, Uganda</w:t>
      </w:r>
    </w:p>
  </w:footnote>
  <w:footnote w:id="459">
    <w:p w14:paraId="69700756" w14:textId="77777777" w:rsidR="005D4302" w:rsidRPr="00DF02C5" w:rsidRDefault="005D4302" w:rsidP="00C50381">
      <w:pPr>
        <w:pStyle w:val="FootnoteText"/>
        <w:ind w:firstLine="0"/>
        <w:rPr>
          <w:lang w:val="en-GB"/>
        </w:rPr>
      </w:pPr>
      <w:r w:rsidRPr="00DF02C5">
        <w:rPr>
          <w:rStyle w:val="FootnoteReference"/>
          <w:lang w:val="en-GB"/>
        </w:rPr>
        <w:footnoteRef/>
      </w:r>
      <w:r w:rsidRPr="00DF02C5">
        <w:rPr>
          <w:lang w:val="en-GB"/>
        </w:rPr>
        <w:t xml:space="preserve"> E.g. Madagascar, Malawi, Mali, Mexico, Sudan</w:t>
      </w:r>
    </w:p>
  </w:footnote>
  <w:footnote w:id="460">
    <w:p w14:paraId="018686FF" w14:textId="77777777" w:rsidR="005D4302" w:rsidRPr="00DF02C5" w:rsidRDefault="005D4302" w:rsidP="00916807">
      <w:pPr>
        <w:pStyle w:val="FootnoteText"/>
        <w:ind w:firstLine="0"/>
        <w:rPr>
          <w:lang w:val="en-GB"/>
        </w:rPr>
      </w:pPr>
      <w:r w:rsidRPr="00DF02C5">
        <w:rPr>
          <w:rStyle w:val="FootnoteReference"/>
          <w:lang w:val="en-GB"/>
        </w:rPr>
        <w:footnoteRef/>
      </w:r>
      <w:r w:rsidRPr="00DF02C5">
        <w:rPr>
          <w:lang w:val="en-GB"/>
        </w:rPr>
        <w:t xml:space="preserve"> E.g. Burundi</w:t>
      </w:r>
    </w:p>
  </w:footnote>
  <w:footnote w:id="461">
    <w:p w14:paraId="54F4B98E" w14:textId="305F5C67" w:rsidR="005D4302" w:rsidRPr="00DF02C5" w:rsidRDefault="005D4302" w:rsidP="008A0A7F">
      <w:pPr>
        <w:pStyle w:val="FootnoteText"/>
        <w:ind w:firstLine="0"/>
        <w:rPr>
          <w:lang w:val="en-GB"/>
        </w:rPr>
      </w:pPr>
      <w:r w:rsidRPr="00DF02C5">
        <w:rPr>
          <w:rStyle w:val="FootnoteReference"/>
          <w:lang w:val="en-GB"/>
        </w:rPr>
        <w:footnoteRef/>
      </w:r>
      <w:r w:rsidRPr="00DF02C5">
        <w:rPr>
          <w:lang w:val="en-GB"/>
        </w:rPr>
        <w:t xml:space="preserve"> E.g. </w:t>
      </w:r>
      <w:r w:rsidRPr="00DF02C5">
        <w:rPr>
          <w:rFonts w:eastAsia="Calibri"/>
          <w:snapToGrid w:val="0"/>
          <w:color w:val="auto"/>
          <w:kern w:val="22"/>
          <w:bdr w:val="none" w:sz="0" w:space="0" w:color="auto"/>
          <w:lang w:val="en-GB"/>
        </w:rPr>
        <w:t>Niger, Mongolia, Pakistan</w:t>
      </w:r>
    </w:p>
  </w:footnote>
  <w:footnote w:id="462">
    <w:p w14:paraId="07FEF574" w14:textId="2BF729F8" w:rsidR="005D4302" w:rsidRPr="00DF02C5" w:rsidRDefault="005D4302" w:rsidP="00C50381">
      <w:pPr>
        <w:pStyle w:val="FootnoteText"/>
        <w:ind w:firstLine="0"/>
        <w:rPr>
          <w:lang w:val="en-GB"/>
        </w:rPr>
      </w:pPr>
      <w:r w:rsidRPr="00DF02C5">
        <w:rPr>
          <w:rStyle w:val="FootnoteReference"/>
          <w:lang w:val="en-GB"/>
        </w:rPr>
        <w:footnoteRef/>
      </w:r>
      <w:r w:rsidRPr="00DF02C5">
        <w:rPr>
          <w:lang w:val="en-GB"/>
        </w:rPr>
        <w:t xml:space="preserve"> Malta </w:t>
      </w:r>
    </w:p>
  </w:footnote>
  <w:footnote w:id="463">
    <w:p w14:paraId="5B1B29A6" w14:textId="77777777" w:rsidR="005D4302" w:rsidRPr="00DF02C5" w:rsidRDefault="005D4302" w:rsidP="00C50381">
      <w:pPr>
        <w:pStyle w:val="FootnoteText"/>
        <w:ind w:firstLine="0"/>
        <w:rPr>
          <w:lang w:val="en-GB"/>
        </w:rPr>
      </w:pPr>
      <w:r w:rsidRPr="00DF02C5">
        <w:rPr>
          <w:rStyle w:val="FootnoteReference"/>
          <w:lang w:val="en-GB"/>
        </w:rPr>
        <w:footnoteRef/>
      </w:r>
      <w:r w:rsidRPr="00DF02C5">
        <w:rPr>
          <w:lang w:val="en-GB"/>
        </w:rPr>
        <w:t xml:space="preserve"> E.g. Albania, Belarus, Bhutan, Botswana, Burundi, Cameroon, Côte d’Ivoire, Indonesia, Malawi, Morocco, Niger, Panama, Peru, Seychelles, Togo, Uganda</w:t>
      </w:r>
    </w:p>
  </w:footnote>
  <w:footnote w:id="464">
    <w:p w14:paraId="3C199C39" w14:textId="77777777" w:rsidR="005D4302" w:rsidRPr="00DF02C5" w:rsidRDefault="005D4302" w:rsidP="00C50381">
      <w:pPr>
        <w:pStyle w:val="FootnoteText"/>
        <w:ind w:firstLine="0"/>
        <w:rPr>
          <w:lang w:val="en-GB"/>
        </w:rPr>
      </w:pPr>
      <w:r w:rsidRPr="00DF02C5">
        <w:rPr>
          <w:rStyle w:val="FootnoteReference"/>
          <w:lang w:val="en-GB"/>
        </w:rPr>
        <w:footnoteRef/>
      </w:r>
      <w:r w:rsidRPr="00DF02C5">
        <w:rPr>
          <w:lang w:val="en-GB"/>
        </w:rPr>
        <w:t xml:space="preserve"> E.g. Lao People’s Democratic Republic</w:t>
      </w:r>
    </w:p>
  </w:footnote>
  <w:footnote w:id="465">
    <w:p w14:paraId="3D8B0528" w14:textId="77777777" w:rsidR="005D4302" w:rsidRPr="00DF02C5" w:rsidRDefault="005D4302" w:rsidP="00C50381">
      <w:pPr>
        <w:pStyle w:val="FootnoteText"/>
        <w:ind w:firstLine="0"/>
        <w:rPr>
          <w:lang w:val="en-GB"/>
        </w:rPr>
      </w:pPr>
      <w:r w:rsidRPr="00DF02C5">
        <w:rPr>
          <w:rStyle w:val="FootnoteReference"/>
          <w:lang w:val="en-GB"/>
        </w:rPr>
        <w:footnoteRef/>
      </w:r>
      <w:r w:rsidRPr="00DF02C5">
        <w:rPr>
          <w:lang w:val="en-GB"/>
        </w:rPr>
        <w:t xml:space="preserve"> E.g. Kenya, Malawi </w:t>
      </w:r>
    </w:p>
  </w:footnote>
  <w:footnote w:id="466">
    <w:p w14:paraId="1951B031" w14:textId="77777777" w:rsidR="005D4302" w:rsidRPr="00DF02C5" w:rsidRDefault="005D4302" w:rsidP="00C50381">
      <w:pPr>
        <w:pStyle w:val="FootnoteText"/>
        <w:ind w:firstLine="0"/>
        <w:rPr>
          <w:lang w:val="en-GB"/>
        </w:rPr>
      </w:pPr>
      <w:r w:rsidRPr="00DF02C5">
        <w:rPr>
          <w:rStyle w:val="FootnoteReference"/>
          <w:lang w:val="en-GB"/>
        </w:rPr>
        <w:footnoteRef/>
      </w:r>
      <w:r w:rsidRPr="00DF02C5">
        <w:rPr>
          <w:lang w:val="en-GB"/>
        </w:rPr>
        <w:t xml:space="preserve"> E.g. Democratic Republic of the Congo, Rwanda </w:t>
      </w:r>
    </w:p>
  </w:footnote>
  <w:footnote w:id="467">
    <w:p w14:paraId="6DE1076A" w14:textId="22D5F70F" w:rsidR="005D4302" w:rsidRPr="00DF02C5" w:rsidRDefault="005D4302" w:rsidP="00C50381">
      <w:pPr>
        <w:pStyle w:val="Para1"/>
        <w:rPr>
          <w:rFonts w:eastAsia="Calibri" w:hAnsi="Times New Roman"/>
          <w:snapToGrid w:val="0"/>
          <w:color w:val="auto"/>
          <w:kern w:val="22"/>
          <w:sz w:val="18"/>
          <w:szCs w:val="18"/>
          <w:bdr w:val="none" w:sz="0" w:space="0" w:color="auto"/>
          <w:lang w:val="en-GB"/>
        </w:rPr>
      </w:pPr>
      <w:r w:rsidRPr="00DF02C5">
        <w:rPr>
          <w:rStyle w:val="FootnoteReference"/>
          <w:sz w:val="18"/>
          <w:szCs w:val="18"/>
          <w:lang w:val="en-GB"/>
        </w:rPr>
        <w:footnoteRef/>
      </w:r>
      <w:r w:rsidRPr="00DF02C5">
        <w:rPr>
          <w:sz w:val="18"/>
          <w:szCs w:val="18"/>
          <w:lang w:val="en-GB"/>
        </w:rPr>
        <w:t xml:space="preserve"> </w:t>
      </w:r>
      <w:r w:rsidRPr="00DF02C5">
        <w:rPr>
          <w:rFonts w:eastAsia="Calibri" w:hAnsi="Times New Roman"/>
          <w:snapToGrid w:val="0"/>
          <w:color w:val="auto"/>
          <w:kern w:val="22"/>
          <w:sz w:val="18"/>
          <w:szCs w:val="18"/>
          <w:bdr w:val="none" w:sz="0" w:space="0" w:color="auto"/>
          <w:lang w:val="en-GB"/>
        </w:rPr>
        <w:t>Bhutan (1,360,000 USD since 2012 from 3 different projects); Cameroon (3 million USD since 2011); Kenya (approx. 3 million from different projects); Mexico (</w:t>
      </w:r>
      <w:proofErr w:type="gramStart"/>
      <w:r w:rsidRPr="00DF02C5">
        <w:rPr>
          <w:rFonts w:eastAsia="Calibri" w:hAnsi="Times New Roman"/>
          <w:snapToGrid w:val="0"/>
          <w:color w:val="auto"/>
          <w:kern w:val="22"/>
          <w:sz w:val="18"/>
          <w:szCs w:val="18"/>
          <w:bdr w:val="none" w:sz="0" w:space="0" w:color="auto"/>
          <w:lang w:val="en-GB"/>
        </w:rPr>
        <w:t>9,938,742  USD</w:t>
      </w:r>
      <w:proofErr w:type="gramEnd"/>
      <w:r w:rsidRPr="00DF02C5">
        <w:rPr>
          <w:rFonts w:eastAsia="Calibri" w:hAnsi="Times New Roman"/>
          <w:snapToGrid w:val="0"/>
          <w:color w:val="auto"/>
          <w:kern w:val="22"/>
          <w:sz w:val="18"/>
          <w:szCs w:val="18"/>
          <w:bdr w:val="none" w:sz="0" w:space="0" w:color="auto"/>
          <w:lang w:val="en-GB"/>
        </w:rPr>
        <w:t xml:space="preserve">  in funding and 1,282,837 USD in kind contributions); Mo</w:t>
      </w:r>
      <w:r w:rsidR="00B54C38">
        <w:rPr>
          <w:rFonts w:eastAsia="Calibri" w:hAnsi="Times New Roman"/>
          <w:snapToGrid w:val="0"/>
          <w:color w:val="auto"/>
          <w:kern w:val="22"/>
          <w:sz w:val="18"/>
          <w:szCs w:val="18"/>
          <w:bdr w:val="none" w:sz="0" w:space="0" w:color="auto"/>
          <w:lang w:val="en-GB"/>
        </w:rPr>
        <w:t>rocco (5,3 million Euros mobiliz</w:t>
      </w:r>
      <w:r w:rsidRPr="00DF02C5">
        <w:rPr>
          <w:rFonts w:eastAsia="Calibri" w:hAnsi="Times New Roman"/>
          <w:snapToGrid w:val="0"/>
          <w:color w:val="auto"/>
          <w:kern w:val="22"/>
          <w:sz w:val="18"/>
          <w:szCs w:val="18"/>
          <w:bdr w:val="none" w:sz="0" w:space="0" w:color="auto"/>
          <w:lang w:val="en-GB"/>
        </w:rPr>
        <w:t>ed through three projects)</w:t>
      </w:r>
    </w:p>
  </w:footnote>
  <w:footnote w:id="468">
    <w:p w14:paraId="6CE64F83" w14:textId="77777777" w:rsidR="005D4302" w:rsidRPr="00DF02C5" w:rsidRDefault="005D4302" w:rsidP="00C50381">
      <w:pPr>
        <w:pStyle w:val="Para1"/>
        <w:rPr>
          <w:rFonts w:eastAsia="Calibri" w:hAnsi="Times New Roman"/>
          <w:snapToGrid w:val="0"/>
          <w:color w:val="auto"/>
          <w:kern w:val="22"/>
          <w:sz w:val="18"/>
          <w:szCs w:val="18"/>
          <w:bdr w:val="none" w:sz="0" w:space="0" w:color="auto"/>
          <w:lang w:val="en-GB"/>
        </w:rPr>
      </w:pPr>
      <w:r w:rsidRPr="00DF02C5">
        <w:rPr>
          <w:rStyle w:val="FootnoteReference"/>
          <w:sz w:val="18"/>
          <w:szCs w:val="18"/>
          <w:lang w:val="en-GB"/>
        </w:rPr>
        <w:footnoteRef/>
      </w:r>
      <w:r w:rsidRPr="00DF02C5">
        <w:rPr>
          <w:sz w:val="18"/>
          <w:szCs w:val="18"/>
          <w:lang w:val="en-GB"/>
        </w:rPr>
        <w:t xml:space="preserve"> </w:t>
      </w:r>
      <w:r w:rsidRPr="00DF02C5">
        <w:rPr>
          <w:rFonts w:eastAsia="Calibri" w:hAnsi="Times New Roman"/>
          <w:snapToGrid w:val="0"/>
          <w:color w:val="auto"/>
          <w:kern w:val="22"/>
          <w:sz w:val="18"/>
          <w:szCs w:val="18"/>
          <w:bdr w:val="none" w:sz="0" w:space="0" w:color="auto"/>
          <w:lang w:val="en-GB"/>
        </w:rPr>
        <w:t>Botswana: (350,000 USD), Niger (500,000 USD),  Senegal (approx. 178,000 USD different sources), Sudan (350,000 USD)</w:t>
      </w:r>
    </w:p>
  </w:footnote>
  <w:footnote w:id="469">
    <w:p w14:paraId="5A8544E8" w14:textId="77777777" w:rsidR="005D4302" w:rsidRPr="00DF02C5" w:rsidRDefault="005D4302" w:rsidP="00C50381">
      <w:pPr>
        <w:pStyle w:val="Para1"/>
        <w:rPr>
          <w:rFonts w:eastAsia="Calibri" w:hAnsi="Times New Roman"/>
          <w:snapToGrid w:val="0"/>
          <w:color w:val="auto"/>
          <w:kern w:val="22"/>
          <w:sz w:val="18"/>
          <w:szCs w:val="18"/>
          <w:bdr w:val="none" w:sz="0" w:space="0" w:color="auto"/>
          <w:lang w:val="en-GB"/>
        </w:rPr>
      </w:pPr>
      <w:r w:rsidRPr="00DF02C5">
        <w:rPr>
          <w:rStyle w:val="FootnoteReference"/>
          <w:sz w:val="18"/>
          <w:szCs w:val="18"/>
          <w:lang w:val="en-GB"/>
        </w:rPr>
        <w:footnoteRef/>
      </w:r>
      <w:r w:rsidRPr="00DF02C5">
        <w:rPr>
          <w:sz w:val="18"/>
          <w:szCs w:val="18"/>
          <w:lang w:val="en-GB"/>
        </w:rPr>
        <w:t xml:space="preserve"> </w:t>
      </w:r>
      <w:r w:rsidRPr="00DF02C5">
        <w:rPr>
          <w:rFonts w:eastAsia="Calibri" w:hAnsi="Times New Roman"/>
          <w:snapToGrid w:val="0"/>
          <w:color w:val="auto"/>
          <w:kern w:val="22"/>
          <w:sz w:val="18"/>
          <w:szCs w:val="18"/>
          <w:bdr w:val="none" w:sz="0" w:space="0" w:color="auto"/>
          <w:lang w:val="en-GB"/>
        </w:rPr>
        <w:t>Lao People’s Democratic Republic (40,000),  Sao Tome and Principe (100,000 USD) and Swaziland (30,000 USD)</w:t>
      </w:r>
    </w:p>
  </w:footnote>
  <w:footnote w:id="470">
    <w:p w14:paraId="45B15CE9" w14:textId="0C612007" w:rsidR="005D4302" w:rsidRPr="00DF02C5" w:rsidRDefault="005D4302" w:rsidP="00C50381">
      <w:pPr>
        <w:pStyle w:val="FootnoteText"/>
        <w:ind w:firstLine="0"/>
        <w:rPr>
          <w:lang w:val="en-GB"/>
        </w:rPr>
      </w:pPr>
      <w:r w:rsidRPr="00DF02C5">
        <w:rPr>
          <w:rStyle w:val="FootnoteReference"/>
          <w:lang w:val="en-GB"/>
        </w:rPr>
        <w:footnoteRef/>
      </w:r>
      <w:r w:rsidRPr="00DF02C5">
        <w:rPr>
          <w:lang w:val="en-GB"/>
        </w:rPr>
        <w:t xml:space="preserve"> Albania, Germany</w:t>
      </w:r>
    </w:p>
  </w:footnote>
  <w:footnote w:id="471">
    <w:p w14:paraId="40462E50" w14:textId="77777777" w:rsidR="005D4302" w:rsidRPr="00DF02C5" w:rsidRDefault="005D4302" w:rsidP="00C50381">
      <w:pPr>
        <w:pStyle w:val="FootnoteText"/>
        <w:ind w:firstLine="0"/>
        <w:rPr>
          <w:lang w:val="en-GB"/>
        </w:rPr>
      </w:pPr>
      <w:r w:rsidRPr="00DF02C5">
        <w:rPr>
          <w:rStyle w:val="FootnoteReference"/>
          <w:lang w:val="en-GB"/>
        </w:rPr>
        <w:footnoteRef/>
      </w:r>
      <w:r w:rsidRPr="00DF02C5">
        <w:rPr>
          <w:lang w:val="en-GB"/>
        </w:rPr>
        <w:t xml:space="preserve"> Indonesia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B3146" w14:textId="3E000420" w:rsidR="005D4302" w:rsidRPr="009E6C59" w:rsidRDefault="005D4302" w:rsidP="00635D47">
    <w:pPr>
      <w:rPr>
        <w:rFonts w:eastAsia="SimSun" w:hAnsi="Times New Roman" w:cs="Times New Roman"/>
        <w:color w:val="auto"/>
        <w:kern w:val="22"/>
        <w:szCs w:val="24"/>
        <w:bdr w:val="none" w:sz="0" w:space="0" w:color="auto"/>
        <w:lang w:val="fr-CA"/>
      </w:rPr>
    </w:pPr>
    <w:sdt>
      <w:sdtPr>
        <w:rPr>
          <w:rFonts w:eastAsia="SimSun" w:hAnsi="Times New Roman" w:cs="Times New Roman"/>
          <w:color w:val="auto"/>
          <w:kern w:val="22"/>
          <w:szCs w:val="24"/>
          <w:bdr w:val="none" w:sz="0" w:space="0" w:color="auto"/>
          <w:lang w:val="fr-CA"/>
        </w:rPr>
        <w:alias w:val="Subject"/>
        <w:tag w:val=""/>
        <w:id w:val="1129674394"/>
        <w:placeholder>
          <w:docPart w:val="11753B0FB59241B28DF0002667C72E26"/>
        </w:placeholder>
        <w:dataBinding w:prefixMappings="xmlns:ns0='http://purl.org/dc/elements/1.1/' xmlns:ns1='http://schemas.openxmlformats.org/package/2006/metadata/core-properties' " w:xpath="/ns1:coreProperties[1]/ns0:subject[1]" w:storeItemID="{6C3C8BC8-F283-45AE-878A-BAB7291924A1}"/>
        <w:text/>
      </w:sdtPr>
      <w:sdtContent>
        <w:r w:rsidRPr="009E6C59">
          <w:rPr>
            <w:rFonts w:eastAsia="SimSun" w:hAnsi="Times New Roman" w:cs="Times New Roman"/>
            <w:color w:val="auto"/>
            <w:kern w:val="22"/>
            <w:szCs w:val="24"/>
            <w:bdr w:val="none" w:sz="0" w:space="0" w:color="auto"/>
            <w:lang w:val="fr-CA"/>
          </w:rPr>
          <w:t>CBD/ABS/CC/2/INF/1</w:t>
        </w:r>
      </w:sdtContent>
    </w:sdt>
    <w:r w:rsidRPr="009E6C59">
      <w:rPr>
        <w:rFonts w:eastAsia="SimSun" w:hAnsi="Times New Roman" w:cs="Times New Roman"/>
        <w:color w:val="auto"/>
        <w:kern w:val="22"/>
        <w:szCs w:val="24"/>
        <w:bdr w:val="none" w:sz="0" w:space="0" w:color="auto"/>
        <w:lang w:val="fr-CA"/>
      </w:rPr>
      <w:t xml:space="preserve"> </w:t>
    </w:r>
  </w:p>
  <w:p w14:paraId="3B45A4E7" w14:textId="20FBAD63" w:rsidR="005D4302" w:rsidRPr="009E6C59" w:rsidRDefault="005D4302" w:rsidP="00A65A9A">
    <w:pPr>
      <w:pStyle w:val="Header"/>
      <w:tabs>
        <w:tab w:val="clear" w:pos="4680"/>
        <w:tab w:val="clear" w:pos="9360"/>
      </w:tabs>
      <w:jc w:val="left"/>
      <w:rPr>
        <w:rFonts w:hAnsi="Times New Roman"/>
        <w:noProof/>
        <w:kern w:val="22"/>
        <w:lang w:val="fr-CA"/>
      </w:rPr>
    </w:pPr>
    <w:r w:rsidRPr="009E6C59">
      <w:rPr>
        <w:rFonts w:hAnsi="Times New Roman"/>
        <w:noProof/>
        <w:kern w:val="22"/>
        <w:lang w:val="fr-CA"/>
      </w:rPr>
      <w:t xml:space="preserve">Page </w:t>
    </w:r>
    <w:r w:rsidRPr="00A65A9A">
      <w:rPr>
        <w:rFonts w:hAnsi="Times New Roman"/>
        <w:noProof/>
        <w:kern w:val="22"/>
        <w:lang w:val="en-GB"/>
      </w:rPr>
      <w:fldChar w:fldCharType="begin"/>
    </w:r>
    <w:r w:rsidRPr="009E6C59">
      <w:rPr>
        <w:rFonts w:hAnsi="Times New Roman"/>
        <w:noProof/>
        <w:kern w:val="22"/>
        <w:lang w:val="fr-CA"/>
      </w:rPr>
      <w:instrText xml:space="preserve"> PAGE   \* MERGEFORMAT </w:instrText>
    </w:r>
    <w:r w:rsidRPr="00A65A9A">
      <w:rPr>
        <w:rFonts w:hAnsi="Times New Roman"/>
        <w:noProof/>
        <w:kern w:val="22"/>
        <w:lang w:val="en-GB"/>
      </w:rPr>
      <w:fldChar w:fldCharType="separate"/>
    </w:r>
    <w:r w:rsidR="00D412D0">
      <w:rPr>
        <w:rFonts w:hAnsi="Times New Roman"/>
        <w:noProof/>
        <w:kern w:val="22"/>
        <w:lang w:val="fr-CA"/>
      </w:rPr>
      <w:t>6</w:t>
    </w:r>
    <w:r w:rsidRPr="00A65A9A">
      <w:rPr>
        <w:rFonts w:hAnsi="Times New Roman"/>
        <w:noProof/>
        <w:kern w:val="22"/>
        <w:lang w:val="en-GB"/>
      </w:rPr>
      <w:fldChar w:fldCharType="end"/>
    </w:r>
  </w:p>
  <w:p w14:paraId="79D3FC05" w14:textId="77777777" w:rsidR="005D4302" w:rsidRPr="009E6C59" w:rsidRDefault="005D4302" w:rsidP="00A65A9A">
    <w:pPr>
      <w:pStyle w:val="Header"/>
      <w:tabs>
        <w:tab w:val="clear" w:pos="4680"/>
        <w:tab w:val="clear" w:pos="9360"/>
      </w:tabs>
      <w:jc w:val="left"/>
      <w:rPr>
        <w:rFonts w:hAnsi="Times New Roman"/>
        <w:noProof/>
        <w:kern w:val="22"/>
        <w:lang w:val="fr-C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hAnsi="Times New Roman"/>
        <w:noProof/>
        <w:kern w:val="22"/>
        <w:lang w:val="fr-CA"/>
      </w:rPr>
      <w:alias w:val="Subject"/>
      <w:tag w:val=""/>
      <w:id w:val="289411976"/>
      <w:placeholder>
        <w:docPart w:val="017DE37445A9413EA3A8F41277292FB0"/>
      </w:placeholder>
      <w:dataBinding w:prefixMappings="xmlns:ns0='http://purl.org/dc/elements/1.1/' xmlns:ns1='http://schemas.openxmlformats.org/package/2006/metadata/core-properties' " w:xpath="/ns1:coreProperties[1]/ns0:subject[1]" w:storeItemID="{6C3C8BC8-F283-45AE-878A-BAB7291924A1}"/>
      <w:text/>
    </w:sdtPr>
    <w:sdtContent>
      <w:p w14:paraId="0F0A8AE3" w14:textId="7429F4C6" w:rsidR="005D4302" w:rsidRPr="009E6C59" w:rsidRDefault="005D4302" w:rsidP="002D219F">
        <w:pPr>
          <w:pStyle w:val="Header"/>
          <w:tabs>
            <w:tab w:val="clear" w:pos="4680"/>
            <w:tab w:val="clear" w:pos="9360"/>
          </w:tabs>
          <w:jc w:val="right"/>
          <w:rPr>
            <w:rFonts w:hAnsi="Times New Roman"/>
            <w:noProof/>
            <w:kern w:val="22"/>
            <w:lang w:val="fr-CA"/>
          </w:rPr>
        </w:pPr>
        <w:r w:rsidRPr="009E6C59">
          <w:rPr>
            <w:rFonts w:hAnsi="Times New Roman"/>
            <w:noProof/>
            <w:kern w:val="22"/>
            <w:lang w:val="fr-CA"/>
          </w:rPr>
          <w:t>CBD/ABS/CC/2/INF/1</w:t>
        </w:r>
      </w:p>
    </w:sdtContent>
  </w:sdt>
  <w:p w14:paraId="74CD3BCE" w14:textId="51E2398F" w:rsidR="005D4302" w:rsidRPr="009E6C59" w:rsidRDefault="005D4302" w:rsidP="002D219F">
    <w:pPr>
      <w:pStyle w:val="Header"/>
      <w:tabs>
        <w:tab w:val="clear" w:pos="4680"/>
        <w:tab w:val="clear" w:pos="9360"/>
      </w:tabs>
      <w:jc w:val="right"/>
      <w:rPr>
        <w:rFonts w:hAnsi="Times New Roman"/>
        <w:noProof/>
        <w:kern w:val="22"/>
        <w:lang w:val="fr-CA"/>
      </w:rPr>
    </w:pPr>
    <w:r w:rsidRPr="009E6C59">
      <w:rPr>
        <w:rFonts w:hAnsi="Times New Roman"/>
        <w:noProof/>
        <w:kern w:val="22"/>
        <w:lang w:val="fr-CA"/>
      </w:rPr>
      <w:t xml:space="preserve">Page </w:t>
    </w:r>
    <w:r w:rsidRPr="002D219F">
      <w:rPr>
        <w:rFonts w:hAnsi="Times New Roman"/>
        <w:noProof/>
        <w:kern w:val="22"/>
        <w:lang w:val="en-GB"/>
      </w:rPr>
      <w:fldChar w:fldCharType="begin"/>
    </w:r>
    <w:r w:rsidRPr="009E6C59">
      <w:rPr>
        <w:rFonts w:hAnsi="Times New Roman"/>
        <w:noProof/>
        <w:kern w:val="22"/>
        <w:lang w:val="fr-CA"/>
      </w:rPr>
      <w:instrText xml:space="preserve"> PAGE   \* MERGEFORMAT </w:instrText>
    </w:r>
    <w:r w:rsidRPr="002D219F">
      <w:rPr>
        <w:rFonts w:hAnsi="Times New Roman"/>
        <w:noProof/>
        <w:kern w:val="22"/>
        <w:lang w:val="en-GB"/>
      </w:rPr>
      <w:fldChar w:fldCharType="separate"/>
    </w:r>
    <w:r w:rsidR="00D412D0">
      <w:rPr>
        <w:rFonts w:hAnsi="Times New Roman"/>
        <w:noProof/>
        <w:kern w:val="22"/>
        <w:lang w:val="fr-CA"/>
      </w:rPr>
      <w:t>7</w:t>
    </w:r>
    <w:r w:rsidRPr="002D219F">
      <w:rPr>
        <w:rFonts w:hAnsi="Times New Roman"/>
        <w:noProof/>
        <w:kern w:val="22"/>
        <w:lang w:val="en-GB"/>
      </w:rPr>
      <w:fldChar w:fldCharType="end"/>
    </w:r>
  </w:p>
  <w:p w14:paraId="007C4A99" w14:textId="77777777" w:rsidR="005D4302" w:rsidRPr="009E6C59" w:rsidRDefault="005D4302" w:rsidP="002D219F">
    <w:pPr>
      <w:pStyle w:val="Header"/>
      <w:tabs>
        <w:tab w:val="clear" w:pos="4680"/>
        <w:tab w:val="clear" w:pos="9360"/>
      </w:tabs>
      <w:jc w:val="right"/>
      <w:rPr>
        <w:rFonts w:hAnsi="Times New Roman"/>
        <w:noProof/>
        <w:kern w:val="22"/>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0606D"/>
    <w:multiLevelType w:val="hybridMultilevel"/>
    <w:tmpl w:val="A2B2FBB4"/>
    <w:lvl w:ilvl="0" w:tplc="00061D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822CE0"/>
    <w:multiLevelType w:val="multilevel"/>
    <w:tmpl w:val="7E04E976"/>
    <w:lvl w:ilvl="0">
      <w:start w:val="3"/>
      <w:numFmt w:val="decimal"/>
      <w:lvlText w:val="%1."/>
      <w:lvlJc w:val="left"/>
      <w:pPr>
        <w:ind w:left="720" w:hanging="360"/>
      </w:pPr>
      <w:rPr>
        <w:rFonts w:hint="default"/>
        <w:b/>
      </w:rPr>
    </w:lvl>
    <w:lvl w:ilvl="1">
      <w:start w:val="1"/>
      <w:numFmt w:val="decimal"/>
      <w:isLgl/>
      <w:lvlText w:val="%1.%2"/>
      <w:lvlJc w:val="left"/>
      <w:pPr>
        <w:ind w:left="720" w:hanging="360"/>
      </w:pPr>
      <w:rPr>
        <w:rFonts w:hint="default"/>
        <w:i/>
        <w:color w:val="auto"/>
      </w:rPr>
    </w:lvl>
    <w:lvl w:ilvl="2">
      <w:start w:val="1"/>
      <w:numFmt w:val="decimal"/>
      <w:isLgl/>
      <w:lvlText w:val="%1.%2.%3"/>
      <w:lvlJc w:val="left"/>
      <w:pPr>
        <w:ind w:left="1080" w:hanging="720"/>
      </w:pPr>
      <w:rPr>
        <w:rFonts w:hint="default"/>
        <w:i/>
        <w:color w:val="auto"/>
      </w:rPr>
    </w:lvl>
    <w:lvl w:ilvl="3">
      <w:start w:val="1"/>
      <w:numFmt w:val="decimal"/>
      <w:isLgl/>
      <w:lvlText w:val="%1.%2.%3.%4"/>
      <w:lvlJc w:val="left"/>
      <w:pPr>
        <w:ind w:left="1080" w:hanging="720"/>
      </w:pPr>
      <w:rPr>
        <w:rFonts w:hint="default"/>
        <w:i/>
        <w:color w:val="auto"/>
      </w:rPr>
    </w:lvl>
    <w:lvl w:ilvl="4">
      <w:start w:val="1"/>
      <w:numFmt w:val="decimal"/>
      <w:isLgl/>
      <w:lvlText w:val="%1.%2.%3.%4.%5"/>
      <w:lvlJc w:val="left"/>
      <w:pPr>
        <w:ind w:left="1440" w:hanging="1080"/>
      </w:pPr>
      <w:rPr>
        <w:rFonts w:hint="default"/>
        <w:i/>
        <w:color w:val="auto"/>
      </w:rPr>
    </w:lvl>
    <w:lvl w:ilvl="5">
      <w:start w:val="1"/>
      <w:numFmt w:val="decimal"/>
      <w:isLgl/>
      <w:lvlText w:val="%1.%2.%3.%4.%5.%6"/>
      <w:lvlJc w:val="left"/>
      <w:pPr>
        <w:ind w:left="1440" w:hanging="1080"/>
      </w:pPr>
      <w:rPr>
        <w:rFonts w:hint="default"/>
        <w:i/>
        <w:color w:val="auto"/>
      </w:rPr>
    </w:lvl>
    <w:lvl w:ilvl="6">
      <w:start w:val="1"/>
      <w:numFmt w:val="decimal"/>
      <w:isLgl/>
      <w:lvlText w:val="%1.%2.%3.%4.%5.%6.%7"/>
      <w:lvlJc w:val="left"/>
      <w:pPr>
        <w:ind w:left="1800" w:hanging="1440"/>
      </w:pPr>
      <w:rPr>
        <w:rFonts w:hint="default"/>
        <w:i/>
        <w:color w:val="auto"/>
      </w:rPr>
    </w:lvl>
    <w:lvl w:ilvl="7">
      <w:start w:val="1"/>
      <w:numFmt w:val="decimal"/>
      <w:isLgl/>
      <w:lvlText w:val="%1.%2.%3.%4.%5.%6.%7.%8"/>
      <w:lvlJc w:val="left"/>
      <w:pPr>
        <w:ind w:left="1800" w:hanging="1440"/>
      </w:pPr>
      <w:rPr>
        <w:rFonts w:hint="default"/>
        <w:i/>
        <w:color w:val="auto"/>
      </w:rPr>
    </w:lvl>
    <w:lvl w:ilvl="8">
      <w:start w:val="1"/>
      <w:numFmt w:val="decimal"/>
      <w:isLgl/>
      <w:lvlText w:val="%1.%2.%3.%4.%5.%6.%7.%8.%9"/>
      <w:lvlJc w:val="left"/>
      <w:pPr>
        <w:ind w:left="1800" w:hanging="1440"/>
      </w:pPr>
      <w:rPr>
        <w:rFonts w:hint="default"/>
        <w:i/>
        <w:color w:val="auto"/>
      </w:rPr>
    </w:lvl>
  </w:abstractNum>
  <w:abstractNum w:abstractNumId="2" w15:restartNumberingAfterBreak="0">
    <w:nsid w:val="01827C41"/>
    <w:multiLevelType w:val="hybridMultilevel"/>
    <w:tmpl w:val="D370FD04"/>
    <w:lvl w:ilvl="0" w:tplc="2BAA6B7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02425684"/>
    <w:multiLevelType w:val="multilevel"/>
    <w:tmpl w:val="C930EC32"/>
    <w:lvl w:ilvl="0">
      <w:start w:val="1"/>
      <w:numFmt w:val="decimal"/>
      <w:lvlText w:val="%1."/>
      <w:lvlJc w:val="left"/>
      <w:pPr>
        <w:tabs>
          <w:tab w:val="num" w:pos="360"/>
        </w:tabs>
        <w:ind w:left="0" w:firstLine="0"/>
      </w:pPr>
      <w:rPr>
        <w:rFonts w:ascii="Times New Roman" w:hAnsi="Times New Roman" w:hint="default"/>
        <w:b w:val="0"/>
        <w:i w:val="0"/>
        <w:sz w:val="22"/>
        <w:lang w:val="en-US"/>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2DB3FC3"/>
    <w:multiLevelType w:val="multilevel"/>
    <w:tmpl w:val="9D6EF338"/>
    <w:lvl w:ilvl="0">
      <w:start w:val="1"/>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5" w15:restartNumberingAfterBreak="0">
    <w:nsid w:val="03FC7ACB"/>
    <w:multiLevelType w:val="hybridMultilevel"/>
    <w:tmpl w:val="A4D2BD82"/>
    <w:lvl w:ilvl="0" w:tplc="C4963DF8">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49B619E"/>
    <w:multiLevelType w:val="hybridMultilevel"/>
    <w:tmpl w:val="73702240"/>
    <w:lvl w:ilvl="0" w:tplc="9F3A23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D847B9"/>
    <w:multiLevelType w:val="multilevel"/>
    <w:tmpl w:val="C930EC32"/>
    <w:lvl w:ilvl="0">
      <w:start w:val="1"/>
      <w:numFmt w:val="decimal"/>
      <w:lvlText w:val="%1."/>
      <w:lvlJc w:val="left"/>
      <w:pPr>
        <w:tabs>
          <w:tab w:val="num" w:pos="360"/>
        </w:tabs>
        <w:ind w:left="0" w:firstLine="0"/>
      </w:pPr>
      <w:rPr>
        <w:rFonts w:ascii="Times New Roman" w:hAnsi="Times New Roman" w:hint="default"/>
        <w:b w:val="0"/>
        <w:i w:val="0"/>
        <w:sz w:val="22"/>
        <w:lang w:val="en-US"/>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85016CF"/>
    <w:multiLevelType w:val="hybridMultilevel"/>
    <w:tmpl w:val="CEC0313E"/>
    <w:lvl w:ilvl="0" w:tplc="A9546C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2A28E6"/>
    <w:multiLevelType w:val="multilevel"/>
    <w:tmpl w:val="BFAA89B8"/>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i/>
        <w:color w:val="auto"/>
      </w:rPr>
    </w:lvl>
    <w:lvl w:ilvl="2">
      <w:start w:val="1"/>
      <w:numFmt w:val="decimal"/>
      <w:isLgl/>
      <w:lvlText w:val="%1.%2.%3"/>
      <w:lvlJc w:val="left"/>
      <w:pPr>
        <w:ind w:left="1080" w:hanging="720"/>
      </w:pPr>
      <w:rPr>
        <w:rFonts w:hint="default"/>
        <w:i/>
        <w:color w:val="auto"/>
      </w:rPr>
    </w:lvl>
    <w:lvl w:ilvl="3">
      <w:start w:val="1"/>
      <w:numFmt w:val="decimal"/>
      <w:isLgl/>
      <w:lvlText w:val="%1.%2.%3.%4"/>
      <w:lvlJc w:val="left"/>
      <w:pPr>
        <w:ind w:left="1080" w:hanging="720"/>
      </w:pPr>
      <w:rPr>
        <w:rFonts w:hint="default"/>
        <w:i/>
        <w:color w:val="auto"/>
      </w:rPr>
    </w:lvl>
    <w:lvl w:ilvl="4">
      <w:start w:val="1"/>
      <w:numFmt w:val="decimal"/>
      <w:isLgl/>
      <w:lvlText w:val="%1.%2.%3.%4.%5"/>
      <w:lvlJc w:val="left"/>
      <w:pPr>
        <w:ind w:left="1440" w:hanging="1080"/>
      </w:pPr>
      <w:rPr>
        <w:rFonts w:hint="default"/>
        <w:i/>
        <w:color w:val="auto"/>
      </w:rPr>
    </w:lvl>
    <w:lvl w:ilvl="5">
      <w:start w:val="1"/>
      <w:numFmt w:val="decimal"/>
      <w:isLgl/>
      <w:lvlText w:val="%1.%2.%3.%4.%5.%6"/>
      <w:lvlJc w:val="left"/>
      <w:pPr>
        <w:ind w:left="1440" w:hanging="1080"/>
      </w:pPr>
      <w:rPr>
        <w:rFonts w:hint="default"/>
        <w:i/>
        <w:color w:val="auto"/>
      </w:rPr>
    </w:lvl>
    <w:lvl w:ilvl="6">
      <w:start w:val="1"/>
      <w:numFmt w:val="decimal"/>
      <w:isLgl/>
      <w:lvlText w:val="%1.%2.%3.%4.%5.%6.%7"/>
      <w:lvlJc w:val="left"/>
      <w:pPr>
        <w:ind w:left="1800" w:hanging="1440"/>
      </w:pPr>
      <w:rPr>
        <w:rFonts w:hint="default"/>
        <w:i/>
        <w:color w:val="auto"/>
      </w:rPr>
    </w:lvl>
    <w:lvl w:ilvl="7">
      <w:start w:val="1"/>
      <w:numFmt w:val="decimal"/>
      <w:isLgl/>
      <w:lvlText w:val="%1.%2.%3.%4.%5.%6.%7.%8"/>
      <w:lvlJc w:val="left"/>
      <w:pPr>
        <w:ind w:left="1800" w:hanging="1440"/>
      </w:pPr>
      <w:rPr>
        <w:rFonts w:hint="default"/>
        <w:i/>
        <w:color w:val="auto"/>
      </w:rPr>
    </w:lvl>
    <w:lvl w:ilvl="8">
      <w:start w:val="1"/>
      <w:numFmt w:val="decimal"/>
      <w:isLgl/>
      <w:lvlText w:val="%1.%2.%3.%4.%5.%6.%7.%8.%9"/>
      <w:lvlJc w:val="left"/>
      <w:pPr>
        <w:ind w:left="1800" w:hanging="1440"/>
      </w:pPr>
      <w:rPr>
        <w:rFonts w:hint="default"/>
        <w:i/>
        <w:color w:val="auto"/>
      </w:rPr>
    </w:lvl>
  </w:abstractNum>
  <w:abstractNum w:abstractNumId="10" w15:restartNumberingAfterBreak="0">
    <w:nsid w:val="0E563DCB"/>
    <w:multiLevelType w:val="multilevel"/>
    <w:tmpl w:val="ADF4D956"/>
    <w:styleLink w:val="List1"/>
    <w:lvl w:ilvl="0">
      <w:start w:val="69"/>
      <w:numFmt w:val="decimal"/>
      <w:lvlText w:val="%1."/>
      <w:lvlJc w:val="left"/>
      <w:rPr>
        <w:i/>
        <w:iCs/>
        <w:color w:val="000000"/>
        <w:position w:val="0"/>
      </w:rPr>
    </w:lvl>
    <w:lvl w:ilvl="1">
      <w:start w:val="1"/>
      <w:numFmt w:val="lowerLetter"/>
      <w:lvlText w:val="(%2)"/>
      <w:lvlJc w:val="left"/>
      <w:rPr>
        <w:i/>
        <w:iCs/>
        <w:color w:val="000000"/>
        <w:position w:val="0"/>
      </w:rPr>
    </w:lvl>
    <w:lvl w:ilvl="2">
      <w:start w:val="1"/>
      <w:numFmt w:val="lowerRoman"/>
      <w:lvlText w:val="(%3)"/>
      <w:lvlJc w:val="left"/>
      <w:rPr>
        <w:i/>
        <w:iCs/>
        <w:color w:val="000000"/>
        <w:position w:val="0"/>
      </w:rPr>
    </w:lvl>
    <w:lvl w:ilvl="3">
      <w:start w:val="1"/>
      <w:numFmt w:val="bullet"/>
      <w:lvlText w:val="•"/>
      <w:lvlJc w:val="left"/>
      <w:rPr>
        <w:i/>
        <w:iCs/>
        <w:color w:val="000000"/>
        <w:position w:val="0"/>
      </w:rPr>
    </w:lvl>
    <w:lvl w:ilvl="4">
      <w:start w:val="1"/>
      <w:numFmt w:val="lowerLetter"/>
      <w:lvlText w:val="(%5)"/>
      <w:lvlJc w:val="left"/>
      <w:rPr>
        <w:i/>
        <w:iCs/>
        <w:color w:val="000000"/>
        <w:position w:val="0"/>
      </w:rPr>
    </w:lvl>
    <w:lvl w:ilvl="5">
      <w:start w:val="1"/>
      <w:numFmt w:val="lowerRoman"/>
      <w:lvlText w:val="(%6)"/>
      <w:lvlJc w:val="left"/>
      <w:rPr>
        <w:i/>
        <w:iCs/>
        <w:color w:val="000000"/>
        <w:position w:val="0"/>
      </w:rPr>
    </w:lvl>
    <w:lvl w:ilvl="6">
      <w:start w:val="1"/>
      <w:numFmt w:val="decimal"/>
      <w:lvlText w:val="%7."/>
      <w:lvlJc w:val="left"/>
      <w:rPr>
        <w:i/>
        <w:iCs/>
        <w:color w:val="000000"/>
        <w:position w:val="0"/>
      </w:rPr>
    </w:lvl>
    <w:lvl w:ilvl="7">
      <w:start w:val="1"/>
      <w:numFmt w:val="lowerLetter"/>
      <w:lvlText w:val="%8."/>
      <w:lvlJc w:val="left"/>
      <w:rPr>
        <w:i/>
        <w:iCs/>
        <w:color w:val="000000"/>
        <w:position w:val="0"/>
      </w:rPr>
    </w:lvl>
    <w:lvl w:ilvl="8">
      <w:start w:val="1"/>
      <w:numFmt w:val="lowerRoman"/>
      <w:lvlText w:val="%9."/>
      <w:lvlJc w:val="left"/>
      <w:rPr>
        <w:i/>
        <w:iCs/>
        <w:color w:val="000000"/>
        <w:position w:val="0"/>
      </w:rPr>
    </w:lvl>
  </w:abstractNum>
  <w:abstractNum w:abstractNumId="11" w15:restartNumberingAfterBreak="0">
    <w:nsid w:val="0E742518"/>
    <w:multiLevelType w:val="multilevel"/>
    <w:tmpl w:val="C930EC32"/>
    <w:lvl w:ilvl="0">
      <w:start w:val="1"/>
      <w:numFmt w:val="decimal"/>
      <w:lvlText w:val="%1."/>
      <w:lvlJc w:val="left"/>
      <w:pPr>
        <w:tabs>
          <w:tab w:val="num" w:pos="360"/>
        </w:tabs>
        <w:ind w:left="0" w:firstLine="0"/>
      </w:pPr>
      <w:rPr>
        <w:rFonts w:ascii="Times New Roman" w:hAnsi="Times New Roman" w:hint="default"/>
        <w:b w:val="0"/>
        <w:i w:val="0"/>
        <w:sz w:val="22"/>
        <w:lang w:val="en-US"/>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F2364F6"/>
    <w:multiLevelType w:val="multilevel"/>
    <w:tmpl w:val="94609F4A"/>
    <w:lvl w:ilvl="0">
      <w:start w:val="1"/>
      <w:numFmt w:val="upperRoman"/>
      <w:lvlText w:val="%1."/>
      <w:lvlJc w:val="left"/>
      <w:pPr>
        <w:ind w:left="144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3" w15:restartNumberingAfterBreak="0">
    <w:nsid w:val="10F421CA"/>
    <w:multiLevelType w:val="multilevel"/>
    <w:tmpl w:val="DAD001FE"/>
    <w:lvl w:ilvl="0">
      <w:start w:val="2"/>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i/>
        <w:color w:val="auto"/>
      </w:rPr>
    </w:lvl>
    <w:lvl w:ilvl="2">
      <w:start w:val="1"/>
      <w:numFmt w:val="decimal"/>
      <w:isLgl/>
      <w:lvlText w:val="%1.%2.%3"/>
      <w:lvlJc w:val="left"/>
      <w:pPr>
        <w:ind w:left="1080" w:hanging="720"/>
      </w:pPr>
      <w:rPr>
        <w:rFonts w:hint="default"/>
        <w:i/>
        <w:color w:val="auto"/>
      </w:rPr>
    </w:lvl>
    <w:lvl w:ilvl="3">
      <w:start w:val="1"/>
      <w:numFmt w:val="decimal"/>
      <w:isLgl/>
      <w:lvlText w:val="%1.%2.%3.%4"/>
      <w:lvlJc w:val="left"/>
      <w:pPr>
        <w:ind w:left="1080" w:hanging="720"/>
      </w:pPr>
      <w:rPr>
        <w:rFonts w:hint="default"/>
        <w:i/>
        <w:color w:val="auto"/>
      </w:rPr>
    </w:lvl>
    <w:lvl w:ilvl="4">
      <w:start w:val="1"/>
      <w:numFmt w:val="decimal"/>
      <w:isLgl/>
      <w:lvlText w:val="%1.%2.%3.%4.%5"/>
      <w:lvlJc w:val="left"/>
      <w:pPr>
        <w:ind w:left="1440" w:hanging="1080"/>
      </w:pPr>
      <w:rPr>
        <w:rFonts w:hint="default"/>
        <w:i/>
        <w:color w:val="auto"/>
      </w:rPr>
    </w:lvl>
    <w:lvl w:ilvl="5">
      <w:start w:val="1"/>
      <w:numFmt w:val="decimal"/>
      <w:isLgl/>
      <w:lvlText w:val="%1.%2.%3.%4.%5.%6"/>
      <w:lvlJc w:val="left"/>
      <w:pPr>
        <w:ind w:left="1440" w:hanging="1080"/>
      </w:pPr>
      <w:rPr>
        <w:rFonts w:hint="default"/>
        <w:i/>
        <w:color w:val="auto"/>
      </w:rPr>
    </w:lvl>
    <w:lvl w:ilvl="6">
      <w:start w:val="1"/>
      <w:numFmt w:val="decimal"/>
      <w:isLgl/>
      <w:lvlText w:val="%1.%2.%3.%4.%5.%6.%7"/>
      <w:lvlJc w:val="left"/>
      <w:pPr>
        <w:ind w:left="1800" w:hanging="1440"/>
      </w:pPr>
      <w:rPr>
        <w:rFonts w:hint="default"/>
        <w:i/>
        <w:color w:val="auto"/>
      </w:rPr>
    </w:lvl>
    <w:lvl w:ilvl="7">
      <w:start w:val="1"/>
      <w:numFmt w:val="decimal"/>
      <w:isLgl/>
      <w:lvlText w:val="%1.%2.%3.%4.%5.%6.%7.%8"/>
      <w:lvlJc w:val="left"/>
      <w:pPr>
        <w:ind w:left="1800" w:hanging="1440"/>
      </w:pPr>
      <w:rPr>
        <w:rFonts w:hint="default"/>
        <w:i/>
        <w:color w:val="auto"/>
      </w:rPr>
    </w:lvl>
    <w:lvl w:ilvl="8">
      <w:start w:val="1"/>
      <w:numFmt w:val="decimal"/>
      <w:isLgl/>
      <w:lvlText w:val="%1.%2.%3.%4.%5.%6.%7.%8.%9"/>
      <w:lvlJc w:val="left"/>
      <w:pPr>
        <w:ind w:left="1800" w:hanging="1440"/>
      </w:pPr>
      <w:rPr>
        <w:rFonts w:hint="default"/>
        <w:i/>
        <w:color w:val="auto"/>
      </w:rPr>
    </w:lvl>
  </w:abstractNum>
  <w:abstractNum w:abstractNumId="14" w15:restartNumberingAfterBreak="0">
    <w:nsid w:val="110766F3"/>
    <w:multiLevelType w:val="hybridMultilevel"/>
    <w:tmpl w:val="782E0F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9F28FC"/>
    <w:multiLevelType w:val="multilevel"/>
    <w:tmpl w:val="B57601B0"/>
    <w:lvl w:ilvl="0">
      <w:start w:val="1"/>
      <w:numFmt w:val="decimal"/>
      <w:lvlText w:val="%1."/>
      <w:lvlJc w:val="left"/>
      <w:pPr>
        <w:ind w:left="0" w:firstLine="0"/>
      </w:pPr>
      <w:rPr>
        <w:rFonts w:hint="default"/>
        <w:color w:val="000000"/>
        <w:position w:val="0"/>
      </w:rPr>
    </w:lvl>
    <w:lvl w:ilvl="1">
      <w:start w:val="2"/>
      <w:numFmt w:val="lowerLetter"/>
      <w:lvlText w:val="(%2)"/>
      <w:lvlJc w:val="left"/>
      <w:pPr>
        <w:ind w:left="0" w:firstLine="0"/>
      </w:pPr>
      <w:rPr>
        <w:rFonts w:hint="default"/>
        <w:color w:val="000000"/>
        <w:position w:val="0"/>
      </w:rPr>
    </w:lvl>
    <w:lvl w:ilvl="2">
      <w:start w:val="1"/>
      <w:numFmt w:val="lowerRoman"/>
      <w:lvlText w:val="(%3)"/>
      <w:lvlJc w:val="left"/>
      <w:pPr>
        <w:ind w:left="0" w:firstLine="0"/>
      </w:pPr>
      <w:rPr>
        <w:rFonts w:hint="default"/>
        <w:color w:val="000000"/>
        <w:position w:val="0"/>
      </w:rPr>
    </w:lvl>
    <w:lvl w:ilvl="3">
      <w:start w:val="1"/>
      <w:numFmt w:val="bullet"/>
      <w:lvlText w:val="•"/>
      <w:lvlJc w:val="left"/>
      <w:pPr>
        <w:ind w:left="0" w:firstLine="0"/>
      </w:pPr>
      <w:rPr>
        <w:rFonts w:hint="default"/>
        <w:color w:val="000000"/>
        <w:position w:val="0"/>
      </w:rPr>
    </w:lvl>
    <w:lvl w:ilvl="4">
      <w:start w:val="1"/>
      <w:numFmt w:val="lowerLetter"/>
      <w:lvlText w:val="(%5)"/>
      <w:lvlJc w:val="left"/>
      <w:pPr>
        <w:ind w:left="0" w:firstLine="0"/>
      </w:pPr>
      <w:rPr>
        <w:rFonts w:hint="default"/>
        <w:color w:val="000000"/>
        <w:position w:val="0"/>
      </w:rPr>
    </w:lvl>
    <w:lvl w:ilvl="5">
      <w:start w:val="1"/>
      <w:numFmt w:val="lowerRoman"/>
      <w:lvlText w:val="(%6)"/>
      <w:lvlJc w:val="left"/>
      <w:pPr>
        <w:ind w:left="0" w:firstLine="0"/>
      </w:pPr>
      <w:rPr>
        <w:rFonts w:hint="default"/>
        <w:color w:val="000000"/>
        <w:position w:val="0"/>
      </w:rPr>
    </w:lvl>
    <w:lvl w:ilvl="6">
      <w:start w:val="1"/>
      <w:numFmt w:val="decimal"/>
      <w:lvlText w:val="%7."/>
      <w:lvlJc w:val="left"/>
      <w:pPr>
        <w:ind w:left="0" w:firstLine="0"/>
      </w:pPr>
      <w:rPr>
        <w:rFonts w:hint="default"/>
        <w:color w:val="000000"/>
        <w:position w:val="0"/>
      </w:rPr>
    </w:lvl>
    <w:lvl w:ilvl="7">
      <w:start w:val="1"/>
      <w:numFmt w:val="lowerLetter"/>
      <w:lvlText w:val="%8."/>
      <w:lvlJc w:val="left"/>
      <w:pPr>
        <w:ind w:left="0" w:firstLine="0"/>
      </w:pPr>
      <w:rPr>
        <w:rFonts w:hint="default"/>
        <w:color w:val="000000"/>
        <w:position w:val="0"/>
      </w:rPr>
    </w:lvl>
    <w:lvl w:ilvl="8">
      <w:start w:val="1"/>
      <w:numFmt w:val="lowerRoman"/>
      <w:lvlText w:val="%9."/>
      <w:lvlJc w:val="left"/>
      <w:pPr>
        <w:ind w:left="0" w:firstLine="0"/>
      </w:pPr>
      <w:rPr>
        <w:rFonts w:hint="default"/>
        <w:color w:val="000000"/>
        <w:position w:val="0"/>
      </w:rPr>
    </w:lvl>
  </w:abstractNum>
  <w:abstractNum w:abstractNumId="16" w15:restartNumberingAfterBreak="0">
    <w:nsid w:val="11B170EF"/>
    <w:multiLevelType w:val="multilevel"/>
    <w:tmpl w:val="A4B0A7E2"/>
    <w:lvl w:ilvl="0">
      <w:start w:val="209"/>
      <w:numFmt w:val="decimal"/>
      <w:lvlText w:val="%1."/>
      <w:lvlJc w:val="left"/>
      <w:pPr>
        <w:ind w:left="0" w:firstLine="0"/>
      </w:pPr>
      <w:rPr>
        <w:rFonts w:ascii="Times New Roman" w:hAnsi="Times New Roman" w:cs="Times New Roman" w:hint="default"/>
        <w:b w:val="0"/>
        <w:i w:val="0"/>
        <w:color w:val="000000"/>
        <w:position w:val="0"/>
        <w:sz w:val="22"/>
        <w:szCs w:val="22"/>
      </w:rPr>
    </w:lvl>
    <w:lvl w:ilvl="1">
      <w:start w:val="1"/>
      <w:numFmt w:val="lowerLetter"/>
      <w:lvlText w:val="(%2)"/>
      <w:lvlJc w:val="left"/>
      <w:pPr>
        <w:ind w:left="0" w:firstLine="0"/>
      </w:pPr>
      <w:rPr>
        <w:rFonts w:hint="default"/>
        <w:b w:val="0"/>
        <w:color w:val="000000"/>
        <w:position w:val="0"/>
      </w:rPr>
    </w:lvl>
    <w:lvl w:ilvl="2">
      <w:start w:val="1"/>
      <w:numFmt w:val="lowerRoman"/>
      <w:lvlText w:val="(%3)"/>
      <w:lvlJc w:val="left"/>
      <w:pPr>
        <w:ind w:left="0" w:firstLine="0"/>
      </w:pPr>
      <w:rPr>
        <w:rFonts w:hint="default"/>
        <w:color w:val="000000"/>
        <w:position w:val="0"/>
      </w:rPr>
    </w:lvl>
    <w:lvl w:ilvl="3">
      <w:start w:val="1"/>
      <w:numFmt w:val="bullet"/>
      <w:lvlText w:val="•"/>
      <w:lvlJc w:val="left"/>
      <w:pPr>
        <w:ind w:left="0" w:firstLine="0"/>
      </w:pPr>
      <w:rPr>
        <w:rFonts w:hint="default"/>
        <w:color w:val="000000"/>
        <w:position w:val="0"/>
      </w:rPr>
    </w:lvl>
    <w:lvl w:ilvl="4">
      <w:start w:val="1"/>
      <w:numFmt w:val="lowerLetter"/>
      <w:lvlText w:val="(%5)"/>
      <w:lvlJc w:val="left"/>
      <w:pPr>
        <w:ind w:left="0" w:firstLine="0"/>
      </w:pPr>
      <w:rPr>
        <w:rFonts w:hint="default"/>
        <w:color w:val="000000"/>
        <w:position w:val="0"/>
      </w:rPr>
    </w:lvl>
    <w:lvl w:ilvl="5">
      <w:start w:val="1"/>
      <w:numFmt w:val="lowerRoman"/>
      <w:lvlText w:val="(%6)"/>
      <w:lvlJc w:val="left"/>
      <w:pPr>
        <w:ind w:left="0" w:firstLine="0"/>
      </w:pPr>
      <w:rPr>
        <w:rFonts w:hint="default"/>
        <w:color w:val="000000"/>
        <w:position w:val="0"/>
      </w:rPr>
    </w:lvl>
    <w:lvl w:ilvl="6">
      <w:start w:val="2"/>
      <w:numFmt w:val="decimal"/>
      <w:lvlText w:val="%7."/>
      <w:lvlJc w:val="left"/>
      <w:pPr>
        <w:ind w:left="0" w:firstLine="0"/>
      </w:pPr>
      <w:rPr>
        <w:rFonts w:hint="default"/>
        <w:b w:val="0"/>
        <w:i w:val="0"/>
        <w:iCs/>
        <w:color w:val="000000"/>
        <w:position w:val="0"/>
      </w:rPr>
    </w:lvl>
    <w:lvl w:ilvl="7">
      <w:start w:val="1"/>
      <w:numFmt w:val="lowerLetter"/>
      <w:lvlText w:val="%8."/>
      <w:lvlJc w:val="left"/>
      <w:pPr>
        <w:ind w:left="0" w:firstLine="0"/>
      </w:pPr>
      <w:rPr>
        <w:rFonts w:hint="default"/>
        <w:color w:val="000000"/>
        <w:position w:val="0"/>
      </w:rPr>
    </w:lvl>
    <w:lvl w:ilvl="8">
      <w:start w:val="1"/>
      <w:numFmt w:val="lowerRoman"/>
      <w:lvlText w:val="%9."/>
      <w:lvlJc w:val="left"/>
      <w:pPr>
        <w:ind w:left="0" w:firstLine="0"/>
      </w:pPr>
      <w:rPr>
        <w:rFonts w:hint="default"/>
        <w:color w:val="000000"/>
        <w:position w:val="0"/>
      </w:rPr>
    </w:lvl>
  </w:abstractNum>
  <w:abstractNum w:abstractNumId="17" w15:restartNumberingAfterBreak="0">
    <w:nsid w:val="122B241F"/>
    <w:multiLevelType w:val="hybridMultilevel"/>
    <w:tmpl w:val="977A9728"/>
    <w:lvl w:ilvl="0" w:tplc="7512AE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002172"/>
    <w:multiLevelType w:val="hybridMultilevel"/>
    <w:tmpl w:val="40D2452A"/>
    <w:lvl w:ilvl="0" w:tplc="CAB053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35E2455"/>
    <w:multiLevelType w:val="multilevel"/>
    <w:tmpl w:val="C930EC32"/>
    <w:lvl w:ilvl="0">
      <w:start w:val="1"/>
      <w:numFmt w:val="decimal"/>
      <w:lvlText w:val="%1."/>
      <w:lvlJc w:val="left"/>
      <w:pPr>
        <w:tabs>
          <w:tab w:val="num" w:pos="360"/>
        </w:tabs>
        <w:ind w:left="0" w:firstLine="0"/>
      </w:pPr>
      <w:rPr>
        <w:rFonts w:ascii="Times New Roman" w:hAnsi="Times New Roman" w:hint="default"/>
        <w:b w:val="0"/>
        <w:i w:val="0"/>
        <w:sz w:val="22"/>
        <w:lang w:val="en-US"/>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13FD7DDA"/>
    <w:multiLevelType w:val="hybridMultilevel"/>
    <w:tmpl w:val="C21C5E30"/>
    <w:lvl w:ilvl="0" w:tplc="7512AE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4000401"/>
    <w:multiLevelType w:val="hybridMultilevel"/>
    <w:tmpl w:val="186C5E5E"/>
    <w:lvl w:ilvl="0" w:tplc="7B3657E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14DA339C"/>
    <w:multiLevelType w:val="multilevel"/>
    <w:tmpl w:val="CE5AED8E"/>
    <w:lvl w:ilvl="0">
      <w:start w:val="1"/>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23" w15:restartNumberingAfterBreak="0">
    <w:nsid w:val="154A7038"/>
    <w:multiLevelType w:val="multilevel"/>
    <w:tmpl w:val="C930EC32"/>
    <w:lvl w:ilvl="0">
      <w:start w:val="1"/>
      <w:numFmt w:val="decimal"/>
      <w:lvlText w:val="%1."/>
      <w:lvlJc w:val="left"/>
      <w:pPr>
        <w:tabs>
          <w:tab w:val="num" w:pos="360"/>
        </w:tabs>
        <w:ind w:left="0" w:firstLine="0"/>
      </w:pPr>
      <w:rPr>
        <w:rFonts w:ascii="Times New Roman" w:hAnsi="Times New Roman" w:hint="default"/>
        <w:b w:val="0"/>
        <w:i w:val="0"/>
        <w:sz w:val="22"/>
        <w:lang w:val="en-US"/>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15C01D02"/>
    <w:multiLevelType w:val="multilevel"/>
    <w:tmpl w:val="F3F2107A"/>
    <w:lvl w:ilvl="0">
      <w:start w:val="1"/>
      <w:numFmt w:val="decimal"/>
      <w:lvlText w:val="%1."/>
      <w:lvlJc w:val="left"/>
      <w:rPr>
        <w:color w:val="000000"/>
        <w:position w:val="0"/>
        <w:rtl w:val="0"/>
      </w:rPr>
    </w:lvl>
    <w:lvl w:ilvl="1">
      <w:start w:val="1"/>
      <w:numFmt w:val="lowerLetter"/>
      <w:lvlText w:val="(%2)"/>
      <w:lvlJc w:val="left"/>
      <w:rPr>
        <w:color w:val="000000"/>
        <w:position w:val="0"/>
        <w:rtl w:val="0"/>
      </w:rPr>
    </w:lvl>
    <w:lvl w:ilvl="2">
      <w:start w:val="1"/>
      <w:numFmt w:val="lowerRoman"/>
      <w:lvlText w:val="(%3)"/>
      <w:lvlJc w:val="left"/>
      <w:rPr>
        <w:color w:val="000000"/>
        <w:position w:val="0"/>
        <w:rtl w:val="0"/>
      </w:rPr>
    </w:lvl>
    <w:lvl w:ilvl="3">
      <w:start w:val="1"/>
      <w:numFmt w:val="bullet"/>
      <w:lvlText w:val="•"/>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25" w15:restartNumberingAfterBreak="0">
    <w:nsid w:val="171008FE"/>
    <w:multiLevelType w:val="hybridMultilevel"/>
    <w:tmpl w:val="EBF6C6FE"/>
    <w:lvl w:ilvl="0" w:tplc="741CED08">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84711FB"/>
    <w:multiLevelType w:val="multilevel"/>
    <w:tmpl w:val="DAB85B70"/>
    <w:styleLink w:val="List41"/>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7" w15:restartNumberingAfterBreak="0">
    <w:nsid w:val="184D76B3"/>
    <w:multiLevelType w:val="hybridMultilevel"/>
    <w:tmpl w:val="0D42E720"/>
    <w:lvl w:ilvl="0" w:tplc="3FB6727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5E5539"/>
    <w:multiLevelType w:val="hybridMultilevel"/>
    <w:tmpl w:val="D5888374"/>
    <w:lvl w:ilvl="0" w:tplc="D362FA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A1B3896"/>
    <w:multiLevelType w:val="hybridMultilevel"/>
    <w:tmpl w:val="4F98DF4E"/>
    <w:lvl w:ilvl="0" w:tplc="7512AE7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15:restartNumberingAfterBreak="0">
    <w:nsid w:val="1B1E730C"/>
    <w:multiLevelType w:val="multilevel"/>
    <w:tmpl w:val="0FFE08C8"/>
    <w:lvl w:ilvl="0">
      <w:start w:val="489"/>
      <w:numFmt w:val="decimal"/>
      <w:lvlText w:val="%1."/>
      <w:lvlJc w:val="left"/>
      <w:pPr>
        <w:ind w:left="0" w:firstLine="0"/>
      </w:pPr>
      <w:rPr>
        <w:rFonts w:ascii="Times New Roman" w:hAnsi="Times New Roman" w:cs="Times New Roman" w:hint="default"/>
        <w:b w:val="0"/>
        <w:i w:val="0"/>
        <w:color w:val="000000"/>
        <w:position w:val="0"/>
        <w:sz w:val="22"/>
        <w:szCs w:val="22"/>
      </w:rPr>
    </w:lvl>
    <w:lvl w:ilvl="1">
      <w:start w:val="1"/>
      <w:numFmt w:val="lowerLetter"/>
      <w:lvlText w:val="(%2)"/>
      <w:lvlJc w:val="left"/>
      <w:pPr>
        <w:ind w:left="0" w:firstLine="0"/>
      </w:pPr>
      <w:rPr>
        <w:rFonts w:hint="default"/>
        <w:b w:val="0"/>
        <w:color w:val="000000"/>
        <w:position w:val="0"/>
      </w:rPr>
    </w:lvl>
    <w:lvl w:ilvl="2">
      <w:start w:val="1"/>
      <w:numFmt w:val="lowerRoman"/>
      <w:lvlText w:val="(%3)"/>
      <w:lvlJc w:val="left"/>
      <w:pPr>
        <w:ind w:left="0" w:firstLine="0"/>
      </w:pPr>
      <w:rPr>
        <w:rFonts w:hint="default"/>
        <w:color w:val="000000"/>
        <w:position w:val="0"/>
      </w:rPr>
    </w:lvl>
    <w:lvl w:ilvl="3">
      <w:start w:val="1"/>
      <w:numFmt w:val="bullet"/>
      <w:lvlText w:val="•"/>
      <w:lvlJc w:val="left"/>
      <w:pPr>
        <w:ind w:left="0" w:firstLine="0"/>
      </w:pPr>
      <w:rPr>
        <w:rFonts w:hint="default"/>
        <w:color w:val="000000"/>
        <w:position w:val="0"/>
      </w:rPr>
    </w:lvl>
    <w:lvl w:ilvl="4">
      <w:start w:val="1"/>
      <w:numFmt w:val="lowerLetter"/>
      <w:lvlText w:val="(%5)"/>
      <w:lvlJc w:val="left"/>
      <w:pPr>
        <w:ind w:left="0" w:firstLine="0"/>
      </w:pPr>
      <w:rPr>
        <w:rFonts w:hint="default"/>
        <w:color w:val="000000"/>
        <w:position w:val="0"/>
      </w:rPr>
    </w:lvl>
    <w:lvl w:ilvl="5">
      <w:start w:val="1"/>
      <w:numFmt w:val="lowerRoman"/>
      <w:lvlText w:val="(%6)"/>
      <w:lvlJc w:val="left"/>
      <w:pPr>
        <w:ind w:left="0" w:firstLine="0"/>
      </w:pPr>
      <w:rPr>
        <w:rFonts w:hint="default"/>
        <w:color w:val="000000"/>
        <w:position w:val="0"/>
      </w:rPr>
    </w:lvl>
    <w:lvl w:ilvl="6">
      <w:start w:val="2"/>
      <w:numFmt w:val="decimal"/>
      <w:lvlText w:val="%7."/>
      <w:lvlJc w:val="left"/>
      <w:pPr>
        <w:ind w:left="0" w:firstLine="0"/>
      </w:pPr>
      <w:rPr>
        <w:rFonts w:hint="default"/>
        <w:b/>
        <w:i w:val="0"/>
        <w:iCs/>
        <w:color w:val="000000"/>
        <w:position w:val="0"/>
      </w:rPr>
    </w:lvl>
    <w:lvl w:ilvl="7">
      <w:start w:val="1"/>
      <w:numFmt w:val="lowerLetter"/>
      <w:lvlText w:val="%8."/>
      <w:lvlJc w:val="left"/>
      <w:pPr>
        <w:ind w:left="0" w:firstLine="0"/>
      </w:pPr>
      <w:rPr>
        <w:rFonts w:hint="default"/>
        <w:color w:val="000000"/>
        <w:position w:val="0"/>
      </w:rPr>
    </w:lvl>
    <w:lvl w:ilvl="8">
      <w:start w:val="1"/>
      <w:numFmt w:val="lowerRoman"/>
      <w:lvlText w:val="%9."/>
      <w:lvlJc w:val="left"/>
      <w:pPr>
        <w:ind w:left="0" w:firstLine="0"/>
      </w:pPr>
      <w:rPr>
        <w:rFonts w:hint="default"/>
        <w:color w:val="000000"/>
        <w:position w:val="0"/>
      </w:rPr>
    </w:lvl>
  </w:abstractNum>
  <w:abstractNum w:abstractNumId="31" w15:restartNumberingAfterBreak="0">
    <w:nsid w:val="1C367AFA"/>
    <w:multiLevelType w:val="multilevel"/>
    <w:tmpl w:val="B3B243E6"/>
    <w:lvl w:ilvl="0">
      <w:start w:val="1"/>
      <w:numFmt w:val="lowerLetter"/>
      <w:lvlText w:val="(%1)"/>
      <w:lvlJc w:val="left"/>
      <w:rPr>
        <w:rFonts w:hint="default"/>
        <w:b w:val="0"/>
        <w:i w:val="0"/>
        <w:color w:val="000000"/>
        <w:position w:val="0"/>
        <w:rtl w:val="0"/>
        <w:lang w:val="en-GB"/>
      </w:rPr>
    </w:lvl>
    <w:lvl w:ilvl="1">
      <w:start w:val="1"/>
      <w:numFmt w:val="lowerLetter"/>
      <w:lvlText w:val="(%2)"/>
      <w:lvlJc w:val="left"/>
      <w:rPr>
        <w:rFonts w:hint="default"/>
        <w:b w:val="0"/>
        <w:color w:val="000000"/>
        <w:position w:val="0"/>
        <w:rtl w:val="0"/>
      </w:rPr>
    </w:lvl>
    <w:lvl w:ilvl="2">
      <w:start w:val="1"/>
      <w:numFmt w:val="lowerRoman"/>
      <w:lvlText w:val="(%3)"/>
      <w:lvlJc w:val="left"/>
      <w:rPr>
        <w:color w:val="000000"/>
        <w:position w:val="0"/>
        <w:rtl w:val="0"/>
      </w:rPr>
    </w:lvl>
    <w:lvl w:ilvl="3">
      <w:start w:val="1"/>
      <w:numFmt w:val="bullet"/>
      <w:lvlText w:val="•"/>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b/>
        <w:i w:val="0"/>
        <w:iCs/>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32" w15:restartNumberingAfterBreak="0">
    <w:nsid w:val="21852027"/>
    <w:multiLevelType w:val="multilevel"/>
    <w:tmpl w:val="F3F2107A"/>
    <w:lvl w:ilvl="0">
      <w:start w:val="1"/>
      <w:numFmt w:val="decimal"/>
      <w:lvlText w:val="%1."/>
      <w:lvlJc w:val="left"/>
      <w:rPr>
        <w:color w:val="000000"/>
        <w:position w:val="0"/>
        <w:rtl w:val="0"/>
      </w:rPr>
    </w:lvl>
    <w:lvl w:ilvl="1">
      <w:start w:val="1"/>
      <w:numFmt w:val="lowerLetter"/>
      <w:lvlText w:val="(%2)"/>
      <w:lvlJc w:val="left"/>
      <w:rPr>
        <w:color w:val="000000"/>
        <w:position w:val="0"/>
        <w:rtl w:val="0"/>
      </w:rPr>
    </w:lvl>
    <w:lvl w:ilvl="2">
      <w:start w:val="1"/>
      <w:numFmt w:val="lowerRoman"/>
      <w:lvlText w:val="(%3)"/>
      <w:lvlJc w:val="left"/>
      <w:rPr>
        <w:color w:val="000000"/>
        <w:position w:val="0"/>
        <w:rtl w:val="0"/>
      </w:rPr>
    </w:lvl>
    <w:lvl w:ilvl="3">
      <w:start w:val="1"/>
      <w:numFmt w:val="bullet"/>
      <w:lvlText w:val="•"/>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33" w15:restartNumberingAfterBreak="0">
    <w:nsid w:val="225133CA"/>
    <w:multiLevelType w:val="multilevel"/>
    <w:tmpl w:val="C930EC32"/>
    <w:lvl w:ilvl="0">
      <w:start w:val="1"/>
      <w:numFmt w:val="decimal"/>
      <w:lvlText w:val="%1."/>
      <w:lvlJc w:val="left"/>
      <w:pPr>
        <w:tabs>
          <w:tab w:val="num" w:pos="360"/>
        </w:tabs>
        <w:ind w:left="0" w:firstLine="0"/>
      </w:pPr>
      <w:rPr>
        <w:rFonts w:ascii="Times New Roman" w:hAnsi="Times New Roman" w:hint="default"/>
        <w:b w:val="0"/>
        <w:i w:val="0"/>
        <w:sz w:val="22"/>
        <w:lang w:val="en-US"/>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228E491C"/>
    <w:multiLevelType w:val="multilevel"/>
    <w:tmpl w:val="9A32DA74"/>
    <w:lvl w:ilvl="0">
      <w:start w:val="279"/>
      <w:numFmt w:val="decimal"/>
      <w:lvlText w:val="%1."/>
      <w:lvlJc w:val="left"/>
      <w:pPr>
        <w:ind w:left="0" w:firstLine="0"/>
      </w:pPr>
      <w:rPr>
        <w:rFonts w:ascii="Times New Roman" w:hAnsi="Times New Roman" w:cs="Times New Roman" w:hint="default"/>
        <w:b w:val="0"/>
        <w:i w:val="0"/>
        <w:color w:val="000000"/>
        <w:position w:val="0"/>
        <w:sz w:val="22"/>
        <w:szCs w:val="22"/>
      </w:rPr>
    </w:lvl>
    <w:lvl w:ilvl="1">
      <w:start w:val="2"/>
      <w:numFmt w:val="lowerLetter"/>
      <w:lvlText w:val="(%2)"/>
      <w:lvlJc w:val="left"/>
      <w:pPr>
        <w:ind w:left="0" w:firstLine="0"/>
      </w:pPr>
      <w:rPr>
        <w:rFonts w:hint="default"/>
        <w:b w:val="0"/>
        <w:color w:val="000000"/>
        <w:position w:val="0"/>
      </w:rPr>
    </w:lvl>
    <w:lvl w:ilvl="2">
      <w:start w:val="1"/>
      <w:numFmt w:val="lowerRoman"/>
      <w:lvlText w:val="(%3)"/>
      <w:lvlJc w:val="left"/>
      <w:pPr>
        <w:ind w:left="0" w:firstLine="0"/>
      </w:pPr>
      <w:rPr>
        <w:rFonts w:hint="default"/>
        <w:color w:val="000000"/>
        <w:position w:val="0"/>
      </w:rPr>
    </w:lvl>
    <w:lvl w:ilvl="3">
      <w:start w:val="1"/>
      <w:numFmt w:val="bullet"/>
      <w:lvlText w:val="•"/>
      <w:lvlJc w:val="left"/>
      <w:pPr>
        <w:ind w:left="0" w:firstLine="0"/>
      </w:pPr>
      <w:rPr>
        <w:rFonts w:hint="default"/>
        <w:color w:val="000000"/>
        <w:position w:val="0"/>
      </w:rPr>
    </w:lvl>
    <w:lvl w:ilvl="4">
      <w:start w:val="1"/>
      <w:numFmt w:val="lowerLetter"/>
      <w:lvlText w:val="(%5)"/>
      <w:lvlJc w:val="left"/>
      <w:pPr>
        <w:ind w:left="0" w:firstLine="0"/>
      </w:pPr>
      <w:rPr>
        <w:rFonts w:hint="default"/>
        <w:color w:val="000000"/>
        <w:position w:val="0"/>
      </w:rPr>
    </w:lvl>
    <w:lvl w:ilvl="5">
      <w:start w:val="1"/>
      <w:numFmt w:val="lowerRoman"/>
      <w:lvlText w:val="(%6)"/>
      <w:lvlJc w:val="left"/>
      <w:pPr>
        <w:ind w:left="0" w:firstLine="0"/>
      </w:pPr>
      <w:rPr>
        <w:rFonts w:hint="default"/>
        <w:color w:val="000000"/>
        <w:position w:val="0"/>
      </w:rPr>
    </w:lvl>
    <w:lvl w:ilvl="6">
      <w:start w:val="1"/>
      <w:numFmt w:val="decimal"/>
      <w:lvlText w:val="%7."/>
      <w:lvlJc w:val="left"/>
      <w:pPr>
        <w:ind w:left="0" w:firstLine="0"/>
      </w:pPr>
      <w:rPr>
        <w:rFonts w:hint="default"/>
        <w:b/>
        <w:i/>
        <w:iCs/>
        <w:color w:val="000000"/>
        <w:position w:val="0"/>
      </w:rPr>
    </w:lvl>
    <w:lvl w:ilvl="7">
      <w:start w:val="1"/>
      <w:numFmt w:val="lowerLetter"/>
      <w:lvlText w:val="%8."/>
      <w:lvlJc w:val="left"/>
      <w:pPr>
        <w:ind w:left="0" w:firstLine="0"/>
      </w:pPr>
      <w:rPr>
        <w:rFonts w:hint="default"/>
        <w:color w:val="000000"/>
        <w:position w:val="0"/>
      </w:rPr>
    </w:lvl>
    <w:lvl w:ilvl="8">
      <w:start w:val="1"/>
      <w:numFmt w:val="lowerRoman"/>
      <w:lvlText w:val="%9."/>
      <w:lvlJc w:val="left"/>
      <w:pPr>
        <w:ind w:left="0" w:firstLine="0"/>
      </w:pPr>
      <w:rPr>
        <w:rFonts w:hint="default"/>
        <w:color w:val="000000"/>
        <w:position w:val="0"/>
      </w:rPr>
    </w:lvl>
  </w:abstractNum>
  <w:abstractNum w:abstractNumId="35" w15:restartNumberingAfterBreak="0">
    <w:nsid w:val="25BE2A1B"/>
    <w:multiLevelType w:val="hybridMultilevel"/>
    <w:tmpl w:val="4F98DF4E"/>
    <w:lvl w:ilvl="0" w:tplc="7512AE7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287142E3"/>
    <w:multiLevelType w:val="hybridMultilevel"/>
    <w:tmpl w:val="800609F2"/>
    <w:lvl w:ilvl="0" w:tplc="00E488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AC63A55"/>
    <w:multiLevelType w:val="multilevel"/>
    <w:tmpl w:val="F3F2107A"/>
    <w:lvl w:ilvl="0">
      <w:start w:val="1"/>
      <w:numFmt w:val="decimal"/>
      <w:lvlText w:val="%1."/>
      <w:lvlJc w:val="left"/>
      <w:rPr>
        <w:color w:val="000000"/>
        <w:position w:val="0"/>
        <w:rtl w:val="0"/>
      </w:rPr>
    </w:lvl>
    <w:lvl w:ilvl="1">
      <w:start w:val="1"/>
      <w:numFmt w:val="lowerLetter"/>
      <w:lvlText w:val="(%2)"/>
      <w:lvlJc w:val="left"/>
      <w:rPr>
        <w:color w:val="000000"/>
        <w:position w:val="0"/>
        <w:rtl w:val="0"/>
      </w:rPr>
    </w:lvl>
    <w:lvl w:ilvl="2">
      <w:start w:val="1"/>
      <w:numFmt w:val="lowerRoman"/>
      <w:lvlText w:val="(%3)"/>
      <w:lvlJc w:val="left"/>
      <w:rPr>
        <w:color w:val="000000"/>
        <w:position w:val="0"/>
        <w:rtl w:val="0"/>
      </w:rPr>
    </w:lvl>
    <w:lvl w:ilvl="3">
      <w:start w:val="1"/>
      <w:numFmt w:val="bullet"/>
      <w:lvlText w:val="•"/>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38" w15:restartNumberingAfterBreak="0">
    <w:nsid w:val="2B9366FD"/>
    <w:multiLevelType w:val="multilevel"/>
    <w:tmpl w:val="C930EC32"/>
    <w:lvl w:ilvl="0">
      <w:start w:val="1"/>
      <w:numFmt w:val="decimal"/>
      <w:lvlText w:val="%1."/>
      <w:lvlJc w:val="left"/>
      <w:pPr>
        <w:tabs>
          <w:tab w:val="num" w:pos="360"/>
        </w:tabs>
        <w:ind w:left="0" w:firstLine="0"/>
      </w:pPr>
      <w:rPr>
        <w:rFonts w:ascii="Times New Roman" w:hAnsi="Times New Roman" w:hint="default"/>
        <w:b w:val="0"/>
        <w:i w:val="0"/>
        <w:sz w:val="22"/>
        <w:lang w:val="en-US"/>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2E9B3040"/>
    <w:multiLevelType w:val="hybridMultilevel"/>
    <w:tmpl w:val="C2A4B4FC"/>
    <w:lvl w:ilvl="0" w:tplc="7512AE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9D7039"/>
    <w:multiLevelType w:val="multilevel"/>
    <w:tmpl w:val="C930EC32"/>
    <w:lvl w:ilvl="0">
      <w:start w:val="1"/>
      <w:numFmt w:val="decimal"/>
      <w:lvlText w:val="%1."/>
      <w:lvlJc w:val="left"/>
      <w:pPr>
        <w:tabs>
          <w:tab w:val="num" w:pos="360"/>
        </w:tabs>
        <w:ind w:left="0" w:firstLine="0"/>
      </w:pPr>
      <w:rPr>
        <w:rFonts w:ascii="Times New Roman" w:hAnsi="Times New Roman" w:hint="default"/>
        <w:b w:val="0"/>
        <w:i w:val="0"/>
        <w:sz w:val="22"/>
        <w:lang w:val="en-US"/>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2F440A42"/>
    <w:multiLevelType w:val="hybridMultilevel"/>
    <w:tmpl w:val="10FE2C06"/>
    <w:lvl w:ilvl="0" w:tplc="B17EC6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FE4FC0"/>
    <w:multiLevelType w:val="multilevel"/>
    <w:tmpl w:val="C930EC32"/>
    <w:lvl w:ilvl="0">
      <w:start w:val="1"/>
      <w:numFmt w:val="decimal"/>
      <w:lvlText w:val="%1."/>
      <w:lvlJc w:val="left"/>
      <w:pPr>
        <w:tabs>
          <w:tab w:val="num" w:pos="360"/>
        </w:tabs>
        <w:ind w:left="0" w:firstLine="0"/>
      </w:pPr>
      <w:rPr>
        <w:rFonts w:ascii="Times New Roman" w:hAnsi="Times New Roman" w:hint="default"/>
        <w:b w:val="0"/>
        <w:i w:val="0"/>
        <w:sz w:val="22"/>
        <w:lang w:val="en-US"/>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32715DE1"/>
    <w:multiLevelType w:val="hybridMultilevel"/>
    <w:tmpl w:val="9C340E86"/>
    <w:lvl w:ilvl="0" w:tplc="AFFA96A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3F02B21"/>
    <w:multiLevelType w:val="multilevel"/>
    <w:tmpl w:val="A2E0F784"/>
    <w:styleLink w:val="List31"/>
    <w:lvl w:ilvl="0">
      <w:start w:val="1"/>
      <w:numFmt w:val="decimal"/>
      <w:lvlText w:val="%1."/>
      <w:lvlJc w:val="left"/>
      <w:rPr>
        <w:color w:val="000000"/>
        <w:position w:val="0"/>
        <w:rtl w:val="0"/>
      </w:rPr>
    </w:lvl>
    <w:lvl w:ilvl="1">
      <w:start w:val="1"/>
      <w:numFmt w:val="lowerLetter"/>
      <w:lvlText w:val="(%2)"/>
      <w:lvlJc w:val="left"/>
      <w:rPr>
        <w:color w:val="000000"/>
        <w:position w:val="0"/>
        <w:rtl w:val="0"/>
      </w:rPr>
    </w:lvl>
    <w:lvl w:ilvl="2">
      <w:start w:val="1"/>
      <w:numFmt w:val="lowerRoman"/>
      <w:lvlText w:val="(%3)"/>
      <w:lvlJc w:val="left"/>
      <w:rPr>
        <w:color w:val="000000"/>
        <w:position w:val="0"/>
        <w:rtl w:val="0"/>
      </w:rPr>
    </w:lvl>
    <w:lvl w:ilvl="3">
      <w:start w:val="1"/>
      <w:numFmt w:val="bullet"/>
      <w:lvlText w:val="•"/>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45" w15:restartNumberingAfterBreak="0">
    <w:nsid w:val="34D34503"/>
    <w:multiLevelType w:val="multilevel"/>
    <w:tmpl w:val="DCB831F8"/>
    <w:lvl w:ilvl="0">
      <w:start w:val="502"/>
      <w:numFmt w:val="decimal"/>
      <w:lvlText w:val="%1."/>
      <w:lvlJc w:val="left"/>
      <w:pPr>
        <w:ind w:left="0" w:firstLine="0"/>
      </w:pPr>
      <w:rPr>
        <w:rFonts w:ascii="Times New Roman" w:hAnsi="Times New Roman" w:cs="Times New Roman" w:hint="default"/>
        <w:b w:val="0"/>
        <w:i w:val="0"/>
        <w:color w:val="000000"/>
        <w:position w:val="0"/>
        <w:sz w:val="22"/>
        <w:szCs w:val="22"/>
      </w:rPr>
    </w:lvl>
    <w:lvl w:ilvl="1">
      <w:start w:val="1"/>
      <w:numFmt w:val="lowerLetter"/>
      <w:lvlText w:val="(%2)"/>
      <w:lvlJc w:val="left"/>
      <w:pPr>
        <w:ind w:left="0" w:firstLine="0"/>
      </w:pPr>
      <w:rPr>
        <w:rFonts w:hint="default"/>
        <w:b w:val="0"/>
        <w:color w:val="000000"/>
        <w:position w:val="0"/>
      </w:rPr>
    </w:lvl>
    <w:lvl w:ilvl="2">
      <w:start w:val="1"/>
      <w:numFmt w:val="lowerRoman"/>
      <w:lvlText w:val="(%3)"/>
      <w:lvlJc w:val="left"/>
      <w:pPr>
        <w:ind w:left="0" w:firstLine="0"/>
      </w:pPr>
      <w:rPr>
        <w:rFonts w:hint="default"/>
        <w:color w:val="000000"/>
        <w:position w:val="0"/>
      </w:rPr>
    </w:lvl>
    <w:lvl w:ilvl="3">
      <w:start w:val="1"/>
      <w:numFmt w:val="bullet"/>
      <w:lvlText w:val="•"/>
      <w:lvlJc w:val="left"/>
      <w:pPr>
        <w:ind w:left="0" w:firstLine="0"/>
      </w:pPr>
      <w:rPr>
        <w:rFonts w:hint="default"/>
        <w:color w:val="000000"/>
        <w:position w:val="0"/>
      </w:rPr>
    </w:lvl>
    <w:lvl w:ilvl="4">
      <w:start w:val="1"/>
      <w:numFmt w:val="lowerLetter"/>
      <w:lvlText w:val="(%5)"/>
      <w:lvlJc w:val="left"/>
      <w:pPr>
        <w:ind w:left="0" w:firstLine="0"/>
      </w:pPr>
      <w:rPr>
        <w:rFonts w:hint="default"/>
        <w:color w:val="000000"/>
        <w:position w:val="0"/>
      </w:rPr>
    </w:lvl>
    <w:lvl w:ilvl="5">
      <w:start w:val="1"/>
      <w:numFmt w:val="lowerRoman"/>
      <w:lvlText w:val="(%6)"/>
      <w:lvlJc w:val="left"/>
      <w:pPr>
        <w:ind w:left="0" w:firstLine="0"/>
      </w:pPr>
      <w:rPr>
        <w:rFonts w:hint="default"/>
        <w:color w:val="000000"/>
        <w:position w:val="0"/>
      </w:rPr>
    </w:lvl>
    <w:lvl w:ilvl="6">
      <w:start w:val="5"/>
      <w:numFmt w:val="decimal"/>
      <w:lvlText w:val="%7."/>
      <w:lvlJc w:val="left"/>
      <w:pPr>
        <w:ind w:left="0" w:firstLine="0"/>
      </w:pPr>
      <w:rPr>
        <w:rFonts w:hint="default"/>
        <w:b/>
        <w:i w:val="0"/>
        <w:iCs/>
        <w:color w:val="000000"/>
        <w:position w:val="0"/>
      </w:rPr>
    </w:lvl>
    <w:lvl w:ilvl="7">
      <w:start w:val="1"/>
      <w:numFmt w:val="lowerLetter"/>
      <w:lvlText w:val="%8."/>
      <w:lvlJc w:val="left"/>
      <w:pPr>
        <w:ind w:left="0" w:firstLine="0"/>
      </w:pPr>
      <w:rPr>
        <w:rFonts w:hint="default"/>
        <w:color w:val="000000"/>
        <w:position w:val="0"/>
      </w:rPr>
    </w:lvl>
    <w:lvl w:ilvl="8">
      <w:start w:val="1"/>
      <w:numFmt w:val="lowerRoman"/>
      <w:lvlText w:val="%9."/>
      <w:lvlJc w:val="left"/>
      <w:pPr>
        <w:ind w:left="0" w:firstLine="0"/>
      </w:pPr>
      <w:rPr>
        <w:rFonts w:hint="default"/>
        <w:color w:val="000000"/>
        <w:position w:val="0"/>
      </w:rPr>
    </w:lvl>
  </w:abstractNum>
  <w:abstractNum w:abstractNumId="46" w15:restartNumberingAfterBreak="0">
    <w:nsid w:val="367B452D"/>
    <w:multiLevelType w:val="hybridMultilevel"/>
    <w:tmpl w:val="C21C5E30"/>
    <w:lvl w:ilvl="0" w:tplc="7512AE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7BE20F0"/>
    <w:multiLevelType w:val="multilevel"/>
    <w:tmpl w:val="80B4FC4C"/>
    <w:styleLink w:val="List51"/>
    <w:lvl w:ilvl="0">
      <w:start w:val="42"/>
      <w:numFmt w:val="decimal"/>
      <w:lvlText w:val="%1."/>
      <w:lvlJc w:val="left"/>
      <w:rPr>
        <w:color w:val="000000"/>
        <w:position w:val="0"/>
        <w:rtl w:val="0"/>
      </w:rPr>
    </w:lvl>
    <w:lvl w:ilvl="1">
      <w:start w:val="1"/>
      <w:numFmt w:val="lowerLetter"/>
      <w:lvlText w:val="(%2)"/>
      <w:lvlJc w:val="left"/>
      <w:rPr>
        <w:color w:val="000000"/>
        <w:position w:val="0"/>
        <w:rtl w:val="0"/>
      </w:rPr>
    </w:lvl>
    <w:lvl w:ilvl="2">
      <w:start w:val="1"/>
      <w:numFmt w:val="lowerRoman"/>
      <w:lvlText w:val="(%3)"/>
      <w:lvlJc w:val="left"/>
      <w:rPr>
        <w:color w:val="000000"/>
        <w:position w:val="0"/>
        <w:rtl w:val="0"/>
      </w:rPr>
    </w:lvl>
    <w:lvl w:ilvl="3">
      <w:start w:val="1"/>
      <w:numFmt w:val="bullet"/>
      <w:lvlText w:val="•"/>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48" w15:restartNumberingAfterBreak="0">
    <w:nsid w:val="38734971"/>
    <w:multiLevelType w:val="hybridMultilevel"/>
    <w:tmpl w:val="10B8C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95F41C6"/>
    <w:multiLevelType w:val="multilevel"/>
    <w:tmpl w:val="F3F2107A"/>
    <w:lvl w:ilvl="0">
      <w:start w:val="1"/>
      <w:numFmt w:val="decimal"/>
      <w:lvlText w:val="%1."/>
      <w:lvlJc w:val="left"/>
      <w:rPr>
        <w:color w:val="000000"/>
        <w:position w:val="0"/>
        <w:rtl w:val="0"/>
      </w:rPr>
    </w:lvl>
    <w:lvl w:ilvl="1">
      <w:start w:val="1"/>
      <w:numFmt w:val="lowerLetter"/>
      <w:lvlText w:val="(%2)"/>
      <w:lvlJc w:val="left"/>
      <w:rPr>
        <w:color w:val="000000"/>
        <w:position w:val="0"/>
        <w:rtl w:val="0"/>
      </w:rPr>
    </w:lvl>
    <w:lvl w:ilvl="2">
      <w:start w:val="1"/>
      <w:numFmt w:val="lowerRoman"/>
      <w:lvlText w:val="(%3)"/>
      <w:lvlJc w:val="left"/>
      <w:rPr>
        <w:color w:val="000000"/>
        <w:position w:val="0"/>
        <w:rtl w:val="0"/>
      </w:rPr>
    </w:lvl>
    <w:lvl w:ilvl="3">
      <w:start w:val="1"/>
      <w:numFmt w:val="bullet"/>
      <w:lvlText w:val="•"/>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50" w15:restartNumberingAfterBreak="0">
    <w:nsid w:val="39BA4658"/>
    <w:multiLevelType w:val="multilevel"/>
    <w:tmpl w:val="AE8CD1A6"/>
    <w:lvl w:ilvl="0">
      <w:start w:val="3"/>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i/>
        <w:color w:val="auto"/>
      </w:rPr>
    </w:lvl>
    <w:lvl w:ilvl="2">
      <w:start w:val="1"/>
      <w:numFmt w:val="decimal"/>
      <w:isLgl/>
      <w:lvlText w:val="%1.%2.%3"/>
      <w:lvlJc w:val="left"/>
      <w:pPr>
        <w:ind w:left="1080" w:hanging="720"/>
      </w:pPr>
      <w:rPr>
        <w:rFonts w:hint="default"/>
        <w:i/>
        <w:color w:val="auto"/>
      </w:rPr>
    </w:lvl>
    <w:lvl w:ilvl="3">
      <w:start w:val="1"/>
      <w:numFmt w:val="decimal"/>
      <w:isLgl/>
      <w:lvlText w:val="%1.%2.%3.%4"/>
      <w:lvlJc w:val="left"/>
      <w:pPr>
        <w:ind w:left="1080" w:hanging="720"/>
      </w:pPr>
      <w:rPr>
        <w:rFonts w:hint="default"/>
        <w:i/>
        <w:color w:val="auto"/>
      </w:rPr>
    </w:lvl>
    <w:lvl w:ilvl="4">
      <w:start w:val="1"/>
      <w:numFmt w:val="decimal"/>
      <w:isLgl/>
      <w:lvlText w:val="%1.%2.%3.%4.%5"/>
      <w:lvlJc w:val="left"/>
      <w:pPr>
        <w:ind w:left="1440" w:hanging="1080"/>
      </w:pPr>
      <w:rPr>
        <w:rFonts w:hint="default"/>
        <w:i/>
        <w:color w:val="auto"/>
      </w:rPr>
    </w:lvl>
    <w:lvl w:ilvl="5">
      <w:start w:val="1"/>
      <w:numFmt w:val="decimal"/>
      <w:isLgl/>
      <w:lvlText w:val="%1.%2.%3.%4.%5.%6"/>
      <w:lvlJc w:val="left"/>
      <w:pPr>
        <w:ind w:left="1440" w:hanging="1080"/>
      </w:pPr>
      <w:rPr>
        <w:rFonts w:hint="default"/>
        <w:i/>
        <w:color w:val="auto"/>
      </w:rPr>
    </w:lvl>
    <w:lvl w:ilvl="6">
      <w:start w:val="1"/>
      <w:numFmt w:val="decimal"/>
      <w:isLgl/>
      <w:lvlText w:val="%1.%2.%3.%4.%5.%6.%7"/>
      <w:lvlJc w:val="left"/>
      <w:pPr>
        <w:ind w:left="1800" w:hanging="1440"/>
      </w:pPr>
      <w:rPr>
        <w:rFonts w:hint="default"/>
        <w:i/>
        <w:color w:val="auto"/>
      </w:rPr>
    </w:lvl>
    <w:lvl w:ilvl="7">
      <w:start w:val="1"/>
      <w:numFmt w:val="decimal"/>
      <w:isLgl/>
      <w:lvlText w:val="%1.%2.%3.%4.%5.%6.%7.%8"/>
      <w:lvlJc w:val="left"/>
      <w:pPr>
        <w:ind w:left="1800" w:hanging="1440"/>
      </w:pPr>
      <w:rPr>
        <w:rFonts w:hint="default"/>
        <w:i/>
        <w:color w:val="auto"/>
      </w:rPr>
    </w:lvl>
    <w:lvl w:ilvl="8">
      <w:start w:val="1"/>
      <w:numFmt w:val="decimal"/>
      <w:isLgl/>
      <w:lvlText w:val="%1.%2.%3.%4.%5.%6.%7.%8.%9"/>
      <w:lvlJc w:val="left"/>
      <w:pPr>
        <w:ind w:left="1800" w:hanging="1440"/>
      </w:pPr>
      <w:rPr>
        <w:rFonts w:hint="default"/>
        <w:i/>
        <w:color w:val="auto"/>
      </w:rPr>
    </w:lvl>
  </w:abstractNum>
  <w:abstractNum w:abstractNumId="51" w15:restartNumberingAfterBreak="0">
    <w:nsid w:val="39EE2FF7"/>
    <w:multiLevelType w:val="hybridMultilevel"/>
    <w:tmpl w:val="C21C5E30"/>
    <w:lvl w:ilvl="0" w:tplc="7512AE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CE43C91"/>
    <w:multiLevelType w:val="singleLevel"/>
    <w:tmpl w:val="B36A8C58"/>
    <w:lvl w:ilvl="0">
      <w:start w:val="1"/>
      <w:numFmt w:val="decimal"/>
      <w:pStyle w:val="Paranum"/>
      <w:lvlText w:val="%1."/>
      <w:lvlJc w:val="left"/>
      <w:pPr>
        <w:tabs>
          <w:tab w:val="num" w:pos="360"/>
        </w:tabs>
      </w:pPr>
      <w:rPr>
        <w:rFonts w:cs="Times New Roman"/>
      </w:rPr>
    </w:lvl>
  </w:abstractNum>
  <w:abstractNum w:abstractNumId="53" w15:restartNumberingAfterBreak="0">
    <w:nsid w:val="3F5E4D10"/>
    <w:multiLevelType w:val="hybridMultilevel"/>
    <w:tmpl w:val="55F61BD2"/>
    <w:lvl w:ilvl="0" w:tplc="7512AE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F641F66"/>
    <w:multiLevelType w:val="hybridMultilevel"/>
    <w:tmpl w:val="5F8CE11C"/>
    <w:lvl w:ilvl="0" w:tplc="A9546C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59C40D9"/>
    <w:multiLevelType w:val="hybridMultilevel"/>
    <w:tmpl w:val="4F98DF4E"/>
    <w:lvl w:ilvl="0" w:tplc="7512AE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6B4288B"/>
    <w:multiLevelType w:val="multilevel"/>
    <w:tmpl w:val="D6E6B6CE"/>
    <w:styleLink w:val="List6"/>
    <w:lvl w:ilvl="0">
      <w:start w:val="1"/>
      <w:numFmt w:val="upperLetter"/>
      <w:lvlText w:val="%1."/>
      <w:lvlJc w:val="left"/>
      <w:rPr>
        <w:b/>
        <w:bCs/>
        <w:i/>
        <w:iCs/>
        <w:position w:val="0"/>
      </w:rPr>
    </w:lvl>
    <w:lvl w:ilvl="1">
      <w:start w:val="1"/>
      <w:numFmt w:val="lowerLetter"/>
      <w:lvlText w:val="%2."/>
      <w:lvlJc w:val="left"/>
      <w:rPr>
        <w:b/>
        <w:bCs/>
        <w:i/>
        <w:iCs/>
        <w:position w:val="0"/>
      </w:rPr>
    </w:lvl>
    <w:lvl w:ilvl="2">
      <w:start w:val="1"/>
      <w:numFmt w:val="lowerRoman"/>
      <w:lvlText w:val="%3."/>
      <w:lvlJc w:val="left"/>
      <w:rPr>
        <w:b/>
        <w:bCs/>
        <w:i/>
        <w:iCs/>
        <w:position w:val="0"/>
      </w:rPr>
    </w:lvl>
    <w:lvl w:ilvl="3">
      <w:start w:val="1"/>
      <w:numFmt w:val="decimal"/>
      <w:lvlText w:val="%4."/>
      <w:lvlJc w:val="left"/>
      <w:rPr>
        <w:b/>
        <w:bCs/>
        <w:i/>
        <w:iCs/>
        <w:position w:val="0"/>
      </w:rPr>
    </w:lvl>
    <w:lvl w:ilvl="4">
      <w:start w:val="1"/>
      <w:numFmt w:val="lowerLetter"/>
      <w:lvlText w:val="%5."/>
      <w:lvlJc w:val="left"/>
      <w:rPr>
        <w:b/>
        <w:bCs/>
        <w:i/>
        <w:iCs/>
        <w:position w:val="0"/>
      </w:rPr>
    </w:lvl>
    <w:lvl w:ilvl="5">
      <w:start w:val="1"/>
      <w:numFmt w:val="lowerRoman"/>
      <w:lvlText w:val="%6."/>
      <w:lvlJc w:val="left"/>
      <w:rPr>
        <w:b/>
        <w:bCs/>
        <w:i/>
        <w:iCs/>
        <w:position w:val="0"/>
      </w:rPr>
    </w:lvl>
    <w:lvl w:ilvl="6">
      <w:start w:val="1"/>
      <w:numFmt w:val="decimal"/>
      <w:lvlText w:val="%7."/>
      <w:lvlJc w:val="left"/>
      <w:rPr>
        <w:b/>
        <w:bCs/>
        <w:i/>
        <w:iCs/>
        <w:position w:val="0"/>
      </w:rPr>
    </w:lvl>
    <w:lvl w:ilvl="7">
      <w:start w:val="1"/>
      <w:numFmt w:val="lowerLetter"/>
      <w:lvlText w:val="%8."/>
      <w:lvlJc w:val="left"/>
      <w:rPr>
        <w:b/>
        <w:bCs/>
        <w:i/>
        <w:iCs/>
        <w:position w:val="0"/>
      </w:rPr>
    </w:lvl>
    <w:lvl w:ilvl="8">
      <w:start w:val="1"/>
      <w:numFmt w:val="lowerRoman"/>
      <w:lvlText w:val="%9."/>
      <w:lvlJc w:val="left"/>
      <w:rPr>
        <w:b/>
        <w:bCs/>
        <w:i/>
        <w:iCs/>
        <w:position w:val="0"/>
      </w:rPr>
    </w:lvl>
  </w:abstractNum>
  <w:abstractNum w:abstractNumId="57" w15:restartNumberingAfterBreak="0">
    <w:nsid w:val="484D6BCE"/>
    <w:multiLevelType w:val="hybridMultilevel"/>
    <w:tmpl w:val="C22A7D34"/>
    <w:lvl w:ilvl="0" w:tplc="4426CD9E">
      <w:start w:val="10"/>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49475FF4"/>
    <w:multiLevelType w:val="multilevel"/>
    <w:tmpl w:val="C930EC32"/>
    <w:lvl w:ilvl="0">
      <w:start w:val="1"/>
      <w:numFmt w:val="decimal"/>
      <w:lvlText w:val="%1."/>
      <w:lvlJc w:val="left"/>
      <w:pPr>
        <w:tabs>
          <w:tab w:val="num" w:pos="360"/>
        </w:tabs>
        <w:ind w:left="0" w:firstLine="0"/>
      </w:pPr>
      <w:rPr>
        <w:rFonts w:ascii="Times New Roman" w:hAnsi="Times New Roman" w:hint="default"/>
        <w:b w:val="0"/>
        <w:i w:val="0"/>
        <w:sz w:val="22"/>
        <w:lang w:val="en-US"/>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4A2E1511"/>
    <w:multiLevelType w:val="hybridMultilevel"/>
    <w:tmpl w:val="A4D2BD82"/>
    <w:lvl w:ilvl="0" w:tplc="C4963DF8">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0" w15:restartNumberingAfterBreak="0">
    <w:nsid w:val="4D492D22"/>
    <w:multiLevelType w:val="multilevel"/>
    <w:tmpl w:val="29587DE4"/>
    <w:lvl w:ilvl="0">
      <w:start w:val="1"/>
      <w:numFmt w:val="decimal"/>
      <w:lvlText w:val="%1."/>
      <w:lvlJc w:val="left"/>
      <w:rPr>
        <w:rFonts w:ascii="Times New Roman" w:hAnsi="Times New Roman" w:cs="Times New Roman" w:hint="default"/>
        <w:b w:val="0"/>
        <w:i w:val="0"/>
        <w:color w:val="000000"/>
        <w:position w:val="0"/>
        <w:sz w:val="22"/>
        <w:szCs w:val="22"/>
        <w:rtl w:val="0"/>
        <w:lang w:val="en-GB"/>
      </w:rPr>
    </w:lvl>
    <w:lvl w:ilvl="1">
      <w:start w:val="1"/>
      <w:numFmt w:val="lowerLetter"/>
      <w:lvlText w:val="(%2)"/>
      <w:lvlJc w:val="left"/>
      <w:rPr>
        <w:rFonts w:hint="default"/>
        <w:b w:val="0"/>
        <w:color w:val="000000"/>
        <w:position w:val="0"/>
        <w:rtl w:val="0"/>
      </w:rPr>
    </w:lvl>
    <w:lvl w:ilvl="2">
      <w:start w:val="1"/>
      <w:numFmt w:val="lowerRoman"/>
      <w:lvlText w:val="(%3)"/>
      <w:lvlJc w:val="left"/>
      <w:rPr>
        <w:color w:val="000000"/>
        <w:position w:val="0"/>
        <w:rtl w:val="0"/>
      </w:rPr>
    </w:lvl>
    <w:lvl w:ilvl="3">
      <w:start w:val="1"/>
      <w:numFmt w:val="bullet"/>
      <w:lvlText w:val="•"/>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b w:val="0"/>
        <w:i/>
        <w:iCs/>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61" w15:restartNumberingAfterBreak="0">
    <w:nsid w:val="4E0442B4"/>
    <w:multiLevelType w:val="multilevel"/>
    <w:tmpl w:val="C930EC32"/>
    <w:lvl w:ilvl="0">
      <w:start w:val="1"/>
      <w:numFmt w:val="decimal"/>
      <w:lvlText w:val="%1."/>
      <w:lvlJc w:val="left"/>
      <w:pPr>
        <w:tabs>
          <w:tab w:val="num" w:pos="360"/>
        </w:tabs>
        <w:ind w:left="0" w:firstLine="0"/>
      </w:pPr>
      <w:rPr>
        <w:rFonts w:ascii="Times New Roman" w:hAnsi="Times New Roman" w:hint="default"/>
        <w:b w:val="0"/>
        <w:i w:val="0"/>
        <w:sz w:val="22"/>
        <w:lang w:val="en-US"/>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2" w15:restartNumberingAfterBreak="0">
    <w:nsid w:val="4E18379B"/>
    <w:multiLevelType w:val="multilevel"/>
    <w:tmpl w:val="FD704D48"/>
    <w:lvl w:ilvl="0">
      <w:start w:val="2"/>
      <w:numFmt w:val="decimal"/>
      <w:lvlText w:val="%1"/>
      <w:lvlJc w:val="left"/>
      <w:pPr>
        <w:ind w:left="360" w:hanging="360"/>
      </w:pPr>
      <w:rPr>
        <w:rFonts w:hint="default"/>
        <w:i/>
      </w:rPr>
    </w:lvl>
    <w:lvl w:ilvl="1">
      <w:start w:val="1"/>
      <w:numFmt w:val="decimal"/>
      <w:lvlText w:val="%1.%2"/>
      <w:lvlJc w:val="left"/>
      <w:pPr>
        <w:ind w:left="1080" w:hanging="360"/>
      </w:pPr>
      <w:rPr>
        <w:rFonts w:hint="default"/>
        <w:i/>
      </w:rPr>
    </w:lvl>
    <w:lvl w:ilvl="2">
      <w:start w:val="1"/>
      <w:numFmt w:val="decimal"/>
      <w:lvlText w:val="%1.%2.%3"/>
      <w:lvlJc w:val="left"/>
      <w:pPr>
        <w:ind w:left="2160" w:hanging="720"/>
      </w:pPr>
      <w:rPr>
        <w:rFonts w:hint="default"/>
        <w:i/>
      </w:rPr>
    </w:lvl>
    <w:lvl w:ilvl="3">
      <w:start w:val="1"/>
      <w:numFmt w:val="decimal"/>
      <w:lvlText w:val="%1.%2.%3.%4"/>
      <w:lvlJc w:val="left"/>
      <w:pPr>
        <w:ind w:left="2880" w:hanging="720"/>
      </w:pPr>
      <w:rPr>
        <w:rFonts w:hint="default"/>
        <w:i/>
      </w:rPr>
    </w:lvl>
    <w:lvl w:ilvl="4">
      <w:start w:val="1"/>
      <w:numFmt w:val="decimal"/>
      <w:lvlText w:val="%1.%2.%3.%4.%5"/>
      <w:lvlJc w:val="left"/>
      <w:pPr>
        <w:ind w:left="3960" w:hanging="1080"/>
      </w:pPr>
      <w:rPr>
        <w:rFonts w:hint="default"/>
        <w:i/>
      </w:rPr>
    </w:lvl>
    <w:lvl w:ilvl="5">
      <w:start w:val="1"/>
      <w:numFmt w:val="decimal"/>
      <w:lvlText w:val="%1.%2.%3.%4.%5.%6"/>
      <w:lvlJc w:val="left"/>
      <w:pPr>
        <w:ind w:left="4680" w:hanging="1080"/>
      </w:pPr>
      <w:rPr>
        <w:rFonts w:hint="default"/>
        <w:i/>
      </w:rPr>
    </w:lvl>
    <w:lvl w:ilvl="6">
      <w:start w:val="1"/>
      <w:numFmt w:val="decimal"/>
      <w:lvlText w:val="%1.%2.%3.%4.%5.%6.%7"/>
      <w:lvlJc w:val="left"/>
      <w:pPr>
        <w:ind w:left="5760" w:hanging="1440"/>
      </w:pPr>
      <w:rPr>
        <w:rFonts w:hint="default"/>
        <w:i/>
      </w:rPr>
    </w:lvl>
    <w:lvl w:ilvl="7">
      <w:start w:val="1"/>
      <w:numFmt w:val="decimal"/>
      <w:lvlText w:val="%1.%2.%3.%4.%5.%6.%7.%8"/>
      <w:lvlJc w:val="left"/>
      <w:pPr>
        <w:ind w:left="6480" w:hanging="1440"/>
      </w:pPr>
      <w:rPr>
        <w:rFonts w:hint="default"/>
        <w:i/>
      </w:rPr>
    </w:lvl>
    <w:lvl w:ilvl="8">
      <w:start w:val="1"/>
      <w:numFmt w:val="decimal"/>
      <w:lvlText w:val="%1.%2.%3.%4.%5.%6.%7.%8.%9"/>
      <w:lvlJc w:val="left"/>
      <w:pPr>
        <w:ind w:left="7200" w:hanging="1440"/>
      </w:pPr>
      <w:rPr>
        <w:rFonts w:hint="default"/>
        <w:i/>
      </w:rPr>
    </w:lvl>
  </w:abstractNum>
  <w:abstractNum w:abstractNumId="63" w15:restartNumberingAfterBreak="0">
    <w:nsid w:val="4E58406E"/>
    <w:multiLevelType w:val="hybridMultilevel"/>
    <w:tmpl w:val="10B8C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EFC7177"/>
    <w:multiLevelType w:val="hybridMultilevel"/>
    <w:tmpl w:val="84924CEE"/>
    <w:lvl w:ilvl="0" w:tplc="EECCA9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02C00FF"/>
    <w:multiLevelType w:val="multilevel"/>
    <w:tmpl w:val="87126860"/>
    <w:lvl w:ilvl="0">
      <w:start w:val="497"/>
      <w:numFmt w:val="decimal"/>
      <w:lvlText w:val="%1."/>
      <w:lvlJc w:val="left"/>
      <w:pPr>
        <w:ind w:left="0" w:firstLine="0"/>
      </w:pPr>
      <w:rPr>
        <w:rFonts w:ascii="Times New Roman" w:hAnsi="Times New Roman" w:cs="Times New Roman" w:hint="default"/>
        <w:b w:val="0"/>
        <w:i w:val="0"/>
        <w:color w:val="000000"/>
        <w:position w:val="0"/>
        <w:sz w:val="22"/>
        <w:szCs w:val="22"/>
      </w:rPr>
    </w:lvl>
    <w:lvl w:ilvl="1">
      <w:start w:val="1"/>
      <w:numFmt w:val="lowerLetter"/>
      <w:lvlText w:val="(%2)"/>
      <w:lvlJc w:val="left"/>
      <w:pPr>
        <w:ind w:left="0" w:firstLine="0"/>
      </w:pPr>
      <w:rPr>
        <w:rFonts w:hint="default"/>
        <w:b w:val="0"/>
        <w:color w:val="000000"/>
        <w:position w:val="0"/>
      </w:rPr>
    </w:lvl>
    <w:lvl w:ilvl="2">
      <w:start w:val="1"/>
      <w:numFmt w:val="lowerRoman"/>
      <w:lvlText w:val="(%3)"/>
      <w:lvlJc w:val="left"/>
      <w:pPr>
        <w:ind w:left="0" w:firstLine="0"/>
      </w:pPr>
      <w:rPr>
        <w:rFonts w:hint="default"/>
        <w:color w:val="000000"/>
        <w:position w:val="0"/>
      </w:rPr>
    </w:lvl>
    <w:lvl w:ilvl="3">
      <w:start w:val="1"/>
      <w:numFmt w:val="bullet"/>
      <w:lvlText w:val="•"/>
      <w:lvlJc w:val="left"/>
      <w:pPr>
        <w:ind w:left="0" w:firstLine="0"/>
      </w:pPr>
      <w:rPr>
        <w:rFonts w:hint="default"/>
        <w:color w:val="000000"/>
        <w:position w:val="0"/>
      </w:rPr>
    </w:lvl>
    <w:lvl w:ilvl="4">
      <w:start w:val="1"/>
      <w:numFmt w:val="lowerLetter"/>
      <w:lvlText w:val="(%5)"/>
      <w:lvlJc w:val="left"/>
      <w:pPr>
        <w:ind w:left="0" w:firstLine="0"/>
      </w:pPr>
      <w:rPr>
        <w:rFonts w:hint="default"/>
        <w:color w:val="000000"/>
        <w:position w:val="0"/>
      </w:rPr>
    </w:lvl>
    <w:lvl w:ilvl="5">
      <w:start w:val="1"/>
      <w:numFmt w:val="lowerRoman"/>
      <w:lvlText w:val="(%6)"/>
      <w:lvlJc w:val="left"/>
      <w:pPr>
        <w:ind w:left="0" w:firstLine="0"/>
      </w:pPr>
      <w:rPr>
        <w:rFonts w:hint="default"/>
        <w:color w:val="000000"/>
        <w:position w:val="0"/>
      </w:rPr>
    </w:lvl>
    <w:lvl w:ilvl="6">
      <w:start w:val="3"/>
      <w:numFmt w:val="decimal"/>
      <w:lvlText w:val="%7."/>
      <w:lvlJc w:val="left"/>
      <w:pPr>
        <w:ind w:left="0" w:firstLine="0"/>
      </w:pPr>
      <w:rPr>
        <w:rFonts w:hint="default"/>
        <w:b/>
        <w:i w:val="0"/>
        <w:iCs/>
        <w:color w:val="000000"/>
        <w:position w:val="0"/>
      </w:rPr>
    </w:lvl>
    <w:lvl w:ilvl="7">
      <w:start w:val="1"/>
      <w:numFmt w:val="lowerLetter"/>
      <w:lvlText w:val="%8."/>
      <w:lvlJc w:val="left"/>
      <w:pPr>
        <w:ind w:left="0" w:firstLine="0"/>
      </w:pPr>
      <w:rPr>
        <w:rFonts w:hint="default"/>
        <w:color w:val="000000"/>
        <w:position w:val="0"/>
      </w:rPr>
    </w:lvl>
    <w:lvl w:ilvl="8">
      <w:start w:val="1"/>
      <w:numFmt w:val="lowerRoman"/>
      <w:lvlText w:val="%9."/>
      <w:lvlJc w:val="left"/>
      <w:pPr>
        <w:ind w:left="0" w:firstLine="0"/>
      </w:pPr>
      <w:rPr>
        <w:rFonts w:hint="default"/>
        <w:color w:val="000000"/>
        <w:position w:val="0"/>
      </w:rPr>
    </w:lvl>
  </w:abstractNum>
  <w:abstractNum w:abstractNumId="66" w15:restartNumberingAfterBreak="0">
    <w:nsid w:val="54243FC6"/>
    <w:multiLevelType w:val="hybridMultilevel"/>
    <w:tmpl w:val="84924CEE"/>
    <w:lvl w:ilvl="0" w:tplc="EECCA9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48E19D9"/>
    <w:multiLevelType w:val="multilevel"/>
    <w:tmpl w:val="FF481BA0"/>
    <w:lvl w:ilvl="0">
      <w:start w:val="4"/>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i/>
        <w:color w:val="auto"/>
      </w:rPr>
    </w:lvl>
    <w:lvl w:ilvl="2">
      <w:start w:val="1"/>
      <w:numFmt w:val="decimal"/>
      <w:isLgl/>
      <w:lvlText w:val="%1.%2.%3"/>
      <w:lvlJc w:val="left"/>
      <w:pPr>
        <w:ind w:left="1080" w:hanging="720"/>
      </w:pPr>
      <w:rPr>
        <w:rFonts w:hint="default"/>
        <w:i/>
        <w:color w:val="auto"/>
      </w:rPr>
    </w:lvl>
    <w:lvl w:ilvl="3">
      <w:start w:val="1"/>
      <w:numFmt w:val="decimal"/>
      <w:isLgl/>
      <w:lvlText w:val="%1.%2.%3.%4"/>
      <w:lvlJc w:val="left"/>
      <w:pPr>
        <w:ind w:left="1080" w:hanging="720"/>
      </w:pPr>
      <w:rPr>
        <w:rFonts w:hint="default"/>
        <w:i/>
        <w:color w:val="auto"/>
      </w:rPr>
    </w:lvl>
    <w:lvl w:ilvl="4">
      <w:start w:val="1"/>
      <w:numFmt w:val="decimal"/>
      <w:isLgl/>
      <w:lvlText w:val="%1.%2.%3.%4.%5"/>
      <w:lvlJc w:val="left"/>
      <w:pPr>
        <w:ind w:left="1440" w:hanging="1080"/>
      </w:pPr>
      <w:rPr>
        <w:rFonts w:hint="default"/>
        <w:i/>
        <w:color w:val="auto"/>
      </w:rPr>
    </w:lvl>
    <w:lvl w:ilvl="5">
      <w:start w:val="1"/>
      <w:numFmt w:val="decimal"/>
      <w:isLgl/>
      <w:lvlText w:val="%1.%2.%3.%4.%5.%6"/>
      <w:lvlJc w:val="left"/>
      <w:pPr>
        <w:ind w:left="1440" w:hanging="1080"/>
      </w:pPr>
      <w:rPr>
        <w:rFonts w:hint="default"/>
        <w:i/>
        <w:color w:val="auto"/>
      </w:rPr>
    </w:lvl>
    <w:lvl w:ilvl="6">
      <w:start w:val="1"/>
      <w:numFmt w:val="decimal"/>
      <w:isLgl/>
      <w:lvlText w:val="%1.%2.%3.%4.%5.%6.%7"/>
      <w:lvlJc w:val="left"/>
      <w:pPr>
        <w:ind w:left="1800" w:hanging="1440"/>
      </w:pPr>
      <w:rPr>
        <w:rFonts w:hint="default"/>
        <w:i/>
        <w:color w:val="auto"/>
      </w:rPr>
    </w:lvl>
    <w:lvl w:ilvl="7">
      <w:start w:val="1"/>
      <w:numFmt w:val="decimal"/>
      <w:isLgl/>
      <w:lvlText w:val="%1.%2.%3.%4.%5.%6.%7.%8"/>
      <w:lvlJc w:val="left"/>
      <w:pPr>
        <w:ind w:left="1800" w:hanging="1440"/>
      </w:pPr>
      <w:rPr>
        <w:rFonts w:hint="default"/>
        <w:i/>
        <w:color w:val="auto"/>
      </w:rPr>
    </w:lvl>
    <w:lvl w:ilvl="8">
      <w:start w:val="1"/>
      <w:numFmt w:val="decimal"/>
      <w:isLgl/>
      <w:lvlText w:val="%1.%2.%3.%4.%5.%6.%7.%8.%9"/>
      <w:lvlJc w:val="left"/>
      <w:pPr>
        <w:ind w:left="1800" w:hanging="1440"/>
      </w:pPr>
      <w:rPr>
        <w:rFonts w:hint="default"/>
        <w:i/>
        <w:color w:val="auto"/>
      </w:rPr>
    </w:lvl>
  </w:abstractNum>
  <w:abstractNum w:abstractNumId="68" w15:restartNumberingAfterBreak="0">
    <w:nsid w:val="560C61E7"/>
    <w:multiLevelType w:val="multilevel"/>
    <w:tmpl w:val="C930EC32"/>
    <w:lvl w:ilvl="0">
      <w:start w:val="1"/>
      <w:numFmt w:val="decimal"/>
      <w:lvlText w:val="%1."/>
      <w:lvlJc w:val="left"/>
      <w:pPr>
        <w:tabs>
          <w:tab w:val="num" w:pos="360"/>
        </w:tabs>
        <w:ind w:left="0" w:firstLine="0"/>
      </w:pPr>
      <w:rPr>
        <w:rFonts w:ascii="Times New Roman" w:hAnsi="Times New Roman" w:hint="default"/>
        <w:b w:val="0"/>
        <w:i w:val="0"/>
        <w:sz w:val="22"/>
        <w:lang w:val="en-US"/>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15:restartNumberingAfterBreak="0">
    <w:nsid w:val="56471A62"/>
    <w:multiLevelType w:val="multilevel"/>
    <w:tmpl w:val="C77C896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0" w15:restartNumberingAfterBreak="0">
    <w:nsid w:val="5D653245"/>
    <w:multiLevelType w:val="multilevel"/>
    <w:tmpl w:val="FBB8785A"/>
    <w:lvl w:ilvl="0">
      <w:start w:val="498"/>
      <w:numFmt w:val="decimal"/>
      <w:lvlText w:val="%1."/>
      <w:lvlJc w:val="left"/>
      <w:pPr>
        <w:ind w:left="0" w:firstLine="0"/>
      </w:pPr>
      <w:rPr>
        <w:rFonts w:ascii="Times New Roman" w:hAnsi="Times New Roman" w:cs="Times New Roman" w:hint="default"/>
        <w:b w:val="0"/>
        <w:i w:val="0"/>
        <w:color w:val="000000"/>
        <w:position w:val="0"/>
        <w:sz w:val="22"/>
        <w:szCs w:val="22"/>
      </w:rPr>
    </w:lvl>
    <w:lvl w:ilvl="1">
      <w:start w:val="1"/>
      <w:numFmt w:val="lowerLetter"/>
      <w:lvlText w:val="(%2)"/>
      <w:lvlJc w:val="left"/>
      <w:pPr>
        <w:ind w:left="0" w:firstLine="0"/>
      </w:pPr>
      <w:rPr>
        <w:rFonts w:hint="default"/>
        <w:b w:val="0"/>
        <w:color w:val="000000"/>
        <w:position w:val="0"/>
      </w:rPr>
    </w:lvl>
    <w:lvl w:ilvl="2">
      <w:start w:val="1"/>
      <w:numFmt w:val="lowerRoman"/>
      <w:lvlText w:val="(%3)"/>
      <w:lvlJc w:val="left"/>
      <w:pPr>
        <w:ind w:left="0" w:firstLine="0"/>
      </w:pPr>
      <w:rPr>
        <w:rFonts w:hint="default"/>
        <w:color w:val="000000"/>
        <w:position w:val="0"/>
      </w:rPr>
    </w:lvl>
    <w:lvl w:ilvl="3">
      <w:start w:val="1"/>
      <w:numFmt w:val="bullet"/>
      <w:lvlText w:val="•"/>
      <w:lvlJc w:val="left"/>
      <w:pPr>
        <w:ind w:left="0" w:firstLine="0"/>
      </w:pPr>
      <w:rPr>
        <w:rFonts w:hint="default"/>
        <w:color w:val="000000"/>
        <w:position w:val="0"/>
      </w:rPr>
    </w:lvl>
    <w:lvl w:ilvl="4">
      <w:start w:val="1"/>
      <w:numFmt w:val="lowerLetter"/>
      <w:lvlText w:val="(%5)"/>
      <w:lvlJc w:val="left"/>
      <w:pPr>
        <w:ind w:left="0" w:firstLine="0"/>
      </w:pPr>
      <w:rPr>
        <w:rFonts w:hint="default"/>
        <w:color w:val="000000"/>
        <w:position w:val="0"/>
      </w:rPr>
    </w:lvl>
    <w:lvl w:ilvl="5">
      <w:start w:val="1"/>
      <w:numFmt w:val="lowerRoman"/>
      <w:lvlText w:val="(%6)"/>
      <w:lvlJc w:val="left"/>
      <w:pPr>
        <w:ind w:left="0" w:firstLine="0"/>
      </w:pPr>
      <w:rPr>
        <w:rFonts w:hint="default"/>
        <w:color w:val="000000"/>
        <w:position w:val="0"/>
      </w:rPr>
    </w:lvl>
    <w:lvl w:ilvl="6">
      <w:start w:val="4"/>
      <w:numFmt w:val="decimal"/>
      <w:lvlText w:val="%7."/>
      <w:lvlJc w:val="left"/>
      <w:pPr>
        <w:ind w:left="0" w:firstLine="0"/>
      </w:pPr>
      <w:rPr>
        <w:rFonts w:hint="default"/>
        <w:b/>
        <w:i w:val="0"/>
        <w:iCs/>
        <w:color w:val="000000"/>
        <w:position w:val="0"/>
      </w:rPr>
    </w:lvl>
    <w:lvl w:ilvl="7">
      <w:start w:val="1"/>
      <w:numFmt w:val="lowerLetter"/>
      <w:lvlText w:val="%8."/>
      <w:lvlJc w:val="left"/>
      <w:pPr>
        <w:ind w:left="0" w:firstLine="0"/>
      </w:pPr>
      <w:rPr>
        <w:rFonts w:hint="default"/>
        <w:color w:val="000000"/>
        <w:position w:val="0"/>
      </w:rPr>
    </w:lvl>
    <w:lvl w:ilvl="8">
      <w:start w:val="1"/>
      <w:numFmt w:val="lowerRoman"/>
      <w:lvlText w:val="%9."/>
      <w:lvlJc w:val="left"/>
      <w:pPr>
        <w:ind w:left="0" w:firstLine="0"/>
      </w:pPr>
      <w:rPr>
        <w:rFonts w:hint="default"/>
        <w:color w:val="000000"/>
        <w:position w:val="0"/>
      </w:rPr>
    </w:lvl>
  </w:abstractNum>
  <w:abstractNum w:abstractNumId="71" w15:restartNumberingAfterBreak="0">
    <w:nsid w:val="5E287E91"/>
    <w:multiLevelType w:val="multilevel"/>
    <w:tmpl w:val="C930EC32"/>
    <w:lvl w:ilvl="0">
      <w:start w:val="1"/>
      <w:numFmt w:val="decimal"/>
      <w:lvlText w:val="%1."/>
      <w:lvlJc w:val="left"/>
      <w:pPr>
        <w:tabs>
          <w:tab w:val="num" w:pos="360"/>
        </w:tabs>
        <w:ind w:left="0" w:firstLine="0"/>
      </w:pPr>
      <w:rPr>
        <w:rFonts w:ascii="Times New Roman" w:hAnsi="Times New Roman" w:hint="default"/>
        <w:b w:val="0"/>
        <w:i w:val="0"/>
        <w:sz w:val="22"/>
        <w:lang w:val="en-US"/>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15:restartNumberingAfterBreak="0">
    <w:nsid w:val="614734AD"/>
    <w:multiLevelType w:val="multilevel"/>
    <w:tmpl w:val="1212B94C"/>
    <w:styleLink w:val="List21"/>
    <w:lvl w:ilvl="0">
      <w:start w:val="1"/>
      <w:numFmt w:val="upp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73" w15:restartNumberingAfterBreak="0">
    <w:nsid w:val="62786F8D"/>
    <w:multiLevelType w:val="hybridMultilevel"/>
    <w:tmpl w:val="A72825CA"/>
    <w:lvl w:ilvl="0" w:tplc="088678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3533396"/>
    <w:multiLevelType w:val="hybridMultilevel"/>
    <w:tmpl w:val="84924CEE"/>
    <w:lvl w:ilvl="0" w:tplc="EECCA9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4293B6A"/>
    <w:multiLevelType w:val="multilevel"/>
    <w:tmpl w:val="3C887C94"/>
    <w:lvl w:ilvl="0">
      <w:start w:val="1"/>
      <w:numFmt w:val="decimal"/>
      <w:lvlText w:val="%1."/>
      <w:lvlJc w:val="left"/>
      <w:pPr>
        <w:ind w:left="0" w:firstLine="0"/>
      </w:pPr>
      <w:rPr>
        <w:rFonts w:hint="default"/>
        <w:color w:val="000000"/>
        <w:position w:val="0"/>
      </w:rPr>
    </w:lvl>
    <w:lvl w:ilvl="1">
      <w:start w:val="2"/>
      <w:numFmt w:val="lowerLetter"/>
      <w:lvlText w:val="(%2)"/>
      <w:lvlJc w:val="left"/>
      <w:pPr>
        <w:ind w:left="0" w:firstLine="0"/>
      </w:pPr>
      <w:rPr>
        <w:rFonts w:hint="default"/>
        <w:color w:val="000000"/>
        <w:position w:val="0"/>
      </w:rPr>
    </w:lvl>
    <w:lvl w:ilvl="2">
      <w:start w:val="1"/>
      <w:numFmt w:val="lowerRoman"/>
      <w:lvlText w:val="(%3)"/>
      <w:lvlJc w:val="left"/>
      <w:pPr>
        <w:ind w:left="0" w:firstLine="0"/>
      </w:pPr>
      <w:rPr>
        <w:rFonts w:hint="default"/>
        <w:color w:val="000000"/>
        <w:position w:val="0"/>
      </w:rPr>
    </w:lvl>
    <w:lvl w:ilvl="3">
      <w:start w:val="1"/>
      <w:numFmt w:val="bullet"/>
      <w:lvlText w:val="•"/>
      <w:lvlJc w:val="left"/>
      <w:pPr>
        <w:ind w:left="0" w:firstLine="0"/>
      </w:pPr>
      <w:rPr>
        <w:rFonts w:hint="default"/>
        <w:color w:val="000000"/>
        <w:position w:val="0"/>
      </w:rPr>
    </w:lvl>
    <w:lvl w:ilvl="4">
      <w:start w:val="1"/>
      <w:numFmt w:val="lowerLetter"/>
      <w:lvlText w:val="(%5)"/>
      <w:lvlJc w:val="left"/>
      <w:pPr>
        <w:ind w:left="0" w:firstLine="0"/>
      </w:pPr>
      <w:rPr>
        <w:rFonts w:hint="default"/>
        <w:color w:val="000000"/>
        <w:position w:val="0"/>
      </w:rPr>
    </w:lvl>
    <w:lvl w:ilvl="5">
      <w:start w:val="1"/>
      <w:numFmt w:val="lowerRoman"/>
      <w:lvlText w:val="(%6)"/>
      <w:lvlJc w:val="left"/>
      <w:pPr>
        <w:ind w:left="0" w:firstLine="0"/>
      </w:pPr>
      <w:rPr>
        <w:rFonts w:hint="default"/>
        <w:color w:val="000000"/>
        <w:position w:val="0"/>
      </w:rPr>
    </w:lvl>
    <w:lvl w:ilvl="6">
      <w:start w:val="1"/>
      <w:numFmt w:val="decimal"/>
      <w:lvlText w:val="%7."/>
      <w:lvlJc w:val="left"/>
      <w:pPr>
        <w:ind w:left="0" w:firstLine="0"/>
      </w:pPr>
      <w:rPr>
        <w:rFonts w:hint="default"/>
        <w:color w:val="000000"/>
        <w:position w:val="0"/>
      </w:rPr>
    </w:lvl>
    <w:lvl w:ilvl="7">
      <w:start w:val="1"/>
      <w:numFmt w:val="lowerLetter"/>
      <w:lvlText w:val="%8."/>
      <w:lvlJc w:val="left"/>
      <w:pPr>
        <w:ind w:left="0" w:firstLine="0"/>
      </w:pPr>
      <w:rPr>
        <w:rFonts w:hint="default"/>
        <w:color w:val="000000"/>
        <w:position w:val="0"/>
      </w:rPr>
    </w:lvl>
    <w:lvl w:ilvl="8">
      <w:start w:val="1"/>
      <w:numFmt w:val="lowerRoman"/>
      <w:lvlText w:val="%9."/>
      <w:lvlJc w:val="left"/>
      <w:pPr>
        <w:ind w:left="0" w:firstLine="0"/>
      </w:pPr>
      <w:rPr>
        <w:rFonts w:hint="default"/>
        <w:color w:val="000000"/>
        <w:position w:val="0"/>
      </w:rPr>
    </w:lvl>
  </w:abstractNum>
  <w:abstractNum w:abstractNumId="76" w15:restartNumberingAfterBreak="0">
    <w:nsid w:val="656B7AF5"/>
    <w:multiLevelType w:val="hybridMultilevel"/>
    <w:tmpl w:val="AFF82D80"/>
    <w:lvl w:ilvl="0" w:tplc="EC68DE8C">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7" w15:restartNumberingAfterBreak="0">
    <w:nsid w:val="696B6C75"/>
    <w:multiLevelType w:val="multilevel"/>
    <w:tmpl w:val="92960DB8"/>
    <w:lvl w:ilvl="0">
      <w:start w:val="2"/>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i/>
        <w:color w:val="auto"/>
      </w:rPr>
    </w:lvl>
    <w:lvl w:ilvl="2">
      <w:start w:val="1"/>
      <w:numFmt w:val="decimal"/>
      <w:isLgl/>
      <w:lvlText w:val="%1.%2.%3"/>
      <w:lvlJc w:val="left"/>
      <w:pPr>
        <w:ind w:left="1080" w:hanging="720"/>
      </w:pPr>
      <w:rPr>
        <w:rFonts w:hint="default"/>
        <w:i/>
        <w:color w:val="auto"/>
      </w:rPr>
    </w:lvl>
    <w:lvl w:ilvl="3">
      <w:start w:val="1"/>
      <w:numFmt w:val="decimal"/>
      <w:isLgl/>
      <w:lvlText w:val="%1.%2.%3.%4"/>
      <w:lvlJc w:val="left"/>
      <w:pPr>
        <w:ind w:left="1080" w:hanging="720"/>
      </w:pPr>
      <w:rPr>
        <w:rFonts w:hint="default"/>
        <w:i/>
        <w:color w:val="auto"/>
      </w:rPr>
    </w:lvl>
    <w:lvl w:ilvl="4">
      <w:start w:val="1"/>
      <w:numFmt w:val="decimal"/>
      <w:isLgl/>
      <w:lvlText w:val="%1.%2.%3.%4.%5"/>
      <w:lvlJc w:val="left"/>
      <w:pPr>
        <w:ind w:left="1440" w:hanging="1080"/>
      </w:pPr>
      <w:rPr>
        <w:rFonts w:hint="default"/>
        <w:i/>
        <w:color w:val="auto"/>
      </w:rPr>
    </w:lvl>
    <w:lvl w:ilvl="5">
      <w:start w:val="1"/>
      <w:numFmt w:val="decimal"/>
      <w:isLgl/>
      <w:lvlText w:val="%1.%2.%3.%4.%5.%6"/>
      <w:lvlJc w:val="left"/>
      <w:pPr>
        <w:ind w:left="1440" w:hanging="1080"/>
      </w:pPr>
      <w:rPr>
        <w:rFonts w:hint="default"/>
        <w:i/>
        <w:color w:val="auto"/>
      </w:rPr>
    </w:lvl>
    <w:lvl w:ilvl="6">
      <w:start w:val="1"/>
      <w:numFmt w:val="decimal"/>
      <w:isLgl/>
      <w:lvlText w:val="%1.%2.%3.%4.%5.%6.%7"/>
      <w:lvlJc w:val="left"/>
      <w:pPr>
        <w:ind w:left="1800" w:hanging="1440"/>
      </w:pPr>
      <w:rPr>
        <w:rFonts w:hint="default"/>
        <w:i/>
        <w:color w:val="auto"/>
      </w:rPr>
    </w:lvl>
    <w:lvl w:ilvl="7">
      <w:start w:val="1"/>
      <w:numFmt w:val="decimal"/>
      <w:isLgl/>
      <w:lvlText w:val="%1.%2.%3.%4.%5.%6.%7.%8"/>
      <w:lvlJc w:val="left"/>
      <w:pPr>
        <w:ind w:left="1800" w:hanging="1440"/>
      </w:pPr>
      <w:rPr>
        <w:rFonts w:hint="default"/>
        <w:i/>
        <w:color w:val="auto"/>
      </w:rPr>
    </w:lvl>
    <w:lvl w:ilvl="8">
      <w:start w:val="1"/>
      <w:numFmt w:val="decimal"/>
      <w:isLgl/>
      <w:lvlText w:val="%1.%2.%3.%4.%5.%6.%7.%8.%9"/>
      <w:lvlJc w:val="left"/>
      <w:pPr>
        <w:ind w:left="1800" w:hanging="1440"/>
      </w:pPr>
      <w:rPr>
        <w:rFonts w:hint="default"/>
        <w:i/>
        <w:color w:val="auto"/>
      </w:rPr>
    </w:lvl>
  </w:abstractNum>
  <w:abstractNum w:abstractNumId="78" w15:restartNumberingAfterBreak="0">
    <w:nsid w:val="6A267042"/>
    <w:multiLevelType w:val="multilevel"/>
    <w:tmpl w:val="C930EC32"/>
    <w:lvl w:ilvl="0">
      <w:start w:val="1"/>
      <w:numFmt w:val="decimal"/>
      <w:lvlText w:val="%1."/>
      <w:lvlJc w:val="left"/>
      <w:pPr>
        <w:tabs>
          <w:tab w:val="num" w:pos="360"/>
        </w:tabs>
        <w:ind w:left="0" w:firstLine="0"/>
      </w:pPr>
      <w:rPr>
        <w:rFonts w:ascii="Times New Roman" w:hAnsi="Times New Roman" w:hint="default"/>
        <w:b w:val="0"/>
        <w:i w:val="0"/>
        <w:sz w:val="22"/>
        <w:lang w:val="en-US"/>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9" w15:restartNumberingAfterBreak="0">
    <w:nsid w:val="6D0F1590"/>
    <w:multiLevelType w:val="hybridMultilevel"/>
    <w:tmpl w:val="EC086F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E81120F"/>
    <w:multiLevelType w:val="multilevel"/>
    <w:tmpl w:val="C930EC32"/>
    <w:lvl w:ilvl="0">
      <w:start w:val="1"/>
      <w:numFmt w:val="decimal"/>
      <w:lvlText w:val="%1."/>
      <w:lvlJc w:val="left"/>
      <w:pPr>
        <w:tabs>
          <w:tab w:val="num" w:pos="360"/>
        </w:tabs>
        <w:ind w:left="0" w:firstLine="0"/>
      </w:pPr>
      <w:rPr>
        <w:rFonts w:ascii="Times New Roman" w:hAnsi="Times New Roman" w:hint="default"/>
        <w:b w:val="0"/>
        <w:i w:val="0"/>
        <w:sz w:val="22"/>
        <w:lang w:val="en-US"/>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15:restartNumberingAfterBreak="0">
    <w:nsid w:val="6F2956A8"/>
    <w:multiLevelType w:val="multilevel"/>
    <w:tmpl w:val="F3F2107A"/>
    <w:lvl w:ilvl="0">
      <w:start w:val="1"/>
      <w:numFmt w:val="decimal"/>
      <w:lvlText w:val="%1."/>
      <w:lvlJc w:val="left"/>
      <w:rPr>
        <w:color w:val="000000"/>
        <w:position w:val="0"/>
        <w:rtl w:val="0"/>
      </w:rPr>
    </w:lvl>
    <w:lvl w:ilvl="1">
      <w:start w:val="1"/>
      <w:numFmt w:val="lowerLetter"/>
      <w:lvlText w:val="(%2)"/>
      <w:lvlJc w:val="left"/>
      <w:rPr>
        <w:color w:val="000000"/>
        <w:position w:val="0"/>
        <w:rtl w:val="0"/>
      </w:rPr>
    </w:lvl>
    <w:lvl w:ilvl="2">
      <w:start w:val="1"/>
      <w:numFmt w:val="lowerRoman"/>
      <w:lvlText w:val="(%3)"/>
      <w:lvlJc w:val="left"/>
      <w:rPr>
        <w:color w:val="000000"/>
        <w:position w:val="0"/>
        <w:rtl w:val="0"/>
      </w:rPr>
    </w:lvl>
    <w:lvl w:ilvl="3">
      <w:start w:val="1"/>
      <w:numFmt w:val="bullet"/>
      <w:lvlText w:val="•"/>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82" w15:restartNumberingAfterBreak="0">
    <w:nsid w:val="703D2236"/>
    <w:multiLevelType w:val="multilevel"/>
    <w:tmpl w:val="683C3B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3" w15:restartNumberingAfterBreak="0">
    <w:nsid w:val="743A2F77"/>
    <w:multiLevelType w:val="hybridMultilevel"/>
    <w:tmpl w:val="A4DE7F8A"/>
    <w:lvl w:ilvl="0" w:tplc="55FE7F5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51B5E8F"/>
    <w:multiLevelType w:val="hybridMultilevel"/>
    <w:tmpl w:val="33546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7303B76"/>
    <w:multiLevelType w:val="multilevel"/>
    <w:tmpl w:val="45487084"/>
    <w:lvl w:ilvl="0">
      <w:start w:val="280"/>
      <w:numFmt w:val="decimal"/>
      <w:lvlText w:val="%1."/>
      <w:lvlJc w:val="left"/>
      <w:pPr>
        <w:ind w:left="0" w:firstLine="0"/>
      </w:pPr>
      <w:rPr>
        <w:rFonts w:ascii="Times New Roman" w:hAnsi="Times New Roman" w:cs="Times New Roman" w:hint="default"/>
        <w:b w:val="0"/>
        <w:i w:val="0"/>
        <w:color w:val="000000"/>
        <w:position w:val="0"/>
        <w:sz w:val="22"/>
        <w:szCs w:val="22"/>
      </w:rPr>
    </w:lvl>
    <w:lvl w:ilvl="1">
      <w:start w:val="3"/>
      <w:numFmt w:val="lowerLetter"/>
      <w:lvlText w:val="(%2)"/>
      <w:lvlJc w:val="left"/>
      <w:pPr>
        <w:ind w:left="0" w:firstLine="0"/>
      </w:pPr>
      <w:rPr>
        <w:rFonts w:hint="default"/>
        <w:b w:val="0"/>
        <w:color w:val="000000"/>
        <w:position w:val="0"/>
      </w:rPr>
    </w:lvl>
    <w:lvl w:ilvl="2">
      <w:start w:val="1"/>
      <w:numFmt w:val="lowerRoman"/>
      <w:lvlText w:val="(%3)"/>
      <w:lvlJc w:val="left"/>
      <w:pPr>
        <w:ind w:left="0" w:firstLine="0"/>
      </w:pPr>
      <w:rPr>
        <w:rFonts w:hint="default"/>
        <w:color w:val="000000"/>
        <w:position w:val="0"/>
      </w:rPr>
    </w:lvl>
    <w:lvl w:ilvl="3">
      <w:start w:val="1"/>
      <w:numFmt w:val="bullet"/>
      <w:lvlText w:val="•"/>
      <w:lvlJc w:val="left"/>
      <w:pPr>
        <w:ind w:left="0" w:firstLine="0"/>
      </w:pPr>
      <w:rPr>
        <w:rFonts w:hint="default"/>
        <w:color w:val="000000"/>
        <w:position w:val="0"/>
      </w:rPr>
    </w:lvl>
    <w:lvl w:ilvl="4">
      <w:start w:val="1"/>
      <w:numFmt w:val="lowerLetter"/>
      <w:lvlText w:val="(%5)"/>
      <w:lvlJc w:val="left"/>
      <w:pPr>
        <w:ind w:left="0" w:firstLine="0"/>
      </w:pPr>
      <w:rPr>
        <w:rFonts w:hint="default"/>
        <w:color w:val="000000"/>
        <w:position w:val="0"/>
      </w:rPr>
    </w:lvl>
    <w:lvl w:ilvl="5">
      <w:start w:val="1"/>
      <w:numFmt w:val="lowerRoman"/>
      <w:lvlText w:val="(%6)"/>
      <w:lvlJc w:val="left"/>
      <w:pPr>
        <w:ind w:left="0" w:firstLine="0"/>
      </w:pPr>
      <w:rPr>
        <w:rFonts w:hint="default"/>
        <w:color w:val="000000"/>
        <w:position w:val="0"/>
      </w:rPr>
    </w:lvl>
    <w:lvl w:ilvl="6">
      <w:start w:val="1"/>
      <w:numFmt w:val="decimal"/>
      <w:lvlText w:val="%7."/>
      <w:lvlJc w:val="left"/>
      <w:pPr>
        <w:ind w:left="0" w:firstLine="0"/>
      </w:pPr>
      <w:rPr>
        <w:rFonts w:hint="default"/>
        <w:b/>
        <w:i/>
        <w:iCs/>
        <w:color w:val="000000"/>
        <w:position w:val="0"/>
      </w:rPr>
    </w:lvl>
    <w:lvl w:ilvl="7">
      <w:start w:val="1"/>
      <w:numFmt w:val="lowerLetter"/>
      <w:lvlText w:val="%8."/>
      <w:lvlJc w:val="left"/>
      <w:pPr>
        <w:ind w:left="0" w:firstLine="0"/>
      </w:pPr>
      <w:rPr>
        <w:rFonts w:hint="default"/>
        <w:color w:val="000000"/>
        <w:position w:val="0"/>
      </w:rPr>
    </w:lvl>
    <w:lvl w:ilvl="8">
      <w:start w:val="1"/>
      <w:numFmt w:val="lowerRoman"/>
      <w:lvlText w:val="%9."/>
      <w:lvlJc w:val="left"/>
      <w:pPr>
        <w:ind w:left="0" w:firstLine="0"/>
      </w:pPr>
      <w:rPr>
        <w:rFonts w:hint="default"/>
        <w:color w:val="000000"/>
        <w:position w:val="0"/>
      </w:rPr>
    </w:lvl>
  </w:abstractNum>
  <w:abstractNum w:abstractNumId="86" w15:restartNumberingAfterBreak="0">
    <w:nsid w:val="77413C98"/>
    <w:multiLevelType w:val="hybridMultilevel"/>
    <w:tmpl w:val="73702240"/>
    <w:lvl w:ilvl="0" w:tplc="9F3A23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AF97C43"/>
    <w:multiLevelType w:val="hybridMultilevel"/>
    <w:tmpl w:val="1D56D56E"/>
    <w:lvl w:ilvl="0" w:tplc="6DFCCEC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C412462"/>
    <w:multiLevelType w:val="multilevel"/>
    <w:tmpl w:val="107A791C"/>
    <w:styleLink w:val="List0"/>
    <w:lvl w:ilvl="0">
      <w:start w:val="48"/>
      <w:numFmt w:val="decimal"/>
      <w:lvlText w:val="%1."/>
      <w:lvlJc w:val="left"/>
      <w:rPr>
        <w:color w:val="000000"/>
        <w:position w:val="0"/>
        <w:rtl w:val="0"/>
      </w:rPr>
    </w:lvl>
    <w:lvl w:ilvl="1">
      <w:start w:val="1"/>
      <w:numFmt w:val="lowerLetter"/>
      <w:lvlText w:val="(%2)"/>
      <w:lvlJc w:val="left"/>
      <w:rPr>
        <w:color w:val="000000"/>
        <w:position w:val="0"/>
        <w:rtl w:val="0"/>
      </w:rPr>
    </w:lvl>
    <w:lvl w:ilvl="2">
      <w:start w:val="1"/>
      <w:numFmt w:val="lowerRoman"/>
      <w:lvlText w:val="(%3)"/>
      <w:lvlJc w:val="left"/>
      <w:rPr>
        <w:color w:val="000000"/>
        <w:position w:val="0"/>
        <w:rtl w:val="0"/>
      </w:rPr>
    </w:lvl>
    <w:lvl w:ilvl="3">
      <w:start w:val="1"/>
      <w:numFmt w:val="bullet"/>
      <w:lvlText w:val="•"/>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89" w15:restartNumberingAfterBreak="0">
    <w:nsid w:val="7CBF6DAF"/>
    <w:multiLevelType w:val="hybridMultilevel"/>
    <w:tmpl w:val="FEE64B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7DED4005"/>
    <w:multiLevelType w:val="multilevel"/>
    <w:tmpl w:val="B3B243E6"/>
    <w:lvl w:ilvl="0">
      <w:start w:val="1"/>
      <w:numFmt w:val="lowerLetter"/>
      <w:lvlText w:val="(%1)"/>
      <w:lvlJc w:val="left"/>
      <w:rPr>
        <w:rFonts w:hint="default"/>
        <w:b w:val="0"/>
        <w:i w:val="0"/>
        <w:color w:val="000000"/>
        <w:position w:val="0"/>
        <w:rtl w:val="0"/>
        <w:lang w:val="en-GB"/>
      </w:rPr>
    </w:lvl>
    <w:lvl w:ilvl="1">
      <w:start w:val="1"/>
      <w:numFmt w:val="lowerLetter"/>
      <w:lvlText w:val="(%2)"/>
      <w:lvlJc w:val="left"/>
      <w:rPr>
        <w:rFonts w:hint="default"/>
        <w:b w:val="0"/>
        <w:color w:val="000000"/>
        <w:position w:val="0"/>
        <w:rtl w:val="0"/>
      </w:rPr>
    </w:lvl>
    <w:lvl w:ilvl="2">
      <w:start w:val="1"/>
      <w:numFmt w:val="lowerRoman"/>
      <w:lvlText w:val="(%3)"/>
      <w:lvlJc w:val="left"/>
      <w:rPr>
        <w:color w:val="000000"/>
        <w:position w:val="0"/>
        <w:rtl w:val="0"/>
      </w:rPr>
    </w:lvl>
    <w:lvl w:ilvl="3">
      <w:start w:val="1"/>
      <w:numFmt w:val="bullet"/>
      <w:lvlText w:val="•"/>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b/>
        <w:i w:val="0"/>
        <w:iCs/>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91" w15:restartNumberingAfterBreak="0">
    <w:nsid w:val="7DEF1C1B"/>
    <w:multiLevelType w:val="multilevel"/>
    <w:tmpl w:val="F3F2107A"/>
    <w:lvl w:ilvl="0">
      <w:start w:val="1"/>
      <w:numFmt w:val="decimal"/>
      <w:lvlText w:val="%1."/>
      <w:lvlJc w:val="left"/>
      <w:rPr>
        <w:color w:val="000000"/>
        <w:position w:val="0"/>
        <w:rtl w:val="0"/>
      </w:rPr>
    </w:lvl>
    <w:lvl w:ilvl="1">
      <w:start w:val="1"/>
      <w:numFmt w:val="lowerLetter"/>
      <w:lvlText w:val="(%2)"/>
      <w:lvlJc w:val="left"/>
      <w:rPr>
        <w:color w:val="000000"/>
        <w:position w:val="0"/>
        <w:rtl w:val="0"/>
      </w:rPr>
    </w:lvl>
    <w:lvl w:ilvl="2">
      <w:start w:val="1"/>
      <w:numFmt w:val="lowerRoman"/>
      <w:lvlText w:val="(%3)"/>
      <w:lvlJc w:val="left"/>
      <w:rPr>
        <w:color w:val="000000"/>
        <w:position w:val="0"/>
        <w:rtl w:val="0"/>
      </w:rPr>
    </w:lvl>
    <w:lvl w:ilvl="3">
      <w:start w:val="1"/>
      <w:numFmt w:val="bullet"/>
      <w:lvlText w:val="•"/>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92" w15:restartNumberingAfterBreak="0">
    <w:nsid w:val="7E37694D"/>
    <w:multiLevelType w:val="hybridMultilevel"/>
    <w:tmpl w:val="9AC4C046"/>
    <w:lvl w:ilvl="0" w:tplc="20ACE48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0"/>
  </w:num>
  <w:num w:numId="2">
    <w:abstractNumId w:val="72"/>
  </w:num>
  <w:num w:numId="3">
    <w:abstractNumId w:val="26"/>
  </w:num>
  <w:num w:numId="4">
    <w:abstractNumId w:val="47"/>
  </w:num>
  <w:num w:numId="5">
    <w:abstractNumId w:val="88"/>
  </w:num>
  <w:num w:numId="6">
    <w:abstractNumId w:val="10"/>
  </w:num>
  <w:num w:numId="7">
    <w:abstractNumId w:val="44"/>
  </w:num>
  <w:num w:numId="8">
    <w:abstractNumId w:val="56"/>
  </w:num>
  <w:num w:numId="9">
    <w:abstractNumId w:val="52"/>
  </w:num>
  <w:num w:numId="10">
    <w:abstractNumId w:val="25"/>
  </w:num>
  <w:num w:numId="11">
    <w:abstractNumId w:val="37"/>
  </w:num>
  <w:num w:numId="12">
    <w:abstractNumId w:val="79"/>
  </w:num>
  <w:num w:numId="13">
    <w:abstractNumId w:val="5"/>
  </w:num>
  <w:num w:numId="14">
    <w:abstractNumId w:val="8"/>
  </w:num>
  <w:num w:numId="15">
    <w:abstractNumId w:val="31"/>
  </w:num>
  <w:num w:numId="16">
    <w:abstractNumId w:val="32"/>
  </w:num>
  <w:num w:numId="17">
    <w:abstractNumId w:val="92"/>
  </w:num>
  <w:num w:numId="18">
    <w:abstractNumId w:val="49"/>
  </w:num>
  <w:num w:numId="19">
    <w:abstractNumId w:val="54"/>
  </w:num>
  <w:num w:numId="20">
    <w:abstractNumId w:val="61"/>
  </w:num>
  <w:num w:numId="21">
    <w:abstractNumId w:val="64"/>
  </w:num>
  <w:num w:numId="22">
    <w:abstractNumId w:val="21"/>
  </w:num>
  <w:num w:numId="23">
    <w:abstractNumId w:val="36"/>
  </w:num>
  <w:num w:numId="24">
    <w:abstractNumId w:val="28"/>
  </w:num>
  <w:num w:numId="25">
    <w:abstractNumId w:val="0"/>
  </w:num>
  <w:num w:numId="26">
    <w:abstractNumId w:val="41"/>
  </w:num>
  <w:num w:numId="27">
    <w:abstractNumId w:val="53"/>
  </w:num>
  <w:num w:numId="28">
    <w:abstractNumId w:val="18"/>
  </w:num>
  <w:num w:numId="29">
    <w:abstractNumId w:val="73"/>
  </w:num>
  <w:num w:numId="30">
    <w:abstractNumId w:val="39"/>
  </w:num>
  <w:num w:numId="31">
    <w:abstractNumId w:val="55"/>
  </w:num>
  <w:num w:numId="32">
    <w:abstractNumId w:val="2"/>
  </w:num>
  <w:num w:numId="33">
    <w:abstractNumId w:val="17"/>
  </w:num>
  <w:num w:numId="34">
    <w:abstractNumId w:val="20"/>
  </w:num>
  <w:num w:numId="35">
    <w:abstractNumId w:val="74"/>
  </w:num>
  <w:num w:numId="36">
    <w:abstractNumId w:val="66"/>
  </w:num>
  <w:num w:numId="37">
    <w:abstractNumId w:val="19"/>
  </w:num>
  <w:num w:numId="38">
    <w:abstractNumId w:val="68"/>
  </w:num>
  <w:num w:numId="39">
    <w:abstractNumId w:val="78"/>
  </w:num>
  <w:num w:numId="40">
    <w:abstractNumId w:val="76"/>
  </w:num>
  <w:num w:numId="41">
    <w:abstractNumId w:val="29"/>
  </w:num>
  <w:num w:numId="42">
    <w:abstractNumId w:val="12"/>
  </w:num>
  <w:num w:numId="43">
    <w:abstractNumId w:val="57"/>
  </w:num>
  <w:num w:numId="44">
    <w:abstractNumId w:val="42"/>
  </w:num>
  <w:num w:numId="45">
    <w:abstractNumId w:val="82"/>
  </w:num>
  <w:num w:numId="46">
    <w:abstractNumId w:val="7"/>
  </w:num>
  <w:num w:numId="47">
    <w:abstractNumId w:val="63"/>
  </w:num>
  <w:num w:numId="48">
    <w:abstractNumId w:val="33"/>
  </w:num>
  <w:num w:numId="49">
    <w:abstractNumId w:val="38"/>
  </w:num>
  <w:num w:numId="50">
    <w:abstractNumId w:val="3"/>
  </w:num>
  <w:num w:numId="51">
    <w:abstractNumId w:val="80"/>
  </w:num>
  <w:num w:numId="52">
    <w:abstractNumId w:val="30"/>
  </w:num>
  <w:num w:numId="53">
    <w:abstractNumId w:val="65"/>
  </w:num>
  <w:num w:numId="54">
    <w:abstractNumId w:val="70"/>
  </w:num>
  <w:num w:numId="55">
    <w:abstractNumId w:val="45"/>
  </w:num>
  <w:num w:numId="56">
    <w:abstractNumId w:val="15"/>
  </w:num>
  <w:num w:numId="57">
    <w:abstractNumId w:val="75"/>
  </w:num>
  <w:num w:numId="58">
    <w:abstractNumId w:val="83"/>
  </w:num>
  <w:num w:numId="59">
    <w:abstractNumId w:val="90"/>
  </w:num>
  <w:num w:numId="60">
    <w:abstractNumId w:val="24"/>
  </w:num>
  <w:num w:numId="61">
    <w:abstractNumId w:val="81"/>
  </w:num>
  <w:num w:numId="62">
    <w:abstractNumId w:val="91"/>
  </w:num>
  <w:num w:numId="63">
    <w:abstractNumId w:val="22"/>
  </w:num>
  <w:num w:numId="64">
    <w:abstractNumId w:val="4"/>
  </w:num>
  <w:num w:numId="65">
    <w:abstractNumId w:val="62"/>
  </w:num>
  <w:num w:numId="66">
    <w:abstractNumId w:val="50"/>
  </w:num>
  <w:num w:numId="67">
    <w:abstractNumId w:val="59"/>
  </w:num>
  <w:num w:numId="68">
    <w:abstractNumId w:val="16"/>
  </w:num>
  <w:num w:numId="69">
    <w:abstractNumId w:val="13"/>
  </w:num>
  <w:num w:numId="70">
    <w:abstractNumId w:val="67"/>
  </w:num>
  <w:num w:numId="71">
    <w:abstractNumId w:val="69"/>
  </w:num>
  <w:num w:numId="72">
    <w:abstractNumId w:val="77"/>
  </w:num>
  <w:num w:numId="73">
    <w:abstractNumId w:val="71"/>
  </w:num>
  <w:num w:numId="74">
    <w:abstractNumId w:val="11"/>
  </w:num>
  <w:num w:numId="75">
    <w:abstractNumId w:val="48"/>
  </w:num>
  <w:num w:numId="76">
    <w:abstractNumId w:val="40"/>
  </w:num>
  <w:num w:numId="77">
    <w:abstractNumId w:val="84"/>
  </w:num>
  <w:num w:numId="78">
    <w:abstractNumId w:val="35"/>
  </w:num>
  <w:num w:numId="79">
    <w:abstractNumId w:val="27"/>
  </w:num>
  <w:num w:numId="80">
    <w:abstractNumId w:val="6"/>
  </w:num>
  <w:num w:numId="81">
    <w:abstractNumId w:val="46"/>
  </w:num>
  <w:num w:numId="82">
    <w:abstractNumId w:val="51"/>
  </w:num>
  <w:num w:numId="83">
    <w:abstractNumId w:val="86"/>
  </w:num>
  <w:num w:numId="84">
    <w:abstractNumId w:val="23"/>
  </w:num>
  <w:num w:numId="85">
    <w:abstractNumId w:val="43"/>
  </w:num>
  <w:num w:numId="86">
    <w:abstractNumId w:val="87"/>
  </w:num>
  <w:num w:numId="87">
    <w:abstractNumId w:val="1"/>
  </w:num>
  <w:num w:numId="88">
    <w:abstractNumId w:val="9"/>
  </w:num>
  <w:num w:numId="89">
    <w:abstractNumId w:val="89"/>
  </w:num>
  <w:num w:numId="90">
    <w:abstractNumId w:val="58"/>
  </w:num>
  <w:num w:numId="91">
    <w:abstractNumId w:val="14"/>
  </w:num>
  <w:num w:numId="92">
    <w:abstractNumId w:val="34"/>
  </w:num>
  <w:num w:numId="93">
    <w:abstractNumId w:val="8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4097"/>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80C"/>
    <w:rsid w:val="00000615"/>
    <w:rsid w:val="00000BD4"/>
    <w:rsid w:val="00002596"/>
    <w:rsid w:val="00004461"/>
    <w:rsid w:val="00005115"/>
    <w:rsid w:val="0000545A"/>
    <w:rsid w:val="0000664F"/>
    <w:rsid w:val="00006F02"/>
    <w:rsid w:val="00011D81"/>
    <w:rsid w:val="00012950"/>
    <w:rsid w:val="00013F4C"/>
    <w:rsid w:val="00013FB5"/>
    <w:rsid w:val="00014427"/>
    <w:rsid w:val="00014E9E"/>
    <w:rsid w:val="0001646C"/>
    <w:rsid w:val="00016652"/>
    <w:rsid w:val="00016965"/>
    <w:rsid w:val="00016BCD"/>
    <w:rsid w:val="00016CEE"/>
    <w:rsid w:val="00017782"/>
    <w:rsid w:val="00017BCB"/>
    <w:rsid w:val="00017E3B"/>
    <w:rsid w:val="00020046"/>
    <w:rsid w:val="00022DD1"/>
    <w:rsid w:val="00023620"/>
    <w:rsid w:val="00024687"/>
    <w:rsid w:val="000248DE"/>
    <w:rsid w:val="000250E7"/>
    <w:rsid w:val="000257A0"/>
    <w:rsid w:val="00027801"/>
    <w:rsid w:val="00027938"/>
    <w:rsid w:val="00030253"/>
    <w:rsid w:val="00030482"/>
    <w:rsid w:val="0003051F"/>
    <w:rsid w:val="00032758"/>
    <w:rsid w:val="000333F5"/>
    <w:rsid w:val="00033B00"/>
    <w:rsid w:val="00033EC8"/>
    <w:rsid w:val="00034DE8"/>
    <w:rsid w:val="0003521E"/>
    <w:rsid w:val="0003590B"/>
    <w:rsid w:val="00035D50"/>
    <w:rsid w:val="00036BEC"/>
    <w:rsid w:val="000407F1"/>
    <w:rsid w:val="0004152E"/>
    <w:rsid w:val="00042BD4"/>
    <w:rsid w:val="00042C17"/>
    <w:rsid w:val="000433D2"/>
    <w:rsid w:val="00044541"/>
    <w:rsid w:val="000447B4"/>
    <w:rsid w:val="00044991"/>
    <w:rsid w:val="00044C42"/>
    <w:rsid w:val="00045247"/>
    <w:rsid w:val="00045349"/>
    <w:rsid w:val="00045AED"/>
    <w:rsid w:val="00050715"/>
    <w:rsid w:val="00050C80"/>
    <w:rsid w:val="00050E00"/>
    <w:rsid w:val="00051597"/>
    <w:rsid w:val="00051E84"/>
    <w:rsid w:val="00052B01"/>
    <w:rsid w:val="000536D2"/>
    <w:rsid w:val="00053E42"/>
    <w:rsid w:val="00054B98"/>
    <w:rsid w:val="00054E04"/>
    <w:rsid w:val="000561B0"/>
    <w:rsid w:val="000562D5"/>
    <w:rsid w:val="0005665D"/>
    <w:rsid w:val="00056805"/>
    <w:rsid w:val="00057EAF"/>
    <w:rsid w:val="0006032F"/>
    <w:rsid w:val="000603E8"/>
    <w:rsid w:val="00060864"/>
    <w:rsid w:val="000613F2"/>
    <w:rsid w:val="000618B9"/>
    <w:rsid w:val="000629A6"/>
    <w:rsid w:val="00062DCC"/>
    <w:rsid w:val="00062EFD"/>
    <w:rsid w:val="000646EC"/>
    <w:rsid w:val="00065285"/>
    <w:rsid w:val="000653DF"/>
    <w:rsid w:val="00066222"/>
    <w:rsid w:val="0007003E"/>
    <w:rsid w:val="000718D9"/>
    <w:rsid w:val="000719AC"/>
    <w:rsid w:val="00072653"/>
    <w:rsid w:val="00072F8F"/>
    <w:rsid w:val="00072FCD"/>
    <w:rsid w:val="00073F2B"/>
    <w:rsid w:val="00074592"/>
    <w:rsid w:val="00075D9F"/>
    <w:rsid w:val="00077AF2"/>
    <w:rsid w:val="00082075"/>
    <w:rsid w:val="00082734"/>
    <w:rsid w:val="00082BF4"/>
    <w:rsid w:val="00082E64"/>
    <w:rsid w:val="00083399"/>
    <w:rsid w:val="000841AD"/>
    <w:rsid w:val="000865CD"/>
    <w:rsid w:val="000867CC"/>
    <w:rsid w:val="000871D9"/>
    <w:rsid w:val="000878F6"/>
    <w:rsid w:val="00087D73"/>
    <w:rsid w:val="00090A04"/>
    <w:rsid w:val="00090AB1"/>
    <w:rsid w:val="00093269"/>
    <w:rsid w:val="00093660"/>
    <w:rsid w:val="00093993"/>
    <w:rsid w:val="00093F41"/>
    <w:rsid w:val="0009440F"/>
    <w:rsid w:val="00094856"/>
    <w:rsid w:val="000962AE"/>
    <w:rsid w:val="00096774"/>
    <w:rsid w:val="00097090"/>
    <w:rsid w:val="00097148"/>
    <w:rsid w:val="00097F0C"/>
    <w:rsid w:val="000A083A"/>
    <w:rsid w:val="000A0BD5"/>
    <w:rsid w:val="000A177E"/>
    <w:rsid w:val="000A1A42"/>
    <w:rsid w:val="000A1A89"/>
    <w:rsid w:val="000A1D29"/>
    <w:rsid w:val="000A290F"/>
    <w:rsid w:val="000A3CCD"/>
    <w:rsid w:val="000A5E04"/>
    <w:rsid w:val="000A5F4D"/>
    <w:rsid w:val="000A6742"/>
    <w:rsid w:val="000A6A01"/>
    <w:rsid w:val="000A6A4E"/>
    <w:rsid w:val="000A6B9A"/>
    <w:rsid w:val="000A7963"/>
    <w:rsid w:val="000B18FE"/>
    <w:rsid w:val="000B1AF9"/>
    <w:rsid w:val="000B1B58"/>
    <w:rsid w:val="000B2364"/>
    <w:rsid w:val="000B2502"/>
    <w:rsid w:val="000B2E6F"/>
    <w:rsid w:val="000B3041"/>
    <w:rsid w:val="000B43CE"/>
    <w:rsid w:val="000B4969"/>
    <w:rsid w:val="000B63D8"/>
    <w:rsid w:val="000B709B"/>
    <w:rsid w:val="000B75DD"/>
    <w:rsid w:val="000C0030"/>
    <w:rsid w:val="000C17EE"/>
    <w:rsid w:val="000C24DA"/>
    <w:rsid w:val="000C2CB0"/>
    <w:rsid w:val="000C4AE6"/>
    <w:rsid w:val="000C4BD9"/>
    <w:rsid w:val="000C57B9"/>
    <w:rsid w:val="000C64C4"/>
    <w:rsid w:val="000C68DE"/>
    <w:rsid w:val="000C721F"/>
    <w:rsid w:val="000C7435"/>
    <w:rsid w:val="000C7A1E"/>
    <w:rsid w:val="000D0DD1"/>
    <w:rsid w:val="000D1185"/>
    <w:rsid w:val="000D2228"/>
    <w:rsid w:val="000D24D2"/>
    <w:rsid w:val="000D2763"/>
    <w:rsid w:val="000D2D09"/>
    <w:rsid w:val="000D33AC"/>
    <w:rsid w:val="000D41B9"/>
    <w:rsid w:val="000D6B32"/>
    <w:rsid w:val="000D798B"/>
    <w:rsid w:val="000E0233"/>
    <w:rsid w:val="000E0809"/>
    <w:rsid w:val="000E29D9"/>
    <w:rsid w:val="000E2F9F"/>
    <w:rsid w:val="000E3169"/>
    <w:rsid w:val="000E4B79"/>
    <w:rsid w:val="000E4DCD"/>
    <w:rsid w:val="000E68B1"/>
    <w:rsid w:val="000E6ADE"/>
    <w:rsid w:val="000E7249"/>
    <w:rsid w:val="000E72BA"/>
    <w:rsid w:val="000E7406"/>
    <w:rsid w:val="000E7E81"/>
    <w:rsid w:val="000E7EE5"/>
    <w:rsid w:val="000F0C7A"/>
    <w:rsid w:val="000F3841"/>
    <w:rsid w:val="000F4315"/>
    <w:rsid w:val="000F5099"/>
    <w:rsid w:val="000F51EA"/>
    <w:rsid w:val="000F530B"/>
    <w:rsid w:val="000F550D"/>
    <w:rsid w:val="000F5F7A"/>
    <w:rsid w:val="000F63D8"/>
    <w:rsid w:val="0010184F"/>
    <w:rsid w:val="0010386A"/>
    <w:rsid w:val="00103C0C"/>
    <w:rsid w:val="001043F6"/>
    <w:rsid w:val="00104A43"/>
    <w:rsid w:val="0010533C"/>
    <w:rsid w:val="00105C05"/>
    <w:rsid w:val="00106F04"/>
    <w:rsid w:val="001077FF"/>
    <w:rsid w:val="00107A80"/>
    <w:rsid w:val="00110504"/>
    <w:rsid w:val="0011090A"/>
    <w:rsid w:val="00111E4B"/>
    <w:rsid w:val="00112E16"/>
    <w:rsid w:val="00113932"/>
    <w:rsid w:val="0011397E"/>
    <w:rsid w:val="001145B4"/>
    <w:rsid w:val="00114CB0"/>
    <w:rsid w:val="00114F85"/>
    <w:rsid w:val="00116EDA"/>
    <w:rsid w:val="00117FC7"/>
    <w:rsid w:val="001200CB"/>
    <w:rsid w:val="001200FA"/>
    <w:rsid w:val="00120D28"/>
    <w:rsid w:val="001219B4"/>
    <w:rsid w:val="00121BD1"/>
    <w:rsid w:val="00121C9E"/>
    <w:rsid w:val="00121CC7"/>
    <w:rsid w:val="001220D3"/>
    <w:rsid w:val="00122925"/>
    <w:rsid w:val="00122D41"/>
    <w:rsid w:val="0012306D"/>
    <w:rsid w:val="001233FB"/>
    <w:rsid w:val="001241C8"/>
    <w:rsid w:val="0012444F"/>
    <w:rsid w:val="0012474C"/>
    <w:rsid w:val="0012510B"/>
    <w:rsid w:val="00125A2C"/>
    <w:rsid w:val="00125C8D"/>
    <w:rsid w:val="00126305"/>
    <w:rsid w:val="0012681E"/>
    <w:rsid w:val="00127A52"/>
    <w:rsid w:val="001309E6"/>
    <w:rsid w:val="00131BCD"/>
    <w:rsid w:val="00132801"/>
    <w:rsid w:val="00132D6F"/>
    <w:rsid w:val="001335FA"/>
    <w:rsid w:val="00133C28"/>
    <w:rsid w:val="001350C8"/>
    <w:rsid w:val="00136EC6"/>
    <w:rsid w:val="001373CB"/>
    <w:rsid w:val="00140C11"/>
    <w:rsid w:val="00140E3E"/>
    <w:rsid w:val="00140F18"/>
    <w:rsid w:val="0014147A"/>
    <w:rsid w:val="00141598"/>
    <w:rsid w:val="0014299C"/>
    <w:rsid w:val="001431C6"/>
    <w:rsid w:val="0014366C"/>
    <w:rsid w:val="00143DC9"/>
    <w:rsid w:val="001448DF"/>
    <w:rsid w:val="00144E1B"/>
    <w:rsid w:val="00144EDA"/>
    <w:rsid w:val="0014563E"/>
    <w:rsid w:val="00145FCA"/>
    <w:rsid w:val="00146C1C"/>
    <w:rsid w:val="00147284"/>
    <w:rsid w:val="001478D3"/>
    <w:rsid w:val="00150035"/>
    <w:rsid w:val="00150094"/>
    <w:rsid w:val="0015090A"/>
    <w:rsid w:val="00150BA5"/>
    <w:rsid w:val="00151013"/>
    <w:rsid w:val="00151FE0"/>
    <w:rsid w:val="001525C8"/>
    <w:rsid w:val="001527CC"/>
    <w:rsid w:val="001542BD"/>
    <w:rsid w:val="001548A2"/>
    <w:rsid w:val="00154E31"/>
    <w:rsid w:val="00155401"/>
    <w:rsid w:val="00156465"/>
    <w:rsid w:val="0015679E"/>
    <w:rsid w:val="00156FC7"/>
    <w:rsid w:val="00160111"/>
    <w:rsid w:val="001602B5"/>
    <w:rsid w:val="00160DA8"/>
    <w:rsid w:val="001611AD"/>
    <w:rsid w:val="001629D9"/>
    <w:rsid w:val="00163124"/>
    <w:rsid w:val="001638B8"/>
    <w:rsid w:val="001639DD"/>
    <w:rsid w:val="00163B9F"/>
    <w:rsid w:val="00163C47"/>
    <w:rsid w:val="00163E7C"/>
    <w:rsid w:val="0016458E"/>
    <w:rsid w:val="00164F33"/>
    <w:rsid w:val="0016506C"/>
    <w:rsid w:val="001665CA"/>
    <w:rsid w:val="00166972"/>
    <w:rsid w:val="00166D1D"/>
    <w:rsid w:val="001706B1"/>
    <w:rsid w:val="00170C15"/>
    <w:rsid w:val="00170E21"/>
    <w:rsid w:val="00170FEC"/>
    <w:rsid w:val="00171609"/>
    <w:rsid w:val="001722C6"/>
    <w:rsid w:val="001728A3"/>
    <w:rsid w:val="001734E8"/>
    <w:rsid w:val="00173B2B"/>
    <w:rsid w:val="00173F32"/>
    <w:rsid w:val="00175694"/>
    <w:rsid w:val="001761AD"/>
    <w:rsid w:val="0017697B"/>
    <w:rsid w:val="00177478"/>
    <w:rsid w:val="00177E9B"/>
    <w:rsid w:val="001832D9"/>
    <w:rsid w:val="00183870"/>
    <w:rsid w:val="00184041"/>
    <w:rsid w:val="00184B4E"/>
    <w:rsid w:val="00186819"/>
    <w:rsid w:val="00186BFD"/>
    <w:rsid w:val="00190179"/>
    <w:rsid w:val="001910A6"/>
    <w:rsid w:val="00191795"/>
    <w:rsid w:val="001924BD"/>
    <w:rsid w:val="00192C62"/>
    <w:rsid w:val="0019316C"/>
    <w:rsid w:val="00193296"/>
    <w:rsid w:val="00193370"/>
    <w:rsid w:val="00194422"/>
    <w:rsid w:val="001949B8"/>
    <w:rsid w:val="00194AD3"/>
    <w:rsid w:val="00195CA3"/>
    <w:rsid w:val="001964AD"/>
    <w:rsid w:val="00196860"/>
    <w:rsid w:val="00196B7B"/>
    <w:rsid w:val="00196E9B"/>
    <w:rsid w:val="001972E5"/>
    <w:rsid w:val="001978B9"/>
    <w:rsid w:val="00197AF6"/>
    <w:rsid w:val="00197B11"/>
    <w:rsid w:val="00197D8A"/>
    <w:rsid w:val="001A03C2"/>
    <w:rsid w:val="001A0C14"/>
    <w:rsid w:val="001A0F49"/>
    <w:rsid w:val="001A1BFE"/>
    <w:rsid w:val="001A1CD1"/>
    <w:rsid w:val="001A1D0B"/>
    <w:rsid w:val="001A1FFA"/>
    <w:rsid w:val="001A201E"/>
    <w:rsid w:val="001A2380"/>
    <w:rsid w:val="001A5767"/>
    <w:rsid w:val="001A5C8D"/>
    <w:rsid w:val="001A656B"/>
    <w:rsid w:val="001A6D40"/>
    <w:rsid w:val="001A6DD5"/>
    <w:rsid w:val="001A7C7B"/>
    <w:rsid w:val="001A7E24"/>
    <w:rsid w:val="001B00C4"/>
    <w:rsid w:val="001B01AE"/>
    <w:rsid w:val="001B08BF"/>
    <w:rsid w:val="001B08E2"/>
    <w:rsid w:val="001B10F1"/>
    <w:rsid w:val="001B14A4"/>
    <w:rsid w:val="001B1C7C"/>
    <w:rsid w:val="001B1CE2"/>
    <w:rsid w:val="001B28D7"/>
    <w:rsid w:val="001B2CAA"/>
    <w:rsid w:val="001B2EFB"/>
    <w:rsid w:val="001B3FF1"/>
    <w:rsid w:val="001B575E"/>
    <w:rsid w:val="001B5F0E"/>
    <w:rsid w:val="001B69D4"/>
    <w:rsid w:val="001B756A"/>
    <w:rsid w:val="001B7C58"/>
    <w:rsid w:val="001C0405"/>
    <w:rsid w:val="001C0FEB"/>
    <w:rsid w:val="001C1977"/>
    <w:rsid w:val="001C2864"/>
    <w:rsid w:val="001C29D0"/>
    <w:rsid w:val="001C3577"/>
    <w:rsid w:val="001C4250"/>
    <w:rsid w:val="001C467D"/>
    <w:rsid w:val="001C4920"/>
    <w:rsid w:val="001C4A43"/>
    <w:rsid w:val="001C4B8C"/>
    <w:rsid w:val="001C4E8B"/>
    <w:rsid w:val="001C4FDA"/>
    <w:rsid w:val="001C550C"/>
    <w:rsid w:val="001C55E7"/>
    <w:rsid w:val="001C6305"/>
    <w:rsid w:val="001C63B6"/>
    <w:rsid w:val="001C6992"/>
    <w:rsid w:val="001C6CBA"/>
    <w:rsid w:val="001C7E86"/>
    <w:rsid w:val="001D1785"/>
    <w:rsid w:val="001D20F0"/>
    <w:rsid w:val="001D22F8"/>
    <w:rsid w:val="001D2EF8"/>
    <w:rsid w:val="001D337D"/>
    <w:rsid w:val="001D4131"/>
    <w:rsid w:val="001D4BC7"/>
    <w:rsid w:val="001D57CA"/>
    <w:rsid w:val="001D58BC"/>
    <w:rsid w:val="001D5991"/>
    <w:rsid w:val="001D5C24"/>
    <w:rsid w:val="001D7721"/>
    <w:rsid w:val="001D7CDD"/>
    <w:rsid w:val="001D7DBC"/>
    <w:rsid w:val="001D7F5E"/>
    <w:rsid w:val="001E0EAE"/>
    <w:rsid w:val="001E328D"/>
    <w:rsid w:val="001E36D7"/>
    <w:rsid w:val="001E3D8C"/>
    <w:rsid w:val="001E4B19"/>
    <w:rsid w:val="001E4E35"/>
    <w:rsid w:val="001E4EA6"/>
    <w:rsid w:val="001E4FE3"/>
    <w:rsid w:val="001E5975"/>
    <w:rsid w:val="001E644B"/>
    <w:rsid w:val="001E7759"/>
    <w:rsid w:val="001E7D37"/>
    <w:rsid w:val="001F02A7"/>
    <w:rsid w:val="001F0894"/>
    <w:rsid w:val="001F0913"/>
    <w:rsid w:val="001F1225"/>
    <w:rsid w:val="001F1948"/>
    <w:rsid w:val="001F2543"/>
    <w:rsid w:val="001F25BB"/>
    <w:rsid w:val="001F2FC1"/>
    <w:rsid w:val="001F3E65"/>
    <w:rsid w:val="001F47D4"/>
    <w:rsid w:val="001F61D3"/>
    <w:rsid w:val="001F624D"/>
    <w:rsid w:val="001F73A8"/>
    <w:rsid w:val="001F7460"/>
    <w:rsid w:val="001F7704"/>
    <w:rsid w:val="001F7A3D"/>
    <w:rsid w:val="00200058"/>
    <w:rsid w:val="002006F8"/>
    <w:rsid w:val="00201694"/>
    <w:rsid w:val="002023FC"/>
    <w:rsid w:val="00202B79"/>
    <w:rsid w:val="002035E6"/>
    <w:rsid w:val="002039C4"/>
    <w:rsid w:val="00204E17"/>
    <w:rsid w:val="00204E3F"/>
    <w:rsid w:val="00205786"/>
    <w:rsid w:val="00206192"/>
    <w:rsid w:val="00206356"/>
    <w:rsid w:val="002065E5"/>
    <w:rsid w:val="00206613"/>
    <w:rsid w:val="00206796"/>
    <w:rsid w:val="00207F7C"/>
    <w:rsid w:val="00207F91"/>
    <w:rsid w:val="0021132F"/>
    <w:rsid w:val="00211A09"/>
    <w:rsid w:val="002129B8"/>
    <w:rsid w:val="00213034"/>
    <w:rsid w:val="00213924"/>
    <w:rsid w:val="00214071"/>
    <w:rsid w:val="0021417C"/>
    <w:rsid w:val="00214411"/>
    <w:rsid w:val="002149F8"/>
    <w:rsid w:val="00215360"/>
    <w:rsid w:val="00215380"/>
    <w:rsid w:val="00215D6C"/>
    <w:rsid w:val="00215DF2"/>
    <w:rsid w:val="00216463"/>
    <w:rsid w:val="00217265"/>
    <w:rsid w:val="00217473"/>
    <w:rsid w:val="00220CFE"/>
    <w:rsid w:val="002210E4"/>
    <w:rsid w:val="00221551"/>
    <w:rsid w:val="002217A7"/>
    <w:rsid w:val="00222995"/>
    <w:rsid w:val="0022340F"/>
    <w:rsid w:val="002235B9"/>
    <w:rsid w:val="00225DBB"/>
    <w:rsid w:val="00226BCA"/>
    <w:rsid w:val="002279DD"/>
    <w:rsid w:val="0023067C"/>
    <w:rsid w:val="002315B1"/>
    <w:rsid w:val="00231676"/>
    <w:rsid w:val="00231FDE"/>
    <w:rsid w:val="00232651"/>
    <w:rsid w:val="00232F98"/>
    <w:rsid w:val="00233740"/>
    <w:rsid w:val="00233F0A"/>
    <w:rsid w:val="00234F15"/>
    <w:rsid w:val="00235731"/>
    <w:rsid w:val="00235CF4"/>
    <w:rsid w:val="0023603B"/>
    <w:rsid w:val="00236AFD"/>
    <w:rsid w:val="00236DD0"/>
    <w:rsid w:val="00237209"/>
    <w:rsid w:val="00237946"/>
    <w:rsid w:val="00237E72"/>
    <w:rsid w:val="00237EFB"/>
    <w:rsid w:val="00242E7D"/>
    <w:rsid w:val="002430A0"/>
    <w:rsid w:val="002433F8"/>
    <w:rsid w:val="0024407E"/>
    <w:rsid w:val="0024578E"/>
    <w:rsid w:val="00247E6C"/>
    <w:rsid w:val="002504E4"/>
    <w:rsid w:val="00250C61"/>
    <w:rsid w:val="0025108C"/>
    <w:rsid w:val="002517B8"/>
    <w:rsid w:val="00252D2A"/>
    <w:rsid w:val="00253303"/>
    <w:rsid w:val="0025530D"/>
    <w:rsid w:val="0025614A"/>
    <w:rsid w:val="00256259"/>
    <w:rsid w:val="00257BAC"/>
    <w:rsid w:val="00261A8A"/>
    <w:rsid w:val="00261F1D"/>
    <w:rsid w:val="0026215F"/>
    <w:rsid w:val="002625F1"/>
    <w:rsid w:val="002636CD"/>
    <w:rsid w:val="002639F2"/>
    <w:rsid w:val="00264452"/>
    <w:rsid w:val="00264AE4"/>
    <w:rsid w:val="00264B26"/>
    <w:rsid w:val="002651CB"/>
    <w:rsid w:val="00265570"/>
    <w:rsid w:val="002661FA"/>
    <w:rsid w:val="00266993"/>
    <w:rsid w:val="00266AC9"/>
    <w:rsid w:val="00267CD6"/>
    <w:rsid w:val="00267E3B"/>
    <w:rsid w:val="002709D4"/>
    <w:rsid w:val="00270A99"/>
    <w:rsid w:val="00272B24"/>
    <w:rsid w:val="00273FA4"/>
    <w:rsid w:val="00274CE5"/>
    <w:rsid w:val="0027528F"/>
    <w:rsid w:val="002759D2"/>
    <w:rsid w:val="002765C2"/>
    <w:rsid w:val="00276C6E"/>
    <w:rsid w:val="00276D00"/>
    <w:rsid w:val="00276FAA"/>
    <w:rsid w:val="00277933"/>
    <w:rsid w:val="0028149A"/>
    <w:rsid w:val="00281FCA"/>
    <w:rsid w:val="002820C4"/>
    <w:rsid w:val="0028280A"/>
    <w:rsid w:val="00282B6D"/>
    <w:rsid w:val="00283B03"/>
    <w:rsid w:val="00284C26"/>
    <w:rsid w:val="00285B8C"/>
    <w:rsid w:val="00285D2F"/>
    <w:rsid w:val="00290912"/>
    <w:rsid w:val="002917EA"/>
    <w:rsid w:val="00292DD5"/>
    <w:rsid w:val="002930AC"/>
    <w:rsid w:val="002930E7"/>
    <w:rsid w:val="00293119"/>
    <w:rsid w:val="00295332"/>
    <w:rsid w:val="00295706"/>
    <w:rsid w:val="002957B4"/>
    <w:rsid w:val="002959B8"/>
    <w:rsid w:val="00295E70"/>
    <w:rsid w:val="0029724B"/>
    <w:rsid w:val="0029799D"/>
    <w:rsid w:val="002A0D45"/>
    <w:rsid w:val="002A2911"/>
    <w:rsid w:val="002A49C0"/>
    <w:rsid w:val="002A4F26"/>
    <w:rsid w:val="002A5FA5"/>
    <w:rsid w:val="002A6AE2"/>
    <w:rsid w:val="002B067C"/>
    <w:rsid w:val="002B15E5"/>
    <w:rsid w:val="002B16C9"/>
    <w:rsid w:val="002B254E"/>
    <w:rsid w:val="002B31D6"/>
    <w:rsid w:val="002B40D9"/>
    <w:rsid w:val="002B414E"/>
    <w:rsid w:val="002B6283"/>
    <w:rsid w:val="002B6815"/>
    <w:rsid w:val="002B719B"/>
    <w:rsid w:val="002B7472"/>
    <w:rsid w:val="002B7E91"/>
    <w:rsid w:val="002C050C"/>
    <w:rsid w:val="002C0705"/>
    <w:rsid w:val="002C0999"/>
    <w:rsid w:val="002C0E4C"/>
    <w:rsid w:val="002C1434"/>
    <w:rsid w:val="002C2048"/>
    <w:rsid w:val="002C229C"/>
    <w:rsid w:val="002C29FB"/>
    <w:rsid w:val="002C37AC"/>
    <w:rsid w:val="002C3BC5"/>
    <w:rsid w:val="002C3D89"/>
    <w:rsid w:val="002C47E1"/>
    <w:rsid w:val="002C49C9"/>
    <w:rsid w:val="002C4A2F"/>
    <w:rsid w:val="002C4F50"/>
    <w:rsid w:val="002C4F57"/>
    <w:rsid w:val="002C5D0F"/>
    <w:rsid w:val="002C5FBD"/>
    <w:rsid w:val="002C6E05"/>
    <w:rsid w:val="002C73F8"/>
    <w:rsid w:val="002D12FA"/>
    <w:rsid w:val="002D17E1"/>
    <w:rsid w:val="002D219F"/>
    <w:rsid w:val="002D21BE"/>
    <w:rsid w:val="002D3689"/>
    <w:rsid w:val="002D3FC6"/>
    <w:rsid w:val="002D431B"/>
    <w:rsid w:val="002D54DD"/>
    <w:rsid w:val="002D6FAD"/>
    <w:rsid w:val="002D730E"/>
    <w:rsid w:val="002E0C81"/>
    <w:rsid w:val="002E0EED"/>
    <w:rsid w:val="002E199F"/>
    <w:rsid w:val="002E1BDC"/>
    <w:rsid w:val="002E2356"/>
    <w:rsid w:val="002E380B"/>
    <w:rsid w:val="002E396E"/>
    <w:rsid w:val="002E4341"/>
    <w:rsid w:val="002E4918"/>
    <w:rsid w:val="002E4A68"/>
    <w:rsid w:val="002E51B1"/>
    <w:rsid w:val="002E6985"/>
    <w:rsid w:val="002E721E"/>
    <w:rsid w:val="002E7331"/>
    <w:rsid w:val="002E7376"/>
    <w:rsid w:val="002E7A75"/>
    <w:rsid w:val="002E7B14"/>
    <w:rsid w:val="002E7E60"/>
    <w:rsid w:val="002F06C6"/>
    <w:rsid w:val="002F09C2"/>
    <w:rsid w:val="002F0F0A"/>
    <w:rsid w:val="002F14A1"/>
    <w:rsid w:val="002F3486"/>
    <w:rsid w:val="002F4485"/>
    <w:rsid w:val="002F4669"/>
    <w:rsid w:val="002F5A33"/>
    <w:rsid w:val="002F617F"/>
    <w:rsid w:val="002F654B"/>
    <w:rsid w:val="002F696F"/>
    <w:rsid w:val="002F6D22"/>
    <w:rsid w:val="002F6FAE"/>
    <w:rsid w:val="002F7582"/>
    <w:rsid w:val="002F78EC"/>
    <w:rsid w:val="002F7B93"/>
    <w:rsid w:val="0030062B"/>
    <w:rsid w:val="0030167E"/>
    <w:rsid w:val="00301AAC"/>
    <w:rsid w:val="003023DC"/>
    <w:rsid w:val="00302A56"/>
    <w:rsid w:val="003036A7"/>
    <w:rsid w:val="003049FD"/>
    <w:rsid w:val="00304BA8"/>
    <w:rsid w:val="00305AD0"/>
    <w:rsid w:val="00305DD3"/>
    <w:rsid w:val="003060E4"/>
    <w:rsid w:val="00306527"/>
    <w:rsid w:val="00306550"/>
    <w:rsid w:val="0030669E"/>
    <w:rsid w:val="003076F6"/>
    <w:rsid w:val="003108E8"/>
    <w:rsid w:val="00310EB0"/>
    <w:rsid w:val="00311D8C"/>
    <w:rsid w:val="00311DE2"/>
    <w:rsid w:val="00313919"/>
    <w:rsid w:val="003140DC"/>
    <w:rsid w:val="00314869"/>
    <w:rsid w:val="003156F8"/>
    <w:rsid w:val="003157ED"/>
    <w:rsid w:val="00316269"/>
    <w:rsid w:val="00317021"/>
    <w:rsid w:val="00317766"/>
    <w:rsid w:val="00317E81"/>
    <w:rsid w:val="00320585"/>
    <w:rsid w:val="003211D4"/>
    <w:rsid w:val="00322E94"/>
    <w:rsid w:val="003230DE"/>
    <w:rsid w:val="0032376C"/>
    <w:rsid w:val="00323CE4"/>
    <w:rsid w:val="00323EA8"/>
    <w:rsid w:val="00323F0E"/>
    <w:rsid w:val="003252E7"/>
    <w:rsid w:val="003260D8"/>
    <w:rsid w:val="0032730B"/>
    <w:rsid w:val="00327B66"/>
    <w:rsid w:val="00327C8F"/>
    <w:rsid w:val="00327EE0"/>
    <w:rsid w:val="00327F56"/>
    <w:rsid w:val="00330248"/>
    <w:rsid w:val="00330F80"/>
    <w:rsid w:val="00331B0C"/>
    <w:rsid w:val="003322AB"/>
    <w:rsid w:val="0033292F"/>
    <w:rsid w:val="003329CE"/>
    <w:rsid w:val="003330C1"/>
    <w:rsid w:val="00333773"/>
    <w:rsid w:val="00333ECC"/>
    <w:rsid w:val="00335B54"/>
    <w:rsid w:val="00337D7F"/>
    <w:rsid w:val="00340499"/>
    <w:rsid w:val="0034052B"/>
    <w:rsid w:val="0034078A"/>
    <w:rsid w:val="0034115A"/>
    <w:rsid w:val="00341554"/>
    <w:rsid w:val="003417A6"/>
    <w:rsid w:val="00341C5F"/>
    <w:rsid w:val="00341EE1"/>
    <w:rsid w:val="003432B6"/>
    <w:rsid w:val="00343563"/>
    <w:rsid w:val="00344D43"/>
    <w:rsid w:val="0034558B"/>
    <w:rsid w:val="00345810"/>
    <w:rsid w:val="00345DAB"/>
    <w:rsid w:val="003464DA"/>
    <w:rsid w:val="00347A07"/>
    <w:rsid w:val="003500AA"/>
    <w:rsid w:val="00351643"/>
    <w:rsid w:val="003527D5"/>
    <w:rsid w:val="00352912"/>
    <w:rsid w:val="00352E46"/>
    <w:rsid w:val="00353181"/>
    <w:rsid w:val="00353764"/>
    <w:rsid w:val="0035576A"/>
    <w:rsid w:val="00355D79"/>
    <w:rsid w:val="003563F1"/>
    <w:rsid w:val="003578C4"/>
    <w:rsid w:val="00362470"/>
    <w:rsid w:val="00362953"/>
    <w:rsid w:val="00362DEA"/>
    <w:rsid w:val="00362F0C"/>
    <w:rsid w:val="00364D68"/>
    <w:rsid w:val="00365523"/>
    <w:rsid w:val="0036635C"/>
    <w:rsid w:val="003666B1"/>
    <w:rsid w:val="003672ED"/>
    <w:rsid w:val="003676BF"/>
    <w:rsid w:val="00370942"/>
    <w:rsid w:val="00371431"/>
    <w:rsid w:val="00374609"/>
    <w:rsid w:val="00374EC0"/>
    <w:rsid w:val="00374FFC"/>
    <w:rsid w:val="003755ED"/>
    <w:rsid w:val="00376285"/>
    <w:rsid w:val="0038030C"/>
    <w:rsid w:val="0038060C"/>
    <w:rsid w:val="003808A0"/>
    <w:rsid w:val="00380E15"/>
    <w:rsid w:val="00381649"/>
    <w:rsid w:val="00381DEC"/>
    <w:rsid w:val="00382F2F"/>
    <w:rsid w:val="00383A9B"/>
    <w:rsid w:val="00384179"/>
    <w:rsid w:val="003850AB"/>
    <w:rsid w:val="00385EEC"/>
    <w:rsid w:val="00386F63"/>
    <w:rsid w:val="00387EC8"/>
    <w:rsid w:val="00387FDF"/>
    <w:rsid w:val="003900A5"/>
    <w:rsid w:val="00390A77"/>
    <w:rsid w:val="00391173"/>
    <w:rsid w:val="00391E6B"/>
    <w:rsid w:val="003925CC"/>
    <w:rsid w:val="00392A9F"/>
    <w:rsid w:val="00392BB5"/>
    <w:rsid w:val="0039357B"/>
    <w:rsid w:val="00393914"/>
    <w:rsid w:val="00393B7B"/>
    <w:rsid w:val="00393BDA"/>
    <w:rsid w:val="00394FC5"/>
    <w:rsid w:val="003953F2"/>
    <w:rsid w:val="00395E21"/>
    <w:rsid w:val="00396232"/>
    <w:rsid w:val="003979D7"/>
    <w:rsid w:val="00397ABB"/>
    <w:rsid w:val="00397B0A"/>
    <w:rsid w:val="003A0989"/>
    <w:rsid w:val="003A1267"/>
    <w:rsid w:val="003A25B3"/>
    <w:rsid w:val="003A2E6B"/>
    <w:rsid w:val="003A3B65"/>
    <w:rsid w:val="003A4B51"/>
    <w:rsid w:val="003A5938"/>
    <w:rsid w:val="003A6DEC"/>
    <w:rsid w:val="003A6ED8"/>
    <w:rsid w:val="003A7279"/>
    <w:rsid w:val="003B027D"/>
    <w:rsid w:val="003B0DA0"/>
    <w:rsid w:val="003B0EDA"/>
    <w:rsid w:val="003B0EE4"/>
    <w:rsid w:val="003B11E2"/>
    <w:rsid w:val="003B13AF"/>
    <w:rsid w:val="003B13CF"/>
    <w:rsid w:val="003B1FCB"/>
    <w:rsid w:val="003B2628"/>
    <w:rsid w:val="003B3005"/>
    <w:rsid w:val="003B3CCD"/>
    <w:rsid w:val="003B4328"/>
    <w:rsid w:val="003B44FF"/>
    <w:rsid w:val="003B534F"/>
    <w:rsid w:val="003B5648"/>
    <w:rsid w:val="003B65C5"/>
    <w:rsid w:val="003B69F5"/>
    <w:rsid w:val="003B6A5A"/>
    <w:rsid w:val="003B6DEB"/>
    <w:rsid w:val="003B7BF1"/>
    <w:rsid w:val="003C07EC"/>
    <w:rsid w:val="003C0B39"/>
    <w:rsid w:val="003C0B56"/>
    <w:rsid w:val="003C0BDB"/>
    <w:rsid w:val="003C1DAC"/>
    <w:rsid w:val="003C27A4"/>
    <w:rsid w:val="003C477F"/>
    <w:rsid w:val="003C545C"/>
    <w:rsid w:val="003C57CE"/>
    <w:rsid w:val="003C657F"/>
    <w:rsid w:val="003C73AB"/>
    <w:rsid w:val="003C7859"/>
    <w:rsid w:val="003C7A4B"/>
    <w:rsid w:val="003C7B63"/>
    <w:rsid w:val="003C7FE3"/>
    <w:rsid w:val="003D00A3"/>
    <w:rsid w:val="003D0D63"/>
    <w:rsid w:val="003D0DC2"/>
    <w:rsid w:val="003D133E"/>
    <w:rsid w:val="003D203B"/>
    <w:rsid w:val="003D2C8A"/>
    <w:rsid w:val="003D30D9"/>
    <w:rsid w:val="003D580B"/>
    <w:rsid w:val="003D68BC"/>
    <w:rsid w:val="003D7B07"/>
    <w:rsid w:val="003E07ED"/>
    <w:rsid w:val="003E0832"/>
    <w:rsid w:val="003E13EB"/>
    <w:rsid w:val="003E1479"/>
    <w:rsid w:val="003E2278"/>
    <w:rsid w:val="003E32CD"/>
    <w:rsid w:val="003E4097"/>
    <w:rsid w:val="003E433E"/>
    <w:rsid w:val="003E7D7F"/>
    <w:rsid w:val="003E7DEE"/>
    <w:rsid w:val="003F034D"/>
    <w:rsid w:val="003F1E90"/>
    <w:rsid w:val="003F1E95"/>
    <w:rsid w:val="003F297E"/>
    <w:rsid w:val="003F318A"/>
    <w:rsid w:val="003F323A"/>
    <w:rsid w:val="003F3554"/>
    <w:rsid w:val="003F3985"/>
    <w:rsid w:val="003F4227"/>
    <w:rsid w:val="003F4A14"/>
    <w:rsid w:val="003F4F42"/>
    <w:rsid w:val="003F514F"/>
    <w:rsid w:val="003F6DFD"/>
    <w:rsid w:val="0040041B"/>
    <w:rsid w:val="0040187A"/>
    <w:rsid w:val="0040198D"/>
    <w:rsid w:val="004020EA"/>
    <w:rsid w:val="004024E0"/>
    <w:rsid w:val="004026B1"/>
    <w:rsid w:val="00402D4D"/>
    <w:rsid w:val="004057C6"/>
    <w:rsid w:val="004067C9"/>
    <w:rsid w:val="0041060C"/>
    <w:rsid w:val="0041060F"/>
    <w:rsid w:val="0041075D"/>
    <w:rsid w:val="00410F7E"/>
    <w:rsid w:val="00411AC1"/>
    <w:rsid w:val="00411B8F"/>
    <w:rsid w:val="004134FA"/>
    <w:rsid w:val="00413919"/>
    <w:rsid w:val="00413C2E"/>
    <w:rsid w:val="00413C69"/>
    <w:rsid w:val="00414F98"/>
    <w:rsid w:val="00414F9A"/>
    <w:rsid w:val="004152F4"/>
    <w:rsid w:val="004155E4"/>
    <w:rsid w:val="00416514"/>
    <w:rsid w:val="0041774D"/>
    <w:rsid w:val="00417F4C"/>
    <w:rsid w:val="00420214"/>
    <w:rsid w:val="00421DAC"/>
    <w:rsid w:val="00422551"/>
    <w:rsid w:val="00422C8A"/>
    <w:rsid w:val="00424255"/>
    <w:rsid w:val="0042445D"/>
    <w:rsid w:val="00424BF2"/>
    <w:rsid w:val="004256FD"/>
    <w:rsid w:val="0042625B"/>
    <w:rsid w:val="0042633F"/>
    <w:rsid w:val="004263FC"/>
    <w:rsid w:val="00426569"/>
    <w:rsid w:val="00426882"/>
    <w:rsid w:val="004268D0"/>
    <w:rsid w:val="00426EA3"/>
    <w:rsid w:val="00427B05"/>
    <w:rsid w:val="00430352"/>
    <w:rsid w:val="0043068B"/>
    <w:rsid w:val="00430E01"/>
    <w:rsid w:val="0043279A"/>
    <w:rsid w:val="00432948"/>
    <w:rsid w:val="00432DFD"/>
    <w:rsid w:val="0043357B"/>
    <w:rsid w:val="0043479D"/>
    <w:rsid w:val="0043486B"/>
    <w:rsid w:val="00436048"/>
    <w:rsid w:val="004375D9"/>
    <w:rsid w:val="00437780"/>
    <w:rsid w:val="00440E0D"/>
    <w:rsid w:val="00441CA4"/>
    <w:rsid w:val="00442DF1"/>
    <w:rsid w:val="00442EBD"/>
    <w:rsid w:val="00442FC8"/>
    <w:rsid w:val="004432E5"/>
    <w:rsid w:val="00443850"/>
    <w:rsid w:val="00443EEC"/>
    <w:rsid w:val="00444952"/>
    <w:rsid w:val="00445BEB"/>
    <w:rsid w:val="00445E62"/>
    <w:rsid w:val="00446137"/>
    <w:rsid w:val="00450194"/>
    <w:rsid w:val="00450C08"/>
    <w:rsid w:val="00451382"/>
    <w:rsid w:val="00451F08"/>
    <w:rsid w:val="00451FA6"/>
    <w:rsid w:val="00452026"/>
    <w:rsid w:val="00452F61"/>
    <w:rsid w:val="004536E1"/>
    <w:rsid w:val="00453EE2"/>
    <w:rsid w:val="0045522B"/>
    <w:rsid w:val="004552C3"/>
    <w:rsid w:val="00455623"/>
    <w:rsid w:val="00455C10"/>
    <w:rsid w:val="004563B7"/>
    <w:rsid w:val="00456825"/>
    <w:rsid w:val="004570E3"/>
    <w:rsid w:val="00457953"/>
    <w:rsid w:val="00460FC2"/>
    <w:rsid w:val="004613FC"/>
    <w:rsid w:val="004614AA"/>
    <w:rsid w:val="00461C6E"/>
    <w:rsid w:val="00462316"/>
    <w:rsid w:val="00462B68"/>
    <w:rsid w:val="00462D0B"/>
    <w:rsid w:val="00464989"/>
    <w:rsid w:val="00465E77"/>
    <w:rsid w:val="004664D6"/>
    <w:rsid w:val="00466F28"/>
    <w:rsid w:val="004673A2"/>
    <w:rsid w:val="00467ADC"/>
    <w:rsid w:val="00467E40"/>
    <w:rsid w:val="00470D4F"/>
    <w:rsid w:val="0047358D"/>
    <w:rsid w:val="00473F3D"/>
    <w:rsid w:val="00474655"/>
    <w:rsid w:val="004756F2"/>
    <w:rsid w:val="0047578D"/>
    <w:rsid w:val="0047607A"/>
    <w:rsid w:val="0047768F"/>
    <w:rsid w:val="00481493"/>
    <w:rsid w:val="00481669"/>
    <w:rsid w:val="00481753"/>
    <w:rsid w:val="00481851"/>
    <w:rsid w:val="00481E0D"/>
    <w:rsid w:val="00482A2A"/>
    <w:rsid w:val="004830BA"/>
    <w:rsid w:val="0048321F"/>
    <w:rsid w:val="0048364C"/>
    <w:rsid w:val="00483796"/>
    <w:rsid w:val="00484469"/>
    <w:rsid w:val="004845B7"/>
    <w:rsid w:val="004847EA"/>
    <w:rsid w:val="00484DF9"/>
    <w:rsid w:val="00485202"/>
    <w:rsid w:val="00486616"/>
    <w:rsid w:val="00487440"/>
    <w:rsid w:val="00490380"/>
    <w:rsid w:val="0049055E"/>
    <w:rsid w:val="004905B0"/>
    <w:rsid w:val="00491084"/>
    <w:rsid w:val="004912EE"/>
    <w:rsid w:val="004912F8"/>
    <w:rsid w:val="004921DE"/>
    <w:rsid w:val="004925FB"/>
    <w:rsid w:val="0049296B"/>
    <w:rsid w:val="004931D2"/>
    <w:rsid w:val="00493352"/>
    <w:rsid w:val="004933A4"/>
    <w:rsid w:val="00493865"/>
    <w:rsid w:val="00493AE2"/>
    <w:rsid w:val="00494907"/>
    <w:rsid w:val="00495596"/>
    <w:rsid w:val="004957CE"/>
    <w:rsid w:val="0049605D"/>
    <w:rsid w:val="00496A99"/>
    <w:rsid w:val="0049703E"/>
    <w:rsid w:val="00497CB4"/>
    <w:rsid w:val="004A2178"/>
    <w:rsid w:val="004A22B9"/>
    <w:rsid w:val="004A2B06"/>
    <w:rsid w:val="004A2DB8"/>
    <w:rsid w:val="004A3020"/>
    <w:rsid w:val="004A4D17"/>
    <w:rsid w:val="004A51C5"/>
    <w:rsid w:val="004A66F3"/>
    <w:rsid w:val="004A6AA8"/>
    <w:rsid w:val="004A6EAA"/>
    <w:rsid w:val="004A73E0"/>
    <w:rsid w:val="004A7ABD"/>
    <w:rsid w:val="004A7C1C"/>
    <w:rsid w:val="004B05B2"/>
    <w:rsid w:val="004B15CB"/>
    <w:rsid w:val="004B278A"/>
    <w:rsid w:val="004B2F9B"/>
    <w:rsid w:val="004B3F58"/>
    <w:rsid w:val="004B42CC"/>
    <w:rsid w:val="004B4827"/>
    <w:rsid w:val="004B4833"/>
    <w:rsid w:val="004B4E63"/>
    <w:rsid w:val="004B7209"/>
    <w:rsid w:val="004C1D1A"/>
    <w:rsid w:val="004C246D"/>
    <w:rsid w:val="004C28A2"/>
    <w:rsid w:val="004C351A"/>
    <w:rsid w:val="004C37B6"/>
    <w:rsid w:val="004C3912"/>
    <w:rsid w:val="004C3A61"/>
    <w:rsid w:val="004C3BD0"/>
    <w:rsid w:val="004C41EC"/>
    <w:rsid w:val="004C4D3E"/>
    <w:rsid w:val="004C5681"/>
    <w:rsid w:val="004C60A7"/>
    <w:rsid w:val="004C6343"/>
    <w:rsid w:val="004C7412"/>
    <w:rsid w:val="004C74CC"/>
    <w:rsid w:val="004C75F3"/>
    <w:rsid w:val="004C77AF"/>
    <w:rsid w:val="004C7C20"/>
    <w:rsid w:val="004D12FA"/>
    <w:rsid w:val="004D17AC"/>
    <w:rsid w:val="004D201B"/>
    <w:rsid w:val="004D4ECE"/>
    <w:rsid w:val="004D6624"/>
    <w:rsid w:val="004D71DC"/>
    <w:rsid w:val="004D7DFE"/>
    <w:rsid w:val="004E0398"/>
    <w:rsid w:val="004E0513"/>
    <w:rsid w:val="004E0A4A"/>
    <w:rsid w:val="004E1057"/>
    <w:rsid w:val="004E1553"/>
    <w:rsid w:val="004E1DB9"/>
    <w:rsid w:val="004E2B7E"/>
    <w:rsid w:val="004E3598"/>
    <w:rsid w:val="004E371A"/>
    <w:rsid w:val="004E40A1"/>
    <w:rsid w:val="004E40E7"/>
    <w:rsid w:val="004E4352"/>
    <w:rsid w:val="004E54ED"/>
    <w:rsid w:val="004E5556"/>
    <w:rsid w:val="004E5A8F"/>
    <w:rsid w:val="004E6775"/>
    <w:rsid w:val="004E7216"/>
    <w:rsid w:val="004E77A5"/>
    <w:rsid w:val="004F0D59"/>
    <w:rsid w:val="004F1317"/>
    <w:rsid w:val="004F2A93"/>
    <w:rsid w:val="004F3CFF"/>
    <w:rsid w:val="004F3DD2"/>
    <w:rsid w:val="004F3FA6"/>
    <w:rsid w:val="004F43BA"/>
    <w:rsid w:val="004F521A"/>
    <w:rsid w:val="004F59F8"/>
    <w:rsid w:val="004F5C36"/>
    <w:rsid w:val="004F5FD9"/>
    <w:rsid w:val="004F6003"/>
    <w:rsid w:val="004F70EB"/>
    <w:rsid w:val="004F7D81"/>
    <w:rsid w:val="00500C16"/>
    <w:rsid w:val="0050112D"/>
    <w:rsid w:val="00501ADF"/>
    <w:rsid w:val="00501C84"/>
    <w:rsid w:val="005023C0"/>
    <w:rsid w:val="00502833"/>
    <w:rsid w:val="005032AE"/>
    <w:rsid w:val="005038A2"/>
    <w:rsid w:val="0050450C"/>
    <w:rsid w:val="0050515C"/>
    <w:rsid w:val="00506DF4"/>
    <w:rsid w:val="00510C8F"/>
    <w:rsid w:val="00511142"/>
    <w:rsid w:val="00511B8C"/>
    <w:rsid w:val="00511C0E"/>
    <w:rsid w:val="00511F13"/>
    <w:rsid w:val="00512680"/>
    <w:rsid w:val="00513A36"/>
    <w:rsid w:val="005164DF"/>
    <w:rsid w:val="00517668"/>
    <w:rsid w:val="00517C09"/>
    <w:rsid w:val="005203B4"/>
    <w:rsid w:val="005204D1"/>
    <w:rsid w:val="00520599"/>
    <w:rsid w:val="00521BB1"/>
    <w:rsid w:val="00521C30"/>
    <w:rsid w:val="00522973"/>
    <w:rsid w:val="00523A2F"/>
    <w:rsid w:val="00524306"/>
    <w:rsid w:val="0052495B"/>
    <w:rsid w:val="005249C5"/>
    <w:rsid w:val="0052525E"/>
    <w:rsid w:val="005253FF"/>
    <w:rsid w:val="005265E7"/>
    <w:rsid w:val="0052680F"/>
    <w:rsid w:val="0053011C"/>
    <w:rsid w:val="00531487"/>
    <w:rsid w:val="00531507"/>
    <w:rsid w:val="00531E98"/>
    <w:rsid w:val="005322DB"/>
    <w:rsid w:val="005322E4"/>
    <w:rsid w:val="00532BAD"/>
    <w:rsid w:val="00533199"/>
    <w:rsid w:val="00533DE9"/>
    <w:rsid w:val="005346BB"/>
    <w:rsid w:val="00540159"/>
    <w:rsid w:val="005402B9"/>
    <w:rsid w:val="0054122C"/>
    <w:rsid w:val="005414E2"/>
    <w:rsid w:val="00541EA1"/>
    <w:rsid w:val="00542015"/>
    <w:rsid w:val="005428DA"/>
    <w:rsid w:val="00542CB8"/>
    <w:rsid w:val="00543697"/>
    <w:rsid w:val="00543721"/>
    <w:rsid w:val="00544714"/>
    <w:rsid w:val="00545005"/>
    <w:rsid w:val="00545032"/>
    <w:rsid w:val="005455BC"/>
    <w:rsid w:val="00545B3C"/>
    <w:rsid w:val="005461DE"/>
    <w:rsid w:val="00546644"/>
    <w:rsid w:val="00546725"/>
    <w:rsid w:val="00546B40"/>
    <w:rsid w:val="00546E1D"/>
    <w:rsid w:val="0055070A"/>
    <w:rsid w:val="00550887"/>
    <w:rsid w:val="00550A3D"/>
    <w:rsid w:val="00551E6E"/>
    <w:rsid w:val="00552778"/>
    <w:rsid w:val="00552B3C"/>
    <w:rsid w:val="00553303"/>
    <w:rsid w:val="005533D0"/>
    <w:rsid w:val="005536EB"/>
    <w:rsid w:val="00556698"/>
    <w:rsid w:val="005570E8"/>
    <w:rsid w:val="005572D1"/>
    <w:rsid w:val="00560092"/>
    <w:rsid w:val="00561868"/>
    <w:rsid w:val="00562B22"/>
    <w:rsid w:val="00563672"/>
    <w:rsid w:val="00563E64"/>
    <w:rsid w:val="00564848"/>
    <w:rsid w:val="00564A6B"/>
    <w:rsid w:val="00564D38"/>
    <w:rsid w:val="0056632F"/>
    <w:rsid w:val="005668D2"/>
    <w:rsid w:val="00566A52"/>
    <w:rsid w:val="00566C79"/>
    <w:rsid w:val="00570132"/>
    <w:rsid w:val="00571D4E"/>
    <w:rsid w:val="00571DCA"/>
    <w:rsid w:val="00572194"/>
    <w:rsid w:val="005729D9"/>
    <w:rsid w:val="005730FC"/>
    <w:rsid w:val="0057313A"/>
    <w:rsid w:val="0057346F"/>
    <w:rsid w:val="005737A7"/>
    <w:rsid w:val="00574344"/>
    <w:rsid w:val="00574511"/>
    <w:rsid w:val="0057499F"/>
    <w:rsid w:val="005752C1"/>
    <w:rsid w:val="0057552B"/>
    <w:rsid w:val="005767E8"/>
    <w:rsid w:val="00576998"/>
    <w:rsid w:val="00577044"/>
    <w:rsid w:val="005772FB"/>
    <w:rsid w:val="00580A2E"/>
    <w:rsid w:val="00580AC2"/>
    <w:rsid w:val="00580F96"/>
    <w:rsid w:val="005818A6"/>
    <w:rsid w:val="00581D53"/>
    <w:rsid w:val="005839C8"/>
    <w:rsid w:val="00583AFF"/>
    <w:rsid w:val="005848C2"/>
    <w:rsid w:val="00584EF9"/>
    <w:rsid w:val="00585269"/>
    <w:rsid w:val="00585689"/>
    <w:rsid w:val="005865EC"/>
    <w:rsid w:val="00586D29"/>
    <w:rsid w:val="00586E6B"/>
    <w:rsid w:val="005872DA"/>
    <w:rsid w:val="00587EC4"/>
    <w:rsid w:val="005909FC"/>
    <w:rsid w:val="005913E7"/>
    <w:rsid w:val="005920B7"/>
    <w:rsid w:val="00592514"/>
    <w:rsid w:val="00593312"/>
    <w:rsid w:val="00593430"/>
    <w:rsid w:val="0059466F"/>
    <w:rsid w:val="005963DA"/>
    <w:rsid w:val="005965E8"/>
    <w:rsid w:val="00596856"/>
    <w:rsid w:val="00596A57"/>
    <w:rsid w:val="00596EA3"/>
    <w:rsid w:val="0059763B"/>
    <w:rsid w:val="00597C29"/>
    <w:rsid w:val="00597FF3"/>
    <w:rsid w:val="005A3049"/>
    <w:rsid w:val="005A3621"/>
    <w:rsid w:val="005A3B7C"/>
    <w:rsid w:val="005A4C81"/>
    <w:rsid w:val="005A5BBB"/>
    <w:rsid w:val="005A683E"/>
    <w:rsid w:val="005B07A8"/>
    <w:rsid w:val="005B1169"/>
    <w:rsid w:val="005B1562"/>
    <w:rsid w:val="005B1D4B"/>
    <w:rsid w:val="005B229F"/>
    <w:rsid w:val="005B2357"/>
    <w:rsid w:val="005B2AF0"/>
    <w:rsid w:val="005B3859"/>
    <w:rsid w:val="005B4320"/>
    <w:rsid w:val="005B55D2"/>
    <w:rsid w:val="005B6A63"/>
    <w:rsid w:val="005B77C7"/>
    <w:rsid w:val="005B7EBB"/>
    <w:rsid w:val="005C16A6"/>
    <w:rsid w:val="005C2F03"/>
    <w:rsid w:val="005C413D"/>
    <w:rsid w:val="005C4A4E"/>
    <w:rsid w:val="005C56AA"/>
    <w:rsid w:val="005C7DE1"/>
    <w:rsid w:val="005D2409"/>
    <w:rsid w:val="005D2C0D"/>
    <w:rsid w:val="005D3597"/>
    <w:rsid w:val="005D3D33"/>
    <w:rsid w:val="005D4302"/>
    <w:rsid w:val="005D44A7"/>
    <w:rsid w:val="005D48BE"/>
    <w:rsid w:val="005D516C"/>
    <w:rsid w:val="005D66ED"/>
    <w:rsid w:val="005D6C01"/>
    <w:rsid w:val="005D6CEF"/>
    <w:rsid w:val="005D78D7"/>
    <w:rsid w:val="005E109D"/>
    <w:rsid w:val="005E1381"/>
    <w:rsid w:val="005E1D03"/>
    <w:rsid w:val="005E24F4"/>
    <w:rsid w:val="005E2549"/>
    <w:rsid w:val="005E2EC9"/>
    <w:rsid w:val="005E377A"/>
    <w:rsid w:val="005E3E75"/>
    <w:rsid w:val="005E5045"/>
    <w:rsid w:val="005E5855"/>
    <w:rsid w:val="005E6258"/>
    <w:rsid w:val="005E6359"/>
    <w:rsid w:val="005E6AF0"/>
    <w:rsid w:val="005E6C7C"/>
    <w:rsid w:val="005E7834"/>
    <w:rsid w:val="005F102A"/>
    <w:rsid w:val="005F119A"/>
    <w:rsid w:val="005F1202"/>
    <w:rsid w:val="005F2162"/>
    <w:rsid w:val="005F3233"/>
    <w:rsid w:val="005F3907"/>
    <w:rsid w:val="005F3A08"/>
    <w:rsid w:val="005F3D51"/>
    <w:rsid w:val="005F407D"/>
    <w:rsid w:val="005F42E7"/>
    <w:rsid w:val="005F5D8A"/>
    <w:rsid w:val="005F5E8E"/>
    <w:rsid w:val="005F5F2E"/>
    <w:rsid w:val="006008A0"/>
    <w:rsid w:val="00600DA3"/>
    <w:rsid w:val="00601679"/>
    <w:rsid w:val="006018BB"/>
    <w:rsid w:val="0060194C"/>
    <w:rsid w:val="00602BE8"/>
    <w:rsid w:val="00602C75"/>
    <w:rsid w:val="00603228"/>
    <w:rsid w:val="0060380C"/>
    <w:rsid w:val="0060499E"/>
    <w:rsid w:val="006053C5"/>
    <w:rsid w:val="00605501"/>
    <w:rsid w:val="00605C7D"/>
    <w:rsid w:val="006067D8"/>
    <w:rsid w:val="006071C3"/>
    <w:rsid w:val="00610505"/>
    <w:rsid w:val="0061121E"/>
    <w:rsid w:val="006118C7"/>
    <w:rsid w:val="00611B05"/>
    <w:rsid w:val="00612E2F"/>
    <w:rsid w:val="00613338"/>
    <w:rsid w:val="006139AA"/>
    <w:rsid w:val="006146DA"/>
    <w:rsid w:val="00614E69"/>
    <w:rsid w:val="00615B21"/>
    <w:rsid w:val="00615B4F"/>
    <w:rsid w:val="00616900"/>
    <w:rsid w:val="00616E5F"/>
    <w:rsid w:val="006176ED"/>
    <w:rsid w:val="00617761"/>
    <w:rsid w:val="00617A87"/>
    <w:rsid w:val="00622D69"/>
    <w:rsid w:val="006234AF"/>
    <w:rsid w:val="00623724"/>
    <w:rsid w:val="0062449B"/>
    <w:rsid w:val="00626545"/>
    <w:rsid w:val="00626815"/>
    <w:rsid w:val="0062688C"/>
    <w:rsid w:val="0062695A"/>
    <w:rsid w:val="00626A11"/>
    <w:rsid w:val="00626A33"/>
    <w:rsid w:val="00627916"/>
    <w:rsid w:val="00627C7C"/>
    <w:rsid w:val="00627F39"/>
    <w:rsid w:val="00627F95"/>
    <w:rsid w:val="006300F4"/>
    <w:rsid w:val="0063029F"/>
    <w:rsid w:val="00630A26"/>
    <w:rsid w:val="00632271"/>
    <w:rsid w:val="00632BAB"/>
    <w:rsid w:val="00632DAE"/>
    <w:rsid w:val="00633248"/>
    <w:rsid w:val="00633AEB"/>
    <w:rsid w:val="00634C44"/>
    <w:rsid w:val="00635AF8"/>
    <w:rsid w:val="00635D47"/>
    <w:rsid w:val="00635D76"/>
    <w:rsid w:val="006365C9"/>
    <w:rsid w:val="00636F61"/>
    <w:rsid w:val="00640187"/>
    <w:rsid w:val="00640571"/>
    <w:rsid w:val="00641565"/>
    <w:rsid w:val="00642259"/>
    <w:rsid w:val="006435FA"/>
    <w:rsid w:val="00643EC9"/>
    <w:rsid w:val="006443AE"/>
    <w:rsid w:val="006448CE"/>
    <w:rsid w:val="00646084"/>
    <w:rsid w:val="00646884"/>
    <w:rsid w:val="006502C8"/>
    <w:rsid w:val="00650F22"/>
    <w:rsid w:val="0065181A"/>
    <w:rsid w:val="00651A87"/>
    <w:rsid w:val="00652ACB"/>
    <w:rsid w:val="00652D11"/>
    <w:rsid w:val="006538B3"/>
    <w:rsid w:val="00653E56"/>
    <w:rsid w:val="00653F8F"/>
    <w:rsid w:val="00654EED"/>
    <w:rsid w:val="00655BA3"/>
    <w:rsid w:val="006567A7"/>
    <w:rsid w:val="006567BE"/>
    <w:rsid w:val="00656D3D"/>
    <w:rsid w:val="006571B8"/>
    <w:rsid w:val="00657402"/>
    <w:rsid w:val="0065772A"/>
    <w:rsid w:val="00657D5D"/>
    <w:rsid w:val="006610A7"/>
    <w:rsid w:val="0066122C"/>
    <w:rsid w:val="006613E9"/>
    <w:rsid w:val="00661837"/>
    <w:rsid w:val="0066229A"/>
    <w:rsid w:val="0066232A"/>
    <w:rsid w:val="0066316D"/>
    <w:rsid w:val="0066444F"/>
    <w:rsid w:val="00664529"/>
    <w:rsid w:val="006656B7"/>
    <w:rsid w:val="006665EF"/>
    <w:rsid w:val="0066753D"/>
    <w:rsid w:val="00667D86"/>
    <w:rsid w:val="006703DD"/>
    <w:rsid w:val="00670A8F"/>
    <w:rsid w:val="00671972"/>
    <w:rsid w:val="0067200E"/>
    <w:rsid w:val="006734B0"/>
    <w:rsid w:val="006734FA"/>
    <w:rsid w:val="00673896"/>
    <w:rsid w:val="00675802"/>
    <w:rsid w:val="0067625B"/>
    <w:rsid w:val="00677090"/>
    <w:rsid w:val="006776ED"/>
    <w:rsid w:val="00677F36"/>
    <w:rsid w:val="006817B2"/>
    <w:rsid w:val="00681860"/>
    <w:rsid w:val="00682A5D"/>
    <w:rsid w:val="00684E2E"/>
    <w:rsid w:val="00684FBD"/>
    <w:rsid w:val="00687C6E"/>
    <w:rsid w:val="00691302"/>
    <w:rsid w:val="00691A2E"/>
    <w:rsid w:val="00691E76"/>
    <w:rsid w:val="00692302"/>
    <w:rsid w:val="0069301B"/>
    <w:rsid w:val="0069357A"/>
    <w:rsid w:val="00693F84"/>
    <w:rsid w:val="00694914"/>
    <w:rsid w:val="0069496A"/>
    <w:rsid w:val="00694C04"/>
    <w:rsid w:val="00695CA1"/>
    <w:rsid w:val="00696271"/>
    <w:rsid w:val="006966D0"/>
    <w:rsid w:val="00696750"/>
    <w:rsid w:val="00696A51"/>
    <w:rsid w:val="006972F0"/>
    <w:rsid w:val="006973B8"/>
    <w:rsid w:val="00697D41"/>
    <w:rsid w:val="00697FBF"/>
    <w:rsid w:val="006A22CF"/>
    <w:rsid w:val="006A2E69"/>
    <w:rsid w:val="006A3ED3"/>
    <w:rsid w:val="006A6A5D"/>
    <w:rsid w:val="006A705A"/>
    <w:rsid w:val="006A7370"/>
    <w:rsid w:val="006B041D"/>
    <w:rsid w:val="006B0BEE"/>
    <w:rsid w:val="006B1096"/>
    <w:rsid w:val="006B16C3"/>
    <w:rsid w:val="006B17EA"/>
    <w:rsid w:val="006B2136"/>
    <w:rsid w:val="006B316B"/>
    <w:rsid w:val="006B3788"/>
    <w:rsid w:val="006B37AA"/>
    <w:rsid w:val="006B4645"/>
    <w:rsid w:val="006B50B6"/>
    <w:rsid w:val="006B5173"/>
    <w:rsid w:val="006B5E2A"/>
    <w:rsid w:val="006B6287"/>
    <w:rsid w:val="006B6793"/>
    <w:rsid w:val="006B6AB4"/>
    <w:rsid w:val="006B77B3"/>
    <w:rsid w:val="006B7E9A"/>
    <w:rsid w:val="006C1053"/>
    <w:rsid w:val="006C1AA0"/>
    <w:rsid w:val="006C1B43"/>
    <w:rsid w:val="006C29FE"/>
    <w:rsid w:val="006C3794"/>
    <w:rsid w:val="006C557A"/>
    <w:rsid w:val="006C6476"/>
    <w:rsid w:val="006C71BA"/>
    <w:rsid w:val="006C72D9"/>
    <w:rsid w:val="006C7D1D"/>
    <w:rsid w:val="006D015F"/>
    <w:rsid w:val="006D0656"/>
    <w:rsid w:val="006D0C94"/>
    <w:rsid w:val="006D156C"/>
    <w:rsid w:val="006D1B8A"/>
    <w:rsid w:val="006D1E31"/>
    <w:rsid w:val="006D2585"/>
    <w:rsid w:val="006D48B5"/>
    <w:rsid w:val="006D4E6D"/>
    <w:rsid w:val="006D4FFA"/>
    <w:rsid w:val="006D5003"/>
    <w:rsid w:val="006D5166"/>
    <w:rsid w:val="006D5187"/>
    <w:rsid w:val="006D51D2"/>
    <w:rsid w:val="006D5738"/>
    <w:rsid w:val="006D58D9"/>
    <w:rsid w:val="006D63F9"/>
    <w:rsid w:val="006D78DF"/>
    <w:rsid w:val="006D7B27"/>
    <w:rsid w:val="006D7CB9"/>
    <w:rsid w:val="006D7EDC"/>
    <w:rsid w:val="006D7F16"/>
    <w:rsid w:val="006E098E"/>
    <w:rsid w:val="006E10BC"/>
    <w:rsid w:val="006E23E2"/>
    <w:rsid w:val="006E259E"/>
    <w:rsid w:val="006E2718"/>
    <w:rsid w:val="006E27D2"/>
    <w:rsid w:val="006E2F1F"/>
    <w:rsid w:val="006E2F47"/>
    <w:rsid w:val="006E30D6"/>
    <w:rsid w:val="006E3151"/>
    <w:rsid w:val="006E52EB"/>
    <w:rsid w:val="006E5343"/>
    <w:rsid w:val="006E5FCB"/>
    <w:rsid w:val="006E67F2"/>
    <w:rsid w:val="006E6E7E"/>
    <w:rsid w:val="006E715C"/>
    <w:rsid w:val="006F03EE"/>
    <w:rsid w:val="006F0652"/>
    <w:rsid w:val="006F0C66"/>
    <w:rsid w:val="006F17BD"/>
    <w:rsid w:val="006F2098"/>
    <w:rsid w:val="006F2793"/>
    <w:rsid w:val="006F2F59"/>
    <w:rsid w:val="006F3C22"/>
    <w:rsid w:val="006F40E9"/>
    <w:rsid w:val="006F411E"/>
    <w:rsid w:val="006F4E68"/>
    <w:rsid w:val="006F57F4"/>
    <w:rsid w:val="006F5D2D"/>
    <w:rsid w:val="006F5DC2"/>
    <w:rsid w:val="007003FE"/>
    <w:rsid w:val="0070041C"/>
    <w:rsid w:val="00700B76"/>
    <w:rsid w:val="00701EA8"/>
    <w:rsid w:val="0070226A"/>
    <w:rsid w:val="007025B5"/>
    <w:rsid w:val="00702FB0"/>
    <w:rsid w:val="00705F09"/>
    <w:rsid w:val="007060F6"/>
    <w:rsid w:val="00706AD4"/>
    <w:rsid w:val="00707DB9"/>
    <w:rsid w:val="00710BF0"/>
    <w:rsid w:val="00711362"/>
    <w:rsid w:val="00711ECE"/>
    <w:rsid w:val="0071229E"/>
    <w:rsid w:val="0071236F"/>
    <w:rsid w:val="0071296B"/>
    <w:rsid w:val="007129BC"/>
    <w:rsid w:val="007129ED"/>
    <w:rsid w:val="00713B15"/>
    <w:rsid w:val="007141EC"/>
    <w:rsid w:val="007149F2"/>
    <w:rsid w:val="0071534F"/>
    <w:rsid w:val="00716670"/>
    <w:rsid w:val="0071699F"/>
    <w:rsid w:val="00717663"/>
    <w:rsid w:val="00717903"/>
    <w:rsid w:val="0072005A"/>
    <w:rsid w:val="00720284"/>
    <w:rsid w:val="00720779"/>
    <w:rsid w:val="007209D2"/>
    <w:rsid w:val="007210BC"/>
    <w:rsid w:val="00721B77"/>
    <w:rsid w:val="00722413"/>
    <w:rsid w:val="00722654"/>
    <w:rsid w:val="00722AE9"/>
    <w:rsid w:val="00722B17"/>
    <w:rsid w:val="00722BFA"/>
    <w:rsid w:val="00723474"/>
    <w:rsid w:val="00723991"/>
    <w:rsid w:val="00724751"/>
    <w:rsid w:val="00724759"/>
    <w:rsid w:val="00726745"/>
    <w:rsid w:val="0072760A"/>
    <w:rsid w:val="00727F0A"/>
    <w:rsid w:val="00730092"/>
    <w:rsid w:val="00730B83"/>
    <w:rsid w:val="007310DC"/>
    <w:rsid w:val="007313A4"/>
    <w:rsid w:val="00731935"/>
    <w:rsid w:val="007326B7"/>
    <w:rsid w:val="00732B04"/>
    <w:rsid w:val="007336D9"/>
    <w:rsid w:val="0073445B"/>
    <w:rsid w:val="007346A4"/>
    <w:rsid w:val="00734FA1"/>
    <w:rsid w:val="007354C0"/>
    <w:rsid w:val="00735E81"/>
    <w:rsid w:val="00736FDA"/>
    <w:rsid w:val="00741347"/>
    <w:rsid w:val="00741857"/>
    <w:rsid w:val="007420F5"/>
    <w:rsid w:val="00742E95"/>
    <w:rsid w:val="007436C5"/>
    <w:rsid w:val="0074398B"/>
    <w:rsid w:val="00743D68"/>
    <w:rsid w:val="0074624D"/>
    <w:rsid w:val="00746648"/>
    <w:rsid w:val="007468C2"/>
    <w:rsid w:val="00746962"/>
    <w:rsid w:val="00746AF6"/>
    <w:rsid w:val="00746E2F"/>
    <w:rsid w:val="007473B5"/>
    <w:rsid w:val="00747695"/>
    <w:rsid w:val="00750181"/>
    <w:rsid w:val="00750F17"/>
    <w:rsid w:val="00752B76"/>
    <w:rsid w:val="00753C82"/>
    <w:rsid w:val="00753CE6"/>
    <w:rsid w:val="007565E1"/>
    <w:rsid w:val="00756759"/>
    <w:rsid w:val="00756B08"/>
    <w:rsid w:val="007571E8"/>
    <w:rsid w:val="00757790"/>
    <w:rsid w:val="007601F8"/>
    <w:rsid w:val="007603CD"/>
    <w:rsid w:val="007608E9"/>
    <w:rsid w:val="00760FE6"/>
    <w:rsid w:val="00761652"/>
    <w:rsid w:val="0076195D"/>
    <w:rsid w:val="007626C6"/>
    <w:rsid w:val="00762CA9"/>
    <w:rsid w:val="00763200"/>
    <w:rsid w:val="00763BF9"/>
    <w:rsid w:val="00763CC7"/>
    <w:rsid w:val="007640E1"/>
    <w:rsid w:val="0076428A"/>
    <w:rsid w:val="00764356"/>
    <w:rsid w:val="007648B9"/>
    <w:rsid w:val="007650E3"/>
    <w:rsid w:val="00770D3D"/>
    <w:rsid w:val="00770EFD"/>
    <w:rsid w:val="007712B1"/>
    <w:rsid w:val="007712E7"/>
    <w:rsid w:val="00772DA8"/>
    <w:rsid w:val="00772ED3"/>
    <w:rsid w:val="007741DA"/>
    <w:rsid w:val="00774804"/>
    <w:rsid w:val="007749A3"/>
    <w:rsid w:val="00774A87"/>
    <w:rsid w:val="00774F8E"/>
    <w:rsid w:val="00775669"/>
    <w:rsid w:val="00775982"/>
    <w:rsid w:val="00776D6A"/>
    <w:rsid w:val="00777CA5"/>
    <w:rsid w:val="00777F99"/>
    <w:rsid w:val="00780209"/>
    <w:rsid w:val="00780DEF"/>
    <w:rsid w:val="0078164B"/>
    <w:rsid w:val="0078237A"/>
    <w:rsid w:val="0078265D"/>
    <w:rsid w:val="00783275"/>
    <w:rsid w:val="007837D9"/>
    <w:rsid w:val="00783A29"/>
    <w:rsid w:val="007843AB"/>
    <w:rsid w:val="00784B39"/>
    <w:rsid w:val="007863E3"/>
    <w:rsid w:val="007867B1"/>
    <w:rsid w:val="0078693A"/>
    <w:rsid w:val="00786CC8"/>
    <w:rsid w:val="00787072"/>
    <w:rsid w:val="00787763"/>
    <w:rsid w:val="00787D0A"/>
    <w:rsid w:val="00791747"/>
    <w:rsid w:val="00792741"/>
    <w:rsid w:val="00792F8D"/>
    <w:rsid w:val="00795D9F"/>
    <w:rsid w:val="0079639A"/>
    <w:rsid w:val="00797F98"/>
    <w:rsid w:val="007A03E5"/>
    <w:rsid w:val="007A0832"/>
    <w:rsid w:val="007A1141"/>
    <w:rsid w:val="007A1706"/>
    <w:rsid w:val="007A1FB4"/>
    <w:rsid w:val="007A2EEB"/>
    <w:rsid w:val="007A3D48"/>
    <w:rsid w:val="007A4365"/>
    <w:rsid w:val="007A53EA"/>
    <w:rsid w:val="007A5D9D"/>
    <w:rsid w:val="007A6008"/>
    <w:rsid w:val="007A6C4D"/>
    <w:rsid w:val="007A6E35"/>
    <w:rsid w:val="007A7741"/>
    <w:rsid w:val="007A7891"/>
    <w:rsid w:val="007A7893"/>
    <w:rsid w:val="007A7A96"/>
    <w:rsid w:val="007A7EF3"/>
    <w:rsid w:val="007B1C12"/>
    <w:rsid w:val="007B1D77"/>
    <w:rsid w:val="007B23C4"/>
    <w:rsid w:val="007B2E28"/>
    <w:rsid w:val="007B2E64"/>
    <w:rsid w:val="007B3527"/>
    <w:rsid w:val="007B4063"/>
    <w:rsid w:val="007B48A7"/>
    <w:rsid w:val="007B48BC"/>
    <w:rsid w:val="007B4FC7"/>
    <w:rsid w:val="007B526C"/>
    <w:rsid w:val="007B5636"/>
    <w:rsid w:val="007B59F6"/>
    <w:rsid w:val="007B5A0F"/>
    <w:rsid w:val="007B662E"/>
    <w:rsid w:val="007B680C"/>
    <w:rsid w:val="007B7720"/>
    <w:rsid w:val="007B7C27"/>
    <w:rsid w:val="007C0780"/>
    <w:rsid w:val="007C0AED"/>
    <w:rsid w:val="007C0F0E"/>
    <w:rsid w:val="007C1369"/>
    <w:rsid w:val="007C13A0"/>
    <w:rsid w:val="007C13DB"/>
    <w:rsid w:val="007C27A4"/>
    <w:rsid w:val="007C2C1B"/>
    <w:rsid w:val="007C4401"/>
    <w:rsid w:val="007C531A"/>
    <w:rsid w:val="007C6B0D"/>
    <w:rsid w:val="007C73B0"/>
    <w:rsid w:val="007D001C"/>
    <w:rsid w:val="007D196E"/>
    <w:rsid w:val="007D1BF2"/>
    <w:rsid w:val="007D1D65"/>
    <w:rsid w:val="007D2682"/>
    <w:rsid w:val="007D2F9F"/>
    <w:rsid w:val="007D33EB"/>
    <w:rsid w:val="007D44A9"/>
    <w:rsid w:val="007D46D5"/>
    <w:rsid w:val="007D5429"/>
    <w:rsid w:val="007D59D5"/>
    <w:rsid w:val="007D5D60"/>
    <w:rsid w:val="007D5F65"/>
    <w:rsid w:val="007D676B"/>
    <w:rsid w:val="007D7867"/>
    <w:rsid w:val="007E05A7"/>
    <w:rsid w:val="007E0693"/>
    <w:rsid w:val="007E2261"/>
    <w:rsid w:val="007E2730"/>
    <w:rsid w:val="007E2F2A"/>
    <w:rsid w:val="007E4AC9"/>
    <w:rsid w:val="007E71CB"/>
    <w:rsid w:val="007E72D6"/>
    <w:rsid w:val="007E7BA9"/>
    <w:rsid w:val="007F0200"/>
    <w:rsid w:val="007F1BDF"/>
    <w:rsid w:val="007F1D3B"/>
    <w:rsid w:val="007F2344"/>
    <w:rsid w:val="007F2E3C"/>
    <w:rsid w:val="007F3418"/>
    <w:rsid w:val="007F45DC"/>
    <w:rsid w:val="007F4B8F"/>
    <w:rsid w:val="007F4D0A"/>
    <w:rsid w:val="007F5087"/>
    <w:rsid w:val="007F52C6"/>
    <w:rsid w:val="007F5DA7"/>
    <w:rsid w:val="007F6B7A"/>
    <w:rsid w:val="007F6C97"/>
    <w:rsid w:val="007F6EA7"/>
    <w:rsid w:val="0080016C"/>
    <w:rsid w:val="0080142D"/>
    <w:rsid w:val="00802449"/>
    <w:rsid w:val="0080269F"/>
    <w:rsid w:val="0080343D"/>
    <w:rsid w:val="00803D3D"/>
    <w:rsid w:val="00803EA3"/>
    <w:rsid w:val="00804E18"/>
    <w:rsid w:val="00804EAC"/>
    <w:rsid w:val="008105E6"/>
    <w:rsid w:val="00811D51"/>
    <w:rsid w:val="00811D6B"/>
    <w:rsid w:val="008125A7"/>
    <w:rsid w:val="00812C4C"/>
    <w:rsid w:val="00812E9B"/>
    <w:rsid w:val="008145C7"/>
    <w:rsid w:val="008148A5"/>
    <w:rsid w:val="0081504F"/>
    <w:rsid w:val="0081533D"/>
    <w:rsid w:val="00815CB3"/>
    <w:rsid w:val="00817E44"/>
    <w:rsid w:val="008200BD"/>
    <w:rsid w:val="00820477"/>
    <w:rsid w:val="0082069D"/>
    <w:rsid w:val="00821D6A"/>
    <w:rsid w:val="00822025"/>
    <w:rsid w:val="00823849"/>
    <w:rsid w:val="00825596"/>
    <w:rsid w:val="008258A1"/>
    <w:rsid w:val="00825C26"/>
    <w:rsid w:val="00825CB0"/>
    <w:rsid w:val="00825D62"/>
    <w:rsid w:val="00826D02"/>
    <w:rsid w:val="00827BF8"/>
    <w:rsid w:val="008306C9"/>
    <w:rsid w:val="008307B7"/>
    <w:rsid w:val="00830D5E"/>
    <w:rsid w:val="00830E3E"/>
    <w:rsid w:val="00831FBF"/>
    <w:rsid w:val="00832FDF"/>
    <w:rsid w:val="00833341"/>
    <w:rsid w:val="00833E42"/>
    <w:rsid w:val="008353D2"/>
    <w:rsid w:val="00837C5F"/>
    <w:rsid w:val="00841B23"/>
    <w:rsid w:val="008422E3"/>
    <w:rsid w:val="00842872"/>
    <w:rsid w:val="00843435"/>
    <w:rsid w:val="00843D09"/>
    <w:rsid w:val="008442A7"/>
    <w:rsid w:val="00844AFB"/>
    <w:rsid w:val="00844F8C"/>
    <w:rsid w:val="008451C1"/>
    <w:rsid w:val="0084578F"/>
    <w:rsid w:val="0084651B"/>
    <w:rsid w:val="0084740E"/>
    <w:rsid w:val="0084745B"/>
    <w:rsid w:val="008477EA"/>
    <w:rsid w:val="00847D2E"/>
    <w:rsid w:val="00847FC4"/>
    <w:rsid w:val="00853853"/>
    <w:rsid w:val="00854F10"/>
    <w:rsid w:val="00855283"/>
    <w:rsid w:val="00855846"/>
    <w:rsid w:val="00855DF0"/>
    <w:rsid w:val="0085683C"/>
    <w:rsid w:val="00857381"/>
    <w:rsid w:val="00857DAF"/>
    <w:rsid w:val="00857E8B"/>
    <w:rsid w:val="00857F15"/>
    <w:rsid w:val="0086045E"/>
    <w:rsid w:val="00860BB6"/>
    <w:rsid w:val="00862387"/>
    <w:rsid w:val="008629E4"/>
    <w:rsid w:val="00862DFC"/>
    <w:rsid w:val="00862E68"/>
    <w:rsid w:val="00863407"/>
    <w:rsid w:val="0086363C"/>
    <w:rsid w:val="008639A0"/>
    <w:rsid w:val="008639B3"/>
    <w:rsid w:val="00863D5E"/>
    <w:rsid w:val="00863DFB"/>
    <w:rsid w:val="008657D0"/>
    <w:rsid w:val="00865B26"/>
    <w:rsid w:val="0086676C"/>
    <w:rsid w:val="00866AB5"/>
    <w:rsid w:val="00866E38"/>
    <w:rsid w:val="008670F3"/>
    <w:rsid w:val="00867818"/>
    <w:rsid w:val="00867A41"/>
    <w:rsid w:val="00867BD6"/>
    <w:rsid w:val="008703A2"/>
    <w:rsid w:val="008706A8"/>
    <w:rsid w:val="0087076C"/>
    <w:rsid w:val="0087097B"/>
    <w:rsid w:val="008725BC"/>
    <w:rsid w:val="008745E5"/>
    <w:rsid w:val="00875211"/>
    <w:rsid w:val="008767FB"/>
    <w:rsid w:val="00880BC4"/>
    <w:rsid w:val="00880D00"/>
    <w:rsid w:val="008819AF"/>
    <w:rsid w:val="00882D09"/>
    <w:rsid w:val="0088367E"/>
    <w:rsid w:val="0088378F"/>
    <w:rsid w:val="008841BB"/>
    <w:rsid w:val="00885C63"/>
    <w:rsid w:val="008861E9"/>
    <w:rsid w:val="0088673C"/>
    <w:rsid w:val="0088698B"/>
    <w:rsid w:val="00886D7B"/>
    <w:rsid w:val="0088737E"/>
    <w:rsid w:val="00887697"/>
    <w:rsid w:val="008905F1"/>
    <w:rsid w:val="00890797"/>
    <w:rsid w:val="00890E2C"/>
    <w:rsid w:val="0089127F"/>
    <w:rsid w:val="00891342"/>
    <w:rsid w:val="00891E29"/>
    <w:rsid w:val="00893C07"/>
    <w:rsid w:val="00893D43"/>
    <w:rsid w:val="0089467E"/>
    <w:rsid w:val="00894873"/>
    <w:rsid w:val="00895875"/>
    <w:rsid w:val="008958CF"/>
    <w:rsid w:val="008959EA"/>
    <w:rsid w:val="00896087"/>
    <w:rsid w:val="00896B1F"/>
    <w:rsid w:val="00897180"/>
    <w:rsid w:val="00897427"/>
    <w:rsid w:val="00897524"/>
    <w:rsid w:val="00897D74"/>
    <w:rsid w:val="00897E9A"/>
    <w:rsid w:val="008A0A7F"/>
    <w:rsid w:val="008A0D5B"/>
    <w:rsid w:val="008A0FB7"/>
    <w:rsid w:val="008A1099"/>
    <w:rsid w:val="008A1CBF"/>
    <w:rsid w:val="008A1D73"/>
    <w:rsid w:val="008A2142"/>
    <w:rsid w:val="008A2BC5"/>
    <w:rsid w:val="008A36BB"/>
    <w:rsid w:val="008A3A87"/>
    <w:rsid w:val="008A3D16"/>
    <w:rsid w:val="008A40B9"/>
    <w:rsid w:val="008A54B5"/>
    <w:rsid w:val="008A5F47"/>
    <w:rsid w:val="008A6668"/>
    <w:rsid w:val="008A6AA0"/>
    <w:rsid w:val="008A6FF2"/>
    <w:rsid w:val="008A71ED"/>
    <w:rsid w:val="008A7965"/>
    <w:rsid w:val="008B06A0"/>
    <w:rsid w:val="008B0BA8"/>
    <w:rsid w:val="008B0C3C"/>
    <w:rsid w:val="008B0D41"/>
    <w:rsid w:val="008B0F13"/>
    <w:rsid w:val="008B15B1"/>
    <w:rsid w:val="008B3EAF"/>
    <w:rsid w:val="008B42C4"/>
    <w:rsid w:val="008B44D6"/>
    <w:rsid w:val="008B457E"/>
    <w:rsid w:val="008B5292"/>
    <w:rsid w:val="008B5D7C"/>
    <w:rsid w:val="008B5DD0"/>
    <w:rsid w:val="008B691D"/>
    <w:rsid w:val="008B72AA"/>
    <w:rsid w:val="008B754F"/>
    <w:rsid w:val="008B7999"/>
    <w:rsid w:val="008C0894"/>
    <w:rsid w:val="008C1900"/>
    <w:rsid w:val="008C1C10"/>
    <w:rsid w:val="008C21B1"/>
    <w:rsid w:val="008C4056"/>
    <w:rsid w:val="008C472A"/>
    <w:rsid w:val="008C6946"/>
    <w:rsid w:val="008C6A76"/>
    <w:rsid w:val="008C6EB8"/>
    <w:rsid w:val="008C72B4"/>
    <w:rsid w:val="008D037B"/>
    <w:rsid w:val="008D268E"/>
    <w:rsid w:val="008D28E3"/>
    <w:rsid w:val="008D2D9A"/>
    <w:rsid w:val="008D33FF"/>
    <w:rsid w:val="008D6632"/>
    <w:rsid w:val="008D70C2"/>
    <w:rsid w:val="008D7BC1"/>
    <w:rsid w:val="008D7CBB"/>
    <w:rsid w:val="008E0072"/>
    <w:rsid w:val="008E189F"/>
    <w:rsid w:val="008E1A07"/>
    <w:rsid w:val="008E1A45"/>
    <w:rsid w:val="008E1B83"/>
    <w:rsid w:val="008E365C"/>
    <w:rsid w:val="008E4277"/>
    <w:rsid w:val="008E4F2D"/>
    <w:rsid w:val="008E521C"/>
    <w:rsid w:val="008E672D"/>
    <w:rsid w:val="008E69C4"/>
    <w:rsid w:val="008E7CB2"/>
    <w:rsid w:val="008F2AF0"/>
    <w:rsid w:val="008F441C"/>
    <w:rsid w:val="008F4547"/>
    <w:rsid w:val="008F45DC"/>
    <w:rsid w:val="008F491C"/>
    <w:rsid w:val="008F5425"/>
    <w:rsid w:val="008F57B1"/>
    <w:rsid w:val="008F5FC1"/>
    <w:rsid w:val="008F6075"/>
    <w:rsid w:val="008F684E"/>
    <w:rsid w:val="008F7347"/>
    <w:rsid w:val="008F7495"/>
    <w:rsid w:val="009003DF"/>
    <w:rsid w:val="0090057C"/>
    <w:rsid w:val="0090098A"/>
    <w:rsid w:val="009009C3"/>
    <w:rsid w:val="00900E4F"/>
    <w:rsid w:val="00901574"/>
    <w:rsid w:val="009017F7"/>
    <w:rsid w:val="00902558"/>
    <w:rsid w:val="00903313"/>
    <w:rsid w:val="00903DA9"/>
    <w:rsid w:val="009045B5"/>
    <w:rsid w:val="00905046"/>
    <w:rsid w:val="009059BF"/>
    <w:rsid w:val="0090698B"/>
    <w:rsid w:val="00910420"/>
    <w:rsid w:val="00910476"/>
    <w:rsid w:val="0091047F"/>
    <w:rsid w:val="00911617"/>
    <w:rsid w:val="00911AFE"/>
    <w:rsid w:val="00912219"/>
    <w:rsid w:val="0091229A"/>
    <w:rsid w:val="0091298A"/>
    <w:rsid w:val="00914056"/>
    <w:rsid w:val="00914404"/>
    <w:rsid w:val="00914745"/>
    <w:rsid w:val="0091493E"/>
    <w:rsid w:val="00914976"/>
    <w:rsid w:val="00914B49"/>
    <w:rsid w:val="00915FCF"/>
    <w:rsid w:val="00916807"/>
    <w:rsid w:val="009168B1"/>
    <w:rsid w:val="00917922"/>
    <w:rsid w:val="00917A31"/>
    <w:rsid w:val="00921107"/>
    <w:rsid w:val="00921557"/>
    <w:rsid w:val="0092206B"/>
    <w:rsid w:val="0092222B"/>
    <w:rsid w:val="0092332B"/>
    <w:rsid w:val="00923810"/>
    <w:rsid w:val="009247D2"/>
    <w:rsid w:val="009254DF"/>
    <w:rsid w:val="009266C3"/>
    <w:rsid w:val="00927269"/>
    <w:rsid w:val="009300CF"/>
    <w:rsid w:val="009310BC"/>
    <w:rsid w:val="00931CA8"/>
    <w:rsid w:val="00932A6A"/>
    <w:rsid w:val="00933054"/>
    <w:rsid w:val="00935CCD"/>
    <w:rsid w:val="009363D5"/>
    <w:rsid w:val="00937000"/>
    <w:rsid w:val="0093785A"/>
    <w:rsid w:val="009404B7"/>
    <w:rsid w:val="0094056C"/>
    <w:rsid w:val="009405DA"/>
    <w:rsid w:val="009421A1"/>
    <w:rsid w:val="00942F82"/>
    <w:rsid w:val="00943299"/>
    <w:rsid w:val="00943720"/>
    <w:rsid w:val="00943906"/>
    <w:rsid w:val="00943D82"/>
    <w:rsid w:val="00945896"/>
    <w:rsid w:val="00946316"/>
    <w:rsid w:val="00946662"/>
    <w:rsid w:val="00946E7E"/>
    <w:rsid w:val="00946F21"/>
    <w:rsid w:val="00947CEF"/>
    <w:rsid w:val="00952B1A"/>
    <w:rsid w:val="0095308D"/>
    <w:rsid w:val="0095360F"/>
    <w:rsid w:val="009536B0"/>
    <w:rsid w:val="00953E0C"/>
    <w:rsid w:val="00953FA5"/>
    <w:rsid w:val="009541A5"/>
    <w:rsid w:val="00954446"/>
    <w:rsid w:val="009547C8"/>
    <w:rsid w:val="00954D54"/>
    <w:rsid w:val="00955129"/>
    <w:rsid w:val="00955835"/>
    <w:rsid w:val="00955CB5"/>
    <w:rsid w:val="00955E91"/>
    <w:rsid w:val="009563E2"/>
    <w:rsid w:val="00956DA2"/>
    <w:rsid w:val="00956F7B"/>
    <w:rsid w:val="00957C4A"/>
    <w:rsid w:val="00960F68"/>
    <w:rsid w:val="00961447"/>
    <w:rsid w:val="00962249"/>
    <w:rsid w:val="00962746"/>
    <w:rsid w:val="00963770"/>
    <w:rsid w:val="0096391D"/>
    <w:rsid w:val="009645BC"/>
    <w:rsid w:val="00965376"/>
    <w:rsid w:val="009656EF"/>
    <w:rsid w:val="0096573F"/>
    <w:rsid w:val="00965C2E"/>
    <w:rsid w:val="0096661D"/>
    <w:rsid w:val="00966689"/>
    <w:rsid w:val="00966889"/>
    <w:rsid w:val="00966932"/>
    <w:rsid w:val="009674D3"/>
    <w:rsid w:val="0096761F"/>
    <w:rsid w:val="00970401"/>
    <w:rsid w:val="009705BA"/>
    <w:rsid w:val="009709B0"/>
    <w:rsid w:val="00970A6A"/>
    <w:rsid w:val="009714C5"/>
    <w:rsid w:val="009717E2"/>
    <w:rsid w:val="00971909"/>
    <w:rsid w:val="00971B62"/>
    <w:rsid w:val="00971BCB"/>
    <w:rsid w:val="00971D6B"/>
    <w:rsid w:val="00972B0C"/>
    <w:rsid w:val="00974095"/>
    <w:rsid w:val="00974D49"/>
    <w:rsid w:val="0097558A"/>
    <w:rsid w:val="00976920"/>
    <w:rsid w:val="00976B3E"/>
    <w:rsid w:val="0097710A"/>
    <w:rsid w:val="00977629"/>
    <w:rsid w:val="00977DCD"/>
    <w:rsid w:val="00980E56"/>
    <w:rsid w:val="0098122B"/>
    <w:rsid w:val="0098127A"/>
    <w:rsid w:val="00983172"/>
    <w:rsid w:val="009833F6"/>
    <w:rsid w:val="00984937"/>
    <w:rsid w:val="00984E50"/>
    <w:rsid w:val="00985300"/>
    <w:rsid w:val="00985B97"/>
    <w:rsid w:val="00986384"/>
    <w:rsid w:val="0098651F"/>
    <w:rsid w:val="0098734B"/>
    <w:rsid w:val="009916E8"/>
    <w:rsid w:val="00991CE5"/>
    <w:rsid w:val="009934D4"/>
    <w:rsid w:val="009939D9"/>
    <w:rsid w:val="00993B57"/>
    <w:rsid w:val="00993E10"/>
    <w:rsid w:val="00995365"/>
    <w:rsid w:val="00995DBF"/>
    <w:rsid w:val="00996618"/>
    <w:rsid w:val="0099683B"/>
    <w:rsid w:val="00996ED2"/>
    <w:rsid w:val="00996F87"/>
    <w:rsid w:val="00997425"/>
    <w:rsid w:val="009A02C3"/>
    <w:rsid w:val="009A0F3A"/>
    <w:rsid w:val="009A1614"/>
    <w:rsid w:val="009A18AB"/>
    <w:rsid w:val="009A1DE9"/>
    <w:rsid w:val="009A1EF2"/>
    <w:rsid w:val="009A25A4"/>
    <w:rsid w:val="009A3B49"/>
    <w:rsid w:val="009A3C13"/>
    <w:rsid w:val="009A5567"/>
    <w:rsid w:val="009A56E3"/>
    <w:rsid w:val="009A58FA"/>
    <w:rsid w:val="009A6344"/>
    <w:rsid w:val="009A63FA"/>
    <w:rsid w:val="009A6A9A"/>
    <w:rsid w:val="009A6F12"/>
    <w:rsid w:val="009A7F6C"/>
    <w:rsid w:val="009B14B7"/>
    <w:rsid w:val="009B16BA"/>
    <w:rsid w:val="009B1A17"/>
    <w:rsid w:val="009B1D6E"/>
    <w:rsid w:val="009B24D2"/>
    <w:rsid w:val="009B2999"/>
    <w:rsid w:val="009B2BCF"/>
    <w:rsid w:val="009B2EB6"/>
    <w:rsid w:val="009B3409"/>
    <w:rsid w:val="009B486E"/>
    <w:rsid w:val="009B4AE8"/>
    <w:rsid w:val="009B4D6C"/>
    <w:rsid w:val="009B5A84"/>
    <w:rsid w:val="009B70EC"/>
    <w:rsid w:val="009B71F7"/>
    <w:rsid w:val="009B7855"/>
    <w:rsid w:val="009C0459"/>
    <w:rsid w:val="009C0FDE"/>
    <w:rsid w:val="009C11A9"/>
    <w:rsid w:val="009C11D7"/>
    <w:rsid w:val="009C15FF"/>
    <w:rsid w:val="009C2966"/>
    <w:rsid w:val="009C2D4E"/>
    <w:rsid w:val="009C2FB1"/>
    <w:rsid w:val="009C4418"/>
    <w:rsid w:val="009C65AE"/>
    <w:rsid w:val="009C6E21"/>
    <w:rsid w:val="009C7006"/>
    <w:rsid w:val="009C7736"/>
    <w:rsid w:val="009C7C3D"/>
    <w:rsid w:val="009C7FE8"/>
    <w:rsid w:val="009D1D48"/>
    <w:rsid w:val="009D37D2"/>
    <w:rsid w:val="009D39A3"/>
    <w:rsid w:val="009D470B"/>
    <w:rsid w:val="009D4D76"/>
    <w:rsid w:val="009D4DE7"/>
    <w:rsid w:val="009D573C"/>
    <w:rsid w:val="009D59A8"/>
    <w:rsid w:val="009D6656"/>
    <w:rsid w:val="009E0416"/>
    <w:rsid w:val="009E0730"/>
    <w:rsid w:val="009E12EB"/>
    <w:rsid w:val="009E17A8"/>
    <w:rsid w:val="009E1EC9"/>
    <w:rsid w:val="009E2A4C"/>
    <w:rsid w:val="009E3366"/>
    <w:rsid w:val="009E3FC2"/>
    <w:rsid w:val="009E5A47"/>
    <w:rsid w:val="009E6C59"/>
    <w:rsid w:val="009E6EF9"/>
    <w:rsid w:val="009E7467"/>
    <w:rsid w:val="009E77F7"/>
    <w:rsid w:val="009F04B3"/>
    <w:rsid w:val="009F0F70"/>
    <w:rsid w:val="009F1044"/>
    <w:rsid w:val="009F106E"/>
    <w:rsid w:val="009F107D"/>
    <w:rsid w:val="009F2308"/>
    <w:rsid w:val="009F2F90"/>
    <w:rsid w:val="009F36FB"/>
    <w:rsid w:val="009F378B"/>
    <w:rsid w:val="009F3FA3"/>
    <w:rsid w:val="009F4011"/>
    <w:rsid w:val="009F4338"/>
    <w:rsid w:val="009F57D7"/>
    <w:rsid w:val="009F5F10"/>
    <w:rsid w:val="009F6205"/>
    <w:rsid w:val="009F6835"/>
    <w:rsid w:val="009F71D9"/>
    <w:rsid w:val="009F7A56"/>
    <w:rsid w:val="009F7B1E"/>
    <w:rsid w:val="00A001F2"/>
    <w:rsid w:val="00A01313"/>
    <w:rsid w:val="00A01513"/>
    <w:rsid w:val="00A0198E"/>
    <w:rsid w:val="00A02D97"/>
    <w:rsid w:val="00A031C1"/>
    <w:rsid w:val="00A03FE0"/>
    <w:rsid w:val="00A04096"/>
    <w:rsid w:val="00A04371"/>
    <w:rsid w:val="00A049CC"/>
    <w:rsid w:val="00A05844"/>
    <w:rsid w:val="00A05C5B"/>
    <w:rsid w:val="00A0645B"/>
    <w:rsid w:val="00A07457"/>
    <w:rsid w:val="00A07893"/>
    <w:rsid w:val="00A07BFB"/>
    <w:rsid w:val="00A109ED"/>
    <w:rsid w:val="00A10E31"/>
    <w:rsid w:val="00A10F90"/>
    <w:rsid w:val="00A114C6"/>
    <w:rsid w:val="00A11790"/>
    <w:rsid w:val="00A11FD1"/>
    <w:rsid w:val="00A14E48"/>
    <w:rsid w:val="00A15A30"/>
    <w:rsid w:val="00A16306"/>
    <w:rsid w:val="00A166B1"/>
    <w:rsid w:val="00A16975"/>
    <w:rsid w:val="00A20F0D"/>
    <w:rsid w:val="00A22A78"/>
    <w:rsid w:val="00A22C0E"/>
    <w:rsid w:val="00A2340D"/>
    <w:rsid w:val="00A238C2"/>
    <w:rsid w:val="00A23DCB"/>
    <w:rsid w:val="00A2498F"/>
    <w:rsid w:val="00A25589"/>
    <w:rsid w:val="00A2587F"/>
    <w:rsid w:val="00A25BD2"/>
    <w:rsid w:val="00A269C0"/>
    <w:rsid w:val="00A26D32"/>
    <w:rsid w:val="00A2713B"/>
    <w:rsid w:val="00A27558"/>
    <w:rsid w:val="00A30AFB"/>
    <w:rsid w:val="00A317C7"/>
    <w:rsid w:val="00A3243F"/>
    <w:rsid w:val="00A34940"/>
    <w:rsid w:val="00A40283"/>
    <w:rsid w:val="00A40A34"/>
    <w:rsid w:val="00A40E98"/>
    <w:rsid w:val="00A40F1F"/>
    <w:rsid w:val="00A4121D"/>
    <w:rsid w:val="00A41A44"/>
    <w:rsid w:val="00A41DA8"/>
    <w:rsid w:val="00A4278A"/>
    <w:rsid w:val="00A4293F"/>
    <w:rsid w:val="00A42F65"/>
    <w:rsid w:val="00A43669"/>
    <w:rsid w:val="00A43726"/>
    <w:rsid w:val="00A43F49"/>
    <w:rsid w:val="00A44CEC"/>
    <w:rsid w:val="00A45308"/>
    <w:rsid w:val="00A453CF"/>
    <w:rsid w:val="00A45BA3"/>
    <w:rsid w:val="00A45D0A"/>
    <w:rsid w:val="00A46386"/>
    <w:rsid w:val="00A47361"/>
    <w:rsid w:val="00A4785E"/>
    <w:rsid w:val="00A47E45"/>
    <w:rsid w:val="00A47FDE"/>
    <w:rsid w:val="00A5039A"/>
    <w:rsid w:val="00A505AA"/>
    <w:rsid w:val="00A51857"/>
    <w:rsid w:val="00A53A28"/>
    <w:rsid w:val="00A540A8"/>
    <w:rsid w:val="00A54746"/>
    <w:rsid w:val="00A55D7C"/>
    <w:rsid w:val="00A56291"/>
    <w:rsid w:val="00A569E2"/>
    <w:rsid w:val="00A56CAE"/>
    <w:rsid w:val="00A577CA"/>
    <w:rsid w:val="00A57F9D"/>
    <w:rsid w:val="00A602F2"/>
    <w:rsid w:val="00A60737"/>
    <w:rsid w:val="00A608A5"/>
    <w:rsid w:val="00A60AB6"/>
    <w:rsid w:val="00A62954"/>
    <w:rsid w:val="00A62AE6"/>
    <w:rsid w:val="00A62B18"/>
    <w:rsid w:val="00A6336F"/>
    <w:rsid w:val="00A63707"/>
    <w:rsid w:val="00A63728"/>
    <w:rsid w:val="00A63774"/>
    <w:rsid w:val="00A647BE"/>
    <w:rsid w:val="00A65918"/>
    <w:rsid w:val="00A65A9A"/>
    <w:rsid w:val="00A65AB8"/>
    <w:rsid w:val="00A65ADB"/>
    <w:rsid w:val="00A65BB3"/>
    <w:rsid w:val="00A66492"/>
    <w:rsid w:val="00A66B97"/>
    <w:rsid w:val="00A6736E"/>
    <w:rsid w:val="00A67896"/>
    <w:rsid w:val="00A67B3C"/>
    <w:rsid w:val="00A700F4"/>
    <w:rsid w:val="00A70371"/>
    <w:rsid w:val="00A7041D"/>
    <w:rsid w:val="00A70DAD"/>
    <w:rsid w:val="00A71927"/>
    <w:rsid w:val="00A71A14"/>
    <w:rsid w:val="00A71CB2"/>
    <w:rsid w:val="00A72532"/>
    <w:rsid w:val="00A730FD"/>
    <w:rsid w:val="00A73D5A"/>
    <w:rsid w:val="00A742A4"/>
    <w:rsid w:val="00A749F9"/>
    <w:rsid w:val="00A757ED"/>
    <w:rsid w:val="00A759F6"/>
    <w:rsid w:val="00A75C6C"/>
    <w:rsid w:val="00A76595"/>
    <w:rsid w:val="00A766AE"/>
    <w:rsid w:val="00A76A54"/>
    <w:rsid w:val="00A770BA"/>
    <w:rsid w:val="00A77A8C"/>
    <w:rsid w:val="00A77D67"/>
    <w:rsid w:val="00A77FC7"/>
    <w:rsid w:val="00A80AF1"/>
    <w:rsid w:val="00A80B47"/>
    <w:rsid w:val="00A80F1C"/>
    <w:rsid w:val="00A81A05"/>
    <w:rsid w:val="00A81B4F"/>
    <w:rsid w:val="00A822A4"/>
    <w:rsid w:val="00A8261C"/>
    <w:rsid w:val="00A82E2D"/>
    <w:rsid w:val="00A831F8"/>
    <w:rsid w:val="00A84AD9"/>
    <w:rsid w:val="00A85218"/>
    <w:rsid w:val="00A852B1"/>
    <w:rsid w:val="00A853E1"/>
    <w:rsid w:val="00A85860"/>
    <w:rsid w:val="00A85FB3"/>
    <w:rsid w:val="00A86DE1"/>
    <w:rsid w:val="00A872AF"/>
    <w:rsid w:val="00A9168D"/>
    <w:rsid w:val="00A91EAA"/>
    <w:rsid w:val="00A92D62"/>
    <w:rsid w:val="00A93BA6"/>
    <w:rsid w:val="00A93D5A"/>
    <w:rsid w:val="00A956C7"/>
    <w:rsid w:val="00A97830"/>
    <w:rsid w:val="00A97E97"/>
    <w:rsid w:val="00AA00D1"/>
    <w:rsid w:val="00AA0309"/>
    <w:rsid w:val="00AA0531"/>
    <w:rsid w:val="00AA090E"/>
    <w:rsid w:val="00AA18D8"/>
    <w:rsid w:val="00AA18F2"/>
    <w:rsid w:val="00AA2AF6"/>
    <w:rsid w:val="00AA34DB"/>
    <w:rsid w:val="00AA4961"/>
    <w:rsid w:val="00AA4A74"/>
    <w:rsid w:val="00AA4B39"/>
    <w:rsid w:val="00AA54C4"/>
    <w:rsid w:val="00AA5AD1"/>
    <w:rsid w:val="00AA61FD"/>
    <w:rsid w:val="00AA649B"/>
    <w:rsid w:val="00AA694C"/>
    <w:rsid w:val="00AA6BF9"/>
    <w:rsid w:val="00AA6F1D"/>
    <w:rsid w:val="00AA77B3"/>
    <w:rsid w:val="00AA7E3D"/>
    <w:rsid w:val="00AB042E"/>
    <w:rsid w:val="00AB05CD"/>
    <w:rsid w:val="00AB118B"/>
    <w:rsid w:val="00AB11C6"/>
    <w:rsid w:val="00AB210A"/>
    <w:rsid w:val="00AB2390"/>
    <w:rsid w:val="00AB2C02"/>
    <w:rsid w:val="00AB3923"/>
    <w:rsid w:val="00AB3B35"/>
    <w:rsid w:val="00AB5113"/>
    <w:rsid w:val="00AB552D"/>
    <w:rsid w:val="00AB65DB"/>
    <w:rsid w:val="00AB6AC8"/>
    <w:rsid w:val="00AB7117"/>
    <w:rsid w:val="00AC02AD"/>
    <w:rsid w:val="00AC118A"/>
    <w:rsid w:val="00AC1286"/>
    <w:rsid w:val="00AC2959"/>
    <w:rsid w:val="00AC341C"/>
    <w:rsid w:val="00AC38E6"/>
    <w:rsid w:val="00AC3911"/>
    <w:rsid w:val="00AC4183"/>
    <w:rsid w:val="00AC49E7"/>
    <w:rsid w:val="00AC4AC9"/>
    <w:rsid w:val="00AC5C66"/>
    <w:rsid w:val="00AC6DC6"/>
    <w:rsid w:val="00AC7024"/>
    <w:rsid w:val="00AD04D9"/>
    <w:rsid w:val="00AD122F"/>
    <w:rsid w:val="00AD12A7"/>
    <w:rsid w:val="00AD1869"/>
    <w:rsid w:val="00AD1BFA"/>
    <w:rsid w:val="00AD3061"/>
    <w:rsid w:val="00AD3675"/>
    <w:rsid w:val="00AD3786"/>
    <w:rsid w:val="00AD3875"/>
    <w:rsid w:val="00AD3BCB"/>
    <w:rsid w:val="00AD42BF"/>
    <w:rsid w:val="00AD4549"/>
    <w:rsid w:val="00AD465A"/>
    <w:rsid w:val="00AD51D5"/>
    <w:rsid w:val="00AD6926"/>
    <w:rsid w:val="00AD7240"/>
    <w:rsid w:val="00AD7253"/>
    <w:rsid w:val="00AD7BD7"/>
    <w:rsid w:val="00AE021A"/>
    <w:rsid w:val="00AE167D"/>
    <w:rsid w:val="00AE1BF4"/>
    <w:rsid w:val="00AE27BE"/>
    <w:rsid w:val="00AE2B28"/>
    <w:rsid w:val="00AE2D0F"/>
    <w:rsid w:val="00AE383E"/>
    <w:rsid w:val="00AE3FE9"/>
    <w:rsid w:val="00AE45EF"/>
    <w:rsid w:val="00AE4707"/>
    <w:rsid w:val="00AE5F02"/>
    <w:rsid w:val="00AE615E"/>
    <w:rsid w:val="00AE7568"/>
    <w:rsid w:val="00AE7E9A"/>
    <w:rsid w:val="00AF01EB"/>
    <w:rsid w:val="00AF020D"/>
    <w:rsid w:val="00AF0BB4"/>
    <w:rsid w:val="00AF308E"/>
    <w:rsid w:val="00AF3131"/>
    <w:rsid w:val="00AF531F"/>
    <w:rsid w:val="00AF5F91"/>
    <w:rsid w:val="00AF6181"/>
    <w:rsid w:val="00B0071B"/>
    <w:rsid w:val="00B00E35"/>
    <w:rsid w:val="00B01468"/>
    <w:rsid w:val="00B01813"/>
    <w:rsid w:val="00B02023"/>
    <w:rsid w:val="00B02EA7"/>
    <w:rsid w:val="00B03FC5"/>
    <w:rsid w:val="00B04588"/>
    <w:rsid w:val="00B04F21"/>
    <w:rsid w:val="00B055F2"/>
    <w:rsid w:val="00B0560E"/>
    <w:rsid w:val="00B062D1"/>
    <w:rsid w:val="00B06C3F"/>
    <w:rsid w:val="00B10354"/>
    <w:rsid w:val="00B11336"/>
    <w:rsid w:val="00B11449"/>
    <w:rsid w:val="00B12673"/>
    <w:rsid w:val="00B126CC"/>
    <w:rsid w:val="00B135A1"/>
    <w:rsid w:val="00B13CF9"/>
    <w:rsid w:val="00B144EC"/>
    <w:rsid w:val="00B14BFE"/>
    <w:rsid w:val="00B160C0"/>
    <w:rsid w:val="00B16BB1"/>
    <w:rsid w:val="00B16EFA"/>
    <w:rsid w:val="00B1716C"/>
    <w:rsid w:val="00B176E3"/>
    <w:rsid w:val="00B1774F"/>
    <w:rsid w:val="00B177F1"/>
    <w:rsid w:val="00B20D3F"/>
    <w:rsid w:val="00B212FE"/>
    <w:rsid w:val="00B21650"/>
    <w:rsid w:val="00B216DD"/>
    <w:rsid w:val="00B228C3"/>
    <w:rsid w:val="00B22934"/>
    <w:rsid w:val="00B23F35"/>
    <w:rsid w:val="00B247E9"/>
    <w:rsid w:val="00B24FFE"/>
    <w:rsid w:val="00B2549F"/>
    <w:rsid w:val="00B25AD7"/>
    <w:rsid w:val="00B25F84"/>
    <w:rsid w:val="00B26ADD"/>
    <w:rsid w:val="00B275FF"/>
    <w:rsid w:val="00B276BE"/>
    <w:rsid w:val="00B30B05"/>
    <w:rsid w:val="00B32532"/>
    <w:rsid w:val="00B34183"/>
    <w:rsid w:val="00B34562"/>
    <w:rsid w:val="00B34E55"/>
    <w:rsid w:val="00B35E95"/>
    <w:rsid w:val="00B371AC"/>
    <w:rsid w:val="00B3774A"/>
    <w:rsid w:val="00B37C87"/>
    <w:rsid w:val="00B37D63"/>
    <w:rsid w:val="00B40F6B"/>
    <w:rsid w:val="00B43D05"/>
    <w:rsid w:val="00B43F30"/>
    <w:rsid w:val="00B4585D"/>
    <w:rsid w:val="00B46B23"/>
    <w:rsid w:val="00B47933"/>
    <w:rsid w:val="00B47D49"/>
    <w:rsid w:val="00B50576"/>
    <w:rsid w:val="00B50B4C"/>
    <w:rsid w:val="00B517F3"/>
    <w:rsid w:val="00B51BF8"/>
    <w:rsid w:val="00B52B37"/>
    <w:rsid w:val="00B5372B"/>
    <w:rsid w:val="00B547E8"/>
    <w:rsid w:val="00B54C38"/>
    <w:rsid w:val="00B55294"/>
    <w:rsid w:val="00B55760"/>
    <w:rsid w:val="00B55A7B"/>
    <w:rsid w:val="00B5624B"/>
    <w:rsid w:val="00B56D6A"/>
    <w:rsid w:val="00B57131"/>
    <w:rsid w:val="00B57483"/>
    <w:rsid w:val="00B579A9"/>
    <w:rsid w:val="00B601DC"/>
    <w:rsid w:val="00B601E8"/>
    <w:rsid w:val="00B604E0"/>
    <w:rsid w:val="00B60F22"/>
    <w:rsid w:val="00B613EF"/>
    <w:rsid w:val="00B61994"/>
    <w:rsid w:val="00B62B54"/>
    <w:rsid w:val="00B63298"/>
    <w:rsid w:val="00B63C82"/>
    <w:rsid w:val="00B63C98"/>
    <w:rsid w:val="00B6500E"/>
    <w:rsid w:val="00B65975"/>
    <w:rsid w:val="00B66543"/>
    <w:rsid w:val="00B66998"/>
    <w:rsid w:val="00B6768E"/>
    <w:rsid w:val="00B67AC3"/>
    <w:rsid w:val="00B67C93"/>
    <w:rsid w:val="00B67DA9"/>
    <w:rsid w:val="00B70954"/>
    <w:rsid w:val="00B70973"/>
    <w:rsid w:val="00B70F83"/>
    <w:rsid w:val="00B712EA"/>
    <w:rsid w:val="00B712F0"/>
    <w:rsid w:val="00B71826"/>
    <w:rsid w:val="00B72096"/>
    <w:rsid w:val="00B7259A"/>
    <w:rsid w:val="00B72CA8"/>
    <w:rsid w:val="00B73E46"/>
    <w:rsid w:val="00B75E43"/>
    <w:rsid w:val="00B76151"/>
    <w:rsid w:val="00B76997"/>
    <w:rsid w:val="00B76BBD"/>
    <w:rsid w:val="00B76CC4"/>
    <w:rsid w:val="00B775D1"/>
    <w:rsid w:val="00B77EB5"/>
    <w:rsid w:val="00B800FF"/>
    <w:rsid w:val="00B80AF5"/>
    <w:rsid w:val="00B82480"/>
    <w:rsid w:val="00B836A1"/>
    <w:rsid w:val="00B845BE"/>
    <w:rsid w:val="00B85E33"/>
    <w:rsid w:val="00B86F6B"/>
    <w:rsid w:val="00B90577"/>
    <w:rsid w:val="00B915F3"/>
    <w:rsid w:val="00B91692"/>
    <w:rsid w:val="00B91E30"/>
    <w:rsid w:val="00B92747"/>
    <w:rsid w:val="00B927AE"/>
    <w:rsid w:val="00B92B05"/>
    <w:rsid w:val="00B92C35"/>
    <w:rsid w:val="00B936E8"/>
    <w:rsid w:val="00B93B67"/>
    <w:rsid w:val="00B954C7"/>
    <w:rsid w:val="00B9550B"/>
    <w:rsid w:val="00B9653A"/>
    <w:rsid w:val="00B97364"/>
    <w:rsid w:val="00B974FD"/>
    <w:rsid w:val="00B97C2C"/>
    <w:rsid w:val="00B97C32"/>
    <w:rsid w:val="00BA0271"/>
    <w:rsid w:val="00BA1401"/>
    <w:rsid w:val="00BA2465"/>
    <w:rsid w:val="00BA386B"/>
    <w:rsid w:val="00BA39A9"/>
    <w:rsid w:val="00BA3A78"/>
    <w:rsid w:val="00BA3ECC"/>
    <w:rsid w:val="00BA40E5"/>
    <w:rsid w:val="00BA4912"/>
    <w:rsid w:val="00BA5421"/>
    <w:rsid w:val="00BA58CB"/>
    <w:rsid w:val="00BA5B38"/>
    <w:rsid w:val="00BA61B9"/>
    <w:rsid w:val="00BA62E0"/>
    <w:rsid w:val="00BA648E"/>
    <w:rsid w:val="00BA73F8"/>
    <w:rsid w:val="00BA758E"/>
    <w:rsid w:val="00BA7925"/>
    <w:rsid w:val="00BB0339"/>
    <w:rsid w:val="00BB05ED"/>
    <w:rsid w:val="00BB0EF1"/>
    <w:rsid w:val="00BB0FDE"/>
    <w:rsid w:val="00BB1280"/>
    <w:rsid w:val="00BB19D8"/>
    <w:rsid w:val="00BB1D19"/>
    <w:rsid w:val="00BB1FC3"/>
    <w:rsid w:val="00BB29B2"/>
    <w:rsid w:val="00BB30AF"/>
    <w:rsid w:val="00BB38D7"/>
    <w:rsid w:val="00BB40B2"/>
    <w:rsid w:val="00BB43AE"/>
    <w:rsid w:val="00BB4DC5"/>
    <w:rsid w:val="00BB5497"/>
    <w:rsid w:val="00BB5C67"/>
    <w:rsid w:val="00BB6A74"/>
    <w:rsid w:val="00BB78DD"/>
    <w:rsid w:val="00BB7B3C"/>
    <w:rsid w:val="00BB7DBF"/>
    <w:rsid w:val="00BC0039"/>
    <w:rsid w:val="00BC0A28"/>
    <w:rsid w:val="00BC148A"/>
    <w:rsid w:val="00BC2621"/>
    <w:rsid w:val="00BC2BFC"/>
    <w:rsid w:val="00BC3DD9"/>
    <w:rsid w:val="00BC4537"/>
    <w:rsid w:val="00BC45B3"/>
    <w:rsid w:val="00BC48F4"/>
    <w:rsid w:val="00BC4F47"/>
    <w:rsid w:val="00BC5452"/>
    <w:rsid w:val="00BC6060"/>
    <w:rsid w:val="00BC7088"/>
    <w:rsid w:val="00BC75C6"/>
    <w:rsid w:val="00BC7660"/>
    <w:rsid w:val="00BD047E"/>
    <w:rsid w:val="00BD1565"/>
    <w:rsid w:val="00BD1A56"/>
    <w:rsid w:val="00BD1E85"/>
    <w:rsid w:val="00BD22E8"/>
    <w:rsid w:val="00BD2350"/>
    <w:rsid w:val="00BD39CF"/>
    <w:rsid w:val="00BD3ED4"/>
    <w:rsid w:val="00BD4993"/>
    <w:rsid w:val="00BD4AF6"/>
    <w:rsid w:val="00BD4D09"/>
    <w:rsid w:val="00BD585C"/>
    <w:rsid w:val="00BD5C83"/>
    <w:rsid w:val="00BD5E22"/>
    <w:rsid w:val="00BD60A0"/>
    <w:rsid w:val="00BD6BCE"/>
    <w:rsid w:val="00BD721A"/>
    <w:rsid w:val="00BD743B"/>
    <w:rsid w:val="00BD7EC2"/>
    <w:rsid w:val="00BE00D2"/>
    <w:rsid w:val="00BE14F2"/>
    <w:rsid w:val="00BE1899"/>
    <w:rsid w:val="00BE1967"/>
    <w:rsid w:val="00BE1B7D"/>
    <w:rsid w:val="00BE209F"/>
    <w:rsid w:val="00BE2354"/>
    <w:rsid w:val="00BE2CEB"/>
    <w:rsid w:val="00BE2D79"/>
    <w:rsid w:val="00BE301E"/>
    <w:rsid w:val="00BE30ED"/>
    <w:rsid w:val="00BE338C"/>
    <w:rsid w:val="00BE3878"/>
    <w:rsid w:val="00BE423B"/>
    <w:rsid w:val="00BE4EF6"/>
    <w:rsid w:val="00BE531E"/>
    <w:rsid w:val="00BE53FE"/>
    <w:rsid w:val="00BE5FE7"/>
    <w:rsid w:val="00BE654F"/>
    <w:rsid w:val="00BE7E56"/>
    <w:rsid w:val="00BF025D"/>
    <w:rsid w:val="00BF13F6"/>
    <w:rsid w:val="00BF16AA"/>
    <w:rsid w:val="00BF1D47"/>
    <w:rsid w:val="00BF2A0F"/>
    <w:rsid w:val="00BF36D1"/>
    <w:rsid w:val="00BF4086"/>
    <w:rsid w:val="00BF4196"/>
    <w:rsid w:val="00BF56F2"/>
    <w:rsid w:val="00BF6466"/>
    <w:rsid w:val="00BF6BAF"/>
    <w:rsid w:val="00BF700F"/>
    <w:rsid w:val="00BF7259"/>
    <w:rsid w:val="00BF7CC2"/>
    <w:rsid w:val="00BF7D6B"/>
    <w:rsid w:val="00C00029"/>
    <w:rsid w:val="00C014B2"/>
    <w:rsid w:val="00C0165D"/>
    <w:rsid w:val="00C02087"/>
    <w:rsid w:val="00C025DD"/>
    <w:rsid w:val="00C02B31"/>
    <w:rsid w:val="00C02B9F"/>
    <w:rsid w:val="00C033D4"/>
    <w:rsid w:val="00C036DC"/>
    <w:rsid w:val="00C042DB"/>
    <w:rsid w:val="00C05915"/>
    <w:rsid w:val="00C06008"/>
    <w:rsid w:val="00C06FB1"/>
    <w:rsid w:val="00C07E24"/>
    <w:rsid w:val="00C105BD"/>
    <w:rsid w:val="00C10B3D"/>
    <w:rsid w:val="00C1150F"/>
    <w:rsid w:val="00C119F8"/>
    <w:rsid w:val="00C11A3E"/>
    <w:rsid w:val="00C11B33"/>
    <w:rsid w:val="00C11CD0"/>
    <w:rsid w:val="00C12F1F"/>
    <w:rsid w:val="00C12FB3"/>
    <w:rsid w:val="00C12FBA"/>
    <w:rsid w:val="00C13F6F"/>
    <w:rsid w:val="00C141D8"/>
    <w:rsid w:val="00C14287"/>
    <w:rsid w:val="00C14543"/>
    <w:rsid w:val="00C1478F"/>
    <w:rsid w:val="00C147F9"/>
    <w:rsid w:val="00C150AE"/>
    <w:rsid w:val="00C151D3"/>
    <w:rsid w:val="00C157E3"/>
    <w:rsid w:val="00C15B7C"/>
    <w:rsid w:val="00C16002"/>
    <w:rsid w:val="00C16173"/>
    <w:rsid w:val="00C17005"/>
    <w:rsid w:val="00C21C61"/>
    <w:rsid w:val="00C23868"/>
    <w:rsid w:val="00C249AD"/>
    <w:rsid w:val="00C24A21"/>
    <w:rsid w:val="00C24FD5"/>
    <w:rsid w:val="00C25212"/>
    <w:rsid w:val="00C25A60"/>
    <w:rsid w:val="00C26976"/>
    <w:rsid w:val="00C30507"/>
    <w:rsid w:val="00C30E0C"/>
    <w:rsid w:val="00C327C4"/>
    <w:rsid w:val="00C32AE8"/>
    <w:rsid w:val="00C338FF"/>
    <w:rsid w:val="00C339E6"/>
    <w:rsid w:val="00C343D4"/>
    <w:rsid w:val="00C3487D"/>
    <w:rsid w:val="00C34B8D"/>
    <w:rsid w:val="00C34D17"/>
    <w:rsid w:val="00C350A1"/>
    <w:rsid w:val="00C37AD3"/>
    <w:rsid w:val="00C37EB2"/>
    <w:rsid w:val="00C40012"/>
    <w:rsid w:val="00C400F9"/>
    <w:rsid w:val="00C417A0"/>
    <w:rsid w:val="00C42413"/>
    <w:rsid w:val="00C42563"/>
    <w:rsid w:val="00C42684"/>
    <w:rsid w:val="00C42A28"/>
    <w:rsid w:val="00C438F0"/>
    <w:rsid w:val="00C46645"/>
    <w:rsid w:val="00C46F6A"/>
    <w:rsid w:val="00C471E5"/>
    <w:rsid w:val="00C4736E"/>
    <w:rsid w:val="00C47A2F"/>
    <w:rsid w:val="00C50381"/>
    <w:rsid w:val="00C513EC"/>
    <w:rsid w:val="00C51A9B"/>
    <w:rsid w:val="00C5231E"/>
    <w:rsid w:val="00C52AA6"/>
    <w:rsid w:val="00C53A17"/>
    <w:rsid w:val="00C5479E"/>
    <w:rsid w:val="00C551D4"/>
    <w:rsid w:val="00C5661E"/>
    <w:rsid w:val="00C568E9"/>
    <w:rsid w:val="00C577CF"/>
    <w:rsid w:val="00C60E63"/>
    <w:rsid w:val="00C61BB7"/>
    <w:rsid w:val="00C61EE8"/>
    <w:rsid w:val="00C62C45"/>
    <w:rsid w:val="00C62E4B"/>
    <w:rsid w:val="00C64097"/>
    <w:rsid w:val="00C6409A"/>
    <w:rsid w:val="00C64A95"/>
    <w:rsid w:val="00C64BDC"/>
    <w:rsid w:val="00C64F21"/>
    <w:rsid w:val="00C65807"/>
    <w:rsid w:val="00C66048"/>
    <w:rsid w:val="00C66980"/>
    <w:rsid w:val="00C66EEB"/>
    <w:rsid w:val="00C67B00"/>
    <w:rsid w:val="00C706D4"/>
    <w:rsid w:val="00C70A67"/>
    <w:rsid w:val="00C711FC"/>
    <w:rsid w:val="00C71621"/>
    <w:rsid w:val="00C718BB"/>
    <w:rsid w:val="00C71BF9"/>
    <w:rsid w:val="00C72C58"/>
    <w:rsid w:val="00C733AA"/>
    <w:rsid w:val="00C7499B"/>
    <w:rsid w:val="00C74F24"/>
    <w:rsid w:val="00C760E7"/>
    <w:rsid w:val="00C7610A"/>
    <w:rsid w:val="00C76340"/>
    <w:rsid w:val="00C76487"/>
    <w:rsid w:val="00C764A9"/>
    <w:rsid w:val="00C770D6"/>
    <w:rsid w:val="00C779F3"/>
    <w:rsid w:val="00C77D74"/>
    <w:rsid w:val="00C80564"/>
    <w:rsid w:val="00C80ADA"/>
    <w:rsid w:val="00C81740"/>
    <w:rsid w:val="00C82129"/>
    <w:rsid w:val="00C82D27"/>
    <w:rsid w:val="00C83818"/>
    <w:rsid w:val="00C83B6F"/>
    <w:rsid w:val="00C84724"/>
    <w:rsid w:val="00C84EC1"/>
    <w:rsid w:val="00C85030"/>
    <w:rsid w:val="00C85899"/>
    <w:rsid w:val="00C85BAE"/>
    <w:rsid w:val="00C86CF7"/>
    <w:rsid w:val="00C870F3"/>
    <w:rsid w:val="00C876B3"/>
    <w:rsid w:val="00C876F1"/>
    <w:rsid w:val="00C87D23"/>
    <w:rsid w:val="00C90B5D"/>
    <w:rsid w:val="00C918C5"/>
    <w:rsid w:val="00C9275A"/>
    <w:rsid w:val="00C933F0"/>
    <w:rsid w:val="00C93BDA"/>
    <w:rsid w:val="00C94DEA"/>
    <w:rsid w:val="00C95AC8"/>
    <w:rsid w:val="00C96B38"/>
    <w:rsid w:val="00C971BA"/>
    <w:rsid w:val="00C97456"/>
    <w:rsid w:val="00C97763"/>
    <w:rsid w:val="00CA003C"/>
    <w:rsid w:val="00CA021C"/>
    <w:rsid w:val="00CA11A7"/>
    <w:rsid w:val="00CA240C"/>
    <w:rsid w:val="00CA29EE"/>
    <w:rsid w:val="00CA3E6D"/>
    <w:rsid w:val="00CA48A6"/>
    <w:rsid w:val="00CA6A2A"/>
    <w:rsid w:val="00CA6A4C"/>
    <w:rsid w:val="00CA7A76"/>
    <w:rsid w:val="00CB0B05"/>
    <w:rsid w:val="00CB0D38"/>
    <w:rsid w:val="00CB17A6"/>
    <w:rsid w:val="00CB2738"/>
    <w:rsid w:val="00CB3A32"/>
    <w:rsid w:val="00CB4F90"/>
    <w:rsid w:val="00CB5FE2"/>
    <w:rsid w:val="00CB6184"/>
    <w:rsid w:val="00CB6ACA"/>
    <w:rsid w:val="00CB76BC"/>
    <w:rsid w:val="00CB7A13"/>
    <w:rsid w:val="00CB7C4B"/>
    <w:rsid w:val="00CB7D48"/>
    <w:rsid w:val="00CC273F"/>
    <w:rsid w:val="00CC2969"/>
    <w:rsid w:val="00CC3496"/>
    <w:rsid w:val="00CC3915"/>
    <w:rsid w:val="00CC41B7"/>
    <w:rsid w:val="00CC5117"/>
    <w:rsid w:val="00CC57C1"/>
    <w:rsid w:val="00CC5845"/>
    <w:rsid w:val="00CC6133"/>
    <w:rsid w:val="00CC6C58"/>
    <w:rsid w:val="00CC6D64"/>
    <w:rsid w:val="00CC709F"/>
    <w:rsid w:val="00CC7802"/>
    <w:rsid w:val="00CD0513"/>
    <w:rsid w:val="00CD138C"/>
    <w:rsid w:val="00CD15E0"/>
    <w:rsid w:val="00CD1796"/>
    <w:rsid w:val="00CD1D8C"/>
    <w:rsid w:val="00CD249F"/>
    <w:rsid w:val="00CD255E"/>
    <w:rsid w:val="00CD25EA"/>
    <w:rsid w:val="00CD2A43"/>
    <w:rsid w:val="00CD49BE"/>
    <w:rsid w:val="00CD4D64"/>
    <w:rsid w:val="00CD50A0"/>
    <w:rsid w:val="00CD50D8"/>
    <w:rsid w:val="00CD5C9F"/>
    <w:rsid w:val="00CD5E04"/>
    <w:rsid w:val="00CD6032"/>
    <w:rsid w:val="00CD60AB"/>
    <w:rsid w:val="00CD6C79"/>
    <w:rsid w:val="00CD7062"/>
    <w:rsid w:val="00CD7A1B"/>
    <w:rsid w:val="00CE0936"/>
    <w:rsid w:val="00CE1CC9"/>
    <w:rsid w:val="00CE3617"/>
    <w:rsid w:val="00CE47C8"/>
    <w:rsid w:val="00CE4B53"/>
    <w:rsid w:val="00CE4E60"/>
    <w:rsid w:val="00CE508E"/>
    <w:rsid w:val="00CE559D"/>
    <w:rsid w:val="00CE6651"/>
    <w:rsid w:val="00CE6A9E"/>
    <w:rsid w:val="00CE790F"/>
    <w:rsid w:val="00CE7E2F"/>
    <w:rsid w:val="00CF05BC"/>
    <w:rsid w:val="00CF2121"/>
    <w:rsid w:val="00CF2AE8"/>
    <w:rsid w:val="00CF3B18"/>
    <w:rsid w:val="00CF400E"/>
    <w:rsid w:val="00CF4F13"/>
    <w:rsid w:val="00CF4FB6"/>
    <w:rsid w:val="00CF5090"/>
    <w:rsid w:val="00CF52F0"/>
    <w:rsid w:val="00CF6296"/>
    <w:rsid w:val="00CF6ECF"/>
    <w:rsid w:val="00CF75AA"/>
    <w:rsid w:val="00CF75EE"/>
    <w:rsid w:val="00D00A6D"/>
    <w:rsid w:val="00D018B6"/>
    <w:rsid w:val="00D024DA"/>
    <w:rsid w:val="00D041D6"/>
    <w:rsid w:val="00D05078"/>
    <w:rsid w:val="00D05D3F"/>
    <w:rsid w:val="00D06A8F"/>
    <w:rsid w:val="00D074BF"/>
    <w:rsid w:val="00D07EB4"/>
    <w:rsid w:val="00D1255A"/>
    <w:rsid w:val="00D137A6"/>
    <w:rsid w:val="00D13872"/>
    <w:rsid w:val="00D1391D"/>
    <w:rsid w:val="00D13A09"/>
    <w:rsid w:val="00D13F2C"/>
    <w:rsid w:val="00D1486F"/>
    <w:rsid w:val="00D148F9"/>
    <w:rsid w:val="00D14925"/>
    <w:rsid w:val="00D14D4E"/>
    <w:rsid w:val="00D15A25"/>
    <w:rsid w:val="00D16886"/>
    <w:rsid w:val="00D16E2A"/>
    <w:rsid w:val="00D1776C"/>
    <w:rsid w:val="00D20114"/>
    <w:rsid w:val="00D217D4"/>
    <w:rsid w:val="00D21F19"/>
    <w:rsid w:val="00D2283D"/>
    <w:rsid w:val="00D22F6C"/>
    <w:rsid w:val="00D23595"/>
    <w:rsid w:val="00D238B4"/>
    <w:rsid w:val="00D23F1D"/>
    <w:rsid w:val="00D242A9"/>
    <w:rsid w:val="00D2488F"/>
    <w:rsid w:val="00D2496B"/>
    <w:rsid w:val="00D24D9D"/>
    <w:rsid w:val="00D261A2"/>
    <w:rsid w:val="00D2687E"/>
    <w:rsid w:val="00D2731F"/>
    <w:rsid w:val="00D27B70"/>
    <w:rsid w:val="00D27C62"/>
    <w:rsid w:val="00D305FF"/>
    <w:rsid w:val="00D309C7"/>
    <w:rsid w:val="00D30B70"/>
    <w:rsid w:val="00D30CF5"/>
    <w:rsid w:val="00D312F1"/>
    <w:rsid w:val="00D338E8"/>
    <w:rsid w:val="00D33F80"/>
    <w:rsid w:val="00D3407E"/>
    <w:rsid w:val="00D34159"/>
    <w:rsid w:val="00D34252"/>
    <w:rsid w:val="00D354FB"/>
    <w:rsid w:val="00D35631"/>
    <w:rsid w:val="00D36047"/>
    <w:rsid w:val="00D3646E"/>
    <w:rsid w:val="00D3647E"/>
    <w:rsid w:val="00D36EAA"/>
    <w:rsid w:val="00D401B3"/>
    <w:rsid w:val="00D41279"/>
    <w:rsid w:val="00D412D0"/>
    <w:rsid w:val="00D41B1C"/>
    <w:rsid w:val="00D420F7"/>
    <w:rsid w:val="00D42974"/>
    <w:rsid w:val="00D42DA2"/>
    <w:rsid w:val="00D4322A"/>
    <w:rsid w:val="00D4367E"/>
    <w:rsid w:val="00D436D6"/>
    <w:rsid w:val="00D43C43"/>
    <w:rsid w:val="00D44ADD"/>
    <w:rsid w:val="00D44ED9"/>
    <w:rsid w:val="00D45426"/>
    <w:rsid w:val="00D45997"/>
    <w:rsid w:val="00D45B38"/>
    <w:rsid w:val="00D466F4"/>
    <w:rsid w:val="00D4696A"/>
    <w:rsid w:val="00D471FE"/>
    <w:rsid w:val="00D479F4"/>
    <w:rsid w:val="00D510E9"/>
    <w:rsid w:val="00D512AC"/>
    <w:rsid w:val="00D51A18"/>
    <w:rsid w:val="00D51A57"/>
    <w:rsid w:val="00D524D7"/>
    <w:rsid w:val="00D52EC9"/>
    <w:rsid w:val="00D53103"/>
    <w:rsid w:val="00D5368B"/>
    <w:rsid w:val="00D53949"/>
    <w:rsid w:val="00D53E99"/>
    <w:rsid w:val="00D5408E"/>
    <w:rsid w:val="00D5430F"/>
    <w:rsid w:val="00D54419"/>
    <w:rsid w:val="00D54BCE"/>
    <w:rsid w:val="00D56A7C"/>
    <w:rsid w:val="00D56C7C"/>
    <w:rsid w:val="00D57085"/>
    <w:rsid w:val="00D6127B"/>
    <w:rsid w:val="00D615BD"/>
    <w:rsid w:val="00D61FC1"/>
    <w:rsid w:val="00D62F86"/>
    <w:rsid w:val="00D6396A"/>
    <w:rsid w:val="00D659BC"/>
    <w:rsid w:val="00D66232"/>
    <w:rsid w:val="00D6669D"/>
    <w:rsid w:val="00D71EBE"/>
    <w:rsid w:val="00D7212D"/>
    <w:rsid w:val="00D72718"/>
    <w:rsid w:val="00D73837"/>
    <w:rsid w:val="00D73BB3"/>
    <w:rsid w:val="00D73F40"/>
    <w:rsid w:val="00D74C66"/>
    <w:rsid w:val="00D75480"/>
    <w:rsid w:val="00D75A5B"/>
    <w:rsid w:val="00D7709E"/>
    <w:rsid w:val="00D77961"/>
    <w:rsid w:val="00D8036F"/>
    <w:rsid w:val="00D8081B"/>
    <w:rsid w:val="00D81ED2"/>
    <w:rsid w:val="00D833A6"/>
    <w:rsid w:val="00D83E6F"/>
    <w:rsid w:val="00D842FF"/>
    <w:rsid w:val="00D84EFE"/>
    <w:rsid w:val="00D8509B"/>
    <w:rsid w:val="00D85317"/>
    <w:rsid w:val="00D86008"/>
    <w:rsid w:val="00D867BE"/>
    <w:rsid w:val="00D86DC0"/>
    <w:rsid w:val="00D87E09"/>
    <w:rsid w:val="00D90274"/>
    <w:rsid w:val="00D90784"/>
    <w:rsid w:val="00D91F1C"/>
    <w:rsid w:val="00D920C2"/>
    <w:rsid w:val="00D9262A"/>
    <w:rsid w:val="00D92A45"/>
    <w:rsid w:val="00D933E8"/>
    <w:rsid w:val="00D93893"/>
    <w:rsid w:val="00D94BA2"/>
    <w:rsid w:val="00D95362"/>
    <w:rsid w:val="00D955FB"/>
    <w:rsid w:val="00D9577A"/>
    <w:rsid w:val="00D97049"/>
    <w:rsid w:val="00D9711D"/>
    <w:rsid w:val="00DA00D6"/>
    <w:rsid w:val="00DA096C"/>
    <w:rsid w:val="00DA0F99"/>
    <w:rsid w:val="00DA12B7"/>
    <w:rsid w:val="00DA276A"/>
    <w:rsid w:val="00DA31AD"/>
    <w:rsid w:val="00DA347D"/>
    <w:rsid w:val="00DA34B6"/>
    <w:rsid w:val="00DA3971"/>
    <w:rsid w:val="00DA397C"/>
    <w:rsid w:val="00DA3A61"/>
    <w:rsid w:val="00DA3EB4"/>
    <w:rsid w:val="00DA4945"/>
    <w:rsid w:val="00DA4960"/>
    <w:rsid w:val="00DA5186"/>
    <w:rsid w:val="00DA55AC"/>
    <w:rsid w:val="00DA6765"/>
    <w:rsid w:val="00DA67C0"/>
    <w:rsid w:val="00DA748F"/>
    <w:rsid w:val="00DA7D2C"/>
    <w:rsid w:val="00DB0954"/>
    <w:rsid w:val="00DB0D38"/>
    <w:rsid w:val="00DB1736"/>
    <w:rsid w:val="00DB29DB"/>
    <w:rsid w:val="00DB2ED0"/>
    <w:rsid w:val="00DB3091"/>
    <w:rsid w:val="00DB3586"/>
    <w:rsid w:val="00DB35A0"/>
    <w:rsid w:val="00DB3D25"/>
    <w:rsid w:val="00DB3FB0"/>
    <w:rsid w:val="00DB48B3"/>
    <w:rsid w:val="00DB500B"/>
    <w:rsid w:val="00DB6031"/>
    <w:rsid w:val="00DC0265"/>
    <w:rsid w:val="00DC02B8"/>
    <w:rsid w:val="00DC0316"/>
    <w:rsid w:val="00DC068C"/>
    <w:rsid w:val="00DC2449"/>
    <w:rsid w:val="00DC4005"/>
    <w:rsid w:val="00DC463A"/>
    <w:rsid w:val="00DC5583"/>
    <w:rsid w:val="00DC6AE0"/>
    <w:rsid w:val="00DC743A"/>
    <w:rsid w:val="00DD0C34"/>
    <w:rsid w:val="00DD1437"/>
    <w:rsid w:val="00DD2A03"/>
    <w:rsid w:val="00DD394C"/>
    <w:rsid w:val="00DD3986"/>
    <w:rsid w:val="00DD3AF0"/>
    <w:rsid w:val="00DD41DB"/>
    <w:rsid w:val="00DD5041"/>
    <w:rsid w:val="00DD50B8"/>
    <w:rsid w:val="00DD5E01"/>
    <w:rsid w:val="00DD5E82"/>
    <w:rsid w:val="00DD5F53"/>
    <w:rsid w:val="00DD612C"/>
    <w:rsid w:val="00DD671A"/>
    <w:rsid w:val="00DD770B"/>
    <w:rsid w:val="00DD7CBA"/>
    <w:rsid w:val="00DE09EB"/>
    <w:rsid w:val="00DE201D"/>
    <w:rsid w:val="00DE216A"/>
    <w:rsid w:val="00DE31D8"/>
    <w:rsid w:val="00DE3580"/>
    <w:rsid w:val="00DE3989"/>
    <w:rsid w:val="00DE3B19"/>
    <w:rsid w:val="00DE3C75"/>
    <w:rsid w:val="00DE3FFC"/>
    <w:rsid w:val="00DE467F"/>
    <w:rsid w:val="00DE49A0"/>
    <w:rsid w:val="00DE574E"/>
    <w:rsid w:val="00DE5CD0"/>
    <w:rsid w:val="00DE6E48"/>
    <w:rsid w:val="00DE7A96"/>
    <w:rsid w:val="00DE7C2F"/>
    <w:rsid w:val="00DF02C5"/>
    <w:rsid w:val="00DF0C4F"/>
    <w:rsid w:val="00DF19EE"/>
    <w:rsid w:val="00DF2145"/>
    <w:rsid w:val="00DF21AA"/>
    <w:rsid w:val="00DF2CF0"/>
    <w:rsid w:val="00DF3308"/>
    <w:rsid w:val="00DF50D9"/>
    <w:rsid w:val="00DF57FA"/>
    <w:rsid w:val="00DF6507"/>
    <w:rsid w:val="00E007A3"/>
    <w:rsid w:val="00E00B2D"/>
    <w:rsid w:val="00E01764"/>
    <w:rsid w:val="00E02618"/>
    <w:rsid w:val="00E02984"/>
    <w:rsid w:val="00E02D28"/>
    <w:rsid w:val="00E043E9"/>
    <w:rsid w:val="00E04702"/>
    <w:rsid w:val="00E05B6F"/>
    <w:rsid w:val="00E06470"/>
    <w:rsid w:val="00E06475"/>
    <w:rsid w:val="00E065D9"/>
    <w:rsid w:val="00E06C00"/>
    <w:rsid w:val="00E06ECF"/>
    <w:rsid w:val="00E06FAB"/>
    <w:rsid w:val="00E10616"/>
    <w:rsid w:val="00E1085F"/>
    <w:rsid w:val="00E126D8"/>
    <w:rsid w:val="00E12716"/>
    <w:rsid w:val="00E12F00"/>
    <w:rsid w:val="00E13A9F"/>
    <w:rsid w:val="00E142F0"/>
    <w:rsid w:val="00E1435B"/>
    <w:rsid w:val="00E15AC2"/>
    <w:rsid w:val="00E15F4A"/>
    <w:rsid w:val="00E16004"/>
    <w:rsid w:val="00E16FE0"/>
    <w:rsid w:val="00E1717B"/>
    <w:rsid w:val="00E17ABD"/>
    <w:rsid w:val="00E201CD"/>
    <w:rsid w:val="00E21D4E"/>
    <w:rsid w:val="00E2248A"/>
    <w:rsid w:val="00E22F3C"/>
    <w:rsid w:val="00E22F67"/>
    <w:rsid w:val="00E23089"/>
    <w:rsid w:val="00E24237"/>
    <w:rsid w:val="00E24C13"/>
    <w:rsid w:val="00E25416"/>
    <w:rsid w:val="00E2571D"/>
    <w:rsid w:val="00E266CF"/>
    <w:rsid w:val="00E266DE"/>
    <w:rsid w:val="00E26A7C"/>
    <w:rsid w:val="00E271A1"/>
    <w:rsid w:val="00E300BA"/>
    <w:rsid w:val="00E305E5"/>
    <w:rsid w:val="00E309A6"/>
    <w:rsid w:val="00E3195A"/>
    <w:rsid w:val="00E32EDF"/>
    <w:rsid w:val="00E3360A"/>
    <w:rsid w:val="00E336AF"/>
    <w:rsid w:val="00E33A44"/>
    <w:rsid w:val="00E34691"/>
    <w:rsid w:val="00E34C27"/>
    <w:rsid w:val="00E35796"/>
    <w:rsid w:val="00E36845"/>
    <w:rsid w:val="00E36CC6"/>
    <w:rsid w:val="00E36E20"/>
    <w:rsid w:val="00E37364"/>
    <w:rsid w:val="00E40E7B"/>
    <w:rsid w:val="00E41043"/>
    <w:rsid w:val="00E41A50"/>
    <w:rsid w:val="00E42048"/>
    <w:rsid w:val="00E4209D"/>
    <w:rsid w:val="00E42558"/>
    <w:rsid w:val="00E425EF"/>
    <w:rsid w:val="00E42628"/>
    <w:rsid w:val="00E43134"/>
    <w:rsid w:val="00E44F9F"/>
    <w:rsid w:val="00E46147"/>
    <w:rsid w:val="00E469D2"/>
    <w:rsid w:val="00E4730C"/>
    <w:rsid w:val="00E47BDD"/>
    <w:rsid w:val="00E5053D"/>
    <w:rsid w:val="00E50731"/>
    <w:rsid w:val="00E50A58"/>
    <w:rsid w:val="00E51088"/>
    <w:rsid w:val="00E51539"/>
    <w:rsid w:val="00E5256F"/>
    <w:rsid w:val="00E53A27"/>
    <w:rsid w:val="00E54191"/>
    <w:rsid w:val="00E54B3C"/>
    <w:rsid w:val="00E550BC"/>
    <w:rsid w:val="00E566A7"/>
    <w:rsid w:val="00E57642"/>
    <w:rsid w:val="00E6062F"/>
    <w:rsid w:val="00E6073D"/>
    <w:rsid w:val="00E60DCA"/>
    <w:rsid w:val="00E60FB6"/>
    <w:rsid w:val="00E6152F"/>
    <w:rsid w:val="00E62335"/>
    <w:rsid w:val="00E62E01"/>
    <w:rsid w:val="00E63B00"/>
    <w:rsid w:val="00E643D1"/>
    <w:rsid w:val="00E64D26"/>
    <w:rsid w:val="00E64F1A"/>
    <w:rsid w:val="00E65395"/>
    <w:rsid w:val="00E65520"/>
    <w:rsid w:val="00E65ADB"/>
    <w:rsid w:val="00E65BB3"/>
    <w:rsid w:val="00E66D10"/>
    <w:rsid w:val="00E6727B"/>
    <w:rsid w:val="00E67775"/>
    <w:rsid w:val="00E67BB4"/>
    <w:rsid w:val="00E71A09"/>
    <w:rsid w:val="00E727B0"/>
    <w:rsid w:val="00E729E8"/>
    <w:rsid w:val="00E72EA5"/>
    <w:rsid w:val="00E73314"/>
    <w:rsid w:val="00E73E0C"/>
    <w:rsid w:val="00E748E1"/>
    <w:rsid w:val="00E74D86"/>
    <w:rsid w:val="00E75BB7"/>
    <w:rsid w:val="00E75C34"/>
    <w:rsid w:val="00E76892"/>
    <w:rsid w:val="00E772BF"/>
    <w:rsid w:val="00E801CC"/>
    <w:rsid w:val="00E81C87"/>
    <w:rsid w:val="00E81EDB"/>
    <w:rsid w:val="00E8220F"/>
    <w:rsid w:val="00E83DDB"/>
    <w:rsid w:val="00E83DE4"/>
    <w:rsid w:val="00E85411"/>
    <w:rsid w:val="00E8548C"/>
    <w:rsid w:val="00E86EF2"/>
    <w:rsid w:val="00E905A8"/>
    <w:rsid w:val="00E906B6"/>
    <w:rsid w:val="00E90E88"/>
    <w:rsid w:val="00E92605"/>
    <w:rsid w:val="00E93BED"/>
    <w:rsid w:val="00E94DCF"/>
    <w:rsid w:val="00E9527C"/>
    <w:rsid w:val="00E95886"/>
    <w:rsid w:val="00E95EBA"/>
    <w:rsid w:val="00E96A2F"/>
    <w:rsid w:val="00E96E03"/>
    <w:rsid w:val="00E975E7"/>
    <w:rsid w:val="00EA0058"/>
    <w:rsid w:val="00EA17FE"/>
    <w:rsid w:val="00EA1DB5"/>
    <w:rsid w:val="00EA3261"/>
    <w:rsid w:val="00EA3D38"/>
    <w:rsid w:val="00EA4360"/>
    <w:rsid w:val="00EA4B03"/>
    <w:rsid w:val="00EA59A2"/>
    <w:rsid w:val="00EA6108"/>
    <w:rsid w:val="00EA62FC"/>
    <w:rsid w:val="00EA636F"/>
    <w:rsid w:val="00EA65E0"/>
    <w:rsid w:val="00EA6FA5"/>
    <w:rsid w:val="00EB0850"/>
    <w:rsid w:val="00EB1534"/>
    <w:rsid w:val="00EB1688"/>
    <w:rsid w:val="00EB17BF"/>
    <w:rsid w:val="00EB25C2"/>
    <w:rsid w:val="00EB2983"/>
    <w:rsid w:val="00EB37BC"/>
    <w:rsid w:val="00EC06AD"/>
    <w:rsid w:val="00EC0E0A"/>
    <w:rsid w:val="00EC1C9A"/>
    <w:rsid w:val="00EC1D39"/>
    <w:rsid w:val="00EC1FAF"/>
    <w:rsid w:val="00EC228E"/>
    <w:rsid w:val="00EC27F2"/>
    <w:rsid w:val="00EC2861"/>
    <w:rsid w:val="00EC434A"/>
    <w:rsid w:val="00EC4ADB"/>
    <w:rsid w:val="00EC4EF5"/>
    <w:rsid w:val="00EC52B2"/>
    <w:rsid w:val="00EC64DA"/>
    <w:rsid w:val="00ED06B7"/>
    <w:rsid w:val="00ED1A83"/>
    <w:rsid w:val="00ED1C46"/>
    <w:rsid w:val="00ED1F62"/>
    <w:rsid w:val="00ED2144"/>
    <w:rsid w:val="00ED2E5B"/>
    <w:rsid w:val="00ED3BF4"/>
    <w:rsid w:val="00ED404E"/>
    <w:rsid w:val="00ED5324"/>
    <w:rsid w:val="00ED67DE"/>
    <w:rsid w:val="00EE012B"/>
    <w:rsid w:val="00EE22AD"/>
    <w:rsid w:val="00EE26B3"/>
    <w:rsid w:val="00EE2DC9"/>
    <w:rsid w:val="00EE33F5"/>
    <w:rsid w:val="00EE4CEA"/>
    <w:rsid w:val="00EE5560"/>
    <w:rsid w:val="00EE58E5"/>
    <w:rsid w:val="00EE5B77"/>
    <w:rsid w:val="00EE5E0C"/>
    <w:rsid w:val="00EE5E90"/>
    <w:rsid w:val="00EE64D8"/>
    <w:rsid w:val="00EE7459"/>
    <w:rsid w:val="00EE7F8F"/>
    <w:rsid w:val="00EF0CB0"/>
    <w:rsid w:val="00EF113B"/>
    <w:rsid w:val="00EF1200"/>
    <w:rsid w:val="00EF1551"/>
    <w:rsid w:val="00EF3C08"/>
    <w:rsid w:val="00EF4422"/>
    <w:rsid w:val="00EF4B1C"/>
    <w:rsid w:val="00EF54C6"/>
    <w:rsid w:val="00EF6449"/>
    <w:rsid w:val="00EF7B69"/>
    <w:rsid w:val="00F00316"/>
    <w:rsid w:val="00F01083"/>
    <w:rsid w:val="00F0119C"/>
    <w:rsid w:val="00F0148F"/>
    <w:rsid w:val="00F02398"/>
    <w:rsid w:val="00F02556"/>
    <w:rsid w:val="00F032BF"/>
    <w:rsid w:val="00F03CC0"/>
    <w:rsid w:val="00F03EAA"/>
    <w:rsid w:val="00F052A7"/>
    <w:rsid w:val="00F054DC"/>
    <w:rsid w:val="00F058B1"/>
    <w:rsid w:val="00F06177"/>
    <w:rsid w:val="00F06252"/>
    <w:rsid w:val="00F075F8"/>
    <w:rsid w:val="00F10969"/>
    <w:rsid w:val="00F1110B"/>
    <w:rsid w:val="00F111D6"/>
    <w:rsid w:val="00F11A13"/>
    <w:rsid w:val="00F13FA6"/>
    <w:rsid w:val="00F144F3"/>
    <w:rsid w:val="00F152F8"/>
    <w:rsid w:val="00F16740"/>
    <w:rsid w:val="00F16CD4"/>
    <w:rsid w:val="00F16D3E"/>
    <w:rsid w:val="00F170A5"/>
    <w:rsid w:val="00F17232"/>
    <w:rsid w:val="00F17899"/>
    <w:rsid w:val="00F17EFD"/>
    <w:rsid w:val="00F20862"/>
    <w:rsid w:val="00F20F91"/>
    <w:rsid w:val="00F21682"/>
    <w:rsid w:val="00F21689"/>
    <w:rsid w:val="00F22263"/>
    <w:rsid w:val="00F226EB"/>
    <w:rsid w:val="00F22E2E"/>
    <w:rsid w:val="00F2305F"/>
    <w:rsid w:val="00F23C53"/>
    <w:rsid w:val="00F23F06"/>
    <w:rsid w:val="00F23F3E"/>
    <w:rsid w:val="00F250F5"/>
    <w:rsid w:val="00F25B37"/>
    <w:rsid w:val="00F2654E"/>
    <w:rsid w:val="00F274E7"/>
    <w:rsid w:val="00F2795E"/>
    <w:rsid w:val="00F308BF"/>
    <w:rsid w:val="00F30A32"/>
    <w:rsid w:val="00F31453"/>
    <w:rsid w:val="00F316F1"/>
    <w:rsid w:val="00F31E13"/>
    <w:rsid w:val="00F31F2C"/>
    <w:rsid w:val="00F32B29"/>
    <w:rsid w:val="00F33D0B"/>
    <w:rsid w:val="00F353C8"/>
    <w:rsid w:val="00F362CB"/>
    <w:rsid w:val="00F3649D"/>
    <w:rsid w:val="00F3703D"/>
    <w:rsid w:val="00F4082D"/>
    <w:rsid w:val="00F408B4"/>
    <w:rsid w:val="00F408F1"/>
    <w:rsid w:val="00F40BC7"/>
    <w:rsid w:val="00F40DE9"/>
    <w:rsid w:val="00F415B1"/>
    <w:rsid w:val="00F428A0"/>
    <w:rsid w:val="00F42FB9"/>
    <w:rsid w:val="00F44B54"/>
    <w:rsid w:val="00F460FD"/>
    <w:rsid w:val="00F46494"/>
    <w:rsid w:val="00F4677D"/>
    <w:rsid w:val="00F4731E"/>
    <w:rsid w:val="00F503D4"/>
    <w:rsid w:val="00F50BBF"/>
    <w:rsid w:val="00F51359"/>
    <w:rsid w:val="00F51601"/>
    <w:rsid w:val="00F516C1"/>
    <w:rsid w:val="00F517EA"/>
    <w:rsid w:val="00F546D5"/>
    <w:rsid w:val="00F555EA"/>
    <w:rsid w:val="00F55705"/>
    <w:rsid w:val="00F5596D"/>
    <w:rsid w:val="00F5603F"/>
    <w:rsid w:val="00F57033"/>
    <w:rsid w:val="00F57333"/>
    <w:rsid w:val="00F60A71"/>
    <w:rsid w:val="00F60C0B"/>
    <w:rsid w:val="00F60D46"/>
    <w:rsid w:val="00F612E7"/>
    <w:rsid w:val="00F61F49"/>
    <w:rsid w:val="00F62B4F"/>
    <w:rsid w:val="00F63982"/>
    <w:rsid w:val="00F64E69"/>
    <w:rsid w:val="00F65492"/>
    <w:rsid w:val="00F655FF"/>
    <w:rsid w:val="00F65C75"/>
    <w:rsid w:val="00F6658C"/>
    <w:rsid w:val="00F6659C"/>
    <w:rsid w:val="00F66DAF"/>
    <w:rsid w:val="00F70A4D"/>
    <w:rsid w:val="00F722F0"/>
    <w:rsid w:val="00F72C8E"/>
    <w:rsid w:val="00F730B4"/>
    <w:rsid w:val="00F74204"/>
    <w:rsid w:val="00F746CF"/>
    <w:rsid w:val="00F74BEA"/>
    <w:rsid w:val="00F75273"/>
    <w:rsid w:val="00F75CB6"/>
    <w:rsid w:val="00F766DC"/>
    <w:rsid w:val="00F7691C"/>
    <w:rsid w:val="00F7771C"/>
    <w:rsid w:val="00F77AC9"/>
    <w:rsid w:val="00F77EAA"/>
    <w:rsid w:val="00F8038D"/>
    <w:rsid w:val="00F80694"/>
    <w:rsid w:val="00F80B0B"/>
    <w:rsid w:val="00F81760"/>
    <w:rsid w:val="00F81D92"/>
    <w:rsid w:val="00F82A92"/>
    <w:rsid w:val="00F83256"/>
    <w:rsid w:val="00F83AA7"/>
    <w:rsid w:val="00F8589E"/>
    <w:rsid w:val="00F85930"/>
    <w:rsid w:val="00F86249"/>
    <w:rsid w:val="00F868AC"/>
    <w:rsid w:val="00F9013C"/>
    <w:rsid w:val="00F91910"/>
    <w:rsid w:val="00F91F9C"/>
    <w:rsid w:val="00F9207D"/>
    <w:rsid w:val="00F937B9"/>
    <w:rsid w:val="00F94113"/>
    <w:rsid w:val="00F94A01"/>
    <w:rsid w:val="00F94AE4"/>
    <w:rsid w:val="00F956A1"/>
    <w:rsid w:val="00F9705B"/>
    <w:rsid w:val="00FA0576"/>
    <w:rsid w:val="00FA0A41"/>
    <w:rsid w:val="00FA1103"/>
    <w:rsid w:val="00FA1A06"/>
    <w:rsid w:val="00FA1BE6"/>
    <w:rsid w:val="00FA1C89"/>
    <w:rsid w:val="00FA30FE"/>
    <w:rsid w:val="00FA3690"/>
    <w:rsid w:val="00FA377B"/>
    <w:rsid w:val="00FA38ED"/>
    <w:rsid w:val="00FA7534"/>
    <w:rsid w:val="00FB0213"/>
    <w:rsid w:val="00FB0916"/>
    <w:rsid w:val="00FB0BB4"/>
    <w:rsid w:val="00FB396E"/>
    <w:rsid w:val="00FB4113"/>
    <w:rsid w:val="00FB4A3D"/>
    <w:rsid w:val="00FB60DD"/>
    <w:rsid w:val="00FB6306"/>
    <w:rsid w:val="00FB7549"/>
    <w:rsid w:val="00FB7D9C"/>
    <w:rsid w:val="00FC279C"/>
    <w:rsid w:val="00FC2917"/>
    <w:rsid w:val="00FC2AD1"/>
    <w:rsid w:val="00FC303A"/>
    <w:rsid w:val="00FC333F"/>
    <w:rsid w:val="00FC3B68"/>
    <w:rsid w:val="00FC3E51"/>
    <w:rsid w:val="00FC5D34"/>
    <w:rsid w:val="00FC6A88"/>
    <w:rsid w:val="00FD21E6"/>
    <w:rsid w:val="00FD2D16"/>
    <w:rsid w:val="00FD2DAD"/>
    <w:rsid w:val="00FD3E08"/>
    <w:rsid w:val="00FD44A7"/>
    <w:rsid w:val="00FD4611"/>
    <w:rsid w:val="00FD5558"/>
    <w:rsid w:val="00FD5606"/>
    <w:rsid w:val="00FD58C2"/>
    <w:rsid w:val="00FD611D"/>
    <w:rsid w:val="00FD6307"/>
    <w:rsid w:val="00FD644E"/>
    <w:rsid w:val="00FD6A85"/>
    <w:rsid w:val="00FD6DA3"/>
    <w:rsid w:val="00FD6E5A"/>
    <w:rsid w:val="00FD7C9A"/>
    <w:rsid w:val="00FE12C8"/>
    <w:rsid w:val="00FE3C54"/>
    <w:rsid w:val="00FE703B"/>
    <w:rsid w:val="00FF1077"/>
    <w:rsid w:val="00FF18FB"/>
    <w:rsid w:val="00FF2349"/>
    <w:rsid w:val="00FF29E3"/>
    <w:rsid w:val="00FF2A87"/>
    <w:rsid w:val="00FF3537"/>
    <w:rsid w:val="00FF48DE"/>
    <w:rsid w:val="00FF5116"/>
    <w:rsid w:val="00FF51AE"/>
    <w:rsid w:val="00FF5688"/>
    <w:rsid w:val="00FF57E1"/>
    <w:rsid w:val="00FF5B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D6240C"/>
  <w15:docId w15:val="{F354D948-0DDD-4A2E-BE01-74CB9DDF7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3E0C"/>
    <w:pPr>
      <w:pBdr>
        <w:top w:val="nil"/>
        <w:left w:val="nil"/>
        <w:bottom w:val="nil"/>
        <w:right w:val="nil"/>
        <w:between w:val="nil"/>
        <w:bar w:val="nil"/>
      </w:pBdr>
      <w:jc w:val="both"/>
    </w:pPr>
    <w:rPr>
      <w:rFonts w:hAnsi="Arial Unicode MS" w:cs="Arial Unicode MS"/>
      <w:color w:val="000000"/>
      <w:sz w:val="22"/>
      <w:szCs w:val="22"/>
      <w:u w:color="000000"/>
      <w:bdr w:val="nil"/>
    </w:rPr>
  </w:style>
  <w:style w:type="paragraph" w:styleId="Heading1">
    <w:name w:val="heading 1"/>
    <w:next w:val="Heading2"/>
    <w:qFormat/>
    <w:pPr>
      <w:keepNext/>
      <w:pBdr>
        <w:top w:val="nil"/>
        <w:left w:val="nil"/>
        <w:bottom w:val="nil"/>
        <w:right w:val="nil"/>
        <w:between w:val="nil"/>
        <w:bar w:val="nil"/>
      </w:pBdr>
      <w:tabs>
        <w:tab w:val="left" w:pos="720"/>
      </w:tabs>
      <w:spacing w:before="240" w:after="120"/>
      <w:jc w:val="center"/>
      <w:outlineLvl w:val="0"/>
    </w:pPr>
    <w:rPr>
      <w:rFonts w:eastAsia="Times New Roman"/>
      <w:b/>
      <w:bCs/>
      <w:caps/>
      <w:color w:val="000000"/>
      <w:sz w:val="22"/>
      <w:szCs w:val="22"/>
      <w:u w:color="000000"/>
      <w:bdr w:val="nil"/>
    </w:rPr>
  </w:style>
  <w:style w:type="paragraph" w:styleId="Heading2">
    <w:name w:val="heading 2"/>
    <w:next w:val="Normal"/>
    <w:qFormat/>
    <w:rsid w:val="006E5FCB"/>
    <w:pPr>
      <w:keepNext/>
      <w:pBdr>
        <w:top w:val="nil"/>
        <w:left w:val="nil"/>
        <w:bottom w:val="nil"/>
        <w:right w:val="nil"/>
        <w:between w:val="nil"/>
        <w:bar w:val="nil"/>
      </w:pBdr>
      <w:tabs>
        <w:tab w:val="left" w:pos="720"/>
      </w:tabs>
      <w:spacing w:before="120" w:after="120"/>
      <w:jc w:val="center"/>
      <w:outlineLvl w:val="1"/>
    </w:pPr>
    <w:rPr>
      <w:rFonts w:eastAsia="Times New Roman"/>
      <w:b/>
      <w:bCs/>
      <w:iCs/>
      <w:color w:val="000000"/>
      <w:sz w:val="22"/>
      <w:szCs w:val="22"/>
      <w:u w:color="000000"/>
      <w:bdr w:val="nil"/>
    </w:rPr>
  </w:style>
  <w:style w:type="paragraph" w:styleId="Heading3">
    <w:name w:val="heading 3"/>
    <w:basedOn w:val="Normal"/>
    <w:next w:val="Normal"/>
    <w:link w:val="Heading3Char"/>
    <w:uiPriority w:val="9"/>
    <w:qFormat/>
    <w:rsid w:val="00140E3E"/>
    <w:pPr>
      <w:keepNext/>
      <w:spacing w:before="240" w:after="60"/>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semiHidden/>
    <w:unhideWhenUsed/>
    <w:qFormat/>
    <w:rsid w:val="00F408F1"/>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5752C1"/>
    <w:pPr>
      <w:keepNext/>
      <w:keepLines/>
      <w:spacing w:before="20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Footer">
    <w:name w:val="footer"/>
    <w:pPr>
      <w:pBdr>
        <w:top w:val="nil"/>
        <w:left w:val="nil"/>
        <w:bottom w:val="nil"/>
        <w:right w:val="nil"/>
        <w:between w:val="nil"/>
        <w:bar w:val="nil"/>
      </w:pBdr>
      <w:tabs>
        <w:tab w:val="center" w:pos="4320"/>
        <w:tab w:val="right" w:pos="8640"/>
      </w:tabs>
      <w:ind w:firstLine="720"/>
      <w:jc w:val="right"/>
    </w:pPr>
    <w:rPr>
      <w:rFonts w:hAnsi="Arial Unicode MS" w:cs="Arial Unicode MS"/>
      <w:color w:val="000000"/>
      <w:sz w:val="22"/>
      <w:szCs w:val="22"/>
      <w:u w:color="000000"/>
      <w:bdr w:val="nil"/>
    </w:rPr>
  </w:style>
  <w:style w:type="paragraph" w:customStyle="1" w:styleId="HeaderFooter">
    <w:name w:val="Header &amp; Footer"/>
    <w:pPr>
      <w:pBdr>
        <w:top w:val="nil"/>
        <w:left w:val="nil"/>
        <w:bottom w:val="nil"/>
        <w:right w:val="nil"/>
        <w:between w:val="nil"/>
        <w:bar w:val="nil"/>
      </w:pBdr>
      <w:tabs>
        <w:tab w:val="right" w:pos="9020"/>
      </w:tabs>
    </w:pPr>
    <w:rPr>
      <w:rFonts w:ascii="Helvetica" w:eastAsia="Helvetica" w:hAnsi="Helvetica" w:cs="Helvetica"/>
      <w:color w:val="000000"/>
      <w:sz w:val="24"/>
      <w:szCs w:val="24"/>
      <w:bdr w:val="nil"/>
    </w:rPr>
  </w:style>
  <w:style w:type="paragraph" w:customStyle="1" w:styleId="Cornernotation">
    <w:name w:val="Corner notation"/>
    <w:pPr>
      <w:pBdr>
        <w:top w:val="nil"/>
        <w:left w:val="nil"/>
        <w:bottom w:val="nil"/>
        <w:right w:val="nil"/>
        <w:between w:val="nil"/>
        <w:bar w:val="nil"/>
      </w:pBdr>
      <w:ind w:left="170" w:right="3119" w:hanging="170"/>
    </w:pPr>
    <w:rPr>
      <w:rFonts w:hAnsi="Arial Unicode MS" w:cs="Arial Unicode MS"/>
      <w:color w:val="000000"/>
      <w:sz w:val="22"/>
      <w:szCs w:val="22"/>
      <w:u w:color="000000"/>
      <w:bdr w:val="nil"/>
    </w:rPr>
  </w:style>
  <w:style w:type="paragraph" w:customStyle="1" w:styleId="HEADINGNOTFORTOC">
    <w:name w:val="HEADING (NOT FOR TOC)"/>
    <w:next w:val="Heading2"/>
    <w:pPr>
      <w:keepNext/>
      <w:pBdr>
        <w:top w:val="nil"/>
        <w:left w:val="nil"/>
        <w:bottom w:val="nil"/>
        <w:right w:val="nil"/>
        <w:between w:val="nil"/>
        <w:bar w:val="nil"/>
      </w:pBdr>
      <w:tabs>
        <w:tab w:val="left" w:pos="720"/>
      </w:tabs>
      <w:spacing w:before="240" w:after="120"/>
      <w:jc w:val="center"/>
      <w:outlineLvl w:val="0"/>
    </w:pPr>
    <w:rPr>
      <w:rFonts w:eastAsia="Times New Roman"/>
      <w:b/>
      <w:bCs/>
      <w:caps/>
      <w:color w:val="000000"/>
      <w:sz w:val="22"/>
      <w:szCs w:val="22"/>
      <w:u w:color="000000"/>
      <w:bdr w:val="nil"/>
    </w:rPr>
  </w:style>
  <w:style w:type="paragraph" w:customStyle="1" w:styleId="Para1">
    <w:name w:val="Para1"/>
    <w:link w:val="Para1Char"/>
    <w:pPr>
      <w:pBdr>
        <w:top w:val="nil"/>
        <w:left w:val="nil"/>
        <w:bottom w:val="nil"/>
        <w:right w:val="nil"/>
        <w:between w:val="nil"/>
        <w:bar w:val="nil"/>
      </w:pBdr>
      <w:spacing w:before="120" w:after="120"/>
      <w:jc w:val="both"/>
    </w:pPr>
    <w:rPr>
      <w:rFonts w:hAnsi="Arial Unicode MS"/>
      <w:color w:val="000000"/>
      <w:sz w:val="22"/>
      <w:szCs w:val="22"/>
      <w:u w:color="000000"/>
      <w:bdr w:val="nil"/>
    </w:rPr>
  </w:style>
  <w:style w:type="paragraph" w:customStyle="1" w:styleId="Default">
    <w:name w:val="Default"/>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List0">
    <w:name w:val="List 0"/>
    <w:basedOn w:val="ImportedStyle2"/>
    <w:pPr>
      <w:numPr>
        <w:numId w:val="5"/>
      </w:numPr>
    </w:pPr>
  </w:style>
  <w:style w:type="numbering" w:customStyle="1" w:styleId="ImportedStyle2">
    <w:name w:val="Imported Style 2"/>
  </w:style>
  <w:style w:type="numbering" w:customStyle="1" w:styleId="List1">
    <w:name w:val="List 1"/>
    <w:basedOn w:val="ImportedStyle2"/>
    <w:pPr>
      <w:numPr>
        <w:numId w:val="6"/>
      </w:numPr>
    </w:pPr>
  </w:style>
  <w:style w:type="paragraph" w:customStyle="1" w:styleId="Heading1multiline">
    <w:name w:val="Heading 1 (multiline)"/>
    <w:pPr>
      <w:keepNext/>
      <w:pBdr>
        <w:top w:val="nil"/>
        <w:left w:val="nil"/>
        <w:bottom w:val="nil"/>
        <w:right w:val="nil"/>
        <w:between w:val="nil"/>
        <w:bar w:val="nil"/>
      </w:pBdr>
      <w:tabs>
        <w:tab w:val="left" w:pos="720"/>
      </w:tabs>
      <w:spacing w:before="240" w:after="120"/>
      <w:ind w:left="1843" w:right="996" w:hanging="567"/>
      <w:outlineLvl w:val="0"/>
    </w:pPr>
    <w:rPr>
      <w:rFonts w:hAnsi="Arial Unicode MS" w:cs="Arial Unicode MS"/>
      <w:b/>
      <w:bCs/>
      <w:caps/>
      <w:color w:val="000000"/>
      <w:sz w:val="22"/>
      <w:szCs w:val="22"/>
      <w:u w:color="000000"/>
      <w:bdr w:val="nil"/>
    </w:rPr>
  </w:style>
  <w:style w:type="numbering" w:customStyle="1" w:styleId="List21">
    <w:name w:val="List 21"/>
    <w:basedOn w:val="ImportedStyle3"/>
    <w:pPr>
      <w:numPr>
        <w:numId w:val="2"/>
      </w:numPr>
    </w:pPr>
  </w:style>
  <w:style w:type="numbering" w:customStyle="1" w:styleId="ImportedStyle3">
    <w:name w:val="Imported Style 3"/>
  </w:style>
  <w:style w:type="numbering" w:customStyle="1" w:styleId="List31">
    <w:name w:val="List 31"/>
    <w:basedOn w:val="ImportedStyle2"/>
    <w:pPr>
      <w:numPr>
        <w:numId w:val="7"/>
      </w:numPr>
    </w:pPr>
  </w:style>
  <w:style w:type="numbering" w:customStyle="1" w:styleId="List41">
    <w:name w:val="List 41"/>
    <w:basedOn w:val="ImportedStyle4"/>
    <w:pPr>
      <w:numPr>
        <w:numId w:val="3"/>
      </w:numPr>
    </w:pPr>
  </w:style>
  <w:style w:type="numbering" w:customStyle="1" w:styleId="ImportedStyle4">
    <w:name w:val="Imported Style 4"/>
  </w:style>
  <w:style w:type="paragraph" w:styleId="FootnoteText">
    <w:name w:val="footnote text"/>
    <w:link w:val="FootnoteTextChar"/>
    <w:pPr>
      <w:keepLines/>
      <w:pBdr>
        <w:top w:val="nil"/>
        <w:left w:val="nil"/>
        <w:bottom w:val="nil"/>
        <w:right w:val="nil"/>
        <w:between w:val="nil"/>
        <w:bar w:val="nil"/>
      </w:pBdr>
      <w:spacing w:after="60"/>
      <w:ind w:firstLine="720"/>
      <w:jc w:val="both"/>
    </w:pPr>
    <w:rPr>
      <w:rFonts w:eastAsia="Times New Roman"/>
      <w:color w:val="000000"/>
      <w:sz w:val="18"/>
      <w:szCs w:val="18"/>
      <w:u w:color="000000"/>
      <w:bdr w:val="nil"/>
    </w:rPr>
  </w:style>
  <w:style w:type="numbering" w:customStyle="1" w:styleId="List51">
    <w:name w:val="List 51"/>
    <w:basedOn w:val="ImportedStyle2"/>
    <w:pPr>
      <w:numPr>
        <w:numId w:val="4"/>
      </w:numPr>
    </w:pPr>
  </w:style>
  <w:style w:type="numbering" w:customStyle="1" w:styleId="List6">
    <w:name w:val="List 6"/>
    <w:basedOn w:val="ImportedStyle5"/>
    <w:pPr>
      <w:numPr>
        <w:numId w:val="8"/>
      </w:numPr>
    </w:pPr>
  </w:style>
  <w:style w:type="numbering" w:customStyle="1" w:styleId="ImportedStyle5">
    <w:name w:val="Imported Style 5"/>
  </w:style>
  <w:style w:type="character" w:customStyle="1" w:styleId="Link">
    <w:name w:val="Link"/>
    <w:rPr>
      <w:color w:val="0000FF"/>
      <w:sz w:val="18"/>
      <w:szCs w:val="18"/>
      <w:u w:val="single" w:color="0000FF"/>
    </w:rPr>
  </w:style>
  <w:style w:type="character" w:customStyle="1" w:styleId="Hyperlink0">
    <w:name w:val="Hyperlink.0"/>
    <w:rPr>
      <w:color w:val="0000FF"/>
      <w:sz w:val="18"/>
      <w:szCs w:val="18"/>
      <w:u w:val="single" w:color="0000FF"/>
    </w:rPr>
  </w:style>
  <w:style w:type="paragraph" w:styleId="CommentText">
    <w:name w:val="annotation text"/>
    <w:basedOn w:val="Normal"/>
    <w:link w:val="CommentTextChar"/>
    <w:unhideWhenUsed/>
    <w:rPr>
      <w:rFonts w:cs="Times New Roman"/>
      <w:sz w:val="20"/>
      <w:szCs w:val="20"/>
      <w:bdr w:val="none" w:sz="0" w:space="0" w:color="auto"/>
      <w:lang w:val="x-none" w:eastAsia="x-none"/>
    </w:rPr>
  </w:style>
  <w:style w:type="character" w:customStyle="1" w:styleId="CommentTextChar">
    <w:name w:val="Comment Text Char"/>
    <w:link w:val="CommentText"/>
    <w:rPr>
      <w:rFonts w:hAnsi="Arial Unicode MS" w:cs="Arial Unicode MS"/>
      <w:color w:val="000000"/>
      <w:u w:color="000000"/>
    </w:rPr>
  </w:style>
  <w:style w:type="character" w:styleId="CommentReference">
    <w:name w:val="annotation reference"/>
    <w:semiHidden/>
    <w:unhideWhenUsed/>
    <w:rPr>
      <w:sz w:val="16"/>
      <w:szCs w:val="16"/>
    </w:rPr>
  </w:style>
  <w:style w:type="paragraph" w:styleId="BalloonText">
    <w:name w:val="Balloon Text"/>
    <w:basedOn w:val="Normal"/>
    <w:link w:val="BalloonTextChar"/>
    <w:uiPriority w:val="99"/>
    <w:semiHidden/>
    <w:unhideWhenUsed/>
    <w:rsid w:val="002B6283"/>
    <w:rPr>
      <w:rFonts w:ascii="Tahoma" w:hAnsi="Tahoma" w:cs="Times New Roman"/>
      <w:sz w:val="16"/>
      <w:szCs w:val="16"/>
      <w:bdr w:val="none" w:sz="0" w:space="0" w:color="auto"/>
      <w:lang w:val="x-none" w:eastAsia="x-none"/>
    </w:rPr>
  </w:style>
  <w:style w:type="character" w:customStyle="1" w:styleId="BalloonTextChar">
    <w:name w:val="Balloon Text Char"/>
    <w:link w:val="BalloonText"/>
    <w:uiPriority w:val="99"/>
    <w:semiHidden/>
    <w:rsid w:val="002B6283"/>
    <w:rPr>
      <w:rFonts w:ascii="Tahoma" w:hAnsi="Tahoma" w:cs="Tahoma"/>
      <w:color w:val="000000"/>
      <w:sz w:val="16"/>
      <w:szCs w:val="16"/>
      <w:u w:color="000000"/>
    </w:rPr>
  </w:style>
  <w:style w:type="paragraph" w:styleId="CommentSubject">
    <w:name w:val="annotation subject"/>
    <w:basedOn w:val="CommentText"/>
    <w:next w:val="CommentText"/>
    <w:link w:val="CommentSubjectChar"/>
    <w:uiPriority w:val="99"/>
    <w:semiHidden/>
    <w:unhideWhenUsed/>
    <w:rsid w:val="007741DA"/>
    <w:rPr>
      <w:b/>
      <w:bCs/>
    </w:rPr>
  </w:style>
  <w:style w:type="character" w:customStyle="1" w:styleId="CommentSubjectChar">
    <w:name w:val="Comment Subject Char"/>
    <w:link w:val="CommentSubject"/>
    <w:uiPriority w:val="99"/>
    <w:semiHidden/>
    <w:rsid w:val="007741DA"/>
    <w:rPr>
      <w:rFonts w:hAnsi="Arial Unicode MS" w:cs="Arial Unicode MS"/>
      <w:b/>
      <w:bCs/>
      <w:color w:val="000000"/>
      <w:u w:color="000000"/>
    </w:rPr>
  </w:style>
  <w:style w:type="character" w:styleId="FootnoteReference">
    <w:name w:val="footnote reference"/>
    <w:semiHidden/>
    <w:unhideWhenUsed/>
    <w:rsid w:val="009A63FA"/>
    <w:rPr>
      <w:vertAlign w:val="superscript"/>
    </w:rPr>
  </w:style>
  <w:style w:type="paragraph" w:styleId="Header">
    <w:name w:val="header"/>
    <w:basedOn w:val="Normal"/>
    <w:link w:val="HeaderChar"/>
    <w:uiPriority w:val="99"/>
    <w:unhideWhenUsed/>
    <w:rsid w:val="005F3233"/>
    <w:pPr>
      <w:tabs>
        <w:tab w:val="center" w:pos="4680"/>
        <w:tab w:val="right" w:pos="9360"/>
      </w:tabs>
    </w:pPr>
    <w:rPr>
      <w:rFonts w:cs="Times New Roman"/>
      <w:bdr w:val="none" w:sz="0" w:space="0" w:color="auto"/>
      <w:lang w:val="x-none" w:eastAsia="x-none"/>
    </w:rPr>
  </w:style>
  <w:style w:type="character" w:customStyle="1" w:styleId="HeaderChar">
    <w:name w:val="Header Char"/>
    <w:link w:val="Header"/>
    <w:uiPriority w:val="99"/>
    <w:rsid w:val="005F3233"/>
    <w:rPr>
      <w:rFonts w:hAnsi="Arial Unicode MS" w:cs="Arial Unicode MS"/>
      <w:color w:val="000000"/>
      <w:sz w:val="22"/>
      <w:szCs w:val="22"/>
      <w:u w:color="000000"/>
    </w:rPr>
  </w:style>
  <w:style w:type="paragraph" w:customStyle="1" w:styleId="ColorfulShading-Accent11">
    <w:name w:val="Colorful Shading - Accent 11"/>
    <w:hidden/>
    <w:uiPriority w:val="99"/>
    <w:semiHidden/>
    <w:rsid w:val="003B6DEB"/>
    <w:rPr>
      <w:rFonts w:hAnsi="Arial Unicode MS" w:cs="Arial Unicode MS"/>
      <w:color w:val="000000"/>
      <w:sz w:val="22"/>
      <w:szCs w:val="22"/>
      <w:u w:color="000000"/>
      <w:bdr w:val="nil"/>
    </w:rPr>
  </w:style>
  <w:style w:type="paragraph" w:customStyle="1" w:styleId="ColorfulList-Accent11">
    <w:name w:val="Colorful List - Accent 11"/>
    <w:basedOn w:val="Normal"/>
    <w:uiPriority w:val="34"/>
    <w:qFormat/>
    <w:rsid w:val="0034052B"/>
    <w:pPr>
      <w:ind w:left="720"/>
    </w:pPr>
  </w:style>
  <w:style w:type="character" w:customStyle="1" w:styleId="Heading3Char">
    <w:name w:val="Heading 3 Char"/>
    <w:link w:val="Heading3"/>
    <w:uiPriority w:val="9"/>
    <w:semiHidden/>
    <w:rsid w:val="00140E3E"/>
    <w:rPr>
      <w:rFonts w:ascii="Cambria" w:eastAsia="Times New Roman" w:hAnsi="Cambria" w:cs="Times New Roman"/>
      <w:b/>
      <w:bCs/>
      <w:color w:val="000000"/>
      <w:sz w:val="26"/>
      <w:szCs w:val="26"/>
      <w:u w:color="000000"/>
      <w:bdr w:val="nil"/>
    </w:rPr>
  </w:style>
  <w:style w:type="paragraph" w:customStyle="1" w:styleId="Para3">
    <w:name w:val="Para3"/>
    <w:basedOn w:val="Normal"/>
    <w:rsid w:val="00044541"/>
    <w:pPr>
      <w:pBdr>
        <w:top w:val="none" w:sz="0" w:space="0" w:color="auto"/>
        <w:left w:val="none" w:sz="0" w:space="0" w:color="auto"/>
        <w:bottom w:val="none" w:sz="0" w:space="0" w:color="auto"/>
        <w:right w:val="none" w:sz="0" w:space="0" w:color="auto"/>
        <w:between w:val="none" w:sz="0" w:space="0" w:color="auto"/>
        <w:bar w:val="none" w:sz="0" w:color="auto"/>
      </w:pBdr>
      <w:tabs>
        <w:tab w:val="left" w:pos="1980"/>
        <w:tab w:val="num" w:pos="3690"/>
      </w:tabs>
      <w:spacing w:before="80" w:after="80"/>
      <w:ind w:left="3690" w:hanging="360"/>
    </w:pPr>
    <w:rPr>
      <w:rFonts w:eastAsia="Times New Roman" w:hAnsi="Times New Roman" w:cs="Angsana New"/>
      <w:color w:val="auto"/>
      <w:szCs w:val="20"/>
      <w:bdr w:val="none" w:sz="0" w:space="0" w:color="auto"/>
      <w:lang w:val="en-GB"/>
    </w:rPr>
  </w:style>
  <w:style w:type="character" w:customStyle="1" w:styleId="Para1Char">
    <w:name w:val="Para1 Char"/>
    <w:link w:val="Para1"/>
    <w:locked/>
    <w:rsid w:val="0043479D"/>
    <w:rPr>
      <w:rFonts w:hAnsi="Arial Unicode MS"/>
      <w:color w:val="000000"/>
      <w:sz w:val="22"/>
      <w:szCs w:val="22"/>
      <w:u w:color="000000"/>
      <w:bdr w:val="nil"/>
      <w:lang w:bidi="ar-SA"/>
    </w:rPr>
  </w:style>
  <w:style w:type="paragraph" w:customStyle="1" w:styleId="para10">
    <w:name w:val="para1"/>
    <w:basedOn w:val="Normal"/>
    <w:rsid w:val="001F194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eastAsia="Calibri" w:hAnsi="Times New Roman" w:cs="Times New Roman"/>
      <w:color w:val="auto"/>
      <w:sz w:val="24"/>
      <w:szCs w:val="24"/>
      <w:bdr w:val="none" w:sz="0" w:space="0" w:color="auto"/>
    </w:rPr>
  </w:style>
  <w:style w:type="table" w:styleId="TableGrid">
    <w:name w:val="Table Grid"/>
    <w:basedOn w:val="TableNormal"/>
    <w:uiPriority w:val="59"/>
    <w:rsid w:val="00B55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link w:val="FootnoteText"/>
    <w:rsid w:val="007025B5"/>
    <w:rPr>
      <w:rFonts w:eastAsia="Times New Roman"/>
      <w:color w:val="000000"/>
      <w:sz w:val="18"/>
      <w:szCs w:val="18"/>
      <w:u w:color="000000"/>
      <w:bdr w:val="nil"/>
    </w:rPr>
  </w:style>
  <w:style w:type="paragraph" w:customStyle="1" w:styleId="Paranum">
    <w:name w:val="Paranum"/>
    <w:basedOn w:val="Para1"/>
    <w:rsid w:val="004F521A"/>
    <w:pPr>
      <w:numPr>
        <w:numId w:val="9"/>
      </w:numPr>
      <w:pBdr>
        <w:top w:val="none" w:sz="0" w:space="0" w:color="auto"/>
        <w:left w:val="none" w:sz="0" w:space="0" w:color="auto"/>
        <w:bottom w:val="none" w:sz="0" w:space="0" w:color="auto"/>
        <w:right w:val="none" w:sz="0" w:space="0" w:color="auto"/>
        <w:between w:val="none" w:sz="0" w:space="0" w:color="auto"/>
        <w:bar w:val="none" w:sz="0" w:color="auto"/>
      </w:pBdr>
      <w:spacing w:line="240" w:lineRule="exact"/>
    </w:pPr>
    <w:rPr>
      <w:rFonts w:eastAsia="Malgun Gothic" w:hAnsi="Times New Roman"/>
      <w:color w:val="auto"/>
      <w:szCs w:val="20"/>
      <w:bdr w:val="none" w:sz="0" w:space="0" w:color="auto"/>
    </w:rPr>
  </w:style>
  <w:style w:type="paragraph" w:styleId="ListParagraph">
    <w:name w:val="List Paragraph"/>
    <w:basedOn w:val="Normal"/>
    <w:uiPriority w:val="34"/>
    <w:qFormat/>
    <w:rsid w:val="004F521A"/>
    <w:pPr>
      <w:ind w:left="720"/>
    </w:pPr>
  </w:style>
  <w:style w:type="paragraph" w:styleId="Revision">
    <w:name w:val="Revision"/>
    <w:hidden/>
    <w:uiPriority w:val="99"/>
    <w:semiHidden/>
    <w:rsid w:val="00F60C0B"/>
    <w:rPr>
      <w:rFonts w:hAnsi="Arial Unicode MS" w:cs="Arial Unicode MS"/>
      <w:color w:val="000000"/>
      <w:sz w:val="22"/>
      <w:szCs w:val="22"/>
      <w:u w:color="000000"/>
      <w:bdr w:val="nil"/>
    </w:rPr>
  </w:style>
  <w:style w:type="character" w:styleId="FollowedHyperlink">
    <w:name w:val="FollowedHyperlink"/>
    <w:uiPriority w:val="99"/>
    <w:semiHidden/>
    <w:unhideWhenUsed/>
    <w:rsid w:val="00A14E48"/>
    <w:rPr>
      <w:color w:val="800080"/>
      <w:u w:val="single"/>
    </w:rPr>
  </w:style>
  <w:style w:type="paragraph" w:styleId="HTMLPreformatted">
    <w:name w:val="HTML Preformatted"/>
    <w:basedOn w:val="Normal"/>
    <w:link w:val="HTMLPreformattedChar"/>
    <w:uiPriority w:val="99"/>
    <w:semiHidden/>
    <w:unhideWhenUsed/>
    <w:rsid w:val="006D5166"/>
    <w:rPr>
      <w:rFonts w:ascii="Courier New" w:hAnsi="Courier New" w:cs="Courier New"/>
      <w:sz w:val="20"/>
      <w:szCs w:val="20"/>
    </w:rPr>
  </w:style>
  <w:style w:type="character" w:customStyle="1" w:styleId="HTMLPreformattedChar">
    <w:name w:val="HTML Preformatted Char"/>
    <w:link w:val="HTMLPreformatted"/>
    <w:uiPriority w:val="99"/>
    <w:semiHidden/>
    <w:rsid w:val="006D5166"/>
    <w:rPr>
      <w:rFonts w:ascii="Courier New" w:hAnsi="Courier New" w:cs="Courier New"/>
      <w:color w:val="000000"/>
      <w:u w:color="000000"/>
      <w:bdr w:val="nil"/>
    </w:rPr>
  </w:style>
  <w:style w:type="character" w:customStyle="1" w:styleId="Heading5Char">
    <w:name w:val="Heading 5 Char"/>
    <w:basedOn w:val="DefaultParagraphFont"/>
    <w:link w:val="Heading5"/>
    <w:uiPriority w:val="9"/>
    <w:rsid w:val="005752C1"/>
    <w:rPr>
      <w:rFonts w:asciiTheme="majorHAnsi" w:eastAsiaTheme="majorEastAsia" w:hAnsiTheme="majorHAnsi" w:cstheme="majorBidi"/>
      <w:color w:val="1F3763" w:themeColor="accent1" w:themeShade="7F"/>
      <w:sz w:val="22"/>
      <w:szCs w:val="22"/>
      <w:u w:color="000000"/>
      <w:bdr w:val="nil"/>
    </w:rPr>
  </w:style>
  <w:style w:type="paragraph" w:customStyle="1" w:styleId="Normal1">
    <w:name w:val="Normal1"/>
    <w:basedOn w:val="Normal"/>
    <w:rsid w:val="006E52E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eastAsia="Times New Roman" w:hAnsi="Times New Roman" w:cs="Times New Roman"/>
      <w:color w:val="auto"/>
      <w:sz w:val="24"/>
      <w:szCs w:val="24"/>
      <w:bdr w:val="none" w:sz="0" w:space="0" w:color="auto"/>
    </w:rPr>
  </w:style>
  <w:style w:type="character" w:customStyle="1" w:styleId="Heading4Char">
    <w:name w:val="Heading 4 Char"/>
    <w:basedOn w:val="DefaultParagraphFont"/>
    <w:link w:val="Heading4"/>
    <w:uiPriority w:val="9"/>
    <w:semiHidden/>
    <w:rsid w:val="00F408F1"/>
    <w:rPr>
      <w:rFonts w:asciiTheme="majorHAnsi" w:eastAsiaTheme="majorEastAsia" w:hAnsiTheme="majorHAnsi" w:cstheme="majorBidi"/>
      <w:b/>
      <w:bCs/>
      <w:i/>
      <w:iCs/>
      <w:color w:val="4472C4" w:themeColor="accent1"/>
      <w:sz w:val="22"/>
      <w:szCs w:val="22"/>
      <w:u w:color="000000"/>
      <w:bdr w:val="nil"/>
    </w:rPr>
  </w:style>
  <w:style w:type="character" w:styleId="Emphasis">
    <w:name w:val="Emphasis"/>
    <w:basedOn w:val="DefaultParagraphFont"/>
    <w:uiPriority w:val="20"/>
    <w:qFormat/>
    <w:rsid w:val="00A60AB6"/>
    <w:rPr>
      <w:i/>
      <w:iCs/>
    </w:rPr>
  </w:style>
  <w:style w:type="paragraph" w:styleId="Caption">
    <w:name w:val="caption"/>
    <w:basedOn w:val="Normal"/>
    <w:next w:val="Normal"/>
    <w:link w:val="CaptionChar"/>
    <w:uiPriority w:val="35"/>
    <w:unhideWhenUsed/>
    <w:qFormat/>
    <w:rsid w:val="007D5F65"/>
    <w:pPr>
      <w:spacing w:after="200"/>
      <w:jc w:val="center"/>
    </w:pPr>
    <w:rPr>
      <w:b/>
      <w:bCs/>
      <w:color w:val="auto"/>
      <w:szCs w:val="18"/>
    </w:rPr>
  </w:style>
  <w:style w:type="paragraph" w:styleId="TOC1">
    <w:name w:val="toc 1"/>
    <w:basedOn w:val="Normal"/>
    <w:next w:val="Normal"/>
    <w:autoRedefine/>
    <w:uiPriority w:val="39"/>
    <w:unhideWhenUsed/>
    <w:rsid w:val="004E0513"/>
    <w:pPr>
      <w:spacing w:after="100"/>
    </w:pPr>
  </w:style>
  <w:style w:type="paragraph" w:styleId="TOC2">
    <w:name w:val="toc 2"/>
    <w:basedOn w:val="Normal"/>
    <w:next w:val="Normal"/>
    <w:autoRedefine/>
    <w:uiPriority w:val="39"/>
    <w:unhideWhenUsed/>
    <w:rsid w:val="004F70EB"/>
    <w:pPr>
      <w:tabs>
        <w:tab w:val="left" w:pos="660"/>
        <w:tab w:val="right" w:leader="dot" w:pos="9350"/>
      </w:tabs>
      <w:spacing w:after="100"/>
      <w:ind w:left="220"/>
    </w:pPr>
    <w:rPr>
      <w:rFonts w:eastAsia="Times New Roman" w:hAnsi="Times New Roman" w:cs="Times New Roman"/>
      <w:b/>
      <w:bCs/>
      <w:iCs/>
      <w:noProof/>
      <w:lang w:val="en-GB"/>
    </w:rPr>
  </w:style>
  <w:style w:type="character" w:customStyle="1" w:styleId="CaptionChar">
    <w:name w:val="Caption Char"/>
    <w:basedOn w:val="DefaultParagraphFont"/>
    <w:link w:val="Caption"/>
    <w:uiPriority w:val="35"/>
    <w:rsid w:val="007D5F65"/>
    <w:rPr>
      <w:rFonts w:hAnsi="Arial Unicode MS" w:cs="Arial Unicode MS"/>
      <w:b/>
      <w:bCs/>
      <w:sz w:val="22"/>
      <w:szCs w:val="18"/>
      <w:u w:color="000000"/>
      <w:bdr w:val="nil"/>
    </w:rPr>
  </w:style>
  <w:style w:type="character" w:styleId="PlaceholderText">
    <w:name w:val="Placeholder Text"/>
    <w:basedOn w:val="DefaultParagraphFont"/>
    <w:uiPriority w:val="99"/>
    <w:semiHidden/>
    <w:rsid w:val="0048321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653">
      <w:bodyDiv w:val="1"/>
      <w:marLeft w:val="0"/>
      <w:marRight w:val="0"/>
      <w:marTop w:val="0"/>
      <w:marBottom w:val="0"/>
      <w:divBdr>
        <w:top w:val="none" w:sz="0" w:space="0" w:color="auto"/>
        <w:left w:val="none" w:sz="0" w:space="0" w:color="auto"/>
        <w:bottom w:val="none" w:sz="0" w:space="0" w:color="auto"/>
        <w:right w:val="none" w:sz="0" w:space="0" w:color="auto"/>
      </w:divBdr>
    </w:div>
    <w:div w:id="21131847">
      <w:bodyDiv w:val="1"/>
      <w:marLeft w:val="0"/>
      <w:marRight w:val="0"/>
      <w:marTop w:val="0"/>
      <w:marBottom w:val="0"/>
      <w:divBdr>
        <w:top w:val="none" w:sz="0" w:space="0" w:color="auto"/>
        <w:left w:val="none" w:sz="0" w:space="0" w:color="auto"/>
        <w:bottom w:val="none" w:sz="0" w:space="0" w:color="auto"/>
        <w:right w:val="none" w:sz="0" w:space="0" w:color="auto"/>
      </w:divBdr>
    </w:div>
    <w:div w:id="23947442">
      <w:bodyDiv w:val="1"/>
      <w:marLeft w:val="0"/>
      <w:marRight w:val="0"/>
      <w:marTop w:val="0"/>
      <w:marBottom w:val="0"/>
      <w:divBdr>
        <w:top w:val="none" w:sz="0" w:space="0" w:color="auto"/>
        <w:left w:val="none" w:sz="0" w:space="0" w:color="auto"/>
        <w:bottom w:val="none" w:sz="0" w:space="0" w:color="auto"/>
        <w:right w:val="none" w:sz="0" w:space="0" w:color="auto"/>
      </w:divBdr>
    </w:div>
    <w:div w:id="71511888">
      <w:bodyDiv w:val="1"/>
      <w:marLeft w:val="0"/>
      <w:marRight w:val="0"/>
      <w:marTop w:val="0"/>
      <w:marBottom w:val="0"/>
      <w:divBdr>
        <w:top w:val="none" w:sz="0" w:space="0" w:color="auto"/>
        <w:left w:val="none" w:sz="0" w:space="0" w:color="auto"/>
        <w:bottom w:val="none" w:sz="0" w:space="0" w:color="auto"/>
        <w:right w:val="none" w:sz="0" w:space="0" w:color="auto"/>
      </w:divBdr>
    </w:div>
    <w:div w:id="82530194">
      <w:bodyDiv w:val="1"/>
      <w:marLeft w:val="0"/>
      <w:marRight w:val="0"/>
      <w:marTop w:val="0"/>
      <w:marBottom w:val="0"/>
      <w:divBdr>
        <w:top w:val="none" w:sz="0" w:space="0" w:color="auto"/>
        <w:left w:val="none" w:sz="0" w:space="0" w:color="auto"/>
        <w:bottom w:val="none" w:sz="0" w:space="0" w:color="auto"/>
        <w:right w:val="none" w:sz="0" w:space="0" w:color="auto"/>
      </w:divBdr>
    </w:div>
    <w:div w:id="84885227">
      <w:bodyDiv w:val="1"/>
      <w:marLeft w:val="0"/>
      <w:marRight w:val="0"/>
      <w:marTop w:val="0"/>
      <w:marBottom w:val="0"/>
      <w:divBdr>
        <w:top w:val="none" w:sz="0" w:space="0" w:color="auto"/>
        <w:left w:val="none" w:sz="0" w:space="0" w:color="auto"/>
        <w:bottom w:val="none" w:sz="0" w:space="0" w:color="auto"/>
        <w:right w:val="none" w:sz="0" w:space="0" w:color="auto"/>
      </w:divBdr>
    </w:div>
    <w:div w:id="99377442">
      <w:bodyDiv w:val="1"/>
      <w:marLeft w:val="0"/>
      <w:marRight w:val="0"/>
      <w:marTop w:val="0"/>
      <w:marBottom w:val="0"/>
      <w:divBdr>
        <w:top w:val="none" w:sz="0" w:space="0" w:color="auto"/>
        <w:left w:val="none" w:sz="0" w:space="0" w:color="auto"/>
        <w:bottom w:val="none" w:sz="0" w:space="0" w:color="auto"/>
        <w:right w:val="none" w:sz="0" w:space="0" w:color="auto"/>
      </w:divBdr>
    </w:div>
    <w:div w:id="100415240">
      <w:bodyDiv w:val="1"/>
      <w:marLeft w:val="0"/>
      <w:marRight w:val="0"/>
      <w:marTop w:val="0"/>
      <w:marBottom w:val="0"/>
      <w:divBdr>
        <w:top w:val="none" w:sz="0" w:space="0" w:color="auto"/>
        <w:left w:val="none" w:sz="0" w:space="0" w:color="auto"/>
        <w:bottom w:val="none" w:sz="0" w:space="0" w:color="auto"/>
        <w:right w:val="none" w:sz="0" w:space="0" w:color="auto"/>
      </w:divBdr>
    </w:div>
    <w:div w:id="104427250">
      <w:bodyDiv w:val="1"/>
      <w:marLeft w:val="0"/>
      <w:marRight w:val="0"/>
      <w:marTop w:val="0"/>
      <w:marBottom w:val="0"/>
      <w:divBdr>
        <w:top w:val="none" w:sz="0" w:space="0" w:color="auto"/>
        <w:left w:val="none" w:sz="0" w:space="0" w:color="auto"/>
        <w:bottom w:val="none" w:sz="0" w:space="0" w:color="auto"/>
        <w:right w:val="none" w:sz="0" w:space="0" w:color="auto"/>
      </w:divBdr>
    </w:div>
    <w:div w:id="105078888">
      <w:bodyDiv w:val="1"/>
      <w:marLeft w:val="0"/>
      <w:marRight w:val="0"/>
      <w:marTop w:val="0"/>
      <w:marBottom w:val="0"/>
      <w:divBdr>
        <w:top w:val="none" w:sz="0" w:space="0" w:color="auto"/>
        <w:left w:val="none" w:sz="0" w:space="0" w:color="auto"/>
        <w:bottom w:val="none" w:sz="0" w:space="0" w:color="auto"/>
        <w:right w:val="none" w:sz="0" w:space="0" w:color="auto"/>
      </w:divBdr>
    </w:div>
    <w:div w:id="107093389">
      <w:bodyDiv w:val="1"/>
      <w:marLeft w:val="0"/>
      <w:marRight w:val="0"/>
      <w:marTop w:val="0"/>
      <w:marBottom w:val="0"/>
      <w:divBdr>
        <w:top w:val="none" w:sz="0" w:space="0" w:color="auto"/>
        <w:left w:val="none" w:sz="0" w:space="0" w:color="auto"/>
        <w:bottom w:val="none" w:sz="0" w:space="0" w:color="auto"/>
        <w:right w:val="none" w:sz="0" w:space="0" w:color="auto"/>
      </w:divBdr>
    </w:div>
    <w:div w:id="108165256">
      <w:bodyDiv w:val="1"/>
      <w:marLeft w:val="0"/>
      <w:marRight w:val="0"/>
      <w:marTop w:val="0"/>
      <w:marBottom w:val="0"/>
      <w:divBdr>
        <w:top w:val="none" w:sz="0" w:space="0" w:color="auto"/>
        <w:left w:val="none" w:sz="0" w:space="0" w:color="auto"/>
        <w:bottom w:val="none" w:sz="0" w:space="0" w:color="auto"/>
        <w:right w:val="none" w:sz="0" w:space="0" w:color="auto"/>
      </w:divBdr>
    </w:div>
    <w:div w:id="142280780">
      <w:bodyDiv w:val="1"/>
      <w:marLeft w:val="0"/>
      <w:marRight w:val="0"/>
      <w:marTop w:val="0"/>
      <w:marBottom w:val="0"/>
      <w:divBdr>
        <w:top w:val="none" w:sz="0" w:space="0" w:color="auto"/>
        <w:left w:val="none" w:sz="0" w:space="0" w:color="auto"/>
        <w:bottom w:val="none" w:sz="0" w:space="0" w:color="auto"/>
        <w:right w:val="none" w:sz="0" w:space="0" w:color="auto"/>
      </w:divBdr>
    </w:div>
    <w:div w:id="143398010">
      <w:bodyDiv w:val="1"/>
      <w:marLeft w:val="0"/>
      <w:marRight w:val="0"/>
      <w:marTop w:val="0"/>
      <w:marBottom w:val="0"/>
      <w:divBdr>
        <w:top w:val="none" w:sz="0" w:space="0" w:color="auto"/>
        <w:left w:val="none" w:sz="0" w:space="0" w:color="auto"/>
        <w:bottom w:val="none" w:sz="0" w:space="0" w:color="auto"/>
        <w:right w:val="none" w:sz="0" w:space="0" w:color="auto"/>
      </w:divBdr>
    </w:div>
    <w:div w:id="152138078">
      <w:bodyDiv w:val="1"/>
      <w:marLeft w:val="0"/>
      <w:marRight w:val="0"/>
      <w:marTop w:val="0"/>
      <w:marBottom w:val="0"/>
      <w:divBdr>
        <w:top w:val="none" w:sz="0" w:space="0" w:color="auto"/>
        <w:left w:val="none" w:sz="0" w:space="0" w:color="auto"/>
        <w:bottom w:val="none" w:sz="0" w:space="0" w:color="auto"/>
        <w:right w:val="none" w:sz="0" w:space="0" w:color="auto"/>
      </w:divBdr>
    </w:div>
    <w:div w:id="154881384">
      <w:bodyDiv w:val="1"/>
      <w:marLeft w:val="0"/>
      <w:marRight w:val="0"/>
      <w:marTop w:val="0"/>
      <w:marBottom w:val="0"/>
      <w:divBdr>
        <w:top w:val="none" w:sz="0" w:space="0" w:color="auto"/>
        <w:left w:val="none" w:sz="0" w:space="0" w:color="auto"/>
        <w:bottom w:val="none" w:sz="0" w:space="0" w:color="auto"/>
        <w:right w:val="none" w:sz="0" w:space="0" w:color="auto"/>
      </w:divBdr>
    </w:div>
    <w:div w:id="224873433">
      <w:bodyDiv w:val="1"/>
      <w:marLeft w:val="0"/>
      <w:marRight w:val="0"/>
      <w:marTop w:val="0"/>
      <w:marBottom w:val="0"/>
      <w:divBdr>
        <w:top w:val="none" w:sz="0" w:space="0" w:color="auto"/>
        <w:left w:val="none" w:sz="0" w:space="0" w:color="auto"/>
        <w:bottom w:val="none" w:sz="0" w:space="0" w:color="auto"/>
        <w:right w:val="none" w:sz="0" w:space="0" w:color="auto"/>
      </w:divBdr>
    </w:div>
    <w:div w:id="228350793">
      <w:bodyDiv w:val="1"/>
      <w:marLeft w:val="0"/>
      <w:marRight w:val="0"/>
      <w:marTop w:val="0"/>
      <w:marBottom w:val="0"/>
      <w:divBdr>
        <w:top w:val="none" w:sz="0" w:space="0" w:color="auto"/>
        <w:left w:val="none" w:sz="0" w:space="0" w:color="auto"/>
        <w:bottom w:val="none" w:sz="0" w:space="0" w:color="auto"/>
        <w:right w:val="none" w:sz="0" w:space="0" w:color="auto"/>
      </w:divBdr>
    </w:div>
    <w:div w:id="266885218">
      <w:bodyDiv w:val="1"/>
      <w:marLeft w:val="0"/>
      <w:marRight w:val="0"/>
      <w:marTop w:val="0"/>
      <w:marBottom w:val="0"/>
      <w:divBdr>
        <w:top w:val="none" w:sz="0" w:space="0" w:color="auto"/>
        <w:left w:val="none" w:sz="0" w:space="0" w:color="auto"/>
        <w:bottom w:val="none" w:sz="0" w:space="0" w:color="auto"/>
        <w:right w:val="none" w:sz="0" w:space="0" w:color="auto"/>
      </w:divBdr>
    </w:div>
    <w:div w:id="290718409">
      <w:bodyDiv w:val="1"/>
      <w:marLeft w:val="0"/>
      <w:marRight w:val="0"/>
      <w:marTop w:val="0"/>
      <w:marBottom w:val="0"/>
      <w:divBdr>
        <w:top w:val="none" w:sz="0" w:space="0" w:color="auto"/>
        <w:left w:val="none" w:sz="0" w:space="0" w:color="auto"/>
        <w:bottom w:val="none" w:sz="0" w:space="0" w:color="auto"/>
        <w:right w:val="none" w:sz="0" w:space="0" w:color="auto"/>
      </w:divBdr>
    </w:div>
    <w:div w:id="293339903">
      <w:bodyDiv w:val="1"/>
      <w:marLeft w:val="0"/>
      <w:marRight w:val="0"/>
      <w:marTop w:val="0"/>
      <w:marBottom w:val="0"/>
      <w:divBdr>
        <w:top w:val="none" w:sz="0" w:space="0" w:color="auto"/>
        <w:left w:val="none" w:sz="0" w:space="0" w:color="auto"/>
        <w:bottom w:val="none" w:sz="0" w:space="0" w:color="auto"/>
        <w:right w:val="none" w:sz="0" w:space="0" w:color="auto"/>
      </w:divBdr>
    </w:div>
    <w:div w:id="297103639">
      <w:bodyDiv w:val="1"/>
      <w:marLeft w:val="0"/>
      <w:marRight w:val="0"/>
      <w:marTop w:val="0"/>
      <w:marBottom w:val="0"/>
      <w:divBdr>
        <w:top w:val="none" w:sz="0" w:space="0" w:color="auto"/>
        <w:left w:val="none" w:sz="0" w:space="0" w:color="auto"/>
        <w:bottom w:val="none" w:sz="0" w:space="0" w:color="auto"/>
        <w:right w:val="none" w:sz="0" w:space="0" w:color="auto"/>
      </w:divBdr>
    </w:div>
    <w:div w:id="311640511">
      <w:bodyDiv w:val="1"/>
      <w:marLeft w:val="0"/>
      <w:marRight w:val="0"/>
      <w:marTop w:val="0"/>
      <w:marBottom w:val="0"/>
      <w:divBdr>
        <w:top w:val="none" w:sz="0" w:space="0" w:color="auto"/>
        <w:left w:val="none" w:sz="0" w:space="0" w:color="auto"/>
        <w:bottom w:val="none" w:sz="0" w:space="0" w:color="auto"/>
        <w:right w:val="none" w:sz="0" w:space="0" w:color="auto"/>
      </w:divBdr>
    </w:div>
    <w:div w:id="329988727">
      <w:bodyDiv w:val="1"/>
      <w:marLeft w:val="0"/>
      <w:marRight w:val="0"/>
      <w:marTop w:val="0"/>
      <w:marBottom w:val="0"/>
      <w:divBdr>
        <w:top w:val="none" w:sz="0" w:space="0" w:color="auto"/>
        <w:left w:val="none" w:sz="0" w:space="0" w:color="auto"/>
        <w:bottom w:val="none" w:sz="0" w:space="0" w:color="auto"/>
        <w:right w:val="none" w:sz="0" w:space="0" w:color="auto"/>
      </w:divBdr>
    </w:div>
    <w:div w:id="334653426">
      <w:bodyDiv w:val="1"/>
      <w:marLeft w:val="0"/>
      <w:marRight w:val="0"/>
      <w:marTop w:val="0"/>
      <w:marBottom w:val="0"/>
      <w:divBdr>
        <w:top w:val="none" w:sz="0" w:space="0" w:color="auto"/>
        <w:left w:val="none" w:sz="0" w:space="0" w:color="auto"/>
        <w:bottom w:val="none" w:sz="0" w:space="0" w:color="auto"/>
        <w:right w:val="none" w:sz="0" w:space="0" w:color="auto"/>
      </w:divBdr>
    </w:div>
    <w:div w:id="336616490">
      <w:bodyDiv w:val="1"/>
      <w:marLeft w:val="0"/>
      <w:marRight w:val="0"/>
      <w:marTop w:val="0"/>
      <w:marBottom w:val="0"/>
      <w:divBdr>
        <w:top w:val="none" w:sz="0" w:space="0" w:color="auto"/>
        <w:left w:val="none" w:sz="0" w:space="0" w:color="auto"/>
        <w:bottom w:val="none" w:sz="0" w:space="0" w:color="auto"/>
        <w:right w:val="none" w:sz="0" w:space="0" w:color="auto"/>
      </w:divBdr>
    </w:div>
    <w:div w:id="336662689">
      <w:bodyDiv w:val="1"/>
      <w:marLeft w:val="0"/>
      <w:marRight w:val="0"/>
      <w:marTop w:val="0"/>
      <w:marBottom w:val="0"/>
      <w:divBdr>
        <w:top w:val="none" w:sz="0" w:space="0" w:color="auto"/>
        <w:left w:val="none" w:sz="0" w:space="0" w:color="auto"/>
        <w:bottom w:val="none" w:sz="0" w:space="0" w:color="auto"/>
        <w:right w:val="none" w:sz="0" w:space="0" w:color="auto"/>
      </w:divBdr>
      <w:divsChild>
        <w:div w:id="709913104">
          <w:marLeft w:val="0"/>
          <w:marRight w:val="0"/>
          <w:marTop w:val="0"/>
          <w:marBottom w:val="0"/>
          <w:divBdr>
            <w:top w:val="none" w:sz="0" w:space="0" w:color="auto"/>
            <w:left w:val="none" w:sz="0" w:space="0" w:color="auto"/>
            <w:bottom w:val="none" w:sz="0" w:space="0" w:color="auto"/>
            <w:right w:val="none" w:sz="0" w:space="0" w:color="auto"/>
          </w:divBdr>
          <w:divsChild>
            <w:div w:id="1645356039">
              <w:marLeft w:val="0"/>
              <w:marRight w:val="0"/>
              <w:marTop w:val="0"/>
              <w:marBottom w:val="0"/>
              <w:divBdr>
                <w:top w:val="none" w:sz="0" w:space="0" w:color="auto"/>
                <w:left w:val="none" w:sz="0" w:space="0" w:color="auto"/>
                <w:bottom w:val="none" w:sz="0" w:space="0" w:color="auto"/>
                <w:right w:val="none" w:sz="0" w:space="0" w:color="auto"/>
              </w:divBdr>
              <w:divsChild>
                <w:div w:id="1820533835">
                  <w:marLeft w:val="0"/>
                  <w:marRight w:val="300"/>
                  <w:marTop w:val="0"/>
                  <w:marBottom w:val="0"/>
                  <w:divBdr>
                    <w:top w:val="none" w:sz="0" w:space="0" w:color="auto"/>
                    <w:left w:val="none" w:sz="0" w:space="0" w:color="auto"/>
                    <w:bottom w:val="none" w:sz="0" w:space="0" w:color="auto"/>
                    <w:right w:val="none" w:sz="0" w:space="0" w:color="auto"/>
                  </w:divBdr>
                  <w:divsChild>
                    <w:div w:id="283775337">
                      <w:marLeft w:val="0"/>
                      <w:marRight w:val="0"/>
                      <w:marTop w:val="0"/>
                      <w:marBottom w:val="0"/>
                      <w:divBdr>
                        <w:top w:val="none" w:sz="0" w:space="0" w:color="auto"/>
                        <w:left w:val="none" w:sz="0" w:space="0" w:color="auto"/>
                        <w:bottom w:val="none" w:sz="0" w:space="0" w:color="auto"/>
                        <w:right w:val="none" w:sz="0" w:space="0" w:color="auto"/>
                      </w:divBdr>
                      <w:divsChild>
                        <w:div w:id="1268076757">
                          <w:marLeft w:val="0"/>
                          <w:marRight w:val="0"/>
                          <w:marTop w:val="0"/>
                          <w:marBottom w:val="0"/>
                          <w:divBdr>
                            <w:top w:val="none" w:sz="0" w:space="0" w:color="auto"/>
                            <w:left w:val="none" w:sz="0" w:space="0" w:color="auto"/>
                            <w:bottom w:val="none" w:sz="0" w:space="0" w:color="auto"/>
                            <w:right w:val="none" w:sz="0" w:space="0" w:color="auto"/>
                          </w:divBdr>
                          <w:divsChild>
                            <w:div w:id="484200215">
                              <w:marLeft w:val="0"/>
                              <w:marRight w:val="0"/>
                              <w:marTop w:val="0"/>
                              <w:marBottom w:val="0"/>
                              <w:divBdr>
                                <w:top w:val="none" w:sz="0" w:space="0" w:color="auto"/>
                                <w:left w:val="none" w:sz="0" w:space="0" w:color="auto"/>
                                <w:bottom w:val="none" w:sz="0" w:space="0" w:color="auto"/>
                                <w:right w:val="none" w:sz="0" w:space="0" w:color="auto"/>
                              </w:divBdr>
                              <w:divsChild>
                                <w:div w:id="1223641174">
                                  <w:marLeft w:val="0"/>
                                  <w:marRight w:val="0"/>
                                  <w:marTop w:val="0"/>
                                  <w:marBottom w:val="0"/>
                                  <w:divBdr>
                                    <w:top w:val="none" w:sz="0" w:space="0" w:color="auto"/>
                                    <w:left w:val="none" w:sz="0" w:space="0" w:color="auto"/>
                                    <w:bottom w:val="none" w:sz="0" w:space="0" w:color="auto"/>
                                    <w:right w:val="none" w:sz="0" w:space="0" w:color="auto"/>
                                  </w:divBdr>
                                  <w:divsChild>
                                    <w:div w:id="4457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2634600">
      <w:bodyDiv w:val="1"/>
      <w:marLeft w:val="0"/>
      <w:marRight w:val="0"/>
      <w:marTop w:val="0"/>
      <w:marBottom w:val="0"/>
      <w:divBdr>
        <w:top w:val="none" w:sz="0" w:space="0" w:color="auto"/>
        <w:left w:val="none" w:sz="0" w:space="0" w:color="auto"/>
        <w:bottom w:val="none" w:sz="0" w:space="0" w:color="auto"/>
        <w:right w:val="none" w:sz="0" w:space="0" w:color="auto"/>
      </w:divBdr>
    </w:div>
    <w:div w:id="388263674">
      <w:bodyDiv w:val="1"/>
      <w:marLeft w:val="0"/>
      <w:marRight w:val="0"/>
      <w:marTop w:val="0"/>
      <w:marBottom w:val="0"/>
      <w:divBdr>
        <w:top w:val="none" w:sz="0" w:space="0" w:color="auto"/>
        <w:left w:val="none" w:sz="0" w:space="0" w:color="auto"/>
        <w:bottom w:val="none" w:sz="0" w:space="0" w:color="auto"/>
        <w:right w:val="none" w:sz="0" w:space="0" w:color="auto"/>
      </w:divBdr>
    </w:div>
    <w:div w:id="395665112">
      <w:bodyDiv w:val="1"/>
      <w:marLeft w:val="0"/>
      <w:marRight w:val="0"/>
      <w:marTop w:val="0"/>
      <w:marBottom w:val="0"/>
      <w:divBdr>
        <w:top w:val="none" w:sz="0" w:space="0" w:color="auto"/>
        <w:left w:val="none" w:sz="0" w:space="0" w:color="auto"/>
        <w:bottom w:val="none" w:sz="0" w:space="0" w:color="auto"/>
        <w:right w:val="none" w:sz="0" w:space="0" w:color="auto"/>
      </w:divBdr>
    </w:div>
    <w:div w:id="396124223">
      <w:bodyDiv w:val="1"/>
      <w:marLeft w:val="0"/>
      <w:marRight w:val="0"/>
      <w:marTop w:val="0"/>
      <w:marBottom w:val="0"/>
      <w:divBdr>
        <w:top w:val="none" w:sz="0" w:space="0" w:color="auto"/>
        <w:left w:val="none" w:sz="0" w:space="0" w:color="auto"/>
        <w:bottom w:val="none" w:sz="0" w:space="0" w:color="auto"/>
        <w:right w:val="none" w:sz="0" w:space="0" w:color="auto"/>
      </w:divBdr>
    </w:div>
    <w:div w:id="399714641">
      <w:bodyDiv w:val="1"/>
      <w:marLeft w:val="0"/>
      <w:marRight w:val="0"/>
      <w:marTop w:val="0"/>
      <w:marBottom w:val="0"/>
      <w:divBdr>
        <w:top w:val="none" w:sz="0" w:space="0" w:color="auto"/>
        <w:left w:val="none" w:sz="0" w:space="0" w:color="auto"/>
        <w:bottom w:val="none" w:sz="0" w:space="0" w:color="auto"/>
        <w:right w:val="none" w:sz="0" w:space="0" w:color="auto"/>
      </w:divBdr>
    </w:div>
    <w:div w:id="418018452">
      <w:bodyDiv w:val="1"/>
      <w:marLeft w:val="0"/>
      <w:marRight w:val="0"/>
      <w:marTop w:val="0"/>
      <w:marBottom w:val="0"/>
      <w:divBdr>
        <w:top w:val="none" w:sz="0" w:space="0" w:color="auto"/>
        <w:left w:val="none" w:sz="0" w:space="0" w:color="auto"/>
        <w:bottom w:val="none" w:sz="0" w:space="0" w:color="auto"/>
        <w:right w:val="none" w:sz="0" w:space="0" w:color="auto"/>
      </w:divBdr>
    </w:div>
    <w:div w:id="423460348">
      <w:bodyDiv w:val="1"/>
      <w:marLeft w:val="0"/>
      <w:marRight w:val="0"/>
      <w:marTop w:val="0"/>
      <w:marBottom w:val="0"/>
      <w:divBdr>
        <w:top w:val="none" w:sz="0" w:space="0" w:color="auto"/>
        <w:left w:val="none" w:sz="0" w:space="0" w:color="auto"/>
        <w:bottom w:val="none" w:sz="0" w:space="0" w:color="auto"/>
        <w:right w:val="none" w:sz="0" w:space="0" w:color="auto"/>
      </w:divBdr>
    </w:div>
    <w:div w:id="425930362">
      <w:bodyDiv w:val="1"/>
      <w:marLeft w:val="0"/>
      <w:marRight w:val="0"/>
      <w:marTop w:val="0"/>
      <w:marBottom w:val="0"/>
      <w:divBdr>
        <w:top w:val="none" w:sz="0" w:space="0" w:color="auto"/>
        <w:left w:val="none" w:sz="0" w:space="0" w:color="auto"/>
        <w:bottom w:val="none" w:sz="0" w:space="0" w:color="auto"/>
        <w:right w:val="none" w:sz="0" w:space="0" w:color="auto"/>
      </w:divBdr>
    </w:div>
    <w:div w:id="439684655">
      <w:bodyDiv w:val="1"/>
      <w:marLeft w:val="0"/>
      <w:marRight w:val="0"/>
      <w:marTop w:val="0"/>
      <w:marBottom w:val="0"/>
      <w:divBdr>
        <w:top w:val="none" w:sz="0" w:space="0" w:color="auto"/>
        <w:left w:val="none" w:sz="0" w:space="0" w:color="auto"/>
        <w:bottom w:val="none" w:sz="0" w:space="0" w:color="auto"/>
        <w:right w:val="none" w:sz="0" w:space="0" w:color="auto"/>
      </w:divBdr>
    </w:div>
    <w:div w:id="442192710">
      <w:bodyDiv w:val="1"/>
      <w:marLeft w:val="0"/>
      <w:marRight w:val="0"/>
      <w:marTop w:val="0"/>
      <w:marBottom w:val="0"/>
      <w:divBdr>
        <w:top w:val="none" w:sz="0" w:space="0" w:color="auto"/>
        <w:left w:val="none" w:sz="0" w:space="0" w:color="auto"/>
        <w:bottom w:val="none" w:sz="0" w:space="0" w:color="auto"/>
        <w:right w:val="none" w:sz="0" w:space="0" w:color="auto"/>
      </w:divBdr>
    </w:div>
    <w:div w:id="462965712">
      <w:bodyDiv w:val="1"/>
      <w:marLeft w:val="0"/>
      <w:marRight w:val="0"/>
      <w:marTop w:val="0"/>
      <w:marBottom w:val="0"/>
      <w:divBdr>
        <w:top w:val="none" w:sz="0" w:space="0" w:color="auto"/>
        <w:left w:val="none" w:sz="0" w:space="0" w:color="auto"/>
        <w:bottom w:val="none" w:sz="0" w:space="0" w:color="auto"/>
        <w:right w:val="none" w:sz="0" w:space="0" w:color="auto"/>
      </w:divBdr>
    </w:div>
    <w:div w:id="464929171">
      <w:bodyDiv w:val="1"/>
      <w:marLeft w:val="0"/>
      <w:marRight w:val="0"/>
      <w:marTop w:val="0"/>
      <w:marBottom w:val="0"/>
      <w:divBdr>
        <w:top w:val="none" w:sz="0" w:space="0" w:color="auto"/>
        <w:left w:val="none" w:sz="0" w:space="0" w:color="auto"/>
        <w:bottom w:val="none" w:sz="0" w:space="0" w:color="auto"/>
        <w:right w:val="none" w:sz="0" w:space="0" w:color="auto"/>
      </w:divBdr>
    </w:div>
    <w:div w:id="467750003">
      <w:bodyDiv w:val="1"/>
      <w:marLeft w:val="0"/>
      <w:marRight w:val="0"/>
      <w:marTop w:val="0"/>
      <w:marBottom w:val="0"/>
      <w:divBdr>
        <w:top w:val="none" w:sz="0" w:space="0" w:color="auto"/>
        <w:left w:val="none" w:sz="0" w:space="0" w:color="auto"/>
        <w:bottom w:val="none" w:sz="0" w:space="0" w:color="auto"/>
        <w:right w:val="none" w:sz="0" w:space="0" w:color="auto"/>
      </w:divBdr>
    </w:div>
    <w:div w:id="497120073">
      <w:bodyDiv w:val="1"/>
      <w:marLeft w:val="0"/>
      <w:marRight w:val="0"/>
      <w:marTop w:val="0"/>
      <w:marBottom w:val="0"/>
      <w:divBdr>
        <w:top w:val="none" w:sz="0" w:space="0" w:color="auto"/>
        <w:left w:val="none" w:sz="0" w:space="0" w:color="auto"/>
        <w:bottom w:val="none" w:sz="0" w:space="0" w:color="auto"/>
        <w:right w:val="none" w:sz="0" w:space="0" w:color="auto"/>
      </w:divBdr>
    </w:div>
    <w:div w:id="525096822">
      <w:bodyDiv w:val="1"/>
      <w:marLeft w:val="0"/>
      <w:marRight w:val="0"/>
      <w:marTop w:val="0"/>
      <w:marBottom w:val="0"/>
      <w:divBdr>
        <w:top w:val="none" w:sz="0" w:space="0" w:color="auto"/>
        <w:left w:val="none" w:sz="0" w:space="0" w:color="auto"/>
        <w:bottom w:val="none" w:sz="0" w:space="0" w:color="auto"/>
        <w:right w:val="none" w:sz="0" w:space="0" w:color="auto"/>
      </w:divBdr>
    </w:div>
    <w:div w:id="540557241">
      <w:bodyDiv w:val="1"/>
      <w:marLeft w:val="0"/>
      <w:marRight w:val="0"/>
      <w:marTop w:val="0"/>
      <w:marBottom w:val="0"/>
      <w:divBdr>
        <w:top w:val="none" w:sz="0" w:space="0" w:color="auto"/>
        <w:left w:val="none" w:sz="0" w:space="0" w:color="auto"/>
        <w:bottom w:val="none" w:sz="0" w:space="0" w:color="auto"/>
        <w:right w:val="none" w:sz="0" w:space="0" w:color="auto"/>
      </w:divBdr>
      <w:divsChild>
        <w:div w:id="1249773566">
          <w:marLeft w:val="0"/>
          <w:marRight w:val="0"/>
          <w:marTop w:val="0"/>
          <w:marBottom w:val="0"/>
          <w:divBdr>
            <w:top w:val="none" w:sz="0" w:space="0" w:color="auto"/>
            <w:left w:val="none" w:sz="0" w:space="0" w:color="auto"/>
            <w:bottom w:val="none" w:sz="0" w:space="0" w:color="auto"/>
            <w:right w:val="none" w:sz="0" w:space="0" w:color="auto"/>
          </w:divBdr>
        </w:div>
      </w:divsChild>
    </w:div>
    <w:div w:id="592516818">
      <w:bodyDiv w:val="1"/>
      <w:marLeft w:val="0"/>
      <w:marRight w:val="0"/>
      <w:marTop w:val="0"/>
      <w:marBottom w:val="0"/>
      <w:divBdr>
        <w:top w:val="none" w:sz="0" w:space="0" w:color="auto"/>
        <w:left w:val="none" w:sz="0" w:space="0" w:color="auto"/>
        <w:bottom w:val="none" w:sz="0" w:space="0" w:color="auto"/>
        <w:right w:val="none" w:sz="0" w:space="0" w:color="auto"/>
      </w:divBdr>
    </w:div>
    <w:div w:id="595358325">
      <w:bodyDiv w:val="1"/>
      <w:marLeft w:val="0"/>
      <w:marRight w:val="0"/>
      <w:marTop w:val="0"/>
      <w:marBottom w:val="0"/>
      <w:divBdr>
        <w:top w:val="none" w:sz="0" w:space="0" w:color="auto"/>
        <w:left w:val="none" w:sz="0" w:space="0" w:color="auto"/>
        <w:bottom w:val="none" w:sz="0" w:space="0" w:color="auto"/>
        <w:right w:val="none" w:sz="0" w:space="0" w:color="auto"/>
      </w:divBdr>
    </w:div>
    <w:div w:id="596132881">
      <w:bodyDiv w:val="1"/>
      <w:marLeft w:val="0"/>
      <w:marRight w:val="0"/>
      <w:marTop w:val="0"/>
      <w:marBottom w:val="0"/>
      <w:divBdr>
        <w:top w:val="none" w:sz="0" w:space="0" w:color="auto"/>
        <w:left w:val="none" w:sz="0" w:space="0" w:color="auto"/>
        <w:bottom w:val="none" w:sz="0" w:space="0" w:color="auto"/>
        <w:right w:val="none" w:sz="0" w:space="0" w:color="auto"/>
      </w:divBdr>
    </w:div>
    <w:div w:id="608850847">
      <w:bodyDiv w:val="1"/>
      <w:marLeft w:val="0"/>
      <w:marRight w:val="0"/>
      <w:marTop w:val="0"/>
      <w:marBottom w:val="0"/>
      <w:divBdr>
        <w:top w:val="none" w:sz="0" w:space="0" w:color="auto"/>
        <w:left w:val="none" w:sz="0" w:space="0" w:color="auto"/>
        <w:bottom w:val="none" w:sz="0" w:space="0" w:color="auto"/>
        <w:right w:val="none" w:sz="0" w:space="0" w:color="auto"/>
      </w:divBdr>
    </w:div>
    <w:div w:id="644892351">
      <w:bodyDiv w:val="1"/>
      <w:marLeft w:val="0"/>
      <w:marRight w:val="0"/>
      <w:marTop w:val="0"/>
      <w:marBottom w:val="0"/>
      <w:divBdr>
        <w:top w:val="none" w:sz="0" w:space="0" w:color="auto"/>
        <w:left w:val="none" w:sz="0" w:space="0" w:color="auto"/>
        <w:bottom w:val="none" w:sz="0" w:space="0" w:color="auto"/>
        <w:right w:val="none" w:sz="0" w:space="0" w:color="auto"/>
      </w:divBdr>
    </w:div>
    <w:div w:id="671028393">
      <w:bodyDiv w:val="1"/>
      <w:marLeft w:val="0"/>
      <w:marRight w:val="0"/>
      <w:marTop w:val="0"/>
      <w:marBottom w:val="0"/>
      <w:divBdr>
        <w:top w:val="none" w:sz="0" w:space="0" w:color="auto"/>
        <w:left w:val="none" w:sz="0" w:space="0" w:color="auto"/>
        <w:bottom w:val="none" w:sz="0" w:space="0" w:color="auto"/>
        <w:right w:val="none" w:sz="0" w:space="0" w:color="auto"/>
      </w:divBdr>
    </w:div>
    <w:div w:id="674112845">
      <w:bodyDiv w:val="1"/>
      <w:marLeft w:val="0"/>
      <w:marRight w:val="0"/>
      <w:marTop w:val="0"/>
      <w:marBottom w:val="0"/>
      <w:divBdr>
        <w:top w:val="none" w:sz="0" w:space="0" w:color="auto"/>
        <w:left w:val="none" w:sz="0" w:space="0" w:color="auto"/>
        <w:bottom w:val="none" w:sz="0" w:space="0" w:color="auto"/>
        <w:right w:val="none" w:sz="0" w:space="0" w:color="auto"/>
      </w:divBdr>
      <w:divsChild>
        <w:div w:id="391659202">
          <w:marLeft w:val="0"/>
          <w:marRight w:val="0"/>
          <w:marTop w:val="0"/>
          <w:marBottom w:val="0"/>
          <w:divBdr>
            <w:top w:val="none" w:sz="0" w:space="0" w:color="auto"/>
            <w:left w:val="none" w:sz="0" w:space="0" w:color="auto"/>
            <w:bottom w:val="none" w:sz="0" w:space="0" w:color="auto"/>
            <w:right w:val="none" w:sz="0" w:space="0" w:color="auto"/>
          </w:divBdr>
        </w:div>
        <w:div w:id="706955977">
          <w:marLeft w:val="0"/>
          <w:marRight w:val="0"/>
          <w:marTop w:val="0"/>
          <w:marBottom w:val="0"/>
          <w:divBdr>
            <w:top w:val="none" w:sz="0" w:space="0" w:color="auto"/>
            <w:left w:val="none" w:sz="0" w:space="0" w:color="auto"/>
            <w:bottom w:val="none" w:sz="0" w:space="0" w:color="auto"/>
            <w:right w:val="none" w:sz="0" w:space="0" w:color="auto"/>
          </w:divBdr>
        </w:div>
      </w:divsChild>
    </w:div>
    <w:div w:id="677080146">
      <w:bodyDiv w:val="1"/>
      <w:marLeft w:val="0"/>
      <w:marRight w:val="0"/>
      <w:marTop w:val="0"/>
      <w:marBottom w:val="0"/>
      <w:divBdr>
        <w:top w:val="none" w:sz="0" w:space="0" w:color="auto"/>
        <w:left w:val="none" w:sz="0" w:space="0" w:color="auto"/>
        <w:bottom w:val="none" w:sz="0" w:space="0" w:color="auto"/>
        <w:right w:val="none" w:sz="0" w:space="0" w:color="auto"/>
      </w:divBdr>
    </w:div>
    <w:div w:id="677465806">
      <w:bodyDiv w:val="1"/>
      <w:marLeft w:val="0"/>
      <w:marRight w:val="0"/>
      <w:marTop w:val="0"/>
      <w:marBottom w:val="0"/>
      <w:divBdr>
        <w:top w:val="none" w:sz="0" w:space="0" w:color="auto"/>
        <w:left w:val="none" w:sz="0" w:space="0" w:color="auto"/>
        <w:bottom w:val="none" w:sz="0" w:space="0" w:color="auto"/>
        <w:right w:val="none" w:sz="0" w:space="0" w:color="auto"/>
      </w:divBdr>
    </w:div>
    <w:div w:id="679890551">
      <w:bodyDiv w:val="1"/>
      <w:marLeft w:val="0"/>
      <w:marRight w:val="0"/>
      <w:marTop w:val="0"/>
      <w:marBottom w:val="0"/>
      <w:divBdr>
        <w:top w:val="none" w:sz="0" w:space="0" w:color="auto"/>
        <w:left w:val="none" w:sz="0" w:space="0" w:color="auto"/>
        <w:bottom w:val="none" w:sz="0" w:space="0" w:color="auto"/>
        <w:right w:val="none" w:sz="0" w:space="0" w:color="auto"/>
      </w:divBdr>
    </w:div>
    <w:div w:id="699285244">
      <w:bodyDiv w:val="1"/>
      <w:marLeft w:val="0"/>
      <w:marRight w:val="0"/>
      <w:marTop w:val="0"/>
      <w:marBottom w:val="0"/>
      <w:divBdr>
        <w:top w:val="none" w:sz="0" w:space="0" w:color="auto"/>
        <w:left w:val="none" w:sz="0" w:space="0" w:color="auto"/>
        <w:bottom w:val="none" w:sz="0" w:space="0" w:color="auto"/>
        <w:right w:val="none" w:sz="0" w:space="0" w:color="auto"/>
      </w:divBdr>
    </w:div>
    <w:div w:id="705720294">
      <w:bodyDiv w:val="1"/>
      <w:marLeft w:val="0"/>
      <w:marRight w:val="0"/>
      <w:marTop w:val="0"/>
      <w:marBottom w:val="0"/>
      <w:divBdr>
        <w:top w:val="none" w:sz="0" w:space="0" w:color="auto"/>
        <w:left w:val="none" w:sz="0" w:space="0" w:color="auto"/>
        <w:bottom w:val="none" w:sz="0" w:space="0" w:color="auto"/>
        <w:right w:val="none" w:sz="0" w:space="0" w:color="auto"/>
      </w:divBdr>
    </w:div>
    <w:div w:id="706174935">
      <w:bodyDiv w:val="1"/>
      <w:marLeft w:val="0"/>
      <w:marRight w:val="0"/>
      <w:marTop w:val="0"/>
      <w:marBottom w:val="0"/>
      <w:divBdr>
        <w:top w:val="none" w:sz="0" w:space="0" w:color="auto"/>
        <w:left w:val="none" w:sz="0" w:space="0" w:color="auto"/>
        <w:bottom w:val="none" w:sz="0" w:space="0" w:color="auto"/>
        <w:right w:val="none" w:sz="0" w:space="0" w:color="auto"/>
      </w:divBdr>
    </w:div>
    <w:div w:id="727415331">
      <w:bodyDiv w:val="1"/>
      <w:marLeft w:val="0"/>
      <w:marRight w:val="0"/>
      <w:marTop w:val="0"/>
      <w:marBottom w:val="0"/>
      <w:divBdr>
        <w:top w:val="none" w:sz="0" w:space="0" w:color="auto"/>
        <w:left w:val="none" w:sz="0" w:space="0" w:color="auto"/>
        <w:bottom w:val="none" w:sz="0" w:space="0" w:color="auto"/>
        <w:right w:val="none" w:sz="0" w:space="0" w:color="auto"/>
      </w:divBdr>
    </w:div>
    <w:div w:id="732781119">
      <w:bodyDiv w:val="1"/>
      <w:marLeft w:val="0"/>
      <w:marRight w:val="0"/>
      <w:marTop w:val="0"/>
      <w:marBottom w:val="0"/>
      <w:divBdr>
        <w:top w:val="none" w:sz="0" w:space="0" w:color="auto"/>
        <w:left w:val="none" w:sz="0" w:space="0" w:color="auto"/>
        <w:bottom w:val="none" w:sz="0" w:space="0" w:color="auto"/>
        <w:right w:val="none" w:sz="0" w:space="0" w:color="auto"/>
      </w:divBdr>
    </w:div>
    <w:div w:id="736242323">
      <w:bodyDiv w:val="1"/>
      <w:marLeft w:val="0"/>
      <w:marRight w:val="0"/>
      <w:marTop w:val="0"/>
      <w:marBottom w:val="0"/>
      <w:divBdr>
        <w:top w:val="none" w:sz="0" w:space="0" w:color="auto"/>
        <w:left w:val="none" w:sz="0" w:space="0" w:color="auto"/>
        <w:bottom w:val="none" w:sz="0" w:space="0" w:color="auto"/>
        <w:right w:val="none" w:sz="0" w:space="0" w:color="auto"/>
      </w:divBdr>
    </w:div>
    <w:div w:id="745106193">
      <w:bodyDiv w:val="1"/>
      <w:marLeft w:val="0"/>
      <w:marRight w:val="0"/>
      <w:marTop w:val="0"/>
      <w:marBottom w:val="0"/>
      <w:divBdr>
        <w:top w:val="none" w:sz="0" w:space="0" w:color="auto"/>
        <w:left w:val="none" w:sz="0" w:space="0" w:color="auto"/>
        <w:bottom w:val="none" w:sz="0" w:space="0" w:color="auto"/>
        <w:right w:val="none" w:sz="0" w:space="0" w:color="auto"/>
      </w:divBdr>
    </w:div>
    <w:div w:id="750128056">
      <w:bodyDiv w:val="1"/>
      <w:marLeft w:val="0"/>
      <w:marRight w:val="0"/>
      <w:marTop w:val="0"/>
      <w:marBottom w:val="0"/>
      <w:divBdr>
        <w:top w:val="none" w:sz="0" w:space="0" w:color="auto"/>
        <w:left w:val="none" w:sz="0" w:space="0" w:color="auto"/>
        <w:bottom w:val="none" w:sz="0" w:space="0" w:color="auto"/>
        <w:right w:val="none" w:sz="0" w:space="0" w:color="auto"/>
      </w:divBdr>
    </w:div>
    <w:div w:id="772438468">
      <w:bodyDiv w:val="1"/>
      <w:marLeft w:val="0"/>
      <w:marRight w:val="0"/>
      <w:marTop w:val="0"/>
      <w:marBottom w:val="0"/>
      <w:divBdr>
        <w:top w:val="none" w:sz="0" w:space="0" w:color="auto"/>
        <w:left w:val="none" w:sz="0" w:space="0" w:color="auto"/>
        <w:bottom w:val="none" w:sz="0" w:space="0" w:color="auto"/>
        <w:right w:val="none" w:sz="0" w:space="0" w:color="auto"/>
      </w:divBdr>
    </w:div>
    <w:div w:id="780563420">
      <w:bodyDiv w:val="1"/>
      <w:marLeft w:val="0"/>
      <w:marRight w:val="0"/>
      <w:marTop w:val="0"/>
      <w:marBottom w:val="0"/>
      <w:divBdr>
        <w:top w:val="none" w:sz="0" w:space="0" w:color="auto"/>
        <w:left w:val="none" w:sz="0" w:space="0" w:color="auto"/>
        <w:bottom w:val="none" w:sz="0" w:space="0" w:color="auto"/>
        <w:right w:val="none" w:sz="0" w:space="0" w:color="auto"/>
      </w:divBdr>
    </w:div>
    <w:div w:id="781997262">
      <w:bodyDiv w:val="1"/>
      <w:marLeft w:val="0"/>
      <w:marRight w:val="0"/>
      <w:marTop w:val="0"/>
      <w:marBottom w:val="0"/>
      <w:divBdr>
        <w:top w:val="none" w:sz="0" w:space="0" w:color="auto"/>
        <w:left w:val="none" w:sz="0" w:space="0" w:color="auto"/>
        <w:bottom w:val="none" w:sz="0" w:space="0" w:color="auto"/>
        <w:right w:val="none" w:sz="0" w:space="0" w:color="auto"/>
      </w:divBdr>
    </w:div>
    <w:div w:id="784737277">
      <w:bodyDiv w:val="1"/>
      <w:marLeft w:val="0"/>
      <w:marRight w:val="0"/>
      <w:marTop w:val="0"/>
      <w:marBottom w:val="0"/>
      <w:divBdr>
        <w:top w:val="none" w:sz="0" w:space="0" w:color="auto"/>
        <w:left w:val="none" w:sz="0" w:space="0" w:color="auto"/>
        <w:bottom w:val="none" w:sz="0" w:space="0" w:color="auto"/>
        <w:right w:val="none" w:sz="0" w:space="0" w:color="auto"/>
      </w:divBdr>
    </w:div>
    <w:div w:id="823350972">
      <w:bodyDiv w:val="1"/>
      <w:marLeft w:val="0"/>
      <w:marRight w:val="0"/>
      <w:marTop w:val="0"/>
      <w:marBottom w:val="0"/>
      <w:divBdr>
        <w:top w:val="none" w:sz="0" w:space="0" w:color="auto"/>
        <w:left w:val="none" w:sz="0" w:space="0" w:color="auto"/>
        <w:bottom w:val="none" w:sz="0" w:space="0" w:color="auto"/>
        <w:right w:val="none" w:sz="0" w:space="0" w:color="auto"/>
      </w:divBdr>
    </w:div>
    <w:div w:id="825508435">
      <w:bodyDiv w:val="1"/>
      <w:marLeft w:val="0"/>
      <w:marRight w:val="0"/>
      <w:marTop w:val="0"/>
      <w:marBottom w:val="0"/>
      <w:divBdr>
        <w:top w:val="none" w:sz="0" w:space="0" w:color="auto"/>
        <w:left w:val="none" w:sz="0" w:space="0" w:color="auto"/>
        <w:bottom w:val="none" w:sz="0" w:space="0" w:color="auto"/>
        <w:right w:val="none" w:sz="0" w:space="0" w:color="auto"/>
      </w:divBdr>
    </w:div>
    <w:div w:id="840773534">
      <w:bodyDiv w:val="1"/>
      <w:marLeft w:val="0"/>
      <w:marRight w:val="0"/>
      <w:marTop w:val="0"/>
      <w:marBottom w:val="0"/>
      <w:divBdr>
        <w:top w:val="none" w:sz="0" w:space="0" w:color="auto"/>
        <w:left w:val="none" w:sz="0" w:space="0" w:color="auto"/>
        <w:bottom w:val="none" w:sz="0" w:space="0" w:color="auto"/>
        <w:right w:val="none" w:sz="0" w:space="0" w:color="auto"/>
      </w:divBdr>
    </w:div>
    <w:div w:id="847250217">
      <w:bodyDiv w:val="1"/>
      <w:marLeft w:val="0"/>
      <w:marRight w:val="0"/>
      <w:marTop w:val="0"/>
      <w:marBottom w:val="0"/>
      <w:divBdr>
        <w:top w:val="none" w:sz="0" w:space="0" w:color="auto"/>
        <w:left w:val="none" w:sz="0" w:space="0" w:color="auto"/>
        <w:bottom w:val="none" w:sz="0" w:space="0" w:color="auto"/>
        <w:right w:val="none" w:sz="0" w:space="0" w:color="auto"/>
      </w:divBdr>
      <w:divsChild>
        <w:div w:id="990404489">
          <w:marLeft w:val="0"/>
          <w:marRight w:val="0"/>
          <w:marTop w:val="0"/>
          <w:marBottom w:val="0"/>
          <w:divBdr>
            <w:top w:val="none" w:sz="0" w:space="0" w:color="auto"/>
            <w:left w:val="none" w:sz="0" w:space="0" w:color="auto"/>
            <w:bottom w:val="none" w:sz="0" w:space="0" w:color="auto"/>
            <w:right w:val="none" w:sz="0" w:space="0" w:color="auto"/>
          </w:divBdr>
          <w:divsChild>
            <w:div w:id="1077551198">
              <w:marLeft w:val="0"/>
              <w:marRight w:val="0"/>
              <w:marTop w:val="0"/>
              <w:marBottom w:val="0"/>
              <w:divBdr>
                <w:top w:val="none" w:sz="0" w:space="0" w:color="auto"/>
                <w:left w:val="none" w:sz="0" w:space="0" w:color="auto"/>
                <w:bottom w:val="none" w:sz="0" w:space="0" w:color="auto"/>
                <w:right w:val="none" w:sz="0" w:space="0" w:color="auto"/>
              </w:divBdr>
              <w:divsChild>
                <w:div w:id="1345934360">
                  <w:marLeft w:val="0"/>
                  <w:marRight w:val="300"/>
                  <w:marTop w:val="0"/>
                  <w:marBottom w:val="0"/>
                  <w:divBdr>
                    <w:top w:val="none" w:sz="0" w:space="0" w:color="auto"/>
                    <w:left w:val="none" w:sz="0" w:space="0" w:color="auto"/>
                    <w:bottom w:val="none" w:sz="0" w:space="0" w:color="auto"/>
                    <w:right w:val="none" w:sz="0" w:space="0" w:color="auto"/>
                  </w:divBdr>
                  <w:divsChild>
                    <w:div w:id="687827604">
                      <w:marLeft w:val="0"/>
                      <w:marRight w:val="0"/>
                      <w:marTop w:val="0"/>
                      <w:marBottom w:val="0"/>
                      <w:divBdr>
                        <w:top w:val="none" w:sz="0" w:space="0" w:color="auto"/>
                        <w:left w:val="none" w:sz="0" w:space="0" w:color="auto"/>
                        <w:bottom w:val="none" w:sz="0" w:space="0" w:color="auto"/>
                        <w:right w:val="none" w:sz="0" w:space="0" w:color="auto"/>
                      </w:divBdr>
                      <w:divsChild>
                        <w:div w:id="1960601151">
                          <w:marLeft w:val="0"/>
                          <w:marRight w:val="0"/>
                          <w:marTop w:val="0"/>
                          <w:marBottom w:val="0"/>
                          <w:divBdr>
                            <w:top w:val="none" w:sz="0" w:space="0" w:color="auto"/>
                            <w:left w:val="none" w:sz="0" w:space="0" w:color="auto"/>
                            <w:bottom w:val="none" w:sz="0" w:space="0" w:color="auto"/>
                            <w:right w:val="none" w:sz="0" w:space="0" w:color="auto"/>
                          </w:divBdr>
                          <w:divsChild>
                            <w:div w:id="439688497">
                              <w:marLeft w:val="0"/>
                              <w:marRight w:val="0"/>
                              <w:marTop w:val="0"/>
                              <w:marBottom w:val="0"/>
                              <w:divBdr>
                                <w:top w:val="none" w:sz="0" w:space="0" w:color="auto"/>
                                <w:left w:val="none" w:sz="0" w:space="0" w:color="auto"/>
                                <w:bottom w:val="none" w:sz="0" w:space="0" w:color="auto"/>
                                <w:right w:val="none" w:sz="0" w:space="0" w:color="auto"/>
                              </w:divBdr>
                              <w:divsChild>
                                <w:div w:id="1136751625">
                                  <w:marLeft w:val="0"/>
                                  <w:marRight w:val="0"/>
                                  <w:marTop w:val="0"/>
                                  <w:marBottom w:val="0"/>
                                  <w:divBdr>
                                    <w:top w:val="none" w:sz="0" w:space="0" w:color="auto"/>
                                    <w:left w:val="none" w:sz="0" w:space="0" w:color="auto"/>
                                    <w:bottom w:val="none" w:sz="0" w:space="0" w:color="auto"/>
                                    <w:right w:val="none" w:sz="0" w:space="0" w:color="auto"/>
                                  </w:divBdr>
                                  <w:divsChild>
                                    <w:div w:id="204054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7423427">
      <w:bodyDiv w:val="1"/>
      <w:marLeft w:val="0"/>
      <w:marRight w:val="0"/>
      <w:marTop w:val="0"/>
      <w:marBottom w:val="0"/>
      <w:divBdr>
        <w:top w:val="none" w:sz="0" w:space="0" w:color="auto"/>
        <w:left w:val="none" w:sz="0" w:space="0" w:color="auto"/>
        <w:bottom w:val="none" w:sz="0" w:space="0" w:color="auto"/>
        <w:right w:val="none" w:sz="0" w:space="0" w:color="auto"/>
      </w:divBdr>
    </w:div>
    <w:div w:id="862014868">
      <w:bodyDiv w:val="1"/>
      <w:marLeft w:val="0"/>
      <w:marRight w:val="0"/>
      <w:marTop w:val="0"/>
      <w:marBottom w:val="0"/>
      <w:divBdr>
        <w:top w:val="none" w:sz="0" w:space="0" w:color="auto"/>
        <w:left w:val="none" w:sz="0" w:space="0" w:color="auto"/>
        <w:bottom w:val="none" w:sz="0" w:space="0" w:color="auto"/>
        <w:right w:val="none" w:sz="0" w:space="0" w:color="auto"/>
      </w:divBdr>
    </w:div>
    <w:div w:id="888033031">
      <w:bodyDiv w:val="1"/>
      <w:marLeft w:val="0"/>
      <w:marRight w:val="0"/>
      <w:marTop w:val="0"/>
      <w:marBottom w:val="0"/>
      <w:divBdr>
        <w:top w:val="none" w:sz="0" w:space="0" w:color="auto"/>
        <w:left w:val="none" w:sz="0" w:space="0" w:color="auto"/>
        <w:bottom w:val="none" w:sz="0" w:space="0" w:color="auto"/>
        <w:right w:val="none" w:sz="0" w:space="0" w:color="auto"/>
      </w:divBdr>
    </w:div>
    <w:div w:id="894703824">
      <w:bodyDiv w:val="1"/>
      <w:marLeft w:val="0"/>
      <w:marRight w:val="0"/>
      <w:marTop w:val="0"/>
      <w:marBottom w:val="0"/>
      <w:divBdr>
        <w:top w:val="none" w:sz="0" w:space="0" w:color="auto"/>
        <w:left w:val="none" w:sz="0" w:space="0" w:color="auto"/>
        <w:bottom w:val="none" w:sz="0" w:space="0" w:color="auto"/>
        <w:right w:val="none" w:sz="0" w:space="0" w:color="auto"/>
      </w:divBdr>
      <w:divsChild>
        <w:div w:id="432870019">
          <w:marLeft w:val="0"/>
          <w:marRight w:val="0"/>
          <w:marTop w:val="0"/>
          <w:marBottom w:val="0"/>
          <w:divBdr>
            <w:top w:val="none" w:sz="0" w:space="0" w:color="auto"/>
            <w:left w:val="none" w:sz="0" w:space="0" w:color="auto"/>
            <w:bottom w:val="none" w:sz="0" w:space="0" w:color="auto"/>
            <w:right w:val="none" w:sz="0" w:space="0" w:color="auto"/>
          </w:divBdr>
        </w:div>
        <w:div w:id="803083031">
          <w:marLeft w:val="0"/>
          <w:marRight w:val="0"/>
          <w:marTop w:val="0"/>
          <w:marBottom w:val="0"/>
          <w:divBdr>
            <w:top w:val="none" w:sz="0" w:space="0" w:color="auto"/>
            <w:left w:val="none" w:sz="0" w:space="0" w:color="auto"/>
            <w:bottom w:val="none" w:sz="0" w:space="0" w:color="auto"/>
            <w:right w:val="none" w:sz="0" w:space="0" w:color="auto"/>
          </w:divBdr>
        </w:div>
        <w:div w:id="919950191">
          <w:marLeft w:val="0"/>
          <w:marRight w:val="0"/>
          <w:marTop w:val="0"/>
          <w:marBottom w:val="0"/>
          <w:divBdr>
            <w:top w:val="none" w:sz="0" w:space="0" w:color="auto"/>
            <w:left w:val="none" w:sz="0" w:space="0" w:color="auto"/>
            <w:bottom w:val="none" w:sz="0" w:space="0" w:color="auto"/>
            <w:right w:val="none" w:sz="0" w:space="0" w:color="auto"/>
          </w:divBdr>
        </w:div>
        <w:div w:id="1909922033">
          <w:marLeft w:val="0"/>
          <w:marRight w:val="0"/>
          <w:marTop w:val="0"/>
          <w:marBottom w:val="0"/>
          <w:divBdr>
            <w:top w:val="none" w:sz="0" w:space="0" w:color="auto"/>
            <w:left w:val="none" w:sz="0" w:space="0" w:color="auto"/>
            <w:bottom w:val="none" w:sz="0" w:space="0" w:color="auto"/>
            <w:right w:val="none" w:sz="0" w:space="0" w:color="auto"/>
          </w:divBdr>
        </w:div>
        <w:div w:id="1922644417">
          <w:marLeft w:val="0"/>
          <w:marRight w:val="0"/>
          <w:marTop w:val="0"/>
          <w:marBottom w:val="0"/>
          <w:divBdr>
            <w:top w:val="none" w:sz="0" w:space="0" w:color="auto"/>
            <w:left w:val="none" w:sz="0" w:space="0" w:color="auto"/>
            <w:bottom w:val="none" w:sz="0" w:space="0" w:color="auto"/>
            <w:right w:val="none" w:sz="0" w:space="0" w:color="auto"/>
          </w:divBdr>
        </w:div>
      </w:divsChild>
    </w:div>
    <w:div w:id="896433213">
      <w:bodyDiv w:val="1"/>
      <w:marLeft w:val="0"/>
      <w:marRight w:val="0"/>
      <w:marTop w:val="0"/>
      <w:marBottom w:val="0"/>
      <w:divBdr>
        <w:top w:val="none" w:sz="0" w:space="0" w:color="auto"/>
        <w:left w:val="none" w:sz="0" w:space="0" w:color="auto"/>
        <w:bottom w:val="none" w:sz="0" w:space="0" w:color="auto"/>
        <w:right w:val="none" w:sz="0" w:space="0" w:color="auto"/>
      </w:divBdr>
    </w:div>
    <w:div w:id="915164469">
      <w:bodyDiv w:val="1"/>
      <w:marLeft w:val="0"/>
      <w:marRight w:val="0"/>
      <w:marTop w:val="0"/>
      <w:marBottom w:val="0"/>
      <w:divBdr>
        <w:top w:val="none" w:sz="0" w:space="0" w:color="auto"/>
        <w:left w:val="none" w:sz="0" w:space="0" w:color="auto"/>
        <w:bottom w:val="none" w:sz="0" w:space="0" w:color="auto"/>
        <w:right w:val="none" w:sz="0" w:space="0" w:color="auto"/>
      </w:divBdr>
    </w:div>
    <w:div w:id="919363547">
      <w:bodyDiv w:val="1"/>
      <w:marLeft w:val="0"/>
      <w:marRight w:val="0"/>
      <w:marTop w:val="0"/>
      <w:marBottom w:val="0"/>
      <w:divBdr>
        <w:top w:val="none" w:sz="0" w:space="0" w:color="auto"/>
        <w:left w:val="none" w:sz="0" w:space="0" w:color="auto"/>
        <w:bottom w:val="none" w:sz="0" w:space="0" w:color="auto"/>
        <w:right w:val="none" w:sz="0" w:space="0" w:color="auto"/>
      </w:divBdr>
    </w:div>
    <w:div w:id="924462541">
      <w:bodyDiv w:val="1"/>
      <w:marLeft w:val="0"/>
      <w:marRight w:val="0"/>
      <w:marTop w:val="0"/>
      <w:marBottom w:val="0"/>
      <w:divBdr>
        <w:top w:val="none" w:sz="0" w:space="0" w:color="auto"/>
        <w:left w:val="none" w:sz="0" w:space="0" w:color="auto"/>
        <w:bottom w:val="none" w:sz="0" w:space="0" w:color="auto"/>
        <w:right w:val="none" w:sz="0" w:space="0" w:color="auto"/>
      </w:divBdr>
    </w:div>
    <w:div w:id="937828083">
      <w:bodyDiv w:val="1"/>
      <w:marLeft w:val="0"/>
      <w:marRight w:val="0"/>
      <w:marTop w:val="0"/>
      <w:marBottom w:val="0"/>
      <w:divBdr>
        <w:top w:val="none" w:sz="0" w:space="0" w:color="auto"/>
        <w:left w:val="none" w:sz="0" w:space="0" w:color="auto"/>
        <w:bottom w:val="none" w:sz="0" w:space="0" w:color="auto"/>
        <w:right w:val="none" w:sz="0" w:space="0" w:color="auto"/>
      </w:divBdr>
    </w:div>
    <w:div w:id="944730635">
      <w:bodyDiv w:val="1"/>
      <w:marLeft w:val="0"/>
      <w:marRight w:val="0"/>
      <w:marTop w:val="0"/>
      <w:marBottom w:val="0"/>
      <w:divBdr>
        <w:top w:val="none" w:sz="0" w:space="0" w:color="auto"/>
        <w:left w:val="none" w:sz="0" w:space="0" w:color="auto"/>
        <w:bottom w:val="none" w:sz="0" w:space="0" w:color="auto"/>
        <w:right w:val="none" w:sz="0" w:space="0" w:color="auto"/>
      </w:divBdr>
    </w:div>
    <w:div w:id="1001543894">
      <w:bodyDiv w:val="1"/>
      <w:marLeft w:val="0"/>
      <w:marRight w:val="0"/>
      <w:marTop w:val="0"/>
      <w:marBottom w:val="0"/>
      <w:divBdr>
        <w:top w:val="none" w:sz="0" w:space="0" w:color="auto"/>
        <w:left w:val="none" w:sz="0" w:space="0" w:color="auto"/>
        <w:bottom w:val="none" w:sz="0" w:space="0" w:color="auto"/>
        <w:right w:val="none" w:sz="0" w:space="0" w:color="auto"/>
      </w:divBdr>
    </w:div>
    <w:div w:id="1007907443">
      <w:bodyDiv w:val="1"/>
      <w:marLeft w:val="0"/>
      <w:marRight w:val="0"/>
      <w:marTop w:val="0"/>
      <w:marBottom w:val="0"/>
      <w:divBdr>
        <w:top w:val="none" w:sz="0" w:space="0" w:color="auto"/>
        <w:left w:val="none" w:sz="0" w:space="0" w:color="auto"/>
        <w:bottom w:val="none" w:sz="0" w:space="0" w:color="auto"/>
        <w:right w:val="none" w:sz="0" w:space="0" w:color="auto"/>
      </w:divBdr>
      <w:divsChild>
        <w:div w:id="420955099">
          <w:marLeft w:val="0"/>
          <w:marRight w:val="0"/>
          <w:marTop w:val="0"/>
          <w:marBottom w:val="0"/>
          <w:divBdr>
            <w:top w:val="none" w:sz="0" w:space="0" w:color="auto"/>
            <w:left w:val="none" w:sz="0" w:space="0" w:color="auto"/>
            <w:bottom w:val="none" w:sz="0" w:space="0" w:color="auto"/>
            <w:right w:val="none" w:sz="0" w:space="0" w:color="auto"/>
          </w:divBdr>
          <w:divsChild>
            <w:div w:id="19864261">
              <w:marLeft w:val="0"/>
              <w:marRight w:val="0"/>
              <w:marTop w:val="0"/>
              <w:marBottom w:val="0"/>
              <w:divBdr>
                <w:top w:val="none" w:sz="0" w:space="0" w:color="auto"/>
                <w:left w:val="none" w:sz="0" w:space="0" w:color="auto"/>
                <w:bottom w:val="none" w:sz="0" w:space="0" w:color="auto"/>
                <w:right w:val="none" w:sz="0" w:space="0" w:color="auto"/>
              </w:divBdr>
              <w:divsChild>
                <w:div w:id="591084395">
                  <w:marLeft w:val="0"/>
                  <w:marRight w:val="300"/>
                  <w:marTop w:val="0"/>
                  <w:marBottom w:val="0"/>
                  <w:divBdr>
                    <w:top w:val="none" w:sz="0" w:space="0" w:color="auto"/>
                    <w:left w:val="none" w:sz="0" w:space="0" w:color="auto"/>
                    <w:bottom w:val="none" w:sz="0" w:space="0" w:color="auto"/>
                    <w:right w:val="none" w:sz="0" w:space="0" w:color="auto"/>
                  </w:divBdr>
                  <w:divsChild>
                    <w:div w:id="919828272">
                      <w:marLeft w:val="0"/>
                      <w:marRight w:val="0"/>
                      <w:marTop w:val="0"/>
                      <w:marBottom w:val="0"/>
                      <w:divBdr>
                        <w:top w:val="none" w:sz="0" w:space="0" w:color="auto"/>
                        <w:left w:val="none" w:sz="0" w:space="0" w:color="auto"/>
                        <w:bottom w:val="none" w:sz="0" w:space="0" w:color="auto"/>
                        <w:right w:val="none" w:sz="0" w:space="0" w:color="auto"/>
                      </w:divBdr>
                      <w:divsChild>
                        <w:div w:id="659890176">
                          <w:marLeft w:val="0"/>
                          <w:marRight w:val="0"/>
                          <w:marTop w:val="0"/>
                          <w:marBottom w:val="0"/>
                          <w:divBdr>
                            <w:top w:val="none" w:sz="0" w:space="0" w:color="auto"/>
                            <w:left w:val="none" w:sz="0" w:space="0" w:color="auto"/>
                            <w:bottom w:val="none" w:sz="0" w:space="0" w:color="auto"/>
                            <w:right w:val="none" w:sz="0" w:space="0" w:color="auto"/>
                          </w:divBdr>
                          <w:divsChild>
                            <w:div w:id="1060251688">
                              <w:marLeft w:val="0"/>
                              <w:marRight w:val="0"/>
                              <w:marTop w:val="0"/>
                              <w:marBottom w:val="0"/>
                              <w:divBdr>
                                <w:top w:val="none" w:sz="0" w:space="0" w:color="auto"/>
                                <w:left w:val="none" w:sz="0" w:space="0" w:color="auto"/>
                                <w:bottom w:val="none" w:sz="0" w:space="0" w:color="auto"/>
                                <w:right w:val="none" w:sz="0" w:space="0" w:color="auto"/>
                              </w:divBdr>
                              <w:divsChild>
                                <w:div w:id="974216574">
                                  <w:marLeft w:val="0"/>
                                  <w:marRight w:val="0"/>
                                  <w:marTop w:val="0"/>
                                  <w:marBottom w:val="0"/>
                                  <w:divBdr>
                                    <w:top w:val="none" w:sz="0" w:space="0" w:color="auto"/>
                                    <w:left w:val="none" w:sz="0" w:space="0" w:color="auto"/>
                                    <w:bottom w:val="none" w:sz="0" w:space="0" w:color="auto"/>
                                    <w:right w:val="none" w:sz="0" w:space="0" w:color="auto"/>
                                  </w:divBdr>
                                  <w:divsChild>
                                    <w:div w:id="78180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3728552">
      <w:bodyDiv w:val="1"/>
      <w:marLeft w:val="0"/>
      <w:marRight w:val="0"/>
      <w:marTop w:val="0"/>
      <w:marBottom w:val="0"/>
      <w:divBdr>
        <w:top w:val="none" w:sz="0" w:space="0" w:color="auto"/>
        <w:left w:val="none" w:sz="0" w:space="0" w:color="auto"/>
        <w:bottom w:val="none" w:sz="0" w:space="0" w:color="auto"/>
        <w:right w:val="none" w:sz="0" w:space="0" w:color="auto"/>
      </w:divBdr>
    </w:div>
    <w:div w:id="1028993519">
      <w:bodyDiv w:val="1"/>
      <w:marLeft w:val="0"/>
      <w:marRight w:val="0"/>
      <w:marTop w:val="0"/>
      <w:marBottom w:val="0"/>
      <w:divBdr>
        <w:top w:val="none" w:sz="0" w:space="0" w:color="auto"/>
        <w:left w:val="none" w:sz="0" w:space="0" w:color="auto"/>
        <w:bottom w:val="none" w:sz="0" w:space="0" w:color="auto"/>
        <w:right w:val="none" w:sz="0" w:space="0" w:color="auto"/>
      </w:divBdr>
    </w:div>
    <w:div w:id="1039820900">
      <w:bodyDiv w:val="1"/>
      <w:marLeft w:val="0"/>
      <w:marRight w:val="0"/>
      <w:marTop w:val="0"/>
      <w:marBottom w:val="0"/>
      <w:divBdr>
        <w:top w:val="none" w:sz="0" w:space="0" w:color="auto"/>
        <w:left w:val="none" w:sz="0" w:space="0" w:color="auto"/>
        <w:bottom w:val="none" w:sz="0" w:space="0" w:color="auto"/>
        <w:right w:val="none" w:sz="0" w:space="0" w:color="auto"/>
      </w:divBdr>
    </w:div>
    <w:div w:id="1042285610">
      <w:bodyDiv w:val="1"/>
      <w:marLeft w:val="0"/>
      <w:marRight w:val="0"/>
      <w:marTop w:val="0"/>
      <w:marBottom w:val="0"/>
      <w:divBdr>
        <w:top w:val="none" w:sz="0" w:space="0" w:color="auto"/>
        <w:left w:val="none" w:sz="0" w:space="0" w:color="auto"/>
        <w:bottom w:val="none" w:sz="0" w:space="0" w:color="auto"/>
        <w:right w:val="none" w:sz="0" w:space="0" w:color="auto"/>
      </w:divBdr>
    </w:div>
    <w:div w:id="1065420982">
      <w:bodyDiv w:val="1"/>
      <w:marLeft w:val="0"/>
      <w:marRight w:val="0"/>
      <w:marTop w:val="0"/>
      <w:marBottom w:val="0"/>
      <w:divBdr>
        <w:top w:val="none" w:sz="0" w:space="0" w:color="auto"/>
        <w:left w:val="none" w:sz="0" w:space="0" w:color="auto"/>
        <w:bottom w:val="none" w:sz="0" w:space="0" w:color="auto"/>
        <w:right w:val="none" w:sz="0" w:space="0" w:color="auto"/>
      </w:divBdr>
    </w:div>
    <w:div w:id="1084886114">
      <w:bodyDiv w:val="1"/>
      <w:marLeft w:val="0"/>
      <w:marRight w:val="0"/>
      <w:marTop w:val="0"/>
      <w:marBottom w:val="0"/>
      <w:divBdr>
        <w:top w:val="none" w:sz="0" w:space="0" w:color="auto"/>
        <w:left w:val="none" w:sz="0" w:space="0" w:color="auto"/>
        <w:bottom w:val="none" w:sz="0" w:space="0" w:color="auto"/>
        <w:right w:val="none" w:sz="0" w:space="0" w:color="auto"/>
      </w:divBdr>
    </w:div>
    <w:div w:id="1110469009">
      <w:bodyDiv w:val="1"/>
      <w:marLeft w:val="0"/>
      <w:marRight w:val="0"/>
      <w:marTop w:val="0"/>
      <w:marBottom w:val="0"/>
      <w:divBdr>
        <w:top w:val="none" w:sz="0" w:space="0" w:color="auto"/>
        <w:left w:val="none" w:sz="0" w:space="0" w:color="auto"/>
        <w:bottom w:val="none" w:sz="0" w:space="0" w:color="auto"/>
        <w:right w:val="none" w:sz="0" w:space="0" w:color="auto"/>
      </w:divBdr>
    </w:div>
    <w:div w:id="1113787978">
      <w:bodyDiv w:val="1"/>
      <w:marLeft w:val="0"/>
      <w:marRight w:val="0"/>
      <w:marTop w:val="0"/>
      <w:marBottom w:val="0"/>
      <w:divBdr>
        <w:top w:val="none" w:sz="0" w:space="0" w:color="auto"/>
        <w:left w:val="none" w:sz="0" w:space="0" w:color="auto"/>
        <w:bottom w:val="none" w:sz="0" w:space="0" w:color="auto"/>
        <w:right w:val="none" w:sz="0" w:space="0" w:color="auto"/>
      </w:divBdr>
    </w:div>
    <w:div w:id="1119028796">
      <w:bodyDiv w:val="1"/>
      <w:marLeft w:val="0"/>
      <w:marRight w:val="0"/>
      <w:marTop w:val="0"/>
      <w:marBottom w:val="0"/>
      <w:divBdr>
        <w:top w:val="none" w:sz="0" w:space="0" w:color="auto"/>
        <w:left w:val="none" w:sz="0" w:space="0" w:color="auto"/>
        <w:bottom w:val="none" w:sz="0" w:space="0" w:color="auto"/>
        <w:right w:val="none" w:sz="0" w:space="0" w:color="auto"/>
      </w:divBdr>
    </w:div>
    <w:div w:id="1142306877">
      <w:bodyDiv w:val="1"/>
      <w:marLeft w:val="0"/>
      <w:marRight w:val="0"/>
      <w:marTop w:val="0"/>
      <w:marBottom w:val="0"/>
      <w:divBdr>
        <w:top w:val="none" w:sz="0" w:space="0" w:color="auto"/>
        <w:left w:val="none" w:sz="0" w:space="0" w:color="auto"/>
        <w:bottom w:val="none" w:sz="0" w:space="0" w:color="auto"/>
        <w:right w:val="none" w:sz="0" w:space="0" w:color="auto"/>
      </w:divBdr>
    </w:div>
    <w:div w:id="1181629005">
      <w:bodyDiv w:val="1"/>
      <w:marLeft w:val="0"/>
      <w:marRight w:val="0"/>
      <w:marTop w:val="0"/>
      <w:marBottom w:val="0"/>
      <w:divBdr>
        <w:top w:val="none" w:sz="0" w:space="0" w:color="auto"/>
        <w:left w:val="none" w:sz="0" w:space="0" w:color="auto"/>
        <w:bottom w:val="none" w:sz="0" w:space="0" w:color="auto"/>
        <w:right w:val="none" w:sz="0" w:space="0" w:color="auto"/>
      </w:divBdr>
    </w:div>
    <w:div w:id="1202745163">
      <w:bodyDiv w:val="1"/>
      <w:marLeft w:val="0"/>
      <w:marRight w:val="0"/>
      <w:marTop w:val="0"/>
      <w:marBottom w:val="0"/>
      <w:divBdr>
        <w:top w:val="none" w:sz="0" w:space="0" w:color="auto"/>
        <w:left w:val="none" w:sz="0" w:space="0" w:color="auto"/>
        <w:bottom w:val="none" w:sz="0" w:space="0" w:color="auto"/>
        <w:right w:val="none" w:sz="0" w:space="0" w:color="auto"/>
      </w:divBdr>
    </w:div>
    <w:div w:id="1208907042">
      <w:bodyDiv w:val="1"/>
      <w:marLeft w:val="0"/>
      <w:marRight w:val="0"/>
      <w:marTop w:val="0"/>
      <w:marBottom w:val="0"/>
      <w:divBdr>
        <w:top w:val="none" w:sz="0" w:space="0" w:color="auto"/>
        <w:left w:val="none" w:sz="0" w:space="0" w:color="auto"/>
        <w:bottom w:val="none" w:sz="0" w:space="0" w:color="auto"/>
        <w:right w:val="none" w:sz="0" w:space="0" w:color="auto"/>
      </w:divBdr>
    </w:div>
    <w:div w:id="1214000816">
      <w:bodyDiv w:val="1"/>
      <w:marLeft w:val="0"/>
      <w:marRight w:val="0"/>
      <w:marTop w:val="0"/>
      <w:marBottom w:val="0"/>
      <w:divBdr>
        <w:top w:val="none" w:sz="0" w:space="0" w:color="auto"/>
        <w:left w:val="none" w:sz="0" w:space="0" w:color="auto"/>
        <w:bottom w:val="none" w:sz="0" w:space="0" w:color="auto"/>
        <w:right w:val="none" w:sz="0" w:space="0" w:color="auto"/>
      </w:divBdr>
    </w:div>
    <w:div w:id="1219631609">
      <w:bodyDiv w:val="1"/>
      <w:marLeft w:val="0"/>
      <w:marRight w:val="0"/>
      <w:marTop w:val="0"/>
      <w:marBottom w:val="0"/>
      <w:divBdr>
        <w:top w:val="none" w:sz="0" w:space="0" w:color="auto"/>
        <w:left w:val="none" w:sz="0" w:space="0" w:color="auto"/>
        <w:bottom w:val="none" w:sz="0" w:space="0" w:color="auto"/>
        <w:right w:val="none" w:sz="0" w:space="0" w:color="auto"/>
      </w:divBdr>
      <w:divsChild>
        <w:div w:id="164250627">
          <w:marLeft w:val="0"/>
          <w:marRight w:val="0"/>
          <w:marTop w:val="0"/>
          <w:marBottom w:val="0"/>
          <w:divBdr>
            <w:top w:val="none" w:sz="0" w:space="0" w:color="auto"/>
            <w:left w:val="none" w:sz="0" w:space="0" w:color="auto"/>
            <w:bottom w:val="none" w:sz="0" w:space="0" w:color="auto"/>
            <w:right w:val="none" w:sz="0" w:space="0" w:color="auto"/>
          </w:divBdr>
        </w:div>
      </w:divsChild>
    </w:div>
    <w:div w:id="1223521619">
      <w:bodyDiv w:val="1"/>
      <w:marLeft w:val="0"/>
      <w:marRight w:val="0"/>
      <w:marTop w:val="0"/>
      <w:marBottom w:val="0"/>
      <w:divBdr>
        <w:top w:val="none" w:sz="0" w:space="0" w:color="auto"/>
        <w:left w:val="none" w:sz="0" w:space="0" w:color="auto"/>
        <w:bottom w:val="none" w:sz="0" w:space="0" w:color="auto"/>
        <w:right w:val="none" w:sz="0" w:space="0" w:color="auto"/>
      </w:divBdr>
    </w:div>
    <w:div w:id="1240411184">
      <w:bodyDiv w:val="1"/>
      <w:marLeft w:val="0"/>
      <w:marRight w:val="0"/>
      <w:marTop w:val="0"/>
      <w:marBottom w:val="0"/>
      <w:divBdr>
        <w:top w:val="none" w:sz="0" w:space="0" w:color="auto"/>
        <w:left w:val="none" w:sz="0" w:space="0" w:color="auto"/>
        <w:bottom w:val="none" w:sz="0" w:space="0" w:color="auto"/>
        <w:right w:val="none" w:sz="0" w:space="0" w:color="auto"/>
      </w:divBdr>
    </w:div>
    <w:div w:id="1250309586">
      <w:bodyDiv w:val="1"/>
      <w:marLeft w:val="0"/>
      <w:marRight w:val="0"/>
      <w:marTop w:val="0"/>
      <w:marBottom w:val="0"/>
      <w:divBdr>
        <w:top w:val="none" w:sz="0" w:space="0" w:color="auto"/>
        <w:left w:val="none" w:sz="0" w:space="0" w:color="auto"/>
        <w:bottom w:val="none" w:sz="0" w:space="0" w:color="auto"/>
        <w:right w:val="none" w:sz="0" w:space="0" w:color="auto"/>
      </w:divBdr>
    </w:div>
    <w:div w:id="1250889332">
      <w:bodyDiv w:val="1"/>
      <w:marLeft w:val="0"/>
      <w:marRight w:val="0"/>
      <w:marTop w:val="0"/>
      <w:marBottom w:val="0"/>
      <w:divBdr>
        <w:top w:val="none" w:sz="0" w:space="0" w:color="auto"/>
        <w:left w:val="none" w:sz="0" w:space="0" w:color="auto"/>
        <w:bottom w:val="none" w:sz="0" w:space="0" w:color="auto"/>
        <w:right w:val="none" w:sz="0" w:space="0" w:color="auto"/>
      </w:divBdr>
    </w:div>
    <w:div w:id="1293630017">
      <w:bodyDiv w:val="1"/>
      <w:marLeft w:val="0"/>
      <w:marRight w:val="0"/>
      <w:marTop w:val="0"/>
      <w:marBottom w:val="0"/>
      <w:divBdr>
        <w:top w:val="none" w:sz="0" w:space="0" w:color="auto"/>
        <w:left w:val="none" w:sz="0" w:space="0" w:color="auto"/>
        <w:bottom w:val="none" w:sz="0" w:space="0" w:color="auto"/>
        <w:right w:val="none" w:sz="0" w:space="0" w:color="auto"/>
      </w:divBdr>
    </w:div>
    <w:div w:id="1298292398">
      <w:bodyDiv w:val="1"/>
      <w:marLeft w:val="0"/>
      <w:marRight w:val="0"/>
      <w:marTop w:val="0"/>
      <w:marBottom w:val="0"/>
      <w:divBdr>
        <w:top w:val="none" w:sz="0" w:space="0" w:color="auto"/>
        <w:left w:val="none" w:sz="0" w:space="0" w:color="auto"/>
        <w:bottom w:val="none" w:sz="0" w:space="0" w:color="auto"/>
        <w:right w:val="none" w:sz="0" w:space="0" w:color="auto"/>
      </w:divBdr>
    </w:div>
    <w:div w:id="1305891258">
      <w:bodyDiv w:val="1"/>
      <w:marLeft w:val="0"/>
      <w:marRight w:val="0"/>
      <w:marTop w:val="0"/>
      <w:marBottom w:val="0"/>
      <w:divBdr>
        <w:top w:val="none" w:sz="0" w:space="0" w:color="auto"/>
        <w:left w:val="none" w:sz="0" w:space="0" w:color="auto"/>
        <w:bottom w:val="none" w:sz="0" w:space="0" w:color="auto"/>
        <w:right w:val="none" w:sz="0" w:space="0" w:color="auto"/>
      </w:divBdr>
    </w:div>
    <w:div w:id="1320036498">
      <w:bodyDiv w:val="1"/>
      <w:marLeft w:val="0"/>
      <w:marRight w:val="0"/>
      <w:marTop w:val="0"/>
      <w:marBottom w:val="0"/>
      <w:divBdr>
        <w:top w:val="none" w:sz="0" w:space="0" w:color="auto"/>
        <w:left w:val="none" w:sz="0" w:space="0" w:color="auto"/>
        <w:bottom w:val="none" w:sz="0" w:space="0" w:color="auto"/>
        <w:right w:val="none" w:sz="0" w:space="0" w:color="auto"/>
      </w:divBdr>
    </w:div>
    <w:div w:id="1334607221">
      <w:bodyDiv w:val="1"/>
      <w:marLeft w:val="0"/>
      <w:marRight w:val="0"/>
      <w:marTop w:val="0"/>
      <w:marBottom w:val="0"/>
      <w:divBdr>
        <w:top w:val="none" w:sz="0" w:space="0" w:color="auto"/>
        <w:left w:val="none" w:sz="0" w:space="0" w:color="auto"/>
        <w:bottom w:val="none" w:sz="0" w:space="0" w:color="auto"/>
        <w:right w:val="none" w:sz="0" w:space="0" w:color="auto"/>
      </w:divBdr>
    </w:div>
    <w:div w:id="1334644206">
      <w:bodyDiv w:val="1"/>
      <w:marLeft w:val="0"/>
      <w:marRight w:val="0"/>
      <w:marTop w:val="0"/>
      <w:marBottom w:val="0"/>
      <w:divBdr>
        <w:top w:val="none" w:sz="0" w:space="0" w:color="auto"/>
        <w:left w:val="none" w:sz="0" w:space="0" w:color="auto"/>
        <w:bottom w:val="none" w:sz="0" w:space="0" w:color="auto"/>
        <w:right w:val="none" w:sz="0" w:space="0" w:color="auto"/>
      </w:divBdr>
    </w:div>
    <w:div w:id="1344668633">
      <w:bodyDiv w:val="1"/>
      <w:marLeft w:val="0"/>
      <w:marRight w:val="0"/>
      <w:marTop w:val="0"/>
      <w:marBottom w:val="0"/>
      <w:divBdr>
        <w:top w:val="none" w:sz="0" w:space="0" w:color="auto"/>
        <w:left w:val="none" w:sz="0" w:space="0" w:color="auto"/>
        <w:bottom w:val="none" w:sz="0" w:space="0" w:color="auto"/>
        <w:right w:val="none" w:sz="0" w:space="0" w:color="auto"/>
      </w:divBdr>
    </w:div>
    <w:div w:id="1349024605">
      <w:bodyDiv w:val="1"/>
      <w:marLeft w:val="0"/>
      <w:marRight w:val="0"/>
      <w:marTop w:val="0"/>
      <w:marBottom w:val="0"/>
      <w:divBdr>
        <w:top w:val="none" w:sz="0" w:space="0" w:color="auto"/>
        <w:left w:val="none" w:sz="0" w:space="0" w:color="auto"/>
        <w:bottom w:val="none" w:sz="0" w:space="0" w:color="auto"/>
        <w:right w:val="none" w:sz="0" w:space="0" w:color="auto"/>
      </w:divBdr>
    </w:div>
    <w:div w:id="1351637386">
      <w:bodyDiv w:val="1"/>
      <w:marLeft w:val="0"/>
      <w:marRight w:val="0"/>
      <w:marTop w:val="0"/>
      <w:marBottom w:val="0"/>
      <w:divBdr>
        <w:top w:val="none" w:sz="0" w:space="0" w:color="auto"/>
        <w:left w:val="none" w:sz="0" w:space="0" w:color="auto"/>
        <w:bottom w:val="none" w:sz="0" w:space="0" w:color="auto"/>
        <w:right w:val="none" w:sz="0" w:space="0" w:color="auto"/>
      </w:divBdr>
    </w:div>
    <w:div w:id="1373966605">
      <w:bodyDiv w:val="1"/>
      <w:marLeft w:val="0"/>
      <w:marRight w:val="0"/>
      <w:marTop w:val="0"/>
      <w:marBottom w:val="0"/>
      <w:divBdr>
        <w:top w:val="none" w:sz="0" w:space="0" w:color="auto"/>
        <w:left w:val="none" w:sz="0" w:space="0" w:color="auto"/>
        <w:bottom w:val="none" w:sz="0" w:space="0" w:color="auto"/>
        <w:right w:val="none" w:sz="0" w:space="0" w:color="auto"/>
      </w:divBdr>
    </w:div>
    <w:div w:id="1386371237">
      <w:bodyDiv w:val="1"/>
      <w:marLeft w:val="0"/>
      <w:marRight w:val="0"/>
      <w:marTop w:val="0"/>
      <w:marBottom w:val="0"/>
      <w:divBdr>
        <w:top w:val="none" w:sz="0" w:space="0" w:color="auto"/>
        <w:left w:val="none" w:sz="0" w:space="0" w:color="auto"/>
        <w:bottom w:val="none" w:sz="0" w:space="0" w:color="auto"/>
        <w:right w:val="none" w:sz="0" w:space="0" w:color="auto"/>
      </w:divBdr>
    </w:div>
    <w:div w:id="1394506998">
      <w:bodyDiv w:val="1"/>
      <w:marLeft w:val="0"/>
      <w:marRight w:val="0"/>
      <w:marTop w:val="0"/>
      <w:marBottom w:val="0"/>
      <w:divBdr>
        <w:top w:val="none" w:sz="0" w:space="0" w:color="auto"/>
        <w:left w:val="none" w:sz="0" w:space="0" w:color="auto"/>
        <w:bottom w:val="none" w:sz="0" w:space="0" w:color="auto"/>
        <w:right w:val="none" w:sz="0" w:space="0" w:color="auto"/>
      </w:divBdr>
    </w:div>
    <w:div w:id="1436900450">
      <w:bodyDiv w:val="1"/>
      <w:marLeft w:val="0"/>
      <w:marRight w:val="0"/>
      <w:marTop w:val="0"/>
      <w:marBottom w:val="0"/>
      <w:divBdr>
        <w:top w:val="none" w:sz="0" w:space="0" w:color="auto"/>
        <w:left w:val="none" w:sz="0" w:space="0" w:color="auto"/>
        <w:bottom w:val="none" w:sz="0" w:space="0" w:color="auto"/>
        <w:right w:val="none" w:sz="0" w:space="0" w:color="auto"/>
      </w:divBdr>
    </w:div>
    <w:div w:id="1437405157">
      <w:bodyDiv w:val="1"/>
      <w:marLeft w:val="0"/>
      <w:marRight w:val="0"/>
      <w:marTop w:val="0"/>
      <w:marBottom w:val="0"/>
      <w:divBdr>
        <w:top w:val="none" w:sz="0" w:space="0" w:color="auto"/>
        <w:left w:val="none" w:sz="0" w:space="0" w:color="auto"/>
        <w:bottom w:val="none" w:sz="0" w:space="0" w:color="auto"/>
        <w:right w:val="none" w:sz="0" w:space="0" w:color="auto"/>
      </w:divBdr>
    </w:div>
    <w:div w:id="1439131725">
      <w:bodyDiv w:val="1"/>
      <w:marLeft w:val="0"/>
      <w:marRight w:val="0"/>
      <w:marTop w:val="0"/>
      <w:marBottom w:val="0"/>
      <w:divBdr>
        <w:top w:val="none" w:sz="0" w:space="0" w:color="auto"/>
        <w:left w:val="none" w:sz="0" w:space="0" w:color="auto"/>
        <w:bottom w:val="none" w:sz="0" w:space="0" w:color="auto"/>
        <w:right w:val="none" w:sz="0" w:space="0" w:color="auto"/>
      </w:divBdr>
    </w:div>
    <w:div w:id="1439637687">
      <w:bodyDiv w:val="1"/>
      <w:marLeft w:val="0"/>
      <w:marRight w:val="0"/>
      <w:marTop w:val="0"/>
      <w:marBottom w:val="0"/>
      <w:divBdr>
        <w:top w:val="none" w:sz="0" w:space="0" w:color="auto"/>
        <w:left w:val="none" w:sz="0" w:space="0" w:color="auto"/>
        <w:bottom w:val="none" w:sz="0" w:space="0" w:color="auto"/>
        <w:right w:val="none" w:sz="0" w:space="0" w:color="auto"/>
      </w:divBdr>
    </w:div>
    <w:div w:id="1499299070">
      <w:bodyDiv w:val="1"/>
      <w:marLeft w:val="0"/>
      <w:marRight w:val="0"/>
      <w:marTop w:val="0"/>
      <w:marBottom w:val="0"/>
      <w:divBdr>
        <w:top w:val="none" w:sz="0" w:space="0" w:color="auto"/>
        <w:left w:val="none" w:sz="0" w:space="0" w:color="auto"/>
        <w:bottom w:val="none" w:sz="0" w:space="0" w:color="auto"/>
        <w:right w:val="none" w:sz="0" w:space="0" w:color="auto"/>
      </w:divBdr>
    </w:div>
    <w:div w:id="1505588128">
      <w:bodyDiv w:val="1"/>
      <w:marLeft w:val="0"/>
      <w:marRight w:val="0"/>
      <w:marTop w:val="0"/>
      <w:marBottom w:val="0"/>
      <w:divBdr>
        <w:top w:val="none" w:sz="0" w:space="0" w:color="auto"/>
        <w:left w:val="none" w:sz="0" w:space="0" w:color="auto"/>
        <w:bottom w:val="none" w:sz="0" w:space="0" w:color="auto"/>
        <w:right w:val="none" w:sz="0" w:space="0" w:color="auto"/>
      </w:divBdr>
    </w:div>
    <w:div w:id="1532455818">
      <w:bodyDiv w:val="1"/>
      <w:marLeft w:val="0"/>
      <w:marRight w:val="0"/>
      <w:marTop w:val="0"/>
      <w:marBottom w:val="0"/>
      <w:divBdr>
        <w:top w:val="none" w:sz="0" w:space="0" w:color="auto"/>
        <w:left w:val="none" w:sz="0" w:space="0" w:color="auto"/>
        <w:bottom w:val="none" w:sz="0" w:space="0" w:color="auto"/>
        <w:right w:val="none" w:sz="0" w:space="0" w:color="auto"/>
      </w:divBdr>
      <w:divsChild>
        <w:div w:id="1704668452">
          <w:marLeft w:val="0"/>
          <w:marRight w:val="0"/>
          <w:marTop w:val="0"/>
          <w:marBottom w:val="0"/>
          <w:divBdr>
            <w:top w:val="none" w:sz="0" w:space="0" w:color="auto"/>
            <w:left w:val="none" w:sz="0" w:space="0" w:color="auto"/>
            <w:bottom w:val="none" w:sz="0" w:space="0" w:color="auto"/>
            <w:right w:val="none" w:sz="0" w:space="0" w:color="auto"/>
          </w:divBdr>
        </w:div>
      </w:divsChild>
    </w:div>
    <w:div w:id="1549418987">
      <w:bodyDiv w:val="1"/>
      <w:marLeft w:val="0"/>
      <w:marRight w:val="0"/>
      <w:marTop w:val="0"/>
      <w:marBottom w:val="0"/>
      <w:divBdr>
        <w:top w:val="none" w:sz="0" w:space="0" w:color="auto"/>
        <w:left w:val="none" w:sz="0" w:space="0" w:color="auto"/>
        <w:bottom w:val="none" w:sz="0" w:space="0" w:color="auto"/>
        <w:right w:val="none" w:sz="0" w:space="0" w:color="auto"/>
      </w:divBdr>
    </w:div>
    <w:div w:id="1553156617">
      <w:bodyDiv w:val="1"/>
      <w:marLeft w:val="0"/>
      <w:marRight w:val="0"/>
      <w:marTop w:val="0"/>
      <w:marBottom w:val="0"/>
      <w:divBdr>
        <w:top w:val="none" w:sz="0" w:space="0" w:color="auto"/>
        <w:left w:val="none" w:sz="0" w:space="0" w:color="auto"/>
        <w:bottom w:val="none" w:sz="0" w:space="0" w:color="auto"/>
        <w:right w:val="none" w:sz="0" w:space="0" w:color="auto"/>
      </w:divBdr>
    </w:div>
    <w:div w:id="1556041083">
      <w:bodyDiv w:val="1"/>
      <w:marLeft w:val="0"/>
      <w:marRight w:val="0"/>
      <w:marTop w:val="0"/>
      <w:marBottom w:val="0"/>
      <w:divBdr>
        <w:top w:val="none" w:sz="0" w:space="0" w:color="auto"/>
        <w:left w:val="none" w:sz="0" w:space="0" w:color="auto"/>
        <w:bottom w:val="none" w:sz="0" w:space="0" w:color="auto"/>
        <w:right w:val="none" w:sz="0" w:space="0" w:color="auto"/>
      </w:divBdr>
    </w:div>
    <w:div w:id="1575581725">
      <w:bodyDiv w:val="1"/>
      <w:marLeft w:val="0"/>
      <w:marRight w:val="0"/>
      <w:marTop w:val="0"/>
      <w:marBottom w:val="0"/>
      <w:divBdr>
        <w:top w:val="none" w:sz="0" w:space="0" w:color="auto"/>
        <w:left w:val="none" w:sz="0" w:space="0" w:color="auto"/>
        <w:bottom w:val="none" w:sz="0" w:space="0" w:color="auto"/>
        <w:right w:val="none" w:sz="0" w:space="0" w:color="auto"/>
      </w:divBdr>
    </w:div>
    <w:div w:id="1585676134">
      <w:bodyDiv w:val="1"/>
      <w:marLeft w:val="0"/>
      <w:marRight w:val="0"/>
      <w:marTop w:val="0"/>
      <w:marBottom w:val="0"/>
      <w:divBdr>
        <w:top w:val="none" w:sz="0" w:space="0" w:color="auto"/>
        <w:left w:val="none" w:sz="0" w:space="0" w:color="auto"/>
        <w:bottom w:val="none" w:sz="0" w:space="0" w:color="auto"/>
        <w:right w:val="none" w:sz="0" w:space="0" w:color="auto"/>
      </w:divBdr>
    </w:div>
    <w:div w:id="1592542828">
      <w:bodyDiv w:val="1"/>
      <w:marLeft w:val="0"/>
      <w:marRight w:val="0"/>
      <w:marTop w:val="0"/>
      <w:marBottom w:val="0"/>
      <w:divBdr>
        <w:top w:val="none" w:sz="0" w:space="0" w:color="auto"/>
        <w:left w:val="none" w:sz="0" w:space="0" w:color="auto"/>
        <w:bottom w:val="none" w:sz="0" w:space="0" w:color="auto"/>
        <w:right w:val="none" w:sz="0" w:space="0" w:color="auto"/>
      </w:divBdr>
    </w:div>
    <w:div w:id="1599292013">
      <w:bodyDiv w:val="1"/>
      <w:marLeft w:val="0"/>
      <w:marRight w:val="0"/>
      <w:marTop w:val="0"/>
      <w:marBottom w:val="0"/>
      <w:divBdr>
        <w:top w:val="none" w:sz="0" w:space="0" w:color="auto"/>
        <w:left w:val="none" w:sz="0" w:space="0" w:color="auto"/>
        <w:bottom w:val="none" w:sz="0" w:space="0" w:color="auto"/>
        <w:right w:val="none" w:sz="0" w:space="0" w:color="auto"/>
      </w:divBdr>
    </w:div>
    <w:div w:id="1600407663">
      <w:bodyDiv w:val="1"/>
      <w:marLeft w:val="0"/>
      <w:marRight w:val="0"/>
      <w:marTop w:val="0"/>
      <w:marBottom w:val="0"/>
      <w:divBdr>
        <w:top w:val="none" w:sz="0" w:space="0" w:color="auto"/>
        <w:left w:val="none" w:sz="0" w:space="0" w:color="auto"/>
        <w:bottom w:val="none" w:sz="0" w:space="0" w:color="auto"/>
        <w:right w:val="none" w:sz="0" w:space="0" w:color="auto"/>
      </w:divBdr>
    </w:div>
    <w:div w:id="1602253405">
      <w:bodyDiv w:val="1"/>
      <w:marLeft w:val="0"/>
      <w:marRight w:val="0"/>
      <w:marTop w:val="0"/>
      <w:marBottom w:val="0"/>
      <w:divBdr>
        <w:top w:val="none" w:sz="0" w:space="0" w:color="auto"/>
        <w:left w:val="none" w:sz="0" w:space="0" w:color="auto"/>
        <w:bottom w:val="none" w:sz="0" w:space="0" w:color="auto"/>
        <w:right w:val="none" w:sz="0" w:space="0" w:color="auto"/>
      </w:divBdr>
    </w:div>
    <w:div w:id="1609116372">
      <w:bodyDiv w:val="1"/>
      <w:marLeft w:val="0"/>
      <w:marRight w:val="0"/>
      <w:marTop w:val="0"/>
      <w:marBottom w:val="0"/>
      <w:divBdr>
        <w:top w:val="none" w:sz="0" w:space="0" w:color="auto"/>
        <w:left w:val="none" w:sz="0" w:space="0" w:color="auto"/>
        <w:bottom w:val="none" w:sz="0" w:space="0" w:color="auto"/>
        <w:right w:val="none" w:sz="0" w:space="0" w:color="auto"/>
      </w:divBdr>
    </w:div>
    <w:div w:id="1627006860">
      <w:bodyDiv w:val="1"/>
      <w:marLeft w:val="0"/>
      <w:marRight w:val="0"/>
      <w:marTop w:val="0"/>
      <w:marBottom w:val="0"/>
      <w:divBdr>
        <w:top w:val="none" w:sz="0" w:space="0" w:color="auto"/>
        <w:left w:val="none" w:sz="0" w:space="0" w:color="auto"/>
        <w:bottom w:val="none" w:sz="0" w:space="0" w:color="auto"/>
        <w:right w:val="none" w:sz="0" w:space="0" w:color="auto"/>
      </w:divBdr>
    </w:div>
    <w:div w:id="1629579267">
      <w:bodyDiv w:val="1"/>
      <w:marLeft w:val="0"/>
      <w:marRight w:val="0"/>
      <w:marTop w:val="0"/>
      <w:marBottom w:val="0"/>
      <w:divBdr>
        <w:top w:val="none" w:sz="0" w:space="0" w:color="auto"/>
        <w:left w:val="none" w:sz="0" w:space="0" w:color="auto"/>
        <w:bottom w:val="none" w:sz="0" w:space="0" w:color="auto"/>
        <w:right w:val="none" w:sz="0" w:space="0" w:color="auto"/>
      </w:divBdr>
    </w:div>
    <w:div w:id="1634434993">
      <w:bodyDiv w:val="1"/>
      <w:marLeft w:val="0"/>
      <w:marRight w:val="0"/>
      <w:marTop w:val="0"/>
      <w:marBottom w:val="0"/>
      <w:divBdr>
        <w:top w:val="none" w:sz="0" w:space="0" w:color="auto"/>
        <w:left w:val="none" w:sz="0" w:space="0" w:color="auto"/>
        <w:bottom w:val="none" w:sz="0" w:space="0" w:color="auto"/>
        <w:right w:val="none" w:sz="0" w:space="0" w:color="auto"/>
      </w:divBdr>
    </w:div>
    <w:div w:id="1643197341">
      <w:bodyDiv w:val="1"/>
      <w:marLeft w:val="0"/>
      <w:marRight w:val="0"/>
      <w:marTop w:val="0"/>
      <w:marBottom w:val="0"/>
      <w:divBdr>
        <w:top w:val="none" w:sz="0" w:space="0" w:color="auto"/>
        <w:left w:val="none" w:sz="0" w:space="0" w:color="auto"/>
        <w:bottom w:val="none" w:sz="0" w:space="0" w:color="auto"/>
        <w:right w:val="none" w:sz="0" w:space="0" w:color="auto"/>
      </w:divBdr>
    </w:div>
    <w:div w:id="1649900323">
      <w:bodyDiv w:val="1"/>
      <w:marLeft w:val="0"/>
      <w:marRight w:val="0"/>
      <w:marTop w:val="0"/>
      <w:marBottom w:val="0"/>
      <w:divBdr>
        <w:top w:val="none" w:sz="0" w:space="0" w:color="auto"/>
        <w:left w:val="none" w:sz="0" w:space="0" w:color="auto"/>
        <w:bottom w:val="none" w:sz="0" w:space="0" w:color="auto"/>
        <w:right w:val="none" w:sz="0" w:space="0" w:color="auto"/>
      </w:divBdr>
    </w:div>
    <w:div w:id="1655259739">
      <w:bodyDiv w:val="1"/>
      <w:marLeft w:val="0"/>
      <w:marRight w:val="0"/>
      <w:marTop w:val="0"/>
      <w:marBottom w:val="0"/>
      <w:divBdr>
        <w:top w:val="none" w:sz="0" w:space="0" w:color="auto"/>
        <w:left w:val="none" w:sz="0" w:space="0" w:color="auto"/>
        <w:bottom w:val="none" w:sz="0" w:space="0" w:color="auto"/>
        <w:right w:val="none" w:sz="0" w:space="0" w:color="auto"/>
      </w:divBdr>
    </w:div>
    <w:div w:id="1659458640">
      <w:bodyDiv w:val="1"/>
      <w:marLeft w:val="0"/>
      <w:marRight w:val="0"/>
      <w:marTop w:val="0"/>
      <w:marBottom w:val="0"/>
      <w:divBdr>
        <w:top w:val="none" w:sz="0" w:space="0" w:color="auto"/>
        <w:left w:val="none" w:sz="0" w:space="0" w:color="auto"/>
        <w:bottom w:val="none" w:sz="0" w:space="0" w:color="auto"/>
        <w:right w:val="none" w:sz="0" w:space="0" w:color="auto"/>
      </w:divBdr>
    </w:div>
    <w:div w:id="1675111298">
      <w:bodyDiv w:val="1"/>
      <w:marLeft w:val="0"/>
      <w:marRight w:val="0"/>
      <w:marTop w:val="0"/>
      <w:marBottom w:val="0"/>
      <w:divBdr>
        <w:top w:val="none" w:sz="0" w:space="0" w:color="auto"/>
        <w:left w:val="none" w:sz="0" w:space="0" w:color="auto"/>
        <w:bottom w:val="none" w:sz="0" w:space="0" w:color="auto"/>
        <w:right w:val="none" w:sz="0" w:space="0" w:color="auto"/>
      </w:divBdr>
      <w:divsChild>
        <w:div w:id="510143330">
          <w:marLeft w:val="0"/>
          <w:marRight w:val="0"/>
          <w:marTop w:val="0"/>
          <w:marBottom w:val="0"/>
          <w:divBdr>
            <w:top w:val="none" w:sz="0" w:space="0" w:color="auto"/>
            <w:left w:val="none" w:sz="0" w:space="0" w:color="auto"/>
            <w:bottom w:val="none" w:sz="0" w:space="0" w:color="auto"/>
            <w:right w:val="none" w:sz="0" w:space="0" w:color="auto"/>
          </w:divBdr>
        </w:div>
      </w:divsChild>
    </w:div>
    <w:div w:id="1723603283">
      <w:bodyDiv w:val="1"/>
      <w:marLeft w:val="0"/>
      <w:marRight w:val="0"/>
      <w:marTop w:val="0"/>
      <w:marBottom w:val="0"/>
      <w:divBdr>
        <w:top w:val="none" w:sz="0" w:space="0" w:color="auto"/>
        <w:left w:val="none" w:sz="0" w:space="0" w:color="auto"/>
        <w:bottom w:val="none" w:sz="0" w:space="0" w:color="auto"/>
        <w:right w:val="none" w:sz="0" w:space="0" w:color="auto"/>
      </w:divBdr>
    </w:div>
    <w:div w:id="1730571917">
      <w:bodyDiv w:val="1"/>
      <w:marLeft w:val="0"/>
      <w:marRight w:val="0"/>
      <w:marTop w:val="0"/>
      <w:marBottom w:val="0"/>
      <w:divBdr>
        <w:top w:val="none" w:sz="0" w:space="0" w:color="auto"/>
        <w:left w:val="none" w:sz="0" w:space="0" w:color="auto"/>
        <w:bottom w:val="none" w:sz="0" w:space="0" w:color="auto"/>
        <w:right w:val="none" w:sz="0" w:space="0" w:color="auto"/>
      </w:divBdr>
      <w:divsChild>
        <w:div w:id="24907591">
          <w:marLeft w:val="0"/>
          <w:marRight w:val="0"/>
          <w:marTop w:val="0"/>
          <w:marBottom w:val="150"/>
          <w:divBdr>
            <w:top w:val="none" w:sz="0" w:space="0" w:color="auto"/>
            <w:left w:val="none" w:sz="0" w:space="0" w:color="auto"/>
            <w:bottom w:val="none" w:sz="0" w:space="0" w:color="auto"/>
            <w:right w:val="none" w:sz="0" w:space="0" w:color="auto"/>
          </w:divBdr>
        </w:div>
        <w:div w:id="707875575">
          <w:marLeft w:val="0"/>
          <w:marRight w:val="0"/>
          <w:marTop w:val="0"/>
          <w:marBottom w:val="150"/>
          <w:divBdr>
            <w:top w:val="none" w:sz="0" w:space="0" w:color="auto"/>
            <w:left w:val="none" w:sz="0" w:space="0" w:color="auto"/>
            <w:bottom w:val="none" w:sz="0" w:space="0" w:color="auto"/>
            <w:right w:val="none" w:sz="0" w:space="0" w:color="auto"/>
          </w:divBdr>
          <w:divsChild>
            <w:div w:id="83067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89666">
      <w:bodyDiv w:val="1"/>
      <w:marLeft w:val="0"/>
      <w:marRight w:val="0"/>
      <w:marTop w:val="0"/>
      <w:marBottom w:val="0"/>
      <w:divBdr>
        <w:top w:val="none" w:sz="0" w:space="0" w:color="auto"/>
        <w:left w:val="none" w:sz="0" w:space="0" w:color="auto"/>
        <w:bottom w:val="none" w:sz="0" w:space="0" w:color="auto"/>
        <w:right w:val="none" w:sz="0" w:space="0" w:color="auto"/>
      </w:divBdr>
      <w:divsChild>
        <w:div w:id="473835439">
          <w:marLeft w:val="0"/>
          <w:marRight w:val="0"/>
          <w:marTop w:val="0"/>
          <w:marBottom w:val="0"/>
          <w:divBdr>
            <w:top w:val="none" w:sz="0" w:space="0" w:color="auto"/>
            <w:left w:val="none" w:sz="0" w:space="0" w:color="auto"/>
            <w:bottom w:val="none" w:sz="0" w:space="0" w:color="auto"/>
            <w:right w:val="none" w:sz="0" w:space="0" w:color="auto"/>
          </w:divBdr>
        </w:div>
      </w:divsChild>
    </w:div>
    <w:div w:id="1744908857">
      <w:bodyDiv w:val="1"/>
      <w:marLeft w:val="0"/>
      <w:marRight w:val="0"/>
      <w:marTop w:val="0"/>
      <w:marBottom w:val="0"/>
      <w:divBdr>
        <w:top w:val="none" w:sz="0" w:space="0" w:color="auto"/>
        <w:left w:val="none" w:sz="0" w:space="0" w:color="auto"/>
        <w:bottom w:val="none" w:sz="0" w:space="0" w:color="auto"/>
        <w:right w:val="none" w:sz="0" w:space="0" w:color="auto"/>
      </w:divBdr>
    </w:div>
    <w:div w:id="1778140739">
      <w:bodyDiv w:val="1"/>
      <w:marLeft w:val="0"/>
      <w:marRight w:val="0"/>
      <w:marTop w:val="0"/>
      <w:marBottom w:val="0"/>
      <w:divBdr>
        <w:top w:val="none" w:sz="0" w:space="0" w:color="auto"/>
        <w:left w:val="none" w:sz="0" w:space="0" w:color="auto"/>
        <w:bottom w:val="none" w:sz="0" w:space="0" w:color="auto"/>
        <w:right w:val="none" w:sz="0" w:space="0" w:color="auto"/>
      </w:divBdr>
    </w:div>
    <w:div w:id="1792088188">
      <w:bodyDiv w:val="1"/>
      <w:marLeft w:val="0"/>
      <w:marRight w:val="0"/>
      <w:marTop w:val="0"/>
      <w:marBottom w:val="0"/>
      <w:divBdr>
        <w:top w:val="none" w:sz="0" w:space="0" w:color="auto"/>
        <w:left w:val="none" w:sz="0" w:space="0" w:color="auto"/>
        <w:bottom w:val="none" w:sz="0" w:space="0" w:color="auto"/>
        <w:right w:val="none" w:sz="0" w:space="0" w:color="auto"/>
      </w:divBdr>
    </w:div>
    <w:div w:id="1795440147">
      <w:bodyDiv w:val="1"/>
      <w:marLeft w:val="0"/>
      <w:marRight w:val="0"/>
      <w:marTop w:val="0"/>
      <w:marBottom w:val="0"/>
      <w:divBdr>
        <w:top w:val="none" w:sz="0" w:space="0" w:color="auto"/>
        <w:left w:val="none" w:sz="0" w:space="0" w:color="auto"/>
        <w:bottom w:val="none" w:sz="0" w:space="0" w:color="auto"/>
        <w:right w:val="none" w:sz="0" w:space="0" w:color="auto"/>
      </w:divBdr>
    </w:div>
    <w:div w:id="1818524260">
      <w:bodyDiv w:val="1"/>
      <w:marLeft w:val="0"/>
      <w:marRight w:val="0"/>
      <w:marTop w:val="0"/>
      <w:marBottom w:val="0"/>
      <w:divBdr>
        <w:top w:val="none" w:sz="0" w:space="0" w:color="auto"/>
        <w:left w:val="none" w:sz="0" w:space="0" w:color="auto"/>
        <w:bottom w:val="none" w:sz="0" w:space="0" w:color="auto"/>
        <w:right w:val="none" w:sz="0" w:space="0" w:color="auto"/>
      </w:divBdr>
    </w:div>
    <w:div w:id="1824617577">
      <w:bodyDiv w:val="1"/>
      <w:marLeft w:val="0"/>
      <w:marRight w:val="0"/>
      <w:marTop w:val="0"/>
      <w:marBottom w:val="0"/>
      <w:divBdr>
        <w:top w:val="none" w:sz="0" w:space="0" w:color="auto"/>
        <w:left w:val="none" w:sz="0" w:space="0" w:color="auto"/>
        <w:bottom w:val="none" w:sz="0" w:space="0" w:color="auto"/>
        <w:right w:val="none" w:sz="0" w:space="0" w:color="auto"/>
      </w:divBdr>
    </w:div>
    <w:div w:id="1840655395">
      <w:bodyDiv w:val="1"/>
      <w:marLeft w:val="0"/>
      <w:marRight w:val="0"/>
      <w:marTop w:val="0"/>
      <w:marBottom w:val="0"/>
      <w:divBdr>
        <w:top w:val="none" w:sz="0" w:space="0" w:color="auto"/>
        <w:left w:val="none" w:sz="0" w:space="0" w:color="auto"/>
        <w:bottom w:val="none" w:sz="0" w:space="0" w:color="auto"/>
        <w:right w:val="none" w:sz="0" w:space="0" w:color="auto"/>
      </w:divBdr>
    </w:div>
    <w:div w:id="1859730200">
      <w:bodyDiv w:val="1"/>
      <w:marLeft w:val="0"/>
      <w:marRight w:val="0"/>
      <w:marTop w:val="0"/>
      <w:marBottom w:val="0"/>
      <w:divBdr>
        <w:top w:val="none" w:sz="0" w:space="0" w:color="auto"/>
        <w:left w:val="none" w:sz="0" w:space="0" w:color="auto"/>
        <w:bottom w:val="none" w:sz="0" w:space="0" w:color="auto"/>
        <w:right w:val="none" w:sz="0" w:space="0" w:color="auto"/>
      </w:divBdr>
    </w:div>
    <w:div w:id="1930964009">
      <w:bodyDiv w:val="1"/>
      <w:marLeft w:val="0"/>
      <w:marRight w:val="0"/>
      <w:marTop w:val="0"/>
      <w:marBottom w:val="0"/>
      <w:divBdr>
        <w:top w:val="none" w:sz="0" w:space="0" w:color="auto"/>
        <w:left w:val="none" w:sz="0" w:space="0" w:color="auto"/>
        <w:bottom w:val="none" w:sz="0" w:space="0" w:color="auto"/>
        <w:right w:val="none" w:sz="0" w:space="0" w:color="auto"/>
      </w:divBdr>
    </w:div>
    <w:div w:id="1981030335">
      <w:bodyDiv w:val="1"/>
      <w:marLeft w:val="0"/>
      <w:marRight w:val="0"/>
      <w:marTop w:val="0"/>
      <w:marBottom w:val="0"/>
      <w:divBdr>
        <w:top w:val="none" w:sz="0" w:space="0" w:color="auto"/>
        <w:left w:val="none" w:sz="0" w:space="0" w:color="auto"/>
        <w:bottom w:val="none" w:sz="0" w:space="0" w:color="auto"/>
        <w:right w:val="none" w:sz="0" w:space="0" w:color="auto"/>
      </w:divBdr>
    </w:div>
    <w:div w:id="2007659798">
      <w:bodyDiv w:val="1"/>
      <w:marLeft w:val="0"/>
      <w:marRight w:val="0"/>
      <w:marTop w:val="0"/>
      <w:marBottom w:val="0"/>
      <w:divBdr>
        <w:top w:val="none" w:sz="0" w:space="0" w:color="auto"/>
        <w:left w:val="none" w:sz="0" w:space="0" w:color="auto"/>
        <w:bottom w:val="none" w:sz="0" w:space="0" w:color="auto"/>
        <w:right w:val="none" w:sz="0" w:space="0" w:color="auto"/>
      </w:divBdr>
    </w:div>
    <w:div w:id="2013337843">
      <w:bodyDiv w:val="1"/>
      <w:marLeft w:val="0"/>
      <w:marRight w:val="0"/>
      <w:marTop w:val="0"/>
      <w:marBottom w:val="0"/>
      <w:divBdr>
        <w:top w:val="none" w:sz="0" w:space="0" w:color="auto"/>
        <w:left w:val="none" w:sz="0" w:space="0" w:color="auto"/>
        <w:bottom w:val="none" w:sz="0" w:space="0" w:color="auto"/>
        <w:right w:val="none" w:sz="0" w:space="0" w:color="auto"/>
      </w:divBdr>
    </w:div>
    <w:div w:id="2013484261">
      <w:bodyDiv w:val="1"/>
      <w:marLeft w:val="0"/>
      <w:marRight w:val="0"/>
      <w:marTop w:val="0"/>
      <w:marBottom w:val="0"/>
      <w:divBdr>
        <w:top w:val="none" w:sz="0" w:space="0" w:color="auto"/>
        <w:left w:val="none" w:sz="0" w:space="0" w:color="auto"/>
        <w:bottom w:val="none" w:sz="0" w:space="0" w:color="auto"/>
        <w:right w:val="none" w:sz="0" w:space="0" w:color="auto"/>
      </w:divBdr>
    </w:div>
    <w:div w:id="2065643991">
      <w:bodyDiv w:val="1"/>
      <w:marLeft w:val="0"/>
      <w:marRight w:val="0"/>
      <w:marTop w:val="0"/>
      <w:marBottom w:val="0"/>
      <w:divBdr>
        <w:top w:val="none" w:sz="0" w:space="0" w:color="auto"/>
        <w:left w:val="none" w:sz="0" w:space="0" w:color="auto"/>
        <w:bottom w:val="none" w:sz="0" w:space="0" w:color="auto"/>
        <w:right w:val="none" w:sz="0" w:space="0" w:color="auto"/>
      </w:divBdr>
    </w:div>
    <w:div w:id="2080319027">
      <w:bodyDiv w:val="1"/>
      <w:marLeft w:val="0"/>
      <w:marRight w:val="0"/>
      <w:marTop w:val="0"/>
      <w:marBottom w:val="0"/>
      <w:divBdr>
        <w:top w:val="none" w:sz="0" w:space="0" w:color="auto"/>
        <w:left w:val="none" w:sz="0" w:space="0" w:color="auto"/>
        <w:bottom w:val="none" w:sz="0" w:space="0" w:color="auto"/>
        <w:right w:val="none" w:sz="0" w:space="0" w:color="auto"/>
      </w:divBdr>
    </w:div>
    <w:div w:id="2143227721">
      <w:bodyDiv w:val="1"/>
      <w:marLeft w:val="0"/>
      <w:marRight w:val="0"/>
      <w:marTop w:val="0"/>
      <w:marBottom w:val="0"/>
      <w:divBdr>
        <w:top w:val="none" w:sz="0" w:space="0" w:color="auto"/>
        <w:left w:val="none" w:sz="0" w:space="0" w:color="auto"/>
        <w:bottom w:val="none" w:sz="0" w:space="0" w:color="auto"/>
        <w:right w:val="none" w:sz="0" w:space="0" w:color="auto"/>
      </w:divBdr>
      <w:divsChild>
        <w:div w:id="310259963">
          <w:marLeft w:val="0"/>
          <w:marRight w:val="0"/>
          <w:marTop w:val="0"/>
          <w:marBottom w:val="150"/>
          <w:divBdr>
            <w:top w:val="none" w:sz="0" w:space="0" w:color="auto"/>
            <w:left w:val="none" w:sz="0" w:space="0" w:color="auto"/>
            <w:bottom w:val="none" w:sz="0" w:space="0" w:color="auto"/>
            <w:right w:val="none" w:sz="0" w:space="0" w:color="auto"/>
          </w:divBdr>
          <w:divsChild>
            <w:div w:id="359860158">
              <w:marLeft w:val="0"/>
              <w:marRight w:val="0"/>
              <w:marTop w:val="0"/>
              <w:marBottom w:val="0"/>
              <w:divBdr>
                <w:top w:val="none" w:sz="0" w:space="0" w:color="auto"/>
                <w:left w:val="none" w:sz="0" w:space="0" w:color="auto"/>
                <w:bottom w:val="none" w:sz="0" w:space="0" w:color="auto"/>
                <w:right w:val="none" w:sz="0" w:space="0" w:color="auto"/>
              </w:divBdr>
            </w:div>
          </w:divsChild>
        </w:div>
        <w:div w:id="84345939">
          <w:marLeft w:val="0"/>
          <w:marRight w:val="0"/>
          <w:marTop w:val="0"/>
          <w:marBottom w:val="150"/>
          <w:divBdr>
            <w:top w:val="none" w:sz="0" w:space="0" w:color="auto"/>
            <w:left w:val="none" w:sz="0" w:space="0" w:color="auto"/>
            <w:bottom w:val="none" w:sz="0" w:space="0" w:color="auto"/>
            <w:right w:val="none" w:sz="0" w:space="0" w:color="auto"/>
          </w:divBdr>
          <w:divsChild>
            <w:div w:id="60878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5.png@01D3CFF1.6B23C290" TargetMode="External"/><Relationship Id="rId26" Type="http://schemas.openxmlformats.org/officeDocument/2006/relationships/image" Target="media/image13.gif"/><Relationship Id="rId39" Type="http://schemas.openxmlformats.org/officeDocument/2006/relationships/chart" Target="charts/chart14.xml"/><Relationship Id="rId21" Type="http://schemas.openxmlformats.org/officeDocument/2006/relationships/image" Target="media/image10.gif"/><Relationship Id="rId34" Type="http://schemas.openxmlformats.org/officeDocument/2006/relationships/chart" Target="charts/chart9.xml"/><Relationship Id="rId42" Type="http://schemas.openxmlformats.org/officeDocument/2006/relationships/chart" Target="charts/chart17.xml"/><Relationship Id="rId47" Type="http://schemas.openxmlformats.org/officeDocument/2006/relationships/chart" Target="charts/chart22.xml"/><Relationship Id="rId50" Type="http://schemas.openxmlformats.org/officeDocument/2006/relationships/chart" Target="charts/chart25.xml"/><Relationship Id="rId55" Type="http://schemas.openxmlformats.org/officeDocument/2006/relationships/chart" Target="charts/chart30.xml"/><Relationship Id="rId63" Type="http://schemas.openxmlformats.org/officeDocument/2006/relationships/chart" Target="charts/chart38.xml"/><Relationship Id="rId68" Type="http://schemas.openxmlformats.org/officeDocument/2006/relationships/chart" Target="charts/chart43.xm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chart" Target="charts/chart46.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4.xml"/><Relationship Id="rId11" Type="http://schemas.openxmlformats.org/officeDocument/2006/relationships/chart" Target="charts/chart1.xml"/><Relationship Id="rId24" Type="http://schemas.openxmlformats.org/officeDocument/2006/relationships/image" Target="media/image12.gif"/><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chart" Target="charts/chart28.xml"/><Relationship Id="rId58" Type="http://schemas.openxmlformats.org/officeDocument/2006/relationships/chart" Target="charts/chart33.xml"/><Relationship Id="rId66" Type="http://schemas.openxmlformats.org/officeDocument/2006/relationships/chart" Target="charts/chart41.xm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36.xml"/><Relationship Id="rId10" Type="http://schemas.openxmlformats.org/officeDocument/2006/relationships/image" Target="media/image3.png"/><Relationship Id="rId19" Type="http://schemas.openxmlformats.org/officeDocument/2006/relationships/image" Target="media/image9.gif"/><Relationship Id="rId31" Type="http://schemas.openxmlformats.org/officeDocument/2006/relationships/chart" Target="charts/chart6.xml"/><Relationship Id="rId44" Type="http://schemas.openxmlformats.org/officeDocument/2006/relationships/chart" Target="charts/chart19.xml"/><Relationship Id="rId52" Type="http://schemas.openxmlformats.org/officeDocument/2006/relationships/chart" Target="charts/chart27.xml"/><Relationship Id="rId60" Type="http://schemas.openxmlformats.org/officeDocument/2006/relationships/chart" Target="charts/chart35.xml"/><Relationship Id="rId65" Type="http://schemas.openxmlformats.org/officeDocument/2006/relationships/chart" Target="charts/chart40.xml"/><Relationship Id="rId73" Type="http://schemas.openxmlformats.org/officeDocument/2006/relationships/header" Target="header2.xml"/><Relationship Id="rId78"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cid:image009.png@01D3CFF1.6B23C290" TargetMode="External"/><Relationship Id="rId27" Type="http://schemas.openxmlformats.org/officeDocument/2006/relationships/image" Target="cid:image012.png@01D3CFF1.6B23C290" TargetMode="Externa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chart" Target="charts/chart31.xml"/><Relationship Id="rId64" Type="http://schemas.openxmlformats.org/officeDocument/2006/relationships/chart" Target="charts/chart39.xml"/><Relationship Id="rId69" Type="http://schemas.openxmlformats.org/officeDocument/2006/relationships/chart" Target="charts/chart44.xml"/><Relationship Id="rId7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chart" Target="charts/chart26.xm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gif"/><Relationship Id="rId25" Type="http://schemas.openxmlformats.org/officeDocument/2006/relationships/image" Target="cid:image010.png@01D3CFF1.6B23C290" TargetMode="External"/><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chart" Target="charts/chart21.xml"/><Relationship Id="rId59" Type="http://schemas.openxmlformats.org/officeDocument/2006/relationships/chart" Target="charts/chart34.xml"/><Relationship Id="rId67" Type="http://schemas.openxmlformats.org/officeDocument/2006/relationships/chart" Target="charts/chart42.xml"/><Relationship Id="rId20" Type="http://schemas.openxmlformats.org/officeDocument/2006/relationships/image" Target="cid:image007.png@01D3CFF1.6B23C290" TargetMode="External"/><Relationship Id="rId41" Type="http://schemas.openxmlformats.org/officeDocument/2006/relationships/chart" Target="charts/chart16.xml"/><Relationship Id="rId54" Type="http://schemas.openxmlformats.org/officeDocument/2006/relationships/chart" Target="charts/chart29.xml"/><Relationship Id="rId62" Type="http://schemas.openxmlformats.org/officeDocument/2006/relationships/chart" Target="charts/chart37.xml"/><Relationship Id="rId70" Type="http://schemas.openxmlformats.org/officeDocument/2006/relationships/chart" Target="charts/chart45.xm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cid:image002.png@01D3CC2C.655D7F90" TargetMode="External"/><Relationship Id="rId23" Type="http://schemas.openxmlformats.org/officeDocument/2006/relationships/chart" Target="charts/chart2.xml"/><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chart" Target="charts/chart24.xml"/><Relationship Id="rId57" Type="http://schemas.openxmlformats.org/officeDocument/2006/relationships/chart" Target="charts/chart32.xml"/></Relationships>
</file>

<file path=word/_rels/footnotes.xml.rels><?xml version="1.0" encoding="UTF-8" standalone="yes"?>
<Relationships xmlns="http://schemas.openxmlformats.org/package/2006/relationships"><Relationship Id="rId3" Type="http://schemas.openxmlformats.org/officeDocument/2006/relationships/hyperlink" Target="https://www.jst.go.jp/global/english/kadai/h2407_mexico.html" TargetMode="External"/><Relationship Id="rId2" Type="http://schemas.openxmlformats.org/officeDocument/2006/relationships/hyperlink" Target="https://absch.cbd.int/database/A19A20/ABSCH-A19A20-SCBD-208298" TargetMode="External"/><Relationship Id="rId1" Type="http://schemas.openxmlformats.org/officeDocument/2006/relationships/hyperlink" Target="http://genesperu.minam.gob.pe/obtener-cfp-establecer-cma/)"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oleObject" Target="../embeddings/oleObject13.bin"/></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oleObject" Target="../embeddings/oleObject17.bin"/><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embeddings/oleObject18.bin"/><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oleObject" Target="../embeddings/oleObject19.bin"/><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oleObject" Target="../embeddings/oleObject20.bin"/><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oleObject" Target="../embeddings/oleObject21.bin"/><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oleObject" Target="../embeddings/oleObject22.bin"/><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oleObject" Target="../embeddings/oleObject23.bin"/><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oleObject" Target="../embeddings/oleObject24.bin"/><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oleObject" Target="../embeddings/oleObject25.bin"/><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oleObject" Target="../embeddings/oleObject26.bin"/><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oleObject" Target="../embeddings/oleObject27.bin"/><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embeddings/oleObject28.bin"/><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2" Type="http://schemas.openxmlformats.org/officeDocument/2006/relationships/oleObject" Target="../embeddings/oleObject29.bin"/><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2" Type="http://schemas.openxmlformats.org/officeDocument/2006/relationships/oleObject" Target="../embeddings/oleObject30.bin"/><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2" Type="http://schemas.openxmlformats.org/officeDocument/2006/relationships/oleObject" Target="../embeddings/oleObject31.bin"/><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oleObject" Target="../embeddings/oleObject32.bin"/><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2" Type="http://schemas.openxmlformats.org/officeDocument/2006/relationships/oleObject" Target="../embeddings/oleObject33.bin"/><Relationship Id="rId1" Type="http://schemas.openxmlformats.org/officeDocument/2006/relationships/themeOverride" Target="../theme/themeOverride34.xml"/></Relationships>
</file>

<file path=word/charts/_rels/chart36.xml.rels><?xml version="1.0" encoding="UTF-8" standalone="yes"?>
<Relationships xmlns="http://schemas.openxmlformats.org/package/2006/relationships"><Relationship Id="rId2" Type="http://schemas.openxmlformats.org/officeDocument/2006/relationships/oleObject" Target="../embeddings/oleObject34.bin"/><Relationship Id="rId1" Type="http://schemas.openxmlformats.org/officeDocument/2006/relationships/themeOverride" Target="../theme/themeOverride35.xml"/></Relationships>
</file>

<file path=word/charts/_rels/chart37.xml.rels><?xml version="1.0" encoding="UTF-8" standalone="yes"?>
<Relationships xmlns="http://schemas.openxmlformats.org/package/2006/relationships"><Relationship Id="rId2" Type="http://schemas.openxmlformats.org/officeDocument/2006/relationships/oleObject" Target="../embeddings/oleObject35.bin"/><Relationship Id="rId1" Type="http://schemas.openxmlformats.org/officeDocument/2006/relationships/themeOverride" Target="../theme/themeOverride36.xml"/></Relationships>
</file>

<file path=word/charts/_rels/chart38.xml.rels><?xml version="1.0" encoding="UTF-8" standalone="yes"?>
<Relationships xmlns="http://schemas.openxmlformats.org/package/2006/relationships"><Relationship Id="rId2" Type="http://schemas.openxmlformats.org/officeDocument/2006/relationships/oleObject" Target="../embeddings/oleObject36.bin"/><Relationship Id="rId1" Type="http://schemas.openxmlformats.org/officeDocument/2006/relationships/themeOverride" Target="../theme/themeOverride37.xml"/></Relationships>
</file>

<file path=word/charts/_rels/chart39.xml.rels><?xml version="1.0" encoding="UTF-8" standalone="yes"?>
<Relationships xmlns="http://schemas.openxmlformats.org/package/2006/relationships"><Relationship Id="rId2" Type="http://schemas.openxmlformats.org/officeDocument/2006/relationships/oleObject" Target="../embeddings/oleObject37.bin"/><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stamatia.zafiriou\Documents\2018\Interim%20National%20Report%20Notes%20on%20Submissions\Statistics%20Part%202.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embeddings/oleObject38.bin"/><Relationship Id="rId1" Type="http://schemas.openxmlformats.org/officeDocument/2006/relationships/themeOverride" Target="../theme/themeOverride39.xml"/></Relationships>
</file>

<file path=word/charts/_rels/chart41.xml.rels><?xml version="1.0" encoding="UTF-8" standalone="yes"?>
<Relationships xmlns="http://schemas.openxmlformats.org/package/2006/relationships"><Relationship Id="rId2" Type="http://schemas.openxmlformats.org/officeDocument/2006/relationships/oleObject" Target="../embeddings/oleObject39.bin"/><Relationship Id="rId1" Type="http://schemas.openxmlformats.org/officeDocument/2006/relationships/themeOverride" Target="../theme/themeOverride40.xml"/></Relationships>
</file>

<file path=word/charts/_rels/chart42.xml.rels><?xml version="1.0" encoding="UTF-8" standalone="yes"?>
<Relationships xmlns="http://schemas.openxmlformats.org/package/2006/relationships"><Relationship Id="rId2" Type="http://schemas.openxmlformats.org/officeDocument/2006/relationships/oleObject" Target="../embeddings/oleObject40.bin"/><Relationship Id="rId1" Type="http://schemas.openxmlformats.org/officeDocument/2006/relationships/themeOverride" Target="../theme/themeOverride41.xml"/></Relationships>
</file>

<file path=word/charts/_rels/chart43.xml.rels><?xml version="1.0" encoding="UTF-8" standalone="yes"?>
<Relationships xmlns="http://schemas.openxmlformats.org/package/2006/relationships"><Relationship Id="rId2" Type="http://schemas.openxmlformats.org/officeDocument/2006/relationships/oleObject" Target="../embeddings/oleObject41.bin"/><Relationship Id="rId1" Type="http://schemas.openxmlformats.org/officeDocument/2006/relationships/themeOverride" Target="../theme/themeOverride42.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43.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4.xml"/></Relationships>
</file>

<file path=word/charts/_rels/chart46.xml.rels><?xml version="1.0" encoding="UTF-8" standalone="yes"?>
<Relationships xmlns="http://schemas.openxmlformats.org/package/2006/relationships"><Relationship Id="rId2" Type="http://schemas.openxmlformats.org/officeDocument/2006/relationships/oleObject" Target="../embeddings/oleObject42.bin"/><Relationship Id="rId1" Type="http://schemas.openxmlformats.org/officeDocument/2006/relationships/themeOverride" Target="../theme/themeOverride45.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'Q3'!$F$48</c:f>
              <c:strCache>
                <c:ptCount val="1"/>
                <c:pt idx="0">
                  <c:v>Information published</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'Q3'!$G$47:$L$47</c:f>
              <c:strCache>
                <c:ptCount val="5"/>
                <c:pt idx="0">
                  <c:v>AFR</c:v>
                </c:pt>
                <c:pt idx="1">
                  <c:v>AP</c:v>
                </c:pt>
                <c:pt idx="2">
                  <c:v>CEE</c:v>
                </c:pt>
                <c:pt idx="3">
                  <c:v>GRULAC</c:v>
                </c:pt>
                <c:pt idx="4">
                  <c:v>WEOG</c:v>
                </c:pt>
              </c:strCache>
            </c:strRef>
          </c:cat>
          <c:val>
            <c:numRef>
              <c:f>'Q3'!$G$48:$L$48</c:f>
              <c:numCache>
                <c:formatCode>0%</c:formatCode>
                <c:ptCount val="5"/>
                <c:pt idx="0">
                  <c:v>0.47619047619047616</c:v>
                </c:pt>
                <c:pt idx="1">
                  <c:v>0.22222222222222221</c:v>
                </c:pt>
                <c:pt idx="2">
                  <c:v>1</c:v>
                </c:pt>
                <c:pt idx="3">
                  <c:v>0.61538461538461542</c:v>
                </c:pt>
                <c:pt idx="4">
                  <c:v>0.8</c:v>
                </c:pt>
              </c:numCache>
            </c:numRef>
          </c:val>
          <c:extLst>
            <c:ext xmlns:c16="http://schemas.microsoft.com/office/drawing/2014/chart" uri="{C3380CC4-5D6E-409C-BE32-E72D297353CC}">
              <c16:uniqueId val="{00000000-015C-44B3-8F9B-B81B6CD9B1BA}"/>
            </c:ext>
          </c:extLst>
        </c:ser>
        <c:ser>
          <c:idx val="1"/>
          <c:order val="1"/>
          <c:tx>
            <c:strRef>
              <c:f>'Q3'!$F$49</c:f>
              <c:strCache>
                <c:ptCount val="1"/>
                <c:pt idx="0">
                  <c:v>Information available but not yet published</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'Q3'!$G$47:$L$47</c:f>
              <c:strCache>
                <c:ptCount val="5"/>
                <c:pt idx="0">
                  <c:v>AFR</c:v>
                </c:pt>
                <c:pt idx="1">
                  <c:v>AP</c:v>
                </c:pt>
                <c:pt idx="2">
                  <c:v>CEE</c:v>
                </c:pt>
                <c:pt idx="3">
                  <c:v>GRULAC</c:v>
                </c:pt>
                <c:pt idx="4">
                  <c:v>WEOG</c:v>
                </c:pt>
              </c:strCache>
            </c:strRef>
          </c:cat>
          <c:val>
            <c:numRef>
              <c:f>'Q3'!$G$49:$L$49</c:f>
              <c:numCache>
                <c:formatCode>0%</c:formatCode>
                <c:ptCount val="5"/>
                <c:pt idx="0">
                  <c:v>0.54761904761904767</c:v>
                </c:pt>
                <c:pt idx="1">
                  <c:v>0.44444444444444442</c:v>
                </c:pt>
                <c:pt idx="2">
                  <c:v>0.375</c:v>
                </c:pt>
                <c:pt idx="3">
                  <c:v>0.46153846153846156</c:v>
                </c:pt>
                <c:pt idx="4">
                  <c:v>0.13333333333333333</c:v>
                </c:pt>
              </c:numCache>
            </c:numRef>
          </c:val>
          <c:extLst>
            <c:ext xmlns:c16="http://schemas.microsoft.com/office/drawing/2014/chart" uri="{C3380CC4-5D6E-409C-BE32-E72D297353CC}">
              <c16:uniqueId val="{00000001-015C-44B3-8F9B-B81B6CD9B1BA}"/>
            </c:ext>
          </c:extLst>
        </c:ser>
        <c:dLbls>
          <c:dLblPos val="outEnd"/>
          <c:showLegendKey val="0"/>
          <c:showVal val="1"/>
          <c:showCatName val="0"/>
          <c:showSerName val="0"/>
          <c:showPercent val="0"/>
          <c:showBubbleSize val="0"/>
        </c:dLbls>
        <c:gapWidth val="219"/>
        <c:overlap val="-27"/>
        <c:axId val="235173376"/>
        <c:axId val="235174912"/>
      </c:barChart>
      <c:catAx>
        <c:axId val="23517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174912"/>
        <c:crosses val="autoZero"/>
        <c:auto val="1"/>
        <c:lblAlgn val="ctr"/>
        <c:lblOffset val="100"/>
        <c:noMultiLvlLbl val="0"/>
      </c:catAx>
      <c:valAx>
        <c:axId val="235174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173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'Article 15 16 17'!$I$39</c:f>
              <c:strCache>
                <c:ptCount val="1"/>
                <c:pt idx="0">
                  <c:v>Yes</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15 16 17'!$J$38:$O$38</c:f>
              <c:strCache>
                <c:ptCount val="6"/>
                <c:pt idx="0">
                  <c:v>    Total </c:v>
                </c:pt>
                <c:pt idx="1">
                  <c:v>AFR </c:v>
                </c:pt>
                <c:pt idx="2">
                  <c:v>AP</c:v>
                </c:pt>
                <c:pt idx="3">
                  <c:v>CEE</c:v>
                </c:pt>
                <c:pt idx="4">
                  <c:v>GRULAC</c:v>
                </c:pt>
                <c:pt idx="5">
                  <c:v>WEOG</c:v>
                </c:pt>
              </c:strCache>
            </c:strRef>
          </c:cat>
          <c:val>
            <c:numRef>
              <c:f>'Article 15 16 17'!$J$39:$O$39</c:f>
              <c:numCache>
                <c:formatCode>0%</c:formatCode>
                <c:ptCount val="6"/>
                <c:pt idx="0">
                  <c:v>0.5</c:v>
                </c:pt>
                <c:pt idx="1">
                  <c:v>0.25</c:v>
                </c:pt>
                <c:pt idx="2">
                  <c:v>0.5</c:v>
                </c:pt>
                <c:pt idx="3">
                  <c:v>0.77777777777777779</c:v>
                </c:pt>
                <c:pt idx="4">
                  <c:v>0.3</c:v>
                </c:pt>
                <c:pt idx="5">
                  <c:v>0.93333333333333335</c:v>
                </c:pt>
              </c:numCache>
            </c:numRef>
          </c:val>
          <c:extLst>
            <c:ext xmlns:c16="http://schemas.microsoft.com/office/drawing/2014/chart" uri="{C3380CC4-5D6E-409C-BE32-E72D297353CC}">
              <c16:uniqueId val="{00000000-242F-4881-8E80-629CC49A7513}"/>
            </c:ext>
          </c:extLst>
        </c:ser>
        <c:ser>
          <c:idx val="1"/>
          <c:order val="1"/>
          <c:tx>
            <c:strRef>
              <c:f>'Article 15 16 17'!$I$40</c:f>
              <c:strCache>
                <c:ptCount val="1"/>
                <c:pt idx="0">
                  <c:v>No</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15 16 17'!$J$38:$O$38</c:f>
              <c:strCache>
                <c:ptCount val="6"/>
                <c:pt idx="0">
                  <c:v>    Total </c:v>
                </c:pt>
                <c:pt idx="1">
                  <c:v>AFR </c:v>
                </c:pt>
                <c:pt idx="2">
                  <c:v>AP</c:v>
                </c:pt>
                <c:pt idx="3">
                  <c:v>CEE</c:v>
                </c:pt>
                <c:pt idx="4">
                  <c:v>GRULAC</c:v>
                </c:pt>
                <c:pt idx="5">
                  <c:v>WEOG</c:v>
                </c:pt>
              </c:strCache>
            </c:strRef>
          </c:cat>
          <c:val>
            <c:numRef>
              <c:f>'Article 15 16 17'!$J$40:$O$40</c:f>
              <c:numCache>
                <c:formatCode>0%</c:formatCode>
                <c:ptCount val="6"/>
                <c:pt idx="0">
                  <c:v>0.5</c:v>
                </c:pt>
                <c:pt idx="1">
                  <c:v>0.75</c:v>
                </c:pt>
                <c:pt idx="2">
                  <c:v>0.5</c:v>
                </c:pt>
                <c:pt idx="3">
                  <c:v>0.22222222222222221</c:v>
                </c:pt>
                <c:pt idx="4">
                  <c:v>0.7</c:v>
                </c:pt>
                <c:pt idx="5">
                  <c:v>6.6666666666666666E-2</c:v>
                </c:pt>
              </c:numCache>
            </c:numRef>
          </c:val>
          <c:extLst>
            <c:ext xmlns:c16="http://schemas.microsoft.com/office/drawing/2014/chart" uri="{C3380CC4-5D6E-409C-BE32-E72D297353CC}">
              <c16:uniqueId val="{00000001-242F-4881-8E80-629CC49A7513}"/>
            </c:ext>
          </c:extLst>
        </c:ser>
        <c:dLbls>
          <c:dLblPos val="outEnd"/>
          <c:showLegendKey val="0"/>
          <c:showVal val="1"/>
          <c:showCatName val="0"/>
          <c:showSerName val="0"/>
          <c:showPercent val="0"/>
          <c:showBubbleSize val="0"/>
        </c:dLbls>
        <c:gapWidth val="219"/>
        <c:overlap val="-27"/>
        <c:axId val="248123392"/>
        <c:axId val="248124928"/>
      </c:barChart>
      <c:catAx>
        <c:axId val="24812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124928"/>
        <c:crosses val="autoZero"/>
        <c:auto val="1"/>
        <c:lblAlgn val="ctr"/>
        <c:lblOffset val="100"/>
        <c:noMultiLvlLbl val="0"/>
      </c:catAx>
      <c:valAx>
        <c:axId val="248124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123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'Article 15 16 17'!$I$68</c:f>
              <c:strCache>
                <c:ptCount val="1"/>
                <c:pt idx="0">
                  <c:v>Yes</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15 16 17'!$J$67:$O$67</c:f>
              <c:strCache>
                <c:ptCount val="6"/>
                <c:pt idx="0">
                  <c:v>    Total </c:v>
                </c:pt>
                <c:pt idx="1">
                  <c:v>AFR </c:v>
                </c:pt>
                <c:pt idx="2">
                  <c:v>AP</c:v>
                </c:pt>
                <c:pt idx="3">
                  <c:v>CEE</c:v>
                </c:pt>
                <c:pt idx="4">
                  <c:v>GRULAC</c:v>
                </c:pt>
                <c:pt idx="5">
                  <c:v>WEOG</c:v>
                </c:pt>
              </c:strCache>
            </c:strRef>
          </c:cat>
          <c:val>
            <c:numRef>
              <c:f>'Article 15 16 17'!$J$68:$O$68</c:f>
              <c:numCache>
                <c:formatCode>0%</c:formatCode>
                <c:ptCount val="6"/>
                <c:pt idx="0">
                  <c:v>0.86486486486486491</c:v>
                </c:pt>
                <c:pt idx="1">
                  <c:v>0.5714285714285714</c:v>
                </c:pt>
                <c:pt idx="2">
                  <c:v>0.83333333333333337</c:v>
                </c:pt>
                <c:pt idx="3">
                  <c:v>0.8571428571428571</c:v>
                </c:pt>
                <c:pt idx="4">
                  <c:v>1</c:v>
                </c:pt>
                <c:pt idx="5">
                  <c:v>1</c:v>
                </c:pt>
              </c:numCache>
            </c:numRef>
          </c:val>
          <c:extLst>
            <c:ext xmlns:c16="http://schemas.microsoft.com/office/drawing/2014/chart" uri="{C3380CC4-5D6E-409C-BE32-E72D297353CC}">
              <c16:uniqueId val="{00000000-8E42-4D53-AD5F-4F627EB9A48F}"/>
            </c:ext>
          </c:extLst>
        </c:ser>
        <c:ser>
          <c:idx val="1"/>
          <c:order val="1"/>
          <c:tx>
            <c:strRef>
              <c:f>'Article 15 16 17'!$I$69</c:f>
              <c:strCache>
                <c:ptCount val="1"/>
                <c:pt idx="0">
                  <c:v>No</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15 16 17'!$J$67:$O$67</c:f>
              <c:strCache>
                <c:ptCount val="6"/>
                <c:pt idx="0">
                  <c:v>    Total </c:v>
                </c:pt>
                <c:pt idx="1">
                  <c:v>AFR </c:v>
                </c:pt>
                <c:pt idx="2">
                  <c:v>AP</c:v>
                </c:pt>
                <c:pt idx="3">
                  <c:v>CEE</c:v>
                </c:pt>
                <c:pt idx="4">
                  <c:v>GRULAC</c:v>
                </c:pt>
                <c:pt idx="5">
                  <c:v>WEOG</c:v>
                </c:pt>
              </c:strCache>
            </c:strRef>
          </c:cat>
          <c:val>
            <c:numRef>
              <c:f>'Article 15 16 17'!$J$69:$O$69</c:f>
              <c:numCache>
                <c:formatCode>0%</c:formatCode>
                <c:ptCount val="6"/>
                <c:pt idx="0">
                  <c:v>0.13513513513513514</c:v>
                </c:pt>
                <c:pt idx="1">
                  <c:v>0.42857142857142855</c:v>
                </c:pt>
                <c:pt idx="2">
                  <c:v>0.16666666666666666</c:v>
                </c:pt>
                <c:pt idx="3">
                  <c:v>0.14285714285714285</c:v>
                </c:pt>
                <c:pt idx="4">
                  <c:v>0</c:v>
                </c:pt>
                <c:pt idx="5">
                  <c:v>0</c:v>
                </c:pt>
              </c:numCache>
            </c:numRef>
          </c:val>
          <c:extLst>
            <c:ext xmlns:c16="http://schemas.microsoft.com/office/drawing/2014/chart" uri="{C3380CC4-5D6E-409C-BE32-E72D297353CC}">
              <c16:uniqueId val="{00000001-8E42-4D53-AD5F-4F627EB9A48F}"/>
            </c:ext>
          </c:extLst>
        </c:ser>
        <c:dLbls>
          <c:dLblPos val="outEnd"/>
          <c:showLegendKey val="0"/>
          <c:showVal val="1"/>
          <c:showCatName val="0"/>
          <c:showSerName val="0"/>
          <c:showPercent val="0"/>
          <c:showBubbleSize val="0"/>
        </c:dLbls>
        <c:gapWidth val="219"/>
        <c:overlap val="-27"/>
        <c:axId val="248151424"/>
        <c:axId val="248161408"/>
      </c:barChart>
      <c:catAx>
        <c:axId val="24815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161408"/>
        <c:crosses val="autoZero"/>
        <c:auto val="1"/>
        <c:lblAlgn val="ctr"/>
        <c:lblOffset val="100"/>
        <c:noMultiLvlLbl val="0"/>
      </c:catAx>
      <c:valAx>
        <c:axId val="248161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151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'Article 15 16 17'!$I$83</c:f>
              <c:strCache>
                <c:ptCount val="1"/>
                <c:pt idx="0">
                  <c:v>Yes</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15 16 17'!$J$82:$O$82</c:f>
              <c:strCache>
                <c:ptCount val="6"/>
                <c:pt idx="0">
                  <c:v>    Total </c:v>
                </c:pt>
                <c:pt idx="1">
                  <c:v>AFR </c:v>
                </c:pt>
                <c:pt idx="2">
                  <c:v>AP</c:v>
                </c:pt>
                <c:pt idx="3">
                  <c:v>CEE</c:v>
                </c:pt>
                <c:pt idx="4">
                  <c:v>GRULAC</c:v>
                </c:pt>
                <c:pt idx="5">
                  <c:v>WEOG</c:v>
                </c:pt>
              </c:strCache>
            </c:strRef>
          </c:cat>
          <c:val>
            <c:numRef>
              <c:f>'Article 15 16 17'!$J$83:$O$83</c:f>
              <c:numCache>
                <c:formatCode>0%</c:formatCode>
                <c:ptCount val="6"/>
                <c:pt idx="0">
                  <c:v>5.4054054054054057E-2</c:v>
                </c:pt>
                <c:pt idx="1">
                  <c:v>0</c:v>
                </c:pt>
                <c:pt idx="2">
                  <c:v>0.16666666666666666</c:v>
                </c:pt>
                <c:pt idx="3">
                  <c:v>0</c:v>
                </c:pt>
                <c:pt idx="4">
                  <c:v>0.33333333333333331</c:v>
                </c:pt>
                <c:pt idx="5">
                  <c:v>0</c:v>
                </c:pt>
              </c:numCache>
            </c:numRef>
          </c:val>
          <c:extLst>
            <c:ext xmlns:c16="http://schemas.microsoft.com/office/drawing/2014/chart" uri="{C3380CC4-5D6E-409C-BE32-E72D297353CC}">
              <c16:uniqueId val="{00000000-E9E7-4E3C-AEBA-0D52071DE95C}"/>
            </c:ext>
          </c:extLst>
        </c:ser>
        <c:ser>
          <c:idx val="1"/>
          <c:order val="1"/>
          <c:tx>
            <c:strRef>
              <c:f>'Article 15 16 17'!$I$84</c:f>
              <c:strCache>
                <c:ptCount val="1"/>
                <c:pt idx="0">
                  <c:v>No</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15 16 17'!$J$82:$O$82</c:f>
              <c:strCache>
                <c:ptCount val="6"/>
                <c:pt idx="0">
                  <c:v>    Total </c:v>
                </c:pt>
                <c:pt idx="1">
                  <c:v>AFR </c:v>
                </c:pt>
                <c:pt idx="2">
                  <c:v>AP</c:v>
                </c:pt>
                <c:pt idx="3">
                  <c:v>CEE</c:v>
                </c:pt>
                <c:pt idx="4">
                  <c:v>GRULAC</c:v>
                </c:pt>
                <c:pt idx="5">
                  <c:v>WEOG</c:v>
                </c:pt>
              </c:strCache>
            </c:strRef>
          </c:cat>
          <c:val>
            <c:numRef>
              <c:f>'Article 15 16 17'!$J$84:$O$84</c:f>
              <c:numCache>
                <c:formatCode>0%</c:formatCode>
                <c:ptCount val="6"/>
                <c:pt idx="0">
                  <c:v>0.94594594594594594</c:v>
                </c:pt>
                <c:pt idx="1">
                  <c:v>1</c:v>
                </c:pt>
                <c:pt idx="2">
                  <c:v>0.83333333333333337</c:v>
                </c:pt>
                <c:pt idx="3">
                  <c:v>1</c:v>
                </c:pt>
                <c:pt idx="4">
                  <c:v>0.66666666666666663</c:v>
                </c:pt>
                <c:pt idx="5">
                  <c:v>1</c:v>
                </c:pt>
              </c:numCache>
            </c:numRef>
          </c:val>
          <c:extLst>
            <c:ext xmlns:c16="http://schemas.microsoft.com/office/drawing/2014/chart" uri="{C3380CC4-5D6E-409C-BE32-E72D297353CC}">
              <c16:uniqueId val="{00000001-E9E7-4E3C-AEBA-0D52071DE95C}"/>
            </c:ext>
          </c:extLst>
        </c:ser>
        <c:dLbls>
          <c:dLblPos val="outEnd"/>
          <c:showLegendKey val="0"/>
          <c:showVal val="1"/>
          <c:showCatName val="0"/>
          <c:showSerName val="0"/>
          <c:showPercent val="0"/>
          <c:showBubbleSize val="0"/>
        </c:dLbls>
        <c:gapWidth val="219"/>
        <c:overlap val="-27"/>
        <c:axId val="248728576"/>
        <c:axId val="248738560"/>
      </c:barChart>
      <c:catAx>
        <c:axId val="2487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738560"/>
        <c:crosses val="autoZero"/>
        <c:auto val="1"/>
        <c:lblAlgn val="ctr"/>
        <c:lblOffset val="100"/>
        <c:noMultiLvlLbl val="0"/>
      </c:catAx>
      <c:valAx>
        <c:axId val="248738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72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'Article 15 16 17'!$I$99</c:f>
              <c:strCache>
                <c:ptCount val="1"/>
                <c:pt idx="0">
                  <c:v>Yes</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15 16 17'!$J$98:$O$98</c:f>
              <c:strCache>
                <c:ptCount val="6"/>
                <c:pt idx="0">
                  <c:v>    Total </c:v>
                </c:pt>
                <c:pt idx="1">
                  <c:v>AFR </c:v>
                </c:pt>
                <c:pt idx="2">
                  <c:v>AP</c:v>
                </c:pt>
                <c:pt idx="3">
                  <c:v>CEE</c:v>
                </c:pt>
                <c:pt idx="4">
                  <c:v>GRULAC</c:v>
                </c:pt>
                <c:pt idx="5">
                  <c:v>WEOG</c:v>
                </c:pt>
              </c:strCache>
            </c:strRef>
          </c:cat>
          <c:val>
            <c:numRef>
              <c:f>'Article 15 16 17'!$J$99:$O$99</c:f>
              <c:numCache>
                <c:formatCode>0%</c:formatCode>
                <c:ptCount val="6"/>
                <c:pt idx="0">
                  <c:v>0.61643835616438358</c:v>
                </c:pt>
                <c:pt idx="1">
                  <c:v>0.4642857142857143</c:v>
                </c:pt>
                <c:pt idx="2">
                  <c:v>0.54545454545454541</c:v>
                </c:pt>
                <c:pt idx="3">
                  <c:v>0.88888888888888884</c:v>
                </c:pt>
                <c:pt idx="4">
                  <c:v>0.5</c:v>
                </c:pt>
                <c:pt idx="5">
                  <c:v>0.8666666666666667</c:v>
                </c:pt>
              </c:numCache>
            </c:numRef>
          </c:val>
          <c:extLst>
            <c:ext xmlns:c16="http://schemas.microsoft.com/office/drawing/2014/chart" uri="{C3380CC4-5D6E-409C-BE32-E72D297353CC}">
              <c16:uniqueId val="{00000000-4F51-46C4-91EC-8F219CA6DEEF}"/>
            </c:ext>
          </c:extLst>
        </c:ser>
        <c:ser>
          <c:idx val="1"/>
          <c:order val="1"/>
          <c:tx>
            <c:strRef>
              <c:f>'Article 15 16 17'!$I$100</c:f>
              <c:strCache>
                <c:ptCount val="1"/>
                <c:pt idx="0">
                  <c:v>No</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15 16 17'!$J$98:$O$98</c:f>
              <c:strCache>
                <c:ptCount val="6"/>
                <c:pt idx="0">
                  <c:v>    Total </c:v>
                </c:pt>
                <c:pt idx="1">
                  <c:v>AFR </c:v>
                </c:pt>
                <c:pt idx="2">
                  <c:v>AP</c:v>
                </c:pt>
                <c:pt idx="3">
                  <c:v>CEE</c:v>
                </c:pt>
                <c:pt idx="4">
                  <c:v>GRULAC</c:v>
                </c:pt>
                <c:pt idx="5">
                  <c:v>WEOG</c:v>
                </c:pt>
              </c:strCache>
            </c:strRef>
          </c:cat>
          <c:val>
            <c:numRef>
              <c:f>'Article 15 16 17'!$J$100:$O$100</c:f>
              <c:numCache>
                <c:formatCode>0%</c:formatCode>
                <c:ptCount val="6"/>
                <c:pt idx="0">
                  <c:v>0.38356164383561642</c:v>
                </c:pt>
                <c:pt idx="1">
                  <c:v>0.5357142857142857</c:v>
                </c:pt>
                <c:pt idx="2">
                  <c:v>0.45454545454545453</c:v>
                </c:pt>
                <c:pt idx="3">
                  <c:v>0.1111111111111111</c:v>
                </c:pt>
                <c:pt idx="4">
                  <c:v>0.5</c:v>
                </c:pt>
                <c:pt idx="5">
                  <c:v>0.13333333333333333</c:v>
                </c:pt>
              </c:numCache>
            </c:numRef>
          </c:val>
          <c:extLst>
            <c:ext xmlns:c16="http://schemas.microsoft.com/office/drawing/2014/chart" uri="{C3380CC4-5D6E-409C-BE32-E72D297353CC}">
              <c16:uniqueId val="{00000001-4F51-46C4-91EC-8F219CA6DEEF}"/>
            </c:ext>
          </c:extLst>
        </c:ser>
        <c:dLbls>
          <c:dLblPos val="outEnd"/>
          <c:showLegendKey val="0"/>
          <c:showVal val="1"/>
          <c:showCatName val="0"/>
          <c:showSerName val="0"/>
          <c:showPercent val="0"/>
          <c:showBubbleSize val="0"/>
        </c:dLbls>
        <c:gapWidth val="219"/>
        <c:overlap val="-27"/>
        <c:axId val="248773248"/>
        <c:axId val="249176448"/>
      </c:barChart>
      <c:catAx>
        <c:axId val="24877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176448"/>
        <c:crosses val="autoZero"/>
        <c:auto val="1"/>
        <c:lblAlgn val="ctr"/>
        <c:lblOffset val="100"/>
        <c:noMultiLvlLbl val="0"/>
      </c:catAx>
      <c:valAx>
        <c:axId val="249176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77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'Article 15 16 17'!$I$113</c:f>
              <c:strCache>
                <c:ptCount val="1"/>
                <c:pt idx="0">
                  <c:v>Yes</c:v>
                </c:pt>
              </c:strCache>
            </c:strRef>
          </c:tx>
          <c:spPr>
            <a:solidFill>
              <a:schemeClr val="accent3">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15 16 17'!$J$112:$O$112</c:f>
              <c:strCache>
                <c:ptCount val="6"/>
                <c:pt idx="0">
                  <c:v>    Total </c:v>
                </c:pt>
                <c:pt idx="1">
                  <c:v>AFR </c:v>
                </c:pt>
                <c:pt idx="2">
                  <c:v>AP</c:v>
                </c:pt>
                <c:pt idx="3">
                  <c:v>CEE</c:v>
                </c:pt>
                <c:pt idx="4">
                  <c:v>GRULAC</c:v>
                </c:pt>
                <c:pt idx="5">
                  <c:v>WEOG</c:v>
                </c:pt>
              </c:strCache>
            </c:strRef>
          </c:cat>
          <c:val>
            <c:numRef>
              <c:f>'Article 15 16 17'!$J$113:$O$113</c:f>
              <c:numCache>
                <c:formatCode>0%</c:formatCode>
                <c:ptCount val="6"/>
                <c:pt idx="0">
                  <c:v>0.75555555555555554</c:v>
                </c:pt>
                <c:pt idx="1">
                  <c:v>0.53846153846153844</c:v>
                </c:pt>
                <c:pt idx="2">
                  <c:v>0.5</c:v>
                </c:pt>
                <c:pt idx="3">
                  <c:v>0.875</c:v>
                </c:pt>
                <c:pt idx="4">
                  <c:v>0.8</c:v>
                </c:pt>
                <c:pt idx="5">
                  <c:v>1</c:v>
                </c:pt>
              </c:numCache>
            </c:numRef>
          </c:val>
          <c:extLst>
            <c:ext xmlns:c16="http://schemas.microsoft.com/office/drawing/2014/chart" uri="{C3380CC4-5D6E-409C-BE32-E72D297353CC}">
              <c16:uniqueId val="{00000000-BD9C-46E1-A119-8C18409D6724}"/>
            </c:ext>
          </c:extLst>
        </c:ser>
        <c:ser>
          <c:idx val="1"/>
          <c:order val="1"/>
          <c:tx>
            <c:strRef>
              <c:f>'Article 15 16 17'!$I$114</c:f>
              <c:strCache>
                <c:ptCount val="1"/>
                <c:pt idx="0">
                  <c:v>No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15 16 17'!$J$112:$O$112</c:f>
              <c:strCache>
                <c:ptCount val="6"/>
                <c:pt idx="0">
                  <c:v>    Total </c:v>
                </c:pt>
                <c:pt idx="1">
                  <c:v>AFR </c:v>
                </c:pt>
                <c:pt idx="2">
                  <c:v>AP</c:v>
                </c:pt>
                <c:pt idx="3">
                  <c:v>CEE</c:v>
                </c:pt>
                <c:pt idx="4">
                  <c:v>GRULAC</c:v>
                </c:pt>
                <c:pt idx="5">
                  <c:v>WEOG</c:v>
                </c:pt>
              </c:strCache>
            </c:strRef>
          </c:cat>
          <c:val>
            <c:numRef>
              <c:f>'Article 15 16 17'!$J$114:$O$114</c:f>
              <c:numCache>
                <c:formatCode>0%</c:formatCode>
                <c:ptCount val="6"/>
                <c:pt idx="0">
                  <c:v>0.24444444444444444</c:v>
                </c:pt>
                <c:pt idx="1">
                  <c:v>0.46153846153846156</c:v>
                </c:pt>
                <c:pt idx="2">
                  <c:v>0.5</c:v>
                </c:pt>
                <c:pt idx="3">
                  <c:v>0.125</c:v>
                </c:pt>
                <c:pt idx="4">
                  <c:v>0.2</c:v>
                </c:pt>
                <c:pt idx="5">
                  <c:v>0</c:v>
                </c:pt>
              </c:numCache>
            </c:numRef>
          </c:val>
          <c:extLst>
            <c:ext xmlns:c16="http://schemas.microsoft.com/office/drawing/2014/chart" uri="{C3380CC4-5D6E-409C-BE32-E72D297353CC}">
              <c16:uniqueId val="{00000001-BD9C-46E1-A119-8C18409D6724}"/>
            </c:ext>
          </c:extLst>
        </c:ser>
        <c:ser>
          <c:idx val="2"/>
          <c:order val="2"/>
          <c:tx>
            <c:strRef>
              <c:f>'Article 15 16 17'!$I$115</c:f>
              <c:strCache>
                <c:ptCount val="1"/>
              </c:strCache>
            </c:strRef>
          </c:tx>
          <c:spPr>
            <a:solidFill>
              <a:schemeClr val="accent3">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15 16 17'!$J$112:$O$112</c:f>
              <c:strCache>
                <c:ptCount val="6"/>
                <c:pt idx="0">
                  <c:v>    Total </c:v>
                </c:pt>
                <c:pt idx="1">
                  <c:v>AFR </c:v>
                </c:pt>
                <c:pt idx="2">
                  <c:v>AP</c:v>
                </c:pt>
                <c:pt idx="3">
                  <c:v>CEE</c:v>
                </c:pt>
                <c:pt idx="4">
                  <c:v>GRULAC</c:v>
                </c:pt>
                <c:pt idx="5">
                  <c:v>WEOG</c:v>
                </c:pt>
              </c:strCache>
            </c:strRef>
          </c:cat>
          <c:val>
            <c:numRef>
              <c:f>'Article 15 16 17'!$J$115:$O$115</c:f>
              <c:numCache>
                <c:formatCode>General</c:formatCode>
                <c:ptCount val="6"/>
              </c:numCache>
            </c:numRef>
          </c:val>
          <c:extLst>
            <c:ext xmlns:c16="http://schemas.microsoft.com/office/drawing/2014/chart" uri="{C3380CC4-5D6E-409C-BE32-E72D297353CC}">
              <c16:uniqueId val="{00000002-BD9C-46E1-A119-8C18409D6724}"/>
            </c:ext>
          </c:extLst>
        </c:ser>
        <c:dLbls>
          <c:dLblPos val="outEnd"/>
          <c:showLegendKey val="0"/>
          <c:showVal val="1"/>
          <c:showCatName val="0"/>
          <c:showSerName val="0"/>
          <c:showPercent val="0"/>
          <c:showBubbleSize val="0"/>
        </c:dLbls>
        <c:gapWidth val="219"/>
        <c:overlap val="-27"/>
        <c:axId val="248647680"/>
        <c:axId val="248649216"/>
      </c:barChart>
      <c:catAx>
        <c:axId val="24864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649216"/>
        <c:crosses val="autoZero"/>
        <c:auto val="1"/>
        <c:lblAlgn val="ctr"/>
        <c:lblOffset val="100"/>
        <c:noMultiLvlLbl val="0"/>
      </c:catAx>
      <c:valAx>
        <c:axId val="248649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64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'Article 15 16 17'!$I$129</c:f>
              <c:strCache>
                <c:ptCount val="1"/>
                <c:pt idx="0">
                  <c:v>Yes</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15 16 17'!$J$128:$O$128</c:f>
              <c:strCache>
                <c:ptCount val="6"/>
                <c:pt idx="0">
                  <c:v>    Total </c:v>
                </c:pt>
                <c:pt idx="1">
                  <c:v>AFR </c:v>
                </c:pt>
                <c:pt idx="2">
                  <c:v>AP</c:v>
                </c:pt>
                <c:pt idx="3">
                  <c:v>CEE</c:v>
                </c:pt>
                <c:pt idx="4">
                  <c:v>GRULAC</c:v>
                </c:pt>
                <c:pt idx="5">
                  <c:v>WEOG</c:v>
                </c:pt>
              </c:strCache>
            </c:strRef>
          </c:cat>
          <c:val>
            <c:numRef>
              <c:f>'Article 15 16 17'!$J$129:$O$129</c:f>
              <c:numCache>
                <c:formatCode>0%</c:formatCode>
                <c:ptCount val="6"/>
                <c:pt idx="0">
                  <c:v>0.12328767123287671</c:v>
                </c:pt>
                <c:pt idx="1">
                  <c:v>0.14285714285714285</c:v>
                </c:pt>
                <c:pt idx="2">
                  <c:v>0.18181818181818182</c:v>
                </c:pt>
                <c:pt idx="3">
                  <c:v>0</c:v>
                </c:pt>
                <c:pt idx="4">
                  <c:v>0.1</c:v>
                </c:pt>
                <c:pt idx="5">
                  <c:v>0.13333333333333333</c:v>
                </c:pt>
              </c:numCache>
            </c:numRef>
          </c:val>
          <c:extLst>
            <c:ext xmlns:c16="http://schemas.microsoft.com/office/drawing/2014/chart" uri="{C3380CC4-5D6E-409C-BE32-E72D297353CC}">
              <c16:uniqueId val="{00000000-0CFB-4796-B114-D1FF7CA933DF}"/>
            </c:ext>
          </c:extLst>
        </c:ser>
        <c:ser>
          <c:idx val="1"/>
          <c:order val="1"/>
          <c:tx>
            <c:strRef>
              <c:f>'Article 15 16 17'!$I$130</c:f>
              <c:strCache>
                <c:ptCount val="1"/>
                <c:pt idx="0">
                  <c:v>No</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15 16 17'!$J$128:$O$128</c:f>
              <c:strCache>
                <c:ptCount val="6"/>
                <c:pt idx="0">
                  <c:v>    Total </c:v>
                </c:pt>
                <c:pt idx="1">
                  <c:v>AFR </c:v>
                </c:pt>
                <c:pt idx="2">
                  <c:v>AP</c:v>
                </c:pt>
                <c:pt idx="3">
                  <c:v>CEE</c:v>
                </c:pt>
                <c:pt idx="4">
                  <c:v>GRULAC</c:v>
                </c:pt>
                <c:pt idx="5">
                  <c:v>WEOG</c:v>
                </c:pt>
              </c:strCache>
            </c:strRef>
          </c:cat>
          <c:val>
            <c:numRef>
              <c:f>'Article 15 16 17'!$J$130:$O$130</c:f>
              <c:numCache>
                <c:formatCode>0%</c:formatCode>
                <c:ptCount val="6"/>
                <c:pt idx="0">
                  <c:v>0.87671232876712324</c:v>
                </c:pt>
                <c:pt idx="1">
                  <c:v>0.8571428571428571</c:v>
                </c:pt>
                <c:pt idx="2">
                  <c:v>0.81818181818181823</c:v>
                </c:pt>
                <c:pt idx="3">
                  <c:v>1</c:v>
                </c:pt>
                <c:pt idx="4">
                  <c:v>0.9</c:v>
                </c:pt>
                <c:pt idx="5">
                  <c:v>0.8666666666666667</c:v>
                </c:pt>
              </c:numCache>
            </c:numRef>
          </c:val>
          <c:extLst>
            <c:ext xmlns:c16="http://schemas.microsoft.com/office/drawing/2014/chart" uri="{C3380CC4-5D6E-409C-BE32-E72D297353CC}">
              <c16:uniqueId val="{00000001-0CFB-4796-B114-D1FF7CA933DF}"/>
            </c:ext>
          </c:extLst>
        </c:ser>
        <c:dLbls>
          <c:dLblPos val="outEnd"/>
          <c:showLegendKey val="0"/>
          <c:showVal val="1"/>
          <c:showCatName val="0"/>
          <c:showSerName val="0"/>
          <c:showPercent val="0"/>
          <c:showBubbleSize val="0"/>
        </c:dLbls>
        <c:gapWidth val="219"/>
        <c:overlap val="-27"/>
        <c:axId val="248663424"/>
        <c:axId val="248669312"/>
      </c:barChart>
      <c:catAx>
        <c:axId val="24866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669312"/>
        <c:crosses val="autoZero"/>
        <c:auto val="1"/>
        <c:lblAlgn val="ctr"/>
        <c:lblOffset val="100"/>
        <c:noMultiLvlLbl val="0"/>
      </c:catAx>
      <c:valAx>
        <c:axId val="248669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66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'Article 15 16 17'!$I$129</c:f>
              <c:strCache>
                <c:ptCount val="1"/>
                <c:pt idx="0">
                  <c:v>Yes</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15 16 17'!$J$128:$O$128</c:f>
              <c:strCache>
                <c:ptCount val="6"/>
                <c:pt idx="0">
                  <c:v>    Total </c:v>
                </c:pt>
                <c:pt idx="1">
                  <c:v>AFR </c:v>
                </c:pt>
                <c:pt idx="2">
                  <c:v>AP</c:v>
                </c:pt>
                <c:pt idx="3">
                  <c:v>CEE</c:v>
                </c:pt>
                <c:pt idx="4">
                  <c:v>GRULAC</c:v>
                </c:pt>
                <c:pt idx="5">
                  <c:v>WEOG</c:v>
                </c:pt>
              </c:strCache>
            </c:strRef>
          </c:cat>
          <c:val>
            <c:numRef>
              <c:f>'Article 15 16 17'!$J$129:$O$129</c:f>
              <c:numCache>
                <c:formatCode>0%</c:formatCode>
                <c:ptCount val="6"/>
                <c:pt idx="0">
                  <c:v>0.37333333333333335</c:v>
                </c:pt>
                <c:pt idx="1">
                  <c:v>0.39285714285714285</c:v>
                </c:pt>
                <c:pt idx="2">
                  <c:v>0.53846153846153844</c:v>
                </c:pt>
                <c:pt idx="3">
                  <c:v>0.1111111111111111</c:v>
                </c:pt>
                <c:pt idx="4">
                  <c:v>0.4</c:v>
                </c:pt>
                <c:pt idx="5">
                  <c:v>0.33333333333333331</c:v>
                </c:pt>
              </c:numCache>
            </c:numRef>
          </c:val>
          <c:extLst>
            <c:ext xmlns:c16="http://schemas.microsoft.com/office/drawing/2014/chart" uri="{C3380CC4-5D6E-409C-BE32-E72D297353CC}">
              <c16:uniqueId val="{00000000-ED72-4CED-9001-3BAB7366A209}"/>
            </c:ext>
          </c:extLst>
        </c:ser>
        <c:ser>
          <c:idx val="1"/>
          <c:order val="1"/>
          <c:tx>
            <c:strRef>
              <c:f>'Article 15 16 17'!$I$130</c:f>
              <c:strCache>
                <c:ptCount val="1"/>
                <c:pt idx="0">
                  <c:v>No</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15 16 17'!$J$128:$O$128</c:f>
              <c:strCache>
                <c:ptCount val="6"/>
                <c:pt idx="0">
                  <c:v>    Total </c:v>
                </c:pt>
                <c:pt idx="1">
                  <c:v>AFR </c:v>
                </c:pt>
                <c:pt idx="2">
                  <c:v>AP</c:v>
                </c:pt>
                <c:pt idx="3">
                  <c:v>CEE</c:v>
                </c:pt>
                <c:pt idx="4">
                  <c:v>GRULAC</c:v>
                </c:pt>
                <c:pt idx="5">
                  <c:v>WEOG</c:v>
                </c:pt>
              </c:strCache>
            </c:strRef>
          </c:cat>
          <c:val>
            <c:numRef>
              <c:f>'Article 15 16 17'!$J$130:$O$130</c:f>
              <c:numCache>
                <c:formatCode>0%</c:formatCode>
                <c:ptCount val="6"/>
                <c:pt idx="0">
                  <c:v>0.62666666666666671</c:v>
                </c:pt>
                <c:pt idx="1">
                  <c:v>0.6071428571428571</c:v>
                </c:pt>
                <c:pt idx="2">
                  <c:v>0.46153846153846156</c:v>
                </c:pt>
                <c:pt idx="3">
                  <c:v>0.88888888888888884</c:v>
                </c:pt>
                <c:pt idx="4">
                  <c:v>0.6</c:v>
                </c:pt>
                <c:pt idx="5">
                  <c:v>0.66666666666666663</c:v>
                </c:pt>
              </c:numCache>
            </c:numRef>
          </c:val>
          <c:extLst>
            <c:ext xmlns:c16="http://schemas.microsoft.com/office/drawing/2014/chart" uri="{C3380CC4-5D6E-409C-BE32-E72D297353CC}">
              <c16:uniqueId val="{00000001-ED72-4CED-9001-3BAB7366A209}"/>
            </c:ext>
          </c:extLst>
        </c:ser>
        <c:dLbls>
          <c:dLblPos val="outEnd"/>
          <c:showLegendKey val="0"/>
          <c:showVal val="1"/>
          <c:showCatName val="0"/>
          <c:showSerName val="0"/>
          <c:showPercent val="0"/>
          <c:showBubbleSize val="0"/>
        </c:dLbls>
        <c:gapWidth val="219"/>
        <c:overlap val="-27"/>
        <c:axId val="249666560"/>
        <c:axId val="249672448"/>
      </c:barChart>
      <c:catAx>
        <c:axId val="24966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672448"/>
        <c:crosses val="autoZero"/>
        <c:auto val="1"/>
        <c:lblAlgn val="ctr"/>
        <c:lblOffset val="100"/>
        <c:noMultiLvlLbl val="0"/>
      </c:catAx>
      <c:valAx>
        <c:axId val="249672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666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'[Statistics Part 2.xlsx]Article 15 16 17'!$I$158</c:f>
              <c:strCache>
                <c:ptCount val="1"/>
                <c:pt idx="0">
                  <c:v>Yes</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'[Statistics Part 2.xlsx]Article 15 16 17'!$J$157:$O$157</c:f>
              <c:strCache>
                <c:ptCount val="6"/>
                <c:pt idx="0">
                  <c:v>    Total </c:v>
                </c:pt>
                <c:pt idx="1">
                  <c:v>AFR </c:v>
                </c:pt>
                <c:pt idx="2">
                  <c:v>AP</c:v>
                </c:pt>
                <c:pt idx="3">
                  <c:v>CEE</c:v>
                </c:pt>
                <c:pt idx="4">
                  <c:v>GRULAC</c:v>
                </c:pt>
                <c:pt idx="5">
                  <c:v>WEOG</c:v>
                </c:pt>
              </c:strCache>
            </c:strRef>
          </c:cat>
          <c:val>
            <c:numRef>
              <c:f>'[Statistics Part 2.xlsx]Article 15 16 17'!$J$158:$O$158</c:f>
              <c:numCache>
                <c:formatCode>0%</c:formatCode>
                <c:ptCount val="6"/>
                <c:pt idx="0">
                  <c:v>0.61333333333333329</c:v>
                </c:pt>
                <c:pt idx="1">
                  <c:v>0.5</c:v>
                </c:pt>
                <c:pt idx="2">
                  <c:v>0.76923076923076927</c:v>
                </c:pt>
                <c:pt idx="3">
                  <c:v>0.66666666666666663</c:v>
                </c:pt>
                <c:pt idx="4">
                  <c:v>0.3</c:v>
                </c:pt>
                <c:pt idx="5">
                  <c:v>0.8666666666666667</c:v>
                </c:pt>
              </c:numCache>
            </c:numRef>
          </c:val>
          <c:extLst>
            <c:ext xmlns:c16="http://schemas.microsoft.com/office/drawing/2014/chart" uri="{C3380CC4-5D6E-409C-BE32-E72D297353CC}">
              <c16:uniqueId val="{00000000-BDC9-47D0-8C9F-603802DE57BF}"/>
            </c:ext>
          </c:extLst>
        </c:ser>
        <c:ser>
          <c:idx val="1"/>
          <c:order val="1"/>
          <c:tx>
            <c:strRef>
              <c:f>'[Statistics Part 2.xlsx]Article 15 16 17'!$I$159</c:f>
              <c:strCache>
                <c:ptCount val="1"/>
                <c:pt idx="0">
                  <c:v>No</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'[Statistics Part 2.xlsx]Article 15 16 17'!$J$157:$O$157</c:f>
              <c:strCache>
                <c:ptCount val="6"/>
                <c:pt idx="0">
                  <c:v>    Total </c:v>
                </c:pt>
                <c:pt idx="1">
                  <c:v>AFR </c:v>
                </c:pt>
                <c:pt idx="2">
                  <c:v>AP</c:v>
                </c:pt>
                <c:pt idx="3">
                  <c:v>CEE</c:v>
                </c:pt>
                <c:pt idx="4">
                  <c:v>GRULAC</c:v>
                </c:pt>
                <c:pt idx="5">
                  <c:v>WEOG</c:v>
                </c:pt>
              </c:strCache>
            </c:strRef>
          </c:cat>
          <c:val>
            <c:numRef>
              <c:f>'[Statistics Part 2.xlsx]Article 15 16 17'!$J$159:$O$159</c:f>
              <c:numCache>
                <c:formatCode>0%</c:formatCode>
                <c:ptCount val="6"/>
                <c:pt idx="0">
                  <c:v>0.38666666666666666</c:v>
                </c:pt>
                <c:pt idx="1">
                  <c:v>0.5</c:v>
                </c:pt>
                <c:pt idx="2">
                  <c:v>0.23076923076923078</c:v>
                </c:pt>
                <c:pt idx="3">
                  <c:v>0.33333333333333331</c:v>
                </c:pt>
                <c:pt idx="4">
                  <c:v>0.7</c:v>
                </c:pt>
                <c:pt idx="5">
                  <c:v>0.13333333333333333</c:v>
                </c:pt>
              </c:numCache>
            </c:numRef>
          </c:val>
          <c:extLst>
            <c:ext xmlns:c16="http://schemas.microsoft.com/office/drawing/2014/chart" uri="{C3380CC4-5D6E-409C-BE32-E72D297353CC}">
              <c16:uniqueId val="{00000001-BDC9-47D0-8C9F-603802DE57BF}"/>
            </c:ext>
          </c:extLst>
        </c:ser>
        <c:dLbls>
          <c:dLblPos val="outEnd"/>
          <c:showLegendKey val="0"/>
          <c:showVal val="1"/>
          <c:showCatName val="0"/>
          <c:showSerName val="0"/>
          <c:showPercent val="0"/>
          <c:showBubbleSize val="0"/>
        </c:dLbls>
        <c:gapWidth val="219"/>
        <c:overlap val="-27"/>
        <c:axId val="249387648"/>
        <c:axId val="249397632"/>
      </c:barChart>
      <c:catAx>
        <c:axId val="24938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397632"/>
        <c:crosses val="autoZero"/>
        <c:auto val="1"/>
        <c:lblAlgn val="ctr"/>
        <c:lblOffset val="100"/>
        <c:noMultiLvlLbl val="0"/>
      </c:catAx>
      <c:valAx>
        <c:axId val="249397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387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'Article 18'!$L$9</c:f>
              <c:strCache>
                <c:ptCount val="1"/>
                <c:pt idx="0">
                  <c:v>Yes</c:v>
                </c:pt>
              </c:strCache>
            </c:strRef>
          </c:tx>
          <c:spPr>
            <a:solidFill>
              <a:schemeClr val="accent3">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18'!$M$8:$R$8</c:f>
              <c:strCache>
                <c:ptCount val="6"/>
                <c:pt idx="0">
                  <c:v>    Total </c:v>
                </c:pt>
                <c:pt idx="1">
                  <c:v>AFR </c:v>
                </c:pt>
                <c:pt idx="2">
                  <c:v>AP</c:v>
                </c:pt>
                <c:pt idx="3">
                  <c:v>CEE</c:v>
                </c:pt>
                <c:pt idx="4">
                  <c:v>GRULAC</c:v>
                </c:pt>
                <c:pt idx="5">
                  <c:v>WEOG</c:v>
                </c:pt>
              </c:strCache>
            </c:strRef>
          </c:cat>
          <c:val>
            <c:numRef>
              <c:f>'Article 18'!$M$9:$R$9</c:f>
              <c:numCache>
                <c:formatCode>0%</c:formatCode>
                <c:ptCount val="6"/>
                <c:pt idx="0">
                  <c:v>0.49333333333333335</c:v>
                </c:pt>
                <c:pt idx="1">
                  <c:v>0.5714285714285714</c:v>
                </c:pt>
                <c:pt idx="2">
                  <c:v>0.61538461538461542</c:v>
                </c:pt>
                <c:pt idx="3">
                  <c:v>0.22222222222222221</c:v>
                </c:pt>
                <c:pt idx="4">
                  <c:v>0.5</c:v>
                </c:pt>
                <c:pt idx="5">
                  <c:v>0.4</c:v>
                </c:pt>
              </c:numCache>
            </c:numRef>
          </c:val>
          <c:extLst>
            <c:ext xmlns:c16="http://schemas.microsoft.com/office/drawing/2014/chart" uri="{C3380CC4-5D6E-409C-BE32-E72D297353CC}">
              <c16:uniqueId val="{00000000-1423-4E58-9D2E-1ABED57C9AE6}"/>
            </c:ext>
          </c:extLst>
        </c:ser>
        <c:ser>
          <c:idx val="1"/>
          <c:order val="1"/>
          <c:tx>
            <c:strRef>
              <c:f>'Article 18'!$L$10</c:f>
              <c:strCache>
                <c:ptCount val="1"/>
                <c:pt idx="0">
                  <c:v>No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18'!$M$8:$R$8</c:f>
              <c:strCache>
                <c:ptCount val="6"/>
                <c:pt idx="0">
                  <c:v>    Total </c:v>
                </c:pt>
                <c:pt idx="1">
                  <c:v>AFR </c:v>
                </c:pt>
                <c:pt idx="2">
                  <c:v>AP</c:v>
                </c:pt>
                <c:pt idx="3">
                  <c:v>CEE</c:v>
                </c:pt>
                <c:pt idx="4">
                  <c:v>GRULAC</c:v>
                </c:pt>
                <c:pt idx="5">
                  <c:v>WEOG</c:v>
                </c:pt>
              </c:strCache>
            </c:strRef>
          </c:cat>
          <c:val>
            <c:numRef>
              <c:f>'Article 18'!$M$10:$R$10</c:f>
              <c:numCache>
                <c:formatCode>0%</c:formatCode>
                <c:ptCount val="6"/>
                <c:pt idx="0">
                  <c:v>0.16</c:v>
                </c:pt>
                <c:pt idx="1">
                  <c:v>0.2857142857142857</c:v>
                </c:pt>
                <c:pt idx="2">
                  <c:v>0</c:v>
                </c:pt>
                <c:pt idx="3">
                  <c:v>0.1111111111111111</c:v>
                </c:pt>
                <c:pt idx="4">
                  <c:v>0.1</c:v>
                </c:pt>
                <c:pt idx="5">
                  <c:v>0.13333333333333333</c:v>
                </c:pt>
              </c:numCache>
            </c:numRef>
          </c:val>
          <c:extLst>
            <c:ext xmlns:c16="http://schemas.microsoft.com/office/drawing/2014/chart" uri="{C3380CC4-5D6E-409C-BE32-E72D297353CC}">
              <c16:uniqueId val="{00000001-1423-4E58-9D2E-1ABED57C9AE6}"/>
            </c:ext>
          </c:extLst>
        </c:ser>
        <c:ser>
          <c:idx val="2"/>
          <c:order val="2"/>
          <c:tx>
            <c:strRef>
              <c:f>'Article 18'!$L$11</c:f>
              <c:strCache>
                <c:ptCount val="1"/>
                <c:pt idx="0">
                  <c:v>N/A</c:v>
                </c:pt>
              </c:strCache>
            </c:strRef>
          </c:tx>
          <c:spPr>
            <a:solidFill>
              <a:schemeClr val="accent3">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18'!$M$8:$R$8</c:f>
              <c:strCache>
                <c:ptCount val="6"/>
                <c:pt idx="0">
                  <c:v>    Total </c:v>
                </c:pt>
                <c:pt idx="1">
                  <c:v>AFR </c:v>
                </c:pt>
                <c:pt idx="2">
                  <c:v>AP</c:v>
                </c:pt>
                <c:pt idx="3">
                  <c:v>CEE</c:v>
                </c:pt>
                <c:pt idx="4">
                  <c:v>GRULAC</c:v>
                </c:pt>
                <c:pt idx="5">
                  <c:v>WEOG</c:v>
                </c:pt>
              </c:strCache>
            </c:strRef>
          </c:cat>
          <c:val>
            <c:numRef>
              <c:f>'Article 18'!$M$11:$R$11</c:f>
              <c:numCache>
                <c:formatCode>0%</c:formatCode>
                <c:ptCount val="6"/>
                <c:pt idx="0">
                  <c:v>0.35</c:v>
                </c:pt>
                <c:pt idx="1">
                  <c:v>0.14000000000000001</c:v>
                </c:pt>
                <c:pt idx="2">
                  <c:v>0.38</c:v>
                </c:pt>
                <c:pt idx="3">
                  <c:v>0.67</c:v>
                </c:pt>
                <c:pt idx="4">
                  <c:v>0.4</c:v>
                </c:pt>
                <c:pt idx="5">
                  <c:v>0.47</c:v>
                </c:pt>
              </c:numCache>
            </c:numRef>
          </c:val>
          <c:extLst>
            <c:ext xmlns:c16="http://schemas.microsoft.com/office/drawing/2014/chart" uri="{C3380CC4-5D6E-409C-BE32-E72D297353CC}">
              <c16:uniqueId val="{00000002-1423-4E58-9D2E-1ABED57C9AE6}"/>
            </c:ext>
          </c:extLst>
        </c:ser>
        <c:dLbls>
          <c:dLblPos val="outEnd"/>
          <c:showLegendKey val="0"/>
          <c:showVal val="1"/>
          <c:showCatName val="0"/>
          <c:showSerName val="0"/>
          <c:showPercent val="0"/>
          <c:showBubbleSize val="0"/>
        </c:dLbls>
        <c:gapWidth val="219"/>
        <c:overlap val="-27"/>
        <c:axId val="249646464"/>
        <c:axId val="249312384"/>
      </c:barChart>
      <c:catAx>
        <c:axId val="24964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312384"/>
        <c:crosses val="autoZero"/>
        <c:auto val="1"/>
        <c:lblAlgn val="ctr"/>
        <c:lblOffset val="100"/>
        <c:noMultiLvlLbl val="0"/>
      </c:catAx>
      <c:valAx>
        <c:axId val="249312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64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'Article 18'!$I$24</c:f>
              <c:strCache>
                <c:ptCount val="1"/>
                <c:pt idx="0">
                  <c:v>Yes</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18'!$J$23:$O$23</c:f>
              <c:strCache>
                <c:ptCount val="6"/>
                <c:pt idx="0">
                  <c:v>    Total </c:v>
                </c:pt>
                <c:pt idx="1">
                  <c:v>AFR </c:v>
                </c:pt>
                <c:pt idx="2">
                  <c:v>AP</c:v>
                </c:pt>
                <c:pt idx="3">
                  <c:v>CEE</c:v>
                </c:pt>
                <c:pt idx="4">
                  <c:v>GRULAC</c:v>
                </c:pt>
                <c:pt idx="5">
                  <c:v>WEOG</c:v>
                </c:pt>
              </c:strCache>
            </c:strRef>
          </c:cat>
          <c:val>
            <c:numRef>
              <c:f>'Article 18'!$J$24:$O$24</c:f>
              <c:numCache>
                <c:formatCode>0%</c:formatCode>
                <c:ptCount val="6"/>
                <c:pt idx="0">
                  <c:v>0.73333333333333328</c:v>
                </c:pt>
                <c:pt idx="1">
                  <c:v>0.75</c:v>
                </c:pt>
                <c:pt idx="2">
                  <c:v>0.84615384615384615</c:v>
                </c:pt>
                <c:pt idx="3">
                  <c:v>0.77777777777777779</c:v>
                </c:pt>
                <c:pt idx="4">
                  <c:v>0.5</c:v>
                </c:pt>
                <c:pt idx="5">
                  <c:v>0.73333333333333328</c:v>
                </c:pt>
              </c:numCache>
            </c:numRef>
          </c:val>
          <c:extLst>
            <c:ext xmlns:c16="http://schemas.microsoft.com/office/drawing/2014/chart" uri="{C3380CC4-5D6E-409C-BE32-E72D297353CC}">
              <c16:uniqueId val="{00000000-7BCA-475D-85AD-E235341199FA}"/>
            </c:ext>
          </c:extLst>
        </c:ser>
        <c:ser>
          <c:idx val="1"/>
          <c:order val="1"/>
          <c:tx>
            <c:strRef>
              <c:f>'Article 18'!$I$25</c:f>
              <c:strCache>
                <c:ptCount val="1"/>
                <c:pt idx="0">
                  <c:v>No</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18'!$J$23:$O$23</c:f>
              <c:strCache>
                <c:ptCount val="6"/>
                <c:pt idx="0">
                  <c:v>    Total </c:v>
                </c:pt>
                <c:pt idx="1">
                  <c:v>AFR </c:v>
                </c:pt>
                <c:pt idx="2">
                  <c:v>AP</c:v>
                </c:pt>
                <c:pt idx="3">
                  <c:v>CEE</c:v>
                </c:pt>
                <c:pt idx="4">
                  <c:v>GRULAC</c:v>
                </c:pt>
                <c:pt idx="5">
                  <c:v>WEOG</c:v>
                </c:pt>
              </c:strCache>
            </c:strRef>
          </c:cat>
          <c:val>
            <c:numRef>
              <c:f>'Article 18'!$J$25:$O$25</c:f>
              <c:numCache>
                <c:formatCode>0%</c:formatCode>
                <c:ptCount val="6"/>
                <c:pt idx="0">
                  <c:v>0.26666666666666666</c:v>
                </c:pt>
                <c:pt idx="1">
                  <c:v>0.25</c:v>
                </c:pt>
                <c:pt idx="2">
                  <c:v>0.15384615384615385</c:v>
                </c:pt>
                <c:pt idx="3">
                  <c:v>0.22222222222222221</c:v>
                </c:pt>
                <c:pt idx="4">
                  <c:v>0.5</c:v>
                </c:pt>
                <c:pt idx="5">
                  <c:v>0.26666666666666666</c:v>
                </c:pt>
              </c:numCache>
            </c:numRef>
          </c:val>
          <c:extLst>
            <c:ext xmlns:c16="http://schemas.microsoft.com/office/drawing/2014/chart" uri="{C3380CC4-5D6E-409C-BE32-E72D297353CC}">
              <c16:uniqueId val="{00000001-7BCA-475D-85AD-E235341199FA}"/>
            </c:ext>
          </c:extLst>
        </c:ser>
        <c:dLbls>
          <c:dLblPos val="outEnd"/>
          <c:showLegendKey val="0"/>
          <c:showVal val="1"/>
          <c:showCatName val="0"/>
          <c:showSerName val="0"/>
          <c:showPercent val="0"/>
          <c:showBubbleSize val="0"/>
        </c:dLbls>
        <c:gapWidth val="219"/>
        <c:overlap val="-27"/>
        <c:axId val="249351168"/>
        <c:axId val="249352960"/>
      </c:barChart>
      <c:catAx>
        <c:axId val="24935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352960"/>
        <c:crosses val="autoZero"/>
        <c:auto val="1"/>
        <c:lblAlgn val="ctr"/>
        <c:lblOffset val="100"/>
        <c:noMultiLvlLbl val="0"/>
      </c:catAx>
      <c:valAx>
        <c:axId val="249352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351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'Article 6'!$J$43</c:f>
              <c:strCache>
                <c:ptCount val="1"/>
                <c:pt idx="0">
                  <c:v>Yes</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6'!$K$42:$P$42</c:f>
              <c:strCache>
                <c:ptCount val="5"/>
                <c:pt idx="0">
                  <c:v>AFR </c:v>
                </c:pt>
                <c:pt idx="1">
                  <c:v>AP</c:v>
                </c:pt>
                <c:pt idx="2">
                  <c:v>CEE</c:v>
                </c:pt>
                <c:pt idx="3">
                  <c:v>GRULAC</c:v>
                </c:pt>
                <c:pt idx="4">
                  <c:v>WEOG</c:v>
                </c:pt>
              </c:strCache>
            </c:strRef>
          </c:cat>
          <c:val>
            <c:numRef>
              <c:f>'Article 6'!$K$43:$P$43</c:f>
              <c:numCache>
                <c:formatCode>0%</c:formatCode>
                <c:ptCount val="5"/>
                <c:pt idx="0">
                  <c:v>0.78947368421052633</c:v>
                </c:pt>
                <c:pt idx="1">
                  <c:v>1</c:v>
                </c:pt>
                <c:pt idx="2">
                  <c:v>0.5</c:v>
                </c:pt>
                <c:pt idx="3">
                  <c:v>1</c:v>
                </c:pt>
                <c:pt idx="4">
                  <c:v>1</c:v>
                </c:pt>
              </c:numCache>
            </c:numRef>
          </c:val>
          <c:extLst>
            <c:ext xmlns:c16="http://schemas.microsoft.com/office/drawing/2014/chart" uri="{C3380CC4-5D6E-409C-BE32-E72D297353CC}">
              <c16:uniqueId val="{00000000-ABC6-4728-B856-AE983A63DCB7}"/>
            </c:ext>
          </c:extLst>
        </c:ser>
        <c:ser>
          <c:idx val="1"/>
          <c:order val="1"/>
          <c:tx>
            <c:strRef>
              <c:f>'Article 6'!$J$44</c:f>
              <c:strCache>
                <c:ptCount val="1"/>
                <c:pt idx="0">
                  <c:v>No</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6'!$K$42:$P$42</c:f>
              <c:strCache>
                <c:ptCount val="5"/>
                <c:pt idx="0">
                  <c:v>AFR </c:v>
                </c:pt>
                <c:pt idx="1">
                  <c:v>AP</c:v>
                </c:pt>
                <c:pt idx="2">
                  <c:v>CEE</c:v>
                </c:pt>
                <c:pt idx="3">
                  <c:v>GRULAC</c:v>
                </c:pt>
                <c:pt idx="4">
                  <c:v>WEOG</c:v>
                </c:pt>
              </c:strCache>
            </c:strRef>
          </c:cat>
          <c:val>
            <c:numRef>
              <c:f>'Article 6'!$K$44:$P$44</c:f>
              <c:numCache>
                <c:formatCode>0%</c:formatCode>
                <c:ptCount val="5"/>
                <c:pt idx="0">
                  <c:v>0.21052631578947367</c:v>
                </c:pt>
                <c:pt idx="1">
                  <c:v>0</c:v>
                </c:pt>
                <c:pt idx="2">
                  <c:v>0.5</c:v>
                </c:pt>
                <c:pt idx="3">
                  <c:v>0</c:v>
                </c:pt>
                <c:pt idx="4">
                  <c:v>0</c:v>
                </c:pt>
              </c:numCache>
            </c:numRef>
          </c:val>
          <c:extLst>
            <c:ext xmlns:c16="http://schemas.microsoft.com/office/drawing/2014/chart" uri="{C3380CC4-5D6E-409C-BE32-E72D297353CC}">
              <c16:uniqueId val="{00000001-ABC6-4728-B856-AE983A63DCB7}"/>
            </c:ext>
          </c:extLst>
        </c:ser>
        <c:dLbls>
          <c:dLblPos val="outEnd"/>
          <c:showLegendKey val="0"/>
          <c:showVal val="1"/>
          <c:showCatName val="0"/>
          <c:showSerName val="0"/>
          <c:showPercent val="0"/>
          <c:showBubbleSize val="0"/>
        </c:dLbls>
        <c:gapWidth val="219"/>
        <c:overlap val="-27"/>
        <c:axId val="226722944"/>
        <c:axId val="226724480"/>
      </c:barChart>
      <c:catAx>
        <c:axId val="22672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724480"/>
        <c:crosses val="autoZero"/>
        <c:auto val="1"/>
        <c:lblAlgn val="ctr"/>
        <c:lblOffset val="100"/>
        <c:noMultiLvlLbl val="0"/>
      </c:catAx>
      <c:valAx>
        <c:axId val="226724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72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'Article 18'!$I$39</c:f>
              <c:strCache>
                <c:ptCount val="1"/>
                <c:pt idx="0">
                  <c:v>Yes</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18'!$J$38:$O$38</c:f>
              <c:strCache>
                <c:ptCount val="6"/>
                <c:pt idx="0">
                  <c:v>    Total </c:v>
                </c:pt>
                <c:pt idx="1">
                  <c:v>AFR </c:v>
                </c:pt>
                <c:pt idx="2">
                  <c:v>AP</c:v>
                </c:pt>
                <c:pt idx="3">
                  <c:v>CEE</c:v>
                </c:pt>
                <c:pt idx="4">
                  <c:v>GRULAC</c:v>
                </c:pt>
                <c:pt idx="5">
                  <c:v>WEOG</c:v>
                </c:pt>
              </c:strCache>
            </c:strRef>
          </c:cat>
          <c:val>
            <c:numRef>
              <c:f>'Article 18'!$J$39:$O$39</c:f>
              <c:numCache>
                <c:formatCode>0%</c:formatCode>
                <c:ptCount val="6"/>
                <c:pt idx="0">
                  <c:v>0.66666666666666663</c:v>
                </c:pt>
                <c:pt idx="1">
                  <c:v>0.6428571428571429</c:v>
                </c:pt>
                <c:pt idx="2">
                  <c:v>0.76923076923076927</c:v>
                </c:pt>
                <c:pt idx="3">
                  <c:v>0.77777777777777779</c:v>
                </c:pt>
                <c:pt idx="4">
                  <c:v>0.2</c:v>
                </c:pt>
                <c:pt idx="5">
                  <c:v>0.8666666666666667</c:v>
                </c:pt>
              </c:numCache>
            </c:numRef>
          </c:val>
          <c:extLst>
            <c:ext xmlns:c16="http://schemas.microsoft.com/office/drawing/2014/chart" uri="{C3380CC4-5D6E-409C-BE32-E72D297353CC}">
              <c16:uniqueId val="{00000000-116C-4AE8-AF19-4B520059323B}"/>
            </c:ext>
          </c:extLst>
        </c:ser>
        <c:ser>
          <c:idx val="1"/>
          <c:order val="1"/>
          <c:tx>
            <c:strRef>
              <c:f>'Article 18'!$I$40</c:f>
              <c:strCache>
                <c:ptCount val="1"/>
                <c:pt idx="0">
                  <c:v>No</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18'!$J$38:$O$38</c:f>
              <c:strCache>
                <c:ptCount val="6"/>
                <c:pt idx="0">
                  <c:v>    Total </c:v>
                </c:pt>
                <c:pt idx="1">
                  <c:v>AFR </c:v>
                </c:pt>
                <c:pt idx="2">
                  <c:v>AP</c:v>
                </c:pt>
                <c:pt idx="3">
                  <c:v>CEE</c:v>
                </c:pt>
                <c:pt idx="4">
                  <c:v>GRULAC</c:v>
                </c:pt>
                <c:pt idx="5">
                  <c:v>WEOG</c:v>
                </c:pt>
              </c:strCache>
            </c:strRef>
          </c:cat>
          <c:val>
            <c:numRef>
              <c:f>'Article 18'!$J$40:$O$40</c:f>
              <c:numCache>
                <c:formatCode>0%</c:formatCode>
                <c:ptCount val="6"/>
                <c:pt idx="0">
                  <c:v>0.33333333333333331</c:v>
                </c:pt>
                <c:pt idx="1">
                  <c:v>0.35714285714285715</c:v>
                </c:pt>
                <c:pt idx="2">
                  <c:v>0.23076923076923078</c:v>
                </c:pt>
                <c:pt idx="3">
                  <c:v>0.22222222222222221</c:v>
                </c:pt>
                <c:pt idx="4">
                  <c:v>0.8</c:v>
                </c:pt>
                <c:pt idx="5">
                  <c:v>0.13333333333333333</c:v>
                </c:pt>
              </c:numCache>
            </c:numRef>
          </c:val>
          <c:extLst>
            <c:ext xmlns:c16="http://schemas.microsoft.com/office/drawing/2014/chart" uri="{C3380CC4-5D6E-409C-BE32-E72D297353CC}">
              <c16:uniqueId val="{00000001-116C-4AE8-AF19-4B520059323B}"/>
            </c:ext>
          </c:extLst>
        </c:ser>
        <c:dLbls>
          <c:dLblPos val="outEnd"/>
          <c:showLegendKey val="0"/>
          <c:showVal val="1"/>
          <c:showCatName val="0"/>
          <c:showSerName val="0"/>
          <c:showPercent val="0"/>
          <c:showBubbleSize val="0"/>
        </c:dLbls>
        <c:gapWidth val="219"/>
        <c:overlap val="-27"/>
        <c:axId val="249543296"/>
        <c:axId val="249549184"/>
      </c:barChart>
      <c:catAx>
        <c:axId val="24954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549184"/>
        <c:crosses val="autoZero"/>
        <c:auto val="1"/>
        <c:lblAlgn val="ctr"/>
        <c:lblOffset val="100"/>
        <c:noMultiLvlLbl val="0"/>
      </c:catAx>
      <c:valAx>
        <c:axId val="249549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543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'Article 18'!$I$56</c:f>
              <c:strCache>
                <c:ptCount val="1"/>
                <c:pt idx="0">
                  <c:v>Yes</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18'!$J$55:$O$55</c:f>
              <c:strCache>
                <c:ptCount val="6"/>
                <c:pt idx="0">
                  <c:v>    Total </c:v>
                </c:pt>
                <c:pt idx="1">
                  <c:v>AFR </c:v>
                </c:pt>
                <c:pt idx="2">
                  <c:v>AP</c:v>
                </c:pt>
                <c:pt idx="3">
                  <c:v>CEE</c:v>
                </c:pt>
                <c:pt idx="4">
                  <c:v>GRULAC</c:v>
                </c:pt>
                <c:pt idx="5">
                  <c:v>WEOG</c:v>
                </c:pt>
              </c:strCache>
            </c:strRef>
          </c:cat>
          <c:val>
            <c:numRef>
              <c:f>'Article 18'!$J$56:$O$56</c:f>
              <c:numCache>
                <c:formatCode>0%</c:formatCode>
                <c:ptCount val="6"/>
                <c:pt idx="0">
                  <c:v>0.58571428571428574</c:v>
                </c:pt>
                <c:pt idx="1">
                  <c:v>0.56521739130434778</c:v>
                </c:pt>
                <c:pt idx="2">
                  <c:v>0.53846153846153844</c:v>
                </c:pt>
                <c:pt idx="3">
                  <c:v>0.77777777777777779</c:v>
                </c:pt>
                <c:pt idx="4">
                  <c:v>0.4</c:v>
                </c:pt>
                <c:pt idx="5">
                  <c:v>0.66666666666666663</c:v>
                </c:pt>
              </c:numCache>
            </c:numRef>
          </c:val>
          <c:extLst>
            <c:ext xmlns:c16="http://schemas.microsoft.com/office/drawing/2014/chart" uri="{C3380CC4-5D6E-409C-BE32-E72D297353CC}">
              <c16:uniqueId val="{00000000-9A34-4549-9D93-3D0CB3AFC564}"/>
            </c:ext>
          </c:extLst>
        </c:ser>
        <c:ser>
          <c:idx val="1"/>
          <c:order val="1"/>
          <c:tx>
            <c:strRef>
              <c:f>'Article 18'!$I$57</c:f>
              <c:strCache>
                <c:ptCount val="1"/>
                <c:pt idx="0">
                  <c:v>No</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18'!$J$55:$O$55</c:f>
              <c:strCache>
                <c:ptCount val="6"/>
                <c:pt idx="0">
                  <c:v>    Total </c:v>
                </c:pt>
                <c:pt idx="1">
                  <c:v>AFR </c:v>
                </c:pt>
                <c:pt idx="2">
                  <c:v>AP</c:v>
                </c:pt>
                <c:pt idx="3">
                  <c:v>CEE</c:v>
                </c:pt>
                <c:pt idx="4">
                  <c:v>GRULAC</c:v>
                </c:pt>
                <c:pt idx="5">
                  <c:v>WEOG</c:v>
                </c:pt>
              </c:strCache>
            </c:strRef>
          </c:cat>
          <c:val>
            <c:numRef>
              <c:f>'Article 18'!$J$57:$O$57</c:f>
              <c:numCache>
                <c:formatCode>0%</c:formatCode>
                <c:ptCount val="6"/>
                <c:pt idx="0">
                  <c:v>0.41428571428571431</c:v>
                </c:pt>
                <c:pt idx="1">
                  <c:v>0.43478260869565216</c:v>
                </c:pt>
                <c:pt idx="2">
                  <c:v>0.46153846153846156</c:v>
                </c:pt>
                <c:pt idx="3">
                  <c:v>0.22222222222222221</c:v>
                </c:pt>
                <c:pt idx="4">
                  <c:v>0.6</c:v>
                </c:pt>
                <c:pt idx="5">
                  <c:v>0.33333333333333331</c:v>
                </c:pt>
              </c:numCache>
            </c:numRef>
          </c:val>
          <c:extLst>
            <c:ext xmlns:c16="http://schemas.microsoft.com/office/drawing/2014/chart" uri="{C3380CC4-5D6E-409C-BE32-E72D297353CC}">
              <c16:uniqueId val="{00000001-9A34-4549-9D93-3D0CB3AFC564}"/>
            </c:ext>
          </c:extLst>
        </c:ser>
        <c:dLbls>
          <c:dLblPos val="outEnd"/>
          <c:showLegendKey val="0"/>
          <c:showVal val="1"/>
          <c:showCatName val="0"/>
          <c:showSerName val="0"/>
          <c:showPercent val="0"/>
          <c:showBubbleSize val="0"/>
        </c:dLbls>
        <c:gapWidth val="219"/>
        <c:overlap val="-27"/>
        <c:axId val="249620736"/>
        <c:axId val="249696256"/>
      </c:barChart>
      <c:catAx>
        <c:axId val="24962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696256"/>
        <c:crosses val="autoZero"/>
        <c:auto val="1"/>
        <c:lblAlgn val="ctr"/>
        <c:lblOffset val="100"/>
        <c:noMultiLvlLbl val="0"/>
      </c:catAx>
      <c:valAx>
        <c:axId val="249696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620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Sheet2!$K$9</c:f>
              <c:strCache>
                <c:ptCount val="1"/>
                <c:pt idx="0">
                  <c:v>Yes</c:v>
                </c:pt>
              </c:strCache>
            </c:strRef>
          </c:tx>
          <c:spPr>
            <a:solidFill>
              <a:schemeClr val="accent3">
                <a:shade val="76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Sheet2!$L$8:$Q$8</c:f>
              <c:strCache>
                <c:ptCount val="6"/>
                <c:pt idx="0">
                  <c:v>    Total </c:v>
                </c:pt>
                <c:pt idx="1">
                  <c:v>AFR </c:v>
                </c:pt>
                <c:pt idx="2">
                  <c:v>AP</c:v>
                </c:pt>
                <c:pt idx="3">
                  <c:v>CEE</c:v>
                </c:pt>
                <c:pt idx="4">
                  <c:v>GRULAC</c:v>
                </c:pt>
                <c:pt idx="5">
                  <c:v>WEOG</c:v>
                </c:pt>
              </c:strCache>
            </c:strRef>
          </c:cat>
          <c:val>
            <c:numRef>
              <c:f>Sheet2!$L$9:$Q$9</c:f>
              <c:numCache>
                <c:formatCode>0%</c:formatCode>
                <c:ptCount val="6"/>
                <c:pt idx="0">
                  <c:v>0.66666666666666663</c:v>
                </c:pt>
                <c:pt idx="1">
                  <c:v>0.6785714285714286</c:v>
                </c:pt>
                <c:pt idx="2">
                  <c:v>0.84615384615384615</c:v>
                </c:pt>
                <c:pt idx="3">
                  <c:v>0.44444444444444442</c:v>
                </c:pt>
                <c:pt idx="4">
                  <c:v>0.7</c:v>
                </c:pt>
                <c:pt idx="5">
                  <c:v>0.6</c:v>
                </c:pt>
              </c:numCache>
            </c:numRef>
          </c:val>
          <c:extLst>
            <c:ext xmlns:c16="http://schemas.microsoft.com/office/drawing/2014/chart" uri="{C3380CC4-5D6E-409C-BE32-E72D297353CC}">
              <c16:uniqueId val="{00000000-F513-4F36-81B9-5F93DAA4BBE7}"/>
            </c:ext>
          </c:extLst>
        </c:ser>
        <c:ser>
          <c:idx val="1"/>
          <c:order val="1"/>
          <c:tx>
            <c:strRef>
              <c:f>Sheet2!$K$10</c:f>
              <c:strCache>
                <c:ptCount val="1"/>
                <c:pt idx="0">
                  <c:v>No</c:v>
                </c:pt>
              </c:strCache>
            </c:strRef>
          </c:tx>
          <c:spPr>
            <a:solidFill>
              <a:schemeClr val="accent3">
                <a:tint val="77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Sheet2!$L$8:$Q$8</c:f>
              <c:strCache>
                <c:ptCount val="6"/>
                <c:pt idx="0">
                  <c:v>    Total </c:v>
                </c:pt>
                <c:pt idx="1">
                  <c:v>AFR </c:v>
                </c:pt>
                <c:pt idx="2">
                  <c:v>AP</c:v>
                </c:pt>
                <c:pt idx="3">
                  <c:v>CEE</c:v>
                </c:pt>
                <c:pt idx="4">
                  <c:v>GRULAC</c:v>
                </c:pt>
                <c:pt idx="5">
                  <c:v>WEOG</c:v>
                </c:pt>
              </c:strCache>
            </c:strRef>
          </c:cat>
          <c:val>
            <c:numRef>
              <c:f>Sheet2!$L$10:$Q$10</c:f>
              <c:numCache>
                <c:formatCode>0%</c:formatCode>
                <c:ptCount val="6"/>
                <c:pt idx="0">
                  <c:v>0.33333333333333331</c:v>
                </c:pt>
                <c:pt idx="1">
                  <c:v>0.32142857142857145</c:v>
                </c:pt>
                <c:pt idx="2">
                  <c:v>0.15384615384615385</c:v>
                </c:pt>
                <c:pt idx="3">
                  <c:v>0.55555555555555558</c:v>
                </c:pt>
                <c:pt idx="4">
                  <c:v>0.3</c:v>
                </c:pt>
                <c:pt idx="5">
                  <c:v>0.4</c:v>
                </c:pt>
              </c:numCache>
            </c:numRef>
          </c:val>
          <c:extLst>
            <c:ext xmlns:c16="http://schemas.microsoft.com/office/drawing/2014/chart" uri="{C3380CC4-5D6E-409C-BE32-E72D297353CC}">
              <c16:uniqueId val="{00000001-F513-4F36-81B9-5F93DAA4BBE7}"/>
            </c:ext>
          </c:extLst>
        </c:ser>
        <c:dLbls>
          <c:dLblPos val="outEnd"/>
          <c:showLegendKey val="0"/>
          <c:showVal val="1"/>
          <c:showCatName val="0"/>
          <c:showSerName val="0"/>
          <c:showPercent val="0"/>
          <c:showBubbleSize val="0"/>
        </c:dLbls>
        <c:gapWidth val="219"/>
        <c:overlap val="-27"/>
        <c:axId val="249726848"/>
        <c:axId val="249728384"/>
      </c:barChart>
      <c:catAx>
        <c:axId val="24972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728384"/>
        <c:crosses val="autoZero"/>
        <c:auto val="1"/>
        <c:lblAlgn val="ctr"/>
        <c:lblOffset val="100"/>
        <c:noMultiLvlLbl val="0"/>
      </c:catAx>
      <c:valAx>
        <c:axId val="249728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726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Sheet2!$K$30</c:f>
              <c:strCache>
                <c:ptCount val="1"/>
                <c:pt idx="0">
                  <c:v>Yes</c:v>
                </c:pt>
              </c:strCache>
            </c:strRef>
          </c:tx>
          <c:spPr>
            <a:solidFill>
              <a:schemeClr val="accent3">
                <a:shade val="76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Sheet2!$L$29:$Q$29</c:f>
              <c:strCache>
                <c:ptCount val="6"/>
                <c:pt idx="0">
                  <c:v>    Total </c:v>
                </c:pt>
                <c:pt idx="1">
                  <c:v>AFR </c:v>
                </c:pt>
                <c:pt idx="2">
                  <c:v>AP</c:v>
                </c:pt>
                <c:pt idx="3">
                  <c:v>CEE</c:v>
                </c:pt>
                <c:pt idx="4">
                  <c:v>GRULAC</c:v>
                </c:pt>
                <c:pt idx="5">
                  <c:v>WEOG</c:v>
                </c:pt>
              </c:strCache>
            </c:strRef>
          </c:cat>
          <c:val>
            <c:numRef>
              <c:f>Sheet2!$L$30:$Q$30</c:f>
              <c:numCache>
                <c:formatCode>0%</c:formatCode>
                <c:ptCount val="6"/>
                <c:pt idx="0">
                  <c:v>0.56000000000000005</c:v>
                </c:pt>
                <c:pt idx="1">
                  <c:v>0.35714285714285715</c:v>
                </c:pt>
                <c:pt idx="2">
                  <c:v>0.84615384615384615</c:v>
                </c:pt>
                <c:pt idx="3">
                  <c:v>0.55555555555555558</c:v>
                </c:pt>
                <c:pt idx="4">
                  <c:v>0.2</c:v>
                </c:pt>
                <c:pt idx="5">
                  <c:v>0.93333333333333335</c:v>
                </c:pt>
              </c:numCache>
            </c:numRef>
          </c:val>
          <c:extLst>
            <c:ext xmlns:c16="http://schemas.microsoft.com/office/drawing/2014/chart" uri="{C3380CC4-5D6E-409C-BE32-E72D297353CC}">
              <c16:uniqueId val="{00000000-04A8-43A7-A616-5919D2C9FF70}"/>
            </c:ext>
          </c:extLst>
        </c:ser>
        <c:ser>
          <c:idx val="1"/>
          <c:order val="1"/>
          <c:tx>
            <c:strRef>
              <c:f>Sheet2!$K$31</c:f>
              <c:strCache>
                <c:ptCount val="1"/>
                <c:pt idx="0">
                  <c:v>No</c:v>
                </c:pt>
              </c:strCache>
            </c:strRef>
          </c:tx>
          <c:spPr>
            <a:solidFill>
              <a:schemeClr val="accent3">
                <a:tint val="77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Sheet2!$L$29:$Q$29</c:f>
              <c:strCache>
                <c:ptCount val="6"/>
                <c:pt idx="0">
                  <c:v>    Total </c:v>
                </c:pt>
                <c:pt idx="1">
                  <c:v>AFR </c:v>
                </c:pt>
                <c:pt idx="2">
                  <c:v>AP</c:v>
                </c:pt>
                <c:pt idx="3">
                  <c:v>CEE</c:v>
                </c:pt>
                <c:pt idx="4">
                  <c:v>GRULAC</c:v>
                </c:pt>
                <c:pt idx="5">
                  <c:v>WEOG</c:v>
                </c:pt>
              </c:strCache>
            </c:strRef>
          </c:cat>
          <c:val>
            <c:numRef>
              <c:f>Sheet2!$L$31:$Q$31</c:f>
              <c:numCache>
                <c:formatCode>0%</c:formatCode>
                <c:ptCount val="6"/>
                <c:pt idx="0">
                  <c:v>0.44</c:v>
                </c:pt>
                <c:pt idx="1">
                  <c:v>0.6428571428571429</c:v>
                </c:pt>
                <c:pt idx="2">
                  <c:v>0.15384615384615385</c:v>
                </c:pt>
                <c:pt idx="3">
                  <c:v>0.44444444444444442</c:v>
                </c:pt>
                <c:pt idx="4">
                  <c:v>0.8</c:v>
                </c:pt>
                <c:pt idx="5">
                  <c:v>6.6666666666666666E-2</c:v>
                </c:pt>
              </c:numCache>
            </c:numRef>
          </c:val>
          <c:extLst>
            <c:ext xmlns:c16="http://schemas.microsoft.com/office/drawing/2014/chart" uri="{C3380CC4-5D6E-409C-BE32-E72D297353CC}">
              <c16:uniqueId val="{00000001-04A8-43A7-A616-5919D2C9FF70}"/>
            </c:ext>
          </c:extLst>
        </c:ser>
        <c:dLbls>
          <c:dLblPos val="outEnd"/>
          <c:showLegendKey val="0"/>
          <c:showVal val="1"/>
          <c:showCatName val="0"/>
          <c:showSerName val="0"/>
          <c:showPercent val="0"/>
          <c:showBubbleSize val="0"/>
        </c:dLbls>
        <c:gapWidth val="219"/>
        <c:overlap val="-27"/>
        <c:axId val="251147776"/>
        <c:axId val="251149312"/>
      </c:barChart>
      <c:catAx>
        <c:axId val="25114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149312"/>
        <c:crosses val="autoZero"/>
        <c:auto val="1"/>
        <c:lblAlgn val="ctr"/>
        <c:lblOffset val="100"/>
        <c:noMultiLvlLbl val="0"/>
      </c:catAx>
      <c:valAx>
        <c:axId val="251149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14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Sheet2!$K$48</c:f>
              <c:strCache>
                <c:ptCount val="1"/>
                <c:pt idx="0">
                  <c:v>Yes</c:v>
                </c:pt>
              </c:strCache>
            </c:strRef>
          </c:tx>
          <c:spPr>
            <a:solidFill>
              <a:schemeClr val="accent3">
                <a:shade val="76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Sheet2!$L$47:$Q$47</c:f>
              <c:strCache>
                <c:ptCount val="6"/>
                <c:pt idx="0">
                  <c:v>    Total </c:v>
                </c:pt>
                <c:pt idx="1">
                  <c:v>AFR </c:v>
                </c:pt>
                <c:pt idx="2">
                  <c:v>AP</c:v>
                </c:pt>
                <c:pt idx="3">
                  <c:v>CEE</c:v>
                </c:pt>
                <c:pt idx="4">
                  <c:v>GRULAC</c:v>
                </c:pt>
                <c:pt idx="5">
                  <c:v>WEOG</c:v>
                </c:pt>
              </c:strCache>
            </c:strRef>
          </c:cat>
          <c:val>
            <c:numRef>
              <c:f>Sheet2!$L$48:$Q$48</c:f>
              <c:numCache>
                <c:formatCode>0%</c:formatCode>
                <c:ptCount val="6"/>
                <c:pt idx="0">
                  <c:v>0.36</c:v>
                </c:pt>
                <c:pt idx="1">
                  <c:v>0.32142857142857145</c:v>
                </c:pt>
                <c:pt idx="2">
                  <c:v>0.46153846153846156</c:v>
                </c:pt>
                <c:pt idx="3">
                  <c:v>0.1111111111111111</c:v>
                </c:pt>
                <c:pt idx="4">
                  <c:v>0.3</c:v>
                </c:pt>
                <c:pt idx="5">
                  <c:v>0.53333333333333333</c:v>
                </c:pt>
              </c:numCache>
            </c:numRef>
          </c:val>
          <c:extLst>
            <c:ext xmlns:c16="http://schemas.microsoft.com/office/drawing/2014/chart" uri="{C3380CC4-5D6E-409C-BE32-E72D297353CC}">
              <c16:uniqueId val="{00000000-508B-45FA-8A49-EFA46005FD8C}"/>
            </c:ext>
          </c:extLst>
        </c:ser>
        <c:ser>
          <c:idx val="1"/>
          <c:order val="1"/>
          <c:tx>
            <c:strRef>
              <c:f>Sheet2!$K$49</c:f>
              <c:strCache>
                <c:ptCount val="1"/>
                <c:pt idx="0">
                  <c:v>No</c:v>
                </c:pt>
              </c:strCache>
            </c:strRef>
          </c:tx>
          <c:spPr>
            <a:solidFill>
              <a:schemeClr val="accent3">
                <a:tint val="77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Sheet2!$L$47:$Q$47</c:f>
              <c:strCache>
                <c:ptCount val="6"/>
                <c:pt idx="0">
                  <c:v>    Total </c:v>
                </c:pt>
                <c:pt idx="1">
                  <c:v>AFR </c:v>
                </c:pt>
                <c:pt idx="2">
                  <c:v>AP</c:v>
                </c:pt>
                <c:pt idx="3">
                  <c:v>CEE</c:v>
                </c:pt>
                <c:pt idx="4">
                  <c:v>GRULAC</c:v>
                </c:pt>
                <c:pt idx="5">
                  <c:v>WEOG</c:v>
                </c:pt>
              </c:strCache>
            </c:strRef>
          </c:cat>
          <c:val>
            <c:numRef>
              <c:f>Sheet2!$L$49:$Q$49</c:f>
              <c:numCache>
                <c:formatCode>0%</c:formatCode>
                <c:ptCount val="6"/>
                <c:pt idx="0">
                  <c:v>0.64</c:v>
                </c:pt>
                <c:pt idx="1">
                  <c:v>0.6785714285714286</c:v>
                </c:pt>
                <c:pt idx="2">
                  <c:v>0.53846153846153844</c:v>
                </c:pt>
                <c:pt idx="3">
                  <c:v>0.88888888888888884</c:v>
                </c:pt>
                <c:pt idx="4">
                  <c:v>0.7</c:v>
                </c:pt>
                <c:pt idx="5">
                  <c:v>0.46666666666666667</c:v>
                </c:pt>
              </c:numCache>
            </c:numRef>
          </c:val>
          <c:extLst>
            <c:ext xmlns:c16="http://schemas.microsoft.com/office/drawing/2014/chart" uri="{C3380CC4-5D6E-409C-BE32-E72D297353CC}">
              <c16:uniqueId val="{00000001-508B-45FA-8A49-EFA46005FD8C}"/>
            </c:ext>
          </c:extLst>
        </c:ser>
        <c:dLbls>
          <c:dLblPos val="outEnd"/>
          <c:showLegendKey val="0"/>
          <c:showVal val="1"/>
          <c:showCatName val="0"/>
          <c:showSerName val="0"/>
          <c:showPercent val="0"/>
          <c:showBubbleSize val="0"/>
        </c:dLbls>
        <c:gapWidth val="219"/>
        <c:overlap val="-27"/>
        <c:axId val="250807808"/>
        <c:axId val="250808960"/>
      </c:barChart>
      <c:catAx>
        <c:axId val="25080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808960"/>
        <c:crosses val="autoZero"/>
        <c:auto val="1"/>
        <c:lblAlgn val="ctr"/>
        <c:lblOffset val="100"/>
        <c:noMultiLvlLbl val="0"/>
      </c:catAx>
      <c:valAx>
        <c:axId val="250808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807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Sheet2!$K$68</c:f>
              <c:strCache>
                <c:ptCount val="1"/>
                <c:pt idx="0">
                  <c:v>Yes</c:v>
                </c:pt>
              </c:strCache>
            </c:strRef>
          </c:tx>
          <c:spPr>
            <a:solidFill>
              <a:schemeClr val="accent3">
                <a:shade val="76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Sheet2!$L$67:$Q$67</c:f>
              <c:strCache>
                <c:ptCount val="6"/>
                <c:pt idx="0">
                  <c:v>    Total </c:v>
                </c:pt>
                <c:pt idx="1">
                  <c:v>AFR </c:v>
                </c:pt>
                <c:pt idx="2">
                  <c:v>AP</c:v>
                </c:pt>
                <c:pt idx="3">
                  <c:v>CEE</c:v>
                </c:pt>
                <c:pt idx="4">
                  <c:v>GRULAC</c:v>
                </c:pt>
                <c:pt idx="5">
                  <c:v>WEOG</c:v>
                </c:pt>
              </c:strCache>
            </c:strRef>
          </c:cat>
          <c:val>
            <c:numRef>
              <c:f>Sheet2!$L$68:$Q$68</c:f>
              <c:numCache>
                <c:formatCode>0%</c:formatCode>
                <c:ptCount val="6"/>
                <c:pt idx="0">
                  <c:v>0.68</c:v>
                </c:pt>
                <c:pt idx="1">
                  <c:v>0.6071428571428571</c:v>
                </c:pt>
                <c:pt idx="2">
                  <c:v>0.69230769230769229</c:v>
                </c:pt>
                <c:pt idx="3">
                  <c:v>0.66666666666666663</c:v>
                </c:pt>
                <c:pt idx="4">
                  <c:v>0.5</c:v>
                </c:pt>
                <c:pt idx="5">
                  <c:v>0.93333333333333335</c:v>
                </c:pt>
              </c:numCache>
            </c:numRef>
          </c:val>
          <c:extLst>
            <c:ext xmlns:c16="http://schemas.microsoft.com/office/drawing/2014/chart" uri="{C3380CC4-5D6E-409C-BE32-E72D297353CC}">
              <c16:uniqueId val="{00000000-0000-4240-A8A2-ABDFBDAD9ADF}"/>
            </c:ext>
          </c:extLst>
        </c:ser>
        <c:ser>
          <c:idx val="1"/>
          <c:order val="1"/>
          <c:tx>
            <c:strRef>
              <c:f>Sheet2!$K$69</c:f>
              <c:strCache>
                <c:ptCount val="1"/>
                <c:pt idx="0">
                  <c:v>No</c:v>
                </c:pt>
              </c:strCache>
            </c:strRef>
          </c:tx>
          <c:spPr>
            <a:solidFill>
              <a:schemeClr val="accent3">
                <a:tint val="77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Sheet2!$L$67:$Q$67</c:f>
              <c:strCache>
                <c:ptCount val="6"/>
                <c:pt idx="0">
                  <c:v>    Total </c:v>
                </c:pt>
                <c:pt idx="1">
                  <c:v>AFR </c:v>
                </c:pt>
                <c:pt idx="2">
                  <c:v>AP</c:v>
                </c:pt>
                <c:pt idx="3">
                  <c:v>CEE</c:v>
                </c:pt>
                <c:pt idx="4">
                  <c:v>GRULAC</c:v>
                </c:pt>
                <c:pt idx="5">
                  <c:v>WEOG</c:v>
                </c:pt>
              </c:strCache>
            </c:strRef>
          </c:cat>
          <c:val>
            <c:numRef>
              <c:f>Sheet2!$L$69:$Q$69</c:f>
              <c:numCache>
                <c:formatCode>0%</c:formatCode>
                <c:ptCount val="6"/>
                <c:pt idx="0">
                  <c:v>0.32</c:v>
                </c:pt>
                <c:pt idx="1">
                  <c:v>0.39285714285714285</c:v>
                </c:pt>
                <c:pt idx="2">
                  <c:v>0.30769230769230771</c:v>
                </c:pt>
                <c:pt idx="3">
                  <c:v>0.33333333333333331</c:v>
                </c:pt>
                <c:pt idx="4">
                  <c:v>0.5</c:v>
                </c:pt>
                <c:pt idx="5">
                  <c:v>6.6666666666666666E-2</c:v>
                </c:pt>
              </c:numCache>
            </c:numRef>
          </c:val>
          <c:extLst>
            <c:ext xmlns:c16="http://schemas.microsoft.com/office/drawing/2014/chart" uri="{C3380CC4-5D6E-409C-BE32-E72D297353CC}">
              <c16:uniqueId val="{00000001-0000-4240-A8A2-ABDFBDAD9ADF}"/>
            </c:ext>
          </c:extLst>
        </c:ser>
        <c:dLbls>
          <c:dLblPos val="outEnd"/>
          <c:showLegendKey val="0"/>
          <c:showVal val="1"/>
          <c:showCatName val="0"/>
          <c:showSerName val="0"/>
          <c:showPercent val="0"/>
          <c:showBubbleSize val="0"/>
        </c:dLbls>
        <c:gapWidth val="219"/>
        <c:overlap val="-27"/>
        <c:axId val="250868480"/>
        <c:axId val="250870016"/>
      </c:barChart>
      <c:catAx>
        <c:axId val="25086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870016"/>
        <c:crosses val="autoZero"/>
        <c:auto val="1"/>
        <c:lblAlgn val="ctr"/>
        <c:lblOffset val="100"/>
        <c:noMultiLvlLbl val="0"/>
      </c:catAx>
      <c:valAx>
        <c:axId val="250870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868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Sheet2!$K$89</c:f>
              <c:strCache>
                <c:ptCount val="1"/>
                <c:pt idx="0">
                  <c:v>Yes</c:v>
                </c:pt>
              </c:strCache>
            </c:strRef>
          </c:tx>
          <c:spPr>
            <a:solidFill>
              <a:schemeClr val="accent3">
                <a:shade val="76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Sheet2!$L$88:$Q$88</c:f>
              <c:strCache>
                <c:ptCount val="6"/>
                <c:pt idx="0">
                  <c:v>    Total </c:v>
                </c:pt>
                <c:pt idx="1">
                  <c:v>AFR </c:v>
                </c:pt>
                <c:pt idx="2">
                  <c:v>AP</c:v>
                </c:pt>
                <c:pt idx="3">
                  <c:v>CEE</c:v>
                </c:pt>
                <c:pt idx="4">
                  <c:v>GRULAC</c:v>
                </c:pt>
                <c:pt idx="5">
                  <c:v>WEOG</c:v>
                </c:pt>
              </c:strCache>
            </c:strRef>
          </c:cat>
          <c:val>
            <c:numRef>
              <c:f>Sheet2!$L$89:$Q$89</c:f>
              <c:numCache>
                <c:formatCode>0%</c:formatCode>
                <c:ptCount val="6"/>
                <c:pt idx="0">
                  <c:v>0.65333333333333332</c:v>
                </c:pt>
                <c:pt idx="1">
                  <c:v>0.9285714285714286</c:v>
                </c:pt>
                <c:pt idx="2">
                  <c:v>0.76923076923076927</c:v>
                </c:pt>
                <c:pt idx="3">
                  <c:v>0</c:v>
                </c:pt>
                <c:pt idx="4">
                  <c:v>0.9</c:v>
                </c:pt>
                <c:pt idx="5">
                  <c:v>0.26666666666666666</c:v>
                </c:pt>
              </c:numCache>
            </c:numRef>
          </c:val>
          <c:extLst>
            <c:ext xmlns:c16="http://schemas.microsoft.com/office/drawing/2014/chart" uri="{C3380CC4-5D6E-409C-BE32-E72D297353CC}">
              <c16:uniqueId val="{00000000-A19B-4174-B36C-F04489FB7F3B}"/>
            </c:ext>
          </c:extLst>
        </c:ser>
        <c:ser>
          <c:idx val="1"/>
          <c:order val="1"/>
          <c:tx>
            <c:strRef>
              <c:f>Sheet2!$K$90</c:f>
              <c:strCache>
                <c:ptCount val="1"/>
                <c:pt idx="0">
                  <c:v>No</c:v>
                </c:pt>
              </c:strCache>
            </c:strRef>
          </c:tx>
          <c:spPr>
            <a:solidFill>
              <a:schemeClr val="accent3">
                <a:tint val="77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Sheet2!$L$88:$Q$88</c:f>
              <c:strCache>
                <c:ptCount val="6"/>
                <c:pt idx="0">
                  <c:v>    Total </c:v>
                </c:pt>
                <c:pt idx="1">
                  <c:v>AFR </c:v>
                </c:pt>
                <c:pt idx="2">
                  <c:v>AP</c:v>
                </c:pt>
                <c:pt idx="3">
                  <c:v>CEE</c:v>
                </c:pt>
                <c:pt idx="4">
                  <c:v>GRULAC</c:v>
                </c:pt>
                <c:pt idx="5">
                  <c:v>WEOG</c:v>
                </c:pt>
              </c:strCache>
            </c:strRef>
          </c:cat>
          <c:val>
            <c:numRef>
              <c:f>Sheet2!$L$90:$Q$90</c:f>
              <c:numCache>
                <c:formatCode>0%</c:formatCode>
                <c:ptCount val="6"/>
                <c:pt idx="0">
                  <c:v>0.34666666666666668</c:v>
                </c:pt>
                <c:pt idx="1">
                  <c:v>7.1428571428571425E-2</c:v>
                </c:pt>
                <c:pt idx="2">
                  <c:v>0.23076923076923078</c:v>
                </c:pt>
                <c:pt idx="3">
                  <c:v>1</c:v>
                </c:pt>
                <c:pt idx="4">
                  <c:v>0.1</c:v>
                </c:pt>
                <c:pt idx="5">
                  <c:v>0.73333333333333328</c:v>
                </c:pt>
              </c:numCache>
            </c:numRef>
          </c:val>
          <c:extLst>
            <c:ext xmlns:c16="http://schemas.microsoft.com/office/drawing/2014/chart" uri="{C3380CC4-5D6E-409C-BE32-E72D297353CC}">
              <c16:uniqueId val="{00000001-A19B-4174-B36C-F04489FB7F3B}"/>
            </c:ext>
          </c:extLst>
        </c:ser>
        <c:dLbls>
          <c:dLblPos val="outEnd"/>
          <c:showLegendKey val="0"/>
          <c:showVal val="1"/>
          <c:showCatName val="0"/>
          <c:showSerName val="0"/>
          <c:showPercent val="0"/>
          <c:showBubbleSize val="0"/>
        </c:dLbls>
        <c:gapWidth val="219"/>
        <c:overlap val="-27"/>
        <c:axId val="249270656"/>
        <c:axId val="249272192"/>
      </c:barChart>
      <c:catAx>
        <c:axId val="24927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272192"/>
        <c:crosses val="autoZero"/>
        <c:auto val="1"/>
        <c:lblAlgn val="ctr"/>
        <c:lblOffset val="100"/>
        <c:noMultiLvlLbl val="0"/>
      </c:catAx>
      <c:valAx>
        <c:axId val="249272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270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Sheet2!$K$108</c:f>
              <c:strCache>
                <c:ptCount val="1"/>
                <c:pt idx="0">
                  <c:v>Yes</c:v>
                </c:pt>
              </c:strCache>
            </c:strRef>
          </c:tx>
          <c:spPr>
            <a:solidFill>
              <a:schemeClr val="accent3">
                <a:shade val="76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Sheet2!$L$107:$Q$107</c:f>
              <c:strCache>
                <c:ptCount val="6"/>
                <c:pt idx="0">
                  <c:v>    Total </c:v>
                </c:pt>
                <c:pt idx="1">
                  <c:v>AFR </c:v>
                </c:pt>
                <c:pt idx="2">
                  <c:v>AP</c:v>
                </c:pt>
                <c:pt idx="3">
                  <c:v>CEE</c:v>
                </c:pt>
                <c:pt idx="4">
                  <c:v>GRULAC</c:v>
                </c:pt>
                <c:pt idx="5">
                  <c:v>WEOG</c:v>
                </c:pt>
              </c:strCache>
            </c:strRef>
          </c:cat>
          <c:val>
            <c:numRef>
              <c:f>Sheet2!$L$108:$Q$108</c:f>
              <c:numCache>
                <c:formatCode>0%</c:formatCode>
                <c:ptCount val="6"/>
                <c:pt idx="0">
                  <c:v>0.48979591836734693</c:v>
                </c:pt>
                <c:pt idx="1">
                  <c:v>0.57692307692307687</c:v>
                </c:pt>
                <c:pt idx="2">
                  <c:v>0.7</c:v>
                </c:pt>
                <c:pt idx="3">
                  <c:v>0</c:v>
                </c:pt>
                <c:pt idx="4">
                  <c:v>0.22222222222222221</c:v>
                </c:pt>
                <c:pt idx="5">
                  <c:v>0</c:v>
                </c:pt>
              </c:numCache>
            </c:numRef>
          </c:val>
          <c:extLst>
            <c:ext xmlns:c16="http://schemas.microsoft.com/office/drawing/2014/chart" uri="{C3380CC4-5D6E-409C-BE32-E72D297353CC}">
              <c16:uniqueId val="{00000000-AA2F-4312-BB06-C2A3064B29BE}"/>
            </c:ext>
          </c:extLst>
        </c:ser>
        <c:ser>
          <c:idx val="1"/>
          <c:order val="1"/>
          <c:tx>
            <c:strRef>
              <c:f>Sheet2!$K$109</c:f>
              <c:strCache>
                <c:ptCount val="1"/>
                <c:pt idx="0">
                  <c:v>No</c:v>
                </c:pt>
              </c:strCache>
            </c:strRef>
          </c:tx>
          <c:spPr>
            <a:solidFill>
              <a:schemeClr val="accent3">
                <a:tint val="77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Sheet2!$L$107:$Q$107</c:f>
              <c:strCache>
                <c:ptCount val="6"/>
                <c:pt idx="0">
                  <c:v>    Total </c:v>
                </c:pt>
                <c:pt idx="1">
                  <c:v>AFR </c:v>
                </c:pt>
                <c:pt idx="2">
                  <c:v>AP</c:v>
                </c:pt>
                <c:pt idx="3">
                  <c:v>CEE</c:v>
                </c:pt>
                <c:pt idx="4">
                  <c:v>GRULAC</c:v>
                </c:pt>
                <c:pt idx="5">
                  <c:v>WEOG</c:v>
                </c:pt>
              </c:strCache>
            </c:strRef>
          </c:cat>
          <c:val>
            <c:numRef>
              <c:f>Sheet2!$L$109:$Q$109</c:f>
              <c:numCache>
                <c:formatCode>0%</c:formatCode>
                <c:ptCount val="6"/>
                <c:pt idx="0">
                  <c:v>0.51020408163265307</c:v>
                </c:pt>
                <c:pt idx="1">
                  <c:v>0.42307692307692307</c:v>
                </c:pt>
                <c:pt idx="2">
                  <c:v>0.3</c:v>
                </c:pt>
                <c:pt idx="3">
                  <c:v>0</c:v>
                </c:pt>
                <c:pt idx="4">
                  <c:v>0.77777777777777779</c:v>
                </c:pt>
                <c:pt idx="5">
                  <c:v>1</c:v>
                </c:pt>
              </c:numCache>
            </c:numRef>
          </c:val>
          <c:extLst>
            <c:ext xmlns:c16="http://schemas.microsoft.com/office/drawing/2014/chart" uri="{C3380CC4-5D6E-409C-BE32-E72D297353CC}">
              <c16:uniqueId val="{00000001-AA2F-4312-BB06-C2A3064B29BE}"/>
            </c:ext>
          </c:extLst>
        </c:ser>
        <c:dLbls>
          <c:dLblPos val="outEnd"/>
          <c:showLegendKey val="0"/>
          <c:showVal val="1"/>
          <c:showCatName val="0"/>
          <c:showSerName val="0"/>
          <c:showPercent val="0"/>
          <c:showBubbleSize val="0"/>
        </c:dLbls>
        <c:gapWidth val="219"/>
        <c:overlap val="-27"/>
        <c:axId val="251609088"/>
        <c:axId val="251610624"/>
      </c:barChart>
      <c:catAx>
        <c:axId val="25160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610624"/>
        <c:crosses val="autoZero"/>
        <c:auto val="1"/>
        <c:lblAlgn val="ctr"/>
        <c:lblOffset val="100"/>
        <c:noMultiLvlLbl val="0"/>
      </c:catAx>
      <c:valAx>
        <c:axId val="251610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609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Sheet2!$K$159</c:f>
              <c:strCache>
                <c:ptCount val="1"/>
                <c:pt idx="0">
                  <c:v>Yes</c:v>
                </c:pt>
              </c:strCache>
            </c:strRef>
          </c:tx>
          <c:spPr>
            <a:solidFill>
              <a:schemeClr val="accent3">
                <a:shade val="76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Sheet2!$L$158:$Q$158</c:f>
              <c:strCache>
                <c:ptCount val="6"/>
                <c:pt idx="0">
                  <c:v>    Total </c:v>
                </c:pt>
                <c:pt idx="1">
                  <c:v>AFR </c:v>
                </c:pt>
                <c:pt idx="2">
                  <c:v>AP</c:v>
                </c:pt>
                <c:pt idx="3">
                  <c:v>CEE</c:v>
                </c:pt>
                <c:pt idx="4">
                  <c:v>GRULAC</c:v>
                </c:pt>
                <c:pt idx="5">
                  <c:v>WEOG</c:v>
                </c:pt>
              </c:strCache>
            </c:strRef>
          </c:cat>
          <c:val>
            <c:numRef>
              <c:f>Sheet2!$L$159:$Q$159</c:f>
              <c:numCache>
                <c:formatCode>0%</c:formatCode>
                <c:ptCount val="6"/>
                <c:pt idx="0">
                  <c:v>0.46938775510204084</c:v>
                </c:pt>
                <c:pt idx="1">
                  <c:v>0.38461538461538464</c:v>
                </c:pt>
                <c:pt idx="2">
                  <c:v>0.4</c:v>
                </c:pt>
                <c:pt idx="3">
                  <c:v>0</c:v>
                </c:pt>
                <c:pt idx="4">
                  <c:v>0.66666666666666663</c:v>
                </c:pt>
                <c:pt idx="5">
                  <c:v>0.75</c:v>
                </c:pt>
              </c:numCache>
            </c:numRef>
          </c:val>
          <c:extLst>
            <c:ext xmlns:c16="http://schemas.microsoft.com/office/drawing/2014/chart" uri="{C3380CC4-5D6E-409C-BE32-E72D297353CC}">
              <c16:uniqueId val="{00000000-A387-401D-931B-40D2934C1F20}"/>
            </c:ext>
          </c:extLst>
        </c:ser>
        <c:ser>
          <c:idx val="1"/>
          <c:order val="1"/>
          <c:tx>
            <c:strRef>
              <c:f>Sheet2!$K$160</c:f>
              <c:strCache>
                <c:ptCount val="1"/>
                <c:pt idx="0">
                  <c:v>No</c:v>
                </c:pt>
              </c:strCache>
            </c:strRef>
          </c:tx>
          <c:spPr>
            <a:solidFill>
              <a:schemeClr val="accent3">
                <a:tint val="77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Sheet2!$L$158:$Q$158</c:f>
              <c:strCache>
                <c:ptCount val="6"/>
                <c:pt idx="0">
                  <c:v>    Total </c:v>
                </c:pt>
                <c:pt idx="1">
                  <c:v>AFR </c:v>
                </c:pt>
                <c:pt idx="2">
                  <c:v>AP</c:v>
                </c:pt>
                <c:pt idx="3">
                  <c:v>CEE</c:v>
                </c:pt>
                <c:pt idx="4">
                  <c:v>GRULAC</c:v>
                </c:pt>
                <c:pt idx="5">
                  <c:v>WEOG</c:v>
                </c:pt>
              </c:strCache>
            </c:strRef>
          </c:cat>
          <c:val>
            <c:numRef>
              <c:f>Sheet2!$L$160:$Q$160</c:f>
              <c:numCache>
                <c:formatCode>0%</c:formatCode>
                <c:ptCount val="6"/>
                <c:pt idx="0">
                  <c:v>0.53061224489795922</c:v>
                </c:pt>
                <c:pt idx="1">
                  <c:v>0.61538461538461542</c:v>
                </c:pt>
                <c:pt idx="2">
                  <c:v>0.6</c:v>
                </c:pt>
                <c:pt idx="3">
                  <c:v>0</c:v>
                </c:pt>
                <c:pt idx="4">
                  <c:v>0.33333333333333331</c:v>
                </c:pt>
                <c:pt idx="5">
                  <c:v>0.25</c:v>
                </c:pt>
              </c:numCache>
            </c:numRef>
          </c:val>
          <c:extLst>
            <c:ext xmlns:c16="http://schemas.microsoft.com/office/drawing/2014/chart" uri="{C3380CC4-5D6E-409C-BE32-E72D297353CC}">
              <c16:uniqueId val="{00000001-A387-401D-931B-40D2934C1F20}"/>
            </c:ext>
          </c:extLst>
        </c:ser>
        <c:dLbls>
          <c:dLblPos val="outEnd"/>
          <c:showLegendKey val="0"/>
          <c:showVal val="1"/>
          <c:showCatName val="0"/>
          <c:showSerName val="0"/>
          <c:showPercent val="0"/>
          <c:showBubbleSize val="0"/>
        </c:dLbls>
        <c:gapWidth val="219"/>
        <c:overlap val="-27"/>
        <c:axId val="251968896"/>
        <c:axId val="251970688"/>
      </c:barChart>
      <c:catAx>
        <c:axId val="25196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970688"/>
        <c:crosses val="autoZero"/>
        <c:auto val="1"/>
        <c:lblAlgn val="ctr"/>
        <c:lblOffset val="100"/>
        <c:noMultiLvlLbl val="0"/>
      </c:catAx>
      <c:valAx>
        <c:axId val="251970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96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Sheet2!$K$178</c:f>
              <c:strCache>
                <c:ptCount val="1"/>
                <c:pt idx="0">
                  <c:v>Yes</c:v>
                </c:pt>
              </c:strCache>
            </c:strRef>
          </c:tx>
          <c:spPr>
            <a:solidFill>
              <a:schemeClr val="accent3">
                <a:shade val="76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Sheet2!$L$177:$Q$177</c:f>
              <c:strCache>
                <c:ptCount val="6"/>
                <c:pt idx="0">
                  <c:v>    Total </c:v>
                </c:pt>
                <c:pt idx="1">
                  <c:v>AFR </c:v>
                </c:pt>
                <c:pt idx="2">
                  <c:v>AP</c:v>
                </c:pt>
                <c:pt idx="3">
                  <c:v>CEE</c:v>
                </c:pt>
                <c:pt idx="4">
                  <c:v>GRULAC</c:v>
                </c:pt>
                <c:pt idx="5">
                  <c:v>WEOG</c:v>
                </c:pt>
              </c:strCache>
            </c:strRef>
          </c:cat>
          <c:val>
            <c:numRef>
              <c:f>Sheet2!$L$178:$Q$178</c:f>
              <c:numCache>
                <c:formatCode>0%</c:formatCode>
                <c:ptCount val="6"/>
                <c:pt idx="0">
                  <c:v>0.5</c:v>
                </c:pt>
                <c:pt idx="1">
                  <c:v>0.46153846153846156</c:v>
                </c:pt>
                <c:pt idx="2">
                  <c:v>0.45454545454545453</c:v>
                </c:pt>
                <c:pt idx="3">
                  <c:v>0</c:v>
                </c:pt>
                <c:pt idx="4">
                  <c:v>0.44444444444444442</c:v>
                </c:pt>
                <c:pt idx="5">
                  <c:v>1</c:v>
                </c:pt>
              </c:numCache>
            </c:numRef>
          </c:val>
          <c:extLst>
            <c:ext xmlns:c16="http://schemas.microsoft.com/office/drawing/2014/chart" uri="{C3380CC4-5D6E-409C-BE32-E72D297353CC}">
              <c16:uniqueId val="{00000000-6EE6-41EE-80D0-5727B69C7EE9}"/>
            </c:ext>
          </c:extLst>
        </c:ser>
        <c:ser>
          <c:idx val="1"/>
          <c:order val="1"/>
          <c:tx>
            <c:strRef>
              <c:f>Sheet2!$K$179</c:f>
              <c:strCache>
                <c:ptCount val="1"/>
                <c:pt idx="0">
                  <c:v>No</c:v>
                </c:pt>
              </c:strCache>
            </c:strRef>
          </c:tx>
          <c:spPr>
            <a:solidFill>
              <a:schemeClr val="accent3">
                <a:tint val="77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Sheet2!$L$177:$Q$177</c:f>
              <c:strCache>
                <c:ptCount val="6"/>
                <c:pt idx="0">
                  <c:v>    Total </c:v>
                </c:pt>
                <c:pt idx="1">
                  <c:v>AFR </c:v>
                </c:pt>
                <c:pt idx="2">
                  <c:v>AP</c:v>
                </c:pt>
                <c:pt idx="3">
                  <c:v>CEE</c:v>
                </c:pt>
                <c:pt idx="4">
                  <c:v>GRULAC</c:v>
                </c:pt>
                <c:pt idx="5">
                  <c:v>WEOG</c:v>
                </c:pt>
              </c:strCache>
            </c:strRef>
          </c:cat>
          <c:val>
            <c:numRef>
              <c:f>Sheet2!$L$179:$Q$179</c:f>
              <c:numCache>
                <c:formatCode>0%</c:formatCode>
                <c:ptCount val="6"/>
                <c:pt idx="0">
                  <c:v>0.5</c:v>
                </c:pt>
                <c:pt idx="1">
                  <c:v>0.53846153846153844</c:v>
                </c:pt>
                <c:pt idx="2">
                  <c:v>0.54545454545454541</c:v>
                </c:pt>
                <c:pt idx="3">
                  <c:v>0</c:v>
                </c:pt>
                <c:pt idx="4">
                  <c:v>0.55555555555555558</c:v>
                </c:pt>
                <c:pt idx="5">
                  <c:v>0</c:v>
                </c:pt>
              </c:numCache>
            </c:numRef>
          </c:val>
          <c:extLst>
            <c:ext xmlns:c16="http://schemas.microsoft.com/office/drawing/2014/chart" uri="{C3380CC4-5D6E-409C-BE32-E72D297353CC}">
              <c16:uniqueId val="{00000001-6EE6-41EE-80D0-5727B69C7EE9}"/>
            </c:ext>
          </c:extLst>
        </c:ser>
        <c:dLbls>
          <c:dLblPos val="outEnd"/>
          <c:showLegendKey val="0"/>
          <c:showVal val="1"/>
          <c:showCatName val="0"/>
          <c:showSerName val="0"/>
          <c:showPercent val="0"/>
          <c:showBubbleSize val="0"/>
        </c:dLbls>
        <c:gapWidth val="219"/>
        <c:overlap val="-27"/>
        <c:axId val="251292672"/>
        <c:axId val="251319040"/>
      </c:barChart>
      <c:catAx>
        <c:axId val="25129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319040"/>
        <c:crosses val="autoZero"/>
        <c:auto val="1"/>
        <c:lblAlgn val="ctr"/>
        <c:lblOffset val="100"/>
        <c:noMultiLvlLbl val="0"/>
      </c:catAx>
      <c:valAx>
        <c:axId val="251319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29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 18 2'!$R$44</c:f>
              <c:strCache>
                <c:ptCount val="1"/>
                <c:pt idx="0">
                  <c:v>Countries</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 18 2'!$Q$45:$Q$50</c:f>
              <c:strCache>
                <c:ptCount val="6"/>
                <c:pt idx="0">
                  <c:v>Genetic Resources</c:v>
                </c:pt>
                <c:pt idx="1">
                  <c:v>GR - Monetary</c:v>
                </c:pt>
                <c:pt idx="2">
                  <c:v>GR - Non-Monetary</c:v>
                </c:pt>
                <c:pt idx="3">
                  <c:v>Traditional knowledge</c:v>
                </c:pt>
                <c:pt idx="4">
                  <c:v>TK - Monetary</c:v>
                </c:pt>
                <c:pt idx="5">
                  <c:v>TK - Non-Monetary</c:v>
                </c:pt>
              </c:strCache>
            </c:strRef>
          </c:cat>
          <c:val>
            <c:numRef>
              <c:f>'Q 18 2'!$R$45:$R$50</c:f>
              <c:numCache>
                <c:formatCode>General</c:formatCode>
                <c:ptCount val="6"/>
                <c:pt idx="0">
                  <c:v>35</c:v>
                </c:pt>
                <c:pt idx="1">
                  <c:v>16</c:v>
                </c:pt>
                <c:pt idx="2">
                  <c:v>32</c:v>
                </c:pt>
                <c:pt idx="3">
                  <c:v>18</c:v>
                </c:pt>
                <c:pt idx="4">
                  <c:v>6</c:v>
                </c:pt>
                <c:pt idx="5">
                  <c:v>15</c:v>
                </c:pt>
              </c:numCache>
            </c:numRef>
          </c:val>
          <c:extLst>
            <c:ext xmlns:c16="http://schemas.microsoft.com/office/drawing/2014/chart" uri="{C3380CC4-5D6E-409C-BE32-E72D297353CC}">
              <c16:uniqueId val="{00000000-B30F-4C88-99C8-2F2BFD732909}"/>
            </c:ext>
          </c:extLst>
        </c:ser>
        <c:dLbls>
          <c:showLegendKey val="0"/>
          <c:showVal val="0"/>
          <c:showCatName val="0"/>
          <c:showSerName val="0"/>
          <c:showPercent val="0"/>
          <c:showBubbleSize val="0"/>
        </c:dLbls>
        <c:gapWidth val="219"/>
        <c:overlap val="-27"/>
        <c:axId val="226675328"/>
        <c:axId val="226922880"/>
      </c:barChart>
      <c:catAx>
        <c:axId val="22667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922880"/>
        <c:crosses val="autoZero"/>
        <c:auto val="1"/>
        <c:lblAlgn val="ctr"/>
        <c:lblOffset val="100"/>
        <c:noMultiLvlLbl val="0"/>
      </c:catAx>
      <c:valAx>
        <c:axId val="226922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675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Sheet2!$K$199</c:f>
              <c:strCache>
                <c:ptCount val="1"/>
                <c:pt idx="0">
                  <c:v>Yes</c:v>
                </c:pt>
              </c:strCache>
            </c:strRef>
          </c:tx>
          <c:spPr>
            <a:solidFill>
              <a:schemeClr val="accent3">
                <a:shade val="76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Sheet2!$L$198:$Q$198</c:f>
              <c:strCache>
                <c:ptCount val="6"/>
                <c:pt idx="0">
                  <c:v>    Total </c:v>
                </c:pt>
                <c:pt idx="1">
                  <c:v>AFR </c:v>
                </c:pt>
                <c:pt idx="2">
                  <c:v>AP</c:v>
                </c:pt>
                <c:pt idx="3">
                  <c:v>CEE</c:v>
                </c:pt>
                <c:pt idx="4">
                  <c:v>GRULAC</c:v>
                </c:pt>
                <c:pt idx="5">
                  <c:v>WEOG</c:v>
                </c:pt>
              </c:strCache>
            </c:strRef>
          </c:cat>
          <c:val>
            <c:numRef>
              <c:f>Sheet2!$L$199:$Q$199</c:f>
              <c:numCache>
                <c:formatCode>0%</c:formatCode>
                <c:ptCount val="6"/>
                <c:pt idx="0">
                  <c:v>0.42857142857142855</c:v>
                </c:pt>
                <c:pt idx="1">
                  <c:v>0.42307692307692307</c:v>
                </c:pt>
                <c:pt idx="2">
                  <c:v>0.3</c:v>
                </c:pt>
                <c:pt idx="3">
                  <c:v>0</c:v>
                </c:pt>
                <c:pt idx="4">
                  <c:v>0.44444444444444442</c:v>
                </c:pt>
                <c:pt idx="5">
                  <c:v>0.75</c:v>
                </c:pt>
              </c:numCache>
            </c:numRef>
          </c:val>
          <c:extLst>
            <c:ext xmlns:c16="http://schemas.microsoft.com/office/drawing/2014/chart" uri="{C3380CC4-5D6E-409C-BE32-E72D297353CC}">
              <c16:uniqueId val="{00000000-BDD7-4F65-956B-EE18B6E9352D}"/>
            </c:ext>
          </c:extLst>
        </c:ser>
        <c:ser>
          <c:idx val="1"/>
          <c:order val="1"/>
          <c:tx>
            <c:strRef>
              <c:f>Sheet2!$K$200</c:f>
              <c:strCache>
                <c:ptCount val="1"/>
                <c:pt idx="0">
                  <c:v>No</c:v>
                </c:pt>
              </c:strCache>
            </c:strRef>
          </c:tx>
          <c:spPr>
            <a:solidFill>
              <a:schemeClr val="accent3">
                <a:tint val="77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Sheet2!$L$198:$Q$198</c:f>
              <c:strCache>
                <c:ptCount val="6"/>
                <c:pt idx="0">
                  <c:v>    Total </c:v>
                </c:pt>
                <c:pt idx="1">
                  <c:v>AFR </c:v>
                </c:pt>
                <c:pt idx="2">
                  <c:v>AP</c:v>
                </c:pt>
                <c:pt idx="3">
                  <c:v>CEE</c:v>
                </c:pt>
                <c:pt idx="4">
                  <c:v>GRULAC</c:v>
                </c:pt>
                <c:pt idx="5">
                  <c:v>WEOG</c:v>
                </c:pt>
              </c:strCache>
            </c:strRef>
          </c:cat>
          <c:val>
            <c:numRef>
              <c:f>Sheet2!$L$200:$Q$200</c:f>
              <c:numCache>
                <c:formatCode>0%</c:formatCode>
                <c:ptCount val="6"/>
                <c:pt idx="0">
                  <c:v>0.5714285714285714</c:v>
                </c:pt>
                <c:pt idx="1">
                  <c:v>0.57692307692307687</c:v>
                </c:pt>
                <c:pt idx="2">
                  <c:v>0.7</c:v>
                </c:pt>
                <c:pt idx="3">
                  <c:v>0</c:v>
                </c:pt>
                <c:pt idx="4">
                  <c:v>0.55555555555555558</c:v>
                </c:pt>
                <c:pt idx="5">
                  <c:v>0.25</c:v>
                </c:pt>
              </c:numCache>
            </c:numRef>
          </c:val>
          <c:extLst>
            <c:ext xmlns:c16="http://schemas.microsoft.com/office/drawing/2014/chart" uri="{C3380CC4-5D6E-409C-BE32-E72D297353CC}">
              <c16:uniqueId val="{00000001-BDD7-4F65-956B-EE18B6E9352D}"/>
            </c:ext>
          </c:extLst>
        </c:ser>
        <c:dLbls>
          <c:dLblPos val="outEnd"/>
          <c:showLegendKey val="0"/>
          <c:showVal val="1"/>
          <c:showCatName val="0"/>
          <c:showSerName val="0"/>
          <c:showPercent val="0"/>
          <c:showBubbleSize val="0"/>
        </c:dLbls>
        <c:gapWidth val="219"/>
        <c:overlap val="-27"/>
        <c:axId val="251800192"/>
        <c:axId val="251801984"/>
      </c:barChart>
      <c:catAx>
        <c:axId val="25180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801984"/>
        <c:crosses val="autoZero"/>
        <c:auto val="1"/>
        <c:lblAlgn val="ctr"/>
        <c:lblOffset val="100"/>
        <c:noMultiLvlLbl val="0"/>
      </c:catAx>
      <c:valAx>
        <c:axId val="251801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80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 42'!$M$10</c:f>
              <c:strCache>
                <c:ptCount val="1"/>
                <c:pt idx="0">
                  <c:v>Community Protocols</c:v>
                </c:pt>
              </c:strCache>
            </c:strRef>
          </c:tx>
          <c:spPr>
            <a:solidFill>
              <a:schemeClr val="accent3">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 42'!$N$9:$S$9</c:f>
              <c:strCache>
                <c:ptCount val="6"/>
                <c:pt idx="0">
                  <c:v>    Total </c:v>
                </c:pt>
                <c:pt idx="1">
                  <c:v>AFR </c:v>
                </c:pt>
                <c:pt idx="2">
                  <c:v>AP</c:v>
                </c:pt>
                <c:pt idx="3">
                  <c:v>CEE</c:v>
                </c:pt>
                <c:pt idx="4">
                  <c:v>GRULAC</c:v>
                </c:pt>
                <c:pt idx="5">
                  <c:v>WEOG</c:v>
                </c:pt>
              </c:strCache>
            </c:strRef>
          </c:cat>
          <c:val>
            <c:numRef>
              <c:f>'Q 42'!$N$10:$S$10</c:f>
              <c:numCache>
                <c:formatCode>0%</c:formatCode>
                <c:ptCount val="6"/>
                <c:pt idx="0">
                  <c:v>0.37804878048780488</c:v>
                </c:pt>
                <c:pt idx="1">
                  <c:v>0.37209302325581395</c:v>
                </c:pt>
                <c:pt idx="2">
                  <c:v>0.36842105263157893</c:v>
                </c:pt>
                <c:pt idx="3">
                  <c:v>0</c:v>
                </c:pt>
                <c:pt idx="4">
                  <c:v>0.4375</c:v>
                </c:pt>
                <c:pt idx="5">
                  <c:v>0.25</c:v>
                </c:pt>
              </c:numCache>
            </c:numRef>
          </c:val>
          <c:extLst>
            <c:ext xmlns:c16="http://schemas.microsoft.com/office/drawing/2014/chart" uri="{C3380CC4-5D6E-409C-BE32-E72D297353CC}">
              <c16:uniqueId val="{00000000-F814-474F-B79D-5EB836DFB4A6}"/>
            </c:ext>
          </c:extLst>
        </c:ser>
        <c:ser>
          <c:idx val="1"/>
          <c:order val="1"/>
          <c:tx>
            <c:strRef>
              <c:f>'Q 42'!$M$11</c:f>
              <c:strCache>
                <c:ptCount val="1"/>
                <c:pt idx="0">
                  <c:v>Minimum requirements for MAT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 42'!$N$9:$S$9</c:f>
              <c:strCache>
                <c:ptCount val="6"/>
                <c:pt idx="0">
                  <c:v>    Total </c:v>
                </c:pt>
                <c:pt idx="1">
                  <c:v>AFR </c:v>
                </c:pt>
                <c:pt idx="2">
                  <c:v>AP</c:v>
                </c:pt>
                <c:pt idx="3">
                  <c:v>CEE</c:v>
                </c:pt>
                <c:pt idx="4">
                  <c:v>GRULAC</c:v>
                </c:pt>
                <c:pt idx="5">
                  <c:v>WEOG</c:v>
                </c:pt>
              </c:strCache>
            </c:strRef>
          </c:cat>
          <c:val>
            <c:numRef>
              <c:f>'Q 42'!$N$11:$S$11</c:f>
              <c:numCache>
                <c:formatCode>0%</c:formatCode>
                <c:ptCount val="6"/>
                <c:pt idx="0">
                  <c:v>0.34146341463414637</c:v>
                </c:pt>
                <c:pt idx="1">
                  <c:v>0.32558139534883723</c:v>
                </c:pt>
                <c:pt idx="2">
                  <c:v>0.41666666666666669</c:v>
                </c:pt>
                <c:pt idx="3">
                  <c:v>0</c:v>
                </c:pt>
                <c:pt idx="4">
                  <c:v>0.3125</c:v>
                </c:pt>
                <c:pt idx="5">
                  <c:v>0.5</c:v>
                </c:pt>
              </c:numCache>
            </c:numRef>
          </c:val>
          <c:extLst>
            <c:ext xmlns:c16="http://schemas.microsoft.com/office/drawing/2014/chart" uri="{C3380CC4-5D6E-409C-BE32-E72D297353CC}">
              <c16:uniqueId val="{00000001-F814-474F-B79D-5EB836DFB4A6}"/>
            </c:ext>
          </c:extLst>
        </c:ser>
        <c:ser>
          <c:idx val="2"/>
          <c:order val="2"/>
          <c:tx>
            <c:strRef>
              <c:f>'Q 42'!$M$12</c:f>
              <c:strCache>
                <c:ptCount val="1"/>
                <c:pt idx="0">
                  <c:v>Model contractual provisions</c:v>
                </c:pt>
              </c:strCache>
            </c:strRef>
          </c:tx>
          <c:spPr>
            <a:solidFill>
              <a:schemeClr val="accent3">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 42'!$N$9:$S$9</c:f>
              <c:strCache>
                <c:ptCount val="6"/>
                <c:pt idx="0">
                  <c:v>    Total </c:v>
                </c:pt>
                <c:pt idx="1">
                  <c:v>AFR </c:v>
                </c:pt>
                <c:pt idx="2">
                  <c:v>AP</c:v>
                </c:pt>
                <c:pt idx="3">
                  <c:v>CEE</c:v>
                </c:pt>
                <c:pt idx="4">
                  <c:v>GRULAC</c:v>
                </c:pt>
                <c:pt idx="5">
                  <c:v>WEOG</c:v>
                </c:pt>
              </c:strCache>
            </c:strRef>
          </c:cat>
          <c:val>
            <c:numRef>
              <c:f>'Q 42'!$N$12:$S$12</c:f>
              <c:numCache>
                <c:formatCode>0%</c:formatCode>
                <c:ptCount val="6"/>
                <c:pt idx="0">
                  <c:v>0.28000000000000003</c:v>
                </c:pt>
                <c:pt idx="1">
                  <c:v>0.3</c:v>
                </c:pt>
                <c:pt idx="2">
                  <c:v>0.26</c:v>
                </c:pt>
                <c:pt idx="3">
                  <c:v>0</c:v>
                </c:pt>
                <c:pt idx="4">
                  <c:v>0.25</c:v>
                </c:pt>
                <c:pt idx="5">
                  <c:v>0.25</c:v>
                </c:pt>
              </c:numCache>
            </c:numRef>
          </c:val>
          <c:extLst>
            <c:ext xmlns:c16="http://schemas.microsoft.com/office/drawing/2014/chart" uri="{C3380CC4-5D6E-409C-BE32-E72D297353CC}">
              <c16:uniqueId val="{00000002-F814-474F-B79D-5EB836DFB4A6}"/>
            </c:ext>
          </c:extLst>
        </c:ser>
        <c:dLbls>
          <c:dLblPos val="outEnd"/>
          <c:showLegendKey val="0"/>
          <c:showVal val="1"/>
          <c:showCatName val="0"/>
          <c:showSerName val="0"/>
          <c:showPercent val="0"/>
          <c:showBubbleSize val="0"/>
        </c:dLbls>
        <c:gapWidth val="219"/>
        <c:overlap val="-27"/>
        <c:axId val="251879424"/>
        <c:axId val="251880960"/>
      </c:barChart>
      <c:catAx>
        <c:axId val="25187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880960"/>
        <c:crosses val="autoZero"/>
        <c:auto val="1"/>
        <c:lblAlgn val="ctr"/>
        <c:lblOffset val="100"/>
        <c:noMultiLvlLbl val="0"/>
      </c:catAx>
      <c:valAx>
        <c:axId val="251880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879424"/>
        <c:crosses val="autoZero"/>
        <c:crossBetween val="between"/>
      </c:valAx>
      <c:spPr>
        <a:noFill/>
        <a:ln>
          <a:noFill/>
        </a:ln>
        <a:effectLst/>
      </c:spPr>
    </c:plotArea>
    <c:legend>
      <c:legendPos val="b"/>
      <c:layout>
        <c:manualLayout>
          <c:xMode val="edge"/>
          <c:yMode val="edge"/>
          <c:x val="3.2563867016622908E-2"/>
          <c:y val="0.82291557305336838"/>
          <c:w val="0.94320559930008752"/>
          <c:h val="0.149306649168853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'[TABLES FOR Q35-63.xlsx]Sheet2'!$K$220</c:f>
              <c:strCache>
                <c:ptCount val="1"/>
                <c:pt idx="0">
                  <c:v>Yes</c:v>
                </c:pt>
              </c:strCache>
            </c:strRef>
          </c:tx>
          <c:spPr>
            <a:solidFill>
              <a:schemeClr val="accent3">
                <a:shade val="76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FOR Q35-63.xlsx]Sheet2'!$L$219:$Q$219</c:f>
              <c:strCache>
                <c:ptCount val="6"/>
                <c:pt idx="0">
                  <c:v>    Total </c:v>
                </c:pt>
                <c:pt idx="1">
                  <c:v>AFR </c:v>
                </c:pt>
                <c:pt idx="2">
                  <c:v>AP</c:v>
                </c:pt>
                <c:pt idx="3">
                  <c:v>CEE</c:v>
                </c:pt>
                <c:pt idx="4">
                  <c:v>GRULAC</c:v>
                </c:pt>
                <c:pt idx="5">
                  <c:v>WEOG</c:v>
                </c:pt>
              </c:strCache>
            </c:strRef>
          </c:cat>
          <c:val>
            <c:numRef>
              <c:f>'[TABLES FOR Q35-63.xlsx]Sheet2'!$L$220:$Q$220</c:f>
              <c:numCache>
                <c:formatCode>0%</c:formatCode>
                <c:ptCount val="6"/>
                <c:pt idx="0">
                  <c:v>0.72</c:v>
                </c:pt>
                <c:pt idx="1">
                  <c:v>0.73076923076923073</c:v>
                </c:pt>
                <c:pt idx="2">
                  <c:v>0.72727272727272729</c:v>
                </c:pt>
                <c:pt idx="3">
                  <c:v>0</c:v>
                </c:pt>
                <c:pt idx="4">
                  <c:v>0.66666666666666663</c:v>
                </c:pt>
                <c:pt idx="5">
                  <c:v>0.75</c:v>
                </c:pt>
              </c:numCache>
            </c:numRef>
          </c:val>
          <c:extLst>
            <c:ext xmlns:c16="http://schemas.microsoft.com/office/drawing/2014/chart" uri="{C3380CC4-5D6E-409C-BE32-E72D297353CC}">
              <c16:uniqueId val="{00000000-2050-4766-A811-0551CDCB3DE6}"/>
            </c:ext>
          </c:extLst>
        </c:ser>
        <c:ser>
          <c:idx val="1"/>
          <c:order val="1"/>
          <c:tx>
            <c:strRef>
              <c:f>'[TABLES FOR Q35-63.xlsx]Sheet2'!$K$221</c:f>
              <c:strCache>
                <c:ptCount val="1"/>
                <c:pt idx="0">
                  <c:v>No</c:v>
                </c:pt>
              </c:strCache>
            </c:strRef>
          </c:tx>
          <c:spPr>
            <a:solidFill>
              <a:schemeClr val="accent3">
                <a:tint val="77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FOR Q35-63.xlsx]Sheet2'!$L$219:$Q$219</c:f>
              <c:strCache>
                <c:ptCount val="6"/>
                <c:pt idx="0">
                  <c:v>    Total </c:v>
                </c:pt>
                <c:pt idx="1">
                  <c:v>AFR </c:v>
                </c:pt>
                <c:pt idx="2">
                  <c:v>AP</c:v>
                </c:pt>
                <c:pt idx="3">
                  <c:v>CEE</c:v>
                </c:pt>
                <c:pt idx="4">
                  <c:v>GRULAC</c:v>
                </c:pt>
                <c:pt idx="5">
                  <c:v>WEOG</c:v>
                </c:pt>
              </c:strCache>
            </c:strRef>
          </c:cat>
          <c:val>
            <c:numRef>
              <c:f>'[TABLES FOR Q35-63.xlsx]Sheet2'!$L$221:$Q$221</c:f>
              <c:numCache>
                <c:formatCode>0%</c:formatCode>
                <c:ptCount val="6"/>
                <c:pt idx="0">
                  <c:v>0.28000000000000003</c:v>
                </c:pt>
                <c:pt idx="1">
                  <c:v>0.26923076923076922</c:v>
                </c:pt>
                <c:pt idx="2">
                  <c:v>0.27272727272727271</c:v>
                </c:pt>
                <c:pt idx="3">
                  <c:v>0</c:v>
                </c:pt>
                <c:pt idx="4">
                  <c:v>0.33333333333333331</c:v>
                </c:pt>
                <c:pt idx="5">
                  <c:v>0.25</c:v>
                </c:pt>
              </c:numCache>
            </c:numRef>
          </c:val>
          <c:extLst>
            <c:ext xmlns:c16="http://schemas.microsoft.com/office/drawing/2014/chart" uri="{C3380CC4-5D6E-409C-BE32-E72D297353CC}">
              <c16:uniqueId val="{00000001-2050-4766-A811-0551CDCB3DE6}"/>
            </c:ext>
          </c:extLst>
        </c:ser>
        <c:dLbls>
          <c:dLblPos val="outEnd"/>
          <c:showLegendKey val="0"/>
          <c:showVal val="1"/>
          <c:showCatName val="0"/>
          <c:showSerName val="0"/>
          <c:showPercent val="0"/>
          <c:showBubbleSize val="0"/>
        </c:dLbls>
        <c:gapWidth val="219"/>
        <c:overlap val="-27"/>
        <c:axId val="251915648"/>
        <c:axId val="251733120"/>
      </c:barChart>
      <c:catAx>
        <c:axId val="25191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733120"/>
        <c:crosses val="autoZero"/>
        <c:auto val="1"/>
        <c:lblAlgn val="ctr"/>
        <c:lblOffset val="100"/>
        <c:noMultiLvlLbl val="0"/>
      </c:catAx>
      <c:valAx>
        <c:axId val="251733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91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'[TABLES FOR Q35-63.xlsx]Sheet2'!$K$242</c:f>
              <c:strCache>
                <c:ptCount val="1"/>
                <c:pt idx="0">
                  <c:v>Yes</c:v>
                </c:pt>
              </c:strCache>
            </c:strRef>
          </c:tx>
          <c:spPr>
            <a:solidFill>
              <a:schemeClr val="accent3">
                <a:shade val="76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FOR Q35-63.xlsx]Sheet2'!$L$241:$Q$241</c:f>
              <c:strCache>
                <c:ptCount val="6"/>
                <c:pt idx="0">
                  <c:v>    Total </c:v>
                </c:pt>
                <c:pt idx="1">
                  <c:v>AFR </c:v>
                </c:pt>
                <c:pt idx="2">
                  <c:v>AP</c:v>
                </c:pt>
                <c:pt idx="3">
                  <c:v>CEE</c:v>
                </c:pt>
                <c:pt idx="4">
                  <c:v>GRULAC</c:v>
                </c:pt>
                <c:pt idx="5">
                  <c:v>WEOG</c:v>
                </c:pt>
              </c:strCache>
            </c:strRef>
          </c:cat>
          <c:val>
            <c:numRef>
              <c:f>'[TABLES FOR Q35-63.xlsx]Sheet2'!$L$242:$Q$242</c:f>
              <c:numCache>
                <c:formatCode>0%</c:formatCode>
                <c:ptCount val="6"/>
                <c:pt idx="0">
                  <c:v>0.78666666666666663</c:v>
                </c:pt>
                <c:pt idx="1">
                  <c:v>0.8214285714285714</c:v>
                </c:pt>
                <c:pt idx="2">
                  <c:v>0.76923076923076927</c:v>
                </c:pt>
                <c:pt idx="3">
                  <c:v>0.77777777777777779</c:v>
                </c:pt>
                <c:pt idx="4">
                  <c:v>0.6</c:v>
                </c:pt>
                <c:pt idx="5">
                  <c:v>0.8666666666666667</c:v>
                </c:pt>
              </c:numCache>
            </c:numRef>
          </c:val>
          <c:extLst>
            <c:ext xmlns:c16="http://schemas.microsoft.com/office/drawing/2014/chart" uri="{C3380CC4-5D6E-409C-BE32-E72D297353CC}">
              <c16:uniqueId val="{00000000-E74D-414B-BA6D-5B3B63C0AED2}"/>
            </c:ext>
          </c:extLst>
        </c:ser>
        <c:ser>
          <c:idx val="1"/>
          <c:order val="1"/>
          <c:tx>
            <c:strRef>
              <c:f>'[TABLES FOR Q35-63.xlsx]Sheet2'!$K$243</c:f>
              <c:strCache>
                <c:ptCount val="1"/>
                <c:pt idx="0">
                  <c:v>No</c:v>
                </c:pt>
              </c:strCache>
            </c:strRef>
          </c:tx>
          <c:spPr>
            <a:solidFill>
              <a:schemeClr val="accent3">
                <a:tint val="77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FOR Q35-63.xlsx]Sheet2'!$L$241:$Q$241</c:f>
              <c:strCache>
                <c:ptCount val="6"/>
                <c:pt idx="0">
                  <c:v>    Total </c:v>
                </c:pt>
                <c:pt idx="1">
                  <c:v>AFR </c:v>
                </c:pt>
                <c:pt idx="2">
                  <c:v>AP</c:v>
                </c:pt>
                <c:pt idx="3">
                  <c:v>CEE</c:v>
                </c:pt>
                <c:pt idx="4">
                  <c:v>GRULAC</c:v>
                </c:pt>
                <c:pt idx="5">
                  <c:v>WEOG</c:v>
                </c:pt>
              </c:strCache>
            </c:strRef>
          </c:cat>
          <c:val>
            <c:numRef>
              <c:f>'[TABLES FOR Q35-63.xlsx]Sheet2'!$L$243:$Q$243</c:f>
              <c:numCache>
                <c:formatCode>0%</c:formatCode>
                <c:ptCount val="6"/>
                <c:pt idx="0">
                  <c:v>0.21333333333333335</c:v>
                </c:pt>
                <c:pt idx="1">
                  <c:v>0.17857142857142858</c:v>
                </c:pt>
                <c:pt idx="2">
                  <c:v>0.23076923076923078</c:v>
                </c:pt>
                <c:pt idx="3">
                  <c:v>0.22222222222222221</c:v>
                </c:pt>
                <c:pt idx="4">
                  <c:v>0.4</c:v>
                </c:pt>
                <c:pt idx="5">
                  <c:v>0.13333333333333333</c:v>
                </c:pt>
              </c:numCache>
            </c:numRef>
          </c:val>
          <c:extLst>
            <c:ext xmlns:c16="http://schemas.microsoft.com/office/drawing/2014/chart" uri="{C3380CC4-5D6E-409C-BE32-E72D297353CC}">
              <c16:uniqueId val="{00000001-E74D-414B-BA6D-5B3B63C0AED2}"/>
            </c:ext>
          </c:extLst>
        </c:ser>
        <c:dLbls>
          <c:dLblPos val="outEnd"/>
          <c:showLegendKey val="0"/>
          <c:showVal val="1"/>
          <c:showCatName val="0"/>
          <c:showSerName val="0"/>
          <c:showPercent val="0"/>
          <c:showBubbleSize val="0"/>
        </c:dLbls>
        <c:gapWidth val="219"/>
        <c:overlap val="-27"/>
        <c:axId val="251771904"/>
        <c:axId val="252056320"/>
      </c:barChart>
      <c:catAx>
        <c:axId val="25177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056320"/>
        <c:crosses val="autoZero"/>
        <c:auto val="1"/>
        <c:lblAlgn val="ctr"/>
        <c:lblOffset val="100"/>
        <c:noMultiLvlLbl val="0"/>
      </c:catAx>
      <c:valAx>
        <c:axId val="252056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771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'[TABLES FOR Q35-63.xlsx]Sheet2'!$K$265</c:f>
              <c:strCache>
                <c:ptCount val="1"/>
                <c:pt idx="0">
                  <c:v>Yes</c:v>
                </c:pt>
              </c:strCache>
            </c:strRef>
          </c:tx>
          <c:spPr>
            <a:solidFill>
              <a:schemeClr val="accent3">
                <a:shade val="76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FOR Q35-63.xlsx]Sheet2'!$L$264:$Q$264</c:f>
              <c:strCache>
                <c:ptCount val="6"/>
                <c:pt idx="0">
                  <c:v>    Total </c:v>
                </c:pt>
                <c:pt idx="1">
                  <c:v>AFR </c:v>
                </c:pt>
                <c:pt idx="2">
                  <c:v>AP</c:v>
                </c:pt>
                <c:pt idx="3">
                  <c:v>CEE</c:v>
                </c:pt>
                <c:pt idx="4">
                  <c:v>GRULAC</c:v>
                </c:pt>
                <c:pt idx="5">
                  <c:v>WEOG</c:v>
                </c:pt>
              </c:strCache>
            </c:strRef>
          </c:cat>
          <c:val>
            <c:numRef>
              <c:f>'[TABLES FOR Q35-63.xlsx]Sheet2'!$L$265:$Q$265</c:f>
              <c:numCache>
                <c:formatCode>0%</c:formatCode>
                <c:ptCount val="6"/>
                <c:pt idx="0">
                  <c:v>0.41333333333333333</c:v>
                </c:pt>
                <c:pt idx="1">
                  <c:v>0.5</c:v>
                </c:pt>
                <c:pt idx="2">
                  <c:v>0.61538461538461542</c:v>
                </c:pt>
                <c:pt idx="3">
                  <c:v>0.22222222222222221</c:v>
                </c:pt>
                <c:pt idx="4">
                  <c:v>0.2</c:v>
                </c:pt>
                <c:pt idx="5">
                  <c:v>0.33333333333333331</c:v>
                </c:pt>
              </c:numCache>
            </c:numRef>
          </c:val>
          <c:extLst>
            <c:ext xmlns:c16="http://schemas.microsoft.com/office/drawing/2014/chart" uri="{C3380CC4-5D6E-409C-BE32-E72D297353CC}">
              <c16:uniqueId val="{00000000-F0B7-4279-95C7-042AA334A4C0}"/>
            </c:ext>
          </c:extLst>
        </c:ser>
        <c:ser>
          <c:idx val="1"/>
          <c:order val="1"/>
          <c:tx>
            <c:strRef>
              <c:f>'[TABLES FOR Q35-63.xlsx]Sheet2'!$K$266</c:f>
              <c:strCache>
                <c:ptCount val="1"/>
                <c:pt idx="0">
                  <c:v>No</c:v>
                </c:pt>
              </c:strCache>
            </c:strRef>
          </c:tx>
          <c:spPr>
            <a:solidFill>
              <a:schemeClr val="accent3">
                <a:tint val="77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FOR Q35-63.xlsx]Sheet2'!$L$264:$Q$264</c:f>
              <c:strCache>
                <c:ptCount val="6"/>
                <c:pt idx="0">
                  <c:v>    Total </c:v>
                </c:pt>
                <c:pt idx="1">
                  <c:v>AFR </c:v>
                </c:pt>
                <c:pt idx="2">
                  <c:v>AP</c:v>
                </c:pt>
                <c:pt idx="3">
                  <c:v>CEE</c:v>
                </c:pt>
                <c:pt idx="4">
                  <c:v>GRULAC</c:v>
                </c:pt>
                <c:pt idx="5">
                  <c:v>WEOG</c:v>
                </c:pt>
              </c:strCache>
            </c:strRef>
          </c:cat>
          <c:val>
            <c:numRef>
              <c:f>'[TABLES FOR Q35-63.xlsx]Sheet2'!$L$266:$Q$266</c:f>
              <c:numCache>
                <c:formatCode>0%</c:formatCode>
                <c:ptCount val="6"/>
                <c:pt idx="0">
                  <c:v>0.58666666666666667</c:v>
                </c:pt>
                <c:pt idx="1">
                  <c:v>0.5</c:v>
                </c:pt>
                <c:pt idx="2">
                  <c:v>0.38461538461538464</c:v>
                </c:pt>
                <c:pt idx="3">
                  <c:v>0.77777777777777779</c:v>
                </c:pt>
                <c:pt idx="4">
                  <c:v>0.8</c:v>
                </c:pt>
                <c:pt idx="5">
                  <c:v>0.66666666666666663</c:v>
                </c:pt>
              </c:numCache>
            </c:numRef>
          </c:val>
          <c:extLst>
            <c:ext xmlns:c16="http://schemas.microsoft.com/office/drawing/2014/chart" uri="{C3380CC4-5D6E-409C-BE32-E72D297353CC}">
              <c16:uniqueId val="{00000001-F0B7-4279-95C7-042AA334A4C0}"/>
            </c:ext>
          </c:extLst>
        </c:ser>
        <c:dLbls>
          <c:dLblPos val="outEnd"/>
          <c:showLegendKey val="0"/>
          <c:showVal val="1"/>
          <c:showCatName val="0"/>
          <c:showSerName val="0"/>
          <c:showPercent val="0"/>
          <c:showBubbleSize val="0"/>
        </c:dLbls>
        <c:gapWidth val="219"/>
        <c:overlap val="-27"/>
        <c:axId val="252115968"/>
        <c:axId val="249434496"/>
      </c:barChart>
      <c:catAx>
        <c:axId val="25211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434496"/>
        <c:crosses val="autoZero"/>
        <c:auto val="1"/>
        <c:lblAlgn val="ctr"/>
        <c:lblOffset val="100"/>
        <c:noMultiLvlLbl val="0"/>
      </c:catAx>
      <c:valAx>
        <c:axId val="249434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115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'[TABLES FOR Q35-63.xlsx]Sheet2'!$N$282</c:f>
              <c:strCache>
                <c:ptCount val="1"/>
                <c:pt idx="0">
                  <c:v>Yes</c:v>
                </c:pt>
              </c:strCache>
            </c:strRef>
          </c:tx>
          <c:spPr>
            <a:solidFill>
              <a:schemeClr val="accent3">
                <a:shade val="65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FOR Q35-63.xlsx]Sheet2'!$O$281:$T$281</c:f>
              <c:strCache>
                <c:ptCount val="6"/>
                <c:pt idx="0">
                  <c:v>    Total </c:v>
                </c:pt>
                <c:pt idx="1">
                  <c:v>AFR </c:v>
                </c:pt>
                <c:pt idx="2">
                  <c:v>AP</c:v>
                </c:pt>
                <c:pt idx="3">
                  <c:v>CEE</c:v>
                </c:pt>
                <c:pt idx="4">
                  <c:v>GRULAC</c:v>
                </c:pt>
                <c:pt idx="5">
                  <c:v>WEOG</c:v>
                </c:pt>
              </c:strCache>
            </c:strRef>
          </c:cat>
          <c:val>
            <c:numRef>
              <c:f>'[TABLES FOR Q35-63.xlsx]Sheet2'!$O$282:$T$282</c:f>
              <c:numCache>
                <c:formatCode>0%</c:formatCode>
                <c:ptCount val="6"/>
                <c:pt idx="0">
                  <c:v>0.36</c:v>
                </c:pt>
                <c:pt idx="1">
                  <c:v>0.6428571428571429</c:v>
                </c:pt>
                <c:pt idx="2">
                  <c:v>0.46153846153846156</c:v>
                </c:pt>
                <c:pt idx="3">
                  <c:v>0</c:v>
                </c:pt>
                <c:pt idx="4">
                  <c:v>0.1</c:v>
                </c:pt>
                <c:pt idx="5">
                  <c:v>0.13333333333333333</c:v>
                </c:pt>
              </c:numCache>
            </c:numRef>
          </c:val>
          <c:extLst>
            <c:ext xmlns:c16="http://schemas.microsoft.com/office/drawing/2014/chart" uri="{C3380CC4-5D6E-409C-BE32-E72D297353CC}">
              <c16:uniqueId val="{00000000-4B81-4231-A1A7-813198966510}"/>
            </c:ext>
          </c:extLst>
        </c:ser>
        <c:ser>
          <c:idx val="1"/>
          <c:order val="1"/>
          <c:tx>
            <c:strRef>
              <c:f>'[TABLES FOR Q35-63.xlsx]Sheet2'!$N$283</c:f>
              <c:strCache>
                <c:ptCount val="1"/>
                <c:pt idx="0">
                  <c:v>No</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FOR Q35-63.xlsx]Sheet2'!$O$281:$T$281</c:f>
              <c:strCache>
                <c:ptCount val="6"/>
                <c:pt idx="0">
                  <c:v>    Total </c:v>
                </c:pt>
                <c:pt idx="1">
                  <c:v>AFR </c:v>
                </c:pt>
                <c:pt idx="2">
                  <c:v>AP</c:v>
                </c:pt>
                <c:pt idx="3">
                  <c:v>CEE</c:v>
                </c:pt>
                <c:pt idx="4">
                  <c:v>GRULAC</c:v>
                </c:pt>
                <c:pt idx="5">
                  <c:v>WEOG</c:v>
                </c:pt>
              </c:strCache>
            </c:strRef>
          </c:cat>
          <c:val>
            <c:numRef>
              <c:f>'[TABLES FOR Q35-63.xlsx]Sheet2'!$O$283:$T$283</c:f>
              <c:numCache>
                <c:formatCode>0%</c:formatCode>
                <c:ptCount val="6"/>
                <c:pt idx="0">
                  <c:v>0.29333333333333333</c:v>
                </c:pt>
                <c:pt idx="1">
                  <c:v>0.2857142857142857</c:v>
                </c:pt>
                <c:pt idx="2">
                  <c:v>0.38461538461538464</c:v>
                </c:pt>
                <c:pt idx="3">
                  <c:v>0.1111111111111111</c:v>
                </c:pt>
                <c:pt idx="4">
                  <c:v>0.6</c:v>
                </c:pt>
                <c:pt idx="5">
                  <c:v>0.13333333333333333</c:v>
                </c:pt>
              </c:numCache>
            </c:numRef>
          </c:val>
          <c:extLst>
            <c:ext xmlns:c16="http://schemas.microsoft.com/office/drawing/2014/chart" uri="{C3380CC4-5D6E-409C-BE32-E72D297353CC}">
              <c16:uniqueId val="{00000001-4B81-4231-A1A7-813198966510}"/>
            </c:ext>
          </c:extLst>
        </c:ser>
        <c:ser>
          <c:idx val="2"/>
          <c:order val="2"/>
          <c:tx>
            <c:strRef>
              <c:f>'[TABLES FOR Q35-63.xlsx]Sheet2'!$N$284</c:f>
              <c:strCache>
                <c:ptCount val="1"/>
                <c:pt idx="0">
                  <c:v>NA</c:v>
                </c:pt>
              </c:strCache>
            </c:strRef>
          </c:tx>
          <c:spPr>
            <a:solidFill>
              <a:schemeClr val="accent3">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'[TABLES FOR Q35-63.xlsx]Sheet2'!$O$281:$T$281</c:f>
              <c:strCache>
                <c:ptCount val="6"/>
                <c:pt idx="0">
                  <c:v>    Total </c:v>
                </c:pt>
                <c:pt idx="1">
                  <c:v>AFR </c:v>
                </c:pt>
                <c:pt idx="2">
                  <c:v>AP</c:v>
                </c:pt>
                <c:pt idx="3">
                  <c:v>CEE</c:v>
                </c:pt>
                <c:pt idx="4">
                  <c:v>GRULAC</c:v>
                </c:pt>
                <c:pt idx="5">
                  <c:v>WEOG</c:v>
                </c:pt>
              </c:strCache>
            </c:strRef>
          </c:cat>
          <c:val>
            <c:numRef>
              <c:f>'[TABLES FOR Q35-63.xlsx]Sheet2'!$O$284:$T$284</c:f>
              <c:numCache>
                <c:formatCode>0%</c:formatCode>
                <c:ptCount val="6"/>
                <c:pt idx="0">
                  <c:v>0.34666666666666668</c:v>
                </c:pt>
                <c:pt idx="1">
                  <c:v>7.1428571428571425E-2</c:v>
                </c:pt>
                <c:pt idx="2">
                  <c:v>0.15384615384615385</c:v>
                </c:pt>
                <c:pt idx="3">
                  <c:v>0.88888888888888884</c:v>
                </c:pt>
                <c:pt idx="4">
                  <c:v>0.3</c:v>
                </c:pt>
                <c:pt idx="5">
                  <c:v>0.73333333333333328</c:v>
                </c:pt>
              </c:numCache>
            </c:numRef>
          </c:val>
          <c:extLst>
            <c:ext xmlns:c16="http://schemas.microsoft.com/office/drawing/2014/chart" uri="{C3380CC4-5D6E-409C-BE32-E72D297353CC}">
              <c16:uniqueId val="{00000002-4B81-4231-A1A7-813198966510}"/>
            </c:ext>
          </c:extLst>
        </c:ser>
        <c:dLbls>
          <c:dLblPos val="outEnd"/>
          <c:showLegendKey val="0"/>
          <c:showVal val="1"/>
          <c:showCatName val="0"/>
          <c:showSerName val="0"/>
          <c:showPercent val="0"/>
          <c:showBubbleSize val="0"/>
        </c:dLbls>
        <c:gapWidth val="219"/>
        <c:overlap val="-27"/>
        <c:axId val="252067840"/>
        <c:axId val="252069376"/>
      </c:barChart>
      <c:catAx>
        <c:axId val="25206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069376"/>
        <c:crosses val="autoZero"/>
        <c:auto val="1"/>
        <c:lblAlgn val="ctr"/>
        <c:lblOffset val="100"/>
        <c:noMultiLvlLbl val="0"/>
      </c:catAx>
      <c:valAx>
        <c:axId val="252069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067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'[TABLES FOR Q35-63.xlsx]Sheet2'!$K$300</c:f>
              <c:strCache>
                <c:ptCount val="1"/>
                <c:pt idx="0">
                  <c:v>Yes</c:v>
                </c:pt>
              </c:strCache>
            </c:strRef>
          </c:tx>
          <c:spPr>
            <a:solidFill>
              <a:schemeClr val="accent3">
                <a:shade val="76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FOR Q35-63.xlsx]Sheet2'!$L$299:$Q$299</c:f>
              <c:strCache>
                <c:ptCount val="6"/>
                <c:pt idx="0">
                  <c:v>    Total </c:v>
                </c:pt>
                <c:pt idx="1">
                  <c:v>AFR </c:v>
                </c:pt>
                <c:pt idx="2">
                  <c:v>AP</c:v>
                </c:pt>
                <c:pt idx="3">
                  <c:v>CEE</c:v>
                </c:pt>
                <c:pt idx="4">
                  <c:v>GRULAC</c:v>
                </c:pt>
                <c:pt idx="5">
                  <c:v>WEOG</c:v>
                </c:pt>
              </c:strCache>
            </c:strRef>
          </c:cat>
          <c:val>
            <c:numRef>
              <c:f>'[TABLES FOR Q35-63.xlsx]Sheet2'!$L$300:$Q$300</c:f>
              <c:numCache>
                <c:formatCode>0%</c:formatCode>
                <c:ptCount val="6"/>
                <c:pt idx="0">
                  <c:v>0.68</c:v>
                </c:pt>
                <c:pt idx="1">
                  <c:v>0.6071428571428571</c:v>
                </c:pt>
                <c:pt idx="2">
                  <c:v>0.84615384615384615</c:v>
                </c:pt>
                <c:pt idx="3">
                  <c:v>0.66666666666666663</c:v>
                </c:pt>
                <c:pt idx="4">
                  <c:v>0.4</c:v>
                </c:pt>
                <c:pt idx="5">
                  <c:v>0.8666666666666667</c:v>
                </c:pt>
              </c:numCache>
            </c:numRef>
          </c:val>
          <c:extLst>
            <c:ext xmlns:c16="http://schemas.microsoft.com/office/drawing/2014/chart" uri="{C3380CC4-5D6E-409C-BE32-E72D297353CC}">
              <c16:uniqueId val="{00000000-7153-4A3F-9A81-7D9F5530CBC9}"/>
            </c:ext>
          </c:extLst>
        </c:ser>
        <c:ser>
          <c:idx val="1"/>
          <c:order val="1"/>
          <c:tx>
            <c:strRef>
              <c:f>'[TABLES FOR Q35-63.xlsx]Sheet2'!$K$301</c:f>
              <c:strCache>
                <c:ptCount val="1"/>
                <c:pt idx="0">
                  <c:v>No</c:v>
                </c:pt>
              </c:strCache>
            </c:strRef>
          </c:tx>
          <c:spPr>
            <a:solidFill>
              <a:schemeClr val="accent3">
                <a:tint val="77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FOR Q35-63.xlsx]Sheet2'!$L$299:$Q$299</c:f>
              <c:strCache>
                <c:ptCount val="6"/>
                <c:pt idx="0">
                  <c:v>    Total </c:v>
                </c:pt>
                <c:pt idx="1">
                  <c:v>AFR </c:v>
                </c:pt>
                <c:pt idx="2">
                  <c:v>AP</c:v>
                </c:pt>
                <c:pt idx="3">
                  <c:v>CEE</c:v>
                </c:pt>
                <c:pt idx="4">
                  <c:v>GRULAC</c:v>
                </c:pt>
                <c:pt idx="5">
                  <c:v>WEOG</c:v>
                </c:pt>
              </c:strCache>
            </c:strRef>
          </c:cat>
          <c:val>
            <c:numRef>
              <c:f>'[TABLES FOR Q35-63.xlsx]Sheet2'!$L$301:$Q$301</c:f>
              <c:numCache>
                <c:formatCode>0%</c:formatCode>
                <c:ptCount val="6"/>
                <c:pt idx="0">
                  <c:v>0.32</c:v>
                </c:pt>
                <c:pt idx="1">
                  <c:v>0.39285714285714285</c:v>
                </c:pt>
                <c:pt idx="2">
                  <c:v>0.15384615384615385</c:v>
                </c:pt>
                <c:pt idx="3">
                  <c:v>0.33333333333333331</c:v>
                </c:pt>
                <c:pt idx="4">
                  <c:v>0.6</c:v>
                </c:pt>
                <c:pt idx="5">
                  <c:v>0.13333333333333333</c:v>
                </c:pt>
              </c:numCache>
            </c:numRef>
          </c:val>
          <c:extLst>
            <c:ext xmlns:c16="http://schemas.microsoft.com/office/drawing/2014/chart" uri="{C3380CC4-5D6E-409C-BE32-E72D297353CC}">
              <c16:uniqueId val="{00000001-7153-4A3F-9A81-7D9F5530CBC9}"/>
            </c:ext>
          </c:extLst>
        </c:ser>
        <c:dLbls>
          <c:dLblPos val="outEnd"/>
          <c:showLegendKey val="0"/>
          <c:showVal val="1"/>
          <c:showCatName val="0"/>
          <c:showSerName val="0"/>
          <c:showPercent val="0"/>
          <c:showBubbleSize val="0"/>
        </c:dLbls>
        <c:gapWidth val="219"/>
        <c:overlap val="-27"/>
        <c:axId val="252140928"/>
        <c:axId val="252159104"/>
      </c:barChart>
      <c:catAx>
        <c:axId val="25214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159104"/>
        <c:crosses val="autoZero"/>
        <c:auto val="1"/>
        <c:lblAlgn val="ctr"/>
        <c:lblOffset val="100"/>
        <c:noMultiLvlLbl val="0"/>
      </c:catAx>
      <c:valAx>
        <c:axId val="252159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140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'[TABLES FOR Q35-63.xlsx]Sheet2'!$K$300</c:f>
              <c:strCache>
                <c:ptCount val="1"/>
                <c:pt idx="0">
                  <c:v>Yes</c:v>
                </c:pt>
              </c:strCache>
            </c:strRef>
          </c:tx>
          <c:spPr>
            <a:solidFill>
              <a:schemeClr val="accent3">
                <a:shade val="76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FOR Q35-63.xlsx]Sheet2'!$L$299:$Q$299</c:f>
              <c:strCache>
                <c:ptCount val="6"/>
                <c:pt idx="0">
                  <c:v>    Total </c:v>
                </c:pt>
                <c:pt idx="1">
                  <c:v>AFR </c:v>
                </c:pt>
                <c:pt idx="2">
                  <c:v>AP</c:v>
                </c:pt>
                <c:pt idx="3">
                  <c:v>CEE</c:v>
                </c:pt>
                <c:pt idx="4">
                  <c:v>GRULAC</c:v>
                </c:pt>
                <c:pt idx="5">
                  <c:v>WEOG</c:v>
                </c:pt>
              </c:strCache>
            </c:strRef>
          </c:cat>
          <c:val>
            <c:numRef>
              <c:f>'[TABLES FOR Q35-63.xlsx]Sheet2'!$L$300:$Q$300</c:f>
              <c:numCache>
                <c:formatCode>0%</c:formatCode>
                <c:ptCount val="6"/>
                <c:pt idx="0">
                  <c:v>0.68</c:v>
                </c:pt>
                <c:pt idx="1">
                  <c:v>0.6071428571428571</c:v>
                </c:pt>
                <c:pt idx="2">
                  <c:v>0.84615384615384615</c:v>
                </c:pt>
                <c:pt idx="3">
                  <c:v>0.66666666666666663</c:v>
                </c:pt>
                <c:pt idx="4">
                  <c:v>0.4</c:v>
                </c:pt>
                <c:pt idx="5">
                  <c:v>0.8666666666666667</c:v>
                </c:pt>
              </c:numCache>
            </c:numRef>
          </c:val>
          <c:extLst>
            <c:ext xmlns:c16="http://schemas.microsoft.com/office/drawing/2014/chart" uri="{C3380CC4-5D6E-409C-BE32-E72D297353CC}">
              <c16:uniqueId val="{00000000-7153-4A3F-9A81-7D9F5530CBC9}"/>
            </c:ext>
          </c:extLst>
        </c:ser>
        <c:ser>
          <c:idx val="1"/>
          <c:order val="1"/>
          <c:tx>
            <c:strRef>
              <c:f>'[TABLES FOR Q35-63.xlsx]Sheet2'!$K$301</c:f>
              <c:strCache>
                <c:ptCount val="1"/>
                <c:pt idx="0">
                  <c:v>No</c:v>
                </c:pt>
              </c:strCache>
            </c:strRef>
          </c:tx>
          <c:spPr>
            <a:solidFill>
              <a:schemeClr val="accent3">
                <a:tint val="77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FOR Q35-63.xlsx]Sheet2'!$L$299:$Q$299</c:f>
              <c:strCache>
                <c:ptCount val="6"/>
                <c:pt idx="0">
                  <c:v>    Total </c:v>
                </c:pt>
                <c:pt idx="1">
                  <c:v>AFR </c:v>
                </c:pt>
                <c:pt idx="2">
                  <c:v>AP</c:v>
                </c:pt>
                <c:pt idx="3">
                  <c:v>CEE</c:v>
                </c:pt>
                <c:pt idx="4">
                  <c:v>GRULAC</c:v>
                </c:pt>
                <c:pt idx="5">
                  <c:v>WEOG</c:v>
                </c:pt>
              </c:strCache>
            </c:strRef>
          </c:cat>
          <c:val>
            <c:numRef>
              <c:f>'[TABLES FOR Q35-63.xlsx]Sheet2'!$L$301:$Q$301</c:f>
              <c:numCache>
                <c:formatCode>0%</c:formatCode>
                <c:ptCount val="6"/>
                <c:pt idx="0">
                  <c:v>0.32</c:v>
                </c:pt>
                <c:pt idx="1">
                  <c:v>0.39285714285714285</c:v>
                </c:pt>
                <c:pt idx="2">
                  <c:v>0.15384615384615385</c:v>
                </c:pt>
                <c:pt idx="3">
                  <c:v>0.33333333333333331</c:v>
                </c:pt>
                <c:pt idx="4">
                  <c:v>0.6</c:v>
                </c:pt>
                <c:pt idx="5">
                  <c:v>0.13333333333333333</c:v>
                </c:pt>
              </c:numCache>
            </c:numRef>
          </c:val>
          <c:extLst>
            <c:ext xmlns:c16="http://schemas.microsoft.com/office/drawing/2014/chart" uri="{C3380CC4-5D6E-409C-BE32-E72D297353CC}">
              <c16:uniqueId val="{00000001-7153-4A3F-9A81-7D9F5530CBC9}"/>
            </c:ext>
          </c:extLst>
        </c:ser>
        <c:dLbls>
          <c:dLblPos val="outEnd"/>
          <c:showLegendKey val="0"/>
          <c:showVal val="1"/>
          <c:showCatName val="0"/>
          <c:showSerName val="0"/>
          <c:showPercent val="0"/>
          <c:showBubbleSize val="0"/>
        </c:dLbls>
        <c:gapWidth val="219"/>
        <c:overlap val="-27"/>
        <c:axId val="252587008"/>
        <c:axId val="252617472"/>
      </c:barChart>
      <c:catAx>
        <c:axId val="25258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617472"/>
        <c:crosses val="autoZero"/>
        <c:auto val="1"/>
        <c:lblAlgn val="ctr"/>
        <c:lblOffset val="100"/>
        <c:noMultiLvlLbl val="0"/>
      </c:catAx>
      <c:valAx>
        <c:axId val="252617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587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'[TABLES FOR Q35-63 (002).xlsx]Sheet2'!$K$357</c:f>
              <c:strCache>
                <c:ptCount val="1"/>
                <c:pt idx="0">
                  <c:v>Yes</c:v>
                </c:pt>
              </c:strCache>
            </c:strRef>
          </c:tx>
          <c:spPr>
            <a:solidFill>
              <a:schemeClr val="accent3">
                <a:shade val="76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FOR Q35-63 (002).xlsx]Sheet2'!$L$356:$Q$356</c:f>
              <c:strCache>
                <c:ptCount val="6"/>
                <c:pt idx="0">
                  <c:v>    Total </c:v>
                </c:pt>
                <c:pt idx="1">
                  <c:v>AFR </c:v>
                </c:pt>
                <c:pt idx="2">
                  <c:v>AP</c:v>
                </c:pt>
                <c:pt idx="3">
                  <c:v>CEE</c:v>
                </c:pt>
                <c:pt idx="4">
                  <c:v>GRULAC</c:v>
                </c:pt>
                <c:pt idx="5">
                  <c:v>WEOG</c:v>
                </c:pt>
              </c:strCache>
            </c:strRef>
          </c:cat>
          <c:val>
            <c:numRef>
              <c:f>'[TABLES FOR Q35-63 (002).xlsx]Sheet2'!$L$357:$Q$357</c:f>
              <c:numCache>
                <c:formatCode>0%</c:formatCode>
                <c:ptCount val="6"/>
                <c:pt idx="0">
                  <c:v>0.80303030303030298</c:v>
                </c:pt>
                <c:pt idx="1">
                  <c:v>0.84615384615384615</c:v>
                </c:pt>
                <c:pt idx="2">
                  <c:v>0.90909090909090906</c:v>
                </c:pt>
                <c:pt idx="3">
                  <c:v>0.75</c:v>
                </c:pt>
                <c:pt idx="4">
                  <c:v>0.7142857142857143</c:v>
                </c:pt>
                <c:pt idx="5">
                  <c:v>0.7142857142857143</c:v>
                </c:pt>
              </c:numCache>
            </c:numRef>
          </c:val>
          <c:extLst>
            <c:ext xmlns:c16="http://schemas.microsoft.com/office/drawing/2014/chart" uri="{C3380CC4-5D6E-409C-BE32-E72D297353CC}">
              <c16:uniqueId val="{00000000-9A64-4C41-815C-BAB83DD16AA3}"/>
            </c:ext>
          </c:extLst>
        </c:ser>
        <c:ser>
          <c:idx val="1"/>
          <c:order val="1"/>
          <c:tx>
            <c:strRef>
              <c:f>'[TABLES FOR Q35-63 (002).xlsx]Sheet2'!$K$358</c:f>
              <c:strCache>
                <c:ptCount val="1"/>
                <c:pt idx="0">
                  <c:v>No</c:v>
                </c:pt>
              </c:strCache>
            </c:strRef>
          </c:tx>
          <c:spPr>
            <a:solidFill>
              <a:schemeClr val="accent3">
                <a:tint val="77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FOR Q35-63 (002).xlsx]Sheet2'!$L$356:$Q$356</c:f>
              <c:strCache>
                <c:ptCount val="6"/>
                <c:pt idx="0">
                  <c:v>    Total </c:v>
                </c:pt>
                <c:pt idx="1">
                  <c:v>AFR </c:v>
                </c:pt>
                <c:pt idx="2">
                  <c:v>AP</c:v>
                </c:pt>
                <c:pt idx="3">
                  <c:v>CEE</c:v>
                </c:pt>
                <c:pt idx="4">
                  <c:v>GRULAC</c:v>
                </c:pt>
                <c:pt idx="5">
                  <c:v>WEOG</c:v>
                </c:pt>
              </c:strCache>
            </c:strRef>
          </c:cat>
          <c:val>
            <c:numRef>
              <c:f>'[TABLES FOR Q35-63 (002).xlsx]Sheet2'!$L$358:$Q$358</c:f>
              <c:numCache>
                <c:formatCode>0%</c:formatCode>
                <c:ptCount val="6"/>
                <c:pt idx="0">
                  <c:v>0.19696969696969696</c:v>
                </c:pt>
                <c:pt idx="1">
                  <c:v>0.15384615384615385</c:v>
                </c:pt>
                <c:pt idx="2">
                  <c:v>9.0909090909090912E-2</c:v>
                </c:pt>
                <c:pt idx="3">
                  <c:v>0.25</c:v>
                </c:pt>
                <c:pt idx="4">
                  <c:v>0.2857142857142857</c:v>
                </c:pt>
                <c:pt idx="5">
                  <c:v>0.2857142857142857</c:v>
                </c:pt>
              </c:numCache>
            </c:numRef>
          </c:val>
          <c:extLst>
            <c:ext xmlns:c16="http://schemas.microsoft.com/office/drawing/2014/chart" uri="{C3380CC4-5D6E-409C-BE32-E72D297353CC}">
              <c16:uniqueId val="{00000001-9A64-4C41-815C-BAB83DD16AA3}"/>
            </c:ext>
          </c:extLst>
        </c:ser>
        <c:dLbls>
          <c:dLblPos val="outEnd"/>
          <c:showLegendKey val="0"/>
          <c:showVal val="1"/>
          <c:showCatName val="0"/>
          <c:showSerName val="0"/>
          <c:showPercent val="0"/>
          <c:showBubbleSize val="0"/>
        </c:dLbls>
        <c:gapWidth val="219"/>
        <c:overlap val="-27"/>
        <c:axId val="253704064"/>
        <c:axId val="253705600"/>
      </c:barChart>
      <c:catAx>
        <c:axId val="25370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705600"/>
        <c:crosses val="autoZero"/>
        <c:auto val="1"/>
        <c:lblAlgn val="ctr"/>
        <c:lblOffset val="100"/>
        <c:noMultiLvlLbl val="0"/>
      </c:catAx>
      <c:valAx>
        <c:axId val="253705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70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'[TABLES FOR Q35-63 (002).xlsx]Sheet2'!$K$376</c:f>
              <c:strCache>
                <c:ptCount val="1"/>
                <c:pt idx="0">
                  <c:v>Yes</c:v>
                </c:pt>
              </c:strCache>
            </c:strRef>
          </c:tx>
          <c:spPr>
            <a:solidFill>
              <a:schemeClr val="accent3">
                <a:shade val="76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FOR Q35-63 (002).xlsx]Sheet2'!$L$375:$Q$375</c:f>
              <c:strCache>
                <c:ptCount val="6"/>
                <c:pt idx="0">
                  <c:v>    Total </c:v>
                </c:pt>
                <c:pt idx="1">
                  <c:v>AFR </c:v>
                </c:pt>
                <c:pt idx="2">
                  <c:v>AP</c:v>
                </c:pt>
                <c:pt idx="3">
                  <c:v>CEE</c:v>
                </c:pt>
                <c:pt idx="4">
                  <c:v>GRULAC</c:v>
                </c:pt>
                <c:pt idx="5">
                  <c:v>WEOG</c:v>
                </c:pt>
              </c:strCache>
            </c:strRef>
          </c:cat>
          <c:val>
            <c:numRef>
              <c:f>'[TABLES FOR Q35-63 (002).xlsx]Sheet2'!$L$376:$Q$376</c:f>
              <c:numCache>
                <c:formatCode>0%</c:formatCode>
                <c:ptCount val="6"/>
                <c:pt idx="0">
                  <c:v>0.7466666666666667</c:v>
                </c:pt>
                <c:pt idx="1">
                  <c:v>0.7857142857142857</c:v>
                </c:pt>
                <c:pt idx="2">
                  <c:v>0.84615384615384615</c:v>
                </c:pt>
                <c:pt idx="3">
                  <c:v>0.55555555555555558</c:v>
                </c:pt>
                <c:pt idx="4">
                  <c:v>0.6</c:v>
                </c:pt>
                <c:pt idx="5">
                  <c:v>0.8</c:v>
                </c:pt>
              </c:numCache>
            </c:numRef>
          </c:val>
          <c:extLst>
            <c:ext xmlns:c16="http://schemas.microsoft.com/office/drawing/2014/chart" uri="{C3380CC4-5D6E-409C-BE32-E72D297353CC}">
              <c16:uniqueId val="{00000000-F066-4DE7-8268-DA250E8B71EA}"/>
            </c:ext>
          </c:extLst>
        </c:ser>
        <c:ser>
          <c:idx val="1"/>
          <c:order val="1"/>
          <c:tx>
            <c:strRef>
              <c:f>'[TABLES FOR Q35-63 (002).xlsx]Sheet2'!$K$377</c:f>
              <c:strCache>
                <c:ptCount val="1"/>
                <c:pt idx="0">
                  <c:v>No</c:v>
                </c:pt>
              </c:strCache>
            </c:strRef>
          </c:tx>
          <c:spPr>
            <a:solidFill>
              <a:schemeClr val="accent3">
                <a:tint val="77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FOR Q35-63 (002).xlsx]Sheet2'!$L$375:$Q$375</c:f>
              <c:strCache>
                <c:ptCount val="6"/>
                <c:pt idx="0">
                  <c:v>    Total </c:v>
                </c:pt>
                <c:pt idx="1">
                  <c:v>AFR </c:v>
                </c:pt>
                <c:pt idx="2">
                  <c:v>AP</c:v>
                </c:pt>
                <c:pt idx="3">
                  <c:v>CEE</c:v>
                </c:pt>
                <c:pt idx="4">
                  <c:v>GRULAC</c:v>
                </c:pt>
                <c:pt idx="5">
                  <c:v>WEOG</c:v>
                </c:pt>
              </c:strCache>
            </c:strRef>
          </c:cat>
          <c:val>
            <c:numRef>
              <c:f>'[TABLES FOR Q35-63 (002).xlsx]Sheet2'!$L$377:$Q$377</c:f>
              <c:numCache>
                <c:formatCode>0%</c:formatCode>
                <c:ptCount val="6"/>
                <c:pt idx="0">
                  <c:v>0.25333333333333335</c:v>
                </c:pt>
                <c:pt idx="1">
                  <c:v>0.21428571428571427</c:v>
                </c:pt>
                <c:pt idx="2">
                  <c:v>0.15384615384615385</c:v>
                </c:pt>
                <c:pt idx="3">
                  <c:v>0.44444444444444442</c:v>
                </c:pt>
                <c:pt idx="4">
                  <c:v>0.4</c:v>
                </c:pt>
                <c:pt idx="5">
                  <c:v>0.2</c:v>
                </c:pt>
              </c:numCache>
            </c:numRef>
          </c:val>
          <c:extLst>
            <c:ext xmlns:c16="http://schemas.microsoft.com/office/drawing/2014/chart" uri="{C3380CC4-5D6E-409C-BE32-E72D297353CC}">
              <c16:uniqueId val="{00000001-F066-4DE7-8268-DA250E8B71EA}"/>
            </c:ext>
          </c:extLst>
        </c:ser>
        <c:dLbls>
          <c:dLblPos val="outEnd"/>
          <c:showLegendKey val="0"/>
          <c:showVal val="1"/>
          <c:showCatName val="0"/>
          <c:showSerName val="0"/>
          <c:showPercent val="0"/>
          <c:showBubbleSize val="0"/>
        </c:dLbls>
        <c:gapWidth val="219"/>
        <c:overlap val="-27"/>
        <c:axId val="252183680"/>
        <c:axId val="252184832"/>
      </c:barChart>
      <c:catAx>
        <c:axId val="25218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184832"/>
        <c:crosses val="autoZero"/>
        <c:auto val="1"/>
        <c:lblAlgn val="ctr"/>
        <c:lblOffset val="100"/>
        <c:noMultiLvlLbl val="0"/>
      </c:catAx>
      <c:valAx>
        <c:axId val="252184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183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'Article 5'!$I$7</c:f>
              <c:strCache>
                <c:ptCount val="1"/>
                <c:pt idx="0">
                  <c:v>Yes</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5'!$J$6:$O$6</c:f>
              <c:strCache>
                <c:ptCount val="6"/>
                <c:pt idx="0">
                  <c:v>    Total </c:v>
                </c:pt>
                <c:pt idx="1">
                  <c:v>AFR </c:v>
                </c:pt>
                <c:pt idx="2">
                  <c:v>AP</c:v>
                </c:pt>
                <c:pt idx="3">
                  <c:v>CEE</c:v>
                </c:pt>
                <c:pt idx="4">
                  <c:v>GRULAC</c:v>
                </c:pt>
                <c:pt idx="5">
                  <c:v>WEOG</c:v>
                </c:pt>
              </c:strCache>
            </c:strRef>
          </c:cat>
          <c:val>
            <c:numRef>
              <c:f>'Article 5'!$J$7:$O$7</c:f>
              <c:numCache>
                <c:formatCode>0%</c:formatCode>
                <c:ptCount val="6"/>
                <c:pt idx="0">
                  <c:v>0.66666666666666663</c:v>
                </c:pt>
                <c:pt idx="1">
                  <c:v>0.5714285714285714</c:v>
                </c:pt>
                <c:pt idx="2">
                  <c:v>0.53846153846153844</c:v>
                </c:pt>
                <c:pt idx="3">
                  <c:v>0.88888888888888884</c:v>
                </c:pt>
                <c:pt idx="4">
                  <c:v>0.4</c:v>
                </c:pt>
                <c:pt idx="5">
                  <c:v>1</c:v>
                </c:pt>
              </c:numCache>
            </c:numRef>
          </c:val>
          <c:extLst>
            <c:ext xmlns:c16="http://schemas.microsoft.com/office/drawing/2014/chart" uri="{C3380CC4-5D6E-409C-BE32-E72D297353CC}">
              <c16:uniqueId val="{00000000-4EF3-427A-B1EC-6983CD7E988D}"/>
            </c:ext>
          </c:extLst>
        </c:ser>
        <c:ser>
          <c:idx val="1"/>
          <c:order val="1"/>
          <c:tx>
            <c:strRef>
              <c:f>'Article 5'!$I$8</c:f>
              <c:strCache>
                <c:ptCount val="1"/>
                <c:pt idx="0">
                  <c:v>No</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5'!$J$6:$O$6</c:f>
              <c:strCache>
                <c:ptCount val="6"/>
                <c:pt idx="0">
                  <c:v>    Total </c:v>
                </c:pt>
                <c:pt idx="1">
                  <c:v>AFR </c:v>
                </c:pt>
                <c:pt idx="2">
                  <c:v>AP</c:v>
                </c:pt>
                <c:pt idx="3">
                  <c:v>CEE</c:v>
                </c:pt>
                <c:pt idx="4">
                  <c:v>GRULAC</c:v>
                </c:pt>
                <c:pt idx="5">
                  <c:v>WEOG</c:v>
                </c:pt>
              </c:strCache>
            </c:strRef>
          </c:cat>
          <c:val>
            <c:numRef>
              <c:f>'Article 5'!$J$8:$O$8</c:f>
              <c:numCache>
                <c:formatCode>0%</c:formatCode>
                <c:ptCount val="6"/>
                <c:pt idx="0">
                  <c:v>0.33333333333333331</c:v>
                </c:pt>
                <c:pt idx="1">
                  <c:v>0.42857142857142855</c:v>
                </c:pt>
                <c:pt idx="2">
                  <c:v>0.46153846153846156</c:v>
                </c:pt>
                <c:pt idx="3">
                  <c:v>0.1111111111111111</c:v>
                </c:pt>
                <c:pt idx="4">
                  <c:v>0.6</c:v>
                </c:pt>
                <c:pt idx="5">
                  <c:v>0</c:v>
                </c:pt>
              </c:numCache>
            </c:numRef>
          </c:val>
          <c:extLst>
            <c:ext xmlns:c16="http://schemas.microsoft.com/office/drawing/2014/chart" uri="{C3380CC4-5D6E-409C-BE32-E72D297353CC}">
              <c16:uniqueId val="{00000001-4EF3-427A-B1EC-6983CD7E988D}"/>
            </c:ext>
          </c:extLst>
        </c:ser>
        <c:dLbls>
          <c:dLblPos val="outEnd"/>
          <c:showLegendKey val="0"/>
          <c:showVal val="1"/>
          <c:showCatName val="0"/>
          <c:showSerName val="0"/>
          <c:showPercent val="0"/>
          <c:showBubbleSize val="0"/>
        </c:dLbls>
        <c:gapWidth val="219"/>
        <c:overlap val="-27"/>
        <c:axId val="235067264"/>
        <c:axId val="235068800"/>
      </c:barChart>
      <c:catAx>
        <c:axId val="23506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068800"/>
        <c:crosses val="autoZero"/>
        <c:auto val="1"/>
        <c:lblAlgn val="ctr"/>
        <c:lblOffset val="100"/>
        <c:noMultiLvlLbl val="0"/>
      </c:catAx>
      <c:valAx>
        <c:axId val="235068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067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'[TABLES FOR Q35-63 (002).xlsx]Sheet2'!$K$412</c:f>
              <c:strCache>
                <c:ptCount val="1"/>
                <c:pt idx="0">
                  <c:v>Yes</c:v>
                </c:pt>
              </c:strCache>
            </c:strRef>
          </c:tx>
          <c:spPr>
            <a:solidFill>
              <a:schemeClr val="accent3">
                <a:shade val="76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FOR Q35-63 (002).xlsx]Sheet2'!$L$411:$Q$411</c:f>
              <c:strCache>
                <c:ptCount val="6"/>
                <c:pt idx="0">
                  <c:v>    Total </c:v>
                </c:pt>
                <c:pt idx="1">
                  <c:v>AFR </c:v>
                </c:pt>
                <c:pt idx="2">
                  <c:v>AP</c:v>
                </c:pt>
                <c:pt idx="3">
                  <c:v>CEE</c:v>
                </c:pt>
                <c:pt idx="4">
                  <c:v>GRULAC</c:v>
                </c:pt>
                <c:pt idx="5">
                  <c:v>WEOG</c:v>
                </c:pt>
              </c:strCache>
            </c:strRef>
          </c:cat>
          <c:val>
            <c:numRef>
              <c:f>'[TABLES FOR Q35-63 (002).xlsx]Sheet2'!$L$412:$Q$412</c:f>
              <c:numCache>
                <c:formatCode>0%</c:formatCode>
                <c:ptCount val="6"/>
                <c:pt idx="0">
                  <c:v>0.63513513513513509</c:v>
                </c:pt>
                <c:pt idx="1">
                  <c:v>0.9642857142857143</c:v>
                </c:pt>
                <c:pt idx="2">
                  <c:v>0.75</c:v>
                </c:pt>
                <c:pt idx="3">
                  <c:v>0.22222222222222221</c:v>
                </c:pt>
                <c:pt idx="4">
                  <c:v>0.9</c:v>
                </c:pt>
                <c:pt idx="5">
                  <c:v>0</c:v>
                </c:pt>
              </c:numCache>
            </c:numRef>
          </c:val>
          <c:extLst>
            <c:ext xmlns:c16="http://schemas.microsoft.com/office/drawing/2014/chart" uri="{C3380CC4-5D6E-409C-BE32-E72D297353CC}">
              <c16:uniqueId val="{00000000-25AC-44F2-A922-FBCF89E1CE1D}"/>
            </c:ext>
          </c:extLst>
        </c:ser>
        <c:ser>
          <c:idx val="1"/>
          <c:order val="1"/>
          <c:tx>
            <c:strRef>
              <c:f>'[TABLES FOR Q35-63 (002).xlsx]Sheet2'!$K$413</c:f>
              <c:strCache>
                <c:ptCount val="1"/>
                <c:pt idx="0">
                  <c:v>No</c:v>
                </c:pt>
              </c:strCache>
            </c:strRef>
          </c:tx>
          <c:spPr>
            <a:solidFill>
              <a:schemeClr val="accent3">
                <a:tint val="77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FOR Q35-63 (002).xlsx]Sheet2'!$L$411:$Q$411</c:f>
              <c:strCache>
                <c:ptCount val="6"/>
                <c:pt idx="0">
                  <c:v>    Total </c:v>
                </c:pt>
                <c:pt idx="1">
                  <c:v>AFR </c:v>
                </c:pt>
                <c:pt idx="2">
                  <c:v>AP</c:v>
                </c:pt>
                <c:pt idx="3">
                  <c:v>CEE</c:v>
                </c:pt>
                <c:pt idx="4">
                  <c:v>GRULAC</c:v>
                </c:pt>
                <c:pt idx="5">
                  <c:v>WEOG</c:v>
                </c:pt>
              </c:strCache>
            </c:strRef>
          </c:cat>
          <c:val>
            <c:numRef>
              <c:f>'[TABLES FOR Q35-63 (002).xlsx]Sheet2'!$L$413:$Q$413</c:f>
              <c:numCache>
                <c:formatCode>0%</c:formatCode>
                <c:ptCount val="6"/>
                <c:pt idx="0">
                  <c:v>0.36486486486486486</c:v>
                </c:pt>
                <c:pt idx="1">
                  <c:v>3.5714285714285712E-2</c:v>
                </c:pt>
                <c:pt idx="2">
                  <c:v>0.25</c:v>
                </c:pt>
                <c:pt idx="3">
                  <c:v>0.77777777777777779</c:v>
                </c:pt>
                <c:pt idx="4">
                  <c:v>0.1</c:v>
                </c:pt>
                <c:pt idx="5">
                  <c:v>1</c:v>
                </c:pt>
              </c:numCache>
            </c:numRef>
          </c:val>
          <c:extLst>
            <c:ext xmlns:c16="http://schemas.microsoft.com/office/drawing/2014/chart" uri="{C3380CC4-5D6E-409C-BE32-E72D297353CC}">
              <c16:uniqueId val="{00000001-25AC-44F2-A922-FBCF89E1CE1D}"/>
            </c:ext>
          </c:extLst>
        </c:ser>
        <c:dLbls>
          <c:dLblPos val="outEnd"/>
          <c:showLegendKey val="0"/>
          <c:showVal val="1"/>
          <c:showCatName val="0"/>
          <c:showSerName val="0"/>
          <c:showPercent val="0"/>
          <c:showBubbleSize val="0"/>
        </c:dLbls>
        <c:gapWidth val="219"/>
        <c:overlap val="-27"/>
        <c:axId val="252206464"/>
        <c:axId val="252228736"/>
      </c:barChart>
      <c:catAx>
        <c:axId val="25220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228736"/>
        <c:crosses val="autoZero"/>
        <c:auto val="1"/>
        <c:lblAlgn val="ctr"/>
        <c:lblOffset val="100"/>
        <c:noMultiLvlLbl val="0"/>
      </c:catAx>
      <c:valAx>
        <c:axId val="252228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20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Sheet2!$K$429</c:f>
              <c:strCache>
                <c:ptCount val="1"/>
                <c:pt idx="0">
                  <c:v>Yes</c:v>
                </c:pt>
              </c:strCache>
            </c:strRef>
          </c:tx>
          <c:spPr>
            <a:solidFill>
              <a:schemeClr val="accent3">
                <a:shade val="76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Sheet2!$L$428:$Q$428</c:f>
              <c:strCache>
                <c:ptCount val="6"/>
                <c:pt idx="0">
                  <c:v>    Total </c:v>
                </c:pt>
                <c:pt idx="1">
                  <c:v>AFR </c:v>
                </c:pt>
                <c:pt idx="2">
                  <c:v>AP</c:v>
                </c:pt>
                <c:pt idx="3">
                  <c:v>CEE</c:v>
                </c:pt>
                <c:pt idx="4">
                  <c:v>GRULAC</c:v>
                </c:pt>
                <c:pt idx="5">
                  <c:v>WEOG</c:v>
                </c:pt>
              </c:strCache>
            </c:strRef>
          </c:cat>
          <c:val>
            <c:numRef>
              <c:f>Sheet2!$L$429:$Q$429</c:f>
              <c:numCache>
                <c:formatCode>0%</c:formatCode>
                <c:ptCount val="6"/>
                <c:pt idx="0">
                  <c:v>0.35135135135135137</c:v>
                </c:pt>
                <c:pt idx="1">
                  <c:v>0.17857142857142858</c:v>
                </c:pt>
                <c:pt idx="2">
                  <c:v>0.61538461538461542</c:v>
                </c:pt>
                <c:pt idx="3">
                  <c:v>0.25</c:v>
                </c:pt>
                <c:pt idx="4">
                  <c:v>0.2</c:v>
                </c:pt>
                <c:pt idx="5">
                  <c:v>0.6</c:v>
                </c:pt>
              </c:numCache>
            </c:numRef>
          </c:val>
          <c:extLst>
            <c:ext xmlns:c16="http://schemas.microsoft.com/office/drawing/2014/chart" uri="{C3380CC4-5D6E-409C-BE32-E72D297353CC}">
              <c16:uniqueId val="{00000000-E6C8-4023-A08A-FABB2E3C72EE}"/>
            </c:ext>
          </c:extLst>
        </c:ser>
        <c:ser>
          <c:idx val="1"/>
          <c:order val="1"/>
          <c:tx>
            <c:strRef>
              <c:f>Sheet2!$K$430</c:f>
              <c:strCache>
                <c:ptCount val="1"/>
                <c:pt idx="0">
                  <c:v>No</c:v>
                </c:pt>
              </c:strCache>
            </c:strRef>
          </c:tx>
          <c:spPr>
            <a:solidFill>
              <a:schemeClr val="accent3">
                <a:tint val="77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Sheet2!$L$428:$Q$428</c:f>
              <c:strCache>
                <c:ptCount val="6"/>
                <c:pt idx="0">
                  <c:v>    Total </c:v>
                </c:pt>
                <c:pt idx="1">
                  <c:v>AFR </c:v>
                </c:pt>
                <c:pt idx="2">
                  <c:v>AP</c:v>
                </c:pt>
                <c:pt idx="3">
                  <c:v>CEE</c:v>
                </c:pt>
                <c:pt idx="4">
                  <c:v>GRULAC</c:v>
                </c:pt>
                <c:pt idx="5">
                  <c:v>WEOG</c:v>
                </c:pt>
              </c:strCache>
            </c:strRef>
          </c:cat>
          <c:val>
            <c:numRef>
              <c:f>Sheet2!$L$430:$Q$430</c:f>
              <c:numCache>
                <c:formatCode>0%</c:formatCode>
                <c:ptCount val="6"/>
                <c:pt idx="0">
                  <c:v>0.64864864864864868</c:v>
                </c:pt>
                <c:pt idx="1">
                  <c:v>0.8214285714285714</c:v>
                </c:pt>
                <c:pt idx="2">
                  <c:v>0.38461538461538464</c:v>
                </c:pt>
                <c:pt idx="3">
                  <c:v>0.75</c:v>
                </c:pt>
                <c:pt idx="4">
                  <c:v>0.8</c:v>
                </c:pt>
                <c:pt idx="5">
                  <c:v>0.4</c:v>
                </c:pt>
              </c:numCache>
            </c:numRef>
          </c:val>
          <c:extLst>
            <c:ext xmlns:c16="http://schemas.microsoft.com/office/drawing/2014/chart" uri="{C3380CC4-5D6E-409C-BE32-E72D297353CC}">
              <c16:uniqueId val="{00000001-E6C8-4023-A08A-FABB2E3C72EE}"/>
            </c:ext>
          </c:extLst>
        </c:ser>
        <c:dLbls>
          <c:dLblPos val="outEnd"/>
          <c:showLegendKey val="0"/>
          <c:showVal val="1"/>
          <c:showCatName val="0"/>
          <c:showSerName val="0"/>
          <c:showPercent val="0"/>
          <c:showBubbleSize val="0"/>
        </c:dLbls>
        <c:gapWidth val="219"/>
        <c:overlap val="-27"/>
        <c:axId val="253835520"/>
        <c:axId val="253853696"/>
      </c:barChart>
      <c:catAx>
        <c:axId val="25383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853696"/>
        <c:crosses val="autoZero"/>
        <c:auto val="1"/>
        <c:lblAlgn val="ctr"/>
        <c:lblOffset val="100"/>
        <c:noMultiLvlLbl val="0"/>
      </c:catAx>
      <c:valAx>
        <c:axId val="253853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835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'[TABLES FOR Q35-63 (002).xlsx]Sheet2'!$K$445</c:f>
              <c:strCache>
                <c:ptCount val="1"/>
                <c:pt idx="0">
                  <c:v>Yes</c:v>
                </c:pt>
              </c:strCache>
            </c:strRef>
          </c:tx>
          <c:spPr>
            <a:solidFill>
              <a:schemeClr val="accent3">
                <a:shade val="76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FOR Q35-63 (002).xlsx]Sheet2'!$L$444:$Q$444</c:f>
              <c:strCache>
                <c:ptCount val="6"/>
                <c:pt idx="0">
                  <c:v>    Total </c:v>
                </c:pt>
                <c:pt idx="1">
                  <c:v>AFR </c:v>
                </c:pt>
                <c:pt idx="2">
                  <c:v>AP</c:v>
                </c:pt>
                <c:pt idx="3">
                  <c:v>CEE</c:v>
                </c:pt>
                <c:pt idx="4">
                  <c:v>GRULAC</c:v>
                </c:pt>
                <c:pt idx="5">
                  <c:v>WEOG</c:v>
                </c:pt>
              </c:strCache>
            </c:strRef>
          </c:cat>
          <c:val>
            <c:numRef>
              <c:f>'[TABLES FOR Q35-63 (002).xlsx]Sheet2'!$L$445:$Q$445</c:f>
              <c:numCache>
                <c:formatCode>0%</c:formatCode>
                <c:ptCount val="6"/>
                <c:pt idx="0">
                  <c:v>0.64</c:v>
                </c:pt>
                <c:pt idx="1">
                  <c:v>0.6428571428571429</c:v>
                </c:pt>
                <c:pt idx="2">
                  <c:v>0.92307692307692313</c:v>
                </c:pt>
                <c:pt idx="3">
                  <c:v>0.44444444444444442</c:v>
                </c:pt>
                <c:pt idx="4">
                  <c:v>0.5</c:v>
                </c:pt>
                <c:pt idx="5">
                  <c:v>0.6</c:v>
                </c:pt>
              </c:numCache>
            </c:numRef>
          </c:val>
          <c:extLst>
            <c:ext xmlns:c16="http://schemas.microsoft.com/office/drawing/2014/chart" uri="{C3380CC4-5D6E-409C-BE32-E72D297353CC}">
              <c16:uniqueId val="{00000000-51DC-416B-A008-F61E2FF71037}"/>
            </c:ext>
          </c:extLst>
        </c:ser>
        <c:ser>
          <c:idx val="1"/>
          <c:order val="1"/>
          <c:tx>
            <c:strRef>
              <c:f>'[TABLES FOR Q35-63 (002).xlsx]Sheet2'!$K$446</c:f>
              <c:strCache>
                <c:ptCount val="1"/>
                <c:pt idx="0">
                  <c:v>No</c:v>
                </c:pt>
              </c:strCache>
            </c:strRef>
          </c:tx>
          <c:spPr>
            <a:solidFill>
              <a:schemeClr val="accent3">
                <a:tint val="77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FOR Q35-63 (002).xlsx]Sheet2'!$L$444:$Q$444</c:f>
              <c:strCache>
                <c:ptCount val="6"/>
                <c:pt idx="0">
                  <c:v>    Total </c:v>
                </c:pt>
                <c:pt idx="1">
                  <c:v>AFR </c:v>
                </c:pt>
                <c:pt idx="2">
                  <c:v>AP</c:v>
                </c:pt>
                <c:pt idx="3">
                  <c:v>CEE</c:v>
                </c:pt>
                <c:pt idx="4">
                  <c:v>GRULAC</c:v>
                </c:pt>
                <c:pt idx="5">
                  <c:v>WEOG</c:v>
                </c:pt>
              </c:strCache>
            </c:strRef>
          </c:cat>
          <c:val>
            <c:numRef>
              <c:f>'[TABLES FOR Q35-63 (002).xlsx]Sheet2'!$L$446:$Q$446</c:f>
              <c:numCache>
                <c:formatCode>0%</c:formatCode>
                <c:ptCount val="6"/>
                <c:pt idx="0">
                  <c:v>0.36</c:v>
                </c:pt>
                <c:pt idx="1">
                  <c:v>0.35714285714285715</c:v>
                </c:pt>
                <c:pt idx="2">
                  <c:v>7.6923076923076927E-2</c:v>
                </c:pt>
                <c:pt idx="3">
                  <c:v>0.55555555555555558</c:v>
                </c:pt>
                <c:pt idx="4">
                  <c:v>0.5</c:v>
                </c:pt>
                <c:pt idx="5">
                  <c:v>0.4</c:v>
                </c:pt>
              </c:numCache>
            </c:numRef>
          </c:val>
          <c:extLst>
            <c:ext xmlns:c16="http://schemas.microsoft.com/office/drawing/2014/chart" uri="{C3380CC4-5D6E-409C-BE32-E72D297353CC}">
              <c16:uniqueId val="{00000001-51DC-416B-A008-F61E2FF71037}"/>
            </c:ext>
          </c:extLst>
        </c:ser>
        <c:dLbls>
          <c:dLblPos val="outEnd"/>
          <c:showLegendKey val="0"/>
          <c:showVal val="1"/>
          <c:showCatName val="0"/>
          <c:showSerName val="0"/>
          <c:showPercent val="0"/>
          <c:showBubbleSize val="0"/>
        </c:dLbls>
        <c:gapWidth val="219"/>
        <c:overlap val="-27"/>
        <c:axId val="254133376"/>
        <c:axId val="254134912"/>
      </c:barChart>
      <c:catAx>
        <c:axId val="25413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4134912"/>
        <c:crosses val="autoZero"/>
        <c:auto val="1"/>
        <c:lblAlgn val="ctr"/>
        <c:lblOffset val="100"/>
        <c:noMultiLvlLbl val="0"/>
      </c:catAx>
      <c:valAx>
        <c:axId val="254134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4133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'[TABLES FOR Q35-63 (002).xlsx]Sheet2'!$K$464</c:f>
              <c:strCache>
                <c:ptCount val="1"/>
                <c:pt idx="0">
                  <c:v>Yes</c:v>
                </c:pt>
              </c:strCache>
            </c:strRef>
          </c:tx>
          <c:spPr>
            <a:solidFill>
              <a:schemeClr val="accent3">
                <a:shade val="76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FOR Q35-63 (002).xlsx]Sheet2'!$L$463:$Q$463</c:f>
              <c:strCache>
                <c:ptCount val="6"/>
                <c:pt idx="0">
                  <c:v>    Total </c:v>
                </c:pt>
                <c:pt idx="1">
                  <c:v>AFR </c:v>
                </c:pt>
                <c:pt idx="2">
                  <c:v>AP</c:v>
                </c:pt>
                <c:pt idx="3">
                  <c:v>CEE</c:v>
                </c:pt>
                <c:pt idx="4">
                  <c:v>GRULAC</c:v>
                </c:pt>
                <c:pt idx="5">
                  <c:v>WEOG</c:v>
                </c:pt>
              </c:strCache>
            </c:strRef>
          </c:cat>
          <c:val>
            <c:numRef>
              <c:f>'[TABLES FOR Q35-63 (002).xlsx]Sheet2'!$L$464:$Q$464</c:f>
              <c:numCache>
                <c:formatCode>0%</c:formatCode>
                <c:ptCount val="6"/>
                <c:pt idx="0">
                  <c:v>0.37142857142857144</c:v>
                </c:pt>
                <c:pt idx="1">
                  <c:v>0.39285714285714285</c:v>
                </c:pt>
                <c:pt idx="2">
                  <c:v>0.46153846153846156</c:v>
                </c:pt>
                <c:pt idx="3">
                  <c:v>0.42857142857142855</c:v>
                </c:pt>
                <c:pt idx="4">
                  <c:v>0.3</c:v>
                </c:pt>
                <c:pt idx="5">
                  <c:v>0.25</c:v>
                </c:pt>
              </c:numCache>
            </c:numRef>
          </c:val>
          <c:extLst>
            <c:ext xmlns:c16="http://schemas.microsoft.com/office/drawing/2014/chart" uri="{C3380CC4-5D6E-409C-BE32-E72D297353CC}">
              <c16:uniqueId val="{00000000-BB4C-4620-9536-D8BF554013FF}"/>
            </c:ext>
          </c:extLst>
        </c:ser>
        <c:ser>
          <c:idx val="1"/>
          <c:order val="1"/>
          <c:tx>
            <c:strRef>
              <c:f>'[TABLES FOR Q35-63 (002).xlsx]Sheet2'!$K$465</c:f>
              <c:strCache>
                <c:ptCount val="1"/>
                <c:pt idx="0">
                  <c:v>No</c:v>
                </c:pt>
              </c:strCache>
            </c:strRef>
          </c:tx>
          <c:spPr>
            <a:solidFill>
              <a:schemeClr val="accent3">
                <a:tint val="77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FOR Q35-63 (002).xlsx]Sheet2'!$L$463:$Q$463</c:f>
              <c:strCache>
                <c:ptCount val="6"/>
                <c:pt idx="0">
                  <c:v>    Total </c:v>
                </c:pt>
                <c:pt idx="1">
                  <c:v>AFR </c:v>
                </c:pt>
                <c:pt idx="2">
                  <c:v>AP</c:v>
                </c:pt>
                <c:pt idx="3">
                  <c:v>CEE</c:v>
                </c:pt>
                <c:pt idx="4">
                  <c:v>GRULAC</c:v>
                </c:pt>
                <c:pt idx="5">
                  <c:v>WEOG</c:v>
                </c:pt>
              </c:strCache>
            </c:strRef>
          </c:cat>
          <c:val>
            <c:numRef>
              <c:f>'[TABLES FOR Q35-63 (002).xlsx]Sheet2'!$L$465:$Q$465</c:f>
              <c:numCache>
                <c:formatCode>0%</c:formatCode>
                <c:ptCount val="6"/>
                <c:pt idx="0">
                  <c:v>0.62857142857142856</c:v>
                </c:pt>
                <c:pt idx="1">
                  <c:v>0.6071428571428571</c:v>
                </c:pt>
                <c:pt idx="2">
                  <c:v>0.53846153846153844</c:v>
                </c:pt>
                <c:pt idx="3">
                  <c:v>0.5714285714285714</c:v>
                </c:pt>
                <c:pt idx="4">
                  <c:v>0.7</c:v>
                </c:pt>
                <c:pt idx="5">
                  <c:v>0.75</c:v>
                </c:pt>
              </c:numCache>
            </c:numRef>
          </c:val>
          <c:extLst>
            <c:ext xmlns:c16="http://schemas.microsoft.com/office/drawing/2014/chart" uri="{C3380CC4-5D6E-409C-BE32-E72D297353CC}">
              <c16:uniqueId val="{00000001-BB4C-4620-9536-D8BF554013FF}"/>
            </c:ext>
          </c:extLst>
        </c:ser>
        <c:dLbls>
          <c:dLblPos val="outEnd"/>
          <c:showLegendKey val="0"/>
          <c:showVal val="1"/>
          <c:showCatName val="0"/>
          <c:showSerName val="0"/>
          <c:showPercent val="0"/>
          <c:showBubbleSize val="0"/>
        </c:dLbls>
        <c:gapWidth val="219"/>
        <c:overlap val="-27"/>
        <c:axId val="253792256"/>
        <c:axId val="253793792"/>
      </c:barChart>
      <c:catAx>
        <c:axId val="25379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793792"/>
        <c:crosses val="autoZero"/>
        <c:auto val="1"/>
        <c:lblAlgn val="ctr"/>
        <c:lblOffset val="100"/>
        <c:noMultiLvlLbl val="0"/>
      </c:catAx>
      <c:valAx>
        <c:axId val="253793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79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Sheet3!$F$8</c:f>
              <c:strCache>
                <c:ptCount val="1"/>
                <c:pt idx="0">
                  <c:v>Made financial resources available</c:v>
                </c:pt>
              </c:strCache>
            </c:strRef>
          </c:tx>
          <c:spPr>
            <a:solidFill>
              <a:schemeClr val="accent3">
                <a:shade val="53000"/>
              </a:scheme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Sheet3!$G$7:$L$7</c:f>
              <c:strCache>
                <c:ptCount val="6"/>
                <c:pt idx="0">
                  <c:v>    Total </c:v>
                </c:pt>
                <c:pt idx="1">
                  <c:v>AFR</c:v>
                </c:pt>
                <c:pt idx="2">
                  <c:v>AP</c:v>
                </c:pt>
                <c:pt idx="3">
                  <c:v>CEE</c:v>
                </c:pt>
                <c:pt idx="4">
                  <c:v>GRULAC</c:v>
                </c:pt>
                <c:pt idx="5">
                  <c:v>WEOG</c:v>
                </c:pt>
              </c:strCache>
            </c:strRef>
          </c:cat>
          <c:val>
            <c:numRef>
              <c:f>Sheet3!$G$8:$L$8</c:f>
              <c:numCache>
                <c:formatCode>0%</c:formatCode>
                <c:ptCount val="6"/>
                <c:pt idx="0">
                  <c:v>0.19</c:v>
                </c:pt>
                <c:pt idx="1">
                  <c:v>0.13</c:v>
                </c:pt>
                <c:pt idx="2">
                  <c:v>0.08</c:v>
                </c:pt>
                <c:pt idx="3">
                  <c:v>0.14000000000000001</c:v>
                </c:pt>
                <c:pt idx="4">
                  <c:v>0.17</c:v>
                </c:pt>
                <c:pt idx="5">
                  <c:v>0.43</c:v>
                </c:pt>
              </c:numCache>
            </c:numRef>
          </c:val>
          <c:extLst>
            <c:ext xmlns:c16="http://schemas.microsoft.com/office/drawing/2014/chart" uri="{C3380CC4-5D6E-409C-BE32-E72D297353CC}">
              <c16:uniqueId val="{00000000-C947-42C6-8EFE-6B74EC7F8743}"/>
            </c:ext>
          </c:extLst>
        </c:ser>
        <c:ser>
          <c:idx val="1"/>
          <c:order val="1"/>
          <c:tx>
            <c:strRef>
              <c:f>Sheet3!$F$9</c:f>
              <c:strCache>
                <c:ptCount val="1"/>
                <c:pt idx="0">
                  <c:v>Received financial resources</c:v>
                </c:pt>
              </c:strCache>
            </c:strRef>
          </c:tx>
          <c:spPr>
            <a:solidFill>
              <a:schemeClr val="accent3">
                <a:shade val="76000"/>
              </a:scheme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Sheet3!$G$7:$L$7</c:f>
              <c:strCache>
                <c:ptCount val="6"/>
                <c:pt idx="0">
                  <c:v>    Total </c:v>
                </c:pt>
                <c:pt idx="1">
                  <c:v>AFR</c:v>
                </c:pt>
                <c:pt idx="2">
                  <c:v>AP</c:v>
                </c:pt>
                <c:pt idx="3">
                  <c:v>CEE</c:v>
                </c:pt>
                <c:pt idx="4">
                  <c:v>GRULAC</c:v>
                </c:pt>
                <c:pt idx="5">
                  <c:v>WEOG</c:v>
                </c:pt>
              </c:strCache>
            </c:strRef>
          </c:cat>
          <c:val>
            <c:numRef>
              <c:f>Sheet3!$G$9:$L$9</c:f>
              <c:numCache>
                <c:formatCode>0%</c:formatCode>
                <c:ptCount val="6"/>
                <c:pt idx="0">
                  <c:v>0.51</c:v>
                </c:pt>
                <c:pt idx="1">
                  <c:v>0.77</c:v>
                </c:pt>
                <c:pt idx="2">
                  <c:v>0.46</c:v>
                </c:pt>
                <c:pt idx="3">
                  <c:v>0.14000000000000001</c:v>
                </c:pt>
                <c:pt idx="4">
                  <c:v>0.67</c:v>
                </c:pt>
                <c:pt idx="5">
                  <c:v>7.0000000000000007E-2</c:v>
                </c:pt>
              </c:numCache>
            </c:numRef>
          </c:val>
          <c:extLst>
            <c:ext xmlns:c16="http://schemas.microsoft.com/office/drawing/2014/chart" uri="{C3380CC4-5D6E-409C-BE32-E72D297353CC}">
              <c16:uniqueId val="{00000001-C947-42C6-8EFE-6B74EC7F8743}"/>
            </c:ext>
          </c:extLst>
        </c:ser>
        <c:ser>
          <c:idx val="2"/>
          <c:order val="2"/>
          <c:tx>
            <c:strRef>
              <c:f>Sheet3!$F$10</c:f>
              <c:strCache>
                <c:ptCount val="1"/>
                <c:pt idx="0">
                  <c:v>Did not make available or receive financial resources</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Sheet3!$G$7:$L$7</c:f>
              <c:strCache>
                <c:ptCount val="6"/>
                <c:pt idx="0">
                  <c:v>    Total </c:v>
                </c:pt>
                <c:pt idx="1">
                  <c:v>AFR</c:v>
                </c:pt>
                <c:pt idx="2">
                  <c:v>AP</c:v>
                </c:pt>
                <c:pt idx="3">
                  <c:v>CEE</c:v>
                </c:pt>
                <c:pt idx="4">
                  <c:v>GRULAC</c:v>
                </c:pt>
                <c:pt idx="5">
                  <c:v>WEOG</c:v>
                </c:pt>
              </c:strCache>
            </c:strRef>
          </c:cat>
          <c:val>
            <c:numRef>
              <c:f>Sheet3!$G$10:$L$10</c:f>
              <c:numCache>
                <c:formatCode>0%</c:formatCode>
                <c:ptCount val="6"/>
                <c:pt idx="0">
                  <c:v>0.31</c:v>
                </c:pt>
                <c:pt idx="1">
                  <c:v>0.1</c:v>
                </c:pt>
                <c:pt idx="2">
                  <c:v>0.46</c:v>
                </c:pt>
                <c:pt idx="3">
                  <c:v>0.71</c:v>
                </c:pt>
                <c:pt idx="4">
                  <c:v>0.17</c:v>
                </c:pt>
                <c:pt idx="5">
                  <c:v>0.5</c:v>
                </c:pt>
              </c:numCache>
            </c:numRef>
          </c:val>
          <c:extLst>
            <c:ext xmlns:c16="http://schemas.microsoft.com/office/drawing/2014/chart" uri="{C3380CC4-5D6E-409C-BE32-E72D297353CC}">
              <c16:uniqueId val="{00000002-C947-42C6-8EFE-6B74EC7F8743}"/>
            </c:ext>
          </c:extLst>
        </c:ser>
        <c:dLbls>
          <c:showLegendKey val="0"/>
          <c:showVal val="0"/>
          <c:showCatName val="0"/>
          <c:showSerName val="0"/>
          <c:showPercent val="0"/>
          <c:showBubbleSize val="0"/>
        </c:dLbls>
        <c:gapWidth val="219"/>
        <c:overlap val="-27"/>
        <c:axId val="251932672"/>
        <c:axId val="251934208"/>
        <c:extLst>
          <c:ext xmlns:c15="http://schemas.microsoft.com/office/drawing/2012/chart" uri="{02D57815-91ED-43cb-92C2-25804820EDAC}">
            <c15:filteredBarSeries>
              <c15:ser>
                <c:idx val="3"/>
                <c:order val="3"/>
                <c:tx>
                  <c:strRef>
                    <c:extLst>
                      <c:ext uri="{02D57815-91ED-43cb-92C2-25804820EDAC}">
                        <c15:formulaRef>
                          <c15:sqref>Sheet3!$F$11</c15:sqref>
                        </c15:formulaRef>
                      </c:ext>
                    </c:extLst>
                    <c:strCache>
                      <c:ptCount val="1"/>
                    </c:strCache>
                  </c:strRef>
                </c:tx>
                <c:spPr>
                  <a:solidFill>
                    <a:schemeClr val="accent3">
                      <a:tint val="77000"/>
                    </a:schemeClr>
                  </a:solidFill>
                  <a:ln>
                    <a:noFill/>
                  </a:ln>
                  <a:effectLst/>
                </c:spPr>
                <c:invertIfNegative val="0"/>
                <c:cat>
                  <c:strRef>
                    <c:extLst>
                      <c:ext uri="{02D57815-91ED-43cb-92C2-25804820EDAC}">
                        <c15:formulaRef>
                          <c15:sqref>Sheet3!$G$7:$L$7</c15:sqref>
                        </c15:formulaRef>
                      </c:ext>
                    </c:extLst>
                    <c:strCache>
                      <c:ptCount val="6"/>
                      <c:pt idx="0">
                        <c:v>    Total </c:v>
                      </c:pt>
                      <c:pt idx="1">
                        <c:v>AFR</c:v>
                      </c:pt>
                      <c:pt idx="2">
                        <c:v>AP</c:v>
                      </c:pt>
                      <c:pt idx="3">
                        <c:v>CEE</c:v>
                      </c:pt>
                      <c:pt idx="4">
                        <c:v>GRULAC</c:v>
                      </c:pt>
                      <c:pt idx="5">
                        <c:v>WEOG</c:v>
                      </c:pt>
                    </c:strCache>
                  </c:strRef>
                </c:cat>
                <c:val>
                  <c:numRef>
                    <c:extLst>
                      <c:ext uri="{02D57815-91ED-43cb-92C2-25804820EDAC}">
                        <c15:formulaRef>
                          <c15:sqref>Sheet3!$G$11:$L$11</c15:sqref>
                        </c15:formulaRef>
                      </c:ext>
                    </c:extLst>
                    <c:numCache>
                      <c:formatCode>General</c:formatCode>
                      <c:ptCount val="6"/>
                    </c:numCache>
                  </c:numRef>
                </c:val>
                <c:extLst>
                  <c:ext xmlns:c16="http://schemas.microsoft.com/office/drawing/2014/chart" uri="{C3380CC4-5D6E-409C-BE32-E72D297353CC}">
                    <c16:uniqueId val="{00000003-C947-42C6-8EFE-6B74EC7F8743}"/>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Sheet3!$F$12</c15:sqref>
                        </c15:formulaRef>
                      </c:ext>
                    </c:extLst>
                    <c:strCache>
                      <c:ptCount val="1"/>
                    </c:strCache>
                  </c:strRef>
                </c:tx>
                <c:spPr>
                  <a:solidFill>
                    <a:schemeClr val="accent3">
                      <a:tint val="54000"/>
                    </a:schemeClr>
                  </a:solidFill>
                  <a:ln>
                    <a:noFill/>
                  </a:ln>
                  <a:effectLst/>
                </c:spPr>
                <c:invertIfNegative val="0"/>
                <c:cat>
                  <c:strRef>
                    <c:extLst xmlns:c15="http://schemas.microsoft.com/office/drawing/2012/chart">
                      <c:ext xmlns:c15="http://schemas.microsoft.com/office/drawing/2012/chart" uri="{02D57815-91ED-43cb-92C2-25804820EDAC}">
                        <c15:formulaRef>
                          <c15:sqref>Sheet3!$G$7:$L$7</c15:sqref>
                        </c15:formulaRef>
                      </c:ext>
                    </c:extLst>
                    <c:strCache>
                      <c:ptCount val="6"/>
                      <c:pt idx="0">
                        <c:v>    Total </c:v>
                      </c:pt>
                      <c:pt idx="1">
                        <c:v>AFR</c:v>
                      </c:pt>
                      <c:pt idx="2">
                        <c:v>AP</c:v>
                      </c:pt>
                      <c:pt idx="3">
                        <c:v>CEE</c:v>
                      </c:pt>
                      <c:pt idx="4">
                        <c:v>GRULAC</c:v>
                      </c:pt>
                      <c:pt idx="5">
                        <c:v>WEOG</c:v>
                      </c:pt>
                    </c:strCache>
                  </c:strRef>
                </c:cat>
                <c:val>
                  <c:numRef>
                    <c:extLst xmlns:c15="http://schemas.microsoft.com/office/drawing/2012/chart">
                      <c:ext xmlns:c15="http://schemas.microsoft.com/office/drawing/2012/chart" uri="{02D57815-91ED-43cb-92C2-25804820EDAC}">
                        <c15:formulaRef>
                          <c15:sqref>Sheet3!$G$12:$L$12</c15:sqref>
                        </c15:formulaRef>
                      </c:ext>
                    </c:extLst>
                    <c:numCache>
                      <c:formatCode>General</c:formatCode>
                      <c:ptCount val="6"/>
                    </c:numCache>
                  </c:numRef>
                </c:val>
                <c:extLst>
                  <c:ext xmlns:c16="http://schemas.microsoft.com/office/drawing/2014/chart" uri="{C3380CC4-5D6E-409C-BE32-E72D297353CC}">
                    <c16:uniqueId val="{00000004-C947-42C6-8EFE-6B74EC7F8743}"/>
                  </c:ext>
                </c:extLst>
              </c15:ser>
            </c15:filteredBarSeries>
          </c:ext>
        </c:extLst>
      </c:barChart>
      <c:catAx>
        <c:axId val="25193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934208"/>
        <c:crosses val="autoZero"/>
        <c:auto val="1"/>
        <c:lblAlgn val="ctr"/>
        <c:lblOffset val="100"/>
        <c:noMultiLvlLbl val="0"/>
      </c:catAx>
      <c:valAx>
        <c:axId val="251934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932672"/>
        <c:crosses val="autoZero"/>
        <c:crossBetween val="between"/>
      </c:valAx>
      <c:spPr>
        <a:noFill/>
        <a:ln>
          <a:noFill/>
        </a:ln>
        <a:effectLst/>
      </c:spPr>
    </c:plotArea>
    <c:legend>
      <c:legendPos val="b"/>
      <c:layout>
        <c:manualLayout>
          <c:xMode val="edge"/>
          <c:yMode val="edge"/>
          <c:x val="3.3904571972171602E-2"/>
          <c:y val="0.71288877952755902"/>
          <c:w val="0.92345723160150828"/>
          <c:h val="0.255861220472440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Sheet3!$I$20</c:f>
              <c:strCache>
                <c:ptCount val="1"/>
                <c:pt idx="0">
                  <c:v>From Parties</c:v>
                </c:pt>
              </c:strCache>
            </c:strRef>
          </c:tx>
          <c:spPr>
            <a:solidFill>
              <a:schemeClr val="accent3">
                <a:shade val="53000"/>
              </a:schemeClr>
            </a:solidFill>
            <a:ln>
              <a:noFill/>
            </a:ln>
            <a:effectLst/>
          </c:spPr>
          <c:invertIfNegative val="0"/>
          <c:cat>
            <c:strRef>
              <c:f>Sheet3!$J$19:$O$19</c:f>
              <c:strCache>
                <c:ptCount val="6"/>
                <c:pt idx="0">
                  <c:v>    Total </c:v>
                </c:pt>
                <c:pt idx="1">
                  <c:v>AFR </c:v>
                </c:pt>
                <c:pt idx="2">
                  <c:v>AP</c:v>
                </c:pt>
                <c:pt idx="3">
                  <c:v>CEE</c:v>
                </c:pt>
                <c:pt idx="4">
                  <c:v>GRULAC</c:v>
                </c:pt>
                <c:pt idx="5">
                  <c:v>WEOG</c:v>
                </c:pt>
              </c:strCache>
            </c:strRef>
          </c:cat>
          <c:val>
            <c:numRef>
              <c:f>Sheet3!$J$20:$O$20</c:f>
              <c:numCache>
                <c:formatCode>0%</c:formatCode>
                <c:ptCount val="6"/>
                <c:pt idx="0">
                  <c:v>0.30769230769230771</c:v>
                </c:pt>
                <c:pt idx="1">
                  <c:v>0.30434782608695654</c:v>
                </c:pt>
                <c:pt idx="2">
                  <c:v>0.16666666666666666</c:v>
                </c:pt>
                <c:pt idx="3">
                  <c:v>0</c:v>
                </c:pt>
                <c:pt idx="4">
                  <c:v>0.5</c:v>
                </c:pt>
                <c:pt idx="5">
                  <c:v>0</c:v>
                </c:pt>
              </c:numCache>
            </c:numRef>
          </c:val>
          <c:extLst>
            <c:ext xmlns:c16="http://schemas.microsoft.com/office/drawing/2014/chart" uri="{C3380CC4-5D6E-409C-BE32-E72D297353CC}">
              <c16:uniqueId val="{00000000-2B98-4A65-B83B-B49533E88C3A}"/>
            </c:ext>
          </c:extLst>
        </c:ser>
        <c:ser>
          <c:idx val="1"/>
          <c:order val="1"/>
          <c:tx>
            <c:strRef>
              <c:f>Sheet3!$I$21</c:f>
              <c:strCache>
                <c:ptCount val="1"/>
                <c:pt idx="0">
                  <c:v>From financial institutions</c:v>
                </c:pt>
              </c:strCache>
            </c:strRef>
          </c:tx>
          <c:spPr>
            <a:solidFill>
              <a:schemeClr val="accent3">
                <a:shade val="76000"/>
              </a:schemeClr>
            </a:solidFill>
            <a:ln>
              <a:noFill/>
            </a:ln>
            <a:effectLst/>
          </c:spPr>
          <c:invertIfNegative val="0"/>
          <c:cat>
            <c:strRef>
              <c:f>Sheet3!$J$19:$O$19</c:f>
              <c:strCache>
                <c:ptCount val="6"/>
                <c:pt idx="0">
                  <c:v>    Total </c:v>
                </c:pt>
                <c:pt idx="1">
                  <c:v>AFR </c:v>
                </c:pt>
                <c:pt idx="2">
                  <c:v>AP</c:v>
                </c:pt>
                <c:pt idx="3">
                  <c:v>CEE</c:v>
                </c:pt>
                <c:pt idx="4">
                  <c:v>GRULAC</c:v>
                </c:pt>
                <c:pt idx="5">
                  <c:v>WEOG</c:v>
                </c:pt>
              </c:strCache>
            </c:strRef>
          </c:cat>
          <c:val>
            <c:numRef>
              <c:f>Sheet3!$J$21:$O$21</c:f>
              <c:numCache>
                <c:formatCode>0%</c:formatCode>
                <c:ptCount val="6"/>
                <c:pt idx="0">
                  <c:v>0.87179487179487181</c:v>
                </c:pt>
                <c:pt idx="1">
                  <c:v>0.95652173913043481</c:v>
                </c:pt>
                <c:pt idx="2">
                  <c:v>0.83333333333333337</c:v>
                </c:pt>
                <c:pt idx="3">
                  <c:v>1</c:v>
                </c:pt>
                <c:pt idx="4">
                  <c:v>0.625</c:v>
                </c:pt>
                <c:pt idx="5">
                  <c:v>1</c:v>
                </c:pt>
              </c:numCache>
            </c:numRef>
          </c:val>
          <c:extLst>
            <c:ext xmlns:c16="http://schemas.microsoft.com/office/drawing/2014/chart" uri="{C3380CC4-5D6E-409C-BE32-E72D297353CC}">
              <c16:uniqueId val="{00000001-2B98-4A65-B83B-B49533E88C3A}"/>
            </c:ext>
          </c:extLst>
        </c:ser>
        <c:ser>
          <c:idx val="2"/>
          <c:order val="2"/>
          <c:tx>
            <c:strRef>
              <c:f>Sheet3!$I$22</c:f>
              <c:strCache>
                <c:ptCount val="1"/>
                <c:pt idx="0">
                  <c:v>Global Environmental Facility </c:v>
                </c:pt>
              </c:strCache>
            </c:strRef>
          </c:tx>
          <c:spPr>
            <a:solidFill>
              <a:schemeClr val="accent3"/>
            </a:solidFill>
            <a:ln>
              <a:noFill/>
            </a:ln>
            <a:effectLst/>
          </c:spPr>
          <c:invertIfNegative val="0"/>
          <c:cat>
            <c:strRef>
              <c:f>Sheet3!$J$19:$O$19</c:f>
              <c:strCache>
                <c:ptCount val="6"/>
                <c:pt idx="0">
                  <c:v>    Total </c:v>
                </c:pt>
                <c:pt idx="1">
                  <c:v>AFR </c:v>
                </c:pt>
                <c:pt idx="2">
                  <c:v>AP</c:v>
                </c:pt>
                <c:pt idx="3">
                  <c:v>CEE</c:v>
                </c:pt>
                <c:pt idx="4">
                  <c:v>GRULAC</c:v>
                </c:pt>
                <c:pt idx="5">
                  <c:v>WEOG</c:v>
                </c:pt>
              </c:strCache>
            </c:strRef>
          </c:cat>
          <c:val>
            <c:numRef>
              <c:f>Sheet3!$J$22:$O$22</c:f>
              <c:numCache>
                <c:formatCode>0%</c:formatCode>
                <c:ptCount val="6"/>
                <c:pt idx="0">
                  <c:v>0.91176470588235292</c:v>
                </c:pt>
                <c:pt idx="1">
                  <c:v>0.90909090909090906</c:v>
                </c:pt>
                <c:pt idx="2">
                  <c:v>0.8</c:v>
                </c:pt>
                <c:pt idx="3">
                  <c:v>1</c:v>
                </c:pt>
                <c:pt idx="4">
                  <c:v>1</c:v>
                </c:pt>
                <c:pt idx="5">
                  <c:v>1</c:v>
                </c:pt>
              </c:numCache>
            </c:numRef>
          </c:val>
          <c:extLst>
            <c:ext xmlns:c16="http://schemas.microsoft.com/office/drawing/2014/chart" uri="{C3380CC4-5D6E-409C-BE32-E72D297353CC}">
              <c16:uniqueId val="{00000002-2B98-4A65-B83B-B49533E88C3A}"/>
            </c:ext>
          </c:extLst>
        </c:ser>
        <c:ser>
          <c:idx val="3"/>
          <c:order val="3"/>
          <c:tx>
            <c:strRef>
              <c:f>Sheet3!$I$23</c:f>
              <c:strCache>
                <c:ptCount val="1"/>
                <c:pt idx="0">
                  <c:v>Nagoya Protocol implementation fund</c:v>
                </c:pt>
              </c:strCache>
            </c:strRef>
          </c:tx>
          <c:spPr>
            <a:solidFill>
              <a:schemeClr val="accent3">
                <a:tint val="77000"/>
              </a:schemeClr>
            </a:solidFill>
            <a:ln>
              <a:noFill/>
            </a:ln>
            <a:effectLst/>
          </c:spPr>
          <c:invertIfNegative val="0"/>
          <c:cat>
            <c:strRef>
              <c:f>Sheet3!$J$19:$O$19</c:f>
              <c:strCache>
                <c:ptCount val="6"/>
                <c:pt idx="0">
                  <c:v>    Total </c:v>
                </c:pt>
                <c:pt idx="1">
                  <c:v>AFR </c:v>
                </c:pt>
                <c:pt idx="2">
                  <c:v>AP</c:v>
                </c:pt>
                <c:pt idx="3">
                  <c:v>CEE</c:v>
                </c:pt>
                <c:pt idx="4">
                  <c:v>GRULAC</c:v>
                </c:pt>
                <c:pt idx="5">
                  <c:v>WEOG</c:v>
                </c:pt>
              </c:strCache>
            </c:strRef>
          </c:cat>
          <c:val>
            <c:numRef>
              <c:f>Sheet3!$J$23:$O$23</c:f>
              <c:numCache>
                <c:formatCode>0%</c:formatCode>
                <c:ptCount val="6"/>
                <c:pt idx="0">
                  <c:v>5.8823529411764705E-2</c:v>
                </c:pt>
                <c:pt idx="1">
                  <c:v>0</c:v>
                </c:pt>
                <c:pt idx="2">
                  <c:v>0.2</c:v>
                </c:pt>
                <c:pt idx="3">
                  <c:v>0</c:v>
                </c:pt>
                <c:pt idx="4">
                  <c:v>0.2</c:v>
                </c:pt>
                <c:pt idx="5">
                  <c:v>0</c:v>
                </c:pt>
              </c:numCache>
            </c:numRef>
          </c:val>
          <c:extLst>
            <c:ext xmlns:c16="http://schemas.microsoft.com/office/drawing/2014/chart" uri="{C3380CC4-5D6E-409C-BE32-E72D297353CC}">
              <c16:uniqueId val="{00000003-2B98-4A65-B83B-B49533E88C3A}"/>
            </c:ext>
          </c:extLst>
        </c:ser>
        <c:ser>
          <c:idx val="4"/>
          <c:order val="4"/>
          <c:tx>
            <c:strRef>
              <c:f>Sheet3!$I$24</c:f>
              <c:strCache>
                <c:ptCount val="1"/>
                <c:pt idx="0">
                  <c:v>Other</c:v>
                </c:pt>
              </c:strCache>
            </c:strRef>
          </c:tx>
          <c:spPr>
            <a:solidFill>
              <a:schemeClr val="accent3">
                <a:tint val="54000"/>
              </a:schemeClr>
            </a:solidFill>
            <a:ln>
              <a:noFill/>
            </a:ln>
            <a:effectLst/>
          </c:spPr>
          <c:invertIfNegative val="0"/>
          <c:cat>
            <c:strRef>
              <c:f>Sheet3!$J$19:$O$19</c:f>
              <c:strCache>
                <c:ptCount val="6"/>
                <c:pt idx="0">
                  <c:v>    Total </c:v>
                </c:pt>
                <c:pt idx="1">
                  <c:v>AFR </c:v>
                </c:pt>
                <c:pt idx="2">
                  <c:v>AP</c:v>
                </c:pt>
                <c:pt idx="3">
                  <c:v>CEE</c:v>
                </c:pt>
                <c:pt idx="4">
                  <c:v>GRULAC</c:v>
                </c:pt>
                <c:pt idx="5">
                  <c:v>WEOG</c:v>
                </c:pt>
              </c:strCache>
            </c:strRef>
          </c:cat>
          <c:val>
            <c:numRef>
              <c:f>Sheet3!$J$24:$O$24</c:f>
              <c:numCache>
                <c:formatCode>0%</c:formatCode>
                <c:ptCount val="6"/>
                <c:pt idx="0">
                  <c:v>0.47058823529411764</c:v>
                </c:pt>
                <c:pt idx="1">
                  <c:v>0.54545454545454541</c:v>
                </c:pt>
                <c:pt idx="2">
                  <c:v>0.6</c:v>
                </c:pt>
                <c:pt idx="3">
                  <c:v>0</c:v>
                </c:pt>
                <c:pt idx="4">
                  <c:v>0.2</c:v>
                </c:pt>
                <c:pt idx="5">
                  <c:v>0</c:v>
                </c:pt>
              </c:numCache>
            </c:numRef>
          </c:val>
          <c:extLst>
            <c:ext xmlns:c16="http://schemas.microsoft.com/office/drawing/2014/chart" uri="{C3380CC4-5D6E-409C-BE32-E72D297353CC}">
              <c16:uniqueId val="{00000004-2B98-4A65-B83B-B49533E88C3A}"/>
            </c:ext>
          </c:extLst>
        </c:ser>
        <c:dLbls>
          <c:showLegendKey val="0"/>
          <c:showVal val="0"/>
          <c:showCatName val="0"/>
          <c:showSerName val="0"/>
          <c:showPercent val="0"/>
          <c:showBubbleSize val="0"/>
        </c:dLbls>
        <c:gapWidth val="219"/>
        <c:overlap val="-27"/>
        <c:axId val="253993344"/>
        <c:axId val="253994880"/>
      </c:barChart>
      <c:catAx>
        <c:axId val="25399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994880"/>
        <c:crosses val="autoZero"/>
        <c:auto val="1"/>
        <c:lblAlgn val="ctr"/>
        <c:lblOffset val="100"/>
        <c:noMultiLvlLbl val="0"/>
      </c:catAx>
      <c:valAx>
        <c:axId val="253994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993344"/>
        <c:crosses val="autoZero"/>
        <c:crossBetween val="between"/>
      </c:valAx>
      <c:spPr>
        <a:noFill/>
        <a:ln>
          <a:noFill/>
        </a:ln>
        <a:effectLst/>
      </c:spPr>
    </c:plotArea>
    <c:legend>
      <c:legendPos val="b"/>
      <c:layout>
        <c:manualLayout>
          <c:xMode val="edge"/>
          <c:yMode val="edge"/>
          <c:x val="0"/>
          <c:y val="0.71909974846165903"/>
          <c:w val="1"/>
          <c:h val="0.156831437736949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'[TABLES FOR Q35-63 (002).xlsx]Sheet2'!$K$482</c:f>
              <c:strCache>
                <c:ptCount val="1"/>
                <c:pt idx="0">
                  <c:v>Yes</c:v>
                </c:pt>
              </c:strCache>
            </c:strRef>
          </c:tx>
          <c:spPr>
            <a:solidFill>
              <a:schemeClr val="accent3">
                <a:shade val="76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FOR Q35-63 (002).xlsx]Sheet2'!$L$481:$Q$481</c:f>
              <c:strCache>
                <c:ptCount val="6"/>
                <c:pt idx="0">
                  <c:v>    Total </c:v>
                </c:pt>
                <c:pt idx="1">
                  <c:v>AFR </c:v>
                </c:pt>
                <c:pt idx="2">
                  <c:v>AP</c:v>
                </c:pt>
                <c:pt idx="3">
                  <c:v>CEE</c:v>
                </c:pt>
                <c:pt idx="4">
                  <c:v>GRULAC</c:v>
                </c:pt>
                <c:pt idx="5">
                  <c:v>WEOG</c:v>
                </c:pt>
              </c:strCache>
            </c:strRef>
          </c:cat>
          <c:val>
            <c:numRef>
              <c:f>'[TABLES FOR Q35-63 (002).xlsx]Sheet2'!$L$482:$Q$482</c:f>
              <c:numCache>
                <c:formatCode>0%</c:formatCode>
                <c:ptCount val="6"/>
                <c:pt idx="0">
                  <c:v>0.8571428571428571</c:v>
                </c:pt>
                <c:pt idx="1">
                  <c:v>0.92592592592592593</c:v>
                </c:pt>
                <c:pt idx="2">
                  <c:v>0.75</c:v>
                </c:pt>
                <c:pt idx="3">
                  <c:v>0.75</c:v>
                </c:pt>
                <c:pt idx="4">
                  <c:v>0.7</c:v>
                </c:pt>
                <c:pt idx="5">
                  <c:v>1</c:v>
                </c:pt>
              </c:numCache>
            </c:numRef>
          </c:val>
          <c:extLst>
            <c:ext xmlns:c16="http://schemas.microsoft.com/office/drawing/2014/chart" uri="{C3380CC4-5D6E-409C-BE32-E72D297353CC}">
              <c16:uniqueId val="{00000000-303B-4AAA-B303-7F7CE8A627D0}"/>
            </c:ext>
          </c:extLst>
        </c:ser>
        <c:ser>
          <c:idx val="1"/>
          <c:order val="1"/>
          <c:tx>
            <c:strRef>
              <c:f>'[TABLES FOR Q35-63 (002).xlsx]Sheet2'!$K$483</c:f>
              <c:strCache>
                <c:ptCount val="1"/>
                <c:pt idx="0">
                  <c:v>No</c:v>
                </c:pt>
              </c:strCache>
            </c:strRef>
          </c:tx>
          <c:spPr>
            <a:solidFill>
              <a:schemeClr val="accent3">
                <a:tint val="77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FOR Q35-63 (002).xlsx]Sheet2'!$L$481:$Q$481</c:f>
              <c:strCache>
                <c:ptCount val="6"/>
                <c:pt idx="0">
                  <c:v>    Total </c:v>
                </c:pt>
                <c:pt idx="1">
                  <c:v>AFR </c:v>
                </c:pt>
                <c:pt idx="2">
                  <c:v>AP</c:v>
                </c:pt>
                <c:pt idx="3">
                  <c:v>CEE</c:v>
                </c:pt>
                <c:pt idx="4">
                  <c:v>GRULAC</c:v>
                </c:pt>
                <c:pt idx="5">
                  <c:v>WEOG</c:v>
                </c:pt>
              </c:strCache>
            </c:strRef>
          </c:cat>
          <c:val>
            <c:numRef>
              <c:f>'[TABLES FOR Q35-63 (002).xlsx]Sheet2'!$L$483:$Q$483</c:f>
              <c:numCache>
                <c:formatCode>0%</c:formatCode>
                <c:ptCount val="6"/>
                <c:pt idx="0">
                  <c:v>0.14285714285714285</c:v>
                </c:pt>
                <c:pt idx="1">
                  <c:v>7.407407407407407E-2</c:v>
                </c:pt>
                <c:pt idx="2">
                  <c:v>0.25</c:v>
                </c:pt>
                <c:pt idx="3">
                  <c:v>0.25</c:v>
                </c:pt>
                <c:pt idx="4">
                  <c:v>0.3</c:v>
                </c:pt>
                <c:pt idx="5">
                  <c:v>0</c:v>
                </c:pt>
              </c:numCache>
            </c:numRef>
          </c:val>
          <c:extLst>
            <c:ext xmlns:c16="http://schemas.microsoft.com/office/drawing/2014/chart" uri="{C3380CC4-5D6E-409C-BE32-E72D297353CC}">
              <c16:uniqueId val="{00000001-303B-4AAA-B303-7F7CE8A627D0}"/>
            </c:ext>
          </c:extLst>
        </c:ser>
        <c:dLbls>
          <c:dLblPos val="outEnd"/>
          <c:showLegendKey val="0"/>
          <c:showVal val="1"/>
          <c:showCatName val="0"/>
          <c:showSerName val="0"/>
          <c:showPercent val="0"/>
          <c:showBubbleSize val="0"/>
        </c:dLbls>
        <c:gapWidth val="219"/>
        <c:overlap val="-27"/>
        <c:axId val="254217216"/>
        <c:axId val="254227200"/>
      </c:barChart>
      <c:catAx>
        <c:axId val="25421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4227200"/>
        <c:crosses val="autoZero"/>
        <c:auto val="1"/>
        <c:lblAlgn val="ctr"/>
        <c:lblOffset val="100"/>
        <c:noMultiLvlLbl val="0"/>
      </c:catAx>
      <c:valAx>
        <c:axId val="254227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421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'Article 5'!$I$33</c:f>
              <c:strCache>
                <c:ptCount val="1"/>
                <c:pt idx="0">
                  <c:v>Yes</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5'!$J$32:$O$32</c:f>
              <c:strCache>
                <c:ptCount val="6"/>
                <c:pt idx="0">
                  <c:v>    Total </c:v>
                </c:pt>
                <c:pt idx="1">
                  <c:v>AFR </c:v>
                </c:pt>
                <c:pt idx="2">
                  <c:v>AP</c:v>
                </c:pt>
                <c:pt idx="3">
                  <c:v>CEE</c:v>
                </c:pt>
                <c:pt idx="4">
                  <c:v>GRULAC</c:v>
                </c:pt>
                <c:pt idx="5">
                  <c:v>WEOG</c:v>
                </c:pt>
              </c:strCache>
            </c:strRef>
          </c:cat>
          <c:val>
            <c:numRef>
              <c:f>'Article 5'!$J$33:$O$33</c:f>
              <c:numCache>
                <c:formatCode>0%</c:formatCode>
                <c:ptCount val="6"/>
                <c:pt idx="0">
                  <c:v>0.62666666666666671</c:v>
                </c:pt>
                <c:pt idx="1">
                  <c:v>0.4642857142857143</c:v>
                </c:pt>
                <c:pt idx="2">
                  <c:v>0.61538461538461542</c:v>
                </c:pt>
                <c:pt idx="3">
                  <c:v>0.77777777777777779</c:v>
                </c:pt>
                <c:pt idx="4">
                  <c:v>0.4</c:v>
                </c:pt>
                <c:pt idx="5">
                  <c:v>1</c:v>
                </c:pt>
              </c:numCache>
            </c:numRef>
          </c:val>
          <c:extLst>
            <c:ext xmlns:c16="http://schemas.microsoft.com/office/drawing/2014/chart" uri="{C3380CC4-5D6E-409C-BE32-E72D297353CC}">
              <c16:uniqueId val="{00000000-50D4-4FC8-9EFC-B897C4CFA4CE}"/>
            </c:ext>
          </c:extLst>
        </c:ser>
        <c:ser>
          <c:idx val="1"/>
          <c:order val="1"/>
          <c:tx>
            <c:strRef>
              <c:f>'Article 5'!$I$34</c:f>
              <c:strCache>
                <c:ptCount val="1"/>
                <c:pt idx="0">
                  <c:v>No</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5'!$J$32:$O$32</c:f>
              <c:strCache>
                <c:ptCount val="6"/>
                <c:pt idx="0">
                  <c:v>    Total </c:v>
                </c:pt>
                <c:pt idx="1">
                  <c:v>AFR </c:v>
                </c:pt>
                <c:pt idx="2">
                  <c:v>AP</c:v>
                </c:pt>
                <c:pt idx="3">
                  <c:v>CEE</c:v>
                </c:pt>
                <c:pt idx="4">
                  <c:v>GRULAC</c:v>
                </c:pt>
                <c:pt idx="5">
                  <c:v>WEOG</c:v>
                </c:pt>
              </c:strCache>
            </c:strRef>
          </c:cat>
          <c:val>
            <c:numRef>
              <c:f>'Article 5'!$J$34:$O$34</c:f>
              <c:numCache>
                <c:formatCode>0%</c:formatCode>
                <c:ptCount val="6"/>
                <c:pt idx="0">
                  <c:v>0.37333333333333335</c:v>
                </c:pt>
                <c:pt idx="1">
                  <c:v>0.5357142857142857</c:v>
                </c:pt>
                <c:pt idx="2">
                  <c:v>0.38461538461538464</c:v>
                </c:pt>
                <c:pt idx="3">
                  <c:v>0.22222222222222221</c:v>
                </c:pt>
                <c:pt idx="4">
                  <c:v>0.6</c:v>
                </c:pt>
                <c:pt idx="5">
                  <c:v>0</c:v>
                </c:pt>
              </c:numCache>
            </c:numRef>
          </c:val>
          <c:extLst>
            <c:ext xmlns:c16="http://schemas.microsoft.com/office/drawing/2014/chart" uri="{C3380CC4-5D6E-409C-BE32-E72D297353CC}">
              <c16:uniqueId val="{00000001-50D4-4FC8-9EFC-B897C4CFA4CE}"/>
            </c:ext>
          </c:extLst>
        </c:ser>
        <c:dLbls>
          <c:dLblPos val="outEnd"/>
          <c:showLegendKey val="0"/>
          <c:showVal val="1"/>
          <c:showCatName val="0"/>
          <c:showSerName val="0"/>
          <c:showPercent val="0"/>
          <c:showBubbleSize val="0"/>
        </c:dLbls>
        <c:gapWidth val="219"/>
        <c:overlap val="-27"/>
        <c:axId val="248264192"/>
        <c:axId val="248265728"/>
      </c:barChart>
      <c:catAx>
        <c:axId val="24826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265728"/>
        <c:crosses val="autoZero"/>
        <c:auto val="1"/>
        <c:lblAlgn val="ctr"/>
        <c:lblOffset val="100"/>
        <c:noMultiLvlLbl val="0"/>
      </c:catAx>
      <c:valAx>
        <c:axId val="248265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26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'Article 5'!$I$46</c:f>
              <c:strCache>
                <c:ptCount val="1"/>
                <c:pt idx="0">
                  <c:v>Yes</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5'!$J$45:$O$45</c:f>
              <c:strCache>
                <c:ptCount val="6"/>
                <c:pt idx="0">
                  <c:v>    Total </c:v>
                </c:pt>
                <c:pt idx="1">
                  <c:v>AFR </c:v>
                </c:pt>
                <c:pt idx="2">
                  <c:v>AP</c:v>
                </c:pt>
                <c:pt idx="3">
                  <c:v>CEE</c:v>
                </c:pt>
                <c:pt idx="4">
                  <c:v>GRULAC</c:v>
                </c:pt>
                <c:pt idx="5">
                  <c:v>WEOG</c:v>
                </c:pt>
              </c:strCache>
            </c:strRef>
          </c:cat>
          <c:val>
            <c:numRef>
              <c:f>'Article 5'!$J$46:$O$46</c:f>
              <c:numCache>
                <c:formatCode>0%</c:formatCode>
                <c:ptCount val="6"/>
                <c:pt idx="0">
                  <c:v>0.61333333333333329</c:v>
                </c:pt>
                <c:pt idx="1">
                  <c:v>0.4642857142857143</c:v>
                </c:pt>
                <c:pt idx="2">
                  <c:v>0.53846153846153844</c:v>
                </c:pt>
                <c:pt idx="3">
                  <c:v>0.77777777777777779</c:v>
                </c:pt>
                <c:pt idx="4">
                  <c:v>0.5</c:v>
                </c:pt>
                <c:pt idx="5">
                  <c:v>0.93333333333333335</c:v>
                </c:pt>
              </c:numCache>
            </c:numRef>
          </c:val>
          <c:extLst>
            <c:ext xmlns:c16="http://schemas.microsoft.com/office/drawing/2014/chart" uri="{C3380CC4-5D6E-409C-BE32-E72D297353CC}">
              <c16:uniqueId val="{00000000-F10E-40FD-AE93-9D9E784F38A0}"/>
            </c:ext>
          </c:extLst>
        </c:ser>
        <c:ser>
          <c:idx val="1"/>
          <c:order val="1"/>
          <c:tx>
            <c:strRef>
              <c:f>'Article 5'!$I$47</c:f>
              <c:strCache>
                <c:ptCount val="1"/>
                <c:pt idx="0">
                  <c:v>No</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5'!$J$45:$O$45</c:f>
              <c:strCache>
                <c:ptCount val="6"/>
                <c:pt idx="0">
                  <c:v>    Total </c:v>
                </c:pt>
                <c:pt idx="1">
                  <c:v>AFR </c:v>
                </c:pt>
                <c:pt idx="2">
                  <c:v>AP</c:v>
                </c:pt>
                <c:pt idx="3">
                  <c:v>CEE</c:v>
                </c:pt>
                <c:pt idx="4">
                  <c:v>GRULAC</c:v>
                </c:pt>
                <c:pt idx="5">
                  <c:v>WEOG</c:v>
                </c:pt>
              </c:strCache>
            </c:strRef>
          </c:cat>
          <c:val>
            <c:numRef>
              <c:f>'Article 5'!$J$47:$O$47</c:f>
              <c:numCache>
                <c:formatCode>0%</c:formatCode>
                <c:ptCount val="6"/>
                <c:pt idx="0">
                  <c:v>0.38666666666666666</c:v>
                </c:pt>
                <c:pt idx="1">
                  <c:v>0.5357142857142857</c:v>
                </c:pt>
                <c:pt idx="2">
                  <c:v>0.46153846153846156</c:v>
                </c:pt>
                <c:pt idx="3">
                  <c:v>0.22222222222222221</c:v>
                </c:pt>
                <c:pt idx="4">
                  <c:v>0.5</c:v>
                </c:pt>
                <c:pt idx="5">
                  <c:v>6.6666666666666666E-2</c:v>
                </c:pt>
              </c:numCache>
            </c:numRef>
          </c:val>
          <c:extLst>
            <c:ext xmlns:c16="http://schemas.microsoft.com/office/drawing/2014/chart" uri="{C3380CC4-5D6E-409C-BE32-E72D297353CC}">
              <c16:uniqueId val="{00000001-F10E-40FD-AE93-9D9E784F38A0}"/>
            </c:ext>
          </c:extLst>
        </c:ser>
        <c:dLbls>
          <c:dLblPos val="outEnd"/>
          <c:showLegendKey val="0"/>
          <c:showVal val="1"/>
          <c:showCatName val="0"/>
          <c:showSerName val="0"/>
          <c:showPercent val="0"/>
          <c:showBubbleSize val="0"/>
        </c:dLbls>
        <c:gapWidth val="219"/>
        <c:overlap val="-27"/>
        <c:axId val="248304768"/>
        <c:axId val="248306304"/>
      </c:barChart>
      <c:catAx>
        <c:axId val="24830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306304"/>
        <c:crosses val="autoZero"/>
        <c:auto val="1"/>
        <c:lblAlgn val="ctr"/>
        <c:lblOffset val="100"/>
        <c:noMultiLvlLbl val="0"/>
      </c:catAx>
      <c:valAx>
        <c:axId val="248306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304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'Article 15 16 17'!$I$8</c:f>
              <c:strCache>
                <c:ptCount val="1"/>
                <c:pt idx="0">
                  <c:v>Yes</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15 16 17'!$J$7:$O$7</c:f>
              <c:strCache>
                <c:ptCount val="6"/>
                <c:pt idx="0">
                  <c:v>    Total </c:v>
                </c:pt>
                <c:pt idx="1">
                  <c:v>AFR </c:v>
                </c:pt>
                <c:pt idx="2">
                  <c:v>AP</c:v>
                </c:pt>
                <c:pt idx="3">
                  <c:v>CEE</c:v>
                </c:pt>
                <c:pt idx="4">
                  <c:v>GRULAC</c:v>
                </c:pt>
                <c:pt idx="5">
                  <c:v>WEOG</c:v>
                </c:pt>
              </c:strCache>
            </c:strRef>
          </c:cat>
          <c:val>
            <c:numRef>
              <c:f>'Article 15 16 17'!$J$8:$O$8</c:f>
              <c:numCache>
                <c:formatCode>0%</c:formatCode>
                <c:ptCount val="6"/>
                <c:pt idx="0">
                  <c:v>0.53333333333333333</c:v>
                </c:pt>
                <c:pt idx="1">
                  <c:v>0.32142857142857145</c:v>
                </c:pt>
                <c:pt idx="2">
                  <c:v>0.38461538461538464</c:v>
                </c:pt>
                <c:pt idx="3">
                  <c:v>0.88888888888888884</c:v>
                </c:pt>
                <c:pt idx="4">
                  <c:v>0.4</c:v>
                </c:pt>
                <c:pt idx="5">
                  <c:v>0.93333333333333335</c:v>
                </c:pt>
              </c:numCache>
            </c:numRef>
          </c:val>
          <c:extLst>
            <c:ext xmlns:c16="http://schemas.microsoft.com/office/drawing/2014/chart" uri="{C3380CC4-5D6E-409C-BE32-E72D297353CC}">
              <c16:uniqueId val="{00000000-7AB2-4A1D-A83A-5B900B8B6FE1}"/>
            </c:ext>
          </c:extLst>
        </c:ser>
        <c:ser>
          <c:idx val="1"/>
          <c:order val="1"/>
          <c:tx>
            <c:strRef>
              <c:f>'Article 15 16 17'!$I$9</c:f>
              <c:strCache>
                <c:ptCount val="1"/>
                <c:pt idx="0">
                  <c:v>No</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15 16 17'!$J$7:$O$7</c:f>
              <c:strCache>
                <c:ptCount val="6"/>
                <c:pt idx="0">
                  <c:v>    Total </c:v>
                </c:pt>
                <c:pt idx="1">
                  <c:v>AFR </c:v>
                </c:pt>
                <c:pt idx="2">
                  <c:v>AP</c:v>
                </c:pt>
                <c:pt idx="3">
                  <c:v>CEE</c:v>
                </c:pt>
                <c:pt idx="4">
                  <c:v>GRULAC</c:v>
                </c:pt>
                <c:pt idx="5">
                  <c:v>WEOG</c:v>
                </c:pt>
              </c:strCache>
            </c:strRef>
          </c:cat>
          <c:val>
            <c:numRef>
              <c:f>'Article 15 16 17'!$J$9:$O$9</c:f>
              <c:numCache>
                <c:formatCode>0%</c:formatCode>
                <c:ptCount val="6"/>
                <c:pt idx="0">
                  <c:v>0.46666666666666667</c:v>
                </c:pt>
                <c:pt idx="1">
                  <c:v>0.6785714285714286</c:v>
                </c:pt>
                <c:pt idx="2">
                  <c:v>0.61538461538461542</c:v>
                </c:pt>
                <c:pt idx="3">
                  <c:v>0.1111111111111111</c:v>
                </c:pt>
                <c:pt idx="4">
                  <c:v>0.6</c:v>
                </c:pt>
                <c:pt idx="5">
                  <c:v>6.6666666666666666E-2</c:v>
                </c:pt>
              </c:numCache>
            </c:numRef>
          </c:val>
          <c:extLst>
            <c:ext xmlns:c16="http://schemas.microsoft.com/office/drawing/2014/chart" uri="{C3380CC4-5D6E-409C-BE32-E72D297353CC}">
              <c16:uniqueId val="{00000001-7AB2-4A1D-A83A-5B900B8B6FE1}"/>
            </c:ext>
          </c:extLst>
        </c:ser>
        <c:dLbls>
          <c:dLblPos val="outEnd"/>
          <c:showLegendKey val="0"/>
          <c:showVal val="1"/>
          <c:showCatName val="0"/>
          <c:showSerName val="0"/>
          <c:showPercent val="0"/>
          <c:showBubbleSize val="0"/>
        </c:dLbls>
        <c:gapWidth val="219"/>
        <c:overlap val="-27"/>
        <c:axId val="235758336"/>
        <c:axId val="235759872"/>
      </c:barChart>
      <c:catAx>
        <c:axId val="23575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759872"/>
        <c:crosses val="autoZero"/>
        <c:auto val="1"/>
        <c:lblAlgn val="ctr"/>
        <c:lblOffset val="100"/>
        <c:noMultiLvlLbl val="0"/>
      </c:catAx>
      <c:valAx>
        <c:axId val="235759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75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'Article 15 16 17'!$I$23</c:f>
              <c:strCache>
                <c:ptCount val="1"/>
                <c:pt idx="0">
                  <c:v>Yes</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15 16 17'!$J$22:$O$22</c:f>
              <c:strCache>
                <c:ptCount val="6"/>
                <c:pt idx="0">
                  <c:v>    Total </c:v>
                </c:pt>
                <c:pt idx="1">
                  <c:v>AFR </c:v>
                </c:pt>
                <c:pt idx="2">
                  <c:v>AP</c:v>
                </c:pt>
                <c:pt idx="3">
                  <c:v>CEE</c:v>
                </c:pt>
                <c:pt idx="4">
                  <c:v>GRULAC</c:v>
                </c:pt>
                <c:pt idx="5">
                  <c:v>WEOG</c:v>
                </c:pt>
              </c:strCache>
            </c:strRef>
          </c:cat>
          <c:val>
            <c:numRef>
              <c:f>'Article 15 16 17'!$J$23:$O$23</c:f>
              <c:numCache>
                <c:formatCode>0%</c:formatCode>
                <c:ptCount val="6"/>
                <c:pt idx="0">
                  <c:v>0.82499999999999996</c:v>
                </c:pt>
                <c:pt idx="1">
                  <c:v>0.66666666666666663</c:v>
                </c:pt>
                <c:pt idx="2">
                  <c:v>0.8</c:v>
                </c:pt>
                <c:pt idx="3">
                  <c:v>0.75</c:v>
                </c:pt>
                <c:pt idx="4">
                  <c:v>0.75</c:v>
                </c:pt>
                <c:pt idx="5">
                  <c:v>1</c:v>
                </c:pt>
              </c:numCache>
            </c:numRef>
          </c:val>
          <c:extLst>
            <c:ext xmlns:c16="http://schemas.microsoft.com/office/drawing/2014/chart" uri="{C3380CC4-5D6E-409C-BE32-E72D297353CC}">
              <c16:uniqueId val="{00000000-9844-450B-B3CF-7882B5F8AF37}"/>
            </c:ext>
          </c:extLst>
        </c:ser>
        <c:ser>
          <c:idx val="1"/>
          <c:order val="1"/>
          <c:tx>
            <c:strRef>
              <c:f>'Article 15 16 17'!$I$24</c:f>
              <c:strCache>
                <c:ptCount val="1"/>
                <c:pt idx="0">
                  <c:v>No</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15 16 17'!$J$22:$O$22</c:f>
              <c:strCache>
                <c:ptCount val="6"/>
                <c:pt idx="0">
                  <c:v>    Total </c:v>
                </c:pt>
                <c:pt idx="1">
                  <c:v>AFR </c:v>
                </c:pt>
                <c:pt idx="2">
                  <c:v>AP</c:v>
                </c:pt>
                <c:pt idx="3">
                  <c:v>CEE</c:v>
                </c:pt>
                <c:pt idx="4">
                  <c:v>GRULAC</c:v>
                </c:pt>
                <c:pt idx="5">
                  <c:v>WEOG</c:v>
                </c:pt>
              </c:strCache>
            </c:strRef>
          </c:cat>
          <c:val>
            <c:numRef>
              <c:f>'Article 15 16 17'!$J$24:$O$24</c:f>
              <c:numCache>
                <c:formatCode>0%</c:formatCode>
                <c:ptCount val="6"/>
                <c:pt idx="0">
                  <c:v>0.17499999999999999</c:v>
                </c:pt>
                <c:pt idx="1">
                  <c:v>0.33333333333333331</c:v>
                </c:pt>
                <c:pt idx="2">
                  <c:v>0.2</c:v>
                </c:pt>
                <c:pt idx="3">
                  <c:v>0.25</c:v>
                </c:pt>
                <c:pt idx="4">
                  <c:v>0.25</c:v>
                </c:pt>
                <c:pt idx="5">
                  <c:v>0</c:v>
                </c:pt>
              </c:numCache>
            </c:numRef>
          </c:val>
          <c:extLst>
            <c:ext xmlns:c16="http://schemas.microsoft.com/office/drawing/2014/chart" uri="{C3380CC4-5D6E-409C-BE32-E72D297353CC}">
              <c16:uniqueId val="{00000001-9844-450B-B3CF-7882B5F8AF37}"/>
            </c:ext>
          </c:extLst>
        </c:ser>
        <c:dLbls>
          <c:dLblPos val="outEnd"/>
          <c:showLegendKey val="0"/>
          <c:showVal val="1"/>
          <c:showCatName val="0"/>
          <c:showSerName val="0"/>
          <c:showPercent val="0"/>
          <c:showBubbleSize val="0"/>
        </c:dLbls>
        <c:gapWidth val="219"/>
        <c:overlap val="-27"/>
        <c:axId val="249143680"/>
        <c:axId val="249145216"/>
      </c:barChart>
      <c:catAx>
        <c:axId val="24914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145216"/>
        <c:crosses val="autoZero"/>
        <c:auto val="1"/>
        <c:lblAlgn val="ctr"/>
        <c:lblOffset val="100"/>
        <c:noMultiLvlLbl val="0"/>
      </c:catAx>
      <c:valAx>
        <c:axId val="249145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143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'Article 15 16 17'!$I$53</c:f>
              <c:strCache>
                <c:ptCount val="1"/>
                <c:pt idx="0">
                  <c:v>Yes</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15 16 17'!$J$52:$O$52</c:f>
              <c:strCache>
                <c:ptCount val="6"/>
                <c:pt idx="0">
                  <c:v>    Total </c:v>
                </c:pt>
                <c:pt idx="1">
                  <c:v>AFR </c:v>
                </c:pt>
                <c:pt idx="2">
                  <c:v>AP</c:v>
                </c:pt>
                <c:pt idx="3">
                  <c:v>CEE</c:v>
                </c:pt>
                <c:pt idx="4">
                  <c:v>GRULAC</c:v>
                </c:pt>
                <c:pt idx="5">
                  <c:v>WEOG</c:v>
                </c:pt>
              </c:strCache>
            </c:strRef>
          </c:cat>
          <c:val>
            <c:numRef>
              <c:f>'Article 15 16 17'!$J$53:$O$53</c:f>
              <c:numCache>
                <c:formatCode>0%</c:formatCode>
                <c:ptCount val="6"/>
                <c:pt idx="0">
                  <c:v>0.1</c:v>
                </c:pt>
                <c:pt idx="1">
                  <c:v>0.22222222222222221</c:v>
                </c:pt>
                <c:pt idx="2">
                  <c:v>0</c:v>
                </c:pt>
                <c:pt idx="3">
                  <c:v>0.125</c:v>
                </c:pt>
                <c:pt idx="4">
                  <c:v>0.25</c:v>
                </c:pt>
                <c:pt idx="5">
                  <c:v>0</c:v>
                </c:pt>
              </c:numCache>
            </c:numRef>
          </c:val>
          <c:extLst>
            <c:ext xmlns:c16="http://schemas.microsoft.com/office/drawing/2014/chart" uri="{C3380CC4-5D6E-409C-BE32-E72D297353CC}">
              <c16:uniqueId val="{00000000-EAFE-4BF9-B7B9-F856FF461B52}"/>
            </c:ext>
          </c:extLst>
        </c:ser>
        <c:ser>
          <c:idx val="1"/>
          <c:order val="1"/>
          <c:tx>
            <c:strRef>
              <c:f>'Article 15 16 17'!$I$54</c:f>
              <c:strCache>
                <c:ptCount val="1"/>
                <c:pt idx="0">
                  <c:v>No</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 15 16 17'!$J$52:$O$52</c:f>
              <c:strCache>
                <c:ptCount val="6"/>
                <c:pt idx="0">
                  <c:v>    Total </c:v>
                </c:pt>
                <c:pt idx="1">
                  <c:v>AFR </c:v>
                </c:pt>
                <c:pt idx="2">
                  <c:v>AP</c:v>
                </c:pt>
                <c:pt idx="3">
                  <c:v>CEE</c:v>
                </c:pt>
                <c:pt idx="4">
                  <c:v>GRULAC</c:v>
                </c:pt>
                <c:pt idx="5">
                  <c:v>WEOG</c:v>
                </c:pt>
              </c:strCache>
            </c:strRef>
          </c:cat>
          <c:val>
            <c:numRef>
              <c:f>'Article 15 16 17'!$J$54:$O$54</c:f>
              <c:numCache>
                <c:formatCode>0%</c:formatCode>
                <c:ptCount val="6"/>
                <c:pt idx="0">
                  <c:v>0.9</c:v>
                </c:pt>
                <c:pt idx="1">
                  <c:v>0.77777777777777779</c:v>
                </c:pt>
                <c:pt idx="2">
                  <c:v>1</c:v>
                </c:pt>
                <c:pt idx="3">
                  <c:v>0.875</c:v>
                </c:pt>
                <c:pt idx="4">
                  <c:v>0.75</c:v>
                </c:pt>
                <c:pt idx="5">
                  <c:v>1</c:v>
                </c:pt>
              </c:numCache>
            </c:numRef>
          </c:val>
          <c:extLst>
            <c:ext xmlns:c16="http://schemas.microsoft.com/office/drawing/2014/chart" uri="{C3380CC4-5D6E-409C-BE32-E72D297353CC}">
              <c16:uniqueId val="{00000001-EAFE-4BF9-B7B9-F856FF461B52}"/>
            </c:ext>
          </c:extLst>
        </c:ser>
        <c:dLbls>
          <c:dLblPos val="outEnd"/>
          <c:showLegendKey val="0"/>
          <c:showVal val="1"/>
          <c:showCatName val="0"/>
          <c:showSerName val="0"/>
          <c:showPercent val="0"/>
          <c:showBubbleSize val="0"/>
        </c:dLbls>
        <c:gapWidth val="219"/>
        <c:overlap val="-27"/>
        <c:axId val="248598528"/>
        <c:axId val="248600064"/>
      </c:barChart>
      <c:catAx>
        <c:axId val="24859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600064"/>
        <c:crosses val="autoZero"/>
        <c:auto val="1"/>
        <c:lblAlgn val="ctr"/>
        <c:lblOffset val="100"/>
        <c:noMultiLvlLbl val="0"/>
      </c:catAx>
      <c:valAx>
        <c:axId val="248600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598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11.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580953" cy="2752381"/>
        </a:xfrm>
        <a:prstGeom xmlns:a="http://schemas.openxmlformats.org/drawingml/2006/main" prst="rect">
          <a:avLst/>
        </a:prstGeom>
      </cdr:spPr>
    </cdr:pic>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4401EA97D5D4F9EBBCA8C8A23F86B6A"/>
        <w:category>
          <w:name w:val="General"/>
          <w:gallery w:val="placeholder"/>
        </w:category>
        <w:types>
          <w:type w:val="bbPlcHdr"/>
        </w:types>
        <w:behaviors>
          <w:behavior w:val="content"/>
        </w:behaviors>
        <w:guid w:val="{D361AEE0-D639-46F5-82D4-7CCAD633C57F}"/>
      </w:docPartPr>
      <w:docPartBody>
        <w:p w:rsidR="000D2707" w:rsidRDefault="000D2707">
          <w:r w:rsidRPr="000D2707">
            <w:rPr>
              <w:rStyle w:val="PlaceholderText"/>
            </w:rPr>
            <w:t>[Title]</w:t>
          </w:r>
        </w:p>
      </w:docPartBody>
    </w:docPart>
    <w:docPart>
      <w:docPartPr>
        <w:name w:val="5D2967D019FB4BA1826BF5989E00F68C"/>
        <w:category>
          <w:name w:val="General"/>
          <w:gallery w:val="placeholder"/>
        </w:category>
        <w:types>
          <w:type w:val="bbPlcHdr"/>
        </w:types>
        <w:behaviors>
          <w:behavior w:val="content"/>
        </w:behaviors>
        <w:guid w:val="{855C2CC4-C105-4744-86D2-81CD4EFF0A67}"/>
      </w:docPartPr>
      <w:docPartBody>
        <w:p w:rsidR="000D2707" w:rsidRDefault="000D2707">
          <w:r w:rsidRPr="000D2707">
            <w:rPr>
              <w:rStyle w:val="PlaceholderText"/>
            </w:rPr>
            <w:t>[Subject]</w:t>
          </w:r>
        </w:p>
      </w:docPartBody>
    </w:docPart>
    <w:docPart>
      <w:docPartPr>
        <w:name w:val="11753B0FB59241B28DF0002667C72E26"/>
        <w:category>
          <w:name w:val="General"/>
          <w:gallery w:val="placeholder"/>
        </w:category>
        <w:types>
          <w:type w:val="bbPlcHdr"/>
        </w:types>
        <w:behaviors>
          <w:behavior w:val="content"/>
        </w:behaviors>
        <w:guid w:val="{388F77B7-4552-43B6-A16B-1813FAAA3B00}"/>
      </w:docPartPr>
      <w:docPartBody>
        <w:p w:rsidR="000D2707" w:rsidRDefault="000D2707">
          <w:r w:rsidRPr="000D2707">
            <w:rPr>
              <w:rStyle w:val="PlaceholderText"/>
            </w:rPr>
            <w:t>[Subject]</w:t>
          </w:r>
        </w:p>
      </w:docPartBody>
    </w:docPart>
    <w:docPart>
      <w:docPartPr>
        <w:name w:val="017DE37445A9413EA3A8F41277292FB0"/>
        <w:category>
          <w:name w:val="General"/>
          <w:gallery w:val="placeholder"/>
        </w:category>
        <w:types>
          <w:type w:val="bbPlcHdr"/>
        </w:types>
        <w:behaviors>
          <w:behavior w:val="content"/>
        </w:behaviors>
        <w:guid w:val="{31D08FEE-D169-45E6-A035-707F73A0C874}"/>
      </w:docPartPr>
      <w:docPartBody>
        <w:p w:rsidR="000D2707" w:rsidRDefault="000D2707">
          <w:r w:rsidRPr="000D2707">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amp;quot">
    <w:altName w:val="Times New Roman"/>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Helvetica Neue">
    <w:altName w:val="Times New Roman"/>
    <w:charset w:val="00"/>
    <w:family w:val="roman"/>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707"/>
    <w:rsid w:val="000D27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270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DF54D-2C5C-42CD-886F-352223722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1370</TotalTime>
  <Pages>91</Pages>
  <Words>32060</Words>
  <Characters>182743</Characters>
  <Application>Microsoft Office Word</Application>
  <DocSecurity>0</DocSecurity>
  <Lines>1522</Lines>
  <Paragraphs>428</Paragraphs>
  <ScaleCrop>false</ScaleCrop>
  <HeadingPairs>
    <vt:vector size="2" baseType="variant">
      <vt:variant>
        <vt:lpstr>Title</vt:lpstr>
      </vt:variant>
      <vt:variant>
        <vt:i4>1</vt:i4>
      </vt:variant>
    </vt:vector>
  </HeadingPairs>
  <TitlesOfParts>
    <vt:vector size="1" baseType="lpstr">
      <vt:lpstr>DRAFT ANALYSIS OF INFORMATION CONTAINED IN THE INTERIM NATIONAL REPORTS AND INFORMATION PUBLISHED IN THE ACCESS AND BENEFIT-SHARING CLEARING HOUSE</vt:lpstr>
    </vt:vector>
  </TitlesOfParts>
  <Company>SCBD</Company>
  <LinksUpToDate>false</LinksUpToDate>
  <CharactersWithSpaces>214375</CharactersWithSpaces>
  <SharedDoc>false</SharedDoc>
  <HLinks>
    <vt:vector size="6" baseType="variant">
      <vt:variant>
        <vt:i4>4915293</vt:i4>
      </vt:variant>
      <vt:variant>
        <vt:i4>0</vt:i4>
      </vt:variant>
      <vt:variant>
        <vt:i4>0</vt:i4>
      </vt:variant>
      <vt:variant>
        <vt:i4>5</vt:i4>
      </vt:variant>
      <vt:variant>
        <vt:lpwstr>http://www.absch.cbd.int/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ANALYSIS OF INFORMATION CONTAINED IN THE INTERIM NATIONAL REPORTS AND INFORMATION PUBLISHED IN THE ACCESS AND BENEFIT-SHARING CLEARING HOUSE</dc:title>
  <dc:subject>CBD/ABS/CC/2/INF/1</dc:subject>
  <dc:creator>SCBD</dc:creator>
  <cp:lastModifiedBy>veronique lefebvre</cp:lastModifiedBy>
  <cp:revision>9</cp:revision>
  <cp:lastPrinted>2018-04-03T15:39:00Z</cp:lastPrinted>
  <dcterms:created xsi:type="dcterms:W3CDTF">2018-04-10T20:17:00Z</dcterms:created>
  <dcterms:modified xsi:type="dcterms:W3CDTF">2018-04-11T20:02:00Z</dcterms:modified>
</cp:coreProperties>
</file>