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5141"/>
        <w:gridCol w:w="4279"/>
      </w:tblGrid>
      <w:tr w:rsidR="001F635E" w14:paraId="09E1CDEB" w14:textId="77777777" w:rsidTr="001F635E">
        <w:trPr>
          <w:trHeight w:val="709"/>
        </w:trPr>
        <w:tc>
          <w:tcPr>
            <w:tcW w:w="976" w:type="dxa"/>
            <w:tcBorders>
              <w:top w:val="nil"/>
              <w:left w:val="nil"/>
              <w:bottom w:val="single" w:sz="12" w:space="0" w:color="auto"/>
              <w:right w:val="nil"/>
            </w:tcBorders>
            <w:hideMark/>
          </w:tcPr>
          <w:p w14:paraId="09E1CDE8" w14:textId="77777777" w:rsidR="001F635E" w:rsidRDefault="001F635E">
            <w:pPr>
              <w:rPr>
                <w:rFonts w:eastAsia="Times New Roman" w:cs="Times New Roman"/>
                <w:lang w:val="en-GB"/>
              </w:rPr>
            </w:pPr>
            <w:r>
              <w:rPr>
                <w:noProof/>
                <w:lang w:val="en-GB" w:eastAsia="en-GB"/>
              </w:rPr>
              <w:drawing>
                <wp:inline distT="0" distB="0" distL="0" distR="0" wp14:anchorId="09E1CE58" wp14:editId="09E1CE59">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14:paraId="09E1CDE9" w14:textId="77777777" w:rsidR="001F635E" w:rsidRDefault="00D20319">
            <w:r w:rsidRPr="00D20319">
              <w:rPr>
                <w:noProof/>
                <w:lang w:val="en-GB" w:eastAsia="en-GB"/>
              </w:rPr>
              <w:drawing>
                <wp:inline distT="0" distB="0" distL="0" distR="0" wp14:anchorId="09E1CE5A" wp14:editId="09E1CE5B">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ep-2017-ru-blk-sm2"/>
                          <pic:cNvPicPr>
                            <a:picLocks noChangeAspect="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r w:rsidR="001F635E" w:rsidRPr="00D20319">
              <w:t xml:space="preserve"> </w:t>
            </w:r>
          </w:p>
        </w:tc>
        <w:tc>
          <w:tcPr>
            <w:tcW w:w="4090" w:type="dxa"/>
            <w:tcBorders>
              <w:top w:val="nil"/>
              <w:left w:val="nil"/>
              <w:bottom w:val="single" w:sz="12" w:space="0" w:color="auto"/>
              <w:right w:val="nil"/>
            </w:tcBorders>
            <w:hideMark/>
          </w:tcPr>
          <w:p w14:paraId="09E1CDEA" w14:textId="77777777" w:rsidR="001F635E" w:rsidRDefault="001F635E">
            <w:pPr>
              <w:jc w:val="right"/>
              <w:rPr>
                <w:rFonts w:ascii="Arial" w:hAnsi="Arial" w:cs="Arial"/>
                <w:b/>
                <w:sz w:val="32"/>
                <w:szCs w:val="32"/>
              </w:rPr>
            </w:pPr>
            <w:r>
              <w:rPr>
                <w:rFonts w:ascii="Arial" w:hAnsi="Arial" w:cs="Arial"/>
                <w:b/>
                <w:sz w:val="32"/>
                <w:szCs w:val="32"/>
              </w:rPr>
              <w:t>CBD</w:t>
            </w:r>
          </w:p>
        </w:tc>
      </w:tr>
      <w:tr w:rsidR="001F635E" w14:paraId="09E1CDF5" w14:textId="77777777" w:rsidTr="001F635E">
        <w:tc>
          <w:tcPr>
            <w:tcW w:w="6117" w:type="dxa"/>
            <w:gridSpan w:val="2"/>
            <w:tcBorders>
              <w:top w:val="single" w:sz="12" w:space="0" w:color="auto"/>
              <w:left w:val="nil"/>
              <w:bottom w:val="single" w:sz="36" w:space="0" w:color="auto"/>
              <w:right w:val="nil"/>
            </w:tcBorders>
            <w:vAlign w:val="center"/>
            <w:hideMark/>
          </w:tcPr>
          <w:p w14:paraId="09E1CDEC" w14:textId="77777777" w:rsidR="001F635E" w:rsidRDefault="00AD3C93">
            <w:pPr>
              <w:rPr>
                <w:rFonts w:cs="Times New Roman"/>
              </w:rPr>
            </w:pPr>
            <w:r>
              <w:rPr>
                <w:noProof/>
                <w:lang w:val="en-GB" w:eastAsia="en-GB"/>
              </w:rPr>
              <w:drawing>
                <wp:inline distT="0" distB="0" distL="0" distR="0" wp14:anchorId="09E1CE5C" wp14:editId="09E1CE5D">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09E1CDED" w14:textId="77777777" w:rsidR="001F635E" w:rsidRPr="00BD0324" w:rsidRDefault="001F635E">
            <w:pPr>
              <w:ind w:left="1575"/>
              <w:jc w:val="left"/>
              <w:rPr>
                <w:szCs w:val="22"/>
                <w:lang w:val="en-GB"/>
              </w:rPr>
            </w:pPr>
            <w:r w:rsidRPr="00BD0324">
              <w:rPr>
                <w:szCs w:val="22"/>
                <w:lang w:val="en-GB"/>
              </w:rPr>
              <w:t>Distr.</w:t>
            </w:r>
          </w:p>
          <w:p w14:paraId="09E1CDEE" w14:textId="77777777" w:rsidR="001F635E" w:rsidRPr="00BD0324" w:rsidRDefault="001F635E">
            <w:pPr>
              <w:ind w:left="1575"/>
              <w:jc w:val="left"/>
              <w:rPr>
                <w:szCs w:val="22"/>
                <w:lang w:val="en-GB"/>
              </w:rPr>
            </w:pPr>
            <w:r w:rsidRPr="00BD0324">
              <w:rPr>
                <w:szCs w:val="22"/>
                <w:lang w:val="en-GB"/>
              </w:rPr>
              <w:t>LIMITED</w:t>
            </w:r>
          </w:p>
          <w:p w14:paraId="09E1CDEF" w14:textId="77777777" w:rsidR="001F635E" w:rsidRPr="00BD0324" w:rsidRDefault="001F635E">
            <w:pPr>
              <w:ind w:left="1575"/>
              <w:jc w:val="left"/>
              <w:rPr>
                <w:szCs w:val="22"/>
                <w:lang w:val="en-GB"/>
              </w:rPr>
            </w:pPr>
          </w:p>
          <w:p w14:paraId="09E1CDF0" w14:textId="77777777" w:rsidR="001F635E" w:rsidRPr="00BD0324" w:rsidRDefault="00E638B4">
            <w:pPr>
              <w:ind w:left="1575"/>
              <w:jc w:val="left"/>
              <w:rPr>
                <w:szCs w:val="22"/>
                <w:lang w:val="en-GB"/>
              </w:rPr>
            </w:pPr>
            <w:sdt>
              <w:sdtPr>
                <w:rPr>
                  <w:lang w:val="en-GB"/>
                </w:rPr>
                <w:alias w:val="Subject"/>
                <w:id w:val="2137136483"/>
                <w:placeholder>
                  <w:docPart w:val="A7C042C9D9474E81BB8539667FFBF0D0"/>
                </w:placeholder>
                <w:dataBinding w:prefixMappings="xmlns:ns0='http://purl.org/dc/elements/1.1/' xmlns:ns1='http://schemas.openxmlformats.org/package/2006/metadata/core-properties' " w:xpath="/ns1:coreProperties[1]/ns0:subject[1]" w:storeItemID="{6C3C8BC8-F283-45AE-878A-BAB7291924A1}"/>
                <w:text/>
              </w:sdtPr>
              <w:sdtEndPr/>
              <w:sdtContent>
                <w:r w:rsidR="00566AC9" w:rsidRPr="00BD0324">
                  <w:rPr>
                    <w:lang w:val="en-GB"/>
                  </w:rPr>
                  <w:t>CBD/CP/MOP/10/</w:t>
                </w:r>
                <w:r w:rsidR="00174518" w:rsidRPr="00BD0324">
                  <w:rPr>
                    <w:lang w:val="en-GB"/>
                  </w:rPr>
                  <w:t>Part1/</w:t>
                </w:r>
                <w:r w:rsidR="00566AC9" w:rsidRPr="00BD0324">
                  <w:rPr>
                    <w:lang w:val="en-GB"/>
                  </w:rPr>
                  <w:t>L.</w:t>
                </w:r>
                <w:r w:rsidR="00174518" w:rsidRPr="00BD0324">
                  <w:rPr>
                    <w:lang w:val="en-GB"/>
                  </w:rPr>
                  <w:t>1</w:t>
                </w:r>
              </w:sdtContent>
            </w:sdt>
          </w:p>
          <w:p w14:paraId="09E1CDF1" w14:textId="652A7A98" w:rsidR="001B6499" w:rsidRPr="001A6D8B" w:rsidRDefault="004D7D96" w:rsidP="001B6499">
            <w:pPr>
              <w:ind w:left="1575"/>
              <w:rPr>
                <w:kern w:val="22"/>
                <w:szCs w:val="22"/>
              </w:rPr>
            </w:pPr>
            <w:r>
              <w:rPr>
                <w:kern w:val="22"/>
                <w:szCs w:val="22"/>
              </w:rPr>
              <w:t xml:space="preserve">13 </w:t>
            </w:r>
            <w:r>
              <w:rPr>
                <w:kern w:val="22"/>
                <w:szCs w:val="22"/>
                <w:lang w:val="en-GB"/>
              </w:rPr>
              <w:t>October</w:t>
            </w:r>
            <w:r w:rsidR="001B6499" w:rsidRPr="001A6D8B">
              <w:rPr>
                <w:kern w:val="22"/>
                <w:szCs w:val="22"/>
              </w:rPr>
              <w:t xml:space="preserve"> 2021</w:t>
            </w:r>
          </w:p>
          <w:p w14:paraId="09E1CDF2" w14:textId="77777777" w:rsidR="001F635E" w:rsidRDefault="001F635E">
            <w:pPr>
              <w:ind w:left="1575"/>
              <w:jc w:val="left"/>
              <w:rPr>
                <w:szCs w:val="22"/>
              </w:rPr>
            </w:pPr>
          </w:p>
          <w:p w14:paraId="09E1CDF3" w14:textId="77777777" w:rsidR="008D3C8A" w:rsidRDefault="008D3C8A" w:rsidP="008D3C8A">
            <w:pPr>
              <w:ind w:left="1575"/>
              <w:rPr>
                <w:rFonts w:eastAsia="Times New Roman" w:cs="Times New Roman"/>
                <w:szCs w:val="22"/>
              </w:rPr>
            </w:pPr>
            <w:r>
              <w:rPr>
                <w:szCs w:val="22"/>
              </w:rPr>
              <w:t>RUSSIAN</w:t>
            </w:r>
          </w:p>
          <w:p w14:paraId="09E1CDF4" w14:textId="77777777" w:rsidR="001F635E" w:rsidRDefault="001F635E">
            <w:pPr>
              <w:spacing w:after="120"/>
              <w:ind w:left="1575"/>
              <w:jc w:val="left"/>
            </w:pPr>
            <w:r>
              <w:rPr>
                <w:szCs w:val="22"/>
              </w:rPr>
              <w:t>ORIGINAL: ENGLISH</w:t>
            </w:r>
          </w:p>
        </w:tc>
      </w:tr>
    </w:tbl>
    <w:p w14:paraId="09E1CDF6" w14:textId="77777777" w:rsidR="001041B0" w:rsidRPr="00BD0324" w:rsidRDefault="001041B0" w:rsidP="001041B0">
      <w:pPr>
        <w:pStyle w:val="Cornernotation"/>
        <w:kinsoku w:val="0"/>
        <w:overflowPunct w:val="0"/>
        <w:autoSpaceDE w:val="0"/>
        <w:autoSpaceDN w:val="0"/>
        <w:spacing w:before="60"/>
        <w:ind w:left="227" w:right="4302" w:hanging="227"/>
        <w:rPr>
          <w:snapToGrid w:val="0"/>
          <w:kern w:val="22"/>
          <w:lang w:val="ru-RU"/>
        </w:rPr>
      </w:pPr>
      <w:r w:rsidRPr="00BD0324">
        <w:rPr>
          <w:kern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09E1CDF7" w14:textId="77777777" w:rsidR="001041B0" w:rsidRPr="00BD0324" w:rsidRDefault="001041B0" w:rsidP="001041B0">
      <w:pPr>
        <w:pStyle w:val="Cornernotation"/>
        <w:kinsoku w:val="0"/>
        <w:overflowPunct w:val="0"/>
        <w:autoSpaceDE w:val="0"/>
        <w:autoSpaceDN w:val="0"/>
        <w:ind w:left="0" w:right="4512" w:firstLine="0"/>
        <w:rPr>
          <w:snapToGrid w:val="0"/>
          <w:kern w:val="22"/>
          <w:lang w:val="ru-RU"/>
        </w:rPr>
      </w:pPr>
      <w:r>
        <w:rPr>
          <w:snapToGrid w:val="0"/>
          <w:kern w:val="22"/>
          <w:lang w:val="ru-RU"/>
        </w:rPr>
        <w:t>Десятое совещание</w:t>
      </w:r>
    </w:p>
    <w:p w14:paraId="09E1CDF8" w14:textId="77777777" w:rsidR="001041B0" w:rsidRDefault="001041B0" w:rsidP="001041B0">
      <w:pPr>
        <w:pStyle w:val="Cornernotation"/>
        <w:kinsoku w:val="0"/>
        <w:overflowPunct w:val="0"/>
        <w:autoSpaceDE w:val="0"/>
        <w:autoSpaceDN w:val="0"/>
        <w:ind w:left="227" w:right="4512" w:hanging="227"/>
        <w:rPr>
          <w:lang w:val="ru-RU"/>
        </w:rPr>
      </w:pPr>
      <w:r>
        <w:rPr>
          <w:lang w:val="ru-RU"/>
        </w:rPr>
        <w:t>Куньмин, Китай, 11-15 октября 2021 года и</w:t>
      </w:r>
      <w:r>
        <w:rPr>
          <w:lang w:val="ru-RU"/>
        </w:rPr>
        <w:br/>
        <w:t>25 апреля – 8 мая 202</w:t>
      </w:r>
      <w:r w:rsidRPr="00E638B4">
        <w:rPr>
          <w:lang w:val="ru-RU"/>
        </w:rPr>
        <w:t>2</w:t>
      </w:r>
      <w:r>
        <w:rPr>
          <w:lang w:val="ru-RU"/>
        </w:rPr>
        <w:t xml:space="preserve"> года</w:t>
      </w:r>
    </w:p>
    <w:p w14:paraId="09E1CDF9" w14:textId="12C24792" w:rsidR="00174518" w:rsidRDefault="00174518" w:rsidP="00174518">
      <w:pPr>
        <w:pStyle w:val="ListParagraph"/>
        <w:keepNext/>
        <w:suppressLineNumbers/>
        <w:tabs>
          <w:tab w:val="left" w:pos="450"/>
        </w:tabs>
        <w:suppressAutoHyphens/>
        <w:spacing w:before="120" w:after="120"/>
        <w:ind w:left="0"/>
        <w:contextualSpacing w:val="0"/>
        <w:jc w:val="center"/>
        <w:outlineLvl w:val="0"/>
        <w:rPr>
          <w:b/>
          <w:caps/>
          <w:kern w:val="22"/>
          <w:szCs w:val="22"/>
        </w:rPr>
      </w:pPr>
      <w:r w:rsidRPr="007A3240">
        <w:rPr>
          <w:b/>
          <w:caps/>
          <w:kern w:val="22"/>
          <w:szCs w:val="22"/>
        </w:rPr>
        <w:t xml:space="preserve">ПРОЕКТ </w:t>
      </w:r>
      <w:r>
        <w:rPr>
          <w:b/>
          <w:caps/>
          <w:kern w:val="22"/>
          <w:szCs w:val="22"/>
        </w:rPr>
        <w:t>ДОКЛАДА</w:t>
      </w:r>
    </w:p>
    <w:p w14:paraId="09E1CDFA" w14:textId="77777777" w:rsidR="00174518" w:rsidRPr="00B57072" w:rsidRDefault="00174518" w:rsidP="00174518">
      <w:pPr>
        <w:pStyle w:val="ListParagraph"/>
        <w:keepNext/>
        <w:suppressLineNumbers/>
        <w:tabs>
          <w:tab w:val="left" w:pos="450"/>
        </w:tabs>
        <w:suppressAutoHyphens/>
        <w:spacing w:before="120" w:after="120"/>
        <w:ind w:left="0"/>
        <w:contextualSpacing w:val="0"/>
        <w:jc w:val="center"/>
        <w:outlineLvl w:val="0"/>
        <w:rPr>
          <w:i/>
          <w:kern w:val="22"/>
          <w:szCs w:val="22"/>
        </w:rPr>
      </w:pPr>
      <w:r w:rsidRPr="00B57072">
        <w:rPr>
          <w:i/>
          <w:kern w:val="22"/>
          <w:szCs w:val="22"/>
        </w:rPr>
        <w:t>Докладчик: г-жа Эл</w:t>
      </w:r>
      <w:r>
        <w:rPr>
          <w:i/>
          <w:kern w:val="22"/>
          <w:szCs w:val="22"/>
        </w:rPr>
        <w:t>ь</w:t>
      </w:r>
      <w:r w:rsidRPr="00B57072">
        <w:rPr>
          <w:i/>
          <w:kern w:val="22"/>
          <w:szCs w:val="22"/>
        </w:rPr>
        <w:t>вана Рама</w:t>
      </w:r>
      <w:r>
        <w:rPr>
          <w:i/>
          <w:kern w:val="22"/>
          <w:szCs w:val="22"/>
        </w:rPr>
        <w:t>д</w:t>
      </w:r>
      <w:r w:rsidRPr="00B57072">
        <w:rPr>
          <w:i/>
          <w:kern w:val="22"/>
          <w:szCs w:val="22"/>
        </w:rPr>
        <w:t>ж (Албания)</w:t>
      </w:r>
    </w:p>
    <w:p w14:paraId="09E1CDFB" w14:textId="77777777" w:rsidR="00EC430F" w:rsidRPr="001B6499" w:rsidRDefault="00174518" w:rsidP="00812063">
      <w:pPr>
        <w:pStyle w:val="ListParagraph"/>
        <w:keepNext/>
        <w:suppressLineNumbers/>
        <w:tabs>
          <w:tab w:val="left" w:pos="450"/>
        </w:tabs>
        <w:suppressAutoHyphens/>
        <w:spacing w:before="120" w:after="120"/>
        <w:ind w:left="0"/>
        <w:contextualSpacing w:val="0"/>
        <w:jc w:val="center"/>
        <w:outlineLvl w:val="0"/>
        <w:rPr>
          <w:b/>
          <w:caps/>
          <w:lang w:val="fr-FR"/>
        </w:rPr>
      </w:pPr>
      <w:r>
        <w:rPr>
          <w:b/>
          <w:caps/>
        </w:rPr>
        <w:t>введение</w:t>
      </w:r>
    </w:p>
    <w:p w14:paraId="6C0CF090" w14:textId="156A050B" w:rsidR="005B087A" w:rsidRDefault="00BD0324" w:rsidP="00BD0324">
      <w:pPr>
        <w:pStyle w:val="Para1"/>
        <w:numPr>
          <w:ilvl w:val="0"/>
          <w:numId w:val="15"/>
        </w:numPr>
        <w:tabs>
          <w:tab w:val="clear" w:pos="360"/>
        </w:tabs>
        <w:spacing w:before="120"/>
      </w:pPr>
      <w:bookmarkStart w:id="0" w:name="_Hlk84862159"/>
      <w:r w:rsidRPr="00C42588">
        <w:t xml:space="preserve">По приглашению правительства Китая и в соответствии с </w:t>
      </w:r>
      <w:hyperlink r:id="rId11" w:history="1">
        <w:r w:rsidRPr="00C42588">
          <w:t>решением XIII/33</w:t>
        </w:r>
      </w:hyperlink>
      <w:r w:rsidRPr="00C42588">
        <w:t xml:space="preserve"> Конференции Сторон Конвенции о биологическом разнообразии было запланировано провести 10-е совещание Конференции Сторон, выступающей в качестве совещания Сторон Картахенского протокола по биобезопасности в Куньмине, </w:t>
      </w:r>
      <w:r w:rsidRPr="00C42588">
        <w:rPr>
          <w:shd w:val="clear" w:color="auto" w:fill="FFFFFF"/>
        </w:rPr>
        <w:t>провинция Юньнань</w:t>
      </w:r>
      <w:r w:rsidRPr="00C42588">
        <w:t>, с 15 по 28 октября 2020 года, одновременно с 15-м совещанием Конференции Сторон Конвенции о биологическом разнообразии и 4-м совещанием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Однако в связи с текущей пандемией коронавирусной болезни (COVID-19) эти совещания были перенесены первоначально на конец мая 2021 года, а затем, принимая во внимание продолжающуюся пандемию, на более позднее время.</w:t>
      </w:r>
    </w:p>
    <w:p w14:paraId="09E1CDFC" w14:textId="737A4FEE" w:rsidR="00BD0324" w:rsidRPr="00C42588" w:rsidRDefault="00BD0324" w:rsidP="00BD0324">
      <w:pPr>
        <w:pStyle w:val="Para1"/>
        <w:numPr>
          <w:ilvl w:val="0"/>
          <w:numId w:val="15"/>
        </w:numPr>
        <w:tabs>
          <w:tab w:val="clear" w:pos="360"/>
        </w:tabs>
        <w:spacing w:before="120"/>
      </w:pPr>
      <w:r w:rsidRPr="00C42588">
        <w:t xml:space="preserve">После широких консультаций и с учетом трудностей, которые пандемия все еще создает для созыва очных совещаний, бюро Конференции Сторон, выполняющее функции бюро Конференции Сторон, выступающей в качестве </w:t>
      </w:r>
      <w:r w:rsidR="00E60C12">
        <w:t>с</w:t>
      </w:r>
      <w:r w:rsidRPr="00C42588">
        <w:t xml:space="preserve">овещания Сторон Картахенского протокола, на своем заседании, состоявшемся 19 июля 2021 года, постановило провести 10-е совещание Сторон Картахенского протокола в двух частях: первую часть (Часть I) в онлайновом формате с 11 по 15 октября 2021 года, а вторую часть (Часть II) в очном формате в Куньмине (Китай) с 25 апреля по 8 мая 2022 года. Часть I совещания была проведена </w:t>
      </w:r>
      <w:r w:rsidR="005B087A">
        <w:t>онлайн</w:t>
      </w:r>
      <w:r w:rsidRPr="00C42588">
        <w:t>.</w:t>
      </w:r>
    </w:p>
    <w:bookmarkEnd w:id="0"/>
    <w:p w14:paraId="09E1CDFE" w14:textId="77777777" w:rsidR="00BD0324" w:rsidRPr="00C42588" w:rsidRDefault="00BD0324" w:rsidP="00BD0324">
      <w:pPr>
        <w:pStyle w:val="ListParagraph"/>
        <w:keepNext/>
        <w:suppressLineNumbers/>
        <w:suppressAutoHyphens/>
        <w:kinsoku w:val="0"/>
        <w:overflowPunct w:val="0"/>
        <w:autoSpaceDE w:val="0"/>
        <w:autoSpaceDN w:val="0"/>
        <w:adjustRightInd w:val="0"/>
        <w:snapToGrid w:val="0"/>
        <w:spacing w:before="120" w:after="120"/>
        <w:ind w:left="90"/>
        <w:jc w:val="center"/>
        <w:outlineLvl w:val="0"/>
        <w:rPr>
          <w:rFonts w:ascii="Times New Roman Bold" w:hAnsi="Times New Roman Bold" w:cs="Times New Roman Bold" w:hint="eastAsia"/>
          <w:b/>
          <w:snapToGrid w:val="0"/>
          <w:kern w:val="22"/>
          <w:szCs w:val="22"/>
        </w:rPr>
      </w:pPr>
      <w:r w:rsidRPr="00C42588">
        <w:rPr>
          <w:rFonts w:ascii="Times New Roman Bold" w:hAnsi="Times New Roman Bold"/>
          <w:b/>
          <w:snapToGrid w:val="0"/>
        </w:rPr>
        <w:t>Участники</w:t>
      </w:r>
    </w:p>
    <w:p w14:paraId="09E1CDFF" w14:textId="77777777" w:rsidR="00BD0324" w:rsidRPr="00C42588" w:rsidRDefault="00BD0324" w:rsidP="00BD0324">
      <w:pPr>
        <w:pStyle w:val="Para1"/>
        <w:numPr>
          <w:ilvl w:val="0"/>
          <w:numId w:val="15"/>
        </w:numPr>
        <w:tabs>
          <w:tab w:val="clear" w:pos="360"/>
        </w:tabs>
        <w:spacing w:before="120"/>
        <w:rPr>
          <w:rFonts w:ascii="Times New Roman Bold" w:hAnsi="Times New Roman Bold" w:cs="Times New Roman Bold" w:hint="eastAsia"/>
          <w:b/>
        </w:rPr>
      </w:pPr>
      <w:r w:rsidRPr="00C42588">
        <w:t>[</w:t>
      </w:r>
      <w:r w:rsidRPr="00C42588">
        <w:rPr>
          <w:i/>
          <w:iCs/>
        </w:rPr>
        <w:t>будет дополнено позднее</w:t>
      </w:r>
      <w:r w:rsidRPr="00C42588">
        <w:t>]</w:t>
      </w:r>
    </w:p>
    <w:p w14:paraId="09E1CE00" w14:textId="77777777" w:rsidR="00BD0324" w:rsidRPr="00C42588" w:rsidRDefault="00BD0324" w:rsidP="00BD0324">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rPr>
      </w:pPr>
      <w:bookmarkStart w:id="1" w:name="Item01"/>
      <w:r w:rsidRPr="00C42588">
        <w:rPr>
          <w:b/>
          <w:snapToGrid w:val="0"/>
        </w:rPr>
        <w:t>Пункт 1.</w:t>
      </w:r>
      <w:r w:rsidRPr="00C42588">
        <w:rPr>
          <w:snapToGrid w:val="0"/>
        </w:rPr>
        <w:tab/>
      </w:r>
      <w:r w:rsidRPr="00C42588">
        <w:rPr>
          <w:b/>
          <w:snapToGrid w:val="0"/>
        </w:rPr>
        <w:t>Открытие совещания</w:t>
      </w:r>
    </w:p>
    <w:p w14:paraId="09E1CE01" w14:textId="5BA60E46" w:rsidR="00BD0324" w:rsidRPr="00C42588" w:rsidRDefault="00084D61" w:rsidP="00084D61">
      <w:pPr>
        <w:pStyle w:val="Para1"/>
        <w:numPr>
          <w:ilvl w:val="0"/>
          <w:numId w:val="15"/>
        </w:numPr>
        <w:tabs>
          <w:tab w:val="clear" w:pos="360"/>
        </w:tabs>
        <w:spacing w:before="120"/>
      </w:pPr>
      <w:bookmarkStart w:id="2" w:name="_Hlk84862493"/>
      <w:bookmarkEnd w:id="1"/>
      <w:r w:rsidRPr="00913B95">
        <w:t xml:space="preserve">Вслед за открытием 15-го совещания Конференции Сторон г-жой Ясмин Фуад, Министром окружающей среды Египта и Председателем Конференции Сторон на ее 14-м совещании, и после избрания г-на Хуан Жуньцю, Министра экологии </w:t>
      </w:r>
      <w:r>
        <w:t xml:space="preserve">и </w:t>
      </w:r>
      <w:r w:rsidRPr="00913B95">
        <w:t xml:space="preserve">окружающей среды Китая, Председателем Конференции Сторон на ее 15-м совещании, первая часть </w:t>
      </w:r>
      <w:r w:rsidR="00472963">
        <w:t>10</w:t>
      </w:r>
      <w:r w:rsidRPr="00913B95">
        <w:t xml:space="preserve">-го совещания Конференции Сторон, выступающей в качестве Совещания Сторон </w:t>
      </w:r>
      <w:r w:rsidR="00472963">
        <w:t>Картахенского</w:t>
      </w:r>
      <w:r w:rsidRPr="00913B95">
        <w:t xml:space="preserve"> протокола, была открыта в 15:30 </w:t>
      </w:r>
      <w:r w:rsidRPr="00913B95">
        <w:lastRenderedPageBreak/>
        <w:t>часов</w:t>
      </w:r>
      <w:r w:rsidRPr="00913B95">
        <w:rPr>
          <w:rStyle w:val="Para1Char"/>
          <w:vertAlign w:val="superscript"/>
        </w:rPr>
        <w:footnoteReference w:id="1"/>
      </w:r>
      <w:r w:rsidRPr="00913B95">
        <w:rPr>
          <w:vertAlign w:val="superscript"/>
        </w:rPr>
        <w:t xml:space="preserve"> </w:t>
      </w:r>
      <w:r w:rsidRPr="00913B95">
        <w:t>11 октября 2021 года г-ном Хуан</w:t>
      </w:r>
      <w:r w:rsidR="003749FE">
        <w:t>ом</w:t>
      </w:r>
      <w:r w:rsidRPr="00913B95">
        <w:t xml:space="preserve"> в качестве Председателя Конференции Сторон, выступающей в качестве Совещания Сторон </w:t>
      </w:r>
      <w:r w:rsidR="00BE03BC">
        <w:t>Картахенского</w:t>
      </w:r>
      <w:r w:rsidRPr="00913B95">
        <w:t xml:space="preserve"> протокола</w:t>
      </w:r>
      <w:r>
        <w:t>,</w:t>
      </w:r>
      <w:r w:rsidRPr="00913B95">
        <w:t xml:space="preserve"> на ее </w:t>
      </w:r>
      <w:r w:rsidR="003749FE">
        <w:t>10</w:t>
      </w:r>
      <w:r w:rsidRPr="00913B95">
        <w:t>-м совещании</w:t>
      </w:r>
      <w:r w:rsidR="00BD0324" w:rsidRPr="00C42588">
        <w:t>.</w:t>
      </w:r>
      <w:bookmarkEnd w:id="2"/>
    </w:p>
    <w:p w14:paraId="09E1CE03" w14:textId="5739E026" w:rsidR="00BD0324" w:rsidRPr="00C42588" w:rsidRDefault="00BD0324" w:rsidP="00BD0324">
      <w:pPr>
        <w:pStyle w:val="Para1"/>
        <w:numPr>
          <w:ilvl w:val="0"/>
          <w:numId w:val="15"/>
        </w:numPr>
        <w:tabs>
          <w:tab w:val="clear" w:pos="360"/>
        </w:tabs>
        <w:spacing w:before="120"/>
      </w:pPr>
      <w:bookmarkStart w:id="3" w:name="_Hlk84862606"/>
      <w:r w:rsidRPr="00C42588">
        <w:t xml:space="preserve">Со вступительными заявлениями выступили; г-н Хань Чжэн, заместитель Премьера Государственного совета </w:t>
      </w:r>
      <w:r w:rsidR="001E6EF1">
        <w:t>Китая</w:t>
      </w:r>
      <w:r w:rsidRPr="00C42588">
        <w:t>; г-жа Ингер Андерсен, Директор-исполнитель Программы Организации Объединенных Наций по окружающей среде, от имени г-жи Амины Мохаммед, заместителя Генерального секретаря Организации Объединенных Наций (по видеосвязи); г-н Жуань Чэнфа, Секретарь Коммунистической партии провинции Юньнань; и г-жа Элизабет Марума Мрема, Исполнительный секретарь Конвенции о биологическом разнообразии.</w:t>
      </w:r>
      <w:r w:rsidR="00274806">
        <w:t xml:space="preserve"> Их заявления приводятся в обобщенном виде в докладе Конференции Сторон о Части </w:t>
      </w:r>
      <w:r w:rsidR="00274806">
        <w:rPr>
          <w:lang w:val="en-GB"/>
        </w:rPr>
        <w:t>I</w:t>
      </w:r>
      <w:r w:rsidR="00274806" w:rsidRPr="00C9342E">
        <w:t xml:space="preserve"> </w:t>
      </w:r>
      <w:r w:rsidR="00274806">
        <w:t xml:space="preserve">ее совещания </w:t>
      </w:r>
      <w:r w:rsidR="00274806" w:rsidRPr="00465EDC">
        <w:t>(</w:t>
      </w:r>
      <w:r w:rsidR="00274806" w:rsidRPr="00465EDC">
        <w:rPr>
          <w:kern w:val="22"/>
        </w:rPr>
        <w:t>CBD/COP/15/Part-I/xx)</w:t>
      </w:r>
      <w:r w:rsidR="00274806">
        <w:rPr>
          <w:kern w:val="22"/>
        </w:rPr>
        <w:t>.</w:t>
      </w:r>
    </w:p>
    <w:p w14:paraId="09E1CE04" w14:textId="77777777" w:rsidR="00BD0324" w:rsidRPr="00C42588" w:rsidRDefault="00BD0324" w:rsidP="00BD0324">
      <w:pPr>
        <w:pStyle w:val="Para1"/>
        <w:numPr>
          <w:ilvl w:val="0"/>
          <w:numId w:val="15"/>
        </w:numPr>
        <w:tabs>
          <w:tab w:val="clear" w:pos="360"/>
        </w:tabs>
        <w:spacing w:before="120"/>
      </w:pPr>
      <w:r w:rsidRPr="00C42588">
        <w:t xml:space="preserve">С общими заявлениями выступили представители Аргентины (от имени Группы стран Латинской Америки и Карибского бассейна), Демократической Республики Конго (от имени Группы африканских государств), Грузии (от имени стран Центральной и Восточной Европы), Кувейта (от имени Группы государств Азиатско-Тихоокеанского региона), Новой Зеландии (от имени Австралии, Канады, Исландии, Израиля, Монако, Норвегии, Республики Кореи, Швейцарии, Соединенного Королевства Великобритании и Северной Ирландии и Соединенных Штатов Америки) и Словении (от имени Европейского </w:t>
      </w:r>
      <w:r w:rsidR="00922ECD">
        <w:t>с</w:t>
      </w:r>
      <w:r w:rsidRPr="00C42588">
        <w:t>оюза и его государств-членов).</w:t>
      </w:r>
    </w:p>
    <w:p w14:paraId="09E1CE05" w14:textId="77777777" w:rsidR="00BD0324" w:rsidRPr="00C42588" w:rsidRDefault="00BD0324" w:rsidP="00BD0324">
      <w:pPr>
        <w:pStyle w:val="Para1"/>
        <w:numPr>
          <w:ilvl w:val="0"/>
          <w:numId w:val="15"/>
        </w:numPr>
        <w:tabs>
          <w:tab w:val="clear" w:pos="360"/>
        </w:tabs>
        <w:spacing w:before="120"/>
      </w:pPr>
      <w:r w:rsidRPr="00C42588">
        <w:t>С заявлением также выступил представитель Организации Договора амазонского сотрудничества.</w:t>
      </w:r>
    </w:p>
    <w:p w14:paraId="09E1CE06" w14:textId="5BCB8EDC" w:rsidR="00BD0324" w:rsidRPr="00C42588" w:rsidRDefault="00BD0324" w:rsidP="00BD0324">
      <w:pPr>
        <w:pStyle w:val="Para1"/>
        <w:numPr>
          <w:ilvl w:val="0"/>
          <w:numId w:val="15"/>
        </w:numPr>
        <w:tabs>
          <w:tab w:val="clear" w:pos="360"/>
        </w:tabs>
        <w:spacing w:before="120"/>
      </w:pPr>
      <w:bookmarkStart w:id="4" w:name="_Hlk84854101"/>
      <w:r w:rsidRPr="00C42588">
        <w:t>С дополнительными заявлениями выступили представители Совета женщин КБР, Глобальной сети молодежи в защиту биоразнообразия (GYBN), Международного форума коренных народов по биоразнообразию (МФКНБ), народа хани (Юньнань), Международного совета местных экологических инициатив (ICLEI) (также от имени Консультативного комитета по субнациональным правительствам</w:t>
      </w:r>
      <w:r w:rsidR="00E63240">
        <w:t xml:space="preserve"> и биоразнообразию</w:t>
      </w:r>
      <w:r w:rsidRPr="00C42588">
        <w:t>, (координируемого Regions4 и правительством Квебека),  Группы ведущих субнациональных правительств по выполнению Айтинских целевых задач в области биоразнообразия (координируемой префектурой Айти), Европейского комитета регионов и партнеров по Эдинбургскому процессу), а также природоохранной ассоциации True Nature (в том числе от имени Союза китайской молодежи)</w:t>
      </w:r>
      <w:bookmarkEnd w:id="4"/>
      <w:r w:rsidR="00A95F18" w:rsidRPr="007962B1">
        <w:rPr>
          <w:rStyle w:val="FootnoteReference"/>
          <w:szCs w:val="22"/>
        </w:rPr>
        <w:t xml:space="preserve"> </w:t>
      </w:r>
      <w:r w:rsidR="00A95F18" w:rsidRPr="00A73A50">
        <w:rPr>
          <w:rStyle w:val="FootnoteReference"/>
          <w:szCs w:val="22"/>
          <w:lang w:val="en-GB"/>
        </w:rPr>
        <w:footnoteReference w:id="2"/>
      </w:r>
      <w:r w:rsidRPr="00C42588">
        <w:t>.</w:t>
      </w:r>
    </w:p>
    <w:bookmarkEnd w:id="3"/>
    <w:p w14:paraId="09E1CE08" w14:textId="77777777" w:rsidR="00BD0324" w:rsidRPr="00C42588" w:rsidRDefault="00BD0324" w:rsidP="00BD0324">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szCs w:val="22"/>
        </w:rPr>
      </w:pPr>
      <w:r w:rsidRPr="00C42588">
        <w:rPr>
          <w:b/>
        </w:rPr>
        <w:t>Пункт 2.</w:t>
      </w:r>
      <w:r w:rsidRPr="00C42588">
        <w:rPr>
          <w:b/>
        </w:rPr>
        <w:tab/>
      </w:r>
      <w:r w:rsidRPr="00C42588">
        <w:rPr>
          <w:b/>
          <w:snapToGrid w:val="0"/>
        </w:rPr>
        <w:t>Организационные</w:t>
      </w:r>
      <w:r w:rsidRPr="00C42588">
        <w:rPr>
          <w:b/>
        </w:rPr>
        <w:t xml:space="preserve"> вопросы</w:t>
      </w:r>
    </w:p>
    <w:p w14:paraId="09E1CE09" w14:textId="77777777" w:rsidR="00BD0324" w:rsidRPr="00C42588" w:rsidRDefault="00BD0324" w:rsidP="00BD0324">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C42588">
        <w:rPr>
          <w:b/>
          <w:snapToGrid w:val="0"/>
        </w:rPr>
        <w:t>Утверждение повестки дня</w:t>
      </w:r>
    </w:p>
    <w:p w14:paraId="09E1CE0A" w14:textId="6041477B" w:rsidR="00BD0324" w:rsidRPr="00C42588" w:rsidRDefault="00BD0324" w:rsidP="00BD0324">
      <w:pPr>
        <w:pStyle w:val="Para1"/>
        <w:numPr>
          <w:ilvl w:val="0"/>
          <w:numId w:val="15"/>
        </w:numPr>
        <w:tabs>
          <w:tab w:val="clear" w:pos="360"/>
        </w:tabs>
        <w:spacing w:before="120"/>
      </w:pPr>
      <w:r w:rsidRPr="00C42588">
        <w:t xml:space="preserve">На 1-м пленарном заседании Части I совещания, состоявшемся 11 октября 2021 года, Конференция Сторон, выступающая в качестве </w:t>
      </w:r>
      <w:r w:rsidR="00922ECD">
        <w:t>с</w:t>
      </w:r>
      <w:r w:rsidRPr="00C42588">
        <w:t xml:space="preserve">овещания </w:t>
      </w:r>
      <w:r w:rsidR="007962B1">
        <w:t>Сторон Картахенского Протокола</w:t>
      </w:r>
      <w:r w:rsidRPr="00C42588">
        <w:t>, утвердила следующую повестку дня на основе предварительной повестки дня, подготовленной Исполнительным секретарем в консультации с бюро (CBD/CP/MOP/10/1/Rev.1):</w:t>
      </w:r>
    </w:p>
    <w:p w14:paraId="09E1CE0B"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Открытие совещания.</w:t>
      </w:r>
    </w:p>
    <w:p w14:paraId="09E1CE0C"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Организационные вопросы.</w:t>
      </w:r>
    </w:p>
    <w:p w14:paraId="09E1CE0D"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 xml:space="preserve">Доклад о полномочиях представителей на десятом совещании Конференции Сторон, выступающей в качестве </w:t>
      </w:r>
      <w:r w:rsidR="00922ECD">
        <w:rPr>
          <w:snapToGrid w:val="0"/>
        </w:rPr>
        <w:t>с</w:t>
      </w:r>
      <w:r w:rsidRPr="00C42588">
        <w:rPr>
          <w:snapToGrid w:val="0"/>
        </w:rPr>
        <w:t>овещания Сторон Картахенского протокола.</w:t>
      </w:r>
    </w:p>
    <w:p w14:paraId="09E1CE0E"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Доклады вспомогательных органов.</w:t>
      </w:r>
    </w:p>
    <w:p w14:paraId="09E1CE0F"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Доклад Комитета по соблюдению.</w:t>
      </w:r>
    </w:p>
    <w:p w14:paraId="09E1CE10" w14:textId="77777777" w:rsidR="00BD0324" w:rsidRPr="00C42588" w:rsidRDefault="00BD0324" w:rsidP="00BD0324">
      <w:pPr>
        <w:numPr>
          <w:ilvl w:val="0"/>
          <w:numId w:val="16"/>
        </w:numPr>
        <w:tabs>
          <w:tab w:val="clear" w:pos="720"/>
          <w:tab w:val="num" w:pos="770"/>
        </w:tabs>
        <w:kinsoku w:val="0"/>
        <w:overflowPunct w:val="0"/>
        <w:autoSpaceDE w:val="0"/>
        <w:autoSpaceDN w:val="0"/>
        <w:spacing w:before="120" w:after="120"/>
        <w:ind w:left="1701" w:hanging="720"/>
        <w:jc w:val="left"/>
        <w:rPr>
          <w:bCs/>
          <w:snapToGrid w:val="0"/>
          <w:kern w:val="22"/>
        </w:rPr>
      </w:pPr>
      <w:r w:rsidRPr="00C42588">
        <w:rPr>
          <w:snapToGrid w:val="0"/>
        </w:rPr>
        <w:t>Административное обеспечение Протокола и бюджет целевых фондов.</w:t>
      </w:r>
    </w:p>
    <w:p w14:paraId="09E1CE11"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snapToGrid w:val="0"/>
          <w:kern w:val="22"/>
          <w:szCs w:val="22"/>
        </w:rPr>
      </w:pPr>
      <w:r w:rsidRPr="00C42588">
        <w:rPr>
          <w:snapToGrid w:val="0"/>
        </w:rPr>
        <w:lastRenderedPageBreak/>
        <w:t>План действий по осуществлению Картахенского протокола и план действий по созданию потенциала.</w:t>
      </w:r>
    </w:p>
    <w:p w14:paraId="09E1CE12"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Мониторинг и отчетность (статья 33).</w:t>
      </w:r>
    </w:p>
    <w:p w14:paraId="09E1CE13"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Оценка и обзор эффективности Протокола (статья 35) и итоговая оценка Стратегического плана для Картахенского протокола по биобезопасности на период 2011-2020 годов.</w:t>
      </w:r>
    </w:p>
    <w:p w14:paraId="09E1CE14"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Вопросы, связанные с механизмом финансирования и финансовыми ресурсами (статья 28).</w:t>
      </w:r>
    </w:p>
    <w:p w14:paraId="09E1CE15"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Функционирование и деятельность Механизма посредничества по биобезопасности (статья 20).</w:t>
      </w:r>
    </w:p>
    <w:p w14:paraId="09E1CE16"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Сотрудничество с другими организациями, конвенциями и инициативами.</w:t>
      </w:r>
    </w:p>
    <w:p w14:paraId="09E1CE17"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Обзор эффективности структур и процессов в рамках Конвенции и протоколов к ней.</w:t>
      </w:r>
    </w:p>
    <w:p w14:paraId="09E1CE18"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Оценка рисков и регулирование рисков (статьи 15 и 16).</w:t>
      </w:r>
    </w:p>
    <w:p w14:paraId="09E1CE19"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Обнаружение и идентификация живых измененных организмов.</w:t>
      </w:r>
    </w:p>
    <w:p w14:paraId="09E1CE1A"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iCs/>
          <w:snapToGrid w:val="0"/>
          <w:kern w:val="22"/>
          <w:szCs w:val="22"/>
        </w:rPr>
      </w:pPr>
      <w:r w:rsidRPr="00C42588">
        <w:rPr>
          <w:snapToGrid w:val="0"/>
        </w:rPr>
        <w:t>Социально-экономические соображения (статья 26).</w:t>
      </w:r>
    </w:p>
    <w:p w14:paraId="09E1CE1B"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Нагойско-Куала-Лумпурский дополнительный протокол об ответственности и возмещении.</w:t>
      </w:r>
    </w:p>
    <w:p w14:paraId="09E1CE1C"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Прочие вопросы.</w:t>
      </w:r>
    </w:p>
    <w:p w14:paraId="09E1CE1D"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Принятие доклада.</w:t>
      </w:r>
    </w:p>
    <w:p w14:paraId="09E1CE1E" w14:textId="77777777" w:rsidR="00BD0324" w:rsidRPr="00C42588" w:rsidRDefault="00BD0324" w:rsidP="00BD0324">
      <w:pPr>
        <w:pStyle w:val="bodytextnoindent"/>
        <w:numPr>
          <w:ilvl w:val="0"/>
          <w:numId w:val="16"/>
        </w:numPr>
        <w:tabs>
          <w:tab w:val="clear" w:pos="720"/>
        </w:tabs>
        <w:kinsoku w:val="0"/>
        <w:overflowPunct w:val="0"/>
        <w:autoSpaceDE w:val="0"/>
        <w:autoSpaceDN w:val="0"/>
        <w:spacing w:before="120" w:after="120"/>
        <w:ind w:left="1701" w:hanging="720"/>
        <w:jc w:val="left"/>
        <w:rPr>
          <w:bCs/>
          <w:snapToGrid w:val="0"/>
          <w:kern w:val="22"/>
          <w:szCs w:val="22"/>
        </w:rPr>
      </w:pPr>
      <w:r w:rsidRPr="00C42588">
        <w:rPr>
          <w:snapToGrid w:val="0"/>
        </w:rPr>
        <w:t>Закрытие совещания.</w:t>
      </w:r>
    </w:p>
    <w:p w14:paraId="09E1CE1F" w14:textId="77777777" w:rsidR="00BD0324" w:rsidRPr="00C42588" w:rsidRDefault="00BD0324" w:rsidP="00BD0324">
      <w:pPr>
        <w:suppressLineNumbers/>
        <w:suppressAutoHyphens/>
        <w:kinsoku w:val="0"/>
        <w:overflowPunct w:val="0"/>
        <w:autoSpaceDE w:val="0"/>
        <w:autoSpaceDN w:val="0"/>
        <w:adjustRightInd w:val="0"/>
        <w:snapToGrid w:val="0"/>
        <w:spacing w:before="120" w:after="120"/>
        <w:jc w:val="center"/>
        <w:rPr>
          <w:b/>
          <w:bCs/>
          <w:snapToGrid w:val="0"/>
          <w:kern w:val="22"/>
          <w:szCs w:val="22"/>
        </w:rPr>
      </w:pPr>
      <w:r w:rsidRPr="00C42588">
        <w:rPr>
          <w:b/>
          <w:snapToGrid w:val="0"/>
        </w:rPr>
        <w:t>Организация работы конференции</w:t>
      </w:r>
    </w:p>
    <w:p w14:paraId="09E1CE20" w14:textId="685DE88F" w:rsidR="00BD0324" w:rsidRPr="00C42588" w:rsidRDefault="00BD0324" w:rsidP="00BD0324">
      <w:pPr>
        <w:pStyle w:val="Para1"/>
        <w:numPr>
          <w:ilvl w:val="0"/>
          <w:numId w:val="15"/>
        </w:numPr>
        <w:tabs>
          <w:tab w:val="clear" w:pos="360"/>
        </w:tabs>
        <w:spacing w:before="120"/>
      </w:pPr>
      <w:bookmarkStart w:id="5" w:name="_Hlk84862843"/>
      <w:r w:rsidRPr="00C42588">
        <w:t>На 1-м пленарном заседании Части I совещания 11 октября 2021 года Конференция Сторон, выступающая в качестве совещания Сторон</w:t>
      </w:r>
      <w:r w:rsidR="005024FE">
        <w:t xml:space="preserve"> Картахенского протокола</w:t>
      </w:r>
      <w:r w:rsidRPr="00C42588">
        <w:t xml:space="preserve">, постановила рассмотреть пункты </w:t>
      </w:r>
      <w:r w:rsidR="00AE584A">
        <w:t xml:space="preserve">с </w:t>
      </w:r>
      <w:r w:rsidRPr="00C42588">
        <w:t>1</w:t>
      </w:r>
      <w:r w:rsidR="00AE584A">
        <w:t xml:space="preserve"> по</w:t>
      </w:r>
      <w:r w:rsidRPr="00C42588">
        <w:t xml:space="preserve"> 6 и </w:t>
      </w:r>
      <w:r w:rsidR="00AE584A">
        <w:t xml:space="preserve">с </w:t>
      </w:r>
      <w:r w:rsidRPr="00C42588">
        <w:t>18</w:t>
      </w:r>
      <w:r w:rsidR="00AE584A">
        <w:t xml:space="preserve"> по </w:t>
      </w:r>
      <w:r w:rsidRPr="00C42588">
        <w:t>20 повестки дня в течение Части I совещания, в соответствии с графиком, приведенным в приложении I к предлагаемой организации работы (CBD/CP/MOP/10/1/Add.2). Подразумевается, что все эти пункты повестки дня будут рассматриваться на пленарном заседании и что большинство из них потребует дополнительного рассмотрения в ходе Части II совещания, во время которой должны рассматриваться также пункты 7-17 повестки дня.</w:t>
      </w:r>
    </w:p>
    <w:bookmarkEnd w:id="5"/>
    <w:p w14:paraId="09E1CE21" w14:textId="77777777" w:rsidR="00BD0324" w:rsidRPr="00C42588" w:rsidRDefault="00BD0324" w:rsidP="00BD0324">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C42588">
        <w:rPr>
          <w:b/>
          <w:snapToGrid w:val="0"/>
        </w:rPr>
        <w:t>Выборы должностных лиц</w:t>
      </w:r>
    </w:p>
    <w:p w14:paraId="09E1CE22" w14:textId="77777777" w:rsidR="00BD0324" w:rsidRPr="00C42588" w:rsidRDefault="00BD0324" w:rsidP="00BD0324">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sidRPr="00C42588">
        <w:rPr>
          <w:i/>
          <w:snapToGrid w:val="0"/>
        </w:rPr>
        <w:t>Выборы Председателя</w:t>
      </w:r>
    </w:p>
    <w:p w14:paraId="09E1CE23" w14:textId="05F324A3" w:rsidR="00BD0324" w:rsidRPr="00C42588" w:rsidRDefault="00BD0324" w:rsidP="00BD0324">
      <w:pPr>
        <w:pStyle w:val="Para1"/>
        <w:numPr>
          <w:ilvl w:val="0"/>
          <w:numId w:val="15"/>
        </w:numPr>
        <w:tabs>
          <w:tab w:val="clear" w:pos="360"/>
        </w:tabs>
        <w:spacing w:before="120"/>
        <w:rPr>
          <w:b/>
          <w:bCs/>
          <w:kern w:val="22"/>
          <w:szCs w:val="22"/>
        </w:rPr>
      </w:pPr>
      <w:r w:rsidRPr="00C42588">
        <w:t xml:space="preserve">В соответствии с пунктом 3 статьи 29 Картахенского протокола, бюро Конференции Сторон также выполняет функции бюро Конференции Сторон, выступающей в качестве совещания Сторон Картахенского протокола. Соответственно, г-н Хуан Жуньцю, Министр </w:t>
      </w:r>
      <w:r w:rsidR="00F51105" w:rsidRPr="00C42588">
        <w:t xml:space="preserve">экологии </w:t>
      </w:r>
      <w:r w:rsidRPr="00C42588">
        <w:t xml:space="preserve">и </w:t>
      </w:r>
      <w:r w:rsidR="00F51105" w:rsidRPr="00C42588">
        <w:t xml:space="preserve">окружающей среды </w:t>
      </w:r>
      <w:r w:rsidRPr="00C42588">
        <w:t>Китая, избранный Председателем 15-го совещания Конференции Сторон, также является Председателем 10-го совещания Конференции Сторон, выступающей в качестве совещания Сторон Картахенского протокола.</w:t>
      </w:r>
    </w:p>
    <w:p w14:paraId="09E1CE24" w14:textId="77777777" w:rsidR="00BD0324" w:rsidRPr="00C42588" w:rsidRDefault="00BD0324" w:rsidP="00BD0324">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sidRPr="00C42588">
        <w:rPr>
          <w:i/>
          <w:snapToGrid w:val="0"/>
        </w:rPr>
        <w:t>Выборы других должностных лиц, помимо Председателя</w:t>
      </w:r>
    </w:p>
    <w:p w14:paraId="09E1CE25" w14:textId="585E0767" w:rsidR="00BD0324" w:rsidRPr="00C42588" w:rsidRDefault="00BD0324" w:rsidP="00BD0324">
      <w:pPr>
        <w:pStyle w:val="Para1"/>
        <w:numPr>
          <w:ilvl w:val="0"/>
          <w:numId w:val="15"/>
        </w:numPr>
        <w:tabs>
          <w:tab w:val="clear" w:pos="360"/>
        </w:tabs>
        <w:spacing w:before="120"/>
        <w:rPr>
          <w:kern w:val="22"/>
          <w:szCs w:val="22"/>
        </w:rPr>
      </w:pPr>
      <w:r w:rsidRPr="00C42588">
        <w:t xml:space="preserve">В пункте 3 статьи 29 Картахенского протокола предусмотрено, что любой член бюро Конференции Сторон, представляющий Сторону Конвенции, которая не является Стороной Протокола, должен быть заменен членом, избираемым Сторонами Протокола и из числа </w:t>
      </w:r>
      <w:r w:rsidR="007962B1">
        <w:t>Сторон Картахенского Протокола</w:t>
      </w:r>
      <w:r w:rsidRPr="00C42588">
        <w:t xml:space="preserve">. На своем 14-м совещании Конференция Сторон избрала десять членов </w:t>
      </w:r>
      <w:r w:rsidRPr="00C42588">
        <w:lastRenderedPageBreak/>
        <w:t xml:space="preserve">бюро со сроком полномочий, действующим до закрытия ее 15-го совещания. Поскольку все представленные страны являются Сторонами Протокола, члены бюро Конференции Сторон также выполняют функции бюро Конференции Сторон, выступающей в качестве совещания Сторон Картахенского протокола. </w:t>
      </w:r>
    </w:p>
    <w:p w14:paraId="09E1CE26" w14:textId="77777777" w:rsidR="00BD0324" w:rsidRPr="00C42588" w:rsidRDefault="00BD0324" w:rsidP="00BD0324">
      <w:pPr>
        <w:pStyle w:val="Para1"/>
        <w:numPr>
          <w:ilvl w:val="0"/>
          <w:numId w:val="15"/>
        </w:numPr>
        <w:tabs>
          <w:tab w:val="clear" w:pos="360"/>
        </w:tabs>
        <w:spacing w:before="120"/>
        <w:rPr>
          <w:kern w:val="22"/>
          <w:szCs w:val="22"/>
        </w:rPr>
      </w:pPr>
      <w:r w:rsidRPr="00C42588">
        <w:t xml:space="preserve">Таким образом, помимо Председателя, в состав бюро 10-го совещания </w:t>
      </w:r>
      <w:bookmarkStart w:id="6" w:name="_Hlk84865612"/>
      <w:r w:rsidRPr="00C42588">
        <w:t xml:space="preserve">Конференции Сторон, выступающей в качестве </w:t>
      </w:r>
      <w:r w:rsidR="00605F8E">
        <w:t>с</w:t>
      </w:r>
      <w:r w:rsidRPr="00C42588">
        <w:t>овещания Сторон Картахенского протокола</w:t>
      </w:r>
      <w:bookmarkEnd w:id="6"/>
      <w:r w:rsidRPr="00C42588">
        <w:t>, вошли: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BD0324" w:rsidRPr="00C42588" w14:paraId="09E1CE28" w14:textId="77777777" w:rsidTr="0085089D">
        <w:trPr>
          <w:jc w:val="center"/>
        </w:trPr>
        <w:tc>
          <w:tcPr>
            <w:tcW w:w="7655" w:type="dxa"/>
          </w:tcPr>
          <w:p w14:paraId="09E1CE27"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bookmarkStart w:id="7" w:name="_Hlk78552629"/>
            <w:r w:rsidRPr="00C42588">
              <w:rPr>
                <w:snapToGrid w:val="0"/>
              </w:rPr>
              <w:t>Г-н Эрик Окорее (Гана)</w:t>
            </w:r>
          </w:p>
        </w:tc>
      </w:tr>
      <w:tr w:rsidR="00BD0324" w:rsidRPr="00C42588" w14:paraId="09E1CE2A" w14:textId="77777777" w:rsidTr="0085089D">
        <w:trPr>
          <w:jc w:val="center"/>
        </w:trPr>
        <w:tc>
          <w:tcPr>
            <w:tcW w:w="7655" w:type="dxa"/>
          </w:tcPr>
          <w:p w14:paraId="09E1CE29"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Г-н Мелессе Марьо (Эфиопия)</w:t>
            </w:r>
          </w:p>
        </w:tc>
      </w:tr>
      <w:tr w:rsidR="00BD0324" w:rsidRPr="00C42588" w14:paraId="09E1CE2C" w14:textId="77777777" w:rsidTr="0085089D">
        <w:trPr>
          <w:jc w:val="center"/>
        </w:trPr>
        <w:tc>
          <w:tcPr>
            <w:tcW w:w="7655" w:type="dxa"/>
          </w:tcPr>
          <w:p w14:paraId="09E1CE2B"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Г-н Винод Матур (Индия) (вместо г-жи Суджаты Ароры)</w:t>
            </w:r>
          </w:p>
        </w:tc>
      </w:tr>
      <w:tr w:rsidR="00BD0324" w:rsidRPr="00C42588" w14:paraId="09E1CE2E" w14:textId="77777777" w:rsidTr="0085089D">
        <w:trPr>
          <w:jc w:val="center"/>
        </w:trPr>
        <w:tc>
          <w:tcPr>
            <w:tcW w:w="7655" w:type="dxa"/>
          </w:tcPr>
          <w:p w14:paraId="09E1CE2D"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Г-жа Лейна эль-Авадхи (Кувейт)</w:t>
            </w:r>
          </w:p>
        </w:tc>
      </w:tr>
      <w:tr w:rsidR="00BD0324" w:rsidRPr="00C42588" w14:paraId="09E1CE30" w14:textId="77777777" w:rsidTr="0085089D">
        <w:trPr>
          <w:jc w:val="center"/>
        </w:trPr>
        <w:tc>
          <w:tcPr>
            <w:tcW w:w="7655" w:type="dxa"/>
          </w:tcPr>
          <w:p w14:paraId="09E1CE2F"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Г-жа Теона Карчава (Грузия)</w:t>
            </w:r>
          </w:p>
        </w:tc>
      </w:tr>
      <w:tr w:rsidR="00BD0324" w:rsidRPr="00C42588" w14:paraId="09E1CE32" w14:textId="77777777" w:rsidTr="0085089D">
        <w:trPr>
          <w:jc w:val="center"/>
        </w:trPr>
        <w:tc>
          <w:tcPr>
            <w:tcW w:w="7655" w:type="dxa"/>
          </w:tcPr>
          <w:p w14:paraId="09E1CE31"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Г-жа Эльвана Рамадж (Албания)</w:t>
            </w:r>
          </w:p>
        </w:tc>
      </w:tr>
      <w:tr w:rsidR="00BD0324" w:rsidRPr="00C42588" w14:paraId="09E1CE34" w14:textId="77777777" w:rsidTr="0085089D">
        <w:trPr>
          <w:jc w:val="center"/>
        </w:trPr>
        <w:tc>
          <w:tcPr>
            <w:tcW w:w="7655" w:type="dxa"/>
          </w:tcPr>
          <w:p w14:paraId="09E1CE33"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 xml:space="preserve">Г-жа Андреа Меса Мурильо (Коста-Рика) (вместо г-на Карлоса Мануэля Родригеса)  </w:t>
            </w:r>
          </w:p>
        </w:tc>
      </w:tr>
      <w:tr w:rsidR="00BD0324" w:rsidRPr="00C42588" w14:paraId="09E1CE36" w14:textId="77777777" w:rsidTr="0085089D">
        <w:trPr>
          <w:jc w:val="center"/>
        </w:trPr>
        <w:tc>
          <w:tcPr>
            <w:tcW w:w="7655" w:type="dxa"/>
          </w:tcPr>
          <w:p w14:paraId="09E1CE35"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Г-жа Хелена Джеффери Браун (Антигуа и Барбуда)</w:t>
            </w:r>
          </w:p>
        </w:tc>
      </w:tr>
      <w:tr w:rsidR="00BD0324" w:rsidRPr="00C42588" w14:paraId="09E1CE38" w14:textId="77777777" w:rsidTr="0085089D">
        <w:trPr>
          <w:jc w:val="center"/>
        </w:trPr>
        <w:tc>
          <w:tcPr>
            <w:tcW w:w="7655" w:type="dxa"/>
          </w:tcPr>
          <w:p w14:paraId="09E1CE37"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Г-жа Габриэле Обермайр (Австрия)</w:t>
            </w:r>
          </w:p>
        </w:tc>
      </w:tr>
      <w:tr w:rsidR="00BD0324" w:rsidRPr="00C42588" w14:paraId="09E1CE3A" w14:textId="77777777" w:rsidTr="0085089D">
        <w:trPr>
          <w:trHeight w:val="422"/>
          <w:jc w:val="center"/>
        </w:trPr>
        <w:tc>
          <w:tcPr>
            <w:tcW w:w="7655" w:type="dxa"/>
          </w:tcPr>
          <w:p w14:paraId="09E1CE39" w14:textId="77777777" w:rsidR="00BD0324" w:rsidRPr="00C42588" w:rsidRDefault="00BD0324" w:rsidP="0085089D">
            <w:pPr>
              <w:suppressLineNumbers/>
              <w:suppressAutoHyphens/>
              <w:kinsoku w:val="0"/>
              <w:overflowPunct w:val="0"/>
              <w:autoSpaceDE w:val="0"/>
              <w:autoSpaceDN w:val="0"/>
              <w:adjustRightInd w:val="0"/>
              <w:snapToGrid w:val="0"/>
              <w:rPr>
                <w:snapToGrid w:val="0"/>
                <w:kern w:val="22"/>
                <w:szCs w:val="22"/>
              </w:rPr>
            </w:pPr>
            <w:r w:rsidRPr="00C42588">
              <w:rPr>
                <w:snapToGrid w:val="0"/>
              </w:rPr>
              <w:t>г-жа Розмари Патерсон (Новая Зеландия)</w:t>
            </w:r>
          </w:p>
        </w:tc>
      </w:tr>
    </w:tbl>
    <w:p w14:paraId="09E1CE3B" w14:textId="618B2E05" w:rsidR="00BD0324" w:rsidRPr="00C42588" w:rsidRDefault="00BD0324" w:rsidP="00BD0324">
      <w:pPr>
        <w:pStyle w:val="Para1"/>
        <w:numPr>
          <w:ilvl w:val="0"/>
          <w:numId w:val="15"/>
        </w:numPr>
        <w:tabs>
          <w:tab w:val="clear" w:pos="360"/>
        </w:tabs>
        <w:spacing w:before="120"/>
        <w:rPr>
          <w:kern w:val="22"/>
          <w:szCs w:val="22"/>
        </w:rPr>
      </w:pPr>
      <w:bookmarkStart w:id="8" w:name="_Hlk84867795"/>
      <w:bookmarkEnd w:id="7"/>
      <w:r w:rsidRPr="00C42588">
        <w:t>Поскольку часть работы, порученной Конференци</w:t>
      </w:r>
      <w:r w:rsidR="0063317E">
        <w:t>ей</w:t>
      </w:r>
      <w:r w:rsidRPr="00C42588">
        <w:t xml:space="preserve"> Сторон</w:t>
      </w:r>
      <w:r w:rsidR="0063317E">
        <w:t xml:space="preserve"> на ее </w:t>
      </w:r>
      <w:r w:rsidR="0063317E" w:rsidRPr="00C42588">
        <w:t>14-м совещан</w:t>
      </w:r>
      <w:r w:rsidR="0063317E">
        <w:t>ии</w:t>
      </w:r>
      <w:r w:rsidRPr="00C42588">
        <w:t>, будет продолжаться до закрытия Части II совещания, г-ну Хамдалле Зедану (Египет) было предложено остаться членом бюро ex officio в качестве представителя Председателя 14-го совещания Конференции Сторон.</w:t>
      </w:r>
    </w:p>
    <w:p w14:paraId="09E1CE3C" w14:textId="76B6CA7F" w:rsidR="00BD0324" w:rsidRPr="00C42588" w:rsidRDefault="00BD0324" w:rsidP="00BD0324">
      <w:pPr>
        <w:pStyle w:val="Para1"/>
        <w:numPr>
          <w:ilvl w:val="0"/>
          <w:numId w:val="15"/>
        </w:numPr>
        <w:tabs>
          <w:tab w:val="clear" w:pos="360"/>
        </w:tabs>
        <w:spacing w:before="120"/>
        <w:rPr>
          <w:kern w:val="22"/>
          <w:szCs w:val="22"/>
        </w:rPr>
      </w:pPr>
      <w:bookmarkStart w:id="9" w:name="_Hlk84868211"/>
      <w:bookmarkEnd w:id="8"/>
      <w:r w:rsidRPr="00C42588">
        <w:t>Было решено, что должностные лица, которые приступят к исполнению своих обязанностей после закрытия 10-го совещания и будут исполнять их до конца 11-го совещания, будут избраны в ходе Части II совещания. В то же самое время Конференция Сторон, выступающая в качестве совещания Сторон</w:t>
      </w:r>
      <w:r w:rsidR="00B7570B">
        <w:t xml:space="preserve"> Картахенского протокола</w:t>
      </w:r>
      <w:r w:rsidRPr="00C42588">
        <w:t>, изберет в соответствии с необходимостью заместителей членов бюро, представляющих Стороны Конвенции, не являющиеся Сторонами Картахенского протокола.</w:t>
      </w:r>
    </w:p>
    <w:p w14:paraId="09E1CE3D" w14:textId="77777777" w:rsidR="00BD0324" w:rsidRPr="00C42588" w:rsidRDefault="00BD0324" w:rsidP="00BD0324">
      <w:pPr>
        <w:pStyle w:val="Para1"/>
        <w:numPr>
          <w:ilvl w:val="0"/>
          <w:numId w:val="15"/>
        </w:numPr>
        <w:tabs>
          <w:tab w:val="clear" w:pos="360"/>
        </w:tabs>
        <w:spacing w:before="120"/>
        <w:rPr>
          <w:kern w:val="22"/>
          <w:szCs w:val="22"/>
        </w:rPr>
      </w:pPr>
      <w:bookmarkStart w:id="10" w:name="_Hlk84868271"/>
      <w:bookmarkEnd w:id="9"/>
      <w:r w:rsidRPr="00C42588">
        <w:t>На 1-м пленарном заседании Части I совещания 11 октября 2021 года было решено по предложению бюро избрать г-жу Эльвану Рамадж (Албания) в качестве Докладчика.</w:t>
      </w:r>
    </w:p>
    <w:bookmarkEnd w:id="10"/>
    <w:p w14:paraId="09E1CE3E" w14:textId="77777777" w:rsidR="00BD0324" w:rsidRPr="00C42588" w:rsidRDefault="00BD0324" w:rsidP="00BD0324">
      <w:pPr>
        <w:keepNext/>
        <w:suppressLineNumbers/>
        <w:suppressAutoHyphens/>
        <w:kinsoku w:val="0"/>
        <w:overflowPunct w:val="0"/>
        <w:autoSpaceDE w:val="0"/>
        <w:autoSpaceDN w:val="0"/>
        <w:adjustRightInd w:val="0"/>
        <w:snapToGrid w:val="0"/>
        <w:spacing w:before="120" w:after="120"/>
        <w:outlineLvl w:val="1"/>
        <w:rPr>
          <w:i/>
          <w:iCs/>
          <w:snapToGrid w:val="0"/>
          <w:kern w:val="22"/>
          <w:szCs w:val="22"/>
        </w:rPr>
      </w:pPr>
      <w:r w:rsidRPr="00C42588">
        <w:rPr>
          <w:i/>
          <w:snapToGrid w:val="0"/>
        </w:rPr>
        <w:t>Выборы должностных лиц для вспомогательных органов</w:t>
      </w:r>
    </w:p>
    <w:p w14:paraId="09E1CE3F" w14:textId="3D43477C" w:rsidR="00BD0324" w:rsidRPr="00C42588" w:rsidRDefault="00BD0324" w:rsidP="00BD0324">
      <w:pPr>
        <w:pStyle w:val="Para1"/>
        <w:numPr>
          <w:ilvl w:val="0"/>
          <w:numId w:val="15"/>
        </w:numPr>
        <w:tabs>
          <w:tab w:val="clear" w:pos="360"/>
        </w:tabs>
        <w:spacing w:before="120"/>
      </w:pPr>
      <w:bookmarkStart w:id="11" w:name="Item04"/>
      <w:r w:rsidRPr="00C42588">
        <w:t xml:space="preserve">На 1-м пленарном заседании Части I совещания 11 октября 2021 года Конференция Сторон </w:t>
      </w:r>
      <w:r w:rsidR="00B7570B">
        <w:t>постановила</w:t>
      </w:r>
      <w:r w:rsidRPr="00C42588">
        <w:t xml:space="preserve"> отложить выборы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до конца Части II совещания. Конференция Сторон также </w:t>
      </w:r>
      <w:r w:rsidR="00B7570B">
        <w:t>постановила</w:t>
      </w:r>
      <w:r w:rsidRPr="00C42588">
        <w:t>, что сопредседатели Рабочей группы открытого состава по подготовке глобальной рамочной программы в области биоразнообразия на период после 2020 года продолжат исполнять свои обязанности до Части II совещания.</w:t>
      </w:r>
    </w:p>
    <w:bookmarkEnd w:id="11"/>
    <w:p w14:paraId="09E1CE40" w14:textId="77777777" w:rsidR="00BD0324" w:rsidRPr="00C42588" w:rsidRDefault="00BD0324" w:rsidP="00BD0324">
      <w:pPr>
        <w:keepNext/>
        <w:suppressLineNumbers/>
        <w:suppressAutoHyphens/>
        <w:kinsoku w:val="0"/>
        <w:overflowPunct w:val="0"/>
        <w:autoSpaceDE w:val="0"/>
        <w:autoSpaceDN w:val="0"/>
        <w:adjustRightInd w:val="0"/>
        <w:snapToGrid w:val="0"/>
        <w:spacing w:before="120" w:after="120"/>
        <w:ind w:left="1584" w:hanging="864"/>
        <w:jc w:val="left"/>
        <w:outlineLvl w:val="0"/>
        <w:rPr>
          <w:b/>
          <w:kern w:val="22"/>
          <w:szCs w:val="22"/>
        </w:rPr>
      </w:pPr>
      <w:r w:rsidRPr="00C42588">
        <w:rPr>
          <w:b/>
        </w:rPr>
        <w:t>Пункт 3.</w:t>
      </w:r>
      <w:r w:rsidRPr="00C42588">
        <w:rPr>
          <w:b/>
        </w:rPr>
        <w:tab/>
      </w:r>
      <w:r w:rsidR="00605F8E">
        <w:rPr>
          <w:b/>
        </w:rPr>
        <w:t xml:space="preserve"> </w:t>
      </w:r>
      <w:r w:rsidR="00605F8E">
        <w:rPr>
          <w:b/>
        </w:rPr>
        <w:tab/>
      </w:r>
      <w:r w:rsidRPr="00C42588">
        <w:rPr>
          <w:b/>
        </w:rPr>
        <w:t xml:space="preserve">Доклад о полномочиях представителей на </w:t>
      </w:r>
      <w:r w:rsidR="00605F8E">
        <w:rPr>
          <w:b/>
        </w:rPr>
        <w:t>10-</w:t>
      </w:r>
      <w:r w:rsidRPr="00C42588">
        <w:rPr>
          <w:b/>
        </w:rPr>
        <w:t xml:space="preserve">м совещании Конференции Сторон, выступающей в качестве </w:t>
      </w:r>
      <w:r w:rsidR="00605F8E">
        <w:rPr>
          <w:b/>
        </w:rPr>
        <w:t>с</w:t>
      </w:r>
      <w:r w:rsidRPr="00C42588">
        <w:rPr>
          <w:b/>
        </w:rPr>
        <w:t>овещания Сторон Картахенского протокола</w:t>
      </w:r>
    </w:p>
    <w:p w14:paraId="09E1CE41" w14:textId="44021334" w:rsidR="00BD0324" w:rsidRPr="00C42588" w:rsidRDefault="00BD0324" w:rsidP="00BD0324">
      <w:pPr>
        <w:pStyle w:val="Para1"/>
        <w:numPr>
          <w:ilvl w:val="0"/>
          <w:numId w:val="15"/>
        </w:numPr>
        <w:tabs>
          <w:tab w:val="clear" w:pos="360"/>
        </w:tabs>
        <w:spacing w:before="120"/>
        <w:rPr>
          <w:kern w:val="22"/>
          <w:szCs w:val="22"/>
        </w:rPr>
      </w:pPr>
      <w:bookmarkStart w:id="12" w:name="_Hlk84866759"/>
      <w:r w:rsidRPr="00C42588">
        <w:t>Конференция Сторон, выступающая в качестве совещания Сторон</w:t>
      </w:r>
      <w:r w:rsidR="00B7570B" w:rsidRPr="00B7570B">
        <w:t xml:space="preserve"> </w:t>
      </w:r>
      <w:r w:rsidR="00B7570B">
        <w:t>Картахенского протокола</w:t>
      </w:r>
      <w:r w:rsidRPr="00C42588">
        <w:t xml:space="preserve">, рассмотрела пункт 3 повестки дня на 1-м пленарном заседании Части I совещания 11 октября 2021 года. В соответствии с правилом 19 правил процедуры бюро должно проверить полномочия делегаций и представить соответствующий доклад. Соответственно Председатель проинформировал </w:t>
      </w:r>
      <w:r w:rsidR="00B2677D">
        <w:t>этот орган о том</w:t>
      </w:r>
      <w:r w:rsidRPr="00C42588">
        <w:t>, что бюро поручило г-ну Эрику Окорее (Гана) проверить полномочия и сообщить о результатах.</w:t>
      </w:r>
    </w:p>
    <w:p w14:paraId="09E1CE42" w14:textId="60AB98BF" w:rsidR="00BD0324" w:rsidRDefault="00BD0324" w:rsidP="00BD0324">
      <w:pPr>
        <w:pStyle w:val="Para1"/>
        <w:numPr>
          <w:ilvl w:val="0"/>
          <w:numId w:val="15"/>
        </w:numPr>
        <w:tabs>
          <w:tab w:val="clear" w:pos="360"/>
        </w:tabs>
        <w:spacing w:before="120"/>
      </w:pPr>
      <w:bookmarkStart w:id="13" w:name="_Hlk84855372"/>
      <w:r w:rsidRPr="00C42588">
        <w:lastRenderedPageBreak/>
        <w:t>На [</w:t>
      </w:r>
      <w:r w:rsidRPr="00C42588">
        <w:rPr>
          <w:i/>
          <w:iCs/>
        </w:rPr>
        <w:t>будет дополнено позднее</w:t>
      </w:r>
      <w:r w:rsidRPr="00C42588">
        <w:t>] пленарном заседании Части I совещания [</w:t>
      </w:r>
      <w:r w:rsidRPr="00C42588">
        <w:rPr>
          <w:i/>
          <w:iCs/>
        </w:rPr>
        <w:t>будет дополнено позднее</w:t>
      </w:r>
      <w:r w:rsidRPr="00C42588">
        <w:t>] г-н Окорее проинформировал Конференцию Сторон, выступающую в качестве совещания Сторон</w:t>
      </w:r>
      <w:r w:rsidR="008C26BA">
        <w:t xml:space="preserve"> Картахенского протокола</w:t>
      </w:r>
      <w:r w:rsidRPr="00C42588">
        <w:t>, что в качестве участников зарегистрировано [</w:t>
      </w:r>
      <w:r w:rsidRPr="00C42588">
        <w:rPr>
          <w:i/>
          <w:iCs/>
        </w:rPr>
        <w:t>будет дополнено позднее</w:t>
      </w:r>
      <w:r w:rsidRPr="00C42588">
        <w:t>] Сторон. Бюро рассмотрело полномочия представителей [</w:t>
      </w:r>
      <w:r w:rsidRPr="00C42588">
        <w:rPr>
          <w:i/>
          <w:iCs/>
        </w:rPr>
        <w:t>будет дополнено позднее</w:t>
      </w:r>
      <w:r w:rsidRPr="00C42588">
        <w:t>] Сторон, участвующих в совещании</w:t>
      </w:r>
      <w:bookmarkEnd w:id="13"/>
      <w:r w:rsidRPr="00C42588">
        <w:t>. Полномочия [</w:t>
      </w:r>
      <w:r w:rsidRPr="00C42588">
        <w:rPr>
          <w:i/>
          <w:iCs/>
        </w:rPr>
        <w:t>будет дополнено позднее</w:t>
      </w:r>
      <w:r w:rsidRPr="00C42588">
        <w:t>] делегаций в полной мере соответствовали правилу 18 правил процедуры. Полномочия [</w:t>
      </w:r>
      <w:r w:rsidRPr="00C42588">
        <w:rPr>
          <w:i/>
          <w:iCs/>
        </w:rPr>
        <w:t>будет дополнено позднее</w:t>
      </w:r>
      <w:r w:rsidRPr="00C42588">
        <w:t>] делегаций не полностью соответствовали требованиям правила 18, и еще [</w:t>
      </w:r>
      <w:r w:rsidRPr="00C42588">
        <w:rPr>
          <w:i/>
          <w:iCs/>
        </w:rPr>
        <w:t>будет дополнено позднее</w:t>
      </w:r>
      <w:r w:rsidRPr="00C42588">
        <w:t>] делегаций на данный момент не представили своих полномочий.</w:t>
      </w:r>
    </w:p>
    <w:p w14:paraId="09E1CE43" w14:textId="77777777" w:rsidR="00605F8E" w:rsidRPr="00605F8E" w:rsidRDefault="00605F8E" w:rsidP="00E638B4">
      <w:pPr>
        <w:keepNext/>
        <w:suppressLineNumbers/>
        <w:suppressAutoHyphens/>
        <w:kinsoku w:val="0"/>
        <w:overflowPunct w:val="0"/>
        <w:autoSpaceDE w:val="0"/>
        <w:autoSpaceDN w:val="0"/>
        <w:adjustRightInd w:val="0"/>
        <w:snapToGrid w:val="0"/>
        <w:spacing w:before="120" w:after="120"/>
        <w:ind w:left="1584" w:hanging="864"/>
        <w:jc w:val="center"/>
        <w:outlineLvl w:val="0"/>
        <w:rPr>
          <w:b/>
        </w:rPr>
      </w:pPr>
      <w:r w:rsidRPr="00605F8E">
        <w:rPr>
          <w:b/>
        </w:rPr>
        <w:t>Пункт 4.</w:t>
      </w:r>
      <w:r w:rsidRPr="00605F8E">
        <w:rPr>
          <w:b/>
        </w:rPr>
        <w:tab/>
      </w:r>
      <w:r>
        <w:rPr>
          <w:b/>
        </w:rPr>
        <w:t xml:space="preserve"> </w:t>
      </w:r>
      <w:r>
        <w:rPr>
          <w:b/>
        </w:rPr>
        <w:tab/>
      </w:r>
      <w:r w:rsidRPr="00605F8E">
        <w:rPr>
          <w:b/>
        </w:rPr>
        <w:t>Доклады вспомогательных органов</w:t>
      </w:r>
    </w:p>
    <w:p w14:paraId="09E1CE44" w14:textId="77777777" w:rsidR="00605F8E" w:rsidRPr="008B5B70" w:rsidRDefault="00605F8E" w:rsidP="00605F8E">
      <w:pPr>
        <w:pStyle w:val="Para1"/>
        <w:numPr>
          <w:ilvl w:val="0"/>
          <w:numId w:val="15"/>
        </w:numPr>
        <w:tabs>
          <w:tab w:val="clear" w:pos="360"/>
        </w:tabs>
        <w:spacing w:before="120"/>
      </w:pPr>
      <w:r w:rsidRPr="008B5B70">
        <w:rPr>
          <w:i/>
          <w:iCs/>
        </w:rPr>
        <w:t>[будет дополнено позднее]</w:t>
      </w:r>
    </w:p>
    <w:p w14:paraId="09E1CE45" w14:textId="77777777" w:rsidR="00605F8E" w:rsidRPr="00605F8E" w:rsidRDefault="00605F8E" w:rsidP="00E638B4">
      <w:pPr>
        <w:keepNext/>
        <w:suppressLineNumbers/>
        <w:suppressAutoHyphens/>
        <w:kinsoku w:val="0"/>
        <w:overflowPunct w:val="0"/>
        <w:autoSpaceDE w:val="0"/>
        <w:autoSpaceDN w:val="0"/>
        <w:adjustRightInd w:val="0"/>
        <w:snapToGrid w:val="0"/>
        <w:spacing w:before="120" w:after="120"/>
        <w:ind w:left="1584" w:hanging="864"/>
        <w:jc w:val="center"/>
        <w:outlineLvl w:val="0"/>
        <w:rPr>
          <w:b/>
        </w:rPr>
      </w:pPr>
      <w:r w:rsidRPr="00605F8E">
        <w:rPr>
          <w:b/>
        </w:rPr>
        <w:t>Пункт 5.</w:t>
      </w:r>
      <w:r w:rsidRPr="00605F8E">
        <w:rPr>
          <w:b/>
        </w:rPr>
        <w:tab/>
      </w:r>
      <w:r>
        <w:rPr>
          <w:b/>
        </w:rPr>
        <w:t xml:space="preserve"> </w:t>
      </w:r>
      <w:r>
        <w:rPr>
          <w:b/>
        </w:rPr>
        <w:tab/>
      </w:r>
      <w:r w:rsidRPr="00605F8E">
        <w:rPr>
          <w:b/>
        </w:rPr>
        <w:t>Доклад Комитета по соблюдению</w:t>
      </w:r>
    </w:p>
    <w:p w14:paraId="09E1CE46" w14:textId="5687F5C9" w:rsidR="00605F8E" w:rsidRPr="008B5B70" w:rsidRDefault="00605F8E" w:rsidP="00605F8E">
      <w:pPr>
        <w:pStyle w:val="Para1"/>
        <w:numPr>
          <w:ilvl w:val="0"/>
          <w:numId w:val="15"/>
        </w:numPr>
        <w:tabs>
          <w:tab w:val="clear" w:pos="360"/>
        </w:tabs>
        <w:spacing w:before="120"/>
      </w:pPr>
      <w:r w:rsidRPr="008B5B70">
        <w:t>Конференция Сторон, выступающая в качестве совещания Сторон</w:t>
      </w:r>
      <w:r w:rsidR="00B164E4" w:rsidRPr="00B164E4">
        <w:t xml:space="preserve"> </w:t>
      </w:r>
      <w:r w:rsidR="00B164E4">
        <w:t>Картахенского протокола</w:t>
      </w:r>
      <w:r w:rsidRPr="008B5B70">
        <w:t xml:space="preserve">, рассмотрела пункт 5 повестки дня на </w:t>
      </w:r>
      <w:r w:rsidRPr="008B5B70">
        <w:rPr>
          <w:i/>
          <w:iCs/>
        </w:rPr>
        <w:t>[будет дополнено позднее]</w:t>
      </w:r>
      <w:r w:rsidRPr="008B5B70">
        <w:t xml:space="preserve"> заседании части I совещания </w:t>
      </w:r>
      <w:r w:rsidRPr="008B5B70">
        <w:rPr>
          <w:i/>
          <w:iCs/>
        </w:rPr>
        <w:t>[будет дополнено позднее]</w:t>
      </w:r>
      <w:r w:rsidRPr="008B5B70">
        <w:t xml:space="preserve"> и решила отложить рассмотрение рекомендаций Комитета по соблюдению и выборы новых членов Комитета по соблюдению до части II совещания.</w:t>
      </w:r>
    </w:p>
    <w:p w14:paraId="09E1CE47" w14:textId="77777777" w:rsidR="00605F8E" w:rsidRPr="00605F8E" w:rsidRDefault="00605F8E" w:rsidP="00605F8E">
      <w:pPr>
        <w:keepNext/>
        <w:suppressLineNumbers/>
        <w:suppressAutoHyphens/>
        <w:kinsoku w:val="0"/>
        <w:overflowPunct w:val="0"/>
        <w:autoSpaceDE w:val="0"/>
        <w:autoSpaceDN w:val="0"/>
        <w:adjustRightInd w:val="0"/>
        <w:snapToGrid w:val="0"/>
        <w:spacing w:before="120" w:after="120"/>
        <w:ind w:left="1584" w:hanging="864"/>
        <w:jc w:val="left"/>
        <w:outlineLvl w:val="0"/>
        <w:rPr>
          <w:b/>
        </w:rPr>
      </w:pPr>
      <w:r w:rsidRPr="00605F8E">
        <w:rPr>
          <w:b/>
        </w:rPr>
        <w:t>Пункт 6.</w:t>
      </w:r>
      <w:r w:rsidRPr="00605F8E">
        <w:rPr>
          <w:b/>
        </w:rPr>
        <w:tab/>
      </w:r>
      <w:r>
        <w:rPr>
          <w:b/>
        </w:rPr>
        <w:t xml:space="preserve"> </w:t>
      </w:r>
      <w:r>
        <w:rPr>
          <w:b/>
        </w:rPr>
        <w:tab/>
      </w:r>
      <w:r w:rsidRPr="00605F8E">
        <w:rPr>
          <w:b/>
        </w:rPr>
        <w:t xml:space="preserve">Административное </w:t>
      </w:r>
      <w:r w:rsidRPr="004D7D96">
        <w:rPr>
          <w:rFonts w:eastAsia="Times New Roman" w:cs="Times New Roman"/>
          <w:b/>
          <w:kern w:val="22"/>
          <w:szCs w:val="22"/>
        </w:rPr>
        <w:t>обеспечение</w:t>
      </w:r>
      <w:r w:rsidRPr="00605F8E">
        <w:rPr>
          <w:b/>
        </w:rPr>
        <w:t xml:space="preserve"> Протокола и бюджет целевых фондов</w:t>
      </w:r>
    </w:p>
    <w:p w14:paraId="09E1CE48" w14:textId="0E4BECC1" w:rsidR="00605F8E" w:rsidRPr="008B5B70" w:rsidRDefault="00605F8E" w:rsidP="00605F8E">
      <w:pPr>
        <w:pStyle w:val="Para1"/>
        <w:numPr>
          <w:ilvl w:val="0"/>
          <w:numId w:val="15"/>
        </w:numPr>
        <w:tabs>
          <w:tab w:val="clear" w:pos="360"/>
        </w:tabs>
        <w:spacing w:before="120"/>
      </w:pPr>
      <w:bookmarkStart w:id="14" w:name="_heading=h.gjdgxs"/>
      <w:bookmarkStart w:id="15" w:name="_heading=h.30j0zll" w:colFirst="0" w:colLast="0"/>
      <w:bookmarkStart w:id="16" w:name="_heading=h.xuy1qui6wltd" w:colFirst="0" w:colLast="0"/>
      <w:bookmarkStart w:id="17" w:name="_heading=h.nkgw0ii72cmr" w:colFirst="0" w:colLast="0"/>
      <w:bookmarkStart w:id="18" w:name="_heading=h.3znysh7" w:colFirst="0" w:colLast="0"/>
      <w:bookmarkEnd w:id="14"/>
      <w:bookmarkEnd w:id="15"/>
      <w:bookmarkEnd w:id="16"/>
      <w:bookmarkEnd w:id="17"/>
      <w:bookmarkEnd w:id="18"/>
      <w:r w:rsidRPr="008B5B70">
        <w:t>Конференция Сторон, выступающая в качестве совещания Сторон</w:t>
      </w:r>
      <w:r w:rsidR="00B164E4" w:rsidRPr="00B164E4">
        <w:t xml:space="preserve"> </w:t>
      </w:r>
      <w:r w:rsidR="00B164E4">
        <w:t>Картахенского протокола</w:t>
      </w:r>
      <w:r w:rsidRPr="008B5B70">
        <w:t>, рассмотрела пункт 6 повестки дня на 1-м пленарном заседании части I совещания 11 октября 2021 года. При рассмотрении данного пункта ей был представлен промежуточный доклад Исполнительного секретаря об административном обеспечении Конвенции и протоколов к ней, включая бюджет соответствующих целевых фондов (</w:t>
      </w:r>
      <w:r w:rsidRPr="008B5B70">
        <w:rPr>
          <w:rStyle w:val="ng-binding"/>
        </w:rPr>
        <w:t>CBD/CP/MOP/10/3)</w:t>
      </w:r>
      <w:r w:rsidRPr="008B5B70">
        <w:t xml:space="preserve">. </w:t>
      </w:r>
    </w:p>
    <w:p w14:paraId="09E1CE49" w14:textId="03A5CB28" w:rsidR="00605F8E" w:rsidRPr="008B5B70" w:rsidRDefault="00605F8E" w:rsidP="00605F8E">
      <w:pPr>
        <w:pStyle w:val="Para1"/>
        <w:numPr>
          <w:ilvl w:val="0"/>
          <w:numId w:val="15"/>
        </w:numPr>
        <w:tabs>
          <w:tab w:val="clear" w:pos="360"/>
        </w:tabs>
        <w:spacing w:before="120"/>
      </w:pPr>
      <w:r w:rsidRPr="008B5B70">
        <w:t>Конференция Сторон, выступающая в качестве совещания Сторон</w:t>
      </w:r>
      <w:r w:rsidR="00B164E4" w:rsidRPr="00B164E4">
        <w:t xml:space="preserve"> </w:t>
      </w:r>
      <w:r w:rsidR="00B164E4">
        <w:t>Картахенского протокола</w:t>
      </w:r>
      <w:r w:rsidRPr="008B5B70">
        <w:t>, постановила учредить контактную группу по бюджету, мандат которой предполагает рассмотрение этого вопроса и подготовку проекта бюджета для программы работы на 2022 год для рассмотрения Сторонами. В работе контактной группы под председательством г-на Спенсера Томаса (Гренада) могли принимать участие все Стороны. Группа проводит неофициальные заседания по приглашению своего председателя, а информация о заседаниях заблаговременно публикуется в ежедневном расписании заседаний.</w:t>
      </w:r>
    </w:p>
    <w:p w14:paraId="09E1CE4A" w14:textId="21135BF4" w:rsidR="00605F8E" w:rsidRPr="008B5B70" w:rsidRDefault="00605F8E" w:rsidP="00605F8E">
      <w:pPr>
        <w:pStyle w:val="Para1"/>
        <w:numPr>
          <w:ilvl w:val="0"/>
          <w:numId w:val="15"/>
        </w:numPr>
        <w:tabs>
          <w:tab w:val="clear" w:pos="360"/>
        </w:tabs>
        <w:spacing w:before="120"/>
      </w:pPr>
      <w:r w:rsidRPr="008B5B70">
        <w:t xml:space="preserve">На </w:t>
      </w:r>
      <w:r w:rsidRPr="008B5B70">
        <w:rPr>
          <w:i/>
          <w:iCs/>
        </w:rPr>
        <w:t>[будет дополнено позднее]</w:t>
      </w:r>
      <w:r w:rsidRPr="008B5B70">
        <w:t xml:space="preserve"> пленарном заседании части I совещания</w:t>
      </w:r>
      <w:r w:rsidRPr="008B5B70">
        <w:rPr>
          <w:b/>
          <w:bCs/>
        </w:rPr>
        <w:t xml:space="preserve"> </w:t>
      </w:r>
      <w:r w:rsidRPr="008B5B70">
        <w:rPr>
          <w:i/>
          <w:iCs/>
        </w:rPr>
        <w:t>[будет дополнено позднее]</w:t>
      </w:r>
      <w:r w:rsidRPr="008B5B70">
        <w:t xml:space="preserve"> Конференция Сторон, выступающая в качестве совещания Сторон</w:t>
      </w:r>
      <w:r w:rsidR="00153990" w:rsidRPr="00153990">
        <w:t xml:space="preserve"> </w:t>
      </w:r>
      <w:r w:rsidR="00153990">
        <w:t>Картахенского протокола</w:t>
      </w:r>
      <w:r w:rsidRPr="008B5B70">
        <w:t xml:space="preserve">, заслушала обновленную информацию о работе контактной группы по бюджету </w:t>
      </w:r>
      <w:r w:rsidRPr="008B5B70">
        <w:rPr>
          <w:i/>
          <w:iCs/>
        </w:rPr>
        <w:t>[будет дополнено позднее].</w:t>
      </w:r>
      <w:r w:rsidRPr="008B5B70">
        <w:t xml:space="preserve"> </w:t>
      </w:r>
    </w:p>
    <w:p w14:paraId="09E1CE4B" w14:textId="77777777" w:rsidR="00605F8E" w:rsidRPr="008B5B70" w:rsidRDefault="00605F8E" w:rsidP="00605F8E">
      <w:pPr>
        <w:pStyle w:val="Para1"/>
        <w:numPr>
          <w:ilvl w:val="0"/>
          <w:numId w:val="15"/>
        </w:numPr>
        <w:tabs>
          <w:tab w:val="clear" w:pos="360"/>
        </w:tabs>
        <w:spacing w:before="120"/>
      </w:pPr>
      <w:r w:rsidRPr="008B5B70">
        <w:rPr>
          <w:i/>
          <w:iCs/>
        </w:rPr>
        <w:t>[будет дополнено позднее]</w:t>
      </w:r>
    </w:p>
    <w:p w14:paraId="09E1CE4C" w14:textId="77777777" w:rsidR="00605F8E" w:rsidRPr="00605F8E" w:rsidRDefault="00605F8E" w:rsidP="00E638B4">
      <w:pPr>
        <w:keepNext/>
        <w:suppressLineNumbers/>
        <w:suppressAutoHyphens/>
        <w:kinsoku w:val="0"/>
        <w:overflowPunct w:val="0"/>
        <w:autoSpaceDE w:val="0"/>
        <w:autoSpaceDN w:val="0"/>
        <w:adjustRightInd w:val="0"/>
        <w:snapToGrid w:val="0"/>
        <w:spacing w:before="120" w:after="120"/>
        <w:ind w:left="1584" w:hanging="864"/>
        <w:jc w:val="center"/>
        <w:outlineLvl w:val="0"/>
        <w:rPr>
          <w:b/>
        </w:rPr>
      </w:pPr>
      <w:r w:rsidRPr="00605F8E">
        <w:rPr>
          <w:b/>
        </w:rPr>
        <w:t>Пункт 18.</w:t>
      </w:r>
      <w:r w:rsidRPr="00605F8E">
        <w:rPr>
          <w:b/>
        </w:rPr>
        <w:tab/>
        <w:t>Прочие вопросы</w:t>
      </w:r>
    </w:p>
    <w:p w14:paraId="09E1CE4D" w14:textId="7376374F" w:rsidR="00605F8E" w:rsidRPr="008B5B70" w:rsidRDefault="00605F8E" w:rsidP="00605F8E">
      <w:pPr>
        <w:pStyle w:val="Para1"/>
        <w:numPr>
          <w:ilvl w:val="0"/>
          <w:numId w:val="15"/>
        </w:numPr>
        <w:tabs>
          <w:tab w:val="clear" w:pos="360"/>
        </w:tabs>
        <w:spacing w:before="120"/>
      </w:pPr>
      <w:r w:rsidRPr="008B5B70">
        <w:t>Конференция Сторон, выступающая в качестве совещания Сторон</w:t>
      </w:r>
      <w:r w:rsidR="00153990" w:rsidRPr="00153990">
        <w:t xml:space="preserve"> </w:t>
      </w:r>
      <w:r w:rsidR="00153990">
        <w:t>Картахенского протокола</w:t>
      </w:r>
      <w:r w:rsidRPr="008B5B70">
        <w:t xml:space="preserve">, рассмотрела пункт 18 повестки дня на </w:t>
      </w:r>
      <w:r w:rsidRPr="008B5B70">
        <w:rPr>
          <w:i/>
          <w:iCs/>
        </w:rPr>
        <w:t>[будет дополнено позднее]</w:t>
      </w:r>
      <w:r w:rsidRPr="008B5B70">
        <w:t xml:space="preserve"> заседании части I совещания </w:t>
      </w:r>
      <w:r w:rsidRPr="008B5B70">
        <w:rPr>
          <w:i/>
          <w:iCs/>
        </w:rPr>
        <w:t>[будет дополнено позднее]</w:t>
      </w:r>
      <w:r w:rsidRPr="008B5B70">
        <w:t xml:space="preserve">. </w:t>
      </w:r>
    </w:p>
    <w:p w14:paraId="09E1CE4E" w14:textId="77777777" w:rsidR="00605F8E" w:rsidRPr="008B5B70" w:rsidRDefault="00605F8E" w:rsidP="00605F8E">
      <w:pPr>
        <w:pStyle w:val="Para1"/>
        <w:numPr>
          <w:ilvl w:val="0"/>
          <w:numId w:val="15"/>
        </w:numPr>
        <w:tabs>
          <w:tab w:val="clear" w:pos="360"/>
        </w:tabs>
        <w:spacing w:before="120"/>
      </w:pPr>
      <w:r w:rsidRPr="008B5B70">
        <w:rPr>
          <w:i/>
          <w:iCs/>
        </w:rPr>
        <w:t>[будет дополнено позднее]</w:t>
      </w:r>
    </w:p>
    <w:p w14:paraId="09E1CE4F" w14:textId="77777777" w:rsidR="00605F8E" w:rsidRPr="00605F8E" w:rsidRDefault="00605F8E" w:rsidP="00E638B4">
      <w:pPr>
        <w:keepNext/>
        <w:suppressLineNumbers/>
        <w:suppressAutoHyphens/>
        <w:kinsoku w:val="0"/>
        <w:overflowPunct w:val="0"/>
        <w:autoSpaceDE w:val="0"/>
        <w:autoSpaceDN w:val="0"/>
        <w:adjustRightInd w:val="0"/>
        <w:snapToGrid w:val="0"/>
        <w:spacing w:before="120" w:after="120"/>
        <w:ind w:left="1584" w:hanging="864"/>
        <w:jc w:val="center"/>
        <w:outlineLvl w:val="0"/>
        <w:rPr>
          <w:b/>
        </w:rPr>
      </w:pPr>
      <w:bookmarkStart w:id="19" w:name="_GoBack"/>
      <w:bookmarkEnd w:id="19"/>
      <w:r w:rsidRPr="00605F8E">
        <w:rPr>
          <w:b/>
        </w:rPr>
        <w:t>Пункт 19.</w:t>
      </w:r>
      <w:r w:rsidRPr="00605F8E">
        <w:rPr>
          <w:b/>
        </w:rPr>
        <w:tab/>
        <w:t>Принятие доклада</w:t>
      </w:r>
    </w:p>
    <w:p w14:paraId="09E1CE50" w14:textId="1917EBAB" w:rsidR="00605F8E" w:rsidRPr="008B5B70" w:rsidRDefault="00605F8E" w:rsidP="00605F8E">
      <w:pPr>
        <w:pStyle w:val="Para1"/>
        <w:numPr>
          <w:ilvl w:val="0"/>
          <w:numId w:val="15"/>
        </w:numPr>
        <w:tabs>
          <w:tab w:val="clear" w:pos="360"/>
        </w:tabs>
        <w:spacing w:before="120"/>
      </w:pPr>
      <w:r w:rsidRPr="008B5B70">
        <w:t>Конференция Сторон, выступающая в качестве совещания Сторон</w:t>
      </w:r>
      <w:r w:rsidR="00153990" w:rsidRPr="00153990">
        <w:t xml:space="preserve"> </w:t>
      </w:r>
      <w:r w:rsidR="00153990">
        <w:t>Картахенского протокола</w:t>
      </w:r>
      <w:r w:rsidRPr="008B5B70">
        <w:t xml:space="preserve">, приняла настоящий доклад на </w:t>
      </w:r>
      <w:r w:rsidRPr="008B5B70">
        <w:rPr>
          <w:i/>
          <w:iCs/>
        </w:rPr>
        <w:t>[будет дополнено позднее]</w:t>
      </w:r>
      <w:r w:rsidRPr="008B5B70">
        <w:t xml:space="preserve"> пленарном заседании части I совещания </w:t>
      </w:r>
      <w:r w:rsidRPr="008B5B70">
        <w:rPr>
          <w:i/>
          <w:iCs/>
        </w:rPr>
        <w:t>[будет дополнено позднее]</w:t>
      </w:r>
      <w:r w:rsidRPr="008B5B70">
        <w:t xml:space="preserve"> на основе проекта доклада, представленного Докладчиком (CBD/CP/MOP/10/Part-1-L.1), при том понимании, что он будет дополнен, чтобы отразить весь ход работы текущего совещания, и что полный доклад будет рассмотрен и принят в ходе части II совещания.</w:t>
      </w:r>
    </w:p>
    <w:p w14:paraId="09E1CE51" w14:textId="77777777" w:rsidR="00605F8E" w:rsidRPr="00605F8E" w:rsidRDefault="00605F8E" w:rsidP="00E638B4">
      <w:pPr>
        <w:keepNext/>
        <w:suppressLineNumbers/>
        <w:suppressAutoHyphens/>
        <w:kinsoku w:val="0"/>
        <w:overflowPunct w:val="0"/>
        <w:autoSpaceDE w:val="0"/>
        <w:autoSpaceDN w:val="0"/>
        <w:adjustRightInd w:val="0"/>
        <w:snapToGrid w:val="0"/>
        <w:spacing w:before="120" w:after="120"/>
        <w:ind w:left="1584" w:hanging="864"/>
        <w:jc w:val="center"/>
        <w:outlineLvl w:val="0"/>
        <w:rPr>
          <w:b/>
        </w:rPr>
      </w:pPr>
      <w:r w:rsidRPr="00605F8E">
        <w:rPr>
          <w:b/>
        </w:rPr>
        <w:lastRenderedPageBreak/>
        <w:t>Пункт 20.</w:t>
      </w:r>
      <w:r w:rsidRPr="00605F8E">
        <w:rPr>
          <w:b/>
        </w:rPr>
        <w:tab/>
        <w:t>Закрытие совещания</w:t>
      </w:r>
    </w:p>
    <w:p w14:paraId="09E1CE52" w14:textId="6BAD0946" w:rsidR="00605F8E" w:rsidRPr="008B5B70" w:rsidRDefault="00605F8E" w:rsidP="00605F8E">
      <w:pPr>
        <w:pStyle w:val="Para1"/>
        <w:numPr>
          <w:ilvl w:val="0"/>
          <w:numId w:val="15"/>
        </w:numPr>
        <w:tabs>
          <w:tab w:val="clear" w:pos="360"/>
        </w:tabs>
        <w:spacing w:before="120"/>
      </w:pPr>
      <w:bookmarkStart w:id="20" w:name="_Hlk84865738"/>
      <w:r w:rsidRPr="008B5B70">
        <w:t xml:space="preserve">На </w:t>
      </w:r>
      <w:r w:rsidRPr="008B5B70">
        <w:rPr>
          <w:i/>
          <w:iCs/>
        </w:rPr>
        <w:t xml:space="preserve">[будет дополнено позднее] </w:t>
      </w:r>
      <w:r w:rsidRPr="008B5B70">
        <w:t xml:space="preserve">пленарном заседании части I совещания </w:t>
      </w:r>
      <w:r w:rsidRPr="008B5B70">
        <w:rPr>
          <w:i/>
          <w:iCs/>
        </w:rPr>
        <w:t>[будет дополнено позднее]</w:t>
      </w:r>
      <w:r w:rsidRPr="008B5B70">
        <w:t xml:space="preserve"> Конференция Сторон, выступающая в качестве совещания Сторон</w:t>
      </w:r>
      <w:r w:rsidR="00153990" w:rsidRPr="00153990">
        <w:t xml:space="preserve"> </w:t>
      </w:r>
      <w:r w:rsidR="00153990">
        <w:t>Картахенского протокола</w:t>
      </w:r>
      <w:r w:rsidRPr="008B5B70">
        <w:t xml:space="preserve">, решила приостановить работу своего десятого совещания и возобновить ее </w:t>
      </w:r>
      <w:r w:rsidR="002626B6">
        <w:t xml:space="preserve">с </w:t>
      </w:r>
      <w:r w:rsidRPr="008B5B70">
        <w:t xml:space="preserve">25 апреля </w:t>
      </w:r>
      <w:r w:rsidR="002626B6">
        <w:t>по</w:t>
      </w:r>
      <w:r w:rsidRPr="008B5B70">
        <w:t xml:space="preserve"> 8 мая 2022 года в Куньмине, Китай.   </w:t>
      </w:r>
    </w:p>
    <w:p w14:paraId="09E1CE53" w14:textId="77777777" w:rsidR="00605F8E" w:rsidRPr="008B5B70" w:rsidRDefault="00605F8E" w:rsidP="00605F8E">
      <w:pPr>
        <w:pStyle w:val="Para1"/>
        <w:numPr>
          <w:ilvl w:val="0"/>
          <w:numId w:val="15"/>
        </w:numPr>
        <w:tabs>
          <w:tab w:val="clear" w:pos="360"/>
        </w:tabs>
        <w:spacing w:before="120"/>
      </w:pPr>
      <w:r w:rsidRPr="008B5B70">
        <w:t xml:space="preserve">После традиционного обмена любезностями часть I совещания была официально закрыта в </w:t>
      </w:r>
      <w:r w:rsidRPr="008B5B70">
        <w:rPr>
          <w:i/>
          <w:iCs/>
        </w:rPr>
        <w:t>[будет дополнено позднее] [будет дополнено позднее]</w:t>
      </w:r>
      <w:r w:rsidRPr="008B5B70">
        <w:t>.</w:t>
      </w:r>
    </w:p>
    <w:bookmarkEnd w:id="20"/>
    <w:p w14:paraId="09E1CE54" w14:textId="77777777" w:rsidR="00605F8E" w:rsidRPr="00B74E95" w:rsidRDefault="00605F8E" w:rsidP="00605F8E">
      <w:pPr>
        <w:pStyle w:val="Para1"/>
        <w:rPr>
          <w:highlight w:val="green"/>
        </w:rPr>
      </w:pPr>
    </w:p>
    <w:p w14:paraId="09E1CE55" w14:textId="77777777" w:rsidR="00605F8E" w:rsidRPr="00C42588" w:rsidRDefault="00605F8E" w:rsidP="00605F8E">
      <w:pPr>
        <w:pStyle w:val="Para1"/>
        <w:spacing w:before="120"/>
      </w:pPr>
    </w:p>
    <w:bookmarkEnd w:id="12"/>
    <w:p w14:paraId="09E1CE56" w14:textId="77777777" w:rsidR="00BD0324" w:rsidRPr="00174518" w:rsidRDefault="00BD0324" w:rsidP="00812063">
      <w:pPr>
        <w:pStyle w:val="ListParagraph"/>
        <w:keepNext/>
        <w:suppressLineNumbers/>
        <w:tabs>
          <w:tab w:val="left" w:pos="450"/>
        </w:tabs>
        <w:suppressAutoHyphens/>
        <w:spacing w:before="120" w:after="120"/>
        <w:ind w:left="0"/>
        <w:contextualSpacing w:val="0"/>
        <w:jc w:val="center"/>
        <w:outlineLvl w:val="0"/>
        <w:rPr>
          <w:b/>
          <w:caps/>
        </w:rPr>
      </w:pPr>
    </w:p>
    <w:p w14:paraId="09E1CE57" w14:textId="77777777" w:rsidR="00B02DF6" w:rsidRPr="00F239D9" w:rsidRDefault="00B02DF6" w:rsidP="00812063">
      <w:pPr>
        <w:pStyle w:val="NoSpacing"/>
        <w:suppressLineNumbers/>
        <w:suppressAutoHyphens/>
        <w:rPr>
          <w:rFonts w:ascii="Times New Roman" w:eastAsiaTheme="minorEastAsia" w:hAnsi="Times New Roman"/>
          <w:i/>
          <w:iCs/>
          <w:color w:val="000000"/>
          <w:kern w:val="22"/>
          <w:lang w:val="ru-RU"/>
        </w:rPr>
      </w:pPr>
    </w:p>
    <w:sectPr w:rsidR="00B02DF6" w:rsidRPr="00F239D9" w:rsidSect="00FE3FF1">
      <w:headerReference w:type="even" r:id="rId12"/>
      <w:headerReference w:type="default" r:id="rId13"/>
      <w:footerReference w:type="first" r:id="rId14"/>
      <w:pgSz w:w="12240" w:h="15840"/>
      <w:pgMar w:top="634" w:right="1440" w:bottom="1138"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4D82" w14:textId="77777777" w:rsidR="002A15C7" w:rsidRDefault="002A15C7">
      <w:r>
        <w:separator/>
      </w:r>
    </w:p>
  </w:endnote>
  <w:endnote w:type="continuationSeparator" w:id="0">
    <w:p w14:paraId="3FE5EFF8" w14:textId="77777777" w:rsidR="002A15C7" w:rsidRDefault="002A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CE68" w14:textId="77777777" w:rsidR="00594538" w:rsidRDefault="00594538"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0E4B" w14:textId="77777777" w:rsidR="002A15C7" w:rsidRDefault="002A15C7">
      <w:r>
        <w:separator/>
      </w:r>
    </w:p>
  </w:footnote>
  <w:footnote w:type="continuationSeparator" w:id="0">
    <w:p w14:paraId="54569F03" w14:textId="77777777" w:rsidR="002A15C7" w:rsidRDefault="002A15C7">
      <w:r>
        <w:continuationSeparator/>
      </w:r>
    </w:p>
  </w:footnote>
  <w:footnote w:id="1">
    <w:p w14:paraId="644279E4" w14:textId="77777777" w:rsidR="00084D61" w:rsidRPr="009F7E53" w:rsidRDefault="00084D61" w:rsidP="00084D61">
      <w:pPr>
        <w:pStyle w:val="FootnoteText"/>
        <w:rPr>
          <w:vertAlign w:val="superscript"/>
        </w:rPr>
      </w:pPr>
      <w:r>
        <w:rPr>
          <w:rStyle w:val="FootnoteReference"/>
        </w:rPr>
        <w:footnoteRef/>
      </w:r>
      <w:r>
        <w:rPr>
          <w:vertAlign w:val="superscript"/>
        </w:rPr>
        <w:t xml:space="preserve"> </w:t>
      </w:r>
      <w:r>
        <w:t>Вся информация о времени в настоящем докладе приводится по куньминскому времени (UTC+8).</w:t>
      </w:r>
    </w:p>
  </w:footnote>
  <w:footnote w:id="2">
    <w:p w14:paraId="476A805F" w14:textId="1FC5A25A" w:rsidR="00A95F18" w:rsidRPr="00C27F3B" w:rsidRDefault="00A95F18" w:rsidP="00A95F18">
      <w:pPr>
        <w:pStyle w:val="FootnoteText"/>
        <w:jc w:val="left"/>
        <w:rPr>
          <w:szCs w:val="18"/>
        </w:rPr>
      </w:pPr>
      <w:r w:rsidRPr="004E1DAC">
        <w:rPr>
          <w:rStyle w:val="FootnoteReference"/>
          <w:szCs w:val="18"/>
        </w:rPr>
        <w:footnoteRef/>
      </w:r>
      <w:r w:rsidRPr="00C27F3B">
        <w:rPr>
          <w:szCs w:val="18"/>
        </w:rPr>
        <w:t xml:space="preserve"> </w:t>
      </w:r>
      <w:r>
        <w:rPr>
          <w:szCs w:val="18"/>
        </w:rPr>
        <w:t>С</w:t>
      </w:r>
      <w:r w:rsidRPr="00C27F3B">
        <w:rPr>
          <w:szCs w:val="18"/>
        </w:rPr>
        <w:t xml:space="preserve"> </w:t>
      </w:r>
      <w:r>
        <w:rPr>
          <w:szCs w:val="18"/>
        </w:rPr>
        <w:t>заявлениями</w:t>
      </w:r>
      <w:r w:rsidRPr="00C27F3B">
        <w:rPr>
          <w:szCs w:val="18"/>
        </w:rPr>
        <w:t xml:space="preserve"> </w:t>
      </w:r>
      <w:r>
        <w:rPr>
          <w:szCs w:val="18"/>
        </w:rPr>
        <w:t>представителей</w:t>
      </w:r>
      <w:r w:rsidRPr="00C27F3B">
        <w:rPr>
          <w:szCs w:val="18"/>
        </w:rPr>
        <w:t xml:space="preserve">, </w:t>
      </w:r>
      <w:r>
        <w:rPr>
          <w:szCs w:val="18"/>
        </w:rPr>
        <w:t>которые</w:t>
      </w:r>
      <w:r w:rsidRPr="00C27F3B">
        <w:rPr>
          <w:szCs w:val="18"/>
        </w:rPr>
        <w:t xml:space="preserve"> </w:t>
      </w:r>
      <w:r>
        <w:rPr>
          <w:szCs w:val="18"/>
        </w:rPr>
        <w:t>были</w:t>
      </w:r>
      <w:r w:rsidRPr="00C27F3B">
        <w:rPr>
          <w:szCs w:val="18"/>
        </w:rPr>
        <w:t xml:space="preserve"> </w:t>
      </w:r>
      <w:r>
        <w:rPr>
          <w:szCs w:val="18"/>
        </w:rPr>
        <w:t>предоставлены</w:t>
      </w:r>
      <w:r w:rsidRPr="00C27F3B">
        <w:rPr>
          <w:szCs w:val="18"/>
        </w:rPr>
        <w:t xml:space="preserve"> </w:t>
      </w:r>
      <w:r>
        <w:rPr>
          <w:szCs w:val="18"/>
        </w:rPr>
        <w:t>Секретариату</w:t>
      </w:r>
      <w:r w:rsidRPr="00C27F3B">
        <w:rPr>
          <w:szCs w:val="18"/>
        </w:rPr>
        <w:t xml:space="preserve">, </w:t>
      </w:r>
      <w:r>
        <w:rPr>
          <w:szCs w:val="18"/>
        </w:rPr>
        <w:t>можно ознакомиться на веб-сайте:</w:t>
      </w:r>
      <w:r w:rsidRPr="00C27F3B">
        <w:rPr>
          <w:szCs w:val="18"/>
        </w:rPr>
        <w:t xml:space="preserve"> </w:t>
      </w:r>
      <w:hyperlink r:id="rId1" w:history="1">
        <w:r w:rsidR="00E1269F" w:rsidRPr="00E1269F">
          <w:rPr>
            <w:rStyle w:val="Hyperlink"/>
            <w:kern w:val="18"/>
            <w:szCs w:val="18"/>
          </w:rPr>
          <w:t>https://www.cbd.int/conferences/2021-2022/cop-15/documents</w:t>
        </w:r>
      </w:hyperlink>
      <w:r w:rsidRPr="00C27F3B">
        <w:rPr>
          <w:szCs w:val="18"/>
        </w:rPr>
        <w:t xml:space="preserve">, </w:t>
      </w:r>
      <w:r>
        <w:rPr>
          <w:szCs w:val="18"/>
        </w:rPr>
        <w:t>где они размещены в том виде, в каком были получены от соответствующей Стороны</w:t>
      </w:r>
      <w:r w:rsidRPr="00C27F3B">
        <w:rPr>
          <w:szCs w:val="18"/>
        </w:rPr>
        <w:t xml:space="preserve"> </w:t>
      </w:r>
      <w:r>
        <w:rPr>
          <w:szCs w:val="18"/>
        </w:rPr>
        <w:t>или наблюдателя</w:t>
      </w:r>
      <w:r w:rsidRPr="00C27F3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alias w:val="Subject"/>
      <w:id w:val="-1885015078"/>
      <w:placeholder>
        <w:docPart w:val="9AD50B25DB054577A36700BD5857BC21"/>
      </w:placeholder>
      <w:dataBinding w:prefixMappings="xmlns:ns0='http://purl.org/dc/elements/1.1/' xmlns:ns1='http://schemas.openxmlformats.org/package/2006/metadata/core-properties' " w:xpath="/ns1:coreProperties[1]/ns0:subject[1]" w:storeItemID="{6C3C8BC8-F283-45AE-878A-BAB7291924A1}"/>
      <w:text/>
    </w:sdtPr>
    <w:sdtEndPr/>
    <w:sdtContent>
      <w:p w14:paraId="09E1CE62" w14:textId="77777777" w:rsidR="0048045A" w:rsidRPr="00E638B4" w:rsidRDefault="00174518" w:rsidP="0048045A">
        <w:pPr>
          <w:pStyle w:val="Header"/>
          <w:tabs>
            <w:tab w:val="left" w:pos="708"/>
          </w:tabs>
          <w:rPr>
            <w:sz w:val="22"/>
            <w:lang w:val="en-US"/>
          </w:rPr>
        </w:pPr>
        <w:r w:rsidRPr="00E638B4">
          <w:rPr>
            <w:lang w:val="en-US"/>
          </w:rPr>
          <w:t>CBD/CP/MOP/10/Part1/L.1</w:t>
        </w:r>
      </w:p>
    </w:sdtContent>
  </w:sdt>
  <w:p w14:paraId="09E1CE63" w14:textId="77777777" w:rsidR="00594538" w:rsidRPr="00497555" w:rsidRDefault="00594538" w:rsidP="00497555">
    <w:pPr>
      <w:pStyle w:val="Header"/>
      <w:tabs>
        <w:tab w:val="clear" w:pos="4320"/>
        <w:tab w:val="clear" w:pos="8640"/>
      </w:tabs>
      <w:jc w:val="left"/>
      <w:rPr>
        <w:noProof/>
      </w:rPr>
    </w:pPr>
    <w:r>
      <w:t xml:space="preserve">Страница </w:t>
    </w:r>
    <w:r w:rsidR="009D2225">
      <w:fldChar w:fldCharType="begin"/>
    </w:r>
    <w:r w:rsidR="00345640">
      <w:instrText xml:space="preserve"> PAGE   \* MERGEFORMAT </w:instrText>
    </w:r>
    <w:r w:rsidR="009D2225">
      <w:fldChar w:fldCharType="separate"/>
    </w:r>
    <w:r w:rsidR="001B6499">
      <w:rPr>
        <w:noProof/>
      </w:rPr>
      <w:t>4</w:t>
    </w:r>
    <w:r w:rsidR="009D2225">
      <w:rPr>
        <w:noProof/>
      </w:rPr>
      <w:fldChar w:fldCharType="end"/>
    </w:r>
  </w:p>
  <w:p w14:paraId="09E1CE64" w14:textId="77777777" w:rsidR="00594538" w:rsidRPr="00497555" w:rsidRDefault="00594538" w:rsidP="0049755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alias w:val="Subject"/>
      <w:id w:val="1917048755"/>
      <w:placeholder>
        <w:docPart w:val="229789E22D914E3DB73F2F672C6207EC"/>
      </w:placeholder>
      <w:dataBinding w:prefixMappings="xmlns:ns0='http://purl.org/dc/elements/1.1/' xmlns:ns1='http://schemas.openxmlformats.org/package/2006/metadata/core-properties' " w:xpath="/ns1:coreProperties[1]/ns0:subject[1]" w:storeItemID="{6C3C8BC8-F283-45AE-878A-BAB7291924A1}"/>
      <w:text/>
    </w:sdtPr>
    <w:sdtEndPr/>
    <w:sdtContent>
      <w:p w14:paraId="09E1CE65" w14:textId="77777777" w:rsidR="0048045A" w:rsidRPr="00E638B4" w:rsidRDefault="00174518" w:rsidP="0048045A">
        <w:pPr>
          <w:pStyle w:val="Header"/>
          <w:tabs>
            <w:tab w:val="left" w:pos="708"/>
          </w:tabs>
          <w:jc w:val="right"/>
          <w:rPr>
            <w:sz w:val="22"/>
            <w:lang w:val="en-US"/>
          </w:rPr>
        </w:pPr>
        <w:r w:rsidRPr="00E638B4">
          <w:rPr>
            <w:lang w:val="en-US"/>
          </w:rPr>
          <w:t>CBD/CP/MOP/10/Part1/L.1</w:t>
        </w:r>
      </w:p>
    </w:sdtContent>
  </w:sdt>
  <w:p w14:paraId="09E1CE66" w14:textId="77777777" w:rsidR="00594538" w:rsidRDefault="00594538" w:rsidP="00184C2D">
    <w:pPr>
      <w:pStyle w:val="Header"/>
      <w:tabs>
        <w:tab w:val="clear" w:pos="4320"/>
        <w:tab w:val="clear" w:pos="8640"/>
      </w:tabs>
      <w:jc w:val="right"/>
      <w:rPr>
        <w:noProof/>
      </w:rPr>
    </w:pPr>
    <w:r>
      <w:t xml:space="preserve">Страница </w:t>
    </w:r>
    <w:r w:rsidR="009D2225">
      <w:fldChar w:fldCharType="begin"/>
    </w:r>
    <w:r w:rsidR="00345640">
      <w:instrText xml:space="preserve"> PAGE   \* MERGEFORMAT </w:instrText>
    </w:r>
    <w:r w:rsidR="009D2225">
      <w:fldChar w:fldCharType="separate"/>
    </w:r>
    <w:r w:rsidR="00605F8E">
      <w:rPr>
        <w:noProof/>
      </w:rPr>
      <w:t>3</w:t>
    </w:r>
    <w:r w:rsidR="009D2225">
      <w:rPr>
        <w:noProof/>
      </w:rPr>
      <w:fldChar w:fldCharType="end"/>
    </w:r>
  </w:p>
  <w:p w14:paraId="09E1CE67" w14:textId="77777777" w:rsidR="00375170" w:rsidRDefault="00375170" w:rsidP="00184C2D">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2" w15:restartNumberingAfterBreak="0">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4" w15:restartNumberingAfterBreak="0">
    <w:nsid w:val="361042E5"/>
    <w:multiLevelType w:val="hybridMultilevel"/>
    <w:tmpl w:val="6AB8811E"/>
    <w:lvl w:ilvl="0" w:tplc="80FCDE42">
      <w:start w:val="1"/>
      <w:numFmt w:val="decimal"/>
      <w:lvlText w:val="%1."/>
      <w:lvlJc w:val="left"/>
      <w:pPr>
        <w:ind w:left="720" w:hanging="360"/>
      </w:pPr>
      <w:rPr>
        <w:rFonts w:hint="default"/>
        <w:i w:val="0"/>
        <w:iCs w:val="0"/>
        <w:color w:val="auto"/>
        <w:sz w:val="18"/>
        <w:szCs w:val="18"/>
      </w:rPr>
    </w:lvl>
    <w:lvl w:ilvl="1" w:tplc="1EA62BCC" w:tentative="1">
      <w:start w:val="1"/>
      <w:numFmt w:val="lowerLetter"/>
      <w:lvlText w:val="%2."/>
      <w:lvlJc w:val="left"/>
      <w:pPr>
        <w:ind w:left="1440" w:hanging="360"/>
      </w:pPr>
    </w:lvl>
    <w:lvl w:ilvl="2" w:tplc="8D7E9328" w:tentative="1">
      <w:start w:val="1"/>
      <w:numFmt w:val="lowerRoman"/>
      <w:lvlText w:val="%3."/>
      <w:lvlJc w:val="right"/>
      <w:pPr>
        <w:ind w:left="2160" w:hanging="180"/>
      </w:pPr>
    </w:lvl>
    <w:lvl w:ilvl="3" w:tplc="04B62274" w:tentative="1">
      <w:start w:val="1"/>
      <w:numFmt w:val="decimal"/>
      <w:lvlText w:val="%4."/>
      <w:lvlJc w:val="left"/>
      <w:pPr>
        <w:ind w:left="2880" w:hanging="360"/>
      </w:pPr>
    </w:lvl>
    <w:lvl w:ilvl="4" w:tplc="032E5E74" w:tentative="1">
      <w:start w:val="1"/>
      <w:numFmt w:val="lowerLetter"/>
      <w:lvlText w:val="%5."/>
      <w:lvlJc w:val="left"/>
      <w:pPr>
        <w:ind w:left="3600" w:hanging="360"/>
      </w:pPr>
    </w:lvl>
    <w:lvl w:ilvl="5" w:tplc="00A648CA" w:tentative="1">
      <w:start w:val="1"/>
      <w:numFmt w:val="lowerRoman"/>
      <w:lvlText w:val="%6."/>
      <w:lvlJc w:val="right"/>
      <w:pPr>
        <w:ind w:left="4320" w:hanging="180"/>
      </w:pPr>
    </w:lvl>
    <w:lvl w:ilvl="6" w:tplc="CEC29BDA" w:tentative="1">
      <w:start w:val="1"/>
      <w:numFmt w:val="decimal"/>
      <w:lvlText w:val="%7."/>
      <w:lvlJc w:val="left"/>
      <w:pPr>
        <w:ind w:left="5040" w:hanging="360"/>
      </w:pPr>
    </w:lvl>
    <w:lvl w:ilvl="7" w:tplc="99CEFDB0" w:tentative="1">
      <w:start w:val="1"/>
      <w:numFmt w:val="lowerLetter"/>
      <w:lvlText w:val="%8."/>
      <w:lvlJc w:val="left"/>
      <w:pPr>
        <w:ind w:left="5760" w:hanging="360"/>
      </w:pPr>
    </w:lvl>
    <w:lvl w:ilvl="8" w:tplc="0822652C" w:tentative="1">
      <w:start w:val="1"/>
      <w:numFmt w:val="lowerRoman"/>
      <w:lvlText w:val="%9."/>
      <w:lvlJc w:val="right"/>
      <w:pPr>
        <w:ind w:left="6480" w:hanging="180"/>
      </w:p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BE9C1B2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10" w15:restartNumberingAfterBreak="0">
    <w:nsid w:val="549100E5"/>
    <w:multiLevelType w:val="hybridMultilevel"/>
    <w:tmpl w:val="EA766CCC"/>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2" w15:restartNumberingAfterBreak="0">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380B85"/>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73988"/>
    <w:multiLevelType w:val="hybridMultilevel"/>
    <w:tmpl w:val="3CF27BAE"/>
    <w:lvl w:ilvl="0" w:tplc="43D488C8">
      <w:start w:val="1"/>
      <w:numFmt w:val="decimal"/>
      <w:lvlText w:val="%1."/>
      <w:lvlJc w:val="left"/>
      <w:pPr>
        <w:ind w:left="720" w:hanging="360"/>
      </w:pPr>
      <w:rPr>
        <w:rFonts w:ascii="Times New Roman" w:hAnsi="Times New Roman" w:cs="Times New Roman" w:hint="default"/>
        <w:i w:val="0"/>
        <w:iCs w:val="0"/>
      </w:rPr>
    </w:lvl>
    <w:lvl w:ilvl="1" w:tplc="C0DA27AC">
      <w:start w:val="1"/>
      <w:numFmt w:val="lowerLetter"/>
      <w:lvlText w:val="%2."/>
      <w:lvlJc w:val="left"/>
      <w:pPr>
        <w:ind w:left="1440" w:hanging="360"/>
      </w:pPr>
    </w:lvl>
    <w:lvl w:ilvl="2" w:tplc="6EB8E6B2">
      <w:start w:val="1"/>
      <w:numFmt w:val="lowerRoman"/>
      <w:lvlText w:val="%3."/>
      <w:lvlJc w:val="right"/>
      <w:pPr>
        <w:ind w:left="2160" w:hanging="180"/>
      </w:pPr>
    </w:lvl>
    <w:lvl w:ilvl="3" w:tplc="D30E3C32">
      <w:start w:val="1"/>
      <w:numFmt w:val="decimal"/>
      <w:lvlText w:val="%4."/>
      <w:lvlJc w:val="left"/>
      <w:pPr>
        <w:ind w:left="2880" w:hanging="360"/>
      </w:pPr>
    </w:lvl>
    <w:lvl w:ilvl="4" w:tplc="BCF48DC2">
      <w:start w:val="1"/>
      <w:numFmt w:val="lowerLetter"/>
      <w:lvlText w:val="%5."/>
      <w:lvlJc w:val="left"/>
      <w:pPr>
        <w:ind w:left="3600" w:hanging="360"/>
      </w:pPr>
    </w:lvl>
    <w:lvl w:ilvl="5" w:tplc="C99AACAA">
      <w:start w:val="1"/>
      <w:numFmt w:val="lowerRoman"/>
      <w:lvlText w:val="%6."/>
      <w:lvlJc w:val="right"/>
      <w:pPr>
        <w:ind w:left="4320" w:hanging="180"/>
      </w:pPr>
    </w:lvl>
    <w:lvl w:ilvl="6" w:tplc="73480CA2">
      <w:start w:val="1"/>
      <w:numFmt w:val="decimal"/>
      <w:lvlText w:val="%7."/>
      <w:lvlJc w:val="left"/>
      <w:pPr>
        <w:ind w:left="5040" w:hanging="360"/>
      </w:pPr>
    </w:lvl>
    <w:lvl w:ilvl="7" w:tplc="E2C439AC">
      <w:start w:val="1"/>
      <w:numFmt w:val="lowerLetter"/>
      <w:lvlText w:val="%8."/>
      <w:lvlJc w:val="left"/>
      <w:pPr>
        <w:ind w:left="5760" w:hanging="360"/>
      </w:pPr>
    </w:lvl>
    <w:lvl w:ilvl="8" w:tplc="D9DC7E14">
      <w:start w:val="1"/>
      <w:numFmt w:val="lowerRoman"/>
      <w:lvlText w:val="%9."/>
      <w:lvlJc w:val="right"/>
      <w:pPr>
        <w:ind w:left="6480" w:hanging="180"/>
      </w:pPr>
    </w:lvl>
  </w:abstractNum>
  <w:num w:numId="1">
    <w:abstractNumId w:val="3"/>
  </w:num>
  <w:num w:numId="2">
    <w:abstractNumId w:val="14"/>
  </w:num>
  <w:num w:numId="3">
    <w:abstractNumId w:val="5"/>
  </w:num>
  <w:num w:numId="4">
    <w:abstractNumId w:val="7"/>
  </w:num>
  <w:num w:numId="5">
    <w:abstractNumId w:val="0"/>
  </w:num>
  <w:num w:numId="6">
    <w:abstractNumId w:val="11"/>
  </w:num>
  <w:num w:numId="7">
    <w:abstractNumId w:val="1"/>
  </w:num>
  <w:num w:numId="8">
    <w:abstractNumId w:val="12"/>
  </w:num>
  <w:num w:numId="9">
    <w:abstractNumId w:val="6"/>
  </w:num>
  <w:num w:numId="10">
    <w:abstractNumId w:val="2"/>
  </w:num>
  <w:num w:numId="11">
    <w:abstractNumId w:val="13"/>
  </w:num>
  <w:num w:numId="12">
    <w:abstractNumId w:val="4"/>
  </w:num>
  <w:num w:numId="13">
    <w:abstractNumId w:val="15"/>
  </w:num>
  <w:num w:numId="14">
    <w:abstractNumId w:val="10"/>
  </w:num>
  <w:num w:numId="15">
    <w:abstractNumId w:val="8"/>
  </w:num>
  <w:num w:numId="16">
    <w:abstractNumId w:val="9"/>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F6F"/>
    <w:rsid w:val="00020DA6"/>
    <w:rsid w:val="00034CFC"/>
    <w:rsid w:val="00067A2C"/>
    <w:rsid w:val="00072CF4"/>
    <w:rsid w:val="00074508"/>
    <w:rsid w:val="00084D61"/>
    <w:rsid w:val="000A42C7"/>
    <w:rsid w:val="000B71B6"/>
    <w:rsid w:val="000E2595"/>
    <w:rsid w:val="000F468D"/>
    <w:rsid w:val="000F6B86"/>
    <w:rsid w:val="000F7FF0"/>
    <w:rsid w:val="001001C6"/>
    <w:rsid w:val="001041B0"/>
    <w:rsid w:val="0011412C"/>
    <w:rsid w:val="001176A6"/>
    <w:rsid w:val="00124339"/>
    <w:rsid w:val="00132AAD"/>
    <w:rsid w:val="00133D9B"/>
    <w:rsid w:val="0013644F"/>
    <w:rsid w:val="00140A58"/>
    <w:rsid w:val="0014345D"/>
    <w:rsid w:val="00153990"/>
    <w:rsid w:val="00154636"/>
    <w:rsid w:val="00160906"/>
    <w:rsid w:val="001738F3"/>
    <w:rsid w:val="00174518"/>
    <w:rsid w:val="00184C2D"/>
    <w:rsid w:val="00187CCD"/>
    <w:rsid w:val="0019353A"/>
    <w:rsid w:val="001A4A90"/>
    <w:rsid w:val="001A5057"/>
    <w:rsid w:val="001B6499"/>
    <w:rsid w:val="001C32EC"/>
    <w:rsid w:val="001E427B"/>
    <w:rsid w:val="001E6EF1"/>
    <w:rsid w:val="001F635E"/>
    <w:rsid w:val="001F7AA9"/>
    <w:rsid w:val="00223E57"/>
    <w:rsid w:val="002442CE"/>
    <w:rsid w:val="002626B6"/>
    <w:rsid w:val="00264464"/>
    <w:rsid w:val="00274806"/>
    <w:rsid w:val="00274BEB"/>
    <w:rsid w:val="002A15C7"/>
    <w:rsid w:val="002C19E5"/>
    <w:rsid w:val="002D7067"/>
    <w:rsid w:val="00316D91"/>
    <w:rsid w:val="003172B4"/>
    <w:rsid w:val="00325BF4"/>
    <w:rsid w:val="00345640"/>
    <w:rsid w:val="00347A37"/>
    <w:rsid w:val="00347B6F"/>
    <w:rsid w:val="0035051D"/>
    <w:rsid w:val="00362A9A"/>
    <w:rsid w:val="003749FE"/>
    <w:rsid w:val="00375170"/>
    <w:rsid w:val="00380948"/>
    <w:rsid w:val="00383BCF"/>
    <w:rsid w:val="00384489"/>
    <w:rsid w:val="00384D09"/>
    <w:rsid w:val="00385FAA"/>
    <w:rsid w:val="00386CD0"/>
    <w:rsid w:val="003969EF"/>
    <w:rsid w:val="00411584"/>
    <w:rsid w:val="004273FA"/>
    <w:rsid w:val="00443379"/>
    <w:rsid w:val="004465DA"/>
    <w:rsid w:val="00453B3E"/>
    <w:rsid w:val="00472963"/>
    <w:rsid w:val="0047349C"/>
    <w:rsid w:val="00476AA0"/>
    <w:rsid w:val="0048045A"/>
    <w:rsid w:val="00497555"/>
    <w:rsid w:val="004A068D"/>
    <w:rsid w:val="004B44DE"/>
    <w:rsid w:val="004B5E4F"/>
    <w:rsid w:val="004D03D8"/>
    <w:rsid w:val="004D7D96"/>
    <w:rsid w:val="004E2293"/>
    <w:rsid w:val="005024FE"/>
    <w:rsid w:val="00504F1B"/>
    <w:rsid w:val="00532076"/>
    <w:rsid w:val="00535F90"/>
    <w:rsid w:val="005365CB"/>
    <w:rsid w:val="00536853"/>
    <w:rsid w:val="005425FB"/>
    <w:rsid w:val="005459C3"/>
    <w:rsid w:val="00566AC9"/>
    <w:rsid w:val="00566E5F"/>
    <w:rsid w:val="00567EDB"/>
    <w:rsid w:val="005845E0"/>
    <w:rsid w:val="00594538"/>
    <w:rsid w:val="005B087A"/>
    <w:rsid w:val="005C533B"/>
    <w:rsid w:val="005D2533"/>
    <w:rsid w:val="005D4AD9"/>
    <w:rsid w:val="005E7D9D"/>
    <w:rsid w:val="005F162B"/>
    <w:rsid w:val="005F5539"/>
    <w:rsid w:val="00605F8E"/>
    <w:rsid w:val="00612ED6"/>
    <w:rsid w:val="0063317E"/>
    <w:rsid w:val="00644589"/>
    <w:rsid w:val="0066496C"/>
    <w:rsid w:val="00671687"/>
    <w:rsid w:val="00676B07"/>
    <w:rsid w:val="00677DE5"/>
    <w:rsid w:val="00694E28"/>
    <w:rsid w:val="006A4DCE"/>
    <w:rsid w:val="006A7BE3"/>
    <w:rsid w:val="006B5A3D"/>
    <w:rsid w:val="006B723D"/>
    <w:rsid w:val="006C209A"/>
    <w:rsid w:val="006C61BD"/>
    <w:rsid w:val="006D30B8"/>
    <w:rsid w:val="006F223A"/>
    <w:rsid w:val="00704D99"/>
    <w:rsid w:val="0070788C"/>
    <w:rsid w:val="0071601F"/>
    <w:rsid w:val="00786D84"/>
    <w:rsid w:val="00787166"/>
    <w:rsid w:val="007962B1"/>
    <w:rsid w:val="0079634D"/>
    <w:rsid w:val="007C4A91"/>
    <w:rsid w:val="007D4DA0"/>
    <w:rsid w:val="00800A64"/>
    <w:rsid w:val="00812063"/>
    <w:rsid w:val="00814228"/>
    <w:rsid w:val="008351AB"/>
    <w:rsid w:val="008425FF"/>
    <w:rsid w:val="008459D4"/>
    <w:rsid w:val="00853A7F"/>
    <w:rsid w:val="0086423A"/>
    <w:rsid w:val="0088628F"/>
    <w:rsid w:val="008A173A"/>
    <w:rsid w:val="008C26BA"/>
    <w:rsid w:val="008D3C8A"/>
    <w:rsid w:val="008E3AE5"/>
    <w:rsid w:val="008E52F4"/>
    <w:rsid w:val="008F0DD4"/>
    <w:rsid w:val="008F28A3"/>
    <w:rsid w:val="008F4ABD"/>
    <w:rsid w:val="00906569"/>
    <w:rsid w:val="00911E55"/>
    <w:rsid w:val="00922ECD"/>
    <w:rsid w:val="009262AA"/>
    <w:rsid w:val="00936A35"/>
    <w:rsid w:val="009772E5"/>
    <w:rsid w:val="00996B1B"/>
    <w:rsid w:val="009A01DA"/>
    <w:rsid w:val="009A170B"/>
    <w:rsid w:val="009A2332"/>
    <w:rsid w:val="009B6E8E"/>
    <w:rsid w:val="009B7A06"/>
    <w:rsid w:val="009D2225"/>
    <w:rsid w:val="009E11C4"/>
    <w:rsid w:val="009E189A"/>
    <w:rsid w:val="00A03F13"/>
    <w:rsid w:val="00A05AC0"/>
    <w:rsid w:val="00A139F2"/>
    <w:rsid w:val="00A23040"/>
    <w:rsid w:val="00A25050"/>
    <w:rsid w:val="00A539F0"/>
    <w:rsid w:val="00A53C7F"/>
    <w:rsid w:val="00A76C33"/>
    <w:rsid w:val="00A93488"/>
    <w:rsid w:val="00A95F18"/>
    <w:rsid w:val="00AA497C"/>
    <w:rsid w:val="00AD3C93"/>
    <w:rsid w:val="00AD62D5"/>
    <w:rsid w:val="00AE584A"/>
    <w:rsid w:val="00AE69BF"/>
    <w:rsid w:val="00AF4A2C"/>
    <w:rsid w:val="00B02DF6"/>
    <w:rsid w:val="00B05642"/>
    <w:rsid w:val="00B164E4"/>
    <w:rsid w:val="00B2360E"/>
    <w:rsid w:val="00B249A3"/>
    <w:rsid w:val="00B2677D"/>
    <w:rsid w:val="00B2759D"/>
    <w:rsid w:val="00B300CE"/>
    <w:rsid w:val="00B427BE"/>
    <w:rsid w:val="00B47918"/>
    <w:rsid w:val="00B609C6"/>
    <w:rsid w:val="00B615EE"/>
    <w:rsid w:val="00B64D1D"/>
    <w:rsid w:val="00B7570B"/>
    <w:rsid w:val="00B779F9"/>
    <w:rsid w:val="00B8222A"/>
    <w:rsid w:val="00BB5509"/>
    <w:rsid w:val="00BD0324"/>
    <w:rsid w:val="00BD2C4B"/>
    <w:rsid w:val="00BE03BC"/>
    <w:rsid w:val="00BE3533"/>
    <w:rsid w:val="00C0422A"/>
    <w:rsid w:val="00C1083E"/>
    <w:rsid w:val="00C4104E"/>
    <w:rsid w:val="00C57FDF"/>
    <w:rsid w:val="00C81304"/>
    <w:rsid w:val="00C8206C"/>
    <w:rsid w:val="00C82E7D"/>
    <w:rsid w:val="00CB5393"/>
    <w:rsid w:val="00CD03C4"/>
    <w:rsid w:val="00CD6F14"/>
    <w:rsid w:val="00CD7C18"/>
    <w:rsid w:val="00CF687B"/>
    <w:rsid w:val="00D11ECA"/>
    <w:rsid w:val="00D14062"/>
    <w:rsid w:val="00D20319"/>
    <w:rsid w:val="00D22AFC"/>
    <w:rsid w:val="00D47B74"/>
    <w:rsid w:val="00D7716F"/>
    <w:rsid w:val="00DB3733"/>
    <w:rsid w:val="00DC4F42"/>
    <w:rsid w:val="00DC6511"/>
    <w:rsid w:val="00DC764D"/>
    <w:rsid w:val="00DE10F9"/>
    <w:rsid w:val="00DE4301"/>
    <w:rsid w:val="00DF0E95"/>
    <w:rsid w:val="00DF1C46"/>
    <w:rsid w:val="00E0136C"/>
    <w:rsid w:val="00E04388"/>
    <w:rsid w:val="00E1269F"/>
    <w:rsid w:val="00E354C4"/>
    <w:rsid w:val="00E60C12"/>
    <w:rsid w:val="00E63240"/>
    <w:rsid w:val="00E638B4"/>
    <w:rsid w:val="00E716BF"/>
    <w:rsid w:val="00E816A5"/>
    <w:rsid w:val="00E83B31"/>
    <w:rsid w:val="00E872C7"/>
    <w:rsid w:val="00E97396"/>
    <w:rsid w:val="00EA0F6F"/>
    <w:rsid w:val="00EB0ECC"/>
    <w:rsid w:val="00EB4272"/>
    <w:rsid w:val="00EB5507"/>
    <w:rsid w:val="00EC430F"/>
    <w:rsid w:val="00EC4671"/>
    <w:rsid w:val="00ED139B"/>
    <w:rsid w:val="00ED170A"/>
    <w:rsid w:val="00EE4142"/>
    <w:rsid w:val="00EE66A8"/>
    <w:rsid w:val="00F074D1"/>
    <w:rsid w:val="00F218CB"/>
    <w:rsid w:val="00F239D9"/>
    <w:rsid w:val="00F26CC6"/>
    <w:rsid w:val="00F51105"/>
    <w:rsid w:val="00F55D3C"/>
    <w:rsid w:val="00F909EE"/>
    <w:rsid w:val="00FC180D"/>
    <w:rsid w:val="00FC435E"/>
    <w:rsid w:val="00FD3647"/>
    <w:rsid w:val="00FE0090"/>
    <w:rsid w:val="00FE3FF1"/>
    <w:rsid w:val="00FE4307"/>
    <w:rsid w:val="00FF03CE"/>
    <w:rsid w:val="00FF3771"/>
    <w:rsid w:val="00FF4089"/>
    <w:rsid w:val="00FF4B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1CDE8"/>
  <w15:docId w15:val="{4C9F5728-6E3D-4F14-9D1C-637CCBE4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rFonts w:cs="Times New Roman"/>
      <w:b/>
      <w:bCs/>
      <w:i/>
      <w:iCs/>
      <w:sz w:val="20"/>
    </w:rPr>
  </w:style>
  <w:style w:type="paragraph" w:styleId="Heading3">
    <w:name w:val="heading 3"/>
    <w:basedOn w:val="Normal"/>
    <w:next w:val="Normal"/>
    <w:link w:val="Heading3Ch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Heading4">
    <w:name w:val="heading 4"/>
    <w:basedOn w:val="Normal"/>
    <w:link w:val="Heading4Ch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Heading5">
    <w:name w:val="heading 5"/>
    <w:basedOn w:val="Normal"/>
    <w:next w:val="Normal"/>
    <w:link w:val="Heading5Char"/>
    <w:unhideWhenUsed/>
    <w:qFormat/>
    <w:rsid w:val="00EC4671"/>
    <w:pPr>
      <w:keepNext/>
      <w:numPr>
        <w:ilvl w:val="4"/>
        <w:numId w:val="1"/>
      </w:numPr>
      <w:spacing w:before="120" w:after="120"/>
      <w:jc w:val="left"/>
      <w:outlineLvl w:val="4"/>
    </w:pPr>
    <w:rPr>
      <w:rFonts w:eastAsia="Times New Roman" w:cs="Times New Roman"/>
      <w:bCs/>
      <w:i/>
      <w:szCs w:val="26"/>
      <w:lang w:val="en-CA"/>
    </w:rPr>
  </w:style>
  <w:style w:type="paragraph" w:styleId="Heading6">
    <w:name w:val="heading 6"/>
    <w:basedOn w:val="Normal"/>
    <w:next w:val="Normal"/>
    <w:link w:val="Heading6Char"/>
    <w:unhideWhenUsed/>
    <w:qFormat/>
    <w:rsid w:val="00EC4671"/>
    <w:pPr>
      <w:keepNext/>
      <w:spacing w:after="240" w:line="240" w:lineRule="exact"/>
      <w:ind w:left="720"/>
      <w:outlineLvl w:val="5"/>
    </w:pPr>
    <w:rPr>
      <w:rFonts w:eastAsia="Times New Roman" w:cs="Times New Roman"/>
      <w:u w:val="single"/>
      <w:lang w:val="en-GB"/>
    </w:rPr>
  </w:style>
  <w:style w:type="paragraph" w:styleId="Heading7">
    <w:name w:val="heading 7"/>
    <w:basedOn w:val="Normal"/>
    <w:next w:val="Normal"/>
    <w:link w:val="Heading7Char"/>
    <w:unhideWhenUsed/>
    <w:qFormat/>
    <w:rsid w:val="00EC4671"/>
    <w:pPr>
      <w:keepNext/>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unhideWhenUsed/>
    <w:qFormat/>
    <w:rsid w:val="00EC4671"/>
    <w:pPr>
      <w:keepNext/>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unhideWhenUsed/>
    <w:qFormat/>
    <w:rsid w:val="00EC4671"/>
    <w:pPr>
      <w:keepNext/>
      <w:spacing w:before="100" w:beforeAutospacing="1" w:after="120"/>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ru-RU"/>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ru-RU"/>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rsid w:val="00671687"/>
    <w:pPr>
      <w:tabs>
        <w:tab w:val="center" w:pos="4320"/>
        <w:tab w:val="right" w:pos="8640"/>
      </w:tabs>
    </w:pPr>
    <w:rPr>
      <w:rFonts w:eastAsia="Times New Roman" w:cs="Times New Roman"/>
      <w:sz w:val="20"/>
    </w:rPr>
  </w:style>
  <w:style w:type="character" w:customStyle="1" w:styleId="HeaderChar">
    <w:name w:val="Header Char"/>
    <w:link w:val="Header"/>
    <w:rsid w:val="00671687"/>
    <w:rPr>
      <w:rFonts w:ascii="Times New Roman" w:eastAsia="Times New Roman" w:hAnsi="Times New Roman" w:cs="Angsana New"/>
      <w:szCs w:val="24"/>
      <w:lang w:val="ru-RU"/>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imes New Roman"/>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ru-RU"/>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sz w:val="20"/>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rsid w:val="000F468D"/>
    <w:pPr>
      <w:spacing w:after="120"/>
    </w:pPr>
    <w:rPr>
      <w:snapToGrid w:val="0"/>
      <w:szCs w:val="18"/>
    </w:rPr>
  </w:style>
  <w:style w:type="paragraph" w:styleId="Footer">
    <w:name w:val="footer"/>
    <w:basedOn w:val="Normal"/>
    <w:link w:val="FooterChar"/>
    <w:unhideWhenUsed/>
    <w:rsid w:val="00FC435E"/>
    <w:pPr>
      <w:tabs>
        <w:tab w:val="center" w:pos="4680"/>
        <w:tab w:val="right" w:pos="9360"/>
      </w:tabs>
    </w:pPr>
    <w:rPr>
      <w:rFonts w:cs="Times New Roman"/>
    </w:rPr>
  </w:style>
  <w:style w:type="character" w:customStyle="1" w:styleId="FooterChar">
    <w:name w:val="Footer Char"/>
    <w:link w:val="Footer"/>
    <w:rsid w:val="00FC435E"/>
    <w:rPr>
      <w:rFonts w:ascii="Times New Roman" w:eastAsia="MS Mincho" w:hAnsi="Times New Roman" w:cs="Angsana New"/>
      <w:sz w:val="22"/>
      <w:szCs w:val="24"/>
      <w:lang w:val="ru-RU"/>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6A4DCE"/>
    <w:rPr>
      <w:rFonts w:cs="Times New Roman"/>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6A4DCE"/>
    <w:rPr>
      <w:rFonts w:ascii="Times New Roman" w:eastAsia="MS Mincho" w:hAnsi="Times New Roman" w:cs="Angsana New"/>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6A4DCE"/>
    <w:rPr>
      <w:vertAlign w:val="superscript"/>
    </w:rPr>
  </w:style>
  <w:style w:type="character" w:styleId="CommentReference">
    <w:name w:val="annotation reference"/>
    <w:semiHidden/>
    <w:unhideWhenUsed/>
    <w:rsid w:val="004E2293"/>
    <w:rPr>
      <w:sz w:val="16"/>
      <w:szCs w:val="16"/>
    </w:rPr>
  </w:style>
  <w:style w:type="paragraph" w:styleId="CommentText">
    <w:name w:val="annotation text"/>
    <w:basedOn w:val="Normal"/>
    <w:link w:val="CommentTextChar"/>
    <w:semiHidden/>
    <w:unhideWhenUsed/>
    <w:rsid w:val="004E2293"/>
    <w:rPr>
      <w:rFonts w:cs="Times New Roman"/>
      <w:sz w:val="20"/>
      <w:szCs w:val="20"/>
    </w:rPr>
  </w:style>
  <w:style w:type="character" w:customStyle="1" w:styleId="CommentTextChar">
    <w:name w:val="Comment Text Char"/>
    <w:link w:val="CommentText"/>
    <w:semiHidden/>
    <w:rsid w:val="004E2293"/>
    <w:rPr>
      <w:rFonts w:ascii="Times New Roman" w:eastAsia="MS Mincho" w:hAnsi="Times New Roman" w:cs="Angsana New"/>
      <w:lang w:val="ru-RU"/>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table" w:customStyle="1" w:styleId="ListTable6Colorful1">
    <w:name w:val="List Table 6 Colorful1"/>
    <w:basedOn w:val="Table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rsid w:val="00EC4671"/>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EC4671"/>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EC4671"/>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EC4671"/>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EC4671"/>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EC4671"/>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EC4671"/>
    <w:rPr>
      <w:rFonts w:ascii="Times New Roman" w:eastAsia="Times New Roman" w:hAnsi="Times New Roman"/>
      <w:i/>
      <w:iCs/>
      <w:sz w:val="22"/>
      <w:szCs w:val="24"/>
      <w:lang w:val="en-GB" w:eastAsia="en-US"/>
    </w:rPr>
  </w:style>
  <w:style w:type="character" w:styleId="Hyperlink">
    <w:name w:val="Hyperlink"/>
    <w:unhideWhenUsed/>
    <w:rsid w:val="00EC4671"/>
    <w:rPr>
      <w:color w:val="0000FF"/>
      <w:sz w:val="18"/>
      <w:u w:val="single"/>
    </w:rPr>
  </w:style>
  <w:style w:type="character" w:styleId="FollowedHyperlink">
    <w:name w:val="FollowedHyperlink"/>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OC1">
    <w:name w:val="toc 1"/>
    <w:basedOn w:val="Normal"/>
    <w:next w:val="Normal"/>
    <w:autoRedefine/>
    <w:semiHidden/>
    <w:unhideWhenUsed/>
    <w:rsid w:val="00EC4671"/>
    <w:pPr>
      <w:ind w:left="720" w:hanging="720"/>
    </w:pPr>
    <w:rPr>
      <w:rFonts w:eastAsia="Times New Roman" w:cs="Times New Roman"/>
      <w:caps/>
      <w:lang w:val="en-GB"/>
    </w:rPr>
  </w:style>
  <w:style w:type="paragraph" w:styleId="TOC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OC3">
    <w:name w:val="toc 3"/>
    <w:basedOn w:val="Normal"/>
    <w:next w:val="Normal"/>
    <w:autoRedefine/>
    <w:semiHidden/>
    <w:unhideWhenUsed/>
    <w:rsid w:val="00EC4671"/>
    <w:pPr>
      <w:ind w:left="2160" w:hanging="720"/>
    </w:pPr>
    <w:rPr>
      <w:rFonts w:eastAsia="Times New Roman" w:cs="Times New Roman"/>
      <w:lang w:val="en-GB"/>
    </w:rPr>
  </w:style>
  <w:style w:type="paragraph" w:styleId="TOC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OC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OC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OC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OC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OC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C4671"/>
    <w:rPr>
      <w:rFonts w:ascii="Times New Roman" w:eastAsia="Times New Roman" w:hAnsi="Times New Roman"/>
      <w:lang w:val="en-GB" w:eastAsia="en-US"/>
    </w:rPr>
  </w:style>
  <w:style w:type="paragraph" w:styleId="Caption">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EndnoteText">
    <w:name w:val="endnote text"/>
    <w:basedOn w:val="Normal"/>
    <w:link w:val="EndnoteTextChar"/>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EndnoteTextChar">
    <w:name w:val="Endnote Text Char"/>
    <w:basedOn w:val="DefaultParagraphFont"/>
    <w:link w:val="EndnoteText"/>
    <w:semiHidden/>
    <w:rsid w:val="00EC4671"/>
    <w:rPr>
      <w:rFonts w:ascii="Courier New" w:eastAsia="Times New Roman" w:hAnsi="Courier New"/>
      <w:sz w:val="22"/>
      <w:szCs w:val="24"/>
      <w:lang w:val="en-GB" w:eastAsia="en-US"/>
    </w:rPr>
  </w:style>
  <w:style w:type="paragraph" w:styleId="TOAHeading">
    <w:name w:val="toa heading"/>
    <w:basedOn w:val="Normal"/>
    <w:next w:val="Normal"/>
    <w:semiHidden/>
    <w:unhideWhenUsed/>
    <w:rsid w:val="00EC4671"/>
    <w:pPr>
      <w:spacing w:before="120"/>
    </w:pPr>
    <w:rPr>
      <w:rFonts w:eastAsia="Times New Roman" w:cs="Arial"/>
      <w:b/>
      <w:bCs/>
      <w:sz w:val="24"/>
      <w:lang w:val="en-GB"/>
    </w:rPr>
  </w:style>
  <w:style w:type="paragraph" w:styleId="Title">
    <w:name w:val="Title"/>
    <w:basedOn w:val="Normal"/>
    <w:next w:val="Normal"/>
    <w:link w:val="TitleCh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BodyText">
    <w:name w:val="Body Text"/>
    <w:basedOn w:val="Normal"/>
    <w:link w:val="BodyTextChar"/>
    <w:unhideWhenUsed/>
    <w:rsid w:val="00EC4671"/>
    <w:pPr>
      <w:spacing w:before="120" w:after="120"/>
      <w:ind w:firstLine="720"/>
    </w:pPr>
    <w:rPr>
      <w:rFonts w:eastAsia="Times New Roman" w:cs="Times New Roman"/>
      <w:iCs/>
      <w:lang w:val="en-GB"/>
    </w:rPr>
  </w:style>
  <w:style w:type="character" w:customStyle="1" w:styleId="BodyTextChar">
    <w:name w:val="Body Text Char"/>
    <w:basedOn w:val="DefaultParagraphFont"/>
    <w:link w:val="BodyText"/>
    <w:rsid w:val="00EC4671"/>
    <w:rPr>
      <w:rFonts w:ascii="Times New Roman" w:eastAsia="Times New Roman" w:hAnsi="Times New Roman"/>
      <w:iCs/>
      <w:sz w:val="22"/>
      <w:szCs w:val="24"/>
      <w:lang w:val="en-GB" w:eastAsia="en-US"/>
    </w:rPr>
  </w:style>
  <w:style w:type="paragraph" w:styleId="BodyTextIndent">
    <w:name w:val="Body Text Indent"/>
    <w:basedOn w:val="Normal"/>
    <w:link w:val="BodyTextIndentChar"/>
    <w:unhideWhenUsed/>
    <w:rsid w:val="00EC4671"/>
    <w:pPr>
      <w:spacing w:before="120" w:after="120"/>
      <w:ind w:left="1440" w:hanging="720"/>
      <w:jc w:val="left"/>
    </w:pPr>
    <w:rPr>
      <w:rFonts w:eastAsia="Times New Roman" w:cs="Times New Roman"/>
      <w:lang w:val="en-GB"/>
    </w:rPr>
  </w:style>
  <w:style w:type="character" w:customStyle="1" w:styleId="BodyTextIndentChar">
    <w:name w:val="Body Text Indent Char"/>
    <w:basedOn w:val="DefaultParagraphFont"/>
    <w:link w:val="BodyTextIndent"/>
    <w:rsid w:val="00EC4671"/>
    <w:rPr>
      <w:rFonts w:ascii="Times New Roman" w:eastAsia="Times New Roman" w:hAnsi="Times New Roman"/>
      <w:sz w:val="22"/>
      <w:szCs w:val="24"/>
      <w:lang w:val="en-GB" w:eastAsia="en-US"/>
    </w:rPr>
  </w:style>
  <w:style w:type="paragraph" w:styleId="Subtitle">
    <w:name w:val="Subtitle"/>
    <w:basedOn w:val="Normal"/>
    <w:next w:val="Normal"/>
    <w:link w:val="SubtitleCh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PlainText">
    <w:name w:val="Plain Text"/>
    <w:basedOn w:val="Normal"/>
    <w:link w:val="PlainTextChar"/>
    <w:uiPriority w:val="99"/>
    <w:semiHidden/>
    <w:unhideWhenUsed/>
    <w:rsid w:val="00EC4671"/>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EC4671"/>
    <w:rPr>
      <w:rFonts w:eastAsiaTheme="minorHAnsi" w:cs="Calibri"/>
      <w:sz w:val="22"/>
      <w:szCs w:val="24"/>
      <w:lang w:eastAsia="en-US"/>
    </w:rPr>
  </w:style>
  <w:style w:type="character" w:customStyle="1" w:styleId="NoSpacingChar">
    <w:name w:val="No Spacing Char"/>
    <w:basedOn w:val="DefaultParagraphFont"/>
    <w:link w:val="NoSpacing"/>
    <w:uiPriority w:val="1"/>
    <w:locked/>
    <w:rsid w:val="00EC4671"/>
    <w:rPr>
      <w:lang w:val="en-US"/>
    </w:rPr>
  </w:style>
  <w:style w:type="paragraph" w:styleId="NoSpacing">
    <w:name w:val="No Spacing"/>
    <w:link w:val="NoSpacingChar"/>
    <w:uiPriority w:val="1"/>
    <w:qFormat/>
    <w:rsid w:val="00EC4671"/>
    <w:rPr>
      <w:lang w:val="en-US"/>
    </w:rPr>
  </w:style>
  <w:style w:type="paragraph" w:styleId="Re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Heading2"/>
    <w:qFormat/>
    <w:rsid w:val="00EC4671"/>
    <w:rPr>
      <w:rFonts w:eastAsia="Times New Roman"/>
      <w:i w:val="0"/>
      <w:sz w:val="22"/>
      <w:lang w:val="en-GB"/>
    </w:rPr>
  </w:style>
  <w:style w:type="paragraph" w:customStyle="1" w:styleId="Item">
    <w:name w:val="Item"/>
    <w:basedOn w:val="Normal"/>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rsid w:val="00EC4671"/>
    <w:pPr>
      <w:spacing w:before="100" w:beforeAutospacing="1" w:after="100" w:afterAutospacing="1"/>
    </w:pPr>
    <w:rPr>
      <w:rFonts w:eastAsia="Times New Roman" w:cs="Times New Roman"/>
      <w:b/>
      <w:bCs/>
      <w:lang w:val="en-GB"/>
    </w:rPr>
  </w:style>
  <w:style w:type="paragraph" w:customStyle="1" w:styleId="Style1">
    <w:name w:val="Style1"/>
    <w:basedOn w:val="Heading2"/>
    <w:qFormat/>
    <w:rsid w:val="00EC4671"/>
    <w:rPr>
      <w:rFonts w:eastAsia="Times New Roman"/>
      <w:sz w:val="22"/>
      <w:lang w:val="en-GB"/>
    </w:rPr>
  </w:style>
  <w:style w:type="paragraph" w:customStyle="1" w:styleId="reference">
    <w:name w:val="reference"/>
    <w:basedOn w:val="Heading9"/>
    <w:qFormat/>
    <w:rsid w:val="00EC4671"/>
    <w:rPr>
      <w:i w:val="0"/>
      <w:sz w:val="18"/>
    </w:rPr>
  </w:style>
  <w:style w:type="paragraph" w:customStyle="1" w:styleId="CBD-Doc">
    <w:name w:val="CBD-Doc"/>
    <w:basedOn w:val="Normal"/>
    <w:rsid w:val="00EC4671"/>
    <w:pPr>
      <w:keepLines/>
      <w:numPr>
        <w:numId w:val="2"/>
      </w:numPr>
      <w:spacing w:after="120"/>
    </w:pPr>
    <w:rPr>
      <w:rFonts w:eastAsia="Times New Roman"/>
      <w:lang w:val="en-GB"/>
    </w:rPr>
  </w:style>
  <w:style w:type="paragraph" w:customStyle="1" w:styleId="CBD-Doc-Type">
    <w:name w:val="CBD-Doc-Type"/>
    <w:basedOn w:val="Normal"/>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3"/>
      </w:numPr>
      <w:spacing w:before="120" w:after="120"/>
    </w:pPr>
    <w:rPr>
      <w:rFonts w:eastAsia="Times New Roman" w:cs="Times New Roman"/>
      <w:sz w:val="20"/>
      <w:szCs w:val="20"/>
      <w:lang w:val="en-US" w:eastAsia="fr-FR"/>
    </w:rPr>
  </w:style>
  <w:style w:type="paragraph" w:customStyle="1" w:styleId="Cornernotation">
    <w:name w:val="Corner notation"/>
    <w:basedOn w:val="Normal"/>
    <w:rsid w:val="00EC4671"/>
    <w:pPr>
      <w:ind w:left="170" w:right="3119" w:hanging="170"/>
      <w:jc w:val="left"/>
    </w:pPr>
    <w:rPr>
      <w:rFonts w:eastAsia="Times New Roman" w:cs="Times New Roman"/>
      <w:lang w:val="en-GB"/>
    </w:rPr>
  </w:style>
  <w:style w:type="paragraph" w:customStyle="1" w:styleId="HEADING">
    <w:name w:val="HEADING"/>
    <w:basedOn w:val="Normal"/>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Heading1"/>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Heading1"/>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Heading1"/>
    <w:next w:val="Normal"/>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rsid w:val="00EC4671"/>
    <w:pPr>
      <w:ind w:left="2127" w:hanging="1276"/>
    </w:pPr>
  </w:style>
  <w:style w:type="paragraph" w:customStyle="1" w:styleId="heading2notforTOC">
    <w:name w:val="heading 2 not for TOC"/>
    <w:basedOn w:val="Heading3"/>
    <w:rsid w:val="00EC4671"/>
  </w:style>
  <w:style w:type="paragraph" w:customStyle="1" w:styleId="Heading3multiline">
    <w:name w:val="Heading 3 (multiline)"/>
    <w:basedOn w:val="Heading3"/>
    <w:next w:val="Normal"/>
    <w:rsid w:val="00EC4671"/>
    <w:pPr>
      <w:ind w:left="1418" w:hanging="425"/>
      <w:jc w:val="left"/>
    </w:pPr>
  </w:style>
  <w:style w:type="paragraph" w:customStyle="1" w:styleId="Heading4indent">
    <w:name w:val="Heading 4 indent"/>
    <w:basedOn w:val="Heading4"/>
    <w:rsid w:val="00EC4671"/>
    <w:pPr>
      <w:ind w:left="720"/>
      <w:outlineLvl w:val="9"/>
    </w:pPr>
    <w:rPr>
      <w:rFonts w:ascii="Times New Roman" w:hAnsi="Times New Roman"/>
    </w:rPr>
  </w:style>
  <w:style w:type="paragraph" w:customStyle="1" w:styleId="Para2">
    <w:name w:val="Para2"/>
    <w:basedOn w:val="Para1"/>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rsid w:val="00EC4671"/>
    <w:pPr>
      <w:numPr>
        <w:ilvl w:val="3"/>
        <w:numId w:val="4"/>
      </w:numPr>
      <w:tabs>
        <w:tab w:val="left" w:pos="1980"/>
      </w:tabs>
      <w:spacing w:before="80" w:after="80"/>
    </w:pPr>
    <w:rPr>
      <w:rFonts w:eastAsia="Times New Roman" w:cs="Times New Roman"/>
      <w:szCs w:val="20"/>
      <w:lang w:val="en-GB"/>
    </w:rPr>
  </w:style>
  <w:style w:type="paragraph" w:customStyle="1" w:styleId="para4">
    <w:name w:val="para4"/>
    <w:basedOn w:val="Normal"/>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Heading2"/>
    <w:qFormat/>
    <w:rsid w:val="00EC4671"/>
    <w:pPr>
      <w:jc w:val="left"/>
      <w:outlineLvl w:val="9"/>
    </w:pPr>
    <w:rPr>
      <w:rFonts w:eastAsia="Times New Roman"/>
      <w:sz w:val="22"/>
      <w:lang w:val="en-GB"/>
    </w:rPr>
  </w:style>
  <w:style w:type="character" w:styleId="PageNumber">
    <w:name w:val="page number"/>
    <w:unhideWhenUsed/>
    <w:rsid w:val="00EC4671"/>
    <w:rPr>
      <w:rFonts w:ascii="Times New Roman" w:hAnsi="Times New Roman" w:cs="Times New Roman" w:hint="default"/>
      <w:sz w:val="22"/>
    </w:rPr>
  </w:style>
  <w:style w:type="character" w:styleId="EndnoteReference">
    <w:name w:val="endnote reference"/>
    <w:semiHidden/>
    <w:unhideWhenUsed/>
    <w:rsid w:val="00EC4671"/>
    <w:rPr>
      <w:vertAlign w:val="superscript"/>
    </w:rPr>
  </w:style>
  <w:style w:type="character" w:styleId="PlaceholderText">
    <w:name w:val="Placeholder Text"/>
    <w:basedOn w:val="DefaultParagraphFont"/>
    <w:uiPriority w:val="99"/>
    <w:rsid w:val="00EC4671"/>
    <w:rPr>
      <w:color w:val="808080"/>
    </w:rPr>
  </w:style>
  <w:style w:type="character" w:customStyle="1" w:styleId="UnresolvedMention1">
    <w:name w:val="Unresolved Mention1"/>
    <w:basedOn w:val="DefaultParagraphFon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TableGrid">
    <w:name w:val="Table Grid"/>
    <w:basedOn w:val="TableNormal"/>
    <w:uiPriority w:val="3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4C4"/>
    <w:pPr>
      <w:spacing w:before="100" w:beforeAutospacing="1" w:after="100" w:afterAutospacing="1"/>
      <w:jc w:val="left"/>
    </w:pPr>
    <w:rPr>
      <w:rFonts w:eastAsia="Times New Roman" w:cs="Times New Roman"/>
      <w:sz w:val="24"/>
      <w:lang w:val="en-US" w:eastAsia="zh-CN"/>
    </w:rPr>
  </w:style>
  <w:style w:type="character" w:customStyle="1" w:styleId="normaltextrun">
    <w:name w:val="normaltextrun"/>
    <w:basedOn w:val="DefaultParagraphFont"/>
    <w:rsid w:val="00E354C4"/>
  </w:style>
  <w:style w:type="character" w:customStyle="1" w:styleId="eop">
    <w:name w:val="eop"/>
    <w:basedOn w:val="DefaultParagraphFont"/>
    <w:rsid w:val="00E354C4"/>
  </w:style>
  <w:style w:type="character" w:customStyle="1" w:styleId="UnresolvedMention2">
    <w:name w:val="Unresolved Mention2"/>
    <w:basedOn w:val="DefaultParagraphFont"/>
    <w:uiPriority w:val="99"/>
    <w:semiHidden/>
    <w:unhideWhenUsed/>
    <w:rsid w:val="00154636"/>
    <w:rPr>
      <w:color w:val="605E5C"/>
      <w:shd w:val="clear" w:color="auto" w:fill="E1DFDD"/>
    </w:rPr>
  </w:style>
  <w:style w:type="character" w:customStyle="1" w:styleId="markedcontent">
    <w:name w:val="markedcontent"/>
    <w:basedOn w:val="DefaultParagraphFont"/>
    <w:rsid w:val="00812063"/>
  </w:style>
  <w:style w:type="table" w:customStyle="1" w:styleId="ListTable6Colorful2">
    <w:name w:val="List Table 6 Colorful2"/>
    <w:basedOn w:val="TableNormal"/>
    <w:uiPriority w:val="51"/>
    <w:rsid w:val="00812063"/>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bchar">
    <w:name w:val="tabchar"/>
    <w:basedOn w:val="DefaultParagraphFont"/>
    <w:rsid w:val="00812063"/>
  </w:style>
  <w:style w:type="character" w:customStyle="1" w:styleId="scxw217952631">
    <w:name w:val="scxw217952631"/>
    <w:basedOn w:val="DefaultParagraphFont"/>
    <w:rsid w:val="00812063"/>
  </w:style>
  <w:style w:type="character" w:customStyle="1" w:styleId="ng-binding">
    <w:name w:val="ng-binding"/>
    <w:basedOn w:val="DefaultParagraphFont"/>
    <w:rsid w:val="0060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890730243">
      <w:bodyDiv w:val="1"/>
      <w:marLeft w:val="0"/>
      <w:marRight w:val="0"/>
      <w:marTop w:val="0"/>
      <w:marBottom w:val="0"/>
      <w:divBdr>
        <w:top w:val="none" w:sz="0" w:space="0" w:color="auto"/>
        <w:left w:val="none" w:sz="0" w:space="0" w:color="auto"/>
        <w:bottom w:val="none" w:sz="0" w:space="0" w:color="auto"/>
        <w:right w:val="none" w:sz="0" w:space="0" w:color="auto"/>
      </w:divBdr>
    </w:div>
    <w:div w:id="1169253867">
      <w:bodyDiv w:val="1"/>
      <w:marLeft w:val="0"/>
      <w:marRight w:val="0"/>
      <w:marTop w:val="0"/>
      <w:marBottom w:val="0"/>
      <w:divBdr>
        <w:top w:val="none" w:sz="0" w:space="0" w:color="auto"/>
        <w:left w:val="none" w:sz="0" w:space="0" w:color="auto"/>
        <w:bottom w:val="none" w:sz="0" w:space="0" w:color="auto"/>
        <w:right w:val="none" w:sz="0" w:space="0" w:color="auto"/>
      </w:divBdr>
    </w:div>
    <w:div w:id="1189221677">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318726204">
      <w:bodyDiv w:val="1"/>
      <w:marLeft w:val="0"/>
      <w:marRight w:val="0"/>
      <w:marTop w:val="0"/>
      <w:marBottom w:val="0"/>
      <w:divBdr>
        <w:top w:val="none" w:sz="0" w:space="0" w:color="auto"/>
        <w:left w:val="none" w:sz="0" w:space="0" w:color="auto"/>
        <w:bottom w:val="none" w:sz="0" w:space="0" w:color="auto"/>
        <w:right w:val="none" w:sz="0" w:space="0" w:color="auto"/>
      </w:divBdr>
    </w:div>
    <w:div w:id="1340428946">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33-r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C042C9D9474E81BB8539667FFBF0D0"/>
        <w:category>
          <w:name w:val="Général"/>
          <w:gallery w:val="placeholder"/>
        </w:category>
        <w:types>
          <w:type w:val="bbPlcHdr"/>
        </w:types>
        <w:behaviors>
          <w:behavior w:val="content"/>
        </w:behaviors>
        <w:guid w:val="{E34F9358-766F-40CD-B445-F0575E47DF05}"/>
      </w:docPartPr>
      <w:docPartBody>
        <w:p w:rsidR="007D1FE3" w:rsidRDefault="00D13EA6" w:rsidP="00D13EA6">
          <w:pPr>
            <w:pStyle w:val="A7C042C9D9474E81BB8539667FFBF0D0"/>
          </w:pPr>
          <w:r>
            <w:rPr>
              <w:rStyle w:val="PlaceholderText"/>
            </w:rPr>
            <w:t>[Subject]</w:t>
          </w:r>
        </w:p>
      </w:docPartBody>
    </w:docPart>
    <w:docPart>
      <w:docPartPr>
        <w:name w:val="9AD50B25DB054577A36700BD5857BC21"/>
        <w:category>
          <w:name w:val="Général"/>
          <w:gallery w:val="placeholder"/>
        </w:category>
        <w:types>
          <w:type w:val="bbPlcHdr"/>
        </w:types>
        <w:behaviors>
          <w:behavior w:val="content"/>
        </w:behaviors>
        <w:guid w:val="{714DD89E-4701-4202-A9DB-06E47369902D}"/>
      </w:docPartPr>
      <w:docPartBody>
        <w:p w:rsidR="007D1FE3" w:rsidRDefault="00D13EA6" w:rsidP="00D13EA6">
          <w:pPr>
            <w:pStyle w:val="9AD50B25DB054577A36700BD5857BC21"/>
          </w:pPr>
          <w:r>
            <w:rPr>
              <w:rStyle w:val="PlaceholderText"/>
            </w:rPr>
            <w:t>[Subject]</w:t>
          </w:r>
        </w:p>
      </w:docPartBody>
    </w:docPart>
    <w:docPart>
      <w:docPartPr>
        <w:name w:val="229789E22D914E3DB73F2F672C6207EC"/>
        <w:category>
          <w:name w:val="Général"/>
          <w:gallery w:val="placeholder"/>
        </w:category>
        <w:types>
          <w:type w:val="bbPlcHdr"/>
        </w:types>
        <w:behaviors>
          <w:behavior w:val="content"/>
        </w:behaviors>
        <w:guid w:val="{6EA83AD1-9B68-4812-B73D-68615756474A}"/>
      </w:docPartPr>
      <w:docPartBody>
        <w:p w:rsidR="007D1FE3" w:rsidRDefault="00D13EA6" w:rsidP="00D13EA6">
          <w:pPr>
            <w:pStyle w:val="229789E22D914E3DB73F2F672C6207EC"/>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8EB"/>
    <w:rsid w:val="00047F06"/>
    <w:rsid w:val="000D5990"/>
    <w:rsid w:val="000E1E21"/>
    <w:rsid w:val="000F4A34"/>
    <w:rsid w:val="002708FD"/>
    <w:rsid w:val="005240D4"/>
    <w:rsid w:val="00571F0A"/>
    <w:rsid w:val="006507DF"/>
    <w:rsid w:val="00706585"/>
    <w:rsid w:val="0072036C"/>
    <w:rsid w:val="007A18EB"/>
    <w:rsid w:val="007D1FE3"/>
    <w:rsid w:val="00A87FF3"/>
    <w:rsid w:val="00D13EA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3EA6"/>
  </w:style>
  <w:style w:type="paragraph" w:customStyle="1" w:styleId="A7C042C9D9474E81BB8539667FFBF0D0">
    <w:name w:val="A7C042C9D9474E81BB8539667FFBF0D0"/>
    <w:rsid w:val="00D13EA6"/>
    <w:pPr>
      <w:spacing w:after="160" w:line="259" w:lineRule="auto"/>
    </w:pPr>
    <w:rPr>
      <w:sz w:val="22"/>
      <w:szCs w:val="22"/>
      <w:lang w:val="fr-FR" w:eastAsia="fr-FR"/>
    </w:rPr>
  </w:style>
  <w:style w:type="paragraph" w:customStyle="1" w:styleId="9AD50B25DB054577A36700BD5857BC21">
    <w:name w:val="9AD50B25DB054577A36700BD5857BC21"/>
    <w:rsid w:val="00D13EA6"/>
    <w:pPr>
      <w:spacing w:after="160" w:line="259" w:lineRule="auto"/>
    </w:pPr>
    <w:rPr>
      <w:sz w:val="22"/>
      <w:szCs w:val="22"/>
      <w:lang w:val="fr-FR" w:eastAsia="fr-FR"/>
    </w:rPr>
  </w:style>
  <w:style w:type="paragraph" w:customStyle="1" w:styleId="229789E22D914E3DB73F2F672C6207EC">
    <w:name w:val="229789E22D914E3DB73F2F672C6207EC"/>
    <w:rsid w:val="00D13EA6"/>
    <w:pPr>
      <w:spacing w:after="160" w:line="259" w:lineRule="auto"/>
    </w:pPr>
    <w:rPr>
      <w:sz w:val="22"/>
      <w:szCs w:val="22"/>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9D03-03B7-4C47-B1E7-B00E2DB0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2151</Words>
  <Characters>12263</Characters>
  <Application>Microsoft Office Word</Application>
  <DocSecurity>0</DocSecurity>
  <Lines>102</Lines>
  <Paragraphs>28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ПРЕДВАРИТЕЛЬНАЯ ПОВЕСТКА ДНЯ</vt:lpstr>
      <vt:lpstr>Provisional agenda</vt:lpstr>
    </vt:vector>
  </TitlesOfParts>
  <Company>SCBD</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CBD/CP/MOP/10/Part1/L.1</dc:subject>
  <dc:creator>SCBD</dc:creator>
  <cp:keywords>Subsidiary Body on Implementation, third meeting, Montreal, Canada, 25-30 May 2020, Convention on Biological Diversity</cp:keywords>
  <cp:lastModifiedBy>Angela Xuehe Yan</cp:lastModifiedBy>
  <cp:revision>27</cp:revision>
  <cp:lastPrinted>2019-03-05T19:56:00Z</cp:lastPrinted>
  <dcterms:created xsi:type="dcterms:W3CDTF">2021-10-13T21:48:00Z</dcterms:created>
  <dcterms:modified xsi:type="dcterms:W3CDTF">2021-10-13T22:21:00Z</dcterms:modified>
</cp:coreProperties>
</file>