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68290F" w14:paraId="29AB58A1" w14:textId="77777777" w:rsidTr="000204C0">
        <w:trPr>
          <w:trHeight w:val="709"/>
        </w:trPr>
        <w:tc>
          <w:tcPr>
            <w:tcW w:w="976" w:type="dxa"/>
            <w:tcBorders>
              <w:bottom w:val="single" w:sz="12" w:space="0" w:color="auto"/>
            </w:tcBorders>
          </w:tcPr>
          <w:p w14:paraId="00D9CC62" w14:textId="77777777" w:rsidR="00207A6E" w:rsidRPr="0068290F" w:rsidRDefault="00207A6E" w:rsidP="0068290F">
            <w:pPr>
              <w:suppressLineNumbers/>
              <w:suppressAutoHyphens/>
              <w:kinsoku w:val="0"/>
              <w:overflowPunct w:val="0"/>
              <w:autoSpaceDE w:val="0"/>
              <w:autoSpaceDN w:val="0"/>
              <w:rPr>
                <w:snapToGrid w:val="0"/>
                <w:kern w:val="22"/>
              </w:rPr>
            </w:pPr>
            <w:r w:rsidRPr="0068290F">
              <w:rPr>
                <w:noProof/>
                <w:snapToGrid w:val="0"/>
                <w:kern w:val="22"/>
                <w:lang w:eastAsia="zh-CN"/>
              </w:rPr>
              <w:drawing>
                <wp:inline distT="0" distB="0" distL="0" distR="0" wp14:anchorId="258E227D" wp14:editId="58CDDDF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3E826D8B" w14:textId="77777777" w:rsidR="00207A6E" w:rsidRPr="0068290F" w:rsidRDefault="00207A6E" w:rsidP="0068290F">
            <w:pPr>
              <w:suppressLineNumbers/>
              <w:suppressAutoHyphens/>
              <w:kinsoku w:val="0"/>
              <w:overflowPunct w:val="0"/>
              <w:autoSpaceDE w:val="0"/>
              <w:autoSpaceDN w:val="0"/>
              <w:rPr>
                <w:snapToGrid w:val="0"/>
                <w:kern w:val="22"/>
              </w:rPr>
            </w:pPr>
            <w:r w:rsidRPr="0068290F">
              <w:rPr>
                <w:noProof/>
                <w:snapToGrid w:val="0"/>
                <w:kern w:val="22"/>
                <w:lang w:eastAsia="zh-CN"/>
              </w:rPr>
              <w:drawing>
                <wp:inline distT="0" distB="0" distL="0" distR="0" wp14:anchorId="6CC839CB" wp14:editId="585E1961">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CB15234" w14:textId="77777777" w:rsidR="00207A6E" w:rsidRPr="0068290F" w:rsidRDefault="00207A6E" w:rsidP="0068290F">
            <w:pPr>
              <w:suppressLineNumbers/>
              <w:suppressAutoHyphens/>
              <w:kinsoku w:val="0"/>
              <w:overflowPunct w:val="0"/>
              <w:autoSpaceDE w:val="0"/>
              <w:autoSpaceDN w:val="0"/>
              <w:jc w:val="right"/>
              <w:rPr>
                <w:rFonts w:ascii="Arial" w:hAnsi="Arial" w:cs="Arial"/>
                <w:b/>
                <w:snapToGrid w:val="0"/>
                <w:kern w:val="22"/>
                <w:sz w:val="32"/>
                <w:szCs w:val="32"/>
              </w:rPr>
            </w:pPr>
            <w:r w:rsidRPr="0068290F">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68290F" w14:paraId="6261FBDC" w14:textId="77777777" w:rsidTr="009554D5">
        <w:trPr>
          <w:trHeight w:val="1693"/>
        </w:trPr>
        <w:tc>
          <w:tcPr>
            <w:tcW w:w="6227" w:type="dxa"/>
            <w:tcBorders>
              <w:top w:val="nil"/>
              <w:bottom w:val="single" w:sz="36" w:space="0" w:color="000000"/>
            </w:tcBorders>
          </w:tcPr>
          <w:p w14:paraId="2D73D3C2" w14:textId="77777777" w:rsidR="00F16F02" w:rsidRPr="00DF72B6" w:rsidRDefault="00F16F02" w:rsidP="0068290F">
            <w:pPr>
              <w:suppressLineNumbers/>
              <w:suppressAutoHyphens/>
              <w:kinsoku w:val="0"/>
              <w:overflowPunct w:val="0"/>
              <w:autoSpaceDE w:val="0"/>
              <w:autoSpaceDN w:val="0"/>
              <w:rPr>
                <w:snapToGrid w:val="0"/>
                <w:kern w:val="22"/>
              </w:rPr>
            </w:pPr>
          </w:p>
          <w:p w14:paraId="4F8F86F4" w14:textId="77777777" w:rsidR="00F16F02" w:rsidRPr="00DF72B6" w:rsidRDefault="00F16F02" w:rsidP="0068290F">
            <w:pPr>
              <w:suppressLineNumbers/>
              <w:suppressAutoHyphens/>
              <w:kinsoku w:val="0"/>
              <w:overflowPunct w:val="0"/>
              <w:autoSpaceDE w:val="0"/>
              <w:autoSpaceDN w:val="0"/>
              <w:rPr>
                <w:snapToGrid w:val="0"/>
                <w:kern w:val="22"/>
              </w:rPr>
            </w:pPr>
            <w:r w:rsidRPr="0068290F">
              <w:rPr>
                <w:noProof/>
                <w:snapToGrid w:val="0"/>
                <w:kern w:val="22"/>
                <w:lang w:eastAsia="zh-CN"/>
              </w:rPr>
              <w:drawing>
                <wp:inline distT="0" distB="0" distL="0" distR="0" wp14:anchorId="2D00892A" wp14:editId="089ACB74">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14:paraId="50391170" w14:textId="77777777" w:rsidR="00F16F02" w:rsidRPr="00DF72B6" w:rsidRDefault="00F16F02" w:rsidP="0068290F">
            <w:pPr>
              <w:suppressLineNumbers/>
              <w:suppressAutoHyphens/>
              <w:kinsoku w:val="0"/>
              <w:overflowPunct w:val="0"/>
              <w:autoSpaceDE w:val="0"/>
              <w:autoSpaceDN w:val="0"/>
              <w:rPr>
                <w:rFonts w:ascii="Univers" w:hAnsi="Univers"/>
                <w:snapToGrid w:val="0"/>
                <w:kern w:val="22"/>
                <w:sz w:val="32"/>
              </w:rPr>
            </w:pPr>
          </w:p>
        </w:tc>
        <w:tc>
          <w:tcPr>
            <w:tcW w:w="1144" w:type="dxa"/>
            <w:tcBorders>
              <w:top w:val="nil"/>
              <w:bottom w:val="single" w:sz="36" w:space="0" w:color="000000"/>
            </w:tcBorders>
          </w:tcPr>
          <w:p w14:paraId="385EC483" w14:textId="77777777" w:rsidR="00F16F02" w:rsidRPr="00E037F8" w:rsidRDefault="00F16F02" w:rsidP="0068290F">
            <w:pPr>
              <w:pStyle w:val="Header"/>
              <w:suppressLineNumbers/>
              <w:tabs>
                <w:tab w:val="clear" w:pos="4320"/>
                <w:tab w:val="clear" w:pos="8640"/>
              </w:tabs>
              <w:suppressAutoHyphens/>
              <w:kinsoku w:val="0"/>
              <w:overflowPunct w:val="0"/>
              <w:autoSpaceDE w:val="0"/>
              <w:autoSpaceDN w:val="0"/>
              <w:rPr>
                <w:b/>
                <w:snapToGrid w:val="0"/>
                <w:kern w:val="22"/>
                <w:sz w:val="32"/>
                <w:szCs w:val="32"/>
              </w:rPr>
            </w:pPr>
          </w:p>
        </w:tc>
        <w:tc>
          <w:tcPr>
            <w:tcW w:w="2977" w:type="dxa"/>
            <w:tcBorders>
              <w:top w:val="nil"/>
              <w:bottom w:val="single" w:sz="36" w:space="0" w:color="000000"/>
            </w:tcBorders>
          </w:tcPr>
          <w:p w14:paraId="26A5B2BA" w14:textId="77777777" w:rsidR="00F16F02" w:rsidRPr="003D5F04" w:rsidRDefault="00F16F02" w:rsidP="0068290F">
            <w:pPr>
              <w:suppressLineNumbers/>
              <w:suppressAutoHyphens/>
              <w:kinsoku w:val="0"/>
              <w:overflowPunct w:val="0"/>
              <w:autoSpaceDE w:val="0"/>
              <w:autoSpaceDN w:val="0"/>
              <w:ind w:left="63"/>
              <w:rPr>
                <w:snapToGrid w:val="0"/>
                <w:kern w:val="22"/>
                <w:szCs w:val="22"/>
              </w:rPr>
            </w:pPr>
            <w:r w:rsidRPr="003D5F04">
              <w:rPr>
                <w:snapToGrid w:val="0"/>
                <w:kern w:val="22"/>
                <w:szCs w:val="22"/>
              </w:rPr>
              <w:t>Distr.</w:t>
            </w:r>
          </w:p>
          <w:p w14:paraId="3DC65AF1" w14:textId="77777777" w:rsidR="00F16F02" w:rsidRPr="005A4874" w:rsidRDefault="00F16F02" w:rsidP="0068290F">
            <w:pPr>
              <w:suppressLineNumbers/>
              <w:suppressAutoHyphens/>
              <w:kinsoku w:val="0"/>
              <w:overflowPunct w:val="0"/>
              <w:autoSpaceDE w:val="0"/>
              <w:autoSpaceDN w:val="0"/>
              <w:ind w:left="63"/>
              <w:rPr>
                <w:snapToGrid w:val="0"/>
                <w:kern w:val="22"/>
                <w:szCs w:val="22"/>
              </w:rPr>
            </w:pPr>
            <w:r w:rsidRPr="00015F6F">
              <w:rPr>
                <w:snapToGrid w:val="0"/>
                <w:kern w:val="22"/>
                <w:szCs w:val="22"/>
              </w:rPr>
              <w:t>GENERAL</w:t>
            </w:r>
          </w:p>
          <w:p w14:paraId="7D9BB36D" w14:textId="77777777" w:rsidR="00F16F02" w:rsidRPr="005A4874" w:rsidRDefault="00F16F02" w:rsidP="0068290F">
            <w:pPr>
              <w:suppressLineNumbers/>
              <w:suppressAutoHyphens/>
              <w:kinsoku w:val="0"/>
              <w:overflowPunct w:val="0"/>
              <w:autoSpaceDE w:val="0"/>
              <w:autoSpaceDN w:val="0"/>
              <w:ind w:left="63"/>
              <w:rPr>
                <w:snapToGrid w:val="0"/>
                <w:kern w:val="22"/>
                <w:szCs w:val="22"/>
              </w:rPr>
            </w:pPr>
          </w:p>
          <w:p w14:paraId="593F61AB" w14:textId="77777777" w:rsidR="00F16F02" w:rsidRPr="003D5F04" w:rsidRDefault="00E47189" w:rsidP="0068290F">
            <w:pPr>
              <w:suppressLineNumbers/>
              <w:suppressAutoHyphens/>
              <w:kinsoku w:val="0"/>
              <w:overflowPunct w:val="0"/>
              <w:autoSpaceDE w:val="0"/>
              <w:autoSpaceDN w:val="0"/>
              <w:ind w:left="63"/>
              <w:rPr>
                <w:snapToGrid w:val="0"/>
                <w:kern w:val="22"/>
                <w:szCs w:val="22"/>
              </w:rPr>
            </w:pPr>
            <w:sdt>
              <w:sdtPr>
                <w:rPr>
                  <w:snapToGrid w:val="0"/>
                  <w:kern w:val="22"/>
                  <w:szCs w:val="22"/>
                </w:rPr>
                <w:alias w:val="Subject"/>
                <w:tag w:val=""/>
                <w:id w:val="-344942035"/>
                <w:placeholder>
                  <w:docPart w:val="205AA3135F934211871EEA5DF7C407EA"/>
                </w:placeholder>
                <w:dataBinding w:prefixMappings="xmlns:ns0='http://purl.org/dc/elements/1.1/' xmlns:ns1='http://schemas.openxmlformats.org/package/2006/metadata/core-properties' " w:xpath="/ns1:coreProperties[1]/ns0:subject[1]" w:storeItemID="{6C3C8BC8-F283-45AE-878A-BAB7291924A1}"/>
                <w:text/>
              </w:sdtPr>
              <w:sdtEndPr/>
              <w:sdtContent>
                <w:r w:rsidR="00E10A2E" w:rsidRPr="0068290F">
                  <w:rPr>
                    <w:snapToGrid w:val="0"/>
                    <w:kern w:val="22"/>
                    <w:szCs w:val="22"/>
                  </w:rPr>
                  <w:t>CBD/SBSTTA/22/3</w:t>
                </w:r>
              </w:sdtContent>
            </w:sdt>
          </w:p>
          <w:p w14:paraId="6F92CDBC" w14:textId="7866B72F" w:rsidR="00F16F02" w:rsidRPr="005A4874" w:rsidRDefault="00072A44" w:rsidP="0068290F">
            <w:pPr>
              <w:suppressLineNumbers/>
              <w:suppressAutoHyphens/>
              <w:kinsoku w:val="0"/>
              <w:overflowPunct w:val="0"/>
              <w:autoSpaceDE w:val="0"/>
              <w:autoSpaceDN w:val="0"/>
              <w:ind w:left="63"/>
              <w:rPr>
                <w:snapToGrid w:val="0"/>
                <w:kern w:val="22"/>
                <w:szCs w:val="22"/>
              </w:rPr>
            </w:pPr>
            <w:r w:rsidRPr="00015F6F">
              <w:rPr>
                <w:snapToGrid w:val="0"/>
                <w:kern w:val="22"/>
                <w:szCs w:val="22"/>
              </w:rPr>
              <w:t>2</w:t>
            </w:r>
            <w:r w:rsidR="00E10A2E" w:rsidRPr="005A4874">
              <w:rPr>
                <w:snapToGrid w:val="0"/>
                <w:kern w:val="22"/>
                <w:szCs w:val="22"/>
              </w:rPr>
              <w:t>9</w:t>
            </w:r>
            <w:r w:rsidR="000204C0" w:rsidRPr="005A4874">
              <w:rPr>
                <w:snapToGrid w:val="0"/>
                <w:kern w:val="22"/>
                <w:szCs w:val="22"/>
              </w:rPr>
              <w:t xml:space="preserve"> March</w:t>
            </w:r>
            <w:r w:rsidR="00D15589" w:rsidRPr="005A4874">
              <w:rPr>
                <w:snapToGrid w:val="0"/>
                <w:kern w:val="22"/>
                <w:szCs w:val="22"/>
              </w:rPr>
              <w:t xml:space="preserve"> 2018</w:t>
            </w:r>
            <w:r w:rsidR="00B24CDB" w:rsidRPr="00E47189">
              <w:rPr>
                <w:rStyle w:val="FootnoteReference"/>
                <w:snapToGrid w:val="0"/>
                <w:kern w:val="22"/>
                <w:szCs w:val="22"/>
                <w:u w:val="none"/>
              </w:rPr>
              <w:footnoteReference w:customMarkFollows="1" w:id="1"/>
              <w:t>*</w:t>
            </w:r>
          </w:p>
          <w:p w14:paraId="6DEBA5B9" w14:textId="77777777" w:rsidR="00F16F02" w:rsidRPr="005A4874" w:rsidRDefault="00F16F02" w:rsidP="0068290F">
            <w:pPr>
              <w:suppressLineNumbers/>
              <w:suppressAutoHyphens/>
              <w:kinsoku w:val="0"/>
              <w:overflowPunct w:val="0"/>
              <w:autoSpaceDE w:val="0"/>
              <w:autoSpaceDN w:val="0"/>
              <w:ind w:left="63"/>
              <w:rPr>
                <w:snapToGrid w:val="0"/>
                <w:kern w:val="22"/>
                <w:szCs w:val="22"/>
              </w:rPr>
            </w:pPr>
          </w:p>
          <w:p w14:paraId="044190F0" w14:textId="77777777" w:rsidR="00F16F02" w:rsidRPr="0068290F" w:rsidRDefault="00F16F02" w:rsidP="0068290F">
            <w:pPr>
              <w:suppressLineNumbers/>
              <w:suppressAutoHyphens/>
              <w:kinsoku w:val="0"/>
              <w:overflowPunct w:val="0"/>
              <w:autoSpaceDE w:val="0"/>
              <w:autoSpaceDN w:val="0"/>
              <w:ind w:left="63"/>
              <w:rPr>
                <w:snapToGrid w:val="0"/>
                <w:kern w:val="22"/>
                <w:szCs w:val="22"/>
                <w:u w:val="single"/>
              </w:rPr>
            </w:pPr>
            <w:r w:rsidRPr="003C3D6C">
              <w:rPr>
                <w:snapToGrid w:val="0"/>
                <w:kern w:val="22"/>
                <w:szCs w:val="22"/>
              </w:rPr>
              <w:t>ORIGINAL:  ENGLISH</w:t>
            </w:r>
          </w:p>
        </w:tc>
      </w:tr>
    </w:tbl>
    <w:bookmarkStart w:id="0" w:name="Meeting"/>
    <w:p w14:paraId="64081B5C" w14:textId="77777777" w:rsidR="00CA6B87" w:rsidRPr="00015F6F" w:rsidRDefault="00E47189" w:rsidP="0068290F">
      <w:pPr>
        <w:pStyle w:val="meetingname"/>
        <w:suppressLineNumbers/>
        <w:suppressAutoHyphens/>
        <w:kinsoku w:val="0"/>
        <w:overflowPunct w:val="0"/>
        <w:autoSpaceDE w:val="0"/>
        <w:autoSpaceDN w:val="0"/>
        <w:ind w:right="4590"/>
        <w:rPr>
          <w:kern w:val="22"/>
          <w:szCs w:val="22"/>
        </w:rPr>
      </w:pPr>
      <w:sdt>
        <w:sdtPr>
          <w:rPr>
            <w:kern w:val="22"/>
            <w:szCs w:val="22"/>
          </w:rPr>
          <w:alias w:val="Meeting"/>
          <w:tag w:val="Meeting"/>
          <w:id w:val="1412045910"/>
          <w:placeholder>
            <w:docPart w:val="DefaultPlaceholder_1082065158"/>
          </w:placeholder>
          <w:text/>
        </w:sdtPr>
        <w:sdtEndPr/>
        <w:sdtContent>
          <w:r w:rsidR="00D51069" w:rsidRPr="0068290F">
            <w:rPr>
              <w:kern w:val="22"/>
              <w:szCs w:val="22"/>
            </w:rPr>
            <w:t>SUBSIDIARY BODY ON SCIENTIFIC, TECHNICAL AND TECHNOLOGICAL ADVICE</w:t>
          </w:r>
        </w:sdtContent>
      </w:sdt>
      <w:bookmarkEnd w:id="0"/>
    </w:p>
    <w:p w14:paraId="260E7C9A" w14:textId="77777777" w:rsidR="00D51069" w:rsidRPr="003C3D6C" w:rsidRDefault="00D51069" w:rsidP="0068290F">
      <w:pPr>
        <w:suppressLineNumbers/>
        <w:suppressAutoHyphens/>
        <w:kinsoku w:val="0"/>
        <w:overflowPunct w:val="0"/>
        <w:autoSpaceDE w:val="0"/>
        <w:autoSpaceDN w:val="0"/>
        <w:rPr>
          <w:snapToGrid w:val="0"/>
          <w:kern w:val="22"/>
          <w:szCs w:val="22"/>
          <w:lang w:eastAsia="nb-NO"/>
        </w:rPr>
      </w:pPr>
      <w:r w:rsidRPr="005A4874">
        <w:rPr>
          <w:snapToGrid w:val="0"/>
          <w:kern w:val="22"/>
          <w:szCs w:val="22"/>
          <w:lang w:eastAsia="nb-NO"/>
        </w:rPr>
        <w:t>Twenty-</w:t>
      </w:r>
      <w:r w:rsidR="00FB3B70" w:rsidRPr="005A4874">
        <w:rPr>
          <w:snapToGrid w:val="0"/>
          <w:kern w:val="22"/>
          <w:szCs w:val="22"/>
          <w:lang w:eastAsia="nb-NO"/>
        </w:rPr>
        <w:t>second</w:t>
      </w:r>
      <w:r w:rsidRPr="003C3D6C">
        <w:rPr>
          <w:snapToGrid w:val="0"/>
          <w:kern w:val="22"/>
          <w:szCs w:val="22"/>
          <w:lang w:eastAsia="nb-NO"/>
        </w:rPr>
        <w:t xml:space="preserve"> meeting</w:t>
      </w:r>
    </w:p>
    <w:p w14:paraId="14CEF42B" w14:textId="77777777" w:rsidR="00CA6B87" w:rsidRPr="00677B79" w:rsidRDefault="00D51069" w:rsidP="0068290F">
      <w:pPr>
        <w:suppressLineNumbers/>
        <w:suppressAutoHyphens/>
        <w:kinsoku w:val="0"/>
        <w:overflowPunct w:val="0"/>
        <w:autoSpaceDE w:val="0"/>
        <w:autoSpaceDN w:val="0"/>
        <w:rPr>
          <w:snapToGrid w:val="0"/>
          <w:kern w:val="22"/>
          <w:szCs w:val="22"/>
          <w:lang w:eastAsia="nb-NO"/>
        </w:rPr>
      </w:pPr>
      <w:r w:rsidRPr="006B1437">
        <w:rPr>
          <w:snapToGrid w:val="0"/>
          <w:kern w:val="22"/>
          <w:szCs w:val="22"/>
          <w:lang w:eastAsia="nb-NO"/>
        </w:rPr>
        <w:t>Montreal</w:t>
      </w:r>
      <w:r w:rsidR="00CA6B87" w:rsidRPr="00ED2229">
        <w:rPr>
          <w:snapToGrid w:val="0"/>
          <w:kern w:val="22"/>
          <w:szCs w:val="22"/>
          <w:lang w:eastAsia="nb-NO"/>
        </w:rPr>
        <w:t xml:space="preserve">, </w:t>
      </w:r>
      <w:r w:rsidRPr="00846BFB">
        <w:rPr>
          <w:snapToGrid w:val="0"/>
          <w:kern w:val="22"/>
          <w:szCs w:val="22"/>
          <w:lang w:eastAsia="nb-NO"/>
        </w:rPr>
        <w:t xml:space="preserve">Canada, </w:t>
      </w:r>
      <w:r w:rsidR="00D15589" w:rsidRPr="00677B79">
        <w:rPr>
          <w:snapToGrid w:val="0"/>
          <w:kern w:val="22"/>
          <w:szCs w:val="22"/>
          <w:lang w:eastAsia="nb-NO"/>
        </w:rPr>
        <w:t>2-7 July 2018</w:t>
      </w:r>
    </w:p>
    <w:p w14:paraId="6279CF64" w14:textId="0E254452" w:rsidR="00CA6B87" w:rsidRPr="00B7158E" w:rsidRDefault="00D51069" w:rsidP="0068290F">
      <w:pPr>
        <w:suppressLineNumbers/>
        <w:suppressAutoHyphens/>
        <w:kinsoku w:val="0"/>
        <w:overflowPunct w:val="0"/>
        <w:autoSpaceDE w:val="0"/>
        <w:autoSpaceDN w:val="0"/>
        <w:rPr>
          <w:snapToGrid w:val="0"/>
          <w:kern w:val="22"/>
          <w:szCs w:val="22"/>
          <w:lang w:eastAsia="nb-NO"/>
        </w:rPr>
      </w:pPr>
      <w:r w:rsidRPr="0068290F">
        <w:rPr>
          <w:snapToGrid w:val="0"/>
          <w:kern w:val="22"/>
          <w:szCs w:val="22"/>
          <w:lang w:eastAsia="nb-NO"/>
        </w:rPr>
        <w:t>I</w:t>
      </w:r>
      <w:r w:rsidR="00CA6B87" w:rsidRPr="0068290F">
        <w:rPr>
          <w:snapToGrid w:val="0"/>
          <w:kern w:val="22"/>
          <w:szCs w:val="22"/>
          <w:lang w:eastAsia="nb-NO"/>
        </w:rPr>
        <w:t xml:space="preserve">tem </w:t>
      </w:r>
      <w:r w:rsidR="000204C0" w:rsidRPr="0068290F">
        <w:rPr>
          <w:snapToGrid w:val="0"/>
          <w:kern w:val="22"/>
          <w:szCs w:val="22"/>
          <w:lang w:eastAsia="nb-NO"/>
        </w:rPr>
        <w:t xml:space="preserve">4 </w:t>
      </w:r>
      <w:r w:rsidRPr="0068290F">
        <w:rPr>
          <w:snapToGrid w:val="0"/>
          <w:kern w:val="22"/>
          <w:szCs w:val="22"/>
          <w:lang w:eastAsia="nb-NO"/>
        </w:rPr>
        <w:t>of the provisional agenda</w:t>
      </w:r>
      <w:r w:rsidR="00D80208">
        <w:rPr>
          <w:snapToGrid w:val="0"/>
          <w:kern w:val="22"/>
          <w:szCs w:val="22"/>
          <w:lang w:eastAsia="nb-NO"/>
        </w:rPr>
        <w:t>*</w:t>
      </w:r>
      <w:r w:rsidRPr="0068290F">
        <w:rPr>
          <w:rStyle w:val="FootnoteReference"/>
          <w:snapToGrid w:val="0"/>
          <w:kern w:val="22"/>
          <w:sz w:val="22"/>
          <w:szCs w:val="22"/>
          <w:u w:val="none"/>
          <w:lang w:eastAsia="nb-NO"/>
        </w:rPr>
        <w:footnoteReference w:customMarkFollows="1" w:id="2"/>
        <w:t>*</w:t>
      </w:r>
    </w:p>
    <w:p w14:paraId="76160AE3" w14:textId="77777777" w:rsidR="00406BC6" w:rsidRPr="0068290F" w:rsidRDefault="00E47189" w:rsidP="0068290F">
      <w:pPr>
        <w:pStyle w:val="Heading1"/>
        <w:keepNext w:val="0"/>
        <w:suppressLineNumbers/>
        <w:tabs>
          <w:tab w:val="clear" w:pos="720"/>
        </w:tabs>
        <w:suppressAutoHyphens/>
        <w:kinsoku w:val="0"/>
        <w:overflowPunct w:val="0"/>
        <w:autoSpaceDE w:val="0"/>
        <w:autoSpaceDN w:val="0"/>
        <w:rPr>
          <w:bCs/>
          <w:snapToGrid w:val="0"/>
          <w:kern w:val="22"/>
          <w:szCs w:val="22"/>
        </w:rPr>
      </w:pPr>
      <w:sdt>
        <w:sdtPr>
          <w:rPr>
            <w:bCs/>
            <w:snapToGrid w:val="0"/>
            <w:kern w:val="22"/>
            <w:szCs w:val="22"/>
          </w:rPr>
          <w:alias w:val="Title"/>
          <w:tag w:val=""/>
          <w:id w:val="1426923883"/>
          <w:placeholder>
            <w:docPart w:val="D9CF4C37DFA949DB8105977C8D14D79A"/>
          </w:placeholder>
          <w:dataBinding w:prefixMappings="xmlns:ns0='http://purl.org/dc/elements/1.1/' xmlns:ns1='http://schemas.openxmlformats.org/package/2006/metadata/core-properties' " w:xpath="/ns1:coreProperties[1]/ns0:title[1]" w:storeItemID="{6C3C8BC8-F283-45AE-878A-BAB7291924A1}"/>
          <w:text/>
        </w:sdtPr>
        <w:sdtEndPr/>
        <w:sdtContent>
          <w:r w:rsidR="00DF72B6" w:rsidRPr="0068290F">
            <w:rPr>
              <w:bCs/>
              <w:snapToGrid w:val="0"/>
              <w:kern w:val="22"/>
              <w:szCs w:val="22"/>
            </w:rPr>
            <w:t>Risk assessment and risk management of living modified organisms</w:t>
          </w:r>
        </w:sdtContent>
      </w:sdt>
    </w:p>
    <w:p w14:paraId="46ACA552" w14:textId="77777777" w:rsidR="00C85EA4" w:rsidRDefault="00C85EA4" w:rsidP="0068290F">
      <w:pPr>
        <w:pStyle w:val="Heading2"/>
        <w:keepNext w:val="0"/>
        <w:suppressLineNumbers/>
        <w:tabs>
          <w:tab w:val="clear" w:pos="720"/>
        </w:tabs>
        <w:suppressAutoHyphens/>
        <w:kinsoku w:val="0"/>
        <w:overflowPunct w:val="0"/>
        <w:autoSpaceDE w:val="0"/>
        <w:autoSpaceDN w:val="0"/>
        <w:rPr>
          <w:b w:val="0"/>
          <w:i/>
          <w:snapToGrid w:val="0"/>
          <w:kern w:val="22"/>
          <w:szCs w:val="22"/>
        </w:rPr>
      </w:pPr>
      <w:r w:rsidRPr="0068290F">
        <w:rPr>
          <w:b w:val="0"/>
          <w:i/>
          <w:snapToGrid w:val="0"/>
          <w:kern w:val="22"/>
          <w:szCs w:val="22"/>
        </w:rPr>
        <w:t>Note by the Executive Secretary</w:t>
      </w:r>
    </w:p>
    <w:p w14:paraId="684F0232" w14:textId="77777777" w:rsidR="001D1448" w:rsidRPr="0068290F" w:rsidRDefault="001D1448" w:rsidP="0068290F">
      <w:pPr>
        <w:suppressLineNumbers/>
        <w:suppressAutoHyphens/>
        <w:kinsoku w:val="0"/>
        <w:overflowPunct w:val="0"/>
        <w:autoSpaceDE w:val="0"/>
        <w:autoSpaceDN w:val="0"/>
        <w:jc w:val="center"/>
        <w:rPr>
          <w:rFonts w:ascii="Times New Roman Bold" w:hAnsi="Times New Roman Bold" w:cs="Times New Roman Bold"/>
          <w:b/>
          <w:bCs/>
          <w:caps/>
          <w:kern w:val="22"/>
        </w:rPr>
      </w:pPr>
      <w:r w:rsidRPr="0068290F">
        <w:rPr>
          <w:rFonts w:ascii="Times New Roman Bold" w:hAnsi="Times New Roman Bold" w:cs="Times New Roman Bold"/>
          <w:b/>
          <w:bCs/>
          <w:caps/>
          <w:kern w:val="22"/>
        </w:rPr>
        <w:t>Introduction</w:t>
      </w:r>
    </w:p>
    <w:p w14:paraId="3A1415FA" w14:textId="77777777" w:rsidR="00E3156A" w:rsidRPr="0068290F" w:rsidRDefault="00E3156A" w:rsidP="0068290F">
      <w:pPr>
        <w:pStyle w:val="Para1"/>
        <w:suppressLineNumbers/>
        <w:tabs>
          <w:tab w:val="clear" w:pos="360"/>
          <w:tab w:val="num" w:pos="720"/>
        </w:tabs>
        <w:suppressAutoHyphens/>
        <w:kinsoku w:val="0"/>
        <w:overflowPunct w:val="0"/>
        <w:autoSpaceDE w:val="0"/>
        <w:autoSpaceDN w:val="0"/>
        <w:snapToGrid w:val="0"/>
        <w:rPr>
          <w:kern w:val="22"/>
          <w:szCs w:val="22"/>
        </w:rPr>
      </w:pPr>
      <w:r w:rsidRPr="0068290F">
        <w:rPr>
          <w:kern w:val="22"/>
          <w:szCs w:val="22"/>
        </w:rPr>
        <w:t xml:space="preserve">In </w:t>
      </w:r>
      <w:r w:rsidR="003563FE" w:rsidRPr="009F1A45">
        <w:rPr>
          <w:kern w:val="22"/>
          <w:szCs w:val="22"/>
        </w:rPr>
        <w:t xml:space="preserve">decision </w:t>
      </w:r>
      <w:hyperlink r:id="rId11" w:history="1">
        <w:r w:rsidR="003563FE" w:rsidRPr="009F1A45">
          <w:rPr>
            <w:rStyle w:val="Hyperlink"/>
            <w:kern w:val="22"/>
            <w:szCs w:val="22"/>
          </w:rPr>
          <w:t>CP-VIII/12</w:t>
        </w:r>
      </w:hyperlink>
      <w:r w:rsidR="003563FE">
        <w:rPr>
          <w:rStyle w:val="Hyperlink"/>
          <w:kern w:val="22"/>
          <w:szCs w:val="22"/>
        </w:rPr>
        <w:t xml:space="preserve">, </w:t>
      </w:r>
      <w:r w:rsidRPr="0068290F">
        <w:rPr>
          <w:kern w:val="22"/>
          <w:szCs w:val="22"/>
        </w:rPr>
        <w:t xml:space="preserve">paragraph 6, the Conference of the Parties serving as the meeting of the Parties to the Cartagena Protocol on Biosafety invited Parties to submit to the Executive Secretary </w:t>
      </w:r>
      <w:r w:rsidRPr="0068290F">
        <w:rPr>
          <w:color w:val="000000"/>
          <w:kern w:val="22"/>
          <w:szCs w:val="22"/>
        </w:rPr>
        <w:t>(a)</w:t>
      </w:r>
      <w:r w:rsidR="00B56CAF">
        <w:rPr>
          <w:color w:val="000000"/>
          <w:kern w:val="22"/>
          <w:szCs w:val="22"/>
        </w:rPr>
        <w:t> </w:t>
      </w:r>
      <w:r w:rsidRPr="0068290F">
        <w:rPr>
          <w:color w:val="000000"/>
          <w:kern w:val="22"/>
          <w:szCs w:val="22"/>
        </w:rPr>
        <w:t>information on their needs and priorities for further guidance on specific topics of risk assessment of living modified organisms</w:t>
      </w:r>
      <w:r w:rsidR="00A711CE">
        <w:rPr>
          <w:color w:val="000000"/>
          <w:kern w:val="22"/>
          <w:szCs w:val="22"/>
        </w:rPr>
        <w:t xml:space="preserve"> (LMOs)</w:t>
      </w:r>
      <w:r w:rsidRPr="00677B79">
        <w:rPr>
          <w:color w:val="000000"/>
          <w:kern w:val="22"/>
          <w:szCs w:val="22"/>
        </w:rPr>
        <w:t>, (b) proposals on criteria, including the technical justification, that may facilitate the se</w:t>
      </w:r>
      <w:r w:rsidRPr="0068290F">
        <w:rPr>
          <w:color w:val="000000"/>
          <w:kern w:val="22"/>
          <w:szCs w:val="22"/>
        </w:rPr>
        <w:t>lection of topics for the development of further guidance, and (c) views on perceived gaps in existing guidance materials.</w:t>
      </w:r>
      <w:bookmarkStart w:id="1" w:name="_GoBack"/>
      <w:bookmarkEnd w:id="1"/>
    </w:p>
    <w:p w14:paraId="2F9BDB2F" w14:textId="77777777" w:rsidR="00E3156A" w:rsidRPr="0068290F" w:rsidRDefault="00E3156A" w:rsidP="0068290F">
      <w:pPr>
        <w:pStyle w:val="Para1"/>
        <w:suppressLineNumbers/>
        <w:tabs>
          <w:tab w:val="clear" w:pos="360"/>
          <w:tab w:val="num" w:pos="720"/>
        </w:tabs>
        <w:suppressAutoHyphens/>
        <w:kinsoku w:val="0"/>
        <w:overflowPunct w:val="0"/>
        <w:autoSpaceDE w:val="0"/>
        <w:autoSpaceDN w:val="0"/>
        <w:snapToGrid w:val="0"/>
        <w:rPr>
          <w:kern w:val="22"/>
          <w:szCs w:val="22"/>
        </w:rPr>
      </w:pPr>
      <w:r w:rsidRPr="0068290F">
        <w:rPr>
          <w:kern w:val="22"/>
          <w:szCs w:val="22"/>
        </w:rPr>
        <w:t>In paragraph 7 of the same decision, the meeting of the Parties extended the Online Forum on Risk Assessment and Risk Management to exchange experiences on risk assessment, provide information and views on, and perceived gaps in existing guidance materials, and proposals to address any gaps identified. Furthermore, the meeting of the Parties invited its Bureau to appoint a lead moderator to moderate and report on the online discussions.</w:t>
      </w:r>
    </w:p>
    <w:p w14:paraId="093458DE" w14:textId="77777777" w:rsidR="00E3156A" w:rsidRPr="0068290F" w:rsidRDefault="00E3156A" w:rsidP="0068290F">
      <w:pPr>
        <w:pStyle w:val="Para1"/>
        <w:suppressLineNumbers/>
        <w:tabs>
          <w:tab w:val="clear" w:pos="360"/>
          <w:tab w:val="num" w:pos="720"/>
        </w:tabs>
        <w:suppressAutoHyphens/>
        <w:kinsoku w:val="0"/>
        <w:overflowPunct w:val="0"/>
        <w:autoSpaceDE w:val="0"/>
        <w:autoSpaceDN w:val="0"/>
        <w:snapToGrid w:val="0"/>
        <w:rPr>
          <w:kern w:val="22"/>
          <w:szCs w:val="22"/>
        </w:rPr>
      </w:pPr>
      <w:r w:rsidRPr="0068290F">
        <w:rPr>
          <w:kern w:val="22"/>
          <w:szCs w:val="22"/>
        </w:rPr>
        <w:t xml:space="preserve">The Subsidiary Body on Scientific, Technical and Technological Advice was requested to review the information provided and to recommend a way forward to address the needs, priorities and gaps identified by Parties for consideration by the </w:t>
      </w:r>
      <w:r w:rsidR="0046039E" w:rsidRPr="001E4E1F">
        <w:rPr>
          <w:kern w:val="22"/>
          <w:szCs w:val="22"/>
        </w:rPr>
        <w:t>Conference of the Parties serving as the meeting of the Parties to the Protocol</w:t>
      </w:r>
      <w:r w:rsidR="0046039E" w:rsidRPr="00677B79">
        <w:rPr>
          <w:kern w:val="22"/>
          <w:szCs w:val="22"/>
        </w:rPr>
        <w:t xml:space="preserve"> </w:t>
      </w:r>
      <w:r w:rsidR="0046039E">
        <w:rPr>
          <w:kern w:val="22"/>
          <w:szCs w:val="22"/>
        </w:rPr>
        <w:t xml:space="preserve">at its </w:t>
      </w:r>
      <w:r w:rsidRPr="0068290F">
        <w:rPr>
          <w:kern w:val="22"/>
          <w:szCs w:val="22"/>
        </w:rPr>
        <w:t>ninth meeting, including the possible establishment of a new ad hoc technical expert group.</w:t>
      </w:r>
    </w:p>
    <w:p w14:paraId="3841F85E" w14:textId="77777777" w:rsidR="00E3156A" w:rsidRPr="0068290F" w:rsidRDefault="00E3156A" w:rsidP="0068290F">
      <w:pPr>
        <w:pStyle w:val="Para1"/>
        <w:suppressLineNumbers/>
        <w:tabs>
          <w:tab w:val="clear" w:pos="360"/>
          <w:tab w:val="num" w:pos="720"/>
        </w:tabs>
        <w:suppressAutoHyphens/>
        <w:kinsoku w:val="0"/>
        <w:overflowPunct w:val="0"/>
        <w:autoSpaceDE w:val="0"/>
        <w:autoSpaceDN w:val="0"/>
        <w:snapToGrid w:val="0"/>
        <w:rPr>
          <w:kern w:val="22"/>
          <w:szCs w:val="22"/>
        </w:rPr>
      </w:pPr>
      <w:r w:rsidRPr="0068290F">
        <w:rPr>
          <w:kern w:val="22"/>
          <w:szCs w:val="22"/>
        </w:rPr>
        <w:t xml:space="preserve">Section I </w:t>
      </w:r>
      <w:r w:rsidR="00AD6D95">
        <w:rPr>
          <w:kern w:val="22"/>
          <w:szCs w:val="22"/>
        </w:rPr>
        <w:t xml:space="preserve">of the present document </w:t>
      </w:r>
      <w:r w:rsidR="00E8337D" w:rsidRPr="0068290F">
        <w:rPr>
          <w:kern w:val="22"/>
          <w:szCs w:val="22"/>
        </w:rPr>
        <w:t xml:space="preserve">describes the activities undertaken in </w:t>
      </w:r>
      <w:r w:rsidR="00767B3E" w:rsidRPr="0068290F">
        <w:rPr>
          <w:kern w:val="22"/>
          <w:szCs w:val="22"/>
        </w:rPr>
        <w:t xml:space="preserve">the </w:t>
      </w:r>
      <w:r w:rsidR="00E8337D" w:rsidRPr="0068290F">
        <w:rPr>
          <w:kern w:val="22"/>
          <w:szCs w:val="22"/>
        </w:rPr>
        <w:t xml:space="preserve">light of the </w:t>
      </w:r>
      <w:r w:rsidR="00A31FF0">
        <w:rPr>
          <w:kern w:val="22"/>
          <w:szCs w:val="22"/>
        </w:rPr>
        <w:t>above-</w:t>
      </w:r>
      <w:r w:rsidR="00A31FF0" w:rsidRPr="0068290F">
        <w:rPr>
          <w:kern w:val="22"/>
          <w:szCs w:val="22"/>
        </w:rPr>
        <w:t xml:space="preserve">mentioned </w:t>
      </w:r>
      <w:r w:rsidR="00E8337D" w:rsidRPr="0068290F">
        <w:rPr>
          <w:kern w:val="22"/>
          <w:szCs w:val="22"/>
        </w:rPr>
        <w:t xml:space="preserve">mandates. Section II provides </w:t>
      </w:r>
      <w:r w:rsidR="006B23B9" w:rsidRPr="0068290F">
        <w:rPr>
          <w:kern w:val="22"/>
          <w:szCs w:val="22"/>
        </w:rPr>
        <w:t>an overview</w:t>
      </w:r>
      <w:r w:rsidRPr="0068290F">
        <w:rPr>
          <w:kern w:val="22"/>
          <w:szCs w:val="22"/>
        </w:rPr>
        <w:t xml:space="preserve"> of </w:t>
      </w:r>
      <w:r w:rsidR="006B23B9" w:rsidRPr="0068290F">
        <w:rPr>
          <w:kern w:val="22"/>
          <w:szCs w:val="22"/>
        </w:rPr>
        <w:t xml:space="preserve">the </w:t>
      </w:r>
      <w:r w:rsidRPr="0068290F">
        <w:rPr>
          <w:kern w:val="22"/>
          <w:szCs w:val="22"/>
        </w:rPr>
        <w:t>submissions made by Parties</w:t>
      </w:r>
      <w:r w:rsidR="00E8337D" w:rsidRPr="0068290F">
        <w:rPr>
          <w:kern w:val="22"/>
          <w:szCs w:val="22"/>
        </w:rPr>
        <w:t xml:space="preserve"> and of</w:t>
      </w:r>
      <w:r w:rsidRPr="0068290F">
        <w:rPr>
          <w:kern w:val="22"/>
          <w:szCs w:val="22"/>
        </w:rPr>
        <w:t xml:space="preserve"> the online discussions of the online forum risk assessment and risk management</w:t>
      </w:r>
      <w:r w:rsidR="00873A27">
        <w:rPr>
          <w:kern w:val="22"/>
          <w:szCs w:val="22"/>
        </w:rPr>
        <w:t>.</w:t>
      </w:r>
      <w:r w:rsidRPr="0068290F">
        <w:rPr>
          <w:kern w:val="22"/>
          <w:szCs w:val="22"/>
        </w:rPr>
        <w:t xml:space="preserve"> </w:t>
      </w:r>
      <w:r w:rsidR="00873A27">
        <w:rPr>
          <w:kern w:val="22"/>
          <w:szCs w:val="22"/>
        </w:rPr>
        <w:t>S</w:t>
      </w:r>
      <w:r w:rsidRPr="0068290F">
        <w:rPr>
          <w:kern w:val="22"/>
          <w:szCs w:val="22"/>
        </w:rPr>
        <w:t>ection I</w:t>
      </w:r>
      <w:r w:rsidR="00E8337D" w:rsidRPr="0068290F">
        <w:rPr>
          <w:kern w:val="22"/>
          <w:szCs w:val="22"/>
        </w:rPr>
        <w:t>II</w:t>
      </w:r>
      <w:r w:rsidRPr="0068290F">
        <w:rPr>
          <w:kern w:val="22"/>
          <w:szCs w:val="22"/>
        </w:rPr>
        <w:t xml:space="preserve"> outlines possible elements of </w:t>
      </w:r>
      <w:r w:rsidR="00E8337D" w:rsidRPr="0068290F">
        <w:rPr>
          <w:kern w:val="22"/>
          <w:szCs w:val="22"/>
        </w:rPr>
        <w:t xml:space="preserve">a </w:t>
      </w:r>
      <w:r w:rsidRPr="0068290F">
        <w:rPr>
          <w:kern w:val="22"/>
          <w:szCs w:val="22"/>
        </w:rPr>
        <w:t>recommendation.</w:t>
      </w:r>
    </w:p>
    <w:p w14:paraId="55E1FF12" w14:textId="77777777" w:rsidR="00E3156A" w:rsidRPr="0068290F" w:rsidRDefault="00E3156A" w:rsidP="0068290F">
      <w:pPr>
        <w:pStyle w:val="Para1"/>
        <w:numPr>
          <w:ilvl w:val="0"/>
          <w:numId w:val="37"/>
        </w:numPr>
        <w:suppressLineNumbers/>
        <w:tabs>
          <w:tab w:val="left" w:pos="720"/>
        </w:tabs>
        <w:suppressAutoHyphens/>
        <w:kinsoku w:val="0"/>
        <w:overflowPunct w:val="0"/>
        <w:autoSpaceDE w:val="0"/>
        <w:autoSpaceDN w:val="0"/>
        <w:snapToGrid w:val="0"/>
        <w:jc w:val="center"/>
        <w:rPr>
          <w:b/>
          <w:kern w:val="22"/>
          <w:szCs w:val="22"/>
        </w:rPr>
      </w:pPr>
      <w:r w:rsidRPr="0068290F">
        <w:rPr>
          <w:b/>
          <w:kern w:val="22"/>
          <w:szCs w:val="22"/>
        </w:rPr>
        <w:t xml:space="preserve">OVERVIEW OF </w:t>
      </w:r>
      <w:r w:rsidR="00174832" w:rsidRPr="0068290F">
        <w:rPr>
          <w:b/>
          <w:kern w:val="22"/>
          <w:szCs w:val="22"/>
        </w:rPr>
        <w:t>ACTIVITITES</w:t>
      </w:r>
    </w:p>
    <w:p w14:paraId="5A0335F8" w14:textId="77777777" w:rsidR="00E3156A" w:rsidRPr="0068290F" w:rsidRDefault="003F0001" w:rsidP="0068290F">
      <w:pPr>
        <w:pStyle w:val="Para1"/>
        <w:suppressLineNumbers/>
        <w:tabs>
          <w:tab w:val="clear" w:pos="360"/>
          <w:tab w:val="num" w:pos="720"/>
        </w:tabs>
        <w:suppressAutoHyphens/>
        <w:kinsoku w:val="0"/>
        <w:overflowPunct w:val="0"/>
        <w:autoSpaceDE w:val="0"/>
        <w:autoSpaceDN w:val="0"/>
        <w:snapToGrid w:val="0"/>
        <w:rPr>
          <w:kern w:val="22"/>
          <w:szCs w:val="22"/>
        </w:rPr>
      </w:pPr>
      <w:r>
        <w:rPr>
          <w:kern w:val="22"/>
          <w:szCs w:val="22"/>
        </w:rPr>
        <w:t>I</w:t>
      </w:r>
      <w:r w:rsidR="00E3156A" w:rsidRPr="0068290F">
        <w:rPr>
          <w:kern w:val="22"/>
          <w:szCs w:val="22"/>
        </w:rPr>
        <w:t xml:space="preserve">n </w:t>
      </w:r>
      <w:r w:rsidR="000204C0" w:rsidRPr="0068290F">
        <w:rPr>
          <w:kern w:val="22"/>
          <w:szCs w:val="22"/>
        </w:rPr>
        <w:t xml:space="preserve">accordance </w:t>
      </w:r>
      <w:r w:rsidR="004437F4" w:rsidRPr="0068290F">
        <w:rPr>
          <w:kern w:val="22"/>
          <w:szCs w:val="22"/>
        </w:rPr>
        <w:t xml:space="preserve">with </w:t>
      </w:r>
      <w:r w:rsidR="00E3156A" w:rsidRPr="0068290F">
        <w:rPr>
          <w:kern w:val="22"/>
          <w:szCs w:val="22"/>
        </w:rPr>
        <w:t xml:space="preserve">the request </w:t>
      </w:r>
      <w:r w:rsidR="004437F4" w:rsidRPr="0068290F">
        <w:rPr>
          <w:kern w:val="22"/>
          <w:szCs w:val="22"/>
        </w:rPr>
        <w:t>i</w:t>
      </w:r>
      <w:r w:rsidR="00E3156A" w:rsidRPr="0068290F">
        <w:rPr>
          <w:kern w:val="22"/>
          <w:szCs w:val="22"/>
        </w:rPr>
        <w:t>n decision</w:t>
      </w:r>
      <w:r w:rsidR="00FD5C7D" w:rsidRPr="0068290F">
        <w:rPr>
          <w:kern w:val="22"/>
          <w:szCs w:val="22"/>
        </w:rPr>
        <w:t> </w:t>
      </w:r>
      <w:r w:rsidR="00E3156A" w:rsidRPr="0068290F">
        <w:rPr>
          <w:kern w:val="22"/>
          <w:szCs w:val="22"/>
        </w:rPr>
        <w:t>CP-VIII/12</w:t>
      </w:r>
      <w:r>
        <w:rPr>
          <w:kern w:val="22"/>
          <w:szCs w:val="22"/>
        </w:rPr>
        <w:t>,</w:t>
      </w:r>
      <w:r w:rsidRPr="003F0001">
        <w:rPr>
          <w:kern w:val="22"/>
          <w:szCs w:val="22"/>
        </w:rPr>
        <w:t xml:space="preserve"> </w:t>
      </w:r>
      <w:r w:rsidRPr="0032745A">
        <w:rPr>
          <w:kern w:val="22"/>
          <w:szCs w:val="22"/>
        </w:rPr>
        <w:t>paragraph 6</w:t>
      </w:r>
      <w:r>
        <w:rPr>
          <w:kern w:val="22"/>
          <w:szCs w:val="22"/>
        </w:rPr>
        <w:t>,</w:t>
      </w:r>
      <w:r w:rsidRPr="003F0001">
        <w:rPr>
          <w:kern w:val="22"/>
          <w:szCs w:val="22"/>
        </w:rPr>
        <w:t xml:space="preserve"> </w:t>
      </w:r>
      <w:r>
        <w:rPr>
          <w:kern w:val="22"/>
          <w:szCs w:val="22"/>
        </w:rPr>
        <w:t>t</w:t>
      </w:r>
      <w:r w:rsidRPr="00DE3507">
        <w:rPr>
          <w:kern w:val="22"/>
          <w:szCs w:val="22"/>
        </w:rPr>
        <w:t>he Executive Secretary issued a notification to Parties</w:t>
      </w:r>
      <w:r w:rsidR="000E375B">
        <w:rPr>
          <w:kern w:val="22"/>
          <w:szCs w:val="22"/>
        </w:rPr>
        <w:t xml:space="preserve"> on 12 April 2017</w:t>
      </w:r>
      <w:r w:rsidR="000204C0" w:rsidRPr="0068290F">
        <w:rPr>
          <w:kern w:val="22"/>
          <w:szCs w:val="22"/>
        </w:rPr>
        <w:t>.</w:t>
      </w:r>
      <w:r w:rsidR="00E3156A" w:rsidRPr="0068290F">
        <w:rPr>
          <w:rStyle w:val="FootnoteReference"/>
          <w:kern w:val="22"/>
          <w:sz w:val="22"/>
          <w:szCs w:val="22"/>
          <w:u w:val="none"/>
          <w:vertAlign w:val="superscript"/>
        </w:rPr>
        <w:footnoteReference w:id="3"/>
      </w:r>
    </w:p>
    <w:p w14:paraId="483A6287" w14:textId="77777777" w:rsidR="00E3156A" w:rsidRPr="0068290F" w:rsidRDefault="00B062EE" w:rsidP="0068290F">
      <w:pPr>
        <w:pStyle w:val="Para1"/>
        <w:suppressLineNumbers/>
        <w:tabs>
          <w:tab w:val="clear" w:pos="360"/>
          <w:tab w:val="num" w:pos="720"/>
        </w:tabs>
        <w:suppressAutoHyphens/>
        <w:kinsoku w:val="0"/>
        <w:overflowPunct w:val="0"/>
        <w:autoSpaceDE w:val="0"/>
        <w:autoSpaceDN w:val="0"/>
        <w:rPr>
          <w:spacing w:val="-6"/>
          <w:kern w:val="22"/>
          <w:szCs w:val="22"/>
        </w:rPr>
      </w:pPr>
      <w:r>
        <w:rPr>
          <w:spacing w:val="-6"/>
          <w:kern w:val="22"/>
          <w:szCs w:val="22"/>
        </w:rPr>
        <w:t>I</w:t>
      </w:r>
      <w:r w:rsidRPr="00460275">
        <w:rPr>
          <w:spacing w:val="-6"/>
          <w:kern w:val="22"/>
          <w:szCs w:val="22"/>
        </w:rPr>
        <w:t>n response to the notification</w:t>
      </w:r>
      <w:r>
        <w:rPr>
          <w:spacing w:val="-6"/>
          <w:kern w:val="22"/>
          <w:szCs w:val="22"/>
        </w:rPr>
        <w:t>,</w:t>
      </w:r>
      <w:r w:rsidRPr="00677B79" w:rsidDel="003671D8">
        <w:rPr>
          <w:spacing w:val="-6"/>
          <w:kern w:val="22"/>
          <w:szCs w:val="22"/>
        </w:rPr>
        <w:t xml:space="preserve"> </w:t>
      </w:r>
      <w:r>
        <w:rPr>
          <w:spacing w:val="-6"/>
          <w:kern w:val="22"/>
          <w:szCs w:val="22"/>
        </w:rPr>
        <w:t>a</w:t>
      </w:r>
      <w:r w:rsidR="003671D8" w:rsidRPr="0068290F">
        <w:rPr>
          <w:spacing w:val="-6"/>
          <w:kern w:val="22"/>
          <w:szCs w:val="22"/>
        </w:rPr>
        <w:t xml:space="preserve"> total of 19 </w:t>
      </w:r>
      <w:r w:rsidR="00E3156A" w:rsidRPr="0068290F">
        <w:rPr>
          <w:spacing w:val="-6"/>
          <w:kern w:val="22"/>
          <w:szCs w:val="22"/>
        </w:rPr>
        <w:t xml:space="preserve">submissions were received from Parties (Austria, Belarus, Bolivia, Brazil, Bulgaria, Costa Rica, European Union, Finland, France, Honduras, Italy, Japan, Malaysia, Mexico, </w:t>
      </w:r>
      <w:r w:rsidR="00E3156A" w:rsidRPr="0068290F">
        <w:rPr>
          <w:spacing w:val="-6"/>
          <w:kern w:val="22"/>
          <w:szCs w:val="22"/>
        </w:rPr>
        <w:lastRenderedPageBreak/>
        <w:t xml:space="preserve">New Zealand, Nigeria, Norway, Republic of Moldova and South Africa). In addition, three non-Parties to the Cartagena Protocol (Australia, Canada and United States of America) submitted views. </w:t>
      </w:r>
      <w:r w:rsidR="00174832" w:rsidRPr="0068290F">
        <w:rPr>
          <w:spacing w:val="-6"/>
          <w:kern w:val="22"/>
          <w:szCs w:val="22"/>
        </w:rPr>
        <w:t xml:space="preserve">A detailed synthesis of the submissions by Parties is provided in information document CBD/SBSTTA/22/INF/11. </w:t>
      </w:r>
      <w:r w:rsidR="00E3156A" w:rsidRPr="0068290F">
        <w:rPr>
          <w:spacing w:val="-6"/>
          <w:kern w:val="22"/>
          <w:szCs w:val="22"/>
        </w:rPr>
        <w:t xml:space="preserve">The </w:t>
      </w:r>
      <w:r w:rsidR="00174832" w:rsidRPr="0068290F">
        <w:rPr>
          <w:spacing w:val="-6"/>
          <w:kern w:val="22"/>
          <w:szCs w:val="22"/>
        </w:rPr>
        <w:t xml:space="preserve">full </w:t>
      </w:r>
      <w:r w:rsidR="00E3156A" w:rsidRPr="0068290F">
        <w:rPr>
          <w:spacing w:val="-6"/>
          <w:kern w:val="22"/>
          <w:szCs w:val="22"/>
        </w:rPr>
        <w:t xml:space="preserve">submissions are available online at: </w:t>
      </w:r>
      <w:hyperlink r:id="rId12" w:history="1">
        <w:r w:rsidR="00E3156A" w:rsidRPr="0068290F">
          <w:rPr>
            <w:rStyle w:val="Hyperlink"/>
            <w:spacing w:val="-6"/>
            <w:kern w:val="22"/>
            <w:szCs w:val="22"/>
          </w:rPr>
          <w:t>http://bch.cbd.int/protocol/cpb_art15_submissions</w:t>
        </w:r>
      </w:hyperlink>
      <w:r w:rsidR="00E3156A" w:rsidRPr="0068290F">
        <w:rPr>
          <w:spacing w:val="-6"/>
          <w:kern w:val="22"/>
          <w:szCs w:val="22"/>
        </w:rPr>
        <w:t>.</w:t>
      </w:r>
    </w:p>
    <w:p w14:paraId="02E2C36B" w14:textId="77777777" w:rsidR="00174832" w:rsidRPr="0068290F" w:rsidRDefault="00174832" w:rsidP="0068290F">
      <w:pPr>
        <w:pStyle w:val="Para1"/>
        <w:suppressLineNumbers/>
        <w:tabs>
          <w:tab w:val="clear" w:pos="360"/>
          <w:tab w:val="num" w:pos="720"/>
        </w:tabs>
        <w:suppressAutoHyphens/>
        <w:kinsoku w:val="0"/>
        <w:overflowPunct w:val="0"/>
        <w:autoSpaceDE w:val="0"/>
        <w:autoSpaceDN w:val="0"/>
        <w:snapToGrid w:val="0"/>
        <w:rPr>
          <w:kern w:val="22"/>
          <w:szCs w:val="22"/>
        </w:rPr>
      </w:pPr>
      <w:r w:rsidRPr="0068290F">
        <w:rPr>
          <w:kern w:val="22"/>
          <w:szCs w:val="22"/>
        </w:rPr>
        <w:t>Discussions under the Open-ended Online Forum on Risk Assessment and Risk Management were convened through the Biosafety-Clearing House from 29 January to 12 February 2018 and moderated by Mr. Timothy Strabala of New Zealand.</w:t>
      </w:r>
      <w:r w:rsidRPr="0068290F">
        <w:rPr>
          <w:kern w:val="22"/>
          <w:szCs w:val="22"/>
          <w:vertAlign w:val="superscript"/>
        </w:rPr>
        <w:footnoteReference w:id="4"/>
      </w:r>
      <w:r w:rsidRPr="0068290F">
        <w:rPr>
          <w:kern w:val="22"/>
          <w:szCs w:val="22"/>
        </w:rPr>
        <w:t xml:space="preserve"> The topics </w:t>
      </w:r>
      <w:r w:rsidR="0033070A">
        <w:rPr>
          <w:kern w:val="22"/>
          <w:szCs w:val="22"/>
        </w:rPr>
        <w:t>for</w:t>
      </w:r>
      <w:r w:rsidR="0033070A" w:rsidRPr="0068290F">
        <w:rPr>
          <w:kern w:val="22"/>
          <w:szCs w:val="22"/>
        </w:rPr>
        <w:t xml:space="preserve"> </w:t>
      </w:r>
      <w:r w:rsidRPr="0068290F">
        <w:rPr>
          <w:kern w:val="22"/>
          <w:szCs w:val="22"/>
        </w:rPr>
        <w:t>discussion were drawn from the decision, as follows:</w:t>
      </w:r>
    </w:p>
    <w:p w14:paraId="506F8256" w14:textId="77777777" w:rsidR="00174832" w:rsidRPr="0068290F" w:rsidRDefault="00174832" w:rsidP="0068290F">
      <w:pPr>
        <w:pStyle w:val="Para1"/>
        <w:numPr>
          <w:ilvl w:val="0"/>
          <w:numId w:val="38"/>
        </w:numPr>
        <w:suppressLineNumbers/>
        <w:suppressAutoHyphens/>
        <w:kinsoku w:val="0"/>
        <w:overflowPunct w:val="0"/>
        <w:autoSpaceDE w:val="0"/>
        <w:autoSpaceDN w:val="0"/>
        <w:snapToGrid w:val="0"/>
        <w:spacing w:before="0"/>
        <w:ind w:left="0" w:firstLine="720"/>
        <w:rPr>
          <w:kern w:val="22"/>
          <w:szCs w:val="22"/>
        </w:rPr>
      </w:pPr>
      <w:r w:rsidRPr="0068290F">
        <w:rPr>
          <w:kern w:val="22"/>
          <w:szCs w:val="22"/>
        </w:rPr>
        <w:t xml:space="preserve">Sharing experiences on </w:t>
      </w:r>
      <w:r w:rsidR="0046039E">
        <w:rPr>
          <w:kern w:val="22"/>
          <w:szCs w:val="22"/>
        </w:rPr>
        <w:t>r</w:t>
      </w:r>
      <w:r w:rsidRPr="0068290F">
        <w:rPr>
          <w:kern w:val="22"/>
          <w:szCs w:val="22"/>
        </w:rPr>
        <w:t xml:space="preserve">isk </w:t>
      </w:r>
      <w:r w:rsidR="0046039E">
        <w:rPr>
          <w:kern w:val="22"/>
          <w:szCs w:val="22"/>
        </w:rPr>
        <w:t>a</w:t>
      </w:r>
      <w:r w:rsidRPr="0068290F">
        <w:rPr>
          <w:kern w:val="22"/>
          <w:szCs w:val="22"/>
        </w:rPr>
        <w:t xml:space="preserve">ssessment of </w:t>
      </w:r>
      <w:r w:rsidR="0046039E">
        <w:rPr>
          <w:kern w:val="22"/>
          <w:szCs w:val="22"/>
        </w:rPr>
        <w:t>l</w:t>
      </w:r>
      <w:r w:rsidRPr="0068290F">
        <w:rPr>
          <w:kern w:val="22"/>
          <w:szCs w:val="22"/>
        </w:rPr>
        <w:t xml:space="preserve">iving </w:t>
      </w:r>
      <w:r w:rsidR="0046039E">
        <w:rPr>
          <w:kern w:val="22"/>
          <w:szCs w:val="22"/>
        </w:rPr>
        <w:t>m</w:t>
      </w:r>
      <w:r w:rsidRPr="0068290F">
        <w:rPr>
          <w:kern w:val="22"/>
          <w:szCs w:val="22"/>
        </w:rPr>
        <w:t xml:space="preserve">odified </w:t>
      </w:r>
      <w:r w:rsidR="0046039E">
        <w:rPr>
          <w:kern w:val="22"/>
          <w:szCs w:val="22"/>
        </w:rPr>
        <w:t>o</w:t>
      </w:r>
      <w:r w:rsidRPr="0068290F">
        <w:rPr>
          <w:kern w:val="22"/>
          <w:szCs w:val="22"/>
        </w:rPr>
        <w:t>rganisms;</w:t>
      </w:r>
    </w:p>
    <w:p w14:paraId="60E80C5D" w14:textId="77777777" w:rsidR="00174832" w:rsidRPr="0068290F" w:rsidRDefault="00174832" w:rsidP="0068290F">
      <w:pPr>
        <w:pStyle w:val="Para1"/>
        <w:numPr>
          <w:ilvl w:val="0"/>
          <w:numId w:val="38"/>
        </w:numPr>
        <w:suppressLineNumbers/>
        <w:suppressAutoHyphens/>
        <w:kinsoku w:val="0"/>
        <w:overflowPunct w:val="0"/>
        <w:autoSpaceDE w:val="0"/>
        <w:autoSpaceDN w:val="0"/>
        <w:snapToGrid w:val="0"/>
        <w:spacing w:before="0"/>
        <w:ind w:left="0" w:firstLine="720"/>
        <w:rPr>
          <w:kern w:val="22"/>
          <w:szCs w:val="22"/>
        </w:rPr>
      </w:pPr>
      <w:r w:rsidRPr="0068290F">
        <w:rPr>
          <w:kern w:val="22"/>
          <w:szCs w:val="22"/>
        </w:rPr>
        <w:t>Information and views on existing guidance materials on risk assessment;</w:t>
      </w:r>
    </w:p>
    <w:p w14:paraId="412F2493" w14:textId="77777777" w:rsidR="00174832" w:rsidRPr="0068290F" w:rsidRDefault="00174832" w:rsidP="0068290F">
      <w:pPr>
        <w:pStyle w:val="Para1"/>
        <w:numPr>
          <w:ilvl w:val="0"/>
          <w:numId w:val="38"/>
        </w:numPr>
        <w:suppressLineNumbers/>
        <w:suppressAutoHyphens/>
        <w:kinsoku w:val="0"/>
        <w:overflowPunct w:val="0"/>
        <w:autoSpaceDE w:val="0"/>
        <w:autoSpaceDN w:val="0"/>
        <w:snapToGrid w:val="0"/>
        <w:spacing w:before="0"/>
        <w:ind w:left="0" w:firstLine="720"/>
        <w:rPr>
          <w:kern w:val="22"/>
          <w:szCs w:val="22"/>
        </w:rPr>
      </w:pPr>
      <w:r w:rsidRPr="0068290F">
        <w:rPr>
          <w:kern w:val="22"/>
          <w:szCs w:val="22"/>
        </w:rPr>
        <w:t>Perceived gaps in existing guidance materials on risk assessment, and proposals to address any gaps identified.</w:t>
      </w:r>
    </w:p>
    <w:p w14:paraId="489AFE9B" w14:textId="77777777" w:rsidR="00174832" w:rsidRPr="0068290F" w:rsidRDefault="00174832" w:rsidP="0068290F">
      <w:pPr>
        <w:pStyle w:val="Para1"/>
        <w:suppressLineNumbers/>
        <w:tabs>
          <w:tab w:val="clear" w:pos="360"/>
          <w:tab w:val="num" w:pos="720"/>
        </w:tabs>
        <w:suppressAutoHyphens/>
        <w:kinsoku w:val="0"/>
        <w:overflowPunct w:val="0"/>
        <w:autoSpaceDE w:val="0"/>
        <w:autoSpaceDN w:val="0"/>
        <w:snapToGrid w:val="0"/>
        <w:rPr>
          <w:kern w:val="22"/>
          <w:szCs w:val="22"/>
        </w:rPr>
      </w:pPr>
      <w:r w:rsidRPr="0068290F">
        <w:rPr>
          <w:kern w:val="22"/>
          <w:szCs w:val="22"/>
        </w:rPr>
        <w:t>A total of 110 interventions were made, during the online discussions on the three topics, by 48 different participants, among which 31 were nominated by Parties, 2 by other Governments and 15 by organizations.</w:t>
      </w:r>
    </w:p>
    <w:p w14:paraId="7D266D07" w14:textId="77777777" w:rsidR="00174832" w:rsidRPr="0068290F" w:rsidRDefault="00174832" w:rsidP="0068290F">
      <w:pPr>
        <w:pStyle w:val="Para1"/>
        <w:suppressLineNumbers/>
        <w:tabs>
          <w:tab w:val="clear" w:pos="360"/>
          <w:tab w:val="left" w:pos="720"/>
        </w:tabs>
        <w:suppressAutoHyphens/>
        <w:kinsoku w:val="0"/>
        <w:overflowPunct w:val="0"/>
        <w:autoSpaceDE w:val="0"/>
        <w:autoSpaceDN w:val="0"/>
        <w:snapToGrid w:val="0"/>
        <w:rPr>
          <w:kern w:val="22"/>
          <w:szCs w:val="22"/>
        </w:rPr>
      </w:pPr>
      <w:r w:rsidRPr="0068290F">
        <w:rPr>
          <w:kern w:val="22"/>
          <w:szCs w:val="22"/>
        </w:rPr>
        <w:t xml:space="preserve">A draft report </w:t>
      </w:r>
      <w:r w:rsidR="00307603">
        <w:rPr>
          <w:kern w:val="22"/>
          <w:szCs w:val="22"/>
        </w:rPr>
        <w:t>on</w:t>
      </w:r>
      <w:r w:rsidR="00307603" w:rsidRPr="0068290F">
        <w:rPr>
          <w:kern w:val="22"/>
          <w:szCs w:val="22"/>
        </w:rPr>
        <w:t xml:space="preserve"> </w:t>
      </w:r>
      <w:r w:rsidRPr="0068290F">
        <w:rPr>
          <w:kern w:val="22"/>
          <w:szCs w:val="22"/>
        </w:rPr>
        <w:t>the online forum discussions was prepared by the lead moderator, with assistance from the Secretariat, and was submitted for peer</w:t>
      </w:r>
      <w:r w:rsidR="002F2862">
        <w:rPr>
          <w:kern w:val="22"/>
          <w:szCs w:val="22"/>
        </w:rPr>
        <w:t xml:space="preserve"> </w:t>
      </w:r>
      <w:r w:rsidRPr="0068290F">
        <w:rPr>
          <w:kern w:val="22"/>
          <w:szCs w:val="22"/>
        </w:rPr>
        <w:t xml:space="preserve">review by the </w:t>
      </w:r>
      <w:r w:rsidR="009A3939">
        <w:rPr>
          <w:kern w:val="22"/>
          <w:szCs w:val="22"/>
        </w:rPr>
        <w:t>o</w:t>
      </w:r>
      <w:r w:rsidRPr="0068290F">
        <w:rPr>
          <w:kern w:val="22"/>
          <w:szCs w:val="22"/>
        </w:rPr>
        <w:t xml:space="preserve">nline </w:t>
      </w:r>
      <w:r w:rsidR="009A3939">
        <w:rPr>
          <w:kern w:val="22"/>
          <w:szCs w:val="22"/>
        </w:rPr>
        <w:t>f</w:t>
      </w:r>
      <w:r w:rsidRPr="0068290F">
        <w:rPr>
          <w:kern w:val="22"/>
          <w:szCs w:val="22"/>
        </w:rPr>
        <w:t>orum from 26 February to 12 March 2018. All comments received through the peer-review process are available through the Biosafety Clearing</w:t>
      </w:r>
      <w:r w:rsidR="00767B3E" w:rsidRPr="0068290F">
        <w:rPr>
          <w:kern w:val="22"/>
          <w:szCs w:val="22"/>
        </w:rPr>
        <w:noBreakHyphen/>
      </w:r>
      <w:r w:rsidRPr="0068290F">
        <w:rPr>
          <w:kern w:val="22"/>
          <w:szCs w:val="22"/>
        </w:rPr>
        <w:t>House.</w:t>
      </w:r>
      <w:r w:rsidRPr="0068290F">
        <w:rPr>
          <w:rStyle w:val="FootnoteReference"/>
          <w:kern w:val="22"/>
          <w:sz w:val="22"/>
          <w:szCs w:val="22"/>
          <w:u w:val="none"/>
          <w:vertAlign w:val="superscript"/>
        </w:rPr>
        <w:footnoteReference w:id="5"/>
      </w:r>
      <w:r w:rsidRPr="0068290F">
        <w:rPr>
          <w:kern w:val="22"/>
          <w:szCs w:val="22"/>
        </w:rPr>
        <w:t xml:space="preserve"> The resulting final report of the online forum, as prepared by the lead moderator, is provided in information document CBD/SBSTTA/22/INF/12.</w:t>
      </w:r>
    </w:p>
    <w:p w14:paraId="463194E3" w14:textId="77777777" w:rsidR="00E3156A" w:rsidRPr="0068290F" w:rsidRDefault="00174832" w:rsidP="0068290F">
      <w:pPr>
        <w:pStyle w:val="ListParagraph"/>
        <w:numPr>
          <w:ilvl w:val="0"/>
          <w:numId w:val="37"/>
        </w:numPr>
        <w:suppressLineNumbers/>
        <w:suppressAutoHyphens/>
        <w:kinsoku w:val="0"/>
        <w:overflowPunct w:val="0"/>
        <w:autoSpaceDE w:val="0"/>
        <w:autoSpaceDN w:val="0"/>
        <w:spacing w:before="120" w:after="120"/>
        <w:ind w:left="1440"/>
        <w:contextualSpacing w:val="0"/>
        <w:jc w:val="left"/>
        <w:rPr>
          <w:snapToGrid w:val="0"/>
          <w:kern w:val="22"/>
          <w:szCs w:val="22"/>
        </w:rPr>
      </w:pPr>
      <w:r w:rsidRPr="0068290F">
        <w:rPr>
          <w:b/>
          <w:snapToGrid w:val="0"/>
          <w:kern w:val="22"/>
          <w:szCs w:val="22"/>
        </w:rPr>
        <w:t xml:space="preserve">OVERVIEW OF SUBMISSIONS AND </w:t>
      </w:r>
      <w:r w:rsidR="00E3156A" w:rsidRPr="0068290F">
        <w:rPr>
          <w:b/>
          <w:snapToGrid w:val="0"/>
          <w:kern w:val="22"/>
          <w:szCs w:val="22"/>
        </w:rPr>
        <w:t>DISCUSSIONS UNDER THE ONLINE FORUM</w:t>
      </w:r>
    </w:p>
    <w:p w14:paraId="77299F4E" w14:textId="77777777" w:rsidR="00174832" w:rsidRPr="0068290F" w:rsidRDefault="00174832" w:rsidP="0068290F">
      <w:pPr>
        <w:pStyle w:val="Para1"/>
        <w:suppressLineNumbers/>
        <w:tabs>
          <w:tab w:val="clear" w:pos="360"/>
          <w:tab w:val="num" w:pos="720"/>
        </w:tabs>
        <w:suppressAutoHyphens/>
        <w:kinsoku w:val="0"/>
        <w:overflowPunct w:val="0"/>
        <w:autoSpaceDE w:val="0"/>
        <w:autoSpaceDN w:val="0"/>
        <w:snapToGrid w:val="0"/>
        <w:rPr>
          <w:kern w:val="22"/>
          <w:szCs w:val="22"/>
        </w:rPr>
      </w:pPr>
      <w:r w:rsidRPr="0068290F">
        <w:rPr>
          <w:kern w:val="22"/>
          <w:szCs w:val="22"/>
        </w:rPr>
        <w:t>The importance of sharing knowledge and experience in risk assessment among countries was widely recognized.</w:t>
      </w:r>
    </w:p>
    <w:p w14:paraId="12D1612F" w14:textId="77777777" w:rsidR="00174832" w:rsidRPr="0068290F" w:rsidRDefault="00174832" w:rsidP="0068290F">
      <w:pPr>
        <w:pStyle w:val="Para1"/>
        <w:suppressLineNumbers/>
        <w:tabs>
          <w:tab w:val="clear" w:pos="360"/>
          <w:tab w:val="num" w:pos="720"/>
        </w:tabs>
        <w:suppressAutoHyphens/>
        <w:kinsoku w:val="0"/>
        <w:overflowPunct w:val="0"/>
        <w:autoSpaceDE w:val="0"/>
        <w:autoSpaceDN w:val="0"/>
        <w:snapToGrid w:val="0"/>
        <w:rPr>
          <w:kern w:val="22"/>
          <w:szCs w:val="22"/>
        </w:rPr>
      </w:pPr>
      <w:r w:rsidRPr="0068290F">
        <w:rPr>
          <w:kern w:val="22"/>
          <w:szCs w:val="22"/>
        </w:rPr>
        <w:t xml:space="preserve">There was general agreement, both among Parties through their submissions and by individual experts through the online forum, that existing guidance materials on risk assessment are useful and provide a good basis for the assessment of </w:t>
      </w:r>
      <w:r w:rsidR="00A711CE">
        <w:rPr>
          <w:kern w:val="22"/>
          <w:szCs w:val="22"/>
        </w:rPr>
        <w:t>LMO</w:t>
      </w:r>
      <w:r w:rsidRPr="0068290F">
        <w:rPr>
          <w:kern w:val="22"/>
          <w:szCs w:val="22"/>
        </w:rPr>
        <w:t xml:space="preserve">s. Participants in the online forum shared views on the perceived strengths and weaknesses of </w:t>
      </w:r>
      <w:r w:rsidR="0088631D" w:rsidRPr="0068290F">
        <w:rPr>
          <w:kern w:val="22"/>
          <w:szCs w:val="22"/>
        </w:rPr>
        <w:t xml:space="preserve">the </w:t>
      </w:r>
      <w:r w:rsidRPr="0068290F">
        <w:rPr>
          <w:kern w:val="22"/>
          <w:szCs w:val="22"/>
        </w:rPr>
        <w:t>various available guidance documents. The interventions included numerous sources of information for risk assessment, including the Biosafety Clearing-House and guidance developed by various governments.</w:t>
      </w:r>
    </w:p>
    <w:p w14:paraId="058A06A5" w14:textId="77777777" w:rsidR="00174832" w:rsidRPr="0068290F" w:rsidRDefault="00174832" w:rsidP="0068290F">
      <w:pPr>
        <w:pStyle w:val="Para1"/>
        <w:suppressLineNumbers/>
        <w:tabs>
          <w:tab w:val="clear" w:pos="360"/>
          <w:tab w:val="num" w:pos="720"/>
        </w:tabs>
        <w:suppressAutoHyphens/>
        <w:kinsoku w:val="0"/>
        <w:overflowPunct w:val="0"/>
        <w:autoSpaceDE w:val="0"/>
        <w:autoSpaceDN w:val="0"/>
        <w:snapToGrid w:val="0"/>
        <w:rPr>
          <w:kern w:val="22"/>
          <w:szCs w:val="22"/>
        </w:rPr>
      </w:pPr>
      <w:r w:rsidRPr="0068290F">
        <w:rPr>
          <w:kern w:val="22"/>
          <w:szCs w:val="22"/>
        </w:rPr>
        <w:t xml:space="preserve">However, Parties identified a number of gaps in existing guidance on risk assessment of </w:t>
      </w:r>
      <w:r w:rsidR="0070285A">
        <w:rPr>
          <w:kern w:val="22"/>
          <w:szCs w:val="22"/>
        </w:rPr>
        <w:t>LMOs</w:t>
      </w:r>
      <w:r w:rsidRPr="0068290F">
        <w:rPr>
          <w:kern w:val="22"/>
          <w:szCs w:val="22"/>
        </w:rPr>
        <w:t>, including lack of information on how:</w:t>
      </w:r>
    </w:p>
    <w:p w14:paraId="1B2D8EC2" w14:textId="77777777" w:rsidR="00174832" w:rsidRPr="0068290F" w:rsidRDefault="00174832" w:rsidP="0068290F">
      <w:pPr>
        <w:pStyle w:val="Para1"/>
        <w:numPr>
          <w:ilvl w:val="0"/>
          <w:numId w:val="39"/>
        </w:numPr>
        <w:suppressLineNumbers/>
        <w:suppressAutoHyphens/>
        <w:kinsoku w:val="0"/>
        <w:overflowPunct w:val="0"/>
        <w:autoSpaceDE w:val="0"/>
        <w:autoSpaceDN w:val="0"/>
        <w:snapToGrid w:val="0"/>
        <w:spacing w:before="0" w:after="20"/>
        <w:ind w:left="0" w:firstLine="720"/>
        <w:rPr>
          <w:kern w:val="22"/>
          <w:szCs w:val="22"/>
        </w:rPr>
      </w:pPr>
      <w:r w:rsidRPr="0068290F">
        <w:rPr>
          <w:kern w:val="22"/>
          <w:szCs w:val="22"/>
        </w:rPr>
        <w:t>To perform the assessments when appropriate comparators do not exist;</w:t>
      </w:r>
    </w:p>
    <w:p w14:paraId="3DCA5F66" w14:textId="77777777" w:rsidR="00174832" w:rsidRPr="0068290F" w:rsidRDefault="00174832" w:rsidP="0068290F">
      <w:pPr>
        <w:pStyle w:val="Para1"/>
        <w:numPr>
          <w:ilvl w:val="0"/>
          <w:numId w:val="39"/>
        </w:numPr>
        <w:suppressLineNumbers/>
        <w:suppressAutoHyphens/>
        <w:kinsoku w:val="0"/>
        <w:overflowPunct w:val="0"/>
        <w:autoSpaceDE w:val="0"/>
        <w:autoSpaceDN w:val="0"/>
        <w:snapToGrid w:val="0"/>
        <w:spacing w:before="0" w:after="20"/>
        <w:ind w:left="0" w:firstLine="720"/>
        <w:rPr>
          <w:kern w:val="22"/>
          <w:szCs w:val="22"/>
        </w:rPr>
      </w:pPr>
      <w:r w:rsidRPr="0068290F">
        <w:rPr>
          <w:kern w:val="22"/>
          <w:szCs w:val="22"/>
        </w:rPr>
        <w:t>To address uncertainty in risk assessment of LMOs with complex traits;</w:t>
      </w:r>
    </w:p>
    <w:p w14:paraId="17BAAB5E" w14:textId="77777777" w:rsidR="00174832" w:rsidRPr="0068290F" w:rsidRDefault="00174832" w:rsidP="0068290F">
      <w:pPr>
        <w:pStyle w:val="Para1"/>
        <w:numPr>
          <w:ilvl w:val="0"/>
          <w:numId w:val="39"/>
        </w:numPr>
        <w:suppressLineNumbers/>
        <w:suppressAutoHyphens/>
        <w:kinsoku w:val="0"/>
        <w:overflowPunct w:val="0"/>
        <w:autoSpaceDE w:val="0"/>
        <w:autoSpaceDN w:val="0"/>
        <w:snapToGrid w:val="0"/>
        <w:spacing w:before="0" w:after="20"/>
        <w:ind w:left="0" w:firstLine="720"/>
        <w:rPr>
          <w:kern w:val="22"/>
          <w:szCs w:val="22"/>
        </w:rPr>
      </w:pPr>
      <w:r w:rsidRPr="0068290F">
        <w:rPr>
          <w:kern w:val="22"/>
          <w:szCs w:val="22"/>
        </w:rPr>
        <w:t>To adequately address human health and socio-economic considerations during the risk assessment;</w:t>
      </w:r>
    </w:p>
    <w:p w14:paraId="6F4CEA6B" w14:textId="77777777" w:rsidR="00341A86" w:rsidRPr="0068290F" w:rsidRDefault="00341A86" w:rsidP="0068290F">
      <w:pPr>
        <w:pStyle w:val="Para1"/>
        <w:numPr>
          <w:ilvl w:val="0"/>
          <w:numId w:val="39"/>
        </w:numPr>
        <w:suppressLineNumbers/>
        <w:suppressAutoHyphens/>
        <w:kinsoku w:val="0"/>
        <w:overflowPunct w:val="0"/>
        <w:autoSpaceDE w:val="0"/>
        <w:autoSpaceDN w:val="0"/>
        <w:snapToGrid w:val="0"/>
        <w:spacing w:before="0" w:after="20"/>
        <w:ind w:left="0" w:firstLine="720"/>
        <w:rPr>
          <w:kern w:val="22"/>
          <w:szCs w:val="22"/>
        </w:rPr>
      </w:pPr>
      <w:r w:rsidRPr="0068290F">
        <w:rPr>
          <w:kern w:val="22"/>
          <w:szCs w:val="22"/>
        </w:rPr>
        <w:t>To assess the impact of LMOs on the state and dynamics of biodiversity in interaction with agriculture (</w:t>
      </w:r>
      <w:r w:rsidR="00A53A46">
        <w:rPr>
          <w:kern w:val="22"/>
          <w:szCs w:val="22"/>
        </w:rPr>
        <w:t>for example,</w:t>
      </w:r>
      <w:r w:rsidRPr="00677B79">
        <w:rPr>
          <w:kern w:val="22"/>
          <w:szCs w:val="22"/>
        </w:rPr>
        <w:t xml:space="preserve"> farmland birds)</w:t>
      </w:r>
      <w:r w:rsidR="00C91039" w:rsidRPr="00677B79">
        <w:rPr>
          <w:kern w:val="22"/>
          <w:szCs w:val="22"/>
        </w:rPr>
        <w:t>;</w:t>
      </w:r>
    </w:p>
    <w:p w14:paraId="74CA10B1" w14:textId="77777777" w:rsidR="00174832" w:rsidRPr="0068290F" w:rsidRDefault="00174832" w:rsidP="0068290F">
      <w:pPr>
        <w:pStyle w:val="Para1"/>
        <w:numPr>
          <w:ilvl w:val="0"/>
          <w:numId w:val="39"/>
        </w:numPr>
        <w:suppressLineNumbers/>
        <w:suppressAutoHyphens/>
        <w:kinsoku w:val="0"/>
        <w:overflowPunct w:val="0"/>
        <w:autoSpaceDE w:val="0"/>
        <w:autoSpaceDN w:val="0"/>
        <w:snapToGrid w:val="0"/>
        <w:spacing w:before="0" w:after="20"/>
        <w:ind w:left="0" w:firstLine="720"/>
        <w:rPr>
          <w:kern w:val="22"/>
          <w:szCs w:val="22"/>
        </w:rPr>
      </w:pPr>
      <w:r w:rsidRPr="0068290F">
        <w:rPr>
          <w:kern w:val="22"/>
          <w:szCs w:val="22"/>
        </w:rPr>
        <w:t>To manage the risks identified during the risk assessment process;</w:t>
      </w:r>
    </w:p>
    <w:p w14:paraId="06EF4007" w14:textId="77777777" w:rsidR="00174832" w:rsidRPr="0068290F" w:rsidRDefault="00174832" w:rsidP="0068290F">
      <w:pPr>
        <w:pStyle w:val="Para1"/>
        <w:numPr>
          <w:ilvl w:val="0"/>
          <w:numId w:val="39"/>
        </w:numPr>
        <w:suppressLineNumbers/>
        <w:suppressAutoHyphens/>
        <w:kinsoku w:val="0"/>
        <w:overflowPunct w:val="0"/>
        <w:autoSpaceDE w:val="0"/>
        <w:autoSpaceDN w:val="0"/>
        <w:snapToGrid w:val="0"/>
        <w:spacing w:before="0" w:after="20"/>
        <w:ind w:left="0" w:firstLine="720"/>
        <w:rPr>
          <w:kern w:val="22"/>
          <w:szCs w:val="22"/>
        </w:rPr>
      </w:pPr>
      <w:r w:rsidRPr="0068290F">
        <w:rPr>
          <w:kern w:val="22"/>
          <w:szCs w:val="22"/>
        </w:rPr>
        <w:t>To deal with incomplete data from monitoring;</w:t>
      </w:r>
    </w:p>
    <w:p w14:paraId="23780B69" w14:textId="77777777" w:rsidR="00174832" w:rsidRPr="0068290F" w:rsidRDefault="00174832" w:rsidP="0068290F">
      <w:pPr>
        <w:pStyle w:val="Para1"/>
        <w:numPr>
          <w:ilvl w:val="0"/>
          <w:numId w:val="39"/>
        </w:numPr>
        <w:suppressLineNumbers/>
        <w:suppressAutoHyphens/>
        <w:kinsoku w:val="0"/>
        <w:overflowPunct w:val="0"/>
        <w:autoSpaceDE w:val="0"/>
        <w:autoSpaceDN w:val="0"/>
        <w:snapToGrid w:val="0"/>
        <w:spacing w:before="0" w:after="20"/>
        <w:ind w:left="0" w:firstLine="720"/>
        <w:rPr>
          <w:kern w:val="22"/>
          <w:szCs w:val="22"/>
        </w:rPr>
      </w:pPr>
      <w:r w:rsidRPr="0068290F">
        <w:rPr>
          <w:kern w:val="22"/>
          <w:szCs w:val="22"/>
        </w:rPr>
        <w:t>To draw lessons from the observations currently available;</w:t>
      </w:r>
    </w:p>
    <w:p w14:paraId="4F5A7DD5" w14:textId="77777777" w:rsidR="00174832" w:rsidRPr="0068290F" w:rsidRDefault="00174832" w:rsidP="0068290F">
      <w:pPr>
        <w:pStyle w:val="Para1"/>
        <w:numPr>
          <w:ilvl w:val="0"/>
          <w:numId w:val="39"/>
        </w:numPr>
        <w:suppressLineNumbers/>
        <w:suppressAutoHyphens/>
        <w:kinsoku w:val="0"/>
        <w:overflowPunct w:val="0"/>
        <w:autoSpaceDE w:val="0"/>
        <w:autoSpaceDN w:val="0"/>
        <w:snapToGrid w:val="0"/>
        <w:spacing w:before="0" w:after="20"/>
        <w:ind w:left="0" w:firstLine="720"/>
        <w:rPr>
          <w:kern w:val="22"/>
          <w:szCs w:val="22"/>
        </w:rPr>
      </w:pPr>
      <w:r w:rsidRPr="0068290F">
        <w:rPr>
          <w:kern w:val="22"/>
          <w:szCs w:val="22"/>
        </w:rPr>
        <w:t>To make existing material more accessible to less experienced risk assessors.</w:t>
      </w:r>
    </w:p>
    <w:p w14:paraId="5D9A212E" w14:textId="77777777" w:rsidR="00174832" w:rsidRPr="0068290F" w:rsidRDefault="00174832" w:rsidP="0068290F">
      <w:pPr>
        <w:pStyle w:val="Para1"/>
        <w:suppressLineNumbers/>
        <w:tabs>
          <w:tab w:val="clear" w:pos="360"/>
          <w:tab w:val="left" w:pos="720"/>
        </w:tabs>
        <w:suppressAutoHyphens/>
        <w:kinsoku w:val="0"/>
        <w:overflowPunct w:val="0"/>
        <w:autoSpaceDE w:val="0"/>
        <w:autoSpaceDN w:val="0"/>
        <w:snapToGrid w:val="0"/>
        <w:rPr>
          <w:kern w:val="22"/>
          <w:szCs w:val="22"/>
        </w:rPr>
      </w:pPr>
      <w:r w:rsidRPr="0068290F">
        <w:rPr>
          <w:kern w:val="22"/>
          <w:szCs w:val="22"/>
        </w:rPr>
        <w:lastRenderedPageBreak/>
        <w:t xml:space="preserve">Views regarding the </w:t>
      </w:r>
      <w:r w:rsidR="002B22D1">
        <w:rPr>
          <w:kern w:val="22"/>
          <w:szCs w:val="22"/>
        </w:rPr>
        <w:t>current</w:t>
      </w:r>
      <w:r w:rsidR="002B22D1" w:rsidRPr="0068290F">
        <w:rPr>
          <w:kern w:val="22"/>
          <w:szCs w:val="22"/>
        </w:rPr>
        <w:t xml:space="preserve"> </w:t>
      </w:r>
      <w:r w:rsidRPr="0068290F">
        <w:rPr>
          <w:kern w:val="22"/>
          <w:szCs w:val="22"/>
        </w:rPr>
        <w:t>need for additional guidance were heterogeneous, with the majority of Parties</w:t>
      </w:r>
      <w:r w:rsidR="009B2499">
        <w:rPr>
          <w:kern w:val="22"/>
          <w:szCs w:val="22"/>
        </w:rPr>
        <w:t xml:space="preserve"> that had</w:t>
      </w:r>
      <w:r w:rsidRPr="0068290F">
        <w:rPr>
          <w:kern w:val="22"/>
          <w:szCs w:val="22"/>
        </w:rPr>
        <w:t xml:space="preserve"> made submissions on this issue indicating the need for development of further guidance on specific topics of risk assessment. </w:t>
      </w:r>
      <w:r w:rsidR="0088631D" w:rsidRPr="0068290F">
        <w:rPr>
          <w:kern w:val="22"/>
          <w:szCs w:val="22"/>
        </w:rPr>
        <w:t>However, while many interventions in the online forum indicated gaps in existing guidance and put forward a number of topics as needing more development</w:t>
      </w:r>
      <w:r w:rsidR="00133476" w:rsidRPr="0068290F">
        <w:rPr>
          <w:kern w:val="22"/>
          <w:szCs w:val="22"/>
        </w:rPr>
        <w:t xml:space="preserve">, </w:t>
      </w:r>
      <w:r w:rsidR="0088631D" w:rsidRPr="0068290F">
        <w:rPr>
          <w:kern w:val="22"/>
          <w:szCs w:val="22"/>
        </w:rPr>
        <w:t>the</w:t>
      </w:r>
      <w:r w:rsidRPr="0068290F">
        <w:rPr>
          <w:kern w:val="22"/>
          <w:szCs w:val="22"/>
        </w:rPr>
        <w:t xml:space="preserve"> majority of interventions made in the forum were of the view that there are no gaps in the existing guidance materials and, therefore, no new guidance is needed. </w:t>
      </w:r>
      <w:r w:rsidR="00C91039" w:rsidRPr="0068290F">
        <w:rPr>
          <w:kern w:val="22"/>
          <w:szCs w:val="22"/>
        </w:rPr>
        <w:t>Furthermore, some P</w:t>
      </w:r>
      <w:r w:rsidR="009216C0" w:rsidRPr="0068290F">
        <w:rPr>
          <w:kern w:val="22"/>
          <w:szCs w:val="22"/>
        </w:rPr>
        <w:t>arties</w:t>
      </w:r>
      <w:r w:rsidR="00C91039" w:rsidRPr="0068290F">
        <w:rPr>
          <w:kern w:val="22"/>
          <w:szCs w:val="22"/>
        </w:rPr>
        <w:t xml:space="preserve"> and participants of the forum noted the importance of </w:t>
      </w:r>
      <w:r w:rsidR="00325A4D" w:rsidRPr="0068290F">
        <w:rPr>
          <w:kern w:val="22"/>
          <w:szCs w:val="22"/>
        </w:rPr>
        <w:t>sharing</w:t>
      </w:r>
      <w:r w:rsidR="00383A0A" w:rsidRPr="0068290F">
        <w:rPr>
          <w:kern w:val="22"/>
          <w:szCs w:val="22"/>
        </w:rPr>
        <w:t xml:space="preserve"> </w:t>
      </w:r>
      <w:r w:rsidR="00325A4D" w:rsidRPr="0068290F">
        <w:rPr>
          <w:kern w:val="22"/>
          <w:szCs w:val="22"/>
        </w:rPr>
        <w:t xml:space="preserve">experiences </w:t>
      </w:r>
      <w:r w:rsidR="00383A0A" w:rsidRPr="0068290F">
        <w:rPr>
          <w:kern w:val="22"/>
          <w:szCs w:val="22"/>
        </w:rPr>
        <w:t>on</w:t>
      </w:r>
      <w:r w:rsidR="00325A4D" w:rsidRPr="0068290F">
        <w:rPr>
          <w:kern w:val="22"/>
          <w:szCs w:val="22"/>
        </w:rPr>
        <w:t xml:space="preserve"> risk assessment.</w:t>
      </w:r>
    </w:p>
    <w:p w14:paraId="7CF7C284" w14:textId="77777777" w:rsidR="00174832" w:rsidRPr="0068290F" w:rsidRDefault="0088631D" w:rsidP="0068290F">
      <w:pPr>
        <w:pStyle w:val="Para1"/>
        <w:suppressLineNumbers/>
        <w:tabs>
          <w:tab w:val="clear" w:pos="360"/>
          <w:tab w:val="num" w:pos="720"/>
        </w:tabs>
        <w:suppressAutoHyphens/>
        <w:kinsoku w:val="0"/>
        <w:overflowPunct w:val="0"/>
        <w:autoSpaceDE w:val="0"/>
        <w:autoSpaceDN w:val="0"/>
        <w:rPr>
          <w:kern w:val="22"/>
          <w:szCs w:val="22"/>
        </w:rPr>
      </w:pPr>
      <w:r w:rsidRPr="0068290F">
        <w:rPr>
          <w:kern w:val="22"/>
          <w:szCs w:val="22"/>
        </w:rPr>
        <w:t xml:space="preserve">In their submissions, </w:t>
      </w:r>
      <w:r w:rsidR="006B1437">
        <w:rPr>
          <w:kern w:val="22"/>
          <w:szCs w:val="22"/>
        </w:rPr>
        <w:t>12</w:t>
      </w:r>
      <w:r w:rsidR="006B1437" w:rsidRPr="0068290F">
        <w:rPr>
          <w:kern w:val="22"/>
          <w:szCs w:val="22"/>
        </w:rPr>
        <w:t xml:space="preserve"> </w:t>
      </w:r>
      <w:r w:rsidR="00174832" w:rsidRPr="0068290F">
        <w:rPr>
          <w:kern w:val="22"/>
          <w:szCs w:val="22"/>
        </w:rPr>
        <w:t xml:space="preserve">Parties recommended that new guidance be developed on specific topics of risk assessment to provide additional assistance in addressing issues for which the </w:t>
      </w:r>
      <w:r w:rsidR="00D776D4" w:rsidRPr="008E13FC">
        <w:rPr>
          <w:kern w:val="22"/>
          <w:szCs w:val="22"/>
        </w:rPr>
        <w:t xml:space="preserve">guidelines </w:t>
      </w:r>
      <w:r w:rsidR="00174832" w:rsidRPr="0068290F">
        <w:rPr>
          <w:kern w:val="22"/>
          <w:szCs w:val="22"/>
        </w:rPr>
        <w:t>already available are not sufficient, in particular in relation to new developments which may pose new challenges for risk assessment and require new approaches.</w:t>
      </w:r>
      <w:r w:rsidR="004E10F2" w:rsidRPr="0068290F">
        <w:rPr>
          <w:kern w:val="22"/>
          <w:szCs w:val="22"/>
        </w:rPr>
        <w:t xml:space="preserve"> O</w:t>
      </w:r>
      <w:r w:rsidRPr="0068290F">
        <w:rPr>
          <w:kern w:val="22"/>
          <w:szCs w:val="22"/>
        </w:rPr>
        <w:t>f these Parties</w:t>
      </w:r>
      <w:r w:rsidR="004E10F2" w:rsidRPr="0068290F">
        <w:rPr>
          <w:kern w:val="22"/>
          <w:szCs w:val="22"/>
        </w:rPr>
        <w:t xml:space="preserve">, </w:t>
      </w:r>
      <w:r w:rsidR="00E27DF2">
        <w:rPr>
          <w:kern w:val="22"/>
          <w:szCs w:val="22"/>
        </w:rPr>
        <w:t>8</w:t>
      </w:r>
      <w:r w:rsidR="00E27DF2" w:rsidRPr="0068290F">
        <w:rPr>
          <w:kern w:val="22"/>
          <w:szCs w:val="22"/>
        </w:rPr>
        <w:t xml:space="preserve"> </w:t>
      </w:r>
      <w:r w:rsidRPr="0068290F">
        <w:rPr>
          <w:kern w:val="22"/>
          <w:szCs w:val="22"/>
        </w:rPr>
        <w:t>identified t</w:t>
      </w:r>
      <w:r w:rsidR="00174832" w:rsidRPr="0068290F">
        <w:rPr>
          <w:kern w:val="22"/>
          <w:szCs w:val="22"/>
        </w:rPr>
        <w:t>he topic of “risk assessment of organisms developed through synthetic biology, including organisms produced through genome editing and organisms containing engineered gene drives</w:t>
      </w:r>
      <w:r w:rsidR="00133476" w:rsidRPr="0068290F">
        <w:rPr>
          <w:kern w:val="22"/>
          <w:szCs w:val="22"/>
        </w:rPr>
        <w:t>”</w:t>
      </w:r>
      <w:r w:rsidR="004E10F2" w:rsidRPr="0068290F">
        <w:rPr>
          <w:kern w:val="22"/>
          <w:szCs w:val="22"/>
        </w:rPr>
        <w:t xml:space="preserve"> as priorities.</w:t>
      </w:r>
      <w:r w:rsidR="00174832" w:rsidRPr="0068290F">
        <w:rPr>
          <w:kern w:val="22"/>
          <w:szCs w:val="22"/>
        </w:rPr>
        <w:t xml:space="preserve"> </w:t>
      </w:r>
      <w:r w:rsidR="004E10F2" w:rsidRPr="0068290F">
        <w:rPr>
          <w:kern w:val="22"/>
          <w:szCs w:val="22"/>
        </w:rPr>
        <w:t xml:space="preserve">Another </w:t>
      </w:r>
      <w:r w:rsidR="00657CFA">
        <w:rPr>
          <w:kern w:val="22"/>
          <w:szCs w:val="22"/>
        </w:rPr>
        <w:t>8</w:t>
      </w:r>
      <w:r w:rsidR="00657CFA" w:rsidRPr="0068290F">
        <w:rPr>
          <w:kern w:val="22"/>
          <w:szCs w:val="22"/>
        </w:rPr>
        <w:t xml:space="preserve"> </w:t>
      </w:r>
      <w:r w:rsidR="004E10F2" w:rsidRPr="0068290F">
        <w:rPr>
          <w:kern w:val="22"/>
          <w:szCs w:val="22"/>
        </w:rPr>
        <w:t xml:space="preserve">Parties identified the topic of </w:t>
      </w:r>
      <w:r w:rsidR="00174832" w:rsidRPr="0068290F">
        <w:rPr>
          <w:kern w:val="22"/>
          <w:szCs w:val="22"/>
        </w:rPr>
        <w:t>“risk assessment of living modified fish”</w:t>
      </w:r>
      <w:r w:rsidR="004E10F2" w:rsidRPr="0068290F">
        <w:rPr>
          <w:kern w:val="22"/>
          <w:szCs w:val="22"/>
        </w:rPr>
        <w:t xml:space="preserve"> as a priority</w:t>
      </w:r>
      <w:r w:rsidR="00174832" w:rsidRPr="0068290F">
        <w:rPr>
          <w:kern w:val="22"/>
          <w:szCs w:val="22"/>
        </w:rPr>
        <w:t xml:space="preserve">. </w:t>
      </w:r>
      <w:r w:rsidR="00624268" w:rsidRPr="0068290F">
        <w:rPr>
          <w:kern w:val="22"/>
          <w:szCs w:val="22"/>
        </w:rPr>
        <w:t xml:space="preserve">Other topics, identified by three Parties were: risk assessments of living modified animals/mammals, arthropods (including insects and molluscs), and of microorganisms and viruses, risk assessment of the effects of </w:t>
      </w:r>
      <w:r w:rsidR="00A711CE">
        <w:rPr>
          <w:kern w:val="22"/>
          <w:szCs w:val="22"/>
        </w:rPr>
        <w:t>LMO</w:t>
      </w:r>
      <w:r w:rsidR="00624268" w:rsidRPr="0068290F">
        <w:rPr>
          <w:kern w:val="22"/>
          <w:szCs w:val="22"/>
        </w:rPr>
        <w:t>s on soil</w:t>
      </w:r>
      <w:r w:rsidR="009609FE">
        <w:rPr>
          <w:kern w:val="22"/>
          <w:szCs w:val="22"/>
        </w:rPr>
        <w:t>-</w:t>
      </w:r>
      <w:r w:rsidR="00624268" w:rsidRPr="0068290F">
        <w:rPr>
          <w:kern w:val="22"/>
          <w:szCs w:val="22"/>
        </w:rPr>
        <w:t>dwelling organisms, and the co-existence between LMOs and non-LMOs in the context of small</w:t>
      </w:r>
      <w:r w:rsidR="009609FE">
        <w:rPr>
          <w:kern w:val="22"/>
          <w:szCs w:val="22"/>
        </w:rPr>
        <w:t>-</w:t>
      </w:r>
      <w:r w:rsidR="00624268" w:rsidRPr="0068290F">
        <w:rPr>
          <w:kern w:val="22"/>
          <w:szCs w:val="22"/>
        </w:rPr>
        <w:t>scale farming.</w:t>
      </w:r>
      <w:r w:rsidR="00D56271" w:rsidRPr="0068290F">
        <w:rPr>
          <w:kern w:val="22"/>
          <w:szCs w:val="22"/>
        </w:rPr>
        <w:t xml:space="preserve"> These topics were also identified by some participants in the online forum. Justifications for the identification of the topics are provided in the submissions and/or the report of the online forum.</w:t>
      </w:r>
    </w:p>
    <w:p w14:paraId="47EE35DE" w14:textId="77777777" w:rsidR="0088631D" w:rsidRPr="0068290F" w:rsidRDefault="0088631D" w:rsidP="0068290F">
      <w:pPr>
        <w:pStyle w:val="Para1"/>
        <w:suppressLineNumbers/>
        <w:tabs>
          <w:tab w:val="clear" w:pos="360"/>
          <w:tab w:val="num" w:pos="720"/>
        </w:tabs>
        <w:suppressAutoHyphens/>
        <w:kinsoku w:val="0"/>
        <w:overflowPunct w:val="0"/>
        <w:autoSpaceDE w:val="0"/>
        <w:autoSpaceDN w:val="0"/>
        <w:snapToGrid w:val="0"/>
        <w:rPr>
          <w:kern w:val="22"/>
          <w:szCs w:val="22"/>
        </w:rPr>
      </w:pPr>
      <w:r w:rsidRPr="0068290F">
        <w:rPr>
          <w:kern w:val="22"/>
          <w:szCs w:val="22"/>
        </w:rPr>
        <w:t xml:space="preserve">The outcomes of the work of the Ad Hoc Technical Expert Group on </w:t>
      </w:r>
      <w:r w:rsidR="00133476" w:rsidRPr="0068290F">
        <w:rPr>
          <w:kern w:val="22"/>
          <w:szCs w:val="22"/>
        </w:rPr>
        <w:t>Synthetic Biology</w:t>
      </w:r>
      <w:r w:rsidRPr="0068290F">
        <w:rPr>
          <w:kern w:val="22"/>
          <w:szCs w:val="22"/>
        </w:rPr>
        <w:t>, established under the Convention, are also relevant in this context.</w:t>
      </w:r>
      <w:r w:rsidR="00767B3E" w:rsidRPr="00015F6F">
        <w:rPr>
          <w:rStyle w:val="FootnoteReference"/>
          <w:kern w:val="22"/>
          <w:sz w:val="22"/>
          <w:szCs w:val="22"/>
          <w:u w:val="none"/>
          <w:vertAlign w:val="superscript"/>
        </w:rPr>
        <w:footnoteReference w:id="6"/>
      </w:r>
    </w:p>
    <w:p w14:paraId="18955F7D" w14:textId="77777777" w:rsidR="00174832" w:rsidRPr="0068290F" w:rsidRDefault="00174832" w:rsidP="0068290F">
      <w:pPr>
        <w:pStyle w:val="Para1"/>
        <w:suppressLineNumbers/>
        <w:tabs>
          <w:tab w:val="clear" w:pos="360"/>
          <w:tab w:val="num" w:pos="720"/>
        </w:tabs>
        <w:suppressAutoHyphens/>
        <w:kinsoku w:val="0"/>
        <w:overflowPunct w:val="0"/>
        <w:autoSpaceDE w:val="0"/>
        <w:autoSpaceDN w:val="0"/>
        <w:snapToGrid w:val="0"/>
        <w:rPr>
          <w:kern w:val="22"/>
          <w:szCs w:val="22"/>
        </w:rPr>
      </w:pPr>
      <w:r w:rsidRPr="0068290F">
        <w:rPr>
          <w:kern w:val="22"/>
          <w:szCs w:val="22"/>
        </w:rPr>
        <w:t>Parties also shared views on the process for the selection of topics for the development of new guidance on risk assessment. A process was proposed to assist in the identification of topics for the development, under the Cartagena Protocol, of further guidance on risk assessment, taking into account resources on similar issues that have been developed by national, regional and international bodies, and analysing the extent to which the specific topics:</w:t>
      </w:r>
    </w:p>
    <w:p w14:paraId="357D1015" w14:textId="77777777" w:rsidR="00174832" w:rsidRPr="0068290F" w:rsidRDefault="00174832" w:rsidP="0068290F">
      <w:pPr>
        <w:pStyle w:val="Para1"/>
        <w:numPr>
          <w:ilvl w:val="0"/>
          <w:numId w:val="53"/>
        </w:numPr>
        <w:suppressLineNumbers/>
        <w:tabs>
          <w:tab w:val="left" w:pos="1440"/>
        </w:tabs>
        <w:suppressAutoHyphens/>
        <w:kinsoku w:val="0"/>
        <w:overflowPunct w:val="0"/>
        <w:autoSpaceDE w:val="0"/>
        <w:autoSpaceDN w:val="0"/>
        <w:spacing w:before="0" w:after="60"/>
        <w:ind w:left="0" w:firstLine="720"/>
        <w:rPr>
          <w:kern w:val="22"/>
          <w:szCs w:val="22"/>
        </w:rPr>
      </w:pPr>
      <w:r w:rsidRPr="0068290F">
        <w:rPr>
          <w:kern w:val="22"/>
          <w:szCs w:val="22"/>
        </w:rPr>
        <w:t>Fall within the scope and objective of the Cartagena Protocol;</w:t>
      </w:r>
    </w:p>
    <w:p w14:paraId="19DECF05" w14:textId="77777777" w:rsidR="00174832" w:rsidRPr="0068290F" w:rsidRDefault="00174832" w:rsidP="0068290F">
      <w:pPr>
        <w:pStyle w:val="Para1"/>
        <w:numPr>
          <w:ilvl w:val="0"/>
          <w:numId w:val="53"/>
        </w:numPr>
        <w:suppressLineNumbers/>
        <w:tabs>
          <w:tab w:val="left" w:pos="1440"/>
        </w:tabs>
        <w:suppressAutoHyphens/>
        <w:kinsoku w:val="0"/>
        <w:overflowPunct w:val="0"/>
        <w:autoSpaceDE w:val="0"/>
        <w:autoSpaceDN w:val="0"/>
        <w:spacing w:before="0" w:after="60"/>
        <w:ind w:left="0" w:firstLine="720"/>
        <w:rPr>
          <w:kern w:val="22"/>
          <w:szCs w:val="22"/>
        </w:rPr>
      </w:pPr>
      <w:r w:rsidRPr="0068290F">
        <w:rPr>
          <w:kern w:val="22"/>
          <w:szCs w:val="22"/>
        </w:rPr>
        <w:t>Pose challenges to existing risk assessment frameworks and methodologies;</w:t>
      </w:r>
    </w:p>
    <w:p w14:paraId="13B8C10B" w14:textId="77777777" w:rsidR="00174832" w:rsidRPr="0068290F" w:rsidRDefault="00174832" w:rsidP="0068290F">
      <w:pPr>
        <w:pStyle w:val="Para1"/>
        <w:numPr>
          <w:ilvl w:val="0"/>
          <w:numId w:val="53"/>
        </w:numPr>
        <w:suppressLineNumbers/>
        <w:suppressAutoHyphens/>
        <w:kinsoku w:val="0"/>
        <w:overflowPunct w:val="0"/>
        <w:autoSpaceDE w:val="0"/>
        <w:autoSpaceDN w:val="0"/>
        <w:spacing w:before="0" w:after="60"/>
        <w:ind w:left="0" w:firstLine="720"/>
        <w:rPr>
          <w:kern w:val="22"/>
          <w:szCs w:val="22"/>
        </w:rPr>
      </w:pPr>
      <w:r w:rsidRPr="0068290F">
        <w:rPr>
          <w:kern w:val="22"/>
          <w:szCs w:val="22"/>
        </w:rPr>
        <w:t>Involve technical knowledge and expertise that are available in the scientific community at large;</w:t>
      </w:r>
    </w:p>
    <w:p w14:paraId="31D28EC0" w14:textId="77777777" w:rsidR="00174832" w:rsidRPr="0068290F" w:rsidRDefault="00174832" w:rsidP="0068290F">
      <w:pPr>
        <w:pStyle w:val="Para1"/>
        <w:numPr>
          <w:ilvl w:val="0"/>
          <w:numId w:val="53"/>
        </w:numPr>
        <w:suppressLineNumbers/>
        <w:tabs>
          <w:tab w:val="left" w:pos="1440"/>
        </w:tabs>
        <w:suppressAutoHyphens/>
        <w:kinsoku w:val="0"/>
        <w:overflowPunct w:val="0"/>
        <w:autoSpaceDE w:val="0"/>
        <w:autoSpaceDN w:val="0"/>
        <w:spacing w:before="0" w:after="60"/>
        <w:ind w:left="0" w:firstLine="720"/>
        <w:rPr>
          <w:kern w:val="22"/>
          <w:szCs w:val="22"/>
        </w:rPr>
      </w:pPr>
      <w:r w:rsidRPr="0068290F">
        <w:rPr>
          <w:kern w:val="22"/>
          <w:szCs w:val="22"/>
        </w:rPr>
        <w:t>Concern techniques with a high pace of scientific and technological advancement;</w:t>
      </w:r>
    </w:p>
    <w:p w14:paraId="75BB27B9" w14:textId="77777777" w:rsidR="00174832" w:rsidRPr="0068290F" w:rsidRDefault="00174832" w:rsidP="0068290F">
      <w:pPr>
        <w:pStyle w:val="Para1"/>
        <w:numPr>
          <w:ilvl w:val="0"/>
          <w:numId w:val="53"/>
        </w:numPr>
        <w:suppressLineNumbers/>
        <w:tabs>
          <w:tab w:val="left" w:pos="1440"/>
        </w:tabs>
        <w:suppressAutoHyphens/>
        <w:kinsoku w:val="0"/>
        <w:overflowPunct w:val="0"/>
        <w:autoSpaceDE w:val="0"/>
        <w:autoSpaceDN w:val="0"/>
        <w:spacing w:before="0" w:after="60"/>
        <w:ind w:left="0" w:firstLine="720"/>
        <w:rPr>
          <w:kern w:val="22"/>
          <w:szCs w:val="22"/>
        </w:rPr>
      </w:pPr>
      <w:r w:rsidRPr="0068290F">
        <w:rPr>
          <w:kern w:val="22"/>
          <w:szCs w:val="22"/>
        </w:rPr>
        <w:t xml:space="preserve">Concern </w:t>
      </w:r>
      <w:r w:rsidR="00A711CE">
        <w:rPr>
          <w:kern w:val="22"/>
          <w:szCs w:val="22"/>
        </w:rPr>
        <w:t>LMO</w:t>
      </w:r>
      <w:r w:rsidRPr="0068290F">
        <w:rPr>
          <w:kern w:val="22"/>
          <w:szCs w:val="22"/>
        </w:rPr>
        <w:t>s that:</w:t>
      </w:r>
    </w:p>
    <w:p w14:paraId="27EFEB74" w14:textId="77777777" w:rsidR="00174832" w:rsidRPr="0068290F" w:rsidRDefault="00174832" w:rsidP="0068290F">
      <w:pPr>
        <w:pStyle w:val="Para1"/>
        <w:numPr>
          <w:ilvl w:val="0"/>
          <w:numId w:val="48"/>
        </w:numPr>
        <w:suppressLineNumbers/>
        <w:suppressAutoHyphens/>
        <w:kinsoku w:val="0"/>
        <w:overflowPunct w:val="0"/>
        <w:autoSpaceDE w:val="0"/>
        <w:autoSpaceDN w:val="0"/>
        <w:spacing w:before="0" w:after="60"/>
        <w:ind w:left="1980" w:hanging="540"/>
        <w:rPr>
          <w:kern w:val="22"/>
          <w:szCs w:val="22"/>
        </w:rPr>
      </w:pPr>
      <w:r w:rsidRPr="0068290F">
        <w:rPr>
          <w:kern w:val="22"/>
          <w:szCs w:val="22"/>
        </w:rPr>
        <w:t>Have the potential to cause serious or irreversible adverse effects on biodiversity, taking into account the urgent need to protect specific aspects of biodiversity such as an endemic/rare species, or a unique habitat or ecosystem;</w:t>
      </w:r>
    </w:p>
    <w:p w14:paraId="3A2895BC" w14:textId="77777777" w:rsidR="00174832" w:rsidRPr="0068290F" w:rsidRDefault="00174832" w:rsidP="0068290F">
      <w:pPr>
        <w:pStyle w:val="Para1"/>
        <w:numPr>
          <w:ilvl w:val="0"/>
          <w:numId w:val="48"/>
        </w:numPr>
        <w:suppressLineNumbers/>
        <w:suppressAutoHyphens/>
        <w:kinsoku w:val="0"/>
        <w:overflowPunct w:val="0"/>
        <w:autoSpaceDE w:val="0"/>
        <w:autoSpaceDN w:val="0"/>
        <w:spacing w:before="0" w:after="60"/>
        <w:ind w:left="1980" w:hanging="540"/>
        <w:rPr>
          <w:kern w:val="22"/>
          <w:szCs w:val="22"/>
        </w:rPr>
      </w:pPr>
      <w:r w:rsidRPr="0068290F">
        <w:rPr>
          <w:kern w:val="22"/>
          <w:szCs w:val="22"/>
        </w:rPr>
        <w:t>May be introduced into the environment either deliberately or accidentally;</w:t>
      </w:r>
    </w:p>
    <w:p w14:paraId="420529E9" w14:textId="77777777" w:rsidR="00174832" w:rsidRPr="0068290F" w:rsidRDefault="00174832" w:rsidP="0068290F">
      <w:pPr>
        <w:pStyle w:val="Para1"/>
        <w:numPr>
          <w:ilvl w:val="0"/>
          <w:numId w:val="48"/>
        </w:numPr>
        <w:suppressLineNumbers/>
        <w:suppressAutoHyphens/>
        <w:kinsoku w:val="0"/>
        <w:overflowPunct w:val="0"/>
        <w:autoSpaceDE w:val="0"/>
        <w:autoSpaceDN w:val="0"/>
        <w:spacing w:before="0" w:after="60"/>
        <w:ind w:left="1980" w:hanging="540"/>
        <w:rPr>
          <w:kern w:val="22"/>
          <w:szCs w:val="22"/>
        </w:rPr>
      </w:pPr>
      <w:r w:rsidRPr="0068290F">
        <w:rPr>
          <w:kern w:val="22"/>
          <w:szCs w:val="22"/>
        </w:rPr>
        <w:t>Have the potential to disseminate across territorial borders;</w:t>
      </w:r>
    </w:p>
    <w:p w14:paraId="5B25969A" w14:textId="77777777" w:rsidR="00174832" w:rsidRPr="0068290F" w:rsidRDefault="00174832" w:rsidP="0068290F">
      <w:pPr>
        <w:pStyle w:val="Para1"/>
        <w:numPr>
          <w:ilvl w:val="0"/>
          <w:numId w:val="48"/>
        </w:numPr>
        <w:suppressLineNumbers/>
        <w:suppressAutoHyphens/>
        <w:kinsoku w:val="0"/>
        <w:overflowPunct w:val="0"/>
        <w:autoSpaceDE w:val="0"/>
        <w:autoSpaceDN w:val="0"/>
        <w:spacing w:before="0" w:after="60"/>
        <w:ind w:left="1980" w:hanging="540"/>
        <w:rPr>
          <w:b/>
          <w:kern w:val="22"/>
          <w:szCs w:val="22"/>
        </w:rPr>
      </w:pPr>
      <w:r w:rsidRPr="0068290F">
        <w:rPr>
          <w:kern w:val="22"/>
          <w:szCs w:val="22"/>
        </w:rPr>
        <w:t>Are already, or are likely to be, commerciali</w:t>
      </w:r>
      <w:r w:rsidR="006B1437">
        <w:rPr>
          <w:kern w:val="22"/>
          <w:szCs w:val="22"/>
        </w:rPr>
        <w:t>z</w:t>
      </w:r>
      <w:r w:rsidRPr="0068290F">
        <w:rPr>
          <w:kern w:val="22"/>
          <w:szCs w:val="22"/>
        </w:rPr>
        <w:t>ed or in use somewhere in the world.</w:t>
      </w:r>
    </w:p>
    <w:p w14:paraId="4C0F6C4F" w14:textId="77777777" w:rsidR="00E3156A" w:rsidRPr="0068290F" w:rsidRDefault="00E3156A" w:rsidP="0068290F">
      <w:pPr>
        <w:pStyle w:val="Para1"/>
        <w:suppressLineNumbers/>
        <w:tabs>
          <w:tab w:val="clear" w:pos="360"/>
          <w:tab w:val="left" w:pos="720"/>
        </w:tabs>
        <w:suppressAutoHyphens/>
        <w:kinsoku w:val="0"/>
        <w:overflowPunct w:val="0"/>
        <w:autoSpaceDE w:val="0"/>
        <w:autoSpaceDN w:val="0"/>
        <w:snapToGrid w:val="0"/>
        <w:rPr>
          <w:kern w:val="22"/>
          <w:szCs w:val="22"/>
        </w:rPr>
      </w:pPr>
      <w:r w:rsidRPr="0068290F">
        <w:rPr>
          <w:kern w:val="22"/>
          <w:szCs w:val="22"/>
        </w:rPr>
        <w:t>Another prominent issue discussed during the online forum was whether or not benefit analysis should be included as part of the risk assessment. Opinions diverged between those who supported this view and those who considered that benefit analysis should be done outside the risk assessment. It was also noted by some participants that benefit analysis does not fall under the scope of the Cartagena Protocol.</w:t>
      </w:r>
    </w:p>
    <w:p w14:paraId="06BAEECA" w14:textId="77777777" w:rsidR="00E3156A" w:rsidRPr="0068290F" w:rsidRDefault="00810109" w:rsidP="0068290F">
      <w:pPr>
        <w:pStyle w:val="ListParagraph"/>
        <w:keepNext/>
        <w:numPr>
          <w:ilvl w:val="0"/>
          <w:numId w:val="37"/>
        </w:numPr>
        <w:suppressLineNumbers/>
        <w:suppressAutoHyphens/>
        <w:kinsoku w:val="0"/>
        <w:overflowPunct w:val="0"/>
        <w:autoSpaceDE w:val="0"/>
        <w:autoSpaceDN w:val="0"/>
        <w:spacing w:before="120" w:after="120"/>
        <w:contextualSpacing w:val="0"/>
        <w:jc w:val="center"/>
        <w:rPr>
          <w:b/>
          <w:snapToGrid w:val="0"/>
          <w:kern w:val="22"/>
          <w:szCs w:val="22"/>
        </w:rPr>
      </w:pPr>
      <w:r w:rsidRPr="0068290F">
        <w:rPr>
          <w:b/>
          <w:snapToGrid w:val="0"/>
          <w:kern w:val="22"/>
          <w:szCs w:val="22"/>
        </w:rPr>
        <w:lastRenderedPageBreak/>
        <w:t>SUGGESTED</w:t>
      </w:r>
      <w:r w:rsidR="00E10A2E" w:rsidRPr="0068290F">
        <w:rPr>
          <w:b/>
          <w:snapToGrid w:val="0"/>
          <w:kern w:val="22"/>
          <w:szCs w:val="22"/>
        </w:rPr>
        <w:t xml:space="preserve"> </w:t>
      </w:r>
      <w:r w:rsidR="00E3156A" w:rsidRPr="0068290F">
        <w:rPr>
          <w:b/>
          <w:snapToGrid w:val="0"/>
          <w:kern w:val="22"/>
          <w:szCs w:val="22"/>
        </w:rPr>
        <w:t>RECOMMENDATION</w:t>
      </w:r>
      <w:r w:rsidRPr="0068290F">
        <w:rPr>
          <w:b/>
          <w:snapToGrid w:val="0"/>
          <w:kern w:val="22"/>
          <w:szCs w:val="22"/>
        </w:rPr>
        <w:t>S</w:t>
      </w:r>
    </w:p>
    <w:p w14:paraId="4C6777ED" w14:textId="77777777" w:rsidR="00E05F17" w:rsidRPr="0068290F" w:rsidRDefault="00E05F17" w:rsidP="0068290F">
      <w:pPr>
        <w:pStyle w:val="Para1"/>
        <w:suppressLineNumbers/>
        <w:tabs>
          <w:tab w:val="clear" w:pos="360"/>
          <w:tab w:val="left" w:pos="720"/>
        </w:tabs>
        <w:suppressAutoHyphens/>
        <w:kinsoku w:val="0"/>
        <w:overflowPunct w:val="0"/>
        <w:autoSpaceDE w:val="0"/>
        <w:autoSpaceDN w:val="0"/>
        <w:snapToGrid w:val="0"/>
        <w:rPr>
          <w:kern w:val="22"/>
          <w:szCs w:val="22"/>
        </w:rPr>
      </w:pPr>
      <w:r w:rsidRPr="0068290F">
        <w:rPr>
          <w:kern w:val="22"/>
          <w:szCs w:val="22"/>
        </w:rPr>
        <w:t xml:space="preserve">The Subsidiary Body on Scientific, Technical and Technological Advice may wish to recommend that the Conference of the Parties </w:t>
      </w:r>
      <w:r w:rsidR="00E10A2E" w:rsidRPr="0068290F">
        <w:rPr>
          <w:kern w:val="22"/>
          <w:szCs w:val="22"/>
        </w:rPr>
        <w:t xml:space="preserve">serving as the meeting </w:t>
      </w:r>
      <w:r w:rsidR="000F04FE">
        <w:rPr>
          <w:kern w:val="22"/>
          <w:szCs w:val="22"/>
        </w:rPr>
        <w:t>of</w:t>
      </w:r>
      <w:r w:rsidR="000F04FE" w:rsidRPr="0068290F">
        <w:rPr>
          <w:kern w:val="22"/>
          <w:szCs w:val="22"/>
        </w:rPr>
        <w:t xml:space="preserve"> </w:t>
      </w:r>
      <w:r w:rsidR="00E10A2E" w:rsidRPr="0068290F">
        <w:rPr>
          <w:kern w:val="22"/>
          <w:szCs w:val="22"/>
        </w:rPr>
        <w:t xml:space="preserve">the Parties to the Cartagena Protocol on Biosafety </w:t>
      </w:r>
      <w:r w:rsidRPr="0068290F">
        <w:rPr>
          <w:kern w:val="22"/>
          <w:szCs w:val="22"/>
        </w:rPr>
        <w:t>adopt a decision along the following lines:</w:t>
      </w:r>
    </w:p>
    <w:p w14:paraId="38708FF2" w14:textId="77777777" w:rsidR="00E05F17" w:rsidRPr="0068290F" w:rsidRDefault="00E05F17" w:rsidP="0068290F">
      <w:pPr>
        <w:pStyle w:val="Para1"/>
        <w:numPr>
          <w:ilvl w:val="0"/>
          <w:numId w:val="0"/>
        </w:numPr>
        <w:suppressLineNumbers/>
        <w:suppressAutoHyphens/>
        <w:kinsoku w:val="0"/>
        <w:overflowPunct w:val="0"/>
        <w:autoSpaceDE w:val="0"/>
        <w:autoSpaceDN w:val="0"/>
        <w:snapToGrid w:val="0"/>
        <w:ind w:firstLine="720"/>
        <w:rPr>
          <w:i/>
          <w:kern w:val="22"/>
          <w:szCs w:val="22"/>
        </w:rPr>
      </w:pPr>
      <w:r w:rsidRPr="0068290F">
        <w:rPr>
          <w:i/>
          <w:kern w:val="22"/>
          <w:szCs w:val="22"/>
        </w:rPr>
        <w:t>The Conference of the Parties</w:t>
      </w:r>
      <w:r w:rsidR="0044496E" w:rsidRPr="0068290F">
        <w:rPr>
          <w:i/>
          <w:kern w:val="22"/>
          <w:szCs w:val="22"/>
        </w:rPr>
        <w:t xml:space="preserve"> serving as the meeting to the Parties to the Cartagena Protocol on Biosafety</w:t>
      </w:r>
      <w:r w:rsidRPr="0068290F">
        <w:rPr>
          <w:i/>
          <w:kern w:val="22"/>
          <w:szCs w:val="22"/>
        </w:rPr>
        <w:t>,</w:t>
      </w:r>
    </w:p>
    <w:p w14:paraId="514F1061" w14:textId="3BC04377" w:rsidR="00E3156A" w:rsidRPr="0068290F" w:rsidRDefault="00A2407B" w:rsidP="0068290F">
      <w:pPr>
        <w:pStyle w:val="Para1"/>
        <w:numPr>
          <w:ilvl w:val="0"/>
          <w:numId w:val="0"/>
        </w:numPr>
        <w:suppressLineNumbers/>
        <w:tabs>
          <w:tab w:val="left" w:pos="720"/>
        </w:tabs>
        <w:suppressAutoHyphens/>
        <w:kinsoku w:val="0"/>
        <w:overflowPunct w:val="0"/>
        <w:autoSpaceDE w:val="0"/>
        <w:autoSpaceDN w:val="0"/>
        <w:snapToGrid w:val="0"/>
        <w:ind w:firstLine="720"/>
        <w:rPr>
          <w:kern w:val="22"/>
          <w:szCs w:val="22"/>
        </w:rPr>
      </w:pPr>
      <w:r w:rsidRPr="0068290F">
        <w:rPr>
          <w:i/>
          <w:kern w:val="22"/>
          <w:szCs w:val="22"/>
        </w:rPr>
        <w:t xml:space="preserve">Recalling </w:t>
      </w:r>
      <w:r w:rsidR="00E3156A" w:rsidRPr="0068290F">
        <w:rPr>
          <w:kern w:val="22"/>
          <w:szCs w:val="22"/>
        </w:rPr>
        <w:t>decision</w:t>
      </w:r>
      <w:r w:rsidR="00E10A2E" w:rsidRPr="0068290F">
        <w:rPr>
          <w:kern w:val="22"/>
          <w:szCs w:val="22"/>
        </w:rPr>
        <w:t>s</w:t>
      </w:r>
      <w:r w:rsidR="00E3156A" w:rsidRPr="0068290F">
        <w:rPr>
          <w:kern w:val="22"/>
          <w:szCs w:val="22"/>
        </w:rPr>
        <w:t xml:space="preserve"> </w:t>
      </w:r>
      <w:r w:rsidR="003F7E85" w:rsidRPr="00E47189">
        <w:t>BS-</w:t>
      </w:r>
      <w:hyperlink r:id="rId13" w:history="1">
        <w:r w:rsidR="003F7E85" w:rsidRPr="003F7E85">
          <w:rPr>
            <w:rStyle w:val="Hyperlink"/>
            <w:kern w:val="22"/>
            <w:szCs w:val="22"/>
          </w:rPr>
          <w:t>VII/12</w:t>
        </w:r>
      </w:hyperlink>
      <w:r w:rsidR="00810109" w:rsidRPr="0068290F">
        <w:rPr>
          <w:kern w:val="22"/>
          <w:szCs w:val="22"/>
        </w:rPr>
        <w:t xml:space="preserve"> and </w:t>
      </w:r>
      <w:hyperlink r:id="rId14" w:history="1">
        <w:r w:rsidR="00810109" w:rsidRPr="0068290F">
          <w:rPr>
            <w:rStyle w:val="Hyperlink"/>
            <w:kern w:val="22"/>
            <w:szCs w:val="22"/>
          </w:rPr>
          <w:t>XII/24</w:t>
        </w:r>
      </w:hyperlink>
      <w:r w:rsidR="00810109" w:rsidRPr="00B7158E">
        <w:rPr>
          <w:kern w:val="22"/>
          <w:szCs w:val="22"/>
        </w:rPr>
        <w:t xml:space="preserve"> </w:t>
      </w:r>
      <w:r w:rsidR="00E3156A" w:rsidRPr="0068290F">
        <w:rPr>
          <w:kern w:val="22"/>
          <w:szCs w:val="22"/>
        </w:rPr>
        <w:t>recommending a coordinated approach on the issue of synthetic biology</w:t>
      </w:r>
      <w:r w:rsidR="00E10A2E" w:rsidRPr="0068290F">
        <w:rPr>
          <w:kern w:val="22"/>
          <w:szCs w:val="22"/>
        </w:rPr>
        <w:t>,</w:t>
      </w:r>
    </w:p>
    <w:p w14:paraId="61342E6E" w14:textId="77777777" w:rsidR="002910D1" w:rsidRPr="0068290F" w:rsidRDefault="002910D1" w:rsidP="0068290F">
      <w:pPr>
        <w:pStyle w:val="Para1"/>
        <w:numPr>
          <w:ilvl w:val="0"/>
          <w:numId w:val="46"/>
        </w:numPr>
        <w:suppressLineNumbers/>
        <w:tabs>
          <w:tab w:val="left" w:pos="720"/>
        </w:tabs>
        <w:suppressAutoHyphens/>
        <w:kinsoku w:val="0"/>
        <w:overflowPunct w:val="0"/>
        <w:autoSpaceDE w:val="0"/>
        <w:autoSpaceDN w:val="0"/>
        <w:snapToGrid w:val="0"/>
        <w:ind w:left="0" w:firstLine="720"/>
        <w:rPr>
          <w:kern w:val="22"/>
          <w:szCs w:val="22"/>
        </w:rPr>
      </w:pPr>
      <w:r w:rsidRPr="0068290F">
        <w:rPr>
          <w:i/>
          <w:kern w:val="22"/>
          <w:szCs w:val="22"/>
        </w:rPr>
        <w:t>Notes</w:t>
      </w:r>
      <w:r w:rsidRPr="0068290F">
        <w:rPr>
          <w:kern w:val="22"/>
          <w:szCs w:val="22"/>
        </w:rPr>
        <w:t xml:space="preserve"> the availability of numerous guidance documents and other resources to support the process of risk assessment</w:t>
      </w:r>
      <w:r w:rsidR="009E3C85">
        <w:rPr>
          <w:kern w:val="22"/>
          <w:szCs w:val="22"/>
        </w:rPr>
        <w:t>,</w:t>
      </w:r>
      <w:r w:rsidRPr="0068290F">
        <w:rPr>
          <w:kern w:val="22"/>
          <w:szCs w:val="22"/>
        </w:rPr>
        <w:t xml:space="preserve"> but </w:t>
      </w:r>
      <w:r w:rsidRPr="0068290F">
        <w:rPr>
          <w:i/>
          <w:kern w:val="22"/>
          <w:szCs w:val="22"/>
        </w:rPr>
        <w:t>recognizes</w:t>
      </w:r>
      <w:r w:rsidRPr="0068290F">
        <w:rPr>
          <w:kern w:val="22"/>
          <w:szCs w:val="22"/>
        </w:rPr>
        <w:t xml:space="preserve"> the gaps and needs identified by some Parties</w:t>
      </w:r>
      <w:r w:rsidR="00C5728C" w:rsidRPr="0068290F">
        <w:rPr>
          <w:kern w:val="22"/>
          <w:szCs w:val="22"/>
        </w:rPr>
        <w:t>;</w:t>
      </w:r>
    </w:p>
    <w:p w14:paraId="29E61FF5" w14:textId="77777777" w:rsidR="002910D1" w:rsidRPr="0068290F" w:rsidRDefault="002910D1" w:rsidP="0068290F">
      <w:pPr>
        <w:pStyle w:val="Para1"/>
        <w:numPr>
          <w:ilvl w:val="0"/>
          <w:numId w:val="46"/>
        </w:numPr>
        <w:suppressLineNumbers/>
        <w:tabs>
          <w:tab w:val="left" w:pos="720"/>
        </w:tabs>
        <w:suppressAutoHyphens/>
        <w:kinsoku w:val="0"/>
        <w:overflowPunct w:val="0"/>
        <w:autoSpaceDE w:val="0"/>
        <w:autoSpaceDN w:val="0"/>
        <w:snapToGrid w:val="0"/>
        <w:ind w:left="0" w:firstLine="720"/>
        <w:rPr>
          <w:kern w:val="22"/>
          <w:szCs w:val="22"/>
        </w:rPr>
      </w:pPr>
      <w:r w:rsidRPr="0068290F">
        <w:rPr>
          <w:i/>
          <w:kern w:val="22"/>
          <w:szCs w:val="22"/>
        </w:rPr>
        <w:t>Recognizes</w:t>
      </w:r>
      <w:r w:rsidRPr="0068290F">
        <w:rPr>
          <w:kern w:val="22"/>
          <w:szCs w:val="22"/>
        </w:rPr>
        <w:t xml:space="preserve"> the divergence of views among Parties on whether or not additional guidance on specific topics of risk assessment is needed</w:t>
      </w:r>
      <w:r w:rsidR="00C5728C" w:rsidRPr="0068290F">
        <w:rPr>
          <w:kern w:val="22"/>
          <w:szCs w:val="22"/>
        </w:rPr>
        <w:t>;</w:t>
      </w:r>
    </w:p>
    <w:p w14:paraId="7C64C65A" w14:textId="77777777" w:rsidR="00E3156A" w:rsidRPr="0068290F" w:rsidRDefault="00E3156A" w:rsidP="0068290F">
      <w:pPr>
        <w:pStyle w:val="Para1"/>
        <w:numPr>
          <w:ilvl w:val="0"/>
          <w:numId w:val="46"/>
        </w:numPr>
        <w:suppressLineNumbers/>
        <w:tabs>
          <w:tab w:val="left" w:pos="720"/>
        </w:tabs>
        <w:suppressAutoHyphens/>
        <w:kinsoku w:val="0"/>
        <w:overflowPunct w:val="0"/>
        <w:autoSpaceDE w:val="0"/>
        <w:autoSpaceDN w:val="0"/>
        <w:snapToGrid w:val="0"/>
        <w:ind w:left="0" w:firstLine="720"/>
        <w:rPr>
          <w:kern w:val="22"/>
          <w:szCs w:val="22"/>
        </w:rPr>
      </w:pPr>
      <w:r w:rsidRPr="0068290F">
        <w:rPr>
          <w:i/>
          <w:kern w:val="22"/>
          <w:szCs w:val="22"/>
        </w:rPr>
        <w:t>Takes note</w:t>
      </w:r>
      <w:r w:rsidRPr="0068290F">
        <w:rPr>
          <w:kern w:val="22"/>
          <w:szCs w:val="22"/>
        </w:rPr>
        <w:t xml:space="preserve"> of the work of the Ad Hoc Technical Expert Group on Synthetic Biology, and in particular</w:t>
      </w:r>
      <w:r w:rsidR="00F01040" w:rsidRPr="0068290F">
        <w:rPr>
          <w:kern w:val="22"/>
          <w:szCs w:val="22"/>
        </w:rPr>
        <w:t>,</w:t>
      </w:r>
      <w:r w:rsidRPr="0068290F">
        <w:rPr>
          <w:kern w:val="22"/>
          <w:szCs w:val="22"/>
        </w:rPr>
        <w:t xml:space="preserve"> </w:t>
      </w:r>
      <w:r w:rsidR="00F01040" w:rsidRPr="0068290F">
        <w:rPr>
          <w:i/>
          <w:kern w:val="22"/>
          <w:szCs w:val="22"/>
        </w:rPr>
        <w:t>notes</w:t>
      </w:r>
      <w:r w:rsidR="00F01040" w:rsidRPr="0068290F">
        <w:rPr>
          <w:kern w:val="22"/>
          <w:szCs w:val="22"/>
        </w:rPr>
        <w:t xml:space="preserve"> </w:t>
      </w:r>
      <w:r w:rsidRPr="0068290F">
        <w:rPr>
          <w:kern w:val="22"/>
          <w:szCs w:val="22"/>
        </w:rPr>
        <w:t>that</w:t>
      </w:r>
      <w:r w:rsidR="009E3C85">
        <w:rPr>
          <w:kern w:val="22"/>
          <w:szCs w:val="22"/>
        </w:rPr>
        <w:t>,</w:t>
      </w:r>
      <w:r w:rsidR="005A544F" w:rsidRPr="0068290F">
        <w:rPr>
          <w:kern w:val="22"/>
          <w:szCs w:val="22"/>
        </w:rPr>
        <w:t xml:space="preserve"> while there can be potential benefits </w:t>
      </w:r>
      <w:r w:rsidR="00596B10" w:rsidRPr="0068290F">
        <w:rPr>
          <w:kern w:val="22"/>
          <w:szCs w:val="22"/>
        </w:rPr>
        <w:t xml:space="preserve">arising from </w:t>
      </w:r>
      <w:r w:rsidR="005A544F" w:rsidRPr="0068290F">
        <w:rPr>
          <w:kern w:val="22"/>
          <w:szCs w:val="22"/>
        </w:rPr>
        <w:t xml:space="preserve">organisms containing engineered gene drives, </w:t>
      </w:r>
      <w:r w:rsidRPr="0068290F">
        <w:rPr>
          <w:kern w:val="22"/>
          <w:szCs w:val="22"/>
        </w:rPr>
        <w:t>additional research and guidance are needed before any</w:t>
      </w:r>
      <w:r w:rsidR="005A544F" w:rsidRPr="0068290F">
        <w:rPr>
          <w:kern w:val="22"/>
          <w:szCs w:val="22"/>
        </w:rPr>
        <w:t xml:space="preserve"> such</w:t>
      </w:r>
      <w:r w:rsidRPr="0068290F">
        <w:rPr>
          <w:kern w:val="22"/>
          <w:szCs w:val="22"/>
        </w:rPr>
        <w:t xml:space="preserve"> organism can be considered for release into the environment, including into lands and territories of indigenous peoples and local communities</w:t>
      </w:r>
      <w:r w:rsidR="00C5728C" w:rsidRPr="0068290F">
        <w:rPr>
          <w:kern w:val="22"/>
          <w:szCs w:val="22"/>
        </w:rPr>
        <w:t>;</w:t>
      </w:r>
    </w:p>
    <w:p w14:paraId="411A6E6B" w14:textId="77777777" w:rsidR="00E3156A" w:rsidRPr="0068290F" w:rsidRDefault="00596B10" w:rsidP="0068290F">
      <w:pPr>
        <w:pStyle w:val="Para1"/>
        <w:numPr>
          <w:ilvl w:val="0"/>
          <w:numId w:val="46"/>
        </w:numPr>
        <w:suppressLineNumbers/>
        <w:suppressAutoHyphens/>
        <w:kinsoku w:val="0"/>
        <w:overflowPunct w:val="0"/>
        <w:autoSpaceDE w:val="0"/>
        <w:autoSpaceDN w:val="0"/>
        <w:snapToGrid w:val="0"/>
        <w:ind w:left="0" w:firstLine="720"/>
        <w:rPr>
          <w:kern w:val="22"/>
          <w:szCs w:val="22"/>
        </w:rPr>
      </w:pPr>
      <w:r w:rsidRPr="0068290F">
        <w:rPr>
          <w:i/>
          <w:kern w:val="22"/>
          <w:szCs w:val="22"/>
        </w:rPr>
        <w:t>Calls for</w:t>
      </w:r>
      <w:r w:rsidR="00E3156A" w:rsidRPr="0068290F">
        <w:rPr>
          <w:kern w:val="22"/>
          <w:szCs w:val="22"/>
        </w:rPr>
        <w:t xml:space="preserve"> broad international cooperation to assess the </w:t>
      </w:r>
      <w:r w:rsidR="002C213F" w:rsidRPr="0068290F">
        <w:rPr>
          <w:kern w:val="22"/>
          <w:szCs w:val="22"/>
        </w:rPr>
        <w:t xml:space="preserve">potential adverse effects </w:t>
      </w:r>
      <w:r w:rsidR="00E3156A" w:rsidRPr="0068290F">
        <w:rPr>
          <w:kern w:val="22"/>
          <w:szCs w:val="22"/>
        </w:rPr>
        <w:t xml:space="preserve">to the </w:t>
      </w:r>
      <w:r w:rsidR="002C213F" w:rsidRPr="0068290F">
        <w:rPr>
          <w:kern w:val="22"/>
          <w:szCs w:val="22"/>
        </w:rPr>
        <w:t xml:space="preserve">conservation and sustainable use of biodiversity, taking into account human health, </w:t>
      </w:r>
      <w:r w:rsidR="00E3156A" w:rsidRPr="0068290F">
        <w:rPr>
          <w:kern w:val="22"/>
          <w:szCs w:val="22"/>
        </w:rPr>
        <w:t>from organisms</w:t>
      </w:r>
      <w:r w:rsidR="0027430E" w:rsidRPr="0068290F">
        <w:rPr>
          <w:kern w:val="22"/>
          <w:szCs w:val="22"/>
        </w:rPr>
        <w:t xml:space="preserve"> produced through genome editing, organisms </w:t>
      </w:r>
      <w:r w:rsidR="00E3156A" w:rsidRPr="0068290F">
        <w:rPr>
          <w:kern w:val="22"/>
          <w:szCs w:val="22"/>
        </w:rPr>
        <w:t>containing engineered gene drives</w:t>
      </w:r>
      <w:r w:rsidR="00B46FB5" w:rsidRPr="0068290F">
        <w:rPr>
          <w:kern w:val="22"/>
          <w:szCs w:val="22"/>
        </w:rPr>
        <w:t xml:space="preserve"> and living modified fish</w:t>
      </w:r>
      <w:r w:rsidR="00C5728C" w:rsidRPr="0068290F">
        <w:rPr>
          <w:kern w:val="22"/>
          <w:szCs w:val="22"/>
        </w:rPr>
        <w:t>;</w:t>
      </w:r>
    </w:p>
    <w:p w14:paraId="2E0AE54D" w14:textId="77777777" w:rsidR="00C07A5B" w:rsidRPr="0068290F" w:rsidRDefault="00E3156A" w:rsidP="0068290F">
      <w:pPr>
        <w:pStyle w:val="Para1"/>
        <w:numPr>
          <w:ilvl w:val="0"/>
          <w:numId w:val="46"/>
        </w:numPr>
        <w:suppressLineNumbers/>
        <w:tabs>
          <w:tab w:val="left" w:pos="720"/>
        </w:tabs>
        <w:suppressAutoHyphens/>
        <w:kinsoku w:val="0"/>
        <w:overflowPunct w:val="0"/>
        <w:autoSpaceDE w:val="0"/>
        <w:autoSpaceDN w:val="0"/>
        <w:snapToGrid w:val="0"/>
        <w:ind w:left="0" w:firstLine="720"/>
        <w:rPr>
          <w:kern w:val="22"/>
          <w:szCs w:val="22"/>
        </w:rPr>
      </w:pPr>
      <w:r w:rsidRPr="0068290F">
        <w:rPr>
          <w:i/>
          <w:kern w:val="22"/>
          <w:szCs w:val="22"/>
        </w:rPr>
        <w:t>Decides</w:t>
      </w:r>
      <w:r w:rsidRPr="0068290F">
        <w:rPr>
          <w:kern w:val="22"/>
          <w:szCs w:val="22"/>
        </w:rPr>
        <w:t xml:space="preserve"> to </w:t>
      </w:r>
      <w:r w:rsidR="00596B10" w:rsidRPr="0068290F">
        <w:rPr>
          <w:kern w:val="22"/>
          <w:szCs w:val="22"/>
        </w:rPr>
        <w:t xml:space="preserve">carry out </w:t>
      </w:r>
      <w:r w:rsidRPr="0068290F">
        <w:rPr>
          <w:kern w:val="22"/>
          <w:szCs w:val="22"/>
        </w:rPr>
        <w:t>a comprehensive study regarding the potential adverse effects to</w:t>
      </w:r>
      <w:r w:rsidR="002C213F" w:rsidRPr="0068290F">
        <w:rPr>
          <w:kern w:val="22"/>
          <w:szCs w:val="22"/>
        </w:rPr>
        <w:t xml:space="preserve"> the conservation and sustainable use of</w:t>
      </w:r>
      <w:r w:rsidRPr="0068290F">
        <w:rPr>
          <w:kern w:val="22"/>
          <w:szCs w:val="22"/>
        </w:rPr>
        <w:t xml:space="preserve"> biodiversity, taking into account human health</w:t>
      </w:r>
      <w:r w:rsidR="002910D1" w:rsidRPr="0068290F">
        <w:rPr>
          <w:kern w:val="22"/>
          <w:szCs w:val="22"/>
        </w:rPr>
        <w:t>,</w:t>
      </w:r>
      <w:r w:rsidRPr="0068290F">
        <w:rPr>
          <w:kern w:val="22"/>
          <w:szCs w:val="22"/>
        </w:rPr>
        <w:t xml:space="preserve"> and including considerations </w:t>
      </w:r>
      <w:r w:rsidR="00B332A1" w:rsidRPr="0068290F">
        <w:rPr>
          <w:kern w:val="22"/>
          <w:szCs w:val="22"/>
        </w:rPr>
        <w:t xml:space="preserve">that are </w:t>
      </w:r>
      <w:r w:rsidRPr="0068290F">
        <w:rPr>
          <w:kern w:val="22"/>
          <w:szCs w:val="22"/>
        </w:rPr>
        <w:t xml:space="preserve">relevant to the risk assessment </w:t>
      </w:r>
      <w:r w:rsidR="00B332A1" w:rsidRPr="0068290F">
        <w:rPr>
          <w:kern w:val="22"/>
          <w:szCs w:val="22"/>
        </w:rPr>
        <w:t xml:space="preserve">of </w:t>
      </w:r>
      <w:r w:rsidRPr="0068290F">
        <w:rPr>
          <w:kern w:val="22"/>
          <w:szCs w:val="22"/>
        </w:rPr>
        <w:t>(</w:t>
      </w:r>
      <w:r w:rsidR="00C5728C" w:rsidRPr="0068290F">
        <w:rPr>
          <w:kern w:val="22"/>
          <w:szCs w:val="22"/>
        </w:rPr>
        <w:t>a</w:t>
      </w:r>
      <w:r w:rsidRPr="0068290F">
        <w:rPr>
          <w:kern w:val="22"/>
          <w:szCs w:val="22"/>
        </w:rPr>
        <w:t xml:space="preserve">) organisms </w:t>
      </w:r>
      <w:r w:rsidR="00C3342C" w:rsidRPr="0068290F">
        <w:rPr>
          <w:kern w:val="22"/>
          <w:szCs w:val="22"/>
        </w:rPr>
        <w:t>produced through genome editing</w:t>
      </w:r>
      <w:r w:rsidR="00A30C97" w:rsidRPr="0068290F">
        <w:rPr>
          <w:kern w:val="22"/>
          <w:szCs w:val="22"/>
        </w:rPr>
        <w:t xml:space="preserve"> and</w:t>
      </w:r>
      <w:r w:rsidR="00C3342C" w:rsidRPr="0068290F">
        <w:rPr>
          <w:kern w:val="22"/>
          <w:szCs w:val="22"/>
        </w:rPr>
        <w:t xml:space="preserve"> organisms </w:t>
      </w:r>
      <w:r w:rsidRPr="0068290F">
        <w:rPr>
          <w:kern w:val="22"/>
          <w:szCs w:val="22"/>
        </w:rPr>
        <w:t>contain</w:t>
      </w:r>
      <w:r w:rsidR="0044496E" w:rsidRPr="0068290F">
        <w:rPr>
          <w:kern w:val="22"/>
          <w:szCs w:val="22"/>
        </w:rPr>
        <w:t>ing</w:t>
      </w:r>
      <w:r w:rsidRPr="0068290F">
        <w:rPr>
          <w:kern w:val="22"/>
          <w:szCs w:val="22"/>
        </w:rPr>
        <w:t xml:space="preserve"> engineered gene drives, and (</w:t>
      </w:r>
      <w:r w:rsidR="00C5728C" w:rsidRPr="0068290F">
        <w:rPr>
          <w:kern w:val="22"/>
          <w:szCs w:val="22"/>
        </w:rPr>
        <w:t>b</w:t>
      </w:r>
      <w:r w:rsidRPr="0068290F">
        <w:rPr>
          <w:kern w:val="22"/>
          <w:szCs w:val="22"/>
        </w:rPr>
        <w:t>) living modified fish</w:t>
      </w:r>
      <w:r w:rsidR="00B46FB5" w:rsidRPr="0068290F">
        <w:rPr>
          <w:kern w:val="22"/>
          <w:szCs w:val="22"/>
        </w:rPr>
        <w:t>, in order to inform further consideration of whether there is a need for the development of additional guidance materials on risk assessment for these organisms</w:t>
      </w:r>
      <w:r w:rsidR="00C5728C" w:rsidRPr="0068290F">
        <w:rPr>
          <w:kern w:val="22"/>
          <w:szCs w:val="22"/>
        </w:rPr>
        <w:t>;</w:t>
      </w:r>
    </w:p>
    <w:p w14:paraId="730B7A0F" w14:textId="77777777" w:rsidR="00E3156A" w:rsidRPr="0068290F" w:rsidRDefault="00C07A5B" w:rsidP="0068290F">
      <w:pPr>
        <w:pStyle w:val="Para1"/>
        <w:numPr>
          <w:ilvl w:val="0"/>
          <w:numId w:val="46"/>
        </w:numPr>
        <w:suppressLineNumbers/>
        <w:tabs>
          <w:tab w:val="left" w:pos="720"/>
        </w:tabs>
        <w:suppressAutoHyphens/>
        <w:kinsoku w:val="0"/>
        <w:overflowPunct w:val="0"/>
        <w:autoSpaceDE w:val="0"/>
        <w:autoSpaceDN w:val="0"/>
        <w:snapToGrid w:val="0"/>
        <w:ind w:left="0" w:firstLine="720"/>
        <w:rPr>
          <w:kern w:val="22"/>
          <w:szCs w:val="22"/>
        </w:rPr>
      </w:pPr>
      <w:r w:rsidRPr="0068290F">
        <w:rPr>
          <w:i/>
          <w:kern w:val="22"/>
          <w:szCs w:val="22"/>
        </w:rPr>
        <w:t>Also</w:t>
      </w:r>
      <w:r w:rsidRPr="0068290F">
        <w:rPr>
          <w:kern w:val="22"/>
          <w:szCs w:val="22"/>
        </w:rPr>
        <w:t xml:space="preserve"> </w:t>
      </w:r>
      <w:r w:rsidRPr="0068290F">
        <w:rPr>
          <w:i/>
          <w:kern w:val="22"/>
          <w:szCs w:val="22"/>
        </w:rPr>
        <w:t>d</w:t>
      </w:r>
      <w:r w:rsidR="0088631D" w:rsidRPr="0068290F">
        <w:rPr>
          <w:i/>
          <w:kern w:val="22"/>
          <w:szCs w:val="22"/>
        </w:rPr>
        <w:t>ecides</w:t>
      </w:r>
      <w:r w:rsidR="0088631D" w:rsidRPr="0068290F">
        <w:rPr>
          <w:kern w:val="22"/>
          <w:szCs w:val="22"/>
        </w:rPr>
        <w:t xml:space="preserve"> to establish a process for the identification and prioritization of specific issues of risk assessment of living modified organisms that may warrant future consideration by the Conference of the Parties serving as the meeting of the Parties to the Cartagena Protocol, taking into account the elements </w:t>
      </w:r>
      <w:r w:rsidR="001002B5">
        <w:rPr>
          <w:kern w:val="22"/>
          <w:szCs w:val="22"/>
        </w:rPr>
        <w:t xml:space="preserve">listed </w:t>
      </w:r>
      <w:r w:rsidR="0088631D" w:rsidRPr="0068290F">
        <w:rPr>
          <w:kern w:val="22"/>
          <w:szCs w:val="22"/>
        </w:rPr>
        <w:t>in the annex</w:t>
      </w:r>
      <w:r w:rsidR="000C528A">
        <w:rPr>
          <w:kern w:val="22"/>
          <w:szCs w:val="22"/>
        </w:rPr>
        <w:t xml:space="preserve"> to the present draft decision</w:t>
      </w:r>
      <w:r w:rsidR="0088631D" w:rsidRPr="0068290F">
        <w:rPr>
          <w:kern w:val="22"/>
          <w:szCs w:val="22"/>
        </w:rPr>
        <w:t>;</w:t>
      </w:r>
    </w:p>
    <w:p w14:paraId="1A568F68" w14:textId="77777777" w:rsidR="00E3156A" w:rsidRPr="0068290F" w:rsidRDefault="00254960" w:rsidP="0068290F">
      <w:pPr>
        <w:pStyle w:val="Para1"/>
        <w:numPr>
          <w:ilvl w:val="0"/>
          <w:numId w:val="46"/>
        </w:numPr>
        <w:suppressLineNumbers/>
        <w:tabs>
          <w:tab w:val="left" w:pos="720"/>
        </w:tabs>
        <w:suppressAutoHyphens/>
        <w:kinsoku w:val="0"/>
        <w:overflowPunct w:val="0"/>
        <w:autoSpaceDE w:val="0"/>
        <w:autoSpaceDN w:val="0"/>
        <w:snapToGrid w:val="0"/>
        <w:ind w:left="0" w:firstLine="720"/>
        <w:rPr>
          <w:kern w:val="22"/>
          <w:szCs w:val="22"/>
        </w:rPr>
      </w:pPr>
      <w:r w:rsidRPr="0068290F">
        <w:rPr>
          <w:i/>
          <w:kern w:val="22"/>
          <w:szCs w:val="22"/>
        </w:rPr>
        <w:t>Further decides</w:t>
      </w:r>
      <w:r w:rsidRPr="0068290F">
        <w:rPr>
          <w:iCs/>
          <w:kern w:val="22"/>
          <w:szCs w:val="22"/>
        </w:rPr>
        <w:t xml:space="preserve"> to e</w:t>
      </w:r>
      <w:r w:rsidR="00E3156A" w:rsidRPr="0068290F">
        <w:rPr>
          <w:iCs/>
          <w:kern w:val="22"/>
          <w:szCs w:val="22"/>
        </w:rPr>
        <w:t xml:space="preserve">stablish </w:t>
      </w:r>
      <w:r w:rsidR="00C5728C" w:rsidRPr="0068290F">
        <w:rPr>
          <w:kern w:val="22"/>
          <w:szCs w:val="22"/>
        </w:rPr>
        <w:t xml:space="preserve">an </w:t>
      </w:r>
      <w:r w:rsidR="00E3156A" w:rsidRPr="0068290F">
        <w:rPr>
          <w:kern w:val="22"/>
          <w:szCs w:val="22"/>
        </w:rPr>
        <w:t>ad hoc technical expert group on risk assessment</w:t>
      </w:r>
      <w:r w:rsidR="00B332A1" w:rsidRPr="0068290F">
        <w:rPr>
          <w:kern w:val="22"/>
          <w:szCs w:val="22"/>
        </w:rPr>
        <w:t>, composed of</w:t>
      </w:r>
      <w:r w:rsidR="0044496E" w:rsidRPr="0068290F">
        <w:rPr>
          <w:kern w:val="22"/>
          <w:szCs w:val="22"/>
        </w:rPr>
        <w:t xml:space="preserve"> experts selected in accordance with the </w:t>
      </w:r>
      <w:r w:rsidR="008F0AE7" w:rsidRPr="0068290F">
        <w:rPr>
          <w:kern w:val="22"/>
          <w:szCs w:val="22"/>
        </w:rPr>
        <w:t xml:space="preserve">consolidated </w:t>
      </w:r>
      <w:r w:rsidR="0044496E" w:rsidRPr="0068290F">
        <w:rPr>
          <w:kern w:val="22"/>
          <w:szCs w:val="22"/>
        </w:rPr>
        <w:t>modus operandi of</w:t>
      </w:r>
      <w:r w:rsidR="008F0AE7" w:rsidRPr="0068290F">
        <w:rPr>
          <w:kern w:val="22"/>
          <w:szCs w:val="22"/>
        </w:rPr>
        <w:t xml:space="preserve"> Subsidiary Body on Scientific, Technical and Technological Advice</w:t>
      </w:r>
      <w:r w:rsidR="0044496E" w:rsidRPr="0068290F">
        <w:rPr>
          <w:kern w:val="22"/>
          <w:szCs w:val="22"/>
        </w:rPr>
        <w:t>,</w:t>
      </w:r>
      <w:r w:rsidR="008B5198" w:rsidRPr="0068290F">
        <w:rPr>
          <w:rStyle w:val="FootnoteReference"/>
          <w:kern w:val="22"/>
          <w:sz w:val="22"/>
          <w:szCs w:val="22"/>
          <w:u w:val="none"/>
          <w:vertAlign w:val="superscript"/>
        </w:rPr>
        <w:footnoteReference w:id="7"/>
      </w:r>
      <w:r w:rsidR="00E3156A" w:rsidRPr="0068290F">
        <w:rPr>
          <w:kern w:val="22"/>
          <w:szCs w:val="22"/>
        </w:rPr>
        <w:t xml:space="preserve"> to work on </w:t>
      </w:r>
      <w:r w:rsidR="008F0AE7" w:rsidRPr="0068290F">
        <w:rPr>
          <w:kern w:val="22"/>
          <w:szCs w:val="22"/>
        </w:rPr>
        <w:t>issues</w:t>
      </w:r>
      <w:r w:rsidR="00E3156A" w:rsidRPr="0068290F">
        <w:rPr>
          <w:kern w:val="22"/>
          <w:szCs w:val="22"/>
        </w:rPr>
        <w:t xml:space="preserve"> referred to in paragraph</w:t>
      </w:r>
      <w:r w:rsidR="00C07A5B" w:rsidRPr="0068290F">
        <w:rPr>
          <w:kern w:val="22"/>
          <w:szCs w:val="22"/>
        </w:rPr>
        <w:t>s 5 and</w:t>
      </w:r>
      <w:r w:rsidR="0044496E" w:rsidRPr="0068290F">
        <w:rPr>
          <w:kern w:val="22"/>
          <w:szCs w:val="22"/>
        </w:rPr>
        <w:t xml:space="preserve"> 6 </w:t>
      </w:r>
      <w:r w:rsidR="00E3156A" w:rsidRPr="0068290F">
        <w:rPr>
          <w:kern w:val="22"/>
          <w:szCs w:val="22"/>
        </w:rPr>
        <w:t>above</w:t>
      </w:r>
      <w:r w:rsidR="00B332A1" w:rsidRPr="0068290F">
        <w:rPr>
          <w:kern w:val="22"/>
          <w:szCs w:val="22"/>
        </w:rPr>
        <w:t xml:space="preserve"> and </w:t>
      </w:r>
      <w:r w:rsidR="00C5728C" w:rsidRPr="0068290F">
        <w:rPr>
          <w:kern w:val="22"/>
          <w:szCs w:val="22"/>
        </w:rPr>
        <w:t xml:space="preserve">to </w:t>
      </w:r>
      <w:r w:rsidR="00B332A1" w:rsidRPr="0068290F">
        <w:rPr>
          <w:kern w:val="22"/>
          <w:szCs w:val="22"/>
        </w:rPr>
        <w:t>prepare a report for consideration by</w:t>
      </w:r>
      <w:r w:rsidR="00B332A1" w:rsidRPr="0068290F">
        <w:rPr>
          <w:kern w:val="22"/>
          <w:szCs w:val="22"/>
          <w:lang w:eastAsia="x-none"/>
        </w:rPr>
        <w:t xml:space="preserve"> the </w:t>
      </w:r>
      <w:r w:rsidR="002C213F" w:rsidRPr="0068290F">
        <w:rPr>
          <w:rStyle w:val="st"/>
          <w:kern w:val="22"/>
          <w:szCs w:val="22"/>
        </w:rPr>
        <w:t xml:space="preserve">Subsidiary Body on Scientific, </w:t>
      </w:r>
      <w:r w:rsidR="00B332A1" w:rsidRPr="0068290F">
        <w:rPr>
          <w:rStyle w:val="st"/>
          <w:kern w:val="22"/>
          <w:szCs w:val="22"/>
        </w:rPr>
        <w:t>Technical and Technological Advice</w:t>
      </w:r>
      <w:r w:rsidR="00596B10" w:rsidRPr="0068290F">
        <w:rPr>
          <w:kern w:val="22"/>
          <w:szCs w:val="22"/>
        </w:rPr>
        <w:t xml:space="preserve"> </w:t>
      </w:r>
      <w:r w:rsidR="008210EE">
        <w:rPr>
          <w:kern w:val="22"/>
          <w:szCs w:val="22"/>
        </w:rPr>
        <w:t xml:space="preserve">with a view </w:t>
      </w:r>
      <w:r w:rsidR="00596B10" w:rsidRPr="0068290F">
        <w:rPr>
          <w:kern w:val="22"/>
          <w:szCs w:val="22"/>
        </w:rPr>
        <w:t xml:space="preserve">to </w:t>
      </w:r>
      <w:r w:rsidR="008210EE">
        <w:rPr>
          <w:kern w:val="22"/>
          <w:szCs w:val="22"/>
        </w:rPr>
        <w:t>enabling</w:t>
      </w:r>
      <w:r w:rsidR="008210EE" w:rsidRPr="0068290F">
        <w:rPr>
          <w:kern w:val="22"/>
          <w:szCs w:val="22"/>
        </w:rPr>
        <w:t xml:space="preserve"> </w:t>
      </w:r>
      <w:r w:rsidR="00C07A5B" w:rsidRPr="0068290F">
        <w:rPr>
          <w:kern w:val="22"/>
          <w:szCs w:val="22"/>
        </w:rPr>
        <w:t xml:space="preserve">the </w:t>
      </w:r>
      <w:r w:rsidR="00C07A5B" w:rsidRPr="0068290F">
        <w:rPr>
          <w:rStyle w:val="st"/>
          <w:kern w:val="22"/>
          <w:szCs w:val="22"/>
        </w:rPr>
        <w:t xml:space="preserve">Subsidiary Body </w:t>
      </w:r>
      <w:r w:rsidR="00C07A5B" w:rsidRPr="0068290F">
        <w:rPr>
          <w:kern w:val="22"/>
          <w:szCs w:val="22"/>
        </w:rPr>
        <w:t xml:space="preserve">to prepare </w:t>
      </w:r>
      <w:r w:rsidR="00596B10" w:rsidRPr="0068290F">
        <w:rPr>
          <w:kern w:val="22"/>
          <w:szCs w:val="22"/>
        </w:rPr>
        <w:t>a recommendation for consideration by the Conference of the Parties serving as the meeting of the Parties to the Cartagena Protocol at its tenth meeting</w:t>
      </w:r>
      <w:r w:rsidR="006C4869" w:rsidRPr="0068290F">
        <w:rPr>
          <w:kern w:val="22"/>
          <w:szCs w:val="22"/>
        </w:rPr>
        <w:t>;</w:t>
      </w:r>
    </w:p>
    <w:p w14:paraId="05C8494C" w14:textId="77777777" w:rsidR="00E3156A" w:rsidRPr="0068290F" w:rsidRDefault="001F3872" w:rsidP="0068290F">
      <w:pPr>
        <w:pStyle w:val="Para1"/>
        <w:numPr>
          <w:ilvl w:val="0"/>
          <w:numId w:val="46"/>
        </w:numPr>
        <w:suppressLineNumbers/>
        <w:tabs>
          <w:tab w:val="left" w:pos="720"/>
        </w:tabs>
        <w:suppressAutoHyphens/>
        <w:kinsoku w:val="0"/>
        <w:overflowPunct w:val="0"/>
        <w:autoSpaceDE w:val="0"/>
        <w:autoSpaceDN w:val="0"/>
        <w:snapToGrid w:val="0"/>
        <w:ind w:left="0" w:firstLine="720"/>
        <w:rPr>
          <w:kern w:val="22"/>
          <w:szCs w:val="22"/>
        </w:rPr>
      </w:pPr>
      <w:r>
        <w:rPr>
          <w:i/>
          <w:kern w:val="22"/>
          <w:szCs w:val="22"/>
        </w:rPr>
        <w:t>Decides</w:t>
      </w:r>
      <w:r w:rsidRPr="0068290F">
        <w:rPr>
          <w:iCs/>
          <w:kern w:val="22"/>
          <w:szCs w:val="22"/>
        </w:rPr>
        <w:t xml:space="preserve"> to e</w:t>
      </w:r>
      <w:r w:rsidR="00E3156A" w:rsidRPr="0068290F">
        <w:rPr>
          <w:iCs/>
          <w:kern w:val="22"/>
          <w:szCs w:val="22"/>
        </w:rPr>
        <w:t xml:space="preserve">xtend </w:t>
      </w:r>
      <w:r w:rsidR="00E3156A" w:rsidRPr="0068290F">
        <w:rPr>
          <w:kern w:val="22"/>
          <w:szCs w:val="22"/>
        </w:rPr>
        <w:t xml:space="preserve">the online forum on risk assessment and risk management </w:t>
      </w:r>
      <w:r w:rsidR="00D32934">
        <w:rPr>
          <w:kern w:val="22"/>
          <w:szCs w:val="22"/>
        </w:rPr>
        <w:t>so that i</w:t>
      </w:r>
      <w:r w:rsidR="00E3156A" w:rsidRPr="0068290F">
        <w:rPr>
          <w:kern w:val="22"/>
          <w:szCs w:val="22"/>
        </w:rPr>
        <w:t>t</w:t>
      </w:r>
      <w:r w:rsidR="00D32934">
        <w:rPr>
          <w:kern w:val="22"/>
          <w:szCs w:val="22"/>
        </w:rPr>
        <w:t xml:space="preserve"> may</w:t>
      </w:r>
      <w:r w:rsidR="00E3156A" w:rsidRPr="0068290F">
        <w:rPr>
          <w:kern w:val="22"/>
          <w:szCs w:val="22"/>
        </w:rPr>
        <w:t xml:space="preserve"> assist the ad hoc technical expert group on risk assessment</w:t>
      </w:r>
      <w:r w:rsidR="00C5728C" w:rsidRPr="0068290F">
        <w:rPr>
          <w:kern w:val="22"/>
          <w:szCs w:val="22"/>
        </w:rPr>
        <w:t>;</w:t>
      </w:r>
    </w:p>
    <w:p w14:paraId="6FB0AB25" w14:textId="77777777" w:rsidR="00E3156A" w:rsidRPr="0068290F" w:rsidRDefault="00E3156A" w:rsidP="0068290F">
      <w:pPr>
        <w:pStyle w:val="Para1"/>
        <w:numPr>
          <w:ilvl w:val="0"/>
          <w:numId w:val="46"/>
        </w:numPr>
        <w:suppressLineNumbers/>
        <w:tabs>
          <w:tab w:val="left" w:pos="720"/>
        </w:tabs>
        <w:suppressAutoHyphens/>
        <w:kinsoku w:val="0"/>
        <w:overflowPunct w:val="0"/>
        <w:autoSpaceDE w:val="0"/>
        <w:autoSpaceDN w:val="0"/>
        <w:snapToGrid w:val="0"/>
        <w:ind w:left="0" w:firstLine="720"/>
        <w:rPr>
          <w:kern w:val="22"/>
          <w:szCs w:val="22"/>
        </w:rPr>
      </w:pPr>
      <w:r w:rsidRPr="0068290F">
        <w:rPr>
          <w:i/>
          <w:kern w:val="22"/>
          <w:szCs w:val="22"/>
        </w:rPr>
        <w:t>Requests</w:t>
      </w:r>
      <w:r w:rsidRPr="0068290F">
        <w:rPr>
          <w:kern w:val="22"/>
          <w:szCs w:val="22"/>
        </w:rPr>
        <w:t xml:space="preserve"> the Executive Secretary:</w:t>
      </w:r>
    </w:p>
    <w:p w14:paraId="67A28FAB" w14:textId="77777777" w:rsidR="00B332A1" w:rsidRPr="0068290F" w:rsidRDefault="00E3156A" w:rsidP="0068290F">
      <w:pPr>
        <w:pStyle w:val="ListParagraph"/>
        <w:numPr>
          <w:ilvl w:val="0"/>
          <w:numId w:val="56"/>
        </w:numPr>
        <w:suppressLineNumbers/>
        <w:tabs>
          <w:tab w:val="left" w:pos="1440"/>
        </w:tabs>
        <w:suppressAutoHyphens/>
        <w:kinsoku w:val="0"/>
        <w:overflowPunct w:val="0"/>
        <w:autoSpaceDE w:val="0"/>
        <w:autoSpaceDN w:val="0"/>
        <w:spacing w:before="120" w:after="120"/>
        <w:ind w:left="0" w:firstLine="720"/>
        <w:contextualSpacing w:val="0"/>
        <w:rPr>
          <w:snapToGrid w:val="0"/>
          <w:kern w:val="22"/>
          <w:szCs w:val="22"/>
        </w:rPr>
      </w:pPr>
      <w:r w:rsidRPr="0068290F">
        <w:rPr>
          <w:snapToGrid w:val="0"/>
          <w:kern w:val="22"/>
          <w:szCs w:val="22"/>
        </w:rPr>
        <w:t xml:space="preserve">To </w:t>
      </w:r>
      <w:r w:rsidRPr="0068290F">
        <w:rPr>
          <w:snapToGrid w:val="0"/>
          <w:color w:val="000000"/>
          <w:kern w:val="22"/>
          <w:szCs w:val="22"/>
          <w:lang w:eastAsia="x-none"/>
        </w:rPr>
        <w:t>collect</w:t>
      </w:r>
      <w:r w:rsidRPr="0068290F">
        <w:rPr>
          <w:snapToGrid w:val="0"/>
          <w:kern w:val="22"/>
          <w:szCs w:val="22"/>
        </w:rPr>
        <w:t xml:space="preserve"> and </w:t>
      </w:r>
      <w:r w:rsidR="000A2915" w:rsidRPr="0068290F">
        <w:rPr>
          <w:snapToGrid w:val="0"/>
          <w:kern w:val="22"/>
          <w:szCs w:val="22"/>
        </w:rPr>
        <w:t xml:space="preserve">synthesize </w:t>
      </w:r>
      <w:r w:rsidR="00342B90" w:rsidRPr="0068290F">
        <w:rPr>
          <w:snapToGrid w:val="0"/>
          <w:kern w:val="22"/>
          <w:szCs w:val="22"/>
        </w:rPr>
        <w:t xml:space="preserve">relevant </w:t>
      </w:r>
      <w:r w:rsidRPr="0068290F">
        <w:rPr>
          <w:snapToGrid w:val="0"/>
          <w:kern w:val="22"/>
          <w:szCs w:val="22"/>
        </w:rPr>
        <w:t xml:space="preserve">information </w:t>
      </w:r>
      <w:r w:rsidR="000D06B5" w:rsidRPr="0068290F">
        <w:rPr>
          <w:snapToGrid w:val="0"/>
          <w:kern w:val="22"/>
          <w:szCs w:val="22"/>
        </w:rPr>
        <w:t xml:space="preserve">to facilitate the work of the </w:t>
      </w:r>
      <w:r w:rsidR="00B332A1" w:rsidRPr="0068290F">
        <w:rPr>
          <w:snapToGrid w:val="0"/>
          <w:kern w:val="22"/>
          <w:szCs w:val="22"/>
        </w:rPr>
        <w:t>online forum and the ad hoc technical expert group</w:t>
      </w:r>
      <w:r w:rsidR="000A2915" w:rsidRPr="0068290F">
        <w:rPr>
          <w:snapToGrid w:val="0"/>
          <w:kern w:val="22"/>
          <w:szCs w:val="22"/>
        </w:rPr>
        <w:t>;</w:t>
      </w:r>
    </w:p>
    <w:p w14:paraId="626E7C3E" w14:textId="77777777" w:rsidR="00E3156A" w:rsidRPr="0068290F" w:rsidRDefault="00B332A1" w:rsidP="0068290F">
      <w:pPr>
        <w:pStyle w:val="ListParagraph"/>
        <w:numPr>
          <w:ilvl w:val="0"/>
          <w:numId w:val="56"/>
        </w:numPr>
        <w:suppressLineNumbers/>
        <w:tabs>
          <w:tab w:val="left" w:pos="1440"/>
        </w:tabs>
        <w:suppressAutoHyphens/>
        <w:kinsoku w:val="0"/>
        <w:overflowPunct w:val="0"/>
        <w:autoSpaceDE w:val="0"/>
        <w:autoSpaceDN w:val="0"/>
        <w:spacing w:before="120" w:after="120"/>
        <w:ind w:left="0" w:firstLine="720"/>
        <w:contextualSpacing w:val="0"/>
        <w:rPr>
          <w:snapToGrid w:val="0"/>
          <w:color w:val="000000"/>
          <w:kern w:val="22"/>
          <w:szCs w:val="22"/>
          <w:lang w:eastAsia="x-none"/>
        </w:rPr>
      </w:pPr>
      <w:r w:rsidRPr="0068290F">
        <w:rPr>
          <w:snapToGrid w:val="0"/>
          <w:color w:val="000000"/>
          <w:kern w:val="22"/>
          <w:szCs w:val="22"/>
          <w:lang w:eastAsia="x-none"/>
        </w:rPr>
        <w:t>To assist the lead moderator of the online forum in convening discussions and reporting on the results of the discussions;</w:t>
      </w:r>
    </w:p>
    <w:p w14:paraId="43A150A8" w14:textId="77777777" w:rsidR="00E3156A" w:rsidRPr="0068290F" w:rsidRDefault="00E3156A" w:rsidP="0068290F">
      <w:pPr>
        <w:pStyle w:val="ListParagraph"/>
        <w:numPr>
          <w:ilvl w:val="0"/>
          <w:numId w:val="56"/>
        </w:numPr>
        <w:suppressLineNumbers/>
        <w:tabs>
          <w:tab w:val="left" w:pos="1440"/>
        </w:tabs>
        <w:suppressAutoHyphens/>
        <w:kinsoku w:val="0"/>
        <w:overflowPunct w:val="0"/>
        <w:autoSpaceDE w:val="0"/>
        <w:autoSpaceDN w:val="0"/>
        <w:spacing w:before="120" w:after="120"/>
        <w:ind w:left="0" w:firstLine="720"/>
        <w:contextualSpacing w:val="0"/>
        <w:rPr>
          <w:snapToGrid w:val="0"/>
          <w:kern w:val="22"/>
          <w:szCs w:val="22"/>
        </w:rPr>
      </w:pPr>
      <w:r w:rsidRPr="0068290F">
        <w:rPr>
          <w:snapToGrid w:val="0"/>
          <w:kern w:val="22"/>
          <w:szCs w:val="22"/>
        </w:rPr>
        <w:lastRenderedPageBreak/>
        <w:t xml:space="preserve">To </w:t>
      </w:r>
      <w:r w:rsidR="000A2915" w:rsidRPr="0068290F">
        <w:rPr>
          <w:snapToGrid w:val="0"/>
          <w:color w:val="000000"/>
          <w:kern w:val="22"/>
          <w:szCs w:val="22"/>
          <w:lang w:eastAsia="x-none"/>
        </w:rPr>
        <w:t>convene</w:t>
      </w:r>
      <w:r w:rsidRPr="0068290F">
        <w:rPr>
          <w:snapToGrid w:val="0"/>
          <w:kern w:val="22"/>
          <w:szCs w:val="22"/>
        </w:rPr>
        <w:t xml:space="preserve">, </w:t>
      </w:r>
      <w:r w:rsidR="00B46FB5" w:rsidRPr="0068290F">
        <w:rPr>
          <w:snapToGrid w:val="0"/>
          <w:kern w:val="22"/>
          <w:szCs w:val="22"/>
        </w:rPr>
        <w:t xml:space="preserve">subject to </w:t>
      </w:r>
      <w:r w:rsidRPr="0068290F">
        <w:rPr>
          <w:snapToGrid w:val="0"/>
          <w:kern w:val="22"/>
          <w:szCs w:val="22"/>
        </w:rPr>
        <w:t xml:space="preserve">the availability of </w:t>
      </w:r>
      <w:r w:rsidR="00B46FB5" w:rsidRPr="0068290F">
        <w:rPr>
          <w:snapToGrid w:val="0"/>
          <w:kern w:val="22"/>
          <w:szCs w:val="22"/>
        </w:rPr>
        <w:t>resources</w:t>
      </w:r>
      <w:r w:rsidRPr="0068290F">
        <w:rPr>
          <w:snapToGrid w:val="0"/>
          <w:kern w:val="22"/>
          <w:szCs w:val="22"/>
        </w:rPr>
        <w:t xml:space="preserve">, </w:t>
      </w:r>
      <w:r w:rsidR="000A2915" w:rsidRPr="0068290F">
        <w:rPr>
          <w:snapToGrid w:val="0"/>
          <w:kern w:val="22"/>
          <w:szCs w:val="22"/>
        </w:rPr>
        <w:t xml:space="preserve">a face-to-face meeting of the ad hoc technical expert group on </w:t>
      </w:r>
      <w:r w:rsidRPr="0068290F">
        <w:rPr>
          <w:snapToGrid w:val="0"/>
          <w:kern w:val="22"/>
          <w:szCs w:val="22"/>
        </w:rPr>
        <w:t>risk assessment.</w:t>
      </w:r>
    </w:p>
    <w:p w14:paraId="1EA019B8" w14:textId="77777777" w:rsidR="00E3156A" w:rsidRPr="0068290F" w:rsidRDefault="00E3156A" w:rsidP="0068290F">
      <w:pPr>
        <w:suppressLineNumbers/>
        <w:suppressAutoHyphens/>
        <w:kinsoku w:val="0"/>
        <w:overflowPunct w:val="0"/>
        <w:autoSpaceDE w:val="0"/>
        <w:autoSpaceDN w:val="0"/>
        <w:jc w:val="left"/>
        <w:rPr>
          <w:iCs/>
          <w:snapToGrid w:val="0"/>
          <w:kern w:val="22"/>
          <w:szCs w:val="22"/>
        </w:rPr>
      </w:pPr>
    </w:p>
    <w:p w14:paraId="7F0775C4" w14:textId="77777777" w:rsidR="00C3342C" w:rsidRPr="00015F6F" w:rsidRDefault="00C3342C" w:rsidP="00E47189">
      <w:pPr>
        <w:keepNext/>
        <w:suppressLineNumbers/>
        <w:suppressAutoHyphens/>
        <w:kinsoku w:val="0"/>
        <w:overflowPunct w:val="0"/>
        <w:autoSpaceDE w:val="0"/>
        <w:autoSpaceDN w:val="0"/>
        <w:spacing w:before="120" w:after="120"/>
        <w:jc w:val="center"/>
        <w:rPr>
          <w:i/>
          <w:snapToGrid w:val="0"/>
          <w:kern w:val="22"/>
          <w:szCs w:val="22"/>
        </w:rPr>
      </w:pPr>
      <w:r w:rsidRPr="00015F6F">
        <w:rPr>
          <w:i/>
          <w:snapToGrid w:val="0"/>
          <w:kern w:val="22"/>
          <w:szCs w:val="22"/>
        </w:rPr>
        <w:t>Annex</w:t>
      </w:r>
    </w:p>
    <w:p w14:paraId="5C3DDCCF" w14:textId="77777777" w:rsidR="00C3342C" w:rsidRPr="003C3D6C" w:rsidRDefault="00C3342C" w:rsidP="0068290F">
      <w:pPr>
        <w:suppressLineNumbers/>
        <w:suppressAutoHyphens/>
        <w:kinsoku w:val="0"/>
        <w:overflowPunct w:val="0"/>
        <w:autoSpaceDE w:val="0"/>
        <w:autoSpaceDN w:val="0"/>
        <w:spacing w:before="120" w:after="120"/>
        <w:jc w:val="center"/>
        <w:rPr>
          <w:b/>
          <w:snapToGrid w:val="0"/>
          <w:kern w:val="22"/>
          <w:szCs w:val="22"/>
        </w:rPr>
      </w:pPr>
      <w:r w:rsidRPr="00015F6F">
        <w:rPr>
          <w:b/>
          <w:snapToGrid w:val="0"/>
          <w:kern w:val="22"/>
          <w:szCs w:val="22"/>
        </w:rPr>
        <w:t xml:space="preserve">Identification and prioritization of specific issues of risk assessment of living modified </w:t>
      </w:r>
      <w:r w:rsidRPr="005A4874">
        <w:rPr>
          <w:b/>
          <w:snapToGrid w:val="0"/>
          <w:kern w:val="22"/>
          <w:szCs w:val="22"/>
        </w:rPr>
        <w:t>organisms that may warrant future consideration</w:t>
      </w:r>
    </w:p>
    <w:p w14:paraId="4C4CCDBC" w14:textId="77777777" w:rsidR="00C3342C" w:rsidRPr="004D756D" w:rsidRDefault="00C3342C" w:rsidP="0068290F">
      <w:pPr>
        <w:suppressLineNumbers/>
        <w:suppressAutoHyphens/>
        <w:kinsoku w:val="0"/>
        <w:overflowPunct w:val="0"/>
        <w:autoSpaceDE w:val="0"/>
        <w:autoSpaceDN w:val="0"/>
        <w:spacing w:before="120" w:after="120"/>
        <w:rPr>
          <w:snapToGrid w:val="0"/>
          <w:kern w:val="22"/>
          <w:szCs w:val="22"/>
        </w:rPr>
      </w:pPr>
      <w:r w:rsidRPr="006B1437">
        <w:rPr>
          <w:snapToGrid w:val="0"/>
          <w:kern w:val="22"/>
          <w:szCs w:val="22"/>
        </w:rPr>
        <w:t>The process for recommending specific issues of risk assessment for consideration by the Parties to the Cartagena Protocol should include a stock-taking exercise to determine if resources on similar issues ha</w:t>
      </w:r>
      <w:r w:rsidRPr="00ED2229">
        <w:rPr>
          <w:snapToGrid w:val="0"/>
          <w:kern w:val="22"/>
          <w:szCs w:val="22"/>
        </w:rPr>
        <w:t>ve been developed by national, regional and international bodies and, if so, whether such resources can be revised or adapted to the objective of the Cartagena Protocol, as appropriate, and a structured analysis to evaluate the extent to which the specifi</w:t>
      </w:r>
      <w:r w:rsidRPr="00677B79">
        <w:rPr>
          <w:snapToGrid w:val="0"/>
          <w:kern w:val="22"/>
          <w:szCs w:val="22"/>
        </w:rPr>
        <w:t>c issues:</w:t>
      </w:r>
    </w:p>
    <w:p w14:paraId="397D8BA6" w14:textId="77777777" w:rsidR="00C3342C" w:rsidRPr="0068290F" w:rsidRDefault="00C3342C" w:rsidP="0068290F">
      <w:pPr>
        <w:suppressLineNumbers/>
        <w:suppressAutoHyphens/>
        <w:kinsoku w:val="0"/>
        <w:overflowPunct w:val="0"/>
        <w:autoSpaceDE w:val="0"/>
        <w:autoSpaceDN w:val="0"/>
        <w:spacing w:before="120" w:after="120"/>
        <w:ind w:firstLine="720"/>
        <w:rPr>
          <w:snapToGrid w:val="0"/>
          <w:kern w:val="22"/>
          <w:szCs w:val="22"/>
        </w:rPr>
      </w:pPr>
      <w:r w:rsidRPr="0068290F">
        <w:rPr>
          <w:snapToGrid w:val="0"/>
          <w:kern w:val="22"/>
          <w:szCs w:val="22"/>
        </w:rPr>
        <w:t>(a)</w:t>
      </w:r>
      <w:r w:rsidRPr="0068290F">
        <w:rPr>
          <w:snapToGrid w:val="0"/>
          <w:kern w:val="22"/>
          <w:szCs w:val="22"/>
        </w:rPr>
        <w:tab/>
        <w:t>Fall within the scope and objective of the Cartagena Protocol;</w:t>
      </w:r>
    </w:p>
    <w:p w14:paraId="20633DCB" w14:textId="77777777" w:rsidR="00C3342C" w:rsidRPr="0068290F" w:rsidRDefault="00C3342C" w:rsidP="0068290F">
      <w:pPr>
        <w:suppressLineNumbers/>
        <w:suppressAutoHyphens/>
        <w:kinsoku w:val="0"/>
        <w:overflowPunct w:val="0"/>
        <w:autoSpaceDE w:val="0"/>
        <w:autoSpaceDN w:val="0"/>
        <w:spacing w:before="120" w:after="120"/>
        <w:ind w:firstLine="720"/>
        <w:rPr>
          <w:snapToGrid w:val="0"/>
          <w:kern w:val="22"/>
          <w:szCs w:val="22"/>
        </w:rPr>
      </w:pPr>
      <w:r w:rsidRPr="0068290F">
        <w:rPr>
          <w:snapToGrid w:val="0"/>
          <w:kern w:val="22"/>
          <w:szCs w:val="22"/>
        </w:rPr>
        <w:t>(b)</w:t>
      </w:r>
      <w:r w:rsidRPr="0068290F">
        <w:rPr>
          <w:snapToGrid w:val="0"/>
          <w:kern w:val="22"/>
          <w:szCs w:val="22"/>
        </w:rPr>
        <w:tab/>
        <w:t>Pose challenges to existing risk assessment frameworks and methodologies;</w:t>
      </w:r>
    </w:p>
    <w:p w14:paraId="1A464A19" w14:textId="77777777" w:rsidR="00C3342C" w:rsidRPr="0068290F" w:rsidRDefault="00C3342C" w:rsidP="0068290F">
      <w:pPr>
        <w:suppressLineNumbers/>
        <w:suppressAutoHyphens/>
        <w:kinsoku w:val="0"/>
        <w:overflowPunct w:val="0"/>
        <w:autoSpaceDE w:val="0"/>
        <w:autoSpaceDN w:val="0"/>
        <w:spacing w:before="120" w:after="120"/>
        <w:ind w:firstLine="720"/>
        <w:rPr>
          <w:snapToGrid w:val="0"/>
          <w:kern w:val="22"/>
          <w:szCs w:val="22"/>
        </w:rPr>
      </w:pPr>
      <w:r w:rsidRPr="0068290F">
        <w:rPr>
          <w:snapToGrid w:val="0"/>
          <w:kern w:val="22"/>
          <w:szCs w:val="22"/>
        </w:rPr>
        <w:t>(c)</w:t>
      </w:r>
      <w:r w:rsidRPr="0068290F">
        <w:rPr>
          <w:snapToGrid w:val="0"/>
          <w:kern w:val="22"/>
          <w:szCs w:val="22"/>
        </w:rPr>
        <w:tab/>
        <w:t>Involve technical knowledge and expertise that are available in the scientific community at large;</w:t>
      </w:r>
    </w:p>
    <w:p w14:paraId="15956126" w14:textId="77777777" w:rsidR="00C3342C" w:rsidRPr="004D756D" w:rsidRDefault="00C3342C" w:rsidP="0068290F">
      <w:pPr>
        <w:suppressLineNumbers/>
        <w:suppressAutoHyphens/>
        <w:kinsoku w:val="0"/>
        <w:overflowPunct w:val="0"/>
        <w:autoSpaceDE w:val="0"/>
        <w:autoSpaceDN w:val="0"/>
        <w:spacing w:before="120" w:after="120"/>
        <w:ind w:firstLine="720"/>
        <w:rPr>
          <w:snapToGrid w:val="0"/>
          <w:kern w:val="22"/>
          <w:szCs w:val="22"/>
        </w:rPr>
      </w:pPr>
      <w:r w:rsidRPr="0068290F">
        <w:rPr>
          <w:snapToGrid w:val="0"/>
          <w:kern w:val="22"/>
          <w:szCs w:val="22"/>
        </w:rPr>
        <w:t>(d)</w:t>
      </w:r>
      <w:r w:rsidRPr="0068290F">
        <w:rPr>
          <w:snapToGrid w:val="0"/>
          <w:kern w:val="22"/>
          <w:szCs w:val="22"/>
        </w:rPr>
        <w:tab/>
        <w:t>Concern techniques with a high pace of scientific and technological advancement</w:t>
      </w:r>
      <w:r w:rsidR="008B022C">
        <w:rPr>
          <w:snapToGrid w:val="0"/>
          <w:kern w:val="22"/>
          <w:szCs w:val="22"/>
        </w:rPr>
        <w:t>;</w:t>
      </w:r>
    </w:p>
    <w:p w14:paraId="1EBCADE6" w14:textId="77777777" w:rsidR="00C3342C" w:rsidRPr="0068290F" w:rsidRDefault="00C3342C" w:rsidP="0068290F">
      <w:pPr>
        <w:suppressLineNumbers/>
        <w:suppressAutoHyphens/>
        <w:kinsoku w:val="0"/>
        <w:overflowPunct w:val="0"/>
        <w:autoSpaceDE w:val="0"/>
        <w:autoSpaceDN w:val="0"/>
        <w:spacing w:before="120" w:after="120"/>
        <w:ind w:firstLine="720"/>
        <w:rPr>
          <w:snapToGrid w:val="0"/>
          <w:kern w:val="22"/>
          <w:szCs w:val="22"/>
        </w:rPr>
      </w:pPr>
      <w:r w:rsidRPr="0068290F">
        <w:rPr>
          <w:snapToGrid w:val="0"/>
          <w:kern w:val="22"/>
          <w:szCs w:val="22"/>
        </w:rPr>
        <w:t>(e)</w:t>
      </w:r>
      <w:r w:rsidRPr="0068290F">
        <w:rPr>
          <w:snapToGrid w:val="0"/>
          <w:kern w:val="22"/>
          <w:szCs w:val="22"/>
        </w:rPr>
        <w:tab/>
        <w:t>Concern living modified organisms that:</w:t>
      </w:r>
    </w:p>
    <w:p w14:paraId="476801C8" w14:textId="77777777" w:rsidR="00C3342C" w:rsidRPr="0068290F" w:rsidRDefault="00C3342C" w:rsidP="0068290F">
      <w:pPr>
        <w:suppressLineNumbers/>
        <w:suppressAutoHyphens/>
        <w:kinsoku w:val="0"/>
        <w:overflowPunct w:val="0"/>
        <w:autoSpaceDE w:val="0"/>
        <w:autoSpaceDN w:val="0"/>
        <w:spacing w:before="120" w:after="120"/>
        <w:ind w:left="1980" w:hanging="540"/>
        <w:rPr>
          <w:snapToGrid w:val="0"/>
          <w:kern w:val="22"/>
          <w:szCs w:val="22"/>
        </w:rPr>
      </w:pPr>
      <w:r w:rsidRPr="0068290F">
        <w:rPr>
          <w:snapToGrid w:val="0"/>
          <w:kern w:val="22"/>
          <w:szCs w:val="22"/>
        </w:rPr>
        <w:t>(i)</w:t>
      </w:r>
      <w:r w:rsidRPr="0068290F">
        <w:rPr>
          <w:snapToGrid w:val="0"/>
          <w:kern w:val="22"/>
          <w:szCs w:val="22"/>
        </w:rPr>
        <w:tab/>
        <w:t>Have the potential to cause serious or irreversible adverse effects on biodiversity, taking into account the urgent need to protect specific aspects of biodiversity such as an endemic/rare species, or a unique habitat or ecosystem;</w:t>
      </w:r>
    </w:p>
    <w:p w14:paraId="7C193C74" w14:textId="77777777" w:rsidR="00C3342C" w:rsidRPr="0068290F" w:rsidRDefault="00C3342C" w:rsidP="0068290F">
      <w:pPr>
        <w:suppressLineNumbers/>
        <w:suppressAutoHyphens/>
        <w:kinsoku w:val="0"/>
        <w:overflowPunct w:val="0"/>
        <w:autoSpaceDE w:val="0"/>
        <w:autoSpaceDN w:val="0"/>
        <w:spacing w:before="120" w:after="120"/>
        <w:ind w:left="1980" w:hanging="540"/>
        <w:rPr>
          <w:snapToGrid w:val="0"/>
          <w:kern w:val="22"/>
          <w:szCs w:val="22"/>
        </w:rPr>
      </w:pPr>
      <w:r w:rsidRPr="0068290F">
        <w:rPr>
          <w:snapToGrid w:val="0"/>
          <w:kern w:val="22"/>
          <w:szCs w:val="22"/>
        </w:rPr>
        <w:t>(ii)</w:t>
      </w:r>
      <w:r w:rsidRPr="0068290F">
        <w:rPr>
          <w:snapToGrid w:val="0"/>
          <w:kern w:val="22"/>
          <w:szCs w:val="22"/>
        </w:rPr>
        <w:tab/>
        <w:t>May be introduced into the environment either deliberately or accidentally;</w:t>
      </w:r>
    </w:p>
    <w:p w14:paraId="6F31366F" w14:textId="77777777" w:rsidR="00C3342C" w:rsidRPr="0068290F" w:rsidRDefault="00C3342C" w:rsidP="0068290F">
      <w:pPr>
        <w:suppressLineNumbers/>
        <w:suppressAutoHyphens/>
        <w:kinsoku w:val="0"/>
        <w:overflowPunct w:val="0"/>
        <w:autoSpaceDE w:val="0"/>
        <w:autoSpaceDN w:val="0"/>
        <w:spacing w:before="120" w:after="120"/>
        <w:ind w:left="1980" w:hanging="540"/>
        <w:rPr>
          <w:snapToGrid w:val="0"/>
          <w:kern w:val="22"/>
          <w:szCs w:val="22"/>
        </w:rPr>
      </w:pPr>
      <w:r w:rsidRPr="0068290F">
        <w:rPr>
          <w:snapToGrid w:val="0"/>
          <w:kern w:val="22"/>
          <w:szCs w:val="22"/>
        </w:rPr>
        <w:t>(iii)</w:t>
      </w:r>
      <w:r w:rsidRPr="0068290F">
        <w:rPr>
          <w:snapToGrid w:val="0"/>
          <w:kern w:val="22"/>
          <w:szCs w:val="22"/>
        </w:rPr>
        <w:tab/>
        <w:t>Have the potential to disseminate across territorial borders;</w:t>
      </w:r>
    </w:p>
    <w:p w14:paraId="4E0229BF" w14:textId="77777777" w:rsidR="00C3342C" w:rsidRPr="004D756D" w:rsidRDefault="00C3342C" w:rsidP="0068290F">
      <w:pPr>
        <w:suppressLineNumbers/>
        <w:suppressAutoHyphens/>
        <w:kinsoku w:val="0"/>
        <w:overflowPunct w:val="0"/>
        <w:autoSpaceDE w:val="0"/>
        <w:autoSpaceDN w:val="0"/>
        <w:spacing w:before="120" w:after="120"/>
        <w:ind w:left="1980" w:hanging="540"/>
        <w:rPr>
          <w:snapToGrid w:val="0"/>
          <w:kern w:val="22"/>
          <w:szCs w:val="22"/>
        </w:rPr>
      </w:pPr>
      <w:r w:rsidRPr="0068290F">
        <w:rPr>
          <w:snapToGrid w:val="0"/>
          <w:kern w:val="22"/>
          <w:szCs w:val="22"/>
        </w:rPr>
        <w:t>(iv)</w:t>
      </w:r>
      <w:r w:rsidRPr="0068290F">
        <w:rPr>
          <w:snapToGrid w:val="0"/>
          <w:kern w:val="22"/>
          <w:szCs w:val="22"/>
        </w:rPr>
        <w:tab/>
        <w:t>Are already, or are likely to be, commerciali</w:t>
      </w:r>
      <w:r w:rsidR="00C5728C" w:rsidRPr="0068290F">
        <w:rPr>
          <w:snapToGrid w:val="0"/>
          <w:kern w:val="22"/>
          <w:szCs w:val="22"/>
        </w:rPr>
        <w:t>z</w:t>
      </w:r>
      <w:r w:rsidRPr="0068290F">
        <w:rPr>
          <w:snapToGrid w:val="0"/>
          <w:kern w:val="22"/>
          <w:szCs w:val="22"/>
        </w:rPr>
        <w:t>ed or in use somewhere in the world.</w:t>
      </w:r>
    </w:p>
    <w:p w14:paraId="4408741B" w14:textId="77777777" w:rsidR="00D15589" w:rsidRPr="0068290F" w:rsidRDefault="00CA6B87" w:rsidP="0068290F">
      <w:pPr>
        <w:suppressLineNumbers/>
        <w:suppressAutoHyphens/>
        <w:kinsoku w:val="0"/>
        <w:overflowPunct w:val="0"/>
        <w:autoSpaceDE w:val="0"/>
        <w:autoSpaceDN w:val="0"/>
        <w:spacing w:before="120" w:after="120"/>
        <w:jc w:val="center"/>
        <w:rPr>
          <w:snapToGrid w:val="0"/>
          <w:kern w:val="22"/>
          <w:szCs w:val="22"/>
        </w:rPr>
      </w:pPr>
      <w:r w:rsidRPr="004F4EB0">
        <w:rPr>
          <w:snapToGrid w:val="0"/>
          <w:kern w:val="22"/>
          <w:szCs w:val="22"/>
        </w:rPr>
        <w:t>__________</w:t>
      </w:r>
    </w:p>
    <w:p w14:paraId="135B02FB" w14:textId="77777777" w:rsidR="00736BC2" w:rsidRPr="0068290F" w:rsidRDefault="00736BC2" w:rsidP="0068290F">
      <w:pPr>
        <w:suppressLineNumbers/>
        <w:suppressAutoHyphens/>
        <w:kinsoku w:val="0"/>
        <w:overflowPunct w:val="0"/>
        <w:autoSpaceDE w:val="0"/>
        <w:autoSpaceDN w:val="0"/>
        <w:spacing w:before="120" w:after="120"/>
        <w:jc w:val="center"/>
        <w:rPr>
          <w:snapToGrid w:val="0"/>
          <w:kern w:val="22"/>
          <w:szCs w:val="22"/>
        </w:rPr>
      </w:pPr>
    </w:p>
    <w:sectPr w:rsidR="00736BC2" w:rsidRPr="0068290F" w:rsidSect="00CA1572">
      <w:headerReference w:type="even" r:id="rId15"/>
      <w:headerReference w:type="default" r:id="rId16"/>
      <w:footerReference w:type="even" r:id="rId17"/>
      <w:footerReference w:type="default" r:id="rId18"/>
      <w:footerReference w:type="first" r:id="rId19"/>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7730F" w14:textId="77777777" w:rsidR="00594350" w:rsidRDefault="00594350">
      <w:r>
        <w:separator/>
      </w:r>
    </w:p>
  </w:endnote>
  <w:endnote w:type="continuationSeparator" w:id="0">
    <w:p w14:paraId="6D0EA3B6" w14:textId="77777777" w:rsidR="00594350" w:rsidRDefault="0059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3CAE" w14:textId="77777777" w:rsidR="005A4874" w:rsidRDefault="005A4874" w:rsidP="0068290F">
    <w:pPr>
      <w:pStyle w:val="Footer"/>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A4F43" w14:textId="77777777" w:rsidR="005A4874" w:rsidRDefault="005A4874" w:rsidP="0068290F">
    <w:pPr>
      <w:pStyle w:val="Footer"/>
      <w:tabs>
        <w:tab w:val="clear" w:pos="4320"/>
        <w:tab w:val="clear" w:pos="8640"/>
      </w:tabs>
      <w:kinsoku w:val="0"/>
      <w:overflowPunct w:val="0"/>
      <w:autoSpaceDE w:val="0"/>
      <w:autoSpaceDN w:val="0"/>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FA4B" w14:textId="77777777" w:rsidR="00E3053D" w:rsidRDefault="00E3053D" w:rsidP="0068290F">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1E67D" w14:textId="77777777" w:rsidR="00594350" w:rsidRDefault="00594350">
      <w:r>
        <w:separator/>
      </w:r>
    </w:p>
  </w:footnote>
  <w:footnote w:type="continuationSeparator" w:id="0">
    <w:p w14:paraId="23A12E5A" w14:textId="77777777" w:rsidR="00594350" w:rsidRDefault="00594350">
      <w:r>
        <w:continuationSeparator/>
      </w:r>
    </w:p>
  </w:footnote>
  <w:footnote w:id="1">
    <w:p w14:paraId="178E72A6" w14:textId="25575758" w:rsidR="00B24CDB" w:rsidRPr="00E47189" w:rsidRDefault="00B24CDB" w:rsidP="00E47189">
      <w:pPr>
        <w:pStyle w:val="FootnoteText"/>
        <w:ind w:firstLine="0"/>
        <w:rPr>
          <w:lang w:val="en-CA"/>
        </w:rPr>
      </w:pPr>
      <w:r w:rsidRPr="00E47189">
        <w:rPr>
          <w:rStyle w:val="FootnoteReference"/>
          <w:u w:val="none"/>
        </w:rPr>
        <w:t>*</w:t>
      </w:r>
      <w:r>
        <w:t xml:space="preserve"> </w:t>
      </w:r>
      <w:r>
        <w:rPr>
          <w:lang w:val="en-CA"/>
        </w:rPr>
        <w:t>Reissued for technical reasons on 27 May 2018.</w:t>
      </w:r>
    </w:p>
  </w:footnote>
  <w:footnote w:id="2">
    <w:p w14:paraId="67659428" w14:textId="4315B222" w:rsidR="00EE27CC" w:rsidRPr="0068290F" w:rsidRDefault="00B24CDB" w:rsidP="0068290F">
      <w:pPr>
        <w:pStyle w:val="FootnoteText"/>
        <w:kinsoku w:val="0"/>
        <w:overflowPunct w:val="0"/>
        <w:autoSpaceDE w:val="0"/>
        <w:autoSpaceDN w:val="0"/>
        <w:ind w:firstLine="0"/>
        <w:jc w:val="left"/>
        <w:rPr>
          <w:kern w:val="18"/>
          <w:szCs w:val="18"/>
          <w:lang w:val="en-US"/>
        </w:rPr>
      </w:pPr>
      <w:r>
        <w:rPr>
          <w:kern w:val="18"/>
          <w:szCs w:val="18"/>
        </w:rPr>
        <w:t>*</w:t>
      </w:r>
      <w:r w:rsidR="00EE27CC" w:rsidRPr="0068290F">
        <w:rPr>
          <w:rStyle w:val="FootnoteReference"/>
          <w:kern w:val="18"/>
          <w:szCs w:val="18"/>
          <w:u w:val="none"/>
        </w:rPr>
        <w:t>*</w:t>
      </w:r>
      <w:r w:rsidR="00EE27CC" w:rsidRPr="0068290F">
        <w:rPr>
          <w:kern w:val="18"/>
          <w:szCs w:val="18"/>
        </w:rPr>
        <w:t xml:space="preserve"> </w:t>
      </w:r>
      <w:hyperlink r:id="rId1" w:history="1">
        <w:r w:rsidR="00EE27CC" w:rsidRPr="0068290F">
          <w:rPr>
            <w:rStyle w:val="Hyperlink"/>
            <w:kern w:val="18"/>
            <w:szCs w:val="18"/>
          </w:rPr>
          <w:t>CBD/</w:t>
        </w:r>
        <w:r w:rsidR="00EE27CC" w:rsidRPr="0068290F">
          <w:rPr>
            <w:rStyle w:val="Hyperlink"/>
            <w:kern w:val="18"/>
            <w:szCs w:val="18"/>
            <w:lang w:val="en-US"/>
          </w:rPr>
          <w:t>SBSTTA/22/1</w:t>
        </w:r>
      </w:hyperlink>
      <w:r w:rsidR="00EE27CC" w:rsidRPr="0068290F">
        <w:rPr>
          <w:kern w:val="18"/>
          <w:szCs w:val="18"/>
          <w:lang w:val="en-US"/>
        </w:rPr>
        <w:t>.</w:t>
      </w:r>
    </w:p>
  </w:footnote>
  <w:footnote w:id="3">
    <w:p w14:paraId="3EF1B0E7" w14:textId="77777777" w:rsidR="00EE27CC" w:rsidRPr="0068290F" w:rsidRDefault="00EE27CC" w:rsidP="0068290F">
      <w:pPr>
        <w:pStyle w:val="FootnoteText"/>
        <w:kinsoku w:val="0"/>
        <w:overflowPunct w:val="0"/>
        <w:autoSpaceDE w:val="0"/>
        <w:autoSpaceDN w:val="0"/>
        <w:ind w:firstLine="0"/>
        <w:jc w:val="left"/>
        <w:rPr>
          <w:kern w:val="18"/>
          <w:szCs w:val="18"/>
          <w:lang w:val="en-CA"/>
        </w:rPr>
      </w:pPr>
      <w:r w:rsidRPr="0068290F">
        <w:rPr>
          <w:rStyle w:val="FootnoteReference"/>
          <w:kern w:val="18"/>
          <w:szCs w:val="18"/>
          <w:u w:val="none"/>
          <w:vertAlign w:val="superscript"/>
        </w:rPr>
        <w:footnoteRef/>
      </w:r>
      <w:r w:rsidRPr="0068290F">
        <w:rPr>
          <w:kern w:val="18"/>
          <w:szCs w:val="18"/>
        </w:rPr>
        <w:t xml:space="preserve"> </w:t>
      </w:r>
      <w:hyperlink r:id="rId2" w:history="1">
        <w:r w:rsidRPr="0068290F">
          <w:rPr>
            <w:rStyle w:val="Hyperlink"/>
            <w:kern w:val="18"/>
            <w:szCs w:val="18"/>
          </w:rPr>
          <w:t>SCBD/SPS/DC/MPM/MW/86376</w:t>
        </w:r>
      </w:hyperlink>
      <w:r w:rsidRPr="0068290F">
        <w:rPr>
          <w:kern w:val="18"/>
          <w:szCs w:val="18"/>
        </w:rPr>
        <w:t>.</w:t>
      </w:r>
    </w:p>
  </w:footnote>
  <w:footnote w:id="4">
    <w:p w14:paraId="591C56BF" w14:textId="77777777" w:rsidR="00174832" w:rsidRPr="0068290F" w:rsidRDefault="00174832" w:rsidP="0068290F">
      <w:pPr>
        <w:pStyle w:val="FootnoteText"/>
        <w:kinsoku w:val="0"/>
        <w:overflowPunct w:val="0"/>
        <w:autoSpaceDE w:val="0"/>
        <w:autoSpaceDN w:val="0"/>
        <w:ind w:firstLine="0"/>
        <w:jc w:val="left"/>
        <w:rPr>
          <w:kern w:val="18"/>
          <w:szCs w:val="18"/>
          <w:lang w:val="en-US"/>
        </w:rPr>
      </w:pPr>
      <w:r w:rsidRPr="0068290F">
        <w:rPr>
          <w:rStyle w:val="FootnoteReference"/>
          <w:kern w:val="18"/>
          <w:szCs w:val="18"/>
          <w:u w:val="none"/>
          <w:vertAlign w:val="superscript"/>
        </w:rPr>
        <w:footnoteRef/>
      </w:r>
      <w:r w:rsidRPr="0068290F">
        <w:rPr>
          <w:kern w:val="18"/>
          <w:szCs w:val="18"/>
        </w:rPr>
        <w:t xml:space="preserve"> </w:t>
      </w:r>
      <w:r w:rsidRPr="0068290F">
        <w:rPr>
          <w:kern w:val="18"/>
          <w:szCs w:val="18"/>
          <w:lang w:val="en-US"/>
        </w:rPr>
        <w:t xml:space="preserve">The discussions are available at: </w:t>
      </w:r>
      <w:hyperlink r:id="rId3" w:history="1">
        <w:r w:rsidRPr="0068290F">
          <w:rPr>
            <w:rStyle w:val="Hyperlink"/>
            <w:kern w:val="18"/>
            <w:szCs w:val="18"/>
            <w:lang w:val="en-US"/>
          </w:rPr>
          <w:t>https://bch.cbd.int/onlineconferences/forum_ra/discussion.shtml</w:t>
        </w:r>
      </w:hyperlink>
      <w:r w:rsidRPr="0068290F">
        <w:rPr>
          <w:kern w:val="18"/>
          <w:szCs w:val="18"/>
          <w:lang w:val="en-US"/>
        </w:rPr>
        <w:t>.</w:t>
      </w:r>
    </w:p>
  </w:footnote>
  <w:footnote w:id="5">
    <w:p w14:paraId="2F38CC82" w14:textId="77777777" w:rsidR="00174832" w:rsidRPr="0068290F" w:rsidRDefault="00174832" w:rsidP="0068290F">
      <w:pPr>
        <w:keepLines/>
        <w:kinsoku w:val="0"/>
        <w:overflowPunct w:val="0"/>
        <w:autoSpaceDE w:val="0"/>
        <w:autoSpaceDN w:val="0"/>
        <w:spacing w:after="60"/>
        <w:jc w:val="left"/>
        <w:rPr>
          <w:kern w:val="18"/>
          <w:sz w:val="18"/>
          <w:szCs w:val="18"/>
          <w:lang w:val="en-US"/>
        </w:rPr>
      </w:pPr>
      <w:r w:rsidRPr="0068290F">
        <w:rPr>
          <w:rStyle w:val="FootnoteReference"/>
          <w:kern w:val="18"/>
          <w:szCs w:val="18"/>
          <w:u w:val="none"/>
          <w:vertAlign w:val="superscript"/>
        </w:rPr>
        <w:footnoteRef/>
      </w:r>
      <w:r w:rsidRPr="0068290F">
        <w:rPr>
          <w:kern w:val="18"/>
          <w:sz w:val="18"/>
          <w:szCs w:val="18"/>
        </w:rPr>
        <w:t xml:space="preserve"> </w:t>
      </w:r>
      <w:hyperlink r:id="rId4" w:history="1">
        <w:r w:rsidRPr="0068290F">
          <w:rPr>
            <w:rStyle w:val="Hyperlink"/>
            <w:kern w:val="18"/>
            <w:sz w:val="18"/>
            <w:szCs w:val="18"/>
          </w:rPr>
          <w:t>https://bch.cbd.int/onlineconferences/forum_ra/peer-review.shtml</w:t>
        </w:r>
      </w:hyperlink>
      <w:r w:rsidR="00133476" w:rsidRPr="0068290F">
        <w:rPr>
          <w:rStyle w:val="Hyperlink"/>
          <w:color w:val="auto"/>
          <w:kern w:val="18"/>
          <w:sz w:val="18"/>
          <w:szCs w:val="18"/>
          <w:u w:val="none"/>
        </w:rPr>
        <w:t>.</w:t>
      </w:r>
    </w:p>
    <w:p w14:paraId="310A5904" w14:textId="77777777" w:rsidR="00174832" w:rsidRPr="0068290F" w:rsidRDefault="00174832" w:rsidP="0068290F">
      <w:pPr>
        <w:pStyle w:val="FootnoteText"/>
        <w:kinsoku w:val="0"/>
        <w:overflowPunct w:val="0"/>
        <w:autoSpaceDE w:val="0"/>
        <w:autoSpaceDN w:val="0"/>
        <w:ind w:firstLine="0"/>
        <w:jc w:val="left"/>
        <w:rPr>
          <w:kern w:val="18"/>
          <w:szCs w:val="18"/>
          <w:lang w:val="en-US"/>
        </w:rPr>
      </w:pPr>
    </w:p>
  </w:footnote>
  <w:footnote w:id="6">
    <w:p w14:paraId="7505B45C" w14:textId="77777777" w:rsidR="00767B3E" w:rsidRPr="0068290F" w:rsidRDefault="00767B3E" w:rsidP="0068290F">
      <w:pPr>
        <w:pStyle w:val="FootnoteText"/>
        <w:kinsoku w:val="0"/>
        <w:overflowPunct w:val="0"/>
        <w:autoSpaceDE w:val="0"/>
        <w:autoSpaceDN w:val="0"/>
        <w:ind w:firstLine="0"/>
        <w:jc w:val="left"/>
        <w:rPr>
          <w:kern w:val="18"/>
          <w:szCs w:val="18"/>
          <w:lang w:val="en-US"/>
        </w:rPr>
      </w:pPr>
      <w:r w:rsidRPr="0068290F">
        <w:rPr>
          <w:rStyle w:val="FootnoteReference"/>
          <w:kern w:val="18"/>
          <w:szCs w:val="18"/>
          <w:u w:val="none"/>
          <w:vertAlign w:val="superscript"/>
        </w:rPr>
        <w:footnoteRef/>
      </w:r>
      <w:r w:rsidRPr="0068290F">
        <w:rPr>
          <w:kern w:val="18"/>
          <w:szCs w:val="18"/>
        </w:rPr>
        <w:t xml:space="preserve"> See CBD/SBSTTA/22/4.</w:t>
      </w:r>
    </w:p>
  </w:footnote>
  <w:footnote w:id="7">
    <w:p w14:paraId="76E51951" w14:textId="77777777" w:rsidR="008B5198" w:rsidRPr="0068290F" w:rsidRDefault="008B5198" w:rsidP="0068290F">
      <w:pPr>
        <w:pStyle w:val="FootnoteText"/>
        <w:kinsoku w:val="0"/>
        <w:overflowPunct w:val="0"/>
        <w:autoSpaceDE w:val="0"/>
        <w:autoSpaceDN w:val="0"/>
        <w:ind w:firstLine="0"/>
        <w:jc w:val="left"/>
        <w:rPr>
          <w:kern w:val="18"/>
          <w:lang w:val="en-US"/>
        </w:rPr>
      </w:pPr>
      <w:r w:rsidRPr="0068290F">
        <w:rPr>
          <w:rStyle w:val="FootnoteReference"/>
          <w:kern w:val="18"/>
          <w:u w:val="none"/>
          <w:vertAlign w:val="superscript"/>
        </w:rPr>
        <w:footnoteRef/>
      </w:r>
      <w:r w:rsidRPr="0068290F">
        <w:rPr>
          <w:kern w:val="18"/>
        </w:rPr>
        <w:t xml:space="preserve"> </w:t>
      </w:r>
      <w:hyperlink r:id="rId5" w:history="1">
        <w:r w:rsidRPr="0068290F">
          <w:rPr>
            <w:rStyle w:val="Hyperlink"/>
            <w:kern w:val="18"/>
            <w:lang w:val="en-US"/>
          </w:rPr>
          <w:t>Decision VIII/10</w:t>
        </w:r>
      </w:hyperlink>
      <w:r w:rsidRPr="0068290F">
        <w:rPr>
          <w:kern w:val="18"/>
          <w:lang w:val="en-US"/>
        </w:rPr>
        <w:t>, annex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napToGrid w:val="0"/>
        <w:kern w:val="22"/>
        <w:szCs w:val="22"/>
        <w:lang w:val="en-US"/>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5325FAC9" w14:textId="77777777" w:rsidR="00EE27CC" w:rsidRPr="0068290F" w:rsidRDefault="00E10A2E" w:rsidP="0068290F">
        <w:pPr>
          <w:pStyle w:val="Header"/>
          <w:tabs>
            <w:tab w:val="clear" w:pos="4320"/>
            <w:tab w:val="clear" w:pos="8640"/>
          </w:tabs>
          <w:kinsoku w:val="0"/>
          <w:overflowPunct w:val="0"/>
          <w:autoSpaceDE w:val="0"/>
          <w:autoSpaceDN w:val="0"/>
          <w:jc w:val="left"/>
          <w:rPr>
            <w:noProof/>
            <w:snapToGrid w:val="0"/>
            <w:kern w:val="22"/>
          </w:rPr>
        </w:pPr>
        <w:r w:rsidRPr="005A4874">
          <w:rPr>
            <w:snapToGrid w:val="0"/>
            <w:kern w:val="22"/>
            <w:szCs w:val="22"/>
            <w:lang w:val="en-US"/>
          </w:rPr>
          <w:t>CBD/SBSTTA/22/3</w:t>
        </w:r>
      </w:p>
    </w:sdtContent>
  </w:sdt>
  <w:p w14:paraId="7312E0F6" w14:textId="66A51DEE" w:rsidR="00EE27CC" w:rsidRPr="0068290F" w:rsidRDefault="00EE27CC" w:rsidP="0068290F">
    <w:pPr>
      <w:pStyle w:val="Header"/>
      <w:tabs>
        <w:tab w:val="clear" w:pos="4320"/>
        <w:tab w:val="clear" w:pos="8640"/>
      </w:tabs>
      <w:kinsoku w:val="0"/>
      <w:overflowPunct w:val="0"/>
      <w:autoSpaceDE w:val="0"/>
      <w:autoSpaceDN w:val="0"/>
      <w:jc w:val="left"/>
      <w:rPr>
        <w:noProof/>
        <w:snapToGrid w:val="0"/>
        <w:kern w:val="22"/>
      </w:rPr>
    </w:pPr>
    <w:r w:rsidRPr="0068290F">
      <w:rPr>
        <w:noProof/>
        <w:snapToGrid w:val="0"/>
        <w:kern w:val="22"/>
      </w:rPr>
      <w:t xml:space="preserve">Page </w:t>
    </w:r>
    <w:r w:rsidRPr="0068290F">
      <w:rPr>
        <w:noProof/>
        <w:snapToGrid w:val="0"/>
        <w:kern w:val="22"/>
      </w:rPr>
      <w:fldChar w:fldCharType="begin"/>
    </w:r>
    <w:r w:rsidRPr="0068290F">
      <w:rPr>
        <w:noProof/>
        <w:snapToGrid w:val="0"/>
        <w:kern w:val="22"/>
      </w:rPr>
      <w:instrText xml:space="preserve"> PAGE   \* MERGEFORMAT </w:instrText>
    </w:r>
    <w:r w:rsidRPr="0068290F">
      <w:rPr>
        <w:noProof/>
        <w:snapToGrid w:val="0"/>
        <w:kern w:val="22"/>
      </w:rPr>
      <w:fldChar w:fldCharType="separate"/>
    </w:r>
    <w:r w:rsidR="00E47189">
      <w:rPr>
        <w:noProof/>
        <w:snapToGrid w:val="0"/>
        <w:kern w:val="22"/>
      </w:rPr>
      <w:t>4</w:t>
    </w:r>
    <w:r w:rsidRPr="0068290F">
      <w:rPr>
        <w:noProof/>
        <w:snapToGrid w:val="0"/>
        <w:kern w:val="22"/>
      </w:rPr>
      <w:fldChar w:fldCharType="end"/>
    </w:r>
  </w:p>
  <w:p w14:paraId="364D2572" w14:textId="77777777" w:rsidR="00EE27CC" w:rsidRPr="0068290F" w:rsidRDefault="00EE27CC" w:rsidP="0068290F">
    <w:pPr>
      <w:pStyle w:val="Header"/>
      <w:tabs>
        <w:tab w:val="clear" w:pos="4320"/>
        <w:tab w:val="clear" w:pos="8640"/>
      </w:tabs>
      <w:kinsoku w:val="0"/>
      <w:overflowPunct w:val="0"/>
      <w:autoSpaceDE w:val="0"/>
      <w:autoSpaceDN w:val="0"/>
      <w:jc w:val="left"/>
      <w:rPr>
        <w:noProof/>
        <w:snapToGrid w:val="0"/>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144E5D96" w14:textId="77777777" w:rsidR="00EE27CC" w:rsidRPr="005A4874" w:rsidRDefault="00E10A2E" w:rsidP="0068290F">
        <w:pPr>
          <w:pStyle w:val="Header"/>
          <w:tabs>
            <w:tab w:val="clear" w:pos="4320"/>
            <w:tab w:val="clear" w:pos="8640"/>
          </w:tabs>
          <w:kinsoku w:val="0"/>
          <w:overflowPunct w:val="0"/>
          <w:autoSpaceDE w:val="0"/>
          <w:autoSpaceDN w:val="0"/>
          <w:jc w:val="right"/>
          <w:rPr>
            <w:noProof/>
            <w:kern w:val="22"/>
          </w:rPr>
        </w:pPr>
        <w:r w:rsidRPr="005A4874">
          <w:rPr>
            <w:noProof/>
            <w:kern w:val="22"/>
          </w:rPr>
          <w:t>CBD/SBSTTA/22/3</w:t>
        </w:r>
      </w:p>
    </w:sdtContent>
  </w:sdt>
  <w:p w14:paraId="1D69080E" w14:textId="51098CE2" w:rsidR="00EE27CC" w:rsidRPr="005A4874" w:rsidRDefault="00EE27CC" w:rsidP="0068290F">
    <w:pPr>
      <w:pStyle w:val="Header"/>
      <w:tabs>
        <w:tab w:val="clear" w:pos="4320"/>
        <w:tab w:val="clear" w:pos="8640"/>
      </w:tabs>
      <w:kinsoku w:val="0"/>
      <w:overflowPunct w:val="0"/>
      <w:autoSpaceDE w:val="0"/>
      <w:autoSpaceDN w:val="0"/>
      <w:jc w:val="right"/>
      <w:rPr>
        <w:noProof/>
        <w:kern w:val="22"/>
      </w:rPr>
    </w:pPr>
    <w:r w:rsidRPr="005A4874">
      <w:rPr>
        <w:noProof/>
        <w:kern w:val="22"/>
      </w:rPr>
      <w:t xml:space="preserve">Page </w:t>
    </w:r>
    <w:r w:rsidRPr="005A4874">
      <w:rPr>
        <w:noProof/>
        <w:kern w:val="22"/>
      </w:rPr>
      <w:fldChar w:fldCharType="begin"/>
    </w:r>
    <w:r w:rsidRPr="005A4874">
      <w:rPr>
        <w:noProof/>
        <w:kern w:val="22"/>
      </w:rPr>
      <w:instrText xml:space="preserve"> PAGE   \* MERGEFORMAT </w:instrText>
    </w:r>
    <w:r w:rsidRPr="005A4874">
      <w:rPr>
        <w:noProof/>
        <w:kern w:val="22"/>
      </w:rPr>
      <w:fldChar w:fldCharType="separate"/>
    </w:r>
    <w:r w:rsidR="00E47189">
      <w:rPr>
        <w:noProof/>
        <w:kern w:val="22"/>
      </w:rPr>
      <w:t>5</w:t>
    </w:r>
    <w:r w:rsidRPr="005A4874">
      <w:rPr>
        <w:noProof/>
        <w:kern w:val="22"/>
      </w:rPr>
      <w:fldChar w:fldCharType="end"/>
    </w:r>
  </w:p>
  <w:p w14:paraId="6166BC47" w14:textId="77777777" w:rsidR="00EE27CC" w:rsidRPr="005A4874" w:rsidRDefault="00EE27CC" w:rsidP="0068290F">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5pt;height:408.75pt;visibility:visible;mso-wrap-style:squar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8A30701"/>
    <w:multiLevelType w:val="hybridMultilevel"/>
    <w:tmpl w:val="D3527F5C"/>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15:restartNumberingAfterBreak="0">
    <w:nsid w:val="0C6F3588"/>
    <w:multiLevelType w:val="hybridMultilevel"/>
    <w:tmpl w:val="E53E379E"/>
    <w:lvl w:ilvl="0" w:tplc="E25214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62C56"/>
    <w:multiLevelType w:val="hybridMultilevel"/>
    <w:tmpl w:val="39942C16"/>
    <w:lvl w:ilvl="0" w:tplc="43E8948E">
      <w:start w:val="1"/>
      <w:numFmt w:val="decimal"/>
      <w:lvlText w:val="%1."/>
      <w:lvlJc w:val="left"/>
      <w:pPr>
        <w:ind w:left="0" w:hanging="360"/>
      </w:pPr>
      <w:rPr>
        <w:rFonts w:hint="default"/>
      </w:rPr>
    </w:lvl>
    <w:lvl w:ilvl="1" w:tplc="E3526AD2">
      <w:start w:val="1"/>
      <w:numFmt w:val="lowerLetter"/>
      <w:lvlText w:val="(%2)"/>
      <w:lvlJc w:val="left"/>
      <w:pPr>
        <w:ind w:left="153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0D5C3974"/>
    <w:multiLevelType w:val="hybridMultilevel"/>
    <w:tmpl w:val="942CDD84"/>
    <w:lvl w:ilvl="0" w:tplc="E25214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E7E4B"/>
    <w:multiLevelType w:val="hybridMultilevel"/>
    <w:tmpl w:val="B3A428E0"/>
    <w:lvl w:ilvl="0" w:tplc="E25214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D52FE6"/>
    <w:multiLevelType w:val="hybridMultilevel"/>
    <w:tmpl w:val="94BC66E2"/>
    <w:lvl w:ilvl="0" w:tplc="E25214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5"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39174DC"/>
    <w:multiLevelType w:val="hybridMultilevel"/>
    <w:tmpl w:val="C8CE1B64"/>
    <w:lvl w:ilvl="0" w:tplc="1409000F">
      <w:start w:val="1"/>
      <w:numFmt w:val="decimal"/>
      <w:lvlText w:val="%1."/>
      <w:lvlJc w:val="left"/>
      <w:pPr>
        <w:ind w:left="720" w:hanging="360"/>
      </w:pPr>
      <w:rPr>
        <w:rFonts w:hint="default"/>
      </w:rPr>
    </w:lvl>
    <w:lvl w:ilvl="1" w:tplc="A574C796">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22" w15:restartNumberingAfterBreak="0">
    <w:nsid w:val="3F514AC8"/>
    <w:multiLevelType w:val="hybridMultilevel"/>
    <w:tmpl w:val="4462CF8E"/>
    <w:lvl w:ilvl="0" w:tplc="0648304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5"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1AB46B2"/>
    <w:multiLevelType w:val="hybridMultilevel"/>
    <w:tmpl w:val="CDAE337C"/>
    <w:lvl w:ilvl="0" w:tplc="E25214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516B6E"/>
    <w:multiLevelType w:val="hybridMultilevel"/>
    <w:tmpl w:val="420E825E"/>
    <w:lvl w:ilvl="0" w:tplc="9D4605C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FFE687C"/>
    <w:multiLevelType w:val="hybridMultilevel"/>
    <w:tmpl w:val="69FEBEB2"/>
    <w:lvl w:ilvl="0" w:tplc="358483CE">
      <w:start w:val="1"/>
      <w:numFmt w:val="decimal"/>
      <w:lvlText w:val="%1."/>
      <w:lvlJc w:val="left"/>
      <w:pPr>
        <w:ind w:left="0" w:hanging="360"/>
      </w:pPr>
      <w:rPr>
        <w:rFonts w:hint="default"/>
        <w:i w:val="0"/>
      </w:rPr>
    </w:lvl>
    <w:lvl w:ilvl="1" w:tplc="04090019">
      <w:start w:val="1"/>
      <w:numFmt w:val="lowerLetter"/>
      <w:lvlText w:val="%2."/>
      <w:lvlJc w:val="left"/>
      <w:pPr>
        <w:ind w:left="153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A41DE5"/>
    <w:multiLevelType w:val="hybridMultilevel"/>
    <w:tmpl w:val="C10ECDE6"/>
    <w:lvl w:ilvl="0" w:tplc="9AE86712">
      <w:start w:val="1"/>
      <w:numFmt w:val="decimal"/>
      <w:lvlText w:val="%1."/>
      <w:lvlJc w:val="left"/>
      <w:pPr>
        <w:ind w:left="720" w:hanging="360"/>
      </w:pPr>
      <w:rPr>
        <w:rFonts w:hint="default"/>
        <w:b w:val="0"/>
      </w:rPr>
    </w:lvl>
    <w:lvl w:ilvl="1" w:tplc="A574C796">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44719D8"/>
    <w:multiLevelType w:val="hybridMultilevel"/>
    <w:tmpl w:val="0A12D83C"/>
    <w:lvl w:ilvl="0" w:tplc="F9D04BA0">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5076A08"/>
    <w:multiLevelType w:val="hybridMultilevel"/>
    <w:tmpl w:val="16E6F396"/>
    <w:lvl w:ilvl="0" w:tplc="0AE0994E">
      <w:start w:val="7"/>
      <w:numFmt w:val="decimal"/>
      <w:lvlText w:val="(%1)"/>
      <w:lvlJc w:val="lef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4C6744"/>
    <w:multiLevelType w:val="hybridMultilevel"/>
    <w:tmpl w:val="EDCC3E8C"/>
    <w:lvl w:ilvl="0" w:tplc="E25214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15"/>
  </w:num>
  <w:num w:numId="4">
    <w:abstractNumId w:val="37"/>
  </w:num>
  <w:num w:numId="5">
    <w:abstractNumId w:val="18"/>
  </w:num>
  <w:num w:numId="6">
    <w:abstractNumId w:val="27"/>
  </w:num>
  <w:num w:numId="7">
    <w:abstractNumId w:val="23"/>
  </w:num>
  <w:num w:numId="8">
    <w:abstractNumId w:val="20"/>
  </w:num>
  <w:num w:numId="9">
    <w:abstractNumId w:val="27"/>
  </w:num>
  <w:num w:numId="10">
    <w:abstractNumId w:val="26"/>
  </w:num>
  <w:num w:numId="11">
    <w:abstractNumId w:val="21"/>
  </w:num>
  <w:num w:numId="12">
    <w:abstractNumId w:val="13"/>
  </w:num>
  <w:num w:numId="13">
    <w:abstractNumId w:val="25"/>
  </w:num>
  <w:num w:numId="14">
    <w:abstractNumId w:val="1"/>
  </w:num>
  <w:num w:numId="15">
    <w:abstractNumId w:val="41"/>
  </w:num>
  <w:num w:numId="16">
    <w:abstractNumId w:val="31"/>
  </w:num>
  <w:num w:numId="17">
    <w:abstractNumId w:val="12"/>
  </w:num>
  <w:num w:numId="18">
    <w:abstractNumId w:val="27"/>
    <w:lvlOverride w:ilvl="0">
      <w:startOverride w:val="1"/>
    </w:lvlOverride>
    <w:lvlOverride w:ilvl="1">
      <w:startOverride w:val="1"/>
    </w:lvlOverride>
    <w:lvlOverride w:ilvl="2">
      <w:startOverride w:val="2"/>
    </w:lvlOverride>
  </w:num>
  <w:num w:numId="19">
    <w:abstractNumId w:val="27"/>
    <w:lvlOverride w:ilvl="0">
      <w:startOverride w:val="1"/>
    </w:lvlOverride>
    <w:lvlOverride w:ilvl="1">
      <w:startOverride w:val="1"/>
    </w:lvlOverride>
    <w:lvlOverride w:ilvl="2">
      <w:startOverride w:val="3"/>
    </w:lvlOverride>
  </w:num>
  <w:num w:numId="20">
    <w:abstractNumId w:val="11"/>
  </w:num>
  <w:num w:numId="21">
    <w:abstractNumId w:val="32"/>
  </w:num>
  <w:num w:numId="22">
    <w:abstractNumId w:val="29"/>
  </w:num>
  <w:num w:numId="23">
    <w:abstractNumId w:val="14"/>
  </w:num>
  <w:num w:numId="24">
    <w:abstractNumId w:val="35"/>
  </w:num>
  <w:num w:numId="25">
    <w:abstractNumId w:val="36"/>
  </w:num>
  <w:num w:numId="26">
    <w:abstractNumId w:val="24"/>
  </w:num>
  <w:num w:numId="27">
    <w:abstractNumId w:val="27"/>
  </w:num>
  <w:num w:numId="28">
    <w:abstractNumId w:val="27"/>
  </w:num>
  <w:num w:numId="29">
    <w:abstractNumId w:val="27"/>
  </w:num>
  <w:num w:numId="30">
    <w:abstractNumId w:val="27"/>
  </w:num>
  <w:num w:numId="31">
    <w:abstractNumId w:val="2"/>
  </w:num>
  <w:num w:numId="32">
    <w:abstractNumId w:val="7"/>
  </w:num>
  <w:num w:numId="33">
    <w:abstractNumId w:val="9"/>
  </w:num>
  <w:num w:numId="34">
    <w:abstractNumId w:val="0"/>
  </w:num>
  <w:num w:numId="35">
    <w:abstractNumId w:val="33"/>
  </w:num>
  <w:num w:numId="36">
    <w:abstractNumId w:val="27"/>
  </w:num>
  <w:num w:numId="37">
    <w:abstractNumId w:val="39"/>
  </w:num>
  <w:num w:numId="38">
    <w:abstractNumId w:val="4"/>
  </w:num>
  <w:num w:numId="39">
    <w:abstractNumId w:val="28"/>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38"/>
  </w:num>
  <w:num w:numId="43">
    <w:abstractNumId w:val="40"/>
  </w:num>
  <w:num w:numId="44">
    <w:abstractNumId w:val="19"/>
  </w:num>
  <w:num w:numId="45">
    <w:abstractNumId w:val="27"/>
  </w:num>
  <w:num w:numId="46">
    <w:abstractNumId w:val="30"/>
  </w:num>
  <w:num w:numId="47">
    <w:abstractNumId w:val="27"/>
  </w:num>
  <w:num w:numId="48">
    <w:abstractNumId w:val="22"/>
  </w:num>
  <w:num w:numId="49">
    <w:abstractNumId w:val="34"/>
  </w:num>
  <w:num w:numId="50">
    <w:abstractNumId w:val="5"/>
  </w:num>
  <w:num w:numId="51">
    <w:abstractNumId w:val="27"/>
  </w:num>
  <w:num w:numId="52">
    <w:abstractNumId w:val="27"/>
  </w:num>
  <w:num w:numId="53">
    <w:abstractNumId w:val="10"/>
  </w:num>
  <w:num w:numId="54">
    <w:abstractNumId w:val="42"/>
  </w:num>
  <w:num w:numId="55">
    <w:abstractNumId w:val="8"/>
  </w:num>
  <w:num w:numId="56">
    <w:abstractNumId w:val="6"/>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15F6F"/>
    <w:rsid w:val="000204C0"/>
    <w:rsid w:val="000219AC"/>
    <w:rsid w:val="00021F65"/>
    <w:rsid w:val="00031AF4"/>
    <w:rsid w:val="00031D24"/>
    <w:rsid w:val="00034E35"/>
    <w:rsid w:val="00035949"/>
    <w:rsid w:val="00037873"/>
    <w:rsid w:val="00051A90"/>
    <w:rsid w:val="00054381"/>
    <w:rsid w:val="00057C2B"/>
    <w:rsid w:val="000711E1"/>
    <w:rsid w:val="00072A44"/>
    <w:rsid w:val="00073708"/>
    <w:rsid w:val="000828C3"/>
    <w:rsid w:val="00093DDC"/>
    <w:rsid w:val="000A2915"/>
    <w:rsid w:val="000B1AFE"/>
    <w:rsid w:val="000C528A"/>
    <w:rsid w:val="000C7626"/>
    <w:rsid w:val="000D06B5"/>
    <w:rsid w:val="000D31C8"/>
    <w:rsid w:val="000E375B"/>
    <w:rsid w:val="000E59A3"/>
    <w:rsid w:val="000E637D"/>
    <w:rsid w:val="000E7E6A"/>
    <w:rsid w:val="000F04FE"/>
    <w:rsid w:val="000F63AB"/>
    <w:rsid w:val="001002B5"/>
    <w:rsid w:val="00102D5A"/>
    <w:rsid w:val="0011127D"/>
    <w:rsid w:val="0012214B"/>
    <w:rsid w:val="00133158"/>
    <w:rsid w:val="00133476"/>
    <w:rsid w:val="00136DC4"/>
    <w:rsid w:val="001424AE"/>
    <w:rsid w:val="00166367"/>
    <w:rsid w:val="00166A3C"/>
    <w:rsid w:val="00174832"/>
    <w:rsid w:val="00177EF9"/>
    <w:rsid w:val="00185222"/>
    <w:rsid w:val="0018660F"/>
    <w:rsid w:val="00192E06"/>
    <w:rsid w:val="001A5072"/>
    <w:rsid w:val="001B2378"/>
    <w:rsid w:val="001B5287"/>
    <w:rsid w:val="001D1448"/>
    <w:rsid w:val="001F3872"/>
    <w:rsid w:val="001F6379"/>
    <w:rsid w:val="00203791"/>
    <w:rsid w:val="00204415"/>
    <w:rsid w:val="00207A6E"/>
    <w:rsid w:val="00224B92"/>
    <w:rsid w:val="002357E1"/>
    <w:rsid w:val="00252897"/>
    <w:rsid w:val="00254960"/>
    <w:rsid w:val="00257F10"/>
    <w:rsid w:val="00262C97"/>
    <w:rsid w:val="0027430E"/>
    <w:rsid w:val="002910D1"/>
    <w:rsid w:val="00291CBB"/>
    <w:rsid w:val="002B0942"/>
    <w:rsid w:val="002B22D1"/>
    <w:rsid w:val="002C213F"/>
    <w:rsid w:val="002F2862"/>
    <w:rsid w:val="00307603"/>
    <w:rsid w:val="003210FF"/>
    <w:rsid w:val="00325A4D"/>
    <w:rsid w:val="00325DE3"/>
    <w:rsid w:val="0033070A"/>
    <w:rsid w:val="00336766"/>
    <w:rsid w:val="00341A86"/>
    <w:rsid w:val="00342B90"/>
    <w:rsid w:val="00347502"/>
    <w:rsid w:val="003563FE"/>
    <w:rsid w:val="003671D8"/>
    <w:rsid w:val="00383A0A"/>
    <w:rsid w:val="00386C54"/>
    <w:rsid w:val="003A7F48"/>
    <w:rsid w:val="003B10B9"/>
    <w:rsid w:val="003B5155"/>
    <w:rsid w:val="003C113F"/>
    <w:rsid w:val="003C3D6C"/>
    <w:rsid w:val="003D5F04"/>
    <w:rsid w:val="003E2DAE"/>
    <w:rsid w:val="003F0001"/>
    <w:rsid w:val="003F6E44"/>
    <w:rsid w:val="003F7E85"/>
    <w:rsid w:val="00406BC6"/>
    <w:rsid w:val="00416E7D"/>
    <w:rsid w:val="004437F4"/>
    <w:rsid w:val="0044424E"/>
    <w:rsid w:val="0044496E"/>
    <w:rsid w:val="0045320B"/>
    <w:rsid w:val="0046039E"/>
    <w:rsid w:val="00487046"/>
    <w:rsid w:val="004908FF"/>
    <w:rsid w:val="00493615"/>
    <w:rsid w:val="004A54F1"/>
    <w:rsid w:val="004B597A"/>
    <w:rsid w:val="004C5DA7"/>
    <w:rsid w:val="004D756D"/>
    <w:rsid w:val="004E10F2"/>
    <w:rsid w:val="004F4EB0"/>
    <w:rsid w:val="0050008E"/>
    <w:rsid w:val="00500530"/>
    <w:rsid w:val="005032C9"/>
    <w:rsid w:val="00504475"/>
    <w:rsid w:val="00516C26"/>
    <w:rsid w:val="005440A6"/>
    <w:rsid w:val="00552B22"/>
    <w:rsid w:val="00594350"/>
    <w:rsid w:val="005955D2"/>
    <w:rsid w:val="00596B10"/>
    <w:rsid w:val="005A4284"/>
    <w:rsid w:val="005A4874"/>
    <w:rsid w:val="005A544F"/>
    <w:rsid w:val="005D139C"/>
    <w:rsid w:val="005D1B59"/>
    <w:rsid w:val="005F4C74"/>
    <w:rsid w:val="00624268"/>
    <w:rsid w:val="006260D5"/>
    <w:rsid w:val="00642DA0"/>
    <w:rsid w:val="006507F2"/>
    <w:rsid w:val="00657CFA"/>
    <w:rsid w:val="00664FA7"/>
    <w:rsid w:val="00677B79"/>
    <w:rsid w:val="0068290F"/>
    <w:rsid w:val="0068445C"/>
    <w:rsid w:val="00690847"/>
    <w:rsid w:val="006B074E"/>
    <w:rsid w:val="006B1437"/>
    <w:rsid w:val="006B23B9"/>
    <w:rsid w:val="006B2BD5"/>
    <w:rsid w:val="006C4869"/>
    <w:rsid w:val="006D0E3D"/>
    <w:rsid w:val="006D75BD"/>
    <w:rsid w:val="006E5305"/>
    <w:rsid w:val="006F284C"/>
    <w:rsid w:val="006F7227"/>
    <w:rsid w:val="00702366"/>
    <w:rsid w:val="0070285A"/>
    <w:rsid w:val="007163BC"/>
    <w:rsid w:val="0072208B"/>
    <w:rsid w:val="00730AE3"/>
    <w:rsid w:val="00736BC2"/>
    <w:rsid w:val="00747F9F"/>
    <w:rsid w:val="00765D62"/>
    <w:rsid w:val="00767B3E"/>
    <w:rsid w:val="0079325E"/>
    <w:rsid w:val="007B1587"/>
    <w:rsid w:val="007C5285"/>
    <w:rsid w:val="007C633B"/>
    <w:rsid w:val="007D3182"/>
    <w:rsid w:val="00800161"/>
    <w:rsid w:val="00810109"/>
    <w:rsid w:val="00816B8E"/>
    <w:rsid w:val="008210EE"/>
    <w:rsid w:val="00825524"/>
    <w:rsid w:val="0083211E"/>
    <w:rsid w:val="00846BFB"/>
    <w:rsid w:val="00860584"/>
    <w:rsid w:val="008618AC"/>
    <w:rsid w:val="00870D40"/>
    <w:rsid w:val="00873A27"/>
    <w:rsid w:val="0088631D"/>
    <w:rsid w:val="0089782C"/>
    <w:rsid w:val="008B022C"/>
    <w:rsid w:val="008B5198"/>
    <w:rsid w:val="008C013C"/>
    <w:rsid w:val="008C015E"/>
    <w:rsid w:val="008C1E35"/>
    <w:rsid w:val="008C7148"/>
    <w:rsid w:val="008D5AA2"/>
    <w:rsid w:val="008E5F84"/>
    <w:rsid w:val="008E7500"/>
    <w:rsid w:val="008F0AE7"/>
    <w:rsid w:val="009067F8"/>
    <w:rsid w:val="00913DBF"/>
    <w:rsid w:val="00915AE0"/>
    <w:rsid w:val="009216C0"/>
    <w:rsid w:val="00922EAD"/>
    <w:rsid w:val="0092794B"/>
    <w:rsid w:val="00953856"/>
    <w:rsid w:val="009554D5"/>
    <w:rsid w:val="009609FE"/>
    <w:rsid w:val="009A3939"/>
    <w:rsid w:val="009A5927"/>
    <w:rsid w:val="009B114D"/>
    <w:rsid w:val="009B2499"/>
    <w:rsid w:val="009B5E1D"/>
    <w:rsid w:val="009B77D3"/>
    <w:rsid w:val="009D2123"/>
    <w:rsid w:val="009D2F92"/>
    <w:rsid w:val="009D7E10"/>
    <w:rsid w:val="009E2B79"/>
    <w:rsid w:val="009E3C85"/>
    <w:rsid w:val="009F0B35"/>
    <w:rsid w:val="009F2D5A"/>
    <w:rsid w:val="00A0083E"/>
    <w:rsid w:val="00A10051"/>
    <w:rsid w:val="00A20F36"/>
    <w:rsid w:val="00A2407B"/>
    <w:rsid w:val="00A30C97"/>
    <w:rsid w:val="00A30DAD"/>
    <w:rsid w:val="00A31FF0"/>
    <w:rsid w:val="00A47B46"/>
    <w:rsid w:val="00A53A46"/>
    <w:rsid w:val="00A61BAE"/>
    <w:rsid w:val="00A67726"/>
    <w:rsid w:val="00A711CE"/>
    <w:rsid w:val="00A902BC"/>
    <w:rsid w:val="00A92FA6"/>
    <w:rsid w:val="00A960DB"/>
    <w:rsid w:val="00AA014E"/>
    <w:rsid w:val="00AB26C2"/>
    <w:rsid w:val="00AC1E69"/>
    <w:rsid w:val="00AD6D95"/>
    <w:rsid w:val="00AF2571"/>
    <w:rsid w:val="00B062EE"/>
    <w:rsid w:val="00B14F7E"/>
    <w:rsid w:val="00B24CDB"/>
    <w:rsid w:val="00B271A0"/>
    <w:rsid w:val="00B3299A"/>
    <w:rsid w:val="00B332A1"/>
    <w:rsid w:val="00B46FB5"/>
    <w:rsid w:val="00B56B11"/>
    <w:rsid w:val="00B56CAF"/>
    <w:rsid w:val="00B7158E"/>
    <w:rsid w:val="00B72506"/>
    <w:rsid w:val="00B75433"/>
    <w:rsid w:val="00B85F9B"/>
    <w:rsid w:val="00BA1498"/>
    <w:rsid w:val="00BA3233"/>
    <w:rsid w:val="00BE37A4"/>
    <w:rsid w:val="00BE45DE"/>
    <w:rsid w:val="00BE6D76"/>
    <w:rsid w:val="00C05456"/>
    <w:rsid w:val="00C076A9"/>
    <w:rsid w:val="00C07A5B"/>
    <w:rsid w:val="00C15BBB"/>
    <w:rsid w:val="00C31FC0"/>
    <w:rsid w:val="00C3342C"/>
    <w:rsid w:val="00C37FF1"/>
    <w:rsid w:val="00C507CD"/>
    <w:rsid w:val="00C5728C"/>
    <w:rsid w:val="00C75054"/>
    <w:rsid w:val="00C85EA4"/>
    <w:rsid w:val="00C91039"/>
    <w:rsid w:val="00C912FE"/>
    <w:rsid w:val="00CA02E5"/>
    <w:rsid w:val="00CA1572"/>
    <w:rsid w:val="00CA542C"/>
    <w:rsid w:val="00CA6B87"/>
    <w:rsid w:val="00CB71B6"/>
    <w:rsid w:val="00CC2031"/>
    <w:rsid w:val="00CC7D00"/>
    <w:rsid w:val="00CE3963"/>
    <w:rsid w:val="00CE51C3"/>
    <w:rsid w:val="00CF4F69"/>
    <w:rsid w:val="00D15589"/>
    <w:rsid w:val="00D22AE8"/>
    <w:rsid w:val="00D32934"/>
    <w:rsid w:val="00D432AD"/>
    <w:rsid w:val="00D51069"/>
    <w:rsid w:val="00D56271"/>
    <w:rsid w:val="00D701FE"/>
    <w:rsid w:val="00D72557"/>
    <w:rsid w:val="00D72A27"/>
    <w:rsid w:val="00D776D4"/>
    <w:rsid w:val="00D80208"/>
    <w:rsid w:val="00D9537D"/>
    <w:rsid w:val="00DC673A"/>
    <w:rsid w:val="00DD52CC"/>
    <w:rsid w:val="00DE308B"/>
    <w:rsid w:val="00DE4B24"/>
    <w:rsid w:val="00DF2847"/>
    <w:rsid w:val="00DF72B6"/>
    <w:rsid w:val="00E00B6F"/>
    <w:rsid w:val="00E037F8"/>
    <w:rsid w:val="00E05F17"/>
    <w:rsid w:val="00E10A2E"/>
    <w:rsid w:val="00E27DF2"/>
    <w:rsid w:val="00E3053D"/>
    <w:rsid w:val="00E3156A"/>
    <w:rsid w:val="00E34D57"/>
    <w:rsid w:val="00E37A7A"/>
    <w:rsid w:val="00E47189"/>
    <w:rsid w:val="00E47630"/>
    <w:rsid w:val="00E55B3B"/>
    <w:rsid w:val="00E55E91"/>
    <w:rsid w:val="00E8337D"/>
    <w:rsid w:val="00E9202C"/>
    <w:rsid w:val="00E9502D"/>
    <w:rsid w:val="00EA7525"/>
    <w:rsid w:val="00EB3628"/>
    <w:rsid w:val="00EC0891"/>
    <w:rsid w:val="00ED2229"/>
    <w:rsid w:val="00ED3C78"/>
    <w:rsid w:val="00EE27CC"/>
    <w:rsid w:val="00EE3B62"/>
    <w:rsid w:val="00EE51DB"/>
    <w:rsid w:val="00F01040"/>
    <w:rsid w:val="00F13DC0"/>
    <w:rsid w:val="00F14485"/>
    <w:rsid w:val="00F16F02"/>
    <w:rsid w:val="00F26A60"/>
    <w:rsid w:val="00F465B6"/>
    <w:rsid w:val="00F534D4"/>
    <w:rsid w:val="00F64CB9"/>
    <w:rsid w:val="00F67181"/>
    <w:rsid w:val="00F77628"/>
    <w:rsid w:val="00F838DD"/>
    <w:rsid w:val="00FB3B70"/>
    <w:rsid w:val="00FC1B32"/>
    <w:rsid w:val="00FC6159"/>
    <w:rsid w:val="00FD061C"/>
    <w:rsid w:val="00FD5C7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FEA61"/>
  <w15:docId w15:val="{8ED05B90-99B1-48CF-BDDD-377F5C7C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3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3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E3156A"/>
    <w:rPr>
      <w:snapToGrid w:val="0"/>
      <w:sz w:val="22"/>
      <w:szCs w:val="18"/>
      <w:lang w:val="en-GB"/>
    </w:rPr>
  </w:style>
  <w:style w:type="paragraph" w:customStyle="1" w:styleId="Para40">
    <w:name w:val="Para4"/>
    <w:basedOn w:val="Para3"/>
    <w:rsid w:val="00E3156A"/>
    <w:pPr>
      <w:numPr>
        <w:ilvl w:val="0"/>
        <w:numId w:val="0"/>
      </w:numPr>
      <w:tabs>
        <w:tab w:val="clear" w:pos="1980"/>
        <w:tab w:val="left" w:pos="2552"/>
        <w:tab w:val="num" w:pos="2880"/>
      </w:tabs>
      <w:ind w:left="2880" w:hanging="360"/>
    </w:pPr>
  </w:style>
  <w:style w:type="character" w:customStyle="1" w:styleId="st">
    <w:name w:val="st"/>
    <w:rsid w:val="00B332A1"/>
  </w:style>
  <w:style w:type="character" w:customStyle="1" w:styleId="UnresolvedMention1">
    <w:name w:val="Unresolved Mention1"/>
    <w:basedOn w:val="DefaultParagraphFont"/>
    <w:uiPriority w:val="99"/>
    <w:semiHidden/>
    <w:unhideWhenUsed/>
    <w:rsid w:val="00CB71B6"/>
    <w:rPr>
      <w:color w:val="808080"/>
      <w:shd w:val="clear" w:color="auto" w:fill="E6E6E6"/>
    </w:rPr>
  </w:style>
  <w:style w:type="character" w:styleId="UnresolvedMention">
    <w:name w:val="Unresolved Mention"/>
    <w:basedOn w:val="DefaultParagraphFont"/>
    <w:uiPriority w:val="99"/>
    <w:semiHidden/>
    <w:unhideWhenUsed/>
    <w:rsid w:val="003F7E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156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cbd.int/decision/mop/default.shtml?id=1335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bch.cbd.int/protocol/cpb_art15_submiss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mop-08/mop-08-dec-12-en.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https://www.cbd.int/doc/decisions/cop-12/cop-12-dec-24-en.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bch.cbd.int/onlineconferences/forum_ra/discussion.shtml" TargetMode="External"/><Relationship Id="rId2" Type="http://schemas.openxmlformats.org/officeDocument/2006/relationships/hyperlink" Target="https://www.cbd.int/doc/notifications/2017/ntf-2017-035-bs-en.doc" TargetMode="External"/><Relationship Id="rId1" Type="http://schemas.openxmlformats.org/officeDocument/2006/relationships/hyperlink" Target="https://www.cbd.int/doc/meetings/sbstta/sbstta-22/official/sbstta-22-01-en.pdf" TargetMode="External"/><Relationship Id="rId5" Type="http://schemas.openxmlformats.org/officeDocument/2006/relationships/hyperlink" Target="https://www.cbd.int/doc/decisions/cop-08/cop-08-dec-10-en.pdf" TargetMode="External"/><Relationship Id="rId4" Type="http://schemas.openxmlformats.org/officeDocument/2006/relationships/hyperlink" Target="https://bch.cbd.int/onlineconferences/forum_ra/peer-review.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205AA3135F934211871EEA5DF7C407EA"/>
        <w:category>
          <w:name w:val="General"/>
          <w:gallery w:val="placeholder"/>
        </w:category>
        <w:types>
          <w:type w:val="bbPlcHdr"/>
        </w:types>
        <w:behaviors>
          <w:behavior w:val="content"/>
        </w:behaviors>
        <w:guid w:val="{B65C447C-48C4-4E7F-A7AD-604D2921C37F}"/>
      </w:docPartPr>
      <w:docPartBody>
        <w:p w:rsidR="00FA0F11" w:rsidRDefault="00EF62C7" w:rsidP="00EF62C7">
          <w:pPr>
            <w:pStyle w:val="205AA3135F934211871EEA5DF7C407EA"/>
          </w:pPr>
          <w:r w:rsidRPr="00B903A7">
            <w:rPr>
              <w:rStyle w:val="PlaceholderText"/>
            </w:rPr>
            <w:t>[Subject]</w:t>
          </w:r>
        </w:p>
      </w:docPartBody>
    </w:docPart>
    <w:docPart>
      <w:docPartPr>
        <w:name w:val="D9CF4C37DFA949DB8105977C8D14D79A"/>
        <w:category>
          <w:name w:val="General"/>
          <w:gallery w:val="placeholder"/>
        </w:category>
        <w:types>
          <w:type w:val="bbPlcHdr"/>
        </w:types>
        <w:behaviors>
          <w:behavior w:val="content"/>
        </w:behaviors>
        <w:guid w:val="{50910421-A67F-4882-B833-1288285C6B4E}"/>
      </w:docPartPr>
      <w:docPartBody>
        <w:p w:rsidR="003B53C3" w:rsidRDefault="00954926">
          <w:r w:rsidRPr="00C2244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1B29AF"/>
    <w:rsid w:val="002242F5"/>
    <w:rsid w:val="002246BB"/>
    <w:rsid w:val="002C1CD0"/>
    <w:rsid w:val="002E479E"/>
    <w:rsid w:val="0037757D"/>
    <w:rsid w:val="003B53C3"/>
    <w:rsid w:val="003C1093"/>
    <w:rsid w:val="004A69EC"/>
    <w:rsid w:val="0058098E"/>
    <w:rsid w:val="005B3660"/>
    <w:rsid w:val="005F6021"/>
    <w:rsid w:val="00687ED4"/>
    <w:rsid w:val="006E4E53"/>
    <w:rsid w:val="007E501A"/>
    <w:rsid w:val="0083264A"/>
    <w:rsid w:val="00935B4A"/>
    <w:rsid w:val="00954926"/>
    <w:rsid w:val="009B58BD"/>
    <w:rsid w:val="00A27574"/>
    <w:rsid w:val="00A55A7C"/>
    <w:rsid w:val="00B36C7B"/>
    <w:rsid w:val="00BB2CFE"/>
    <w:rsid w:val="00C64387"/>
    <w:rsid w:val="00CB6E6C"/>
    <w:rsid w:val="00D5481D"/>
    <w:rsid w:val="00DC5239"/>
    <w:rsid w:val="00E465DC"/>
    <w:rsid w:val="00EC17B5"/>
    <w:rsid w:val="00EF62C7"/>
    <w:rsid w:val="00FA0F11"/>
    <w:rsid w:val="00FD13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95492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8FC4FBF60CD04269A744DD084108F626">
    <w:name w:val="8FC4FBF60CD04269A744DD084108F626"/>
    <w:rsid w:val="00DC5239"/>
  </w:style>
  <w:style w:type="paragraph" w:customStyle="1" w:styleId="BC53B5986169450C83E2234BD8A62903">
    <w:name w:val="BC53B5986169450C83E2234BD8A62903"/>
    <w:rsid w:val="00DC5239"/>
  </w:style>
  <w:style w:type="paragraph" w:customStyle="1" w:styleId="205AA3135F934211871EEA5DF7C407EA">
    <w:name w:val="205AA3135F934211871EEA5DF7C407EA"/>
    <w:rsid w:val="00EF6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199F-D292-4CC7-AB83-91E91B76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5</Pages>
  <Words>2184</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Risk assessment and risk management of living modified organisms</vt:lpstr>
    </vt:vector>
  </TitlesOfParts>
  <Company>Biodiversity</Company>
  <LinksUpToDate>false</LinksUpToDate>
  <CharactersWithSpaces>14610</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and risk management of living modified organisms</dc:title>
  <dc:subject>CBD/SBSTTA/22/3</dc:subject>
  <dc:creator>SCBD</dc:creator>
  <cp:lastModifiedBy>veronique lefebvre</cp:lastModifiedBy>
  <cp:revision>3</cp:revision>
  <cp:lastPrinted>2018-04-09T14:11:00Z</cp:lastPrinted>
  <dcterms:created xsi:type="dcterms:W3CDTF">2018-05-27T15:04:00Z</dcterms:created>
  <dcterms:modified xsi:type="dcterms:W3CDTF">2018-05-27T15:05:00Z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ies>
</file>