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tblInd w:w="-34" w:type="dxa"/>
        <w:tblLook w:val="04A0" w:firstRow="1" w:lastRow="0" w:firstColumn="1" w:lastColumn="0" w:noHBand="0" w:noVBand="1"/>
      </w:tblPr>
      <w:tblGrid>
        <w:gridCol w:w="996"/>
        <w:gridCol w:w="4921"/>
        <w:gridCol w:w="3748"/>
      </w:tblGrid>
      <w:tr w:rsidR="00B967E8" w:rsidRPr="00252A02" w:rsidTr="002815C9">
        <w:trPr>
          <w:trHeight w:val="993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</w:rPr>
            </w:pPr>
            <w:r w:rsidRPr="00252A02">
              <w:rPr>
                <w:rFonts w:ascii="Cambria" w:eastAsia="Malgun Gothic" w:hAnsi="Cambria"/>
                <w:noProof/>
                <w:kern w:val="22"/>
                <w:lang w:eastAsia="es-ES_tradnl"/>
              </w:rPr>
              <w:drawing>
                <wp:inline distT="0" distB="0" distL="0" distR="0" wp14:anchorId="09913375" wp14:editId="226FC4A1">
                  <wp:extent cx="474345" cy="396875"/>
                  <wp:effectExtent l="19050" t="0" r="1905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tcBorders>
              <w:bottom w:val="single" w:sz="12" w:space="0" w:color="auto"/>
            </w:tcBorders>
            <w:shd w:val="clear" w:color="auto" w:fill="auto"/>
          </w:tcPr>
          <w:p w:rsidR="00B967E8" w:rsidRPr="00252A02" w:rsidRDefault="00B967E8" w:rsidP="002815C9">
            <w:pPr>
              <w:suppressLineNumbers/>
              <w:tabs>
                <w:tab w:val="left" w:pos="325"/>
              </w:tabs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</w:rPr>
            </w:pPr>
            <w:r w:rsidRPr="00252A02">
              <w:rPr>
                <w:rFonts w:ascii="Cambria" w:eastAsia="Malgun Gothic" w:hAnsi="Cambria"/>
                <w:kern w:val="22"/>
                <w:lang w:eastAsia="zh-CN"/>
              </w:rPr>
              <w:t xml:space="preserve"> </w:t>
            </w:r>
            <w:r w:rsidRPr="00252A02">
              <w:rPr>
                <w:noProof/>
                <w:lang w:eastAsia="es-ES_tradnl"/>
              </w:rPr>
              <w:drawing>
                <wp:inline distT="0" distB="0" distL="0" distR="0" wp14:anchorId="34D72603" wp14:editId="3CDA0C8B">
                  <wp:extent cx="403644" cy="451457"/>
                  <wp:effectExtent l="19050" t="0" r="0" b="0"/>
                  <wp:docPr id="2" name="Image 2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51" cy="45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bottom w:val="single" w:sz="12" w:space="0" w:color="auto"/>
            </w:tcBorders>
            <w:shd w:val="clear" w:color="auto" w:fill="auto"/>
          </w:tcPr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252A02"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</w:tbl>
    <w:p w:rsidR="00B967E8" w:rsidRPr="00252A02" w:rsidRDefault="00B967E8" w:rsidP="00B967E8">
      <w:pPr>
        <w:suppressLineNumbers/>
        <w:suppressAutoHyphens/>
        <w:adjustRightInd w:val="0"/>
        <w:snapToGrid w:val="0"/>
        <w:rPr>
          <w:rFonts w:eastAsia="Malgun Gothic"/>
          <w:snapToGrid w:val="0"/>
          <w:vanish/>
          <w:kern w:val="22"/>
        </w:rPr>
      </w:pPr>
    </w:p>
    <w:tbl>
      <w:tblPr>
        <w:tblW w:w="9576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3858"/>
      </w:tblGrid>
      <w:tr w:rsidR="00B967E8" w:rsidRPr="00252A02" w:rsidTr="002815C9">
        <w:trPr>
          <w:cantSplit/>
          <w:trHeight w:val="1693"/>
        </w:trPr>
        <w:tc>
          <w:tcPr>
            <w:tcW w:w="5718" w:type="dxa"/>
            <w:tcBorders>
              <w:bottom w:val="single" w:sz="36" w:space="0" w:color="000000"/>
            </w:tcBorders>
          </w:tcPr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ind w:right="1962"/>
              <w:jc w:val="right"/>
              <w:rPr>
                <w:rFonts w:eastAsia="Malgun Gothic"/>
                <w:snapToGrid w:val="0"/>
                <w:kern w:val="22"/>
                <w:szCs w:val="22"/>
              </w:rPr>
            </w:pPr>
            <w:r w:rsidRPr="00252A02">
              <w:rPr>
                <w:rFonts w:eastAsia="Malgun Gothic"/>
                <w:kern w:val="22"/>
                <w:szCs w:val="22"/>
                <w:lang w:eastAsia="zh-CN"/>
              </w:rPr>
              <w:t xml:space="preserve"> </w:t>
            </w:r>
            <w:r w:rsidRPr="00252A02">
              <w:rPr>
                <w:noProof/>
                <w:sz w:val="32"/>
                <w:lang w:eastAsia="es-ES_tradnl"/>
              </w:rPr>
              <w:drawing>
                <wp:inline distT="0" distB="0" distL="0" distR="0" wp14:anchorId="142006F7" wp14:editId="2BB7FCBC">
                  <wp:extent cx="2622550" cy="1078230"/>
                  <wp:effectExtent l="19050" t="0" r="6350" b="0"/>
                  <wp:docPr id="3" name="Image 3" descr="CBD_logo_ru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  <w:tcBorders>
              <w:bottom w:val="single" w:sz="36" w:space="0" w:color="000000"/>
            </w:tcBorders>
            <w:noWrap/>
          </w:tcPr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</w:rPr>
            </w:pPr>
            <w:r w:rsidRPr="00252A02">
              <w:rPr>
                <w:rFonts w:eastAsia="Malgun Gothic"/>
                <w:snapToGrid w:val="0"/>
                <w:kern w:val="22"/>
                <w:szCs w:val="22"/>
              </w:rPr>
              <w:t>Distr.</w:t>
            </w:r>
          </w:p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</w:rPr>
            </w:pPr>
            <w:r w:rsidRPr="00252A02">
              <w:rPr>
                <w:rFonts w:eastAsia="Malgun Gothic"/>
                <w:snapToGrid w:val="0"/>
                <w:kern w:val="22"/>
                <w:szCs w:val="22"/>
              </w:rPr>
              <w:t>GENERAL</w:t>
            </w:r>
          </w:p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</w:rPr>
            </w:pPr>
          </w:p>
          <w:p w:rsidR="00B967E8" w:rsidRPr="005F54C3" w:rsidRDefault="00B967E8" w:rsidP="002815C9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  <w:lang w:val="en-US" w:eastAsia="ko-KR"/>
              </w:rPr>
            </w:pPr>
            <w:r w:rsidRPr="00252A02">
              <w:rPr>
                <w:rFonts w:eastAsia="Malgun Gothic"/>
                <w:snapToGrid w:val="0"/>
                <w:kern w:val="22"/>
                <w:szCs w:val="22"/>
                <w:lang w:eastAsia="ko-KR"/>
              </w:rPr>
              <w:t>CBD/SBI/2/</w:t>
            </w:r>
            <w:r w:rsidR="005F54C3">
              <w:rPr>
                <w:rFonts w:eastAsia="Malgun Gothic"/>
                <w:snapToGrid w:val="0"/>
                <w:kern w:val="22"/>
                <w:szCs w:val="22"/>
                <w:lang w:val="en-US" w:eastAsia="ko-KR"/>
              </w:rPr>
              <w:t>14</w:t>
            </w:r>
            <w:bookmarkStart w:id="0" w:name="_GoBack"/>
            <w:bookmarkEnd w:id="0"/>
          </w:p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</w:rPr>
            </w:pPr>
            <w:r w:rsidRPr="00252A02">
              <w:rPr>
                <w:rFonts w:eastAsia="Malgun Gothic"/>
                <w:snapToGrid w:val="0"/>
                <w:kern w:val="22"/>
                <w:szCs w:val="22"/>
              </w:rPr>
              <w:t>3 April 2018</w:t>
            </w:r>
          </w:p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</w:rPr>
            </w:pPr>
          </w:p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</w:rPr>
            </w:pPr>
            <w:r w:rsidRPr="00252A02">
              <w:rPr>
                <w:rFonts w:eastAsia="Malgun Gothic"/>
                <w:snapToGrid w:val="0"/>
                <w:kern w:val="22"/>
                <w:szCs w:val="22"/>
              </w:rPr>
              <w:t>RUSSIAN</w:t>
            </w:r>
          </w:p>
          <w:p w:rsidR="00B967E8" w:rsidRPr="00252A02" w:rsidRDefault="00B967E8" w:rsidP="002815C9">
            <w:pPr>
              <w:suppressLineNumbers/>
              <w:suppressAutoHyphens/>
              <w:adjustRightInd w:val="0"/>
              <w:snapToGrid w:val="0"/>
              <w:ind w:left="1268"/>
              <w:rPr>
                <w:rFonts w:eastAsia="Malgun Gothic"/>
                <w:snapToGrid w:val="0"/>
                <w:kern w:val="22"/>
                <w:szCs w:val="22"/>
              </w:rPr>
            </w:pPr>
            <w:r w:rsidRPr="00252A02">
              <w:rPr>
                <w:rFonts w:eastAsia="Malgun Gothic"/>
                <w:snapToGrid w:val="0"/>
                <w:kern w:val="22"/>
                <w:szCs w:val="22"/>
              </w:rPr>
              <w:t>ORIGINAL: ENGLISH</w:t>
            </w:r>
          </w:p>
        </w:tc>
      </w:tr>
    </w:tbl>
    <w:p w:rsidR="00B967E8" w:rsidRPr="00252A02" w:rsidRDefault="00B967E8" w:rsidP="00B967E8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</w:rPr>
      </w:pPr>
      <w:r w:rsidRPr="00252A02">
        <w:rPr>
          <w:rFonts w:ascii="Times New Roman CYR" w:hAnsi="Times New Roman CYR"/>
        </w:rPr>
        <w:t>ВСПОМОГАТЕЛЬНЫЙ ОРГАН ПО</w:t>
      </w:r>
    </w:p>
    <w:p w:rsidR="00B967E8" w:rsidRPr="00252A02" w:rsidRDefault="00B967E8" w:rsidP="00B967E8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</w:rPr>
      </w:pPr>
      <w:r w:rsidRPr="00252A02">
        <w:rPr>
          <w:rFonts w:ascii="Times New Roman CYR" w:hAnsi="Times New Roman CYR"/>
        </w:rPr>
        <w:t xml:space="preserve"> ОСУЩЕСТВЛЕНИЮ</w:t>
      </w:r>
    </w:p>
    <w:p w:rsidR="00B967E8" w:rsidRPr="00252A02" w:rsidRDefault="00B967E8" w:rsidP="00B967E8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</w:rPr>
      </w:pPr>
      <w:r w:rsidRPr="00252A02">
        <w:rPr>
          <w:rFonts w:ascii="Times New Roman CYR" w:hAnsi="Times New Roman CYR"/>
        </w:rPr>
        <w:t>Второе совещание</w:t>
      </w:r>
    </w:p>
    <w:p w:rsidR="00B967E8" w:rsidRPr="00252A02" w:rsidRDefault="00B967E8" w:rsidP="00B967E8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</w:rPr>
      </w:pPr>
      <w:r w:rsidRPr="00252A02">
        <w:rPr>
          <w:rFonts w:ascii="Times New Roman CYR" w:hAnsi="Times New Roman CYR"/>
        </w:rPr>
        <w:t>Монреаль, Канада, 9-13 июля 2018 года</w:t>
      </w:r>
    </w:p>
    <w:p w:rsidR="00CA6B87" w:rsidRPr="00252A02" w:rsidRDefault="00B967E8" w:rsidP="00B967E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252A02">
        <w:rPr>
          <w:rFonts w:ascii="Times New Roman CYR" w:hAnsi="Times New Roman CYR"/>
        </w:rPr>
        <w:t>Пункт 8 предварительной повестки дня</w:t>
      </w:r>
      <w:r w:rsidRPr="00252A02">
        <w:rPr>
          <w:rStyle w:val="FootnoteReference"/>
          <w:snapToGrid w:val="0"/>
          <w:kern w:val="22"/>
        </w:rPr>
        <w:t xml:space="preserve"> </w:t>
      </w:r>
      <w:r w:rsidR="00D51069" w:rsidRPr="00252A02">
        <w:rPr>
          <w:rStyle w:val="FootnoteReference"/>
          <w:snapToGrid w:val="0"/>
          <w:kern w:val="22"/>
        </w:rPr>
        <w:footnoteReference w:customMarkFollows="1" w:id="1"/>
        <w:t>*</w:t>
      </w:r>
    </w:p>
    <w:p w:rsidR="00406BC6" w:rsidRPr="00252A02" w:rsidRDefault="00A61C1A" w:rsidP="000F07EC">
      <w:pPr>
        <w:pStyle w:val="Heading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252A02">
        <w:rPr>
          <w:snapToGrid w:val="0"/>
          <w:kern w:val="22"/>
          <w:szCs w:val="22"/>
        </w:rPr>
        <w:t>Усиление интеграции в рамках Конвенции и протоколов к ней касательно положений в отношении доступа к генетическим ресурсам и совместного использования выгод</w:t>
      </w:r>
    </w:p>
    <w:p w:rsidR="00EF44CA" w:rsidRPr="00252A02" w:rsidRDefault="00C85EA4" w:rsidP="000F07EC">
      <w:pPr>
        <w:pStyle w:val="Heading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snapToGrid w:val="0"/>
          <w:kern w:val="22"/>
          <w:szCs w:val="22"/>
        </w:rPr>
      </w:pPr>
      <w:r w:rsidRPr="00252A02">
        <w:rPr>
          <w:b w:val="0"/>
          <w:i/>
          <w:snapToGrid w:val="0"/>
          <w:kern w:val="22"/>
        </w:rPr>
        <w:t>Записка Исполнительного секретаря</w:t>
      </w:r>
    </w:p>
    <w:p w:rsidR="00184CAA" w:rsidRPr="00252A02" w:rsidRDefault="00184CAA" w:rsidP="000F07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caps/>
          <w:snapToGrid w:val="0"/>
          <w:kern w:val="22"/>
          <w:szCs w:val="22"/>
        </w:rPr>
      </w:pPr>
      <w:r w:rsidRPr="00252A02">
        <w:rPr>
          <w:b/>
          <w:caps/>
          <w:snapToGrid w:val="0"/>
          <w:kern w:val="22"/>
        </w:rPr>
        <w:t>ВВЕДЕНИЕ</w:t>
      </w:r>
    </w:p>
    <w:p w:rsidR="000268FA" w:rsidRPr="00252A02" w:rsidRDefault="00CE3C3C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В решении </w:t>
      </w:r>
      <w:hyperlink r:id="rId11">
        <w:r w:rsidRPr="00252A02">
          <w:rPr>
            <w:rStyle w:val="Hyperlink"/>
            <w:kern w:val="22"/>
          </w:rPr>
          <w:t>XII/13</w:t>
        </w:r>
      </w:hyperlink>
      <w:r w:rsidRPr="00252A02">
        <w:t xml:space="preserve"> Конференция Сторон приветствовала вступление в силу </w:t>
      </w:r>
      <w:hyperlink r:id="rId12">
        <w:r w:rsidRPr="00252A02">
          <w:rPr>
            <w:rStyle w:val="Hyperlink"/>
            <w:kern w:val="22"/>
          </w:rPr>
          <w:t>Нагойского протокола</w:t>
        </w:r>
      </w:hyperlink>
      <w:r w:rsidRPr="00252A02">
        <w:t xml:space="preserve"> и настоятельно призвала все Стороны </w:t>
      </w:r>
      <w:hyperlink r:id="rId13">
        <w:r w:rsidRPr="00252A02">
          <w:rPr>
            <w:rStyle w:val="Hyperlink"/>
            <w:kern w:val="22"/>
          </w:rPr>
          <w:t>Конвенции о биологическом разнообразии</w:t>
        </w:r>
      </w:hyperlink>
      <w:r w:rsidRPr="00252A02">
        <w:t>, которые еще не ратифицировали Нагойский протокол, сделать это (пункты 1-2). Кроме того, в нем содержалась ссылка на Статью 26 Конвенции, которая требует, чтобы Стороны представляли Конференции доклады о мерах, принятых ими для осуществления положений Конвенции, а также напоминание о том, что такие доклады должны включать в себя информацию о мерах, принятых в отношении положений Конвенции, касающихся доступа к генетическим ресурсам и совместного использования выгод (ДГРСИВ), в частности Статьи 15 (пункт 3).</w:t>
      </w:r>
    </w:p>
    <w:p w:rsidR="00736BC2" w:rsidRPr="00252A02" w:rsidRDefault="008B641B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Кроме того, Конференция Сторон поручила Исполнительному секретарю подготовить записку о возможных путях и средствах стимулирования применения комплексных подходов к вопросам на стыке положений о доступе к генетическим ресурсам и совместном использовании выгод Конвенции и положений Нагойского протокола, </w:t>
      </w:r>
      <w:r w:rsidR="00A61C1A" w:rsidRPr="00252A02">
        <w:t>с учетом последних национальных докладов</w:t>
      </w:r>
      <w:r w:rsidRPr="00252A02">
        <w:t>, представленны</w:t>
      </w:r>
      <w:r w:rsidR="00A61C1A" w:rsidRPr="00252A02">
        <w:t>х</w:t>
      </w:r>
      <w:r w:rsidRPr="00252A02">
        <w:t xml:space="preserve"> в рамках Конвенции, информаци</w:t>
      </w:r>
      <w:r w:rsidR="00A61C1A" w:rsidRPr="00252A02">
        <w:t>и</w:t>
      </w:r>
      <w:r w:rsidRPr="00252A02">
        <w:t>, представленн</w:t>
      </w:r>
      <w:r w:rsidR="00A61C1A" w:rsidRPr="00252A02">
        <w:t>ой</w:t>
      </w:r>
      <w:r w:rsidRPr="00252A02">
        <w:t xml:space="preserve"> в Механизме посредничества для регулирования доступа к генетическим ресурсам и совместного использования выгод</w:t>
      </w:r>
      <w:r w:rsidR="00A61C1A" w:rsidRPr="00252A02">
        <w:t>, и промежуточных национальных докладов</w:t>
      </w:r>
      <w:r w:rsidRPr="00252A02">
        <w:t>, представляемы</w:t>
      </w:r>
      <w:r w:rsidR="00A61C1A" w:rsidRPr="00252A02">
        <w:t>х</w:t>
      </w:r>
      <w:r w:rsidRPr="00252A02">
        <w:t xml:space="preserve"> в рамках Наго</w:t>
      </w:r>
      <w:r w:rsidR="00A61C1A" w:rsidRPr="00252A02">
        <w:t>йского протокола, а также другой информации</w:t>
      </w:r>
      <w:r w:rsidRPr="00252A02">
        <w:t>, представленн</w:t>
      </w:r>
      <w:r w:rsidR="00A61C1A" w:rsidRPr="00252A02">
        <w:t>ой</w:t>
      </w:r>
      <w:r w:rsidRPr="00252A02">
        <w:t xml:space="preserve"> Исполнительному секретарю, для рассмотрения Конференцией Сторон на ее 14-м совещании и Конференцией Сторон, выступающей в качестве Совещания Сторон Нагойского протокола, на ее третьем совещании (пункт 4).</w:t>
      </w:r>
    </w:p>
    <w:p w:rsidR="000A62EE" w:rsidRPr="00252A02" w:rsidRDefault="000A62EE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Интеграция между положениями Конвенции</w:t>
      </w:r>
      <w:r w:rsidR="00E1261F" w:rsidRPr="00252A02">
        <w:t xml:space="preserve"> в отношении ДГРСИВ</w:t>
      </w:r>
      <w:r w:rsidRPr="00252A02">
        <w:t xml:space="preserve"> и Нагойск</w:t>
      </w:r>
      <w:r w:rsidR="00E1261F" w:rsidRPr="00252A02">
        <w:t>им</w:t>
      </w:r>
      <w:r w:rsidRPr="00252A02">
        <w:t xml:space="preserve"> протокол</w:t>
      </w:r>
      <w:r w:rsidR="00E1261F" w:rsidRPr="00252A02">
        <w:t>ом</w:t>
      </w:r>
      <w:r w:rsidRPr="00252A02">
        <w:t xml:space="preserve"> может рассматриваться на разных уровнях:</w:t>
      </w:r>
    </w:p>
    <w:p w:rsidR="000268FA" w:rsidRPr="00252A02" w:rsidRDefault="000268FA" w:rsidP="000F07EC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взаимосвязь между положениями Конвенции, касающимися ДГРСИВ, и Нагойским протоколом;</w:t>
      </w:r>
    </w:p>
    <w:p w:rsidR="000014E2" w:rsidRPr="00252A02" w:rsidRDefault="000014E2" w:rsidP="000F07EC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интеграция вопросов доступа к генетическим ресурсам и совместного использования выгод в масштабе Конвенции;</w:t>
      </w:r>
    </w:p>
    <w:p w:rsidR="000268FA" w:rsidRPr="00252A02" w:rsidRDefault="000268FA" w:rsidP="000F07EC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lastRenderedPageBreak/>
        <w:t>сквозные вопросы, значимые для Конвенции и Нагойского протокола, такие как наращивание потенциала, механизмы посредничества, финансовые механизмы и мобилизация ресурсов, а также представление национальной отчетности;</w:t>
      </w:r>
    </w:p>
    <w:p w:rsidR="000268FA" w:rsidRPr="00252A02" w:rsidRDefault="00E8078E" w:rsidP="000F07EC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структуры и процессы в рамках Конвенции и протоколов к ней.</w:t>
      </w:r>
    </w:p>
    <w:p w:rsidR="00007D43" w:rsidRPr="00252A02" w:rsidRDefault="006B3613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В разделе I настоящего документа рассматривается взаимосвязь между положениями Конвенции, касающимися ДГРСИВ, и Нагойским протоколом. Раздел II посвящен интеграции вопросов доступа к генетическим ресурсам и совместного использования выгод в масштабе Конвенции. Выводы и рекомендации изложены</w:t>
      </w:r>
      <w:r w:rsidR="00E1261F" w:rsidRPr="00252A02">
        <w:t xml:space="preserve"> </w:t>
      </w:r>
      <w:r w:rsidRPr="00252A02">
        <w:t>в разделах III и IV документа</w:t>
      </w:r>
      <w:r w:rsidR="00E1261F" w:rsidRPr="00252A02">
        <w:t>, соответственно</w:t>
      </w:r>
      <w:r w:rsidRPr="00252A02">
        <w:t xml:space="preserve">. В соответствии с решением </w:t>
      </w:r>
      <w:hyperlink r:id="rId14">
        <w:r w:rsidRPr="00252A02">
          <w:rPr>
            <w:rStyle w:val="Hyperlink"/>
            <w:kern w:val="22"/>
          </w:rPr>
          <w:t>XIII/26</w:t>
        </w:r>
      </w:hyperlink>
      <w:r w:rsidRPr="00252A02">
        <w:t xml:space="preserve">, пункт 2, сквозные вопросы, охватываемые Конвенцией и протоколами к ней, такие как наращивание потенциала, механизмы финансирования, мобилизация ресурсов и представление национальной отчетности, будут рассмотрены Вспомогательным органом по осуществлению на его втором совещании в рамках пунктов 10, 9, 8 и 13 повестки дня, соответственно. Согласно решению </w:t>
      </w:r>
      <w:hyperlink r:id="rId15">
        <w:r w:rsidRPr="00252A02">
          <w:rPr>
            <w:rStyle w:val="Hyperlink"/>
            <w:kern w:val="22"/>
          </w:rPr>
          <w:t>XII/31</w:t>
        </w:r>
      </w:hyperlink>
      <w:r w:rsidRPr="00252A02">
        <w:t>, вопросы, касающиеся эффективности процессов в рамках Конвенции и протоколов к ней, будут рассматр</w:t>
      </w:r>
      <w:r w:rsidR="002B6C28" w:rsidRPr="00252A02">
        <w:t xml:space="preserve">иваться Вспомогательным органом </w:t>
      </w:r>
      <w:r w:rsidRPr="00252A02">
        <w:t>в рамках пункта 15 повестки дня.</w:t>
      </w:r>
    </w:p>
    <w:p w:rsidR="000A62EE" w:rsidRPr="00252A02" w:rsidRDefault="00030992" w:rsidP="000F07EC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52" w:hanging="432"/>
        <w:jc w:val="left"/>
        <w:rPr>
          <w:bCs/>
          <w:snapToGrid w:val="0"/>
          <w:kern w:val="22"/>
          <w:szCs w:val="22"/>
        </w:rPr>
      </w:pPr>
      <w:r w:rsidRPr="00252A02">
        <w:t>I.</w:t>
      </w:r>
      <w:r w:rsidRPr="00252A02">
        <w:tab/>
        <w:t>Взаимосвязь между положениями Конвенции</w:t>
      </w:r>
      <w:r w:rsidR="005F4D73" w:rsidRPr="00252A02">
        <w:t xml:space="preserve"> </w:t>
      </w:r>
      <w:r w:rsidR="00F5220C" w:rsidRPr="00252A02">
        <w:t xml:space="preserve">В ОТНОШЕНИИ </w:t>
      </w:r>
      <w:r w:rsidRPr="00252A02">
        <w:t xml:space="preserve">доступа к генетическим ресурсам и </w:t>
      </w:r>
      <w:r w:rsidR="00F5220C" w:rsidRPr="00252A02">
        <w:t>совместного использования выгод</w:t>
      </w:r>
      <w:r w:rsidRPr="00252A02">
        <w:t xml:space="preserve"> и Нагойским протоколом</w:t>
      </w:r>
    </w:p>
    <w:p w:rsidR="002E2FF9" w:rsidRPr="00252A02" w:rsidRDefault="00A24442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Нагойский протокол был принят Конференцией Сторон в 2010 г</w:t>
      </w:r>
      <w:r w:rsidR="005C44FF" w:rsidRPr="00252A02">
        <w:t>оду</w:t>
      </w:r>
      <w:r w:rsidRPr="00252A02">
        <w:rPr>
          <w:rStyle w:val="FootnoteReference"/>
          <w:kern w:val="22"/>
        </w:rPr>
        <w:footnoteReference w:id="2"/>
      </w:r>
      <w:r w:rsidR="005C44FF" w:rsidRPr="00252A02">
        <w:t>.</w:t>
      </w:r>
      <w:r w:rsidRPr="00252A02">
        <w:t xml:space="preserve"> Он способствует осуществлению третьей цели Конвенц</w:t>
      </w:r>
      <w:r w:rsidR="00252A02">
        <w:t>ии о биологическом разнообразии,</w:t>
      </w:r>
      <w:r w:rsidRPr="00252A02">
        <w:t xml:space="preserve"> совместному использованию на справедливой и равной основе выгод от применения генетических ресурсов, и вносит вклад в достижение двух других целей: сохранения биологического разнообразия и устойчивого использования его компонентов.</w:t>
      </w:r>
    </w:p>
    <w:p w:rsidR="000B42B4" w:rsidRPr="00252A02" w:rsidRDefault="00B65D7E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Протокол опирается на положения Конвенции, посвященные доступу к генетическим ресурсам и совместному использованию выгод, в частности на Статьи 15, 16, 19(1) и (2), а также 8 j), </w:t>
      </w:r>
      <w:r w:rsidR="00252A02">
        <w:t>и призван</w:t>
      </w:r>
      <w:r w:rsidR="001D3042" w:rsidRPr="00252A02">
        <w:t xml:space="preserve"> обеспечить поставщикам и </w:t>
      </w:r>
      <w:r w:rsidRPr="00252A02">
        <w:t xml:space="preserve">пользователям генетических ресурсов и соответствующих традиционных знаний более четкую правовую определенность и прозрачность. Положения Нагойского протокола полностью согласованы с положениями Конвенции, касающимися ДГРСИВ, и </w:t>
      </w:r>
      <w:r w:rsidR="00252A02">
        <w:t>представляют собой еще один шаг вперед по сравнению с ними</w:t>
      </w:r>
      <w:r w:rsidRPr="00252A02">
        <w:t xml:space="preserve">, поскольку </w:t>
      </w:r>
      <w:r w:rsidR="00252A02">
        <w:t>создает</w:t>
      </w:r>
      <w:r w:rsidRPr="00252A02">
        <w:t xml:space="preserve"> международн</w:t>
      </w:r>
      <w:r w:rsidR="00252A02">
        <w:t>ые</w:t>
      </w:r>
      <w:r w:rsidRPr="00252A02">
        <w:t xml:space="preserve"> </w:t>
      </w:r>
      <w:r w:rsidR="00252A02">
        <w:t>рамки для регулирования</w:t>
      </w:r>
      <w:r w:rsidRPr="00252A02">
        <w:t xml:space="preserve"> доступа к генетическим ресурсам и совместного использования выгод посредством новаторских положений, в том числе касающихся доступа, совместного использования выгод, соблюдения требований, коренных народов и местных общин, а также учреждения Механизма посредничества по регулированию ДГРСИВ.</w:t>
      </w:r>
    </w:p>
    <w:p w:rsidR="00E829C8" w:rsidRPr="00252A02" w:rsidRDefault="007146A1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В 2010 г. Стороны Конвенции приняли </w:t>
      </w:r>
      <w:hyperlink r:id="rId16">
        <w:r w:rsidRPr="00252A02">
          <w:rPr>
            <w:rStyle w:val="Hyperlink"/>
            <w:kern w:val="22"/>
          </w:rPr>
          <w:t>Стратегический план в области сохранения и устойчивого использования биоразнообразия на 2011-2020 годы</w:t>
        </w:r>
      </w:hyperlink>
      <w:r w:rsidR="008F2678">
        <w:t xml:space="preserve">, </w:t>
      </w:r>
      <w:r w:rsidRPr="00252A02">
        <w:t>включая Айтинские целевые задачи в области биоразнообразия на период 2011-2020 годов</w:t>
      </w:r>
      <w:r w:rsidRPr="00252A02">
        <w:rPr>
          <w:rStyle w:val="FootnoteReference"/>
          <w:kern w:val="22"/>
        </w:rPr>
        <w:footnoteReference w:id="3"/>
      </w:r>
      <w:r w:rsidR="008F2678">
        <w:t>. 16-я целевая задача</w:t>
      </w:r>
      <w:r w:rsidRPr="00252A02">
        <w:t xml:space="preserve"> Стратегического плана предусматривает, что </w:t>
      </w:r>
      <w:r w:rsidR="008F2678">
        <w:t>«</w:t>
      </w:r>
      <w:r w:rsidRPr="00252A02">
        <w:t>к 2015 году Нагойский протокол регулирования доступа к генетическим ресурсам и совместного использования на справедливой и равной основе выгод от их применения вступил в силу и функционирует в соответствии с</w:t>
      </w:r>
      <w:r w:rsidR="008F2678">
        <w:t xml:space="preserve"> национальным законодательством»</w:t>
      </w:r>
      <w:r w:rsidRPr="00252A02">
        <w:t>. Принятие этой целевой задачи свидетельствовало о решимости Сторон Конвенции вести работу, направленную на ратификацию и осуществление Нагойского протокола. Первая часть этой целевой задачи была выполнена с вступлением П</w:t>
      </w:r>
      <w:r w:rsidR="008F2678">
        <w:t>ротокола в силу 10 октября 2014 </w:t>
      </w:r>
      <w:r w:rsidRPr="00252A02">
        <w:t>г</w:t>
      </w:r>
      <w:r w:rsidR="008F2678">
        <w:t>ода</w:t>
      </w:r>
      <w:r w:rsidRPr="00252A02">
        <w:t xml:space="preserve">. Что касается второй части целевой задачи, </w:t>
      </w:r>
      <w:r w:rsidR="00701281">
        <w:t xml:space="preserve">хотя Протокол уже функционирует, </w:t>
      </w:r>
      <w:r w:rsidR="00701281" w:rsidRPr="00252A02">
        <w:t xml:space="preserve">для достижения дальнейшего прогресса в </w:t>
      </w:r>
      <w:r w:rsidR="00701281">
        <w:t xml:space="preserve">его </w:t>
      </w:r>
      <w:r w:rsidR="00701281" w:rsidRPr="00252A02">
        <w:t xml:space="preserve">осуществлении </w:t>
      </w:r>
      <w:r w:rsidRPr="00252A02">
        <w:t>все еще требуются усилия.</w:t>
      </w:r>
    </w:p>
    <w:p w:rsidR="00E829C8" w:rsidRPr="00252A02" w:rsidRDefault="001F68FD" w:rsidP="000F07EC">
      <w:pPr>
        <w:pStyle w:val="Heading2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152" w:hanging="432"/>
        <w:jc w:val="left"/>
        <w:rPr>
          <w:snapToGrid w:val="0"/>
          <w:kern w:val="22"/>
          <w:szCs w:val="22"/>
        </w:rPr>
      </w:pPr>
      <w:r w:rsidRPr="00252A02">
        <w:lastRenderedPageBreak/>
        <w:t>A.</w:t>
      </w:r>
      <w:r w:rsidRPr="00252A02">
        <w:tab/>
        <w:t>Положение дел с представлением отчетности по вопросам доступа к генетическим ресурсам и совместного использования выгод в рамках Конвенции и Нагойского протокола</w:t>
      </w:r>
    </w:p>
    <w:p w:rsidR="00E829C8" w:rsidRPr="00252A02" w:rsidRDefault="003157F2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После принятия Стратегического плана в области сохранения и устойчивого использования би</w:t>
      </w:r>
      <w:r w:rsidR="008D29C7">
        <w:t xml:space="preserve">оразнообразия на 2011-2020 годы, включая </w:t>
      </w:r>
      <w:r w:rsidRPr="00252A02">
        <w:t>Айтински</w:t>
      </w:r>
      <w:r w:rsidR="008D29C7">
        <w:t xml:space="preserve">е </w:t>
      </w:r>
      <w:r w:rsidRPr="00252A02">
        <w:t>целевы</w:t>
      </w:r>
      <w:r w:rsidR="008D29C7">
        <w:t>е</w:t>
      </w:r>
      <w:r w:rsidRPr="00252A02">
        <w:t xml:space="preserve"> задач</w:t>
      </w:r>
      <w:r w:rsidR="008D29C7">
        <w:t>и</w:t>
      </w:r>
      <w:r w:rsidRPr="00252A02">
        <w:t xml:space="preserve"> в области биоразнообразия</w:t>
      </w:r>
      <w:r w:rsidR="008D29C7">
        <w:t>,</w:t>
      </w:r>
      <w:r w:rsidRPr="00252A02">
        <w:t xml:space="preserve"> Стороны Конвенции договорились отразить эти всеобъемлющие международные документы в пересмотренных и обновленных национальных стратегиях и планах действий по сохранению биоразнообразия (НСПДСБ). Дополнительно Конференция Сторон постановила, что в пятых национальных докладах, которые н</w:t>
      </w:r>
      <w:r w:rsidR="0071006A">
        <w:t>еобходимо было представить к 31 </w:t>
      </w:r>
      <w:r w:rsidRPr="00252A02">
        <w:t xml:space="preserve">марта 2014 года, </w:t>
      </w:r>
      <w:r w:rsidR="0071006A">
        <w:t>следовало</w:t>
      </w:r>
      <w:r w:rsidRPr="00252A02">
        <w:t xml:space="preserve"> уделить особое внимание осуществлению Стратегического плана на 2011-2020 годы и прогрессу, достигнутому в выполнении Айтинских целевых задач в области биоразнообразия</w:t>
      </w:r>
      <w:r w:rsidRPr="00252A02">
        <w:rPr>
          <w:rStyle w:val="FootnoteReference"/>
          <w:kern w:val="22"/>
        </w:rPr>
        <w:footnoteReference w:id="4"/>
      </w:r>
      <w:r w:rsidRPr="00252A02">
        <w:t>.</w:t>
      </w:r>
    </w:p>
    <w:p w:rsidR="00E829C8" w:rsidRPr="00252A02" w:rsidRDefault="000502E7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В соответствии со статьей 29 Нагойского протокола, каждая Сторона обязана осуществлять контроль за выполнением своих обязательств и отчитываться перед Конференцией Сторон, выступающей в качестве совещания Сторон Нагойского п</w:t>
      </w:r>
      <w:r w:rsidR="0071006A">
        <w:t>ротокола, о мерах, принятых ею в целях</w:t>
      </w:r>
      <w:r w:rsidRPr="00252A02">
        <w:t xml:space="preserve"> осуществлени</w:t>
      </w:r>
      <w:r w:rsidR="0071006A">
        <w:t>я</w:t>
      </w:r>
      <w:r w:rsidRPr="00252A02">
        <w:t xml:space="preserve"> Протокола. На своем первом совещании Конференция Сторон, выступающая в качестве совещания Сторон Протокола, предложила Сторонам представить национальный доклад об осуществлении Протокола за 12 месяцев до открытия третьего совещания Сторон. Соответственно, Сторонам Нагойского протокола и государствам, не являющимся Сторонами, было предложено предс</w:t>
      </w:r>
      <w:r w:rsidR="0071006A">
        <w:t>тавить национальные доклады к 1 ноября 2017 </w:t>
      </w:r>
      <w:r w:rsidRPr="00252A02">
        <w:t xml:space="preserve">года. Кроме того, Стороны Нагойского протокола обязаны предоставлять национальную информацию в Механизм посредничества по регулированию ДГРСИВ, как предусмотрено Статьей 14 Протокола, а государствам, не являющимся Сторонами, рекомендуется </w:t>
      </w:r>
      <w:r w:rsidR="00B735D8">
        <w:t>это делать</w:t>
      </w:r>
      <w:r w:rsidRPr="00252A02">
        <w:t>.</w:t>
      </w:r>
    </w:p>
    <w:p w:rsidR="006B3613" w:rsidRPr="00252A02" w:rsidRDefault="003157F2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/>
          <w:kern w:val="22"/>
          <w:szCs w:val="22"/>
        </w:rPr>
      </w:pPr>
      <w:r w:rsidRPr="00252A02">
        <w:t>С учетом вышеизложенного, в приведенной ниже таблице приведен обзор представления отчетности по вопросам ДГРСИВ через различные механизмы отчетности, учрежденные в рамках Конвенции и Нагойского протокола.</w:t>
      </w:r>
    </w:p>
    <w:p w:rsidR="006B3613" w:rsidRPr="00252A02" w:rsidRDefault="00E829C8" w:rsidP="000F07EC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b/>
          <w:snapToGrid w:val="0"/>
          <w:kern w:val="22"/>
          <w:szCs w:val="22"/>
        </w:rPr>
      </w:pPr>
      <w:r w:rsidRPr="00252A02">
        <w:rPr>
          <w:b/>
          <w:snapToGrid w:val="0"/>
          <w:kern w:val="22"/>
        </w:rPr>
        <w:t>Таблица.</w:t>
      </w:r>
      <w:r w:rsidRPr="00252A02">
        <w:tab/>
      </w:r>
      <w:r w:rsidRPr="00252A02">
        <w:rPr>
          <w:b/>
          <w:snapToGrid w:val="0"/>
          <w:kern w:val="22"/>
        </w:rPr>
        <w:t>Обзор представления отчетности по вопросам ДГРСИВ в рамках Конвенции и Нагойского протокола по состоянию на 22 февраля 2018 г.</w:t>
      </w:r>
    </w:p>
    <w:p w:rsidR="006B3613" w:rsidRPr="00252A02" w:rsidRDefault="006B3613" w:rsidP="000F07EC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Cs/>
          <w:snapToGrid w:val="0"/>
          <w:kern w:val="22"/>
          <w:szCs w:val="22"/>
        </w:rPr>
      </w:pP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2847"/>
        <w:gridCol w:w="1871"/>
        <w:gridCol w:w="2160"/>
        <w:gridCol w:w="2378"/>
      </w:tblGrid>
      <w:tr w:rsidR="00E829C8" w:rsidRPr="00252A02" w:rsidTr="000F07EC">
        <w:trPr>
          <w:cantSplit/>
          <w:jc w:val="center"/>
        </w:trPr>
        <w:tc>
          <w:tcPr>
            <w:tcW w:w="2847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napToGrid w:val="0"/>
                <w:kern w:val="22"/>
                <w:szCs w:val="22"/>
              </w:rPr>
            </w:pPr>
          </w:p>
        </w:tc>
        <w:tc>
          <w:tcPr>
            <w:tcW w:w="1871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i/>
                <w:snapToGrid w:val="0"/>
                <w:kern w:val="22"/>
              </w:rPr>
              <w:t>Стороны Конвенции (196)</w:t>
            </w:r>
          </w:p>
        </w:tc>
        <w:tc>
          <w:tcPr>
            <w:tcW w:w="2160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i/>
                <w:snapToGrid w:val="0"/>
                <w:kern w:val="22"/>
              </w:rPr>
              <w:t>Стороны Нагойского протокола (105)</w:t>
            </w:r>
          </w:p>
        </w:tc>
        <w:tc>
          <w:tcPr>
            <w:tcW w:w="2378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i/>
                <w:snapToGrid w:val="0"/>
                <w:kern w:val="22"/>
              </w:rPr>
              <w:t>Государства, не являющиеся Сторонами Нагойского протокола (91)</w:t>
            </w:r>
          </w:p>
        </w:tc>
      </w:tr>
      <w:tr w:rsidR="00E829C8" w:rsidRPr="00252A02" w:rsidTr="000F07EC">
        <w:trPr>
          <w:cantSplit/>
          <w:jc w:val="center"/>
        </w:trPr>
        <w:tc>
          <w:tcPr>
            <w:tcW w:w="2847" w:type="dxa"/>
          </w:tcPr>
          <w:p w:rsidR="00E829C8" w:rsidRPr="00252A02" w:rsidRDefault="00BD271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Представили пятый национальный доклад</w:t>
            </w:r>
          </w:p>
        </w:tc>
        <w:tc>
          <w:tcPr>
            <w:tcW w:w="1871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189</w:t>
            </w:r>
          </w:p>
        </w:tc>
        <w:tc>
          <w:tcPr>
            <w:tcW w:w="2160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102</w:t>
            </w:r>
          </w:p>
        </w:tc>
        <w:tc>
          <w:tcPr>
            <w:tcW w:w="2378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87</w:t>
            </w:r>
          </w:p>
        </w:tc>
      </w:tr>
      <w:tr w:rsidR="00E829C8" w:rsidRPr="00252A02" w:rsidTr="000F07EC">
        <w:trPr>
          <w:cantSplit/>
          <w:jc w:val="center"/>
        </w:trPr>
        <w:tc>
          <w:tcPr>
            <w:tcW w:w="2847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Представили информацию о ДГРСИВ в пятом национальном докладе</w:t>
            </w:r>
          </w:p>
        </w:tc>
        <w:tc>
          <w:tcPr>
            <w:tcW w:w="1871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165</w:t>
            </w:r>
          </w:p>
        </w:tc>
        <w:tc>
          <w:tcPr>
            <w:tcW w:w="2160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94</w:t>
            </w:r>
          </w:p>
        </w:tc>
        <w:tc>
          <w:tcPr>
            <w:tcW w:w="2378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71</w:t>
            </w:r>
          </w:p>
        </w:tc>
      </w:tr>
      <w:tr w:rsidR="00E829C8" w:rsidRPr="00252A02" w:rsidTr="000F07EC">
        <w:trPr>
          <w:cantSplit/>
          <w:jc w:val="center"/>
        </w:trPr>
        <w:tc>
          <w:tcPr>
            <w:tcW w:w="2847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Представили информацию о мерах по регулированию ДГРСИВ в пятом национальном докладе</w:t>
            </w:r>
          </w:p>
        </w:tc>
        <w:tc>
          <w:tcPr>
            <w:tcW w:w="1871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102</w:t>
            </w:r>
          </w:p>
        </w:tc>
        <w:tc>
          <w:tcPr>
            <w:tcW w:w="2160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67</w:t>
            </w:r>
          </w:p>
        </w:tc>
        <w:tc>
          <w:tcPr>
            <w:tcW w:w="2378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35</w:t>
            </w:r>
          </w:p>
        </w:tc>
      </w:tr>
      <w:tr w:rsidR="00E829C8" w:rsidRPr="00252A02" w:rsidTr="000F07EC">
        <w:trPr>
          <w:cantSplit/>
          <w:jc w:val="center"/>
        </w:trPr>
        <w:tc>
          <w:tcPr>
            <w:tcW w:w="2847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 xml:space="preserve">Представили НСПДСБ </w:t>
            </w:r>
          </w:p>
        </w:tc>
        <w:tc>
          <w:tcPr>
            <w:tcW w:w="1871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186</w:t>
            </w:r>
          </w:p>
        </w:tc>
        <w:tc>
          <w:tcPr>
            <w:tcW w:w="2160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104</w:t>
            </w:r>
          </w:p>
        </w:tc>
        <w:tc>
          <w:tcPr>
            <w:tcW w:w="2378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82</w:t>
            </w:r>
          </w:p>
        </w:tc>
      </w:tr>
      <w:tr w:rsidR="00E829C8" w:rsidRPr="00252A02" w:rsidTr="000F07EC">
        <w:trPr>
          <w:cantSplit/>
          <w:jc w:val="center"/>
        </w:trPr>
        <w:tc>
          <w:tcPr>
            <w:tcW w:w="2847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 xml:space="preserve">Представили информацию о ДГРСИВ в НСПДСБ </w:t>
            </w:r>
          </w:p>
        </w:tc>
        <w:tc>
          <w:tcPr>
            <w:tcW w:w="1871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151</w:t>
            </w:r>
          </w:p>
        </w:tc>
        <w:tc>
          <w:tcPr>
            <w:tcW w:w="2160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90</w:t>
            </w:r>
          </w:p>
        </w:tc>
        <w:tc>
          <w:tcPr>
            <w:tcW w:w="2378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61</w:t>
            </w:r>
          </w:p>
        </w:tc>
      </w:tr>
      <w:tr w:rsidR="00E829C8" w:rsidRPr="00252A02" w:rsidTr="000F07EC">
        <w:trPr>
          <w:cantSplit/>
          <w:jc w:val="center"/>
        </w:trPr>
        <w:tc>
          <w:tcPr>
            <w:tcW w:w="2847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Представили промежуточные национальные доклады</w:t>
            </w:r>
          </w:p>
        </w:tc>
        <w:tc>
          <w:tcPr>
            <w:tcW w:w="1871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75</w:t>
            </w:r>
          </w:p>
        </w:tc>
        <w:tc>
          <w:tcPr>
            <w:tcW w:w="2160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69</w:t>
            </w:r>
          </w:p>
        </w:tc>
        <w:tc>
          <w:tcPr>
            <w:tcW w:w="2378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6</w:t>
            </w:r>
          </w:p>
        </w:tc>
      </w:tr>
      <w:tr w:rsidR="00E829C8" w:rsidRPr="00252A02" w:rsidTr="000F07EC">
        <w:trPr>
          <w:cantSplit/>
          <w:jc w:val="center"/>
        </w:trPr>
        <w:tc>
          <w:tcPr>
            <w:tcW w:w="2847" w:type="dxa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lastRenderedPageBreak/>
              <w:t>Национальные записи</w:t>
            </w:r>
            <w:r w:rsidRPr="00252A02">
              <w:rPr>
                <w:rStyle w:val="FootnoteReference"/>
                <w:rFonts w:ascii="Times New Roman" w:hAnsi="Times New Roman"/>
                <w:snapToGrid w:val="0"/>
                <w:kern w:val="22"/>
              </w:rPr>
              <w:footnoteReference w:id="5"/>
            </w:r>
            <w:r w:rsidRPr="00252A02">
              <w:rPr>
                <w:rFonts w:ascii="Times New Roman" w:hAnsi="Times New Roman"/>
                <w:snapToGrid w:val="0"/>
                <w:kern w:val="22"/>
              </w:rPr>
              <w:t xml:space="preserve"> в Механизме посредничества по регулированию ДГРСИВ</w:t>
            </w:r>
          </w:p>
        </w:tc>
        <w:tc>
          <w:tcPr>
            <w:tcW w:w="1871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63</w:t>
            </w:r>
          </w:p>
        </w:tc>
        <w:tc>
          <w:tcPr>
            <w:tcW w:w="2160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55</w:t>
            </w:r>
          </w:p>
        </w:tc>
        <w:tc>
          <w:tcPr>
            <w:tcW w:w="2378" w:type="dxa"/>
            <w:vAlign w:val="center"/>
          </w:tcPr>
          <w:p w:rsidR="00E829C8" w:rsidRPr="00252A02" w:rsidRDefault="00E829C8" w:rsidP="000F07E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252A02">
              <w:rPr>
                <w:rFonts w:ascii="Times New Roman" w:hAnsi="Times New Roman"/>
                <w:snapToGrid w:val="0"/>
                <w:kern w:val="22"/>
              </w:rPr>
              <w:t>8</w:t>
            </w:r>
          </w:p>
        </w:tc>
      </w:tr>
    </w:tbl>
    <w:p w:rsidR="00E829C8" w:rsidRPr="00252A02" w:rsidRDefault="00E829C8" w:rsidP="000F07E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kern w:val="22"/>
          <w:szCs w:val="22"/>
        </w:rPr>
      </w:pPr>
    </w:p>
    <w:p w:rsidR="0039164A" w:rsidRPr="00252A02" w:rsidDel="00E829C8" w:rsidRDefault="0020181A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Как указано в таблице, из 189 </w:t>
      </w:r>
      <w:r w:rsidR="00A63F60" w:rsidRPr="00252A02">
        <w:t>Сторон Конвенции, представивших пятый национальный доклад, 165 Сторон (87 процентов) представили отчетность о доступе к генетическим ресурсам и совместном использовании выгод в ответ на вопрос о ходе осуществления Стратегического плана в области сохранения и устойчивого использован</w:t>
      </w:r>
      <w:r>
        <w:t>ия биоразнообразия на 2011-</w:t>
      </w:r>
      <w:r w:rsidRPr="0020181A">
        <w:t>2020</w:t>
      </w:r>
      <w:r>
        <w:t> </w:t>
      </w:r>
      <w:r w:rsidR="00A63F60" w:rsidRPr="0020181A">
        <w:t>годы</w:t>
      </w:r>
      <w:r w:rsidR="00A63F60" w:rsidRPr="00252A02">
        <w:t xml:space="preserve"> и соответствующих Айтинских целевых задач в облас</w:t>
      </w:r>
      <w:r>
        <w:t>ти биоразнообразия. Из этих 165 </w:t>
      </w:r>
      <w:r w:rsidR="00A63F60" w:rsidRPr="00252A02">
        <w:t>Сторон 94 являются также Сторонами Нагойского протокола. Что касается НСПДСБ, из п</w:t>
      </w:r>
      <w:r>
        <w:t>редставленных 186 НСПДСБ 151 (81 процент) содержал</w:t>
      </w:r>
      <w:r w:rsidR="00A63F60" w:rsidRPr="00252A02">
        <w:t xml:space="preserve"> информацию о доступе к генетическим ресурсам и совместном использовании выгод в привязке к национальным целевым задачам, запланированной стратегии или мероприятиям. Кроме того, некоторые Стороны Конвенции, которые пока не являются Сторонами Нагойского протокола, представили промежуточный национальный доклад об осуществлении положений Нагойского протокола и/или предоставили информацию </w:t>
      </w:r>
      <w:r>
        <w:t>в Механизм</w:t>
      </w:r>
      <w:r w:rsidR="00A63F60" w:rsidRPr="00252A02">
        <w:t xml:space="preserve"> посредничества по регулированию ДГРСИВ.</w:t>
      </w:r>
    </w:p>
    <w:p w:rsidR="006861A0" w:rsidRPr="00252A02" w:rsidRDefault="001F68FD" w:rsidP="000F07EC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252A02">
        <w:t>B.</w:t>
      </w:r>
      <w:r w:rsidRPr="00252A02">
        <w:tab/>
        <w:t>Положение дел с ратификацией и осуществлением Нагойского протокола</w:t>
      </w:r>
    </w:p>
    <w:p w:rsidR="0017247F" w:rsidRPr="00252A02" w:rsidRDefault="00C8021E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По состоянию на 8 мая 2018 </w:t>
      </w:r>
      <w:r w:rsidR="006B3613" w:rsidRPr="00252A02">
        <w:t>года Протокол ратифицировали 105 Сторон.</w:t>
      </w:r>
      <w:r w:rsidR="007A4916" w:rsidRPr="00252A02">
        <w:t xml:space="preserve"> </w:t>
      </w:r>
      <w:r w:rsidR="006B3613" w:rsidRPr="00252A02">
        <w:t>Прогресс, достигнутый в осуществлении Протокола, будет рассматриваться на третьем совещании Сторон Протокола на основе первой оценки и обзора Протокола.</w:t>
      </w:r>
    </w:p>
    <w:p w:rsidR="00DB2F58" w:rsidRPr="00252A02" w:rsidRDefault="002E2FF9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В соответствии со Статьей 31 Нагойского протокола, Стороны Протокола на своем третьем совещании предпримут первую оценку и обзор эффективности Нагойского протокола с учетом информации, представленной в промежуточных национальных докладах и через Механизм посредничества по регулированию ДГРСИВ, а также </w:t>
      </w:r>
      <w:r w:rsidR="006A0994">
        <w:t>в</w:t>
      </w:r>
      <w:r w:rsidRPr="00252A02">
        <w:t xml:space="preserve"> други</w:t>
      </w:r>
      <w:r w:rsidR="006A0994">
        <w:t>х</w:t>
      </w:r>
      <w:r w:rsidRPr="00252A02">
        <w:t xml:space="preserve"> источник</w:t>
      </w:r>
      <w:r w:rsidR="006A0994">
        <w:t>ах</w:t>
      </w:r>
      <w:r w:rsidRPr="00252A02">
        <w:t xml:space="preserve"> информации. Оценка прогресса, достигнутого в осуществлении Протокола, будет ра</w:t>
      </w:r>
      <w:r w:rsidR="006A0994">
        <w:t>ссматриваться в рамках пункта 4 </w:t>
      </w:r>
      <w:r w:rsidRPr="00252A02">
        <w:t>повестки дня второго совещания Вспомогательного органа по осуществлению на основе записки Исполнительного секретаря (UNEP/CBD/SBI/2/3). При проведении оценки будет учитываться информация, предоставленная Сторонами в их промежуточных национальных докладах и через Механизм посредничества по регулированию ДГРСИВ. В отношении Сторон, не представивших промежуточный национальный доклад, будет приниматься во внимание</w:t>
      </w:r>
      <w:r w:rsidR="006A0994">
        <w:t xml:space="preserve"> в том числе</w:t>
      </w:r>
      <w:r w:rsidRPr="00252A02">
        <w:t xml:space="preserve"> информация, </w:t>
      </w:r>
      <w:r w:rsidR="006A0994">
        <w:t>фигурирующая</w:t>
      </w:r>
      <w:r w:rsidRPr="00252A02">
        <w:t xml:space="preserve"> в пятом национальном докладе и НСПДСБ.</w:t>
      </w:r>
      <w:r w:rsidR="007A4916" w:rsidRPr="00252A02">
        <w:t xml:space="preserve"> </w:t>
      </w:r>
      <w:r w:rsidRPr="00252A02">
        <w:t>Выводы и рекомендации оценки будут представлены на рассмотрение Конференции Сторон, выступающей в качестве совещания Сторон Протокола, на ее третьем совещании.</w:t>
      </w:r>
    </w:p>
    <w:p w:rsidR="00FA5BF9" w:rsidRPr="00252A02" w:rsidRDefault="00A42777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Поскольку Нагойский протокол способствует осуществлению положений Конвенции, касающихся ДГРСИВ, оценка прогресса, достигнутого в осуществлении Нагойского протокола, может использоваться и для оценки прогресса в осуществлении положени</w:t>
      </w:r>
      <w:r w:rsidR="006A0994">
        <w:t>й</w:t>
      </w:r>
      <w:r w:rsidRPr="00252A02">
        <w:t xml:space="preserve"> Конвенции, касающихся ДГРСИВ.</w:t>
      </w:r>
    </w:p>
    <w:p w:rsidR="00A24442" w:rsidRPr="00252A02" w:rsidRDefault="001F68FD" w:rsidP="000F07EC">
      <w:pPr>
        <w:pStyle w:val="Heading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152" w:hanging="432"/>
        <w:jc w:val="left"/>
        <w:rPr>
          <w:snapToGrid w:val="0"/>
          <w:kern w:val="22"/>
          <w:szCs w:val="22"/>
        </w:rPr>
      </w:pPr>
      <w:r w:rsidRPr="00252A02">
        <w:t xml:space="preserve">C. </w:t>
      </w:r>
      <w:r w:rsidRPr="00252A02">
        <w:tab/>
        <w:t xml:space="preserve">Прогресс на пути ратификации и осуществления, достигнутый Сторонами </w:t>
      </w:r>
      <w:r w:rsidR="0028432D">
        <w:t xml:space="preserve">Конвенции, которые не являются </w:t>
      </w:r>
      <w:r w:rsidRPr="00252A02">
        <w:t>Сторонами Нагойского протокола</w:t>
      </w:r>
    </w:p>
    <w:p w:rsidR="00DB2F58" w:rsidRPr="00252A02" w:rsidRDefault="0028432D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В дополнение к</w:t>
      </w:r>
      <w:r w:rsidR="00383510" w:rsidRPr="00252A02">
        <w:t xml:space="preserve"> Сторон</w:t>
      </w:r>
      <w:r>
        <w:t>ам</w:t>
      </w:r>
      <w:r w:rsidR="00383510" w:rsidRPr="00252A02">
        <w:t xml:space="preserve"> Конвенции,</w:t>
      </w:r>
      <w:r>
        <w:t xml:space="preserve"> ратифицировавшим</w:t>
      </w:r>
      <w:r w:rsidR="00383510" w:rsidRPr="00252A02">
        <w:t xml:space="preserve"> Про</w:t>
      </w:r>
      <w:r>
        <w:t>токол, ряд Сторон Конвенции веду</w:t>
      </w:r>
      <w:r w:rsidR="00383510" w:rsidRPr="00252A02">
        <w:t>т работу, направленную на ратификацию Протокола, либо планируют ратифицировать его.</w:t>
      </w:r>
    </w:p>
    <w:p w:rsidR="00C433B7" w:rsidRPr="00252A02" w:rsidRDefault="003B322A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Как показано на приведенном ниже графике A, и исходя из информации, представленной в национальных докладах в рамках Конвенции, НСПДСБ, промежуточных национальных докладах по осуществлению Нагойского протокола, через Механизм посредничества по регулированию </w:t>
      </w:r>
      <w:r w:rsidRPr="00252A02">
        <w:lastRenderedPageBreak/>
        <w:t xml:space="preserve">ДГРСИВ и в проектах по наращиванию потенциала в области ДГРСИВ, процесс ратификации </w:t>
      </w:r>
      <w:r w:rsidR="00CB0350">
        <w:t>осуществляется</w:t>
      </w:r>
      <w:r w:rsidRPr="00252A02">
        <w:t xml:space="preserve"> в 34 Сторонах Конвенции, и есть основания полагать, что еще 34 Стороны Конвенции планируют ратифицировать Протокол. Только 23 Стороны Конвенции не предоставили никаких сведений о своем намерении ратифицировать Протокол.</w:t>
      </w:r>
    </w:p>
    <w:p w:rsidR="006861A0" w:rsidRPr="00252A02" w:rsidRDefault="00353291">
      <w:pPr>
        <w:pStyle w:val="Para1"/>
        <w:rPr>
          <w:szCs w:val="22"/>
        </w:rPr>
      </w:pPr>
      <w:r w:rsidRPr="00252A02">
        <w:t>Подводя итоги, по имеющейся информации, большинство Сторон Конвенции, еще не ратифицировавших Протокол, либо ведут работу, направленную на его ратификацию, либо планируют ратифицировать Протокол.</w:t>
      </w:r>
    </w:p>
    <w:p w:rsidR="00012364" w:rsidRPr="00252A02" w:rsidRDefault="00012364" w:rsidP="000F07E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kern w:val="22"/>
          <w:szCs w:val="22"/>
        </w:rPr>
      </w:pPr>
      <w:r w:rsidRPr="00252A02">
        <w:rPr>
          <w:b/>
          <w:kern w:val="22"/>
        </w:rPr>
        <w:t xml:space="preserve">График A. Положение дел с ратификацией </w:t>
      </w:r>
    </w:p>
    <w:p w:rsidR="00020B29" w:rsidRPr="00252A02" w:rsidRDefault="006C3635" w:rsidP="000F07E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szCs w:val="22"/>
        </w:rPr>
      </w:pPr>
      <w:r w:rsidRPr="00252A02">
        <w:rPr>
          <w:noProof/>
          <w:kern w:val="22"/>
          <w:szCs w:val="22"/>
          <w:lang w:eastAsia="es-ES_tradnl" w:bidi="ar-SA"/>
        </w:rPr>
        <w:drawing>
          <wp:inline distT="0" distB="0" distL="0" distR="0" wp14:anchorId="59E0E6AD" wp14:editId="23FE6732">
            <wp:extent cx="4114800" cy="24955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2364" w:rsidRPr="00252A02" w:rsidRDefault="00012364" w:rsidP="000F07E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kern w:val="22"/>
          <w:szCs w:val="22"/>
        </w:rPr>
      </w:pPr>
      <w:r w:rsidRPr="00252A02">
        <w:rPr>
          <w:b/>
          <w:kern w:val="22"/>
        </w:rPr>
        <w:t>График B. Положение дел с ратификацией по регионам</w:t>
      </w:r>
    </w:p>
    <w:p w:rsidR="00020B29" w:rsidRPr="00252A02" w:rsidRDefault="0000533E" w:rsidP="000F07E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szCs w:val="22"/>
        </w:rPr>
      </w:pPr>
      <w:r w:rsidRPr="00252A02">
        <w:rPr>
          <w:noProof/>
          <w:kern w:val="22"/>
          <w:szCs w:val="22"/>
          <w:lang w:eastAsia="es-ES_tradnl" w:bidi="ar-SA"/>
        </w:rPr>
        <w:drawing>
          <wp:inline distT="0" distB="0" distL="0" distR="0" wp14:anchorId="4A653606" wp14:editId="27D664EA">
            <wp:extent cx="4029075" cy="26574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252A02">
        <w:t xml:space="preserve"> </w:t>
      </w:r>
    </w:p>
    <w:p w:rsidR="0065770C" w:rsidRPr="00252A02" w:rsidRDefault="00306099" w:rsidP="000F07EC">
      <w:pPr>
        <w:pStyle w:val="Para1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lastRenderedPageBreak/>
        <w:t xml:space="preserve">Кроме того, как показывает приведенный выше график B, </w:t>
      </w:r>
      <w:r w:rsidR="00D30822">
        <w:t>отражающий</w:t>
      </w:r>
      <w:r w:rsidRPr="00252A02">
        <w:t xml:space="preserve"> </w:t>
      </w:r>
      <w:r w:rsidR="00D30822">
        <w:t xml:space="preserve">положение дел с </w:t>
      </w:r>
      <w:r w:rsidRPr="00252A02">
        <w:t>ратификаци</w:t>
      </w:r>
      <w:r w:rsidR="00D30822">
        <w:t>ей</w:t>
      </w:r>
      <w:r w:rsidRPr="00252A02">
        <w:t xml:space="preserve"> по регионам, Нагойский протокол пользуется широкой поддержкой во всех регионах. Однако в некоторых регионах прогресс на пути ратификации идет медленнее, чем в других. Незначительный прогресс, достигнутый странами в некоторых регионах, может объясняться различными факторами. В частности, консультативный процесс, который во многих странах </w:t>
      </w:r>
      <w:r w:rsidR="00D30822">
        <w:t>требуется обеспечить</w:t>
      </w:r>
      <w:r w:rsidRPr="00252A02">
        <w:t xml:space="preserve"> до ратификации, может оказаться политически непростым и времяемким, принимая во внимание сквозной характер, которым отличаются вопросы ДГРСИВ, </w:t>
      </w:r>
      <w:r w:rsidR="00D30822">
        <w:t>имеющие значение</w:t>
      </w:r>
      <w:r w:rsidRPr="00252A02">
        <w:t xml:space="preserve"> для различных министерств (например, окружающей среды, сельского хозяйства, науки, торговли), коренных народов и местных общин, а также для различных заинтересованных сторон (таких как деловое и научное сообщества). Помимо этого, в ряде стран </w:t>
      </w:r>
      <w:r w:rsidR="007F4F7A">
        <w:t xml:space="preserve">разработка </w:t>
      </w:r>
      <w:r w:rsidRPr="00252A02">
        <w:t>национальны</w:t>
      </w:r>
      <w:r w:rsidR="007F4F7A">
        <w:t>х</w:t>
      </w:r>
      <w:r w:rsidRPr="00252A02">
        <w:t xml:space="preserve"> мер </w:t>
      </w:r>
      <w:r w:rsidR="007F4F7A">
        <w:t xml:space="preserve">осуществления </w:t>
      </w:r>
      <w:r w:rsidRPr="00252A02">
        <w:t>д</w:t>
      </w:r>
      <w:r w:rsidR="007F4F7A">
        <w:t>олжна предшествовать</w:t>
      </w:r>
      <w:r w:rsidRPr="00252A02">
        <w:t xml:space="preserve"> ратификации.</w:t>
      </w:r>
    </w:p>
    <w:p w:rsidR="00D41040" w:rsidRPr="00252A02" w:rsidRDefault="00D41040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Учитывая, что многим странам необходимо принять меры по осуществлению Протокола до того, как они смогут его ратифицировать, </w:t>
      </w:r>
      <w:r w:rsidR="007F4F7A">
        <w:t>некоторые</w:t>
      </w:r>
      <w:r w:rsidRPr="00252A02">
        <w:t xml:space="preserve"> Сторон</w:t>
      </w:r>
      <w:r w:rsidR="007F4F7A">
        <w:t>ы</w:t>
      </w:r>
      <w:r w:rsidRPr="00252A02">
        <w:t xml:space="preserve"> Конвенции, которые ведут работу, направленную на ратификацию, предпринимают и ш</w:t>
      </w:r>
      <w:r w:rsidR="007F4F7A">
        <w:t>аги по осуществлению Протокола, а также</w:t>
      </w:r>
      <w:r w:rsidRPr="00252A02">
        <w:t xml:space="preserve"> предоставляют информацию о национальных мероприятиях, связанных с </w:t>
      </w:r>
      <w:r w:rsidR="007F4F7A">
        <w:t>обеспечением</w:t>
      </w:r>
      <w:r w:rsidRPr="00252A02">
        <w:t xml:space="preserve"> ДГРСИВ, таких как создание </w:t>
      </w:r>
      <w:r w:rsidR="007F4F7A">
        <w:t>организационных</w:t>
      </w:r>
      <w:r w:rsidRPr="00252A02">
        <w:t xml:space="preserve"> структур либо разработка или пересмотр национальных мер регулирования ДГРСИВ, в национальных докладах в рамках Конвенции, НСПДСБ, промежуточных национальных докладах об осуще</w:t>
      </w:r>
      <w:r w:rsidR="007F4F7A">
        <w:t>ствлении Нагойского протокола и</w:t>
      </w:r>
      <w:r w:rsidRPr="00252A02">
        <w:t>/или через Механизм посредничества по регулированию ДГРСИВ.</w:t>
      </w:r>
    </w:p>
    <w:p w:rsidR="00306099" w:rsidRPr="00252A02" w:rsidRDefault="00306099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Кроме того, несколько Сторон Конвенции ввели </w:t>
      </w:r>
      <w:r w:rsidR="007F4F7A">
        <w:t xml:space="preserve">в действие </w:t>
      </w:r>
      <w:r w:rsidRPr="00252A02">
        <w:t xml:space="preserve">меры регулирования ДГРСИВ </w:t>
      </w:r>
      <w:r w:rsidR="007F4F7A">
        <w:t xml:space="preserve">еще </w:t>
      </w:r>
      <w:r w:rsidRPr="00252A02">
        <w:t xml:space="preserve">до </w:t>
      </w:r>
      <w:r w:rsidR="007F4F7A">
        <w:t>принятия</w:t>
      </w:r>
      <w:r w:rsidRPr="00252A02">
        <w:t xml:space="preserve"> Нагойского протокола в соответствии с положениями Конвенции, касающимися доступа к генетическим ресурсам и совместного использования выгод. Многие из этих стран находятся в процессе пересмотра своих национальных мер регулирования ДГРСИВ, с тем чтобы обеспечить соблюдение дополнительных обязательств, предусмотренных Нагойским протоколом, </w:t>
      </w:r>
      <w:r w:rsidR="007F4F7A">
        <w:t>в частности</w:t>
      </w:r>
      <w:r w:rsidRPr="00252A02">
        <w:t xml:space="preserve"> связанных с соблюдением требований и мониторингом использования генетических ресурсов.</w:t>
      </w:r>
    </w:p>
    <w:p w:rsidR="0091673D" w:rsidRPr="00252A02" w:rsidRDefault="00D41040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На следующем графике представлен обзор прогресса, достигнутого Сторонами Конвенции, которые пока не являются Сторонами Нагойского протокола, в учреждении правовых, административных и политических мер </w:t>
      </w:r>
      <w:r w:rsidR="007F4F7A">
        <w:t>регулирования</w:t>
      </w:r>
      <w:r w:rsidRPr="00252A02">
        <w:t xml:space="preserve"> доступа к генетическим ресурсам и совместного использования выгод.</w:t>
      </w:r>
    </w:p>
    <w:p w:rsidR="0031427C" w:rsidRPr="00252A02" w:rsidRDefault="00AD2B2A" w:rsidP="000F07EC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080" w:hanging="1080"/>
        <w:rPr>
          <w:b/>
          <w:spacing w:val="-2"/>
          <w:kern w:val="22"/>
          <w:szCs w:val="22"/>
        </w:rPr>
      </w:pPr>
      <w:r w:rsidRPr="00252A02">
        <w:rPr>
          <w:b/>
          <w:spacing w:val="-2"/>
          <w:kern w:val="22"/>
        </w:rPr>
        <w:t>График C:</w:t>
      </w:r>
      <w:r w:rsidRPr="00252A02">
        <w:tab/>
      </w:r>
      <w:r w:rsidRPr="00252A02">
        <w:rPr>
          <w:b/>
          <w:spacing w:val="-2"/>
          <w:kern w:val="22"/>
        </w:rPr>
        <w:t>Прогресс в учреждении правовых, административных и политических мер регулирования ДГРСИВ Сторонами Конвенции, которые не являются Сторонами Нагойского протокола, по состоянию на 22 февраля 2018 года</w:t>
      </w:r>
    </w:p>
    <w:p w:rsidR="0031427C" w:rsidRPr="00252A02" w:rsidRDefault="0031427C" w:rsidP="000F07E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szCs w:val="22"/>
        </w:rPr>
      </w:pPr>
      <w:r w:rsidRPr="00252A02">
        <w:rPr>
          <w:noProof/>
          <w:kern w:val="22"/>
          <w:szCs w:val="22"/>
          <w:lang w:eastAsia="es-ES_tradnl" w:bidi="ar-SA"/>
        </w:rPr>
        <w:drawing>
          <wp:inline distT="0" distB="0" distL="0" distR="0" wp14:anchorId="15D2B4A5" wp14:editId="4F68EDE4">
            <wp:extent cx="4162425" cy="26098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3613" w:rsidRPr="00252A02" w:rsidRDefault="001A7C73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lastRenderedPageBreak/>
        <w:t>По имеющейся информации, 30 </w:t>
      </w:r>
      <w:r w:rsidR="006B3613" w:rsidRPr="00252A02">
        <w:t>Сторон Протокола (33 процента Сторон, не ратифицировавших Протокол) сообщили о том, что ввели в действие м</w:t>
      </w:r>
      <w:r>
        <w:t>еры регулирования ДГРСИВ. Из 30 </w:t>
      </w:r>
      <w:r w:rsidR="006B3613" w:rsidRPr="00252A02">
        <w:t>Сторон 7 указали, что в настоящее время они ведут пересмотр существующих или разработку новых мер регулирования ДГРСИВ в целях осуществл</w:t>
      </w:r>
      <w:r>
        <w:t>ения Нагойского протокола, а 14 </w:t>
      </w:r>
      <w:r w:rsidR="006B3613" w:rsidRPr="00252A02">
        <w:t>Сторон планировали разработать дополнительные меры регулирования ДГРСИВ.</w:t>
      </w:r>
      <w:r w:rsidR="006B3613" w:rsidRPr="00252A02">
        <w:tab/>
      </w:r>
    </w:p>
    <w:p w:rsidR="006B3613" w:rsidRPr="00252A02" w:rsidRDefault="001A7C73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Кроме того, из 61 </w:t>
      </w:r>
      <w:r w:rsidR="006B3613" w:rsidRPr="00252A02">
        <w:t>Стороны Конвенции, которые не ввели в действие мер регулирования ДГРСИВ, 13 Сторон указали, что они разрабатывают т</w:t>
      </w:r>
      <w:r>
        <w:t>акие меры в настоящее время, 25 </w:t>
      </w:r>
      <w:r w:rsidR="006B3613" w:rsidRPr="00252A02">
        <w:t>Сторон сообщили, что планируют р</w:t>
      </w:r>
      <w:r>
        <w:t>азработать такие меры, и еще 23 </w:t>
      </w:r>
      <w:r w:rsidR="006B3613" w:rsidRPr="00252A02">
        <w:t>Стороны не предоставили информации о разработке мер.</w:t>
      </w:r>
    </w:p>
    <w:p w:rsidR="009029A0" w:rsidRPr="00252A02" w:rsidRDefault="009E0D5C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Как </w:t>
      </w:r>
      <w:r w:rsidR="001A7C73">
        <w:t>подчеркивалось</w:t>
      </w:r>
      <w:r w:rsidRPr="00252A02">
        <w:t xml:space="preserve"> в решениях </w:t>
      </w:r>
      <w:hyperlink r:id="rId20">
        <w:r w:rsidRPr="00252A02">
          <w:rPr>
            <w:rStyle w:val="Hyperlink"/>
            <w:kern w:val="22"/>
          </w:rPr>
          <w:t>XIII/1</w:t>
        </w:r>
      </w:hyperlink>
      <w:r w:rsidRPr="00252A02">
        <w:t xml:space="preserve"> и </w:t>
      </w:r>
      <w:hyperlink r:id="rId21">
        <w:r w:rsidRPr="00252A02">
          <w:rPr>
            <w:rStyle w:val="Hyperlink"/>
            <w:kern w:val="22"/>
          </w:rPr>
          <w:t>NP-2/1</w:t>
        </w:r>
      </w:hyperlink>
      <w:r w:rsidRPr="00252A02">
        <w:t xml:space="preserve">, а несколько позднее </w:t>
      </w:r>
      <w:r w:rsidR="001A7C73">
        <w:t xml:space="preserve">и </w:t>
      </w:r>
      <w:r w:rsidRPr="00252A02">
        <w:t>в национальных докладах Сторон, для содействия ратификации и осуществлению Протокола необходимы дальнейшая техническая помощь, наращивание потенциала и финансовые ресурсы.</w:t>
      </w:r>
    </w:p>
    <w:p w:rsidR="00226406" w:rsidRPr="00252A02" w:rsidRDefault="009029A0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Кроме того, Стороны Конвенции, которые еще не ратифицировали Нагойский протокол, </w:t>
      </w:r>
      <w:r w:rsidR="00501F51">
        <w:t xml:space="preserve">остаются </w:t>
      </w:r>
      <w:r w:rsidR="00B23D6F">
        <w:t>связаны</w:t>
      </w:r>
      <w:r w:rsidRPr="00252A02">
        <w:t xml:space="preserve"> обязательства</w:t>
      </w:r>
      <w:r w:rsidR="00B23D6F">
        <w:t>ми</w:t>
      </w:r>
      <w:r w:rsidRPr="00252A02">
        <w:t xml:space="preserve"> в отношении ДГРСИВ, так как соот</w:t>
      </w:r>
      <w:r w:rsidR="00B23D6F">
        <w:t>ветствующие положения Конвенции и</w:t>
      </w:r>
      <w:r w:rsidRPr="00252A02">
        <w:t xml:space="preserve"> в том числе обязательства, предусмотренные Статьями 15, 16, 19 (1) и (2) и Статьей 8 j), остаются в силе.</w:t>
      </w:r>
    </w:p>
    <w:p w:rsidR="0036390F" w:rsidRPr="00252A02" w:rsidRDefault="0036390F" w:rsidP="000F07EC">
      <w:pPr>
        <w:pStyle w:val="Heading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Cs/>
          <w:snapToGrid w:val="0"/>
          <w:kern w:val="22"/>
          <w:szCs w:val="22"/>
        </w:rPr>
      </w:pPr>
      <w:r w:rsidRPr="00252A02">
        <w:t>Интеграция вопросов доступа к генетическим ресурсам и со</w:t>
      </w:r>
      <w:r w:rsidR="004763AB">
        <w:t xml:space="preserve">вместного использования выгод В РАМКАХ </w:t>
      </w:r>
      <w:r w:rsidRPr="00252A02">
        <w:t>Конвенции</w:t>
      </w:r>
    </w:p>
    <w:p w:rsidR="00B561EC" w:rsidRPr="00252A02" w:rsidRDefault="0036390F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Вопросы доступа к генетическим ресурсам и совместного использования выгод до сих пор в значительной степени продолжают </w:t>
      </w:r>
      <w:r w:rsidR="000C1216">
        <w:t>рассматриваться как</w:t>
      </w:r>
      <w:r w:rsidRPr="00252A02">
        <w:t xml:space="preserve"> отдельн</w:t>
      </w:r>
      <w:r w:rsidR="000C1216">
        <w:t>ая область</w:t>
      </w:r>
      <w:r w:rsidRPr="00252A02">
        <w:t xml:space="preserve"> в рамках Конвенции и Нагойского протокола.</w:t>
      </w:r>
      <w:r w:rsidR="007A4916" w:rsidRPr="00252A02">
        <w:t xml:space="preserve"> </w:t>
      </w:r>
      <w:r w:rsidRPr="00252A02">
        <w:t>Однако в Нагойском протоколе подчеркивается, что совместное использование выгод призвано способствовать сохранению биологического разнообразия и устойчивому использованию его компонентов</w:t>
      </w:r>
      <w:r w:rsidRPr="00252A02">
        <w:rPr>
          <w:rStyle w:val="FootnoteReference"/>
          <w:kern w:val="22"/>
        </w:rPr>
        <w:footnoteReference w:id="6"/>
      </w:r>
      <w:r w:rsidRPr="00252A02">
        <w:t xml:space="preserve">. </w:t>
      </w:r>
    </w:p>
    <w:p w:rsidR="0015012D" w:rsidRPr="00252A02" w:rsidRDefault="00B561EC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Учитывая сквозной характер Протокола, для его полномасштабной реализации на национальном уровне необходимо, чтобы соответствующие представители правительства и заинтересованные стороны, участвующие в управлении природными ресурсами </w:t>
      </w:r>
      <w:r w:rsidR="000C1216">
        <w:t>в разных районах (таких как леса</w:t>
      </w:r>
      <w:r w:rsidRPr="00252A02">
        <w:t xml:space="preserve">, морские районы и охраняемые районы) и/или </w:t>
      </w:r>
      <w:r w:rsidR="000C1216">
        <w:t xml:space="preserve">в </w:t>
      </w:r>
      <w:r w:rsidRPr="00252A02">
        <w:t>использовании таких ресурсов, рассматривали и учитывали вопросы, связанные с доступом к генетическим ресурсам и соответствующим традиционным знаниям, а также вопросы совместного использования на справедливой и равной основе выгод от их применения в рамках комплексного управленческого подхода, который может способствовать сохранению и устойчивому использованию ресурсов.</w:t>
      </w:r>
    </w:p>
    <w:p w:rsidR="00365E9D" w:rsidRPr="00252A02" w:rsidRDefault="0036390F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В этой связи интеграция вопросов, связанных с ДГРСИВ, в </w:t>
      </w:r>
      <w:r w:rsidR="001409F4">
        <w:t>рамках</w:t>
      </w:r>
      <w:r w:rsidRPr="00252A02">
        <w:t xml:space="preserve"> Конвенции может дополнительно способствовать осуществлению Нагойского протокола. Некоторые усилия в этом направлении уже предпринимались на международном уровне и могут быть использованы в помощь деятельности на национальном уровне в качестве поддержки и информационной основы.</w:t>
      </w:r>
    </w:p>
    <w:p w:rsidR="003B322A" w:rsidRPr="00252A02" w:rsidRDefault="00073542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Будучи</w:t>
      </w:r>
      <w:r w:rsidR="008D30B6" w:rsidRPr="00252A02">
        <w:t xml:space="preserve"> непосредственно связана с вопросами доступа</w:t>
      </w:r>
      <w:r>
        <w:t xml:space="preserve"> к генетическим ресурсам</w:t>
      </w:r>
      <w:r w:rsidR="008D30B6" w:rsidRPr="00252A02">
        <w:t xml:space="preserve"> и совместного использования выгод применительно к традиционным знаниям, </w:t>
      </w:r>
      <w:hyperlink r:id="rId22">
        <w:r w:rsidR="008D30B6" w:rsidRPr="00252A02">
          <w:rPr>
            <w:rStyle w:val="Hyperlink"/>
            <w:kern w:val="22"/>
          </w:rPr>
          <w:t>программа работы по Статье 8 j) и соответствующим положениям</w:t>
        </w:r>
      </w:hyperlink>
      <w:r w:rsidR="008D30B6" w:rsidRPr="00252A02">
        <w:t xml:space="preserve"> </w:t>
      </w:r>
      <w:r>
        <w:t>предоставляет поддержку</w:t>
      </w:r>
      <w:r w:rsidR="008D30B6" w:rsidRPr="00252A02">
        <w:t xml:space="preserve"> </w:t>
      </w:r>
      <w:r>
        <w:t xml:space="preserve">в обеспечении </w:t>
      </w:r>
      <w:r w:rsidR="008D30B6" w:rsidRPr="00252A02">
        <w:t xml:space="preserve">ДГРСИВ, а в последнее время и </w:t>
      </w:r>
      <w:r>
        <w:t>в осуществлении</w:t>
      </w:r>
      <w:r w:rsidR="008D30B6" w:rsidRPr="00252A02">
        <w:t xml:space="preserve"> Нагойского протокола. В рамках соответствующей проведенной работы было подготовлено добровольное руководство</w:t>
      </w:r>
      <w:r w:rsidR="008D30B6" w:rsidRPr="00252A02">
        <w:rPr>
          <w:b/>
          <w:caps/>
          <w:kern w:val="22"/>
        </w:rPr>
        <w:t xml:space="preserve"> </w:t>
      </w:r>
      <w:r w:rsidR="008D30B6" w:rsidRPr="00252A02">
        <w:t>Mo’otz kuxtal</w:t>
      </w:r>
      <w:r w:rsidR="008D30B6" w:rsidRPr="00252A02">
        <w:rPr>
          <w:rStyle w:val="FootnoteReference"/>
          <w:kern w:val="22"/>
        </w:rPr>
        <w:footnoteReference w:id="7"/>
      </w:r>
      <w:r w:rsidR="008D30B6" w:rsidRPr="00252A02">
        <w:t xml:space="preserve">, а также </w:t>
      </w:r>
      <w:r w:rsidR="008D30B6" w:rsidRPr="00252A02">
        <w:lastRenderedPageBreak/>
        <w:t>проведен ряд мероприятий по наращиванию потенциала, ориентированных в первую очередь на коренные народы и местные общины, в поддержку осуществления Конвенции и Нагойского протокола, в том числе посредством разработки общинных протоколов.</w:t>
      </w:r>
    </w:p>
    <w:p w:rsidR="00FE24FC" w:rsidRPr="00252A02" w:rsidRDefault="00EB6C99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При поддержке Секретариата были подготовлены следующие материалы, призванные способствовать наращиванию потенциала научного сообщества в качестве пользователей генетических ресурсов в том, что касается вопросов доступа к генетическим ресурсам и совместного использования выгод</w:t>
      </w:r>
      <w:r w:rsidR="00C525D1">
        <w:t>:</w:t>
      </w:r>
    </w:p>
    <w:p w:rsidR="00365E9D" w:rsidRPr="00252A02" w:rsidRDefault="007B7729" w:rsidP="000F07EC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2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п</w:t>
      </w:r>
      <w:r w:rsidR="00FE24FC" w:rsidRPr="00252A02">
        <w:t>одготовленная в рамках Глобальной таксономической инициативы недавняя публикация (2017 г.) “</w:t>
      </w:r>
      <w:r w:rsidR="00FE24FC" w:rsidRPr="00252A02">
        <w:rPr>
          <w:i/>
          <w:kern w:val="22"/>
          <w:shd w:val="clear" w:color="auto" w:fill="FFFFFF"/>
        </w:rPr>
        <w:t>Introduction to Access and Benefit-Sharing and the Nagoya Protocol: What DNA Barcoding Researchers Need to Know</w:t>
      </w:r>
      <w:r w:rsidR="00FE24FC" w:rsidRPr="00252A02">
        <w:t>” («Введение в вопросы доступа к генетическим ресурсам и совместного использования выгод и Нагойского протокола: что должны знать исследователи в области штрих-кодирования ДНК»)</w:t>
      </w:r>
      <w:r>
        <w:t>, представленная</w:t>
      </w:r>
      <w:r w:rsidR="00FE24FC" w:rsidRPr="00252A02">
        <w:t xml:space="preserve"> по адресу: </w:t>
      </w:r>
      <w:hyperlink r:id="rId23">
        <w:r w:rsidR="00FE24FC" w:rsidRPr="00252A02">
          <w:rPr>
            <w:rStyle w:val="Hyperlink"/>
            <w:kern w:val="22"/>
            <w:shd w:val="clear" w:color="auto" w:fill="FFFFFF"/>
          </w:rPr>
          <w:t>https://www.cbd.int/gti/</w:t>
        </w:r>
      </w:hyperlink>
      <w:r w:rsidR="00FE24FC" w:rsidRPr="00252A02">
        <w:t>;</w:t>
      </w:r>
    </w:p>
    <w:p w:rsidR="00365E9D" w:rsidRPr="00252A02" w:rsidRDefault="007B7729" w:rsidP="000F07EC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2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серия</w:t>
      </w:r>
      <w:r w:rsidRPr="00252A02">
        <w:t xml:space="preserve"> модулей электронного обучения по вопросам доступа к генетическим ресурсам и совместного </w:t>
      </w:r>
      <w:r>
        <w:t>использования выгод, адресованная</w:t>
      </w:r>
      <w:r w:rsidRPr="00252A02">
        <w:t xml:space="preserve"> сотрудникам ботанических садов</w:t>
      </w:r>
      <w:r>
        <w:t xml:space="preserve">, которая была подготовлена </w:t>
      </w:r>
      <w:r w:rsidR="00EB6C99" w:rsidRPr="00252A02">
        <w:t>Международн</w:t>
      </w:r>
      <w:r>
        <w:t>ой</w:t>
      </w:r>
      <w:r w:rsidR="00EB6C99" w:rsidRPr="00252A02">
        <w:t xml:space="preserve"> организаци</w:t>
      </w:r>
      <w:r>
        <w:t>ей</w:t>
      </w:r>
      <w:r w:rsidR="00EB6C99" w:rsidRPr="00252A02">
        <w:t xml:space="preserve"> по охране ботанических садов</w:t>
      </w:r>
      <w:r>
        <w:t xml:space="preserve"> при</w:t>
      </w:r>
      <w:r w:rsidRPr="00252A02">
        <w:t xml:space="preserve"> поддержке Конвенции о биологическом разнообразии и Японского фонда биоразнообразия</w:t>
      </w:r>
      <w:r>
        <w:t xml:space="preserve"> и</w:t>
      </w:r>
      <w:r w:rsidR="00EB6C99" w:rsidRPr="00252A02">
        <w:t xml:space="preserve"> </w:t>
      </w:r>
      <w:r>
        <w:t>доступна</w:t>
      </w:r>
      <w:r w:rsidR="00EB6C99" w:rsidRPr="00252A02">
        <w:t xml:space="preserve"> по адресу: </w:t>
      </w:r>
      <w:r w:rsidR="00EB6C99" w:rsidRPr="007B7729">
        <w:rPr>
          <w:kern w:val="22"/>
        </w:rPr>
        <w:t>https://www.bgci.org/policy/abs_learning/</w:t>
      </w:r>
      <w:r w:rsidR="00EB6C99" w:rsidRPr="00252A02">
        <w:rPr>
          <w:rStyle w:val="Hyperlink"/>
          <w:kern w:val="22"/>
        </w:rPr>
        <w:t>.</w:t>
      </w:r>
    </w:p>
    <w:p w:rsidR="00365E9D" w:rsidRPr="00252A02" w:rsidRDefault="00365E9D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Кроме того, </w:t>
      </w:r>
      <w:r w:rsidR="007B7729">
        <w:t>проблематика доступа</w:t>
      </w:r>
      <w:r w:rsidRPr="00252A02">
        <w:t xml:space="preserve"> к генетическим ресурсам и совместно</w:t>
      </w:r>
      <w:r w:rsidR="007B7729">
        <w:t>го</w:t>
      </w:r>
      <w:r w:rsidRPr="00252A02">
        <w:t xml:space="preserve"> использовани</w:t>
      </w:r>
      <w:r w:rsidR="007B7729">
        <w:t>я</w:t>
      </w:r>
      <w:r w:rsidRPr="00252A02">
        <w:t xml:space="preserve"> выгод, а также последствия Нагойского протокола </w:t>
      </w:r>
      <w:r w:rsidR="007B7729">
        <w:t>учитывались</w:t>
      </w:r>
      <w:r w:rsidRPr="00252A02">
        <w:t xml:space="preserve"> в ряде мероприятий, проведенных Секретариатом для </w:t>
      </w:r>
      <w:r w:rsidR="007B7729">
        <w:t>решения вопросов, связанных с взаимодействием бизнеса и</w:t>
      </w:r>
      <w:r w:rsidRPr="00252A02">
        <w:t xml:space="preserve"> биоразнообразия. Это включало в себя подготовку бюллетеней, адресованных деловому сообществу</w:t>
      </w:r>
      <w:r w:rsidRPr="00252A02">
        <w:rPr>
          <w:rStyle w:val="FootnoteReference"/>
          <w:kern w:val="22"/>
        </w:rPr>
        <w:footnoteReference w:id="8"/>
      </w:r>
      <w:r w:rsidRPr="00252A02">
        <w:t xml:space="preserve">, и </w:t>
      </w:r>
      <w:r w:rsidR="007B7729" w:rsidRPr="00252A02">
        <w:t xml:space="preserve">посвященную ДГРСИВ </w:t>
      </w:r>
      <w:r w:rsidR="007B7729">
        <w:t xml:space="preserve">сессию </w:t>
      </w:r>
      <w:r w:rsidRPr="00252A02">
        <w:t xml:space="preserve">на </w:t>
      </w:r>
      <w:hyperlink r:id="rId24">
        <w:r w:rsidRPr="00252A02">
          <w:rPr>
            <w:rStyle w:val="Hyperlink"/>
            <w:kern w:val="22"/>
          </w:rPr>
          <w:t>Форуме по вопросам предпринимательства и разнообразия</w:t>
        </w:r>
      </w:hyperlink>
      <w:r w:rsidRPr="00252A02">
        <w:t>, проходившем в рамках 13-го совещания Конференции Сторон. В ходе этих мероприятий подчеркивалась значимость ДГРСИВ для различных секторов, использующих генетические ресурсы, включая косметическую, фармацевтическую, сельскохозяйственную отрасли, ботанику и садоводство.</w:t>
      </w:r>
    </w:p>
    <w:p w:rsidR="000258A6" w:rsidRPr="00252A02" w:rsidRDefault="008D30B6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Другие инициативы, предпринятые в целях интеграции ДГРСИВ, </w:t>
      </w:r>
      <w:r w:rsidR="006C58CB">
        <w:t>включали в себя</w:t>
      </w:r>
      <w:r w:rsidRPr="00252A02">
        <w:t xml:space="preserve"> инициативы партнеров, направленные на включение компонента ДГРСИВ в состав проектов по наращиванию потенциала, посвященных</w:t>
      </w:r>
      <w:r w:rsidR="007A4916" w:rsidRPr="00252A02">
        <w:t xml:space="preserve"> </w:t>
      </w:r>
      <w:r w:rsidRPr="00252A02">
        <w:t>вопросам экологии или биоразнообразия</w:t>
      </w:r>
      <w:r w:rsidR="006C58CB">
        <w:t xml:space="preserve"> в более широком контексте</w:t>
      </w:r>
      <w:r w:rsidRPr="00252A02">
        <w:t>.</w:t>
      </w:r>
    </w:p>
    <w:p w:rsidR="00572A4B" w:rsidRPr="00252A02" w:rsidRDefault="00181B21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В целях дальнейшей активизации осуществления Нагойского протокола могут быть предприняты дополнительные шаги по интеграции ДГРСИВ в работу в рамках Конвенции. Например, проблематика, связанная с ДГРСИВ, может получить дальнейшее рассмотрение при решении вопросов, касающихся охраняемых районов или управления лесными и морскими районами. Кроме того, может быть рассмотрена возможность </w:t>
      </w:r>
      <w:r w:rsidR="006C58CB" w:rsidRPr="00252A02">
        <w:t xml:space="preserve">на более систематической основе </w:t>
      </w:r>
      <w:r w:rsidRPr="00252A02">
        <w:t>включать компонент ДГРСИВ в проекты по наращиванию потенциала.</w:t>
      </w:r>
    </w:p>
    <w:p w:rsidR="006F6F44" w:rsidRPr="00252A02" w:rsidRDefault="00030992" w:rsidP="000F07EC">
      <w:pPr>
        <w:pStyle w:val="Heading1"/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Cs/>
          <w:snapToGrid w:val="0"/>
          <w:kern w:val="22"/>
          <w:szCs w:val="22"/>
        </w:rPr>
      </w:pPr>
      <w:r w:rsidRPr="00252A02">
        <w:t>III.</w:t>
      </w:r>
      <w:r w:rsidRPr="00252A02">
        <w:tab/>
        <w:t>Заключение</w:t>
      </w:r>
    </w:p>
    <w:p w:rsidR="00E829C8" w:rsidRPr="00252A02" w:rsidRDefault="00E829C8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Утвердив целевую задачу 16 в рамках Айтинских целевых задач в области биоразнообразия, Стороны Конвенции продемонстрировали свою решимость проводить работу по ратификации и осуществлению Нагойского протокола, при этом большинство Сторон Конвенции предоставили информацию о ДГРСИВ в своем</w:t>
      </w:r>
      <w:r w:rsidR="00C43C2D">
        <w:t xml:space="preserve"> пятом национальном докладе (87 </w:t>
      </w:r>
      <w:r w:rsidRPr="00252A02">
        <w:t>процентов) и/или в НСПДСБ (81 процент).</w:t>
      </w:r>
    </w:p>
    <w:p w:rsidR="006A0929" w:rsidRPr="00252A02" w:rsidRDefault="00E829C8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Исходя из имеющейся информации, подавляющее б</w:t>
      </w:r>
      <w:r w:rsidR="00C43C2D">
        <w:t>ольшинство Сторон Конвенции (88 </w:t>
      </w:r>
      <w:r w:rsidRPr="00252A02">
        <w:t>процентов) либо ратифицировали Протокол, либо ведут работу по его ратификации, либо планируют ратифицировать его. Это свидетельствует о том, что Нагойский протокол пользуется шир</w:t>
      </w:r>
      <w:r w:rsidR="00C43C2D">
        <w:t>окой поддержкой. Кроме того, 75 </w:t>
      </w:r>
      <w:r w:rsidRPr="00252A02">
        <w:t xml:space="preserve">процентов Сторон Конвенции, еще не ратифицировавших </w:t>
      </w:r>
      <w:r w:rsidRPr="00252A02">
        <w:lastRenderedPageBreak/>
        <w:t>Нагойский протокол, либо уже ввели в действие меры регулирования ДГРСИВ, либо осуществляют разработку таких мер, либо планируют сделать это.</w:t>
      </w:r>
    </w:p>
    <w:p w:rsidR="006F6F44" w:rsidRPr="00252A02" w:rsidRDefault="006F6F44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 Тем не менее, как подчеркивалось в решении XIII/1, решении NP-2/1 и в промежуточных национальных докладах, необходимы дальнейшие усилия в поддержку ратификации и осуществления Протокола, в том числе </w:t>
      </w:r>
      <w:r w:rsidR="006C3E71">
        <w:t>в форме</w:t>
      </w:r>
      <w:r w:rsidRPr="00252A02">
        <w:t xml:space="preserve"> наращивания потенциала и </w:t>
      </w:r>
      <w:r w:rsidR="006C3E71">
        <w:t xml:space="preserve">оказания </w:t>
      </w:r>
      <w:r w:rsidRPr="00252A02">
        <w:t>финансовой поддержки.</w:t>
      </w:r>
    </w:p>
    <w:p w:rsidR="00E55657" w:rsidRPr="00252A02" w:rsidRDefault="006F6F44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 xml:space="preserve">Учитывая, что Нагойский протокол призван способствовать осуществлению положений Конвенции, </w:t>
      </w:r>
      <w:r w:rsidR="006C3E71">
        <w:t>касающихся</w:t>
      </w:r>
      <w:r w:rsidRPr="00252A02">
        <w:t xml:space="preserve"> ДГРСИВ, и тот факт, что Стороны Конвенции обязаны осуществлять положения Конвенции, касающиеся </w:t>
      </w:r>
      <w:r w:rsidR="006C3E71">
        <w:t>ДГРСИВ, в интересах всех Сторон</w:t>
      </w:r>
      <w:r w:rsidRPr="00252A02">
        <w:t xml:space="preserve"> Конвенции ратифицировать Протокол, с тем чтобы </w:t>
      </w:r>
      <w:r w:rsidR="006C3E71">
        <w:t>способствовать формированию</w:t>
      </w:r>
      <w:r w:rsidRPr="00252A02">
        <w:t xml:space="preserve"> согласованного международного режима обеспечения ДГРСИВ.</w:t>
      </w:r>
    </w:p>
    <w:p w:rsidR="00440A3A" w:rsidRPr="00252A02" w:rsidRDefault="00E55657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Наконец, с учетом сквозного характера вопросов, связанных с ДГРС</w:t>
      </w:r>
      <w:r w:rsidR="00021FC3">
        <w:t>ИВ, и потенциала, которым обладает</w:t>
      </w:r>
      <w:r w:rsidRPr="00252A02">
        <w:t xml:space="preserve"> совместное использование выгод</w:t>
      </w:r>
      <w:r w:rsidR="00450E08">
        <w:t xml:space="preserve"> для</w:t>
      </w:r>
      <w:r w:rsidRPr="00252A02">
        <w:t xml:space="preserve"> содействия охране и устойчиво</w:t>
      </w:r>
      <w:r w:rsidR="00021FC3">
        <w:t>му</w:t>
      </w:r>
      <w:r w:rsidRPr="00252A02">
        <w:t xml:space="preserve"> использовани</w:t>
      </w:r>
      <w:r w:rsidR="00021FC3">
        <w:t>ю</w:t>
      </w:r>
      <w:r w:rsidRPr="00252A02">
        <w:t xml:space="preserve"> ресурсов, могут потребоваться дополнительные усилия для интеграции ДГРСИВ в различные программы работы в рамках Конвенции, с тем чтобы способствовать осуществлению Нагойского протокола. Дальнейшая интеграция ДГРСИВ в другие области работы в рамках Конвенции может </w:t>
      </w:r>
      <w:r w:rsidR="00021FC3">
        <w:t>рассматриваться</w:t>
      </w:r>
      <w:r w:rsidRPr="00252A02">
        <w:t xml:space="preserve"> </w:t>
      </w:r>
      <w:r w:rsidR="00021FC3">
        <w:t>в рамках обсуждения</w:t>
      </w:r>
      <w:r w:rsidRPr="00252A02">
        <w:t xml:space="preserve"> </w:t>
      </w:r>
      <w:r w:rsidRPr="00450E08">
        <w:rPr>
          <w:kern w:val="22"/>
        </w:rPr>
        <w:t>глобальной рамочной программы в области биора</w:t>
      </w:r>
      <w:r w:rsidR="00021FC3">
        <w:rPr>
          <w:kern w:val="22"/>
        </w:rPr>
        <w:t>знообразия на период после 2020 </w:t>
      </w:r>
      <w:r w:rsidRPr="00450E08">
        <w:rPr>
          <w:kern w:val="22"/>
        </w:rPr>
        <w:t>года</w:t>
      </w:r>
      <w:r w:rsidRPr="00252A02">
        <w:t>.</w:t>
      </w:r>
    </w:p>
    <w:p w:rsidR="00AE5298" w:rsidRPr="00252A02" w:rsidRDefault="00030992" w:rsidP="000F07EC">
      <w:pPr>
        <w:pStyle w:val="Heading1"/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Cs/>
          <w:snapToGrid w:val="0"/>
          <w:kern w:val="22"/>
          <w:szCs w:val="22"/>
        </w:rPr>
      </w:pPr>
      <w:r w:rsidRPr="00252A02">
        <w:t>IV.</w:t>
      </w:r>
      <w:r w:rsidRPr="00252A02">
        <w:tab/>
        <w:t>Предлагаемые проекты рекомендаций</w:t>
      </w:r>
    </w:p>
    <w:p w:rsidR="00440A3A" w:rsidRPr="00252A02" w:rsidRDefault="00D1789D" w:rsidP="000F07E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252A02">
        <w:t>Вспомогательному органу по осуществлению предлагается рекомендовать, чтобы Конференция Сторон приняла следующее решение:</w:t>
      </w:r>
    </w:p>
    <w:p w:rsidR="00440A3A" w:rsidRPr="00252A02" w:rsidRDefault="00440A3A" w:rsidP="000F07E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eastAsia="Calibri"/>
          <w:i/>
          <w:kern w:val="22"/>
          <w:szCs w:val="22"/>
        </w:rPr>
      </w:pPr>
      <w:r w:rsidRPr="00252A02">
        <w:rPr>
          <w:i/>
          <w:kern w:val="22"/>
        </w:rPr>
        <w:t>Конференция Сторон</w:t>
      </w:r>
    </w:p>
    <w:p w:rsidR="00D1789D" w:rsidRPr="00252A02" w:rsidRDefault="00440A3A" w:rsidP="000F07EC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szCs w:val="22"/>
        </w:rPr>
      </w:pPr>
      <w:r w:rsidRPr="00252A02">
        <w:rPr>
          <w:i/>
          <w:kern w:val="22"/>
        </w:rPr>
        <w:t xml:space="preserve">с признательностью отмечает </w:t>
      </w:r>
      <w:r w:rsidRPr="00252A02">
        <w:t>усилия, предпринятые Сторонами, а также государствами, которые не являются Сторонами Нагойского протокола, в отношении ратификации и осуществления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применения;</w:t>
      </w:r>
    </w:p>
    <w:p w:rsidR="00440A3A" w:rsidRPr="00252A02" w:rsidRDefault="00D1789D" w:rsidP="000F07EC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szCs w:val="22"/>
        </w:rPr>
      </w:pPr>
      <w:r w:rsidRPr="00252A02">
        <w:rPr>
          <w:i/>
        </w:rPr>
        <w:t>призывает</w:t>
      </w:r>
      <w:r w:rsidRPr="00252A02">
        <w:t xml:space="preserve"> Стороны Конвенции о биологическом разнообразии, которые еще не сделали этого, в кратчайшие сроки сдать на хранение свой документ о ратификации, принятии, одобрении Нагойского протокола или о присоединении к нему, принять меры по его осуществлению, в том числе путем создания организационных структур и законодательных, административных и политических мер для регулирования доступа к генетическим ресурсам и совместного использования выгод, и представить соответствующую информацию в Механизм посредничества для регулирования доступа к генетическим ресурсам и совместного использования выгод;</w:t>
      </w:r>
    </w:p>
    <w:p w:rsidR="0065254C" w:rsidRPr="00252A02" w:rsidRDefault="00FD4540" w:rsidP="000F07EC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szCs w:val="22"/>
        </w:rPr>
      </w:pPr>
      <w:r w:rsidRPr="00252A02">
        <w:rPr>
          <w:i/>
          <w:kern w:val="22"/>
        </w:rPr>
        <w:t xml:space="preserve">настоятельно призывает </w:t>
      </w:r>
      <w:r w:rsidRPr="00252A02">
        <w:t>Стороны Конвенции, которые еще не являются Сторонами Нагойского протокола, представить в их шестом национальном докладе информацию об обеспечении доступа к генетическим ресурсам и совместного использования выгод;</w:t>
      </w:r>
    </w:p>
    <w:p w:rsidR="00D1789D" w:rsidRPr="00252A02" w:rsidRDefault="00D1789D" w:rsidP="000F07EC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szCs w:val="22"/>
        </w:rPr>
      </w:pPr>
      <w:r w:rsidRPr="00252A02">
        <w:rPr>
          <w:i/>
          <w:snapToGrid w:val="0"/>
          <w:kern w:val="22"/>
        </w:rPr>
        <w:t>вновь заявляет</w:t>
      </w:r>
      <w:r w:rsidRPr="00252A02">
        <w:t xml:space="preserve"> о необходимости проведения мероприятий по созданию и развитию потенциала, а также выделения финансовых ресурсов для содействия ратификации и осуществлению Нагойского протокола, и </w:t>
      </w:r>
      <w:r w:rsidRPr="00252A02">
        <w:rPr>
          <w:i/>
          <w:snapToGrid w:val="0"/>
          <w:kern w:val="22"/>
        </w:rPr>
        <w:t>призывает</w:t>
      </w:r>
      <w:r w:rsidRPr="00252A02">
        <w:t xml:space="preserve"> правительства и соответствующие организации предоставлять техническую и финансовую поддержку;</w:t>
      </w:r>
    </w:p>
    <w:p w:rsidR="0004001B" w:rsidRPr="00252A02" w:rsidRDefault="00D1789D" w:rsidP="000F07EC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szCs w:val="22"/>
        </w:rPr>
      </w:pPr>
      <w:r w:rsidRPr="00252A02">
        <w:rPr>
          <w:i/>
          <w:kern w:val="22"/>
        </w:rPr>
        <w:t>предлагает</w:t>
      </w:r>
      <w:r w:rsidRPr="00252A02">
        <w:t xml:space="preserve"> Сторонам продолжить рассмотрение интеграции </w:t>
      </w:r>
      <w:r w:rsidR="00292142">
        <w:t>вопросов</w:t>
      </w:r>
      <w:r w:rsidRPr="00252A02">
        <w:t xml:space="preserve"> доступа к генетическим ресурсам и совместного использовани</w:t>
      </w:r>
      <w:r w:rsidR="00292142">
        <w:t xml:space="preserve">я выгод в другие области работы, касающиеся </w:t>
      </w:r>
      <w:r w:rsidRPr="00252A02">
        <w:t>Конвенции</w:t>
      </w:r>
      <w:r w:rsidR="00292142">
        <w:t>,</w:t>
      </w:r>
      <w:r w:rsidRPr="00252A02">
        <w:t xml:space="preserve"> </w:t>
      </w:r>
      <w:r w:rsidR="00292142">
        <w:t>в рамках</w:t>
      </w:r>
      <w:r w:rsidRPr="00252A02">
        <w:t xml:space="preserve"> обсуждения глобальной рамочной программы в области биора</w:t>
      </w:r>
      <w:r w:rsidR="00292142">
        <w:t>знообразия на период после 2020 </w:t>
      </w:r>
      <w:r w:rsidRPr="00252A02">
        <w:t>года;</w:t>
      </w:r>
    </w:p>
    <w:p w:rsidR="00D1789D" w:rsidRPr="00252A02" w:rsidRDefault="0004001B" w:rsidP="000F07EC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szCs w:val="22"/>
        </w:rPr>
      </w:pPr>
      <w:r w:rsidRPr="00252A02">
        <w:rPr>
          <w:i/>
          <w:kern w:val="22"/>
        </w:rPr>
        <w:lastRenderedPageBreak/>
        <w:t>поручает</w:t>
      </w:r>
      <w:r w:rsidRPr="00252A02">
        <w:t xml:space="preserve"> Исполнительному секретарю и далее прилагать усилия по интеграции</w:t>
      </w:r>
      <w:r w:rsidR="007A4916" w:rsidRPr="00252A02">
        <w:t xml:space="preserve"> </w:t>
      </w:r>
      <w:r w:rsidRPr="00252A02">
        <w:t>вопросов доступа к генетическим ресурсам и совместного использования выгод в работу Секретариата.</w:t>
      </w:r>
    </w:p>
    <w:p w:rsidR="00440A3A" w:rsidRPr="00252A02" w:rsidRDefault="004B1B86" w:rsidP="000F07E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szCs w:val="22"/>
        </w:rPr>
      </w:pPr>
      <w:r w:rsidRPr="00252A02">
        <w:t>__________</w:t>
      </w:r>
    </w:p>
    <w:sectPr w:rsidR="00440A3A" w:rsidRPr="00252A02" w:rsidSect="00CA1572">
      <w:headerReference w:type="even" r:id="rId25"/>
      <w:headerReference w:type="default" r:id="rId26"/>
      <w:footerReference w:type="even" r:id="rId27"/>
      <w:footerReference w:type="default" r:id="rId28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06" w:rsidRDefault="008B0A06">
      <w:r>
        <w:separator/>
      </w:r>
    </w:p>
  </w:endnote>
  <w:endnote w:type="continuationSeparator" w:id="0">
    <w:p w:rsidR="008B0A06" w:rsidRDefault="008B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40" w:rsidRDefault="00B74140" w:rsidP="000F07EC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5F" w:rsidRDefault="002C735F" w:rsidP="000F07EC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06" w:rsidRDefault="008B0A06">
      <w:r>
        <w:separator/>
      </w:r>
    </w:p>
  </w:footnote>
  <w:footnote w:type="continuationSeparator" w:id="0">
    <w:p w:rsidR="008B0A06" w:rsidRDefault="008B0A06">
      <w:r>
        <w:continuationSeparator/>
      </w:r>
    </w:p>
  </w:footnote>
  <w:footnote w:id="1">
    <w:p w:rsidR="00D51069" w:rsidRPr="000F07EC" w:rsidRDefault="00D51069" w:rsidP="000F07E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 w:val="18"/>
        </w:rPr>
        <w:t>*</w:t>
      </w:r>
      <w:r>
        <w:t xml:space="preserve"> </w:t>
      </w:r>
      <w:hyperlink r:id="rId1">
        <w:r>
          <w:rPr>
            <w:rStyle w:val="Hyperlink"/>
            <w:snapToGrid w:val="0"/>
            <w:kern w:val="18"/>
          </w:rPr>
          <w:t>CBD/SBI/2/1</w:t>
        </w:r>
      </w:hyperlink>
      <w:r>
        <w:t>.</w:t>
      </w:r>
    </w:p>
  </w:footnote>
  <w:footnote w:id="2">
    <w:p w:rsidR="00C73CD1" w:rsidRPr="000F07EC" w:rsidRDefault="00C73CD1" w:rsidP="000F07E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 w:val="18"/>
        </w:rPr>
        <w:footnoteRef/>
      </w:r>
      <w:r>
        <w:t xml:space="preserve"> См. решение </w:t>
      </w:r>
      <w:hyperlink r:id="rId2">
        <w:r>
          <w:rPr>
            <w:rStyle w:val="Hyperlink"/>
            <w:snapToGrid w:val="0"/>
            <w:kern w:val="18"/>
          </w:rPr>
          <w:t>X/1</w:t>
        </w:r>
      </w:hyperlink>
      <w:r>
        <w:t>.</w:t>
      </w:r>
    </w:p>
  </w:footnote>
  <w:footnote w:id="3">
    <w:p w:rsidR="00786D5C" w:rsidRPr="000F07EC" w:rsidRDefault="00786D5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 w:val="18"/>
        </w:rPr>
        <w:footnoteRef/>
      </w:r>
      <w:r>
        <w:t xml:space="preserve"> См. решение </w:t>
      </w:r>
      <w:hyperlink r:id="rId3">
        <w:r>
          <w:rPr>
            <w:rStyle w:val="Hyperlink"/>
            <w:snapToGrid w:val="0"/>
            <w:kern w:val="18"/>
          </w:rPr>
          <w:t>X/2</w:t>
        </w:r>
      </w:hyperlink>
      <w:r>
        <w:t>.</w:t>
      </w:r>
    </w:p>
  </w:footnote>
  <w:footnote w:id="4">
    <w:p w:rsidR="00141982" w:rsidRPr="000F07EC" w:rsidRDefault="00141982" w:rsidP="000F07E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 w:val="18"/>
        </w:rPr>
        <w:footnoteRef/>
      </w:r>
      <w:r>
        <w:t xml:space="preserve"> См. решение </w:t>
      </w:r>
      <w:hyperlink r:id="rId4">
        <w:r>
          <w:rPr>
            <w:rStyle w:val="Hyperlink"/>
            <w:snapToGrid w:val="0"/>
            <w:kern w:val="18"/>
          </w:rPr>
          <w:t>X/10</w:t>
        </w:r>
      </w:hyperlink>
      <w:r>
        <w:t>.</w:t>
      </w:r>
    </w:p>
  </w:footnote>
  <w:footnote w:id="5">
    <w:p w:rsidR="00E829C8" w:rsidRPr="000F07EC" w:rsidRDefault="00E829C8" w:rsidP="000F07E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 w:val="18"/>
        </w:rPr>
        <w:footnoteRef/>
      </w:r>
      <w:r>
        <w:t xml:space="preserve"> Здесь учитываются меры регулирования ДГРСИВ, компетентные национальные органы, контрольные пункты или международно признанные сертификаты соответствия.</w:t>
      </w:r>
    </w:p>
  </w:footnote>
  <w:footnote w:id="6">
    <w:p w:rsidR="00F17093" w:rsidRPr="000F07EC" w:rsidRDefault="00F17093" w:rsidP="000F07E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 w:val="18"/>
        </w:rPr>
        <w:footnoteRef/>
      </w:r>
      <w:r>
        <w:t xml:space="preserve"> См. статьи 1 и 9 Нагойского протокола.</w:t>
      </w:r>
    </w:p>
  </w:footnote>
  <w:footnote w:id="7">
    <w:p w:rsidR="00B561EC" w:rsidRPr="000F07EC" w:rsidRDefault="00B561EC" w:rsidP="000F07E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 w:val="18"/>
        </w:rPr>
        <w:footnoteRef/>
      </w:r>
      <w:r>
        <w:t xml:space="preserve"> </w:t>
      </w:r>
      <w:r>
        <w:t>Добровольное руководство Mo’otz kuxtal</w:t>
      </w:r>
      <w:r w:rsidR="007A4916">
        <w:rPr>
          <w:b/>
          <w:snapToGrid w:val="0"/>
          <w:kern w:val="18"/>
        </w:rPr>
        <w:t xml:space="preserve"> </w:t>
      </w:r>
      <w:r>
        <w:t>по разработке механизмов, законодательства или других надлежащих инициатив в зависимости от национальных</w:t>
      </w:r>
      <w:r w:rsidR="00073542">
        <w:t xml:space="preserve"> обстоятельств для обеспечения «</w:t>
      </w:r>
      <w:r>
        <w:t>предвари</w:t>
      </w:r>
      <w:r w:rsidR="00073542">
        <w:t>тельного обоснованного согласия»</w:t>
      </w:r>
      <w:r>
        <w:t xml:space="preserve">, </w:t>
      </w:r>
      <w:r w:rsidR="00073542">
        <w:t>«</w:t>
      </w:r>
      <w:r>
        <w:t>добровольного предварительного и обоснованного согласия</w:t>
      </w:r>
      <w:r w:rsidR="00073542">
        <w:t>»</w:t>
      </w:r>
      <w:r>
        <w:t xml:space="preserve"> или </w:t>
      </w:r>
      <w:r w:rsidR="00073542">
        <w:t>«</w:t>
      </w:r>
      <w:r>
        <w:t>одобрения и участия</w:t>
      </w:r>
      <w:r w:rsidR="00073542">
        <w:t>»</w:t>
      </w:r>
      <w:r>
        <w:t xml:space="preserve"> коренных народов и местных общин в целях получения доступа к их знаниям, нововведениям и практике, совместного использования на справедливой и равной основе выгод от применения таких знаний, нововведений и практики, имеющих значение для сохранения и устойчивого использования</w:t>
      </w:r>
      <w:r w:rsidR="00073542">
        <w:t xml:space="preserve"> биологического разнообразия, </w:t>
      </w:r>
      <w:r>
        <w:t xml:space="preserve">для сообщения </w:t>
      </w:r>
      <w:r w:rsidR="00073542">
        <w:t>о случаях</w:t>
      </w:r>
      <w:r>
        <w:t xml:space="preserve"> противоправного присвоения традиционных знаний</w:t>
      </w:r>
      <w:r w:rsidR="00073542">
        <w:t xml:space="preserve"> и их предотвращения</w:t>
      </w:r>
      <w:r>
        <w:t>.</w:t>
      </w:r>
      <w:r w:rsidR="007A4916">
        <w:t xml:space="preserve"> </w:t>
      </w:r>
      <w:r>
        <w:t xml:space="preserve">Это руководство было впоследствии одобрено Конференцией Сторон в решении </w:t>
      </w:r>
      <w:hyperlink r:id="rId5">
        <w:r>
          <w:rPr>
            <w:rStyle w:val="Hyperlink"/>
            <w:snapToGrid w:val="0"/>
            <w:kern w:val="18"/>
          </w:rPr>
          <w:t>XIII/18</w:t>
        </w:r>
      </w:hyperlink>
      <w:r>
        <w:t>.</w:t>
      </w:r>
    </w:p>
  </w:footnote>
  <w:footnote w:id="8">
    <w:p w:rsidR="00EB6C99" w:rsidRPr="000F07EC" w:rsidRDefault="00EB6C99" w:rsidP="000F07E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 w:val="18"/>
        </w:rPr>
        <w:footnoteRef/>
      </w:r>
      <w:r>
        <w:t xml:space="preserve"> Размещено по адресу: </w:t>
      </w:r>
      <w:hyperlink r:id="rId6">
        <w:r>
          <w:rPr>
            <w:rStyle w:val="Hyperlink"/>
            <w:snapToGrid w:val="0"/>
            <w:kern w:val="18"/>
          </w:rPr>
          <w:t>https://www.cbd.int/business/ressources/newsletters.shtml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BA3233" w:rsidRPr="00B74140" w:rsidRDefault="00DC3575" w:rsidP="000F07EC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left"/>
          <w:rPr>
            <w:noProof/>
            <w:kern w:val="22"/>
          </w:rPr>
        </w:pPr>
        <w:r w:rsidRPr="00B74140">
          <w:rPr>
            <w:noProof/>
            <w:kern w:val="22"/>
          </w:rPr>
          <w:t>CBD/SBI/2/14</w:t>
        </w:r>
      </w:p>
    </w:sdtContent>
  </w:sdt>
  <w:p w:rsidR="00BA3233" w:rsidRPr="00B74140" w:rsidRDefault="003368BD" w:rsidP="000F07E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  <w:r>
      <w:t>Страница</w:t>
    </w:r>
    <w:r w:rsidR="00BA3233">
      <w:t xml:space="preserve"> </w:t>
    </w:r>
    <w:r w:rsidR="00BA3233" w:rsidRPr="00B74140">
      <w:rPr>
        <w:noProof/>
        <w:kern w:val="22"/>
      </w:rPr>
      <w:fldChar w:fldCharType="begin"/>
    </w:r>
    <w:r w:rsidR="00BA3233" w:rsidRPr="00B74140">
      <w:rPr>
        <w:noProof/>
        <w:kern w:val="22"/>
      </w:rPr>
      <w:instrText xml:space="preserve"> PAGE   \* MERGEFORMAT </w:instrText>
    </w:r>
    <w:r w:rsidR="00BA3233" w:rsidRPr="00B74140">
      <w:rPr>
        <w:noProof/>
        <w:kern w:val="22"/>
      </w:rPr>
      <w:fldChar w:fldCharType="separate"/>
    </w:r>
    <w:r w:rsidR="005F54C3">
      <w:rPr>
        <w:noProof/>
        <w:kern w:val="22"/>
      </w:rPr>
      <w:t>10</w:t>
    </w:r>
    <w:r w:rsidR="00BA3233" w:rsidRPr="00B74140">
      <w:rPr>
        <w:noProof/>
        <w:kern w:val="22"/>
      </w:rPr>
      <w:fldChar w:fldCharType="end"/>
    </w:r>
  </w:p>
  <w:p w:rsidR="00BA3233" w:rsidRPr="00B74140" w:rsidRDefault="00BA3233" w:rsidP="000F07E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BA3233" w:rsidRPr="00B74140" w:rsidRDefault="00DC3575" w:rsidP="000F07EC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 w:rsidRPr="00B74140">
          <w:rPr>
            <w:noProof/>
            <w:kern w:val="22"/>
          </w:rPr>
          <w:t>CBD/SBI/2/14</w:t>
        </w:r>
      </w:p>
    </w:sdtContent>
  </w:sdt>
  <w:p w:rsidR="00BA3233" w:rsidRPr="00B74140" w:rsidRDefault="003368BD" w:rsidP="000F07E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>
      <w:t>Страница</w:t>
    </w:r>
    <w:r w:rsidR="00BA3233">
      <w:t xml:space="preserve"> </w:t>
    </w:r>
    <w:r w:rsidR="00BA3233" w:rsidRPr="00B74140">
      <w:rPr>
        <w:noProof/>
        <w:kern w:val="22"/>
      </w:rPr>
      <w:fldChar w:fldCharType="begin"/>
    </w:r>
    <w:r w:rsidR="00BA3233" w:rsidRPr="00B74140">
      <w:rPr>
        <w:noProof/>
        <w:kern w:val="22"/>
      </w:rPr>
      <w:instrText xml:space="preserve"> PAGE   \* MERGEFORMAT </w:instrText>
    </w:r>
    <w:r w:rsidR="00BA3233" w:rsidRPr="00B74140">
      <w:rPr>
        <w:noProof/>
        <w:kern w:val="22"/>
      </w:rPr>
      <w:fldChar w:fldCharType="separate"/>
    </w:r>
    <w:r w:rsidR="005F54C3">
      <w:rPr>
        <w:noProof/>
        <w:kern w:val="22"/>
      </w:rPr>
      <w:t>9</w:t>
    </w:r>
    <w:r w:rsidR="00BA3233" w:rsidRPr="00B74140">
      <w:rPr>
        <w:noProof/>
        <w:kern w:val="22"/>
      </w:rPr>
      <w:fldChar w:fldCharType="end"/>
    </w:r>
  </w:p>
  <w:p w:rsidR="00BA3233" w:rsidRPr="009316F7" w:rsidRDefault="00BA3233" w:rsidP="000F07E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A91"/>
    <w:multiLevelType w:val="hybridMultilevel"/>
    <w:tmpl w:val="04F44444"/>
    <w:lvl w:ilvl="0" w:tplc="EEACD8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7A60"/>
    <w:multiLevelType w:val="hybridMultilevel"/>
    <w:tmpl w:val="079E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30380E0D"/>
    <w:multiLevelType w:val="hybridMultilevel"/>
    <w:tmpl w:val="FA2AB2E4"/>
    <w:lvl w:ilvl="0" w:tplc="843A0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7234BC9"/>
    <w:multiLevelType w:val="hybridMultilevel"/>
    <w:tmpl w:val="A26EC64A"/>
    <w:lvl w:ilvl="0" w:tplc="68A2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B23075E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0423B12"/>
    <w:multiLevelType w:val="hybridMultilevel"/>
    <w:tmpl w:val="A836A3CC"/>
    <w:lvl w:ilvl="0" w:tplc="F8F0A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5E76"/>
    <w:multiLevelType w:val="hybridMultilevel"/>
    <w:tmpl w:val="1B665ADE"/>
    <w:lvl w:ilvl="0" w:tplc="CAD296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1701F"/>
    <w:multiLevelType w:val="hybridMultilevel"/>
    <w:tmpl w:val="4DAE67A4"/>
    <w:lvl w:ilvl="0" w:tplc="FEF00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7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14E2"/>
    <w:rsid w:val="0000278D"/>
    <w:rsid w:val="000045D5"/>
    <w:rsid w:val="0000533E"/>
    <w:rsid w:val="00006FA3"/>
    <w:rsid w:val="00007D43"/>
    <w:rsid w:val="00012364"/>
    <w:rsid w:val="00020B29"/>
    <w:rsid w:val="00020DF0"/>
    <w:rsid w:val="000219AC"/>
    <w:rsid w:val="00021FC3"/>
    <w:rsid w:val="0002202C"/>
    <w:rsid w:val="000258A6"/>
    <w:rsid w:val="000268FA"/>
    <w:rsid w:val="00030992"/>
    <w:rsid w:val="00031D24"/>
    <w:rsid w:val="00033CEB"/>
    <w:rsid w:val="00037873"/>
    <w:rsid w:val="00037B3D"/>
    <w:rsid w:val="0004001B"/>
    <w:rsid w:val="00042999"/>
    <w:rsid w:val="000502E7"/>
    <w:rsid w:val="00052450"/>
    <w:rsid w:val="00054381"/>
    <w:rsid w:val="000550B5"/>
    <w:rsid w:val="000576B1"/>
    <w:rsid w:val="000711E1"/>
    <w:rsid w:val="00073542"/>
    <w:rsid w:val="00073708"/>
    <w:rsid w:val="00077D14"/>
    <w:rsid w:val="000808F1"/>
    <w:rsid w:val="0009324F"/>
    <w:rsid w:val="00095791"/>
    <w:rsid w:val="000A1E5D"/>
    <w:rsid w:val="000A62EE"/>
    <w:rsid w:val="000B3A14"/>
    <w:rsid w:val="000B42B4"/>
    <w:rsid w:val="000C0AE0"/>
    <w:rsid w:val="000C1216"/>
    <w:rsid w:val="000D2010"/>
    <w:rsid w:val="000D5AFE"/>
    <w:rsid w:val="000E2B05"/>
    <w:rsid w:val="000E637D"/>
    <w:rsid w:val="000E7E6A"/>
    <w:rsid w:val="000F07EC"/>
    <w:rsid w:val="000F63AB"/>
    <w:rsid w:val="000F7A43"/>
    <w:rsid w:val="0010056E"/>
    <w:rsid w:val="0010187D"/>
    <w:rsid w:val="00103C09"/>
    <w:rsid w:val="001155AB"/>
    <w:rsid w:val="0012214B"/>
    <w:rsid w:val="001337B6"/>
    <w:rsid w:val="001409F4"/>
    <w:rsid w:val="001412F0"/>
    <w:rsid w:val="00141982"/>
    <w:rsid w:val="001423A4"/>
    <w:rsid w:val="0015012D"/>
    <w:rsid w:val="00152888"/>
    <w:rsid w:val="00152C2B"/>
    <w:rsid w:val="001647F1"/>
    <w:rsid w:val="00166367"/>
    <w:rsid w:val="00166622"/>
    <w:rsid w:val="0017247F"/>
    <w:rsid w:val="00181B21"/>
    <w:rsid w:val="00184CAA"/>
    <w:rsid w:val="00190409"/>
    <w:rsid w:val="00192E06"/>
    <w:rsid w:val="00197E46"/>
    <w:rsid w:val="001A1B76"/>
    <w:rsid w:val="001A5072"/>
    <w:rsid w:val="001A6C94"/>
    <w:rsid w:val="001A7C73"/>
    <w:rsid w:val="001B331B"/>
    <w:rsid w:val="001B6036"/>
    <w:rsid w:val="001C2570"/>
    <w:rsid w:val="001C321F"/>
    <w:rsid w:val="001C382D"/>
    <w:rsid w:val="001C38B7"/>
    <w:rsid w:val="001D1E30"/>
    <w:rsid w:val="001D3042"/>
    <w:rsid w:val="001D4BCD"/>
    <w:rsid w:val="001E1F62"/>
    <w:rsid w:val="001E309B"/>
    <w:rsid w:val="001E74B3"/>
    <w:rsid w:val="001E7625"/>
    <w:rsid w:val="001F1A27"/>
    <w:rsid w:val="001F2D27"/>
    <w:rsid w:val="001F6379"/>
    <w:rsid w:val="001F6667"/>
    <w:rsid w:val="001F68FD"/>
    <w:rsid w:val="0020181A"/>
    <w:rsid w:val="002037DF"/>
    <w:rsid w:val="00204415"/>
    <w:rsid w:val="002055D2"/>
    <w:rsid w:val="00206C81"/>
    <w:rsid w:val="002071FA"/>
    <w:rsid w:val="00207A6E"/>
    <w:rsid w:val="00207CB2"/>
    <w:rsid w:val="0021130E"/>
    <w:rsid w:val="00222E55"/>
    <w:rsid w:val="00224B92"/>
    <w:rsid w:val="00226030"/>
    <w:rsid w:val="00226406"/>
    <w:rsid w:val="002357E1"/>
    <w:rsid w:val="0024037F"/>
    <w:rsid w:val="002445C2"/>
    <w:rsid w:val="002504D7"/>
    <w:rsid w:val="00252897"/>
    <w:rsid w:val="00252A02"/>
    <w:rsid w:val="00252E86"/>
    <w:rsid w:val="002626DC"/>
    <w:rsid w:val="00262F0B"/>
    <w:rsid w:val="0027701F"/>
    <w:rsid w:val="002826DC"/>
    <w:rsid w:val="0028432D"/>
    <w:rsid w:val="002848EB"/>
    <w:rsid w:val="00284FCE"/>
    <w:rsid w:val="00287606"/>
    <w:rsid w:val="00292142"/>
    <w:rsid w:val="002922A2"/>
    <w:rsid w:val="002A0EED"/>
    <w:rsid w:val="002A100D"/>
    <w:rsid w:val="002B0942"/>
    <w:rsid w:val="002B323A"/>
    <w:rsid w:val="002B6C28"/>
    <w:rsid w:val="002C13C8"/>
    <w:rsid w:val="002C4BDB"/>
    <w:rsid w:val="002C735F"/>
    <w:rsid w:val="002C7752"/>
    <w:rsid w:val="002D4673"/>
    <w:rsid w:val="002D4DBF"/>
    <w:rsid w:val="002E0627"/>
    <w:rsid w:val="002E2FF9"/>
    <w:rsid w:val="002E301B"/>
    <w:rsid w:val="002E3605"/>
    <w:rsid w:val="002E4F76"/>
    <w:rsid w:val="002F2520"/>
    <w:rsid w:val="00300AF8"/>
    <w:rsid w:val="00301E8A"/>
    <w:rsid w:val="00304194"/>
    <w:rsid w:val="00304DA9"/>
    <w:rsid w:val="00306099"/>
    <w:rsid w:val="003115C2"/>
    <w:rsid w:val="00312CF4"/>
    <w:rsid w:val="0031427C"/>
    <w:rsid w:val="003157F2"/>
    <w:rsid w:val="003203FE"/>
    <w:rsid w:val="003210FF"/>
    <w:rsid w:val="00322C6F"/>
    <w:rsid w:val="00325DE3"/>
    <w:rsid w:val="003276E8"/>
    <w:rsid w:val="00336766"/>
    <w:rsid w:val="003368BD"/>
    <w:rsid w:val="0034478E"/>
    <w:rsid w:val="00345278"/>
    <w:rsid w:val="00352B6F"/>
    <w:rsid w:val="00353291"/>
    <w:rsid w:val="0036143A"/>
    <w:rsid w:val="0036390F"/>
    <w:rsid w:val="00365E9D"/>
    <w:rsid w:val="00366925"/>
    <w:rsid w:val="00374C33"/>
    <w:rsid w:val="00376A2E"/>
    <w:rsid w:val="0037792F"/>
    <w:rsid w:val="00381BFF"/>
    <w:rsid w:val="00383510"/>
    <w:rsid w:val="00387D13"/>
    <w:rsid w:val="0039164A"/>
    <w:rsid w:val="003926ED"/>
    <w:rsid w:val="003A1BC4"/>
    <w:rsid w:val="003B10B9"/>
    <w:rsid w:val="003B322A"/>
    <w:rsid w:val="003B72CB"/>
    <w:rsid w:val="003C113F"/>
    <w:rsid w:val="003C408D"/>
    <w:rsid w:val="003E2DAE"/>
    <w:rsid w:val="003E4D78"/>
    <w:rsid w:val="003F159B"/>
    <w:rsid w:val="003F1C9A"/>
    <w:rsid w:val="003F6E44"/>
    <w:rsid w:val="00400E09"/>
    <w:rsid w:val="00406BC6"/>
    <w:rsid w:val="0041618C"/>
    <w:rsid w:val="004162F8"/>
    <w:rsid w:val="0042079D"/>
    <w:rsid w:val="00437397"/>
    <w:rsid w:val="004376F1"/>
    <w:rsid w:val="00440A3A"/>
    <w:rsid w:val="00443608"/>
    <w:rsid w:val="0044424E"/>
    <w:rsid w:val="00450E08"/>
    <w:rsid w:val="00473BAD"/>
    <w:rsid w:val="004763AB"/>
    <w:rsid w:val="00476D32"/>
    <w:rsid w:val="00483D28"/>
    <w:rsid w:val="00487C34"/>
    <w:rsid w:val="00495886"/>
    <w:rsid w:val="00495DED"/>
    <w:rsid w:val="004A462F"/>
    <w:rsid w:val="004A4E01"/>
    <w:rsid w:val="004A7EA5"/>
    <w:rsid w:val="004B1B86"/>
    <w:rsid w:val="004B597A"/>
    <w:rsid w:val="004B5A7D"/>
    <w:rsid w:val="004D1C32"/>
    <w:rsid w:val="004D3907"/>
    <w:rsid w:val="004F4D43"/>
    <w:rsid w:val="00500530"/>
    <w:rsid w:val="00501F51"/>
    <w:rsid w:val="005032C9"/>
    <w:rsid w:val="0050491F"/>
    <w:rsid w:val="00511340"/>
    <w:rsid w:val="00516C26"/>
    <w:rsid w:val="00525039"/>
    <w:rsid w:val="00532455"/>
    <w:rsid w:val="00532E21"/>
    <w:rsid w:val="00535459"/>
    <w:rsid w:val="005440A6"/>
    <w:rsid w:val="00553DA8"/>
    <w:rsid w:val="00560784"/>
    <w:rsid w:val="00565FB8"/>
    <w:rsid w:val="005666BD"/>
    <w:rsid w:val="005711BC"/>
    <w:rsid w:val="00572A4B"/>
    <w:rsid w:val="005755D8"/>
    <w:rsid w:val="005765BE"/>
    <w:rsid w:val="00591B7F"/>
    <w:rsid w:val="0059525C"/>
    <w:rsid w:val="005955D2"/>
    <w:rsid w:val="005A4284"/>
    <w:rsid w:val="005A72FB"/>
    <w:rsid w:val="005B6A14"/>
    <w:rsid w:val="005C1ECF"/>
    <w:rsid w:val="005C44FF"/>
    <w:rsid w:val="005C6D4C"/>
    <w:rsid w:val="005C7BA7"/>
    <w:rsid w:val="005D139C"/>
    <w:rsid w:val="005F4C74"/>
    <w:rsid w:val="005F4D73"/>
    <w:rsid w:val="005F54C3"/>
    <w:rsid w:val="005F7DD4"/>
    <w:rsid w:val="00601BDD"/>
    <w:rsid w:val="0061763C"/>
    <w:rsid w:val="006260D5"/>
    <w:rsid w:val="0062654C"/>
    <w:rsid w:val="00647F7A"/>
    <w:rsid w:val="006507F2"/>
    <w:rsid w:val="0065254C"/>
    <w:rsid w:val="006531B0"/>
    <w:rsid w:val="0065770C"/>
    <w:rsid w:val="00665634"/>
    <w:rsid w:val="00670D1D"/>
    <w:rsid w:val="0067304D"/>
    <w:rsid w:val="00685AA5"/>
    <w:rsid w:val="0068607C"/>
    <w:rsid w:val="006861A0"/>
    <w:rsid w:val="00690847"/>
    <w:rsid w:val="00690872"/>
    <w:rsid w:val="00691F75"/>
    <w:rsid w:val="006A066D"/>
    <w:rsid w:val="006A0929"/>
    <w:rsid w:val="006A0994"/>
    <w:rsid w:val="006A0D1D"/>
    <w:rsid w:val="006B074E"/>
    <w:rsid w:val="006B2BD5"/>
    <w:rsid w:val="006B3613"/>
    <w:rsid w:val="006C1650"/>
    <w:rsid w:val="006C3635"/>
    <w:rsid w:val="006C3E71"/>
    <w:rsid w:val="006C541D"/>
    <w:rsid w:val="006C58CB"/>
    <w:rsid w:val="006D010F"/>
    <w:rsid w:val="006D0E3D"/>
    <w:rsid w:val="006E3F4A"/>
    <w:rsid w:val="006F284C"/>
    <w:rsid w:val="006F6F44"/>
    <w:rsid w:val="006F7227"/>
    <w:rsid w:val="00701281"/>
    <w:rsid w:val="00702366"/>
    <w:rsid w:val="00702810"/>
    <w:rsid w:val="00704E2A"/>
    <w:rsid w:val="0071006A"/>
    <w:rsid w:val="00712E26"/>
    <w:rsid w:val="00713343"/>
    <w:rsid w:val="007146A1"/>
    <w:rsid w:val="007163BC"/>
    <w:rsid w:val="00730AE3"/>
    <w:rsid w:val="007323D8"/>
    <w:rsid w:val="00736BC2"/>
    <w:rsid w:val="00757E33"/>
    <w:rsid w:val="00760850"/>
    <w:rsid w:val="00772B17"/>
    <w:rsid w:val="0077314D"/>
    <w:rsid w:val="007744C8"/>
    <w:rsid w:val="00785C3D"/>
    <w:rsid w:val="00785E90"/>
    <w:rsid w:val="00786D5C"/>
    <w:rsid w:val="00787A39"/>
    <w:rsid w:val="0079325E"/>
    <w:rsid w:val="007941A5"/>
    <w:rsid w:val="00797309"/>
    <w:rsid w:val="007A0411"/>
    <w:rsid w:val="007A4916"/>
    <w:rsid w:val="007B1587"/>
    <w:rsid w:val="007B4135"/>
    <w:rsid w:val="007B7729"/>
    <w:rsid w:val="007C31B3"/>
    <w:rsid w:val="007C50CD"/>
    <w:rsid w:val="007C5285"/>
    <w:rsid w:val="007C633B"/>
    <w:rsid w:val="007D3182"/>
    <w:rsid w:val="007D4C76"/>
    <w:rsid w:val="007E1D22"/>
    <w:rsid w:val="007E2157"/>
    <w:rsid w:val="007F226A"/>
    <w:rsid w:val="007F4F7A"/>
    <w:rsid w:val="00816E3E"/>
    <w:rsid w:val="00825524"/>
    <w:rsid w:val="008259D9"/>
    <w:rsid w:val="0083211E"/>
    <w:rsid w:val="00835ABF"/>
    <w:rsid w:val="008424C2"/>
    <w:rsid w:val="00843728"/>
    <w:rsid w:val="00843FF1"/>
    <w:rsid w:val="00846BA5"/>
    <w:rsid w:val="008656AC"/>
    <w:rsid w:val="008700C1"/>
    <w:rsid w:val="00870D40"/>
    <w:rsid w:val="00884C4C"/>
    <w:rsid w:val="0089138D"/>
    <w:rsid w:val="00896917"/>
    <w:rsid w:val="008A0CE1"/>
    <w:rsid w:val="008A1CC0"/>
    <w:rsid w:val="008A2179"/>
    <w:rsid w:val="008A43D4"/>
    <w:rsid w:val="008A7963"/>
    <w:rsid w:val="008B0A06"/>
    <w:rsid w:val="008B558C"/>
    <w:rsid w:val="008B641B"/>
    <w:rsid w:val="008C013C"/>
    <w:rsid w:val="008C1E35"/>
    <w:rsid w:val="008C2FF5"/>
    <w:rsid w:val="008D0857"/>
    <w:rsid w:val="008D29C7"/>
    <w:rsid w:val="008D30B6"/>
    <w:rsid w:val="008D5AA2"/>
    <w:rsid w:val="008E1ADE"/>
    <w:rsid w:val="008E5F84"/>
    <w:rsid w:val="008E7500"/>
    <w:rsid w:val="008F2678"/>
    <w:rsid w:val="008F4687"/>
    <w:rsid w:val="008F78C2"/>
    <w:rsid w:val="009029A0"/>
    <w:rsid w:val="00904DE8"/>
    <w:rsid w:val="009067F8"/>
    <w:rsid w:val="0091673D"/>
    <w:rsid w:val="00922EAD"/>
    <w:rsid w:val="00927396"/>
    <w:rsid w:val="0092794B"/>
    <w:rsid w:val="009316F7"/>
    <w:rsid w:val="00931A10"/>
    <w:rsid w:val="00941DB3"/>
    <w:rsid w:val="009466CA"/>
    <w:rsid w:val="00951BF6"/>
    <w:rsid w:val="00953856"/>
    <w:rsid w:val="0095393E"/>
    <w:rsid w:val="00953AB3"/>
    <w:rsid w:val="009554D5"/>
    <w:rsid w:val="00956F96"/>
    <w:rsid w:val="009570CA"/>
    <w:rsid w:val="009721C5"/>
    <w:rsid w:val="00972706"/>
    <w:rsid w:val="00976DA6"/>
    <w:rsid w:val="009828D0"/>
    <w:rsid w:val="009909A3"/>
    <w:rsid w:val="00992F49"/>
    <w:rsid w:val="0099431C"/>
    <w:rsid w:val="009955DF"/>
    <w:rsid w:val="009A1E1D"/>
    <w:rsid w:val="009B269A"/>
    <w:rsid w:val="009B523C"/>
    <w:rsid w:val="009B5E1D"/>
    <w:rsid w:val="009D2F92"/>
    <w:rsid w:val="009D2FA2"/>
    <w:rsid w:val="009D57DD"/>
    <w:rsid w:val="009D76DF"/>
    <w:rsid w:val="009E0D5C"/>
    <w:rsid w:val="009E2B79"/>
    <w:rsid w:val="009E62EF"/>
    <w:rsid w:val="00A0383E"/>
    <w:rsid w:val="00A10051"/>
    <w:rsid w:val="00A11C68"/>
    <w:rsid w:val="00A12D9A"/>
    <w:rsid w:val="00A20F36"/>
    <w:rsid w:val="00A2169A"/>
    <w:rsid w:val="00A24442"/>
    <w:rsid w:val="00A30DAD"/>
    <w:rsid w:val="00A33082"/>
    <w:rsid w:val="00A36091"/>
    <w:rsid w:val="00A42777"/>
    <w:rsid w:val="00A61C1A"/>
    <w:rsid w:val="00A63F60"/>
    <w:rsid w:val="00A7069A"/>
    <w:rsid w:val="00A70BFB"/>
    <w:rsid w:val="00A7359E"/>
    <w:rsid w:val="00A75BD0"/>
    <w:rsid w:val="00A77DD9"/>
    <w:rsid w:val="00A876B6"/>
    <w:rsid w:val="00A935F9"/>
    <w:rsid w:val="00A954A4"/>
    <w:rsid w:val="00A955E6"/>
    <w:rsid w:val="00AA014E"/>
    <w:rsid w:val="00AA0467"/>
    <w:rsid w:val="00AA4365"/>
    <w:rsid w:val="00AA57BC"/>
    <w:rsid w:val="00AC1E69"/>
    <w:rsid w:val="00AC378D"/>
    <w:rsid w:val="00AC5D78"/>
    <w:rsid w:val="00AD2B2A"/>
    <w:rsid w:val="00AD6F26"/>
    <w:rsid w:val="00AE5298"/>
    <w:rsid w:val="00AE75E3"/>
    <w:rsid w:val="00AF56FA"/>
    <w:rsid w:val="00AF5A70"/>
    <w:rsid w:val="00B000F8"/>
    <w:rsid w:val="00B106D9"/>
    <w:rsid w:val="00B2340C"/>
    <w:rsid w:val="00B23576"/>
    <w:rsid w:val="00B23D6F"/>
    <w:rsid w:val="00B267ED"/>
    <w:rsid w:val="00B271A0"/>
    <w:rsid w:val="00B3299A"/>
    <w:rsid w:val="00B41880"/>
    <w:rsid w:val="00B4436B"/>
    <w:rsid w:val="00B45C4C"/>
    <w:rsid w:val="00B47155"/>
    <w:rsid w:val="00B561EC"/>
    <w:rsid w:val="00B56B11"/>
    <w:rsid w:val="00B65D7E"/>
    <w:rsid w:val="00B673E3"/>
    <w:rsid w:val="00B70D99"/>
    <w:rsid w:val="00B735D8"/>
    <w:rsid w:val="00B74140"/>
    <w:rsid w:val="00B8515D"/>
    <w:rsid w:val="00B85F9B"/>
    <w:rsid w:val="00B87EC7"/>
    <w:rsid w:val="00B90D53"/>
    <w:rsid w:val="00B923EF"/>
    <w:rsid w:val="00B959FD"/>
    <w:rsid w:val="00B95D69"/>
    <w:rsid w:val="00B960E9"/>
    <w:rsid w:val="00B967E8"/>
    <w:rsid w:val="00BA1498"/>
    <w:rsid w:val="00BA3233"/>
    <w:rsid w:val="00BB4BD0"/>
    <w:rsid w:val="00BB73C8"/>
    <w:rsid w:val="00BC21F2"/>
    <w:rsid w:val="00BC27DE"/>
    <w:rsid w:val="00BC3017"/>
    <w:rsid w:val="00BC778C"/>
    <w:rsid w:val="00BD0052"/>
    <w:rsid w:val="00BD2718"/>
    <w:rsid w:val="00BE37A4"/>
    <w:rsid w:val="00BE3CE9"/>
    <w:rsid w:val="00BE45DE"/>
    <w:rsid w:val="00C05456"/>
    <w:rsid w:val="00C05B4C"/>
    <w:rsid w:val="00C076A9"/>
    <w:rsid w:val="00C15BBB"/>
    <w:rsid w:val="00C2117E"/>
    <w:rsid w:val="00C26158"/>
    <w:rsid w:val="00C31B34"/>
    <w:rsid w:val="00C31FC0"/>
    <w:rsid w:val="00C36325"/>
    <w:rsid w:val="00C37FF1"/>
    <w:rsid w:val="00C433B7"/>
    <w:rsid w:val="00C43C2D"/>
    <w:rsid w:val="00C43DED"/>
    <w:rsid w:val="00C465A1"/>
    <w:rsid w:val="00C507CD"/>
    <w:rsid w:val="00C525D1"/>
    <w:rsid w:val="00C71E38"/>
    <w:rsid w:val="00C73CD1"/>
    <w:rsid w:val="00C8021E"/>
    <w:rsid w:val="00C85EA4"/>
    <w:rsid w:val="00C912FE"/>
    <w:rsid w:val="00CA1572"/>
    <w:rsid w:val="00CA1B6A"/>
    <w:rsid w:val="00CA2D7B"/>
    <w:rsid w:val="00CA6B87"/>
    <w:rsid w:val="00CB0350"/>
    <w:rsid w:val="00CB14C9"/>
    <w:rsid w:val="00CB5C90"/>
    <w:rsid w:val="00CC2031"/>
    <w:rsid w:val="00CC4C87"/>
    <w:rsid w:val="00CC51ED"/>
    <w:rsid w:val="00CD1ADD"/>
    <w:rsid w:val="00CD3457"/>
    <w:rsid w:val="00CD4910"/>
    <w:rsid w:val="00CD62C1"/>
    <w:rsid w:val="00CE3C3C"/>
    <w:rsid w:val="00CE51C3"/>
    <w:rsid w:val="00CF2484"/>
    <w:rsid w:val="00CF2A4E"/>
    <w:rsid w:val="00CF4F69"/>
    <w:rsid w:val="00D04312"/>
    <w:rsid w:val="00D15589"/>
    <w:rsid w:val="00D1789D"/>
    <w:rsid w:val="00D20649"/>
    <w:rsid w:val="00D22AE8"/>
    <w:rsid w:val="00D23A92"/>
    <w:rsid w:val="00D25589"/>
    <w:rsid w:val="00D30822"/>
    <w:rsid w:val="00D3505C"/>
    <w:rsid w:val="00D41040"/>
    <w:rsid w:val="00D413B0"/>
    <w:rsid w:val="00D432AD"/>
    <w:rsid w:val="00D43EFC"/>
    <w:rsid w:val="00D51069"/>
    <w:rsid w:val="00D517FF"/>
    <w:rsid w:val="00D53B75"/>
    <w:rsid w:val="00D5565F"/>
    <w:rsid w:val="00D6013A"/>
    <w:rsid w:val="00D8117C"/>
    <w:rsid w:val="00D8317D"/>
    <w:rsid w:val="00D94539"/>
    <w:rsid w:val="00D9485E"/>
    <w:rsid w:val="00D9537D"/>
    <w:rsid w:val="00DB2F58"/>
    <w:rsid w:val="00DC3575"/>
    <w:rsid w:val="00DC70A7"/>
    <w:rsid w:val="00DC7C14"/>
    <w:rsid w:val="00DD52CC"/>
    <w:rsid w:val="00DD71AA"/>
    <w:rsid w:val="00DE308B"/>
    <w:rsid w:val="00E02467"/>
    <w:rsid w:val="00E05380"/>
    <w:rsid w:val="00E1048F"/>
    <w:rsid w:val="00E1261F"/>
    <w:rsid w:val="00E22B4E"/>
    <w:rsid w:val="00E303E8"/>
    <w:rsid w:val="00E315D5"/>
    <w:rsid w:val="00E34E13"/>
    <w:rsid w:val="00E37A7A"/>
    <w:rsid w:val="00E47630"/>
    <w:rsid w:val="00E55657"/>
    <w:rsid w:val="00E55B3B"/>
    <w:rsid w:val="00E55E91"/>
    <w:rsid w:val="00E648D7"/>
    <w:rsid w:val="00E758CF"/>
    <w:rsid w:val="00E8078E"/>
    <w:rsid w:val="00E829C8"/>
    <w:rsid w:val="00E83011"/>
    <w:rsid w:val="00E840AB"/>
    <w:rsid w:val="00E84170"/>
    <w:rsid w:val="00E91F57"/>
    <w:rsid w:val="00E92A9D"/>
    <w:rsid w:val="00E93875"/>
    <w:rsid w:val="00E94634"/>
    <w:rsid w:val="00E95090"/>
    <w:rsid w:val="00EA0B35"/>
    <w:rsid w:val="00EA48B2"/>
    <w:rsid w:val="00EA7525"/>
    <w:rsid w:val="00EB6C99"/>
    <w:rsid w:val="00EC0891"/>
    <w:rsid w:val="00EC56E4"/>
    <w:rsid w:val="00EC7E9D"/>
    <w:rsid w:val="00EE5153"/>
    <w:rsid w:val="00EE51DB"/>
    <w:rsid w:val="00EE5C06"/>
    <w:rsid w:val="00EF1374"/>
    <w:rsid w:val="00EF44CA"/>
    <w:rsid w:val="00EF7A75"/>
    <w:rsid w:val="00F117CF"/>
    <w:rsid w:val="00F13DC0"/>
    <w:rsid w:val="00F14485"/>
    <w:rsid w:val="00F16F02"/>
    <w:rsid w:val="00F17093"/>
    <w:rsid w:val="00F211E6"/>
    <w:rsid w:val="00F251F6"/>
    <w:rsid w:val="00F2556A"/>
    <w:rsid w:val="00F26A60"/>
    <w:rsid w:val="00F26B0A"/>
    <w:rsid w:val="00F465B6"/>
    <w:rsid w:val="00F471BB"/>
    <w:rsid w:val="00F51757"/>
    <w:rsid w:val="00F5220C"/>
    <w:rsid w:val="00F64CB9"/>
    <w:rsid w:val="00F67181"/>
    <w:rsid w:val="00F701F1"/>
    <w:rsid w:val="00F77628"/>
    <w:rsid w:val="00F81D9E"/>
    <w:rsid w:val="00F838DD"/>
    <w:rsid w:val="00F90072"/>
    <w:rsid w:val="00F94184"/>
    <w:rsid w:val="00FA5BF9"/>
    <w:rsid w:val="00FA6AA4"/>
    <w:rsid w:val="00FB3B70"/>
    <w:rsid w:val="00FB3F6C"/>
    <w:rsid w:val="00FB6B0F"/>
    <w:rsid w:val="00FC6159"/>
    <w:rsid w:val="00FC6D52"/>
    <w:rsid w:val="00FD061C"/>
    <w:rsid w:val="00FD4540"/>
    <w:rsid w:val="00FD67F3"/>
    <w:rsid w:val="00FD737E"/>
    <w:rsid w:val="00FE09E3"/>
    <w:rsid w:val="00FE24FC"/>
    <w:rsid w:val="00FE46D4"/>
    <w:rsid w:val="00FE4807"/>
    <w:rsid w:val="00FE503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707D7"/>
  <w15:docId w15:val="{1BFCB666-1291-4FFE-8B36-EC17FD07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301E8A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301E8A"/>
    <w:rPr>
      <w:sz w:val="22"/>
      <w:u w:val="none"/>
      <w:vertAlign w:val="superscript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ru-RU" w:eastAsia="ru-RU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ru-RU"/>
    </w:rPr>
  </w:style>
  <w:style w:type="paragraph" w:styleId="Revision">
    <w:name w:val="Revision"/>
    <w:hidden/>
    <w:uiPriority w:val="99"/>
    <w:semiHidden/>
    <w:rsid w:val="00D9537D"/>
    <w:rPr>
      <w:sz w:val="22"/>
      <w:szCs w:val="24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A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convention/text/" TargetMode="External"/><Relationship Id="rId18" Type="http://schemas.openxmlformats.org/officeDocument/2006/relationships/chart" Target="charts/chart2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cbd.int/doc/decisions/np-mop-02/np-mop-02-dec-01-ru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bd.int/abs/text/default.shtml" TargetMode="External"/><Relationship Id="rId17" Type="http://schemas.openxmlformats.org/officeDocument/2006/relationships/chart" Target="charts/chart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bd.int/sp/" TargetMode="External"/><Relationship Id="rId20" Type="http://schemas.openxmlformats.org/officeDocument/2006/relationships/hyperlink" Target="https://www.cbd.int/doc/decisions/cop-13/cop-13-dec-01-ru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2/cop-12-dec-13-ru.pdf" TargetMode="External"/><Relationship Id="rId24" Type="http://schemas.openxmlformats.org/officeDocument/2006/relationships/hyperlink" Target="https://www.cbd.int/business/meetings-events/2016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decisions/cop-12/cop-12-dec-31-ru.pdf" TargetMode="External"/><Relationship Id="rId23" Type="http://schemas.openxmlformats.org/officeDocument/2006/relationships/hyperlink" Target="https://www.cbd.int/gti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hart" Target="charts/chart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bd.int/doc/decisions/cop-13/cop-13-dec-26-ru.pdf" TargetMode="External"/><Relationship Id="rId22" Type="http://schemas.openxmlformats.org/officeDocument/2006/relationships/hyperlink" Target="https://www.cbd.int/traditional/default.shtml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cop-10/cop-10-dec-02-ru.pdf" TargetMode="External"/><Relationship Id="rId2" Type="http://schemas.openxmlformats.org/officeDocument/2006/relationships/hyperlink" Target="https://www.cbd.int/doc/decisions/cop-10/cop-10-dec-01-ru.pdf" TargetMode="External"/><Relationship Id="rId1" Type="http://schemas.openxmlformats.org/officeDocument/2006/relationships/hyperlink" Target="https://www.cbd.int/doc/c/6ada/4011/af94c4f5feeba81fc82c6db0/sbi-02-01-ru.pdf" TargetMode="External"/><Relationship Id="rId6" Type="http://schemas.openxmlformats.org/officeDocument/2006/relationships/hyperlink" Target="https://www.cbd.int/business/ressources/newsletters.shtml" TargetMode="External"/><Relationship Id="rId5" Type="http://schemas.openxmlformats.org/officeDocument/2006/relationships/hyperlink" Target="https://www.cbd.int/doc/decisions/cop-13/cop-13-dec-18-ru.pdf" TargetMode="External"/><Relationship Id="rId4" Type="http://schemas.openxmlformats.org/officeDocument/2006/relationships/hyperlink" Target="https://www.cbd.int/doc/decisions/cop-10/cop-10-dec-10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iodiv.org\shares\UserDoc\Working%20Folders\Nagoya%20Protocol\Global%20Overview\NP_ProgressTable_current%20versio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iodiv.org\shares\UserDoc\Working%20Folders\Nagoya%20Protocol\Global%20Overview\NP_ProgressTable_current%20version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34132237735358"/>
          <c:y val="0.26391167260370163"/>
          <c:w val="0.36156576894072912"/>
          <c:h val="0.57341401537218351"/>
        </c:manualLayout>
      </c:layout>
      <c:pieChart>
        <c:varyColors val="1"/>
        <c:ser>
          <c:idx val="0"/>
          <c:order val="0"/>
          <c:dPt>
            <c:idx val="0"/>
            <c:bubble3D val="0"/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6="http://schemas.microsoft.com/office/drawing/2014/chart" uri="{C3380CC4-5D6E-409C-BE32-E72D297353CC}">
                <c16:uniqueId val="{00000000-611D-4FFF-819C-510CD57E26B4}"/>
              </c:ext>
            </c:extLst>
          </c:dPt>
          <c:dPt>
            <c:idx val="1"/>
            <c:bubble3D val="0"/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6="http://schemas.microsoft.com/office/drawing/2014/chart" uri="{C3380CC4-5D6E-409C-BE32-E72D297353CC}">
                <c16:uniqueId val="{00000001-611D-4FFF-819C-510CD57E26B4}"/>
              </c:ext>
            </c:extLst>
          </c:dPt>
          <c:dPt>
            <c:idx val="2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</c:spPr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6="http://schemas.microsoft.com/office/drawing/2014/chart" uri="{C3380CC4-5D6E-409C-BE32-E72D297353CC}">
                <c16:uniqueId val="{00000003-611D-4FFF-819C-510CD57E26B4}"/>
              </c:ext>
            </c:extLst>
          </c:dPt>
          <c:dPt>
            <c:idx val="3"/>
            <c:bubble3D val="0"/>
            <c:spPr>
              <a:solidFill>
                <a:schemeClr val="tx1"/>
              </a:solidFill>
            </c:spPr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6="http://schemas.microsoft.com/office/drawing/2014/chart" uri="{C3380CC4-5D6E-409C-BE32-E72D297353CC}">
                <c16:uniqueId val="{00000005-611D-4FFF-819C-510CD57E26B4}"/>
              </c:ext>
            </c:extLst>
          </c:dPt>
          <c:dLbls>
            <c:dLbl>
              <c:idx val="0"/>
              <c:layout>
                <c:manualLayout>
                  <c:x val="6.1478104710595387E-2"/>
                  <c:y val="-6.7260342457192854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Bold Italic" pitchFamily="18" charset="0"/>
                      </a:rPr>
                      <a:t>105 Сторон Протокола</a:t>
                    </a:r>
                  </a:p>
                  <a:p>
                    <a:r>
                      <a:rPr lang="ru-RU" sz="900">
                        <a:latin typeface="Times Bold Italic" pitchFamily="18" charset="0"/>
                      </a:rPr>
                      <a:t>(54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Times Bold Italic" pitchFamily="18" charset="0"/>
                        <a:ea typeface="+mn-ea"/>
                        <a:cs typeface="+mn-cs"/>
                      </a:rPr>
                      <a:t> процента</a:t>
                    </a:r>
                    <a:r>
                      <a:rPr lang="ru-RU" sz="900">
                        <a:latin typeface="Times Bold Italic" pitchFamily="18" charset="0"/>
                      </a:rPr>
                      <a:t>)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1D-4FFF-819C-510CD57E26B4}"/>
                </c:ext>
              </c:extLst>
            </c:dLbl>
            <c:dLbl>
              <c:idx val="1"/>
              <c:layout>
                <c:manualLayout>
                  <c:x val="2.0786653805026492E-2"/>
                  <c:y val="2.6233926641522749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Bold Italic" pitchFamily="18" charset="0"/>
                      </a:rPr>
                      <a:t>Процесс ратификации осуществляется в 34 странах</a:t>
                    </a:r>
                  </a:p>
                  <a:p>
                    <a:r>
                      <a:rPr lang="ru-RU" sz="900">
                        <a:latin typeface="Times Bold Italic" pitchFamily="18" charset="0"/>
                      </a:rPr>
                      <a:t>(17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Times Bold Italic" pitchFamily="18" charset="0"/>
                        <a:ea typeface="+mn-ea"/>
                        <a:cs typeface="+mn-cs"/>
                      </a:rPr>
                      <a:t> 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Times Bold Italic" pitchFamily="18" charset="0"/>
                      </a:rPr>
                      <a:t>процентов</a:t>
                    </a:r>
                    <a:r>
                      <a:rPr lang="ru-RU" sz="900">
                        <a:latin typeface="Times Bold Italic" pitchFamily="18" charset="0"/>
                      </a:rPr>
                      <a:t>)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>
                  <c15:layout>
                    <c:manualLayout>
                      <c:w val="0.24276246719160102"/>
                      <c:h val="0.278498928092003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11D-4FFF-819C-510CD57E26B4}"/>
                </c:ext>
              </c:extLst>
            </c:dLbl>
            <c:dLbl>
              <c:idx val="2"/>
              <c:layout>
                <c:manualLayout>
                  <c:x val="-8.7836159903089031E-2"/>
                  <c:y val="0.14189704228147951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Bold Italic" pitchFamily="18" charset="0"/>
                      </a:rPr>
                      <a:t>34 страны (17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Times Bold Italic" pitchFamily="18" charset="0"/>
                        <a:ea typeface="+mn-ea"/>
                        <a:cs typeface="+mn-cs"/>
                      </a:rPr>
                      <a:t> 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Times Bold Italic" pitchFamily="18" charset="0"/>
                      </a:rPr>
                      <a:t>процентов</a:t>
                    </a:r>
                    <a:r>
                      <a:rPr lang="ru-RU" sz="900">
                        <a:latin typeface="Times Bold Italic" pitchFamily="18" charset="0"/>
                      </a:rPr>
                      <a:t>) планируют ратификацию</a:t>
                    </a:r>
                    <a:r>
                      <a:rPr lang="ru-RU" sz="900" baseline="0">
                        <a:latin typeface="Times Bold Italic" pitchFamily="18" charset="0"/>
                      </a:rPr>
                      <a:t> </a:t>
                    </a:r>
                    <a:r>
                      <a:rPr lang="ru-RU" sz="900">
                        <a:latin typeface="Times Bold Italic" pitchFamily="18" charset="0"/>
                      </a:rPr>
                      <a:t>(намерение)</a:t>
                    </a:r>
                    <a:endParaRPr lang="ru-RU" sz="1400">
                      <a:latin typeface="Times Bold Italic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1D-4FFF-819C-510CD57E26B4}"/>
                </c:ext>
              </c:extLst>
            </c:dLbl>
            <c:dLbl>
              <c:idx val="3"/>
              <c:layout>
                <c:manualLayout>
                  <c:x val="-0.12869170199878863"/>
                  <c:y val="7.902732746641963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Bold Italic" pitchFamily="18" charset="0"/>
                      </a:rPr>
                      <a:t>Информация о ратификации отсутствует по 23 странам
(12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Times Bold Italic" pitchFamily="18" charset="0"/>
                        <a:ea typeface="+mn-ea"/>
                        <a:cs typeface="+mn-cs"/>
                      </a:rPr>
                      <a:t> процентов</a:t>
                    </a:r>
                    <a:r>
                      <a:rPr lang="ru-RU" sz="900">
                        <a:latin typeface="Times Bold Italic" pitchFamily="18" charset="0"/>
                      </a:rPr>
                      <a:t>)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1D-4FFF-819C-510CD57E26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Bold Italic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'ANALYSIS NON Parties'!$C$45:$F$45</c:f>
              <c:strCache>
                <c:ptCount val="4"/>
                <c:pt idx="0">
                  <c:v>Parties to the Protocol</c:v>
                </c:pt>
                <c:pt idx="1">
                  <c:v>Ratification process underway</c:v>
                </c:pt>
                <c:pt idx="2">
                  <c:v>Planning to ratify</c:v>
                </c:pt>
                <c:pt idx="3">
                  <c:v>No information available on ratification</c:v>
                </c:pt>
              </c:strCache>
            </c:strRef>
          </c:cat>
          <c:val>
            <c:numRef>
              <c:f>'ANALYSIS NON Parties'!$C$51:$F$51</c:f>
              <c:numCache>
                <c:formatCode>General</c:formatCode>
                <c:ptCount val="4"/>
                <c:pt idx="0">
                  <c:v>105</c:v>
                </c:pt>
                <c:pt idx="1">
                  <c:v>34</c:v>
                </c:pt>
                <c:pt idx="2">
                  <c:v>34</c:v>
                </c:pt>
                <c:pt idx="3">
                  <c:v>23</c:v>
                </c:pt>
              </c:numCache>
            </c:numRef>
          </c:val>
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<c:ext xmlns:c16="http://schemas.microsoft.com/office/drawing/2014/chart" uri="{C3380CC4-5D6E-409C-BE32-E72D297353CC}">
              <c16:uniqueId val="{00000006-611D-4FFF-819C-510CD57E26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2"/>
            <c:bubble3D val="0"/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6="http://schemas.microsoft.com/office/drawing/2014/chart" uri="{C3380CC4-5D6E-409C-BE32-E72D297353CC}">
                <c16:uniqueId val="{00000000-18E8-43BE-BFD3-55CD62753623}"/>
              </c:ext>
            </c:extLst>
          </c:dPt>
          <c:dPt>
            <c:idx val="3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</c:spPr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6="http://schemas.microsoft.com/office/drawing/2014/chart" uri="{C3380CC4-5D6E-409C-BE32-E72D297353CC}">
                <c16:uniqueId val="{00000002-18E8-43BE-BFD3-55CD62753623}"/>
              </c:ext>
            </c:extLst>
          </c:dPt>
          <c:dPt>
            <c:idx val="4"/>
            <c:bubble3D val="0"/>
            <c:spPr>
              <a:solidFill>
                <a:schemeClr val="tx1"/>
              </a:solidFill>
            </c:spPr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6="http://schemas.microsoft.com/office/drawing/2014/chart" uri="{C3380CC4-5D6E-409C-BE32-E72D297353CC}">
                <c16:uniqueId val="{00000004-18E8-43BE-BFD3-55CD6275362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Африка: 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42 Стороны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E8-43BE-BFD3-55CD62753623}"/>
                </c:ext>
              </c:extLst>
            </c:dLbl>
            <c:dLbl>
              <c:idx val="1"/>
              <c:layout>
                <c:manualLayout>
                  <c:x val="-0.1449960598896769"/>
                  <c:y val="-8.7613484098202103E-17"/>
                </c:manualLayout>
              </c:layout>
              <c:tx>
                <c:rich>
                  <a:bodyPr/>
                  <a:lstStyle/>
                  <a:p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Азия</a:t>
                    </a:r>
                    <a:r>
                      <a:rPr lang="ru-RU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и </a:t>
                    </a:r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Тихоокеанский</a:t>
                    </a:r>
                    <a:r>
                      <a:rPr lang="ru-RU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регион</a:t>
                    </a:r>
                    <a:endParaRPr lang="ru-RU" sz="900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 Сторон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73443656422379"/>
                      <c:h val="0.213070677993207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FBA-45E1-83F8-ECAB8545767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Центральная и Восточная</a:t>
                    </a:r>
                    <a:r>
                      <a:rPr lang="ru-RU" sz="9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Европа</a:t>
                    </a:r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:</a:t>
                    </a:r>
                  </a:p>
                  <a:p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 Сторон</a:t>
                    </a:r>
                    <a:endParaRPr lang="ru-RU" dirty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E8-43BE-BFD3-55CD62753623}"/>
                </c:ext>
              </c:extLst>
            </c:dLbl>
            <c:dLbl>
              <c:idx val="3"/>
              <c:layout>
                <c:manualLayout>
                  <c:x val="2.136752136752137E-3"/>
                  <c:y val="6.8728522336769758E-3"/>
                </c:manualLayout>
              </c:layout>
              <c:tx>
                <c:rich>
                  <a:bodyPr/>
                  <a:lstStyle/>
                  <a:p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ГРУЛАК:</a:t>
                    </a:r>
                  </a:p>
                  <a:p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 Сторон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E8-43BE-BFD3-55CD62753623}"/>
                </c:ext>
              </c:extLst>
            </c:dLbl>
            <c:dLbl>
              <c:idx val="4"/>
              <c:layout>
                <c:manualLayout>
                  <c:x val="-1.1148092304064836E-2"/>
                  <c:y val="5.1195213501538113E-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>
                        <a:effectLst/>
                      </a:rPr>
                      <a:t> </a:t>
                    </a:r>
                    <a:r>
                      <a:rPr lang="ru-RU" sz="900" b="0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Группа западноевропейских и других государств</a:t>
                    </a:r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: </a:t>
                    </a:r>
                  </a:p>
                  <a:p>
                    <a:r>
                      <a:rPr lang="ru-RU" sz="9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 Сторон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>
                  <c15:layout>
                    <c:manualLayout>
                      <c:w val="0.32625701929102829"/>
                      <c:h val="0.344802867383512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18E8-43BE-BFD3-55CD6275362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'ANALYSIS Parties'!$A$4:$A$8</c:f>
              <c:strCache>
                <c:ptCount val="5"/>
                <c:pt idx="0">
                  <c:v>Africa</c:v>
                </c:pt>
                <c:pt idx="1">
                  <c:v>Asia-Pacific</c:v>
                </c:pt>
                <c:pt idx="2">
                  <c:v>CEE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'ANALYSIS Parties'!$C$4:$C$8</c:f>
              <c:numCache>
                <c:formatCode>General</c:formatCode>
                <c:ptCount val="5"/>
                <c:pt idx="0">
                  <c:v>42</c:v>
                </c:pt>
                <c:pt idx="1">
                  <c:v>27</c:v>
                </c:pt>
                <c:pt idx="2">
                  <c:v>8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<c:ext xmlns:c16="http://schemas.microsoft.com/office/drawing/2014/chart" uri="{C3380CC4-5D6E-409C-BE32-E72D297353CC}">
              <c16:uniqueId val="{00000007-18E8-43BE-BFD3-55CD627536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425520218341961E-2"/>
                  <c:y val="0.1685317550139069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Меры по регулированию ДРГСИВ введены в действие, </a:t>
                    </a:r>
                  </a:p>
                  <a:p>
                    <a:pPr>
                      <a:defRPr/>
                    </a:pPr>
                    <a:r>
                      <a:rPr lang="ru-RU" sz="1000"/>
                      <a:t>30 Сторон КБР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>
                  <c15:layout>
                    <c:manualLayout>
                      <c:w val="0.22326456332546532"/>
                      <c:h val="0.408880970170699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5839-461A-9871-15E7E5F2B4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Меры отсутствуют, но в настоящее</a:t>
                    </a:r>
                    <a:r>
                      <a:rPr lang="ru-RU" baseline="0"/>
                      <a:t> время разрабатываются, </a:t>
                    </a:r>
                    <a:r>
                      <a:rPr lang="ru-RU"/>
                      <a:t>или их</a:t>
                    </a:r>
                    <a:r>
                      <a:rPr lang="ru-RU" baseline="0"/>
                      <a:t> разработка запланирована</a:t>
                    </a:r>
                    <a:r>
                      <a:rPr lang="ru-RU"/>
                      <a:t>, </a:t>
                    </a:r>
                  </a:p>
                  <a:p>
                    <a:r>
                      <a:rPr lang="ru-RU"/>
                      <a:t>38 Сторон КБР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65-4B8B-B154-EA9653B9A064}"/>
                </c:ext>
              </c:extLst>
            </c:dLbl>
            <c:dLbl>
              <c:idx val="2"/>
              <c:layout>
                <c:manualLayout>
                  <c:x val="-4.6953496023292809E-2"/>
                  <c:y val="0.159122085048010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Информация отсутствует, </a:t>
                    </a:r>
                  </a:p>
                  <a:p>
                    <a:r>
                      <a:rPr lang="ru-RU"/>
                      <a:t>23 Стороны</a:t>
                    </a:r>
                    <a:r>
                      <a:rPr lang="ru-RU" baseline="0"/>
                      <a:t> КБР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  <c:ext xmlns:c15="http://schemas.microsoft.com/office/drawing/2012/chart" uri="{CE6537A1-D6FC-4f65-9D91-7224C49458BB}">
                  <c15:layout>
                    <c:manualLayout>
                      <c:w val="0.24300545955782984"/>
                      <c:h val="0.252165450121654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839-461A-9871-15E7E5F2B4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Sheet1!$A$21:$A$23</c:f>
              <c:strCache>
                <c:ptCount val="3"/>
                <c:pt idx="0">
                  <c:v> ABS measures in place</c:v>
                </c:pt>
                <c:pt idx="1">
                  <c:v>No measures in place but currently  developing or planning to develop</c:v>
                </c:pt>
                <c:pt idx="2">
                  <c:v>No measures in place or no information available</c:v>
                </c:pt>
              </c:strCache>
            </c:strRef>
          </c:cat>
          <c:val>
            <c:numRef>
              <c:f>Sheet1!$B$21:$B$23</c:f>
              <c:numCache>
                <c:formatCode>General</c:formatCode>
                <c:ptCount val="3"/>
                <c:pt idx="0">
                  <c:v>30</c:v>
                </c:pt>
                <c:pt idx="1">
                  <c:v>38</c:v>
                </c:pt>
                <c:pt idx="2">
                  <c:v>23</c:v>
                </c:pt>
              </c:numCache>
            </c:numRef>
          </c:val>
          <c:extLst xmlns:DataManagerRef="urn:DataManager" xmlns:msxsl="urn:schemas-microsoft-com:xslt" xmlns:p="http://schemas.openxmlformats.org/presentationml/2006/main" xmlns:dgm="http://schemas.openxmlformats.org/drawingml/2006/diagram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>
            <c:ext xmlns:c16="http://schemas.microsoft.com/office/drawing/2014/chart" uri="{C3380CC4-5D6E-409C-BE32-E72D297353CC}">
              <c16:uniqueId val="{00000003-5839-461A-9871-15E7E5F2B45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15BC6"/>
    <w:rsid w:val="000710E3"/>
    <w:rsid w:val="000C0B8C"/>
    <w:rsid w:val="000E1480"/>
    <w:rsid w:val="00117A5C"/>
    <w:rsid w:val="001B29AF"/>
    <w:rsid w:val="002714A5"/>
    <w:rsid w:val="002B2DCF"/>
    <w:rsid w:val="002D2DAB"/>
    <w:rsid w:val="0037757D"/>
    <w:rsid w:val="00415A47"/>
    <w:rsid w:val="00437D4E"/>
    <w:rsid w:val="00480C2B"/>
    <w:rsid w:val="00483ACD"/>
    <w:rsid w:val="004A69EC"/>
    <w:rsid w:val="00520B7E"/>
    <w:rsid w:val="00566305"/>
    <w:rsid w:val="005D40F6"/>
    <w:rsid w:val="007C2937"/>
    <w:rsid w:val="007C7510"/>
    <w:rsid w:val="007E501A"/>
    <w:rsid w:val="007F4559"/>
    <w:rsid w:val="0083264A"/>
    <w:rsid w:val="00863F7C"/>
    <w:rsid w:val="00922062"/>
    <w:rsid w:val="009B6214"/>
    <w:rsid w:val="009C00DE"/>
    <w:rsid w:val="00A27574"/>
    <w:rsid w:val="00B36C7B"/>
    <w:rsid w:val="00B52C23"/>
    <w:rsid w:val="00B66C2B"/>
    <w:rsid w:val="00B775A7"/>
    <w:rsid w:val="00BA6C9E"/>
    <w:rsid w:val="00BB2CFE"/>
    <w:rsid w:val="00CB09A3"/>
    <w:rsid w:val="00D43A0F"/>
    <w:rsid w:val="00D5481D"/>
    <w:rsid w:val="00DF3025"/>
    <w:rsid w:val="00EC17B5"/>
    <w:rsid w:val="00EF609D"/>
    <w:rsid w:val="00FC166E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6832A-994C-4E40-8D11-3A235431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173</TotalTime>
  <Pages>10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Enhancing integration under the Convention and its Protocols with respect to provisions related to access and benefit-sharing</vt:lpstr>
    </vt:vector>
  </TitlesOfParts>
  <Company>Biodiversity</Company>
  <LinksUpToDate>false</LinksUpToDate>
  <CharactersWithSpaces>25665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integration under the Convention and its Protocols with respect to provisions related to access and benefit-sharing</dc:title>
  <dc:subject>CBD/SBI/2/14</dc:subject>
  <dc:creator>SCBD</dc:creator>
  <cp:lastModifiedBy>Teresa Mazza</cp:lastModifiedBy>
  <cp:revision>51</cp:revision>
  <cp:lastPrinted>2018-05-08T18:39:00Z</cp:lastPrinted>
  <dcterms:created xsi:type="dcterms:W3CDTF">2018-05-30T18:15:00Z</dcterms:created>
  <dcterms:modified xsi:type="dcterms:W3CDTF">2018-06-04T20:49:00Z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SUBSIDIARY BODY ON IMPLEMENTATION</vt:lpwstr>
  </property>
</Properties>
</file>