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CA3535" w14:paraId="5F80F68B" w14:textId="77777777" w:rsidTr="00CA3535">
        <w:trPr>
          <w:trHeight w:val="850"/>
        </w:trPr>
        <w:tc>
          <w:tcPr>
            <w:tcW w:w="975" w:type="dxa"/>
            <w:shd w:val="clear" w:color="auto" w:fill="auto"/>
            <w:vAlign w:val="bottom"/>
          </w:tcPr>
          <w:p w14:paraId="7CFE35A8" w14:textId="77777777" w:rsidR="00A43334" w:rsidRPr="00CA3535" w:rsidRDefault="00A43334" w:rsidP="00A43334">
            <w:pPr>
              <w:pStyle w:val="AASmallLogo"/>
            </w:pPr>
            <w:r w:rsidRPr="00CA3535">
              <w:rPr>
                <w:noProof/>
                <w14:ligatures w14:val="standardContextual"/>
              </w:rPr>
              <w:drawing>
                <wp:inline distT="0" distB="0" distL="0" distR="0" wp14:anchorId="29B76817" wp14:editId="725A5728">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A3535">
              <w:t xml:space="preserve"> </w:t>
            </w:r>
          </w:p>
          <w:p w14:paraId="3F5D5C8D" w14:textId="77777777" w:rsidR="00A43334" w:rsidRPr="00CA3535" w:rsidRDefault="00A43334" w:rsidP="00A43334">
            <w:pPr>
              <w:pStyle w:val="AASmallLogo"/>
            </w:pPr>
          </w:p>
        </w:tc>
        <w:tc>
          <w:tcPr>
            <w:tcW w:w="975" w:type="dxa"/>
            <w:shd w:val="clear" w:color="auto" w:fill="auto"/>
            <w:noWrap/>
            <w:vAlign w:val="bottom"/>
          </w:tcPr>
          <w:p w14:paraId="7BB46410" w14:textId="77777777" w:rsidR="00A43334" w:rsidRPr="00CA3535" w:rsidRDefault="00A43334" w:rsidP="00A43334">
            <w:pPr>
              <w:pStyle w:val="AASmallLogo"/>
            </w:pPr>
            <w:r w:rsidRPr="00CA3535">
              <w:rPr>
                <w:noProof/>
                <w14:ligatures w14:val="standardContextual"/>
              </w:rPr>
              <w:drawing>
                <wp:inline distT="0" distB="0" distL="0" distR="0" wp14:anchorId="1B305DED" wp14:editId="426330F7">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CA3535">
              <w:t xml:space="preserve"> </w:t>
            </w:r>
          </w:p>
          <w:p w14:paraId="526FA7A8" w14:textId="77777777" w:rsidR="00A43334" w:rsidRPr="00CA3535" w:rsidRDefault="00A43334" w:rsidP="00A43334">
            <w:pPr>
              <w:pStyle w:val="AASmallLogo"/>
            </w:pPr>
          </w:p>
        </w:tc>
        <w:tc>
          <w:tcPr>
            <w:tcW w:w="8532" w:type="dxa"/>
            <w:shd w:val="clear" w:color="auto" w:fill="auto"/>
            <w:vAlign w:val="bottom"/>
          </w:tcPr>
          <w:p w14:paraId="207FBCF6" w14:textId="1697F2BA" w:rsidR="00A43334" w:rsidRPr="00CA3535" w:rsidRDefault="00A43334" w:rsidP="00A43334">
            <w:pPr>
              <w:pStyle w:val="ABSymbol"/>
            </w:pPr>
            <w:r w:rsidRPr="00CA3535">
              <w:rPr>
                <w:sz w:val="40"/>
              </w:rPr>
              <w:t>CBD</w:t>
            </w:r>
            <w:r w:rsidRPr="00CA3535">
              <w:t>/</w:t>
            </w:r>
            <w:bookmarkStart w:id="0" w:name="CBDSymbolPart2"/>
            <w:r w:rsidRPr="00CA3535">
              <w:t>CP/</w:t>
            </w:r>
            <w:bookmarkStart w:id="1" w:name="CBDSymbolPart3"/>
            <w:bookmarkEnd w:id="0"/>
            <w:r w:rsidRPr="00CA3535">
              <w:t>MOP/</w:t>
            </w:r>
            <w:bookmarkEnd w:id="1"/>
            <w:r w:rsidRPr="00CA3535">
              <w:t>11/</w:t>
            </w:r>
            <w:r w:rsidR="0067076C" w:rsidRPr="00CA3535">
              <w:t>6</w:t>
            </w:r>
          </w:p>
        </w:tc>
      </w:tr>
    </w:tbl>
    <w:p w14:paraId="717F0FC7" w14:textId="77777777" w:rsidR="00A43334" w:rsidRPr="00CA3535"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CA3535" w14:paraId="52946D67" w14:textId="77777777" w:rsidTr="00A43334">
        <w:trPr>
          <w:trHeight w:val="2098"/>
        </w:trPr>
        <w:tc>
          <w:tcPr>
            <w:tcW w:w="7370" w:type="dxa"/>
            <w:shd w:val="clear" w:color="auto" w:fill="auto"/>
          </w:tcPr>
          <w:p w14:paraId="328D4AF7" w14:textId="77777777" w:rsidR="00A43334" w:rsidRPr="00CA3535" w:rsidRDefault="00A43334" w:rsidP="00A43334">
            <w:pPr>
              <w:pStyle w:val="ACLargeLogo"/>
            </w:pPr>
            <w:r w:rsidRPr="00CA3535">
              <w:rPr>
                <w:noProof/>
                <w14:ligatures w14:val="standardContextual"/>
              </w:rPr>
              <w:drawing>
                <wp:inline distT="0" distB="0" distL="0" distR="0" wp14:anchorId="168F40C4" wp14:editId="10B44ABD">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A3535">
              <w:t xml:space="preserve"> </w:t>
            </w:r>
          </w:p>
          <w:p w14:paraId="7181C15D" w14:textId="77777777" w:rsidR="00A43334" w:rsidRPr="00CA3535" w:rsidRDefault="00A43334" w:rsidP="00A43334">
            <w:pPr>
              <w:pStyle w:val="ACLargeLogo"/>
            </w:pPr>
          </w:p>
        </w:tc>
        <w:tc>
          <w:tcPr>
            <w:tcW w:w="3112" w:type="dxa"/>
            <w:shd w:val="clear" w:color="auto" w:fill="auto"/>
          </w:tcPr>
          <w:p w14:paraId="19E4129C" w14:textId="1B340AFF" w:rsidR="00A43334" w:rsidRPr="00CA3535" w:rsidRDefault="00A43334" w:rsidP="00A43334">
            <w:pPr>
              <w:pStyle w:val="AEDistrNormal"/>
            </w:pPr>
            <w:r w:rsidRPr="00CA3535">
              <w:t xml:space="preserve">Distr.: </w:t>
            </w:r>
            <w:bookmarkStart w:id="2" w:name="CBDDistributionType"/>
            <w:r w:rsidRPr="00CA3535">
              <w:t>General</w:t>
            </w:r>
            <w:bookmarkEnd w:id="2"/>
          </w:p>
          <w:p w14:paraId="5DAAAE08" w14:textId="0FF05663" w:rsidR="00A43334" w:rsidRPr="00CA3535" w:rsidRDefault="0077288D" w:rsidP="00A43334">
            <w:pPr>
              <w:pStyle w:val="AEDistrNormal"/>
            </w:pPr>
            <w:bookmarkStart w:id="3" w:name="CBDDistributionDate"/>
            <w:r w:rsidRPr="00CA3535">
              <w:t>21 September</w:t>
            </w:r>
            <w:r w:rsidR="00A43334" w:rsidRPr="00CA3535">
              <w:t xml:space="preserve"> 2024</w:t>
            </w:r>
            <w:bookmarkEnd w:id="3"/>
          </w:p>
          <w:p w14:paraId="77E34E0E" w14:textId="67CE98B4" w:rsidR="00A43334" w:rsidRPr="00CA3535" w:rsidRDefault="00A43334" w:rsidP="00A43334">
            <w:pPr>
              <w:pStyle w:val="AEDistrNormal6pt"/>
            </w:pPr>
            <w:bookmarkStart w:id="4" w:name="CBDDistributionLanguage"/>
            <w:r w:rsidRPr="00CA3535">
              <w:t>Original: English</w:t>
            </w:r>
            <w:bookmarkEnd w:id="4"/>
          </w:p>
          <w:p w14:paraId="66367787" w14:textId="77777777" w:rsidR="00A43334" w:rsidRPr="00CA3535" w:rsidRDefault="00A43334" w:rsidP="00A43334">
            <w:pPr>
              <w:pStyle w:val="AEDistrNormal6pt"/>
            </w:pPr>
          </w:p>
        </w:tc>
      </w:tr>
    </w:tbl>
    <w:p w14:paraId="2335EFD2" w14:textId="77777777" w:rsidR="00A43334" w:rsidRPr="00CA3535"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CA3535" w14:paraId="23435DE7" w14:textId="77777777" w:rsidTr="00A43334">
        <w:trPr>
          <w:trHeight w:val="57"/>
        </w:trPr>
        <w:tc>
          <w:tcPr>
            <w:tcW w:w="5244" w:type="dxa"/>
            <w:shd w:val="clear" w:color="auto" w:fill="auto"/>
          </w:tcPr>
          <w:p w14:paraId="673E183D" w14:textId="77777777" w:rsidR="00A43334" w:rsidRPr="00CA3535" w:rsidRDefault="00A43334" w:rsidP="00A43334">
            <w:pPr>
              <w:pStyle w:val="AFCorNot12Bold"/>
            </w:pPr>
            <w:r w:rsidRPr="00CA3535">
              <w:t>Conference of the Parties to the Convention on Biological Diversity serving as the meeting of the Parties to the Cartagena Protocol on Biosafety</w:t>
            </w:r>
          </w:p>
          <w:p w14:paraId="5434CAE7" w14:textId="372185B7" w:rsidR="00A43334" w:rsidRPr="00CA3535" w:rsidRDefault="00A43334" w:rsidP="00A43334">
            <w:pPr>
              <w:pStyle w:val="AFCorNotBold"/>
            </w:pPr>
            <w:bookmarkStart w:id="5" w:name="CBDMeetingName2"/>
            <w:r w:rsidRPr="00CA3535">
              <w:t>Eleventh meeting</w:t>
            </w:r>
            <w:bookmarkEnd w:id="5"/>
            <w:r w:rsidRPr="00CA3535">
              <w:t xml:space="preserve"> </w:t>
            </w:r>
          </w:p>
          <w:p w14:paraId="0858EB98" w14:textId="58B43C19" w:rsidR="00A43334" w:rsidRPr="00CA3535" w:rsidRDefault="00A43334" w:rsidP="00A43334">
            <w:pPr>
              <w:pStyle w:val="AFCorNotNormal"/>
            </w:pPr>
            <w:bookmarkStart w:id="6" w:name="CBDMeetingVenueDate"/>
            <w:r w:rsidRPr="00CA3535">
              <w:t>Cali, Colombia, 21 October–1 November 2024</w:t>
            </w:r>
            <w:bookmarkEnd w:id="6"/>
          </w:p>
          <w:p w14:paraId="5652DA5E" w14:textId="28A3B2E1" w:rsidR="00A43334" w:rsidRPr="00CA3535" w:rsidRDefault="00A43334" w:rsidP="00A43334">
            <w:pPr>
              <w:pStyle w:val="AFCorNotNormal"/>
            </w:pPr>
            <w:bookmarkStart w:id="7" w:name="CBDMeetingAgendaItem"/>
            <w:r w:rsidRPr="00CA3535">
              <w:t xml:space="preserve">Item </w:t>
            </w:r>
            <w:r w:rsidR="00571D0D" w:rsidRPr="00CA3535">
              <w:t>7</w:t>
            </w:r>
            <w:r w:rsidRPr="00CA3535">
              <w:t xml:space="preserve"> of the provisional agenda</w:t>
            </w:r>
            <w:bookmarkEnd w:id="7"/>
            <w:r w:rsidRPr="00CA3535">
              <w:rPr>
                <w:rStyle w:val="FootnoteReference"/>
              </w:rPr>
              <w:footnoteReference w:customMarkFollows="1" w:id="2"/>
              <w:t>*</w:t>
            </w:r>
            <w:r w:rsidRPr="00CA3535">
              <w:t xml:space="preserve"> </w:t>
            </w:r>
          </w:p>
          <w:p w14:paraId="4390322C" w14:textId="6479CFC9" w:rsidR="00A43334" w:rsidRPr="00CA3535" w:rsidRDefault="00E6032A" w:rsidP="00CA3535">
            <w:pPr>
              <w:pStyle w:val="AFCorNotBold"/>
              <w:jc w:val="left"/>
            </w:pPr>
            <w:bookmarkStart w:id="8" w:name="CBDMeetingAgendaTitle"/>
            <w:r w:rsidRPr="00CA3535">
              <w:t>Matters related to the financial mechanism and resources</w:t>
            </w:r>
            <w:bookmarkEnd w:id="8"/>
          </w:p>
        </w:tc>
        <w:tc>
          <w:tcPr>
            <w:tcW w:w="5238" w:type="dxa"/>
            <w:shd w:val="clear" w:color="auto" w:fill="auto"/>
          </w:tcPr>
          <w:p w14:paraId="0DE19CA7" w14:textId="77777777" w:rsidR="00A43334" w:rsidRPr="00CA3535" w:rsidRDefault="00A43334" w:rsidP="00A43334">
            <w:pPr>
              <w:jc w:val="left"/>
            </w:pPr>
          </w:p>
        </w:tc>
      </w:tr>
    </w:tbl>
    <w:p w14:paraId="6A763956" w14:textId="0F6AC43C" w:rsidR="00A96B21" w:rsidRPr="00CA3535" w:rsidRDefault="00000000" w:rsidP="00A43334">
      <w:pPr>
        <w:pStyle w:val="CBDTitle"/>
      </w:pPr>
      <w:sdt>
        <w:sdtPr>
          <w:alias w:val="Title"/>
          <w:tag w:val=""/>
          <w:id w:val="-1975355689"/>
          <w:placeholder>
            <w:docPart w:val="6F5DEFB9F8A84A80917F20287DE8E427"/>
          </w:placeholder>
          <w:dataBinding w:prefixMappings="xmlns:ns0='http://purl.org/dc/elements/1.1/' xmlns:ns1='http://schemas.openxmlformats.org/package/2006/metadata/core-properties' " w:xpath="/ns1:coreProperties[1]/ns0:title[1]" w:storeItemID="{6C3C8BC8-F283-45AE-878A-BAB7291924A1}"/>
          <w:text/>
        </w:sdtPr>
        <w:sdtContent>
          <w:r w:rsidR="00EB19DD" w:rsidRPr="00CA3535">
            <w:t>Financial mechanism and resources</w:t>
          </w:r>
        </w:sdtContent>
      </w:sdt>
      <w:r w:rsidR="00772EFD">
        <w:rPr>
          <w:rStyle w:val="FootnoteReference"/>
        </w:rPr>
        <w:footnoteReference w:customMarkFollows="1" w:id="3"/>
        <w:t>**</w:t>
      </w:r>
    </w:p>
    <w:p w14:paraId="548290F3" w14:textId="77777777" w:rsidR="00A96B21" w:rsidRPr="00CA3535" w:rsidRDefault="00A96B21" w:rsidP="00A43334">
      <w:pPr>
        <w:pStyle w:val="CBDSubTitle"/>
      </w:pPr>
      <w:r w:rsidRPr="00CA3535">
        <w:t>Note by the Secretariat</w:t>
      </w:r>
    </w:p>
    <w:p w14:paraId="2FFFAC05" w14:textId="1241DC3E" w:rsidR="00FA18C9" w:rsidRPr="00CA3535" w:rsidRDefault="00A43334" w:rsidP="00A43334">
      <w:pPr>
        <w:pStyle w:val="CBDH1"/>
      </w:pPr>
      <w:bookmarkStart w:id="9" w:name="_Hlk177474744"/>
      <w:r w:rsidRPr="00CA3535">
        <w:t>I.</w:t>
      </w:r>
      <w:r w:rsidRPr="00CA3535">
        <w:tab/>
      </w:r>
      <w:r w:rsidR="00895FEE" w:rsidRPr="00CA3535">
        <w:t>Introduction</w:t>
      </w:r>
    </w:p>
    <w:bookmarkEnd w:id="9"/>
    <w:p w14:paraId="7085C45D" w14:textId="3AED44E6" w:rsidR="00170D50" w:rsidRPr="00CA3535" w:rsidRDefault="00170D50" w:rsidP="00170D50">
      <w:pPr>
        <w:pStyle w:val="CBDNormalNumber"/>
        <w:rPr>
          <w:snapToGrid w:val="0"/>
        </w:rPr>
      </w:pPr>
      <w:r w:rsidRPr="00CA3535">
        <w:rPr>
          <w:snapToGrid w:val="0"/>
        </w:rPr>
        <w:t>In accordance with Article 28 of the Cartagena Protocol on Biosafety, the Conference of the Parties serving as the meeting of the Parties to the Protocol provides recommendations to the Conference of the Parties through its decisions on matters to the financial mechanism and resources. The decisions are further considered by the Conference of the Parties for inclusion in its guidance to the financial mechanism.</w:t>
      </w:r>
    </w:p>
    <w:p w14:paraId="7E770B50" w14:textId="263E069C" w:rsidR="00C2354A" w:rsidRPr="00CA3535" w:rsidRDefault="00DC354F" w:rsidP="00055D12">
      <w:pPr>
        <w:pStyle w:val="CBDNormalNumber"/>
      </w:pPr>
      <w:r w:rsidRPr="00CA3535">
        <w:t>At its tenth meeting, the Conference of the Parties serving as the meeting of the Parties to the Cartagena Protocol adopted decision CP</w:t>
      </w:r>
      <w:r w:rsidR="00745382" w:rsidRPr="00CA3535">
        <w:t>-</w:t>
      </w:r>
      <w:r w:rsidRPr="00CA3535">
        <w:t>10/</w:t>
      </w:r>
      <w:r w:rsidR="00745382" w:rsidRPr="00CA3535">
        <w:t xml:space="preserve">6 </w:t>
      </w:r>
      <w:r w:rsidRPr="00CA3535">
        <w:t xml:space="preserve">on matters related to the financial mechanism and resources. This decision included recommendations to the </w:t>
      </w:r>
      <w:r w:rsidR="002C7698" w:rsidRPr="00CA3535">
        <w:t>fifteenth</w:t>
      </w:r>
      <w:r w:rsidRPr="00CA3535">
        <w:t xml:space="preserve"> meeting of the Conference of the Parties to the Convention on Biological Diversity regarding further guidance to the financial mechanism with respect to biosafety. The </w:t>
      </w:r>
      <w:r w:rsidR="00894DB8" w:rsidRPr="00CA3535">
        <w:t xml:space="preserve">Conference of the Parties </w:t>
      </w:r>
      <w:r w:rsidRPr="00CA3535">
        <w:t xml:space="preserve">conveyed the recommendations to the Global Environment Facility in </w:t>
      </w:r>
      <w:r w:rsidR="009051C1" w:rsidRPr="00CA3535">
        <w:t>paragraphs 9 and 10 of a</w:t>
      </w:r>
      <w:r w:rsidR="005E36BC" w:rsidRPr="00CA3535">
        <w:t>nnex</w:t>
      </w:r>
      <w:r w:rsidR="00A05263" w:rsidRPr="00CA3535">
        <w:t xml:space="preserve"> II</w:t>
      </w:r>
      <w:r w:rsidR="00A06F52" w:rsidRPr="00CA3535">
        <w:t> B</w:t>
      </w:r>
      <w:r w:rsidR="00A05263" w:rsidRPr="00CA3535">
        <w:t xml:space="preserve"> </w:t>
      </w:r>
      <w:r w:rsidR="009051C1" w:rsidRPr="00CA3535">
        <w:t xml:space="preserve">to </w:t>
      </w:r>
      <w:r w:rsidRPr="00CA3535">
        <w:t xml:space="preserve">decision </w:t>
      </w:r>
      <w:r w:rsidR="00BE4142" w:rsidRPr="00CA3535">
        <w:t>15/</w:t>
      </w:r>
      <w:r w:rsidR="00A06F52" w:rsidRPr="00CA3535">
        <w:t>1</w:t>
      </w:r>
      <w:r w:rsidR="00BC43B8" w:rsidRPr="00CA3535">
        <w:t>5</w:t>
      </w:r>
      <w:r w:rsidR="00055D12" w:rsidRPr="00CA3535">
        <w:t>,</w:t>
      </w:r>
      <w:r w:rsidRPr="00CA3535">
        <w:t xml:space="preserve"> on </w:t>
      </w:r>
      <w:r w:rsidR="00055D12" w:rsidRPr="00CA3535">
        <w:t xml:space="preserve">additional </w:t>
      </w:r>
      <w:r w:rsidRPr="00CA3535">
        <w:t>guidance to the</w:t>
      </w:r>
      <w:r w:rsidR="00055D12" w:rsidRPr="00CA3535">
        <w:t xml:space="preserve"> Global Environment Facility</w:t>
      </w:r>
      <w:r w:rsidRPr="00CA3535">
        <w:t xml:space="preserve">. </w:t>
      </w:r>
    </w:p>
    <w:p w14:paraId="37F9F18D" w14:textId="221A85DE" w:rsidR="00DC354F" w:rsidRPr="00CA3535" w:rsidRDefault="00DC354F" w:rsidP="00DC354F">
      <w:pPr>
        <w:pStyle w:val="CBDNormalNumber"/>
      </w:pPr>
      <w:r w:rsidRPr="00CA3535">
        <w:t xml:space="preserve">The present note provides an update on the status of implementation of decision </w:t>
      </w:r>
      <w:r w:rsidR="0067076C" w:rsidRPr="00CA3535">
        <w:t>CP-10/6</w:t>
      </w:r>
      <w:r w:rsidRPr="00CA3535">
        <w:t xml:space="preserve">. Section </w:t>
      </w:r>
      <w:r w:rsidR="00CE62CC" w:rsidRPr="00CA3535">
        <w:t>I</w:t>
      </w:r>
      <w:r w:rsidRPr="00CA3535">
        <w:t xml:space="preserve">I </w:t>
      </w:r>
      <w:r w:rsidR="00AA41D0" w:rsidRPr="00CA3535">
        <w:t xml:space="preserve">discusses possible measures to foster the identification and mobilization of additional financial resources to assist developing country Parties and Parties with economies in transition to implement the </w:t>
      </w:r>
      <w:r w:rsidR="00DB1B41" w:rsidRPr="00CA3535">
        <w:t xml:space="preserve">Cartagena </w:t>
      </w:r>
      <w:r w:rsidR="00AA41D0" w:rsidRPr="00CA3535">
        <w:t>Protocol</w:t>
      </w:r>
      <w:r w:rsidR="008663F2" w:rsidRPr="00CA3535">
        <w:t xml:space="preserve">. </w:t>
      </w:r>
      <w:r w:rsidR="00CE62CC" w:rsidRPr="00CA3535">
        <w:t xml:space="preserve">Section III reviews funding from the </w:t>
      </w:r>
      <w:r w:rsidR="00EA0DE7" w:rsidRPr="00CA3535">
        <w:t>Global Environment Facility</w:t>
      </w:r>
      <w:r w:rsidR="00566D81" w:rsidRPr="00CA3535">
        <w:t xml:space="preserve">. </w:t>
      </w:r>
      <w:r w:rsidRPr="00CA3535">
        <w:t xml:space="preserve">Section IV </w:t>
      </w:r>
      <w:r w:rsidR="00CE62CC" w:rsidRPr="00CA3535">
        <w:t>presents relevant findings</w:t>
      </w:r>
      <w:r w:rsidRPr="00CA3535">
        <w:t xml:space="preserve"> on </w:t>
      </w:r>
      <w:r w:rsidR="00AA41D0" w:rsidRPr="00CA3535">
        <w:t xml:space="preserve">the review of </w:t>
      </w:r>
      <w:r w:rsidR="002A3D28" w:rsidRPr="00CA3535">
        <w:t xml:space="preserve">effectiveness </w:t>
      </w:r>
      <w:r w:rsidRPr="00CA3535">
        <w:t xml:space="preserve">in accordance with </w:t>
      </w:r>
      <w:r w:rsidR="00D45D52" w:rsidRPr="00CA3535">
        <w:t>a</w:t>
      </w:r>
      <w:r w:rsidR="00142AA6" w:rsidRPr="00CA3535">
        <w:t>nnex V</w:t>
      </w:r>
      <w:r w:rsidRPr="00CA3535">
        <w:t xml:space="preserve"> </w:t>
      </w:r>
      <w:r w:rsidR="00DA2158" w:rsidRPr="00CA3535">
        <w:t>to</w:t>
      </w:r>
      <w:r w:rsidRPr="00CA3535">
        <w:t xml:space="preserve"> decision </w:t>
      </w:r>
      <w:r w:rsidR="009F5D47" w:rsidRPr="00CA3535">
        <w:t>15/5</w:t>
      </w:r>
      <w:r w:rsidR="00DA2158" w:rsidRPr="00CA3535">
        <w:t xml:space="preserve"> of the Conference of the Parties</w:t>
      </w:r>
      <w:r w:rsidRPr="00CA3535">
        <w:t xml:space="preserve"> and paragraph </w:t>
      </w:r>
      <w:r w:rsidR="005B04C7" w:rsidRPr="00CA3535">
        <w:t xml:space="preserve">6 </w:t>
      </w:r>
      <w:r w:rsidR="00DA2158" w:rsidRPr="00CA3535">
        <w:t>(</w:t>
      </w:r>
      <w:r w:rsidR="005B04C7" w:rsidRPr="00CA3535">
        <w:t>b)</w:t>
      </w:r>
      <w:r w:rsidRPr="00CA3535">
        <w:t xml:space="preserve"> </w:t>
      </w:r>
      <w:r w:rsidR="000675C6" w:rsidRPr="00CA3535">
        <w:t>of decision</w:t>
      </w:r>
      <w:r w:rsidRPr="00CA3535">
        <w:t xml:space="preserve"> </w:t>
      </w:r>
      <w:r w:rsidR="00DA2158" w:rsidRPr="00CA3535">
        <w:t>CP-</w:t>
      </w:r>
      <w:r w:rsidR="009F5D47" w:rsidRPr="00CA3535">
        <w:t>10/</w:t>
      </w:r>
      <w:r w:rsidR="00212F5E" w:rsidRPr="00CA3535">
        <w:t>6</w:t>
      </w:r>
      <w:r w:rsidR="00DA2158" w:rsidRPr="00CA3535">
        <w:t xml:space="preserve"> of the Conference of the Parties serving as the meeting of the Parties to the Protocol</w:t>
      </w:r>
      <w:r w:rsidRPr="00CA3535">
        <w:t xml:space="preserve">. </w:t>
      </w:r>
      <w:r w:rsidR="00CE62CC" w:rsidRPr="00CA3535">
        <w:t>Section V</w:t>
      </w:r>
      <w:r w:rsidRPr="00CA3535">
        <w:t xml:space="preserve"> </w:t>
      </w:r>
      <w:r w:rsidR="002F708B" w:rsidRPr="00CA3535">
        <w:t>provides elements</w:t>
      </w:r>
      <w:r w:rsidRPr="00CA3535">
        <w:t xml:space="preserve"> of a possible decision on matters related to the financial mechanism and resources.</w:t>
      </w:r>
    </w:p>
    <w:p w14:paraId="5B746F4F" w14:textId="42CDF428" w:rsidR="008663F2" w:rsidRPr="00CA3535" w:rsidRDefault="0038466F" w:rsidP="008663F2">
      <w:pPr>
        <w:pStyle w:val="CBDNormalNumber"/>
      </w:pPr>
      <w:r w:rsidRPr="00CA3535">
        <w:t>At its fourth meeting, t</w:t>
      </w:r>
      <w:r w:rsidR="008663F2" w:rsidRPr="00CA3535">
        <w:t xml:space="preserve">he Subsidiary Body on Implementation considered the relevant documents prepared by the Executive Secretary </w:t>
      </w:r>
      <w:r w:rsidRPr="00CA3535">
        <w:t xml:space="preserve">and </w:t>
      </w:r>
      <w:r w:rsidR="008663F2" w:rsidRPr="00CA3535">
        <w:t xml:space="preserve">a preliminary report from the Global </w:t>
      </w:r>
      <w:r w:rsidR="008663F2" w:rsidRPr="00CA3535">
        <w:lastRenderedPageBreak/>
        <w:t xml:space="preserve">Environment Facility, and </w:t>
      </w:r>
      <w:r w:rsidRPr="00CA3535">
        <w:t xml:space="preserve">it </w:t>
      </w:r>
      <w:r w:rsidR="008663F2" w:rsidRPr="00CA3535">
        <w:t>adopted recommendation 4/3 on resource mobilization and 4/4 on the financial mechanism</w:t>
      </w:r>
      <w:r w:rsidR="00E37969" w:rsidRPr="00CA3535">
        <w:t>.</w:t>
      </w:r>
    </w:p>
    <w:p w14:paraId="0AB480DF" w14:textId="35F52B8C" w:rsidR="00DC354F" w:rsidRPr="00CA3535" w:rsidRDefault="00DC354F" w:rsidP="00CE62CC">
      <w:pPr>
        <w:pStyle w:val="CBDNormalNumber"/>
      </w:pPr>
      <w:r w:rsidRPr="00CA3535">
        <w:t xml:space="preserve">The </w:t>
      </w:r>
      <w:r w:rsidR="00211DFB" w:rsidRPr="00CA3535">
        <w:t xml:space="preserve">final </w:t>
      </w:r>
      <w:r w:rsidRPr="00CA3535">
        <w:t xml:space="preserve">report of the </w:t>
      </w:r>
      <w:r w:rsidR="005A008A" w:rsidRPr="00CA3535">
        <w:t xml:space="preserve">Global Environment Facility </w:t>
      </w:r>
      <w:r w:rsidRPr="00CA3535">
        <w:t>is contained in document CBD/COP/16/</w:t>
      </w:r>
      <w:r w:rsidR="00CC65B7" w:rsidRPr="00CA3535">
        <w:t>8</w:t>
      </w:r>
      <w:r w:rsidRPr="00CA3535">
        <w:t>.</w:t>
      </w:r>
    </w:p>
    <w:p w14:paraId="21C7360E" w14:textId="711385B1" w:rsidR="007F2D65" w:rsidRPr="00CA3535" w:rsidRDefault="00E36F53" w:rsidP="007F2D65">
      <w:pPr>
        <w:pStyle w:val="CBDNormalNumber"/>
      </w:pPr>
      <w:r w:rsidRPr="00CA3535">
        <w:t xml:space="preserve">The outcomes of the </w:t>
      </w:r>
      <w:r w:rsidR="00FF53E9" w:rsidRPr="00CA3535">
        <w:t>sixth quadrennial review of the effectiveness of the financial mechanism are</w:t>
      </w:r>
      <w:r w:rsidR="007F2D65" w:rsidRPr="00CA3535">
        <w:t xml:space="preserve"> contained in report </w:t>
      </w:r>
      <w:r w:rsidR="004D445B" w:rsidRPr="00CA3535">
        <w:t xml:space="preserve">prepared by the Secretariat </w:t>
      </w:r>
      <w:r w:rsidR="00FF53E9" w:rsidRPr="00CA3535">
        <w:t xml:space="preserve">and </w:t>
      </w:r>
      <w:r w:rsidR="00B14F43" w:rsidRPr="00CA3535">
        <w:t>are</w:t>
      </w:r>
      <w:r w:rsidR="007F2D65" w:rsidRPr="00CA3535">
        <w:t xml:space="preserve"> contained in document CBD/COP/16/</w:t>
      </w:r>
      <w:r w:rsidR="00926E89">
        <w:t>INF/25</w:t>
      </w:r>
      <w:r w:rsidR="007F2D65" w:rsidRPr="00CA3535">
        <w:t>.</w:t>
      </w:r>
    </w:p>
    <w:p w14:paraId="7F8F7BEE" w14:textId="0C9ECEBF" w:rsidR="00DC354F" w:rsidRPr="00CA3535" w:rsidRDefault="00566610" w:rsidP="00AC2CEE">
      <w:pPr>
        <w:pStyle w:val="CBDNormalNumber"/>
      </w:pPr>
      <w:r w:rsidRPr="00CA3535">
        <w:t xml:space="preserve">Parties to the </w:t>
      </w:r>
      <w:r w:rsidR="00DB1B41" w:rsidRPr="00CA3535">
        <w:t xml:space="preserve">Cartagena </w:t>
      </w:r>
      <w:r w:rsidRPr="00CA3535">
        <w:t xml:space="preserve">Protocol are invited to consider the information provided in the present note and the </w:t>
      </w:r>
      <w:r w:rsidR="008663F2" w:rsidRPr="00CA3535">
        <w:t>above-mentioned reports and adopt a</w:t>
      </w:r>
      <w:r w:rsidRPr="00CA3535">
        <w:t xml:space="preserve"> decision on matters relating to the financial mechanism and resources and in making recommendations to the Conference of the Parties to the Convention regarding further guidance to the financial mechanism with respect to biosafety in the context of the suggested multi-year guidance to the </w:t>
      </w:r>
      <w:r w:rsidR="00894DB8" w:rsidRPr="00CA3535">
        <w:t>Global Environment Facility</w:t>
      </w:r>
      <w:r w:rsidRPr="00CA3535">
        <w:t xml:space="preserve"> for the </w:t>
      </w:r>
      <w:r w:rsidR="00894DB8" w:rsidRPr="00CA3535">
        <w:t xml:space="preserve">ninth </w:t>
      </w:r>
      <w:r w:rsidRPr="00CA3535">
        <w:t xml:space="preserve">replenishment. </w:t>
      </w:r>
    </w:p>
    <w:p w14:paraId="421E981D" w14:textId="76808B5D" w:rsidR="00F5496C" w:rsidRPr="00CA3535" w:rsidRDefault="002D03F8" w:rsidP="00AC2CEE">
      <w:pPr>
        <w:pStyle w:val="CBDH1"/>
      </w:pPr>
      <w:bookmarkStart w:id="10" w:name="_Hlk177478291"/>
      <w:r w:rsidRPr="00CA3535">
        <w:t>II.</w:t>
      </w:r>
      <w:r w:rsidRPr="00CA3535">
        <w:tab/>
      </w:r>
      <w:r w:rsidR="00C34984" w:rsidRPr="00CA3535">
        <w:t>Financial resources for biosafety</w:t>
      </w:r>
      <w:bookmarkEnd w:id="10"/>
    </w:p>
    <w:p w14:paraId="28C2D7AD" w14:textId="17797EF8" w:rsidR="00E41F4F" w:rsidRPr="00CA3535" w:rsidRDefault="00E41F4F" w:rsidP="00985DCC">
      <w:pPr>
        <w:pStyle w:val="CBDNormalNumber"/>
      </w:pPr>
      <w:r w:rsidRPr="00CA3535">
        <w:t>Article 28 of the</w:t>
      </w:r>
      <w:r w:rsidR="00C34984" w:rsidRPr="00CA3535">
        <w:t xml:space="preserve"> Cartagena</w:t>
      </w:r>
      <w:r w:rsidRPr="00CA3535">
        <w:t xml:space="preserve"> Protocol requires Parties to take the provisions of Article 20 of the Convention </w:t>
      </w:r>
      <w:r w:rsidR="00C34984" w:rsidRPr="00CA3535">
        <w:t>into account when</w:t>
      </w:r>
      <w:r w:rsidRPr="00CA3535">
        <w:t xml:space="preserve"> considering financial resources for the implementation of the Protocol. </w:t>
      </w:r>
    </w:p>
    <w:p w14:paraId="171BA9E6" w14:textId="2B08B508" w:rsidR="00DC354F" w:rsidRPr="00CA3535" w:rsidRDefault="00DC354F" w:rsidP="00DC354F">
      <w:pPr>
        <w:pStyle w:val="CBDNormalNumber"/>
      </w:pPr>
      <w:r w:rsidRPr="00CA3535">
        <w:t xml:space="preserve">A lack of financial resources continues to be one of the major limiting factors to the effective implementation of the </w:t>
      </w:r>
      <w:r w:rsidR="00C7077A" w:rsidRPr="00CA3535">
        <w:t xml:space="preserve">Cartagena </w:t>
      </w:r>
      <w:r w:rsidRPr="00CA3535">
        <w:t xml:space="preserve">Protocol </w:t>
      </w:r>
      <w:proofErr w:type="gramStart"/>
      <w:r w:rsidR="001766A8" w:rsidRPr="00CA3535">
        <w:t xml:space="preserve">in particular </w:t>
      </w:r>
      <w:r w:rsidRPr="00CA3535">
        <w:t>by</w:t>
      </w:r>
      <w:proofErr w:type="gramEnd"/>
      <w:r w:rsidR="000B0CEF" w:rsidRPr="00CA3535">
        <w:t xml:space="preserve"> </w:t>
      </w:r>
      <w:r w:rsidRPr="00CA3535">
        <w:t xml:space="preserve">developing country Parties and Parties with economies in transition. In their </w:t>
      </w:r>
      <w:r w:rsidR="00B12976" w:rsidRPr="00CA3535">
        <w:t>fourth</w:t>
      </w:r>
      <w:r w:rsidRPr="00CA3535">
        <w:t xml:space="preserve"> national reports</w:t>
      </w:r>
      <w:r w:rsidR="008C2DDF" w:rsidRPr="00CA3535">
        <w:t>,</w:t>
      </w:r>
      <w:r w:rsidR="00D45A80" w:rsidRPr="00CA3535">
        <w:rPr>
          <w:rStyle w:val="FootnoteReference"/>
        </w:rPr>
        <w:footnoteReference w:id="4"/>
      </w:r>
      <w:r w:rsidRPr="00CA3535">
        <w:t xml:space="preserve"> many developing country Parties and Parties with economies in transition indicated that they had received support from the </w:t>
      </w:r>
      <w:r w:rsidR="00B84121" w:rsidRPr="00CA3535">
        <w:t>Global Environment Facility</w:t>
      </w:r>
      <w:r w:rsidRPr="00CA3535">
        <w:t xml:space="preserve"> for developing their national biosafety frameworks but that they lack resources to implement those frameworks. Effective implementation of the Protocol will require adequate, predictable and timely access to financial resources.</w:t>
      </w:r>
    </w:p>
    <w:p w14:paraId="1603FA6A" w14:textId="42642508" w:rsidR="00B84121" w:rsidRPr="00CA3535" w:rsidRDefault="008663F2" w:rsidP="00B84121">
      <w:pPr>
        <w:pStyle w:val="CBDNormalNumber"/>
      </w:pPr>
      <w:r w:rsidRPr="00CA3535">
        <w:t>C</w:t>
      </w:r>
      <w:r w:rsidR="00B84121" w:rsidRPr="00CA3535">
        <w:t xml:space="preserve">onsidering the vital importance of adequate financial resources for the implementation of the </w:t>
      </w:r>
      <w:r w:rsidR="00DB1B41" w:rsidRPr="00CA3535">
        <w:t xml:space="preserve">Cartagena </w:t>
      </w:r>
      <w:r w:rsidR="00B84121" w:rsidRPr="00CA3535">
        <w:t xml:space="preserve">Protocol, </w:t>
      </w:r>
      <w:r w:rsidR="00BE3ED1" w:rsidRPr="00CA3535">
        <w:t>decision CP-</w:t>
      </w:r>
      <w:r w:rsidR="00B84121" w:rsidRPr="00CA3535">
        <w:t>10/</w:t>
      </w:r>
      <w:r w:rsidR="00BE3ED1" w:rsidRPr="00CA3535">
        <w:t xml:space="preserve">6 </w:t>
      </w:r>
      <w:r w:rsidR="00B84121" w:rsidRPr="00CA3535">
        <w:t>considered the need to identify and mobilize new financial resources in addition to those provided through the Global Environment Facility to assist developing country Parties and Parties with economies in transition to implement the Protocol</w:t>
      </w:r>
      <w:r w:rsidR="008C2DDF" w:rsidRPr="00CA3535">
        <w:t xml:space="preserve"> effectively</w:t>
      </w:r>
      <w:r w:rsidR="00B84121" w:rsidRPr="00CA3535">
        <w:t xml:space="preserve">. </w:t>
      </w:r>
    </w:p>
    <w:p w14:paraId="5A139431" w14:textId="784B4ED7" w:rsidR="00D52999" w:rsidRPr="00CA3535" w:rsidRDefault="00D52999" w:rsidP="00D52999">
      <w:pPr>
        <w:pStyle w:val="CBDNormalNumber"/>
        <w:rPr>
          <w:kern w:val="22"/>
          <w:lang w:val="en-CA"/>
        </w:rPr>
      </w:pPr>
      <w:r w:rsidRPr="00CA3535">
        <w:rPr>
          <w:kern w:val="22"/>
          <w:lang w:val="en-CA"/>
        </w:rPr>
        <w:t xml:space="preserve">In response to paragraph 4 of </w:t>
      </w:r>
      <w:r w:rsidR="00926E89">
        <w:rPr>
          <w:kern w:val="22"/>
          <w:lang w:val="en-CA"/>
        </w:rPr>
        <w:t>d</w:t>
      </w:r>
      <w:r w:rsidRPr="00CA3535">
        <w:rPr>
          <w:kern w:val="22"/>
          <w:lang w:val="en-CA"/>
        </w:rPr>
        <w:t>ecision CP-10/6, the Secretariat compiled a set of potential funding sources and approaches that may be applied for biosafety to address the funding constraints. This compilation</w:t>
      </w:r>
      <w:r w:rsidR="00275487" w:rsidRPr="00CA3535">
        <w:rPr>
          <w:kern w:val="22"/>
          <w:lang w:val="en-CA"/>
        </w:rPr>
        <w:t xml:space="preserve">, which is available through the Biosafety </w:t>
      </w:r>
      <w:proofErr w:type="gramStart"/>
      <w:r w:rsidR="00275487" w:rsidRPr="00CA3535">
        <w:rPr>
          <w:kern w:val="22"/>
          <w:lang w:val="en-CA"/>
        </w:rPr>
        <w:t>Clearing-House</w:t>
      </w:r>
      <w:proofErr w:type="gramEnd"/>
      <w:r w:rsidR="008C2DDF" w:rsidRPr="00CA3535">
        <w:rPr>
          <w:kern w:val="22"/>
          <w:lang w:val="en-CA"/>
        </w:rPr>
        <w:t>,</w:t>
      </w:r>
      <w:r w:rsidR="00275487" w:rsidRPr="00CA3535">
        <w:rPr>
          <w:rStyle w:val="FootnoteReference"/>
          <w:kern w:val="22"/>
        </w:rPr>
        <w:footnoteReference w:id="5"/>
      </w:r>
      <w:r w:rsidR="008C2DDF" w:rsidRPr="00CA3535">
        <w:rPr>
          <w:kern w:val="22"/>
          <w:lang w:val="en-CA"/>
        </w:rPr>
        <w:t xml:space="preserve"> </w:t>
      </w:r>
      <w:r w:rsidRPr="00CA3535">
        <w:rPr>
          <w:kern w:val="22"/>
          <w:lang w:val="en-CA"/>
        </w:rPr>
        <w:t xml:space="preserve">includes information on potential funding sources that may be specific for </w:t>
      </w:r>
      <w:r w:rsidR="00275487" w:rsidRPr="00CA3535">
        <w:rPr>
          <w:kern w:val="22"/>
          <w:lang w:val="en-CA"/>
        </w:rPr>
        <w:t xml:space="preserve">particular groups of </w:t>
      </w:r>
      <w:r w:rsidRPr="00CA3535">
        <w:rPr>
          <w:kern w:val="22"/>
          <w:lang w:val="en-CA"/>
        </w:rPr>
        <w:t>Parties</w:t>
      </w:r>
      <w:r w:rsidR="00DF2687" w:rsidRPr="00CA3535">
        <w:rPr>
          <w:kern w:val="22"/>
          <w:lang w:val="en-CA"/>
        </w:rPr>
        <w:t>,</w:t>
      </w:r>
      <w:r w:rsidRPr="00CA3535">
        <w:rPr>
          <w:kern w:val="22"/>
          <w:lang w:val="en-CA"/>
        </w:rPr>
        <w:t xml:space="preserve"> as well as non-specific, general funding opportunities that national and regional agencies may consider. In addition, a few international funding agencies that provide access to grants for the research laboratories and groups that underly the fields of biotechnology and biosafety have been </w:t>
      </w:r>
      <w:r w:rsidR="00115A56" w:rsidRPr="00CA3535">
        <w:rPr>
          <w:kern w:val="22"/>
          <w:lang w:val="en-CA"/>
        </w:rPr>
        <w:t>included.</w:t>
      </w:r>
      <w:r w:rsidRPr="00CA3535">
        <w:rPr>
          <w:kern w:val="22"/>
          <w:lang w:val="en-CA"/>
        </w:rPr>
        <w:t xml:space="preserve"> The list </w:t>
      </w:r>
      <w:r w:rsidR="00275487" w:rsidRPr="00CA3535">
        <w:rPr>
          <w:kern w:val="22"/>
          <w:lang w:val="en-CA"/>
        </w:rPr>
        <w:t xml:space="preserve">will </w:t>
      </w:r>
      <w:r w:rsidRPr="00CA3535">
        <w:rPr>
          <w:kern w:val="22"/>
          <w:lang w:val="en-CA"/>
        </w:rPr>
        <w:t>be further developed through additional outreach to funding bodies and analyses of bilateral cooperation reports.</w:t>
      </w:r>
    </w:p>
    <w:p w14:paraId="474DA302" w14:textId="60EB088A" w:rsidR="008663F2" w:rsidRPr="00CA3535" w:rsidRDefault="00D52999" w:rsidP="008663F2">
      <w:pPr>
        <w:pStyle w:val="CBDNormalNumber"/>
        <w:rPr>
          <w:kern w:val="22"/>
          <w:lang w:val="en-CA"/>
        </w:rPr>
      </w:pPr>
      <w:r w:rsidRPr="00CA3535">
        <w:rPr>
          <w:kern w:val="22"/>
          <w:lang w:val="en-CA"/>
        </w:rPr>
        <w:t xml:space="preserve">Multilateral development providers, such as multilateral development banks and multilateral funds, are important contributors for biodiversity-related development finance. They are therefore potentially important for providing specific resources for biosafety. </w:t>
      </w:r>
      <w:proofErr w:type="gramStart"/>
      <w:r w:rsidRPr="00CA3535">
        <w:rPr>
          <w:kern w:val="22"/>
          <w:lang w:val="en-CA"/>
        </w:rPr>
        <w:t>A number of</w:t>
      </w:r>
      <w:proofErr w:type="gramEnd"/>
      <w:r w:rsidRPr="00CA3535">
        <w:rPr>
          <w:kern w:val="22"/>
          <w:lang w:val="en-CA"/>
        </w:rPr>
        <w:t xml:space="preserve"> such institutions have been identified and included in </w:t>
      </w:r>
      <w:r w:rsidR="00275487" w:rsidRPr="00CA3535">
        <w:rPr>
          <w:kern w:val="22"/>
          <w:lang w:val="en-CA"/>
        </w:rPr>
        <w:t>compilation</w:t>
      </w:r>
      <w:r w:rsidRPr="00CA3535">
        <w:rPr>
          <w:kern w:val="22"/>
          <w:lang w:val="en-CA"/>
        </w:rPr>
        <w:t xml:space="preserve"> for the </w:t>
      </w:r>
      <w:r w:rsidR="00275487" w:rsidRPr="00CA3535">
        <w:rPr>
          <w:kern w:val="22"/>
          <w:lang w:val="en-CA"/>
        </w:rPr>
        <w:t xml:space="preserve">information </w:t>
      </w:r>
      <w:r w:rsidRPr="00CA3535">
        <w:rPr>
          <w:kern w:val="22"/>
          <w:lang w:val="en-CA"/>
        </w:rPr>
        <w:t>of Parties.</w:t>
      </w:r>
      <w:r w:rsidR="008663F2" w:rsidRPr="00CA3535">
        <w:rPr>
          <w:kern w:val="22"/>
          <w:lang w:val="en-CA"/>
        </w:rPr>
        <w:t xml:space="preserve"> </w:t>
      </w:r>
    </w:p>
    <w:p w14:paraId="77FAC768" w14:textId="5F3B3B3E" w:rsidR="008663F2" w:rsidRPr="00CA3535" w:rsidRDefault="008663F2" w:rsidP="008663F2">
      <w:pPr>
        <w:pStyle w:val="CBDNormalNumber"/>
        <w:rPr>
          <w:kern w:val="22"/>
          <w:lang w:val="en-CA"/>
        </w:rPr>
      </w:pPr>
      <w:r w:rsidRPr="00CA3535">
        <w:rPr>
          <w:kern w:val="22"/>
          <w:lang w:val="en-CA"/>
        </w:rPr>
        <w:t xml:space="preserve">In its decision 15/7, the Conference of the Parties decided, among other tasks, to review the </w:t>
      </w:r>
      <w:r w:rsidR="00A93B60" w:rsidRPr="00CA3535">
        <w:rPr>
          <w:kern w:val="22"/>
          <w:lang w:val="en-CA"/>
        </w:rPr>
        <w:t>s</w:t>
      </w:r>
      <w:r w:rsidRPr="00CA3535">
        <w:rPr>
          <w:kern w:val="22"/>
          <w:lang w:val="en-CA"/>
        </w:rPr>
        <w:t xml:space="preserve">trategy for </w:t>
      </w:r>
      <w:r w:rsidR="00A93B60" w:rsidRPr="00CA3535">
        <w:rPr>
          <w:kern w:val="22"/>
          <w:lang w:val="en-CA"/>
        </w:rPr>
        <w:t>r</w:t>
      </w:r>
      <w:r w:rsidRPr="00CA3535">
        <w:rPr>
          <w:kern w:val="22"/>
          <w:lang w:val="en-CA"/>
        </w:rPr>
        <w:t xml:space="preserve">esource </w:t>
      </w:r>
      <w:r w:rsidR="00A93B60" w:rsidRPr="00CA3535">
        <w:rPr>
          <w:kern w:val="22"/>
          <w:lang w:val="en-CA"/>
        </w:rPr>
        <w:t>m</w:t>
      </w:r>
      <w:r w:rsidRPr="00CA3535">
        <w:rPr>
          <w:kern w:val="22"/>
          <w:lang w:val="en-CA"/>
        </w:rPr>
        <w:t xml:space="preserve">obilization contained in </w:t>
      </w:r>
      <w:r w:rsidR="00DF2687" w:rsidRPr="00CA3535">
        <w:rPr>
          <w:kern w:val="22"/>
          <w:lang w:val="en-CA"/>
        </w:rPr>
        <w:t>a</w:t>
      </w:r>
      <w:r w:rsidRPr="00CA3535">
        <w:rPr>
          <w:kern w:val="22"/>
          <w:lang w:val="en-CA"/>
        </w:rPr>
        <w:t xml:space="preserve">nnex I </w:t>
      </w:r>
      <w:r w:rsidR="00DF2687" w:rsidRPr="00CA3535">
        <w:rPr>
          <w:kern w:val="22"/>
          <w:lang w:val="en-CA"/>
        </w:rPr>
        <w:t>to</w:t>
      </w:r>
      <w:r w:rsidRPr="00CA3535">
        <w:rPr>
          <w:kern w:val="22"/>
          <w:lang w:val="en-CA"/>
        </w:rPr>
        <w:t xml:space="preserve"> the decision</w:t>
      </w:r>
      <w:r w:rsidR="00275487" w:rsidRPr="00CA3535">
        <w:rPr>
          <w:kern w:val="22"/>
          <w:lang w:val="en-CA"/>
        </w:rPr>
        <w:t>,</w:t>
      </w:r>
      <w:r w:rsidRPr="00CA3535">
        <w:rPr>
          <w:kern w:val="22"/>
          <w:lang w:val="en-CA"/>
        </w:rPr>
        <w:t xml:space="preserve"> to explore the current finance landscape with a view to assessing gaps and overlaps and to identifying opportunities to strengthen, simplify and reform existing instruments to strengthen the current finance landscape for biodiversity </w:t>
      </w:r>
      <w:r w:rsidR="00275487" w:rsidRPr="00CA3535">
        <w:rPr>
          <w:kern w:val="22"/>
          <w:lang w:val="en-CA"/>
        </w:rPr>
        <w:t>and</w:t>
      </w:r>
      <w:r w:rsidRPr="00CA3535">
        <w:rPr>
          <w:kern w:val="22"/>
          <w:lang w:val="en-CA"/>
        </w:rPr>
        <w:t xml:space="preserve"> established the Advisory Committee on Resource Mobilization to operationalize </w:t>
      </w:r>
      <w:r w:rsidR="00275487" w:rsidRPr="00CA3535">
        <w:rPr>
          <w:kern w:val="22"/>
          <w:lang w:val="en-CA"/>
        </w:rPr>
        <w:t>these</w:t>
      </w:r>
      <w:r w:rsidRPr="00CA3535">
        <w:rPr>
          <w:kern w:val="22"/>
          <w:lang w:val="en-CA"/>
        </w:rPr>
        <w:t xml:space="preserve"> </w:t>
      </w:r>
      <w:r w:rsidRPr="00CA3535">
        <w:rPr>
          <w:kern w:val="22"/>
          <w:lang w:val="en-CA"/>
        </w:rPr>
        <w:lastRenderedPageBreak/>
        <w:t>provision</w:t>
      </w:r>
      <w:r w:rsidR="00275487" w:rsidRPr="00CA3535">
        <w:rPr>
          <w:kern w:val="22"/>
          <w:lang w:val="en-CA"/>
        </w:rPr>
        <w:t>s</w:t>
      </w:r>
      <w:r w:rsidRPr="00CA3535">
        <w:rPr>
          <w:kern w:val="22"/>
          <w:lang w:val="en-CA"/>
        </w:rPr>
        <w:t xml:space="preserve">. The outcomes of this process are provided in recommendation 4/3 </w:t>
      </w:r>
      <w:r w:rsidR="00D45D52" w:rsidRPr="00CA3535">
        <w:rPr>
          <w:kern w:val="22"/>
          <w:lang w:val="en-CA"/>
        </w:rPr>
        <w:t xml:space="preserve">of the Subsidiary Body on Implementation </w:t>
      </w:r>
      <w:r w:rsidRPr="00CA3535">
        <w:rPr>
          <w:kern w:val="22"/>
          <w:lang w:val="en-CA"/>
        </w:rPr>
        <w:t xml:space="preserve">and document CBD/COP/16/5. The revised </w:t>
      </w:r>
      <w:r w:rsidR="00A93B60" w:rsidRPr="00CA3535">
        <w:rPr>
          <w:kern w:val="22"/>
          <w:lang w:val="en-CA"/>
        </w:rPr>
        <w:t>s</w:t>
      </w:r>
      <w:r w:rsidRPr="00CA3535">
        <w:rPr>
          <w:kern w:val="22"/>
          <w:lang w:val="en-CA"/>
        </w:rPr>
        <w:t xml:space="preserve">trategy for </w:t>
      </w:r>
      <w:r w:rsidR="00A93B60" w:rsidRPr="00CA3535">
        <w:rPr>
          <w:kern w:val="22"/>
          <w:lang w:val="en-CA"/>
        </w:rPr>
        <w:t>r</w:t>
      </w:r>
      <w:r w:rsidRPr="00CA3535">
        <w:rPr>
          <w:kern w:val="22"/>
          <w:lang w:val="en-CA"/>
        </w:rPr>
        <w:t xml:space="preserve">esource </w:t>
      </w:r>
      <w:r w:rsidR="00A93B60" w:rsidRPr="00CA3535">
        <w:rPr>
          <w:kern w:val="22"/>
          <w:lang w:val="en-CA"/>
        </w:rPr>
        <w:t>m</w:t>
      </w:r>
      <w:r w:rsidRPr="00CA3535">
        <w:rPr>
          <w:kern w:val="22"/>
          <w:lang w:val="en-CA"/>
        </w:rPr>
        <w:t>obilization, once adopted, could be applied, mutatis mutandis, to address and mobilize additional resources for biosafety.</w:t>
      </w:r>
    </w:p>
    <w:p w14:paraId="2BA66673" w14:textId="45743BDB" w:rsidR="008663F2" w:rsidRPr="00CA3535" w:rsidRDefault="008663F2" w:rsidP="008663F2">
      <w:pPr>
        <w:pStyle w:val="CBDH1"/>
      </w:pPr>
      <w:r w:rsidRPr="00CA3535">
        <w:t>I</w:t>
      </w:r>
      <w:r w:rsidR="00CE62CC" w:rsidRPr="00CA3535">
        <w:t>I</w:t>
      </w:r>
      <w:r w:rsidRPr="00CA3535">
        <w:t>I.</w:t>
      </w:r>
      <w:r w:rsidRPr="00CA3535">
        <w:tab/>
        <w:t>Status of the Global Environment Facility funding for biodiversity</w:t>
      </w:r>
    </w:p>
    <w:p w14:paraId="4832701B" w14:textId="7E5C9695" w:rsidR="00275487" w:rsidRPr="00CA3535" w:rsidRDefault="008663F2" w:rsidP="00275487">
      <w:pPr>
        <w:pStyle w:val="CBDNormalNumber"/>
      </w:pPr>
      <w:r w:rsidRPr="00CA3535">
        <w:t xml:space="preserve">The current biennium </w:t>
      </w:r>
      <w:r w:rsidR="00275487" w:rsidRPr="00CA3535">
        <w:t xml:space="preserve">coincides with </w:t>
      </w:r>
      <w:r w:rsidRPr="00CA3535">
        <w:t xml:space="preserve">the implementation of two Global Environment Facility replenishment cycles; part of seventh replenishment (“GEF-7”), which spanned the period from July 2018 to June 2022, and the start of the eighth replenishment (“GEF-8”) from July 2022 onward. </w:t>
      </w:r>
    </w:p>
    <w:p w14:paraId="29B51349" w14:textId="669D9F61" w:rsidR="008663F2" w:rsidRPr="00CA3535" w:rsidRDefault="008663F2" w:rsidP="00A74C50">
      <w:pPr>
        <w:pStyle w:val="CBDNormalNumber"/>
      </w:pPr>
      <w:r w:rsidRPr="00CA3535">
        <w:t xml:space="preserve">In GEF-7, seven projects, including two multi-country projects, </w:t>
      </w:r>
      <w:r w:rsidR="00275487" w:rsidRPr="00CA3535">
        <w:t xml:space="preserve">covering </w:t>
      </w:r>
      <w:r w:rsidR="00223CB2" w:rsidRPr="00CA3535">
        <w:t>11 </w:t>
      </w:r>
      <w:r w:rsidR="00275487" w:rsidRPr="00CA3535">
        <w:t>countries</w:t>
      </w:r>
      <w:r w:rsidR="00275487" w:rsidRPr="00CA3535">
        <w:rPr>
          <w:rStyle w:val="FootnoteReference"/>
        </w:rPr>
        <w:footnoteReference w:id="6"/>
      </w:r>
      <w:r w:rsidR="00275487" w:rsidRPr="00CA3535">
        <w:t xml:space="preserve"> </w:t>
      </w:r>
      <w:r w:rsidRPr="00CA3535">
        <w:t>were submitted to the Global Environment Facility Trust Fund requesting support for the implementation of the Cartagena Protocol. They were approved for a total $13.1 million of Global Environment Facility financing.</w:t>
      </w:r>
      <w:r w:rsidR="00275487" w:rsidRPr="00CA3535">
        <w:t xml:space="preserve"> This compares </w:t>
      </w:r>
      <w:r w:rsidR="00E365E9" w:rsidRPr="00CA3535">
        <w:t>with</w:t>
      </w:r>
      <w:r w:rsidR="00275487" w:rsidRPr="00CA3535">
        <w:t xml:space="preserve"> three projects</w:t>
      </w:r>
      <w:r w:rsidR="00275487" w:rsidRPr="00CA3535">
        <w:rPr>
          <w:rStyle w:val="FootnoteReference"/>
        </w:rPr>
        <w:footnoteReference w:id="7"/>
      </w:r>
      <w:r w:rsidR="00275487" w:rsidRPr="00CA3535">
        <w:t xml:space="preserve"> totalling $4.2 million for the sixth replenishment period. The GEF-6 uptake was much less than the notional allocation for the period of $30 million, while the GEF-7 update was much greater than its notional allocation of $7</w:t>
      </w:r>
      <w:r w:rsidR="00E365E9" w:rsidRPr="00CA3535">
        <w:t> </w:t>
      </w:r>
      <w:r w:rsidR="00275487" w:rsidRPr="00CA3535">
        <w:t>million.</w:t>
      </w:r>
    </w:p>
    <w:p w14:paraId="22B19244" w14:textId="190725CE" w:rsidR="008663F2" w:rsidRPr="00CA3535" w:rsidRDefault="008663F2" w:rsidP="008663F2">
      <w:pPr>
        <w:pStyle w:val="CBDNormalNumber"/>
      </w:pPr>
      <w:r w:rsidRPr="00CA3535">
        <w:rPr>
          <w:rFonts w:cstheme="minorHAnsi"/>
        </w:rPr>
        <w:t xml:space="preserve">Objective </w:t>
      </w:r>
      <w:r w:rsidR="00E365E9" w:rsidRPr="00CA3535">
        <w:rPr>
          <w:rFonts w:cstheme="minorHAnsi"/>
        </w:rPr>
        <w:t xml:space="preserve">II </w:t>
      </w:r>
      <w:r w:rsidRPr="00CA3535">
        <w:rPr>
          <w:rFonts w:cstheme="minorHAnsi"/>
        </w:rPr>
        <w:t xml:space="preserve">of the </w:t>
      </w:r>
      <w:r w:rsidRPr="00CA3535">
        <w:t>Global Environment Facility</w:t>
      </w:r>
      <w:r w:rsidRPr="00CA3535">
        <w:rPr>
          <w:rFonts w:cstheme="minorHAnsi"/>
        </w:rPr>
        <w:t xml:space="preserve"> Biodiversity Focal Area strategy supports capacity-building for the implementation of the Cartagena Protocol. </w:t>
      </w:r>
      <w:r w:rsidRPr="00CA3535">
        <w:t>For the GEF-8 period, a total of $1.92 billion was allocated to the Global Environment Facility funding portfolio for biodiversity, including the biosafety focal area, of which $1.45 billion is provided to countries through the System for Transparent Allocation of Resources for biodiversity</w:t>
      </w:r>
      <w:r w:rsidR="007903D5" w:rsidRPr="00CA3535">
        <w:t xml:space="preserve">, with a combined notional allocation for projects supporting implementation of the Cartagena </w:t>
      </w:r>
      <w:r w:rsidR="0039281B" w:rsidRPr="00CA3535">
        <w:t xml:space="preserve">Protocol </w:t>
      </w:r>
      <w:r w:rsidR="007903D5" w:rsidRPr="00CA3535">
        <w:t xml:space="preserve">and </w:t>
      </w:r>
      <w:r w:rsidR="0039281B" w:rsidRPr="00CA3535">
        <w:t xml:space="preserve">the </w:t>
      </w:r>
      <w:r w:rsidR="007903D5" w:rsidRPr="00CA3535">
        <w:t xml:space="preserve">Nagoya Protocol </w:t>
      </w:r>
      <w:r w:rsidR="0039281B" w:rsidRPr="00CA3535">
        <w:t xml:space="preserve">on Access to Genetic Resources and the Fair and Equitable Sharing of Benefits Arising from their Utilization </w:t>
      </w:r>
      <w:r w:rsidR="007903D5" w:rsidRPr="00CA3535">
        <w:t>of $82 million</w:t>
      </w:r>
      <w:r w:rsidRPr="00CA3535">
        <w:t>. After two years of GEF-8, no projects have yet been submitted by eligible Parties to support the implementation of the Cartagena Protocol.</w:t>
      </w:r>
    </w:p>
    <w:p w14:paraId="1144FDC4" w14:textId="2A7EFAB4" w:rsidR="008663F2" w:rsidRPr="00CA3535" w:rsidRDefault="008663F2" w:rsidP="008663F2">
      <w:pPr>
        <w:pStyle w:val="CBDNormalNumber"/>
      </w:pPr>
      <w:r w:rsidRPr="00CA3535">
        <w:t>The level of funding for biosafety depends on the extent to which countries prioritize biosafety among the biodiversity issues. In this regard, there is a need for countries to consider giving priority to biosafety projects within the biodiversity allocation within their internal priority-setting processes to support the effective implementation of the Cartagena Protocol.</w:t>
      </w:r>
      <w:r w:rsidR="007903D5" w:rsidRPr="00CA3535">
        <w:t xml:space="preserve"> There is also a need for the Global Environment Facility to consider ways of facilitating such submissions as further discussed in the next section.</w:t>
      </w:r>
    </w:p>
    <w:p w14:paraId="1EC8117C" w14:textId="2ED29393" w:rsidR="008663F2" w:rsidRPr="00CA3535" w:rsidRDefault="008663F2" w:rsidP="008663F2">
      <w:pPr>
        <w:pStyle w:val="CBDNormalNumber"/>
      </w:pPr>
      <w:r w:rsidRPr="00CA3535">
        <w:t>The Global Environment Facility Council in June 2023 approved the establishment</w:t>
      </w:r>
      <w:r w:rsidRPr="00CA3535">
        <w:rPr>
          <w:rStyle w:val="FootnoteReference"/>
        </w:rPr>
        <w:footnoteReference w:id="8"/>
      </w:r>
      <w:r w:rsidRPr="00CA3535">
        <w:t xml:space="preserve"> of the Global Biodiversity Framework Fund and its Programming Directions. Action Area Eight of the framework fund addresses </w:t>
      </w:r>
      <w:r w:rsidR="00E96FDD" w:rsidRPr="00CA3535">
        <w:t>c</w:t>
      </w:r>
      <w:r w:rsidRPr="00CA3535">
        <w:t>apacity</w:t>
      </w:r>
      <w:r w:rsidR="00E96FDD" w:rsidRPr="00CA3535">
        <w:t>-</w:t>
      </w:r>
      <w:r w:rsidRPr="00CA3535">
        <w:t>building and implementation support for biosafety, handling of biotechnology and access and benefit</w:t>
      </w:r>
      <w:r w:rsidR="00E96FDD" w:rsidRPr="00CA3535">
        <w:t>-</w:t>
      </w:r>
      <w:r w:rsidRPr="00CA3535">
        <w:t xml:space="preserve">sharing, including under the Cartagena </w:t>
      </w:r>
      <w:r w:rsidR="003312A8" w:rsidRPr="00CA3535">
        <w:t xml:space="preserve">and Nagoya </w:t>
      </w:r>
      <w:r w:rsidRPr="00CA3535">
        <w:t>Protocols (Targets 13 and 17).</w:t>
      </w:r>
    </w:p>
    <w:p w14:paraId="41CE0800" w14:textId="114751B2" w:rsidR="00CC7D7C" w:rsidRPr="00CA3535" w:rsidRDefault="000A33B3" w:rsidP="00AC2CEE">
      <w:pPr>
        <w:pStyle w:val="CBDH1"/>
        <w:rPr>
          <w:snapToGrid w:val="0"/>
        </w:rPr>
      </w:pPr>
      <w:bookmarkStart w:id="11" w:name="_Hlk177478511"/>
      <w:r w:rsidRPr="00CA3535">
        <w:t>IV.</w:t>
      </w:r>
      <w:r w:rsidRPr="00CA3535">
        <w:tab/>
      </w:r>
      <w:r w:rsidR="005762D0" w:rsidRPr="00CA3535">
        <w:t>Review of effectiveness of the financial mechanism</w:t>
      </w:r>
      <w:bookmarkEnd w:id="11"/>
      <w:r w:rsidR="002F0B97" w:rsidRPr="00CA3535">
        <w:t xml:space="preserve"> for biosafety</w:t>
      </w:r>
    </w:p>
    <w:p w14:paraId="40DC5109" w14:textId="1AF39344" w:rsidR="005476C3" w:rsidRPr="00CA3535" w:rsidRDefault="00271C6F" w:rsidP="00C36B90">
      <w:pPr>
        <w:pStyle w:val="CBDNormalNumber"/>
        <w:rPr>
          <w:snapToGrid w:val="0"/>
        </w:rPr>
      </w:pPr>
      <w:r w:rsidRPr="00CA3535">
        <w:rPr>
          <w:snapToGrid w:val="0"/>
        </w:rPr>
        <w:t xml:space="preserve">In </w:t>
      </w:r>
      <w:r w:rsidR="003C6890" w:rsidRPr="00CA3535">
        <w:rPr>
          <w:snapToGrid w:val="0"/>
        </w:rPr>
        <w:t xml:space="preserve">decision </w:t>
      </w:r>
      <w:r w:rsidRPr="00CA3535">
        <w:rPr>
          <w:snapToGrid w:val="0"/>
        </w:rPr>
        <w:t>15/15,</w:t>
      </w:r>
      <w:r w:rsidR="00AB538A" w:rsidRPr="00CA3535">
        <w:rPr>
          <w:snapToGrid w:val="0"/>
        </w:rPr>
        <w:t xml:space="preserve"> </w:t>
      </w:r>
      <w:r w:rsidRPr="00CA3535">
        <w:rPr>
          <w:snapToGrid w:val="0"/>
        </w:rPr>
        <w:t xml:space="preserve">the Conference of the Parties </w:t>
      </w:r>
      <w:r w:rsidR="00AB538A" w:rsidRPr="00CA3535">
        <w:rPr>
          <w:snapToGrid w:val="0"/>
        </w:rPr>
        <w:t>mandated</w:t>
      </w:r>
      <w:r w:rsidRPr="00CA3535">
        <w:rPr>
          <w:snapToGrid w:val="0"/>
        </w:rPr>
        <w:t xml:space="preserve"> </w:t>
      </w:r>
      <w:r w:rsidR="00C41341" w:rsidRPr="00CA3535">
        <w:rPr>
          <w:snapToGrid w:val="0"/>
        </w:rPr>
        <w:t>the Sixth Review of the Effectiveness of the Financial Mechanism of the Convention and its Protocols</w:t>
      </w:r>
      <w:r w:rsidR="00C90EEC" w:rsidRPr="00CA3535">
        <w:rPr>
          <w:snapToGrid w:val="0"/>
        </w:rPr>
        <w:t xml:space="preserve">. </w:t>
      </w:r>
      <w:r w:rsidR="00670B6F" w:rsidRPr="00CA3535">
        <w:rPr>
          <w:snapToGrid w:val="0"/>
        </w:rPr>
        <w:t xml:space="preserve">In </w:t>
      </w:r>
      <w:r w:rsidR="002E7F59" w:rsidRPr="00CA3535">
        <w:rPr>
          <w:snapToGrid w:val="0"/>
        </w:rPr>
        <w:t xml:space="preserve">decision CP-10/6, Parties to the Cartagena </w:t>
      </w:r>
      <w:r w:rsidR="005476C3" w:rsidRPr="00CA3535">
        <w:rPr>
          <w:snapToGrid w:val="0"/>
        </w:rPr>
        <w:t>Protocol also</w:t>
      </w:r>
      <w:r w:rsidR="002E7F59" w:rsidRPr="00CA3535">
        <w:rPr>
          <w:snapToGrid w:val="0"/>
        </w:rPr>
        <w:t xml:space="preserve"> requested </w:t>
      </w:r>
      <w:r w:rsidR="002E43CF" w:rsidRPr="00CA3535">
        <w:rPr>
          <w:snapToGrid w:val="0"/>
        </w:rPr>
        <w:t>the Secretariat to</w:t>
      </w:r>
      <w:r w:rsidR="005476C3" w:rsidRPr="00CA3535">
        <w:rPr>
          <w:snapToGrid w:val="0"/>
        </w:rPr>
        <w:t xml:space="preserve"> analyse the effectiveness of the financial mechanism for the implementation of the Protocol in the sixth review of the effectiveness of the financial mechanism. In this regard, the </w:t>
      </w:r>
      <w:r w:rsidR="00B81D53" w:rsidRPr="00CA3535">
        <w:rPr>
          <w:snapToGrid w:val="0"/>
        </w:rPr>
        <w:t>Secretariat</w:t>
      </w:r>
      <w:r w:rsidR="005476C3" w:rsidRPr="00CA3535">
        <w:rPr>
          <w:snapToGrid w:val="0"/>
        </w:rPr>
        <w:t xml:space="preserve"> </w:t>
      </w:r>
      <w:r w:rsidR="00155727" w:rsidRPr="00CA3535">
        <w:rPr>
          <w:snapToGrid w:val="0"/>
        </w:rPr>
        <w:t xml:space="preserve">appointed an independent consultant and </w:t>
      </w:r>
      <w:r w:rsidR="005476C3" w:rsidRPr="00CA3535">
        <w:rPr>
          <w:snapToGrid w:val="0"/>
        </w:rPr>
        <w:t>issue</w:t>
      </w:r>
      <w:r w:rsidR="004018D9" w:rsidRPr="00CA3535">
        <w:rPr>
          <w:snapToGrid w:val="0"/>
        </w:rPr>
        <w:t xml:space="preserve">d </w:t>
      </w:r>
      <w:r w:rsidR="00E96FDD" w:rsidRPr="00CA3535">
        <w:rPr>
          <w:snapToGrid w:val="0"/>
        </w:rPr>
        <w:t>n</w:t>
      </w:r>
      <w:r w:rsidR="004018D9" w:rsidRPr="00CA3535">
        <w:rPr>
          <w:snapToGrid w:val="0"/>
        </w:rPr>
        <w:t xml:space="preserve">otification </w:t>
      </w:r>
      <w:r w:rsidR="00E96FDD" w:rsidRPr="00CA3535">
        <w:rPr>
          <w:snapToGrid w:val="0"/>
        </w:rPr>
        <w:t>No. </w:t>
      </w:r>
      <w:r w:rsidR="003E3E4B" w:rsidRPr="00CA3535">
        <w:rPr>
          <w:snapToGrid w:val="0"/>
        </w:rPr>
        <w:t xml:space="preserve">2024-072 </w:t>
      </w:r>
      <w:r w:rsidR="005A485D" w:rsidRPr="00CA3535">
        <w:rPr>
          <w:snapToGrid w:val="0"/>
        </w:rPr>
        <w:t xml:space="preserve">regarding a questionnaire </w:t>
      </w:r>
      <w:r w:rsidR="00C36B90" w:rsidRPr="00CA3535">
        <w:rPr>
          <w:snapToGrid w:val="0"/>
        </w:rPr>
        <w:t>that was</w:t>
      </w:r>
      <w:r w:rsidR="005A485D" w:rsidRPr="00CA3535">
        <w:rPr>
          <w:snapToGrid w:val="0"/>
        </w:rPr>
        <w:t xml:space="preserve"> developed by the independent </w:t>
      </w:r>
      <w:r w:rsidR="005A485D" w:rsidRPr="00CA3535">
        <w:rPr>
          <w:snapToGrid w:val="0"/>
        </w:rPr>
        <w:lastRenderedPageBreak/>
        <w:t>evaluator</w:t>
      </w:r>
      <w:r w:rsidR="00C36B90" w:rsidRPr="00CA3535">
        <w:rPr>
          <w:snapToGrid w:val="0"/>
        </w:rPr>
        <w:t xml:space="preserve"> </w:t>
      </w:r>
      <w:r w:rsidR="005A485D" w:rsidRPr="00CA3535">
        <w:rPr>
          <w:snapToGrid w:val="0"/>
        </w:rPr>
        <w:t xml:space="preserve">in line with the terms of reference and </w:t>
      </w:r>
      <w:r w:rsidR="00C36B90" w:rsidRPr="00CA3535">
        <w:rPr>
          <w:snapToGrid w:val="0"/>
        </w:rPr>
        <w:t>that p</w:t>
      </w:r>
      <w:r w:rsidR="005A485D" w:rsidRPr="00CA3535">
        <w:rPr>
          <w:snapToGrid w:val="0"/>
        </w:rPr>
        <w:t>rovide</w:t>
      </w:r>
      <w:r w:rsidR="00C36B90" w:rsidRPr="00CA3535">
        <w:rPr>
          <w:snapToGrid w:val="0"/>
        </w:rPr>
        <w:t>d</w:t>
      </w:r>
      <w:r w:rsidR="005A485D" w:rsidRPr="00CA3535">
        <w:rPr>
          <w:snapToGrid w:val="0"/>
        </w:rPr>
        <w:t xml:space="preserve"> an important basis for participating in the review, and for assessing</w:t>
      </w:r>
      <w:r w:rsidR="00C36B90" w:rsidRPr="00CA3535">
        <w:rPr>
          <w:snapToGrid w:val="0"/>
        </w:rPr>
        <w:t xml:space="preserve"> </w:t>
      </w:r>
      <w:r w:rsidR="005A485D" w:rsidRPr="00CA3535">
        <w:rPr>
          <w:snapToGrid w:val="0"/>
        </w:rPr>
        <w:t>the effectiveness of the financial mechanism.</w:t>
      </w:r>
    </w:p>
    <w:p w14:paraId="3515898E" w14:textId="2973C419" w:rsidR="004B0E88" w:rsidRPr="00CA3535" w:rsidRDefault="004B0E88">
      <w:pPr>
        <w:pStyle w:val="CBDNormalNumber"/>
        <w:rPr>
          <w:snapToGrid w:val="0"/>
        </w:rPr>
      </w:pPr>
      <w:r w:rsidRPr="00CA3535">
        <w:rPr>
          <w:snapToGrid w:val="0"/>
        </w:rPr>
        <w:t xml:space="preserve">Given that the review of the effectiveness of the financial mechanism of the Cartagena Protocol is integrated with the review of the effectiveness of the financial mechanism, the </w:t>
      </w:r>
      <w:r w:rsidR="004053EC" w:rsidRPr="00CA3535">
        <w:rPr>
          <w:snapToGrid w:val="0"/>
        </w:rPr>
        <w:t>questionnaire</w:t>
      </w:r>
      <w:r w:rsidRPr="00CA3535">
        <w:rPr>
          <w:snapToGrid w:val="0"/>
        </w:rPr>
        <w:t xml:space="preserve"> for review include</w:t>
      </w:r>
      <w:r w:rsidR="004053EC" w:rsidRPr="00CA3535">
        <w:rPr>
          <w:snapToGrid w:val="0"/>
        </w:rPr>
        <w:t>d</w:t>
      </w:r>
      <w:r w:rsidRPr="00CA3535">
        <w:rPr>
          <w:snapToGrid w:val="0"/>
        </w:rPr>
        <w:t xml:space="preserve"> the following three </w:t>
      </w:r>
      <w:r w:rsidR="00C14E11" w:rsidRPr="00CA3535">
        <w:rPr>
          <w:snapToGrid w:val="0"/>
        </w:rPr>
        <w:t xml:space="preserve">questions </w:t>
      </w:r>
      <w:r w:rsidR="00685A09" w:rsidRPr="00CA3535">
        <w:rPr>
          <w:snapToGrid w:val="0"/>
        </w:rPr>
        <w:t>of specific reference to the Cartagena Protocol</w:t>
      </w:r>
      <w:r w:rsidR="00B475EE" w:rsidRPr="00CA3535">
        <w:rPr>
          <w:snapToGrid w:val="0"/>
        </w:rPr>
        <w:t>:</w:t>
      </w:r>
    </w:p>
    <w:p w14:paraId="164ACCF4" w14:textId="5936C25B" w:rsidR="004B0E88" w:rsidRPr="00CA3535" w:rsidRDefault="00A80AF3" w:rsidP="00CA3535">
      <w:pPr>
        <w:pStyle w:val="CBDNormalNumber"/>
        <w:numPr>
          <w:ilvl w:val="1"/>
          <w:numId w:val="9"/>
        </w:numPr>
        <w:rPr>
          <w:snapToGrid w:val="0"/>
        </w:rPr>
      </w:pPr>
      <w:r w:rsidRPr="00CA3535">
        <w:rPr>
          <w:snapToGrid w:val="0"/>
        </w:rPr>
        <w:t xml:space="preserve">What has been the experience, as well as lessons learned, in </w:t>
      </w:r>
      <w:r w:rsidR="00BD7F79" w:rsidRPr="00CA3535">
        <w:rPr>
          <w:snapToGrid w:val="0"/>
        </w:rPr>
        <w:t xml:space="preserve">having </w:t>
      </w:r>
      <w:r w:rsidRPr="00CA3535">
        <w:rPr>
          <w:snapToGrid w:val="0"/>
        </w:rPr>
        <w:t xml:space="preserve">access </w:t>
      </w:r>
      <w:r w:rsidR="00BD7F79" w:rsidRPr="00CA3535">
        <w:rPr>
          <w:snapToGrid w:val="0"/>
        </w:rPr>
        <w:t xml:space="preserve">to </w:t>
      </w:r>
      <w:r w:rsidRPr="00CA3535">
        <w:rPr>
          <w:snapToGrid w:val="0"/>
        </w:rPr>
        <w:t xml:space="preserve">and utilizing funds for the implementation of the Cartagena </w:t>
      </w:r>
      <w:proofErr w:type="gramStart"/>
      <w:r w:rsidRPr="00CA3535">
        <w:rPr>
          <w:snapToGrid w:val="0"/>
        </w:rPr>
        <w:t>Protocol?</w:t>
      </w:r>
      <w:r w:rsidR="004B0E88" w:rsidRPr="00CA3535">
        <w:rPr>
          <w:snapToGrid w:val="0"/>
        </w:rPr>
        <w:t>;</w:t>
      </w:r>
      <w:proofErr w:type="gramEnd"/>
    </w:p>
    <w:p w14:paraId="4EA5613D" w14:textId="24CAFDA5" w:rsidR="004B0E88" w:rsidRPr="00CA3535" w:rsidRDefault="00CD7E3F" w:rsidP="00CA3535">
      <w:pPr>
        <w:pStyle w:val="CBDNormalNumber"/>
        <w:numPr>
          <w:ilvl w:val="1"/>
          <w:numId w:val="9"/>
        </w:numPr>
        <w:rPr>
          <w:snapToGrid w:val="0"/>
        </w:rPr>
      </w:pPr>
      <w:r w:rsidRPr="00CA3535">
        <w:rPr>
          <w:snapToGrid w:val="0"/>
          <w:lang w:val="en-CA"/>
        </w:rPr>
        <w:t xml:space="preserve">What are the challenges to </w:t>
      </w:r>
      <w:r w:rsidR="00BD7F79" w:rsidRPr="00CA3535">
        <w:rPr>
          <w:snapToGrid w:val="0"/>
          <w:lang w:val="en-CA"/>
        </w:rPr>
        <w:t xml:space="preserve">getting </w:t>
      </w:r>
      <w:r w:rsidRPr="00CA3535">
        <w:rPr>
          <w:snapToGrid w:val="0"/>
          <w:lang w:val="en-CA"/>
        </w:rPr>
        <w:t xml:space="preserve">access </w:t>
      </w:r>
      <w:r w:rsidR="00BD7F79" w:rsidRPr="00CA3535">
        <w:rPr>
          <w:snapToGrid w:val="0"/>
          <w:lang w:val="en-CA"/>
        </w:rPr>
        <w:t xml:space="preserve">to </w:t>
      </w:r>
      <w:r w:rsidRPr="00CA3535">
        <w:rPr>
          <w:snapToGrid w:val="0"/>
          <w:lang w:val="en-CA"/>
        </w:rPr>
        <w:t xml:space="preserve">and using the Global Environment Facility </w:t>
      </w:r>
      <w:proofErr w:type="gramStart"/>
      <w:r w:rsidRPr="00CA3535">
        <w:rPr>
          <w:snapToGrid w:val="0"/>
          <w:lang w:val="en-CA"/>
        </w:rPr>
        <w:t>funds?</w:t>
      </w:r>
      <w:r w:rsidR="004B0E88" w:rsidRPr="00CA3535">
        <w:rPr>
          <w:snapToGrid w:val="0"/>
        </w:rPr>
        <w:t>;</w:t>
      </w:r>
      <w:proofErr w:type="gramEnd"/>
    </w:p>
    <w:p w14:paraId="0C8C8E2B" w14:textId="10DFBCD5" w:rsidR="004B0E88" w:rsidRPr="00CA3535" w:rsidRDefault="00155727" w:rsidP="00CA3535">
      <w:pPr>
        <w:pStyle w:val="CBDNormalNumber"/>
        <w:numPr>
          <w:ilvl w:val="1"/>
          <w:numId w:val="9"/>
        </w:numPr>
        <w:rPr>
          <w:snapToGrid w:val="0"/>
        </w:rPr>
      </w:pPr>
      <w:r w:rsidRPr="00CA3535">
        <w:rPr>
          <w:snapToGrid w:val="0"/>
        </w:rPr>
        <w:t>The relevance and process of creating a stand</w:t>
      </w:r>
      <w:r w:rsidR="00B628F2" w:rsidRPr="00CA3535">
        <w:rPr>
          <w:snapToGrid w:val="0"/>
        </w:rPr>
        <w:t>-</w:t>
      </w:r>
      <w:r w:rsidRPr="00CA3535">
        <w:rPr>
          <w:snapToGrid w:val="0"/>
        </w:rPr>
        <w:t>alone window for biosafety</w:t>
      </w:r>
      <w:r w:rsidR="004B0E88" w:rsidRPr="00CA3535">
        <w:rPr>
          <w:snapToGrid w:val="0"/>
        </w:rPr>
        <w:t>.</w:t>
      </w:r>
    </w:p>
    <w:p w14:paraId="1CE22F6C" w14:textId="508DBAC4" w:rsidR="00AA41D0" w:rsidRPr="00CA3535" w:rsidRDefault="00C14E11" w:rsidP="005461BE">
      <w:pPr>
        <w:pStyle w:val="CBDNormalNumber"/>
      </w:pPr>
      <w:r w:rsidRPr="00CA3535">
        <w:t>Among the find</w:t>
      </w:r>
      <w:r w:rsidR="008E39AA" w:rsidRPr="00CA3535">
        <w:t>ing</w:t>
      </w:r>
      <w:r w:rsidRPr="00CA3535">
        <w:t>s of the review the</w:t>
      </w:r>
      <w:r w:rsidR="00D17459" w:rsidRPr="00CA3535">
        <w:t xml:space="preserve"> following </w:t>
      </w:r>
      <w:r w:rsidRPr="00CA3535">
        <w:t xml:space="preserve">are of </w:t>
      </w:r>
      <w:proofErr w:type="gramStart"/>
      <w:r w:rsidRPr="00CA3535">
        <w:t>particular relevance</w:t>
      </w:r>
      <w:proofErr w:type="gramEnd"/>
      <w:r w:rsidRPr="00CA3535">
        <w:t xml:space="preserve"> to the Cartagena Protocol</w:t>
      </w:r>
      <w:r w:rsidR="00D17459" w:rsidRPr="00CA3535">
        <w:t xml:space="preserve">: </w:t>
      </w:r>
    </w:p>
    <w:p w14:paraId="1C5FA86B" w14:textId="1A715B97" w:rsidR="00C35DA8" w:rsidRPr="00CA3535" w:rsidRDefault="00C35DA8" w:rsidP="00C35DA8">
      <w:pPr>
        <w:pStyle w:val="CBDNormalNumber"/>
        <w:numPr>
          <w:ilvl w:val="1"/>
          <w:numId w:val="9"/>
        </w:numPr>
      </w:pPr>
      <w:r w:rsidRPr="00CA3535">
        <w:t xml:space="preserve">The </w:t>
      </w:r>
      <w:r w:rsidR="00725C0B" w:rsidRPr="00CA3535">
        <w:rPr>
          <w:lang w:val="en-SG"/>
        </w:rPr>
        <w:t>Global Environment Facility</w:t>
      </w:r>
      <w:r w:rsidRPr="00CA3535">
        <w:t xml:space="preserve"> has historically contributed to speeding up ratification and has promoted implementation processes of the</w:t>
      </w:r>
      <w:r w:rsidR="00E16AD2" w:rsidRPr="00CA3535">
        <w:t xml:space="preserve"> Cartagena</w:t>
      </w:r>
      <w:r w:rsidRPr="00CA3535">
        <w:t xml:space="preserve"> Protocol</w:t>
      </w:r>
      <w:r w:rsidR="00057C55" w:rsidRPr="00CA3535">
        <w:t>;</w:t>
      </w:r>
    </w:p>
    <w:p w14:paraId="1C657444" w14:textId="09D36FA0" w:rsidR="00C14E11" w:rsidRPr="00CA3535" w:rsidRDefault="00C35DA8" w:rsidP="00C35DA8">
      <w:pPr>
        <w:pStyle w:val="CBDNormalNumber"/>
        <w:numPr>
          <w:ilvl w:val="1"/>
          <w:numId w:val="9"/>
        </w:numPr>
      </w:pPr>
      <w:r w:rsidRPr="00CA3535">
        <w:t>While support</w:t>
      </w:r>
      <w:r w:rsidR="00725C0B" w:rsidRPr="00CA3535">
        <w:t xml:space="preserve"> from the </w:t>
      </w:r>
      <w:r w:rsidR="00725C0B" w:rsidRPr="00CA3535">
        <w:rPr>
          <w:lang w:val="en-SG"/>
        </w:rPr>
        <w:t>Global Environment Facility</w:t>
      </w:r>
      <w:r w:rsidRPr="00CA3535">
        <w:t xml:space="preserve"> has been consistent with the </w:t>
      </w:r>
      <w:r w:rsidR="00B475EE" w:rsidRPr="00CA3535">
        <w:t xml:space="preserve">Cartagena </w:t>
      </w:r>
      <w:r w:rsidRPr="00CA3535">
        <w:t xml:space="preserve">Protocol when programmed, the </w:t>
      </w:r>
      <w:r w:rsidR="00725C0B" w:rsidRPr="00CA3535">
        <w:rPr>
          <w:lang w:val="en-SG"/>
        </w:rPr>
        <w:t>Global Environment Facility</w:t>
      </w:r>
      <w:r w:rsidRPr="00CA3535">
        <w:t xml:space="preserve"> has not provided </w:t>
      </w:r>
      <w:r w:rsidR="00C14E11" w:rsidRPr="00CA3535">
        <w:t xml:space="preserve">for consistent levels of </w:t>
      </w:r>
      <w:r w:rsidRPr="00CA3535">
        <w:t xml:space="preserve">support </w:t>
      </w:r>
      <w:r w:rsidR="00C14E11" w:rsidRPr="00CA3535">
        <w:t>for implementation</w:t>
      </w:r>
      <w:r w:rsidR="00E53874" w:rsidRPr="00CA3535">
        <w:t xml:space="preserve"> </w:t>
      </w:r>
      <w:r w:rsidR="00C14E11" w:rsidRPr="00CA3535">
        <w:t xml:space="preserve">of </w:t>
      </w:r>
      <w:r w:rsidRPr="00CA3535">
        <w:t>the Protocol</w:t>
      </w:r>
      <w:r w:rsidR="00C14E11" w:rsidRPr="00CA3535">
        <w:t>;</w:t>
      </w:r>
    </w:p>
    <w:p w14:paraId="1CCCDE59" w14:textId="0F6DF058" w:rsidR="00C35DA8" w:rsidRPr="00CA3535" w:rsidRDefault="00C14E11" w:rsidP="00C35DA8">
      <w:pPr>
        <w:pStyle w:val="CBDNormalNumber"/>
        <w:numPr>
          <w:ilvl w:val="1"/>
          <w:numId w:val="9"/>
        </w:numPr>
      </w:pPr>
      <w:r w:rsidRPr="00CA3535">
        <w:t xml:space="preserve">The uptake of notional </w:t>
      </w:r>
      <w:r w:rsidR="00C35DA8" w:rsidRPr="00CA3535">
        <w:t>allocations</w:t>
      </w:r>
      <w:r w:rsidRPr="00CA3535">
        <w:t xml:space="preserve"> for support for implementation of the </w:t>
      </w:r>
      <w:r w:rsidR="00B475EE" w:rsidRPr="00CA3535">
        <w:t xml:space="preserve">Cartagena </w:t>
      </w:r>
      <w:r w:rsidRPr="00CA3535">
        <w:t>Protocol by eligible Parties has been variable and generally very low</w:t>
      </w:r>
      <w:r w:rsidR="00C35DA8" w:rsidRPr="00CA3535">
        <w:t>;</w:t>
      </w:r>
    </w:p>
    <w:p w14:paraId="7A7ACF20" w14:textId="412874DD" w:rsidR="00C35DA8" w:rsidRPr="00CA3535" w:rsidRDefault="00725C0B" w:rsidP="00C35DA8">
      <w:pPr>
        <w:pStyle w:val="CBDNormalNumber"/>
        <w:numPr>
          <w:ilvl w:val="1"/>
          <w:numId w:val="9"/>
        </w:numPr>
      </w:pPr>
      <w:r w:rsidRPr="00CA3535">
        <w:t xml:space="preserve">The </w:t>
      </w:r>
      <w:r w:rsidRPr="00CA3535">
        <w:rPr>
          <w:lang w:val="en-SG"/>
        </w:rPr>
        <w:t>Global Environment Facility</w:t>
      </w:r>
      <w:r w:rsidRPr="00CA3535">
        <w:t xml:space="preserve"> </w:t>
      </w:r>
      <w:r w:rsidR="00C35DA8" w:rsidRPr="00CA3535">
        <w:t xml:space="preserve">should be encouraged to further develop its funding modalities </w:t>
      </w:r>
      <w:proofErr w:type="gramStart"/>
      <w:r w:rsidR="00C35DA8" w:rsidRPr="00CA3535">
        <w:t>in order to</w:t>
      </w:r>
      <w:proofErr w:type="gramEnd"/>
      <w:r w:rsidR="00C35DA8" w:rsidRPr="00CA3535">
        <w:t xml:space="preserve"> provide support for the implementation of the </w:t>
      </w:r>
      <w:r w:rsidR="00B475EE" w:rsidRPr="00CA3535">
        <w:t xml:space="preserve">Cartagena </w:t>
      </w:r>
      <w:r w:rsidR="00C35DA8" w:rsidRPr="00CA3535">
        <w:t>Protocol in a systematic and flexible manner designed to fully take the complexities of institutional arrangements for biosafety mandates;</w:t>
      </w:r>
    </w:p>
    <w:p w14:paraId="5468F3D0" w14:textId="046641FA" w:rsidR="00C35DA8" w:rsidRPr="00CA3535" w:rsidRDefault="00C35DA8" w:rsidP="00CA3535">
      <w:pPr>
        <w:pStyle w:val="CBDNormalNumber"/>
        <w:numPr>
          <w:ilvl w:val="1"/>
          <w:numId w:val="9"/>
        </w:numPr>
      </w:pPr>
      <w:r w:rsidRPr="00CA3535">
        <w:t xml:space="preserve">There is a need for more capacity-building activities </w:t>
      </w:r>
      <w:proofErr w:type="gramStart"/>
      <w:r w:rsidRPr="00CA3535">
        <w:t>in order for</w:t>
      </w:r>
      <w:proofErr w:type="gramEnd"/>
      <w:r w:rsidRPr="00CA3535">
        <w:t xml:space="preserve"> greater country ownership and to enable developing countries to be able to </w:t>
      </w:r>
      <w:r w:rsidR="00B628F2" w:rsidRPr="00CA3535">
        <w:t xml:space="preserve">have </w:t>
      </w:r>
      <w:r w:rsidRPr="00CA3535">
        <w:t xml:space="preserve">access </w:t>
      </w:r>
      <w:r w:rsidR="00B628F2" w:rsidRPr="00CA3535">
        <w:t xml:space="preserve">to </w:t>
      </w:r>
      <w:r w:rsidRPr="00CA3535">
        <w:t>funds</w:t>
      </w:r>
      <w:r w:rsidR="00725C0B" w:rsidRPr="00CA3535">
        <w:t xml:space="preserve"> from the </w:t>
      </w:r>
      <w:r w:rsidR="00725C0B" w:rsidRPr="00CA3535">
        <w:rPr>
          <w:lang w:val="en-SG"/>
        </w:rPr>
        <w:t>Global Environment Facility</w:t>
      </w:r>
      <w:r w:rsidRPr="00CA3535">
        <w:t xml:space="preserve"> without being hampered by procedural difficulties or </w:t>
      </w:r>
      <w:r w:rsidR="00216C63" w:rsidRPr="00CA3535">
        <w:t>i</w:t>
      </w:r>
      <w:r w:rsidRPr="00CA3535">
        <w:t xml:space="preserve">mplementing </w:t>
      </w:r>
      <w:r w:rsidR="00216C63" w:rsidRPr="00CA3535">
        <w:t>a</w:t>
      </w:r>
      <w:r w:rsidRPr="00CA3535">
        <w:t>gency priorities;</w:t>
      </w:r>
    </w:p>
    <w:p w14:paraId="595E4FB2" w14:textId="4A930267" w:rsidR="00C35DA8" w:rsidRPr="00CA3535" w:rsidRDefault="00C35DA8" w:rsidP="00C35DA8">
      <w:pPr>
        <w:pStyle w:val="CBDNormalNumber"/>
        <w:numPr>
          <w:ilvl w:val="1"/>
          <w:numId w:val="9"/>
        </w:numPr>
      </w:pPr>
      <w:r w:rsidRPr="00CA3535">
        <w:t xml:space="preserve">The timely disbursements of funds under the </w:t>
      </w:r>
      <w:r w:rsidR="00B475EE" w:rsidRPr="00CA3535">
        <w:t xml:space="preserve">Cartagena </w:t>
      </w:r>
      <w:r w:rsidRPr="00CA3535">
        <w:t>Protocol needs to be monitored to ensure effectiveness</w:t>
      </w:r>
      <w:r w:rsidR="00ED355C" w:rsidRPr="00CA3535">
        <w:t>;</w:t>
      </w:r>
    </w:p>
    <w:p w14:paraId="12245767" w14:textId="24DAF584" w:rsidR="00C35DA8" w:rsidRPr="00CA3535" w:rsidRDefault="00C35DA8" w:rsidP="00C35DA8">
      <w:pPr>
        <w:pStyle w:val="CBDNormalNumber"/>
        <w:numPr>
          <w:ilvl w:val="1"/>
          <w:numId w:val="9"/>
        </w:numPr>
      </w:pPr>
      <w:r w:rsidRPr="00CA3535">
        <w:rPr>
          <w:lang w:val="en-SG"/>
        </w:rPr>
        <w:t>There is need to consider setting up a stand</w:t>
      </w:r>
      <w:r w:rsidR="00B628F2" w:rsidRPr="00CA3535">
        <w:rPr>
          <w:lang w:val="en-SG"/>
        </w:rPr>
        <w:t>-</w:t>
      </w:r>
      <w:r w:rsidRPr="00CA3535">
        <w:rPr>
          <w:lang w:val="en-SG"/>
        </w:rPr>
        <w:t>alone window or alternative dedicated access mechanism for biosafety to enhance implementation of the Cartagena Protocol;</w:t>
      </w:r>
      <w:r w:rsidR="00C14E11" w:rsidRPr="00CA3535">
        <w:t xml:space="preserve"> the developing countries which provided a response to the question of creating a stand</w:t>
      </w:r>
      <w:r w:rsidR="00B628F2" w:rsidRPr="00CA3535">
        <w:t>-</w:t>
      </w:r>
      <w:r w:rsidR="00C14E11" w:rsidRPr="00CA3535">
        <w:t>alone window for biosafety were unanimous in their support for such a stand</w:t>
      </w:r>
      <w:r w:rsidR="00B628F2" w:rsidRPr="00CA3535">
        <w:t>-</w:t>
      </w:r>
      <w:r w:rsidR="00C14E11" w:rsidRPr="00CA3535">
        <w:t>alone window;</w:t>
      </w:r>
    </w:p>
    <w:p w14:paraId="13132407" w14:textId="2A646441" w:rsidR="00C35DA8" w:rsidRPr="00CA3535" w:rsidRDefault="00C35DA8" w:rsidP="00CE62CC">
      <w:pPr>
        <w:pStyle w:val="CBDNormalNumber"/>
        <w:numPr>
          <w:ilvl w:val="1"/>
          <w:numId w:val="9"/>
        </w:numPr>
      </w:pPr>
      <w:r w:rsidRPr="00CA3535">
        <w:t xml:space="preserve">Programming for the </w:t>
      </w:r>
      <w:r w:rsidR="00B42145" w:rsidRPr="00CA3535">
        <w:t>Cartagena P</w:t>
      </w:r>
      <w:r w:rsidRPr="00CA3535">
        <w:t xml:space="preserve">rotocol is further constrained by the lack of capacity from recipient countries to design biosafety proposals and the limited assistance from </w:t>
      </w:r>
      <w:r w:rsidR="00102AAB" w:rsidRPr="00CA3535">
        <w:t xml:space="preserve">the </w:t>
      </w:r>
      <w:r w:rsidR="00102AAB" w:rsidRPr="00CA3535">
        <w:rPr>
          <w:lang w:val="en-SG"/>
        </w:rPr>
        <w:t xml:space="preserve">Global Environment Facility </w:t>
      </w:r>
      <w:r w:rsidRPr="00CA3535">
        <w:t xml:space="preserve">Secretariat and </w:t>
      </w:r>
      <w:r w:rsidR="00854394" w:rsidRPr="00CA3535">
        <w:t>i</w:t>
      </w:r>
      <w:r w:rsidRPr="00CA3535">
        <w:t xml:space="preserve">mplementing </w:t>
      </w:r>
      <w:r w:rsidR="00854394" w:rsidRPr="00CA3535">
        <w:t>a</w:t>
      </w:r>
      <w:r w:rsidRPr="00CA3535">
        <w:t>gencies in this regard.</w:t>
      </w:r>
    </w:p>
    <w:p w14:paraId="2C14941F" w14:textId="12A0E508" w:rsidR="009164F5" w:rsidRPr="00CA3535" w:rsidRDefault="00C35DA8" w:rsidP="00AC2CEE">
      <w:pPr>
        <w:pStyle w:val="CBDH1"/>
      </w:pPr>
      <w:r w:rsidRPr="00CA3535">
        <w:t>V.</w:t>
      </w:r>
      <w:r w:rsidRPr="00CA3535">
        <w:tab/>
      </w:r>
      <w:r w:rsidR="00494FEC" w:rsidRPr="00CA3535">
        <w:t>Dra</w:t>
      </w:r>
      <w:r w:rsidR="00C74C75" w:rsidRPr="00CA3535">
        <w:t>f</w:t>
      </w:r>
      <w:r w:rsidR="00494FEC" w:rsidRPr="00CA3535">
        <w:t xml:space="preserve">t </w:t>
      </w:r>
      <w:r w:rsidRPr="00CA3535">
        <w:t>decision</w:t>
      </w:r>
    </w:p>
    <w:p w14:paraId="5BB4646F" w14:textId="733F6B71" w:rsidR="00FB0168" w:rsidRPr="00CA3535" w:rsidRDefault="00FB0168" w:rsidP="00CA3535">
      <w:pPr>
        <w:pStyle w:val="CBDNormalNumber"/>
        <w:keepNext/>
        <w:spacing w:before="120"/>
      </w:pPr>
      <w:r w:rsidRPr="00CA3535">
        <w:rPr>
          <w:kern w:val="22"/>
        </w:rPr>
        <w:t xml:space="preserve">In the light of the information </w:t>
      </w:r>
      <w:r w:rsidR="00996BE6" w:rsidRPr="00CA3535">
        <w:rPr>
          <w:kern w:val="22"/>
        </w:rPr>
        <w:t>provided in the present note,</w:t>
      </w:r>
      <w:r w:rsidRPr="00CA3535">
        <w:rPr>
          <w:kern w:val="22"/>
        </w:rPr>
        <w:t xml:space="preserve"> and taking into </w:t>
      </w:r>
      <w:r w:rsidR="00494FEC" w:rsidRPr="00CA3535">
        <w:rPr>
          <w:kern w:val="22"/>
        </w:rPr>
        <w:t xml:space="preserve">consideration </w:t>
      </w:r>
      <w:r w:rsidR="00CE62CC" w:rsidRPr="00CA3535">
        <w:rPr>
          <w:kern w:val="22"/>
        </w:rPr>
        <w:t xml:space="preserve">relevant elements of recommendation 4/4 </w:t>
      </w:r>
      <w:r w:rsidRPr="00CA3535">
        <w:rPr>
          <w:kern w:val="22"/>
        </w:rPr>
        <w:t>of the Subsidiary Body on Implementation</w:t>
      </w:r>
      <w:r w:rsidR="00CE62CC" w:rsidRPr="00CA3535">
        <w:rPr>
          <w:kern w:val="22"/>
        </w:rPr>
        <w:t>,</w:t>
      </w:r>
      <w:r w:rsidRPr="00CA3535">
        <w:t xml:space="preserve"> the Conference </w:t>
      </w:r>
      <w:r w:rsidRPr="00CA3535">
        <w:lastRenderedPageBreak/>
        <w:t xml:space="preserve">of the Parties serving as the meeting of the Parties to the </w:t>
      </w:r>
      <w:r w:rsidR="00B475EE" w:rsidRPr="00CA3535">
        <w:t xml:space="preserve">Cartagena </w:t>
      </w:r>
      <w:r w:rsidRPr="00CA3535">
        <w:t xml:space="preserve">Protocol may wish to </w:t>
      </w:r>
      <w:r w:rsidR="00CE62CC" w:rsidRPr="00CA3535">
        <w:t xml:space="preserve">adopt a </w:t>
      </w:r>
      <w:r w:rsidRPr="00CA3535">
        <w:t>decision along the following lines:</w:t>
      </w:r>
    </w:p>
    <w:p w14:paraId="4E2E98CA" w14:textId="09EEBCC5" w:rsidR="00CE62CC" w:rsidRPr="00CA3535" w:rsidRDefault="00CE62CC" w:rsidP="00CA3535">
      <w:pPr>
        <w:pStyle w:val="Para10"/>
        <w:keepNext/>
        <w:tabs>
          <w:tab w:val="left" w:pos="567"/>
          <w:tab w:val="left" w:pos="1134"/>
          <w:tab w:val="left" w:pos="1701"/>
          <w:tab w:val="left" w:pos="2268"/>
        </w:tabs>
        <w:ind w:left="567" w:firstLine="567"/>
        <w:rPr>
          <w:szCs w:val="22"/>
        </w:rPr>
      </w:pPr>
      <w:r w:rsidRPr="00CA3535">
        <w:rPr>
          <w:i/>
          <w:iCs/>
          <w:szCs w:val="22"/>
        </w:rPr>
        <w:t>The Conference of the Parties serving as the meeting of the Parties to the Cartagena Protocol on Biosafety</w:t>
      </w:r>
      <w:r w:rsidRPr="00CA3535">
        <w:rPr>
          <w:szCs w:val="22"/>
        </w:rPr>
        <w:t>,</w:t>
      </w:r>
    </w:p>
    <w:p w14:paraId="6CA85A97" w14:textId="6C198E2F" w:rsidR="00CE62CC" w:rsidRPr="00CA3535" w:rsidRDefault="00CE62CC" w:rsidP="00CA3535">
      <w:pPr>
        <w:pStyle w:val="Para1"/>
        <w:ind w:firstLine="567"/>
        <w:rPr>
          <w:snapToGrid w:val="0"/>
        </w:rPr>
      </w:pPr>
      <w:r w:rsidRPr="00CA3535">
        <w:rPr>
          <w:i/>
          <w:iCs/>
        </w:rPr>
        <w:t xml:space="preserve">Taking note </w:t>
      </w:r>
      <w:r w:rsidRPr="00CA3535">
        <w:t xml:space="preserve">of the report of the </w:t>
      </w:r>
      <w:r w:rsidR="00C16420" w:rsidRPr="00CA3535">
        <w:t xml:space="preserve">Council of the </w:t>
      </w:r>
      <w:r w:rsidRPr="00CA3535">
        <w:t xml:space="preserve">Global Environment Facility </w:t>
      </w:r>
      <w:r w:rsidR="00C16420" w:rsidRPr="00CA3535">
        <w:t xml:space="preserve">for the sixteenth meeting of </w:t>
      </w:r>
      <w:r w:rsidRPr="00CA3535">
        <w:t xml:space="preserve">the Conference of the Parties </w:t>
      </w:r>
      <w:r w:rsidR="003E1115" w:rsidRPr="00CA3535">
        <w:t>to the Convention</w:t>
      </w:r>
      <w:r w:rsidR="00371B9E" w:rsidRPr="00CA3535">
        <w:rPr>
          <w:snapToGrid w:val="0"/>
        </w:rPr>
        <w:t xml:space="preserve"> on Biological Diversity</w:t>
      </w:r>
      <w:r w:rsidR="00371B9E" w:rsidRPr="00CA3535">
        <w:rPr>
          <w:rStyle w:val="FootnoteReference"/>
          <w:snapToGrid w:val="0"/>
        </w:rPr>
        <w:footnoteReference w:id="9"/>
      </w:r>
      <w:r w:rsidR="00371B9E" w:rsidRPr="00CA3535">
        <w:rPr>
          <w:snapToGrid w:val="0"/>
          <w:vertAlign w:val="superscript"/>
        </w:rPr>
        <w:t>,</w:t>
      </w:r>
      <w:r w:rsidR="00C229CF" w:rsidRPr="00CA3535">
        <w:rPr>
          <w:rStyle w:val="FootnoteReference"/>
        </w:rPr>
        <w:footnoteReference w:id="10"/>
      </w:r>
      <w:r w:rsidR="003E1115" w:rsidRPr="00CA3535">
        <w:t xml:space="preserve"> </w:t>
      </w:r>
      <w:r w:rsidRPr="00CA3535">
        <w:t xml:space="preserve">and the report </w:t>
      </w:r>
      <w:r w:rsidR="00F81173" w:rsidRPr="00CA3535">
        <w:t xml:space="preserve">on </w:t>
      </w:r>
      <w:r w:rsidRPr="00CA3535">
        <w:t xml:space="preserve">the </w:t>
      </w:r>
      <w:r w:rsidR="00C056EE" w:rsidRPr="00CA3535">
        <w:rPr>
          <w:snapToGrid w:val="0"/>
        </w:rPr>
        <w:t>s</w:t>
      </w:r>
      <w:r w:rsidRPr="00CA3535">
        <w:rPr>
          <w:snapToGrid w:val="0"/>
        </w:rPr>
        <w:t xml:space="preserve">ixth </w:t>
      </w:r>
      <w:r w:rsidR="00C056EE" w:rsidRPr="00CA3535">
        <w:rPr>
          <w:snapToGrid w:val="0"/>
        </w:rPr>
        <w:t>r</w:t>
      </w:r>
      <w:r w:rsidRPr="00CA3535">
        <w:rPr>
          <w:snapToGrid w:val="0"/>
        </w:rPr>
        <w:t xml:space="preserve">eview of the </w:t>
      </w:r>
      <w:r w:rsidR="00C056EE" w:rsidRPr="00CA3535">
        <w:rPr>
          <w:snapToGrid w:val="0"/>
        </w:rPr>
        <w:t>e</w:t>
      </w:r>
      <w:r w:rsidRPr="00CA3535">
        <w:rPr>
          <w:snapToGrid w:val="0"/>
        </w:rPr>
        <w:t xml:space="preserve">ffectiveness of the </w:t>
      </w:r>
      <w:r w:rsidR="00C056EE" w:rsidRPr="00CA3535">
        <w:rPr>
          <w:snapToGrid w:val="0"/>
        </w:rPr>
        <w:t>f</w:t>
      </w:r>
      <w:r w:rsidRPr="00CA3535">
        <w:rPr>
          <w:snapToGrid w:val="0"/>
        </w:rPr>
        <w:t xml:space="preserve">inancial </w:t>
      </w:r>
      <w:r w:rsidR="00C056EE" w:rsidRPr="00CA3535">
        <w:rPr>
          <w:snapToGrid w:val="0"/>
        </w:rPr>
        <w:t>m</w:t>
      </w:r>
      <w:r w:rsidRPr="00CA3535">
        <w:rPr>
          <w:snapToGrid w:val="0"/>
        </w:rPr>
        <w:t>echanism</w:t>
      </w:r>
      <w:r w:rsidR="00414A2E" w:rsidRPr="00CA3535">
        <w:rPr>
          <w:snapToGrid w:val="0"/>
        </w:rPr>
        <w:t>,</w:t>
      </w:r>
      <w:r w:rsidR="00414A2E" w:rsidRPr="00CA3535">
        <w:rPr>
          <w:rStyle w:val="FootnoteReference"/>
          <w:snapToGrid w:val="0"/>
        </w:rPr>
        <w:footnoteReference w:id="11"/>
      </w:r>
    </w:p>
    <w:p w14:paraId="11A85190" w14:textId="4D6C1D1F" w:rsidR="00CE62CC" w:rsidRPr="00CA3535" w:rsidRDefault="00CE62CC" w:rsidP="00CA3535">
      <w:pPr>
        <w:pStyle w:val="Para1"/>
        <w:ind w:firstLine="567"/>
        <w:rPr>
          <w:bCs/>
        </w:rPr>
      </w:pPr>
      <w:r w:rsidRPr="00CA3535">
        <w:rPr>
          <w:i/>
          <w:iCs/>
          <w:snapToGrid w:val="0"/>
        </w:rPr>
        <w:t>Noting with concern</w:t>
      </w:r>
      <w:r w:rsidRPr="00CA3535">
        <w:rPr>
          <w:snapToGrid w:val="0"/>
        </w:rPr>
        <w:t xml:space="preserve"> that</w:t>
      </w:r>
      <w:r w:rsidR="00E72553" w:rsidRPr="00CA3535">
        <w:rPr>
          <w:snapToGrid w:val="0"/>
        </w:rPr>
        <w:t>,</w:t>
      </w:r>
      <w:r w:rsidRPr="00CA3535">
        <w:rPr>
          <w:snapToGrid w:val="0"/>
        </w:rPr>
        <w:t xml:space="preserve"> two</w:t>
      </w:r>
      <w:r w:rsidR="00B01773" w:rsidRPr="00CA3535">
        <w:rPr>
          <w:snapToGrid w:val="0"/>
        </w:rPr>
        <w:t xml:space="preserve"> </w:t>
      </w:r>
      <w:r w:rsidRPr="00CA3535">
        <w:rPr>
          <w:snapToGrid w:val="0"/>
        </w:rPr>
        <w:t xml:space="preserve">years </w:t>
      </w:r>
      <w:r w:rsidR="00B01773" w:rsidRPr="00CA3535">
        <w:rPr>
          <w:snapToGrid w:val="0"/>
        </w:rPr>
        <w:t xml:space="preserve">into the </w:t>
      </w:r>
      <w:r w:rsidRPr="00CA3535">
        <w:rPr>
          <w:snapToGrid w:val="0"/>
        </w:rPr>
        <w:t xml:space="preserve">implementation of the eighth replenishment cycle of the </w:t>
      </w:r>
      <w:r w:rsidRPr="00CA3535">
        <w:t>Global Environment Facility</w:t>
      </w:r>
      <w:r w:rsidR="00134899" w:rsidRPr="00CA3535">
        <w:t xml:space="preserve"> </w:t>
      </w:r>
      <w:r w:rsidR="00F946BC" w:rsidRPr="00CA3535">
        <w:t>T</w:t>
      </w:r>
      <w:r w:rsidR="00134899" w:rsidRPr="00CA3535">
        <w:t xml:space="preserve">rust </w:t>
      </w:r>
      <w:r w:rsidR="00F946BC" w:rsidRPr="00CA3535">
        <w:t>F</w:t>
      </w:r>
      <w:r w:rsidR="00134899" w:rsidRPr="00CA3535">
        <w:t>und</w:t>
      </w:r>
      <w:r w:rsidR="00B01773" w:rsidRPr="00CA3535">
        <w:t>,</w:t>
      </w:r>
      <w:r w:rsidRPr="00CA3535">
        <w:t xml:space="preserve"> </w:t>
      </w:r>
      <w:r w:rsidRPr="00CA3535">
        <w:rPr>
          <w:bCs/>
        </w:rPr>
        <w:t xml:space="preserve">no projects have been </w:t>
      </w:r>
      <w:r w:rsidR="00D812E6" w:rsidRPr="00CA3535">
        <w:rPr>
          <w:bCs/>
        </w:rPr>
        <w:t xml:space="preserve">submitted to </w:t>
      </w:r>
      <w:r w:rsidRPr="00CA3535">
        <w:rPr>
          <w:bCs/>
        </w:rPr>
        <w:t>support the implementation of the Cartagena Protocol</w:t>
      </w:r>
      <w:r w:rsidR="00B475EE" w:rsidRPr="00CA3535">
        <w:rPr>
          <w:bCs/>
        </w:rPr>
        <w:t xml:space="preserve"> on Biosafety</w:t>
      </w:r>
      <w:r w:rsidRPr="00CA3535">
        <w:rPr>
          <w:bCs/>
        </w:rPr>
        <w:t>,</w:t>
      </w:r>
      <w:r w:rsidR="005A2718" w:rsidRPr="00CA3535">
        <w:rPr>
          <w:rStyle w:val="FootnoteReference"/>
          <w:bCs/>
        </w:rPr>
        <w:footnoteReference w:id="12"/>
      </w:r>
    </w:p>
    <w:p w14:paraId="014DBAC9" w14:textId="47A6064D" w:rsidR="00CE62CC" w:rsidRPr="00CA3535" w:rsidRDefault="00CE62CC" w:rsidP="00CA3535">
      <w:pPr>
        <w:pStyle w:val="Para1"/>
        <w:ind w:firstLine="567"/>
      </w:pPr>
      <w:r w:rsidRPr="00CA3535">
        <w:rPr>
          <w:i/>
          <w:iCs/>
          <w:lang w:val="en-ZA" w:eastAsia="en-GB"/>
        </w:rPr>
        <w:t>Welcoming</w:t>
      </w:r>
      <w:r w:rsidRPr="00CA3535">
        <w:rPr>
          <w:lang w:val="en-ZA" w:eastAsia="en-GB"/>
        </w:rPr>
        <w:t xml:space="preserve"> the establishment and operationalization of the </w:t>
      </w:r>
      <w:r w:rsidRPr="00CA3535">
        <w:rPr>
          <w:rFonts w:eastAsia="MS Mincho"/>
          <w:iCs/>
        </w:rPr>
        <w:t xml:space="preserve">Global Biodiversity Framework Fund </w:t>
      </w:r>
      <w:r w:rsidRPr="00CA3535">
        <w:rPr>
          <w:lang w:val="en-ZA" w:eastAsia="en-GB"/>
        </w:rPr>
        <w:t>and its programming directions</w:t>
      </w:r>
      <w:r w:rsidR="00403C05" w:rsidRPr="00CA3535">
        <w:rPr>
          <w:lang w:val="en-ZA" w:eastAsia="en-GB"/>
        </w:rPr>
        <w:t>,</w:t>
      </w:r>
      <w:r w:rsidRPr="00CA3535">
        <w:rPr>
          <w:lang w:val="en-ZA" w:eastAsia="en-GB"/>
        </w:rPr>
        <w:t xml:space="preserve"> which include action areas to support the implementation of the Cartagena Protocol</w:t>
      </w:r>
      <w:r w:rsidR="00777EDF" w:rsidRPr="00CA3535">
        <w:rPr>
          <w:lang w:val="en-ZA" w:eastAsia="en-GB"/>
        </w:rPr>
        <w:t>,</w:t>
      </w:r>
    </w:p>
    <w:p w14:paraId="1E0370B6" w14:textId="09062F3F" w:rsidR="00CE62CC" w:rsidRPr="00CA3535" w:rsidRDefault="00CE62CC" w:rsidP="00CA3535">
      <w:pPr>
        <w:pStyle w:val="Para1"/>
        <w:ind w:firstLine="567"/>
      </w:pPr>
      <w:r w:rsidRPr="00CA3535">
        <w:rPr>
          <w:i/>
          <w:iCs/>
        </w:rPr>
        <w:t xml:space="preserve">Recalling </w:t>
      </w:r>
      <w:r w:rsidRPr="00CA3535">
        <w:t>decision</w:t>
      </w:r>
      <w:r w:rsidR="00634A8B" w:rsidRPr="00CA3535">
        <w:t xml:space="preserve"> </w:t>
      </w:r>
      <w:hyperlink r:id="rId14" w:history="1">
        <w:r w:rsidRPr="00CA3535">
          <w:rPr>
            <w:rStyle w:val="Hyperlink"/>
          </w:rPr>
          <w:t>15/15</w:t>
        </w:r>
      </w:hyperlink>
      <w:r w:rsidRPr="00CA3535">
        <w:t xml:space="preserve"> of the Conference of the Parties</w:t>
      </w:r>
      <w:r w:rsidR="002419CD" w:rsidRPr="00CA3535">
        <w:t xml:space="preserve"> to the Convention</w:t>
      </w:r>
      <w:r w:rsidRPr="00CA3535">
        <w:t xml:space="preserve">, </w:t>
      </w:r>
      <w:r w:rsidR="003C51DC" w:rsidRPr="00CA3535">
        <w:t xml:space="preserve">in </w:t>
      </w:r>
      <w:r w:rsidRPr="00CA3535">
        <w:t xml:space="preserve">which the Conference of the Parties </w:t>
      </w:r>
      <w:r w:rsidR="00E31B4E" w:rsidRPr="00CA3535">
        <w:t>invited the</w:t>
      </w:r>
      <w:r w:rsidRPr="00CA3535">
        <w:rPr>
          <w:snapToGrid w:val="0"/>
        </w:rPr>
        <w:t xml:space="preserve"> Council of the Global Environment Facility to examine the possibility of creating a finance window specifically for the Cartagena Protocol</w:t>
      </w:r>
      <w:r w:rsidR="00777EDF" w:rsidRPr="00CA3535">
        <w:rPr>
          <w:snapToGrid w:val="0"/>
        </w:rPr>
        <w:t>,</w:t>
      </w:r>
    </w:p>
    <w:p w14:paraId="0507B8BC" w14:textId="074BD7BA" w:rsidR="00CE62CC" w:rsidRPr="00CA3535" w:rsidRDefault="007B0E33" w:rsidP="00CA3535">
      <w:pPr>
        <w:pStyle w:val="Para1"/>
        <w:ind w:firstLine="567"/>
        <w:rPr>
          <w:lang w:val="en-ZA" w:eastAsia="en-GB"/>
        </w:rPr>
      </w:pPr>
      <w:r w:rsidRPr="00CA3535">
        <w:rPr>
          <w:lang w:val="en-ZA" w:eastAsia="en-GB"/>
        </w:rPr>
        <w:t>1.</w:t>
      </w:r>
      <w:r w:rsidRPr="00CA3535">
        <w:rPr>
          <w:lang w:val="en-ZA" w:eastAsia="en-GB"/>
        </w:rPr>
        <w:tab/>
      </w:r>
      <w:r w:rsidR="00CE62CC" w:rsidRPr="00CA3535">
        <w:rPr>
          <w:i/>
          <w:iCs/>
          <w:lang w:val="en-ZA" w:eastAsia="en-GB"/>
        </w:rPr>
        <w:t xml:space="preserve">Recommends </w:t>
      </w:r>
      <w:r w:rsidR="00CE62CC" w:rsidRPr="00CA3535">
        <w:rPr>
          <w:lang w:val="en-ZA" w:eastAsia="en-GB"/>
        </w:rPr>
        <w:t>that</w:t>
      </w:r>
      <w:r w:rsidR="00842B5E" w:rsidRPr="00CA3535">
        <w:rPr>
          <w:lang w:val="en-ZA" w:eastAsia="en-GB"/>
        </w:rPr>
        <w:t xml:space="preserve">, in adopting its guidance to the Global Environment Facility </w:t>
      </w:r>
      <w:proofErr w:type="gramStart"/>
      <w:r w:rsidR="00842B5E" w:rsidRPr="00CA3535">
        <w:rPr>
          <w:lang w:val="en-ZA" w:eastAsia="en-GB"/>
        </w:rPr>
        <w:t xml:space="preserve">with </w:t>
      </w:r>
      <w:r w:rsidR="004E7514" w:rsidRPr="00CA3535">
        <w:rPr>
          <w:lang w:val="en-ZA" w:eastAsia="en-GB"/>
        </w:rPr>
        <w:t>regard</w:t>
      </w:r>
      <w:r w:rsidR="00842B5E" w:rsidRPr="00CA3535">
        <w:rPr>
          <w:lang w:val="en-ZA" w:eastAsia="en-GB"/>
        </w:rPr>
        <w:t xml:space="preserve"> to</w:t>
      </w:r>
      <w:proofErr w:type="gramEnd"/>
      <w:r w:rsidR="00842B5E" w:rsidRPr="00CA3535">
        <w:rPr>
          <w:lang w:val="en-ZA" w:eastAsia="en-GB"/>
        </w:rPr>
        <w:t xml:space="preserve"> support for the </w:t>
      </w:r>
      <w:r w:rsidR="00842B5E" w:rsidRPr="00CA3535">
        <w:t>implementation</w:t>
      </w:r>
      <w:r w:rsidR="00842B5E" w:rsidRPr="00CA3535">
        <w:rPr>
          <w:lang w:val="en-ZA" w:eastAsia="en-GB"/>
        </w:rPr>
        <w:t xml:space="preserve"> of the Cartagena Protocol on Biosafety,</w:t>
      </w:r>
      <w:r w:rsidR="00CE62CC" w:rsidRPr="00CA3535">
        <w:rPr>
          <w:lang w:val="en-ZA" w:eastAsia="en-GB"/>
        </w:rPr>
        <w:t xml:space="preserve"> the Conference of the Parties</w:t>
      </w:r>
      <w:r w:rsidR="00571DC9" w:rsidRPr="00CA3535">
        <w:rPr>
          <w:lang w:val="en-ZA" w:eastAsia="en-GB"/>
        </w:rPr>
        <w:t xml:space="preserve"> to the Convention</w:t>
      </w:r>
      <w:r w:rsidR="00571DC9" w:rsidRPr="00CA3535">
        <w:t xml:space="preserve"> on Biological Diversity</w:t>
      </w:r>
      <w:r w:rsidR="00CE62CC" w:rsidRPr="00CA3535">
        <w:rPr>
          <w:lang w:val="en-ZA" w:eastAsia="en-GB"/>
        </w:rPr>
        <w:t xml:space="preserve"> include the following requests to the Global Environment Facility: </w:t>
      </w:r>
    </w:p>
    <w:p w14:paraId="1446AF45" w14:textId="3673C12C" w:rsidR="00CE62CC" w:rsidRPr="00CA3535" w:rsidRDefault="00634A8B" w:rsidP="00CA3535">
      <w:pPr>
        <w:pStyle w:val="Para2"/>
        <w:ind w:left="567" w:firstLine="567"/>
      </w:pPr>
      <w:r w:rsidRPr="00CA3535">
        <w:rPr>
          <w:lang w:val="en-ZA" w:eastAsia="en-GB"/>
        </w:rPr>
        <w:t>(a)</w:t>
      </w:r>
      <w:r w:rsidRPr="00CA3535">
        <w:rPr>
          <w:lang w:val="en-ZA" w:eastAsia="en-GB"/>
        </w:rPr>
        <w:tab/>
      </w:r>
      <w:r w:rsidR="004B17E3" w:rsidRPr="00CA3535">
        <w:rPr>
          <w:lang w:val="en-ZA" w:eastAsia="en-GB"/>
        </w:rPr>
        <w:t>T</w:t>
      </w:r>
      <w:r w:rsidR="00CE62CC" w:rsidRPr="00CA3535">
        <w:rPr>
          <w:lang w:val="en-ZA" w:eastAsia="en-GB"/>
        </w:rPr>
        <w:t>o make funds available in a timely manner to support eligible Parties in preparing and submitting their fifth national reports under the Cartagena Protocol;</w:t>
      </w:r>
    </w:p>
    <w:p w14:paraId="76BEB747" w14:textId="2CAA5DFB" w:rsidR="00CE62CC" w:rsidRPr="00CA3535" w:rsidRDefault="00634A8B" w:rsidP="00CA3535">
      <w:pPr>
        <w:pStyle w:val="Para2"/>
        <w:ind w:left="567" w:firstLine="567"/>
        <w:rPr>
          <w:lang w:val="en-ZA" w:eastAsia="en-GB"/>
        </w:rPr>
      </w:pPr>
      <w:r w:rsidRPr="00CA3535">
        <w:t>(b)</w:t>
      </w:r>
      <w:r w:rsidRPr="00CA3535">
        <w:tab/>
      </w:r>
      <w:r w:rsidR="004B17E3" w:rsidRPr="00CA3535">
        <w:t>T</w:t>
      </w:r>
      <w:r w:rsidR="00CE62CC" w:rsidRPr="00CA3535">
        <w:t xml:space="preserve">o </w:t>
      </w:r>
      <w:r w:rsidR="00CE62CC" w:rsidRPr="00CA3535">
        <w:rPr>
          <w:lang w:val="en-ZA" w:eastAsia="en-GB"/>
        </w:rPr>
        <w:t xml:space="preserve">strengthen its funding programme dedicated to the Cartagena Protocol to support eligible Parties in implementing the Protocol, </w:t>
      </w:r>
      <w:r w:rsidR="00260F25" w:rsidRPr="00CA3535">
        <w:rPr>
          <w:lang w:val="en-ZA" w:eastAsia="en-GB"/>
        </w:rPr>
        <w:t xml:space="preserve">including </w:t>
      </w:r>
      <w:r w:rsidR="007147E9" w:rsidRPr="00CA3535">
        <w:rPr>
          <w:lang w:val="en-ZA" w:eastAsia="en-GB"/>
        </w:rPr>
        <w:t>its i</w:t>
      </w:r>
      <w:r w:rsidR="00CE62CC" w:rsidRPr="00CA3535">
        <w:rPr>
          <w:lang w:val="en-ZA" w:eastAsia="en-GB"/>
        </w:rPr>
        <w:t xml:space="preserve">mplementation </w:t>
      </w:r>
      <w:r w:rsidR="007147E9" w:rsidRPr="00CA3535">
        <w:rPr>
          <w:lang w:val="en-ZA" w:eastAsia="en-GB"/>
        </w:rPr>
        <w:t>p</w:t>
      </w:r>
      <w:r w:rsidR="00CE62CC" w:rsidRPr="00CA3535">
        <w:rPr>
          <w:lang w:val="en-ZA" w:eastAsia="en-GB"/>
        </w:rPr>
        <w:t>lan</w:t>
      </w:r>
      <w:r w:rsidR="007147E9" w:rsidRPr="00CA3535">
        <w:rPr>
          <w:rStyle w:val="FootnoteReference"/>
          <w:lang w:eastAsia="en-GB"/>
        </w:rPr>
        <w:footnoteReference w:id="13"/>
      </w:r>
      <w:r w:rsidR="00CE62CC" w:rsidRPr="00CA3535">
        <w:rPr>
          <w:lang w:val="en-ZA" w:eastAsia="en-GB"/>
        </w:rPr>
        <w:t xml:space="preserve"> and </w:t>
      </w:r>
      <w:r w:rsidR="009D244B" w:rsidRPr="00CA3535">
        <w:rPr>
          <w:lang w:val="en-ZA" w:eastAsia="en-GB"/>
        </w:rPr>
        <w:t xml:space="preserve">its </w:t>
      </w:r>
      <w:r w:rsidR="007147E9" w:rsidRPr="00CA3535">
        <w:rPr>
          <w:lang w:val="en-ZA" w:eastAsia="en-GB"/>
        </w:rPr>
        <w:t>c</w:t>
      </w:r>
      <w:r w:rsidR="00CE62CC" w:rsidRPr="00CA3535">
        <w:rPr>
          <w:lang w:val="en-ZA" w:eastAsia="en-GB"/>
        </w:rPr>
        <w:t xml:space="preserve">apacity-building </w:t>
      </w:r>
      <w:r w:rsidR="007147E9" w:rsidRPr="00CA3535">
        <w:rPr>
          <w:lang w:val="en-ZA" w:eastAsia="en-GB"/>
        </w:rPr>
        <w:t>a</w:t>
      </w:r>
      <w:r w:rsidR="00CE62CC" w:rsidRPr="00CA3535">
        <w:rPr>
          <w:lang w:val="en-ZA" w:eastAsia="en-GB"/>
        </w:rPr>
        <w:t xml:space="preserve">ction </w:t>
      </w:r>
      <w:r w:rsidR="007147E9" w:rsidRPr="00CA3535">
        <w:rPr>
          <w:lang w:val="en-ZA" w:eastAsia="en-GB"/>
        </w:rPr>
        <w:t>p</w:t>
      </w:r>
      <w:r w:rsidR="00CE62CC" w:rsidRPr="00CA3535">
        <w:rPr>
          <w:lang w:val="en-ZA" w:eastAsia="en-GB"/>
        </w:rPr>
        <w:t>lan</w:t>
      </w:r>
      <w:r w:rsidR="007147E9" w:rsidRPr="00CA3535">
        <w:rPr>
          <w:lang w:val="en-ZA" w:eastAsia="en-GB"/>
        </w:rPr>
        <w:t>;</w:t>
      </w:r>
      <w:r w:rsidR="009B48BB" w:rsidRPr="00CA3535">
        <w:rPr>
          <w:rStyle w:val="FootnoteReference"/>
          <w:lang w:eastAsia="en-GB"/>
        </w:rPr>
        <w:footnoteReference w:id="14"/>
      </w:r>
    </w:p>
    <w:p w14:paraId="0D8A12BF" w14:textId="3808056D" w:rsidR="00CE62CC" w:rsidRPr="00CA3535" w:rsidRDefault="00634A8B" w:rsidP="00CA3535">
      <w:pPr>
        <w:pStyle w:val="Para2"/>
        <w:ind w:left="567" w:firstLine="567"/>
        <w:rPr>
          <w:lang w:val="en-ZA" w:eastAsia="en-GB"/>
        </w:rPr>
      </w:pPr>
      <w:r w:rsidRPr="00CA3535">
        <w:rPr>
          <w:lang w:val="en-ZA" w:eastAsia="en-GB"/>
        </w:rPr>
        <w:t>(c)</w:t>
      </w:r>
      <w:r w:rsidRPr="00CA3535">
        <w:rPr>
          <w:lang w:val="en-ZA" w:eastAsia="en-GB"/>
        </w:rPr>
        <w:tab/>
      </w:r>
      <w:r w:rsidR="004B17E3" w:rsidRPr="00CA3535">
        <w:rPr>
          <w:lang w:val="en-ZA" w:eastAsia="en-GB"/>
        </w:rPr>
        <w:t>T</w:t>
      </w:r>
      <w:r w:rsidR="00CE62CC" w:rsidRPr="00CA3535">
        <w:rPr>
          <w:lang w:val="en-ZA" w:eastAsia="en-GB"/>
        </w:rPr>
        <w:t xml:space="preserve">o continue to provide support to eligible Parties </w:t>
      </w:r>
      <w:r w:rsidR="007A3D29" w:rsidRPr="00CA3535">
        <w:rPr>
          <w:lang w:val="en-ZA" w:eastAsia="en-GB"/>
        </w:rPr>
        <w:t>for</w:t>
      </w:r>
      <w:r w:rsidR="00CE62CC" w:rsidRPr="00CA3535">
        <w:rPr>
          <w:lang w:val="en-ZA" w:eastAsia="en-GB"/>
        </w:rPr>
        <w:t xml:space="preserve"> undertaking activities in the following areas: </w:t>
      </w:r>
    </w:p>
    <w:p w14:paraId="04FDF37F" w14:textId="26C4F978" w:rsidR="00CE62CC" w:rsidRPr="00CA3535" w:rsidRDefault="007B0E33" w:rsidP="00CA3535">
      <w:pPr>
        <w:pStyle w:val="Para3"/>
        <w:ind w:firstLine="567"/>
      </w:pPr>
      <w:r w:rsidRPr="00CA3535">
        <w:rPr>
          <w:lang w:val="en-ZA" w:eastAsia="en-GB"/>
        </w:rPr>
        <w:t>(i)</w:t>
      </w:r>
      <w:r w:rsidR="00634A8B" w:rsidRPr="00CA3535">
        <w:rPr>
          <w:lang w:val="en-ZA" w:eastAsia="en-GB"/>
        </w:rPr>
        <w:tab/>
      </w:r>
      <w:r w:rsidRPr="00CA3535">
        <w:t>D</w:t>
      </w:r>
      <w:r w:rsidR="00CE62CC" w:rsidRPr="00CA3535">
        <w:t xml:space="preserve">evelopment and implementation of legal, </w:t>
      </w:r>
      <w:proofErr w:type="gramStart"/>
      <w:r w:rsidR="00CE62CC" w:rsidRPr="00CA3535">
        <w:t>administrative</w:t>
      </w:r>
      <w:proofErr w:type="gramEnd"/>
      <w:r w:rsidR="00CE62CC" w:rsidRPr="00CA3535">
        <w:t xml:space="preserve"> and other measures to implement the </w:t>
      </w:r>
      <w:r w:rsidR="00932460" w:rsidRPr="00CA3535">
        <w:t xml:space="preserve">Cartagena </w:t>
      </w:r>
      <w:r w:rsidR="00CE62CC" w:rsidRPr="00CA3535">
        <w:t xml:space="preserve">Protocol; </w:t>
      </w:r>
    </w:p>
    <w:p w14:paraId="1D72F4E7" w14:textId="6DA34662" w:rsidR="00CE62CC" w:rsidRPr="00CA3535" w:rsidRDefault="007B0E33" w:rsidP="00CA3535">
      <w:pPr>
        <w:pStyle w:val="Para3"/>
        <w:ind w:firstLine="567"/>
      </w:pPr>
      <w:r w:rsidRPr="00CA3535">
        <w:t>(ii)</w:t>
      </w:r>
      <w:r w:rsidRPr="00CA3535">
        <w:tab/>
        <w:t>R</w:t>
      </w:r>
      <w:r w:rsidR="00CE62CC" w:rsidRPr="00CA3535">
        <w:t xml:space="preserve">isk assessment and risk management; </w:t>
      </w:r>
    </w:p>
    <w:p w14:paraId="5E2A0A5F" w14:textId="2BD01CFB" w:rsidR="00CE62CC" w:rsidRPr="00CA3535" w:rsidRDefault="007B0E33" w:rsidP="00CA3535">
      <w:pPr>
        <w:pStyle w:val="Para3"/>
        <w:ind w:firstLine="567"/>
      </w:pPr>
      <w:r w:rsidRPr="00CA3535">
        <w:t>(iii)</w:t>
      </w:r>
      <w:r w:rsidRPr="00CA3535">
        <w:tab/>
        <w:t>D</w:t>
      </w:r>
      <w:r w:rsidR="00CE62CC" w:rsidRPr="00CA3535">
        <w:t xml:space="preserve">etection and identification of living modified organisms; </w:t>
      </w:r>
    </w:p>
    <w:p w14:paraId="0DDCD128" w14:textId="69F49AEE" w:rsidR="00CE62CC" w:rsidRPr="00CA3535" w:rsidRDefault="007B0E33" w:rsidP="00CA3535">
      <w:pPr>
        <w:pStyle w:val="Para3"/>
        <w:ind w:firstLine="567"/>
      </w:pPr>
      <w:r w:rsidRPr="00CA3535">
        <w:t>(iv)</w:t>
      </w:r>
      <w:r w:rsidRPr="00CA3535">
        <w:tab/>
        <w:t>P</w:t>
      </w:r>
      <w:r w:rsidR="00CE62CC" w:rsidRPr="00CA3535">
        <w:t xml:space="preserve">ublic awareness, education and participation; </w:t>
      </w:r>
    </w:p>
    <w:p w14:paraId="15DAFADB" w14:textId="67E87CD1" w:rsidR="00210637" w:rsidRPr="00CA3535" w:rsidRDefault="007B0E33" w:rsidP="00CA3535">
      <w:pPr>
        <w:pStyle w:val="Para3"/>
        <w:ind w:firstLine="567"/>
      </w:pPr>
      <w:r w:rsidRPr="00CA3535">
        <w:t>(v)</w:t>
      </w:r>
      <w:r w:rsidRPr="00CA3535">
        <w:tab/>
        <w:t>S</w:t>
      </w:r>
      <w:r w:rsidR="00CE62CC" w:rsidRPr="00CA3535">
        <w:t>ocioeconomic considerations;</w:t>
      </w:r>
    </w:p>
    <w:p w14:paraId="6B509B8F" w14:textId="5D094E64" w:rsidR="00CE62CC" w:rsidRPr="00CA3535" w:rsidRDefault="007B0E33" w:rsidP="00CA3535">
      <w:pPr>
        <w:pStyle w:val="Para3"/>
        <w:ind w:firstLine="567"/>
      </w:pPr>
      <w:r w:rsidRPr="00CA3535">
        <w:t>(vi)</w:t>
      </w:r>
      <w:r w:rsidRPr="00CA3535">
        <w:tab/>
        <w:t>L</w:t>
      </w:r>
      <w:r w:rsidR="00CE62CC" w:rsidRPr="00CA3535">
        <w:t xml:space="preserve">iability and redress; </w:t>
      </w:r>
    </w:p>
    <w:p w14:paraId="0E6CA75A" w14:textId="3689F4BF" w:rsidR="00CE62CC" w:rsidRPr="00CA3535" w:rsidRDefault="007B0E33" w:rsidP="00CA3535">
      <w:pPr>
        <w:pStyle w:val="Para3"/>
        <w:ind w:firstLine="567"/>
      </w:pPr>
      <w:r w:rsidRPr="00CA3535">
        <w:t>(vii)</w:t>
      </w:r>
      <w:r w:rsidRPr="00CA3535">
        <w:tab/>
        <w:t>N</w:t>
      </w:r>
      <w:r w:rsidR="00CE62CC" w:rsidRPr="00CA3535">
        <w:t>ational reporting</w:t>
      </w:r>
      <w:r w:rsidR="00A0621B" w:rsidRPr="00CA3535">
        <w:t>,</w:t>
      </w:r>
      <w:r w:rsidR="00CE62CC" w:rsidRPr="00CA3535">
        <w:t xml:space="preserve"> information-sharing and the Biosafety </w:t>
      </w:r>
      <w:proofErr w:type="gramStart"/>
      <w:r w:rsidR="00CE62CC" w:rsidRPr="00CA3535">
        <w:t>Clearing-House</w:t>
      </w:r>
      <w:proofErr w:type="gramEnd"/>
      <w:r w:rsidR="00CE62CC" w:rsidRPr="00CA3535">
        <w:t xml:space="preserve">; </w:t>
      </w:r>
    </w:p>
    <w:p w14:paraId="795CD878" w14:textId="5688C326" w:rsidR="00CE62CC" w:rsidRPr="00CA3535" w:rsidRDefault="007B0E33" w:rsidP="00CA3535">
      <w:pPr>
        <w:pStyle w:val="Para3"/>
        <w:ind w:firstLine="567"/>
      </w:pPr>
      <w:r w:rsidRPr="00CA3535">
        <w:t>(viii)</w:t>
      </w:r>
      <w:r w:rsidRPr="00CA3535">
        <w:tab/>
        <w:t>K</w:t>
      </w:r>
      <w:r w:rsidR="00CE62CC" w:rsidRPr="00CA3535">
        <w:t>nowledge</w:t>
      </w:r>
      <w:r w:rsidR="003144CC" w:rsidRPr="00CA3535">
        <w:t>-sharing</w:t>
      </w:r>
      <w:r w:rsidR="00CE62CC" w:rsidRPr="00CA3535">
        <w:t xml:space="preserve"> and technology transfer;</w:t>
      </w:r>
    </w:p>
    <w:p w14:paraId="79E97D4F" w14:textId="149F4DA3" w:rsidR="00CE62CC" w:rsidRPr="00CA3535" w:rsidRDefault="007B0E33" w:rsidP="00CA3535">
      <w:pPr>
        <w:pStyle w:val="Para3"/>
        <w:ind w:firstLine="567"/>
        <w:rPr>
          <w:lang w:val="en-ZA" w:eastAsia="en-GB"/>
        </w:rPr>
      </w:pPr>
      <w:r w:rsidRPr="00CA3535">
        <w:t>(ix)</w:t>
      </w:r>
      <w:r w:rsidRPr="00CA3535">
        <w:tab/>
      </w:r>
      <w:r w:rsidR="00673DAE" w:rsidRPr="00CA3535">
        <w:t>T</w:t>
      </w:r>
      <w:r w:rsidR="00CE62CC" w:rsidRPr="00CA3535">
        <w:t>he implementation</w:t>
      </w:r>
      <w:r w:rsidR="00CE62CC" w:rsidRPr="00CA3535">
        <w:rPr>
          <w:lang w:val="en-ZA" w:eastAsia="en-GB"/>
        </w:rPr>
        <w:t xml:space="preserve"> of action plans </w:t>
      </w:r>
      <w:r w:rsidR="00363BBE" w:rsidRPr="00CA3535">
        <w:rPr>
          <w:lang w:val="en-ZA" w:eastAsia="en-GB"/>
        </w:rPr>
        <w:t>to</w:t>
      </w:r>
      <w:r w:rsidR="00CE62CC" w:rsidRPr="00CA3535">
        <w:rPr>
          <w:lang w:val="en-ZA" w:eastAsia="en-GB"/>
        </w:rPr>
        <w:t xml:space="preserve"> achieve compliance with the </w:t>
      </w:r>
      <w:r w:rsidR="00932460" w:rsidRPr="00CA3535">
        <w:t xml:space="preserve">Cartagena </w:t>
      </w:r>
      <w:r w:rsidR="00CE62CC" w:rsidRPr="00CA3535">
        <w:rPr>
          <w:lang w:val="en-ZA" w:eastAsia="en-GB"/>
        </w:rPr>
        <w:t>Protocol;</w:t>
      </w:r>
    </w:p>
    <w:p w14:paraId="0D793A5C" w14:textId="35752EB7" w:rsidR="00CE62CC" w:rsidRPr="00CA3535" w:rsidRDefault="007B0E33" w:rsidP="00CA3535">
      <w:pPr>
        <w:pStyle w:val="Para2"/>
        <w:ind w:left="567" w:firstLine="567"/>
        <w:rPr>
          <w:lang w:val="en-ZA" w:eastAsia="en-GB"/>
        </w:rPr>
      </w:pPr>
      <w:r w:rsidRPr="00CA3535">
        <w:rPr>
          <w:lang w:val="en-ZA" w:eastAsia="en-GB"/>
        </w:rPr>
        <w:lastRenderedPageBreak/>
        <w:t>(d)</w:t>
      </w:r>
      <w:r w:rsidRPr="00CA3535">
        <w:rPr>
          <w:lang w:val="en-ZA" w:eastAsia="en-GB"/>
        </w:rPr>
        <w:tab/>
      </w:r>
      <w:r w:rsidR="00CE62CC" w:rsidRPr="00CA3535">
        <w:rPr>
          <w:lang w:val="en-ZA" w:eastAsia="en-GB"/>
        </w:rPr>
        <w:t>To reform its operations, including through the consideration of a stand</w:t>
      </w:r>
      <w:r w:rsidR="00B628F2" w:rsidRPr="00CA3535">
        <w:rPr>
          <w:lang w:val="en-ZA" w:eastAsia="en-GB"/>
        </w:rPr>
        <w:t>-</w:t>
      </w:r>
      <w:r w:rsidR="00CE62CC" w:rsidRPr="00CA3535">
        <w:rPr>
          <w:lang w:val="en-ZA" w:eastAsia="en-GB"/>
        </w:rPr>
        <w:t xml:space="preserve">alone window or </w:t>
      </w:r>
      <w:r w:rsidR="009869BF" w:rsidRPr="00CA3535">
        <w:rPr>
          <w:lang w:val="en-ZA" w:eastAsia="en-GB"/>
        </w:rPr>
        <w:t xml:space="preserve">a </w:t>
      </w:r>
      <w:r w:rsidR="00CE62CC" w:rsidRPr="00CA3535">
        <w:rPr>
          <w:lang w:val="en-ZA" w:eastAsia="en-GB"/>
        </w:rPr>
        <w:t>set-aside for support</w:t>
      </w:r>
      <w:r w:rsidR="00B241AE" w:rsidRPr="00CA3535">
        <w:rPr>
          <w:lang w:val="en-ZA" w:eastAsia="en-GB"/>
        </w:rPr>
        <w:t>ing</w:t>
      </w:r>
      <w:r w:rsidR="00CE62CC" w:rsidRPr="00CA3535">
        <w:rPr>
          <w:lang w:val="en-ZA" w:eastAsia="en-GB"/>
        </w:rPr>
        <w:t xml:space="preserve"> the implementation of the </w:t>
      </w:r>
      <w:r w:rsidR="00932460" w:rsidRPr="00CA3535">
        <w:t xml:space="preserve">Cartagena </w:t>
      </w:r>
      <w:r w:rsidR="00CE62CC" w:rsidRPr="00CA3535">
        <w:rPr>
          <w:lang w:val="en-ZA" w:eastAsia="en-GB"/>
        </w:rPr>
        <w:t xml:space="preserve">Protocol, separate biosafety resources and global and regional projects, in such a manner as to enable </w:t>
      </w:r>
      <w:r w:rsidR="009869BF" w:rsidRPr="00CA3535">
        <w:rPr>
          <w:lang w:val="en-ZA" w:eastAsia="en-GB"/>
        </w:rPr>
        <w:t>it</w:t>
      </w:r>
      <w:r w:rsidR="00011A14" w:rsidRPr="00CA3535">
        <w:rPr>
          <w:lang w:val="en-ZA" w:eastAsia="en-GB"/>
        </w:rPr>
        <w:t xml:space="preserve"> </w:t>
      </w:r>
      <w:r w:rsidR="00CE62CC" w:rsidRPr="00CA3535">
        <w:rPr>
          <w:lang w:val="en-ZA" w:eastAsia="en-GB"/>
        </w:rPr>
        <w:t xml:space="preserve">to fulfil </w:t>
      </w:r>
      <w:r w:rsidR="00690009" w:rsidRPr="00CA3535">
        <w:rPr>
          <w:lang w:val="en-ZA" w:eastAsia="en-GB"/>
        </w:rPr>
        <w:t xml:space="preserve">effectively </w:t>
      </w:r>
      <w:r w:rsidR="00CE62CC" w:rsidRPr="00CA3535">
        <w:rPr>
          <w:lang w:val="en-ZA" w:eastAsia="en-GB"/>
        </w:rPr>
        <w:t>its responsibilities in operating the financial mechanism for the Protocol</w:t>
      </w:r>
      <w:r w:rsidR="00B241AE" w:rsidRPr="00CA3535">
        <w:rPr>
          <w:lang w:val="en-ZA" w:eastAsia="en-GB"/>
        </w:rPr>
        <w:t>,</w:t>
      </w:r>
      <w:r w:rsidR="00CE62CC" w:rsidRPr="00CA3535">
        <w:t xml:space="preserve"> and </w:t>
      </w:r>
      <w:r w:rsidR="00CE62CC" w:rsidRPr="00CA3535">
        <w:rPr>
          <w:lang w:val="en-ZA" w:eastAsia="en-GB"/>
        </w:rPr>
        <w:t>report on th</w:t>
      </w:r>
      <w:r w:rsidR="00690009" w:rsidRPr="00CA3535">
        <w:rPr>
          <w:lang w:val="en-ZA" w:eastAsia="en-GB"/>
        </w:rPr>
        <w:t>o</w:t>
      </w:r>
      <w:r w:rsidR="00CE62CC" w:rsidRPr="00CA3535">
        <w:rPr>
          <w:lang w:val="en-ZA" w:eastAsia="en-GB"/>
        </w:rPr>
        <w:t>se matters to the Conference of the Parties</w:t>
      </w:r>
      <w:r w:rsidR="00546C99" w:rsidRPr="00CA3535">
        <w:rPr>
          <w:lang w:val="en-ZA" w:eastAsia="en-GB"/>
        </w:rPr>
        <w:t xml:space="preserve"> to the Convention</w:t>
      </w:r>
      <w:r w:rsidR="00CE62CC" w:rsidRPr="00CA3535">
        <w:rPr>
          <w:lang w:val="en-ZA" w:eastAsia="en-GB"/>
        </w:rPr>
        <w:t xml:space="preserve"> at its </w:t>
      </w:r>
      <w:r w:rsidR="0052221F" w:rsidRPr="00CA3535">
        <w:rPr>
          <w:lang w:val="en-ZA" w:eastAsia="en-GB"/>
        </w:rPr>
        <w:t xml:space="preserve">seventeenth </w:t>
      </w:r>
      <w:r w:rsidR="00CE62CC" w:rsidRPr="00CA3535">
        <w:rPr>
          <w:lang w:val="en-ZA" w:eastAsia="en-GB"/>
        </w:rPr>
        <w:t>meeting;</w:t>
      </w:r>
    </w:p>
    <w:p w14:paraId="7EC09C3B" w14:textId="54536BD3" w:rsidR="00CE62CC" w:rsidRPr="00CA3535" w:rsidRDefault="007B0E33" w:rsidP="00CA3535">
      <w:pPr>
        <w:pStyle w:val="Para1"/>
        <w:ind w:firstLine="567"/>
        <w:rPr>
          <w:lang w:val="en-ZA" w:eastAsia="en-GB"/>
        </w:rPr>
      </w:pPr>
      <w:r w:rsidRPr="00CA3535">
        <w:rPr>
          <w:lang w:val="en-ZA" w:eastAsia="en-GB"/>
        </w:rPr>
        <w:t>2.</w:t>
      </w:r>
      <w:r w:rsidRPr="00CA3535">
        <w:rPr>
          <w:lang w:val="en-ZA" w:eastAsia="en-GB"/>
        </w:rPr>
        <w:tab/>
      </w:r>
      <w:r w:rsidRPr="00CA3535">
        <w:rPr>
          <w:i/>
          <w:iCs/>
          <w:lang w:val="en-ZA" w:eastAsia="en-GB"/>
        </w:rPr>
        <w:t>Also r</w:t>
      </w:r>
      <w:r w:rsidR="00CE62CC" w:rsidRPr="00CA3535">
        <w:rPr>
          <w:i/>
          <w:iCs/>
          <w:lang w:val="en-ZA" w:eastAsia="en-GB"/>
        </w:rPr>
        <w:t xml:space="preserve">ecommends </w:t>
      </w:r>
      <w:r w:rsidR="00CE62CC" w:rsidRPr="00CA3535">
        <w:rPr>
          <w:lang w:val="en-ZA" w:eastAsia="en-GB"/>
        </w:rPr>
        <w:t xml:space="preserve">that the Conference of the Parties </w:t>
      </w:r>
      <w:r w:rsidR="00690009" w:rsidRPr="00CA3535">
        <w:rPr>
          <w:lang w:val="en-ZA" w:eastAsia="en-GB"/>
        </w:rPr>
        <w:t>to the Convention</w:t>
      </w:r>
      <w:r w:rsidR="00690009" w:rsidRPr="00CA3535">
        <w:t xml:space="preserve"> </w:t>
      </w:r>
      <w:r w:rsidR="00CE62CC" w:rsidRPr="00CA3535">
        <w:rPr>
          <w:lang w:val="en-ZA" w:eastAsia="en-GB"/>
        </w:rPr>
        <w:t xml:space="preserve">include the elements listed in subparagraphs </w:t>
      </w:r>
      <w:r w:rsidR="00690009" w:rsidRPr="00CA3535">
        <w:rPr>
          <w:lang w:val="en-ZA" w:eastAsia="en-GB"/>
        </w:rPr>
        <w:t xml:space="preserve">1 </w:t>
      </w:r>
      <w:r w:rsidR="00CE62CC" w:rsidRPr="00CA3535">
        <w:rPr>
          <w:lang w:val="en-ZA" w:eastAsia="en-GB"/>
        </w:rPr>
        <w:t xml:space="preserve">(b) and (c) above in the four-year outcome-oriented framework of biodiversity programme priorities for the ninth replenishment period of the </w:t>
      </w:r>
      <w:r w:rsidR="00CE62CC" w:rsidRPr="00CA3535">
        <w:rPr>
          <w:lang w:val="en-SG"/>
        </w:rPr>
        <w:t>Global Environment Facility Trust Fund (2026</w:t>
      </w:r>
      <w:r w:rsidR="00761085" w:rsidRPr="00CA3535">
        <w:rPr>
          <w:lang w:val="en-SG"/>
        </w:rPr>
        <w:t>–</w:t>
      </w:r>
      <w:r w:rsidR="00CE62CC" w:rsidRPr="00CA3535">
        <w:rPr>
          <w:lang w:val="en-SG"/>
        </w:rPr>
        <w:t>2030)</w:t>
      </w:r>
      <w:r w:rsidR="00D84BD1" w:rsidRPr="00CA3535">
        <w:rPr>
          <w:lang w:val="en-SG"/>
        </w:rPr>
        <w:t>;</w:t>
      </w:r>
      <w:r w:rsidR="00CE62CC" w:rsidRPr="00CA3535">
        <w:rPr>
          <w:rStyle w:val="FootnoteReference"/>
        </w:rPr>
        <w:footnoteReference w:id="15"/>
      </w:r>
    </w:p>
    <w:p w14:paraId="3E368835" w14:textId="10F865A6" w:rsidR="00CE62CC" w:rsidRPr="00CA3535" w:rsidRDefault="007B0E33" w:rsidP="00CA3535">
      <w:pPr>
        <w:pStyle w:val="Para1"/>
        <w:keepNext/>
        <w:ind w:firstLine="567"/>
        <w:rPr>
          <w:lang w:val="en-ZA" w:eastAsia="en-GB"/>
        </w:rPr>
      </w:pPr>
      <w:r w:rsidRPr="00CA3535">
        <w:rPr>
          <w:rFonts w:asciiTheme="majorBidi" w:hAnsiTheme="majorBidi" w:cstheme="majorBidi"/>
        </w:rPr>
        <w:t>3.</w:t>
      </w:r>
      <w:r w:rsidRPr="00CA3535">
        <w:rPr>
          <w:rFonts w:asciiTheme="majorBidi" w:hAnsiTheme="majorBidi" w:cstheme="majorBidi"/>
        </w:rPr>
        <w:tab/>
      </w:r>
      <w:r w:rsidR="00CE62CC" w:rsidRPr="00CA3535">
        <w:rPr>
          <w:rFonts w:asciiTheme="majorBidi" w:hAnsiTheme="majorBidi" w:cstheme="majorBidi"/>
          <w:i/>
          <w:iCs/>
        </w:rPr>
        <w:t>Encourages</w:t>
      </w:r>
      <w:r w:rsidR="00CE62CC" w:rsidRPr="00CA3535">
        <w:rPr>
          <w:lang w:val="en-ZA" w:eastAsia="en-GB"/>
        </w:rPr>
        <w:t xml:space="preserve"> eligible Parties:</w:t>
      </w:r>
    </w:p>
    <w:p w14:paraId="4D142DFF" w14:textId="3FC0F8FA" w:rsidR="00CE62CC" w:rsidRPr="00CA3535" w:rsidRDefault="007B0E33" w:rsidP="00CA3535">
      <w:pPr>
        <w:pStyle w:val="Para2"/>
        <w:ind w:left="567" w:firstLine="567"/>
        <w:rPr>
          <w:lang w:val="en-ZA" w:eastAsia="en-GB"/>
        </w:rPr>
      </w:pPr>
      <w:r w:rsidRPr="00CA3535">
        <w:t>(a)</w:t>
      </w:r>
      <w:r w:rsidRPr="00CA3535">
        <w:tab/>
        <w:t>T</w:t>
      </w:r>
      <w:r w:rsidR="00CE62CC" w:rsidRPr="00CA3535">
        <w:t xml:space="preserve">o submit project proposals to the Global Environment Facility in support of the implementation of Target 17 of the </w:t>
      </w:r>
      <w:r w:rsidR="008D1CAE" w:rsidRPr="00CA3535">
        <w:t>Kunming-Montreal Global Biod</w:t>
      </w:r>
      <w:r w:rsidR="00460A34" w:rsidRPr="00CA3535">
        <w:t xml:space="preserve">iversity </w:t>
      </w:r>
      <w:r w:rsidR="00CE62CC" w:rsidRPr="00CA3535">
        <w:t>Framework</w:t>
      </w:r>
      <w:r w:rsidR="00460A34" w:rsidRPr="00CA3535">
        <w:rPr>
          <w:rStyle w:val="FootnoteReference"/>
        </w:rPr>
        <w:footnoteReference w:id="16"/>
      </w:r>
      <w:r w:rsidR="00CE62CC" w:rsidRPr="00CA3535">
        <w:t xml:space="preserve"> and the </w:t>
      </w:r>
      <w:r w:rsidR="00460A34" w:rsidRPr="00CA3535">
        <w:t>i</w:t>
      </w:r>
      <w:r w:rsidR="00CE62CC" w:rsidRPr="00CA3535">
        <w:t xml:space="preserve">mplementation </w:t>
      </w:r>
      <w:r w:rsidR="00460A34" w:rsidRPr="00CA3535">
        <w:t>p</w:t>
      </w:r>
      <w:r w:rsidR="00CE62CC" w:rsidRPr="00CA3535">
        <w:t xml:space="preserve">lan and </w:t>
      </w:r>
      <w:r w:rsidR="00460A34" w:rsidRPr="00CA3535">
        <w:t>the c</w:t>
      </w:r>
      <w:r w:rsidR="00CE62CC" w:rsidRPr="00CA3535">
        <w:t xml:space="preserve">apacity-building </w:t>
      </w:r>
      <w:r w:rsidR="00460A34" w:rsidRPr="00CA3535">
        <w:t>a</w:t>
      </w:r>
      <w:r w:rsidR="00CE62CC" w:rsidRPr="00CA3535">
        <w:t xml:space="preserve">ction </w:t>
      </w:r>
      <w:r w:rsidR="00460A34" w:rsidRPr="00CA3535">
        <w:t>p</w:t>
      </w:r>
      <w:r w:rsidR="00CE62CC" w:rsidRPr="00CA3535">
        <w:t xml:space="preserve">lan for the Cartagena Protocol, proactively making use of the notional allocations to support </w:t>
      </w:r>
      <w:r w:rsidR="00460A34" w:rsidRPr="00CA3535">
        <w:t xml:space="preserve">the </w:t>
      </w:r>
      <w:r w:rsidR="00CE62CC" w:rsidRPr="00CA3535">
        <w:t>implementation of the Protocol in the eighth replenishment programming directions of the Global Environment Facility</w:t>
      </w:r>
      <w:r w:rsidR="00CE62CC" w:rsidRPr="00CA3535">
        <w:rPr>
          <w:lang w:val="en-ZA" w:eastAsia="en-GB"/>
        </w:rPr>
        <w:t xml:space="preserve"> and the programming directions of the Global Biodiversity Framework Fund, and to </w:t>
      </w:r>
      <w:r w:rsidR="00CE62CC" w:rsidRPr="00CA3535">
        <w:t xml:space="preserve">take note of the relevant information in the report of </w:t>
      </w:r>
      <w:r w:rsidR="00EE606F" w:rsidRPr="00CA3535">
        <w:t xml:space="preserve">the </w:t>
      </w:r>
      <w:r w:rsidR="005921F8" w:rsidRPr="00CA3535">
        <w:t xml:space="preserve">Council of </w:t>
      </w:r>
      <w:r w:rsidR="00CE62CC" w:rsidRPr="00CA3535">
        <w:t xml:space="preserve">the Global Environment Facility </w:t>
      </w:r>
      <w:r w:rsidR="00EE606F" w:rsidRPr="00CA3535">
        <w:t>for the sixteenth meeting of the Conference of the Parties to the Convention</w:t>
      </w:r>
      <w:r w:rsidR="00EE606F" w:rsidRPr="00CA3535">
        <w:rPr>
          <w:snapToGrid w:val="0"/>
        </w:rPr>
        <w:t xml:space="preserve"> </w:t>
      </w:r>
      <w:r w:rsidR="00CE62CC" w:rsidRPr="00CA3535">
        <w:t xml:space="preserve">when submitting </w:t>
      </w:r>
      <w:r w:rsidR="00EE606F" w:rsidRPr="00CA3535">
        <w:t xml:space="preserve">such </w:t>
      </w:r>
      <w:r w:rsidR="00CE62CC" w:rsidRPr="00CA3535">
        <w:t>proposals</w:t>
      </w:r>
      <w:r w:rsidR="0085358E" w:rsidRPr="00CA3535">
        <w:t>;</w:t>
      </w:r>
    </w:p>
    <w:p w14:paraId="1A357A30" w14:textId="00B45AE9" w:rsidR="00CE62CC" w:rsidRPr="00CA3535" w:rsidRDefault="007B0E33" w:rsidP="00CA3535">
      <w:pPr>
        <w:pStyle w:val="Para2"/>
        <w:ind w:left="567" w:firstLine="567"/>
        <w:rPr>
          <w:lang w:val="en-ZA" w:eastAsia="en-GB"/>
        </w:rPr>
      </w:pPr>
      <w:r w:rsidRPr="00CA3535">
        <w:rPr>
          <w:lang w:val="en-ZA" w:eastAsia="en-GB"/>
        </w:rPr>
        <w:t>(b)</w:t>
      </w:r>
      <w:r w:rsidRPr="00CA3535">
        <w:rPr>
          <w:lang w:val="en-ZA" w:eastAsia="en-GB"/>
        </w:rPr>
        <w:tab/>
        <w:t>T</w:t>
      </w:r>
      <w:r w:rsidR="00CE62CC" w:rsidRPr="00CA3535">
        <w:rPr>
          <w:lang w:val="en-ZA" w:eastAsia="en-GB"/>
        </w:rPr>
        <w:t xml:space="preserve">o cooperate at the regional and subregional levels, as appropriate, to prepare requests for support from the Global Environment Facility for joint projects, </w:t>
      </w:r>
      <w:proofErr w:type="gramStart"/>
      <w:r w:rsidR="00CE62CC" w:rsidRPr="00CA3535">
        <w:rPr>
          <w:lang w:val="en-ZA" w:eastAsia="en-GB"/>
        </w:rPr>
        <w:t>in order to</w:t>
      </w:r>
      <w:proofErr w:type="gramEnd"/>
      <w:r w:rsidR="00CE62CC" w:rsidRPr="00CA3535">
        <w:rPr>
          <w:lang w:val="en-ZA" w:eastAsia="en-GB"/>
        </w:rPr>
        <w:t xml:space="preserve"> maximize synergies and opportunities for </w:t>
      </w:r>
      <w:r w:rsidR="002E3000" w:rsidRPr="00CA3535">
        <w:rPr>
          <w:lang w:val="en-ZA" w:eastAsia="en-GB"/>
        </w:rPr>
        <w:t xml:space="preserve">the </w:t>
      </w:r>
      <w:r w:rsidR="00CE62CC" w:rsidRPr="00CA3535">
        <w:rPr>
          <w:lang w:val="en-ZA" w:eastAsia="en-GB"/>
        </w:rPr>
        <w:t>cost-effective sharing of resources, information, experiences and expertise;</w:t>
      </w:r>
    </w:p>
    <w:p w14:paraId="109D4228" w14:textId="50EE7E7D" w:rsidR="00CE62CC" w:rsidRPr="00CA3535" w:rsidRDefault="007B0E33" w:rsidP="00CA3535">
      <w:pPr>
        <w:pStyle w:val="Para1"/>
        <w:ind w:firstLine="567"/>
        <w:rPr>
          <w:lang w:val="en-ZA" w:eastAsia="en-GB"/>
        </w:rPr>
      </w:pPr>
      <w:r w:rsidRPr="00CA3535">
        <w:rPr>
          <w:rFonts w:asciiTheme="majorBidi" w:hAnsiTheme="majorBidi" w:cstheme="majorBidi"/>
          <w:lang w:val="en-ZA"/>
        </w:rPr>
        <w:t>4.</w:t>
      </w:r>
      <w:r w:rsidRPr="00CA3535">
        <w:rPr>
          <w:rFonts w:asciiTheme="majorBidi" w:hAnsiTheme="majorBidi" w:cstheme="majorBidi"/>
          <w:lang w:val="en-ZA"/>
        </w:rPr>
        <w:tab/>
      </w:r>
      <w:r w:rsidR="00CE62CC" w:rsidRPr="00CA3535">
        <w:rPr>
          <w:rFonts w:asciiTheme="majorBidi" w:hAnsiTheme="majorBidi" w:cstheme="majorBidi"/>
          <w:i/>
          <w:iCs/>
        </w:rPr>
        <w:t>Encourages</w:t>
      </w:r>
      <w:r w:rsidR="00CE62CC" w:rsidRPr="00CA3535">
        <w:rPr>
          <w:rFonts w:asciiTheme="majorBidi" w:hAnsiTheme="majorBidi" w:cstheme="majorBidi"/>
        </w:rPr>
        <w:t xml:space="preserve"> Parties to include needs and provisions for implement</w:t>
      </w:r>
      <w:r w:rsidR="00950FAA" w:rsidRPr="00CA3535">
        <w:rPr>
          <w:rFonts w:asciiTheme="majorBidi" w:hAnsiTheme="majorBidi" w:cstheme="majorBidi"/>
        </w:rPr>
        <w:t>ing</w:t>
      </w:r>
      <w:r w:rsidR="00CE62CC" w:rsidRPr="00CA3535">
        <w:rPr>
          <w:rFonts w:asciiTheme="majorBidi" w:hAnsiTheme="majorBidi" w:cstheme="majorBidi"/>
        </w:rPr>
        <w:t xml:space="preserve"> </w:t>
      </w:r>
      <w:r w:rsidR="00CE62CC" w:rsidRPr="00CA3535">
        <w:t xml:space="preserve">Target 17 of the Framework and the </w:t>
      </w:r>
      <w:r w:rsidR="007778FC" w:rsidRPr="00CA3535">
        <w:t>i</w:t>
      </w:r>
      <w:r w:rsidR="00CE62CC" w:rsidRPr="00CA3535">
        <w:t xml:space="preserve">mplementation </w:t>
      </w:r>
      <w:r w:rsidR="007778FC" w:rsidRPr="00CA3535">
        <w:t>p</w:t>
      </w:r>
      <w:r w:rsidR="00CE62CC" w:rsidRPr="00CA3535">
        <w:t xml:space="preserve">lan and </w:t>
      </w:r>
      <w:r w:rsidR="007778FC" w:rsidRPr="00CA3535">
        <w:t>the c</w:t>
      </w:r>
      <w:r w:rsidR="00CE62CC" w:rsidRPr="00CA3535">
        <w:t xml:space="preserve">apacity-building </w:t>
      </w:r>
      <w:r w:rsidR="007778FC" w:rsidRPr="00CA3535">
        <w:t>a</w:t>
      </w:r>
      <w:r w:rsidR="00CE62CC" w:rsidRPr="00CA3535">
        <w:t xml:space="preserve">ction </w:t>
      </w:r>
      <w:r w:rsidR="007778FC" w:rsidRPr="00CA3535">
        <w:t>p</w:t>
      </w:r>
      <w:r w:rsidR="00CE62CC" w:rsidRPr="00CA3535">
        <w:t xml:space="preserve">lan for the Cartagena Protocol </w:t>
      </w:r>
      <w:r w:rsidR="00CE62CC" w:rsidRPr="00CA3535">
        <w:rPr>
          <w:rFonts w:asciiTheme="majorBidi" w:hAnsiTheme="majorBidi" w:cstheme="majorBidi"/>
        </w:rPr>
        <w:t xml:space="preserve">in their national biodiversity finance plans and their national implementation of the strategy for resource mobilization </w:t>
      </w:r>
      <w:r w:rsidR="0061330A" w:rsidRPr="00CA3535">
        <w:rPr>
          <w:rFonts w:asciiTheme="majorBidi" w:hAnsiTheme="majorBidi" w:cstheme="majorBidi"/>
        </w:rPr>
        <w:t>for the Framework</w:t>
      </w:r>
      <w:r w:rsidR="00CE62CC" w:rsidRPr="00CA3535">
        <w:rPr>
          <w:rFonts w:asciiTheme="majorBidi" w:hAnsiTheme="majorBidi" w:cstheme="majorBidi"/>
        </w:rPr>
        <w:t>;</w:t>
      </w:r>
      <w:r w:rsidR="005A2E62" w:rsidRPr="00CA3535">
        <w:rPr>
          <w:rStyle w:val="FootnoteReference"/>
          <w:rFonts w:asciiTheme="majorBidi" w:hAnsiTheme="majorBidi" w:cstheme="majorBidi"/>
        </w:rPr>
        <w:footnoteReference w:id="17"/>
      </w:r>
    </w:p>
    <w:p w14:paraId="4E5B9030" w14:textId="4F5614CF" w:rsidR="002B559C" w:rsidRPr="00CA3535" w:rsidRDefault="007B0E33" w:rsidP="00CA3535">
      <w:pPr>
        <w:pStyle w:val="Para1"/>
        <w:ind w:firstLine="567"/>
      </w:pPr>
      <w:r w:rsidRPr="00CA3535">
        <w:rPr>
          <w:lang w:val="en-ZA"/>
        </w:rPr>
        <w:t>5.</w:t>
      </w:r>
      <w:r w:rsidRPr="00CA3535">
        <w:rPr>
          <w:lang w:val="en-ZA"/>
        </w:rPr>
        <w:tab/>
      </w:r>
      <w:r w:rsidR="00CE62CC" w:rsidRPr="00CA3535">
        <w:rPr>
          <w:i/>
          <w:iCs/>
        </w:rPr>
        <w:t>Requests</w:t>
      </w:r>
      <w:r w:rsidR="00CE62CC" w:rsidRPr="00CA3535">
        <w:t xml:space="preserve"> the Executive Secretary to further develop and communicate information on sources of funding for biosafety to support Parties</w:t>
      </w:r>
      <w:r w:rsidR="004126F1" w:rsidRPr="00CA3535">
        <w:t>.</w:t>
      </w:r>
    </w:p>
    <w:p w14:paraId="0EB6B75E" w14:textId="1B2F3456" w:rsidR="003E5C7A" w:rsidRPr="00A43334" w:rsidRDefault="006537AB" w:rsidP="00CA3535">
      <w:pPr>
        <w:pStyle w:val="Para1"/>
        <w:jc w:val="center"/>
      </w:pPr>
      <w:r w:rsidRPr="00CA3535">
        <w:rPr>
          <w:color w:val="000000" w:themeColor="text1"/>
          <w:lang w:val="en-US"/>
        </w:rPr>
        <w:t>_________</w:t>
      </w:r>
    </w:p>
    <w:sectPr w:rsidR="003E5C7A" w:rsidRPr="00A43334" w:rsidSect="003E5C7A">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9CFF83" w14:textId="77777777" w:rsidR="00256FB6" w:rsidRPr="00A43334" w:rsidRDefault="00256FB6" w:rsidP="00A96B21">
      <w:r w:rsidRPr="00A43334">
        <w:separator/>
      </w:r>
    </w:p>
  </w:endnote>
  <w:endnote w:type="continuationSeparator" w:id="0">
    <w:p w14:paraId="0467C909" w14:textId="77777777" w:rsidR="00256FB6" w:rsidRPr="00A43334" w:rsidRDefault="00256FB6" w:rsidP="00A96B21">
      <w:r w:rsidRPr="00A43334">
        <w:continuationSeparator/>
      </w:r>
    </w:p>
  </w:endnote>
  <w:endnote w:type="continuationNotice" w:id="1">
    <w:p w14:paraId="0F52908E" w14:textId="77777777" w:rsidR="00256FB6" w:rsidRDefault="00256F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63824"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8D436" w14:textId="0C1A64E0" w:rsidR="007859DF" w:rsidRDefault="007859DF">
    <w:pPr>
      <w:pStyle w:val="Footer"/>
    </w:pPr>
  </w:p>
  <w:p w14:paraId="460DD4C0" w14:textId="566D36B6" w:rsidR="002B559C" w:rsidRPr="009A5C30" w:rsidRDefault="002B559C" w:rsidP="009A5C3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0987F3" w14:textId="77777777" w:rsidR="00256FB6" w:rsidRPr="00A43334" w:rsidRDefault="00256FB6" w:rsidP="00A96B21">
      <w:r w:rsidRPr="00A43334">
        <w:separator/>
      </w:r>
    </w:p>
  </w:footnote>
  <w:footnote w:type="continuationSeparator" w:id="0">
    <w:p w14:paraId="1A09630F" w14:textId="77777777" w:rsidR="00256FB6" w:rsidRPr="00A43334" w:rsidRDefault="00256FB6" w:rsidP="00A96B21">
      <w:r w:rsidRPr="00A43334">
        <w:continuationSeparator/>
      </w:r>
    </w:p>
  </w:footnote>
  <w:footnote w:type="continuationNotice" w:id="1">
    <w:p w14:paraId="6495740B" w14:textId="77777777" w:rsidR="00256FB6" w:rsidRDefault="00256FB6"/>
  </w:footnote>
  <w:footnote w:id="2">
    <w:p w14:paraId="05B2E472" w14:textId="77777777" w:rsidR="00A43334" w:rsidRPr="005648F4" w:rsidRDefault="00A43334">
      <w:pPr>
        <w:pStyle w:val="FootnoteText"/>
        <w:rPr>
          <w:lang w:val="en-US"/>
        </w:rPr>
      </w:pPr>
      <w:r w:rsidRPr="005648F4">
        <w:rPr>
          <w:rStyle w:val="FootnoteReference"/>
        </w:rPr>
        <w:t>*</w:t>
      </w:r>
      <w:r w:rsidRPr="005648F4">
        <w:t xml:space="preserve"> </w:t>
      </w:r>
      <w:r w:rsidRPr="00CA3535">
        <w:rPr>
          <w:lang w:val="en-US"/>
        </w:rPr>
        <w:t>CBD</w:t>
      </w:r>
      <w:r w:rsidRPr="005648F4">
        <w:rPr>
          <w:lang w:val="en-US"/>
        </w:rPr>
        <w:t>/</w:t>
      </w:r>
      <w:r w:rsidRPr="00CA3535">
        <w:rPr>
          <w:lang w:val="en-US"/>
        </w:rPr>
        <w:t>CP</w:t>
      </w:r>
      <w:r w:rsidRPr="005648F4">
        <w:rPr>
          <w:lang w:val="en-US"/>
        </w:rPr>
        <w:t>/</w:t>
      </w:r>
      <w:r w:rsidRPr="00CA3535">
        <w:rPr>
          <w:lang w:val="en-US"/>
        </w:rPr>
        <w:t>MOP</w:t>
      </w:r>
      <w:r w:rsidRPr="005648F4">
        <w:rPr>
          <w:lang w:val="en-US"/>
        </w:rPr>
        <w:t>/11/1.</w:t>
      </w:r>
    </w:p>
  </w:footnote>
  <w:footnote w:id="3">
    <w:p w14:paraId="0DF6F250" w14:textId="4D6BDEFD" w:rsidR="00772EFD" w:rsidRPr="00772EFD" w:rsidRDefault="00772EFD">
      <w:pPr>
        <w:pStyle w:val="FootnoteText"/>
        <w:rPr>
          <w:lang w:val="en-US"/>
        </w:rPr>
      </w:pPr>
      <w:r>
        <w:rPr>
          <w:rStyle w:val="FootnoteReference"/>
        </w:rPr>
        <w:t>**</w:t>
      </w:r>
      <w:r>
        <w:t xml:space="preserve"> </w:t>
      </w:r>
      <w:r>
        <w:rPr>
          <w:lang w:val="en-US"/>
        </w:rPr>
        <w:t>The present document is being issued without formal editing.</w:t>
      </w:r>
    </w:p>
  </w:footnote>
  <w:footnote w:id="4">
    <w:p w14:paraId="3EE39238" w14:textId="201F3957" w:rsidR="00D45A80" w:rsidRPr="005648F4" w:rsidRDefault="00D45A80">
      <w:pPr>
        <w:pStyle w:val="FootnoteText"/>
        <w:rPr>
          <w:lang w:val="en-CA"/>
        </w:rPr>
      </w:pPr>
      <w:r w:rsidRPr="005648F4">
        <w:rPr>
          <w:rStyle w:val="FootnoteReference"/>
        </w:rPr>
        <w:footnoteRef/>
      </w:r>
      <w:r w:rsidRPr="005648F4">
        <w:t xml:space="preserve"> </w:t>
      </w:r>
      <w:r w:rsidRPr="005648F4">
        <w:rPr>
          <w:lang w:val="en-CA"/>
        </w:rPr>
        <w:t xml:space="preserve">See </w:t>
      </w:r>
      <w:r w:rsidR="008368F4" w:rsidRPr="00CA3535">
        <w:rPr>
          <w:lang w:val="en-CA"/>
        </w:rPr>
        <w:t>CBD</w:t>
      </w:r>
      <w:r w:rsidR="008368F4" w:rsidRPr="005648F4">
        <w:rPr>
          <w:lang w:val="en-CA"/>
        </w:rPr>
        <w:t>/</w:t>
      </w:r>
      <w:r w:rsidR="008368F4" w:rsidRPr="00CA3535">
        <w:rPr>
          <w:lang w:val="en-CA"/>
        </w:rPr>
        <w:t>CP</w:t>
      </w:r>
      <w:r w:rsidR="008368F4" w:rsidRPr="005648F4">
        <w:rPr>
          <w:lang w:val="en-CA"/>
        </w:rPr>
        <w:t>/</w:t>
      </w:r>
      <w:r w:rsidR="008368F4" w:rsidRPr="00CA3535">
        <w:rPr>
          <w:lang w:val="en-CA"/>
        </w:rPr>
        <w:t>MOP</w:t>
      </w:r>
      <w:r w:rsidR="008368F4" w:rsidRPr="005648F4">
        <w:rPr>
          <w:lang w:val="en-CA"/>
        </w:rPr>
        <w:t>/10/5</w:t>
      </w:r>
      <w:r w:rsidR="002F0B97" w:rsidRPr="005648F4">
        <w:rPr>
          <w:lang w:val="en-CA"/>
        </w:rPr>
        <w:t>.</w:t>
      </w:r>
    </w:p>
  </w:footnote>
  <w:footnote w:id="5">
    <w:p w14:paraId="72207C95" w14:textId="708F5B89" w:rsidR="00275487" w:rsidRPr="005648F4" w:rsidRDefault="00275487">
      <w:pPr>
        <w:pStyle w:val="FootnoteText"/>
        <w:rPr>
          <w:lang w:val="en-US"/>
        </w:rPr>
      </w:pPr>
      <w:r w:rsidRPr="005648F4">
        <w:rPr>
          <w:rStyle w:val="FootnoteReference"/>
        </w:rPr>
        <w:footnoteRef/>
      </w:r>
      <w:r w:rsidRPr="005648F4">
        <w:t xml:space="preserve"> </w:t>
      </w:r>
      <w:hyperlink r:id="rId1" w:history="1">
        <w:r w:rsidR="00DF2687" w:rsidRPr="005648F4">
          <w:rPr>
            <w:rStyle w:val="Hyperlink"/>
            <w:lang w:val="en-US"/>
          </w:rPr>
          <w:t>https://bch.cbd.int/protocol/cpb_art28_info.shtml#resources</w:t>
        </w:r>
      </w:hyperlink>
      <w:r w:rsidR="002F0B97" w:rsidRPr="005648F4">
        <w:rPr>
          <w:lang w:val="en-US"/>
        </w:rPr>
        <w:t>.</w:t>
      </w:r>
      <w:r w:rsidR="00DF2687" w:rsidRPr="005648F4">
        <w:rPr>
          <w:lang w:val="en-US"/>
        </w:rPr>
        <w:t xml:space="preserve"> </w:t>
      </w:r>
    </w:p>
  </w:footnote>
  <w:footnote w:id="6">
    <w:p w14:paraId="70387EC0" w14:textId="129F1690" w:rsidR="00275487" w:rsidRPr="005648F4" w:rsidRDefault="00275487">
      <w:pPr>
        <w:pStyle w:val="FootnoteText"/>
        <w:rPr>
          <w:lang w:val="en-US"/>
        </w:rPr>
      </w:pPr>
      <w:r w:rsidRPr="005648F4">
        <w:rPr>
          <w:rStyle w:val="FootnoteReference"/>
        </w:rPr>
        <w:footnoteRef/>
      </w:r>
      <w:r w:rsidRPr="005648F4">
        <w:t xml:space="preserve"> Bangladesh, Cameroon, </w:t>
      </w:r>
      <w:r w:rsidRPr="00CA3535">
        <w:t xml:space="preserve">Democratic Republic of </w:t>
      </w:r>
      <w:proofErr w:type="gramStart"/>
      <w:r w:rsidR="00D66536" w:rsidRPr="00CA3535">
        <w:t xml:space="preserve">the </w:t>
      </w:r>
      <w:r w:rsidRPr="00CA3535">
        <w:t>Congo</w:t>
      </w:r>
      <w:proofErr w:type="gramEnd"/>
      <w:r w:rsidRPr="005648F4">
        <w:t xml:space="preserve">, Ethiopia, </w:t>
      </w:r>
      <w:r w:rsidR="0020320D" w:rsidRPr="005648F4">
        <w:t xml:space="preserve">India, </w:t>
      </w:r>
      <w:r w:rsidRPr="005648F4">
        <w:t>Kyrgyz</w:t>
      </w:r>
      <w:r w:rsidR="00D05482" w:rsidRPr="005648F4">
        <w:t>stan,</w:t>
      </w:r>
      <w:r w:rsidRPr="005648F4">
        <w:t xml:space="preserve"> Madagascar, Mongolia, Namibia, Philippines</w:t>
      </w:r>
      <w:r w:rsidR="0020320D" w:rsidRPr="005648F4">
        <w:t xml:space="preserve"> </w:t>
      </w:r>
      <w:r w:rsidR="0020320D" w:rsidRPr="00CA3535">
        <w:t>and Republic of Moldova</w:t>
      </w:r>
      <w:r w:rsidR="002F0B97" w:rsidRPr="005648F4">
        <w:t>.</w:t>
      </w:r>
    </w:p>
  </w:footnote>
  <w:footnote w:id="7">
    <w:p w14:paraId="10D2AB0B" w14:textId="7C315658" w:rsidR="00275487" w:rsidRPr="005648F4" w:rsidRDefault="00275487">
      <w:pPr>
        <w:pStyle w:val="FootnoteText"/>
        <w:rPr>
          <w:lang w:val="en-US"/>
        </w:rPr>
      </w:pPr>
      <w:r w:rsidRPr="005648F4">
        <w:rPr>
          <w:rStyle w:val="FootnoteReference"/>
        </w:rPr>
        <w:footnoteRef/>
      </w:r>
      <w:r w:rsidRPr="005648F4">
        <w:t xml:space="preserve"> </w:t>
      </w:r>
      <w:r w:rsidR="005648F4" w:rsidRPr="005648F4">
        <w:t xml:space="preserve">In </w:t>
      </w:r>
      <w:r w:rsidRPr="005648F4">
        <w:rPr>
          <w:lang w:val="en-US"/>
        </w:rPr>
        <w:t xml:space="preserve">Cuba, Guatemala </w:t>
      </w:r>
      <w:r w:rsidR="00F73766" w:rsidRPr="005648F4">
        <w:rPr>
          <w:lang w:val="en-US"/>
        </w:rPr>
        <w:t xml:space="preserve">and </w:t>
      </w:r>
      <w:r w:rsidRPr="005648F4">
        <w:rPr>
          <w:lang w:val="en-US"/>
        </w:rPr>
        <w:t>Malaysia.</w:t>
      </w:r>
    </w:p>
  </w:footnote>
  <w:footnote w:id="8">
    <w:p w14:paraId="7C538E3F" w14:textId="6F89E462" w:rsidR="008663F2" w:rsidRPr="005648F4" w:rsidRDefault="008663F2" w:rsidP="008663F2">
      <w:pPr>
        <w:pStyle w:val="FootnoteText"/>
      </w:pPr>
      <w:r w:rsidRPr="005648F4">
        <w:rPr>
          <w:rStyle w:val="FootnoteReference"/>
        </w:rPr>
        <w:footnoteRef/>
      </w:r>
      <w:r w:rsidRPr="005648F4">
        <w:t xml:space="preserve"> </w:t>
      </w:r>
      <w:r w:rsidRPr="00CA3535">
        <w:t>GEF</w:t>
      </w:r>
      <w:r w:rsidRPr="005648F4">
        <w:t xml:space="preserve">, 2023, </w:t>
      </w:r>
      <w:hyperlink r:id="rId2" w:history="1">
        <w:r w:rsidRPr="005648F4">
          <w:rPr>
            <w:rStyle w:val="Hyperlink"/>
            <w:i/>
            <w:iCs/>
          </w:rPr>
          <w:t xml:space="preserve">Establishment of a New </w:t>
        </w:r>
        <w:r w:rsidRPr="00CA3535">
          <w:rPr>
            <w:rStyle w:val="Hyperlink"/>
            <w:i/>
            <w:iCs/>
          </w:rPr>
          <w:t xml:space="preserve">Trust Fund: </w:t>
        </w:r>
        <w:r w:rsidR="005648F4">
          <w:rPr>
            <w:rStyle w:val="Hyperlink"/>
            <w:i/>
            <w:iCs/>
          </w:rPr>
          <w:t>t</w:t>
        </w:r>
        <w:r w:rsidRPr="005648F4">
          <w:rPr>
            <w:rStyle w:val="Hyperlink"/>
            <w:i/>
            <w:iCs/>
          </w:rPr>
          <w:t>he Global Biodiversity Framework Fund</w:t>
        </w:r>
      </w:hyperlink>
      <w:r w:rsidRPr="005648F4">
        <w:t xml:space="preserve">, Council </w:t>
      </w:r>
      <w:r w:rsidR="00F73766" w:rsidRPr="005648F4">
        <w:t>d</w:t>
      </w:r>
      <w:r w:rsidRPr="005648F4">
        <w:t xml:space="preserve">ocument </w:t>
      </w:r>
      <w:r w:rsidRPr="00CA3535">
        <w:t>GEF</w:t>
      </w:r>
      <w:r w:rsidRPr="005648F4">
        <w:t>/C.64/05/Rev.01.</w:t>
      </w:r>
    </w:p>
  </w:footnote>
  <w:footnote w:id="9">
    <w:p w14:paraId="677517E6" w14:textId="77777777" w:rsidR="00371B9E" w:rsidRPr="0080114D" w:rsidRDefault="00371B9E" w:rsidP="00371B9E">
      <w:pPr>
        <w:pStyle w:val="FootnoteText"/>
      </w:pPr>
      <w:r>
        <w:rPr>
          <w:rStyle w:val="FootnoteReference"/>
        </w:rPr>
        <w:footnoteRef/>
      </w:r>
      <w:r>
        <w:t xml:space="preserve"> </w:t>
      </w:r>
      <w:r w:rsidRPr="0080114D">
        <w:t xml:space="preserve">United Nations, </w:t>
      </w:r>
      <w:r w:rsidRPr="00ED1E65">
        <w:rPr>
          <w:i/>
          <w:iCs/>
        </w:rPr>
        <w:t>Treaty Series</w:t>
      </w:r>
      <w:r w:rsidRPr="0080114D">
        <w:t>, vol. 1760, No. 30619.</w:t>
      </w:r>
    </w:p>
  </w:footnote>
  <w:footnote w:id="10">
    <w:p w14:paraId="5F4F19A4" w14:textId="4285D565" w:rsidR="00C229CF" w:rsidRPr="00C229CF" w:rsidRDefault="00C229CF">
      <w:pPr>
        <w:pStyle w:val="FootnoteText"/>
      </w:pPr>
      <w:r>
        <w:rPr>
          <w:rStyle w:val="FootnoteReference"/>
        </w:rPr>
        <w:footnoteRef/>
      </w:r>
      <w:r>
        <w:t xml:space="preserve"> </w:t>
      </w:r>
      <w:r w:rsidRPr="00C229CF">
        <w:t>CBD/COP/16/8</w:t>
      </w:r>
      <w:r>
        <w:t>.</w:t>
      </w:r>
    </w:p>
  </w:footnote>
  <w:footnote w:id="11">
    <w:p w14:paraId="28EF8715" w14:textId="77777777" w:rsidR="00414A2E" w:rsidRPr="00111FC6" w:rsidRDefault="00414A2E" w:rsidP="00414A2E">
      <w:pPr>
        <w:pStyle w:val="FootnoteText"/>
      </w:pPr>
      <w:r>
        <w:rPr>
          <w:rStyle w:val="FootnoteReference"/>
        </w:rPr>
        <w:footnoteRef/>
      </w:r>
      <w:r>
        <w:t xml:space="preserve"> </w:t>
      </w:r>
      <w:r w:rsidRPr="00111FC6">
        <w:t>CBD/COP/16/7</w:t>
      </w:r>
      <w:r>
        <w:t>.</w:t>
      </w:r>
    </w:p>
  </w:footnote>
  <w:footnote w:id="12">
    <w:p w14:paraId="1B5A471A" w14:textId="64B1CF43" w:rsidR="005A2718" w:rsidRPr="005A2718" w:rsidRDefault="005A2718">
      <w:pPr>
        <w:pStyle w:val="FootnoteText"/>
      </w:pPr>
      <w:r>
        <w:rPr>
          <w:rStyle w:val="FootnoteReference"/>
        </w:rPr>
        <w:footnoteRef/>
      </w:r>
      <w:r>
        <w:t xml:space="preserve"> </w:t>
      </w:r>
      <w:r w:rsidRPr="005A2718">
        <w:t xml:space="preserve">United Nations, </w:t>
      </w:r>
      <w:r w:rsidRPr="00CA3535">
        <w:rPr>
          <w:i/>
          <w:iCs/>
        </w:rPr>
        <w:t>Treaty Series</w:t>
      </w:r>
      <w:r w:rsidRPr="005A2718">
        <w:t>, vol. 2226, No. 30619.</w:t>
      </w:r>
    </w:p>
  </w:footnote>
  <w:footnote w:id="13">
    <w:p w14:paraId="79F92DDC" w14:textId="34A3D468" w:rsidR="007147E9" w:rsidRPr="007147E9" w:rsidRDefault="007147E9">
      <w:pPr>
        <w:pStyle w:val="FootnoteText"/>
      </w:pPr>
      <w:r>
        <w:rPr>
          <w:rStyle w:val="FootnoteReference"/>
        </w:rPr>
        <w:footnoteRef/>
      </w:r>
      <w:r>
        <w:t xml:space="preserve"> Decision CP-10/3, annex.</w:t>
      </w:r>
    </w:p>
  </w:footnote>
  <w:footnote w:id="14">
    <w:p w14:paraId="29D7363C" w14:textId="68E4B9D7" w:rsidR="009B48BB" w:rsidRPr="00CA3535" w:rsidRDefault="009B48BB">
      <w:pPr>
        <w:pStyle w:val="FootnoteText"/>
        <w:rPr>
          <w:lang w:val="en-US"/>
        </w:rPr>
      </w:pPr>
      <w:r>
        <w:rPr>
          <w:rStyle w:val="FootnoteReference"/>
        </w:rPr>
        <w:footnoteRef/>
      </w:r>
      <w:r>
        <w:t xml:space="preserve"> Decision CP-10/4, annex.</w:t>
      </w:r>
    </w:p>
  </w:footnote>
  <w:footnote w:id="15">
    <w:p w14:paraId="1AA77834" w14:textId="65ACE8AD" w:rsidR="00CE62CC" w:rsidRPr="005648F4" w:rsidRDefault="00CE62CC" w:rsidP="00CE62CC">
      <w:pPr>
        <w:pStyle w:val="FootnoteText"/>
        <w:rPr>
          <w:lang w:val="en-US"/>
        </w:rPr>
      </w:pPr>
      <w:r w:rsidRPr="005648F4">
        <w:rPr>
          <w:rStyle w:val="FootnoteReference"/>
        </w:rPr>
        <w:footnoteRef/>
      </w:r>
      <w:r w:rsidRPr="005648F4">
        <w:t xml:space="preserve"> </w:t>
      </w:r>
      <w:r w:rsidR="00D86476">
        <w:rPr>
          <w:lang w:val="en-US"/>
        </w:rPr>
        <w:t>The</w:t>
      </w:r>
      <w:r w:rsidR="00344A02">
        <w:rPr>
          <w:lang w:val="en-US"/>
        </w:rPr>
        <w:t xml:space="preserve"> elements</w:t>
      </w:r>
      <w:r w:rsidR="00344A02" w:rsidRPr="005648F4">
        <w:rPr>
          <w:lang w:val="en-US"/>
        </w:rPr>
        <w:t xml:space="preserve"> </w:t>
      </w:r>
      <w:r w:rsidR="00344A02">
        <w:rPr>
          <w:lang w:val="en-US"/>
        </w:rPr>
        <w:t xml:space="preserve">could </w:t>
      </w:r>
      <w:r w:rsidRPr="005648F4">
        <w:rPr>
          <w:lang w:val="en-US"/>
        </w:rPr>
        <w:t xml:space="preserve">be included in </w:t>
      </w:r>
      <w:r w:rsidR="00761085" w:rsidRPr="005648F4">
        <w:rPr>
          <w:lang w:val="en-US"/>
        </w:rPr>
        <w:t>e</w:t>
      </w:r>
      <w:r w:rsidRPr="005648F4">
        <w:rPr>
          <w:lang w:val="en-US"/>
        </w:rPr>
        <w:t xml:space="preserve">nclosure II </w:t>
      </w:r>
      <w:r w:rsidR="00761085" w:rsidRPr="005648F4">
        <w:rPr>
          <w:lang w:val="en-US"/>
        </w:rPr>
        <w:t xml:space="preserve">to </w:t>
      </w:r>
      <w:r w:rsidRPr="005648F4">
        <w:rPr>
          <w:lang w:val="en-US"/>
        </w:rPr>
        <w:t xml:space="preserve">the </w:t>
      </w:r>
      <w:r w:rsidR="00761085" w:rsidRPr="005648F4">
        <w:rPr>
          <w:lang w:val="en-US"/>
        </w:rPr>
        <w:t>a</w:t>
      </w:r>
      <w:r w:rsidRPr="005648F4">
        <w:rPr>
          <w:lang w:val="en-US"/>
        </w:rPr>
        <w:t>nnex to the draft decision contained in recommendation 4/4</w:t>
      </w:r>
      <w:r w:rsidR="00ED2503">
        <w:rPr>
          <w:lang w:val="en-US"/>
        </w:rPr>
        <w:t xml:space="preserve"> of the </w:t>
      </w:r>
      <w:r w:rsidR="00ED2503" w:rsidRPr="005648F4">
        <w:rPr>
          <w:kern w:val="22"/>
        </w:rPr>
        <w:t>Subsidiary Body on Implementation</w:t>
      </w:r>
      <w:r w:rsidRPr="005648F4">
        <w:rPr>
          <w:lang w:val="en-US"/>
        </w:rPr>
        <w:t>.</w:t>
      </w:r>
    </w:p>
  </w:footnote>
  <w:footnote w:id="16">
    <w:p w14:paraId="589036B3" w14:textId="4DF857EA" w:rsidR="00460A34" w:rsidRPr="00CA3535" w:rsidRDefault="00460A34">
      <w:pPr>
        <w:pStyle w:val="FootnoteText"/>
        <w:rPr>
          <w:lang w:val="en-US"/>
        </w:rPr>
      </w:pPr>
      <w:r>
        <w:rPr>
          <w:rStyle w:val="FootnoteReference"/>
        </w:rPr>
        <w:footnoteRef/>
      </w:r>
      <w:r>
        <w:t xml:space="preserve"> </w:t>
      </w:r>
      <w:r>
        <w:rPr>
          <w:lang w:val="en-US"/>
        </w:rPr>
        <w:t>Decision 15/4, annex.</w:t>
      </w:r>
    </w:p>
  </w:footnote>
  <w:footnote w:id="17">
    <w:p w14:paraId="74C8FE17" w14:textId="6D6B6802" w:rsidR="005A2E62" w:rsidRPr="00CA3535" w:rsidRDefault="005A2E62">
      <w:pPr>
        <w:pStyle w:val="FootnoteText"/>
        <w:rPr>
          <w:lang w:val="en-US"/>
        </w:rPr>
      </w:pPr>
      <w:r>
        <w:rPr>
          <w:rStyle w:val="FootnoteReference"/>
        </w:rPr>
        <w:footnoteRef/>
      </w:r>
      <w:r>
        <w:t xml:space="preserve"> </w:t>
      </w:r>
      <w:r>
        <w:rPr>
          <w:lang w:val="en-US"/>
        </w:rPr>
        <w:t>Decision 15/7,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572A9" w14:textId="40FD58C3"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A9775E">
      <w:rPr>
        <w:noProof/>
        <w:sz w:val="20"/>
        <w:szCs w:val="20"/>
      </w:rPr>
      <w:t>CBD/CP/MOP/11/6</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2B6C5" w14:textId="6CBDA166"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A9775E">
      <w:rPr>
        <w:noProof/>
        <w:sz w:val="20"/>
        <w:szCs w:val="20"/>
      </w:rPr>
      <w:t>CBD/CP/MOP/11/6</w:t>
    </w:r>
    <w:r>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2679B"/>
    <w:multiLevelType w:val="hybridMultilevel"/>
    <w:tmpl w:val="62360E6E"/>
    <w:lvl w:ilvl="0" w:tplc="E204783E">
      <w:start w:val="2"/>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13009"/>
    <w:multiLevelType w:val="hybridMultilevel"/>
    <w:tmpl w:val="CBCE1B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E692E1C"/>
    <w:multiLevelType w:val="hybridMultilevel"/>
    <w:tmpl w:val="C80270DC"/>
    <w:lvl w:ilvl="0" w:tplc="87ECE9B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3CD57134"/>
    <w:multiLevelType w:val="hybridMultilevel"/>
    <w:tmpl w:val="BAC0CE58"/>
    <w:lvl w:ilvl="0" w:tplc="FB0801A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47BC"/>
    <w:multiLevelType w:val="multilevel"/>
    <w:tmpl w:val="79E4BC7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lowerRoman"/>
      <w:lvlText w:val="(%4)"/>
      <w:lvlJc w:val="left"/>
      <w:pPr>
        <w:tabs>
          <w:tab w:val="num" w:pos="2160"/>
        </w:tabs>
        <w:ind w:left="2160" w:hanging="720"/>
      </w:pPr>
      <w:rPr>
        <w:rFonts w:hint="default"/>
        <w:b w:val="0"/>
        <w:i w:val="0"/>
        <w:sz w:val="22"/>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BBC2805"/>
    <w:multiLevelType w:val="hybridMultilevel"/>
    <w:tmpl w:val="0B96DC9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8" w15:restartNumberingAfterBreak="0">
    <w:nsid w:val="4DA03D1B"/>
    <w:multiLevelType w:val="hybridMultilevel"/>
    <w:tmpl w:val="A566CBDE"/>
    <w:lvl w:ilvl="0" w:tplc="9440CA58">
      <w:start w:val="2"/>
      <w:numFmt w:val="decimal"/>
      <w:lvlText w:val="%1."/>
      <w:lvlJc w:val="left"/>
      <w:pPr>
        <w:tabs>
          <w:tab w:val="num" w:pos="1080"/>
        </w:tabs>
        <w:ind w:left="1080" w:hanging="720"/>
      </w:pPr>
      <w:rPr>
        <w:rFonts w:hint="default"/>
      </w:rPr>
    </w:lvl>
    <w:lvl w:ilvl="1" w:tplc="205E2EAA">
      <w:numFmt w:val="none"/>
      <w:lvlText w:val=""/>
      <w:lvlJc w:val="left"/>
      <w:pPr>
        <w:tabs>
          <w:tab w:val="num" w:pos="360"/>
        </w:tabs>
      </w:pPr>
    </w:lvl>
    <w:lvl w:ilvl="2" w:tplc="860E6304">
      <w:numFmt w:val="none"/>
      <w:lvlText w:val=""/>
      <w:lvlJc w:val="left"/>
      <w:pPr>
        <w:tabs>
          <w:tab w:val="num" w:pos="360"/>
        </w:tabs>
      </w:pPr>
    </w:lvl>
    <w:lvl w:ilvl="3" w:tplc="FFBC7E7E">
      <w:numFmt w:val="none"/>
      <w:lvlText w:val=""/>
      <w:lvlJc w:val="left"/>
      <w:pPr>
        <w:tabs>
          <w:tab w:val="num" w:pos="360"/>
        </w:tabs>
      </w:pPr>
    </w:lvl>
    <w:lvl w:ilvl="4" w:tplc="43D4A02C">
      <w:numFmt w:val="none"/>
      <w:lvlText w:val=""/>
      <w:lvlJc w:val="left"/>
      <w:pPr>
        <w:tabs>
          <w:tab w:val="num" w:pos="360"/>
        </w:tabs>
      </w:pPr>
    </w:lvl>
    <w:lvl w:ilvl="5" w:tplc="43DCA2DE">
      <w:numFmt w:val="none"/>
      <w:lvlText w:val=""/>
      <w:lvlJc w:val="left"/>
      <w:pPr>
        <w:tabs>
          <w:tab w:val="num" w:pos="360"/>
        </w:tabs>
      </w:pPr>
    </w:lvl>
    <w:lvl w:ilvl="6" w:tplc="C6F67D7A">
      <w:numFmt w:val="none"/>
      <w:lvlText w:val=""/>
      <w:lvlJc w:val="left"/>
      <w:pPr>
        <w:tabs>
          <w:tab w:val="num" w:pos="360"/>
        </w:tabs>
      </w:pPr>
    </w:lvl>
    <w:lvl w:ilvl="7" w:tplc="0D9A3552">
      <w:numFmt w:val="none"/>
      <w:lvlText w:val=""/>
      <w:lvlJc w:val="left"/>
      <w:pPr>
        <w:tabs>
          <w:tab w:val="num" w:pos="360"/>
        </w:tabs>
      </w:pPr>
    </w:lvl>
    <w:lvl w:ilvl="8" w:tplc="D75803B4">
      <w:numFmt w:val="none"/>
      <w:lvlText w:val=""/>
      <w:lvlJc w:val="left"/>
      <w:pPr>
        <w:tabs>
          <w:tab w:val="num" w:pos="360"/>
        </w:tabs>
      </w:pPr>
    </w:lvl>
  </w:abstractNum>
  <w:abstractNum w:abstractNumId="19" w15:restartNumberingAfterBreak="0">
    <w:nsid w:val="4E0442B4"/>
    <w:multiLevelType w:val="multilevel"/>
    <w:tmpl w:val="DA86F0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5026FC2"/>
    <w:multiLevelType w:val="hybridMultilevel"/>
    <w:tmpl w:val="64A6BAB6"/>
    <w:lvl w:ilvl="0" w:tplc="FFFFFFFF">
      <w:start w:val="1"/>
      <w:numFmt w:val="lowerLetter"/>
      <w:lvlText w:val="(%1)"/>
      <w:lvlJc w:val="left"/>
      <w:pPr>
        <w:ind w:left="720" w:hanging="360"/>
      </w:pPr>
      <w:rPr>
        <w:rFonts w:hint="default"/>
        <w:b w:val="0"/>
        <w:lang w:val="en-ZA"/>
      </w:rPr>
    </w:lvl>
    <w:lvl w:ilvl="1" w:tplc="D2046700">
      <w:start w:val="1"/>
      <w:numFmt w:val="lowerLetter"/>
      <w:lvlText w:val="(%2)"/>
      <w:lvlJc w:val="left"/>
      <w:pPr>
        <w:ind w:left="1854" w:hanging="360"/>
      </w:pPr>
      <w:rPr>
        <w:rFonts w:hint="default"/>
        <w:b w:val="0"/>
        <w:lang w:val="en-ZA"/>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943BEE"/>
    <w:multiLevelType w:val="multilevel"/>
    <w:tmpl w:val="222A08B4"/>
    <w:numStyleLink w:val="ListCBD"/>
  </w:abstractNum>
  <w:abstractNum w:abstractNumId="22"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629B231E"/>
    <w:multiLevelType w:val="hybridMultilevel"/>
    <w:tmpl w:val="F3B89CA8"/>
    <w:lvl w:ilvl="0" w:tplc="CEEEF97A">
      <w:start w:val="1"/>
      <w:numFmt w:val="lowerRoman"/>
      <w:lvlText w:val="(%1)"/>
      <w:lvlJc w:val="righ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68CC1CA9"/>
    <w:multiLevelType w:val="hybridMultilevel"/>
    <w:tmpl w:val="EADECDC2"/>
    <w:lvl w:ilvl="0" w:tplc="E9CAA770">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68F85094"/>
    <w:multiLevelType w:val="multilevel"/>
    <w:tmpl w:val="05642C9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2"/>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3"/>
      <w:numFmt w:val="decimal"/>
      <w:lvlText w:val="%7."/>
      <w:lvlJc w:val="left"/>
      <w:pPr>
        <w:ind w:left="3186" w:hanging="360"/>
      </w:pPr>
      <w:rPr>
        <w:rFonts w:hint="default"/>
        <w:b w:val="0"/>
        <w:bCs/>
        <w:i/>
        <w:iCs w:val="0"/>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9F20DC6"/>
    <w:multiLevelType w:val="hybridMultilevel"/>
    <w:tmpl w:val="FE6C1A2E"/>
    <w:lvl w:ilvl="0" w:tplc="D2046700">
      <w:start w:val="1"/>
      <w:numFmt w:val="lowerLetter"/>
      <w:lvlText w:val="(%1)"/>
      <w:lvlJc w:val="left"/>
      <w:pPr>
        <w:ind w:left="1854" w:hanging="360"/>
      </w:pPr>
      <w:rPr>
        <w:rFonts w:hint="default"/>
        <w:b w:val="0"/>
        <w:lang w:val="en-ZA"/>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0" w15:restartNumberingAfterBreak="0">
    <w:nsid w:val="7F523ED3"/>
    <w:multiLevelType w:val="hybridMultilevel"/>
    <w:tmpl w:val="D4A66DAC"/>
    <w:lvl w:ilvl="0" w:tplc="D2046700">
      <w:start w:val="1"/>
      <w:numFmt w:val="lowerLetter"/>
      <w:lvlText w:val="(%1)"/>
      <w:lvlJc w:val="left"/>
      <w:pPr>
        <w:ind w:left="720" w:hanging="360"/>
      </w:pPr>
      <w:rPr>
        <w:rFonts w:hint="default"/>
        <w:b w:val="0"/>
        <w:lang w:val="en-ZA"/>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72390599">
    <w:abstractNumId w:val="28"/>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6"/>
  </w:num>
  <w:num w:numId="8" w16cid:durableId="893932166">
    <w:abstractNumId w:val="26"/>
  </w:num>
  <w:num w:numId="9" w16cid:durableId="32394538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1811739">
    <w:abstractNumId w:val="19"/>
  </w:num>
  <w:num w:numId="17" w16cid:durableId="2140950642">
    <w:abstractNumId w:val="10"/>
  </w:num>
  <w:num w:numId="18" w16cid:durableId="783887405">
    <w:abstractNumId w:val="27"/>
  </w:num>
  <w:num w:numId="19" w16cid:durableId="299384040">
    <w:abstractNumId w:val="18"/>
  </w:num>
  <w:num w:numId="20" w16cid:durableId="2132165353">
    <w:abstractNumId w:val="15"/>
  </w:num>
  <w:num w:numId="21" w16cid:durableId="853811231">
    <w:abstractNumId w:val="29"/>
  </w:num>
  <w:num w:numId="22" w16cid:durableId="843011862">
    <w:abstractNumId w:val="22"/>
  </w:num>
  <w:num w:numId="23" w16cid:durableId="224685708">
    <w:abstractNumId w:val="11"/>
  </w:num>
  <w:num w:numId="24" w16cid:durableId="867374362">
    <w:abstractNumId w:val="17"/>
  </w:num>
  <w:num w:numId="25" w16cid:durableId="87366325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9484919">
    <w:abstractNumId w:val="24"/>
  </w:num>
  <w:num w:numId="27" w16cid:durableId="2110465833">
    <w:abstractNumId w:val="12"/>
  </w:num>
  <w:num w:numId="28" w16cid:durableId="773523958">
    <w:abstractNumId w:val="13"/>
  </w:num>
  <w:num w:numId="29" w16cid:durableId="1071151163">
    <w:abstractNumId w:val="2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971248904">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611396119">
    <w:abstractNumId w:val="25"/>
  </w:num>
  <w:num w:numId="32" w16cid:durableId="290942899">
    <w:abstractNumId w:val="23"/>
  </w:num>
  <w:num w:numId="33" w16cid:durableId="921910305">
    <w:abstractNumId w:val="14"/>
  </w:num>
  <w:num w:numId="34" w16cid:durableId="47841912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519852508">
    <w:abstractNumId w:val="30"/>
  </w:num>
  <w:num w:numId="36" w16cid:durableId="869300156">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D0"/>
    <w:rsid w:val="00007CFF"/>
    <w:rsid w:val="00011A14"/>
    <w:rsid w:val="000156B4"/>
    <w:rsid w:val="0001662B"/>
    <w:rsid w:val="00022233"/>
    <w:rsid w:val="00026733"/>
    <w:rsid w:val="000279DA"/>
    <w:rsid w:val="00030300"/>
    <w:rsid w:val="00037D01"/>
    <w:rsid w:val="00040598"/>
    <w:rsid w:val="00042D36"/>
    <w:rsid w:val="000446C3"/>
    <w:rsid w:val="000472C3"/>
    <w:rsid w:val="0005060C"/>
    <w:rsid w:val="00053C86"/>
    <w:rsid w:val="00055D12"/>
    <w:rsid w:val="00057C55"/>
    <w:rsid w:val="00063D02"/>
    <w:rsid w:val="00064CC6"/>
    <w:rsid w:val="000675C6"/>
    <w:rsid w:val="00071E80"/>
    <w:rsid w:val="00071FEF"/>
    <w:rsid w:val="00073728"/>
    <w:rsid w:val="0007519E"/>
    <w:rsid w:val="00080FCE"/>
    <w:rsid w:val="00085B8B"/>
    <w:rsid w:val="00085C0B"/>
    <w:rsid w:val="00086802"/>
    <w:rsid w:val="00090155"/>
    <w:rsid w:val="00090C4F"/>
    <w:rsid w:val="000918F1"/>
    <w:rsid w:val="000A0A52"/>
    <w:rsid w:val="000A0BA6"/>
    <w:rsid w:val="000A33B3"/>
    <w:rsid w:val="000A4B30"/>
    <w:rsid w:val="000B0CEF"/>
    <w:rsid w:val="000B615C"/>
    <w:rsid w:val="000C2A11"/>
    <w:rsid w:val="000C55B9"/>
    <w:rsid w:val="000C5A51"/>
    <w:rsid w:val="000C5E34"/>
    <w:rsid w:val="000D1DCA"/>
    <w:rsid w:val="000D5781"/>
    <w:rsid w:val="000E122F"/>
    <w:rsid w:val="000F2A27"/>
    <w:rsid w:val="000F37C1"/>
    <w:rsid w:val="000F53A0"/>
    <w:rsid w:val="00100196"/>
    <w:rsid w:val="00100C9B"/>
    <w:rsid w:val="0010235E"/>
    <w:rsid w:val="00102AAB"/>
    <w:rsid w:val="00103EBD"/>
    <w:rsid w:val="00106446"/>
    <w:rsid w:val="0010668D"/>
    <w:rsid w:val="00111FC6"/>
    <w:rsid w:val="0011536A"/>
    <w:rsid w:val="00115A56"/>
    <w:rsid w:val="00126B99"/>
    <w:rsid w:val="001313F0"/>
    <w:rsid w:val="00132079"/>
    <w:rsid w:val="00132581"/>
    <w:rsid w:val="00132FA5"/>
    <w:rsid w:val="00133F49"/>
    <w:rsid w:val="001342DE"/>
    <w:rsid w:val="00134899"/>
    <w:rsid w:val="00134DE4"/>
    <w:rsid w:val="00136F25"/>
    <w:rsid w:val="001409F4"/>
    <w:rsid w:val="0014119C"/>
    <w:rsid w:val="00142AA6"/>
    <w:rsid w:val="00143625"/>
    <w:rsid w:val="0014459A"/>
    <w:rsid w:val="00147F94"/>
    <w:rsid w:val="00155727"/>
    <w:rsid w:val="0015604D"/>
    <w:rsid w:val="001565F0"/>
    <w:rsid w:val="00170D50"/>
    <w:rsid w:val="00172242"/>
    <w:rsid w:val="00172EA1"/>
    <w:rsid w:val="001743C7"/>
    <w:rsid w:val="00176387"/>
    <w:rsid w:val="001766A8"/>
    <w:rsid w:val="001777E7"/>
    <w:rsid w:val="00183A1E"/>
    <w:rsid w:val="00184909"/>
    <w:rsid w:val="0018542A"/>
    <w:rsid w:val="001A1514"/>
    <w:rsid w:val="001A2195"/>
    <w:rsid w:val="001A7198"/>
    <w:rsid w:val="001B18CA"/>
    <w:rsid w:val="001B4579"/>
    <w:rsid w:val="001B5B8A"/>
    <w:rsid w:val="001B6FE5"/>
    <w:rsid w:val="001B710A"/>
    <w:rsid w:val="001C37FB"/>
    <w:rsid w:val="001C38CF"/>
    <w:rsid w:val="001C47A1"/>
    <w:rsid w:val="001C6790"/>
    <w:rsid w:val="001C7F17"/>
    <w:rsid w:val="001D08F7"/>
    <w:rsid w:val="001D2FD8"/>
    <w:rsid w:val="001D62DE"/>
    <w:rsid w:val="001D7501"/>
    <w:rsid w:val="001E3AE2"/>
    <w:rsid w:val="001F414B"/>
    <w:rsid w:val="00201175"/>
    <w:rsid w:val="0020320D"/>
    <w:rsid w:val="0020485A"/>
    <w:rsid w:val="00207652"/>
    <w:rsid w:val="00210637"/>
    <w:rsid w:val="00211DCA"/>
    <w:rsid w:val="00211DFB"/>
    <w:rsid w:val="00211F3C"/>
    <w:rsid w:val="00212F5E"/>
    <w:rsid w:val="00216C63"/>
    <w:rsid w:val="002207A6"/>
    <w:rsid w:val="00221AD0"/>
    <w:rsid w:val="002236FE"/>
    <w:rsid w:val="00223CB2"/>
    <w:rsid w:val="00227609"/>
    <w:rsid w:val="00230609"/>
    <w:rsid w:val="00232172"/>
    <w:rsid w:val="00236DA2"/>
    <w:rsid w:val="002419CD"/>
    <w:rsid w:val="00241C12"/>
    <w:rsid w:val="002504A2"/>
    <w:rsid w:val="00256959"/>
    <w:rsid w:val="002569B8"/>
    <w:rsid w:val="00256FB6"/>
    <w:rsid w:val="00260F25"/>
    <w:rsid w:val="00265EA8"/>
    <w:rsid w:val="00271C6F"/>
    <w:rsid w:val="00272947"/>
    <w:rsid w:val="002743BF"/>
    <w:rsid w:val="00275487"/>
    <w:rsid w:val="00277E3D"/>
    <w:rsid w:val="00280610"/>
    <w:rsid w:val="002851F8"/>
    <w:rsid w:val="00286C9E"/>
    <w:rsid w:val="00287B76"/>
    <w:rsid w:val="00294746"/>
    <w:rsid w:val="002A2B00"/>
    <w:rsid w:val="002A3D28"/>
    <w:rsid w:val="002A622B"/>
    <w:rsid w:val="002B00CA"/>
    <w:rsid w:val="002B0B8B"/>
    <w:rsid w:val="002B4985"/>
    <w:rsid w:val="002B559C"/>
    <w:rsid w:val="002C7698"/>
    <w:rsid w:val="002D03F8"/>
    <w:rsid w:val="002D5270"/>
    <w:rsid w:val="002D7619"/>
    <w:rsid w:val="002E3000"/>
    <w:rsid w:val="002E43CF"/>
    <w:rsid w:val="002E7F59"/>
    <w:rsid w:val="002F0B97"/>
    <w:rsid w:val="002F2A24"/>
    <w:rsid w:val="002F708B"/>
    <w:rsid w:val="00302DBC"/>
    <w:rsid w:val="0030537E"/>
    <w:rsid w:val="00310522"/>
    <w:rsid w:val="00310608"/>
    <w:rsid w:val="00310ED6"/>
    <w:rsid w:val="00311CD6"/>
    <w:rsid w:val="00313673"/>
    <w:rsid w:val="00313B61"/>
    <w:rsid w:val="00313F44"/>
    <w:rsid w:val="003144CC"/>
    <w:rsid w:val="0031748B"/>
    <w:rsid w:val="003239B5"/>
    <w:rsid w:val="00323F22"/>
    <w:rsid w:val="00326608"/>
    <w:rsid w:val="003312A8"/>
    <w:rsid w:val="00335CF6"/>
    <w:rsid w:val="0033643C"/>
    <w:rsid w:val="00340550"/>
    <w:rsid w:val="00344A02"/>
    <w:rsid w:val="003476A9"/>
    <w:rsid w:val="0035047C"/>
    <w:rsid w:val="00363BBE"/>
    <w:rsid w:val="0036482F"/>
    <w:rsid w:val="003656A4"/>
    <w:rsid w:val="00370476"/>
    <w:rsid w:val="00371B9E"/>
    <w:rsid w:val="00375AA0"/>
    <w:rsid w:val="00380CC0"/>
    <w:rsid w:val="00382FA6"/>
    <w:rsid w:val="00384211"/>
    <w:rsid w:val="0038466F"/>
    <w:rsid w:val="0038750E"/>
    <w:rsid w:val="0039281B"/>
    <w:rsid w:val="003A0E10"/>
    <w:rsid w:val="003A2813"/>
    <w:rsid w:val="003A54CD"/>
    <w:rsid w:val="003A79D6"/>
    <w:rsid w:val="003B11B8"/>
    <w:rsid w:val="003B6933"/>
    <w:rsid w:val="003C0A1B"/>
    <w:rsid w:val="003C10D3"/>
    <w:rsid w:val="003C4A60"/>
    <w:rsid w:val="003C51DC"/>
    <w:rsid w:val="003C6890"/>
    <w:rsid w:val="003C6F10"/>
    <w:rsid w:val="003D017E"/>
    <w:rsid w:val="003D039E"/>
    <w:rsid w:val="003D1E5F"/>
    <w:rsid w:val="003E1115"/>
    <w:rsid w:val="003E3E4B"/>
    <w:rsid w:val="003E5C7A"/>
    <w:rsid w:val="003E6F2F"/>
    <w:rsid w:val="003F78DB"/>
    <w:rsid w:val="004018D9"/>
    <w:rsid w:val="0040229D"/>
    <w:rsid w:val="00403C05"/>
    <w:rsid w:val="004041CD"/>
    <w:rsid w:val="004053BB"/>
    <w:rsid w:val="004053EC"/>
    <w:rsid w:val="004106CB"/>
    <w:rsid w:val="00410F28"/>
    <w:rsid w:val="004126F1"/>
    <w:rsid w:val="00414A2E"/>
    <w:rsid w:val="00426654"/>
    <w:rsid w:val="00441498"/>
    <w:rsid w:val="00443AC0"/>
    <w:rsid w:val="00450441"/>
    <w:rsid w:val="00450AAD"/>
    <w:rsid w:val="004552E0"/>
    <w:rsid w:val="004555F6"/>
    <w:rsid w:val="00457A77"/>
    <w:rsid w:val="00460A34"/>
    <w:rsid w:val="00463181"/>
    <w:rsid w:val="00465384"/>
    <w:rsid w:val="004666B6"/>
    <w:rsid w:val="004701EE"/>
    <w:rsid w:val="004703A8"/>
    <w:rsid w:val="004706AD"/>
    <w:rsid w:val="004803E4"/>
    <w:rsid w:val="00480A8D"/>
    <w:rsid w:val="00480D96"/>
    <w:rsid w:val="00482CD0"/>
    <w:rsid w:val="00487BC5"/>
    <w:rsid w:val="00491385"/>
    <w:rsid w:val="00492259"/>
    <w:rsid w:val="0049258B"/>
    <w:rsid w:val="00494015"/>
    <w:rsid w:val="00494B27"/>
    <w:rsid w:val="00494FEC"/>
    <w:rsid w:val="0049750F"/>
    <w:rsid w:val="00497C09"/>
    <w:rsid w:val="004A1593"/>
    <w:rsid w:val="004A2A2D"/>
    <w:rsid w:val="004A2F93"/>
    <w:rsid w:val="004A6E8E"/>
    <w:rsid w:val="004B0E88"/>
    <w:rsid w:val="004B17E3"/>
    <w:rsid w:val="004B2641"/>
    <w:rsid w:val="004B5673"/>
    <w:rsid w:val="004B74DC"/>
    <w:rsid w:val="004C6118"/>
    <w:rsid w:val="004C7183"/>
    <w:rsid w:val="004D1D92"/>
    <w:rsid w:val="004D2404"/>
    <w:rsid w:val="004D3B21"/>
    <w:rsid w:val="004D445B"/>
    <w:rsid w:val="004D7325"/>
    <w:rsid w:val="004E69A1"/>
    <w:rsid w:val="004E7514"/>
    <w:rsid w:val="004F2127"/>
    <w:rsid w:val="0050031D"/>
    <w:rsid w:val="00501B78"/>
    <w:rsid w:val="0050292A"/>
    <w:rsid w:val="00502AC0"/>
    <w:rsid w:val="00502E2B"/>
    <w:rsid w:val="0050351B"/>
    <w:rsid w:val="00504552"/>
    <w:rsid w:val="0052221F"/>
    <w:rsid w:val="00530332"/>
    <w:rsid w:val="00530A41"/>
    <w:rsid w:val="0053140D"/>
    <w:rsid w:val="00534DDA"/>
    <w:rsid w:val="00537126"/>
    <w:rsid w:val="00537248"/>
    <w:rsid w:val="00543978"/>
    <w:rsid w:val="00544FC8"/>
    <w:rsid w:val="00545255"/>
    <w:rsid w:val="005461BE"/>
    <w:rsid w:val="00546C99"/>
    <w:rsid w:val="00547185"/>
    <w:rsid w:val="005476C3"/>
    <w:rsid w:val="0055065F"/>
    <w:rsid w:val="00553C18"/>
    <w:rsid w:val="00554B6D"/>
    <w:rsid w:val="00555AF7"/>
    <w:rsid w:val="00556893"/>
    <w:rsid w:val="005626C1"/>
    <w:rsid w:val="00562779"/>
    <w:rsid w:val="00562DC4"/>
    <w:rsid w:val="005648F4"/>
    <w:rsid w:val="005658B9"/>
    <w:rsid w:val="00566610"/>
    <w:rsid w:val="00566D81"/>
    <w:rsid w:val="0056773E"/>
    <w:rsid w:val="005677AF"/>
    <w:rsid w:val="00571D0D"/>
    <w:rsid w:val="00571DC9"/>
    <w:rsid w:val="00572CA5"/>
    <w:rsid w:val="005762D0"/>
    <w:rsid w:val="0057715C"/>
    <w:rsid w:val="005803AB"/>
    <w:rsid w:val="00580AF4"/>
    <w:rsid w:val="005921F8"/>
    <w:rsid w:val="005962B8"/>
    <w:rsid w:val="005A008A"/>
    <w:rsid w:val="005A1E26"/>
    <w:rsid w:val="005A206E"/>
    <w:rsid w:val="005A2718"/>
    <w:rsid w:val="005A27B8"/>
    <w:rsid w:val="005A2E62"/>
    <w:rsid w:val="005A4430"/>
    <w:rsid w:val="005A485D"/>
    <w:rsid w:val="005A4E3B"/>
    <w:rsid w:val="005A64C4"/>
    <w:rsid w:val="005B04C7"/>
    <w:rsid w:val="005B0FEE"/>
    <w:rsid w:val="005B143A"/>
    <w:rsid w:val="005B1882"/>
    <w:rsid w:val="005C0058"/>
    <w:rsid w:val="005C1E44"/>
    <w:rsid w:val="005D1822"/>
    <w:rsid w:val="005D2321"/>
    <w:rsid w:val="005D4485"/>
    <w:rsid w:val="005E2605"/>
    <w:rsid w:val="005E26B5"/>
    <w:rsid w:val="005E272B"/>
    <w:rsid w:val="005E36BC"/>
    <w:rsid w:val="005E6464"/>
    <w:rsid w:val="005F06AE"/>
    <w:rsid w:val="005F1826"/>
    <w:rsid w:val="005F30E5"/>
    <w:rsid w:val="005F3192"/>
    <w:rsid w:val="005F3E47"/>
    <w:rsid w:val="006003BE"/>
    <w:rsid w:val="0060084F"/>
    <w:rsid w:val="0060290C"/>
    <w:rsid w:val="006042A2"/>
    <w:rsid w:val="006055A3"/>
    <w:rsid w:val="00606007"/>
    <w:rsid w:val="0060627D"/>
    <w:rsid w:val="00610119"/>
    <w:rsid w:val="00610E43"/>
    <w:rsid w:val="006110C6"/>
    <w:rsid w:val="00611A35"/>
    <w:rsid w:val="0061330A"/>
    <w:rsid w:val="006154F0"/>
    <w:rsid w:val="006257EA"/>
    <w:rsid w:val="00632D17"/>
    <w:rsid w:val="00634A8B"/>
    <w:rsid w:val="00643147"/>
    <w:rsid w:val="006537AB"/>
    <w:rsid w:val="00654AC6"/>
    <w:rsid w:val="006568B3"/>
    <w:rsid w:val="00656AEB"/>
    <w:rsid w:val="00657ED6"/>
    <w:rsid w:val="00661664"/>
    <w:rsid w:val="006628C3"/>
    <w:rsid w:val="006650A4"/>
    <w:rsid w:val="00665145"/>
    <w:rsid w:val="0067076C"/>
    <w:rsid w:val="006707DD"/>
    <w:rsid w:val="006709B9"/>
    <w:rsid w:val="00670B6F"/>
    <w:rsid w:val="00670F8F"/>
    <w:rsid w:val="00673DAE"/>
    <w:rsid w:val="00674FED"/>
    <w:rsid w:val="006835D6"/>
    <w:rsid w:val="00683955"/>
    <w:rsid w:val="00685A09"/>
    <w:rsid w:val="00690009"/>
    <w:rsid w:val="006904DA"/>
    <w:rsid w:val="00690E0B"/>
    <w:rsid w:val="006A0377"/>
    <w:rsid w:val="006A2B5F"/>
    <w:rsid w:val="006A3B85"/>
    <w:rsid w:val="006A50A1"/>
    <w:rsid w:val="006A5EDF"/>
    <w:rsid w:val="006A6C10"/>
    <w:rsid w:val="006B293D"/>
    <w:rsid w:val="006C4736"/>
    <w:rsid w:val="006C67B3"/>
    <w:rsid w:val="006D0447"/>
    <w:rsid w:val="006D1180"/>
    <w:rsid w:val="006D2320"/>
    <w:rsid w:val="006D6BF4"/>
    <w:rsid w:val="006D762C"/>
    <w:rsid w:val="006F7DA8"/>
    <w:rsid w:val="007001E5"/>
    <w:rsid w:val="00706371"/>
    <w:rsid w:val="00710674"/>
    <w:rsid w:val="007118AD"/>
    <w:rsid w:val="007147E9"/>
    <w:rsid w:val="007159FD"/>
    <w:rsid w:val="007176B0"/>
    <w:rsid w:val="007236FF"/>
    <w:rsid w:val="00725AF7"/>
    <w:rsid w:val="00725C0B"/>
    <w:rsid w:val="0073100E"/>
    <w:rsid w:val="007324F3"/>
    <w:rsid w:val="00732541"/>
    <w:rsid w:val="00735E0B"/>
    <w:rsid w:val="00737942"/>
    <w:rsid w:val="007400B6"/>
    <w:rsid w:val="00744369"/>
    <w:rsid w:val="00745382"/>
    <w:rsid w:val="00747225"/>
    <w:rsid w:val="0074760F"/>
    <w:rsid w:val="00750A8C"/>
    <w:rsid w:val="007515BC"/>
    <w:rsid w:val="007553EA"/>
    <w:rsid w:val="00755A74"/>
    <w:rsid w:val="0076039E"/>
    <w:rsid w:val="00761085"/>
    <w:rsid w:val="0076622F"/>
    <w:rsid w:val="00766CEC"/>
    <w:rsid w:val="00767853"/>
    <w:rsid w:val="0077288D"/>
    <w:rsid w:val="00772EFD"/>
    <w:rsid w:val="007778FC"/>
    <w:rsid w:val="00777EDF"/>
    <w:rsid w:val="007859DF"/>
    <w:rsid w:val="007903D5"/>
    <w:rsid w:val="007A025E"/>
    <w:rsid w:val="007A0C97"/>
    <w:rsid w:val="007A1C00"/>
    <w:rsid w:val="007A3D29"/>
    <w:rsid w:val="007A45C3"/>
    <w:rsid w:val="007B0E33"/>
    <w:rsid w:val="007B591F"/>
    <w:rsid w:val="007B6ACA"/>
    <w:rsid w:val="007C1801"/>
    <w:rsid w:val="007C5BB3"/>
    <w:rsid w:val="007C7660"/>
    <w:rsid w:val="007C77BC"/>
    <w:rsid w:val="007D071F"/>
    <w:rsid w:val="007D1772"/>
    <w:rsid w:val="007E48CD"/>
    <w:rsid w:val="007E56D3"/>
    <w:rsid w:val="007F190E"/>
    <w:rsid w:val="007F2D65"/>
    <w:rsid w:val="007F39F8"/>
    <w:rsid w:val="007F40B0"/>
    <w:rsid w:val="007F4A25"/>
    <w:rsid w:val="0080114D"/>
    <w:rsid w:val="00801B09"/>
    <w:rsid w:val="008051E4"/>
    <w:rsid w:val="008075B5"/>
    <w:rsid w:val="00807741"/>
    <w:rsid w:val="008116A1"/>
    <w:rsid w:val="00816F32"/>
    <w:rsid w:val="0081773A"/>
    <w:rsid w:val="0082005E"/>
    <w:rsid w:val="00820AA2"/>
    <w:rsid w:val="008242A4"/>
    <w:rsid w:val="00826023"/>
    <w:rsid w:val="00830581"/>
    <w:rsid w:val="008315B4"/>
    <w:rsid w:val="008353F9"/>
    <w:rsid w:val="008368F4"/>
    <w:rsid w:val="008371FF"/>
    <w:rsid w:val="00840F4D"/>
    <w:rsid w:val="00842B5E"/>
    <w:rsid w:val="0084565C"/>
    <w:rsid w:val="0084588C"/>
    <w:rsid w:val="00847D3A"/>
    <w:rsid w:val="00850FF0"/>
    <w:rsid w:val="00852C18"/>
    <w:rsid w:val="0085358E"/>
    <w:rsid w:val="00854394"/>
    <w:rsid w:val="00856595"/>
    <w:rsid w:val="008663F2"/>
    <w:rsid w:val="008674CC"/>
    <w:rsid w:val="00867617"/>
    <w:rsid w:val="008735AF"/>
    <w:rsid w:val="00874541"/>
    <w:rsid w:val="00876E07"/>
    <w:rsid w:val="008776AA"/>
    <w:rsid w:val="00882301"/>
    <w:rsid w:val="008901AC"/>
    <w:rsid w:val="00894DB8"/>
    <w:rsid w:val="00895FEE"/>
    <w:rsid w:val="008A0BC4"/>
    <w:rsid w:val="008A0EB2"/>
    <w:rsid w:val="008A3751"/>
    <w:rsid w:val="008B1AFF"/>
    <w:rsid w:val="008B3DF7"/>
    <w:rsid w:val="008B51FA"/>
    <w:rsid w:val="008B66F1"/>
    <w:rsid w:val="008C2DDF"/>
    <w:rsid w:val="008C3979"/>
    <w:rsid w:val="008C5FE8"/>
    <w:rsid w:val="008C7BE9"/>
    <w:rsid w:val="008D11BE"/>
    <w:rsid w:val="008D1CAE"/>
    <w:rsid w:val="008D1F5B"/>
    <w:rsid w:val="008D2B64"/>
    <w:rsid w:val="008E0581"/>
    <w:rsid w:val="008E21CF"/>
    <w:rsid w:val="008E39AA"/>
    <w:rsid w:val="008E61EC"/>
    <w:rsid w:val="008F68DB"/>
    <w:rsid w:val="008F6DAA"/>
    <w:rsid w:val="008F7491"/>
    <w:rsid w:val="008F7A00"/>
    <w:rsid w:val="008F7E94"/>
    <w:rsid w:val="00903201"/>
    <w:rsid w:val="0090416D"/>
    <w:rsid w:val="009051C1"/>
    <w:rsid w:val="00907F4D"/>
    <w:rsid w:val="00910D07"/>
    <w:rsid w:val="00910D6A"/>
    <w:rsid w:val="0091356E"/>
    <w:rsid w:val="00914750"/>
    <w:rsid w:val="009164F5"/>
    <w:rsid w:val="0091740A"/>
    <w:rsid w:val="009174E6"/>
    <w:rsid w:val="00917FE9"/>
    <w:rsid w:val="00925964"/>
    <w:rsid w:val="00925C43"/>
    <w:rsid w:val="00926DB1"/>
    <w:rsid w:val="00926E89"/>
    <w:rsid w:val="0093014F"/>
    <w:rsid w:val="00932460"/>
    <w:rsid w:val="00935461"/>
    <w:rsid w:val="00942C78"/>
    <w:rsid w:val="009459E3"/>
    <w:rsid w:val="00950FAA"/>
    <w:rsid w:val="00952C96"/>
    <w:rsid w:val="00952F62"/>
    <w:rsid w:val="00953302"/>
    <w:rsid w:val="009535BF"/>
    <w:rsid w:val="00956E25"/>
    <w:rsid w:val="009621EA"/>
    <w:rsid w:val="009666E8"/>
    <w:rsid w:val="00967AA4"/>
    <w:rsid w:val="00970B92"/>
    <w:rsid w:val="0097118C"/>
    <w:rsid w:val="00974CBE"/>
    <w:rsid w:val="009755A9"/>
    <w:rsid w:val="00985DCC"/>
    <w:rsid w:val="009869BF"/>
    <w:rsid w:val="00995DDC"/>
    <w:rsid w:val="00996BE6"/>
    <w:rsid w:val="009A2FDB"/>
    <w:rsid w:val="009A5C30"/>
    <w:rsid w:val="009B43CD"/>
    <w:rsid w:val="009B48BB"/>
    <w:rsid w:val="009C05AD"/>
    <w:rsid w:val="009C1114"/>
    <w:rsid w:val="009C644F"/>
    <w:rsid w:val="009C6745"/>
    <w:rsid w:val="009C718D"/>
    <w:rsid w:val="009D244B"/>
    <w:rsid w:val="009D2895"/>
    <w:rsid w:val="009E0913"/>
    <w:rsid w:val="009E38BB"/>
    <w:rsid w:val="009E5127"/>
    <w:rsid w:val="009E737D"/>
    <w:rsid w:val="009E76ED"/>
    <w:rsid w:val="009E7C45"/>
    <w:rsid w:val="009F21BF"/>
    <w:rsid w:val="009F401D"/>
    <w:rsid w:val="009F461F"/>
    <w:rsid w:val="009F5D47"/>
    <w:rsid w:val="00A0031A"/>
    <w:rsid w:val="00A01281"/>
    <w:rsid w:val="00A030DD"/>
    <w:rsid w:val="00A05263"/>
    <w:rsid w:val="00A0621B"/>
    <w:rsid w:val="00A06299"/>
    <w:rsid w:val="00A06F52"/>
    <w:rsid w:val="00A07F30"/>
    <w:rsid w:val="00A15294"/>
    <w:rsid w:val="00A16A31"/>
    <w:rsid w:val="00A219A5"/>
    <w:rsid w:val="00A22082"/>
    <w:rsid w:val="00A2635C"/>
    <w:rsid w:val="00A36496"/>
    <w:rsid w:val="00A377BE"/>
    <w:rsid w:val="00A41015"/>
    <w:rsid w:val="00A43334"/>
    <w:rsid w:val="00A50FFB"/>
    <w:rsid w:val="00A51C9D"/>
    <w:rsid w:val="00A54FA0"/>
    <w:rsid w:val="00A55C90"/>
    <w:rsid w:val="00A57417"/>
    <w:rsid w:val="00A576AB"/>
    <w:rsid w:val="00A70086"/>
    <w:rsid w:val="00A70DF5"/>
    <w:rsid w:val="00A736EE"/>
    <w:rsid w:val="00A74C50"/>
    <w:rsid w:val="00A80AF3"/>
    <w:rsid w:val="00A826F8"/>
    <w:rsid w:val="00A83023"/>
    <w:rsid w:val="00A92058"/>
    <w:rsid w:val="00A93B60"/>
    <w:rsid w:val="00A96B21"/>
    <w:rsid w:val="00A9775E"/>
    <w:rsid w:val="00AA41D0"/>
    <w:rsid w:val="00AA52E8"/>
    <w:rsid w:val="00AB0DFC"/>
    <w:rsid w:val="00AB3FB2"/>
    <w:rsid w:val="00AB538A"/>
    <w:rsid w:val="00AC13FA"/>
    <w:rsid w:val="00AC2CEE"/>
    <w:rsid w:val="00AC477B"/>
    <w:rsid w:val="00AC5A0D"/>
    <w:rsid w:val="00AD4619"/>
    <w:rsid w:val="00AD579C"/>
    <w:rsid w:val="00AE1A95"/>
    <w:rsid w:val="00AE26FB"/>
    <w:rsid w:val="00AE3E92"/>
    <w:rsid w:val="00AE75C0"/>
    <w:rsid w:val="00AF3CE4"/>
    <w:rsid w:val="00B012B9"/>
    <w:rsid w:val="00B01773"/>
    <w:rsid w:val="00B03471"/>
    <w:rsid w:val="00B0697E"/>
    <w:rsid w:val="00B0704A"/>
    <w:rsid w:val="00B10FE6"/>
    <w:rsid w:val="00B12976"/>
    <w:rsid w:val="00B14F43"/>
    <w:rsid w:val="00B165A5"/>
    <w:rsid w:val="00B21E32"/>
    <w:rsid w:val="00B22262"/>
    <w:rsid w:val="00B241AE"/>
    <w:rsid w:val="00B247D9"/>
    <w:rsid w:val="00B27A08"/>
    <w:rsid w:val="00B27CC2"/>
    <w:rsid w:val="00B320F0"/>
    <w:rsid w:val="00B36BCB"/>
    <w:rsid w:val="00B36EA9"/>
    <w:rsid w:val="00B40D3F"/>
    <w:rsid w:val="00B42145"/>
    <w:rsid w:val="00B44173"/>
    <w:rsid w:val="00B475EE"/>
    <w:rsid w:val="00B50106"/>
    <w:rsid w:val="00B558ED"/>
    <w:rsid w:val="00B56A68"/>
    <w:rsid w:val="00B628F2"/>
    <w:rsid w:val="00B63BB1"/>
    <w:rsid w:val="00B72BB3"/>
    <w:rsid w:val="00B7316E"/>
    <w:rsid w:val="00B732A1"/>
    <w:rsid w:val="00B73757"/>
    <w:rsid w:val="00B75962"/>
    <w:rsid w:val="00B77848"/>
    <w:rsid w:val="00B81D53"/>
    <w:rsid w:val="00B83CBB"/>
    <w:rsid w:val="00B84121"/>
    <w:rsid w:val="00B84607"/>
    <w:rsid w:val="00B90EE4"/>
    <w:rsid w:val="00B91E5E"/>
    <w:rsid w:val="00B94EA7"/>
    <w:rsid w:val="00B97694"/>
    <w:rsid w:val="00BA04E6"/>
    <w:rsid w:val="00BA1054"/>
    <w:rsid w:val="00BA1ABA"/>
    <w:rsid w:val="00BA1E9D"/>
    <w:rsid w:val="00BA488A"/>
    <w:rsid w:val="00BA5F8A"/>
    <w:rsid w:val="00BA6516"/>
    <w:rsid w:val="00BB1338"/>
    <w:rsid w:val="00BB285C"/>
    <w:rsid w:val="00BB2881"/>
    <w:rsid w:val="00BB3977"/>
    <w:rsid w:val="00BB3D26"/>
    <w:rsid w:val="00BB75C9"/>
    <w:rsid w:val="00BC172B"/>
    <w:rsid w:val="00BC1C45"/>
    <w:rsid w:val="00BC2CB7"/>
    <w:rsid w:val="00BC366D"/>
    <w:rsid w:val="00BC43B8"/>
    <w:rsid w:val="00BC69A0"/>
    <w:rsid w:val="00BD0308"/>
    <w:rsid w:val="00BD1D3B"/>
    <w:rsid w:val="00BD1FDC"/>
    <w:rsid w:val="00BD36D1"/>
    <w:rsid w:val="00BD7F79"/>
    <w:rsid w:val="00BE1B8E"/>
    <w:rsid w:val="00BE2C95"/>
    <w:rsid w:val="00BE3ED1"/>
    <w:rsid w:val="00BE4142"/>
    <w:rsid w:val="00BE5F13"/>
    <w:rsid w:val="00BE71EE"/>
    <w:rsid w:val="00BE7D46"/>
    <w:rsid w:val="00BF25DF"/>
    <w:rsid w:val="00BF67D9"/>
    <w:rsid w:val="00BF748D"/>
    <w:rsid w:val="00C02425"/>
    <w:rsid w:val="00C056EE"/>
    <w:rsid w:val="00C06879"/>
    <w:rsid w:val="00C14998"/>
    <w:rsid w:val="00C14E11"/>
    <w:rsid w:val="00C15C81"/>
    <w:rsid w:val="00C16420"/>
    <w:rsid w:val="00C21BDA"/>
    <w:rsid w:val="00C22018"/>
    <w:rsid w:val="00C223DC"/>
    <w:rsid w:val="00C229CF"/>
    <w:rsid w:val="00C22EE5"/>
    <w:rsid w:val="00C2354A"/>
    <w:rsid w:val="00C33C10"/>
    <w:rsid w:val="00C34984"/>
    <w:rsid w:val="00C35DA8"/>
    <w:rsid w:val="00C36978"/>
    <w:rsid w:val="00C36B90"/>
    <w:rsid w:val="00C41341"/>
    <w:rsid w:val="00C41CE4"/>
    <w:rsid w:val="00C42F83"/>
    <w:rsid w:val="00C43883"/>
    <w:rsid w:val="00C45CD7"/>
    <w:rsid w:val="00C50593"/>
    <w:rsid w:val="00C52D9D"/>
    <w:rsid w:val="00C5336D"/>
    <w:rsid w:val="00C57DC9"/>
    <w:rsid w:val="00C62546"/>
    <w:rsid w:val="00C65170"/>
    <w:rsid w:val="00C7077A"/>
    <w:rsid w:val="00C74C75"/>
    <w:rsid w:val="00C75E21"/>
    <w:rsid w:val="00C763FD"/>
    <w:rsid w:val="00C76747"/>
    <w:rsid w:val="00C81CF7"/>
    <w:rsid w:val="00C8406F"/>
    <w:rsid w:val="00C87DBB"/>
    <w:rsid w:val="00C90EEC"/>
    <w:rsid w:val="00C92CF7"/>
    <w:rsid w:val="00C96AA0"/>
    <w:rsid w:val="00CA3535"/>
    <w:rsid w:val="00CB1427"/>
    <w:rsid w:val="00CB2547"/>
    <w:rsid w:val="00CB5CC3"/>
    <w:rsid w:val="00CC4ED2"/>
    <w:rsid w:val="00CC65B7"/>
    <w:rsid w:val="00CC6B19"/>
    <w:rsid w:val="00CC7D7C"/>
    <w:rsid w:val="00CD007D"/>
    <w:rsid w:val="00CD10F4"/>
    <w:rsid w:val="00CD7028"/>
    <w:rsid w:val="00CD7AE9"/>
    <w:rsid w:val="00CD7E3F"/>
    <w:rsid w:val="00CD7EBC"/>
    <w:rsid w:val="00CE62CC"/>
    <w:rsid w:val="00CE752F"/>
    <w:rsid w:val="00CF4EBA"/>
    <w:rsid w:val="00CF64FC"/>
    <w:rsid w:val="00CF70AB"/>
    <w:rsid w:val="00D02C66"/>
    <w:rsid w:val="00D05482"/>
    <w:rsid w:val="00D06867"/>
    <w:rsid w:val="00D107D3"/>
    <w:rsid w:val="00D12576"/>
    <w:rsid w:val="00D17459"/>
    <w:rsid w:val="00D21B75"/>
    <w:rsid w:val="00D264B6"/>
    <w:rsid w:val="00D27CCA"/>
    <w:rsid w:val="00D3059B"/>
    <w:rsid w:val="00D31750"/>
    <w:rsid w:val="00D31BDB"/>
    <w:rsid w:val="00D32AD9"/>
    <w:rsid w:val="00D3301A"/>
    <w:rsid w:val="00D3381F"/>
    <w:rsid w:val="00D40A33"/>
    <w:rsid w:val="00D430FF"/>
    <w:rsid w:val="00D43AC6"/>
    <w:rsid w:val="00D457BA"/>
    <w:rsid w:val="00D45A80"/>
    <w:rsid w:val="00D45D52"/>
    <w:rsid w:val="00D5058B"/>
    <w:rsid w:val="00D52999"/>
    <w:rsid w:val="00D60046"/>
    <w:rsid w:val="00D6124F"/>
    <w:rsid w:val="00D63F3C"/>
    <w:rsid w:val="00D66536"/>
    <w:rsid w:val="00D71FFB"/>
    <w:rsid w:val="00D73807"/>
    <w:rsid w:val="00D812E6"/>
    <w:rsid w:val="00D84073"/>
    <w:rsid w:val="00D84BD1"/>
    <w:rsid w:val="00D86476"/>
    <w:rsid w:val="00D86999"/>
    <w:rsid w:val="00D9253C"/>
    <w:rsid w:val="00D93622"/>
    <w:rsid w:val="00D93F2C"/>
    <w:rsid w:val="00D948A0"/>
    <w:rsid w:val="00D95246"/>
    <w:rsid w:val="00DA0614"/>
    <w:rsid w:val="00DA0BD0"/>
    <w:rsid w:val="00DA2158"/>
    <w:rsid w:val="00DA3D57"/>
    <w:rsid w:val="00DB0734"/>
    <w:rsid w:val="00DB1755"/>
    <w:rsid w:val="00DB1B41"/>
    <w:rsid w:val="00DB4BD3"/>
    <w:rsid w:val="00DB7514"/>
    <w:rsid w:val="00DC354F"/>
    <w:rsid w:val="00DD133E"/>
    <w:rsid w:val="00DD1BC6"/>
    <w:rsid w:val="00DD42C1"/>
    <w:rsid w:val="00DD59D0"/>
    <w:rsid w:val="00DD5AD9"/>
    <w:rsid w:val="00DD7910"/>
    <w:rsid w:val="00DE09CE"/>
    <w:rsid w:val="00DE2140"/>
    <w:rsid w:val="00DE6FC2"/>
    <w:rsid w:val="00DF160E"/>
    <w:rsid w:val="00DF2687"/>
    <w:rsid w:val="00DF5468"/>
    <w:rsid w:val="00DF599F"/>
    <w:rsid w:val="00DF79E4"/>
    <w:rsid w:val="00E1597C"/>
    <w:rsid w:val="00E15F97"/>
    <w:rsid w:val="00E16AD2"/>
    <w:rsid w:val="00E31A2F"/>
    <w:rsid w:val="00E31B4E"/>
    <w:rsid w:val="00E32358"/>
    <w:rsid w:val="00E332FA"/>
    <w:rsid w:val="00E33FCC"/>
    <w:rsid w:val="00E365E9"/>
    <w:rsid w:val="00E36F53"/>
    <w:rsid w:val="00E37969"/>
    <w:rsid w:val="00E40752"/>
    <w:rsid w:val="00E41F4F"/>
    <w:rsid w:val="00E53874"/>
    <w:rsid w:val="00E57DA6"/>
    <w:rsid w:val="00E6032A"/>
    <w:rsid w:val="00E6417A"/>
    <w:rsid w:val="00E6535D"/>
    <w:rsid w:val="00E67F56"/>
    <w:rsid w:val="00E72553"/>
    <w:rsid w:val="00E76017"/>
    <w:rsid w:val="00E76CA6"/>
    <w:rsid w:val="00E76E43"/>
    <w:rsid w:val="00E8007E"/>
    <w:rsid w:val="00E823D4"/>
    <w:rsid w:val="00E8644B"/>
    <w:rsid w:val="00E87159"/>
    <w:rsid w:val="00E91FDE"/>
    <w:rsid w:val="00E92D47"/>
    <w:rsid w:val="00E9447C"/>
    <w:rsid w:val="00E96FDD"/>
    <w:rsid w:val="00EA044C"/>
    <w:rsid w:val="00EA0DE7"/>
    <w:rsid w:val="00EA2279"/>
    <w:rsid w:val="00EA2760"/>
    <w:rsid w:val="00EA2C8F"/>
    <w:rsid w:val="00EA3797"/>
    <w:rsid w:val="00EA7AC7"/>
    <w:rsid w:val="00EB0211"/>
    <w:rsid w:val="00EB0754"/>
    <w:rsid w:val="00EB19DD"/>
    <w:rsid w:val="00EB5C98"/>
    <w:rsid w:val="00EC0EBA"/>
    <w:rsid w:val="00EC0F47"/>
    <w:rsid w:val="00EC10C1"/>
    <w:rsid w:val="00EC45F7"/>
    <w:rsid w:val="00EC60E8"/>
    <w:rsid w:val="00EC6D1C"/>
    <w:rsid w:val="00EC7AE8"/>
    <w:rsid w:val="00ED2503"/>
    <w:rsid w:val="00ED28C1"/>
    <w:rsid w:val="00ED355C"/>
    <w:rsid w:val="00ED3849"/>
    <w:rsid w:val="00EE53BC"/>
    <w:rsid w:val="00EE606F"/>
    <w:rsid w:val="00EE772F"/>
    <w:rsid w:val="00EF10FA"/>
    <w:rsid w:val="00EF4310"/>
    <w:rsid w:val="00EF437A"/>
    <w:rsid w:val="00EF5CAC"/>
    <w:rsid w:val="00EF6893"/>
    <w:rsid w:val="00EF7CCF"/>
    <w:rsid w:val="00F049C5"/>
    <w:rsid w:val="00F140B7"/>
    <w:rsid w:val="00F24D1E"/>
    <w:rsid w:val="00F258FB"/>
    <w:rsid w:val="00F30825"/>
    <w:rsid w:val="00F30A06"/>
    <w:rsid w:val="00F33D1B"/>
    <w:rsid w:val="00F372D0"/>
    <w:rsid w:val="00F45BB0"/>
    <w:rsid w:val="00F5050D"/>
    <w:rsid w:val="00F5496C"/>
    <w:rsid w:val="00F66847"/>
    <w:rsid w:val="00F7051C"/>
    <w:rsid w:val="00F73766"/>
    <w:rsid w:val="00F75F90"/>
    <w:rsid w:val="00F77CC2"/>
    <w:rsid w:val="00F81173"/>
    <w:rsid w:val="00F82AF8"/>
    <w:rsid w:val="00F83C8F"/>
    <w:rsid w:val="00F840E2"/>
    <w:rsid w:val="00F91635"/>
    <w:rsid w:val="00F91868"/>
    <w:rsid w:val="00F9366C"/>
    <w:rsid w:val="00F946BC"/>
    <w:rsid w:val="00F966C6"/>
    <w:rsid w:val="00F97419"/>
    <w:rsid w:val="00FA18C9"/>
    <w:rsid w:val="00FA51F3"/>
    <w:rsid w:val="00FA5A27"/>
    <w:rsid w:val="00FA60D4"/>
    <w:rsid w:val="00FB0168"/>
    <w:rsid w:val="00FB07ED"/>
    <w:rsid w:val="00FB463D"/>
    <w:rsid w:val="00FB4856"/>
    <w:rsid w:val="00FB76B8"/>
    <w:rsid w:val="00FC075C"/>
    <w:rsid w:val="00FE3974"/>
    <w:rsid w:val="00FE6799"/>
    <w:rsid w:val="00FE7D57"/>
    <w:rsid w:val="00FF03A4"/>
    <w:rsid w:val="00FF10BC"/>
    <w:rsid w:val="00FF1A25"/>
    <w:rsid w:val="00FF332A"/>
    <w:rsid w:val="00FF53E9"/>
    <w:rsid w:val="00FF61A6"/>
    <w:rsid w:val="02A57AF5"/>
    <w:rsid w:val="07213640"/>
    <w:rsid w:val="0F57F0A3"/>
    <w:rsid w:val="13D31CBD"/>
    <w:rsid w:val="28003978"/>
    <w:rsid w:val="2B9EDC19"/>
    <w:rsid w:val="2C105374"/>
    <w:rsid w:val="3E33DA2B"/>
    <w:rsid w:val="41F805E3"/>
    <w:rsid w:val="4B83FCA4"/>
    <w:rsid w:val="578042A7"/>
    <w:rsid w:val="587AC3F8"/>
    <w:rsid w:val="639B6D36"/>
    <w:rsid w:val="64EA1A48"/>
    <w:rsid w:val="6A77D476"/>
    <w:rsid w:val="6F88D164"/>
    <w:rsid w:val="79667DD5"/>
    <w:rsid w:val="7CF9F8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FCFA6"/>
  <w15:docId w15:val="{085332E1-6244-43A1-9F5D-F846A898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cop report footnote,fn,Geneva 9,Font: Geneva 9,Boston 10,ft,Fotnotstext Char,ft Char,single space,footnote text,FOOTNOTES,ADB,single space1,footnote text1,FOOTNOTES1,fn1,ADB1,single space2,footnote text2,FOOTNOTES2,fn2,ADB2,single space3"/>
    <w:basedOn w:val="Normal"/>
    <w:link w:val="FootnoteTextChar"/>
    <w:unhideWhenUsed/>
    <w:qFormat/>
    <w:rsid w:val="00A43334"/>
    <w:pPr>
      <w:jc w:val="left"/>
    </w:pPr>
    <w:rPr>
      <w:sz w:val="18"/>
      <w:szCs w:val="20"/>
    </w:rPr>
  </w:style>
  <w:style w:type="character" w:customStyle="1" w:styleId="FootnoteTextChar">
    <w:name w:val="Footnote Text Char"/>
    <w:aliases w:val="cop report footnote Char,fn Char,Geneva 9 Char,Font: Geneva 9 Char,Boston 10 Char,ft Char1,Fotnotstext Char Char,ft Char Char,single space Char,footnote text Char,FOOTNOTES Char,ADB Char,single space1 Char,footnote text1 Char,fn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Ha"/>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Para10">
    <w:name w:val="Para1"/>
    <w:basedOn w:val="Normal"/>
    <w:link w:val="Para1Char"/>
    <w:qFormat/>
    <w:rsid w:val="00DC354F"/>
    <w:pPr>
      <w:tabs>
        <w:tab w:val="clear" w:pos="567"/>
        <w:tab w:val="clear" w:pos="1134"/>
        <w:tab w:val="clear" w:pos="1701"/>
        <w:tab w:val="clear" w:pos="2268"/>
      </w:tabs>
      <w:spacing w:before="120" w:after="120"/>
    </w:pPr>
    <w:rPr>
      <w:rFonts w:eastAsia="Times New Roman"/>
      <w:snapToGrid w:val="0"/>
      <w:szCs w:val="18"/>
    </w:rPr>
  </w:style>
  <w:style w:type="paragraph" w:customStyle="1" w:styleId="Para30">
    <w:name w:val="Para3"/>
    <w:basedOn w:val="Normal"/>
    <w:rsid w:val="00DC354F"/>
    <w:pPr>
      <w:tabs>
        <w:tab w:val="clear" w:pos="567"/>
        <w:tab w:val="clear" w:pos="1134"/>
        <w:tab w:val="clear" w:pos="1701"/>
        <w:tab w:val="clear" w:pos="2268"/>
        <w:tab w:val="left" w:pos="1980"/>
      </w:tabs>
      <w:spacing w:before="80" w:after="80"/>
    </w:pPr>
    <w:rPr>
      <w:rFonts w:eastAsia="Times New Roman"/>
      <w:szCs w:val="20"/>
    </w:rPr>
  </w:style>
  <w:style w:type="paragraph" w:customStyle="1" w:styleId="Para4">
    <w:name w:val="Para4"/>
    <w:basedOn w:val="Para30"/>
    <w:rsid w:val="00DC354F"/>
    <w:pPr>
      <w:numPr>
        <w:ilvl w:val="7"/>
      </w:numPr>
      <w:tabs>
        <w:tab w:val="clear" w:pos="1980"/>
        <w:tab w:val="left" w:pos="2552"/>
      </w:tabs>
    </w:pPr>
  </w:style>
  <w:style w:type="character" w:customStyle="1" w:styleId="Para1Char">
    <w:name w:val="Para1 Char"/>
    <w:link w:val="Para10"/>
    <w:qFormat/>
    <w:locked/>
    <w:rsid w:val="00C92CF7"/>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2D5270"/>
    <w:rPr>
      <w:rFonts w:ascii="Times New Roman" w:eastAsia="SimSun" w:hAnsi="Times New Roman" w:cs="Times New Roman"/>
      <w:kern w:val="0"/>
      <w:lang w:val="en-GB"/>
      <w14:ligatures w14: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rsid w:val="002D5270"/>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14:ligatures w14:val="standardContextual"/>
    </w:rPr>
  </w:style>
  <w:style w:type="character" w:customStyle="1" w:styleId="None">
    <w:name w:val="None"/>
    <w:rsid w:val="005D2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022230">
      <w:bodyDiv w:val="1"/>
      <w:marLeft w:val="0"/>
      <w:marRight w:val="0"/>
      <w:marTop w:val="0"/>
      <w:marBottom w:val="0"/>
      <w:divBdr>
        <w:top w:val="none" w:sz="0" w:space="0" w:color="auto"/>
        <w:left w:val="none" w:sz="0" w:space="0" w:color="auto"/>
        <w:bottom w:val="none" w:sz="0" w:space="0" w:color="auto"/>
        <w:right w:val="none" w:sz="0" w:space="0" w:color="auto"/>
      </w:divBdr>
    </w:div>
    <w:div w:id="493567094">
      <w:bodyDiv w:val="1"/>
      <w:marLeft w:val="0"/>
      <w:marRight w:val="0"/>
      <w:marTop w:val="0"/>
      <w:marBottom w:val="0"/>
      <w:divBdr>
        <w:top w:val="none" w:sz="0" w:space="0" w:color="auto"/>
        <w:left w:val="none" w:sz="0" w:space="0" w:color="auto"/>
        <w:bottom w:val="none" w:sz="0" w:space="0" w:color="auto"/>
        <w:right w:val="none" w:sz="0" w:space="0" w:color="auto"/>
      </w:divBdr>
    </w:div>
    <w:div w:id="534075767">
      <w:bodyDiv w:val="1"/>
      <w:marLeft w:val="0"/>
      <w:marRight w:val="0"/>
      <w:marTop w:val="0"/>
      <w:marBottom w:val="0"/>
      <w:divBdr>
        <w:top w:val="none" w:sz="0" w:space="0" w:color="auto"/>
        <w:left w:val="none" w:sz="0" w:space="0" w:color="auto"/>
        <w:bottom w:val="none" w:sz="0" w:space="0" w:color="auto"/>
        <w:right w:val="none" w:sz="0" w:space="0" w:color="auto"/>
      </w:divBdr>
    </w:div>
    <w:div w:id="954991070">
      <w:bodyDiv w:val="1"/>
      <w:marLeft w:val="0"/>
      <w:marRight w:val="0"/>
      <w:marTop w:val="0"/>
      <w:marBottom w:val="0"/>
      <w:divBdr>
        <w:top w:val="none" w:sz="0" w:space="0" w:color="auto"/>
        <w:left w:val="none" w:sz="0" w:space="0" w:color="auto"/>
        <w:bottom w:val="none" w:sz="0" w:space="0" w:color="auto"/>
        <w:right w:val="none" w:sz="0" w:space="0" w:color="auto"/>
      </w:divBdr>
    </w:div>
    <w:div w:id="1019966883">
      <w:bodyDiv w:val="1"/>
      <w:marLeft w:val="0"/>
      <w:marRight w:val="0"/>
      <w:marTop w:val="0"/>
      <w:marBottom w:val="0"/>
      <w:divBdr>
        <w:top w:val="none" w:sz="0" w:space="0" w:color="auto"/>
        <w:left w:val="none" w:sz="0" w:space="0" w:color="auto"/>
        <w:bottom w:val="none" w:sz="0" w:space="0" w:color="auto"/>
        <w:right w:val="none" w:sz="0" w:space="0" w:color="auto"/>
      </w:divBdr>
    </w:div>
    <w:div w:id="1081289469">
      <w:bodyDiv w:val="1"/>
      <w:marLeft w:val="0"/>
      <w:marRight w:val="0"/>
      <w:marTop w:val="0"/>
      <w:marBottom w:val="0"/>
      <w:divBdr>
        <w:top w:val="none" w:sz="0" w:space="0" w:color="auto"/>
        <w:left w:val="none" w:sz="0" w:space="0" w:color="auto"/>
        <w:bottom w:val="none" w:sz="0" w:space="0" w:color="auto"/>
        <w:right w:val="none" w:sz="0" w:space="0" w:color="auto"/>
      </w:divBdr>
    </w:div>
    <w:div w:id="1182357233">
      <w:bodyDiv w:val="1"/>
      <w:marLeft w:val="0"/>
      <w:marRight w:val="0"/>
      <w:marTop w:val="0"/>
      <w:marBottom w:val="0"/>
      <w:divBdr>
        <w:top w:val="none" w:sz="0" w:space="0" w:color="auto"/>
        <w:left w:val="none" w:sz="0" w:space="0" w:color="auto"/>
        <w:bottom w:val="none" w:sz="0" w:space="0" w:color="auto"/>
        <w:right w:val="none" w:sz="0" w:space="0" w:color="auto"/>
      </w:divBdr>
    </w:div>
    <w:div w:id="1746218165">
      <w:bodyDiv w:val="1"/>
      <w:marLeft w:val="0"/>
      <w:marRight w:val="0"/>
      <w:marTop w:val="0"/>
      <w:marBottom w:val="0"/>
      <w:divBdr>
        <w:top w:val="none" w:sz="0" w:space="0" w:color="auto"/>
        <w:left w:val="none" w:sz="0" w:space="0" w:color="auto"/>
        <w:bottom w:val="none" w:sz="0" w:space="0" w:color="auto"/>
        <w:right w:val="none" w:sz="0" w:space="0" w:color="auto"/>
      </w:divBdr>
    </w:div>
    <w:div w:id="1783039666">
      <w:bodyDiv w:val="1"/>
      <w:marLeft w:val="0"/>
      <w:marRight w:val="0"/>
      <w:marTop w:val="0"/>
      <w:marBottom w:val="0"/>
      <w:divBdr>
        <w:top w:val="none" w:sz="0" w:space="0" w:color="auto"/>
        <w:left w:val="none" w:sz="0" w:space="0" w:color="auto"/>
        <w:bottom w:val="none" w:sz="0" w:space="0" w:color="auto"/>
        <w:right w:val="none" w:sz="0" w:space="0" w:color="auto"/>
      </w:divBdr>
    </w:div>
    <w:div w:id="1849444010">
      <w:bodyDiv w:val="1"/>
      <w:marLeft w:val="0"/>
      <w:marRight w:val="0"/>
      <w:marTop w:val="0"/>
      <w:marBottom w:val="0"/>
      <w:divBdr>
        <w:top w:val="none" w:sz="0" w:space="0" w:color="auto"/>
        <w:left w:val="none" w:sz="0" w:space="0" w:color="auto"/>
        <w:bottom w:val="none" w:sz="0" w:space="0" w:color="auto"/>
        <w:right w:val="none" w:sz="0" w:space="0" w:color="auto"/>
      </w:divBdr>
    </w:div>
    <w:div w:id="1977679967">
      <w:bodyDiv w:val="1"/>
      <w:marLeft w:val="0"/>
      <w:marRight w:val="0"/>
      <w:marTop w:val="0"/>
      <w:marBottom w:val="0"/>
      <w:divBdr>
        <w:top w:val="none" w:sz="0" w:space="0" w:color="auto"/>
        <w:left w:val="none" w:sz="0" w:space="0" w:color="auto"/>
        <w:bottom w:val="none" w:sz="0" w:space="0" w:color="auto"/>
        <w:right w:val="none" w:sz="0" w:space="0" w:color="auto"/>
      </w:divBdr>
    </w:div>
    <w:div w:id="2021155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thegef.org/sites/default/files/documents/2023-07/EN_GEF.C.64.05.REV01_Global%20Biodiversity_Framework_Fund_Establishment%20final%20checked.pdf" TargetMode="External"/><Relationship Id="rId1" Type="http://schemas.openxmlformats.org/officeDocument/2006/relationships/hyperlink" Target="https://bch.cbd.int/protocol/cpb_art28_info.shtml#resour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OneDrive%20-%20United%20Nations\Documents\COPMOP11\Financial%20mechnism%20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5DEFB9F8A84A80917F20287DE8E427"/>
        <w:category>
          <w:name w:val="General"/>
          <w:gallery w:val="placeholder"/>
        </w:category>
        <w:types>
          <w:type w:val="bbPlcHdr"/>
        </w:types>
        <w:behaviors>
          <w:behavior w:val="content"/>
        </w:behaviors>
        <w:guid w:val="{33066CEC-0342-4892-862D-957844EE27E1}"/>
      </w:docPartPr>
      <w:docPartBody>
        <w:p w:rsidR="00443278" w:rsidRDefault="00BC2CB7">
          <w:pPr>
            <w:pStyle w:val="6F5DEFB9F8A84A80917F20287DE8E42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69A"/>
    <w:rsid w:val="000071D6"/>
    <w:rsid w:val="002520E1"/>
    <w:rsid w:val="0028272F"/>
    <w:rsid w:val="002F41ED"/>
    <w:rsid w:val="00374D9B"/>
    <w:rsid w:val="003E6F2F"/>
    <w:rsid w:val="00443278"/>
    <w:rsid w:val="004D2404"/>
    <w:rsid w:val="005B0FEE"/>
    <w:rsid w:val="00644C6F"/>
    <w:rsid w:val="006709B9"/>
    <w:rsid w:val="006C67B3"/>
    <w:rsid w:val="00744369"/>
    <w:rsid w:val="00782A0E"/>
    <w:rsid w:val="007A59CE"/>
    <w:rsid w:val="007D2C6A"/>
    <w:rsid w:val="00825BD6"/>
    <w:rsid w:val="0088741A"/>
    <w:rsid w:val="00890055"/>
    <w:rsid w:val="008A369A"/>
    <w:rsid w:val="00B64318"/>
    <w:rsid w:val="00BC2CB7"/>
    <w:rsid w:val="00BF748D"/>
    <w:rsid w:val="00C22018"/>
    <w:rsid w:val="00C41963"/>
    <w:rsid w:val="00CC4ED2"/>
    <w:rsid w:val="00D557D5"/>
    <w:rsid w:val="00D93F2C"/>
    <w:rsid w:val="00DD5AD9"/>
    <w:rsid w:val="00DE6FC2"/>
    <w:rsid w:val="00EE77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F5DEFB9F8A84A80917F20287DE8E427">
    <w:name w:val="6F5DEFB9F8A84A80917F20287DE8E4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EC01FC6-41C6-47C3-B72A-FCC15011A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46C242-CA6D-4028-8D45-D7B940FC09E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Financial mechnism cp-mop-11-en.dotm</Template>
  <TotalTime>8</TotalTime>
  <Pages>6</Pages>
  <Words>2661</Words>
  <Characters>15169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Financial mechanism and resources</vt:lpstr>
    </vt:vector>
  </TitlesOfParts>
  <Company/>
  <LinksUpToDate>false</LinksUpToDate>
  <CharactersWithSpaces>17795</CharactersWithSpaces>
  <SharedDoc>false</SharedDoc>
  <HLinks>
    <vt:vector size="156" baseType="variant">
      <vt:variant>
        <vt:i4>5570681</vt:i4>
      </vt:variant>
      <vt:variant>
        <vt:i4>72</vt:i4>
      </vt:variant>
      <vt:variant>
        <vt:i4>0</vt:i4>
      </vt:variant>
      <vt:variant>
        <vt:i4>5</vt:i4>
      </vt:variant>
      <vt:variant>
        <vt:lpwstr>https://www.jsps.go.jp/english/e-contact_us/</vt:lpwstr>
      </vt:variant>
      <vt:variant>
        <vt:lpwstr/>
      </vt:variant>
      <vt:variant>
        <vt:i4>7471151</vt:i4>
      </vt:variant>
      <vt:variant>
        <vt:i4>69</vt:i4>
      </vt:variant>
      <vt:variant>
        <vt:i4>0</vt:i4>
      </vt:variant>
      <vt:variant>
        <vt:i4>5</vt:i4>
      </vt:variant>
      <vt:variant>
        <vt:lpwstr>https://www.jsps.go.jp/english/</vt:lpwstr>
      </vt:variant>
      <vt:variant>
        <vt:lpwstr/>
      </vt:variant>
      <vt:variant>
        <vt:i4>1507366</vt:i4>
      </vt:variant>
      <vt:variant>
        <vt:i4>66</vt:i4>
      </vt:variant>
      <vt:variant>
        <vt:i4>0</vt:i4>
      </vt:variant>
      <vt:variant>
        <vt:i4>5</vt:i4>
      </vt:variant>
      <vt:variant>
        <vt:lpwstr>mailto:inquiries@iaf.gov</vt:lpwstr>
      </vt:variant>
      <vt:variant>
        <vt:lpwstr/>
      </vt:variant>
      <vt:variant>
        <vt:i4>4653150</vt:i4>
      </vt:variant>
      <vt:variant>
        <vt:i4>63</vt:i4>
      </vt:variant>
      <vt:variant>
        <vt:i4>0</vt:i4>
      </vt:variant>
      <vt:variant>
        <vt:i4>5</vt:i4>
      </vt:variant>
      <vt:variant>
        <vt:lpwstr>https://www.iaf.gov/</vt:lpwstr>
      </vt:variant>
      <vt:variant>
        <vt:lpwstr/>
      </vt:variant>
      <vt:variant>
        <vt:i4>2359327</vt:i4>
      </vt:variant>
      <vt:variant>
        <vt:i4>60</vt:i4>
      </vt:variant>
      <vt:variant>
        <vt:i4>0</vt:i4>
      </vt:variant>
      <vt:variant>
        <vt:i4>5</vt:i4>
      </vt:variant>
      <vt:variant>
        <vt:lpwstr>mailto:info@arabfund.org</vt:lpwstr>
      </vt:variant>
      <vt:variant>
        <vt:lpwstr/>
      </vt:variant>
      <vt:variant>
        <vt:i4>4259860</vt:i4>
      </vt:variant>
      <vt:variant>
        <vt:i4>57</vt:i4>
      </vt:variant>
      <vt:variant>
        <vt:i4>0</vt:i4>
      </vt:variant>
      <vt:variant>
        <vt:i4>5</vt:i4>
      </vt:variant>
      <vt:variant>
        <vt:lpwstr>https://www.arabfund.org/</vt:lpwstr>
      </vt:variant>
      <vt:variant>
        <vt:lpwstr/>
      </vt:variant>
      <vt:variant>
        <vt:i4>3538974</vt:i4>
      </vt:variant>
      <vt:variant>
        <vt:i4>54</vt:i4>
      </vt:variant>
      <vt:variant>
        <vt:i4>0</vt:i4>
      </vt:variant>
      <vt:variant>
        <vt:i4>5</vt:i4>
      </vt:variant>
      <vt:variant>
        <vt:lpwstr>mailto:office@cost.eu</vt:lpwstr>
      </vt:variant>
      <vt:variant>
        <vt:lpwstr/>
      </vt:variant>
      <vt:variant>
        <vt:i4>1638411</vt:i4>
      </vt:variant>
      <vt:variant>
        <vt:i4>51</vt:i4>
      </vt:variant>
      <vt:variant>
        <vt:i4>0</vt:i4>
      </vt:variant>
      <vt:variant>
        <vt:i4>5</vt:i4>
      </vt:variant>
      <vt:variant>
        <vt:lpwstr>https://www.cost.eu/</vt:lpwstr>
      </vt:variant>
      <vt:variant>
        <vt:lpwstr/>
      </vt:variant>
      <vt:variant>
        <vt:i4>1704012</vt:i4>
      </vt:variant>
      <vt:variant>
        <vt:i4>48</vt:i4>
      </vt:variant>
      <vt:variant>
        <vt:i4>0</vt:i4>
      </vt:variant>
      <vt:variant>
        <vt:i4>5</vt:i4>
      </vt:variant>
      <vt:variant>
        <vt:lpwstr>https://www.usaid.gov/contact-us</vt:lpwstr>
      </vt:variant>
      <vt:variant>
        <vt:lpwstr/>
      </vt:variant>
      <vt:variant>
        <vt:i4>3932193</vt:i4>
      </vt:variant>
      <vt:variant>
        <vt:i4>45</vt:i4>
      </vt:variant>
      <vt:variant>
        <vt:i4>0</vt:i4>
      </vt:variant>
      <vt:variant>
        <vt:i4>5</vt:i4>
      </vt:variant>
      <vt:variant>
        <vt:lpwstr>https://www.usaid.gov/</vt:lpwstr>
      </vt:variant>
      <vt:variant>
        <vt:lpwstr/>
      </vt:variant>
      <vt:variant>
        <vt:i4>6946817</vt:i4>
      </vt:variant>
      <vt:variant>
        <vt:i4>42</vt:i4>
      </vt:variant>
      <vt:variant>
        <vt:i4>0</vt:i4>
      </vt:variant>
      <vt:variant>
        <vt:i4>5</vt:i4>
      </vt:variant>
      <vt:variant>
        <vt:lpwstr>mailto:bic@nsfc.gov.cn</vt:lpwstr>
      </vt:variant>
      <vt:variant>
        <vt:lpwstr/>
      </vt:variant>
      <vt:variant>
        <vt:i4>327753</vt:i4>
      </vt:variant>
      <vt:variant>
        <vt:i4>39</vt:i4>
      </vt:variant>
      <vt:variant>
        <vt:i4>0</vt:i4>
      </vt:variant>
      <vt:variant>
        <vt:i4>5</vt:i4>
      </vt:variant>
      <vt:variant>
        <vt:lpwstr>https://www.nsfc.gov.cn/</vt:lpwstr>
      </vt:variant>
      <vt:variant>
        <vt:lpwstr/>
      </vt:variant>
      <vt:variant>
        <vt:i4>4128807</vt:i4>
      </vt:variant>
      <vt:variant>
        <vt:i4>36</vt:i4>
      </vt:variant>
      <vt:variant>
        <vt:i4>0</vt:i4>
      </vt:variant>
      <vt:variant>
        <vt:i4>5</vt:i4>
      </vt:variant>
      <vt:variant>
        <vt:lpwstr>https://www.bmz.de/en/services/contact</vt:lpwstr>
      </vt:variant>
      <vt:variant>
        <vt:lpwstr/>
      </vt:variant>
      <vt:variant>
        <vt:i4>720915</vt:i4>
      </vt:variant>
      <vt:variant>
        <vt:i4>33</vt:i4>
      </vt:variant>
      <vt:variant>
        <vt:i4>0</vt:i4>
      </vt:variant>
      <vt:variant>
        <vt:i4>5</vt:i4>
      </vt:variant>
      <vt:variant>
        <vt:lpwstr>https://www.bmz.de/en</vt:lpwstr>
      </vt:variant>
      <vt:variant>
        <vt:lpwstr/>
      </vt:variant>
      <vt:variant>
        <vt:i4>2097180</vt:i4>
      </vt:variant>
      <vt:variant>
        <vt:i4>30</vt:i4>
      </vt:variant>
      <vt:variant>
        <vt:i4>0</vt:i4>
      </vt:variant>
      <vt:variant>
        <vt:i4>5</vt:i4>
      </vt:variant>
      <vt:variant>
        <vt:lpwstr>mailto:ifad@ifad.org</vt:lpwstr>
      </vt:variant>
      <vt:variant>
        <vt:lpwstr/>
      </vt:variant>
      <vt:variant>
        <vt:i4>4325396</vt:i4>
      </vt:variant>
      <vt:variant>
        <vt:i4>27</vt:i4>
      </vt:variant>
      <vt:variant>
        <vt:i4>0</vt:i4>
      </vt:variant>
      <vt:variant>
        <vt:i4>5</vt:i4>
      </vt:variant>
      <vt:variant>
        <vt:lpwstr>https://www.ifad.org/</vt:lpwstr>
      </vt:variant>
      <vt:variant>
        <vt:lpwstr/>
      </vt:variant>
      <vt:variant>
        <vt:i4>3276834</vt:i4>
      </vt:variant>
      <vt:variant>
        <vt:i4>24</vt:i4>
      </vt:variant>
      <vt:variant>
        <vt:i4>0</vt:i4>
      </vt:variant>
      <vt:variant>
        <vt:i4>5</vt:i4>
      </vt:variant>
      <vt:variant>
        <vt:lpwstr>https://idrc-crdi.ca/en/contact-us</vt:lpwstr>
      </vt:variant>
      <vt:variant>
        <vt:lpwstr/>
      </vt:variant>
      <vt:variant>
        <vt:i4>3866657</vt:i4>
      </vt:variant>
      <vt:variant>
        <vt:i4>21</vt:i4>
      </vt:variant>
      <vt:variant>
        <vt:i4>0</vt:i4>
      </vt:variant>
      <vt:variant>
        <vt:i4>5</vt:i4>
      </vt:variant>
      <vt:variant>
        <vt:lpwstr>https://idrc-crdi.ca/en</vt:lpwstr>
      </vt:variant>
      <vt:variant>
        <vt:lpwstr/>
      </vt:variant>
      <vt:variant>
        <vt:i4>7733348</vt:i4>
      </vt:variant>
      <vt:variant>
        <vt:i4>18</vt:i4>
      </vt:variant>
      <vt:variant>
        <vt:i4>0</vt:i4>
      </vt:variant>
      <vt:variant>
        <vt:i4>5</vt:i4>
      </vt:variant>
      <vt:variant>
        <vt:lpwstr>https://opecfund.org/contact-us</vt:lpwstr>
      </vt:variant>
      <vt:variant>
        <vt:lpwstr/>
      </vt:variant>
      <vt:variant>
        <vt:i4>1769502</vt:i4>
      </vt:variant>
      <vt:variant>
        <vt:i4>15</vt:i4>
      </vt:variant>
      <vt:variant>
        <vt:i4>0</vt:i4>
      </vt:variant>
      <vt:variant>
        <vt:i4>5</vt:i4>
      </vt:variant>
      <vt:variant>
        <vt:lpwstr>https://opecfund.org/</vt:lpwstr>
      </vt:variant>
      <vt:variant>
        <vt:lpwstr/>
      </vt:variant>
      <vt:variant>
        <vt:i4>4128818</vt:i4>
      </vt:variant>
      <vt:variant>
        <vt:i4>12</vt:i4>
      </vt:variant>
      <vt:variant>
        <vt:i4>0</vt:i4>
      </vt:variant>
      <vt:variant>
        <vt:i4>5</vt:i4>
      </vt:variant>
      <vt:variant>
        <vt:lpwstr>https://www.nepad.org/</vt:lpwstr>
      </vt:variant>
      <vt:variant>
        <vt:lpwstr/>
      </vt:variant>
      <vt:variant>
        <vt:i4>3997732</vt:i4>
      </vt:variant>
      <vt:variant>
        <vt:i4>9</vt:i4>
      </vt:variant>
      <vt:variant>
        <vt:i4>0</vt:i4>
      </vt:variant>
      <vt:variant>
        <vt:i4>5</vt:i4>
      </vt:variant>
      <vt:variant>
        <vt:lpwstr>https://www.icgeb.org/</vt:lpwstr>
      </vt:variant>
      <vt:variant>
        <vt:lpwstr/>
      </vt:variant>
      <vt:variant>
        <vt:i4>1048703</vt:i4>
      </vt:variant>
      <vt:variant>
        <vt:i4>6</vt:i4>
      </vt:variant>
      <vt:variant>
        <vt:i4>0</vt:i4>
      </vt:variant>
      <vt:variant>
        <vt:i4>5</vt:i4>
      </vt:variant>
      <vt:variant>
        <vt:lpwstr>mailto:unep-montevideo@un.org</vt:lpwstr>
      </vt:variant>
      <vt:variant>
        <vt:lpwstr/>
      </vt:variant>
      <vt:variant>
        <vt:i4>7995437</vt:i4>
      </vt:variant>
      <vt:variant>
        <vt:i4>3</vt:i4>
      </vt:variant>
      <vt:variant>
        <vt:i4>0</vt:i4>
      </vt:variant>
      <vt:variant>
        <vt:i4>5</vt:i4>
      </vt:variant>
      <vt:variant>
        <vt:lpwstr>https://www.thegef.org/what-we-do/topics/global-biodiversity-framework-fund</vt:lpwstr>
      </vt:variant>
      <vt:variant>
        <vt:lpwstr/>
      </vt:variant>
      <vt:variant>
        <vt:i4>524379</vt:i4>
      </vt:variant>
      <vt:variant>
        <vt:i4>0</vt:i4>
      </vt:variant>
      <vt:variant>
        <vt:i4>0</vt:i4>
      </vt:variant>
      <vt:variant>
        <vt:i4>5</vt:i4>
      </vt:variant>
      <vt:variant>
        <vt:lpwstr>https://www.cbd.int/gbf/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dc:title>
  <dc:subject>CBD/CP/MOP/11/---</dc:subject>
  <dc:creator>Wadzanayi Mandivenyi</dc:creator>
  <cp:keywords>Conference of the Parties to the Convention on Biological Diversity serving as the meeting of the Parties to the Cartagena Protocol on Biosafety</cp:keywords>
  <dc:description/>
  <cp:lastModifiedBy>Veronique Lefebvre</cp:lastModifiedBy>
  <cp:revision>8</cp:revision>
  <dcterms:created xsi:type="dcterms:W3CDTF">2024-09-24T00:19:00Z</dcterms:created>
  <dcterms:modified xsi:type="dcterms:W3CDTF">2024-09-24T00:27:00Z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