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2" w:type="pct"/>
        <w:tblLayout w:type="fixed"/>
        <w:tblLook w:val="00A0"/>
      </w:tblPr>
      <w:tblGrid>
        <w:gridCol w:w="902"/>
        <w:gridCol w:w="5204"/>
        <w:gridCol w:w="3646"/>
      </w:tblGrid>
      <w:tr w:rsidR="00320FA1" w:rsidRPr="00B151C6">
        <w:trPr>
          <w:trHeight w:val="851"/>
        </w:trPr>
        <w:tc>
          <w:tcPr>
            <w:tcW w:w="902" w:type="dxa"/>
            <w:tcBorders>
              <w:bottom w:val="single" w:sz="12" w:space="0" w:color="auto"/>
            </w:tcBorders>
          </w:tcPr>
          <w:p w:rsidR="00320FA1" w:rsidRPr="00B151C6" w:rsidRDefault="006E4C7B">
            <w:pPr>
              <w:rPr>
                <w:rFonts w:eastAsia="Times New Roman"/>
                <w:lang w:val="es-ES"/>
              </w:rPr>
            </w:pPr>
            <w:r w:rsidRPr="00B151C6">
              <w:rPr>
                <w:rFonts w:eastAsia="Times New Roman"/>
                <w:snapToGrid/>
                <w:lang w:val="es-ES"/>
              </w:rPr>
              <w:drawing>
                <wp:inline distT="0" distB="0" distL="0" distR="0">
                  <wp:extent cx="429260" cy="360680"/>
                  <wp:effectExtent l="1905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a:srcRect/>
                          <a:stretch>
                            <a:fillRect/>
                          </a:stretch>
                        </pic:blipFill>
                        <pic:spPr bwMode="auto">
                          <a:xfrm>
                            <a:off x="0" y="0"/>
                            <a:ext cx="429260" cy="360680"/>
                          </a:xfrm>
                          <a:prstGeom prst="rect">
                            <a:avLst/>
                          </a:prstGeom>
                          <a:noFill/>
                          <a:ln w="9525">
                            <a:noFill/>
                            <a:miter lim="800000"/>
                            <a:headEnd/>
                            <a:tailEnd/>
                          </a:ln>
                        </pic:spPr>
                      </pic:pic>
                    </a:graphicData>
                  </a:graphic>
                </wp:inline>
              </w:drawing>
            </w:r>
          </w:p>
        </w:tc>
        <w:tc>
          <w:tcPr>
            <w:tcW w:w="5204" w:type="dxa"/>
            <w:tcBorders>
              <w:bottom w:val="single" w:sz="12" w:space="0" w:color="auto"/>
            </w:tcBorders>
            <w:tcFitText/>
          </w:tcPr>
          <w:p w:rsidR="00320FA1" w:rsidRPr="00B151C6" w:rsidRDefault="006E4C7B">
            <w:pPr>
              <w:rPr>
                <w:rFonts w:eastAsia="Times New Roman"/>
                <w:lang w:val="es-ES"/>
              </w:rPr>
            </w:pPr>
            <w:r w:rsidRPr="00B151C6">
              <w:rPr>
                <w:snapToGrid/>
                <w:lang w:val="es-ES"/>
              </w:rPr>
              <w:drawing>
                <wp:anchor distT="0" distB="0" distL="114300" distR="114300" simplePos="0" relativeHeight="251657728" behindDoc="0" locked="0" layoutInCell="1" allowOverlap="1">
                  <wp:simplePos x="0" y="0"/>
                  <wp:positionH relativeFrom="column">
                    <wp:posOffset>-1270</wp:posOffset>
                  </wp:positionH>
                  <wp:positionV relativeFrom="paragraph">
                    <wp:posOffset>-2540</wp:posOffset>
                  </wp:positionV>
                  <wp:extent cx="676275" cy="386080"/>
                  <wp:effectExtent l="19050" t="0" r="9525" b="0"/>
                  <wp:wrapSquare wrapText="bothSides"/>
                  <wp:docPr id="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9"/>
                          <a:srcRect/>
                          <a:stretch>
                            <a:fillRect/>
                          </a:stretch>
                        </pic:blipFill>
                        <pic:spPr bwMode="auto">
                          <a:xfrm>
                            <a:off x="0" y="0"/>
                            <a:ext cx="676275" cy="386080"/>
                          </a:xfrm>
                          <a:prstGeom prst="rect">
                            <a:avLst/>
                          </a:prstGeom>
                          <a:noFill/>
                          <a:ln w="9525">
                            <a:noFill/>
                            <a:miter lim="800000"/>
                            <a:headEnd/>
                            <a:tailEnd/>
                          </a:ln>
                        </pic:spPr>
                      </pic:pic>
                    </a:graphicData>
                  </a:graphic>
                </wp:anchor>
              </w:drawing>
            </w:r>
          </w:p>
        </w:tc>
        <w:tc>
          <w:tcPr>
            <w:tcW w:w="3646" w:type="dxa"/>
            <w:tcBorders>
              <w:bottom w:val="single" w:sz="12" w:space="0" w:color="auto"/>
            </w:tcBorders>
          </w:tcPr>
          <w:p w:rsidR="00320FA1" w:rsidRPr="00B151C6" w:rsidRDefault="00320FA1">
            <w:pPr>
              <w:jc w:val="right"/>
              <w:rPr>
                <w:rFonts w:ascii="Arial" w:eastAsia="Times New Roman" w:hAnsi="Arial" w:cs="Arial"/>
                <w:b/>
                <w:bCs/>
                <w:sz w:val="32"/>
                <w:szCs w:val="32"/>
                <w:lang w:val="es-ES"/>
              </w:rPr>
            </w:pPr>
            <w:r w:rsidRPr="00B151C6">
              <w:rPr>
                <w:rFonts w:ascii="Arial" w:eastAsia="Times New Roman" w:hAnsi="Arial" w:cs="Arial"/>
                <w:b/>
                <w:bCs/>
                <w:sz w:val="32"/>
                <w:szCs w:val="32"/>
                <w:lang w:val="es-ES"/>
              </w:rPr>
              <w:t>CBD</w:t>
            </w:r>
          </w:p>
        </w:tc>
      </w:tr>
      <w:tr w:rsidR="00320FA1" w:rsidRPr="00B151C6">
        <w:tc>
          <w:tcPr>
            <w:tcW w:w="6106" w:type="dxa"/>
            <w:gridSpan w:val="2"/>
            <w:tcBorders>
              <w:top w:val="single" w:sz="12" w:space="0" w:color="auto"/>
              <w:bottom w:val="single" w:sz="36" w:space="0" w:color="auto"/>
            </w:tcBorders>
            <w:vAlign w:val="center"/>
          </w:tcPr>
          <w:p w:rsidR="00320FA1" w:rsidRPr="00B151C6" w:rsidRDefault="006E4C7B">
            <w:pPr>
              <w:rPr>
                <w:rFonts w:eastAsia="Times New Roman"/>
                <w:lang w:val="es-ES"/>
              </w:rPr>
            </w:pPr>
            <w:r w:rsidRPr="00B151C6">
              <w:rPr>
                <w:rFonts w:eastAsia="Times New Roman"/>
                <w:snapToGrid/>
                <w:lang w:val="es-ES"/>
              </w:rPr>
              <w:drawing>
                <wp:inline distT="0" distB="0" distL="0" distR="0">
                  <wp:extent cx="2903855" cy="1078865"/>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srcRect/>
                          <a:stretch>
                            <a:fillRect/>
                          </a:stretch>
                        </pic:blipFill>
                        <pic:spPr bwMode="auto">
                          <a:xfrm>
                            <a:off x="0" y="0"/>
                            <a:ext cx="2903855" cy="1078865"/>
                          </a:xfrm>
                          <a:prstGeom prst="rect">
                            <a:avLst/>
                          </a:prstGeom>
                          <a:noFill/>
                          <a:ln w="9525">
                            <a:noFill/>
                            <a:miter lim="800000"/>
                            <a:headEnd/>
                            <a:tailEnd/>
                          </a:ln>
                        </pic:spPr>
                      </pic:pic>
                    </a:graphicData>
                  </a:graphic>
                </wp:inline>
              </w:drawing>
            </w:r>
          </w:p>
        </w:tc>
        <w:tc>
          <w:tcPr>
            <w:tcW w:w="3646" w:type="dxa"/>
            <w:tcBorders>
              <w:top w:val="single" w:sz="12" w:space="0" w:color="auto"/>
              <w:bottom w:val="single" w:sz="36" w:space="0" w:color="auto"/>
            </w:tcBorders>
          </w:tcPr>
          <w:p w:rsidR="00320FA1" w:rsidRPr="00B151C6" w:rsidRDefault="00320FA1">
            <w:pPr>
              <w:ind w:left="939"/>
              <w:rPr>
                <w:rFonts w:eastAsia="Times New Roman"/>
                <w:lang w:val="es-ES"/>
              </w:rPr>
            </w:pPr>
            <w:r w:rsidRPr="00B151C6">
              <w:rPr>
                <w:rFonts w:eastAsia="Times New Roman"/>
                <w:lang w:val="es-ES"/>
              </w:rPr>
              <w:t>Distr.</w:t>
            </w:r>
          </w:p>
          <w:p w:rsidR="00320FA1" w:rsidRPr="00B151C6" w:rsidRDefault="00320FA1">
            <w:pPr>
              <w:ind w:left="939"/>
              <w:rPr>
                <w:rFonts w:eastAsia="Times New Roman"/>
                <w:lang w:val="es-ES"/>
              </w:rPr>
            </w:pPr>
            <w:r w:rsidRPr="00B151C6">
              <w:rPr>
                <w:rFonts w:eastAsia="Times New Roman"/>
                <w:caps/>
                <w:lang w:val="es-ES"/>
              </w:rPr>
              <w:t>GENERAL</w:t>
            </w:r>
          </w:p>
          <w:p w:rsidR="00320FA1" w:rsidRPr="00B151C6" w:rsidRDefault="00320FA1">
            <w:pPr>
              <w:ind w:left="939"/>
              <w:rPr>
                <w:rFonts w:eastAsia="Times New Roman"/>
                <w:lang w:val="es-ES"/>
              </w:rPr>
            </w:pPr>
          </w:p>
          <w:p w:rsidR="00320FA1" w:rsidRPr="00B151C6" w:rsidRDefault="00320FA1">
            <w:pPr>
              <w:ind w:left="939"/>
              <w:rPr>
                <w:rFonts w:eastAsia="Times New Roman"/>
                <w:lang w:val="es-ES"/>
              </w:rPr>
            </w:pPr>
            <w:r w:rsidRPr="00B151C6">
              <w:rPr>
                <w:rFonts w:eastAsia="Times New Roman"/>
                <w:lang w:val="es-ES"/>
              </w:rPr>
              <w:t>CBD/SBI/3/6/Add.2/Rev.1</w:t>
            </w:r>
          </w:p>
          <w:p w:rsidR="00320FA1" w:rsidRPr="00B151C6" w:rsidRDefault="00320FA1">
            <w:pPr>
              <w:ind w:left="939"/>
              <w:rPr>
                <w:rFonts w:eastAsia="Times New Roman"/>
                <w:lang w:val="es-ES"/>
              </w:rPr>
            </w:pPr>
            <w:r w:rsidRPr="00B151C6">
              <w:rPr>
                <w:rFonts w:eastAsia="Times New Roman"/>
                <w:lang w:val="es-ES"/>
              </w:rPr>
              <w:t>31 de enero de 2022</w:t>
            </w:r>
          </w:p>
          <w:p w:rsidR="00320FA1" w:rsidRPr="00B151C6" w:rsidRDefault="00320FA1">
            <w:pPr>
              <w:ind w:left="939"/>
              <w:rPr>
                <w:rFonts w:eastAsia="Times New Roman"/>
                <w:lang w:val="es-ES"/>
              </w:rPr>
            </w:pPr>
          </w:p>
          <w:p w:rsidR="00320FA1" w:rsidRPr="00B151C6" w:rsidRDefault="00320FA1">
            <w:pPr>
              <w:ind w:left="939"/>
              <w:rPr>
                <w:rFonts w:eastAsia="Times New Roman"/>
                <w:lang w:val="es-ES"/>
              </w:rPr>
            </w:pPr>
            <w:r w:rsidRPr="00B151C6">
              <w:rPr>
                <w:rFonts w:eastAsia="Times New Roman"/>
                <w:lang w:val="es-ES"/>
              </w:rPr>
              <w:t>ESPAÑOL</w:t>
            </w:r>
          </w:p>
          <w:p w:rsidR="00320FA1" w:rsidRPr="00B151C6" w:rsidRDefault="00320FA1">
            <w:pPr>
              <w:ind w:left="939"/>
              <w:rPr>
                <w:rFonts w:eastAsia="Times New Roman"/>
                <w:lang w:val="es-ES"/>
              </w:rPr>
            </w:pPr>
            <w:r w:rsidRPr="00B151C6">
              <w:rPr>
                <w:rFonts w:eastAsia="Times New Roman"/>
                <w:lang w:val="es-ES"/>
              </w:rPr>
              <w:t xml:space="preserve">ORIGINAL: </w:t>
            </w:r>
            <w:r w:rsidR="00BA299A">
              <w:rPr>
                <w:rFonts w:eastAsia="Times New Roman"/>
                <w:lang w:val="es-ES"/>
              </w:rPr>
              <w:t>I</w:t>
            </w:r>
            <w:r w:rsidRPr="00B151C6">
              <w:rPr>
                <w:rFonts w:eastAsia="Times New Roman"/>
                <w:lang w:val="es-ES"/>
              </w:rPr>
              <w:t>NGL</w:t>
            </w:r>
            <w:r w:rsidR="00BA299A">
              <w:rPr>
                <w:rFonts w:eastAsia="Times New Roman"/>
                <w:lang w:val="es-ES"/>
              </w:rPr>
              <w:t>É</w:t>
            </w:r>
            <w:r w:rsidRPr="00B151C6">
              <w:rPr>
                <w:rFonts w:eastAsia="Times New Roman"/>
                <w:lang w:val="es-ES"/>
              </w:rPr>
              <w:t>S</w:t>
            </w:r>
          </w:p>
          <w:p w:rsidR="00320FA1" w:rsidRPr="00B151C6" w:rsidRDefault="00320FA1">
            <w:pPr>
              <w:rPr>
                <w:rFonts w:eastAsia="Times New Roman"/>
                <w:lang w:val="es-ES"/>
              </w:rPr>
            </w:pPr>
          </w:p>
        </w:tc>
      </w:tr>
    </w:tbl>
    <w:p w:rsidR="00320FA1" w:rsidRPr="00B151C6" w:rsidRDefault="00320FA1">
      <w:pPr>
        <w:pStyle w:val="meetingname"/>
        <w:ind w:left="284" w:right="4398" w:hanging="284"/>
        <w:rPr>
          <w:rFonts w:eastAsia="Times New Roman"/>
          <w:kern w:val="22"/>
          <w:lang w:val="es-ES"/>
        </w:rPr>
      </w:pPr>
      <w:bookmarkStart w:id="0" w:name="Meeting"/>
      <w:r w:rsidRPr="00B151C6">
        <w:rPr>
          <w:rFonts w:eastAsia="Times New Roman"/>
          <w:kern w:val="22"/>
          <w:lang w:val="es-ES"/>
        </w:rPr>
        <w:t>ÓRGANO SUBSIDIARIO SOBRE LA APLICACIÓN</w:t>
      </w:r>
    </w:p>
    <w:bookmarkEnd w:id="0"/>
    <w:p w:rsidR="00320FA1" w:rsidRPr="00B151C6" w:rsidRDefault="00320FA1">
      <w:pPr>
        <w:ind w:left="284" w:hanging="284"/>
        <w:jc w:val="left"/>
        <w:rPr>
          <w:rFonts w:eastAsia="Times New Roman"/>
          <w:kern w:val="22"/>
          <w:lang w:val="es-ES"/>
        </w:rPr>
      </w:pPr>
      <w:r w:rsidRPr="00B151C6">
        <w:rPr>
          <w:rFonts w:eastAsia="Times New Roman"/>
          <w:kern w:val="22"/>
          <w:lang w:val="es-ES"/>
        </w:rPr>
        <w:t>Tercera reunión (continuación)</w:t>
      </w:r>
    </w:p>
    <w:p w:rsidR="00320FA1" w:rsidRPr="00B151C6" w:rsidRDefault="00320FA1">
      <w:pPr>
        <w:suppressLineNumbers/>
        <w:suppressAutoHyphens/>
        <w:adjustRightInd w:val="0"/>
        <w:snapToGrid w:val="0"/>
        <w:rPr>
          <w:rFonts w:eastAsia="Times New Roman"/>
          <w:kern w:val="22"/>
          <w:lang w:val="es-ES"/>
        </w:rPr>
      </w:pPr>
      <w:r w:rsidRPr="00B151C6">
        <w:rPr>
          <w:rFonts w:eastAsia="Times New Roman"/>
          <w:kern w:val="22"/>
          <w:lang w:val="es-ES"/>
        </w:rPr>
        <w:t>Ginebra (Suiza), 14 a 29 de marzo de 2022</w:t>
      </w:r>
    </w:p>
    <w:p w:rsidR="00320FA1" w:rsidRPr="00B151C6" w:rsidRDefault="00320FA1">
      <w:pPr>
        <w:rPr>
          <w:rFonts w:eastAsia="Times New Roman"/>
          <w:lang w:val="es-ES"/>
        </w:rPr>
      </w:pPr>
      <w:r w:rsidRPr="00B151C6">
        <w:rPr>
          <w:rFonts w:eastAsia="Times New Roman"/>
          <w:kern w:val="22"/>
          <w:lang w:val="es-ES"/>
        </w:rPr>
        <w:t>Tema 6 del programa</w:t>
      </w:r>
    </w:p>
    <w:p w:rsidR="00320FA1" w:rsidRPr="00B151C6" w:rsidRDefault="00320FA1">
      <w:pPr>
        <w:pStyle w:val="HEADINGNOTFORTOC"/>
        <w:suppressLineNumbers/>
        <w:suppressAutoHyphens/>
        <w:adjustRightInd w:val="0"/>
        <w:snapToGrid w:val="0"/>
        <w:spacing w:after="240"/>
        <w:rPr>
          <w:rFonts w:eastAsia="Times New Roman"/>
          <w:kern w:val="22"/>
          <w:lang w:val="es-ES"/>
        </w:rPr>
      </w:pPr>
      <w:r w:rsidRPr="00B151C6">
        <w:rPr>
          <w:rFonts w:eastAsia="Times New Roman"/>
          <w:lang w:val="es-ES"/>
        </w:rPr>
        <w:t xml:space="preserve">INFORME DE LA Evaluación completa de </w:t>
      </w:r>
      <w:r w:rsidR="006A69BC">
        <w:rPr>
          <w:rFonts w:eastAsia="Times New Roman"/>
          <w:lang w:val="es-ES"/>
        </w:rPr>
        <w:t xml:space="preserve">LOS </w:t>
      </w:r>
      <w:r w:rsidRPr="00B151C6">
        <w:rPr>
          <w:rFonts w:eastAsia="Times New Roman"/>
          <w:lang w:val="es-ES"/>
        </w:rPr>
        <w:t>f</w:t>
      </w:r>
      <w:r w:rsidR="00A56246">
        <w:rPr>
          <w:rFonts w:eastAsia="Times New Roman"/>
          <w:lang w:val="es-ES"/>
        </w:rPr>
        <w:t>O</w:t>
      </w:r>
      <w:r w:rsidRPr="00B151C6">
        <w:rPr>
          <w:rFonts w:eastAsia="Times New Roman"/>
          <w:lang w:val="es-ES"/>
        </w:rPr>
        <w:t>n</w:t>
      </w:r>
      <w:r w:rsidR="00A56246">
        <w:rPr>
          <w:rFonts w:eastAsia="Times New Roman"/>
          <w:lang w:val="es-ES"/>
        </w:rPr>
        <w:t>DOS</w:t>
      </w:r>
      <w:r w:rsidRPr="00B151C6">
        <w:rPr>
          <w:rFonts w:eastAsia="Times New Roman"/>
          <w:lang w:val="es-ES"/>
        </w:rPr>
        <w:t xml:space="preserve"> </w:t>
      </w:r>
      <w:r w:rsidR="00506250">
        <w:rPr>
          <w:rFonts w:eastAsia="Times New Roman"/>
          <w:lang w:val="es-ES"/>
        </w:rPr>
        <w:t xml:space="preserve">NECESARIOS </w:t>
      </w:r>
      <w:r w:rsidRPr="00B151C6">
        <w:rPr>
          <w:rFonts w:eastAsia="Times New Roman"/>
          <w:lang w:val="es-ES"/>
        </w:rPr>
        <w:t>para la</w:t>
      </w:r>
      <w:r w:rsidR="006A69BC">
        <w:rPr>
          <w:rFonts w:eastAsia="Times New Roman"/>
          <w:lang w:val="es-ES"/>
        </w:rPr>
        <w:t> </w:t>
      </w:r>
      <w:r w:rsidRPr="00B151C6">
        <w:rPr>
          <w:rFonts w:eastAsia="Times New Roman"/>
          <w:lang w:val="es-ES"/>
        </w:rPr>
        <w:t>aplicación del Convenio y sus Protocolos DUraNTE el OCtAVo período de reposición del Fondo para el Medio Ambiente Mundial (julio</w:t>
      </w:r>
      <w:r w:rsidR="00A56246">
        <w:rPr>
          <w:rFonts w:eastAsia="Times New Roman"/>
          <w:lang w:val="es-ES"/>
        </w:rPr>
        <w:t> </w:t>
      </w:r>
      <w:r w:rsidRPr="00B151C6">
        <w:rPr>
          <w:rFonts w:eastAsia="Times New Roman"/>
          <w:lang w:val="es-ES"/>
        </w:rPr>
        <w:t>de 2022 a junio de 2026) – RESUMEN</w:t>
      </w:r>
      <w:r w:rsidR="006A69BC">
        <w:rPr>
          <w:rFonts w:eastAsia="Times New Roman"/>
          <w:lang w:val="es-ES"/>
        </w:rPr>
        <w:t xml:space="preserve"> EJECUTIVO</w:t>
      </w:r>
    </w:p>
    <w:p w:rsidR="00320FA1" w:rsidRPr="00B151C6" w:rsidRDefault="00320FA1">
      <w:pPr>
        <w:pStyle w:val="Style1"/>
        <w:outlineLvl w:val="9"/>
        <w:rPr>
          <w:rFonts w:eastAsia="Times New Roman"/>
          <w:b w:val="0"/>
          <w:bCs w:val="0"/>
          <w:lang w:val="es-ES"/>
        </w:rPr>
      </w:pPr>
      <w:r w:rsidRPr="00B151C6">
        <w:rPr>
          <w:rFonts w:eastAsia="Times New Roman"/>
          <w:b w:val="0"/>
          <w:bCs w:val="0"/>
          <w:lang w:val="es-ES"/>
        </w:rPr>
        <w:t>Nota de la Secretaria Ejecutiva</w:t>
      </w:r>
    </w:p>
    <w:p w:rsidR="00320FA1" w:rsidRPr="00B151C6" w:rsidRDefault="00320FA1">
      <w:pPr>
        <w:pStyle w:val="Para1"/>
        <w:numPr>
          <w:ilvl w:val="0"/>
          <w:numId w:val="0"/>
        </w:numPr>
        <w:suppressLineNumbers/>
        <w:suppressAutoHyphens/>
        <w:adjustRightInd w:val="0"/>
        <w:snapToGrid w:val="0"/>
        <w:jc w:val="center"/>
        <w:rPr>
          <w:rFonts w:eastAsia="Times New Roman"/>
          <w:b/>
          <w:bCs/>
          <w:kern w:val="22"/>
          <w:lang w:val="es-ES"/>
        </w:rPr>
      </w:pPr>
      <w:r w:rsidRPr="00B151C6">
        <w:rPr>
          <w:rFonts w:eastAsia="Times New Roman"/>
          <w:b/>
          <w:bCs/>
          <w:kern w:val="22"/>
          <w:lang w:val="es-ES"/>
        </w:rPr>
        <w:t>INTRODUCCIÓN</w:t>
      </w:r>
    </w:p>
    <w:p w:rsidR="00320FA1" w:rsidRPr="00B151C6" w:rsidRDefault="00320FA1">
      <w:pPr>
        <w:pStyle w:val="Para1"/>
        <w:numPr>
          <w:ilvl w:val="0"/>
          <w:numId w:val="5"/>
        </w:numPr>
        <w:suppressLineNumbers/>
        <w:suppressAutoHyphens/>
        <w:adjustRightInd w:val="0"/>
        <w:snapToGrid w:val="0"/>
        <w:ind w:left="0" w:firstLine="0"/>
        <w:rPr>
          <w:rFonts w:eastAsia="Times New Roman"/>
          <w:lang w:val="es-ES"/>
        </w:rPr>
      </w:pPr>
      <w:r w:rsidRPr="00B151C6">
        <w:rPr>
          <w:rFonts w:eastAsia="Times New Roman"/>
          <w:lang w:val="es-ES"/>
        </w:rPr>
        <w:t xml:space="preserve">En su 14ª reunión, la Conferencia de las Partes adoptó </w:t>
      </w:r>
      <w:r w:rsidR="00A56246">
        <w:rPr>
          <w:rFonts w:eastAsia="Times New Roman"/>
          <w:lang w:val="es-ES"/>
        </w:rPr>
        <w:t xml:space="preserve">por </w:t>
      </w:r>
      <w:r w:rsidR="00A56246" w:rsidRPr="00B151C6">
        <w:rPr>
          <w:rFonts w:eastAsia="Times New Roman"/>
          <w:lang w:val="es-ES"/>
        </w:rPr>
        <w:t>decisión </w:t>
      </w:r>
      <w:hyperlink r:id="rId11" w:history="1">
        <w:r w:rsidR="00A56246" w:rsidRPr="00B151C6">
          <w:rPr>
            <w:rStyle w:val="Hyperlink"/>
            <w:rFonts w:eastAsia="Times New Roman"/>
            <w:sz w:val="22"/>
            <w:szCs w:val="22"/>
            <w:lang w:val="es-ES"/>
          </w:rPr>
          <w:t>14/23</w:t>
        </w:r>
      </w:hyperlink>
      <w:r w:rsidR="00A56246" w:rsidRPr="00B151C6">
        <w:rPr>
          <w:rFonts w:eastAsia="Times New Roman"/>
          <w:lang w:val="es-ES"/>
        </w:rPr>
        <w:t>, párrafo 14</w:t>
      </w:r>
      <w:r w:rsidR="00A56246">
        <w:rPr>
          <w:rFonts w:eastAsia="Times New Roman"/>
          <w:lang w:val="es-ES"/>
        </w:rPr>
        <w:t>,</w:t>
      </w:r>
      <w:r w:rsidR="00A56246" w:rsidRPr="00B151C6">
        <w:rPr>
          <w:rFonts w:eastAsia="Times New Roman"/>
          <w:lang w:val="es-ES"/>
        </w:rPr>
        <w:t xml:space="preserve"> </w:t>
      </w:r>
      <w:r w:rsidRPr="00B151C6">
        <w:rPr>
          <w:rFonts w:eastAsia="Times New Roman"/>
          <w:lang w:val="es-ES"/>
        </w:rPr>
        <w:t>el mandato para una evaluación completa del monto de fondos necesarios para la aplicación del Convenio y sus Protocolos durante el octavo período de reposición del Fondo Fiduciario del Fondo para el Medio Ambiente Mundial.</w:t>
      </w:r>
    </w:p>
    <w:p w:rsidR="00320FA1" w:rsidRPr="00B151C6" w:rsidRDefault="00320FA1">
      <w:pPr>
        <w:pStyle w:val="Para1"/>
        <w:numPr>
          <w:ilvl w:val="0"/>
          <w:numId w:val="5"/>
        </w:numPr>
        <w:suppressLineNumbers/>
        <w:suppressAutoHyphens/>
        <w:adjustRightInd w:val="0"/>
        <w:snapToGrid w:val="0"/>
        <w:ind w:left="0" w:firstLine="0"/>
        <w:rPr>
          <w:rFonts w:eastAsia="Times New Roman"/>
          <w:lang w:val="es-ES"/>
        </w:rPr>
      </w:pPr>
      <w:r w:rsidRPr="00B151C6">
        <w:rPr>
          <w:rFonts w:eastAsia="Times New Roman"/>
          <w:lang w:val="es-ES"/>
        </w:rPr>
        <w:t xml:space="preserve">El </w:t>
      </w:r>
      <w:r w:rsidRPr="00B151C6">
        <w:rPr>
          <w:rFonts w:eastAsia="Times New Roman"/>
          <w:kern w:val="22"/>
          <w:lang w:val="es-ES"/>
        </w:rPr>
        <w:t>Gobierno de</w:t>
      </w:r>
      <w:r w:rsidRPr="00B151C6">
        <w:rPr>
          <w:rFonts w:eastAsia="Times New Roman"/>
          <w:lang w:val="es-ES"/>
        </w:rPr>
        <w:t xml:space="preserve"> Suecia y la Unión Europea aportaron generosas contribuciones financieras que permitieron a la Secretaria</w:t>
      </w:r>
      <w:r w:rsidRPr="00B151C6">
        <w:rPr>
          <w:rFonts w:eastAsia="Times New Roman"/>
          <w:spacing w:val="1"/>
          <w:lang w:val="es-ES"/>
        </w:rPr>
        <w:t xml:space="preserve"> </w:t>
      </w:r>
      <w:r w:rsidRPr="00B151C6">
        <w:rPr>
          <w:rFonts w:eastAsia="Times New Roman"/>
          <w:lang w:val="es-ES"/>
        </w:rPr>
        <w:t>Ejecutiva l</w:t>
      </w:r>
      <w:r w:rsidR="00A56246">
        <w:rPr>
          <w:rFonts w:eastAsia="Times New Roman"/>
          <w:lang w:val="es-ES"/>
        </w:rPr>
        <w:t>leva</w:t>
      </w:r>
      <w:r w:rsidRPr="00B151C6">
        <w:rPr>
          <w:rFonts w:eastAsia="Times New Roman"/>
          <w:lang w:val="es-ES"/>
        </w:rPr>
        <w:t xml:space="preserve">r </w:t>
      </w:r>
      <w:r w:rsidR="00A56246">
        <w:rPr>
          <w:rFonts w:eastAsia="Times New Roman"/>
          <w:lang w:val="es-ES"/>
        </w:rPr>
        <w:t xml:space="preserve">a </w:t>
      </w:r>
      <w:r w:rsidRPr="00B151C6">
        <w:rPr>
          <w:rFonts w:eastAsia="Times New Roman"/>
          <w:lang w:val="es-ES"/>
        </w:rPr>
        <w:t>c</w:t>
      </w:r>
      <w:r w:rsidR="00A56246">
        <w:rPr>
          <w:rFonts w:eastAsia="Times New Roman"/>
          <w:lang w:val="es-ES"/>
        </w:rPr>
        <w:t>ab</w:t>
      </w:r>
      <w:r w:rsidRPr="00B151C6">
        <w:rPr>
          <w:rFonts w:eastAsia="Times New Roman"/>
          <w:lang w:val="es-ES"/>
        </w:rPr>
        <w:t xml:space="preserve">o esa </w:t>
      </w:r>
      <w:r w:rsidRPr="00B151C6">
        <w:rPr>
          <w:rFonts w:eastAsia="Times New Roman"/>
          <w:spacing w:val="1"/>
          <w:lang w:val="es-ES"/>
        </w:rPr>
        <w:t xml:space="preserve">decisión </w:t>
      </w:r>
      <w:r w:rsidRPr="00B151C6">
        <w:rPr>
          <w:rFonts w:eastAsia="Times New Roman"/>
          <w:lang w:val="es-ES"/>
        </w:rPr>
        <w:t xml:space="preserve">contratando a un equipo de tres expertos para que realizarán la evaluación. La contratación se </w:t>
      </w:r>
      <w:r w:rsidR="00A56246">
        <w:rPr>
          <w:rFonts w:eastAsia="Times New Roman"/>
          <w:lang w:val="es-ES"/>
        </w:rPr>
        <w:t xml:space="preserve">hizo </w:t>
      </w:r>
      <w:r w:rsidRPr="00B151C6">
        <w:rPr>
          <w:rFonts w:eastAsia="Times New Roman"/>
          <w:lang w:val="es-ES"/>
        </w:rPr>
        <w:t>a través de un proceso competitivo basado en</w:t>
      </w:r>
      <w:r w:rsidRPr="00B151C6">
        <w:rPr>
          <w:rFonts w:eastAsia="Times New Roman"/>
          <w:spacing w:val="-2"/>
          <w:lang w:val="es-ES"/>
        </w:rPr>
        <w:t xml:space="preserve"> las reglas de las Naciones </w:t>
      </w:r>
      <w:r w:rsidRPr="00B151C6">
        <w:rPr>
          <w:rFonts w:eastAsia="Times New Roman"/>
          <w:lang w:val="es-ES"/>
        </w:rPr>
        <w:t>Unidas</w:t>
      </w:r>
      <w:r w:rsidRPr="00B151C6">
        <w:rPr>
          <w:rFonts w:eastAsia="Times New Roman"/>
          <w:spacing w:val="-1"/>
          <w:lang w:val="es-ES"/>
        </w:rPr>
        <w:t xml:space="preserve"> </w:t>
      </w:r>
      <w:r w:rsidRPr="00B151C6">
        <w:rPr>
          <w:rFonts w:eastAsia="Times New Roman"/>
          <w:lang w:val="es-ES"/>
        </w:rPr>
        <w:t>y de conformidad con el mandato adoptado.</w:t>
      </w:r>
    </w:p>
    <w:p w:rsidR="00320FA1" w:rsidRPr="00B151C6" w:rsidRDefault="00DF74EB">
      <w:pPr>
        <w:pStyle w:val="Para1"/>
        <w:numPr>
          <w:ilvl w:val="0"/>
          <w:numId w:val="5"/>
        </w:numPr>
        <w:suppressLineNumbers/>
        <w:suppressAutoHyphens/>
        <w:adjustRightInd w:val="0"/>
        <w:snapToGrid w:val="0"/>
        <w:ind w:left="0" w:firstLine="0"/>
        <w:rPr>
          <w:rFonts w:eastAsia="Times New Roman"/>
          <w:lang w:val="es-ES"/>
        </w:rPr>
      </w:pPr>
      <w:r>
        <w:rPr>
          <w:rFonts w:eastAsia="Times New Roman"/>
          <w:lang w:val="es-ES"/>
        </w:rPr>
        <w:t>A través de</w:t>
      </w:r>
      <w:r w:rsidR="00320FA1" w:rsidRPr="00B151C6">
        <w:rPr>
          <w:rFonts w:eastAsia="Times New Roman"/>
          <w:lang w:val="es-ES"/>
        </w:rPr>
        <w:t xml:space="preserve"> la presente nota, la Secretaria</w:t>
      </w:r>
      <w:r w:rsidR="00423F67">
        <w:rPr>
          <w:rFonts w:eastAsia="Times New Roman"/>
          <w:lang w:val="es-ES"/>
        </w:rPr>
        <w:t xml:space="preserve"> </w:t>
      </w:r>
      <w:r w:rsidR="00320FA1" w:rsidRPr="00B151C6">
        <w:rPr>
          <w:rFonts w:eastAsia="Times New Roman"/>
          <w:kern w:val="22"/>
          <w:lang w:val="es-ES"/>
        </w:rPr>
        <w:t>Ejecutiva di</w:t>
      </w:r>
      <w:r w:rsidR="00320FA1" w:rsidRPr="00B151C6">
        <w:rPr>
          <w:rFonts w:eastAsia="Times New Roman"/>
          <w:lang w:val="es-ES"/>
        </w:rPr>
        <w:t xml:space="preserve">stribuye el resumen </w:t>
      </w:r>
      <w:r w:rsidR="006A69BC">
        <w:rPr>
          <w:rFonts w:eastAsia="Times New Roman"/>
          <w:lang w:val="es-ES"/>
        </w:rPr>
        <w:t xml:space="preserve">ejecutivo </w:t>
      </w:r>
      <w:r w:rsidR="00320FA1" w:rsidRPr="00B151C6">
        <w:rPr>
          <w:rFonts w:eastAsia="Times New Roman"/>
          <w:lang w:val="es-ES"/>
        </w:rPr>
        <w:t xml:space="preserve">del informe elaborado por el </w:t>
      </w:r>
      <w:r w:rsidR="00A56246">
        <w:rPr>
          <w:rFonts w:eastAsia="Times New Roman"/>
          <w:lang w:val="es-ES"/>
        </w:rPr>
        <w:t>e</w:t>
      </w:r>
      <w:r w:rsidR="00320FA1" w:rsidRPr="00B151C6">
        <w:rPr>
          <w:rFonts w:eastAsia="Times New Roman"/>
          <w:lang w:val="es-ES"/>
        </w:rPr>
        <w:t xml:space="preserve">quipo de </w:t>
      </w:r>
      <w:r w:rsidR="00A56246">
        <w:rPr>
          <w:rFonts w:eastAsia="Times New Roman"/>
          <w:lang w:val="es-ES"/>
        </w:rPr>
        <w:t>e</w:t>
      </w:r>
      <w:r w:rsidR="00320FA1" w:rsidRPr="00B151C6">
        <w:rPr>
          <w:rFonts w:eastAsia="Times New Roman"/>
          <w:lang w:val="es-ES"/>
        </w:rPr>
        <w:t xml:space="preserve">xpertos que comprende la evaluación completa del monto de fondos necesarios para la aplicación del Convenio y sus Protocolos para el octavo período de reposición del Fondo para el Medio Ambiente Mundial (julio de 2022 a junio de 2026), para la </w:t>
      </w:r>
      <w:r w:rsidR="006A69BC">
        <w:rPr>
          <w:rFonts w:eastAsia="Times New Roman"/>
          <w:lang w:val="es-ES"/>
        </w:rPr>
        <w:t>co</w:t>
      </w:r>
      <w:r w:rsidR="00320FA1" w:rsidRPr="00B151C6">
        <w:rPr>
          <w:rFonts w:eastAsia="Times New Roman"/>
          <w:lang w:val="es-ES"/>
        </w:rPr>
        <w:t>n</w:t>
      </w:r>
      <w:r w:rsidR="006A69BC">
        <w:rPr>
          <w:rFonts w:eastAsia="Times New Roman"/>
          <w:lang w:val="es-ES"/>
        </w:rPr>
        <w:t>tin</w:t>
      </w:r>
      <w:r w:rsidR="00320FA1" w:rsidRPr="00B151C6">
        <w:rPr>
          <w:rFonts w:eastAsia="Times New Roman"/>
          <w:lang w:val="es-ES"/>
        </w:rPr>
        <w:t xml:space="preserve">uación de la tercera reunión del Órgano Subsidiario </w:t>
      </w:r>
      <w:r w:rsidR="00506250">
        <w:rPr>
          <w:rFonts w:eastAsia="Times New Roman"/>
          <w:lang w:val="es-ES"/>
        </w:rPr>
        <w:t>sobr</w:t>
      </w:r>
      <w:r w:rsidR="00320FA1" w:rsidRPr="00B151C6">
        <w:rPr>
          <w:rFonts w:eastAsia="Times New Roman"/>
          <w:lang w:val="es-ES"/>
        </w:rPr>
        <w:t xml:space="preserve">e la Aplicación prevista para marzo de 2022. El informe se transcribe tal como </w:t>
      </w:r>
      <w:r w:rsidR="00506250">
        <w:rPr>
          <w:rFonts w:eastAsia="Times New Roman"/>
          <w:lang w:val="es-ES"/>
        </w:rPr>
        <w:t xml:space="preserve">fue presentado por </w:t>
      </w:r>
      <w:r w:rsidR="00506250" w:rsidRPr="00B151C6">
        <w:rPr>
          <w:rFonts w:eastAsia="Times New Roman"/>
          <w:lang w:val="es-ES"/>
        </w:rPr>
        <w:t xml:space="preserve">los expertos </w:t>
      </w:r>
      <w:r w:rsidR="00506250">
        <w:rPr>
          <w:rFonts w:eastAsia="Times New Roman"/>
          <w:lang w:val="es-ES"/>
        </w:rPr>
        <w:t>a</w:t>
      </w:r>
      <w:r w:rsidR="00320FA1" w:rsidRPr="00B151C6">
        <w:rPr>
          <w:rFonts w:eastAsia="Times New Roman"/>
          <w:lang w:val="es-ES"/>
        </w:rPr>
        <w:t xml:space="preserve"> la Secretaría</w:t>
      </w:r>
      <w:r w:rsidR="00320FA1" w:rsidRPr="00B151C6">
        <w:rPr>
          <w:rStyle w:val="FootnoteReference"/>
          <w:rFonts w:eastAsia="Times New Roman"/>
          <w:lang w:val="es-ES"/>
        </w:rPr>
        <w:footnoteReference w:id="2"/>
      </w:r>
      <w:r w:rsidR="00320FA1" w:rsidRPr="00B151C6">
        <w:rPr>
          <w:rFonts w:eastAsia="Times New Roman"/>
          <w:lang w:val="es-ES"/>
        </w:rPr>
        <w:t>.</w:t>
      </w:r>
    </w:p>
    <w:p w:rsidR="00320FA1" w:rsidRPr="00B151C6" w:rsidRDefault="00320FA1">
      <w:pPr>
        <w:pStyle w:val="Para1"/>
        <w:numPr>
          <w:ilvl w:val="0"/>
          <w:numId w:val="5"/>
        </w:numPr>
        <w:suppressLineNumbers/>
        <w:suppressAutoHyphens/>
        <w:adjustRightInd w:val="0"/>
        <w:snapToGrid w:val="0"/>
        <w:ind w:left="0" w:firstLine="0"/>
        <w:rPr>
          <w:rFonts w:eastAsia="Times New Roman"/>
          <w:lang w:val="es-ES"/>
        </w:rPr>
      </w:pPr>
      <w:r w:rsidRPr="00B151C6">
        <w:rPr>
          <w:rFonts w:eastAsia="Times New Roman"/>
          <w:lang w:val="es-ES"/>
        </w:rPr>
        <w:t xml:space="preserve">El informe final completo está disponible únicamente en inglés como documento </w:t>
      </w:r>
      <w:r w:rsidR="00506250">
        <w:rPr>
          <w:rFonts w:eastAsia="Times New Roman"/>
          <w:lang w:val="es-ES"/>
        </w:rPr>
        <w:t>de información CBD/SBI/3/INF/44</w:t>
      </w:r>
      <w:r w:rsidRPr="00B151C6">
        <w:rPr>
          <w:rFonts w:eastAsia="Times New Roman"/>
          <w:lang w:val="es-ES"/>
        </w:rPr>
        <w:t xml:space="preserve"> y también se transcribe tal como lo recibió la Secretaría.</w:t>
      </w:r>
    </w:p>
    <w:p w:rsidR="00320FA1" w:rsidRPr="00B151C6" w:rsidRDefault="00320FA1">
      <w:pPr>
        <w:jc w:val="left"/>
        <w:rPr>
          <w:rFonts w:eastAsia="Times New Roman"/>
          <w:lang w:val="es-ES"/>
        </w:rPr>
      </w:pPr>
      <w:r w:rsidRPr="00B151C6">
        <w:rPr>
          <w:rFonts w:eastAsia="Times New Roman"/>
          <w:lang w:val="es-ES"/>
        </w:rPr>
        <w:br w:type="page"/>
      </w:r>
    </w:p>
    <w:p w:rsidR="00320FA1" w:rsidRPr="00B151C6" w:rsidRDefault="00320FA1">
      <w:pPr>
        <w:pStyle w:val="Heading1"/>
        <w:rPr>
          <w:rFonts w:ascii="Arial" w:eastAsia="Times New Roman" w:hAnsi="Arial" w:cs="Arial"/>
          <w:b w:val="0"/>
          <w:bCs w:val="0"/>
          <w:spacing w:val="-1"/>
          <w:lang w:val="es-ES"/>
        </w:rPr>
      </w:pPr>
      <w:r w:rsidRPr="00B151C6">
        <w:rPr>
          <w:rFonts w:ascii="Arial" w:eastAsia="Times New Roman" w:hAnsi="Arial" w:cs="Arial"/>
          <w:lang w:val="es-ES"/>
        </w:rPr>
        <w:lastRenderedPageBreak/>
        <w:t xml:space="preserve">INFOrMe DE LA EVALUACIÓN DE </w:t>
      </w:r>
      <w:r w:rsidR="00DF74EB">
        <w:rPr>
          <w:rFonts w:ascii="Arial" w:eastAsia="Times New Roman" w:hAnsi="Arial" w:cs="Arial"/>
          <w:lang w:val="es-ES"/>
        </w:rPr>
        <w:t xml:space="preserve">LOS </w:t>
      </w:r>
      <w:r w:rsidRPr="00B151C6">
        <w:rPr>
          <w:rFonts w:ascii="Arial" w:eastAsia="Times New Roman" w:hAnsi="Arial" w:cs="Arial"/>
          <w:lang w:val="es-ES"/>
        </w:rPr>
        <w:t>FONDOS NeCeSARIOS PARA EL OCTAVO</w:t>
      </w:r>
      <w:r w:rsidR="00DF74EB">
        <w:rPr>
          <w:rFonts w:ascii="Arial" w:eastAsia="Times New Roman" w:hAnsi="Arial" w:cs="Arial"/>
          <w:lang w:val="es-ES"/>
        </w:rPr>
        <w:t> </w:t>
      </w:r>
      <w:r w:rsidRPr="00B151C6">
        <w:rPr>
          <w:rFonts w:ascii="Arial" w:eastAsia="Times New Roman" w:hAnsi="Arial" w:cs="Arial"/>
          <w:lang w:val="es-ES"/>
        </w:rPr>
        <w:t>PeRÍOdO DE REPOSICIÓN DEL FONDO PARA EL MEDIO AMBIENTE MUNDIAL PARA LA APLICACIÓN DEL Convenio Y SUS ProtocolOs</w:t>
      </w:r>
    </w:p>
    <w:p w:rsidR="00320FA1" w:rsidRPr="00B151C6" w:rsidRDefault="00320FA1" w:rsidP="00506250">
      <w:pPr>
        <w:pStyle w:val="BodyText"/>
        <w:spacing w:before="0" w:after="0"/>
        <w:ind w:firstLine="0"/>
        <w:jc w:val="center"/>
        <w:rPr>
          <w:rFonts w:ascii="Arial" w:eastAsia="Times New Roman" w:hAnsi="Arial" w:cs="Arial"/>
          <w:b/>
          <w:bCs/>
          <w:sz w:val="24"/>
          <w:szCs w:val="24"/>
          <w:lang w:val="es-ES"/>
        </w:rPr>
      </w:pPr>
      <w:r w:rsidRPr="00B151C6">
        <w:rPr>
          <w:rFonts w:ascii="Arial" w:eastAsia="Times New Roman" w:hAnsi="Arial" w:cs="Arial"/>
          <w:b/>
          <w:bCs/>
          <w:spacing w:val="-1"/>
          <w:sz w:val="24"/>
          <w:szCs w:val="24"/>
          <w:lang w:val="es-ES"/>
        </w:rPr>
        <w:t>Resumen</w:t>
      </w:r>
      <w:r w:rsidR="00506250">
        <w:rPr>
          <w:rFonts w:ascii="Arial" w:eastAsia="Times New Roman" w:hAnsi="Arial" w:cs="Arial"/>
          <w:b/>
          <w:bCs/>
          <w:spacing w:val="-1"/>
          <w:sz w:val="24"/>
          <w:szCs w:val="24"/>
          <w:lang w:val="es-ES"/>
        </w:rPr>
        <w:t xml:space="preserve"> Ejecutivo</w:t>
      </w:r>
    </w:p>
    <w:p w:rsidR="00320FA1" w:rsidRPr="00B151C6" w:rsidRDefault="00320FA1">
      <w:pPr>
        <w:pStyle w:val="BodyText"/>
        <w:widowControl w:val="0"/>
        <w:numPr>
          <w:ilvl w:val="0"/>
          <w:numId w:val="9"/>
        </w:numPr>
        <w:autoSpaceDE w:val="0"/>
        <w:autoSpaceDN w:val="0"/>
        <w:ind w:left="0" w:firstLine="0"/>
        <w:jc w:val="left"/>
        <w:outlineLvl w:val="0"/>
        <w:rPr>
          <w:rFonts w:ascii="Arial" w:eastAsia="Times New Roman" w:hAnsi="Arial" w:cs="Arial"/>
          <w:b/>
          <w:bCs/>
          <w:u w:val="single"/>
          <w:lang w:val="es-ES"/>
        </w:rPr>
      </w:pPr>
      <w:r w:rsidRPr="00B151C6">
        <w:rPr>
          <w:rFonts w:ascii="Arial" w:eastAsia="Times New Roman" w:hAnsi="Arial" w:cs="Arial"/>
          <w:b/>
          <w:bCs/>
          <w:u w:val="single"/>
          <w:lang w:val="es-ES"/>
        </w:rPr>
        <w:t>Resumen</w:t>
      </w:r>
    </w:p>
    <w:p w:rsidR="00320FA1" w:rsidRPr="00B151C6" w:rsidRDefault="005F0C4B">
      <w:pPr>
        <w:pStyle w:val="BodyText"/>
        <w:widowControl w:val="0"/>
        <w:numPr>
          <w:ilvl w:val="0"/>
          <w:numId w:val="11"/>
        </w:numPr>
        <w:autoSpaceDE w:val="0"/>
        <w:autoSpaceDN w:val="0"/>
        <w:ind w:left="0" w:firstLine="0"/>
        <w:jc w:val="left"/>
        <w:rPr>
          <w:rFonts w:ascii="Arial" w:eastAsia="Times New Roman" w:hAnsi="Arial" w:cs="Arial"/>
          <w:spacing w:val="4"/>
          <w:lang w:val="es-ES"/>
        </w:rPr>
      </w:pPr>
      <w:r>
        <w:rPr>
          <w:rFonts w:ascii="Arial" w:eastAsia="Times New Roman" w:hAnsi="Arial" w:cs="Arial"/>
          <w:lang w:val="es-ES"/>
        </w:rPr>
        <w:t xml:space="preserve">Lo que sigue </w:t>
      </w:r>
      <w:r w:rsidR="00320FA1" w:rsidRPr="00B151C6">
        <w:rPr>
          <w:rFonts w:ascii="Arial" w:eastAsia="Times New Roman" w:hAnsi="Arial" w:cs="Arial"/>
          <w:lang w:val="es-ES"/>
        </w:rPr>
        <w:t>e</w:t>
      </w:r>
      <w:r>
        <w:rPr>
          <w:rFonts w:ascii="Arial" w:eastAsia="Times New Roman" w:hAnsi="Arial" w:cs="Arial"/>
          <w:lang w:val="es-ES"/>
        </w:rPr>
        <w:t>s</w:t>
      </w:r>
      <w:r w:rsidR="00320FA1" w:rsidRPr="00B151C6">
        <w:rPr>
          <w:rFonts w:ascii="Arial" w:eastAsia="Times New Roman" w:hAnsi="Arial" w:cs="Arial"/>
          <w:lang w:val="es-ES"/>
        </w:rPr>
        <w:t xml:space="preserve"> el informe </w:t>
      </w:r>
      <w:r>
        <w:rPr>
          <w:rFonts w:ascii="Arial" w:eastAsia="Times New Roman" w:hAnsi="Arial" w:cs="Arial"/>
          <w:lang w:val="es-ES"/>
        </w:rPr>
        <w:t>que</w:t>
      </w:r>
      <w:r w:rsidR="00320FA1" w:rsidRPr="00B151C6">
        <w:rPr>
          <w:rFonts w:ascii="Arial" w:eastAsia="Times New Roman" w:hAnsi="Arial" w:cs="Arial"/>
          <w:lang w:val="es-ES"/>
        </w:rPr>
        <w:t xml:space="preserve"> el </w:t>
      </w:r>
      <w:r w:rsidR="006A69BC">
        <w:rPr>
          <w:rFonts w:ascii="Arial" w:eastAsia="Times New Roman" w:hAnsi="Arial" w:cs="Arial"/>
          <w:lang w:val="es-ES"/>
        </w:rPr>
        <w:t>e</w:t>
      </w:r>
      <w:r w:rsidR="00320FA1" w:rsidRPr="00B151C6">
        <w:rPr>
          <w:rFonts w:ascii="Arial" w:eastAsia="Times New Roman" w:hAnsi="Arial" w:cs="Arial"/>
          <w:lang w:val="es-ES"/>
        </w:rPr>
        <w:t xml:space="preserve">quipo de </w:t>
      </w:r>
      <w:r w:rsidR="006A69BC">
        <w:rPr>
          <w:rFonts w:ascii="Arial" w:eastAsia="Times New Roman" w:hAnsi="Arial" w:cs="Arial"/>
          <w:lang w:val="es-ES"/>
        </w:rPr>
        <w:t>e</w:t>
      </w:r>
      <w:r w:rsidR="00320FA1" w:rsidRPr="00B151C6">
        <w:rPr>
          <w:rFonts w:ascii="Arial" w:eastAsia="Times New Roman" w:hAnsi="Arial" w:cs="Arial"/>
          <w:lang w:val="es-ES"/>
        </w:rPr>
        <w:t>xpertos contratado por el</w:t>
      </w:r>
      <w:r w:rsidR="006A69BC">
        <w:rPr>
          <w:rFonts w:ascii="Arial" w:eastAsia="Times New Roman" w:hAnsi="Arial" w:cs="Arial"/>
          <w:lang w:val="es-ES"/>
        </w:rPr>
        <w:t xml:space="preserve"> Convenio sobre la Diversidad Biológica</w:t>
      </w:r>
      <w:r w:rsidR="00320FA1" w:rsidRPr="00B151C6">
        <w:rPr>
          <w:rFonts w:ascii="Arial" w:eastAsia="Times New Roman" w:hAnsi="Arial" w:cs="Arial"/>
          <w:lang w:val="es-ES"/>
        </w:rPr>
        <w:t xml:space="preserve"> </w:t>
      </w:r>
      <w:r w:rsidR="006A69BC">
        <w:rPr>
          <w:rFonts w:ascii="Arial" w:eastAsia="Times New Roman" w:hAnsi="Arial" w:cs="Arial"/>
          <w:lang w:val="es-ES"/>
        </w:rPr>
        <w:t>(</w:t>
      </w:r>
      <w:r w:rsidR="00320FA1" w:rsidRPr="00B151C6">
        <w:rPr>
          <w:rFonts w:ascii="Arial" w:eastAsia="Times New Roman" w:hAnsi="Arial" w:cs="Arial"/>
          <w:lang w:val="es-ES"/>
        </w:rPr>
        <w:t>CDB</w:t>
      </w:r>
      <w:r w:rsidR="006A69BC">
        <w:rPr>
          <w:rFonts w:ascii="Arial" w:eastAsia="Times New Roman" w:hAnsi="Arial" w:cs="Arial"/>
          <w:lang w:val="es-ES"/>
        </w:rPr>
        <w:t>)</w:t>
      </w:r>
      <w:r w:rsidR="00320FA1" w:rsidRPr="00B151C6">
        <w:rPr>
          <w:rFonts w:ascii="Arial" w:eastAsia="Times New Roman" w:hAnsi="Arial" w:cs="Arial"/>
          <w:lang w:val="es-ES"/>
        </w:rPr>
        <w:t xml:space="preserve"> </w:t>
      </w:r>
      <w:r w:rsidRPr="00B151C6">
        <w:rPr>
          <w:rFonts w:ascii="Arial" w:eastAsia="Times New Roman" w:hAnsi="Arial" w:cs="Arial"/>
          <w:lang w:val="es-ES"/>
        </w:rPr>
        <w:t>pr</w:t>
      </w:r>
      <w:r>
        <w:rPr>
          <w:rFonts w:ascii="Arial" w:eastAsia="Times New Roman" w:hAnsi="Arial" w:cs="Arial"/>
          <w:lang w:val="es-ES"/>
        </w:rPr>
        <w:t>oporcion</w:t>
      </w:r>
      <w:r w:rsidRPr="00B151C6">
        <w:rPr>
          <w:rFonts w:ascii="Arial" w:eastAsia="Times New Roman" w:hAnsi="Arial" w:cs="Arial"/>
          <w:lang w:val="es-ES"/>
        </w:rPr>
        <w:t xml:space="preserve">a </w:t>
      </w:r>
      <w:r w:rsidR="00320FA1" w:rsidRPr="00B151C6">
        <w:rPr>
          <w:rFonts w:ascii="Arial" w:eastAsia="Times New Roman" w:hAnsi="Arial" w:cs="Arial"/>
          <w:lang w:val="es-ES"/>
        </w:rPr>
        <w:t xml:space="preserve">para la </w:t>
      </w:r>
      <w:r w:rsidR="006A69BC">
        <w:rPr>
          <w:rFonts w:ascii="Arial" w:eastAsia="Times New Roman" w:hAnsi="Arial" w:cs="Arial"/>
          <w:lang w:val="es-ES"/>
        </w:rPr>
        <w:t>co</w:t>
      </w:r>
      <w:r w:rsidR="00320FA1" w:rsidRPr="00B151C6">
        <w:rPr>
          <w:rFonts w:ascii="Arial" w:eastAsia="Times New Roman" w:hAnsi="Arial" w:cs="Arial"/>
          <w:lang w:val="es-ES"/>
        </w:rPr>
        <w:t>n</w:t>
      </w:r>
      <w:r w:rsidR="006A69BC">
        <w:rPr>
          <w:rFonts w:ascii="Arial" w:eastAsia="Times New Roman" w:hAnsi="Arial" w:cs="Arial"/>
          <w:lang w:val="es-ES"/>
        </w:rPr>
        <w:t>tin</w:t>
      </w:r>
      <w:r w:rsidR="00320FA1" w:rsidRPr="00B151C6">
        <w:rPr>
          <w:rFonts w:ascii="Arial" w:eastAsia="Times New Roman" w:hAnsi="Arial" w:cs="Arial"/>
          <w:lang w:val="es-ES"/>
        </w:rPr>
        <w:t>uación de las sesiones de la tercera reunión del Órgano Subsidiario sobre la Aplicación en marzo de 2022.</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Un total de 44 países presenta</w:t>
      </w:r>
      <w:r w:rsidR="005F0C4B">
        <w:rPr>
          <w:rFonts w:ascii="Arial" w:eastAsia="Times New Roman" w:hAnsi="Arial" w:cs="Arial"/>
          <w:lang w:val="es-ES"/>
        </w:rPr>
        <w:t>r</w:t>
      </w:r>
      <w:r w:rsidRPr="00B151C6">
        <w:rPr>
          <w:rFonts w:ascii="Arial" w:eastAsia="Times New Roman" w:hAnsi="Arial" w:cs="Arial"/>
          <w:lang w:val="es-ES"/>
        </w:rPr>
        <w:t>o</w:t>
      </w:r>
      <w:r w:rsidR="005F0C4B">
        <w:rPr>
          <w:rFonts w:ascii="Arial" w:eastAsia="Times New Roman" w:hAnsi="Arial" w:cs="Arial"/>
          <w:lang w:val="es-ES"/>
        </w:rPr>
        <w:t>n</w:t>
      </w:r>
      <w:r w:rsidRPr="00B151C6">
        <w:rPr>
          <w:rFonts w:ascii="Arial" w:eastAsia="Times New Roman" w:hAnsi="Arial" w:cs="Arial"/>
          <w:lang w:val="es-ES"/>
        </w:rPr>
        <w:t xml:space="preserve"> a la Secretaria Ejecutiva </w:t>
      </w:r>
      <w:r w:rsidR="005F0C4B">
        <w:rPr>
          <w:rFonts w:ascii="Arial" w:eastAsia="Times New Roman" w:hAnsi="Arial" w:cs="Arial"/>
          <w:lang w:val="es-ES"/>
        </w:rPr>
        <w:t xml:space="preserve">una estimación de </w:t>
      </w:r>
      <w:r w:rsidRPr="00B151C6">
        <w:rPr>
          <w:rFonts w:ascii="Arial" w:eastAsia="Times New Roman" w:hAnsi="Arial" w:cs="Arial"/>
          <w:lang w:val="es-ES"/>
        </w:rPr>
        <w:t>sus necesidades de financiación e inversión en el marco del mecanismo financiero para la octava reposición del Fondo para el Medio Ambiente Mundial (FMAM), con arreglo a la decisión CBD/COP/DEC/14/23. Esto significa que respondieron aproximadamente un 30 % de los 145 países receptores del FMAM examinados</w:t>
      </w:r>
      <w:r w:rsidRPr="005F0C4B">
        <w:rPr>
          <w:rFonts w:ascii="Arial" w:eastAsia="Times New Roman" w:hAnsi="Arial" w:cs="Arial"/>
          <w:vertAlign w:val="superscript"/>
          <w:lang w:val="es-ES"/>
        </w:rPr>
        <w:footnoteReference w:id="3"/>
      </w:r>
      <w:r w:rsidRPr="00B151C6">
        <w:rPr>
          <w:rFonts w:ascii="Arial" w:eastAsia="Times New Roman" w:hAnsi="Arial" w:cs="Arial"/>
          <w:lang w:val="es-ES"/>
        </w:rPr>
        <w:t xml:space="preserve">. El análisis realizado para este informe es, por lo tanto, indicativo. </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Varias Partes no pudieron presentar la información debido </w:t>
      </w:r>
      <w:r w:rsidR="00DF74EB">
        <w:rPr>
          <w:rFonts w:ascii="Arial" w:eastAsia="Times New Roman" w:hAnsi="Arial" w:cs="Arial"/>
          <w:lang w:val="es-ES"/>
        </w:rPr>
        <w:t xml:space="preserve">a </w:t>
      </w:r>
      <w:r w:rsidRPr="00B151C6">
        <w:rPr>
          <w:rFonts w:ascii="Arial" w:eastAsia="Times New Roman" w:hAnsi="Arial" w:cs="Arial"/>
          <w:lang w:val="es-ES"/>
        </w:rPr>
        <w:t>las circunstancias</w:t>
      </w:r>
      <w:r w:rsidRPr="00B151C6">
        <w:rPr>
          <w:rFonts w:ascii="Arial" w:eastAsia="Times New Roman" w:hAnsi="Arial" w:cs="Arial"/>
          <w:spacing w:val="1"/>
          <w:lang w:val="es-ES"/>
        </w:rPr>
        <w:t xml:space="preserve"> </w:t>
      </w:r>
      <w:r w:rsidRPr="00B151C6">
        <w:rPr>
          <w:rFonts w:ascii="Arial" w:eastAsia="Times New Roman" w:hAnsi="Arial" w:cs="Arial"/>
          <w:lang w:val="es-ES"/>
        </w:rPr>
        <w:t xml:space="preserve">excepcionales relacionadas con la pandemia de COVID-19 y las dificultades que tuvieron para realizar </w:t>
      </w:r>
      <w:r w:rsidRPr="00B151C6">
        <w:rPr>
          <w:rFonts w:ascii="Arial" w:eastAsia="Times New Roman" w:hAnsi="Arial" w:cs="Arial"/>
          <w:spacing w:val="1"/>
          <w:lang w:val="es-ES"/>
        </w:rPr>
        <w:t>consultas con los puntos focales del FMAM y proyectar las necesidades de financiación para el FMAM-8</w:t>
      </w:r>
      <w:r w:rsidR="005F0C4B">
        <w:rPr>
          <w:rFonts w:ascii="Arial" w:eastAsia="Times New Roman" w:hAnsi="Arial" w:cs="Arial"/>
          <w:spacing w:val="1"/>
          <w:lang w:val="es-ES"/>
        </w:rPr>
        <w:t>, dado que</w:t>
      </w:r>
      <w:r w:rsidRPr="00B151C6">
        <w:rPr>
          <w:rFonts w:ascii="Arial" w:eastAsia="Times New Roman" w:hAnsi="Arial" w:cs="Arial"/>
          <w:spacing w:val="1"/>
          <w:lang w:val="es-ES"/>
        </w:rPr>
        <w:t xml:space="preserve"> el marco mundial de la diversidad biológica posterior a </w:t>
      </w:r>
      <w:r w:rsidRPr="00B151C6">
        <w:rPr>
          <w:rFonts w:ascii="Arial" w:eastAsia="Times New Roman" w:hAnsi="Arial" w:cs="Arial"/>
          <w:lang w:val="es-ES"/>
        </w:rPr>
        <w:t xml:space="preserve">2020 </w:t>
      </w:r>
      <w:r w:rsidR="005F0C4B">
        <w:rPr>
          <w:rFonts w:ascii="Arial" w:eastAsia="Times New Roman" w:hAnsi="Arial" w:cs="Arial"/>
          <w:lang w:val="es-ES"/>
        </w:rPr>
        <w:t xml:space="preserve">está </w:t>
      </w:r>
      <w:r w:rsidRPr="00B151C6">
        <w:rPr>
          <w:rFonts w:ascii="Arial" w:eastAsia="Times New Roman" w:hAnsi="Arial" w:cs="Arial"/>
          <w:lang w:val="es-ES"/>
        </w:rPr>
        <w:t>aún en etapa de negociación.</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El análisis de los cuestionarios presentados permite estimar las necesidades financieras de 210 proyectos propuestos </w:t>
      </w:r>
      <w:r w:rsidR="00DF74EB">
        <w:rPr>
          <w:rFonts w:ascii="Arial" w:eastAsia="Times New Roman" w:hAnsi="Arial" w:cs="Arial"/>
          <w:lang w:val="es-ES"/>
        </w:rPr>
        <w:t>por</w:t>
      </w:r>
      <w:r w:rsidRPr="00B151C6">
        <w:rPr>
          <w:rFonts w:ascii="Arial" w:eastAsia="Times New Roman" w:hAnsi="Arial" w:cs="Arial"/>
          <w:lang w:val="es-ES"/>
        </w:rPr>
        <w:t xml:space="preserve"> 44 países. La información también brinda </w:t>
      </w:r>
      <w:r w:rsidR="005F0C4B">
        <w:rPr>
          <w:rFonts w:ascii="Arial" w:eastAsia="Times New Roman" w:hAnsi="Arial" w:cs="Arial"/>
          <w:lang w:val="es-ES"/>
        </w:rPr>
        <w:t xml:space="preserve">a grandes rasgos </w:t>
      </w:r>
      <w:r w:rsidRPr="00B151C6">
        <w:rPr>
          <w:rFonts w:ascii="Arial" w:eastAsia="Times New Roman" w:hAnsi="Arial" w:cs="Arial"/>
          <w:lang w:val="es-ES"/>
        </w:rPr>
        <w:t>una visión general descriptiva de los proyectos, incluidos los biomas en los que es probable que se lleven a cabo, las especies y las estrategias que abarcan, si se relacionan con un programa integrado del FMAM y sus vínculos con otros convenios y</w:t>
      </w:r>
      <w:r w:rsidR="005F0C4B">
        <w:rPr>
          <w:rFonts w:ascii="Arial" w:eastAsia="Times New Roman" w:hAnsi="Arial" w:cs="Arial"/>
          <w:lang w:val="es-ES"/>
        </w:rPr>
        <w:t xml:space="preserve"> los</w:t>
      </w:r>
      <w:r w:rsidRPr="00B151C6">
        <w:rPr>
          <w:rFonts w:ascii="Arial" w:eastAsia="Times New Roman" w:hAnsi="Arial" w:cs="Arial"/>
          <w:lang w:val="es-ES"/>
        </w:rPr>
        <w:t xml:space="preserve"> Objetivos de Desarrollo Sostenible (ODS). </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Las necesidades </w:t>
      </w:r>
      <w:r w:rsidR="005F0C4B">
        <w:rPr>
          <w:rFonts w:ascii="Arial" w:eastAsia="Times New Roman" w:hAnsi="Arial" w:cs="Arial"/>
          <w:lang w:val="es-ES"/>
        </w:rPr>
        <w:t xml:space="preserve">totales </w:t>
      </w:r>
      <w:r w:rsidRPr="00B151C6">
        <w:rPr>
          <w:rFonts w:ascii="Arial" w:eastAsia="Times New Roman" w:hAnsi="Arial" w:cs="Arial"/>
          <w:lang w:val="es-ES"/>
        </w:rPr>
        <w:t>de financiación para los 210 proyectos comunicados a través del cuestionario ascienden a un total de 4.049.921.897 dólares de los Estados Unidos</w:t>
      </w:r>
      <w:r w:rsidRPr="00B151C6">
        <w:rPr>
          <w:rStyle w:val="FootnoteReference"/>
          <w:rFonts w:ascii="Arial" w:eastAsia="Times New Roman" w:hAnsi="Arial" w:cs="Arial"/>
          <w:lang w:val="es-ES"/>
        </w:rPr>
        <w:footnoteReference w:id="4"/>
      </w:r>
      <w:r w:rsidRPr="00B151C6">
        <w:rPr>
          <w:rFonts w:ascii="Arial" w:eastAsia="Times New Roman" w:hAnsi="Arial" w:cs="Arial"/>
          <w:lang w:val="es-ES"/>
        </w:rPr>
        <w:t xml:space="preserve">. De este monto, los </w:t>
      </w:r>
      <w:r w:rsidR="00914380">
        <w:rPr>
          <w:rFonts w:ascii="Arial" w:eastAsia="Times New Roman" w:hAnsi="Arial" w:cs="Arial"/>
          <w:lang w:val="es-ES"/>
        </w:rPr>
        <w:t>G</w:t>
      </w:r>
      <w:r w:rsidRPr="00B151C6">
        <w:rPr>
          <w:rFonts w:ascii="Arial" w:eastAsia="Times New Roman" w:hAnsi="Arial" w:cs="Arial"/>
          <w:lang w:val="es-ES"/>
        </w:rPr>
        <w:t xml:space="preserve">obiernos prevén cofinanciar el 39 % y obtener un 29 % de otras fuentes, dejando al FMAM la cofinanciación del restante 32 %. Un 78 % estimado de </w:t>
      </w:r>
      <w:r w:rsidR="00914380">
        <w:rPr>
          <w:rFonts w:ascii="Arial" w:eastAsia="Times New Roman" w:hAnsi="Arial" w:cs="Arial"/>
          <w:lang w:val="es-ES"/>
        </w:rPr>
        <w:t>los proyectos se refiere</w:t>
      </w:r>
      <w:r w:rsidRPr="00B151C6">
        <w:rPr>
          <w:rFonts w:ascii="Arial" w:eastAsia="Times New Roman" w:hAnsi="Arial" w:cs="Arial"/>
          <w:lang w:val="es-ES"/>
        </w:rPr>
        <w:t xml:space="preserve"> al Convenio, mientras que un 21 % </w:t>
      </w:r>
      <w:r w:rsidR="00914380">
        <w:rPr>
          <w:rFonts w:ascii="Arial" w:eastAsia="Times New Roman" w:hAnsi="Arial" w:cs="Arial"/>
          <w:lang w:val="es-ES"/>
        </w:rPr>
        <w:t>se refiere</w:t>
      </w:r>
      <w:r w:rsidRPr="00B151C6">
        <w:rPr>
          <w:rFonts w:ascii="Arial" w:eastAsia="Times New Roman" w:hAnsi="Arial" w:cs="Arial"/>
          <w:lang w:val="es-ES"/>
        </w:rPr>
        <w:t xml:space="preserve"> al Protocolo de Cartagena </w:t>
      </w:r>
      <w:r w:rsidR="00914380" w:rsidRPr="00B151C6">
        <w:rPr>
          <w:rFonts w:ascii="Arial" w:eastAsia="Times New Roman" w:hAnsi="Arial" w:cs="Arial"/>
          <w:lang w:val="es-ES"/>
        </w:rPr>
        <w:t xml:space="preserve">y </w:t>
      </w:r>
      <w:r w:rsidR="00914380">
        <w:rPr>
          <w:rFonts w:ascii="Arial" w:eastAsia="Times New Roman" w:hAnsi="Arial" w:cs="Arial"/>
          <w:lang w:val="es-ES"/>
        </w:rPr>
        <w:t xml:space="preserve">un </w:t>
      </w:r>
      <w:r w:rsidR="00914380" w:rsidRPr="00B151C6">
        <w:rPr>
          <w:rFonts w:ascii="Arial" w:eastAsia="Times New Roman" w:hAnsi="Arial" w:cs="Arial"/>
          <w:lang w:val="es-ES"/>
        </w:rPr>
        <w:t xml:space="preserve">38 % </w:t>
      </w:r>
      <w:r w:rsidRPr="00B151C6">
        <w:rPr>
          <w:rFonts w:ascii="Arial" w:eastAsia="Times New Roman" w:hAnsi="Arial" w:cs="Arial"/>
          <w:lang w:val="es-ES"/>
        </w:rPr>
        <w:t>al de Nagoya.</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No obstante, dado que no todas las Partes presentaron estos datos, se utilizaron tres escenarios diferentes (uno de los cuales se basa en el cuestionario) para extrapolar los datos de las fuentes existentes y estimar las necesidades de financiación para el FMAM-8.</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sz w:val="19"/>
          <w:szCs w:val="19"/>
          <w:lang w:val="es-ES"/>
        </w:rPr>
      </w:pPr>
      <w:r w:rsidRPr="00B151C6">
        <w:rPr>
          <w:rFonts w:ascii="Arial" w:eastAsia="Times New Roman" w:hAnsi="Arial" w:cs="Arial"/>
          <w:lang w:val="es-ES"/>
        </w:rPr>
        <w:t>Según los tres escenarios, las necesidades de financiación del FMAM para la aplicación del Convenio y sus Protocolos durante el octavo período de reposición (2022-2026) oscilan entre 1.500 millones de dólares y 3.700 millones de dólares. Los detalles de estos tres escenarios se brindan en la sección 7 b) del presente informe.</w:t>
      </w:r>
    </w:p>
    <w:p w:rsidR="00320FA1" w:rsidRPr="00B151C6" w:rsidRDefault="00320FA1">
      <w:pPr>
        <w:pStyle w:val="BodyText"/>
        <w:widowControl w:val="0"/>
        <w:numPr>
          <w:ilvl w:val="0"/>
          <w:numId w:val="9"/>
        </w:numPr>
        <w:autoSpaceDE w:val="0"/>
        <w:autoSpaceDN w:val="0"/>
        <w:ind w:left="0" w:firstLine="0"/>
        <w:jc w:val="left"/>
        <w:outlineLvl w:val="0"/>
        <w:rPr>
          <w:rFonts w:ascii="Arial" w:eastAsia="Times New Roman" w:hAnsi="Arial" w:cs="Arial"/>
          <w:b/>
          <w:bCs/>
          <w:u w:val="single"/>
          <w:lang w:val="es-ES"/>
        </w:rPr>
      </w:pPr>
      <w:r w:rsidRPr="00B151C6">
        <w:rPr>
          <w:rFonts w:ascii="Arial" w:eastAsia="Times New Roman" w:hAnsi="Arial" w:cs="Arial"/>
          <w:b/>
          <w:bCs/>
          <w:u w:val="single"/>
          <w:lang w:val="es-ES"/>
        </w:rPr>
        <w:t>Introducción</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Para más detalles de las secciones de este informe referidas al mandato, otras decisiones pertinentes y procedimientos para implementar el mandato (alcance y metodología), </w:t>
      </w:r>
      <w:r w:rsidR="00914380">
        <w:rPr>
          <w:rFonts w:ascii="Arial" w:eastAsia="Times New Roman" w:hAnsi="Arial" w:cs="Arial"/>
          <w:lang w:val="es-ES"/>
        </w:rPr>
        <w:t xml:space="preserve">se </w:t>
      </w:r>
      <w:r w:rsidRPr="00B151C6">
        <w:rPr>
          <w:rFonts w:ascii="Arial" w:eastAsia="Times New Roman" w:hAnsi="Arial" w:cs="Arial"/>
          <w:lang w:val="es-ES"/>
        </w:rPr>
        <w:t>rem</w:t>
      </w:r>
      <w:r w:rsidR="00914380">
        <w:rPr>
          <w:rFonts w:ascii="Arial" w:eastAsia="Times New Roman" w:hAnsi="Arial" w:cs="Arial"/>
          <w:lang w:val="es-ES"/>
        </w:rPr>
        <w:t>i</w:t>
      </w:r>
      <w:r w:rsidRPr="00B151C6">
        <w:rPr>
          <w:rFonts w:ascii="Arial" w:eastAsia="Times New Roman" w:hAnsi="Arial" w:cs="Arial"/>
          <w:lang w:val="es-ES"/>
        </w:rPr>
        <w:t>te al informe completo que está disponible como documento de información.</w:t>
      </w:r>
    </w:p>
    <w:p w:rsidR="00320FA1" w:rsidRPr="00B151C6" w:rsidRDefault="00320FA1">
      <w:pPr>
        <w:pStyle w:val="BodyText"/>
        <w:widowControl w:val="0"/>
        <w:numPr>
          <w:ilvl w:val="0"/>
          <w:numId w:val="9"/>
        </w:numPr>
        <w:autoSpaceDE w:val="0"/>
        <w:autoSpaceDN w:val="0"/>
        <w:ind w:left="0" w:firstLine="0"/>
        <w:jc w:val="left"/>
        <w:outlineLvl w:val="0"/>
        <w:rPr>
          <w:rFonts w:ascii="Arial" w:eastAsia="Times New Roman" w:hAnsi="Arial" w:cs="Arial"/>
          <w:b/>
          <w:bCs/>
          <w:u w:val="single"/>
          <w:lang w:val="es-ES"/>
        </w:rPr>
      </w:pPr>
      <w:r w:rsidRPr="00B151C6">
        <w:rPr>
          <w:rFonts w:ascii="Arial" w:eastAsia="Times New Roman" w:hAnsi="Arial" w:cs="Arial"/>
          <w:b/>
          <w:bCs/>
          <w:u w:val="single"/>
          <w:lang w:val="es-ES"/>
        </w:rPr>
        <w:lastRenderedPageBreak/>
        <w:t>Experiencia en la provisión de fondos por el FMAM</w:t>
      </w:r>
    </w:p>
    <w:p w:rsidR="00320FA1" w:rsidRPr="00B151C6" w:rsidRDefault="00914380">
      <w:pPr>
        <w:pStyle w:val="BodyText"/>
        <w:widowControl w:val="0"/>
        <w:numPr>
          <w:ilvl w:val="0"/>
          <w:numId w:val="6"/>
        </w:numPr>
        <w:autoSpaceDE w:val="0"/>
        <w:autoSpaceDN w:val="0"/>
        <w:ind w:left="0" w:firstLine="0"/>
        <w:jc w:val="left"/>
        <w:outlineLvl w:val="1"/>
        <w:rPr>
          <w:rFonts w:ascii="Arial" w:eastAsia="Times New Roman" w:hAnsi="Arial" w:cs="Arial"/>
          <w:lang w:val="es-ES"/>
        </w:rPr>
      </w:pPr>
      <w:r>
        <w:rPr>
          <w:rFonts w:ascii="Arial" w:eastAsia="Times New Roman" w:hAnsi="Arial" w:cs="Arial"/>
          <w:u w:val="single"/>
          <w:lang w:val="es-ES"/>
        </w:rPr>
        <w:t>Antecedentes</w:t>
      </w:r>
      <w:r w:rsidR="00320FA1" w:rsidRPr="00B151C6">
        <w:rPr>
          <w:rFonts w:ascii="Arial" w:eastAsia="Times New Roman" w:hAnsi="Arial" w:cs="Arial"/>
          <w:u w:val="single"/>
          <w:lang w:val="es-ES"/>
        </w:rPr>
        <w:t xml:space="preserve"> de programación y asignación del FMAM</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bookmarkStart w:id="1" w:name="_Hlk90657055"/>
      <w:r w:rsidRPr="00B151C6">
        <w:rPr>
          <w:rFonts w:ascii="Arial" w:eastAsia="Times New Roman" w:hAnsi="Arial" w:cs="Arial"/>
          <w:lang w:val="es-ES"/>
        </w:rPr>
        <w:t>En los primeros 18 meses del FMAM-7, el valor total de las inversiones de todos los recursos del FMAM para cumplir las Metas de Aichi para la Diversidad Biológica de todas las líneas de programación pertinentes del FMAM-7 (la estrategia del área focal de biodiversidad, los programas de impacto del FMAM-7, el área focal de aguas internacionales, el Fondo para los Países Menos Adelantados para la adaptación al cambio climático, el instrumento distinto de las donaciones y el Programa de Pequeñas Donaciones) fue de 1.056 millones de dólares.</w:t>
      </w:r>
      <w:r w:rsidRPr="00B151C6">
        <w:rPr>
          <w:rFonts w:ascii="Arial" w:eastAsia="Times New Roman" w:hAnsi="Arial" w:cs="Arial"/>
          <w:spacing w:val="-3"/>
          <w:lang w:val="es-ES"/>
        </w:rPr>
        <w:t xml:space="preserve"> </w:t>
      </w:r>
      <w:r w:rsidRPr="00B151C6">
        <w:rPr>
          <w:rFonts w:ascii="Arial" w:eastAsia="Times New Roman" w:hAnsi="Arial" w:cs="Arial"/>
          <w:lang w:val="es-ES"/>
        </w:rPr>
        <w:t xml:space="preserve">Esto permitió conseguir cofinanciación por </w:t>
      </w:r>
      <w:r w:rsidR="00914380">
        <w:rPr>
          <w:rFonts w:ascii="Arial" w:eastAsia="Times New Roman" w:hAnsi="Arial" w:cs="Arial"/>
          <w:lang w:val="es-ES"/>
        </w:rPr>
        <w:t>un monto</w:t>
      </w:r>
      <w:r w:rsidRPr="00B151C6">
        <w:rPr>
          <w:rFonts w:ascii="Arial" w:eastAsia="Times New Roman" w:hAnsi="Arial" w:cs="Arial"/>
          <w:lang w:val="es-ES"/>
        </w:rPr>
        <w:t xml:space="preserve"> de 8.955 millones de dólares para una inversión total de 10.010 millones de dólares, lo que representa más de 8 dólares de cofinanciación por cada dólar aportado por el FMAM. Esto confirma el continuo </w:t>
      </w:r>
      <w:r w:rsidR="00914380">
        <w:rPr>
          <w:rFonts w:ascii="Arial" w:eastAsia="Times New Roman" w:hAnsi="Arial" w:cs="Arial"/>
          <w:lang w:val="es-ES"/>
        </w:rPr>
        <w:t>incre</w:t>
      </w:r>
      <w:r w:rsidRPr="00B151C6">
        <w:rPr>
          <w:rFonts w:ascii="Arial" w:eastAsia="Times New Roman" w:hAnsi="Arial" w:cs="Arial"/>
          <w:lang w:val="es-ES"/>
        </w:rPr>
        <w:t>mento del coeficiente de cofinanciación para los proyectos de diversidad biológica del FMAM, que se ubic</w:t>
      </w:r>
      <w:r w:rsidR="00DF74EB">
        <w:rPr>
          <w:rFonts w:ascii="Arial" w:eastAsia="Times New Roman" w:hAnsi="Arial" w:cs="Arial"/>
          <w:lang w:val="es-ES"/>
        </w:rPr>
        <w:t>a por encima del objetivo de 1:</w:t>
      </w:r>
      <w:r w:rsidRPr="00B151C6">
        <w:rPr>
          <w:rFonts w:ascii="Arial" w:eastAsia="Times New Roman" w:hAnsi="Arial" w:cs="Arial"/>
          <w:lang w:val="es-ES"/>
        </w:rPr>
        <w:t>7 fijado para toda la cartera del FMAM durante el período del FMAM-7. Está disponible un resumen del uso de la programación del área focal de biodiversidad del FMAM</w:t>
      </w:r>
      <w:r w:rsidRPr="00B151C6">
        <w:rPr>
          <w:rStyle w:val="FootnoteReference"/>
          <w:rFonts w:ascii="Arial" w:eastAsia="Times New Roman" w:hAnsi="Arial" w:cs="Arial"/>
          <w:lang w:val="es-ES"/>
        </w:rPr>
        <w:footnoteReference w:id="5"/>
      </w:r>
      <w:r w:rsidRPr="00B151C6">
        <w:rPr>
          <w:rFonts w:ascii="Arial" w:eastAsia="Times New Roman" w:hAnsi="Arial" w:cs="Arial"/>
          <w:lang w:val="es-ES"/>
        </w:rPr>
        <w:t>.</w:t>
      </w:r>
    </w:p>
    <w:bookmarkEnd w:id="1"/>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El monto de las donaciones del FMAM para proyectos de diversidad biológica, tanto los de una sola área focal como los que abarcan múltiples áreas focales, ha aumentado sistemáticamente desde la fase piloto hasta el presente, con más de 1.000 millones de dólares ya asignados en el FMAM-7, comparado con los 250 millones con los que se comenzó en la fase piloto. En total, el monto acumula</w:t>
      </w:r>
      <w:r w:rsidR="00475311">
        <w:rPr>
          <w:rFonts w:ascii="Arial" w:eastAsia="Times New Roman" w:hAnsi="Arial" w:cs="Arial"/>
          <w:lang w:val="es-ES"/>
        </w:rPr>
        <w:t>d</w:t>
      </w:r>
      <w:r w:rsidRPr="00B151C6">
        <w:rPr>
          <w:rFonts w:ascii="Arial" w:eastAsia="Times New Roman" w:hAnsi="Arial" w:cs="Arial"/>
          <w:lang w:val="es-ES"/>
        </w:rPr>
        <w:t xml:space="preserve">o de fondos para la diversidad biológica (incluido en proyectos que abarcan múltiples áreas focales) asciende ahora </w:t>
      </w:r>
      <w:r w:rsidR="00475311">
        <w:rPr>
          <w:rFonts w:ascii="Arial" w:eastAsia="Times New Roman" w:hAnsi="Arial" w:cs="Arial"/>
          <w:lang w:val="es-ES"/>
        </w:rPr>
        <w:t xml:space="preserve">a </w:t>
      </w:r>
      <w:r w:rsidRPr="00B151C6">
        <w:rPr>
          <w:rFonts w:ascii="Arial" w:eastAsia="Times New Roman" w:hAnsi="Arial" w:cs="Arial"/>
          <w:lang w:val="es-ES"/>
        </w:rPr>
        <w:t xml:space="preserve">6.800 millones de dólares, con 33.700 millones de dólares </w:t>
      </w:r>
      <w:r w:rsidR="00475311">
        <w:rPr>
          <w:rFonts w:ascii="Arial" w:eastAsia="Times New Roman" w:hAnsi="Arial" w:cs="Arial"/>
          <w:lang w:val="es-ES"/>
        </w:rPr>
        <w:t xml:space="preserve">previstos </w:t>
      </w:r>
      <w:r w:rsidRPr="00B151C6">
        <w:rPr>
          <w:rFonts w:ascii="Arial" w:eastAsia="Times New Roman" w:hAnsi="Arial" w:cs="Arial"/>
          <w:lang w:val="es-ES"/>
        </w:rPr>
        <w:t xml:space="preserve">en cofinanciación </w:t>
      </w:r>
      <w:r w:rsidR="00475311">
        <w:rPr>
          <w:rFonts w:ascii="Arial" w:eastAsia="Times New Roman" w:hAnsi="Arial" w:cs="Arial"/>
          <w:lang w:val="es-ES"/>
        </w:rPr>
        <w:t>según lo indicado</w:t>
      </w:r>
      <w:r w:rsidRPr="00B151C6">
        <w:rPr>
          <w:rFonts w:ascii="Arial" w:eastAsia="Times New Roman" w:hAnsi="Arial" w:cs="Arial"/>
          <w:lang w:val="es-ES"/>
        </w:rPr>
        <w:t xml:space="preserve"> en documentos de proyecto</w:t>
      </w:r>
      <w:r w:rsidRPr="00B151C6">
        <w:rPr>
          <w:rStyle w:val="FootnoteReference"/>
          <w:rFonts w:ascii="Arial" w:eastAsia="Times New Roman" w:hAnsi="Arial" w:cs="Arial"/>
          <w:lang w:val="es-ES"/>
        </w:rPr>
        <w:footnoteReference w:id="6"/>
      </w:r>
      <w:r w:rsidRPr="00B151C6">
        <w:rPr>
          <w:rFonts w:ascii="Arial" w:eastAsia="Times New Roman" w:hAnsi="Arial" w:cs="Arial"/>
          <w:lang w:val="es-ES"/>
        </w:rPr>
        <w:t>.</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Según la publicación </w:t>
      </w:r>
      <w:r w:rsidRPr="00B151C6">
        <w:rPr>
          <w:rFonts w:ascii="Arial" w:eastAsia="Times New Roman" w:hAnsi="Arial" w:cs="Arial"/>
          <w:i/>
          <w:iCs/>
          <w:lang w:val="es-ES"/>
        </w:rPr>
        <w:t>GEF-7 Corporate Scorecard</w:t>
      </w:r>
      <w:r w:rsidRPr="00B151C6">
        <w:rPr>
          <w:rFonts w:ascii="Arial" w:eastAsia="Times New Roman" w:hAnsi="Arial" w:cs="Arial"/>
          <w:lang w:val="es-ES"/>
        </w:rPr>
        <w:t xml:space="preserve"> (diciembre de 2021)</w:t>
      </w:r>
      <w:r w:rsidRPr="00B151C6">
        <w:rPr>
          <w:rStyle w:val="FootnoteReference"/>
          <w:rFonts w:ascii="Arial" w:eastAsia="Times New Roman" w:hAnsi="Arial" w:cs="Arial"/>
          <w:lang w:val="es-ES"/>
        </w:rPr>
        <w:footnoteReference w:id="7"/>
      </w:r>
      <w:r w:rsidRPr="00B151C6">
        <w:rPr>
          <w:rFonts w:ascii="Arial" w:eastAsia="Times New Roman" w:hAnsi="Arial" w:cs="Arial"/>
          <w:spacing w:val="1"/>
          <w:lang w:val="es-ES"/>
        </w:rPr>
        <w:t xml:space="preserve">, </w:t>
      </w:r>
      <w:r w:rsidRPr="00B151C6">
        <w:rPr>
          <w:rFonts w:ascii="Arial" w:eastAsia="Times New Roman" w:hAnsi="Arial" w:cs="Arial"/>
          <w:lang w:val="es-ES"/>
        </w:rPr>
        <w:t>la utilización total de fondos asignados por el FMAM-7</w:t>
      </w:r>
      <w:r w:rsidRPr="00B151C6">
        <w:rPr>
          <w:rFonts w:ascii="Arial" w:eastAsia="Times New Roman" w:hAnsi="Arial" w:cs="Arial"/>
          <w:spacing w:val="1"/>
          <w:lang w:val="es-ES"/>
        </w:rPr>
        <w:t xml:space="preserve"> para la diversidad biológica hasta la fecha </w:t>
      </w:r>
      <w:r w:rsidRPr="00B151C6">
        <w:rPr>
          <w:rFonts w:ascii="Arial" w:eastAsia="Times New Roman" w:hAnsi="Arial" w:cs="Arial"/>
          <w:lang w:val="es-ES"/>
        </w:rPr>
        <w:t xml:space="preserve">en el marco del Sistema para la Asignación Transparente de Recursos (SATR) </w:t>
      </w:r>
      <w:r w:rsidRPr="00B151C6">
        <w:rPr>
          <w:rFonts w:ascii="Arial" w:eastAsia="Times New Roman" w:hAnsi="Arial" w:cs="Arial"/>
          <w:spacing w:val="1"/>
          <w:lang w:val="es-ES"/>
        </w:rPr>
        <w:t xml:space="preserve">(incluido el programa de trabajo de diciembre de 2021) </w:t>
      </w:r>
      <w:r w:rsidRPr="00B151C6">
        <w:rPr>
          <w:rFonts w:ascii="Arial" w:eastAsia="Times New Roman" w:hAnsi="Arial" w:cs="Arial"/>
          <w:lang w:val="es-ES"/>
        </w:rPr>
        <w:t>es la siguiente: 89 % para África; 92 % para Asia; 83 % para Europa y Asia Central</w:t>
      </w:r>
      <w:r w:rsidR="00AD4563">
        <w:rPr>
          <w:rFonts w:ascii="Arial" w:eastAsia="Times New Roman" w:hAnsi="Arial" w:cs="Arial"/>
          <w:lang w:val="es-ES"/>
        </w:rPr>
        <w:t>;</w:t>
      </w:r>
      <w:r w:rsidRPr="00B151C6">
        <w:rPr>
          <w:rFonts w:ascii="Arial" w:eastAsia="Times New Roman" w:hAnsi="Arial" w:cs="Arial"/>
          <w:lang w:val="es-ES"/>
        </w:rPr>
        <w:t xml:space="preserve"> y 87 % para América Latina y el Caribe. Los países menos adelantados (PMA) utilizaron el 95% para la diversidad biológica y los pequeños Estados insulares en desarrollo (PEID) el 84% en el mismo período.</w:t>
      </w:r>
    </w:p>
    <w:p w:rsidR="00320FA1" w:rsidRPr="00B151C6" w:rsidRDefault="00320FA1">
      <w:pPr>
        <w:pStyle w:val="BodyText"/>
        <w:widowControl w:val="0"/>
        <w:numPr>
          <w:ilvl w:val="0"/>
          <w:numId w:val="6"/>
        </w:numPr>
        <w:autoSpaceDE w:val="0"/>
        <w:autoSpaceDN w:val="0"/>
        <w:ind w:left="0" w:firstLine="0"/>
        <w:jc w:val="left"/>
        <w:outlineLvl w:val="1"/>
        <w:rPr>
          <w:rFonts w:ascii="Arial" w:eastAsia="Times New Roman" w:hAnsi="Arial" w:cs="Arial"/>
          <w:u w:val="single"/>
          <w:lang w:val="es-ES"/>
        </w:rPr>
      </w:pPr>
      <w:r w:rsidRPr="00B151C6">
        <w:rPr>
          <w:rFonts w:ascii="Arial" w:eastAsia="Times New Roman" w:hAnsi="Arial" w:cs="Arial"/>
          <w:u w:val="single"/>
          <w:lang w:val="es-ES"/>
        </w:rPr>
        <w:t>Experiencia del FMAM hasta la fecha</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Ocho de los 11 indicadores básicos aplicados por el FMAM para hacer un seguimiento del impacto de sus proyectos son indicadores pertinentes para la diversidad biológica</w:t>
      </w:r>
      <w:r w:rsidRPr="00B151C6">
        <w:rPr>
          <w:rStyle w:val="FootnoteReference"/>
          <w:rFonts w:ascii="Arial" w:eastAsia="Times New Roman" w:hAnsi="Arial" w:cs="Arial"/>
          <w:lang w:val="es-ES"/>
        </w:rPr>
        <w:footnoteReference w:id="8"/>
      </w:r>
      <w:r w:rsidRPr="00B151C6">
        <w:rPr>
          <w:rFonts w:ascii="Arial" w:eastAsia="Times New Roman" w:hAnsi="Arial" w:cs="Arial"/>
          <w:lang w:val="es-ES"/>
        </w:rPr>
        <w:t xml:space="preserve">. Como se indicó, la contribución prevista para los indicadores básicos es desproporcionadamente alta para los programas de impacto, en particular para los indicadores sobre áreas protegidas terrestres, restauración de tierras y paisajes con prácticas mejoradas. El marco del CDB tiene actualmente unos 98 indicadores indicativos y se alienta a los países a utilizarlos para hacer un seguimiento de los </w:t>
      </w:r>
      <w:r w:rsidR="00AD4563">
        <w:rPr>
          <w:rFonts w:ascii="Arial" w:eastAsia="Times New Roman" w:hAnsi="Arial" w:cs="Arial"/>
          <w:lang w:val="es-ES"/>
        </w:rPr>
        <w:t>progresos</w:t>
      </w:r>
      <w:r w:rsidRPr="00B151C6">
        <w:rPr>
          <w:rFonts w:ascii="Arial" w:eastAsia="Times New Roman" w:hAnsi="Arial" w:cs="Arial"/>
          <w:lang w:val="es-ES"/>
        </w:rPr>
        <w:t xml:space="preserve"> en la consecución de las Metas de Aichi para la Diversidad Biológica.</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sz w:val="20"/>
          <w:szCs w:val="20"/>
          <w:lang w:val="es-ES"/>
        </w:rPr>
      </w:pPr>
      <w:r w:rsidRPr="00B151C6">
        <w:rPr>
          <w:rFonts w:ascii="Arial" w:eastAsia="Times New Roman" w:hAnsi="Arial" w:cs="Arial"/>
          <w:lang w:val="es-ES"/>
        </w:rPr>
        <w:t>Según los indicadores básicos del FMAM, el FMAM-7 está logrando buenos avances en la consecución de sus metas en el área focal de biodiversidad (</w:t>
      </w:r>
      <w:r w:rsidRPr="00B151C6">
        <w:rPr>
          <w:rFonts w:ascii="Arial" w:eastAsia="Times New Roman" w:hAnsi="Arial" w:cs="Arial"/>
          <w:i/>
          <w:iCs/>
          <w:lang w:val="es-ES"/>
        </w:rPr>
        <w:t>GEF-7 Corporate Scorecard</w:t>
      </w:r>
      <w:r w:rsidRPr="00B151C6">
        <w:rPr>
          <w:rFonts w:ascii="Arial" w:eastAsia="Times New Roman" w:hAnsi="Arial" w:cs="Arial"/>
          <w:lang w:val="es-ES"/>
        </w:rPr>
        <w:t xml:space="preserve">, diciembre de 2021). Ha cumplido el 51% de la meta de </w:t>
      </w:r>
      <w:r w:rsidR="00AD4563">
        <w:rPr>
          <w:rFonts w:ascii="Arial" w:eastAsia="Times New Roman" w:hAnsi="Arial" w:cs="Arial"/>
          <w:lang w:val="es-ES"/>
        </w:rPr>
        <w:t>alcanzar</w:t>
      </w:r>
      <w:r w:rsidR="00121D24">
        <w:rPr>
          <w:rFonts w:ascii="Arial" w:eastAsia="Times New Roman" w:hAnsi="Arial" w:cs="Arial"/>
          <w:lang w:val="es-ES"/>
        </w:rPr>
        <w:t xml:space="preserve"> los </w:t>
      </w:r>
      <w:r w:rsidRPr="00B151C6">
        <w:rPr>
          <w:rFonts w:ascii="Arial" w:eastAsia="Times New Roman" w:hAnsi="Arial" w:cs="Arial"/>
          <w:lang w:val="es-ES"/>
        </w:rPr>
        <w:t xml:space="preserve">200 millones de hectáreas de áreas protegidas terrestres, el 100% de la meta </w:t>
      </w:r>
      <w:r w:rsidR="00121D24">
        <w:rPr>
          <w:rFonts w:ascii="Arial" w:eastAsia="Times New Roman" w:hAnsi="Arial" w:cs="Arial"/>
          <w:lang w:val="es-ES"/>
        </w:rPr>
        <w:t xml:space="preserve">marina </w:t>
      </w:r>
      <w:r w:rsidRPr="00B151C6">
        <w:rPr>
          <w:rFonts w:ascii="Arial" w:eastAsia="Times New Roman" w:hAnsi="Arial" w:cs="Arial"/>
          <w:lang w:val="es-ES"/>
        </w:rPr>
        <w:t xml:space="preserve">de 8 millones de hectáreas y el 100 % de la meta de 6 millones de hectáreas </w:t>
      </w:r>
      <w:r w:rsidR="00121D24">
        <w:rPr>
          <w:rFonts w:ascii="Arial" w:eastAsia="Times New Roman" w:hAnsi="Arial" w:cs="Arial"/>
          <w:lang w:val="es-ES"/>
        </w:rPr>
        <w:t>de</w:t>
      </w:r>
      <w:r w:rsidRPr="00B151C6">
        <w:rPr>
          <w:rFonts w:ascii="Arial" w:eastAsia="Times New Roman" w:hAnsi="Arial" w:cs="Arial"/>
          <w:lang w:val="es-ES"/>
        </w:rPr>
        <w:t xml:space="preserve"> restauración de tierras.</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lastRenderedPageBreak/>
        <w:t xml:space="preserve">El FMAM indica que sus programas de impacto contribuyen significativamente al logro de sus indicadores básicos. Los programas de impacto del FMAM-7 están dirigidos a brindar beneficios ambientales a gran escala y sus recursos están ya casi totalmente programados. En total, 60 países participan </w:t>
      </w:r>
      <w:r w:rsidR="00121D24">
        <w:rPr>
          <w:rFonts w:ascii="Arial" w:eastAsia="Times New Roman" w:hAnsi="Arial" w:cs="Arial"/>
          <w:lang w:val="es-ES"/>
        </w:rPr>
        <w:t>en</w:t>
      </w:r>
      <w:r w:rsidRPr="00B151C6">
        <w:rPr>
          <w:rFonts w:ascii="Arial" w:eastAsia="Times New Roman" w:hAnsi="Arial" w:cs="Arial"/>
          <w:lang w:val="es-ES"/>
        </w:rPr>
        <w:t xml:space="preserve"> estos programas, algunos en más de un programa.</w:t>
      </w:r>
      <w:r w:rsidRPr="00B151C6">
        <w:rPr>
          <w:rFonts w:ascii="Arial" w:eastAsia="Times New Roman" w:hAnsi="Arial" w:cs="Arial"/>
          <w:spacing w:val="-3"/>
          <w:lang w:val="es-ES"/>
        </w:rPr>
        <w:t xml:space="preserve"> </w:t>
      </w:r>
      <w:r w:rsidRPr="00B151C6">
        <w:rPr>
          <w:rFonts w:ascii="Arial" w:eastAsia="Times New Roman" w:hAnsi="Arial" w:cs="Arial"/>
          <w:lang w:val="es-ES"/>
        </w:rPr>
        <w:t>En conjunto, estos proyectos promueven un enfoque integrado para hacer frente a los impulsores de la degradación ambiental a través de la gestión forestal sostenible, las ciudades sostenibles y los sistemas alimentarios, el uso de la tierra y la restauración.</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sz w:val="20"/>
          <w:szCs w:val="20"/>
          <w:lang w:val="es-ES"/>
        </w:rPr>
      </w:pPr>
      <w:r w:rsidRPr="00B151C6">
        <w:rPr>
          <w:rFonts w:ascii="Arial" w:eastAsia="Times New Roman" w:hAnsi="Arial" w:cs="Arial"/>
          <w:lang w:val="es-ES"/>
        </w:rPr>
        <w:t xml:space="preserve">En el marco del FMAM-7, se ha </w:t>
      </w:r>
      <w:r w:rsidR="00AD4563">
        <w:rPr>
          <w:rFonts w:ascii="Arial" w:eastAsia="Times New Roman" w:hAnsi="Arial" w:cs="Arial"/>
          <w:lang w:val="es-ES"/>
        </w:rPr>
        <w:t>dirigido</w:t>
      </w:r>
      <w:r w:rsidR="00BE0B83">
        <w:rPr>
          <w:rFonts w:ascii="Arial" w:eastAsia="Times New Roman" w:hAnsi="Arial" w:cs="Arial"/>
          <w:lang w:val="es-ES"/>
        </w:rPr>
        <w:t xml:space="preserve"> atención </w:t>
      </w:r>
      <w:r w:rsidR="00AD4563">
        <w:rPr>
          <w:rFonts w:ascii="Arial" w:eastAsia="Times New Roman" w:hAnsi="Arial" w:cs="Arial"/>
          <w:lang w:val="es-ES"/>
        </w:rPr>
        <w:t>a</w:t>
      </w:r>
      <w:r w:rsidRPr="00B151C6">
        <w:rPr>
          <w:rFonts w:ascii="Arial" w:eastAsia="Times New Roman" w:hAnsi="Arial" w:cs="Arial"/>
          <w:lang w:val="es-ES"/>
        </w:rPr>
        <w:t xml:space="preserve">l uso de instrumentos distintos de las donaciones para </w:t>
      </w:r>
      <w:r w:rsidR="00BE0B83">
        <w:rPr>
          <w:rFonts w:ascii="Arial" w:eastAsia="Times New Roman" w:hAnsi="Arial" w:cs="Arial"/>
          <w:lang w:val="es-ES"/>
        </w:rPr>
        <w:t xml:space="preserve">la </w:t>
      </w:r>
      <w:r w:rsidRPr="00B151C6">
        <w:rPr>
          <w:rFonts w:ascii="Arial" w:eastAsia="Times New Roman" w:hAnsi="Arial" w:cs="Arial"/>
          <w:lang w:val="es-ES"/>
        </w:rPr>
        <w:t>obten</w:t>
      </w:r>
      <w:r w:rsidR="00BE0B83">
        <w:rPr>
          <w:rFonts w:ascii="Arial" w:eastAsia="Times New Roman" w:hAnsi="Arial" w:cs="Arial"/>
          <w:lang w:val="es-ES"/>
        </w:rPr>
        <w:t>ción de</w:t>
      </w:r>
      <w:r w:rsidRPr="00B151C6">
        <w:rPr>
          <w:rFonts w:ascii="Arial" w:eastAsia="Times New Roman" w:hAnsi="Arial" w:cs="Arial"/>
          <w:lang w:val="es-ES"/>
        </w:rPr>
        <w:t xml:space="preserve"> financiación combinada con miras a catalizar inversiones de los mercados de capitales a nivel nacional y mundial en consonancia con los objetivos de las áreas focales.</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Las intervenciones del FMAM en materia de integración del capital natural en la cadena de valor, </w:t>
      </w:r>
      <w:r w:rsidR="00BE0B83">
        <w:rPr>
          <w:rFonts w:ascii="Arial" w:eastAsia="Times New Roman" w:hAnsi="Arial" w:cs="Arial"/>
          <w:lang w:val="es-ES"/>
        </w:rPr>
        <w:t xml:space="preserve">la </w:t>
      </w:r>
      <w:r w:rsidRPr="00B151C6">
        <w:rPr>
          <w:rFonts w:ascii="Arial" w:eastAsia="Times New Roman" w:hAnsi="Arial" w:cs="Arial"/>
          <w:lang w:val="es-ES"/>
        </w:rPr>
        <w:t xml:space="preserve">certificación de productos y </w:t>
      </w:r>
      <w:r w:rsidR="00BE0B83">
        <w:rPr>
          <w:rFonts w:ascii="Arial" w:eastAsia="Times New Roman" w:hAnsi="Arial" w:cs="Arial"/>
          <w:lang w:val="es-ES"/>
        </w:rPr>
        <w:t xml:space="preserve">la </w:t>
      </w:r>
      <w:r w:rsidRPr="00B151C6">
        <w:rPr>
          <w:rFonts w:ascii="Arial" w:eastAsia="Times New Roman" w:hAnsi="Arial" w:cs="Arial"/>
          <w:lang w:val="es-ES"/>
        </w:rPr>
        <w:t>gestión sostenible de paisajes terrestres y marinos para garantizar la disponibilidad a largo plazo de servicios de provisión de los ecosistemas y materias primas que dependen de la diversidad biológica son especialmente cruciales para el sector privado.</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Además de los proyectos, el FMAM también aporta considerable financiación al Programa de Pequeñas Donaciones (PPD). Según el Informe Anual de Seguimiento del PPD correspondiente al ejercicio 2018, que abarca de julio de 2018 a junio de 2019, la cartera activa de proyectos de pequeñas donaciones financiados con fondos del FMAM </w:t>
      </w:r>
      <w:r w:rsidR="00BE0B83">
        <w:rPr>
          <w:rFonts w:ascii="Arial" w:eastAsia="Times New Roman" w:hAnsi="Arial" w:cs="Arial"/>
          <w:lang w:val="es-ES"/>
        </w:rPr>
        <w:t>tuvo un total de</w:t>
      </w:r>
      <w:r w:rsidRPr="00B151C6">
        <w:rPr>
          <w:rFonts w:ascii="Arial" w:eastAsia="Times New Roman" w:hAnsi="Arial" w:cs="Arial"/>
          <w:lang w:val="es-ES"/>
        </w:rPr>
        <w:t xml:space="preserve"> 3.182 proyectos por </w:t>
      </w:r>
      <w:r w:rsidR="00BE0B83">
        <w:rPr>
          <w:rFonts w:ascii="Arial" w:eastAsia="Times New Roman" w:hAnsi="Arial" w:cs="Arial"/>
          <w:lang w:val="es-ES"/>
        </w:rPr>
        <w:t>un monto</w:t>
      </w:r>
      <w:r w:rsidRPr="00B151C6">
        <w:rPr>
          <w:rFonts w:ascii="Arial" w:eastAsia="Times New Roman" w:hAnsi="Arial" w:cs="Arial"/>
          <w:lang w:val="es-ES"/>
        </w:rPr>
        <w:t xml:space="preserve"> de 108,5 millones de dólares, y se movilizaron 99,5 millones de dólares en cofinanciación. La distribución </w:t>
      </w:r>
      <w:r w:rsidR="00BE0B83">
        <w:rPr>
          <w:rFonts w:ascii="Arial" w:eastAsia="Times New Roman" w:hAnsi="Arial" w:cs="Arial"/>
          <w:lang w:val="es-ES"/>
        </w:rPr>
        <w:t>por</w:t>
      </w:r>
      <w:r w:rsidRPr="00B151C6">
        <w:rPr>
          <w:rFonts w:ascii="Arial" w:eastAsia="Times New Roman" w:hAnsi="Arial" w:cs="Arial"/>
          <w:lang w:val="es-ES"/>
        </w:rPr>
        <w:t xml:space="preserve"> áreas focales de todos los proyectos del PPD en ejecución sigue estando fuertemente c</w:t>
      </w:r>
      <w:r w:rsidR="00BE0B83">
        <w:rPr>
          <w:rFonts w:ascii="Arial" w:eastAsia="Times New Roman" w:hAnsi="Arial" w:cs="Arial"/>
          <w:lang w:val="es-ES"/>
        </w:rPr>
        <w:t>onc</w:t>
      </w:r>
      <w:r w:rsidRPr="00B151C6">
        <w:rPr>
          <w:rFonts w:ascii="Arial" w:eastAsia="Times New Roman" w:hAnsi="Arial" w:cs="Arial"/>
          <w:lang w:val="es-ES"/>
        </w:rPr>
        <w:t>entrada en la diversidad biológica como área focal principal, represent</w:t>
      </w:r>
      <w:r w:rsidR="001039F9">
        <w:rPr>
          <w:rFonts w:ascii="Arial" w:eastAsia="Times New Roman" w:hAnsi="Arial" w:cs="Arial"/>
          <w:lang w:val="es-ES"/>
        </w:rPr>
        <w:t>ando</w:t>
      </w:r>
      <w:r w:rsidRPr="00B151C6">
        <w:rPr>
          <w:rFonts w:ascii="Arial" w:eastAsia="Times New Roman" w:hAnsi="Arial" w:cs="Arial"/>
          <w:lang w:val="es-ES"/>
        </w:rPr>
        <w:t xml:space="preserve"> la porción más grande de la cartera </w:t>
      </w:r>
      <w:r w:rsidR="00BE0B83">
        <w:rPr>
          <w:rFonts w:ascii="Arial" w:eastAsia="Times New Roman" w:hAnsi="Arial" w:cs="Arial"/>
          <w:lang w:val="es-ES"/>
        </w:rPr>
        <w:t>con un</w:t>
      </w:r>
      <w:r w:rsidRPr="00B151C6">
        <w:rPr>
          <w:rFonts w:ascii="Arial" w:eastAsia="Times New Roman" w:hAnsi="Arial" w:cs="Arial"/>
          <w:lang w:val="es-ES"/>
        </w:rPr>
        <w:t xml:space="preserve"> 40</w:t>
      </w:r>
      <w:r w:rsidR="00BE0B83">
        <w:rPr>
          <w:rFonts w:ascii="Arial" w:eastAsia="Times New Roman" w:hAnsi="Arial" w:cs="Arial"/>
          <w:lang w:val="es-ES"/>
        </w:rPr>
        <w:t> </w:t>
      </w:r>
      <w:r w:rsidRPr="00B151C6">
        <w:rPr>
          <w:rFonts w:ascii="Arial" w:eastAsia="Times New Roman" w:hAnsi="Arial" w:cs="Arial"/>
          <w:lang w:val="es-ES"/>
        </w:rPr>
        <w:t>%.</w:t>
      </w:r>
    </w:p>
    <w:p w:rsidR="00320FA1" w:rsidRPr="00B151C6" w:rsidRDefault="00320FA1">
      <w:pPr>
        <w:pStyle w:val="BodyText"/>
        <w:widowControl w:val="0"/>
        <w:numPr>
          <w:ilvl w:val="0"/>
          <w:numId w:val="6"/>
        </w:numPr>
        <w:autoSpaceDE w:val="0"/>
        <w:autoSpaceDN w:val="0"/>
        <w:ind w:left="0" w:firstLine="0"/>
        <w:jc w:val="left"/>
        <w:outlineLvl w:val="1"/>
        <w:rPr>
          <w:rFonts w:ascii="Arial" w:eastAsia="Times New Roman" w:hAnsi="Arial" w:cs="Arial"/>
          <w:lang w:val="es-ES"/>
        </w:rPr>
      </w:pPr>
      <w:r w:rsidRPr="00B151C6">
        <w:rPr>
          <w:rFonts w:ascii="Arial" w:eastAsia="Times New Roman" w:hAnsi="Arial" w:cs="Arial"/>
          <w:u w:val="single"/>
          <w:lang w:val="es-ES"/>
        </w:rPr>
        <w:t>Resultados del FMAM</w:t>
      </w:r>
    </w:p>
    <w:p w:rsidR="00320FA1" w:rsidRPr="00B151C6" w:rsidRDefault="0072062E">
      <w:pPr>
        <w:pStyle w:val="BodyText"/>
        <w:widowControl w:val="0"/>
        <w:numPr>
          <w:ilvl w:val="0"/>
          <w:numId w:val="11"/>
        </w:numPr>
        <w:autoSpaceDE w:val="0"/>
        <w:autoSpaceDN w:val="0"/>
        <w:ind w:left="0" w:firstLine="0"/>
        <w:jc w:val="left"/>
        <w:rPr>
          <w:rFonts w:ascii="Arial" w:eastAsia="Times New Roman" w:hAnsi="Arial" w:cs="Arial"/>
          <w:lang w:val="es-ES"/>
        </w:rPr>
      </w:pPr>
      <w:r>
        <w:rPr>
          <w:rFonts w:ascii="Arial" w:eastAsia="Times New Roman" w:hAnsi="Arial" w:cs="Arial"/>
          <w:lang w:val="es-ES"/>
        </w:rPr>
        <w:t>En e</w:t>
      </w:r>
      <w:r w:rsidR="00320FA1" w:rsidRPr="00B151C6">
        <w:rPr>
          <w:rFonts w:ascii="Arial" w:eastAsia="Times New Roman" w:hAnsi="Arial" w:cs="Arial"/>
          <w:lang w:val="es-ES"/>
        </w:rPr>
        <w:t xml:space="preserve">l párrafo </w:t>
      </w:r>
      <w:r w:rsidR="00320FA1" w:rsidRPr="00BE0B83">
        <w:rPr>
          <w:rFonts w:ascii="Arial" w:eastAsia="Times New Roman" w:hAnsi="Arial" w:cs="Arial"/>
          <w:lang w:val="es-ES"/>
        </w:rPr>
        <w:t>3 </w:t>
      </w:r>
      <w:r w:rsidR="00BE0B83" w:rsidRPr="00BE0B83">
        <w:rPr>
          <w:rFonts w:ascii="Arial" w:eastAsia="Times New Roman" w:hAnsi="Arial" w:cs="Arial"/>
          <w:lang w:val="es-ES"/>
        </w:rPr>
        <w:t>a</w:t>
      </w:r>
      <w:r w:rsidR="00320FA1" w:rsidRPr="00BE0B83">
        <w:rPr>
          <w:rFonts w:ascii="Arial" w:eastAsia="Times New Roman" w:hAnsi="Arial" w:cs="Arial"/>
          <w:lang w:val="es-ES"/>
        </w:rPr>
        <w:t>)</w:t>
      </w:r>
      <w:r w:rsidR="00320FA1" w:rsidRPr="00B151C6">
        <w:rPr>
          <w:rFonts w:ascii="Arial" w:eastAsia="Times New Roman" w:hAnsi="Arial" w:cs="Arial"/>
          <w:lang w:val="es-ES"/>
        </w:rPr>
        <w:t xml:space="preserve"> del mandato </w:t>
      </w:r>
      <w:r>
        <w:rPr>
          <w:rFonts w:ascii="Arial" w:eastAsia="Times New Roman" w:hAnsi="Arial" w:cs="Arial"/>
          <w:lang w:val="es-ES"/>
        </w:rPr>
        <w:t>d</w:t>
      </w:r>
      <w:r w:rsidRPr="00B151C6">
        <w:rPr>
          <w:rFonts w:ascii="Arial" w:eastAsia="Times New Roman" w:hAnsi="Arial" w:cs="Arial"/>
          <w:lang w:val="es-ES"/>
        </w:rPr>
        <w:t xml:space="preserve">el </w:t>
      </w:r>
      <w:r>
        <w:rPr>
          <w:rFonts w:ascii="Arial" w:eastAsia="Times New Roman" w:hAnsi="Arial" w:cs="Arial"/>
          <w:lang w:val="es-ES"/>
        </w:rPr>
        <w:t>e</w:t>
      </w:r>
      <w:r w:rsidRPr="00B151C6">
        <w:rPr>
          <w:rFonts w:ascii="Arial" w:eastAsia="Times New Roman" w:hAnsi="Arial" w:cs="Arial"/>
          <w:lang w:val="es-ES"/>
        </w:rPr>
        <w:t xml:space="preserve">quipo de </w:t>
      </w:r>
      <w:r>
        <w:rPr>
          <w:rFonts w:ascii="Arial" w:eastAsia="Times New Roman" w:hAnsi="Arial" w:cs="Arial"/>
          <w:lang w:val="es-ES"/>
        </w:rPr>
        <w:t>e</w:t>
      </w:r>
      <w:r w:rsidRPr="00B151C6">
        <w:rPr>
          <w:rFonts w:ascii="Arial" w:eastAsia="Times New Roman" w:hAnsi="Arial" w:cs="Arial"/>
          <w:lang w:val="es-ES"/>
        </w:rPr>
        <w:t xml:space="preserve">xpertos </w:t>
      </w:r>
      <w:r w:rsidR="00320FA1" w:rsidRPr="00B151C6">
        <w:rPr>
          <w:rFonts w:ascii="Arial" w:eastAsia="Times New Roman" w:hAnsi="Arial" w:cs="Arial"/>
          <w:lang w:val="es-ES"/>
        </w:rPr>
        <w:t>aprobado por la 14ª</w:t>
      </w:r>
      <w:r>
        <w:rPr>
          <w:rFonts w:ascii="Arial" w:eastAsia="Times New Roman" w:hAnsi="Arial" w:cs="Arial"/>
          <w:lang w:val="es-ES"/>
        </w:rPr>
        <w:t> </w:t>
      </w:r>
      <w:r w:rsidR="00320FA1" w:rsidRPr="00B151C6">
        <w:rPr>
          <w:rFonts w:ascii="Arial" w:eastAsia="Times New Roman" w:hAnsi="Arial" w:cs="Arial"/>
          <w:lang w:val="es-ES"/>
        </w:rPr>
        <w:t>reunión de la Conferencia de las Partes</w:t>
      </w:r>
      <w:r>
        <w:rPr>
          <w:rFonts w:ascii="Arial" w:eastAsia="Times New Roman" w:hAnsi="Arial" w:cs="Arial"/>
          <w:lang w:val="es-ES"/>
        </w:rPr>
        <w:t xml:space="preserve"> (COP14) se estipul</w:t>
      </w:r>
      <w:r w:rsidR="001039F9">
        <w:rPr>
          <w:rFonts w:ascii="Arial" w:eastAsia="Times New Roman" w:hAnsi="Arial" w:cs="Arial"/>
          <w:lang w:val="es-ES"/>
        </w:rPr>
        <w:t>ó</w:t>
      </w:r>
      <w:r w:rsidR="00320FA1" w:rsidRPr="00B151C6">
        <w:rPr>
          <w:rFonts w:ascii="Arial" w:eastAsia="Times New Roman" w:hAnsi="Arial" w:cs="Arial"/>
          <w:lang w:val="es-ES"/>
        </w:rPr>
        <w:t xml:space="preserve"> </w:t>
      </w:r>
      <w:r>
        <w:rPr>
          <w:rFonts w:ascii="Arial" w:eastAsia="Times New Roman" w:hAnsi="Arial" w:cs="Arial"/>
          <w:lang w:val="es-ES"/>
        </w:rPr>
        <w:t xml:space="preserve">que </w:t>
      </w:r>
      <w:r w:rsidR="00320FA1" w:rsidRPr="00B151C6">
        <w:rPr>
          <w:rFonts w:ascii="Arial" w:eastAsia="Times New Roman" w:hAnsi="Arial" w:cs="Arial"/>
          <w:lang w:val="es-ES"/>
        </w:rPr>
        <w:t>debía tomar</w:t>
      </w:r>
      <w:r>
        <w:rPr>
          <w:rFonts w:ascii="Arial" w:eastAsia="Times New Roman" w:hAnsi="Arial" w:cs="Arial"/>
          <w:lang w:val="es-ES"/>
        </w:rPr>
        <w:t>se</w:t>
      </w:r>
      <w:r w:rsidR="00320FA1" w:rsidRPr="00B151C6">
        <w:rPr>
          <w:rFonts w:ascii="Arial" w:eastAsia="Times New Roman" w:hAnsi="Arial" w:cs="Arial"/>
          <w:lang w:val="es-ES"/>
        </w:rPr>
        <w:t xml:space="preserve"> en cuenta la experiencia adquirida hasta la fecha, incluidas limitaciones y éxitos de proyectos financiados por el Fondo para el Medio Ambiente Mundial, así como también el desempeño del Fondo y sus organismos de ejecución</w:t>
      </w:r>
      <w:r w:rsidR="006A69BC">
        <w:rPr>
          <w:rFonts w:ascii="Arial" w:eastAsia="Times New Roman" w:hAnsi="Arial" w:cs="Arial"/>
          <w:lang w:val="es-ES"/>
        </w:rPr>
        <w:t xml:space="preserve"> y entidades encargadas de ejecutar proyectos</w:t>
      </w:r>
      <w:r w:rsidR="00320FA1" w:rsidRPr="00B151C6">
        <w:rPr>
          <w:rFonts w:ascii="Arial" w:eastAsia="Times New Roman" w:hAnsi="Arial" w:cs="Arial"/>
          <w:lang w:val="es-ES"/>
        </w:rPr>
        <w:t xml:space="preserve">. En este contexto, el </w:t>
      </w:r>
      <w:r>
        <w:rPr>
          <w:rFonts w:ascii="Arial" w:eastAsia="Times New Roman" w:hAnsi="Arial" w:cs="Arial"/>
          <w:lang w:val="es-ES"/>
        </w:rPr>
        <w:t>e</w:t>
      </w:r>
      <w:r w:rsidR="00320FA1" w:rsidRPr="00B151C6">
        <w:rPr>
          <w:rFonts w:ascii="Arial" w:eastAsia="Times New Roman" w:hAnsi="Arial" w:cs="Arial"/>
          <w:lang w:val="es-ES"/>
        </w:rPr>
        <w:t xml:space="preserve">quipo de </w:t>
      </w:r>
      <w:r>
        <w:rPr>
          <w:rFonts w:ascii="Arial" w:eastAsia="Times New Roman" w:hAnsi="Arial" w:cs="Arial"/>
          <w:lang w:val="es-ES"/>
        </w:rPr>
        <w:t>e</w:t>
      </w:r>
      <w:r w:rsidR="00320FA1" w:rsidRPr="00B151C6">
        <w:rPr>
          <w:rFonts w:ascii="Arial" w:eastAsia="Times New Roman" w:hAnsi="Arial" w:cs="Arial"/>
          <w:lang w:val="es-ES"/>
        </w:rPr>
        <w:t>xpertos examinó los estudios de los resultados globales (OPS) sexto y séptimo del Fondo para el Medio Ambiente Mundial.</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En el sexto estudio de los resultados globales (OPS6) se indi</w:t>
      </w:r>
      <w:r w:rsidR="0072062E">
        <w:rPr>
          <w:rFonts w:ascii="Arial" w:eastAsia="Times New Roman" w:hAnsi="Arial" w:cs="Arial"/>
          <w:lang w:val="es-ES"/>
        </w:rPr>
        <w:t>ca que los resultados acumulad</w:t>
      </w:r>
      <w:r w:rsidRPr="00B151C6">
        <w:rPr>
          <w:rFonts w:ascii="Arial" w:eastAsia="Times New Roman" w:hAnsi="Arial" w:cs="Arial"/>
          <w:lang w:val="es-ES"/>
        </w:rPr>
        <w:t xml:space="preserve">os del 80 % de todos los proyectos calificados, que representan el 78 % de las donaciones del FMAM, están calificados </w:t>
      </w:r>
      <w:r w:rsidR="0072062E">
        <w:rPr>
          <w:rFonts w:ascii="Arial" w:eastAsia="Times New Roman" w:hAnsi="Arial" w:cs="Arial"/>
          <w:lang w:val="es-ES"/>
        </w:rPr>
        <w:t xml:space="preserve">como </w:t>
      </w:r>
      <w:r w:rsidRPr="00B151C6">
        <w:rPr>
          <w:rFonts w:ascii="Arial" w:eastAsia="Times New Roman" w:hAnsi="Arial" w:cs="Arial"/>
          <w:lang w:val="es-ES"/>
        </w:rPr>
        <w:t>“satisfactorios”</w:t>
      </w:r>
      <w:r w:rsidR="0072062E" w:rsidRPr="0072062E">
        <w:rPr>
          <w:rFonts w:ascii="Arial" w:eastAsia="Times New Roman" w:hAnsi="Arial" w:cs="Arial"/>
          <w:lang w:val="es-ES"/>
        </w:rPr>
        <w:t xml:space="preserve"> </w:t>
      </w:r>
      <w:r w:rsidR="0072062E" w:rsidRPr="00B151C6">
        <w:rPr>
          <w:rFonts w:ascii="Arial" w:eastAsia="Times New Roman" w:hAnsi="Arial" w:cs="Arial"/>
          <w:lang w:val="es-ES"/>
        </w:rPr>
        <w:t>en la categoría de resultados</w:t>
      </w:r>
      <w:r w:rsidRPr="00B151C6">
        <w:rPr>
          <w:rFonts w:ascii="Arial" w:eastAsia="Times New Roman" w:hAnsi="Arial" w:cs="Arial"/>
          <w:lang w:val="es-ES"/>
        </w:rPr>
        <w:t>. El séptimo estudio de los resultados globales (OPS7), publicado en noviembre de 2021, confirma que los resultados acumula</w:t>
      </w:r>
      <w:r w:rsidR="0072062E">
        <w:rPr>
          <w:rFonts w:ascii="Arial" w:eastAsia="Times New Roman" w:hAnsi="Arial" w:cs="Arial"/>
          <w:lang w:val="es-ES"/>
        </w:rPr>
        <w:t>d</w:t>
      </w:r>
      <w:r w:rsidRPr="00B151C6">
        <w:rPr>
          <w:rFonts w:ascii="Arial" w:eastAsia="Times New Roman" w:hAnsi="Arial" w:cs="Arial"/>
          <w:lang w:val="es-ES"/>
        </w:rPr>
        <w:t xml:space="preserve">os del 80 % de todos los proyectos </w:t>
      </w:r>
      <w:r w:rsidR="0072062E">
        <w:rPr>
          <w:rFonts w:ascii="Arial" w:eastAsia="Times New Roman" w:hAnsi="Arial" w:cs="Arial"/>
          <w:lang w:val="es-ES"/>
        </w:rPr>
        <w:t xml:space="preserve">del </w:t>
      </w:r>
      <w:r w:rsidRPr="00B151C6">
        <w:rPr>
          <w:rFonts w:ascii="Arial" w:eastAsia="Times New Roman" w:hAnsi="Arial" w:cs="Arial"/>
          <w:lang w:val="es-ES"/>
        </w:rPr>
        <w:t>FMAM completados, que representan el 79 % de las donaciones del FMAM, reciben una calificación satisfa</w:t>
      </w:r>
      <w:r w:rsidR="0072062E">
        <w:rPr>
          <w:rFonts w:ascii="Arial" w:eastAsia="Times New Roman" w:hAnsi="Arial" w:cs="Arial"/>
          <w:lang w:val="es-ES"/>
        </w:rPr>
        <w:t xml:space="preserve">ctoria en cuanto a resultados. </w:t>
      </w:r>
      <w:r w:rsidRPr="00B151C6">
        <w:rPr>
          <w:rFonts w:ascii="Arial" w:eastAsia="Times New Roman" w:hAnsi="Arial" w:cs="Arial"/>
          <w:lang w:val="es-ES"/>
        </w:rPr>
        <w:t xml:space="preserve">Los objetivos estratégicos en materia de diversidad biológica, que se derivan de los objetivos del Convenio sobre la Diversidad Biológica, han evolucionado a lo largo de los períodos de reposición del FMAM </w:t>
      </w:r>
      <w:r w:rsidR="0072062E">
        <w:rPr>
          <w:rFonts w:ascii="Arial" w:eastAsia="Times New Roman" w:hAnsi="Arial" w:cs="Arial"/>
          <w:lang w:val="es-ES"/>
        </w:rPr>
        <w:t xml:space="preserve">para </w:t>
      </w:r>
      <w:r w:rsidR="001039F9">
        <w:rPr>
          <w:rFonts w:ascii="Arial" w:eastAsia="Times New Roman" w:hAnsi="Arial" w:cs="Arial"/>
          <w:lang w:val="es-ES"/>
        </w:rPr>
        <w:t>afinar</w:t>
      </w:r>
      <w:r w:rsidR="0072062E">
        <w:rPr>
          <w:rFonts w:ascii="Arial" w:eastAsia="Times New Roman" w:hAnsi="Arial" w:cs="Arial"/>
          <w:lang w:val="es-ES"/>
        </w:rPr>
        <w:t xml:space="preserve"> </w:t>
      </w:r>
      <w:r w:rsidRPr="00B151C6">
        <w:rPr>
          <w:rFonts w:ascii="Arial" w:eastAsia="Times New Roman" w:hAnsi="Arial" w:cs="Arial"/>
          <w:lang w:val="es-ES"/>
        </w:rPr>
        <w:t xml:space="preserve">enfoques </w:t>
      </w:r>
      <w:r w:rsidR="001039F9">
        <w:rPr>
          <w:rFonts w:ascii="Arial" w:eastAsia="Times New Roman" w:hAnsi="Arial" w:cs="Arial"/>
          <w:lang w:val="es-ES"/>
        </w:rPr>
        <w:t>de manera de</w:t>
      </w:r>
      <w:r w:rsidR="0072062E">
        <w:rPr>
          <w:rFonts w:ascii="Arial" w:eastAsia="Times New Roman" w:hAnsi="Arial" w:cs="Arial"/>
          <w:lang w:val="es-ES"/>
        </w:rPr>
        <w:t xml:space="preserve"> </w:t>
      </w:r>
      <w:r w:rsidRPr="00B151C6">
        <w:rPr>
          <w:rFonts w:ascii="Arial" w:eastAsia="Times New Roman" w:hAnsi="Arial" w:cs="Arial"/>
          <w:lang w:val="es-ES"/>
        </w:rPr>
        <w:t xml:space="preserve">abordar los impulsores y </w:t>
      </w:r>
      <w:r w:rsidR="001039F9">
        <w:rPr>
          <w:rFonts w:ascii="Arial" w:eastAsia="Times New Roman" w:hAnsi="Arial" w:cs="Arial"/>
          <w:lang w:val="es-ES"/>
        </w:rPr>
        <w:t xml:space="preserve">las </w:t>
      </w:r>
      <w:r w:rsidRPr="00B151C6">
        <w:rPr>
          <w:rFonts w:ascii="Arial" w:eastAsia="Times New Roman" w:hAnsi="Arial" w:cs="Arial"/>
          <w:lang w:val="es-ES"/>
        </w:rPr>
        <w:t xml:space="preserve">presiones que promueven la pérdida de diversidad biológica. </w:t>
      </w:r>
      <w:r w:rsidR="001039F9">
        <w:rPr>
          <w:rFonts w:ascii="Arial" w:eastAsia="Times New Roman" w:hAnsi="Arial" w:cs="Arial"/>
          <w:lang w:val="es-ES"/>
        </w:rPr>
        <w:t>Si bien l</w:t>
      </w:r>
      <w:r w:rsidRPr="00B151C6">
        <w:rPr>
          <w:rFonts w:ascii="Arial" w:eastAsia="Times New Roman" w:hAnsi="Arial" w:cs="Arial"/>
          <w:lang w:val="es-ES"/>
        </w:rPr>
        <w:t xml:space="preserve">a consecución de proyectos </w:t>
      </w:r>
      <w:r w:rsidR="001039F9">
        <w:rPr>
          <w:rFonts w:ascii="Arial" w:eastAsia="Times New Roman" w:hAnsi="Arial" w:cs="Arial"/>
          <w:lang w:val="es-ES"/>
        </w:rPr>
        <w:t>p</w:t>
      </w:r>
      <w:r w:rsidRPr="00B151C6">
        <w:rPr>
          <w:rFonts w:ascii="Arial" w:eastAsia="Times New Roman" w:hAnsi="Arial" w:cs="Arial"/>
          <w:lang w:val="es-ES"/>
        </w:rPr>
        <w:t>a</w:t>
      </w:r>
      <w:r w:rsidR="001039F9">
        <w:rPr>
          <w:rFonts w:ascii="Arial" w:eastAsia="Times New Roman" w:hAnsi="Arial" w:cs="Arial"/>
          <w:lang w:val="es-ES"/>
        </w:rPr>
        <w:t>ra</w:t>
      </w:r>
      <w:r w:rsidRPr="00B151C6">
        <w:rPr>
          <w:rFonts w:ascii="Arial" w:eastAsia="Times New Roman" w:hAnsi="Arial" w:cs="Arial"/>
          <w:lang w:val="es-ES"/>
        </w:rPr>
        <w:t xml:space="preserve"> la conservación y gestión ef</w:t>
      </w:r>
      <w:r w:rsidR="001039F9">
        <w:rPr>
          <w:rFonts w:ascii="Arial" w:eastAsia="Times New Roman" w:hAnsi="Arial" w:cs="Arial"/>
          <w:lang w:val="es-ES"/>
        </w:rPr>
        <w:t>i</w:t>
      </w:r>
      <w:r w:rsidRPr="00B151C6">
        <w:rPr>
          <w:rFonts w:ascii="Arial" w:eastAsia="Times New Roman" w:hAnsi="Arial" w:cs="Arial"/>
          <w:lang w:val="es-ES"/>
        </w:rPr>
        <w:t>ca</w:t>
      </w:r>
      <w:r w:rsidR="001039F9">
        <w:rPr>
          <w:rFonts w:ascii="Arial" w:eastAsia="Times New Roman" w:hAnsi="Arial" w:cs="Arial"/>
          <w:lang w:val="es-ES"/>
        </w:rPr>
        <w:t>ce</w:t>
      </w:r>
      <w:r w:rsidRPr="00B151C6">
        <w:rPr>
          <w:rFonts w:ascii="Arial" w:eastAsia="Times New Roman" w:hAnsi="Arial" w:cs="Arial"/>
          <w:lang w:val="es-ES"/>
        </w:rPr>
        <w:t>s de áreas protegidas está por d</w:t>
      </w:r>
      <w:r w:rsidR="001039F9">
        <w:rPr>
          <w:rFonts w:ascii="Arial" w:eastAsia="Times New Roman" w:hAnsi="Arial" w:cs="Arial"/>
          <w:lang w:val="es-ES"/>
        </w:rPr>
        <w:t>ebajo de las metas del FMAM-5,</w:t>
      </w:r>
      <w:r w:rsidRPr="00B151C6">
        <w:rPr>
          <w:rFonts w:ascii="Arial" w:eastAsia="Times New Roman" w:hAnsi="Arial" w:cs="Arial"/>
          <w:lang w:val="es-ES"/>
        </w:rPr>
        <w:t xml:space="preserve"> es probable que las metas relacionadas con la utilización y gestión sostenibles de la diversidad biológica en paisajes terrestres y marinos</w:t>
      </w:r>
      <w:r w:rsidR="001039F9" w:rsidRPr="001039F9">
        <w:rPr>
          <w:rFonts w:ascii="Arial" w:eastAsia="Times New Roman" w:hAnsi="Arial" w:cs="Arial"/>
          <w:lang w:val="es-ES"/>
        </w:rPr>
        <w:t xml:space="preserve"> </w:t>
      </w:r>
      <w:r w:rsidR="001039F9" w:rsidRPr="00B151C6">
        <w:rPr>
          <w:rFonts w:ascii="Arial" w:eastAsia="Times New Roman" w:hAnsi="Arial" w:cs="Arial"/>
          <w:lang w:val="es-ES"/>
        </w:rPr>
        <w:t>se cumplan</w:t>
      </w:r>
      <w:r w:rsidRPr="00B151C6">
        <w:rPr>
          <w:rFonts w:ascii="Arial" w:eastAsia="Times New Roman" w:hAnsi="Arial" w:cs="Arial"/>
          <w:lang w:val="es-ES"/>
        </w:rPr>
        <w:t>.</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En el marco del OPS6, la Oficina de Evaluación Independiente (OEI) del FMAM llevó a cabo dos estudios en el área focal de biodiversidad: a) una evaluación de los proyectos financiados por el FMAM sobre acceso y participación en los beneficios (APB) y el Protocolo de Nagoya; y b) un estudio para evaluar el apoyo del FMAM al abordaje del comercio ilícito de </w:t>
      </w:r>
      <w:r w:rsidRPr="00B151C6">
        <w:rPr>
          <w:rFonts w:ascii="Arial" w:eastAsia="Times New Roman" w:hAnsi="Arial" w:cs="Arial"/>
          <w:lang w:val="es-ES"/>
        </w:rPr>
        <w:lastRenderedPageBreak/>
        <w:t>especies silvestres a través del Programa Mundial para la Vida Silvestre del FMAM. Estos dos estudios fueron los primeros que realizó la OEI sobre estos temas. La evaluación del impacto del apoyo del FMAM a las áreas protegidas y los sistemas de áreas protegidas se completó en octubre de 2015.</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La evaluación del apoyo del FMAM a la integración de la diversidad biológica se presentó al Consejo del FMAM en diciembre de 2018. En esa evaluación se consideró que la integración de la diversidad biológica es muy importante para el CDB y sus Estados miembros, así como para el sector privado. En los primeros 18 meses del FMAM-7 (hasta diciembre de 2019), el primer objetivo de su estrategia de diversidad biológica, que se centró en la integración, representó la prioridad del gasto, con 165,6 millones de dólares, o </w:t>
      </w:r>
      <w:r w:rsidR="00372386">
        <w:rPr>
          <w:rFonts w:ascii="Arial" w:eastAsia="Times New Roman" w:hAnsi="Arial" w:cs="Arial"/>
          <w:lang w:val="es-ES"/>
        </w:rPr>
        <w:t xml:space="preserve">el </w:t>
      </w:r>
      <w:r w:rsidRPr="00B151C6">
        <w:rPr>
          <w:rFonts w:ascii="Arial" w:eastAsia="Times New Roman" w:hAnsi="Arial" w:cs="Arial"/>
          <w:lang w:val="es-ES"/>
        </w:rPr>
        <w:t>69 % de los fondos. El segundo objetivo, que se centró en la gestión de áreas protegidas y la protección de especies, resultó ser una prioridad secundaria para los países, con una inversión de 65,7</w:t>
      </w:r>
      <w:r w:rsidR="00372386">
        <w:rPr>
          <w:rFonts w:ascii="Arial" w:eastAsia="Times New Roman" w:hAnsi="Arial" w:cs="Arial"/>
          <w:lang w:val="es-ES"/>
        </w:rPr>
        <w:t> </w:t>
      </w:r>
      <w:r w:rsidRPr="00B151C6">
        <w:rPr>
          <w:rFonts w:ascii="Arial" w:eastAsia="Times New Roman" w:hAnsi="Arial" w:cs="Arial"/>
          <w:lang w:val="es-ES"/>
        </w:rPr>
        <w:t xml:space="preserve">millones de dólares, o el 28 %. El tercer objetivo, dirigido a apoyar la aplicación de los dos Protocolos y las obligaciones de presentación de informes </w:t>
      </w:r>
      <w:r w:rsidR="00372386">
        <w:rPr>
          <w:rFonts w:ascii="Arial" w:eastAsia="Times New Roman" w:hAnsi="Arial" w:cs="Arial"/>
          <w:lang w:val="es-ES"/>
        </w:rPr>
        <w:t xml:space="preserve">asumidas en el marco </w:t>
      </w:r>
      <w:r w:rsidRPr="00B151C6">
        <w:rPr>
          <w:rFonts w:ascii="Arial" w:eastAsia="Times New Roman" w:hAnsi="Arial" w:cs="Arial"/>
          <w:lang w:val="es-ES"/>
        </w:rPr>
        <w:t>del Convenio, recibió una asignación baja de fondos del FMAM, aunque el gasto de estos montos fue elevado.</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Las estrategias y planes de acción nacionales en materia de biodiversidad (EPANB) que deben presentarse en el marco del CDB son un importante instrumento utilizado a nivel nacional para la planificación de la integración de la diversidad biológica (CDB y PNUMA, 2008). De las 196 Partes en el CDB, 193 han elaborado y presentado por lo menos una EPANB. </w:t>
      </w:r>
      <w:r w:rsidR="00372386">
        <w:rPr>
          <w:rFonts w:ascii="Arial" w:eastAsia="Times New Roman" w:hAnsi="Arial" w:cs="Arial"/>
          <w:lang w:val="es-ES"/>
        </w:rPr>
        <w:t>La asistencia</w:t>
      </w:r>
      <w:r w:rsidRPr="00B151C6">
        <w:rPr>
          <w:rFonts w:ascii="Arial" w:eastAsia="Times New Roman" w:hAnsi="Arial" w:cs="Arial"/>
          <w:lang w:val="es-ES"/>
        </w:rPr>
        <w:t xml:space="preserve"> de</w:t>
      </w:r>
      <w:r w:rsidR="00372386">
        <w:rPr>
          <w:rFonts w:ascii="Arial" w:eastAsia="Times New Roman" w:hAnsi="Arial" w:cs="Arial"/>
          <w:lang w:val="es-ES"/>
        </w:rPr>
        <w:t>l</w:t>
      </w:r>
      <w:r w:rsidRPr="00B151C6">
        <w:rPr>
          <w:rFonts w:ascii="Arial" w:eastAsia="Times New Roman" w:hAnsi="Arial" w:cs="Arial"/>
          <w:lang w:val="es-ES"/>
        </w:rPr>
        <w:t xml:space="preserve"> FMAM ha financiado a todos los países que </w:t>
      </w:r>
      <w:r w:rsidR="00372386">
        <w:rPr>
          <w:rFonts w:ascii="Arial" w:eastAsia="Times New Roman" w:hAnsi="Arial" w:cs="Arial"/>
          <w:lang w:val="es-ES"/>
        </w:rPr>
        <w:t>reúnen</w:t>
      </w:r>
      <w:r w:rsidRPr="00B151C6">
        <w:rPr>
          <w:rFonts w:ascii="Arial" w:eastAsia="Times New Roman" w:hAnsi="Arial" w:cs="Arial"/>
          <w:lang w:val="es-ES"/>
        </w:rPr>
        <w:t xml:space="preserve"> l</w:t>
      </w:r>
      <w:r w:rsidR="00372386">
        <w:rPr>
          <w:rFonts w:ascii="Arial" w:eastAsia="Times New Roman" w:hAnsi="Arial" w:cs="Arial"/>
          <w:lang w:val="es-ES"/>
        </w:rPr>
        <w:t>a</w:t>
      </w:r>
      <w:r w:rsidRPr="00B151C6">
        <w:rPr>
          <w:rFonts w:ascii="Arial" w:eastAsia="Times New Roman" w:hAnsi="Arial" w:cs="Arial"/>
          <w:lang w:val="es-ES"/>
        </w:rPr>
        <w:t xml:space="preserve">s </w:t>
      </w:r>
      <w:r w:rsidR="00372386">
        <w:rPr>
          <w:rFonts w:ascii="Arial" w:eastAsia="Times New Roman" w:hAnsi="Arial" w:cs="Arial"/>
          <w:lang w:val="es-ES"/>
        </w:rPr>
        <w:t>c</w:t>
      </w:r>
      <w:r w:rsidRPr="00B151C6">
        <w:rPr>
          <w:rFonts w:ascii="Arial" w:eastAsia="Times New Roman" w:hAnsi="Arial" w:cs="Arial"/>
          <w:lang w:val="es-ES"/>
        </w:rPr>
        <w:t>o</w:t>
      </w:r>
      <w:r w:rsidR="00372386">
        <w:rPr>
          <w:rFonts w:ascii="Arial" w:eastAsia="Times New Roman" w:hAnsi="Arial" w:cs="Arial"/>
          <w:lang w:val="es-ES"/>
        </w:rPr>
        <w:t>ndicione</w:t>
      </w:r>
      <w:r w:rsidRPr="00B151C6">
        <w:rPr>
          <w:rFonts w:ascii="Arial" w:eastAsia="Times New Roman" w:hAnsi="Arial" w:cs="Arial"/>
          <w:lang w:val="es-ES"/>
        </w:rPr>
        <w:t>s para recibir fondos del FMAM y que han solicitado financiación para preparar y presentar sus EPANB.</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En el Informe Anual sobre los Resultados de 2021 se brinda información sobre las calificaciones de las evaluaciones finales de proyectos de diversidad biológica completados. </w:t>
      </w:r>
      <w:r w:rsidR="001039F9">
        <w:rPr>
          <w:rFonts w:ascii="Arial" w:eastAsia="Times New Roman" w:hAnsi="Arial" w:cs="Arial"/>
          <w:lang w:val="es-ES"/>
        </w:rPr>
        <w:t>De allí surgen</w:t>
      </w:r>
      <w:r w:rsidR="00372386">
        <w:rPr>
          <w:rFonts w:ascii="Arial" w:eastAsia="Times New Roman" w:hAnsi="Arial" w:cs="Arial"/>
          <w:lang w:val="es-ES"/>
        </w:rPr>
        <w:t xml:space="preserve"> </w:t>
      </w:r>
      <w:r w:rsidRPr="00B151C6">
        <w:rPr>
          <w:rFonts w:ascii="Arial" w:eastAsia="Times New Roman" w:hAnsi="Arial" w:cs="Arial"/>
          <w:lang w:val="es-ES"/>
        </w:rPr>
        <w:t xml:space="preserve">datos similares, </w:t>
      </w:r>
      <w:r w:rsidR="001039F9">
        <w:rPr>
          <w:rFonts w:ascii="Arial" w:eastAsia="Times New Roman" w:hAnsi="Arial" w:cs="Arial"/>
          <w:lang w:val="es-ES"/>
        </w:rPr>
        <w:t>ya que</w:t>
      </w:r>
      <w:r w:rsidR="00D26B71">
        <w:rPr>
          <w:rFonts w:ascii="Arial" w:eastAsia="Times New Roman" w:hAnsi="Arial" w:cs="Arial"/>
          <w:lang w:val="es-ES"/>
        </w:rPr>
        <w:t xml:space="preserve"> este</w:t>
      </w:r>
      <w:r w:rsidR="001039F9">
        <w:rPr>
          <w:rFonts w:ascii="Arial" w:eastAsia="Times New Roman" w:hAnsi="Arial" w:cs="Arial"/>
          <w:lang w:val="es-ES"/>
        </w:rPr>
        <w:t xml:space="preserve"> </w:t>
      </w:r>
      <w:r w:rsidRPr="00B151C6">
        <w:rPr>
          <w:rFonts w:ascii="Arial" w:eastAsia="Times New Roman" w:hAnsi="Arial" w:cs="Arial"/>
          <w:lang w:val="es-ES"/>
        </w:rPr>
        <w:t>indic</w:t>
      </w:r>
      <w:r w:rsidR="001039F9">
        <w:rPr>
          <w:rFonts w:ascii="Arial" w:eastAsia="Times New Roman" w:hAnsi="Arial" w:cs="Arial"/>
          <w:lang w:val="es-ES"/>
        </w:rPr>
        <w:t>a</w:t>
      </w:r>
      <w:r w:rsidRPr="00B151C6">
        <w:rPr>
          <w:rFonts w:ascii="Arial" w:eastAsia="Times New Roman" w:hAnsi="Arial" w:cs="Arial"/>
          <w:lang w:val="es-ES"/>
        </w:rPr>
        <w:t xml:space="preserve"> que </w:t>
      </w:r>
      <w:r w:rsidR="00D26B71">
        <w:rPr>
          <w:rFonts w:ascii="Arial" w:eastAsia="Times New Roman" w:hAnsi="Arial" w:cs="Arial"/>
          <w:lang w:val="es-ES"/>
        </w:rPr>
        <w:t>s</w:t>
      </w:r>
      <w:r w:rsidR="00D26B71" w:rsidRPr="00B151C6">
        <w:rPr>
          <w:rFonts w:ascii="Arial" w:eastAsia="Times New Roman" w:hAnsi="Arial" w:cs="Arial"/>
          <w:lang w:val="es-ES"/>
        </w:rPr>
        <w:t>e calific</w:t>
      </w:r>
      <w:r w:rsidR="00D26B71">
        <w:rPr>
          <w:rFonts w:ascii="Arial" w:eastAsia="Times New Roman" w:hAnsi="Arial" w:cs="Arial"/>
          <w:lang w:val="es-ES"/>
        </w:rPr>
        <w:t>ó</w:t>
      </w:r>
      <w:r w:rsidR="00D26B71" w:rsidRPr="00B151C6">
        <w:rPr>
          <w:rFonts w:ascii="Arial" w:eastAsia="Times New Roman" w:hAnsi="Arial" w:cs="Arial"/>
          <w:lang w:val="es-ES"/>
        </w:rPr>
        <w:t xml:space="preserve"> como satisfactorio </w:t>
      </w:r>
      <w:r w:rsidR="00D26B71">
        <w:rPr>
          <w:rFonts w:ascii="Arial" w:eastAsia="Times New Roman" w:hAnsi="Arial" w:cs="Arial"/>
          <w:lang w:val="es-ES"/>
        </w:rPr>
        <w:t xml:space="preserve">a </w:t>
      </w:r>
      <w:r w:rsidRPr="00B151C6">
        <w:rPr>
          <w:rFonts w:ascii="Arial" w:eastAsia="Times New Roman" w:hAnsi="Arial" w:cs="Arial"/>
          <w:lang w:val="es-ES"/>
        </w:rPr>
        <w:t xml:space="preserve">un 80 % de los proyectos al </w:t>
      </w:r>
      <w:r w:rsidR="00372386">
        <w:rPr>
          <w:rFonts w:ascii="Arial" w:eastAsia="Times New Roman" w:hAnsi="Arial" w:cs="Arial"/>
          <w:lang w:val="es-ES"/>
        </w:rPr>
        <w:t xml:space="preserve">momento de </w:t>
      </w:r>
      <w:r w:rsidRPr="00B151C6">
        <w:rPr>
          <w:rFonts w:ascii="Arial" w:eastAsia="Times New Roman" w:hAnsi="Arial" w:cs="Arial"/>
          <w:lang w:val="es-ES"/>
        </w:rPr>
        <w:t xml:space="preserve">ejecutarse y </w:t>
      </w:r>
      <w:r w:rsidR="00D26B71">
        <w:rPr>
          <w:rFonts w:ascii="Arial" w:eastAsia="Times New Roman" w:hAnsi="Arial" w:cs="Arial"/>
          <w:lang w:val="es-ES"/>
        </w:rPr>
        <w:t>a es</w:t>
      </w:r>
      <w:r w:rsidRPr="00B151C6">
        <w:rPr>
          <w:rFonts w:ascii="Arial" w:eastAsia="Times New Roman" w:hAnsi="Arial" w:cs="Arial"/>
          <w:lang w:val="es-ES"/>
        </w:rPr>
        <w:t xml:space="preserve">a misma proporción al </w:t>
      </w:r>
      <w:r w:rsidR="00D26B71">
        <w:rPr>
          <w:rFonts w:ascii="Arial" w:eastAsia="Times New Roman" w:hAnsi="Arial" w:cs="Arial"/>
          <w:lang w:val="es-ES"/>
        </w:rPr>
        <w:t xml:space="preserve">momento de </w:t>
      </w:r>
      <w:r w:rsidRPr="00B151C6">
        <w:rPr>
          <w:rFonts w:ascii="Arial" w:eastAsia="Times New Roman" w:hAnsi="Arial" w:cs="Arial"/>
          <w:lang w:val="es-ES"/>
        </w:rPr>
        <w:t>implementarse. Tanto el diseño como la e</w:t>
      </w:r>
      <w:r w:rsidR="00D26B71">
        <w:rPr>
          <w:rFonts w:ascii="Arial" w:eastAsia="Times New Roman" w:hAnsi="Arial" w:cs="Arial"/>
          <w:lang w:val="es-ES"/>
        </w:rPr>
        <w:t>jecu</w:t>
      </w:r>
      <w:r w:rsidRPr="00B151C6">
        <w:rPr>
          <w:rFonts w:ascii="Arial" w:eastAsia="Times New Roman" w:hAnsi="Arial" w:cs="Arial"/>
          <w:lang w:val="es-ES"/>
        </w:rPr>
        <w:t xml:space="preserve">ción del seguimiento y la evaluación están por debajo de ese nivel, ubicándose </w:t>
      </w:r>
      <w:r w:rsidR="00266625" w:rsidRPr="00B151C6">
        <w:rPr>
          <w:rFonts w:ascii="Arial" w:eastAsia="Times New Roman" w:hAnsi="Arial" w:cs="Arial"/>
          <w:lang w:val="es-ES"/>
        </w:rPr>
        <w:t xml:space="preserve">los que son satisfactorios </w:t>
      </w:r>
      <w:r w:rsidRPr="00B151C6">
        <w:rPr>
          <w:rFonts w:ascii="Arial" w:eastAsia="Times New Roman" w:hAnsi="Arial" w:cs="Arial"/>
          <w:lang w:val="es-ES"/>
        </w:rPr>
        <w:t>en alrededor de un 60 %.</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Estas cifras pueden ocultar variaciones en el </w:t>
      </w:r>
      <w:r w:rsidR="00372386">
        <w:rPr>
          <w:rFonts w:ascii="Arial" w:eastAsia="Times New Roman" w:hAnsi="Arial" w:cs="Arial"/>
          <w:lang w:val="es-ES"/>
        </w:rPr>
        <w:t>desempeño</w:t>
      </w:r>
      <w:r w:rsidRPr="00B151C6">
        <w:rPr>
          <w:rFonts w:ascii="Arial" w:eastAsia="Times New Roman" w:hAnsi="Arial" w:cs="Arial"/>
          <w:lang w:val="es-ES"/>
        </w:rPr>
        <w:t>, por lo que se llevó a cabo un análisis para deter</w:t>
      </w:r>
      <w:r w:rsidR="00372386">
        <w:rPr>
          <w:rFonts w:ascii="Arial" w:eastAsia="Times New Roman" w:hAnsi="Arial" w:cs="Arial"/>
          <w:lang w:val="es-ES"/>
        </w:rPr>
        <w:t>minar si incidían factores regionales</w:t>
      </w:r>
      <w:r w:rsidRPr="00B151C6">
        <w:rPr>
          <w:rFonts w:ascii="Arial" w:eastAsia="Times New Roman" w:hAnsi="Arial" w:cs="Arial"/>
          <w:lang w:val="es-ES"/>
        </w:rPr>
        <w:t xml:space="preserve">. En cuanto a la implementación, los proyectos mundiales y los de Europa y Asia Central muestran una tendencia alta hacia </w:t>
      </w:r>
      <w:r w:rsidR="00372386">
        <w:rPr>
          <w:rFonts w:ascii="Arial" w:eastAsia="Times New Roman" w:hAnsi="Arial" w:cs="Arial"/>
          <w:lang w:val="es-ES"/>
        </w:rPr>
        <w:t>el desempeño</w:t>
      </w:r>
      <w:r w:rsidRPr="00B151C6">
        <w:rPr>
          <w:rFonts w:ascii="Arial" w:eastAsia="Times New Roman" w:hAnsi="Arial" w:cs="Arial"/>
          <w:lang w:val="es-ES"/>
        </w:rPr>
        <w:t xml:space="preserve"> satisfactorio; los proyectos de Asia, África, América Latina y el Caribe y </w:t>
      </w:r>
      <w:r w:rsidR="00372386">
        <w:rPr>
          <w:rFonts w:ascii="Arial" w:eastAsia="Times New Roman" w:hAnsi="Arial" w:cs="Arial"/>
          <w:lang w:val="es-ES"/>
        </w:rPr>
        <w:t xml:space="preserve">los </w:t>
      </w:r>
      <w:r w:rsidRPr="00B151C6">
        <w:rPr>
          <w:rFonts w:ascii="Arial" w:eastAsia="Times New Roman" w:hAnsi="Arial" w:cs="Arial"/>
          <w:lang w:val="es-ES"/>
        </w:rPr>
        <w:t>regionales tienen una calificación inferior. Las calificaciones de los resultados de proyecto muestran una variación similar, ubicándose los proyectos mundiales y de Europa y Asia Central en el nivel más alto, seguidos de los proyectos de Asia y regionales.</w:t>
      </w:r>
    </w:p>
    <w:p w:rsidR="00320FA1" w:rsidRPr="00B151C6" w:rsidRDefault="00320FA1">
      <w:pPr>
        <w:pStyle w:val="BodyText"/>
        <w:widowControl w:val="0"/>
        <w:numPr>
          <w:ilvl w:val="0"/>
          <w:numId w:val="6"/>
        </w:numPr>
        <w:autoSpaceDE w:val="0"/>
        <w:autoSpaceDN w:val="0"/>
        <w:ind w:left="0" w:firstLine="0"/>
        <w:jc w:val="left"/>
        <w:outlineLvl w:val="1"/>
        <w:rPr>
          <w:rFonts w:ascii="Arial" w:eastAsia="Times New Roman" w:hAnsi="Arial" w:cs="Arial"/>
          <w:u w:val="single"/>
          <w:lang w:val="es-ES"/>
        </w:rPr>
      </w:pPr>
      <w:r w:rsidRPr="00B151C6">
        <w:rPr>
          <w:rFonts w:ascii="Arial" w:eastAsia="Times New Roman" w:hAnsi="Arial" w:cs="Arial"/>
          <w:u w:val="single"/>
          <w:lang w:val="es-ES"/>
        </w:rPr>
        <w:t>Recomendación de la COP sobre los resultados del FMAM</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La Conferencia de las Partes, en su 14ª</w:t>
      </w:r>
      <w:r w:rsidR="00372386">
        <w:rPr>
          <w:rFonts w:ascii="Arial" w:eastAsia="Times New Roman" w:hAnsi="Arial" w:cs="Arial"/>
          <w:lang w:val="es-ES"/>
        </w:rPr>
        <w:t> </w:t>
      </w:r>
      <w:r w:rsidRPr="00B151C6">
        <w:rPr>
          <w:rFonts w:ascii="Arial" w:eastAsia="Times New Roman" w:hAnsi="Arial" w:cs="Arial"/>
          <w:lang w:val="es-ES"/>
        </w:rPr>
        <w:t>reunión, consideró que el sexto estudio sobre los resultados globales del Fondo para el Medio Ambiente Mundial constituía una buena base para el quinto examen de la eficacia del mecanismo financiero, junto con las comunicaciones conexas enviadas por las Partes, e invitó al Consejo del Fondo para el Medio Ambiente Mundial a adoptar medidas</w:t>
      </w:r>
      <w:r w:rsidRPr="00B151C6">
        <w:rPr>
          <w:rStyle w:val="FootnoteReference"/>
          <w:rFonts w:ascii="Arial" w:eastAsia="Times New Roman" w:hAnsi="Arial" w:cs="Arial"/>
          <w:lang w:val="es-ES"/>
        </w:rPr>
        <w:footnoteReference w:id="9"/>
      </w:r>
      <w:r w:rsidRPr="00B151C6">
        <w:rPr>
          <w:rFonts w:ascii="Arial" w:eastAsia="Times New Roman" w:hAnsi="Arial" w:cs="Arial"/>
          <w:lang w:val="es-ES"/>
        </w:rPr>
        <w:t xml:space="preserve"> a fin de continuar mejorando la eficacia del mecanismo financiero.</w:t>
      </w:r>
    </w:p>
    <w:p w:rsidR="00320FA1" w:rsidRPr="00B151C6" w:rsidRDefault="00320FA1">
      <w:pPr>
        <w:pStyle w:val="BodyText"/>
        <w:widowControl w:val="0"/>
        <w:numPr>
          <w:ilvl w:val="0"/>
          <w:numId w:val="6"/>
        </w:numPr>
        <w:autoSpaceDE w:val="0"/>
        <w:autoSpaceDN w:val="0"/>
        <w:ind w:left="0" w:firstLine="0"/>
        <w:jc w:val="left"/>
        <w:outlineLvl w:val="1"/>
        <w:rPr>
          <w:rFonts w:ascii="Arial" w:eastAsia="Times New Roman" w:hAnsi="Arial" w:cs="Arial"/>
          <w:u w:val="single"/>
          <w:lang w:val="es-ES"/>
        </w:rPr>
      </w:pPr>
      <w:r w:rsidRPr="00B151C6">
        <w:rPr>
          <w:rFonts w:ascii="Arial" w:eastAsia="Times New Roman" w:hAnsi="Arial" w:cs="Arial"/>
          <w:u w:val="single"/>
          <w:lang w:val="es-ES"/>
        </w:rPr>
        <w:t>Implicancias financieras de futuras orientaciones</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sz w:val="21"/>
          <w:szCs w:val="21"/>
          <w:lang w:val="es-ES"/>
        </w:rPr>
      </w:pPr>
      <w:r w:rsidRPr="00B151C6">
        <w:rPr>
          <w:rFonts w:ascii="Arial" w:eastAsia="Times New Roman" w:hAnsi="Arial" w:cs="Arial"/>
          <w:lang w:val="es-ES"/>
        </w:rPr>
        <w:t>No se dispone de estimaciones de las implicancias financieras de futuras orientaciones del CDB para el mecanismo financiero en relación con el marco cuatrienal de prioridades p</w:t>
      </w:r>
      <w:r w:rsidR="00E44C4D">
        <w:rPr>
          <w:rFonts w:ascii="Arial" w:eastAsia="Times New Roman" w:hAnsi="Arial" w:cs="Arial"/>
          <w:lang w:val="es-ES"/>
        </w:rPr>
        <w:t xml:space="preserve">rogramáticas para el FMAM-8, alineadas </w:t>
      </w:r>
      <w:r w:rsidRPr="00B151C6">
        <w:rPr>
          <w:rFonts w:ascii="Arial" w:eastAsia="Times New Roman" w:hAnsi="Arial" w:cs="Arial"/>
          <w:lang w:val="es-ES"/>
        </w:rPr>
        <w:t xml:space="preserve">con el marco mundial de la diversidad biológica </w:t>
      </w:r>
      <w:r w:rsidRPr="00B151C6">
        <w:rPr>
          <w:rFonts w:ascii="Arial" w:eastAsia="Times New Roman" w:hAnsi="Arial" w:cs="Arial"/>
          <w:lang w:val="es-ES"/>
        </w:rPr>
        <w:lastRenderedPageBreak/>
        <w:t xml:space="preserve">posterior a 2020, debido a que las negociaciones siguen en curso. </w:t>
      </w:r>
      <w:r w:rsidR="00E44C4D">
        <w:rPr>
          <w:rFonts w:ascii="Arial" w:eastAsia="Times New Roman" w:hAnsi="Arial" w:cs="Arial"/>
          <w:lang w:val="es-ES"/>
        </w:rPr>
        <w:t>E</w:t>
      </w:r>
      <w:r w:rsidR="00E44C4D" w:rsidRPr="00B151C6">
        <w:rPr>
          <w:rFonts w:ascii="Arial" w:eastAsia="Times New Roman" w:hAnsi="Arial" w:cs="Arial"/>
          <w:lang w:val="es-ES"/>
        </w:rPr>
        <w:t xml:space="preserve">n la sección sobre informes mundiales </w:t>
      </w:r>
      <w:r w:rsidR="00E44C4D">
        <w:rPr>
          <w:rFonts w:ascii="Arial" w:eastAsia="Times New Roman" w:hAnsi="Arial" w:cs="Arial"/>
          <w:lang w:val="es-ES"/>
        </w:rPr>
        <w:t>d</w:t>
      </w:r>
      <w:r w:rsidR="00E44C4D" w:rsidRPr="00B151C6">
        <w:rPr>
          <w:rFonts w:ascii="Arial" w:eastAsia="Times New Roman" w:hAnsi="Arial" w:cs="Arial"/>
          <w:lang w:val="es-ES"/>
        </w:rPr>
        <w:t xml:space="preserve">el presente informe se proporciona </w:t>
      </w:r>
      <w:r w:rsidR="00E44C4D">
        <w:rPr>
          <w:rFonts w:ascii="Arial" w:eastAsia="Times New Roman" w:hAnsi="Arial" w:cs="Arial"/>
          <w:lang w:val="es-ES"/>
        </w:rPr>
        <w:t>l</w:t>
      </w:r>
      <w:r w:rsidRPr="00B151C6">
        <w:rPr>
          <w:rFonts w:ascii="Arial" w:eastAsia="Times New Roman" w:hAnsi="Arial" w:cs="Arial"/>
          <w:lang w:val="es-ES"/>
        </w:rPr>
        <w:t xml:space="preserve">a información disponible </w:t>
      </w:r>
      <w:r w:rsidR="00E44C4D">
        <w:rPr>
          <w:rFonts w:ascii="Arial" w:eastAsia="Times New Roman" w:hAnsi="Arial" w:cs="Arial"/>
          <w:lang w:val="es-ES"/>
        </w:rPr>
        <w:t xml:space="preserve">sobre </w:t>
      </w:r>
      <w:r w:rsidRPr="00B151C6">
        <w:rPr>
          <w:rFonts w:ascii="Arial" w:eastAsia="Times New Roman" w:hAnsi="Arial" w:cs="Arial"/>
          <w:lang w:val="es-ES"/>
        </w:rPr>
        <w:t>estimaciones de las necesidades totales de recursos para la implementación del marco mundial de la diversidad biológica.</w:t>
      </w:r>
    </w:p>
    <w:p w:rsidR="00320FA1" w:rsidRPr="00B151C6" w:rsidRDefault="00320FA1">
      <w:pPr>
        <w:pStyle w:val="BodyText"/>
        <w:widowControl w:val="0"/>
        <w:numPr>
          <w:ilvl w:val="0"/>
          <w:numId w:val="9"/>
        </w:numPr>
        <w:autoSpaceDE w:val="0"/>
        <w:autoSpaceDN w:val="0"/>
        <w:ind w:left="0" w:firstLine="0"/>
        <w:jc w:val="left"/>
        <w:outlineLvl w:val="0"/>
        <w:rPr>
          <w:rFonts w:ascii="Arial" w:eastAsia="Times New Roman" w:hAnsi="Arial" w:cs="Arial"/>
          <w:b/>
          <w:bCs/>
          <w:u w:val="single"/>
          <w:lang w:val="es-ES"/>
        </w:rPr>
      </w:pPr>
      <w:r w:rsidRPr="00B151C6">
        <w:rPr>
          <w:rFonts w:ascii="Arial" w:eastAsia="Times New Roman" w:hAnsi="Arial" w:cs="Arial"/>
          <w:b/>
          <w:bCs/>
          <w:u w:val="single"/>
          <w:lang w:val="es-ES"/>
        </w:rPr>
        <w:t>Análisis</w:t>
      </w:r>
      <w:r w:rsidRPr="00B151C6">
        <w:rPr>
          <w:rFonts w:ascii="Arial" w:eastAsia="Times New Roman" w:hAnsi="Arial" w:cs="Arial"/>
          <w:b/>
          <w:bCs/>
          <w:color w:val="000000"/>
          <w:u w:val="single"/>
          <w:lang w:val="es-ES"/>
        </w:rPr>
        <w:t xml:space="preserve"> de informes nacionales y mundiales pertinentes</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El </w:t>
      </w:r>
      <w:r w:rsidR="00CF61B7">
        <w:rPr>
          <w:rFonts w:ascii="Arial" w:eastAsia="Times New Roman" w:hAnsi="Arial" w:cs="Arial"/>
          <w:lang w:val="es-ES"/>
        </w:rPr>
        <w:t>e</w:t>
      </w:r>
      <w:r w:rsidRPr="00B151C6">
        <w:rPr>
          <w:rFonts w:ascii="Arial" w:eastAsia="Times New Roman" w:hAnsi="Arial" w:cs="Arial"/>
          <w:lang w:val="es-ES"/>
        </w:rPr>
        <w:t xml:space="preserve">quipo de </w:t>
      </w:r>
      <w:r w:rsidR="00CF61B7">
        <w:rPr>
          <w:rFonts w:ascii="Arial" w:eastAsia="Times New Roman" w:hAnsi="Arial" w:cs="Arial"/>
          <w:lang w:val="es-ES"/>
        </w:rPr>
        <w:t>e</w:t>
      </w:r>
      <w:r w:rsidRPr="00B151C6">
        <w:rPr>
          <w:rFonts w:ascii="Arial" w:eastAsia="Times New Roman" w:hAnsi="Arial" w:cs="Arial"/>
          <w:lang w:val="es-ES"/>
        </w:rPr>
        <w:t xml:space="preserve">xpertos examinó y analizó los informes nacionales y mundiales que se indican a continuación y de los que se brindan detalles. Estos informes proporcionan datos financieros para el logro del Plan Estratégico para la Diversidad Biológica 2011-2020 o bien indican las necesidades financieras mundiales </w:t>
      </w:r>
      <w:r w:rsidR="00CF61B7">
        <w:rPr>
          <w:rFonts w:ascii="Arial" w:eastAsia="Times New Roman" w:hAnsi="Arial" w:cs="Arial"/>
          <w:lang w:val="es-ES"/>
        </w:rPr>
        <w:t xml:space="preserve">generales </w:t>
      </w:r>
      <w:r w:rsidRPr="00B151C6">
        <w:rPr>
          <w:rFonts w:ascii="Arial" w:eastAsia="Times New Roman" w:hAnsi="Arial" w:cs="Arial"/>
          <w:lang w:val="es-ES"/>
        </w:rPr>
        <w:t xml:space="preserve">para la aplicación del Convenio y sus Protocolos. Si bien estos datos no sirven para evaluar las necesidades financieras (costos incrementales) en el contexto del FMAM para el octavo período de reposición, podrían aportar información útil sobre tendencias pasadas </w:t>
      </w:r>
      <w:r w:rsidR="00266625">
        <w:rPr>
          <w:rFonts w:ascii="Arial" w:eastAsia="Times New Roman" w:hAnsi="Arial" w:cs="Arial"/>
          <w:lang w:val="es-ES"/>
        </w:rPr>
        <w:t>d</w:t>
      </w:r>
      <w:r w:rsidRPr="00B151C6">
        <w:rPr>
          <w:rFonts w:ascii="Arial" w:eastAsia="Times New Roman" w:hAnsi="Arial" w:cs="Arial"/>
          <w:lang w:val="es-ES"/>
        </w:rPr>
        <w:t>e gasto</w:t>
      </w:r>
      <w:r w:rsidR="00CF61B7">
        <w:rPr>
          <w:rFonts w:ascii="Arial" w:eastAsia="Times New Roman" w:hAnsi="Arial" w:cs="Arial"/>
          <w:lang w:val="es-ES"/>
        </w:rPr>
        <w:t>s</w:t>
      </w:r>
      <w:r w:rsidRPr="00B151C6">
        <w:rPr>
          <w:rFonts w:ascii="Arial" w:eastAsia="Times New Roman" w:hAnsi="Arial" w:cs="Arial"/>
          <w:lang w:val="es-ES"/>
        </w:rPr>
        <w:t xml:space="preserve"> nacional</w:t>
      </w:r>
      <w:r w:rsidR="00CF61B7">
        <w:rPr>
          <w:rFonts w:ascii="Arial" w:eastAsia="Times New Roman" w:hAnsi="Arial" w:cs="Arial"/>
          <w:lang w:val="es-ES"/>
        </w:rPr>
        <w:t>es</w:t>
      </w:r>
      <w:r w:rsidRPr="00B151C6">
        <w:rPr>
          <w:rFonts w:ascii="Arial" w:eastAsia="Times New Roman" w:hAnsi="Arial" w:cs="Arial"/>
          <w:lang w:val="es-ES"/>
        </w:rPr>
        <w:t xml:space="preserve"> en diversidad biológica para la aplicación</w:t>
      </w:r>
      <w:r w:rsidR="00266625">
        <w:rPr>
          <w:rFonts w:ascii="Arial" w:eastAsia="Times New Roman" w:hAnsi="Arial" w:cs="Arial"/>
          <w:lang w:val="es-ES"/>
        </w:rPr>
        <w:t xml:space="preserve"> del Convenio y sus Protocolos.</w:t>
      </w:r>
    </w:p>
    <w:p w:rsidR="00320FA1" w:rsidRPr="00B151C6" w:rsidRDefault="00320FA1">
      <w:pPr>
        <w:pStyle w:val="BodyText"/>
        <w:widowControl w:val="0"/>
        <w:numPr>
          <w:ilvl w:val="0"/>
          <w:numId w:val="7"/>
        </w:numPr>
        <w:autoSpaceDE w:val="0"/>
        <w:autoSpaceDN w:val="0"/>
        <w:ind w:left="0" w:firstLine="0"/>
        <w:jc w:val="left"/>
        <w:outlineLvl w:val="1"/>
        <w:rPr>
          <w:rFonts w:ascii="Arial" w:eastAsia="Times New Roman" w:hAnsi="Arial" w:cs="Arial"/>
          <w:sz w:val="21"/>
          <w:szCs w:val="21"/>
          <w:lang w:val="es-ES"/>
        </w:rPr>
      </w:pPr>
      <w:r w:rsidRPr="00B151C6">
        <w:rPr>
          <w:rFonts w:ascii="Arial" w:eastAsia="Times New Roman" w:hAnsi="Arial" w:cs="Arial"/>
          <w:u w:val="single"/>
          <w:lang w:val="es-ES"/>
        </w:rPr>
        <w:t>Estrategias y planes de acción nacionales en materia de biodiversidad (EPANB)</w:t>
      </w:r>
    </w:p>
    <w:p w:rsidR="00320FA1" w:rsidRPr="00B151C6" w:rsidRDefault="00CF61B7">
      <w:pPr>
        <w:pStyle w:val="BodyText"/>
        <w:widowControl w:val="0"/>
        <w:numPr>
          <w:ilvl w:val="0"/>
          <w:numId w:val="11"/>
        </w:numPr>
        <w:autoSpaceDE w:val="0"/>
        <w:autoSpaceDN w:val="0"/>
        <w:ind w:left="0" w:firstLine="0"/>
        <w:jc w:val="left"/>
        <w:rPr>
          <w:rFonts w:ascii="Arial" w:eastAsia="Times New Roman" w:hAnsi="Arial" w:cs="Arial"/>
          <w:lang w:val="es-ES"/>
        </w:rPr>
      </w:pPr>
      <w:r>
        <w:rPr>
          <w:rFonts w:ascii="Arial" w:eastAsia="Times New Roman" w:hAnsi="Arial" w:cs="Arial"/>
          <w:lang w:val="es-ES"/>
        </w:rPr>
        <w:t>En la COP</w:t>
      </w:r>
      <w:r w:rsidR="00320FA1" w:rsidRPr="00B151C6">
        <w:rPr>
          <w:rFonts w:ascii="Arial" w:eastAsia="Times New Roman" w:hAnsi="Arial" w:cs="Arial"/>
          <w:lang w:val="es-ES"/>
        </w:rPr>
        <w:t xml:space="preserve">14, </w:t>
      </w:r>
      <w:r>
        <w:rPr>
          <w:rFonts w:ascii="Arial" w:eastAsia="Times New Roman" w:hAnsi="Arial" w:cs="Arial"/>
          <w:lang w:val="es-ES"/>
        </w:rPr>
        <w:t xml:space="preserve">en </w:t>
      </w:r>
      <w:r w:rsidR="00320FA1" w:rsidRPr="00B151C6">
        <w:rPr>
          <w:rFonts w:ascii="Arial" w:eastAsia="Times New Roman" w:hAnsi="Arial" w:cs="Arial"/>
          <w:lang w:val="es-ES"/>
        </w:rPr>
        <w:t>noviembre de 2018, la Secretaria Ejecutiva presentó una actualización sobre las EPANB (CBD/COP/14/5/Add.1).</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De los 145 países receptores de fondos del FMAM, proporcionaron datos financieros en sus EPANB el 58 % de los 12 países europeos que reúnen las condiciones, el 68 % de los 53</w:t>
      </w:r>
      <w:r w:rsidR="00987994">
        <w:rPr>
          <w:rFonts w:ascii="Arial" w:eastAsia="Times New Roman" w:hAnsi="Arial" w:cs="Arial"/>
          <w:lang w:val="es-ES"/>
        </w:rPr>
        <w:t> </w:t>
      </w:r>
      <w:r w:rsidRPr="00B151C6">
        <w:rPr>
          <w:rFonts w:ascii="Arial" w:eastAsia="Times New Roman" w:hAnsi="Arial" w:cs="Arial"/>
          <w:lang w:val="es-ES"/>
        </w:rPr>
        <w:t xml:space="preserve">países africanos que reúnen las condiciones, el 55% de los 33 países de América Latina y el Caribe que reúnen las condiciones y el 38 % de los 45 países de Asia y el Pacífico que reúnen las condiciones. Los datos financieros incluidos en las EPANB presentan el monto de fondos estimados para alcanzar las metas y realizar las actividades establecidas en las EPANB. En aquellos casos en que las EPANB están alineadas con las Metas de Aichi, las necesidades de financiación estimadas se aplican igualmente al logro de las Metas de Aichi. Sin embargo, en muchos casos las EPANB van más allá de las Metas de Aichi y, por lo tanto, las necesidades de financiación estimadas también reflejan las prioridades </w:t>
      </w:r>
      <w:r w:rsidR="00987994">
        <w:rPr>
          <w:rFonts w:ascii="Arial" w:eastAsia="Times New Roman" w:hAnsi="Arial" w:cs="Arial"/>
          <w:lang w:val="es-ES"/>
        </w:rPr>
        <w:t>nacionales</w:t>
      </w:r>
      <w:r w:rsidRPr="00B151C6">
        <w:rPr>
          <w:rFonts w:ascii="Arial" w:eastAsia="Times New Roman" w:hAnsi="Arial" w:cs="Arial"/>
          <w:lang w:val="es-ES"/>
        </w:rPr>
        <w:t xml:space="preserve"> </w:t>
      </w:r>
      <w:r w:rsidR="00F01095">
        <w:rPr>
          <w:rFonts w:ascii="Arial" w:eastAsia="Times New Roman" w:hAnsi="Arial" w:cs="Arial"/>
          <w:lang w:val="es-ES"/>
        </w:rPr>
        <w:t xml:space="preserve">de </w:t>
      </w:r>
      <w:r w:rsidR="00F01095" w:rsidRPr="00B151C6">
        <w:rPr>
          <w:rFonts w:ascii="Arial" w:eastAsia="Times New Roman" w:hAnsi="Arial" w:cs="Arial"/>
          <w:lang w:val="es-ES"/>
        </w:rPr>
        <w:t xml:space="preserve">diversidad biológica </w:t>
      </w:r>
      <w:r w:rsidRPr="00B151C6">
        <w:rPr>
          <w:rFonts w:ascii="Arial" w:eastAsia="Times New Roman" w:hAnsi="Arial" w:cs="Arial"/>
          <w:lang w:val="es-ES"/>
        </w:rPr>
        <w:t>más amplias del país.</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El </w:t>
      </w:r>
      <w:r w:rsidR="00F01095">
        <w:rPr>
          <w:rFonts w:ascii="Arial" w:eastAsia="Times New Roman" w:hAnsi="Arial" w:cs="Arial"/>
          <w:lang w:val="es-ES"/>
        </w:rPr>
        <w:t>e</w:t>
      </w:r>
      <w:r w:rsidRPr="00B151C6">
        <w:rPr>
          <w:rFonts w:ascii="Arial" w:eastAsia="Times New Roman" w:hAnsi="Arial" w:cs="Arial"/>
          <w:lang w:val="es-ES"/>
        </w:rPr>
        <w:t xml:space="preserve">quipo de </w:t>
      </w:r>
      <w:r w:rsidR="00F01095">
        <w:rPr>
          <w:rFonts w:ascii="Arial" w:eastAsia="Times New Roman" w:hAnsi="Arial" w:cs="Arial"/>
          <w:lang w:val="es-ES"/>
        </w:rPr>
        <w:t>e</w:t>
      </w:r>
      <w:r w:rsidRPr="00B151C6">
        <w:rPr>
          <w:rFonts w:ascii="Arial" w:eastAsia="Times New Roman" w:hAnsi="Arial" w:cs="Arial"/>
          <w:lang w:val="es-ES"/>
        </w:rPr>
        <w:t>xpertos no pudo utilizar los datos de las EPANB para extrapolar las necesidades de financiación, ya que las EPANB que aportan inform</w:t>
      </w:r>
      <w:r w:rsidR="005E79D3">
        <w:rPr>
          <w:rFonts w:ascii="Arial" w:eastAsia="Times New Roman" w:hAnsi="Arial" w:cs="Arial"/>
          <w:lang w:val="es-ES"/>
        </w:rPr>
        <w:t>ación financiera da</w:t>
      </w:r>
      <w:r w:rsidRPr="00B151C6">
        <w:rPr>
          <w:rFonts w:ascii="Arial" w:eastAsia="Times New Roman" w:hAnsi="Arial" w:cs="Arial"/>
          <w:lang w:val="es-ES"/>
        </w:rPr>
        <w:t xml:space="preserve">n una cifra global para su plan, generalmente hasta 2020, con algunas </w:t>
      </w:r>
      <w:r w:rsidR="005E79D3">
        <w:rPr>
          <w:rFonts w:ascii="Arial" w:eastAsia="Times New Roman" w:hAnsi="Arial" w:cs="Arial"/>
          <w:lang w:val="es-ES"/>
        </w:rPr>
        <w:t xml:space="preserve">pocas </w:t>
      </w:r>
      <w:r w:rsidRPr="00B151C6">
        <w:rPr>
          <w:rFonts w:ascii="Arial" w:eastAsia="Times New Roman" w:hAnsi="Arial" w:cs="Arial"/>
          <w:lang w:val="es-ES"/>
        </w:rPr>
        <w:t xml:space="preserve">excepciones que </w:t>
      </w:r>
      <w:r w:rsidR="005E79D3">
        <w:rPr>
          <w:rFonts w:ascii="Arial" w:eastAsia="Times New Roman" w:hAnsi="Arial" w:cs="Arial"/>
          <w:lang w:val="es-ES"/>
        </w:rPr>
        <w:t>v</w:t>
      </w:r>
      <w:r w:rsidRPr="00B151C6">
        <w:rPr>
          <w:rFonts w:ascii="Arial" w:eastAsia="Times New Roman" w:hAnsi="Arial" w:cs="Arial"/>
          <w:lang w:val="es-ES"/>
        </w:rPr>
        <w:t>an más allá de ese año.</w:t>
      </w:r>
      <w:r w:rsidR="00423F67">
        <w:rPr>
          <w:rFonts w:ascii="Arial" w:eastAsia="Times New Roman" w:hAnsi="Arial" w:cs="Arial"/>
          <w:lang w:val="es-ES"/>
        </w:rPr>
        <w:t xml:space="preserve"> </w:t>
      </w:r>
      <w:r w:rsidRPr="00B151C6">
        <w:rPr>
          <w:rFonts w:ascii="Arial" w:eastAsia="Times New Roman" w:hAnsi="Arial" w:cs="Arial"/>
          <w:lang w:val="es-ES"/>
        </w:rPr>
        <w:t xml:space="preserve">Las EPANB abarcan períodos </w:t>
      </w:r>
      <w:r w:rsidR="00987994" w:rsidRPr="00B151C6">
        <w:rPr>
          <w:rFonts w:ascii="Arial" w:eastAsia="Times New Roman" w:hAnsi="Arial" w:cs="Arial"/>
          <w:lang w:val="es-ES"/>
        </w:rPr>
        <w:t xml:space="preserve">diferentes </w:t>
      </w:r>
      <w:r w:rsidRPr="00B151C6">
        <w:rPr>
          <w:rFonts w:ascii="Arial" w:eastAsia="Times New Roman" w:hAnsi="Arial" w:cs="Arial"/>
          <w:lang w:val="es-ES"/>
        </w:rPr>
        <w:t>y, por lo general, no desglosan la información financiera</w:t>
      </w:r>
      <w:r w:rsidR="005E79D3" w:rsidRPr="005E79D3">
        <w:rPr>
          <w:rFonts w:ascii="Arial" w:eastAsia="Times New Roman" w:hAnsi="Arial" w:cs="Arial"/>
          <w:lang w:val="es-ES"/>
        </w:rPr>
        <w:t xml:space="preserve"> </w:t>
      </w:r>
      <w:r w:rsidR="005E79D3" w:rsidRPr="00B151C6">
        <w:rPr>
          <w:rFonts w:ascii="Arial" w:eastAsia="Times New Roman" w:hAnsi="Arial" w:cs="Arial"/>
          <w:lang w:val="es-ES"/>
        </w:rPr>
        <w:t>por fuente</w:t>
      </w:r>
      <w:r w:rsidRPr="00B151C6">
        <w:rPr>
          <w:rFonts w:ascii="Arial" w:eastAsia="Times New Roman" w:hAnsi="Arial" w:cs="Arial"/>
          <w:lang w:val="es-ES"/>
        </w:rPr>
        <w:t>.</w:t>
      </w:r>
    </w:p>
    <w:p w:rsidR="00320FA1" w:rsidRPr="00B151C6" w:rsidRDefault="00320FA1">
      <w:pPr>
        <w:pStyle w:val="BodyText"/>
        <w:keepNext/>
        <w:widowControl w:val="0"/>
        <w:numPr>
          <w:ilvl w:val="0"/>
          <w:numId w:val="7"/>
        </w:numPr>
        <w:autoSpaceDE w:val="0"/>
        <w:autoSpaceDN w:val="0"/>
        <w:ind w:left="0" w:firstLine="0"/>
        <w:jc w:val="left"/>
        <w:outlineLvl w:val="1"/>
        <w:rPr>
          <w:rFonts w:ascii="Arial" w:eastAsia="Times New Roman" w:hAnsi="Arial" w:cs="Arial"/>
          <w:u w:val="single"/>
          <w:lang w:val="es-ES"/>
        </w:rPr>
      </w:pPr>
      <w:r w:rsidRPr="00B151C6">
        <w:rPr>
          <w:rFonts w:ascii="Arial" w:eastAsia="Times New Roman" w:hAnsi="Arial" w:cs="Arial"/>
          <w:u w:val="single"/>
          <w:lang w:val="es-ES"/>
        </w:rPr>
        <w:t>Informes nacionales</w:t>
      </w:r>
    </w:p>
    <w:p w:rsidR="00320FA1" w:rsidRPr="005E79D3" w:rsidRDefault="005E79D3">
      <w:pPr>
        <w:pStyle w:val="BodyText"/>
        <w:widowControl w:val="0"/>
        <w:numPr>
          <w:ilvl w:val="0"/>
          <w:numId w:val="11"/>
        </w:numPr>
        <w:autoSpaceDE w:val="0"/>
        <w:autoSpaceDN w:val="0"/>
        <w:ind w:left="0" w:firstLine="0"/>
        <w:jc w:val="left"/>
        <w:rPr>
          <w:rFonts w:ascii="Arial" w:eastAsia="Times New Roman" w:hAnsi="Arial" w:cs="Arial"/>
          <w:lang w:val="es-ES"/>
        </w:rPr>
      </w:pPr>
      <w:r>
        <w:rPr>
          <w:rFonts w:ascii="Arial" w:eastAsia="Times New Roman" w:hAnsi="Arial" w:cs="Arial"/>
          <w:lang w:val="es-ES"/>
        </w:rPr>
        <w:t>P</w:t>
      </w:r>
      <w:r w:rsidRPr="00B151C6">
        <w:rPr>
          <w:rFonts w:ascii="Arial" w:eastAsia="Times New Roman" w:hAnsi="Arial" w:cs="Arial"/>
          <w:lang w:val="es-ES"/>
        </w:rPr>
        <w:t>ara determinar los gastos nacionales</w:t>
      </w:r>
      <w:r>
        <w:rPr>
          <w:rFonts w:ascii="Arial" w:eastAsia="Times New Roman" w:hAnsi="Arial" w:cs="Arial"/>
          <w:lang w:val="es-ES"/>
        </w:rPr>
        <w:t>,</w:t>
      </w:r>
      <w:r w:rsidRPr="00B151C6">
        <w:rPr>
          <w:rFonts w:ascii="Arial" w:eastAsia="Times New Roman" w:hAnsi="Arial" w:cs="Arial"/>
          <w:lang w:val="es-ES"/>
        </w:rPr>
        <w:t xml:space="preserve"> </w:t>
      </w:r>
      <w:r>
        <w:rPr>
          <w:rFonts w:ascii="Arial" w:eastAsia="Times New Roman" w:hAnsi="Arial" w:cs="Arial"/>
          <w:lang w:val="es-ES"/>
        </w:rPr>
        <w:t>e</w:t>
      </w:r>
      <w:r w:rsidR="00320FA1" w:rsidRPr="00B151C6">
        <w:rPr>
          <w:rFonts w:ascii="Arial" w:eastAsia="Times New Roman" w:hAnsi="Arial" w:cs="Arial"/>
          <w:lang w:val="es-ES"/>
        </w:rPr>
        <w:t xml:space="preserve">l </w:t>
      </w:r>
      <w:r>
        <w:rPr>
          <w:rFonts w:ascii="Arial" w:eastAsia="Times New Roman" w:hAnsi="Arial" w:cs="Arial"/>
          <w:lang w:val="es-ES"/>
        </w:rPr>
        <w:t>e</w:t>
      </w:r>
      <w:r w:rsidR="00320FA1" w:rsidRPr="00B151C6">
        <w:rPr>
          <w:rFonts w:ascii="Arial" w:eastAsia="Times New Roman" w:hAnsi="Arial" w:cs="Arial"/>
          <w:lang w:val="es-ES"/>
        </w:rPr>
        <w:t xml:space="preserve">quipo de </w:t>
      </w:r>
      <w:r>
        <w:rPr>
          <w:rFonts w:ascii="Arial" w:eastAsia="Times New Roman" w:hAnsi="Arial" w:cs="Arial"/>
          <w:lang w:val="es-ES"/>
        </w:rPr>
        <w:t>e</w:t>
      </w:r>
      <w:r w:rsidR="00320FA1" w:rsidRPr="00B151C6">
        <w:rPr>
          <w:rFonts w:ascii="Arial" w:eastAsia="Times New Roman" w:hAnsi="Arial" w:cs="Arial"/>
          <w:lang w:val="es-ES"/>
        </w:rPr>
        <w:t xml:space="preserve">xpertos examinó 92 sextos informes nacionales que estaban disponibles en el sitio web del CDB al momento de redactar el </w:t>
      </w:r>
      <w:r>
        <w:rPr>
          <w:rFonts w:ascii="Arial" w:eastAsia="Times New Roman" w:hAnsi="Arial" w:cs="Arial"/>
          <w:lang w:val="es-ES"/>
        </w:rPr>
        <w:t>informe</w:t>
      </w:r>
      <w:r w:rsidR="00320FA1" w:rsidRPr="00B151C6">
        <w:rPr>
          <w:rFonts w:ascii="Arial" w:eastAsia="Times New Roman" w:hAnsi="Arial" w:cs="Arial"/>
          <w:lang w:val="es-ES"/>
        </w:rPr>
        <w:t>.</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sz w:val="21"/>
          <w:szCs w:val="21"/>
          <w:lang w:val="es-ES"/>
        </w:rPr>
      </w:pPr>
      <w:r w:rsidRPr="00B151C6">
        <w:rPr>
          <w:rFonts w:ascii="Arial" w:eastAsia="Times New Roman" w:hAnsi="Arial" w:cs="Arial"/>
          <w:lang w:val="es-ES"/>
        </w:rPr>
        <w:t>De los 12 países europeos que reúnen las condiciones, el 58 % brindó algunos datos financieros en su informe nacional más reciente, así como también lo hizo el 43 % de los 53 países africanos que reúnen las condiciones, el 42 % de los 33 países de América Latina y el Caribe que reúnen las condiciones y el 27 % de los 45 países de Asia y el Pacífico.</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Los datos financieros proporcionados en los informes financieros nacionales presentan la financiación </w:t>
      </w:r>
      <w:r w:rsidR="005E79D3">
        <w:rPr>
          <w:rFonts w:ascii="Arial" w:eastAsia="Times New Roman" w:hAnsi="Arial" w:cs="Arial"/>
          <w:lang w:val="es-ES"/>
        </w:rPr>
        <w:t>efectiva</w:t>
      </w:r>
      <w:r w:rsidRPr="00B151C6">
        <w:rPr>
          <w:rFonts w:ascii="Arial" w:eastAsia="Times New Roman" w:hAnsi="Arial" w:cs="Arial"/>
          <w:lang w:val="es-ES"/>
        </w:rPr>
        <w:t xml:space="preserve"> obtenida para la ejecución de las EPANB. Esta financiación solo se desglosa por fuentes nacionales o internacionales, indicando los fondos efectivamente movilizados. </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En lo que respecta al Protocolo de Cartagena sobre Seguridad de la Biotecnología, el </w:t>
      </w:r>
      <w:r w:rsidR="005E79D3">
        <w:rPr>
          <w:rFonts w:ascii="Arial" w:eastAsia="Times New Roman" w:hAnsi="Arial" w:cs="Arial"/>
          <w:lang w:val="es-ES"/>
        </w:rPr>
        <w:t>e</w:t>
      </w:r>
      <w:r w:rsidRPr="00B151C6">
        <w:rPr>
          <w:rFonts w:ascii="Arial" w:eastAsia="Times New Roman" w:hAnsi="Arial" w:cs="Arial"/>
          <w:lang w:val="es-ES"/>
        </w:rPr>
        <w:t xml:space="preserve">quipo de </w:t>
      </w:r>
      <w:r w:rsidR="005E79D3">
        <w:rPr>
          <w:rFonts w:ascii="Arial" w:eastAsia="Times New Roman" w:hAnsi="Arial" w:cs="Arial"/>
          <w:lang w:val="es-ES"/>
        </w:rPr>
        <w:t>e</w:t>
      </w:r>
      <w:r w:rsidRPr="00B151C6">
        <w:rPr>
          <w:rFonts w:ascii="Arial" w:eastAsia="Times New Roman" w:hAnsi="Arial" w:cs="Arial"/>
          <w:lang w:val="es-ES"/>
        </w:rPr>
        <w:t xml:space="preserve">xpertos examinó los datos proporcionados por los países en sus cuartos informes nacionales. La pregunta 167 del informe nacional se refiere al artículo 28, relativo al mecanismo </w:t>
      </w:r>
      <w:r w:rsidRPr="00B151C6">
        <w:rPr>
          <w:rFonts w:ascii="Arial" w:eastAsia="Times New Roman" w:hAnsi="Arial" w:cs="Arial"/>
          <w:lang w:val="es-ES"/>
        </w:rPr>
        <w:lastRenderedPageBreak/>
        <w:t>financiero y los recursos financieros</w:t>
      </w:r>
      <w:r w:rsidR="005E79D3">
        <w:rPr>
          <w:rFonts w:ascii="Arial" w:eastAsia="Times New Roman" w:hAnsi="Arial" w:cs="Arial"/>
          <w:lang w:val="es-ES"/>
        </w:rPr>
        <w:t>,</w:t>
      </w:r>
      <w:r w:rsidRPr="00B151C6">
        <w:rPr>
          <w:rFonts w:ascii="Arial" w:eastAsia="Times New Roman" w:hAnsi="Arial" w:cs="Arial"/>
          <w:lang w:val="es-ES"/>
        </w:rPr>
        <w:t xml:space="preserve"> y pide a los países que informen cuánta financiación ha movilizado el país en apoyo a la aplicación del Protocolo de Cartagena, más allá de la asignación presupuestaria nacional ordinaria, en el período de presentación de informes en curso. Más del 60 % de los países informaron haber recaudado entre unos pocos miles de dólares y 500.000 dólares o más en el período de presentación de informes. Dado que la pregunta 167 se refiere únicamente a los esfuerzos actuales de movilización de recursos </w:t>
      </w:r>
      <w:r w:rsidR="00AA3D4E">
        <w:rPr>
          <w:rFonts w:ascii="Arial" w:eastAsia="Times New Roman" w:hAnsi="Arial" w:cs="Arial"/>
          <w:lang w:val="es-ES"/>
        </w:rPr>
        <w:t xml:space="preserve">realizados </w:t>
      </w:r>
      <w:r w:rsidRPr="00B151C6">
        <w:rPr>
          <w:rFonts w:ascii="Arial" w:eastAsia="Times New Roman" w:hAnsi="Arial" w:cs="Arial"/>
          <w:lang w:val="es-ES"/>
        </w:rPr>
        <w:t xml:space="preserve">por los países, los informes nacionales que se presentan en el marco del Protocolo no </w:t>
      </w:r>
      <w:r w:rsidR="005E79D3">
        <w:rPr>
          <w:rFonts w:ascii="Arial" w:eastAsia="Times New Roman" w:hAnsi="Arial" w:cs="Arial"/>
          <w:lang w:val="es-ES"/>
        </w:rPr>
        <w:t>dan una indicación de la</w:t>
      </w:r>
      <w:r w:rsidRPr="00B151C6">
        <w:rPr>
          <w:rFonts w:ascii="Arial" w:eastAsia="Times New Roman" w:hAnsi="Arial" w:cs="Arial"/>
          <w:lang w:val="es-ES"/>
        </w:rPr>
        <w:t xml:space="preserve"> </w:t>
      </w:r>
      <w:r w:rsidR="005E79D3" w:rsidRPr="00B151C6">
        <w:rPr>
          <w:rFonts w:ascii="Arial" w:eastAsia="Times New Roman" w:hAnsi="Arial" w:cs="Arial"/>
          <w:lang w:val="es-ES"/>
        </w:rPr>
        <w:t>estima</w:t>
      </w:r>
      <w:r w:rsidR="005E79D3">
        <w:rPr>
          <w:rFonts w:ascii="Arial" w:eastAsia="Times New Roman" w:hAnsi="Arial" w:cs="Arial"/>
          <w:lang w:val="es-ES"/>
        </w:rPr>
        <w:t>ción de</w:t>
      </w:r>
      <w:r w:rsidR="005E79D3" w:rsidRPr="00B151C6">
        <w:rPr>
          <w:rFonts w:ascii="Arial" w:eastAsia="Times New Roman" w:hAnsi="Arial" w:cs="Arial"/>
          <w:lang w:val="es-ES"/>
        </w:rPr>
        <w:t xml:space="preserve"> </w:t>
      </w:r>
      <w:r w:rsidRPr="00B151C6">
        <w:rPr>
          <w:rFonts w:ascii="Arial" w:eastAsia="Times New Roman" w:hAnsi="Arial" w:cs="Arial"/>
          <w:lang w:val="es-ES"/>
        </w:rPr>
        <w:t xml:space="preserve">necesidades </w:t>
      </w:r>
      <w:r w:rsidR="005E79D3" w:rsidRPr="00B151C6">
        <w:rPr>
          <w:rFonts w:ascii="Arial" w:eastAsia="Times New Roman" w:hAnsi="Arial" w:cs="Arial"/>
          <w:lang w:val="es-ES"/>
        </w:rPr>
        <w:t>futur</w:t>
      </w:r>
      <w:r w:rsidR="005E79D3">
        <w:rPr>
          <w:rFonts w:ascii="Arial" w:eastAsia="Times New Roman" w:hAnsi="Arial" w:cs="Arial"/>
          <w:lang w:val="es-ES"/>
        </w:rPr>
        <w:t>as</w:t>
      </w:r>
      <w:r w:rsidR="005E79D3" w:rsidRPr="00B151C6">
        <w:rPr>
          <w:rFonts w:ascii="Arial" w:eastAsia="Times New Roman" w:hAnsi="Arial" w:cs="Arial"/>
          <w:lang w:val="es-ES"/>
        </w:rPr>
        <w:t xml:space="preserve"> </w:t>
      </w:r>
      <w:r w:rsidRPr="00B151C6">
        <w:rPr>
          <w:rFonts w:ascii="Arial" w:eastAsia="Times New Roman" w:hAnsi="Arial" w:cs="Arial"/>
          <w:lang w:val="es-ES"/>
        </w:rPr>
        <w:t>de fondos del FMAM.</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Del mismo modo, para el Protocolo de Nagoya sobre Acceso a los Recursos Genéticos y Participación Justa y Equitativa en los Beneficios que se Deriven de su Utilización, el </w:t>
      </w:r>
      <w:r w:rsidR="006E3B50">
        <w:rPr>
          <w:rFonts w:ascii="Arial" w:eastAsia="Times New Roman" w:hAnsi="Arial" w:cs="Arial"/>
          <w:lang w:val="es-ES"/>
        </w:rPr>
        <w:t>e</w:t>
      </w:r>
      <w:r w:rsidRPr="00B151C6">
        <w:rPr>
          <w:rFonts w:ascii="Arial" w:eastAsia="Times New Roman" w:hAnsi="Arial" w:cs="Arial"/>
          <w:lang w:val="es-ES"/>
        </w:rPr>
        <w:t xml:space="preserve">quipo de </w:t>
      </w:r>
      <w:r w:rsidR="006E3B50">
        <w:rPr>
          <w:rFonts w:ascii="Arial" w:eastAsia="Times New Roman" w:hAnsi="Arial" w:cs="Arial"/>
          <w:lang w:val="es-ES"/>
        </w:rPr>
        <w:t>e</w:t>
      </w:r>
      <w:r w:rsidRPr="00B151C6">
        <w:rPr>
          <w:rFonts w:ascii="Arial" w:eastAsia="Times New Roman" w:hAnsi="Arial" w:cs="Arial"/>
          <w:lang w:val="es-ES"/>
        </w:rPr>
        <w:t xml:space="preserve">xpertos examinó las respuestas a las preguntas 62.1(¿Ha proporcionado su país a otras Partes o recibido de otras Partes o instituciones financieras recursos financieros para fines de aplicación del Protocolo conforme a lo dispuesto en el artículo 25?) y 62.3 (información sobre el estado de los fondos movilizados en apoyo a la aplicación del Protocolo) brindadas en el informe nacional provisional sobre la aplicación del Protocolo de Nagoya. Esta información fue proporcionada por un número </w:t>
      </w:r>
      <w:r w:rsidR="0080147A">
        <w:rPr>
          <w:rFonts w:ascii="Arial" w:eastAsia="Times New Roman" w:hAnsi="Arial" w:cs="Arial"/>
          <w:lang w:val="es-ES"/>
        </w:rPr>
        <w:t>reducido</w:t>
      </w:r>
      <w:r w:rsidRPr="00B151C6">
        <w:rPr>
          <w:rFonts w:ascii="Arial" w:eastAsia="Times New Roman" w:hAnsi="Arial" w:cs="Arial"/>
          <w:lang w:val="es-ES"/>
        </w:rPr>
        <w:t xml:space="preserve"> de países y, debido a que las preguntas se refieren a los esfuerzos actuales de movilización de recursos, los informes nacionales no aportan datos sobre las futuras necesidades de financiación del FMAM para el período 2022-2026.</w:t>
      </w:r>
    </w:p>
    <w:p w:rsidR="00320FA1" w:rsidRPr="00B151C6" w:rsidRDefault="00320FA1">
      <w:pPr>
        <w:pStyle w:val="BodyText"/>
        <w:widowControl w:val="0"/>
        <w:numPr>
          <w:ilvl w:val="0"/>
          <w:numId w:val="7"/>
        </w:numPr>
        <w:autoSpaceDE w:val="0"/>
        <w:autoSpaceDN w:val="0"/>
        <w:ind w:left="0" w:firstLine="0"/>
        <w:jc w:val="left"/>
        <w:outlineLvl w:val="1"/>
        <w:rPr>
          <w:rFonts w:ascii="Arial" w:eastAsia="Times New Roman" w:hAnsi="Arial" w:cs="Arial"/>
          <w:u w:val="single"/>
          <w:lang w:val="es-ES"/>
        </w:rPr>
      </w:pPr>
      <w:r w:rsidRPr="00B151C6">
        <w:rPr>
          <w:rFonts w:ascii="Arial" w:eastAsia="Times New Roman" w:hAnsi="Arial" w:cs="Arial"/>
          <w:u w:val="single"/>
          <w:lang w:val="es-ES"/>
        </w:rPr>
        <w:t>Marco de Presentación de Informes Financieros</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El </w:t>
      </w:r>
      <w:r w:rsidR="00C41A7A">
        <w:rPr>
          <w:rFonts w:ascii="Arial" w:eastAsia="Times New Roman" w:hAnsi="Arial" w:cs="Arial"/>
          <w:lang w:val="es-ES"/>
        </w:rPr>
        <w:t>e</w:t>
      </w:r>
      <w:r w:rsidRPr="00B151C6">
        <w:rPr>
          <w:rFonts w:ascii="Arial" w:eastAsia="Times New Roman" w:hAnsi="Arial" w:cs="Arial"/>
          <w:lang w:val="es-ES"/>
        </w:rPr>
        <w:t xml:space="preserve">quipo de </w:t>
      </w:r>
      <w:r w:rsidR="00C41A7A">
        <w:rPr>
          <w:rFonts w:ascii="Arial" w:eastAsia="Times New Roman" w:hAnsi="Arial" w:cs="Arial"/>
          <w:lang w:val="es-ES"/>
        </w:rPr>
        <w:t>e</w:t>
      </w:r>
      <w:r w:rsidRPr="00B151C6">
        <w:rPr>
          <w:rFonts w:ascii="Arial" w:eastAsia="Times New Roman" w:hAnsi="Arial" w:cs="Arial"/>
          <w:lang w:val="es-ES"/>
        </w:rPr>
        <w:t xml:space="preserve">xpertos examinó los informes publicados en la sección </w:t>
      </w:r>
      <w:r w:rsidRPr="00B151C6">
        <w:rPr>
          <w:rFonts w:ascii="Arial" w:eastAsia="Times New Roman" w:hAnsi="Arial" w:cs="Arial"/>
          <w:i/>
          <w:iCs/>
          <w:lang w:val="es-ES"/>
        </w:rPr>
        <w:t xml:space="preserve">Marco de </w:t>
      </w:r>
      <w:r w:rsidR="00C41A7A">
        <w:rPr>
          <w:rFonts w:ascii="Arial" w:eastAsia="Times New Roman" w:hAnsi="Arial" w:cs="Arial"/>
          <w:i/>
          <w:iCs/>
          <w:lang w:val="es-ES"/>
        </w:rPr>
        <w:t>P</w:t>
      </w:r>
      <w:r w:rsidRPr="00B151C6">
        <w:rPr>
          <w:rFonts w:ascii="Arial" w:eastAsia="Times New Roman" w:hAnsi="Arial" w:cs="Arial"/>
          <w:i/>
          <w:iCs/>
          <w:lang w:val="es-ES"/>
        </w:rPr>
        <w:t xml:space="preserve">resentación de </w:t>
      </w:r>
      <w:r w:rsidR="00C41A7A">
        <w:rPr>
          <w:rFonts w:ascii="Arial" w:eastAsia="Times New Roman" w:hAnsi="Arial" w:cs="Arial"/>
          <w:i/>
          <w:iCs/>
          <w:lang w:val="es-ES"/>
        </w:rPr>
        <w:t>I</w:t>
      </w:r>
      <w:r w:rsidRPr="00B151C6">
        <w:rPr>
          <w:rFonts w:ascii="Arial" w:eastAsia="Times New Roman" w:hAnsi="Arial" w:cs="Arial"/>
          <w:i/>
          <w:iCs/>
          <w:lang w:val="es-ES"/>
        </w:rPr>
        <w:t xml:space="preserve">nformes </w:t>
      </w:r>
      <w:r w:rsidR="00C41A7A">
        <w:rPr>
          <w:rFonts w:ascii="Arial" w:eastAsia="Times New Roman" w:hAnsi="Arial" w:cs="Arial"/>
          <w:i/>
          <w:iCs/>
          <w:lang w:val="es-ES"/>
        </w:rPr>
        <w:t>F</w:t>
      </w:r>
      <w:r w:rsidRPr="00B151C6">
        <w:rPr>
          <w:rFonts w:ascii="Arial" w:eastAsia="Times New Roman" w:hAnsi="Arial" w:cs="Arial"/>
          <w:i/>
          <w:iCs/>
          <w:lang w:val="es-ES"/>
        </w:rPr>
        <w:t xml:space="preserve">inancieros: Presentación de informes sobre los progresos hacia 2020 </w:t>
      </w:r>
      <w:r w:rsidR="00C41A7A">
        <w:rPr>
          <w:rFonts w:ascii="Arial" w:eastAsia="Times New Roman" w:hAnsi="Arial" w:cs="Arial"/>
          <w:iCs/>
          <w:lang w:val="es-ES"/>
        </w:rPr>
        <w:t xml:space="preserve">que estaban </w:t>
      </w:r>
      <w:r w:rsidRPr="00B151C6">
        <w:rPr>
          <w:rFonts w:ascii="Arial" w:eastAsia="Times New Roman" w:hAnsi="Arial" w:cs="Arial"/>
          <w:lang w:val="es-ES"/>
        </w:rPr>
        <w:t>disponibles en el Mecanismo de Facilitación del CDB.</w:t>
      </w:r>
      <w:r w:rsidRPr="00B151C6">
        <w:rPr>
          <w:rFonts w:ascii="Arial" w:eastAsia="Times New Roman" w:hAnsi="Arial" w:cs="Arial"/>
          <w:spacing w:val="1"/>
          <w:lang w:val="es-ES"/>
        </w:rPr>
        <w:t xml:space="preserve"> </w:t>
      </w:r>
      <w:r w:rsidRPr="00B151C6">
        <w:rPr>
          <w:rFonts w:ascii="Arial" w:eastAsia="Times New Roman" w:hAnsi="Arial" w:cs="Arial"/>
          <w:lang w:val="es-ES"/>
        </w:rPr>
        <w:t>En total, 48 países que reúnen las condiciones para recibir financiación del FMAM habían presentado informes con datos sobre gastos nacionales</w:t>
      </w:r>
      <w:r w:rsidR="00370EC7">
        <w:rPr>
          <w:rFonts w:ascii="Arial" w:eastAsia="Times New Roman" w:hAnsi="Arial" w:cs="Arial"/>
          <w:lang w:val="es-ES"/>
        </w:rPr>
        <w:t xml:space="preserve"> </w:t>
      </w:r>
      <w:r w:rsidR="00370EC7" w:rsidRPr="00B151C6">
        <w:rPr>
          <w:rFonts w:ascii="Arial" w:eastAsia="Times New Roman" w:hAnsi="Arial" w:cs="Arial"/>
          <w:lang w:val="es-ES"/>
        </w:rPr>
        <w:t>hasta 2015</w:t>
      </w:r>
      <w:r w:rsidRPr="00B151C6">
        <w:rPr>
          <w:rFonts w:ascii="Arial" w:eastAsia="Times New Roman" w:hAnsi="Arial" w:cs="Arial"/>
          <w:lang w:val="es-ES"/>
        </w:rPr>
        <w:t xml:space="preserve">, </w:t>
      </w:r>
      <w:r w:rsidR="00370EC7">
        <w:rPr>
          <w:rFonts w:ascii="Arial" w:eastAsia="Times New Roman" w:hAnsi="Arial" w:cs="Arial"/>
          <w:lang w:val="es-ES"/>
        </w:rPr>
        <w:t>i</w:t>
      </w:r>
      <w:r w:rsidRPr="00B151C6">
        <w:rPr>
          <w:rFonts w:ascii="Arial" w:eastAsia="Times New Roman" w:hAnsi="Arial" w:cs="Arial"/>
          <w:lang w:val="es-ES"/>
        </w:rPr>
        <w:t>n</w:t>
      </w:r>
      <w:r w:rsidR="00370EC7">
        <w:rPr>
          <w:rFonts w:ascii="Arial" w:eastAsia="Times New Roman" w:hAnsi="Arial" w:cs="Arial"/>
          <w:lang w:val="es-ES"/>
        </w:rPr>
        <w:t>d</w:t>
      </w:r>
      <w:r w:rsidRPr="00B151C6">
        <w:rPr>
          <w:rFonts w:ascii="Arial" w:eastAsia="Times New Roman" w:hAnsi="Arial" w:cs="Arial"/>
          <w:lang w:val="es-ES"/>
        </w:rPr>
        <w:t>i</w:t>
      </w:r>
      <w:r w:rsidR="00370EC7">
        <w:rPr>
          <w:rFonts w:ascii="Arial" w:eastAsia="Times New Roman" w:hAnsi="Arial" w:cs="Arial"/>
          <w:lang w:val="es-ES"/>
        </w:rPr>
        <w:t>ca</w:t>
      </w:r>
      <w:r w:rsidRPr="00B151C6">
        <w:rPr>
          <w:rFonts w:ascii="Arial" w:eastAsia="Times New Roman" w:hAnsi="Arial" w:cs="Arial"/>
          <w:lang w:val="es-ES"/>
        </w:rPr>
        <w:t>nd</w:t>
      </w:r>
      <w:r w:rsidR="00370EC7">
        <w:rPr>
          <w:rFonts w:ascii="Arial" w:eastAsia="Times New Roman" w:hAnsi="Arial" w:cs="Arial"/>
          <w:lang w:val="es-ES"/>
        </w:rPr>
        <w:t>o</w:t>
      </w:r>
      <w:r w:rsidRPr="00B151C6">
        <w:rPr>
          <w:rFonts w:ascii="Arial" w:eastAsia="Times New Roman" w:hAnsi="Arial" w:cs="Arial"/>
          <w:lang w:val="es-ES"/>
        </w:rPr>
        <w:t xml:space="preserve"> las fuentes de financiación, para lograr las Metas de Aichi para la Diversidad Biológica para 2020.</w:t>
      </w:r>
      <w:r w:rsidRPr="00B151C6">
        <w:rPr>
          <w:rFonts w:ascii="Arial" w:eastAsia="Times New Roman" w:hAnsi="Arial" w:cs="Arial"/>
          <w:sz w:val="21"/>
          <w:szCs w:val="21"/>
          <w:lang w:val="es-ES"/>
        </w:rPr>
        <w:t xml:space="preserve"> </w:t>
      </w:r>
      <w:r w:rsidRPr="00B151C6">
        <w:rPr>
          <w:rFonts w:ascii="Arial" w:eastAsia="Times New Roman" w:hAnsi="Arial" w:cs="Arial"/>
          <w:lang w:val="es-ES"/>
        </w:rPr>
        <w:t>Además, 17 países habían presentado informes financieros con datos hasta 2020, de los cuales solo 4 eran países que reunían las condiciones para recibir financiación del FMAM.</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Una comparación de los gastos nacionales anuales informados </w:t>
      </w:r>
      <w:r w:rsidR="00370EC7">
        <w:rPr>
          <w:rFonts w:ascii="Arial" w:eastAsia="Times New Roman" w:hAnsi="Arial" w:cs="Arial"/>
          <w:lang w:val="es-ES"/>
        </w:rPr>
        <w:t>de</w:t>
      </w:r>
      <w:r w:rsidRPr="00B151C6">
        <w:rPr>
          <w:rFonts w:ascii="Arial" w:eastAsia="Times New Roman" w:hAnsi="Arial" w:cs="Arial"/>
          <w:lang w:val="es-ES"/>
        </w:rPr>
        <w:t xml:space="preserve"> una selección de 48 países de Asia y el Pacífico, Europa, África y América Latina y el Caribe que habían proporcionado información</w:t>
      </w:r>
      <w:r w:rsidR="00C41A7A">
        <w:rPr>
          <w:rFonts w:ascii="Arial" w:eastAsia="Times New Roman" w:hAnsi="Arial" w:cs="Arial"/>
          <w:lang w:val="es-ES"/>
        </w:rPr>
        <w:t xml:space="preserve"> financiera hasta 2015 contra </w:t>
      </w:r>
      <w:r w:rsidRPr="00B151C6">
        <w:rPr>
          <w:rFonts w:ascii="Arial" w:eastAsia="Times New Roman" w:hAnsi="Arial" w:cs="Arial"/>
          <w:lang w:val="es-ES"/>
        </w:rPr>
        <w:t xml:space="preserve">una asignación anualizada del </w:t>
      </w:r>
      <w:r w:rsidR="00370EC7">
        <w:rPr>
          <w:rFonts w:ascii="Arial" w:eastAsia="Times New Roman" w:hAnsi="Arial" w:cs="Arial"/>
          <w:lang w:val="es-ES"/>
        </w:rPr>
        <w:t>Sistema para la Asignación Transparente de Recursos (</w:t>
      </w:r>
      <w:r w:rsidRPr="00B151C6">
        <w:rPr>
          <w:rFonts w:ascii="Arial" w:eastAsia="Times New Roman" w:hAnsi="Arial" w:cs="Arial"/>
          <w:lang w:val="es-ES"/>
        </w:rPr>
        <w:t>SATR</w:t>
      </w:r>
      <w:r w:rsidR="00370EC7">
        <w:rPr>
          <w:rFonts w:ascii="Arial" w:eastAsia="Times New Roman" w:hAnsi="Arial" w:cs="Arial"/>
          <w:lang w:val="es-ES"/>
        </w:rPr>
        <w:t>)</w:t>
      </w:r>
      <w:r w:rsidRPr="00B151C6">
        <w:rPr>
          <w:rFonts w:ascii="Arial" w:eastAsia="Times New Roman" w:hAnsi="Arial" w:cs="Arial"/>
          <w:lang w:val="es-ES"/>
        </w:rPr>
        <w:t xml:space="preserve"> del FMAM-7 (solo </w:t>
      </w:r>
      <w:r w:rsidR="00C41A7A">
        <w:rPr>
          <w:rFonts w:ascii="Arial" w:eastAsia="Times New Roman" w:hAnsi="Arial" w:cs="Arial"/>
          <w:lang w:val="es-ES"/>
        </w:rPr>
        <w:t>en</w:t>
      </w:r>
      <w:r w:rsidRPr="00B151C6">
        <w:rPr>
          <w:rFonts w:ascii="Arial" w:eastAsia="Times New Roman" w:hAnsi="Arial" w:cs="Arial"/>
          <w:lang w:val="es-ES"/>
        </w:rPr>
        <w:t xml:space="preserve"> </w:t>
      </w:r>
      <w:r w:rsidR="00C41A7A">
        <w:rPr>
          <w:rFonts w:ascii="Arial" w:eastAsia="Times New Roman" w:hAnsi="Arial" w:cs="Arial"/>
          <w:lang w:val="es-ES"/>
        </w:rPr>
        <w:t xml:space="preserve">la </w:t>
      </w:r>
      <w:r w:rsidRPr="00B151C6">
        <w:rPr>
          <w:rFonts w:ascii="Arial" w:eastAsia="Times New Roman" w:hAnsi="Arial" w:cs="Arial"/>
          <w:lang w:val="es-ES"/>
        </w:rPr>
        <w:t>asignación para diversidad</w:t>
      </w:r>
      <w:r w:rsidR="00C41A7A">
        <w:rPr>
          <w:rFonts w:ascii="Arial" w:eastAsia="Times New Roman" w:hAnsi="Arial" w:cs="Arial"/>
          <w:lang w:val="es-ES"/>
        </w:rPr>
        <w:t xml:space="preserve"> biológica</w:t>
      </w:r>
      <w:r w:rsidRPr="00B151C6">
        <w:rPr>
          <w:rFonts w:ascii="Arial" w:eastAsia="Times New Roman" w:hAnsi="Arial" w:cs="Arial"/>
          <w:lang w:val="es-ES"/>
        </w:rPr>
        <w:t>) arroja que para la mayoría (</w:t>
      </w:r>
      <w:r w:rsidR="00C41A7A">
        <w:rPr>
          <w:rFonts w:ascii="Arial" w:eastAsia="Times New Roman" w:hAnsi="Arial" w:cs="Arial"/>
          <w:lang w:val="es-ES"/>
        </w:rPr>
        <w:t xml:space="preserve">un </w:t>
      </w:r>
      <w:r w:rsidRPr="00B151C6">
        <w:rPr>
          <w:rFonts w:ascii="Arial" w:eastAsia="Times New Roman" w:hAnsi="Arial" w:cs="Arial"/>
          <w:lang w:val="es-ES"/>
        </w:rPr>
        <w:t xml:space="preserve">65 % o 31 de </w:t>
      </w:r>
      <w:r w:rsidR="00370EC7">
        <w:rPr>
          <w:rFonts w:ascii="Arial" w:eastAsia="Times New Roman" w:hAnsi="Arial" w:cs="Arial"/>
          <w:lang w:val="es-ES"/>
        </w:rPr>
        <w:t xml:space="preserve">los </w:t>
      </w:r>
      <w:r w:rsidRPr="00B151C6">
        <w:rPr>
          <w:rFonts w:ascii="Arial" w:eastAsia="Times New Roman" w:hAnsi="Arial" w:cs="Arial"/>
          <w:lang w:val="es-ES"/>
        </w:rPr>
        <w:t>48 países) la asignación anualizada del SATR del FMAM representó entre el 1 % y el 10 % de su</w:t>
      </w:r>
      <w:r w:rsidR="00370EC7">
        <w:rPr>
          <w:rFonts w:ascii="Arial" w:eastAsia="Times New Roman" w:hAnsi="Arial" w:cs="Arial"/>
          <w:lang w:val="es-ES"/>
        </w:rPr>
        <w:t>s</w:t>
      </w:r>
      <w:r w:rsidRPr="00B151C6">
        <w:rPr>
          <w:rFonts w:ascii="Arial" w:eastAsia="Times New Roman" w:hAnsi="Arial" w:cs="Arial"/>
          <w:lang w:val="es-ES"/>
        </w:rPr>
        <w:t xml:space="preserve"> gasto</w:t>
      </w:r>
      <w:r w:rsidR="00370EC7">
        <w:rPr>
          <w:rFonts w:ascii="Arial" w:eastAsia="Times New Roman" w:hAnsi="Arial" w:cs="Arial"/>
          <w:lang w:val="es-ES"/>
        </w:rPr>
        <w:t>s</w:t>
      </w:r>
      <w:r w:rsidRPr="00B151C6">
        <w:rPr>
          <w:rFonts w:ascii="Arial" w:eastAsia="Times New Roman" w:hAnsi="Arial" w:cs="Arial"/>
          <w:lang w:val="es-ES"/>
        </w:rPr>
        <w:t xml:space="preserve"> nacional</w:t>
      </w:r>
      <w:r w:rsidR="00370EC7">
        <w:rPr>
          <w:rFonts w:ascii="Arial" w:eastAsia="Times New Roman" w:hAnsi="Arial" w:cs="Arial"/>
          <w:lang w:val="es-ES"/>
        </w:rPr>
        <w:t>es</w:t>
      </w:r>
      <w:r w:rsidRPr="00B151C6">
        <w:rPr>
          <w:rFonts w:ascii="Arial" w:eastAsia="Times New Roman" w:hAnsi="Arial" w:cs="Arial"/>
          <w:lang w:val="es-ES"/>
        </w:rPr>
        <w:t xml:space="preserve"> propio</w:t>
      </w:r>
      <w:r w:rsidR="00370EC7">
        <w:rPr>
          <w:rFonts w:ascii="Arial" w:eastAsia="Times New Roman" w:hAnsi="Arial" w:cs="Arial"/>
          <w:lang w:val="es-ES"/>
        </w:rPr>
        <w:t>s</w:t>
      </w:r>
      <w:r w:rsidRPr="00B151C6">
        <w:rPr>
          <w:rFonts w:ascii="Arial" w:eastAsia="Times New Roman" w:hAnsi="Arial" w:cs="Arial"/>
          <w:lang w:val="es-ES"/>
        </w:rPr>
        <w:t xml:space="preserve">, mientras que para un 23 % (11 de </w:t>
      </w:r>
      <w:r w:rsidR="00370EC7">
        <w:rPr>
          <w:rFonts w:ascii="Arial" w:eastAsia="Times New Roman" w:hAnsi="Arial" w:cs="Arial"/>
          <w:lang w:val="es-ES"/>
        </w:rPr>
        <w:t xml:space="preserve">los </w:t>
      </w:r>
      <w:r w:rsidRPr="00B151C6">
        <w:rPr>
          <w:rFonts w:ascii="Arial" w:eastAsia="Times New Roman" w:hAnsi="Arial" w:cs="Arial"/>
          <w:lang w:val="es-ES"/>
        </w:rPr>
        <w:t>48 países) representó entre el 11 % y el 50 % de su</w:t>
      </w:r>
      <w:r w:rsidR="00370EC7">
        <w:rPr>
          <w:rFonts w:ascii="Arial" w:eastAsia="Times New Roman" w:hAnsi="Arial" w:cs="Arial"/>
          <w:lang w:val="es-ES"/>
        </w:rPr>
        <w:t>s</w:t>
      </w:r>
      <w:r w:rsidRPr="00B151C6">
        <w:rPr>
          <w:rFonts w:ascii="Arial" w:eastAsia="Times New Roman" w:hAnsi="Arial" w:cs="Arial"/>
          <w:lang w:val="es-ES"/>
        </w:rPr>
        <w:t xml:space="preserve"> gasto</w:t>
      </w:r>
      <w:r w:rsidR="00370EC7">
        <w:rPr>
          <w:rFonts w:ascii="Arial" w:eastAsia="Times New Roman" w:hAnsi="Arial" w:cs="Arial"/>
          <w:lang w:val="es-ES"/>
        </w:rPr>
        <w:t>s</w:t>
      </w:r>
      <w:r w:rsidRPr="00B151C6">
        <w:rPr>
          <w:rFonts w:ascii="Arial" w:eastAsia="Times New Roman" w:hAnsi="Arial" w:cs="Arial"/>
          <w:lang w:val="es-ES"/>
        </w:rPr>
        <w:t xml:space="preserve"> nacional</w:t>
      </w:r>
      <w:r w:rsidR="00370EC7">
        <w:rPr>
          <w:rFonts w:ascii="Arial" w:eastAsia="Times New Roman" w:hAnsi="Arial" w:cs="Arial"/>
          <w:lang w:val="es-ES"/>
        </w:rPr>
        <w:t>es</w:t>
      </w:r>
      <w:r w:rsidRPr="00B151C6">
        <w:rPr>
          <w:rFonts w:ascii="Arial" w:eastAsia="Times New Roman" w:hAnsi="Arial" w:cs="Arial"/>
          <w:lang w:val="es-ES"/>
        </w:rPr>
        <w:t xml:space="preserve"> propio</w:t>
      </w:r>
      <w:r w:rsidR="00370EC7">
        <w:rPr>
          <w:rFonts w:ascii="Arial" w:eastAsia="Times New Roman" w:hAnsi="Arial" w:cs="Arial"/>
          <w:lang w:val="es-ES"/>
        </w:rPr>
        <w:t>s</w:t>
      </w:r>
      <w:r w:rsidRPr="00B151C6">
        <w:rPr>
          <w:rFonts w:ascii="Arial" w:eastAsia="Times New Roman" w:hAnsi="Arial" w:cs="Arial"/>
          <w:lang w:val="es-ES"/>
        </w:rPr>
        <w:t xml:space="preserve"> y para el restante 13 % (6 de </w:t>
      </w:r>
      <w:r w:rsidR="00370EC7">
        <w:rPr>
          <w:rFonts w:ascii="Arial" w:eastAsia="Times New Roman" w:hAnsi="Arial" w:cs="Arial"/>
          <w:lang w:val="es-ES"/>
        </w:rPr>
        <w:t xml:space="preserve">los </w:t>
      </w:r>
      <w:r w:rsidRPr="00B151C6">
        <w:rPr>
          <w:rFonts w:ascii="Arial" w:eastAsia="Times New Roman" w:hAnsi="Arial" w:cs="Arial"/>
          <w:lang w:val="es-ES"/>
        </w:rPr>
        <w:t>48 países) representó más del 51 % de su</w:t>
      </w:r>
      <w:r w:rsidR="00370EC7">
        <w:rPr>
          <w:rFonts w:ascii="Arial" w:eastAsia="Times New Roman" w:hAnsi="Arial" w:cs="Arial"/>
          <w:lang w:val="es-ES"/>
        </w:rPr>
        <w:t>s</w:t>
      </w:r>
      <w:r w:rsidRPr="00B151C6">
        <w:rPr>
          <w:rFonts w:ascii="Arial" w:eastAsia="Times New Roman" w:hAnsi="Arial" w:cs="Arial"/>
          <w:lang w:val="es-ES"/>
        </w:rPr>
        <w:t xml:space="preserve"> gasto</w:t>
      </w:r>
      <w:r w:rsidR="00370EC7">
        <w:rPr>
          <w:rFonts w:ascii="Arial" w:eastAsia="Times New Roman" w:hAnsi="Arial" w:cs="Arial"/>
          <w:lang w:val="es-ES"/>
        </w:rPr>
        <w:t>s</w:t>
      </w:r>
      <w:r w:rsidRPr="00B151C6">
        <w:rPr>
          <w:rFonts w:ascii="Arial" w:eastAsia="Times New Roman" w:hAnsi="Arial" w:cs="Arial"/>
          <w:lang w:val="es-ES"/>
        </w:rPr>
        <w:t xml:space="preserve"> nacional</w:t>
      </w:r>
      <w:r w:rsidR="00370EC7">
        <w:rPr>
          <w:rFonts w:ascii="Arial" w:eastAsia="Times New Roman" w:hAnsi="Arial" w:cs="Arial"/>
          <w:lang w:val="es-ES"/>
        </w:rPr>
        <w:t>es</w:t>
      </w:r>
      <w:r w:rsidRPr="00B151C6">
        <w:rPr>
          <w:rFonts w:ascii="Arial" w:eastAsia="Times New Roman" w:hAnsi="Arial" w:cs="Arial"/>
          <w:lang w:val="es-ES"/>
        </w:rPr>
        <w:t xml:space="preserve"> propio</w:t>
      </w:r>
      <w:r w:rsidR="00370EC7">
        <w:rPr>
          <w:rFonts w:ascii="Arial" w:eastAsia="Times New Roman" w:hAnsi="Arial" w:cs="Arial"/>
          <w:lang w:val="es-ES"/>
        </w:rPr>
        <w:t>s</w:t>
      </w:r>
      <w:r w:rsidRPr="00B151C6">
        <w:rPr>
          <w:rFonts w:ascii="Arial" w:eastAsia="Times New Roman" w:hAnsi="Arial" w:cs="Arial"/>
          <w:lang w:val="es-ES"/>
        </w:rPr>
        <w:t>.</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En cuanto a los informes financieros que llegan hasta 2020</w:t>
      </w:r>
      <w:r w:rsidR="00370EC7">
        <w:rPr>
          <w:rFonts w:ascii="Arial" w:eastAsia="Times New Roman" w:hAnsi="Arial" w:cs="Arial"/>
          <w:lang w:val="es-ES"/>
        </w:rPr>
        <w:t>.</w:t>
      </w:r>
      <w:r w:rsidRPr="00B151C6">
        <w:rPr>
          <w:rFonts w:ascii="Arial" w:eastAsia="Times New Roman" w:hAnsi="Arial" w:cs="Arial"/>
          <w:lang w:val="es-ES"/>
        </w:rPr>
        <w:t xml:space="preserve"> publicados en el Mecanismo de Facilitación del CDB, de los 12 países europeos que reúnen las condiciones para recibir financiación del FMAM, el 33 % había dado algunos datos financieros en sus últimos informes nacionales</w:t>
      </w:r>
      <w:r w:rsidR="00233517">
        <w:rPr>
          <w:rFonts w:ascii="Arial" w:eastAsia="Times New Roman" w:hAnsi="Arial" w:cs="Arial"/>
          <w:lang w:val="es-ES"/>
        </w:rPr>
        <w:t>. T</w:t>
      </w:r>
      <w:r w:rsidRPr="00B151C6">
        <w:rPr>
          <w:rFonts w:ascii="Arial" w:eastAsia="Times New Roman" w:hAnsi="Arial" w:cs="Arial"/>
          <w:lang w:val="es-ES"/>
        </w:rPr>
        <w:t>ambién lo habían hecho el 34 % de los 53 países africanos que reúnen las condiciones, el 45 % de los 33 países de América Latina y el Caribe que reúnen las condiciones y el 27 % de los 45 países de Asia y el Pa</w:t>
      </w:r>
      <w:r w:rsidR="00233517">
        <w:rPr>
          <w:rFonts w:ascii="Arial" w:eastAsia="Times New Roman" w:hAnsi="Arial" w:cs="Arial"/>
          <w:lang w:val="es-ES"/>
        </w:rPr>
        <w:t xml:space="preserve">cífico. Los datos financieros </w:t>
      </w:r>
      <w:r w:rsidRPr="00B151C6">
        <w:rPr>
          <w:rFonts w:ascii="Arial" w:eastAsia="Times New Roman" w:hAnsi="Arial" w:cs="Arial"/>
          <w:lang w:val="es-ES"/>
        </w:rPr>
        <w:t>in</w:t>
      </w:r>
      <w:r w:rsidR="00233517">
        <w:rPr>
          <w:rFonts w:ascii="Arial" w:eastAsia="Times New Roman" w:hAnsi="Arial" w:cs="Arial"/>
          <w:lang w:val="es-ES"/>
        </w:rPr>
        <w:t>form</w:t>
      </w:r>
      <w:r w:rsidRPr="00B151C6">
        <w:rPr>
          <w:rFonts w:ascii="Arial" w:eastAsia="Times New Roman" w:hAnsi="Arial" w:cs="Arial"/>
          <w:lang w:val="es-ES"/>
        </w:rPr>
        <w:t>ados corresponden a gastos nacionales.</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sz w:val="21"/>
          <w:szCs w:val="21"/>
          <w:lang w:val="es-ES"/>
        </w:rPr>
      </w:pPr>
      <w:r w:rsidRPr="00B151C6">
        <w:rPr>
          <w:rFonts w:ascii="Arial" w:eastAsia="Times New Roman" w:hAnsi="Arial" w:cs="Arial"/>
          <w:lang w:val="es-ES"/>
        </w:rPr>
        <w:t>Además de los datos sobre gasto</w:t>
      </w:r>
      <w:r w:rsidR="00233517">
        <w:rPr>
          <w:rFonts w:ascii="Arial" w:eastAsia="Times New Roman" w:hAnsi="Arial" w:cs="Arial"/>
          <w:lang w:val="es-ES"/>
        </w:rPr>
        <w:t>s</w:t>
      </w:r>
      <w:r w:rsidRPr="00B151C6">
        <w:rPr>
          <w:rFonts w:ascii="Arial" w:eastAsia="Times New Roman" w:hAnsi="Arial" w:cs="Arial"/>
          <w:lang w:val="es-ES"/>
        </w:rPr>
        <w:t xml:space="preserve"> nacional</w:t>
      </w:r>
      <w:r w:rsidR="00233517">
        <w:rPr>
          <w:rFonts w:ascii="Arial" w:eastAsia="Times New Roman" w:hAnsi="Arial" w:cs="Arial"/>
          <w:lang w:val="es-ES"/>
        </w:rPr>
        <w:t>es</w:t>
      </w:r>
      <w:r w:rsidRPr="00B151C6">
        <w:rPr>
          <w:rFonts w:ascii="Arial" w:eastAsia="Times New Roman" w:hAnsi="Arial" w:cs="Arial"/>
          <w:lang w:val="es-ES"/>
        </w:rPr>
        <w:t xml:space="preserve"> </w:t>
      </w:r>
      <w:r w:rsidR="00233517">
        <w:rPr>
          <w:rFonts w:ascii="Arial" w:eastAsia="Times New Roman" w:hAnsi="Arial" w:cs="Arial"/>
          <w:lang w:val="es-ES"/>
        </w:rPr>
        <w:t>d</w:t>
      </w:r>
      <w:r w:rsidRPr="00B151C6">
        <w:rPr>
          <w:rFonts w:ascii="Arial" w:eastAsia="Times New Roman" w:hAnsi="Arial" w:cs="Arial"/>
          <w:lang w:val="es-ES"/>
        </w:rPr>
        <w:t xml:space="preserve">el último decenio, el </w:t>
      </w:r>
      <w:r w:rsidR="00233517">
        <w:rPr>
          <w:rFonts w:ascii="Arial" w:eastAsia="Times New Roman" w:hAnsi="Arial" w:cs="Arial"/>
          <w:lang w:val="es-ES"/>
        </w:rPr>
        <w:t>e</w:t>
      </w:r>
      <w:r w:rsidRPr="00B151C6">
        <w:rPr>
          <w:rFonts w:ascii="Arial" w:eastAsia="Times New Roman" w:hAnsi="Arial" w:cs="Arial"/>
          <w:lang w:val="es-ES"/>
        </w:rPr>
        <w:t xml:space="preserve">quipo de </w:t>
      </w:r>
      <w:r w:rsidR="00233517">
        <w:rPr>
          <w:rFonts w:ascii="Arial" w:eastAsia="Times New Roman" w:hAnsi="Arial" w:cs="Arial"/>
          <w:lang w:val="es-ES"/>
        </w:rPr>
        <w:t>e</w:t>
      </w:r>
      <w:r w:rsidRPr="00B151C6">
        <w:rPr>
          <w:rFonts w:ascii="Arial" w:eastAsia="Times New Roman" w:hAnsi="Arial" w:cs="Arial"/>
          <w:lang w:val="es-ES"/>
        </w:rPr>
        <w:t xml:space="preserve">xpertos examinó la asignación efectiva </w:t>
      </w:r>
      <w:r w:rsidR="00370EC7">
        <w:rPr>
          <w:rFonts w:ascii="Arial" w:eastAsia="Times New Roman" w:hAnsi="Arial" w:cs="Arial"/>
          <w:lang w:val="es-ES"/>
        </w:rPr>
        <w:t>a</w:t>
      </w:r>
      <w:r w:rsidR="00370EC7" w:rsidRPr="00B151C6">
        <w:rPr>
          <w:rFonts w:ascii="Arial" w:eastAsia="Times New Roman" w:hAnsi="Arial" w:cs="Arial"/>
          <w:lang w:val="es-ES"/>
        </w:rPr>
        <w:t xml:space="preserve"> países </w:t>
      </w:r>
      <w:r w:rsidR="00370EC7">
        <w:rPr>
          <w:rFonts w:ascii="Arial" w:eastAsia="Times New Roman" w:hAnsi="Arial" w:cs="Arial"/>
          <w:lang w:val="es-ES"/>
        </w:rPr>
        <w:t xml:space="preserve">en el marco </w:t>
      </w:r>
      <w:r w:rsidRPr="00B151C6">
        <w:rPr>
          <w:rFonts w:ascii="Arial" w:eastAsia="Times New Roman" w:hAnsi="Arial" w:cs="Arial"/>
          <w:lang w:val="es-ES"/>
        </w:rPr>
        <w:t>del SATR en el FMAM-7 compar</w:t>
      </w:r>
      <w:r w:rsidR="00233517">
        <w:rPr>
          <w:rFonts w:ascii="Arial" w:eastAsia="Times New Roman" w:hAnsi="Arial" w:cs="Arial"/>
          <w:lang w:val="es-ES"/>
        </w:rPr>
        <w:t>á</w:t>
      </w:r>
      <w:r w:rsidRPr="00B151C6">
        <w:rPr>
          <w:rFonts w:ascii="Arial" w:eastAsia="Times New Roman" w:hAnsi="Arial" w:cs="Arial"/>
          <w:lang w:val="es-ES"/>
        </w:rPr>
        <w:t>n</w:t>
      </w:r>
      <w:r w:rsidR="00233517">
        <w:rPr>
          <w:rFonts w:ascii="Arial" w:eastAsia="Times New Roman" w:hAnsi="Arial" w:cs="Arial"/>
          <w:lang w:val="es-ES"/>
        </w:rPr>
        <w:t>dola</w:t>
      </w:r>
      <w:r w:rsidRPr="00B151C6">
        <w:rPr>
          <w:rFonts w:ascii="Arial" w:eastAsia="Times New Roman" w:hAnsi="Arial" w:cs="Arial"/>
          <w:lang w:val="es-ES"/>
        </w:rPr>
        <w:t xml:space="preserve"> con sus necesidades estimadas </w:t>
      </w:r>
      <w:r w:rsidR="00233517">
        <w:rPr>
          <w:rFonts w:ascii="Arial" w:eastAsia="Times New Roman" w:hAnsi="Arial" w:cs="Arial"/>
          <w:lang w:val="es-ES"/>
        </w:rPr>
        <w:t>a partir</w:t>
      </w:r>
      <w:r w:rsidRPr="00B151C6">
        <w:rPr>
          <w:rFonts w:ascii="Arial" w:eastAsia="Times New Roman" w:hAnsi="Arial" w:cs="Arial"/>
          <w:lang w:val="es-ES"/>
        </w:rPr>
        <w:t xml:space="preserve"> </w:t>
      </w:r>
      <w:r w:rsidR="00233517">
        <w:rPr>
          <w:rFonts w:ascii="Arial" w:eastAsia="Times New Roman" w:hAnsi="Arial" w:cs="Arial"/>
          <w:lang w:val="es-ES"/>
        </w:rPr>
        <w:t xml:space="preserve">del cuestionario del CDB sobre </w:t>
      </w:r>
      <w:r w:rsidRPr="00B151C6">
        <w:rPr>
          <w:rFonts w:ascii="Arial" w:eastAsia="Times New Roman" w:hAnsi="Arial" w:cs="Arial"/>
          <w:lang w:val="es-ES"/>
        </w:rPr>
        <w:t>evaluación de necesidades de 2016.</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sz w:val="13"/>
          <w:szCs w:val="13"/>
          <w:lang w:val="es-ES"/>
        </w:rPr>
      </w:pPr>
      <w:r w:rsidRPr="00B151C6">
        <w:rPr>
          <w:rFonts w:ascii="Arial" w:eastAsia="Times New Roman" w:hAnsi="Arial" w:cs="Arial"/>
          <w:lang w:val="es-ES"/>
        </w:rPr>
        <w:t xml:space="preserve">Para los 52 países que reúnen las condiciones para recibir financiación del FMAM que habían llenado el cuestionario de evaluación de necesidades en 2016, el </w:t>
      </w:r>
      <w:r w:rsidR="00233517">
        <w:rPr>
          <w:rFonts w:ascii="Arial" w:eastAsia="Times New Roman" w:hAnsi="Arial" w:cs="Arial"/>
          <w:lang w:val="es-ES"/>
        </w:rPr>
        <w:t>e</w:t>
      </w:r>
      <w:r w:rsidRPr="00B151C6">
        <w:rPr>
          <w:rFonts w:ascii="Arial" w:eastAsia="Times New Roman" w:hAnsi="Arial" w:cs="Arial"/>
          <w:lang w:val="es-ES"/>
        </w:rPr>
        <w:t xml:space="preserve">quipo de </w:t>
      </w:r>
      <w:r w:rsidR="00233517">
        <w:rPr>
          <w:rFonts w:ascii="Arial" w:eastAsia="Times New Roman" w:hAnsi="Arial" w:cs="Arial"/>
          <w:lang w:val="es-ES"/>
        </w:rPr>
        <w:t>e</w:t>
      </w:r>
      <w:r w:rsidRPr="00B151C6">
        <w:rPr>
          <w:rFonts w:ascii="Arial" w:eastAsia="Times New Roman" w:hAnsi="Arial" w:cs="Arial"/>
          <w:lang w:val="es-ES"/>
        </w:rPr>
        <w:t xml:space="preserve">xpertos </w:t>
      </w:r>
      <w:r w:rsidRPr="00B151C6">
        <w:rPr>
          <w:rFonts w:ascii="Arial" w:eastAsia="Times New Roman" w:hAnsi="Arial" w:cs="Arial"/>
          <w:lang w:val="es-ES"/>
        </w:rPr>
        <w:lastRenderedPageBreak/>
        <w:t xml:space="preserve">comparó las necesidades financieras estimadas en el cuestionario con </w:t>
      </w:r>
      <w:r w:rsidR="00233517">
        <w:rPr>
          <w:rFonts w:ascii="Arial" w:eastAsia="Times New Roman" w:hAnsi="Arial" w:cs="Arial"/>
          <w:lang w:val="es-ES"/>
        </w:rPr>
        <w:t>el monto</w:t>
      </w:r>
      <w:r w:rsidRPr="00B151C6">
        <w:rPr>
          <w:rFonts w:ascii="Arial" w:eastAsia="Times New Roman" w:hAnsi="Arial" w:cs="Arial"/>
          <w:lang w:val="es-ES"/>
        </w:rPr>
        <w:t xml:space="preserve"> asignad</w:t>
      </w:r>
      <w:r w:rsidR="00233517">
        <w:rPr>
          <w:rFonts w:ascii="Arial" w:eastAsia="Times New Roman" w:hAnsi="Arial" w:cs="Arial"/>
          <w:lang w:val="es-ES"/>
        </w:rPr>
        <w:t>o</w:t>
      </w:r>
      <w:r w:rsidRPr="00B151C6">
        <w:rPr>
          <w:rFonts w:ascii="Arial" w:eastAsia="Times New Roman" w:hAnsi="Arial" w:cs="Arial"/>
          <w:lang w:val="es-ES"/>
        </w:rPr>
        <w:t xml:space="preserve"> en el marco de la asignación del SATR del FMAM-7 únicamente para diversidad biológica (sin la financiación de los programas de impacto o las asignaciones del SATR de otras áreas que podrían haber incluido resultados de diversidad biológica)</w:t>
      </w:r>
      <w:r w:rsidRPr="00B151C6">
        <w:rPr>
          <w:rStyle w:val="FootnoteReference"/>
          <w:rFonts w:ascii="Arial" w:eastAsia="Times New Roman" w:hAnsi="Arial" w:cs="Arial"/>
          <w:lang w:val="es-ES"/>
        </w:rPr>
        <w:footnoteReference w:id="10"/>
      </w:r>
      <w:r w:rsidRPr="00B151C6">
        <w:rPr>
          <w:rFonts w:ascii="Arial" w:eastAsia="Times New Roman" w:hAnsi="Arial" w:cs="Arial"/>
          <w:lang w:val="es-ES"/>
        </w:rPr>
        <w:t>.</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strike/>
          <w:lang w:val="es-ES"/>
        </w:rPr>
      </w:pPr>
      <w:r w:rsidRPr="00B151C6">
        <w:rPr>
          <w:rFonts w:ascii="Arial" w:eastAsia="Times New Roman" w:hAnsi="Arial" w:cs="Arial"/>
          <w:lang w:val="es-ES"/>
        </w:rPr>
        <w:t xml:space="preserve">Esta comparación demuestra que la </w:t>
      </w:r>
      <w:r w:rsidR="00836CAA">
        <w:rPr>
          <w:rFonts w:ascii="Arial" w:eastAsia="Times New Roman" w:hAnsi="Arial" w:cs="Arial"/>
          <w:lang w:val="es-ES"/>
        </w:rPr>
        <w:t xml:space="preserve">porción </w:t>
      </w:r>
      <w:r w:rsidRPr="00B151C6">
        <w:rPr>
          <w:rFonts w:ascii="Arial" w:eastAsia="Times New Roman" w:hAnsi="Arial" w:cs="Arial"/>
          <w:lang w:val="es-ES"/>
        </w:rPr>
        <w:t>m</w:t>
      </w:r>
      <w:r w:rsidR="00836CAA">
        <w:rPr>
          <w:rFonts w:ascii="Arial" w:eastAsia="Times New Roman" w:hAnsi="Arial" w:cs="Arial"/>
          <w:lang w:val="es-ES"/>
        </w:rPr>
        <w:t>ás g</w:t>
      </w:r>
      <w:r w:rsidRPr="00B151C6">
        <w:rPr>
          <w:rFonts w:ascii="Arial" w:eastAsia="Times New Roman" w:hAnsi="Arial" w:cs="Arial"/>
          <w:lang w:val="es-ES"/>
        </w:rPr>
        <w:t>ra</w:t>
      </w:r>
      <w:r w:rsidR="00836CAA">
        <w:rPr>
          <w:rFonts w:ascii="Arial" w:eastAsia="Times New Roman" w:hAnsi="Arial" w:cs="Arial"/>
          <w:lang w:val="es-ES"/>
        </w:rPr>
        <w:t>nd</w:t>
      </w:r>
      <w:r w:rsidRPr="00B151C6">
        <w:rPr>
          <w:rFonts w:ascii="Arial" w:eastAsia="Times New Roman" w:hAnsi="Arial" w:cs="Arial"/>
          <w:lang w:val="es-ES"/>
        </w:rPr>
        <w:t>e de países (el 40 % o 21 de 52 países) que llenaron el cuestionario en 2016 recibieron, en el marco de la asignación del SATR para diversidad biológica del FMAM-7, 20 % o menos de sus necesidades de financiación estimadas declaradas en el cuestionario; el 31 % (o 16 de 52) recibió entre un 21 % y un 50 %, el 19 % (o 10 de 52) recibió entre un 51 % y un 100 %, mientras que el 10 % (o 5 de 52) recibió una cantidad superior a la que había estimado.</w:t>
      </w:r>
    </w:p>
    <w:p w:rsidR="00320FA1" w:rsidRPr="00B151C6" w:rsidRDefault="00320FA1">
      <w:pPr>
        <w:pStyle w:val="BodyText"/>
        <w:widowControl w:val="0"/>
        <w:numPr>
          <w:ilvl w:val="0"/>
          <w:numId w:val="7"/>
        </w:numPr>
        <w:autoSpaceDE w:val="0"/>
        <w:autoSpaceDN w:val="0"/>
        <w:spacing w:before="0" w:after="0"/>
        <w:ind w:left="0" w:firstLine="0"/>
        <w:jc w:val="left"/>
        <w:outlineLvl w:val="1"/>
        <w:rPr>
          <w:rFonts w:ascii="Arial" w:eastAsia="Times New Roman" w:hAnsi="Arial" w:cs="Arial"/>
          <w:u w:val="single"/>
          <w:lang w:val="es-ES"/>
        </w:rPr>
      </w:pPr>
      <w:r w:rsidRPr="00B151C6">
        <w:rPr>
          <w:rFonts w:ascii="Arial" w:eastAsia="Times New Roman" w:hAnsi="Arial" w:cs="Arial"/>
          <w:u w:val="single"/>
          <w:lang w:val="es-ES"/>
        </w:rPr>
        <w:t>BIOFIN</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El </w:t>
      </w:r>
      <w:r w:rsidR="009633A3">
        <w:rPr>
          <w:rFonts w:ascii="Arial" w:eastAsia="Times New Roman" w:hAnsi="Arial" w:cs="Arial"/>
          <w:lang w:val="es-ES"/>
        </w:rPr>
        <w:t>e</w:t>
      </w:r>
      <w:r w:rsidRPr="00B151C6">
        <w:rPr>
          <w:rFonts w:ascii="Arial" w:eastAsia="Times New Roman" w:hAnsi="Arial" w:cs="Arial"/>
          <w:lang w:val="es-ES"/>
        </w:rPr>
        <w:t xml:space="preserve">quipo de </w:t>
      </w:r>
      <w:r w:rsidR="009633A3">
        <w:rPr>
          <w:rFonts w:ascii="Arial" w:eastAsia="Times New Roman" w:hAnsi="Arial" w:cs="Arial"/>
          <w:lang w:val="es-ES"/>
        </w:rPr>
        <w:t>e</w:t>
      </w:r>
      <w:r w:rsidRPr="00B151C6">
        <w:rPr>
          <w:rFonts w:ascii="Arial" w:eastAsia="Times New Roman" w:hAnsi="Arial" w:cs="Arial"/>
          <w:lang w:val="es-ES"/>
        </w:rPr>
        <w:t xml:space="preserve">xpertos examinó todos los informes de la Iniciativa BIOFIN del </w:t>
      </w:r>
      <w:r w:rsidR="00F67764">
        <w:rPr>
          <w:rFonts w:ascii="Arial" w:eastAsia="Times New Roman" w:hAnsi="Arial" w:cs="Arial"/>
          <w:lang w:val="es-ES"/>
        </w:rPr>
        <w:t>Programa de las Naciones Unidas para el Desarrollo (</w:t>
      </w:r>
      <w:r w:rsidRPr="00B151C6">
        <w:rPr>
          <w:rFonts w:ascii="Arial" w:eastAsia="Times New Roman" w:hAnsi="Arial" w:cs="Arial"/>
          <w:lang w:val="es-ES"/>
        </w:rPr>
        <w:t>PNUD</w:t>
      </w:r>
      <w:r w:rsidR="00F67764">
        <w:rPr>
          <w:rFonts w:ascii="Arial" w:eastAsia="Times New Roman" w:hAnsi="Arial" w:cs="Arial"/>
          <w:lang w:val="es-ES"/>
        </w:rPr>
        <w:t>)</w:t>
      </w:r>
      <w:r w:rsidRPr="00B151C6">
        <w:rPr>
          <w:rFonts w:ascii="Arial" w:eastAsia="Times New Roman" w:hAnsi="Arial" w:cs="Arial"/>
          <w:lang w:val="es-ES"/>
        </w:rPr>
        <w:t xml:space="preserve"> con el fin de extraer información y datos sobre las necesidades de financiación de los países. Actualmente, BIOFIN </w:t>
      </w:r>
      <w:r w:rsidR="00F67764">
        <w:rPr>
          <w:rFonts w:ascii="Arial" w:eastAsia="Times New Roman" w:hAnsi="Arial" w:cs="Arial"/>
          <w:lang w:val="es-ES"/>
        </w:rPr>
        <w:t xml:space="preserve">brinda </w:t>
      </w:r>
      <w:r w:rsidRPr="00B151C6">
        <w:rPr>
          <w:rFonts w:ascii="Arial" w:eastAsia="Times New Roman" w:hAnsi="Arial" w:cs="Arial"/>
          <w:lang w:val="es-ES"/>
        </w:rPr>
        <w:t>apoy</w:t>
      </w:r>
      <w:r w:rsidR="00F67764">
        <w:rPr>
          <w:rFonts w:ascii="Arial" w:eastAsia="Times New Roman" w:hAnsi="Arial" w:cs="Arial"/>
          <w:lang w:val="es-ES"/>
        </w:rPr>
        <w:t>o a</w:t>
      </w:r>
      <w:r w:rsidRPr="00B151C6">
        <w:rPr>
          <w:rFonts w:ascii="Arial" w:eastAsia="Times New Roman" w:hAnsi="Arial" w:cs="Arial"/>
          <w:lang w:val="es-ES"/>
        </w:rPr>
        <w:t xml:space="preserve"> 36 países </w:t>
      </w:r>
      <w:r w:rsidR="00F67764">
        <w:rPr>
          <w:rFonts w:ascii="Arial" w:eastAsia="Times New Roman" w:hAnsi="Arial" w:cs="Arial"/>
          <w:lang w:val="es-ES"/>
        </w:rPr>
        <w:t>en</w:t>
      </w:r>
      <w:r w:rsidRPr="00B151C6">
        <w:rPr>
          <w:rFonts w:ascii="Arial" w:eastAsia="Times New Roman" w:hAnsi="Arial" w:cs="Arial"/>
          <w:lang w:val="es-ES"/>
        </w:rPr>
        <w:t xml:space="preserve"> la revisión de políticas e instituciones pertinentes para la financiación de la diversidad biológica, la determinación de inversiones</w:t>
      </w:r>
      <w:r w:rsidR="00423F67">
        <w:rPr>
          <w:rFonts w:ascii="Arial" w:eastAsia="Times New Roman" w:hAnsi="Arial" w:cs="Arial"/>
          <w:lang w:val="es-ES"/>
        </w:rPr>
        <w:t xml:space="preserve"> iniciales</w:t>
      </w:r>
      <w:r w:rsidRPr="00B151C6">
        <w:rPr>
          <w:rFonts w:ascii="Arial" w:eastAsia="Times New Roman" w:hAnsi="Arial" w:cs="Arial"/>
          <w:lang w:val="es-ES"/>
        </w:rPr>
        <w:t xml:space="preserve">, la evaluación de los costos de implementación de las estrategias y planes de acción nacionales en materia de </w:t>
      </w:r>
      <w:r w:rsidR="00F67764">
        <w:rPr>
          <w:rFonts w:ascii="Arial" w:eastAsia="Times New Roman" w:hAnsi="Arial" w:cs="Arial"/>
          <w:lang w:val="es-ES"/>
        </w:rPr>
        <w:t>bio</w:t>
      </w:r>
      <w:r w:rsidRPr="00B151C6">
        <w:rPr>
          <w:rFonts w:ascii="Arial" w:eastAsia="Times New Roman" w:hAnsi="Arial" w:cs="Arial"/>
          <w:lang w:val="es-ES"/>
        </w:rPr>
        <w:t>diversidad y el cálculo de las carencias</w:t>
      </w:r>
      <w:r w:rsidR="008773CA">
        <w:rPr>
          <w:rFonts w:ascii="Arial" w:eastAsia="Times New Roman" w:hAnsi="Arial" w:cs="Arial"/>
          <w:lang w:val="es-ES"/>
        </w:rPr>
        <w:t xml:space="preserve"> </w:t>
      </w:r>
      <w:r w:rsidRPr="00B151C6">
        <w:rPr>
          <w:rFonts w:ascii="Arial" w:eastAsia="Times New Roman" w:hAnsi="Arial" w:cs="Arial"/>
          <w:lang w:val="es-ES"/>
        </w:rPr>
        <w:t>de</w:t>
      </w:r>
      <w:r w:rsidR="008773CA">
        <w:rPr>
          <w:rFonts w:ascii="Arial" w:eastAsia="Times New Roman" w:hAnsi="Arial" w:cs="Arial"/>
          <w:lang w:val="es-ES"/>
        </w:rPr>
        <w:t xml:space="preserve"> </w:t>
      </w:r>
      <w:r w:rsidRPr="00B151C6">
        <w:rPr>
          <w:rFonts w:ascii="Arial" w:eastAsia="Times New Roman" w:hAnsi="Arial" w:cs="Arial"/>
          <w:lang w:val="es-ES"/>
        </w:rPr>
        <w:t>financia</w:t>
      </w:r>
      <w:r w:rsidR="008773CA">
        <w:rPr>
          <w:rFonts w:ascii="Arial" w:eastAsia="Times New Roman" w:hAnsi="Arial" w:cs="Arial"/>
          <w:lang w:val="es-ES"/>
        </w:rPr>
        <w:t xml:space="preserve">ción </w:t>
      </w:r>
      <w:r w:rsidRPr="00B151C6">
        <w:rPr>
          <w:rFonts w:ascii="Arial" w:eastAsia="Times New Roman" w:hAnsi="Arial" w:cs="Arial"/>
          <w:lang w:val="es-ES"/>
        </w:rPr>
        <w:t>de la diversidad biológica.</w:t>
      </w:r>
      <w:r w:rsidRPr="00B151C6">
        <w:rPr>
          <w:rFonts w:ascii="Arial" w:eastAsia="Times New Roman" w:hAnsi="Arial" w:cs="Arial"/>
          <w:color w:val="202020"/>
          <w:lang w:val="es-ES"/>
        </w:rPr>
        <w:t xml:space="preserve"> La metodología abarca al Convenio y sus Protocolos.</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sz w:val="14"/>
          <w:szCs w:val="14"/>
          <w:lang w:val="es-ES"/>
        </w:rPr>
      </w:pPr>
      <w:r w:rsidRPr="00B151C6">
        <w:rPr>
          <w:rFonts w:ascii="Arial" w:eastAsia="Times New Roman" w:hAnsi="Arial" w:cs="Arial"/>
          <w:color w:val="202020"/>
          <w:lang w:val="es-ES"/>
        </w:rPr>
        <w:t xml:space="preserve">A la fecha, la Iniciativa BIOFIN ha trabajado con la mayoría de los países a los que presta apoyo para revisar sus gastos relacionados con la diversidad biológica y elaborar planes financieros destinados a movilizar recursos en el futuro. Por ejemplo, en su revisión de los gastos de 2018, Colombia informó que las inversiones totales en diversidad biológica representaron alrededor de 272 millones de dólares al año (0,12 % del PIB nacional). </w:t>
      </w:r>
      <w:r w:rsidRPr="00B151C6">
        <w:rPr>
          <w:rFonts w:ascii="Arial" w:eastAsia="Times New Roman" w:hAnsi="Arial" w:cs="Arial"/>
          <w:lang w:val="es-ES"/>
        </w:rPr>
        <w:t>En contraste, en su evaluación de las necesidades financieras, indicó que estas ascenderían a los 4.200 millones de dólares para el período 2017-2030, de los cuales prevé que el 24 % provenga de mecanismos financieros</w:t>
      </w:r>
      <w:r w:rsidRPr="00B151C6">
        <w:rPr>
          <w:rStyle w:val="FootnoteReference"/>
          <w:rFonts w:ascii="Arial" w:eastAsia="Times New Roman" w:hAnsi="Arial" w:cs="Arial"/>
          <w:color w:val="202020"/>
          <w:lang w:val="es-ES"/>
        </w:rPr>
        <w:footnoteReference w:id="11"/>
      </w:r>
      <w:r w:rsidRPr="00B151C6">
        <w:rPr>
          <w:rFonts w:ascii="Arial" w:eastAsia="Times New Roman" w:hAnsi="Arial" w:cs="Arial"/>
          <w:lang w:val="es-ES"/>
        </w:rPr>
        <w:t>.</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Aunque hay </w:t>
      </w:r>
      <w:r w:rsidR="009633A3">
        <w:rPr>
          <w:rFonts w:ascii="Arial" w:eastAsia="Times New Roman" w:hAnsi="Arial" w:cs="Arial"/>
          <w:lang w:val="es-ES"/>
        </w:rPr>
        <w:t xml:space="preserve">algunos </w:t>
      </w:r>
      <w:r w:rsidRPr="00B151C6">
        <w:rPr>
          <w:rFonts w:ascii="Arial" w:eastAsia="Times New Roman" w:hAnsi="Arial" w:cs="Arial"/>
          <w:lang w:val="es-ES"/>
        </w:rPr>
        <w:t>informes de gastos disponibles para algunos países en su sitio web, no hay datos pertinentes que puedan utilizarse para determinar las necesidades futuras para el período 2022-2026 del FMAM.</w:t>
      </w:r>
      <w:r w:rsidRPr="00B151C6">
        <w:rPr>
          <w:rFonts w:ascii="Arial" w:eastAsia="Times New Roman" w:hAnsi="Arial" w:cs="Arial"/>
          <w:color w:val="202020"/>
          <w:lang w:val="es-ES"/>
        </w:rPr>
        <w:t xml:space="preserve"> Una vez que un número significativo de países haya completado los proyectos de BIOFIN, se dispondrá de una estimación </w:t>
      </w:r>
      <w:r w:rsidR="00F67764">
        <w:rPr>
          <w:rFonts w:ascii="Arial" w:eastAsia="Times New Roman" w:hAnsi="Arial" w:cs="Arial"/>
          <w:color w:val="202020"/>
          <w:lang w:val="es-ES"/>
        </w:rPr>
        <w:t>a</w:t>
      </w:r>
      <w:r w:rsidRPr="00B151C6">
        <w:rPr>
          <w:rFonts w:ascii="Arial" w:eastAsia="Times New Roman" w:hAnsi="Arial" w:cs="Arial"/>
          <w:color w:val="202020"/>
          <w:lang w:val="es-ES"/>
        </w:rPr>
        <w:t xml:space="preserve">l menos </w:t>
      </w:r>
      <w:r w:rsidR="009633A3" w:rsidRPr="00B151C6">
        <w:rPr>
          <w:rFonts w:ascii="Arial" w:eastAsia="Times New Roman" w:hAnsi="Arial" w:cs="Arial"/>
          <w:color w:val="202020"/>
          <w:lang w:val="es-ES"/>
        </w:rPr>
        <w:t xml:space="preserve">de </w:t>
      </w:r>
      <w:r w:rsidRPr="00B151C6">
        <w:rPr>
          <w:rFonts w:ascii="Arial" w:eastAsia="Times New Roman" w:hAnsi="Arial" w:cs="Arial"/>
          <w:color w:val="202020"/>
          <w:lang w:val="es-ES"/>
        </w:rPr>
        <w:t>las necesidades financieras totales de un país, que podrá registrarse para esta evaluación.</w:t>
      </w:r>
    </w:p>
    <w:p w:rsidR="00320FA1" w:rsidRPr="00B151C6" w:rsidRDefault="00320FA1">
      <w:pPr>
        <w:pStyle w:val="BodyText"/>
        <w:widowControl w:val="0"/>
        <w:numPr>
          <w:ilvl w:val="0"/>
          <w:numId w:val="7"/>
        </w:numPr>
        <w:autoSpaceDE w:val="0"/>
        <w:autoSpaceDN w:val="0"/>
        <w:spacing w:before="0" w:after="0"/>
        <w:ind w:left="0" w:firstLine="0"/>
        <w:jc w:val="left"/>
        <w:outlineLvl w:val="1"/>
        <w:rPr>
          <w:rFonts w:ascii="Arial" w:eastAsia="Times New Roman" w:hAnsi="Arial" w:cs="Arial"/>
          <w:u w:val="single"/>
          <w:lang w:val="es-ES"/>
        </w:rPr>
      </w:pPr>
      <w:r w:rsidRPr="00B151C6">
        <w:rPr>
          <w:rFonts w:ascii="Arial" w:eastAsia="Times New Roman" w:hAnsi="Arial" w:cs="Arial"/>
          <w:u w:val="single"/>
          <w:lang w:val="es-ES"/>
        </w:rPr>
        <w:t>Informes mundiales</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color w:val="202020"/>
          <w:lang w:val="es-ES"/>
        </w:rPr>
        <w:t xml:space="preserve">Esta sección incluye cinco informes mundiales sobre las necesidades financieras para la conservación de la diversidad biológica. </w:t>
      </w:r>
      <w:r w:rsidR="0063373E">
        <w:rPr>
          <w:rFonts w:ascii="Arial" w:eastAsia="Times New Roman" w:hAnsi="Arial" w:cs="Arial"/>
          <w:lang w:val="es-ES"/>
        </w:rPr>
        <w:t>En d</w:t>
      </w:r>
      <w:r w:rsidRPr="00B151C6">
        <w:rPr>
          <w:rFonts w:ascii="Arial" w:eastAsia="Times New Roman" w:hAnsi="Arial" w:cs="Arial"/>
          <w:lang w:val="es-ES"/>
        </w:rPr>
        <w:t>ichos informes se estiman las corrientes mundiales actuales de recursos financieros para la conservación de la diversidad biológica (OCDE y Financing Nature); las necesidades financieras mundiales futuras para la conservación de la diversidad biológica o como brecha entre recursos actuales y necesidades futuras (Grupo de Alto Nivel y Financing Nature); y el rendimiento pasado de los recursos financieros invertidos en la conservación de la diversidad biológica (WWF y Global Monitoring).</w:t>
      </w:r>
      <w:r w:rsidRPr="00B151C6">
        <w:rPr>
          <w:rFonts w:ascii="Arial" w:eastAsia="Times New Roman" w:hAnsi="Arial" w:cs="Arial"/>
          <w:color w:val="202020"/>
          <w:lang w:val="es-ES"/>
        </w:rPr>
        <w:t xml:space="preserve"> Asimismo, en los informes se indica que los países desarrollados en su conjunto han duplicado en el último decenio sus esfuerzos de movilización de recursos financieros para la diversidad biológica, pero que estos esfuerzos no han sido necesariamente correspondidos en la misma proporción por el FMAM.</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Los informes se incluyen para dar contexto sobre la gran brecha entre las corrientes </w:t>
      </w:r>
      <w:r w:rsidRPr="00B151C6">
        <w:rPr>
          <w:rFonts w:ascii="Arial" w:eastAsia="Times New Roman" w:hAnsi="Arial" w:cs="Arial"/>
          <w:lang w:val="es-ES"/>
        </w:rPr>
        <w:lastRenderedPageBreak/>
        <w:t xml:space="preserve">financieras actuales y las necesidades financieras futuras para la conservación de la diversidad biológica, lo que indica </w:t>
      </w:r>
      <w:r w:rsidR="0063373E">
        <w:rPr>
          <w:rFonts w:ascii="Arial" w:eastAsia="Times New Roman" w:hAnsi="Arial" w:cs="Arial"/>
          <w:lang w:val="es-ES"/>
        </w:rPr>
        <w:t xml:space="preserve">que </w:t>
      </w:r>
      <w:r w:rsidR="00F67764">
        <w:rPr>
          <w:rFonts w:ascii="Arial" w:eastAsia="Times New Roman" w:hAnsi="Arial" w:cs="Arial"/>
          <w:lang w:val="es-ES"/>
        </w:rPr>
        <w:t>se precisa</w:t>
      </w:r>
      <w:r w:rsidRPr="00B151C6">
        <w:rPr>
          <w:rFonts w:ascii="Arial" w:eastAsia="Times New Roman" w:hAnsi="Arial" w:cs="Arial"/>
          <w:lang w:val="es-ES"/>
        </w:rPr>
        <w:t xml:space="preserve"> urgente</w:t>
      </w:r>
      <w:r w:rsidR="00F67764">
        <w:rPr>
          <w:rFonts w:ascii="Arial" w:eastAsia="Times New Roman" w:hAnsi="Arial" w:cs="Arial"/>
          <w:lang w:val="es-ES"/>
        </w:rPr>
        <w:t>m</w:t>
      </w:r>
      <w:r w:rsidRPr="00B151C6">
        <w:rPr>
          <w:rFonts w:ascii="Arial" w:eastAsia="Times New Roman" w:hAnsi="Arial" w:cs="Arial"/>
          <w:lang w:val="es-ES"/>
        </w:rPr>
        <w:t>e</w:t>
      </w:r>
      <w:r w:rsidR="00F67764">
        <w:rPr>
          <w:rFonts w:ascii="Arial" w:eastAsia="Times New Roman" w:hAnsi="Arial" w:cs="Arial"/>
          <w:lang w:val="es-ES"/>
        </w:rPr>
        <w:t>nte</w:t>
      </w:r>
      <w:r w:rsidRPr="00B151C6">
        <w:rPr>
          <w:rFonts w:ascii="Arial" w:eastAsia="Times New Roman" w:hAnsi="Arial" w:cs="Arial"/>
          <w:lang w:val="es-ES"/>
        </w:rPr>
        <w:t xml:space="preserve"> aumentar los recursos financieros de todo tipo para el marco mundial de la diversidad biológica posterior a 2020, incluso del FMAM.</w:t>
      </w:r>
      <w:r w:rsidRPr="00B151C6">
        <w:rPr>
          <w:rFonts w:ascii="Arial" w:eastAsia="Times New Roman" w:hAnsi="Arial" w:cs="Arial"/>
          <w:color w:val="202020"/>
          <w:lang w:val="es-ES"/>
        </w:rPr>
        <w:t xml:space="preserve"> </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Según estas estimaciones, el déficit de recursos financieros e</w:t>
      </w:r>
      <w:r w:rsidR="0063373E">
        <w:rPr>
          <w:rFonts w:ascii="Arial" w:eastAsia="Times New Roman" w:hAnsi="Arial" w:cs="Arial"/>
          <w:lang w:val="es-ES"/>
        </w:rPr>
        <w:t xml:space="preserve">s al menos 5 a 8 veces más que </w:t>
      </w:r>
      <w:r w:rsidRPr="00B151C6">
        <w:rPr>
          <w:rFonts w:ascii="Arial" w:eastAsia="Times New Roman" w:hAnsi="Arial" w:cs="Arial"/>
          <w:lang w:val="es-ES"/>
        </w:rPr>
        <w:t>las corrientes financieras actuales para la conservación.</w:t>
      </w:r>
      <w:r w:rsidRPr="00B151C6">
        <w:rPr>
          <w:rFonts w:ascii="Arial" w:eastAsia="Times New Roman" w:hAnsi="Arial" w:cs="Arial"/>
          <w:color w:val="202020"/>
          <w:lang w:val="es-ES"/>
        </w:rPr>
        <w:t xml:space="preserve"> Nada indica que el “déficit del FMAM” sea </w:t>
      </w:r>
      <w:r w:rsidR="0063373E">
        <w:rPr>
          <w:rFonts w:ascii="Arial" w:eastAsia="Times New Roman" w:hAnsi="Arial" w:cs="Arial"/>
          <w:color w:val="202020"/>
          <w:lang w:val="es-ES"/>
        </w:rPr>
        <w:t>inferior a</w:t>
      </w:r>
      <w:r w:rsidRPr="00B151C6">
        <w:rPr>
          <w:rFonts w:ascii="Arial" w:eastAsia="Times New Roman" w:hAnsi="Arial" w:cs="Arial"/>
          <w:color w:val="202020"/>
          <w:lang w:val="es-ES"/>
        </w:rPr>
        <w:t xml:space="preserve"> eso.</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El monto de los recursos para la conservación de la diversidad biológica debe</w:t>
      </w:r>
      <w:r w:rsidR="0063373E">
        <w:rPr>
          <w:rFonts w:ascii="Arial" w:eastAsia="Times New Roman" w:hAnsi="Arial" w:cs="Arial"/>
          <w:lang w:val="es-ES"/>
        </w:rPr>
        <w:t>ría</w:t>
      </w:r>
      <w:r w:rsidRPr="00B151C6">
        <w:rPr>
          <w:rFonts w:ascii="Arial" w:eastAsia="Times New Roman" w:hAnsi="Arial" w:cs="Arial"/>
          <w:lang w:val="es-ES"/>
        </w:rPr>
        <w:t xml:space="preserve"> aumentar a un ritmo mayor que antes para hacer frente a las metas ambiciosas del nuevo marco, por lo que se puede deducir que los recursos para los próximos dos ciclos del FMAM (2022-2026 y 2026-2030) también deberían aumentar</w:t>
      </w:r>
      <w:r w:rsidR="0063373E">
        <w:rPr>
          <w:rFonts w:ascii="Arial" w:eastAsia="Times New Roman" w:hAnsi="Arial" w:cs="Arial"/>
          <w:lang w:val="es-ES"/>
        </w:rPr>
        <w:t>se</w:t>
      </w:r>
      <w:r w:rsidRPr="00B151C6">
        <w:rPr>
          <w:rFonts w:ascii="Arial" w:eastAsia="Times New Roman" w:hAnsi="Arial" w:cs="Arial"/>
          <w:lang w:val="es-ES"/>
        </w:rPr>
        <w:t xml:space="preserve"> sustancialmente.</w:t>
      </w:r>
      <w:r w:rsidRPr="00B151C6">
        <w:rPr>
          <w:rFonts w:ascii="Arial" w:eastAsia="Times New Roman" w:hAnsi="Arial" w:cs="Arial"/>
          <w:color w:val="202020"/>
          <w:lang w:val="es-ES"/>
        </w:rPr>
        <w:t xml:space="preserve"> </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En general, los miembros del Comité de Asistencia para el Desarrollo (CAD) de la </w:t>
      </w:r>
      <w:r w:rsidR="00F67764" w:rsidRPr="00F67764">
        <w:rPr>
          <w:rFonts w:ascii="Arial" w:eastAsia="Times New Roman" w:hAnsi="Arial" w:cs="Arial"/>
          <w:lang w:val="es-ES"/>
        </w:rPr>
        <w:t xml:space="preserve">Organización de Cooperación y Desarrollo Económicos </w:t>
      </w:r>
      <w:r w:rsidR="00F67764">
        <w:rPr>
          <w:rFonts w:ascii="Arial" w:eastAsia="Times New Roman" w:hAnsi="Arial" w:cs="Arial"/>
          <w:lang w:val="es-ES"/>
        </w:rPr>
        <w:t>(</w:t>
      </w:r>
      <w:r w:rsidRPr="00B151C6">
        <w:rPr>
          <w:rFonts w:ascii="Arial" w:eastAsia="Times New Roman" w:hAnsi="Arial" w:cs="Arial"/>
          <w:lang w:val="es-ES"/>
        </w:rPr>
        <w:t>OCDE</w:t>
      </w:r>
      <w:r w:rsidR="00F67764">
        <w:rPr>
          <w:rFonts w:ascii="Arial" w:eastAsia="Times New Roman" w:hAnsi="Arial" w:cs="Arial"/>
          <w:lang w:val="es-ES"/>
        </w:rPr>
        <w:t>)</w:t>
      </w:r>
      <w:r w:rsidRPr="00B151C6">
        <w:rPr>
          <w:rFonts w:ascii="Arial" w:eastAsia="Times New Roman" w:hAnsi="Arial" w:cs="Arial"/>
          <w:lang w:val="es-ES"/>
        </w:rPr>
        <w:t xml:space="preserve"> que son Partes en el CDB aumentaron en su conjunto su financiación relacionada con la diversidad biológica en un 130 % con respecto a los valores de referencia de 2015</w:t>
      </w:r>
      <w:r w:rsidRPr="00B151C6">
        <w:rPr>
          <w:rStyle w:val="FootnoteReference"/>
          <w:rFonts w:ascii="Arial" w:eastAsia="Times New Roman" w:hAnsi="Arial" w:cs="Arial"/>
          <w:b/>
          <w:bCs/>
          <w:lang w:val="es-ES"/>
        </w:rPr>
        <w:footnoteReference w:id="12"/>
      </w:r>
      <w:r w:rsidRPr="00B151C6">
        <w:rPr>
          <w:rFonts w:ascii="Arial" w:eastAsia="Times New Roman" w:hAnsi="Arial" w:cs="Arial"/>
          <w:lang w:val="es-ES"/>
        </w:rPr>
        <w:t>.</w:t>
      </w:r>
      <w:r w:rsidRPr="00B151C6">
        <w:rPr>
          <w:rFonts w:ascii="Arial" w:eastAsia="Times New Roman" w:hAnsi="Arial" w:cs="Arial"/>
          <w:spacing w:val="-2"/>
          <w:lang w:val="es-ES"/>
        </w:rPr>
        <w:t xml:space="preserve"> </w:t>
      </w:r>
      <w:r w:rsidRPr="00B151C6">
        <w:rPr>
          <w:rFonts w:ascii="Arial" w:eastAsia="Times New Roman" w:hAnsi="Arial" w:cs="Arial"/>
          <w:lang w:val="es-ES"/>
        </w:rPr>
        <w:t xml:space="preserve">El nivel de financiación alcanzó los 7.800 millones de dólares en 2015. El 43 % de los países duplicó sus gastos; el 28 % de los países aumentó la financiación, pero no llegó a duplicarla; y el 29 % de los países disminuyó su financiación en 2015 en comparación con los valores de referencia. </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sz w:val="21"/>
          <w:szCs w:val="21"/>
          <w:lang w:val="es-ES"/>
        </w:rPr>
      </w:pPr>
      <w:r w:rsidRPr="00B151C6">
        <w:rPr>
          <w:rFonts w:ascii="Arial" w:eastAsia="Times New Roman" w:hAnsi="Arial" w:cs="Arial"/>
          <w:color w:val="202020"/>
          <w:lang w:val="es-ES"/>
        </w:rPr>
        <w:t>En el informe completo de la evaluación de necesidades que se distribuye como documento de información se brindan más detalles sobre estos informes.</w:t>
      </w:r>
    </w:p>
    <w:p w:rsidR="00320FA1" w:rsidRPr="00B151C6" w:rsidRDefault="00320FA1">
      <w:pPr>
        <w:pStyle w:val="BodyText"/>
        <w:widowControl w:val="0"/>
        <w:numPr>
          <w:ilvl w:val="0"/>
          <w:numId w:val="9"/>
        </w:numPr>
        <w:autoSpaceDE w:val="0"/>
        <w:autoSpaceDN w:val="0"/>
        <w:ind w:left="0" w:firstLine="0"/>
        <w:jc w:val="left"/>
        <w:outlineLvl w:val="0"/>
        <w:rPr>
          <w:rFonts w:ascii="Arial" w:eastAsia="Times New Roman" w:hAnsi="Arial" w:cs="Arial"/>
          <w:b/>
          <w:bCs/>
          <w:lang w:val="es-ES"/>
        </w:rPr>
      </w:pPr>
      <w:r w:rsidRPr="00B151C6">
        <w:rPr>
          <w:rFonts w:ascii="Arial" w:eastAsia="Times New Roman" w:hAnsi="Arial" w:cs="Arial"/>
          <w:b/>
          <w:bCs/>
          <w:u w:val="single"/>
          <w:lang w:val="es-ES"/>
        </w:rPr>
        <w:t>Consultas con grupos regionales y organismos de ejecución del FMAM</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El </w:t>
      </w:r>
      <w:r w:rsidR="0063373E">
        <w:rPr>
          <w:rFonts w:ascii="Arial" w:eastAsia="Times New Roman" w:hAnsi="Arial" w:cs="Arial"/>
          <w:lang w:val="es-ES"/>
        </w:rPr>
        <w:t>e</w:t>
      </w:r>
      <w:r w:rsidRPr="00B151C6">
        <w:rPr>
          <w:rFonts w:ascii="Arial" w:eastAsia="Times New Roman" w:hAnsi="Arial" w:cs="Arial"/>
          <w:lang w:val="es-ES"/>
        </w:rPr>
        <w:t xml:space="preserve">quipo de </w:t>
      </w:r>
      <w:r w:rsidR="0063373E">
        <w:rPr>
          <w:rFonts w:ascii="Arial" w:eastAsia="Times New Roman" w:hAnsi="Arial" w:cs="Arial"/>
          <w:lang w:val="es-ES"/>
        </w:rPr>
        <w:t>e</w:t>
      </w:r>
      <w:r w:rsidRPr="00B151C6">
        <w:rPr>
          <w:rFonts w:ascii="Arial" w:eastAsia="Times New Roman" w:hAnsi="Arial" w:cs="Arial"/>
          <w:lang w:val="es-ES"/>
        </w:rPr>
        <w:t>xpertos asistió a la segunda reunión del Grupo de Trabajo sobre el Marco Mundial de la Diversidad Biológica posterior a 2020 (WG2020-2)</w:t>
      </w:r>
      <w:r w:rsidR="00020884">
        <w:rPr>
          <w:rFonts w:ascii="Arial" w:eastAsia="Times New Roman" w:hAnsi="Arial" w:cs="Arial"/>
          <w:lang w:val="es-ES"/>
        </w:rPr>
        <w:t>, celebrada</w:t>
      </w:r>
      <w:r w:rsidRPr="00B151C6">
        <w:rPr>
          <w:rFonts w:ascii="Arial" w:eastAsia="Times New Roman" w:hAnsi="Arial" w:cs="Arial"/>
          <w:lang w:val="es-ES"/>
        </w:rPr>
        <w:t xml:space="preserve"> en Roma</w:t>
      </w:r>
      <w:r w:rsidR="00020884">
        <w:rPr>
          <w:rFonts w:ascii="Arial" w:eastAsia="Times New Roman" w:hAnsi="Arial" w:cs="Arial"/>
          <w:lang w:val="es-ES"/>
        </w:rPr>
        <w:t>,</w:t>
      </w:r>
      <w:r w:rsidRPr="00B151C6">
        <w:rPr>
          <w:rFonts w:ascii="Arial" w:eastAsia="Times New Roman" w:hAnsi="Arial" w:cs="Arial"/>
          <w:lang w:val="es-ES"/>
        </w:rPr>
        <w:t xml:space="preserve"> y presentó la evaluación y el cuestionario a cuatro grupos regionales (Europa Central y Oriental, América Latina y el Caribe, Asia y el Pacífico y África), lo que brindó una oportunidad para tener una </w:t>
      </w:r>
      <w:r w:rsidR="00020884">
        <w:rPr>
          <w:rFonts w:ascii="Arial" w:eastAsia="Times New Roman" w:hAnsi="Arial" w:cs="Arial"/>
          <w:lang w:val="es-ES"/>
        </w:rPr>
        <w:t>instancia</w:t>
      </w:r>
      <w:r w:rsidRPr="00B151C6">
        <w:rPr>
          <w:rFonts w:ascii="Arial" w:eastAsia="Times New Roman" w:hAnsi="Arial" w:cs="Arial"/>
          <w:lang w:val="es-ES"/>
        </w:rPr>
        <w:t xml:space="preserve"> de preguntas y respuestas. Esto fue seguido de </w:t>
      </w:r>
      <w:r w:rsidR="00020884">
        <w:rPr>
          <w:rFonts w:ascii="Arial" w:eastAsia="Times New Roman" w:hAnsi="Arial" w:cs="Arial"/>
          <w:lang w:val="es-ES"/>
        </w:rPr>
        <w:t>otr</w:t>
      </w:r>
      <w:r w:rsidRPr="00B151C6">
        <w:rPr>
          <w:rFonts w:ascii="Arial" w:eastAsia="Times New Roman" w:hAnsi="Arial" w:cs="Arial"/>
          <w:lang w:val="es-ES"/>
        </w:rPr>
        <w:t>a serie de reuniones regionales celebradas en formato virtual. También se realizaron reuniones individuales con aquellos países que lo habían solicitado en la WG2020-2. Además, el Equipo de Expertos respondió a solicitudes de asistencia y organizó en línea una serie de seminarios web subregionales.</w:t>
      </w:r>
    </w:p>
    <w:p w:rsidR="00320FA1" w:rsidRPr="00B151C6" w:rsidRDefault="00320FA1">
      <w:pPr>
        <w:pStyle w:val="BodyText"/>
        <w:widowControl w:val="0"/>
        <w:numPr>
          <w:ilvl w:val="0"/>
          <w:numId w:val="8"/>
        </w:numPr>
        <w:autoSpaceDE w:val="0"/>
        <w:autoSpaceDN w:val="0"/>
        <w:spacing w:before="0" w:after="0"/>
        <w:jc w:val="left"/>
        <w:rPr>
          <w:rFonts w:ascii="Arial" w:eastAsia="Times New Roman" w:hAnsi="Arial" w:cs="Arial"/>
          <w:lang w:val="es-ES"/>
        </w:rPr>
      </w:pPr>
      <w:r w:rsidRPr="00B151C6">
        <w:rPr>
          <w:rFonts w:ascii="Arial" w:eastAsia="Times New Roman" w:hAnsi="Arial" w:cs="Arial"/>
          <w:lang w:val="es-ES"/>
        </w:rPr>
        <w:t xml:space="preserve">La reunión regional de África, presidida por el delegado de Sudáfrica, tuvo una respuesta particularmente buena en cuanto a nivel de participación y </w:t>
      </w:r>
      <w:r w:rsidR="002D7B72">
        <w:rPr>
          <w:rFonts w:ascii="Arial" w:eastAsia="Times New Roman" w:hAnsi="Arial" w:cs="Arial"/>
          <w:lang w:val="es-ES"/>
        </w:rPr>
        <w:t>discusión</w:t>
      </w:r>
      <w:r w:rsidRPr="00B151C6">
        <w:rPr>
          <w:rFonts w:ascii="Arial" w:eastAsia="Times New Roman" w:hAnsi="Arial" w:cs="Arial"/>
          <w:lang w:val="es-ES"/>
        </w:rPr>
        <w:t xml:space="preserve">. En concreto, formularon preguntas Egipto, Eswatini, Etiopía y Sudáfrica. Como seguimiento, un miembro del </w:t>
      </w:r>
      <w:r w:rsidR="00020884">
        <w:rPr>
          <w:rFonts w:ascii="Arial" w:eastAsia="Times New Roman" w:hAnsi="Arial" w:cs="Arial"/>
          <w:lang w:val="es-ES"/>
        </w:rPr>
        <w:t>e</w:t>
      </w:r>
      <w:r w:rsidRPr="00B151C6">
        <w:rPr>
          <w:rFonts w:ascii="Arial" w:eastAsia="Times New Roman" w:hAnsi="Arial" w:cs="Arial"/>
          <w:lang w:val="es-ES"/>
        </w:rPr>
        <w:t xml:space="preserve">quipo de </w:t>
      </w:r>
      <w:r w:rsidR="00020884">
        <w:rPr>
          <w:rFonts w:ascii="Arial" w:eastAsia="Times New Roman" w:hAnsi="Arial" w:cs="Arial"/>
          <w:lang w:val="es-ES"/>
        </w:rPr>
        <w:t>e</w:t>
      </w:r>
      <w:r w:rsidRPr="00B151C6">
        <w:rPr>
          <w:rFonts w:ascii="Arial" w:eastAsia="Times New Roman" w:hAnsi="Arial" w:cs="Arial"/>
          <w:lang w:val="es-ES"/>
        </w:rPr>
        <w:t xml:space="preserve">xpertos se reunió con representantes de Sudáfrica y Madagascar para ver </w:t>
      </w:r>
      <w:r w:rsidR="002D7B72">
        <w:rPr>
          <w:rFonts w:ascii="Arial" w:eastAsia="Times New Roman" w:hAnsi="Arial" w:cs="Arial"/>
          <w:lang w:val="es-ES"/>
        </w:rPr>
        <w:t xml:space="preserve">con ellos </w:t>
      </w:r>
      <w:r w:rsidRPr="00B151C6">
        <w:rPr>
          <w:rFonts w:ascii="Arial" w:eastAsia="Times New Roman" w:hAnsi="Arial" w:cs="Arial"/>
          <w:lang w:val="es-ES"/>
        </w:rPr>
        <w:t>el cuestionario.</w:t>
      </w:r>
    </w:p>
    <w:p w:rsidR="00320FA1" w:rsidRPr="00B151C6" w:rsidRDefault="00320FA1">
      <w:pPr>
        <w:pStyle w:val="BodyText"/>
        <w:widowControl w:val="0"/>
        <w:numPr>
          <w:ilvl w:val="0"/>
          <w:numId w:val="8"/>
        </w:numPr>
        <w:autoSpaceDE w:val="0"/>
        <w:autoSpaceDN w:val="0"/>
        <w:spacing w:before="0" w:after="0"/>
        <w:jc w:val="left"/>
        <w:rPr>
          <w:rFonts w:ascii="Arial" w:eastAsia="Times New Roman" w:hAnsi="Arial" w:cs="Arial"/>
          <w:lang w:val="es-ES"/>
        </w:rPr>
      </w:pPr>
      <w:r w:rsidRPr="00B151C6">
        <w:rPr>
          <w:rFonts w:ascii="Arial" w:eastAsia="Times New Roman" w:hAnsi="Arial" w:cs="Arial"/>
          <w:lang w:val="es-ES"/>
        </w:rPr>
        <w:t>La reunión regional de Europa Central y Oriental fue presidida por el delegado de Georgia. Esta reunión también tuvo una respuesta increíblemente buena y formularon preguntas Armenia, Belarús, Bosnia</w:t>
      </w:r>
      <w:r w:rsidR="002D7B72">
        <w:rPr>
          <w:rFonts w:ascii="Arial" w:eastAsia="Times New Roman" w:hAnsi="Arial" w:cs="Arial"/>
          <w:lang w:val="es-ES"/>
        </w:rPr>
        <w:t xml:space="preserve"> y </w:t>
      </w:r>
      <w:r w:rsidRPr="00B151C6">
        <w:rPr>
          <w:rFonts w:ascii="Arial" w:eastAsia="Times New Roman" w:hAnsi="Arial" w:cs="Arial"/>
          <w:lang w:val="es-ES"/>
        </w:rPr>
        <w:t xml:space="preserve">Herzegovina, la Federación de Rusia y Tayikistán. Como seguimiento, un miembro del </w:t>
      </w:r>
      <w:r w:rsidR="00020884">
        <w:rPr>
          <w:rFonts w:ascii="Arial" w:eastAsia="Times New Roman" w:hAnsi="Arial" w:cs="Arial"/>
          <w:lang w:val="es-ES"/>
        </w:rPr>
        <w:t>e</w:t>
      </w:r>
      <w:r w:rsidRPr="00B151C6">
        <w:rPr>
          <w:rFonts w:ascii="Arial" w:eastAsia="Times New Roman" w:hAnsi="Arial" w:cs="Arial"/>
          <w:lang w:val="es-ES"/>
        </w:rPr>
        <w:t xml:space="preserve">quipo de </w:t>
      </w:r>
      <w:r w:rsidR="00020884">
        <w:rPr>
          <w:rFonts w:ascii="Arial" w:eastAsia="Times New Roman" w:hAnsi="Arial" w:cs="Arial"/>
          <w:lang w:val="es-ES"/>
        </w:rPr>
        <w:t>e</w:t>
      </w:r>
      <w:r w:rsidRPr="00B151C6">
        <w:rPr>
          <w:rFonts w:ascii="Arial" w:eastAsia="Times New Roman" w:hAnsi="Arial" w:cs="Arial"/>
          <w:lang w:val="es-ES"/>
        </w:rPr>
        <w:t xml:space="preserve">xpertos se reunió con un representante de Armenia para </w:t>
      </w:r>
      <w:r w:rsidR="00020884">
        <w:rPr>
          <w:rFonts w:ascii="Arial" w:eastAsia="Times New Roman" w:hAnsi="Arial" w:cs="Arial"/>
          <w:lang w:val="es-ES"/>
        </w:rPr>
        <w:t xml:space="preserve">ver </w:t>
      </w:r>
      <w:r w:rsidR="002D7B72">
        <w:rPr>
          <w:rFonts w:ascii="Arial" w:eastAsia="Times New Roman" w:hAnsi="Arial" w:cs="Arial"/>
          <w:lang w:val="es-ES"/>
        </w:rPr>
        <w:t xml:space="preserve">juntos </w:t>
      </w:r>
      <w:r w:rsidRPr="00B151C6">
        <w:rPr>
          <w:rFonts w:ascii="Arial" w:eastAsia="Times New Roman" w:hAnsi="Arial" w:cs="Arial"/>
          <w:lang w:val="es-ES"/>
        </w:rPr>
        <w:t>el cuestionario.</w:t>
      </w:r>
    </w:p>
    <w:p w:rsidR="00320FA1" w:rsidRPr="00B151C6" w:rsidRDefault="00320FA1">
      <w:pPr>
        <w:pStyle w:val="BodyText"/>
        <w:widowControl w:val="0"/>
        <w:numPr>
          <w:ilvl w:val="0"/>
          <w:numId w:val="8"/>
        </w:numPr>
        <w:autoSpaceDE w:val="0"/>
        <w:autoSpaceDN w:val="0"/>
        <w:spacing w:before="0" w:after="0"/>
        <w:jc w:val="left"/>
        <w:rPr>
          <w:rFonts w:ascii="Arial" w:eastAsia="Times New Roman" w:hAnsi="Arial" w:cs="Arial"/>
          <w:lang w:val="es-ES"/>
        </w:rPr>
      </w:pPr>
      <w:r w:rsidRPr="00B151C6">
        <w:rPr>
          <w:rFonts w:ascii="Arial" w:eastAsia="Times New Roman" w:hAnsi="Arial" w:cs="Arial"/>
          <w:lang w:val="es-ES"/>
        </w:rPr>
        <w:t xml:space="preserve">La reunión regional de América Latina y el Caribe </w:t>
      </w:r>
      <w:r w:rsidR="00020884">
        <w:rPr>
          <w:rFonts w:ascii="Arial" w:eastAsia="Times New Roman" w:hAnsi="Arial" w:cs="Arial"/>
          <w:lang w:val="es-ES"/>
        </w:rPr>
        <w:t>fue</w:t>
      </w:r>
      <w:r w:rsidRPr="00B151C6">
        <w:rPr>
          <w:rFonts w:ascii="Arial" w:eastAsia="Times New Roman" w:hAnsi="Arial" w:cs="Arial"/>
          <w:lang w:val="es-ES"/>
        </w:rPr>
        <w:t xml:space="preserve"> presidida por el delegado de México y plantearon preguntas Colombia y México. Como seguimiento, un miembro del Equipo de Expertos se reunió con representantes de Colombia, México, Venezuela y el Perú para ver el cuestionario.</w:t>
      </w:r>
    </w:p>
    <w:p w:rsidR="00320FA1" w:rsidRPr="00B151C6" w:rsidRDefault="00320FA1">
      <w:pPr>
        <w:pStyle w:val="BodyText"/>
        <w:widowControl w:val="0"/>
        <w:numPr>
          <w:ilvl w:val="0"/>
          <w:numId w:val="8"/>
        </w:numPr>
        <w:autoSpaceDE w:val="0"/>
        <w:autoSpaceDN w:val="0"/>
        <w:spacing w:before="0" w:after="0"/>
        <w:jc w:val="left"/>
        <w:rPr>
          <w:rFonts w:ascii="Arial" w:eastAsia="Times New Roman" w:hAnsi="Arial" w:cs="Arial"/>
          <w:lang w:val="es-ES"/>
        </w:rPr>
      </w:pPr>
      <w:r w:rsidRPr="00B151C6">
        <w:rPr>
          <w:rFonts w:ascii="Arial" w:eastAsia="Times New Roman" w:hAnsi="Arial" w:cs="Arial"/>
          <w:lang w:val="es-ES"/>
        </w:rPr>
        <w:t xml:space="preserve">La reunión regional de Asia y el Pacífico </w:t>
      </w:r>
      <w:r w:rsidR="00020884">
        <w:rPr>
          <w:rFonts w:ascii="Arial" w:eastAsia="Times New Roman" w:hAnsi="Arial" w:cs="Arial"/>
          <w:lang w:val="es-ES"/>
        </w:rPr>
        <w:t>fue</w:t>
      </w:r>
      <w:r w:rsidRPr="00B151C6">
        <w:rPr>
          <w:rFonts w:ascii="Arial" w:eastAsia="Times New Roman" w:hAnsi="Arial" w:cs="Arial"/>
          <w:lang w:val="es-ES"/>
        </w:rPr>
        <w:t xml:space="preserve"> presidida por los delegados de la India y Kuwait</w:t>
      </w:r>
      <w:r w:rsidRPr="00B151C6">
        <w:rPr>
          <w:rFonts w:ascii="Arial" w:eastAsia="Times New Roman" w:hAnsi="Arial" w:cs="Arial"/>
          <w:color w:val="000000"/>
          <w:lang w:val="es-ES"/>
        </w:rPr>
        <w:t>.</w:t>
      </w:r>
      <w:r w:rsidRPr="00B151C6">
        <w:rPr>
          <w:rFonts w:ascii="Arial" w:eastAsia="Times New Roman" w:hAnsi="Arial" w:cs="Arial"/>
          <w:spacing w:val="1"/>
          <w:lang w:val="es-ES"/>
        </w:rPr>
        <w:t xml:space="preserve"> </w:t>
      </w:r>
      <w:r w:rsidRPr="00B151C6">
        <w:rPr>
          <w:rFonts w:ascii="Arial" w:eastAsia="Times New Roman" w:hAnsi="Arial" w:cs="Arial"/>
          <w:lang w:val="es-ES"/>
        </w:rPr>
        <w:t xml:space="preserve">No se plantearon preguntas concretas en la reunión. Como seguimiento, un miembro del </w:t>
      </w:r>
      <w:r w:rsidR="007C1AEA">
        <w:rPr>
          <w:rFonts w:ascii="Arial" w:eastAsia="Times New Roman" w:hAnsi="Arial" w:cs="Arial"/>
          <w:lang w:val="es-ES"/>
        </w:rPr>
        <w:t>e</w:t>
      </w:r>
      <w:r w:rsidRPr="00B151C6">
        <w:rPr>
          <w:rFonts w:ascii="Arial" w:eastAsia="Times New Roman" w:hAnsi="Arial" w:cs="Arial"/>
          <w:lang w:val="es-ES"/>
        </w:rPr>
        <w:t xml:space="preserve">quipo de </w:t>
      </w:r>
      <w:r w:rsidR="007C1AEA">
        <w:rPr>
          <w:rFonts w:ascii="Arial" w:eastAsia="Times New Roman" w:hAnsi="Arial" w:cs="Arial"/>
          <w:lang w:val="es-ES"/>
        </w:rPr>
        <w:t>e</w:t>
      </w:r>
      <w:r w:rsidRPr="00B151C6">
        <w:rPr>
          <w:rFonts w:ascii="Arial" w:eastAsia="Times New Roman" w:hAnsi="Arial" w:cs="Arial"/>
          <w:lang w:val="es-ES"/>
        </w:rPr>
        <w:t xml:space="preserve">xpertos se reunió con representantes de Camboya, el Centro para la Diversidad Biológica (ACB) de la Asociación de Naciones del Sudeste Asiático </w:t>
      </w:r>
      <w:r w:rsidRPr="00B151C6">
        <w:rPr>
          <w:rFonts w:ascii="Arial" w:eastAsia="Times New Roman" w:hAnsi="Arial" w:cs="Arial"/>
          <w:lang w:val="es-ES"/>
        </w:rPr>
        <w:lastRenderedPageBreak/>
        <w:t>(ASEAN), la India y Malasia.</w:t>
      </w:r>
    </w:p>
    <w:p w:rsidR="00320FA1" w:rsidRPr="00B151C6" w:rsidRDefault="00320FA1">
      <w:pPr>
        <w:pStyle w:val="BodyText"/>
        <w:widowControl w:val="0"/>
        <w:numPr>
          <w:ilvl w:val="0"/>
          <w:numId w:val="8"/>
        </w:numPr>
        <w:autoSpaceDE w:val="0"/>
        <w:autoSpaceDN w:val="0"/>
        <w:spacing w:before="0" w:after="0"/>
        <w:jc w:val="left"/>
        <w:rPr>
          <w:rFonts w:ascii="Arial" w:eastAsia="Times New Roman" w:hAnsi="Arial" w:cs="Arial"/>
          <w:lang w:val="es-ES"/>
        </w:rPr>
      </w:pPr>
      <w:r w:rsidRPr="00B151C6">
        <w:rPr>
          <w:rFonts w:ascii="Arial" w:eastAsia="Times New Roman" w:hAnsi="Arial" w:cs="Arial"/>
          <w:lang w:val="es-ES"/>
        </w:rPr>
        <w:t xml:space="preserve">El 26 de febrero de 2020, el </w:t>
      </w:r>
      <w:r w:rsidR="007C1AEA">
        <w:rPr>
          <w:rFonts w:ascii="Arial" w:eastAsia="Times New Roman" w:hAnsi="Arial" w:cs="Arial"/>
          <w:lang w:val="es-ES"/>
        </w:rPr>
        <w:t>e</w:t>
      </w:r>
      <w:r w:rsidRPr="00B151C6">
        <w:rPr>
          <w:rFonts w:ascii="Arial" w:eastAsia="Times New Roman" w:hAnsi="Arial" w:cs="Arial"/>
          <w:lang w:val="es-ES"/>
        </w:rPr>
        <w:t xml:space="preserve">quipo de </w:t>
      </w:r>
      <w:r w:rsidR="007C1AEA">
        <w:rPr>
          <w:rFonts w:ascii="Arial" w:eastAsia="Times New Roman" w:hAnsi="Arial" w:cs="Arial"/>
          <w:lang w:val="es-ES"/>
        </w:rPr>
        <w:t>e</w:t>
      </w:r>
      <w:r w:rsidRPr="00B151C6">
        <w:rPr>
          <w:rFonts w:ascii="Arial" w:eastAsia="Times New Roman" w:hAnsi="Arial" w:cs="Arial"/>
          <w:lang w:val="es-ES"/>
        </w:rPr>
        <w:t>xpertos hizo presentaciones en la sesión informativa del CDB, que contó con una nutrida asistencia y se celebró conjuntamente con el panel de movilización de recursos del CDB presidido por la Sra. Odile Conchou.</w:t>
      </w:r>
    </w:p>
    <w:p w:rsidR="00320FA1" w:rsidRPr="00B151C6" w:rsidRDefault="00320FA1">
      <w:pPr>
        <w:pStyle w:val="BodyText"/>
        <w:widowControl w:val="0"/>
        <w:numPr>
          <w:ilvl w:val="0"/>
          <w:numId w:val="8"/>
        </w:numPr>
        <w:autoSpaceDE w:val="0"/>
        <w:autoSpaceDN w:val="0"/>
        <w:spacing w:before="0" w:after="0"/>
        <w:jc w:val="left"/>
        <w:rPr>
          <w:rFonts w:ascii="Arial" w:eastAsia="Times New Roman" w:hAnsi="Arial" w:cs="Arial"/>
          <w:lang w:val="es-ES"/>
        </w:rPr>
      </w:pPr>
      <w:r w:rsidRPr="00B151C6">
        <w:rPr>
          <w:rFonts w:ascii="Arial" w:eastAsia="Times New Roman" w:hAnsi="Arial" w:cs="Arial"/>
          <w:lang w:val="es-ES"/>
        </w:rPr>
        <w:t xml:space="preserve">Se realizó una reunión con los miembros del </w:t>
      </w:r>
      <w:r w:rsidR="007C1AEA">
        <w:rPr>
          <w:rFonts w:ascii="Arial" w:eastAsia="Times New Roman" w:hAnsi="Arial" w:cs="Arial"/>
          <w:lang w:val="es-ES"/>
        </w:rPr>
        <w:t>e</w:t>
      </w:r>
      <w:r w:rsidRPr="00B151C6">
        <w:rPr>
          <w:rFonts w:ascii="Arial" w:eastAsia="Times New Roman" w:hAnsi="Arial" w:cs="Arial"/>
          <w:lang w:val="es-ES"/>
        </w:rPr>
        <w:t xml:space="preserve">quipo de </w:t>
      </w:r>
      <w:r w:rsidR="007C1AEA">
        <w:rPr>
          <w:rFonts w:ascii="Arial" w:eastAsia="Times New Roman" w:hAnsi="Arial" w:cs="Arial"/>
          <w:lang w:val="es-ES"/>
        </w:rPr>
        <w:t>e</w:t>
      </w:r>
      <w:r w:rsidRPr="00B151C6">
        <w:rPr>
          <w:rFonts w:ascii="Arial" w:eastAsia="Times New Roman" w:hAnsi="Arial" w:cs="Arial"/>
          <w:lang w:val="es-ES"/>
        </w:rPr>
        <w:t xml:space="preserve">xpertos en </w:t>
      </w:r>
      <w:r w:rsidR="002D7B72">
        <w:rPr>
          <w:rFonts w:ascii="Arial" w:eastAsia="Times New Roman" w:hAnsi="Arial" w:cs="Arial"/>
          <w:lang w:val="es-ES"/>
        </w:rPr>
        <w:t>m</w:t>
      </w:r>
      <w:r w:rsidRPr="00B151C6">
        <w:rPr>
          <w:rFonts w:ascii="Arial" w:eastAsia="Times New Roman" w:hAnsi="Arial" w:cs="Arial"/>
          <w:lang w:val="es-ES"/>
        </w:rPr>
        <w:t xml:space="preserve">ovilización de </w:t>
      </w:r>
      <w:r w:rsidR="002D7B72">
        <w:rPr>
          <w:rFonts w:ascii="Arial" w:eastAsia="Times New Roman" w:hAnsi="Arial" w:cs="Arial"/>
          <w:lang w:val="es-ES"/>
        </w:rPr>
        <w:t>r</w:t>
      </w:r>
      <w:r w:rsidRPr="00B151C6">
        <w:rPr>
          <w:rFonts w:ascii="Arial" w:eastAsia="Times New Roman" w:hAnsi="Arial" w:cs="Arial"/>
          <w:lang w:val="es-ES"/>
        </w:rPr>
        <w:t>ecursos del CDB.</w:t>
      </w:r>
    </w:p>
    <w:p w:rsidR="00320FA1" w:rsidRPr="00B151C6" w:rsidRDefault="00320FA1">
      <w:pPr>
        <w:pStyle w:val="BodyText"/>
        <w:widowControl w:val="0"/>
        <w:numPr>
          <w:ilvl w:val="0"/>
          <w:numId w:val="8"/>
        </w:numPr>
        <w:autoSpaceDE w:val="0"/>
        <w:autoSpaceDN w:val="0"/>
        <w:spacing w:before="0" w:after="0"/>
        <w:jc w:val="left"/>
        <w:rPr>
          <w:rFonts w:ascii="Arial" w:eastAsia="Times New Roman" w:hAnsi="Arial" w:cs="Arial"/>
          <w:lang w:val="es-ES"/>
        </w:rPr>
      </w:pPr>
      <w:r w:rsidRPr="00B151C6">
        <w:rPr>
          <w:rFonts w:ascii="Arial" w:eastAsia="Times New Roman" w:hAnsi="Arial" w:cs="Arial"/>
          <w:lang w:val="es-ES"/>
        </w:rPr>
        <w:t xml:space="preserve">En agosto y septiembre de 2021 se realizaron seminarios web en línea con grupos regionales para presentar nuevamente el cuestionario y responder las preguntas que estuvieran pendientes. En septiembre de 2021 se brindaron dos seminarios web para países francófonos. Asistieron participantes de tres países (Benin, la República Democrática del Congo y el Congo). </w:t>
      </w:r>
    </w:p>
    <w:p w:rsidR="00320FA1" w:rsidRPr="00B151C6" w:rsidRDefault="00320FA1">
      <w:pPr>
        <w:pStyle w:val="BodyText"/>
        <w:widowControl w:val="0"/>
        <w:numPr>
          <w:ilvl w:val="0"/>
          <w:numId w:val="8"/>
        </w:numPr>
        <w:autoSpaceDE w:val="0"/>
        <w:autoSpaceDN w:val="0"/>
        <w:spacing w:before="0" w:after="0"/>
        <w:jc w:val="left"/>
        <w:rPr>
          <w:rFonts w:ascii="Arial" w:eastAsia="Times New Roman" w:hAnsi="Arial" w:cs="Arial"/>
          <w:lang w:val="es-ES"/>
        </w:rPr>
      </w:pPr>
      <w:r w:rsidRPr="00B151C6">
        <w:rPr>
          <w:rFonts w:ascii="Arial" w:eastAsia="Times New Roman" w:hAnsi="Arial" w:cs="Arial"/>
          <w:lang w:val="es-ES"/>
        </w:rPr>
        <w:t>En agosto de 2021 se realizó un seminario web para países africanos angloparlantes, al que asistieron cinco países (Botswana, Egipto, Liberia, Kenya y Namibia).</w:t>
      </w:r>
    </w:p>
    <w:p w:rsidR="00320FA1" w:rsidRPr="00B151C6" w:rsidRDefault="00320FA1">
      <w:pPr>
        <w:pStyle w:val="BodyText"/>
        <w:widowControl w:val="0"/>
        <w:numPr>
          <w:ilvl w:val="0"/>
          <w:numId w:val="8"/>
        </w:numPr>
        <w:autoSpaceDE w:val="0"/>
        <w:autoSpaceDN w:val="0"/>
        <w:spacing w:before="0" w:after="0"/>
        <w:jc w:val="left"/>
        <w:rPr>
          <w:rFonts w:ascii="Arial" w:eastAsia="Times New Roman" w:hAnsi="Arial" w:cs="Arial"/>
          <w:lang w:val="es-ES"/>
        </w:rPr>
      </w:pPr>
      <w:r w:rsidRPr="00B151C6">
        <w:rPr>
          <w:rFonts w:ascii="Arial" w:eastAsia="Times New Roman" w:hAnsi="Arial" w:cs="Arial"/>
          <w:lang w:val="es-ES"/>
        </w:rPr>
        <w:t>Se realizó un seminario web para Asia Meridional en agosto de 2021. Trece participantes de cinco países (Afganistán, Bangladesh, la India, Nepal y Sri Lanka) asistieron al seminario web para Asia Meridional. Est</w:t>
      </w:r>
      <w:r w:rsidR="002D7B72">
        <w:rPr>
          <w:rFonts w:ascii="Arial" w:eastAsia="Times New Roman" w:hAnsi="Arial" w:cs="Arial"/>
          <w:lang w:val="es-ES"/>
        </w:rPr>
        <w:t>e</w:t>
      </w:r>
      <w:r w:rsidRPr="00B151C6">
        <w:rPr>
          <w:rFonts w:ascii="Arial" w:eastAsia="Times New Roman" w:hAnsi="Arial" w:cs="Arial"/>
          <w:lang w:val="es-ES"/>
        </w:rPr>
        <w:t xml:space="preserve"> fue seguido de seminarios web nacionales para Bangladesh, Nepal y Sri Lanka a pedido de esos países.</w:t>
      </w:r>
    </w:p>
    <w:p w:rsidR="00320FA1" w:rsidRPr="00B151C6" w:rsidRDefault="00320FA1">
      <w:pPr>
        <w:pStyle w:val="BodyText"/>
        <w:widowControl w:val="0"/>
        <w:numPr>
          <w:ilvl w:val="0"/>
          <w:numId w:val="8"/>
        </w:numPr>
        <w:autoSpaceDE w:val="0"/>
        <w:autoSpaceDN w:val="0"/>
        <w:spacing w:before="0" w:after="0"/>
        <w:jc w:val="left"/>
        <w:rPr>
          <w:rFonts w:ascii="Arial" w:eastAsia="Times New Roman" w:hAnsi="Arial" w:cs="Arial"/>
          <w:lang w:val="es-ES"/>
        </w:rPr>
      </w:pPr>
      <w:r w:rsidRPr="00B151C6">
        <w:rPr>
          <w:rFonts w:ascii="Arial" w:eastAsia="Times New Roman" w:hAnsi="Arial" w:cs="Arial"/>
          <w:lang w:val="es-ES"/>
        </w:rPr>
        <w:t xml:space="preserve">En agosto de 2021 se realizó un seminario web para países de la región de la ASEAN al </w:t>
      </w:r>
      <w:r w:rsidR="007C1AEA">
        <w:rPr>
          <w:rFonts w:ascii="Arial" w:eastAsia="Times New Roman" w:hAnsi="Arial" w:cs="Arial"/>
          <w:lang w:val="es-ES"/>
        </w:rPr>
        <w:t>que</w:t>
      </w:r>
      <w:r w:rsidRPr="00B151C6">
        <w:rPr>
          <w:rFonts w:ascii="Arial" w:eastAsia="Times New Roman" w:hAnsi="Arial" w:cs="Arial"/>
          <w:lang w:val="es-ES"/>
        </w:rPr>
        <w:t xml:space="preserve"> asistieron 12 participantes de 4 países (Malasia, Viet Nam, Lao y Filipinas).</w:t>
      </w:r>
    </w:p>
    <w:p w:rsidR="00320FA1" w:rsidRPr="00B151C6" w:rsidRDefault="00320FA1">
      <w:pPr>
        <w:pStyle w:val="BodyText"/>
        <w:widowControl w:val="0"/>
        <w:numPr>
          <w:ilvl w:val="0"/>
          <w:numId w:val="8"/>
        </w:numPr>
        <w:autoSpaceDE w:val="0"/>
        <w:autoSpaceDN w:val="0"/>
        <w:spacing w:before="0" w:after="0"/>
        <w:jc w:val="left"/>
        <w:rPr>
          <w:rFonts w:ascii="Arial" w:eastAsia="Times New Roman" w:hAnsi="Arial" w:cs="Arial"/>
          <w:lang w:val="es-ES"/>
        </w:rPr>
      </w:pPr>
      <w:r w:rsidRPr="00B151C6">
        <w:rPr>
          <w:rFonts w:ascii="Arial" w:eastAsia="Times New Roman" w:hAnsi="Arial" w:cs="Arial"/>
          <w:lang w:val="es-ES"/>
        </w:rPr>
        <w:t xml:space="preserve">Se realizó un seminario web para la región del Pacífico, al </w:t>
      </w:r>
      <w:r w:rsidR="007C1AEA">
        <w:rPr>
          <w:rFonts w:ascii="Arial" w:eastAsia="Times New Roman" w:hAnsi="Arial" w:cs="Arial"/>
          <w:lang w:val="es-ES"/>
        </w:rPr>
        <w:t>que</w:t>
      </w:r>
      <w:r w:rsidRPr="00B151C6">
        <w:rPr>
          <w:rFonts w:ascii="Arial" w:eastAsia="Times New Roman" w:hAnsi="Arial" w:cs="Arial"/>
          <w:lang w:val="es-ES"/>
        </w:rPr>
        <w:t xml:space="preserve"> asistieron tres países (</w:t>
      </w:r>
      <w:r w:rsidR="007C1AEA" w:rsidRPr="00B151C6">
        <w:rPr>
          <w:rFonts w:ascii="Arial" w:eastAsia="Times New Roman" w:hAnsi="Arial" w:cs="Arial"/>
          <w:lang w:val="es-ES"/>
        </w:rPr>
        <w:t>las Islas Cook</w:t>
      </w:r>
      <w:r w:rsidR="007C1AEA">
        <w:rPr>
          <w:rFonts w:ascii="Arial" w:eastAsia="Times New Roman" w:hAnsi="Arial" w:cs="Arial"/>
          <w:lang w:val="es-ES"/>
        </w:rPr>
        <w:t>,</w:t>
      </w:r>
      <w:r w:rsidR="007C1AEA" w:rsidRPr="00B151C6">
        <w:rPr>
          <w:rFonts w:ascii="Arial" w:eastAsia="Times New Roman" w:hAnsi="Arial" w:cs="Arial"/>
          <w:lang w:val="es-ES"/>
        </w:rPr>
        <w:t xml:space="preserve"> </w:t>
      </w:r>
      <w:r w:rsidRPr="00B151C6">
        <w:rPr>
          <w:rFonts w:ascii="Arial" w:eastAsia="Times New Roman" w:hAnsi="Arial" w:cs="Arial"/>
          <w:lang w:val="es-ES"/>
        </w:rPr>
        <w:t>Micronesia</w:t>
      </w:r>
      <w:r w:rsidR="007C1AEA">
        <w:rPr>
          <w:rFonts w:ascii="Arial" w:eastAsia="Times New Roman" w:hAnsi="Arial" w:cs="Arial"/>
          <w:lang w:val="es-ES"/>
        </w:rPr>
        <w:t xml:space="preserve"> y</w:t>
      </w:r>
      <w:r w:rsidRPr="00B151C6">
        <w:rPr>
          <w:rFonts w:ascii="Arial" w:eastAsia="Times New Roman" w:hAnsi="Arial" w:cs="Arial"/>
          <w:lang w:val="es-ES"/>
        </w:rPr>
        <w:t xml:space="preserve"> Samoa)</w:t>
      </w:r>
    </w:p>
    <w:p w:rsidR="00320FA1" w:rsidRPr="00B151C6" w:rsidRDefault="00320FA1">
      <w:pPr>
        <w:pStyle w:val="BodyText"/>
        <w:widowControl w:val="0"/>
        <w:numPr>
          <w:ilvl w:val="0"/>
          <w:numId w:val="8"/>
        </w:numPr>
        <w:autoSpaceDE w:val="0"/>
        <w:autoSpaceDN w:val="0"/>
        <w:spacing w:before="0" w:after="0"/>
        <w:jc w:val="left"/>
        <w:rPr>
          <w:rFonts w:ascii="Arial" w:eastAsia="Times New Roman" w:hAnsi="Arial" w:cs="Arial"/>
          <w:lang w:val="es-ES"/>
        </w:rPr>
      </w:pPr>
      <w:r w:rsidRPr="00B151C6">
        <w:rPr>
          <w:rFonts w:ascii="Arial" w:eastAsia="Times New Roman" w:hAnsi="Arial" w:cs="Arial"/>
          <w:lang w:val="es-ES"/>
        </w:rPr>
        <w:t>Para la región de América Latina y el Caribe se realizaron dos seminarios web. Uno para los países de habla hispana y otro para los países angloparlantes. Cada seminario web contó con la asist</w:t>
      </w:r>
      <w:r w:rsidR="007C1AEA">
        <w:rPr>
          <w:rFonts w:ascii="Arial" w:eastAsia="Times New Roman" w:hAnsi="Arial" w:cs="Arial"/>
          <w:lang w:val="es-ES"/>
        </w:rPr>
        <w:t>encia de más de cuatro países.</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sz w:val="21"/>
          <w:szCs w:val="21"/>
          <w:lang w:val="es-ES"/>
        </w:rPr>
      </w:pPr>
      <w:r w:rsidRPr="00B151C6">
        <w:rPr>
          <w:rFonts w:ascii="Arial" w:eastAsia="Times New Roman" w:hAnsi="Arial" w:cs="Arial"/>
          <w:lang w:val="es-ES"/>
        </w:rPr>
        <w:t xml:space="preserve">La Secretaría del CDB contactó a cinco organismos de ejecución del FMAM para que el </w:t>
      </w:r>
      <w:r w:rsidR="007C1AEA">
        <w:rPr>
          <w:rFonts w:ascii="Arial" w:eastAsia="Times New Roman" w:hAnsi="Arial" w:cs="Arial"/>
          <w:lang w:val="es-ES"/>
        </w:rPr>
        <w:t>e</w:t>
      </w:r>
      <w:r w:rsidRPr="00B151C6">
        <w:rPr>
          <w:rFonts w:ascii="Arial" w:eastAsia="Times New Roman" w:hAnsi="Arial" w:cs="Arial"/>
          <w:lang w:val="es-ES"/>
        </w:rPr>
        <w:t xml:space="preserve">quipo de </w:t>
      </w:r>
      <w:r w:rsidR="007C1AEA">
        <w:rPr>
          <w:rFonts w:ascii="Arial" w:eastAsia="Times New Roman" w:hAnsi="Arial" w:cs="Arial"/>
          <w:lang w:val="es-ES"/>
        </w:rPr>
        <w:t>e</w:t>
      </w:r>
      <w:r w:rsidRPr="00B151C6">
        <w:rPr>
          <w:rFonts w:ascii="Arial" w:eastAsia="Times New Roman" w:hAnsi="Arial" w:cs="Arial"/>
          <w:lang w:val="es-ES"/>
        </w:rPr>
        <w:t xml:space="preserve">xpertos </w:t>
      </w:r>
      <w:r w:rsidR="002D7B72">
        <w:rPr>
          <w:rFonts w:ascii="Arial" w:eastAsia="Times New Roman" w:hAnsi="Arial" w:cs="Arial"/>
          <w:lang w:val="es-ES"/>
        </w:rPr>
        <w:t xml:space="preserve">les </w:t>
      </w:r>
      <w:r w:rsidRPr="00B151C6">
        <w:rPr>
          <w:rFonts w:ascii="Arial" w:eastAsia="Times New Roman" w:hAnsi="Arial" w:cs="Arial"/>
          <w:lang w:val="es-ES"/>
        </w:rPr>
        <w:t>realizara consultas. Se realizaron consultas con el Banco Mundial y la Unión Internacional para la Conservación de la Naturaleza (UICN).</w:t>
      </w:r>
    </w:p>
    <w:p w:rsidR="00320FA1" w:rsidRPr="00B151C6" w:rsidRDefault="00320FA1">
      <w:pPr>
        <w:pStyle w:val="BodyText"/>
        <w:widowControl w:val="0"/>
        <w:numPr>
          <w:ilvl w:val="0"/>
          <w:numId w:val="9"/>
        </w:numPr>
        <w:autoSpaceDE w:val="0"/>
        <w:autoSpaceDN w:val="0"/>
        <w:ind w:left="0" w:firstLine="0"/>
        <w:jc w:val="left"/>
        <w:outlineLvl w:val="0"/>
        <w:rPr>
          <w:rFonts w:ascii="Arial" w:eastAsia="Times New Roman" w:hAnsi="Arial" w:cs="Arial"/>
          <w:b/>
          <w:bCs/>
          <w:u w:val="single"/>
          <w:lang w:val="es-ES"/>
        </w:rPr>
      </w:pPr>
      <w:r w:rsidRPr="00B151C6">
        <w:rPr>
          <w:rFonts w:ascii="Arial" w:eastAsia="Times New Roman" w:hAnsi="Arial" w:cs="Arial"/>
          <w:b/>
          <w:bCs/>
          <w:u w:val="single"/>
          <w:lang w:val="es-ES"/>
        </w:rPr>
        <w:t>Evaluación del cuestionario presentado sobre las necesidades de financiación para el aplicación del Convenio y sus Protocolos</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De conformidad con el párrafo 11 del mandato, el </w:t>
      </w:r>
      <w:r w:rsidR="007C1AEA">
        <w:rPr>
          <w:rFonts w:ascii="Arial" w:eastAsia="Times New Roman" w:hAnsi="Arial" w:cs="Arial"/>
          <w:lang w:val="es-ES"/>
        </w:rPr>
        <w:t>e</w:t>
      </w:r>
      <w:r w:rsidRPr="00B151C6">
        <w:rPr>
          <w:rFonts w:ascii="Arial" w:eastAsia="Times New Roman" w:hAnsi="Arial" w:cs="Arial"/>
          <w:lang w:val="es-ES"/>
        </w:rPr>
        <w:t xml:space="preserve">quipo de </w:t>
      </w:r>
      <w:r w:rsidR="007C1AEA">
        <w:rPr>
          <w:rFonts w:ascii="Arial" w:eastAsia="Times New Roman" w:hAnsi="Arial" w:cs="Arial"/>
          <w:lang w:val="es-ES"/>
        </w:rPr>
        <w:t>e</w:t>
      </w:r>
      <w:r w:rsidRPr="00B151C6">
        <w:rPr>
          <w:rFonts w:ascii="Arial" w:eastAsia="Times New Roman" w:hAnsi="Arial" w:cs="Arial"/>
          <w:lang w:val="es-ES"/>
        </w:rPr>
        <w:t>xpertos elaboró un cuestionario para recabar información sobre las necesidades totales de financiación para los proyectos prioritarios del FMAM-8</w:t>
      </w:r>
      <w:r w:rsidRPr="00B151C6">
        <w:rPr>
          <w:rStyle w:val="FootnoteReference"/>
          <w:rFonts w:ascii="Arial" w:eastAsia="Times New Roman" w:hAnsi="Arial" w:cs="Arial"/>
          <w:lang w:val="es-ES"/>
        </w:rPr>
        <w:footnoteReference w:id="13"/>
      </w:r>
      <w:r w:rsidRPr="00B151C6">
        <w:rPr>
          <w:rFonts w:ascii="Arial" w:eastAsia="Times New Roman" w:hAnsi="Arial" w:cs="Arial"/>
          <w:lang w:val="es-ES"/>
        </w:rPr>
        <w:t xml:space="preserve">. Tanto el cuestionario como una orientación para completarlo se publicaron en línea en español, francés e inglés entre finales de febrero </w:t>
      </w:r>
      <w:r w:rsidR="007C1AEA">
        <w:rPr>
          <w:rFonts w:ascii="Arial" w:eastAsia="Times New Roman" w:hAnsi="Arial" w:cs="Arial"/>
          <w:lang w:val="es-ES"/>
        </w:rPr>
        <w:t xml:space="preserve">de 2020 </w:t>
      </w:r>
      <w:r w:rsidRPr="00B151C6">
        <w:rPr>
          <w:rFonts w:ascii="Arial" w:eastAsia="Times New Roman" w:hAnsi="Arial" w:cs="Arial"/>
          <w:lang w:val="es-ES"/>
        </w:rPr>
        <w:t xml:space="preserve">y octubre de 2021. </w:t>
      </w:r>
      <w:r w:rsidR="007C1AEA">
        <w:rPr>
          <w:rFonts w:ascii="Arial" w:eastAsia="Times New Roman" w:hAnsi="Arial" w:cs="Arial"/>
          <w:lang w:val="es-ES"/>
        </w:rPr>
        <w:t>Como seguimiento, h</w:t>
      </w:r>
      <w:r w:rsidRPr="00B151C6">
        <w:rPr>
          <w:rFonts w:ascii="Arial" w:eastAsia="Times New Roman" w:hAnsi="Arial" w:cs="Arial"/>
          <w:lang w:val="es-ES"/>
        </w:rPr>
        <w:t xml:space="preserve">ubo un total de 11 instancias de </w:t>
      </w:r>
      <w:r w:rsidR="007C1AEA">
        <w:rPr>
          <w:rFonts w:ascii="Arial" w:eastAsia="Times New Roman" w:hAnsi="Arial" w:cs="Arial"/>
          <w:lang w:val="es-ES"/>
        </w:rPr>
        <w:t>discusión</w:t>
      </w:r>
      <w:r w:rsidRPr="00B151C6">
        <w:rPr>
          <w:rFonts w:ascii="Arial" w:eastAsia="Times New Roman" w:hAnsi="Arial" w:cs="Arial"/>
          <w:lang w:val="es-ES"/>
        </w:rPr>
        <w:t xml:space="preserve"> con Partes. Los comentarios sobre el cuestionario fueron positivos y las Partes confirmaron que era fácil de completar.</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El cuestionario incluye información tanto cualitativa como cuantitativa. Se pide a las Partes que indiquen, para cada proyecto, las necesidades de financiación totales estimadas, la cofinanciación </w:t>
      </w:r>
      <w:r w:rsidR="007C1AEA">
        <w:rPr>
          <w:rFonts w:ascii="Arial" w:eastAsia="Times New Roman" w:hAnsi="Arial" w:cs="Arial"/>
          <w:lang w:val="es-ES"/>
        </w:rPr>
        <w:t xml:space="preserve">que podría estar </w:t>
      </w:r>
      <w:r w:rsidRPr="00B151C6">
        <w:rPr>
          <w:rFonts w:ascii="Arial" w:eastAsia="Times New Roman" w:hAnsi="Arial" w:cs="Arial"/>
          <w:lang w:val="es-ES"/>
        </w:rPr>
        <w:t>disponible y las neces</w:t>
      </w:r>
      <w:r w:rsidR="007C1AEA">
        <w:rPr>
          <w:rFonts w:ascii="Arial" w:eastAsia="Times New Roman" w:hAnsi="Arial" w:cs="Arial"/>
          <w:lang w:val="es-ES"/>
        </w:rPr>
        <w:t>idades de financiación del FMAM</w:t>
      </w:r>
      <w:r w:rsidRPr="00B151C6">
        <w:rPr>
          <w:rFonts w:ascii="Arial" w:eastAsia="Times New Roman" w:hAnsi="Arial" w:cs="Arial"/>
          <w:lang w:val="es-ES"/>
        </w:rPr>
        <w:t xml:space="preserve"> utilizando el método de costos incrementales. Además, se solicita a las Partes información respecto a las probables características de los proyectos propuestos (bioma,</w:t>
      </w:r>
      <w:r w:rsidRPr="00B151C6">
        <w:rPr>
          <w:rFonts w:ascii="Arial" w:eastAsia="Times New Roman" w:hAnsi="Arial" w:cs="Arial"/>
          <w:spacing w:val="-2"/>
          <w:lang w:val="es-ES"/>
        </w:rPr>
        <w:t xml:space="preserve"> e</w:t>
      </w:r>
      <w:r w:rsidRPr="00B151C6">
        <w:rPr>
          <w:rFonts w:ascii="Arial" w:eastAsia="Times New Roman" w:hAnsi="Arial" w:cs="Arial"/>
          <w:lang w:val="es-ES"/>
        </w:rPr>
        <w:t>species, programas integrados, estrategias, vínculos con otros convenios y con los ODS).</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sz w:val="21"/>
          <w:szCs w:val="21"/>
          <w:lang w:val="es-ES"/>
        </w:rPr>
      </w:pPr>
      <w:r w:rsidRPr="00B151C6">
        <w:rPr>
          <w:rFonts w:ascii="Arial" w:eastAsia="Times New Roman" w:hAnsi="Arial" w:cs="Arial"/>
          <w:lang w:val="es-ES"/>
        </w:rPr>
        <w:t>Al 22 de octubre de 2021, 44 países receptores del FMAM</w:t>
      </w:r>
      <w:r w:rsidRPr="00B151C6">
        <w:rPr>
          <w:rFonts w:ascii="Arial" w:eastAsia="Times New Roman" w:hAnsi="Arial" w:cs="Arial"/>
          <w:b/>
          <w:bCs/>
          <w:lang w:val="es-ES"/>
        </w:rPr>
        <w:t xml:space="preserve"> </w:t>
      </w:r>
      <w:r w:rsidRPr="00B151C6">
        <w:rPr>
          <w:rFonts w:ascii="Arial" w:eastAsia="Times New Roman" w:hAnsi="Arial" w:cs="Arial"/>
          <w:lang w:val="es-ES"/>
        </w:rPr>
        <w:t xml:space="preserve">habían respondido </w:t>
      </w:r>
      <w:r w:rsidR="002D7B72">
        <w:rPr>
          <w:rFonts w:ascii="Arial" w:eastAsia="Times New Roman" w:hAnsi="Arial" w:cs="Arial"/>
          <w:lang w:val="es-ES"/>
        </w:rPr>
        <w:t>a</w:t>
      </w:r>
      <w:r w:rsidRPr="00B151C6">
        <w:rPr>
          <w:rFonts w:ascii="Arial" w:eastAsia="Times New Roman" w:hAnsi="Arial" w:cs="Arial"/>
          <w:lang w:val="es-ES"/>
        </w:rPr>
        <w:t>l cuestionario y proporcionado datos sobre un total de 210 proyectos potenciales.</w:t>
      </w:r>
      <w:r w:rsidRPr="00B151C6">
        <w:rPr>
          <w:rFonts w:ascii="Arial" w:eastAsia="Times New Roman" w:hAnsi="Arial" w:cs="Arial"/>
          <w:spacing w:val="1"/>
          <w:lang w:val="es-ES"/>
        </w:rPr>
        <w:t xml:space="preserve"> </w:t>
      </w:r>
      <w:r w:rsidRPr="00B151C6">
        <w:rPr>
          <w:rFonts w:ascii="Arial" w:eastAsia="Times New Roman" w:hAnsi="Arial" w:cs="Arial"/>
          <w:lang w:val="es-ES"/>
        </w:rPr>
        <w:t>Esta proporción</w:t>
      </w:r>
      <w:r w:rsidRPr="00B151C6">
        <w:rPr>
          <w:rFonts w:ascii="Arial" w:eastAsia="Times New Roman" w:hAnsi="Arial" w:cs="Arial"/>
          <w:spacing w:val="1"/>
          <w:lang w:val="es-ES"/>
        </w:rPr>
        <w:t xml:space="preserve"> </w:t>
      </w:r>
      <w:r w:rsidRPr="00B151C6">
        <w:rPr>
          <w:rFonts w:ascii="Arial" w:eastAsia="Times New Roman" w:hAnsi="Arial" w:cs="Arial"/>
          <w:lang w:val="es-ES"/>
        </w:rPr>
        <w:t xml:space="preserve">(30 %) es algo baja para </w:t>
      </w:r>
      <w:r w:rsidR="00B55ACE">
        <w:rPr>
          <w:rFonts w:ascii="Arial" w:eastAsia="Times New Roman" w:hAnsi="Arial" w:cs="Arial"/>
          <w:lang w:val="es-ES"/>
        </w:rPr>
        <w:t xml:space="preserve">poder </w:t>
      </w:r>
      <w:r w:rsidRPr="00B151C6">
        <w:rPr>
          <w:rFonts w:ascii="Arial" w:eastAsia="Times New Roman" w:hAnsi="Arial" w:cs="Arial"/>
          <w:lang w:val="es-ES"/>
        </w:rPr>
        <w:t xml:space="preserve">sacar una conclusión sólida, teniendo en cuenta que no surge de una muestra aleatoria, aunque sí le permitió al </w:t>
      </w:r>
      <w:r w:rsidR="00B55ACE">
        <w:rPr>
          <w:rFonts w:ascii="Arial" w:eastAsia="Times New Roman" w:hAnsi="Arial" w:cs="Arial"/>
          <w:lang w:val="es-ES"/>
        </w:rPr>
        <w:t>e</w:t>
      </w:r>
      <w:r w:rsidRPr="00B151C6">
        <w:rPr>
          <w:rFonts w:ascii="Arial" w:eastAsia="Times New Roman" w:hAnsi="Arial" w:cs="Arial"/>
          <w:lang w:val="es-ES"/>
        </w:rPr>
        <w:t xml:space="preserve">quipo de </w:t>
      </w:r>
      <w:r w:rsidR="00B55ACE">
        <w:rPr>
          <w:rFonts w:ascii="Arial" w:eastAsia="Times New Roman" w:hAnsi="Arial" w:cs="Arial"/>
          <w:lang w:val="es-ES"/>
        </w:rPr>
        <w:t>e</w:t>
      </w:r>
      <w:r w:rsidRPr="00B151C6">
        <w:rPr>
          <w:rFonts w:ascii="Arial" w:eastAsia="Times New Roman" w:hAnsi="Arial" w:cs="Arial"/>
          <w:lang w:val="es-ES"/>
        </w:rPr>
        <w:t xml:space="preserve">xpertos realizar un análisis indicativo a los efectos del presente informe. Un análisis simple de las presentaciones indica una representación bien equilibrada de países de todas las regiones pertinentes, </w:t>
      </w:r>
      <w:r w:rsidRPr="00B151C6">
        <w:rPr>
          <w:rFonts w:ascii="Arial" w:eastAsia="Times New Roman" w:hAnsi="Arial" w:cs="Arial"/>
          <w:lang w:val="es-ES"/>
        </w:rPr>
        <w:lastRenderedPageBreak/>
        <w:t>incluido</w:t>
      </w:r>
      <w:r w:rsidR="004D1B33">
        <w:rPr>
          <w:rFonts w:ascii="Arial" w:eastAsia="Times New Roman" w:hAnsi="Arial" w:cs="Arial"/>
          <w:lang w:val="es-ES"/>
        </w:rPr>
        <w:t>s</w:t>
      </w:r>
      <w:r w:rsidRPr="00B151C6">
        <w:rPr>
          <w:rFonts w:ascii="Arial" w:eastAsia="Times New Roman" w:hAnsi="Arial" w:cs="Arial"/>
          <w:lang w:val="es-ES"/>
        </w:rPr>
        <w:t xml:space="preserve"> países menos adelantados, pequeños Estados insulares en desarrollo y países megadiversos.</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Como e</w:t>
      </w:r>
      <w:r w:rsidR="00B55ACE">
        <w:rPr>
          <w:rFonts w:ascii="Arial" w:eastAsia="Times New Roman" w:hAnsi="Arial" w:cs="Arial"/>
          <w:lang w:val="es-ES"/>
        </w:rPr>
        <w:t>n años anteriores, supo</w:t>
      </w:r>
      <w:r w:rsidR="004D1B33">
        <w:rPr>
          <w:rFonts w:ascii="Arial" w:eastAsia="Times New Roman" w:hAnsi="Arial" w:cs="Arial"/>
          <w:lang w:val="es-ES"/>
        </w:rPr>
        <w:t>nien</w:t>
      </w:r>
      <w:r w:rsidRPr="00B151C6">
        <w:rPr>
          <w:rFonts w:ascii="Arial" w:eastAsia="Times New Roman" w:hAnsi="Arial" w:cs="Arial"/>
          <w:lang w:val="es-ES"/>
        </w:rPr>
        <w:t>d</w:t>
      </w:r>
      <w:r w:rsidR="004D1B33">
        <w:rPr>
          <w:rFonts w:ascii="Arial" w:eastAsia="Times New Roman" w:hAnsi="Arial" w:cs="Arial"/>
          <w:lang w:val="es-ES"/>
        </w:rPr>
        <w:t>o</w:t>
      </w:r>
      <w:r w:rsidRPr="00B151C6">
        <w:rPr>
          <w:rFonts w:ascii="Arial" w:eastAsia="Times New Roman" w:hAnsi="Arial" w:cs="Arial"/>
          <w:lang w:val="es-ES"/>
        </w:rPr>
        <w:t xml:space="preserve"> que no responderían</w:t>
      </w:r>
      <w:r w:rsidR="00B55ACE" w:rsidRPr="00B55ACE">
        <w:rPr>
          <w:rFonts w:ascii="Arial" w:eastAsia="Times New Roman" w:hAnsi="Arial" w:cs="Arial"/>
          <w:lang w:val="es-ES"/>
        </w:rPr>
        <w:t xml:space="preserve"> </w:t>
      </w:r>
      <w:r w:rsidR="00B55ACE" w:rsidRPr="00B151C6">
        <w:rPr>
          <w:rFonts w:ascii="Arial" w:eastAsia="Times New Roman" w:hAnsi="Arial" w:cs="Arial"/>
          <w:lang w:val="es-ES"/>
        </w:rPr>
        <w:t>todas las Partes</w:t>
      </w:r>
      <w:r w:rsidRPr="00B151C6">
        <w:rPr>
          <w:rFonts w:ascii="Arial" w:eastAsia="Times New Roman" w:hAnsi="Arial" w:cs="Arial"/>
          <w:lang w:val="es-ES"/>
        </w:rPr>
        <w:t xml:space="preserve">, para llegar a la cifra global definitiva de necesidades de financiación para el FMAM-8 </w:t>
      </w:r>
      <w:r w:rsidR="004D1B33">
        <w:rPr>
          <w:rFonts w:ascii="Arial" w:eastAsia="Times New Roman" w:hAnsi="Arial" w:cs="Arial"/>
          <w:lang w:val="es-ES"/>
        </w:rPr>
        <w:t>fue</w:t>
      </w:r>
      <w:r w:rsidRPr="00B151C6">
        <w:rPr>
          <w:rFonts w:ascii="Arial" w:eastAsia="Times New Roman" w:hAnsi="Arial" w:cs="Arial"/>
          <w:lang w:val="es-ES"/>
        </w:rPr>
        <w:t xml:space="preserve"> necesario realizar extrapolaciones.</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El análisis del cuestionario también brinda una descripción cualitativa de la cartera global de proyectos que probablemente se presenten al FMAM-8. Se proporciona una descripción de la cartera global de proyectos propuesta dividida en biomas, especies, características, objetivos estratégicos y programas integrados. Esta información puede ser útil como orientación para las decisiones programáticas del FMAM.</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El análisis se basa íntegramente en los datos proporcionados por las Partes que respondieron </w:t>
      </w:r>
      <w:r w:rsidR="004D1B33">
        <w:rPr>
          <w:rFonts w:ascii="Arial" w:eastAsia="Times New Roman" w:hAnsi="Arial" w:cs="Arial"/>
          <w:lang w:val="es-ES"/>
        </w:rPr>
        <w:t>a</w:t>
      </w:r>
      <w:r w:rsidRPr="00B151C6">
        <w:rPr>
          <w:rFonts w:ascii="Arial" w:eastAsia="Times New Roman" w:hAnsi="Arial" w:cs="Arial"/>
          <w:lang w:val="es-ES"/>
        </w:rPr>
        <w:t>l cuestionario. Por lo tanto, cabe hacer dos salvedades respecto de este análisis:</w:t>
      </w:r>
      <w:r w:rsidRPr="00B151C6">
        <w:rPr>
          <w:rFonts w:ascii="Arial" w:eastAsia="Times New Roman" w:hAnsi="Arial" w:cs="Arial"/>
          <w:spacing w:val="2"/>
          <w:lang w:val="es-ES"/>
        </w:rPr>
        <w:t xml:space="preserve"> </w:t>
      </w:r>
      <w:r w:rsidRPr="00B151C6">
        <w:rPr>
          <w:rFonts w:ascii="Arial" w:eastAsia="Times New Roman" w:hAnsi="Arial" w:cs="Arial"/>
          <w:lang w:val="es-ES"/>
        </w:rPr>
        <w:t>1) no representa la totalidad de la cartera que probablemente se presente al FMAM-8 (teniendo en cuenta una tasa de respuesta del 30 %); y 2) está sujeto a posibles discrepancias en el cuestionario (es decir, posibles errores o interpretaciones erróneas).</w:t>
      </w:r>
      <w:r w:rsidRPr="00B151C6">
        <w:rPr>
          <w:rFonts w:ascii="Arial" w:eastAsia="Times New Roman" w:hAnsi="Arial" w:cs="Arial"/>
          <w:spacing w:val="1"/>
          <w:lang w:val="es-ES"/>
        </w:rPr>
        <w:t xml:space="preserve"> </w:t>
      </w:r>
    </w:p>
    <w:p w:rsidR="00320FA1" w:rsidRPr="00B151C6" w:rsidRDefault="00320FA1">
      <w:pPr>
        <w:pStyle w:val="BodyText"/>
        <w:ind w:firstLine="0"/>
        <w:outlineLvl w:val="1"/>
        <w:rPr>
          <w:rFonts w:ascii="Arial" w:eastAsia="Times New Roman" w:hAnsi="Arial" w:cs="Arial"/>
          <w:lang w:val="es-ES"/>
        </w:rPr>
      </w:pPr>
      <w:r w:rsidRPr="00B151C6">
        <w:rPr>
          <w:rFonts w:ascii="Arial" w:eastAsia="Times New Roman" w:hAnsi="Arial" w:cs="Arial"/>
          <w:lang w:val="es-ES"/>
        </w:rPr>
        <w:t>a.</w:t>
      </w:r>
      <w:r w:rsidRPr="00B151C6">
        <w:rPr>
          <w:rFonts w:ascii="Arial" w:eastAsia="Times New Roman" w:hAnsi="Arial" w:cs="Arial"/>
          <w:spacing w:val="52"/>
          <w:lang w:val="es-ES"/>
        </w:rPr>
        <w:t xml:space="preserve"> </w:t>
      </w:r>
      <w:r w:rsidRPr="00B151C6">
        <w:rPr>
          <w:rFonts w:ascii="Arial" w:eastAsia="Times New Roman" w:hAnsi="Arial" w:cs="Arial"/>
          <w:u w:val="single"/>
          <w:lang w:val="es-ES"/>
        </w:rPr>
        <w:t xml:space="preserve">Características de la cartera según las respuestas </w:t>
      </w:r>
      <w:r w:rsidR="00AA2BC8">
        <w:rPr>
          <w:rFonts w:ascii="Arial" w:eastAsia="Times New Roman" w:hAnsi="Arial" w:cs="Arial"/>
          <w:u w:val="single"/>
          <w:lang w:val="es-ES"/>
        </w:rPr>
        <w:t>de</w:t>
      </w:r>
      <w:r w:rsidRPr="00B151C6">
        <w:rPr>
          <w:rFonts w:ascii="Arial" w:eastAsia="Times New Roman" w:hAnsi="Arial" w:cs="Arial"/>
          <w:u w:val="single"/>
          <w:lang w:val="es-ES"/>
        </w:rPr>
        <w:t>l</w:t>
      </w:r>
      <w:r w:rsidRPr="00B151C6">
        <w:rPr>
          <w:rFonts w:ascii="Arial" w:eastAsia="Times New Roman" w:hAnsi="Arial" w:cs="Arial"/>
          <w:spacing w:val="-3"/>
          <w:u w:val="single"/>
          <w:lang w:val="es-ES"/>
        </w:rPr>
        <w:t xml:space="preserve"> </w:t>
      </w:r>
      <w:r w:rsidRPr="00B151C6">
        <w:rPr>
          <w:rFonts w:ascii="Arial" w:eastAsia="Times New Roman" w:hAnsi="Arial" w:cs="Arial"/>
          <w:u w:val="single"/>
          <w:lang w:val="es-ES"/>
        </w:rPr>
        <w:t>cuestionario</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A octubre de 2021, habían respondido </w:t>
      </w:r>
      <w:r w:rsidR="004D1B33">
        <w:rPr>
          <w:rFonts w:ascii="Arial" w:eastAsia="Times New Roman" w:hAnsi="Arial" w:cs="Arial"/>
          <w:lang w:val="es-ES"/>
        </w:rPr>
        <w:t>a</w:t>
      </w:r>
      <w:r w:rsidRPr="00B151C6">
        <w:rPr>
          <w:rFonts w:ascii="Arial" w:eastAsia="Times New Roman" w:hAnsi="Arial" w:cs="Arial"/>
          <w:lang w:val="es-ES"/>
        </w:rPr>
        <w:t xml:space="preserve">l cuestionario 44 Partes (de 145) que </w:t>
      </w:r>
      <w:r w:rsidR="00AA2BC8">
        <w:rPr>
          <w:rFonts w:ascii="Arial" w:eastAsia="Times New Roman" w:hAnsi="Arial" w:cs="Arial"/>
          <w:lang w:val="es-ES"/>
        </w:rPr>
        <w:t>r</w:t>
      </w:r>
      <w:r w:rsidRPr="00B151C6">
        <w:rPr>
          <w:rFonts w:ascii="Arial" w:eastAsia="Times New Roman" w:hAnsi="Arial" w:cs="Arial"/>
          <w:lang w:val="es-ES"/>
        </w:rPr>
        <w:t>e</w:t>
      </w:r>
      <w:r w:rsidR="00AA2BC8">
        <w:rPr>
          <w:rFonts w:ascii="Arial" w:eastAsia="Times New Roman" w:hAnsi="Arial" w:cs="Arial"/>
          <w:lang w:val="es-ES"/>
        </w:rPr>
        <w:t>úne</w:t>
      </w:r>
      <w:r w:rsidRPr="00B151C6">
        <w:rPr>
          <w:rFonts w:ascii="Arial" w:eastAsia="Times New Roman" w:hAnsi="Arial" w:cs="Arial"/>
          <w:lang w:val="es-ES"/>
        </w:rPr>
        <w:t>n l</w:t>
      </w:r>
      <w:r w:rsidR="00AA2BC8">
        <w:rPr>
          <w:rFonts w:ascii="Arial" w:eastAsia="Times New Roman" w:hAnsi="Arial" w:cs="Arial"/>
          <w:lang w:val="es-ES"/>
        </w:rPr>
        <w:t>a</w:t>
      </w:r>
      <w:r w:rsidRPr="00B151C6">
        <w:rPr>
          <w:rFonts w:ascii="Arial" w:eastAsia="Times New Roman" w:hAnsi="Arial" w:cs="Arial"/>
          <w:lang w:val="es-ES"/>
        </w:rPr>
        <w:t xml:space="preserve">s </w:t>
      </w:r>
      <w:r w:rsidR="00AA2BC8">
        <w:rPr>
          <w:rFonts w:ascii="Arial" w:eastAsia="Times New Roman" w:hAnsi="Arial" w:cs="Arial"/>
          <w:lang w:val="es-ES"/>
        </w:rPr>
        <w:t>c</w:t>
      </w:r>
      <w:r w:rsidRPr="00B151C6">
        <w:rPr>
          <w:rFonts w:ascii="Arial" w:eastAsia="Times New Roman" w:hAnsi="Arial" w:cs="Arial"/>
          <w:lang w:val="es-ES"/>
        </w:rPr>
        <w:t>o</w:t>
      </w:r>
      <w:r w:rsidR="00AA2BC8">
        <w:rPr>
          <w:rFonts w:ascii="Arial" w:eastAsia="Times New Roman" w:hAnsi="Arial" w:cs="Arial"/>
          <w:lang w:val="es-ES"/>
        </w:rPr>
        <w:t>ndicione</w:t>
      </w:r>
      <w:r w:rsidRPr="00B151C6">
        <w:rPr>
          <w:rFonts w:ascii="Arial" w:eastAsia="Times New Roman" w:hAnsi="Arial" w:cs="Arial"/>
          <w:lang w:val="es-ES"/>
        </w:rPr>
        <w:t xml:space="preserve">s para recibir financiación del FMAM. El análisis de estos cuestionarios brinda una estimación de las necesidades financieras de 210 proyectos propuestos. </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El análisis indica que la</w:t>
      </w:r>
      <w:r w:rsidR="00AA2BC8">
        <w:rPr>
          <w:rFonts w:ascii="Arial" w:eastAsia="Times New Roman" w:hAnsi="Arial" w:cs="Arial"/>
          <w:lang w:val="es-ES"/>
        </w:rPr>
        <w:t xml:space="preserve">s necesidades </w:t>
      </w:r>
      <w:r w:rsidR="00AA2BC8" w:rsidRPr="00B151C6">
        <w:rPr>
          <w:rFonts w:ascii="Arial" w:eastAsia="Times New Roman" w:hAnsi="Arial" w:cs="Arial"/>
          <w:lang w:val="es-ES"/>
        </w:rPr>
        <w:t>total</w:t>
      </w:r>
      <w:r w:rsidR="00AA2BC8">
        <w:rPr>
          <w:rFonts w:ascii="Arial" w:eastAsia="Times New Roman" w:hAnsi="Arial" w:cs="Arial"/>
          <w:lang w:val="es-ES"/>
        </w:rPr>
        <w:t>es de</w:t>
      </w:r>
      <w:r w:rsidRPr="00B151C6">
        <w:rPr>
          <w:rFonts w:ascii="Arial" w:eastAsia="Times New Roman" w:hAnsi="Arial" w:cs="Arial"/>
          <w:lang w:val="es-ES"/>
        </w:rPr>
        <w:t xml:space="preserve"> financiación estimada</w:t>
      </w:r>
      <w:r w:rsidR="00AA2BC8">
        <w:rPr>
          <w:rFonts w:ascii="Arial" w:eastAsia="Times New Roman" w:hAnsi="Arial" w:cs="Arial"/>
          <w:lang w:val="es-ES"/>
        </w:rPr>
        <w:t>s</w:t>
      </w:r>
      <w:r w:rsidRPr="00B151C6">
        <w:rPr>
          <w:rFonts w:ascii="Arial" w:eastAsia="Times New Roman" w:hAnsi="Arial" w:cs="Arial"/>
          <w:lang w:val="es-ES"/>
        </w:rPr>
        <w:t xml:space="preserve"> para estos 210</w:t>
      </w:r>
      <w:r w:rsidR="00AA2BC8">
        <w:rPr>
          <w:rFonts w:ascii="Arial" w:eastAsia="Times New Roman" w:hAnsi="Arial" w:cs="Arial"/>
          <w:lang w:val="es-ES"/>
        </w:rPr>
        <w:t> </w:t>
      </w:r>
      <w:r w:rsidRPr="00B151C6">
        <w:rPr>
          <w:rFonts w:ascii="Arial" w:eastAsia="Times New Roman" w:hAnsi="Arial" w:cs="Arial"/>
          <w:lang w:val="es-ES"/>
        </w:rPr>
        <w:t>proyectos de 44</w:t>
      </w:r>
      <w:r w:rsidR="00AA2BC8">
        <w:rPr>
          <w:rFonts w:ascii="Arial" w:eastAsia="Times New Roman" w:hAnsi="Arial" w:cs="Arial"/>
          <w:lang w:val="es-ES"/>
        </w:rPr>
        <w:t> </w:t>
      </w:r>
      <w:r w:rsidRPr="00B151C6">
        <w:rPr>
          <w:rFonts w:ascii="Arial" w:eastAsia="Times New Roman" w:hAnsi="Arial" w:cs="Arial"/>
          <w:lang w:val="es-ES"/>
        </w:rPr>
        <w:t>países asciende</w:t>
      </w:r>
      <w:r w:rsidR="00AA2BC8">
        <w:rPr>
          <w:rFonts w:ascii="Arial" w:eastAsia="Times New Roman" w:hAnsi="Arial" w:cs="Arial"/>
          <w:lang w:val="es-ES"/>
        </w:rPr>
        <w:t>n</w:t>
      </w:r>
      <w:r w:rsidRPr="00B151C6">
        <w:rPr>
          <w:rFonts w:ascii="Arial" w:eastAsia="Times New Roman" w:hAnsi="Arial" w:cs="Arial"/>
          <w:lang w:val="es-ES"/>
        </w:rPr>
        <w:t xml:space="preserve"> a la suma de 4.049.921.897 dólares</w:t>
      </w:r>
      <w:r w:rsidRPr="00B151C6">
        <w:rPr>
          <w:rStyle w:val="FootnoteReference"/>
          <w:rFonts w:ascii="Arial" w:eastAsia="Times New Roman" w:hAnsi="Arial" w:cs="Arial"/>
          <w:lang w:val="es-ES"/>
        </w:rPr>
        <w:footnoteReference w:id="14"/>
      </w:r>
      <w:r w:rsidRPr="00B151C6">
        <w:rPr>
          <w:rFonts w:ascii="Arial" w:eastAsia="Times New Roman" w:hAnsi="Arial" w:cs="Arial"/>
          <w:lang w:val="es-ES"/>
        </w:rPr>
        <w:t>. De este monto, los Gobiernos prevén cofinanciar el 39 % y obtener un 29 % de otras fuentes, dejando al FMAM la cofinanciación del restante 32 %. Se estima que un 78 % de los proyectos se refieren al Convenio, mientras que un 21 % y un 38</w:t>
      </w:r>
      <w:r w:rsidR="004D1B33">
        <w:rPr>
          <w:rFonts w:ascii="Arial" w:eastAsia="Times New Roman" w:hAnsi="Arial" w:cs="Arial"/>
          <w:lang w:val="es-ES"/>
        </w:rPr>
        <w:t> </w:t>
      </w:r>
      <w:r w:rsidRPr="00B151C6">
        <w:rPr>
          <w:rFonts w:ascii="Arial" w:eastAsia="Times New Roman" w:hAnsi="Arial" w:cs="Arial"/>
          <w:lang w:val="es-ES"/>
        </w:rPr>
        <w:t>% se refieren al Protocolo de Cartagena y al Protocolo de Nagoya respectivamente (el monto es mayor a 100 % porque algunos proyectos se refieren tanto al Convenio como a uno o a</w:t>
      </w:r>
      <w:r w:rsidR="004D1B33">
        <w:rPr>
          <w:rFonts w:ascii="Arial" w:eastAsia="Times New Roman" w:hAnsi="Arial" w:cs="Arial"/>
          <w:lang w:val="es-ES"/>
        </w:rPr>
        <w:t xml:space="preserve"> a</w:t>
      </w:r>
      <w:r w:rsidRPr="00B151C6">
        <w:rPr>
          <w:rFonts w:ascii="Arial" w:eastAsia="Times New Roman" w:hAnsi="Arial" w:cs="Arial"/>
          <w:lang w:val="es-ES"/>
        </w:rPr>
        <w:t>mbos Protocolos).</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El análisis de los biomas muestra que los humedales son el bioma que más se aborda en los proyectos, siendo que un 61 % de los proyectos previstos se refieren a humedales, seguidos por ríos y lagos con un 49 % y bosques húmedos tropicales con un 40 %. Los biomas menos abordados son los páramos (4 %) y los desiertos (10 %).</w:t>
      </w:r>
    </w:p>
    <w:p w:rsidR="00320FA1" w:rsidRPr="00B151C6" w:rsidRDefault="005C7577">
      <w:pPr>
        <w:pStyle w:val="BodyText"/>
        <w:widowControl w:val="0"/>
        <w:numPr>
          <w:ilvl w:val="0"/>
          <w:numId w:val="11"/>
        </w:numPr>
        <w:autoSpaceDE w:val="0"/>
        <w:autoSpaceDN w:val="0"/>
        <w:ind w:left="0" w:firstLine="0"/>
        <w:jc w:val="left"/>
        <w:rPr>
          <w:rFonts w:ascii="Arial" w:eastAsia="Times New Roman" w:hAnsi="Arial" w:cs="Arial"/>
          <w:lang w:val="es-ES"/>
        </w:rPr>
      </w:pPr>
      <w:r>
        <w:rPr>
          <w:rFonts w:ascii="Arial" w:eastAsia="Times New Roman" w:hAnsi="Arial" w:cs="Arial"/>
          <w:lang w:val="es-ES"/>
        </w:rPr>
        <w:t xml:space="preserve">Se prevé que 70 % </w:t>
      </w:r>
      <w:r w:rsidR="00320FA1" w:rsidRPr="00B151C6">
        <w:rPr>
          <w:rFonts w:ascii="Arial" w:eastAsia="Times New Roman" w:hAnsi="Arial" w:cs="Arial"/>
          <w:lang w:val="es-ES"/>
        </w:rPr>
        <w:t xml:space="preserve">de </w:t>
      </w:r>
      <w:r>
        <w:rPr>
          <w:rFonts w:ascii="Arial" w:eastAsia="Times New Roman" w:hAnsi="Arial" w:cs="Arial"/>
          <w:lang w:val="es-ES"/>
        </w:rPr>
        <w:t xml:space="preserve">los </w:t>
      </w:r>
      <w:r w:rsidR="00320FA1" w:rsidRPr="00B151C6">
        <w:rPr>
          <w:rFonts w:ascii="Arial" w:eastAsia="Times New Roman" w:hAnsi="Arial" w:cs="Arial"/>
          <w:lang w:val="es-ES"/>
        </w:rPr>
        <w:t>proyectos aborden especies amenazadas, figurando los recursos genéticos vegetales en un 60 % de los proyectos previstos y los recursos genéticos animales en un 51 %.</w:t>
      </w:r>
      <w:r w:rsidR="00423F67">
        <w:rPr>
          <w:rFonts w:ascii="Arial" w:eastAsia="Times New Roman" w:hAnsi="Arial" w:cs="Arial"/>
          <w:lang w:val="es-ES"/>
        </w:rPr>
        <w:t xml:space="preserve"> </w:t>
      </w:r>
      <w:r w:rsidR="00320FA1" w:rsidRPr="00B151C6">
        <w:rPr>
          <w:rFonts w:ascii="Arial" w:eastAsia="Times New Roman" w:hAnsi="Arial" w:cs="Arial"/>
          <w:lang w:val="es-ES"/>
        </w:rPr>
        <w:t xml:space="preserve">Se prevé que las variedades silvestres de ganado figurarán en solo un 23 % de los proyectos. </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Todos los programas integrados del FMAM (según el FMAM-7) parecen ser bastante importantes en </w:t>
      </w:r>
      <w:r w:rsidR="004D1B33">
        <w:rPr>
          <w:rFonts w:ascii="Arial" w:eastAsia="Times New Roman" w:hAnsi="Arial" w:cs="Arial"/>
          <w:lang w:val="es-ES"/>
        </w:rPr>
        <w:t>la totalidad de</w:t>
      </w:r>
      <w:r w:rsidRPr="00B151C6">
        <w:rPr>
          <w:rFonts w:ascii="Arial" w:eastAsia="Times New Roman" w:hAnsi="Arial" w:cs="Arial"/>
          <w:lang w:val="es-ES"/>
        </w:rPr>
        <w:t xml:space="preserve"> los proyectos previstos, siendo el más frecuente el de “sistemas alimentarios, uso de la tierra y restauración”</w:t>
      </w:r>
      <w:r w:rsidR="005C7577">
        <w:rPr>
          <w:rFonts w:ascii="Arial" w:eastAsia="Times New Roman" w:hAnsi="Arial" w:cs="Arial"/>
          <w:lang w:val="es-ES"/>
        </w:rPr>
        <w:t>,</w:t>
      </w:r>
      <w:r w:rsidRPr="00B151C6">
        <w:rPr>
          <w:rFonts w:ascii="Arial" w:eastAsia="Times New Roman" w:hAnsi="Arial" w:cs="Arial"/>
          <w:lang w:val="es-ES"/>
        </w:rPr>
        <w:t xml:space="preserve"> con el 47 %</w:t>
      </w:r>
      <w:r w:rsidR="004D1B33">
        <w:rPr>
          <w:rFonts w:ascii="Arial" w:eastAsia="Times New Roman" w:hAnsi="Arial" w:cs="Arial"/>
          <w:lang w:val="es-ES"/>
        </w:rPr>
        <w:t>,</w:t>
      </w:r>
      <w:r w:rsidRPr="00B151C6">
        <w:rPr>
          <w:rFonts w:ascii="Arial" w:eastAsia="Times New Roman" w:hAnsi="Arial" w:cs="Arial"/>
          <w:lang w:val="es-ES"/>
        </w:rPr>
        <w:t xml:space="preserve"> y el menos </w:t>
      </w:r>
      <w:r w:rsidR="005C7577" w:rsidRPr="00B151C6">
        <w:rPr>
          <w:rFonts w:ascii="Arial" w:eastAsia="Times New Roman" w:hAnsi="Arial" w:cs="Arial"/>
          <w:lang w:val="es-ES"/>
        </w:rPr>
        <w:t xml:space="preserve">frecuente </w:t>
      </w:r>
      <w:r w:rsidR="004D1B33">
        <w:rPr>
          <w:rFonts w:ascii="Arial" w:eastAsia="Times New Roman" w:hAnsi="Arial" w:cs="Arial"/>
          <w:lang w:val="es-ES"/>
        </w:rPr>
        <w:t xml:space="preserve">el de </w:t>
      </w:r>
      <w:r w:rsidR="005C7577" w:rsidRPr="00B151C6">
        <w:rPr>
          <w:rFonts w:ascii="Arial" w:eastAsia="Times New Roman" w:hAnsi="Arial" w:cs="Arial"/>
          <w:lang w:val="es-ES"/>
        </w:rPr>
        <w:t>“ciudades sostenibles”</w:t>
      </w:r>
      <w:r w:rsidR="005C7577">
        <w:rPr>
          <w:rFonts w:ascii="Arial" w:eastAsia="Times New Roman" w:hAnsi="Arial" w:cs="Arial"/>
          <w:lang w:val="es-ES"/>
        </w:rPr>
        <w:t>,</w:t>
      </w:r>
      <w:r w:rsidR="005C7577" w:rsidRPr="00B151C6">
        <w:rPr>
          <w:rFonts w:ascii="Arial" w:eastAsia="Times New Roman" w:hAnsi="Arial" w:cs="Arial"/>
          <w:lang w:val="es-ES"/>
        </w:rPr>
        <w:t xml:space="preserve"> </w:t>
      </w:r>
      <w:r w:rsidRPr="00B151C6">
        <w:rPr>
          <w:rFonts w:ascii="Arial" w:eastAsia="Times New Roman" w:hAnsi="Arial" w:cs="Arial"/>
          <w:lang w:val="es-ES"/>
        </w:rPr>
        <w:t>con el 17 %.</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En cuanto a lo objetivos estratégicos, la estrategia más citada en todos los proyectos propuestos es la de mejorar la utilización sostenible de la diversidad biológica, con un 59 %, seguida de cre</w:t>
      </w:r>
      <w:r w:rsidR="005C7577">
        <w:rPr>
          <w:rFonts w:ascii="Arial" w:eastAsia="Times New Roman" w:hAnsi="Arial" w:cs="Arial"/>
          <w:lang w:val="es-ES"/>
        </w:rPr>
        <w:t>ación de capacidad, con un 55 %,</w:t>
      </w:r>
      <w:r w:rsidRPr="00B151C6">
        <w:rPr>
          <w:rFonts w:ascii="Arial" w:eastAsia="Times New Roman" w:hAnsi="Arial" w:cs="Arial"/>
          <w:lang w:val="es-ES"/>
        </w:rPr>
        <w:t xml:space="preserve"> y de áreas protegidas y otras medidas eficaces de conservación basadas en áreas, con un 52 %. Las estrategias menos citadas son “prevenir potenciales impactos negativos de la biotecnología”, con un 8 %, “fortalecer la capacidad de aplicación del Protocolo de Cartagena para la Seguridad de la Biotecnología”, </w:t>
      </w:r>
      <w:r w:rsidRPr="00B151C6">
        <w:rPr>
          <w:rFonts w:ascii="Arial" w:eastAsia="Times New Roman" w:hAnsi="Arial" w:cs="Arial"/>
          <w:lang w:val="es-ES"/>
        </w:rPr>
        <w:lastRenderedPageBreak/>
        <w:t>con un 10 %</w:t>
      </w:r>
      <w:r w:rsidR="005C7577">
        <w:rPr>
          <w:rFonts w:ascii="Arial" w:eastAsia="Times New Roman" w:hAnsi="Arial" w:cs="Arial"/>
          <w:lang w:val="es-ES"/>
        </w:rPr>
        <w:t>,</w:t>
      </w:r>
      <w:r w:rsidRPr="00B151C6">
        <w:rPr>
          <w:rFonts w:ascii="Arial" w:eastAsia="Times New Roman" w:hAnsi="Arial" w:cs="Arial"/>
          <w:lang w:val="es-ES"/>
        </w:rPr>
        <w:t xml:space="preserve"> y “mejorar el acceso a espacios verdes” y “REDD+”, ambos con un 11 %.</w:t>
      </w:r>
    </w:p>
    <w:p w:rsidR="00320FA1" w:rsidRPr="00B151C6" w:rsidRDefault="00320FA1" w:rsidP="00AA01A6">
      <w:pPr>
        <w:pStyle w:val="BodyText"/>
        <w:keepNext/>
        <w:keepLines/>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La mayoría de los proyectos descritos (58 %) tiene un</w:t>
      </w:r>
      <w:r w:rsidR="004D1B33">
        <w:rPr>
          <w:rFonts w:ascii="Arial" w:eastAsia="Times New Roman" w:hAnsi="Arial" w:cs="Arial"/>
          <w:lang w:val="es-ES"/>
        </w:rPr>
        <w:t xml:space="preserve"> ví</w:t>
      </w:r>
      <w:r w:rsidR="005C7577">
        <w:rPr>
          <w:rFonts w:ascii="Arial" w:eastAsia="Times New Roman" w:hAnsi="Arial" w:cs="Arial"/>
          <w:lang w:val="es-ES"/>
        </w:rPr>
        <w:t>n</w:t>
      </w:r>
      <w:r w:rsidR="004D1B33">
        <w:rPr>
          <w:rFonts w:ascii="Arial" w:eastAsia="Times New Roman" w:hAnsi="Arial" w:cs="Arial"/>
          <w:lang w:val="es-ES"/>
        </w:rPr>
        <w:t>culo</w:t>
      </w:r>
      <w:r w:rsidRPr="00B151C6">
        <w:rPr>
          <w:rFonts w:ascii="Arial" w:eastAsia="Times New Roman" w:hAnsi="Arial" w:cs="Arial"/>
          <w:lang w:val="es-ES"/>
        </w:rPr>
        <w:t xml:space="preserve"> con la Convención Marco de las Naciones Unidas sobre el Cambio Climático (CMNUCC); un 54 % </w:t>
      </w:r>
      <w:r w:rsidR="005C7577">
        <w:rPr>
          <w:rFonts w:ascii="Arial" w:eastAsia="Times New Roman" w:hAnsi="Arial" w:cs="Arial"/>
          <w:lang w:val="es-ES"/>
        </w:rPr>
        <w:t>se</w:t>
      </w:r>
      <w:r w:rsidRPr="00B151C6">
        <w:rPr>
          <w:rFonts w:ascii="Arial" w:eastAsia="Times New Roman" w:hAnsi="Arial" w:cs="Arial"/>
          <w:lang w:val="es-ES"/>
        </w:rPr>
        <w:t xml:space="preserve"> </w:t>
      </w:r>
      <w:r w:rsidR="005C7577">
        <w:rPr>
          <w:rFonts w:ascii="Arial" w:eastAsia="Times New Roman" w:hAnsi="Arial" w:cs="Arial"/>
          <w:lang w:val="es-ES"/>
        </w:rPr>
        <w:t>relaciona</w:t>
      </w:r>
      <w:r w:rsidRPr="00B151C6">
        <w:rPr>
          <w:rFonts w:ascii="Arial" w:eastAsia="Times New Roman" w:hAnsi="Arial" w:cs="Arial"/>
          <w:lang w:val="es-ES"/>
        </w:rPr>
        <w:t xml:space="preserve"> con la Convención sobre el Comercio Internacional de Especies Amenazadas de Fauna y Flora Silvestres (CITES); y un 52 % con la Plataforma Intergubernamental Científico-Normativa sobre Diversidad Biológica y Servicios de los Ecosistemas (IPBES). En el otro extremo, la Comisión Ballenera Internacional (CBI), el Protocolo de Montreal relativo a las Sustancias que Agotan la Capa de Ozono y el Convenio de Minamata sobre el Mercurio solo </w:t>
      </w:r>
      <w:r w:rsidR="005C7577">
        <w:rPr>
          <w:rFonts w:ascii="Arial" w:eastAsia="Times New Roman" w:hAnsi="Arial" w:cs="Arial"/>
          <w:lang w:val="es-ES"/>
        </w:rPr>
        <w:t>figuran en el</w:t>
      </w:r>
      <w:r w:rsidRPr="00B151C6">
        <w:rPr>
          <w:rFonts w:ascii="Arial" w:eastAsia="Times New Roman" w:hAnsi="Arial" w:cs="Arial"/>
          <w:lang w:val="es-ES"/>
        </w:rPr>
        <w:t xml:space="preserve"> 5 %, </w:t>
      </w:r>
      <w:r w:rsidR="005C7577">
        <w:rPr>
          <w:rFonts w:ascii="Arial" w:eastAsia="Times New Roman" w:hAnsi="Arial" w:cs="Arial"/>
          <w:lang w:val="es-ES"/>
        </w:rPr>
        <w:t xml:space="preserve">el </w:t>
      </w:r>
      <w:r w:rsidRPr="00B151C6">
        <w:rPr>
          <w:rFonts w:ascii="Arial" w:eastAsia="Times New Roman" w:hAnsi="Arial" w:cs="Arial"/>
          <w:lang w:val="es-ES"/>
        </w:rPr>
        <w:t xml:space="preserve">2 % y </w:t>
      </w:r>
      <w:r w:rsidR="005C7577">
        <w:rPr>
          <w:rFonts w:ascii="Arial" w:eastAsia="Times New Roman" w:hAnsi="Arial" w:cs="Arial"/>
          <w:lang w:val="es-ES"/>
        </w:rPr>
        <w:t xml:space="preserve">el </w:t>
      </w:r>
      <w:r w:rsidRPr="00B151C6">
        <w:rPr>
          <w:rFonts w:ascii="Arial" w:eastAsia="Times New Roman" w:hAnsi="Arial" w:cs="Arial"/>
          <w:lang w:val="es-ES"/>
        </w:rPr>
        <w:t xml:space="preserve">3 % de los proyectos, respectivamente. Por último, el ODS 15 (Vida </w:t>
      </w:r>
      <w:r w:rsidR="008773CA">
        <w:rPr>
          <w:rFonts w:ascii="Arial" w:eastAsia="Times New Roman" w:hAnsi="Arial" w:cs="Arial"/>
          <w:lang w:val="es-ES"/>
        </w:rPr>
        <w:t xml:space="preserve">de ecosistemas </w:t>
      </w:r>
      <w:r w:rsidRPr="00B151C6">
        <w:rPr>
          <w:rFonts w:ascii="Arial" w:eastAsia="Times New Roman" w:hAnsi="Arial" w:cs="Arial"/>
          <w:lang w:val="es-ES"/>
        </w:rPr>
        <w:t>terrestre</w:t>
      </w:r>
      <w:r w:rsidR="008773CA">
        <w:rPr>
          <w:rFonts w:ascii="Arial" w:eastAsia="Times New Roman" w:hAnsi="Arial" w:cs="Arial"/>
          <w:lang w:val="es-ES"/>
        </w:rPr>
        <w:t>s</w:t>
      </w:r>
      <w:r w:rsidRPr="00B151C6">
        <w:rPr>
          <w:rFonts w:ascii="Arial" w:eastAsia="Times New Roman" w:hAnsi="Arial" w:cs="Arial"/>
          <w:lang w:val="es-ES"/>
        </w:rPr>
        <w:t>) es el más citado</w:t>
      </w:r>
      <w:r w:rsidR="004D1B33">
        <w:rPr>
          <w:rFonts w:ascii="Arial" w:eastAsia="Times New Roman" w:hAnsi="Arial" w:cs="Arial"/>
          <w:lang w:val="es-ES"/>
        </w:rPr>
        <w:t xml:space="preserve"> de los ODS</w:t>
      </w:r>
      <w:r w:rsidRPr="00B151C6">
        <w:rPr>
          <w:rFonts w:ascii="Arial" w:eastAsia="Times New Roman" w:hAnsi="Arial" w:cs="Arial"/>
          <w:lang w:val="es-ES"/>
        </w:rPr>
        <w:t xml:space="preserve"> (75 %)</w:t>
      </w:r>
      <w:r w:rsidR="004D1B33">
        <w:rPr>
          <w:rFonts w:ascii="Arial" w:eastAsia="Times New Roman" w:hAnsi="Arial" w:cs="Arial"/>
          <w:lang w:val="es-ES"/>
        </w:rPr>
        <w:t>,</w:t>
      </w:r>
      <w:r w:rsidRPr="00B151C6">
        <w:rPr>
          <w:rFonts w:ascii="Arial" w:eastAsia="Times New Roman" w:hAnsi="Arial" w:cs="Arial"/>
          <w:lang w:val="es-ES"/>
        </w:rPr>
        <w:t xml:space="preserve"> seguido del ODS 13 (</w:t>
      </w:r>
      <w:r w:rsidR="008773CA">
        <w:rPr>
          <w:rFonts w:ascii="Arial" w:eastAsia="Times New Roman" w:hAnsi="Arial" w:cs="Arial"/>
          <w:lang w:val="es-ES"/>
        </w:rPr>
        <w:t>Acción por el c</w:t>
      </w:r>
      <w:r w:rsidRPr="00B151C6">
        <w:rPr>
          <w:rFonts w:ascii="Arial" w:eastAsia="Times New Roman" w:hAnsi="Arial" w:cs="Arial"/>
          <w:lang w:val="es-ES"/>
        </w:rPr>
        <w:t>lima)</w:t>
      </w:r>
      <w:r w:rsidR="004D1B33">
        <w:rPr>
          <w:rFonts w:ascii="Arial" w:eastAsia="Times New Roman" w:hAnsi="Arial" w:cs="Arial"/>
          <w:lang w:val="es-ES"/>
        </w:rPr>
        <w:t>,</w:t>
      </w:r>
      <w:r w:rsidRPr="00B151C6">
        <w:rPr>
          <w:rFonts w:ascii="Arial" w:eastAsia="Times New Roman" w:hAnsi="Arial" w:cs="Arial"/>
          <w:lang w:val="es-ES"/>
        </w:rPr>
        <w:t xml:space="preserve"> con un 61 %</w:t>
      </w:r>
      <w:r w:rsidR="004D1B33">
        <w:rPr>
          <w:rFonts w:ascii="Arial" w:eastAsia="Times New Roman" w:hAnsi="Arial" w:cs="Arial"/>
          <w:lang w:val="es-ES"/>
        </w:rPr>
        <w:t xml:space="preserve">, </w:t>
      </w:r>
      <w:r w:rsidRPr="00B151C6">
        <w:rPr>
          <w:rFonts w:ascii="Arial" w:eastAsia="Times New Roman" w:hAnsi="Arial" w:cs="Arial"/>
          <w:lang w:val="es-ES"/>
        </w:rPr>
        <w:t>el ODS 3 (</w:t>
      </w:r>
      <w:r w:rsidR="008773CA">
        <w:rPr>
          <w:rFonts w:ascii="Arial" w:eastAsia="Times New Roman" w:hAnsi="Arial" w:cs="Arial"/>
          <w:lang w:val="es-ES"/>
        </w:rPr>
        <w:t>Salud y bienestar</w:t>
      </w:r>
      <w:r w:rsidRPr="00B151C6">
        <w:rPr>
          <w:rFonts w:ascii="Arial" w:eastAsia="Times New Roman" w:hAnsi="Arial" w:cs="Arial"/>
          <w:lang w:val="es-ES"/>
        </w:rPr>
        <w:t>)</w:t>
      </w:r>
      <w:r w:rsidR="004D1B33">
        <w:rPr>
          <w:rFonts w:ascii="Arial" w:eastAsia="Times New Roman" w:hAnsi="Arial" w:cs="Arial"/>
          <w:lang w:val="es-ES"/>
        </w:rPr>
        <w:t>,</w:t>
      </w:r>
      <w:r w:rsidRPr="00B151C6">
        <w:rPr>
          <w:rFonts w:ascii="Arial" w:eastAsia="Times New Roman" w:hAnsi="Arial" w:cs="Arial"/>
          <w:lang w:val="es-ES"/>
        </w:rPr>
        <w:t xml:space="preserve"> con un 58 %</w:t>
      </w:r>
      <w:r w:rsidR="004D1B33">
        <w:rPr>
          <w:rFonts w:ascii="Arial" w:eastAsia="Times New Roman" w:hAnsi="Arial" w:cs="Arial"/>
          <w:lang w:val="es-ES"/>
        </w:rPr>
        <w:t>,</w:t>
      </w:r>
      <w:r w:rsidRPr="00B151C6">
        <w:rPr>
          <w:rFonts w:ascii="Arial" w:eastAsia="Times New Roman" w:hAnsi="Arial" w:cs="Arial"/>
          <w:lang w:val="es-ES"/>
        </w:rPr>
        <w:t xml:space="preserve"> y el ODS 14 (Vida submarina)</w:t>
      </w:r>
      <w:r w:rsidR="004D1B33">
        <w:rPr>
          <w:rFonts w:ascii="Arial" w:eastAsia="Times New Roman" w:hAnsi="Arial" w:cs="Arial"/>
          <w:lang w:val="es-ES"/>
        </w:rPr>
        <w:t>,</w:t>
      </w:r>
      <w:r w:rsidRPr="00B151C6">
        <w:rPr>
          <w:rFonts w:ascii="Arial" w:eastAsia="Times New Roman" w:hAnsi="Arial" w:cs="Arial"/>
          <w:lang w:val="es-ES"/>
        </w:rPr>
        <w:t xml:space="preserve"> con un 39 %. El ODS 7 (Energía asequible y </w:t>
      </w:r>
      <w:r w:rsidR="00056628">
        <w:rPr>
          <w:rFonts w:ascii="Arial" w:eastAsia="Times New Roman" w:hAnsi="Arial" w:cs="Arial"/>
          <w:lang w:val="es-ES"/>
        </w:rPr>
        <w:t>no contaminante</w:t>
      </w:r>
      <w:r w:rsidRPr="00B151C6">
        <w:rPr>
          <w:rFonts w:ascii="Arial" w:eastAsia="Times New Roman" w:hAnsi="Arial" w:cs="Arial"/>
          <w:lang w:val="es-ES"/>
        </w:rPr>
        <w:t>) es el menos citado, con un 8 %.</w:t>
      </w:r>
    </w:p>
    <w:p w:rsidR="00320FA1" w:rsidRPr="00B151C6" w:rsidRDefault="00320FA1" w:rsidP="00AA01A6">
      <w:pPr>
        <w:pStyle w:val="BodyText"/>
        <w:jc w:val="left"/>
        <w:rPr>
          <w:rFonts w:ascii="Arial" w:eastAsia="Times New Roman" w:hAnsi="Arial" w:cs="Arial"/>
          <w:sz w:val="20"/>
          <w:szCs w:val="20"/>
          <w:lang w:val="es-ES"/>
        </w:rPr>
      </w:pPr>
      <w:r w:rsidRPr="00B151C6">
        <w:rPr>
          <w:rFonts w:ascii="Arial" w:eastAsia="Times New Roman" w:hAnsi="Arial" w:cs="Arial"/>
          <w:b/>
          <w:bCs/>
          <w:sz w:val="24"/>
          <w:szCs w:val="24"/>
          <w:lang w:val="es-ES"/>
        </w:rPr>
        <w:t>Cuadro 1:</w:t>
      </w:r>
      <w:r w:rsidRPr="00B151C6">
        <w:rPr>
          <w:rFonts w:ascii="Arial" w:eastAsia="Times New Roman" w:hAnsi="Arial" w:cs="Arial"/>
          <w:b/>
          <w:bCs/>
          <w:spacing w:val="1"/>
          <w:sz w:val="24"/>
          <w:szCs w:val="24"/>
          <w:lang w:val="es-ES"/>
        </w:rPr>
        <w:t xml:space="preserve"> </w:t>
      </w:r>
      <w:r w:rsidRPr="00B151C6">
        <w:rPr>
          <w:rFonts w:ascii="Arial" w:eastAsia="Times New Roman" w:hAnsi="Arial" w:cs="Arial"/>
          <w:b/>
          <w:bCs/>
          <w:sz w:val="24"/>
          <w:szCs w:val="24"/>
          <w:lang w:val="es-ES"/>
        </w:rPr>
        <w:t>Respuestas de los países al cuestionario sobre</w:t>
      </w:r>
      <w:r w:rsidR="00AA01A6">
        <w:rPr>
          <w:rFonts w:ascii="Arial" w:eastAsia="Times New Roman" w:hAnsi="Arial" w:cs="Arial"/>
          <w:b/>
          <w:bCs/>
          <w:sz w:val="24"/>
          <w:szCs w:val="24"/>
          <w:lang w:val="es-ES"/>
        </w:rPr>
        <w:t xml:space="preserve"> </w:t>
      </w:r>
      <w:r w:rsidRPr="00B151C6">
        <w:rPr>
          <w:rFonts w:ascii="Arial" w:eastAsia="Times New Roman" w:hAnsi="Arial" w:cs="Arial"/>
          <w:b/>
          <w:bCs/>
          <w:sz w:val="24"/>
          <w:szCs w:val="24"/>
          <w:lang w:val="es-ES"/>
        </w:rPr>
        <w:t>necesidades</w:t>
      </w:r>
      <w:r w:rsidR="00AA01A6">
        <w:rPr>
          <w:rFonts w:ascii="Arial" w:eastAsia="Times New Roman" w:hAnsi="Arial" w:cs="Arial"/>
          <w:b/>
          <w:bCs/>
          <w:sz w:val="24"/>
          <w:szCs w:val="24"/>
          <w:lang w:val="es-ES"/>
        </w:rPr>
        <w:t xml:space="preserve"> </w:t>
      </w:r>
      <w:r w:rsidRPr="00B151C6">
        <w:rPr>
          <w:rFonts w:ascii="Arial" w:eastAsia="Times New Roman" w:hAnsi="Arial" w:cs="Arial"/>
          <w:b/>
          <w:bCs/>
          <w:sz w:val="24"/>
          <w:szCs w:val="24"/>
          <w:lang w:val="es-ES"/>
        </w:rPr>
        <w:t>de</w:t>
      </w:r>
      <w:r w:rsidR="00AA01A6">
        <w:rPr>
          <w:rFonts w:ascii="Arial" w:eastAsia="Times New Roman" w:hAnsi="Arial" w:cs="Arial"/>
          <w:b/>
          <w:bCs/>
          <w:sz w:val="24"/>
          <w:szCs w:val="24"/>
          <w:lang w:val="es-ES"/>
        </w:rPr>
        <w:t xml:space="preserve"> </w:t>
      </w:r>
      <w:r w:rsidRPr="00B151C6">
        <w:rPr>
          <w:rFonts w:ascii="Arial" w:eastAsia="Times New Roman" w:hAnsi="Arial" w:cs="Arial"/>
          <w:b/>
          <w:bCs/>
          <w:sz w:val="24"/>
          <w:szCs w:val="24"/>
          <w:lang w:val="es-ES"/>
        </w:rPr>
        <w:t>financiación</w:t>
      </w:r>
    </w:p>
    <w:tbl>
      <w:tblPr>
        <w:tblW w:w="9024" w:type="dxa"/>
        <w:tblInd w:w="108" w:type="dxa"/>
        <w:tblLayout w:type="fixed"/>
        <w:tblLook w:val="00A0"/>
      </w:tblPr>
      <w:tblGrid>
        <w:gridCol w:w="360"/>
        <w:gridCol w:w="1800"/>
        <w:gridCol w:w="1080"/>
        <w:gridCol w:w="1440"/>
        <w:gridCol w:w="1440"/>
        <w:gridCol w:w="1440"/>
        <w:gridCol w:w="1464"/>
      </w:tblGrid>
      <w:tr w:rsidR="00320FA1" w:rsidRPr="00B151C6" w:rsidTr="008773CA">
        <w:trPr>
          <w:trHeight w:val="288"/>
          <w:tblHeader/>
        </w:trPr>
        <w:tc>
          <w:tcPr>
            <w:tcW w:w="360" w:type="dxa"/>
            <w:tcBorders>
              <w:top w:val="single" w:sz="4" w:space="0" w:color="auto"/>
              <w:left w:val="single" w:sz="4" w:space="0" w:color="auto"/>
              <w:bottom w:val="single" w:sz="4" w:space="0" w:color="auto"/>
              <w:right w:val="single" w:sz="4" w:space="0" w:color="auto"/>
            </w:tcBorders>
            <w:shd w:val="clear" w:color="auto" w:fill="E7E6E6"/>
            <w:noWrap/>
            <w:vAlign w:val="bottom"/>
          </w:tcPr>
          <w:p w:rsidR="00320FA1" w:rsidRPr="00B151C6" w:rsidRDefault="00320FA1">
            <w:pPr>
              <w:widowControl w:val="0"/>
              <w:autoSpaceDE w:val="0"/>
              <w:autoSpaceDN w:val="0"/>
              <w:jc w:val="left"/>
              <w:rPr>
                <w:rFonts w:ascii="Arial" w:eastAsia="Times New Roman" w:hAnsi="Arial" w:cs="Arial"/>
                <w:lang w:val="es-ES"/>
              </w:rPr>
            </w:pPr>
          </w:p>
        </w:tc>
        <w:tc>
          <w:tcPr>
            <w:tcW w:w="1800" w:type="dxa"/>
            <w:tcBorders>
              <w:top w:val="single" w:sz="4" w:space="0" w:color="auto"/>
              <w:left w:val="nil"/>
              <w:bottom w:val="single" w:sz="4" w:space="0" w:color="auto"/>
              <w:right w:val="single" w:sz="4" w:space="0" w:color="auto"/>
            </w:tcBorders>
            <w:shd w:val="clear" w:color="auto" w:fill="E7E6E6"/>
            <w:noWrap/>
            <w:vAlign w:val="bottom"/>
          </w:tcPr>
          <w:p w:rsidR="00320FA1" w:rsidRPr="00B151C6" w:rsidRDefault="00320FA1">
            <w:pPr>
              <w:widowControl w:val="0"/>
              <w:autoSpaceDE w:val="0"/>
              <w:autoSpaceDN w:val="0"/>
              <w:jc w:val="left"/>
              <w:rPr>
                <w:rFonts w:ascii="Arial" w:eastAsia="Times New Roman" w:hAnsi="Arial" w:cs="Arial"/>
                <w:lang w:val="es-ES"/>
              </w:rPr>
            </w:pPr>
          </w:p>
        </w:tc>
        <w:tc>
          <w:tcPr>
            <w:tcW w:w="1080" w:type="dxa"/>
            <w:tcBorders>
              <w:top w:val="single" w:sz="4" w:space="0" w:color="auto"/>
              <w:left w:val="nil"/>
              <w:bottom w:val="single" w:sz="4" w:space="0" w:color="auto"/>
              <w:right w:val="single" w:sz="4" w:space="0" w:color="auto"/>
            </w:tcBorders>
            <w:shd w:val="clear" w:color="auto" w:fill="E7E6E6"/>
            <w:noWrap/>
            <w:vAlign w:val="bottom"/>
          </w:tcPr>
          <w:p w:rsidR="00320FA1" w:rsidRPr="00B151C6" w:rsidRDefault="00320FA1">
            <w:pPr>
              <w:widowControl w:val="0"/>
              <w:autoSpaceDE w:val="0"/>
              <w:autoSpaceDN w:val="0"/>
              <w:jc w:val="left"/>
              <w:rPr>
                <w:rFonts w:ascii="Arial" w:eastAsia="Times New Roman" w:hAnsi="Arial" w:cs="Arial"/>
                <w:lang w:val="es-ES"/>
              </w:rPr>
            </w:pPr>
          </w:p>
        </w:tc>
        <w:tc>
          <w:tcPr>
            <w:tcW w:w="5784" w:type="dxa"/>
            <w:gridSpan w:val="4"/>
            <w:tcBorders>
              <w:top w:val="single" w:sz="4" w:space="0" w:color="auto"/>
              <w:left w:val="nil"/>
              <w:bottom w:val="single" w:sz="4" w:space="0" w:color="auto"/>
              <w:right w:val="single" w:sz="4" w:space="0" w:color="auto"/>
            </w:tcBorders>
            <w:shd w:val="clear" w:color="auto" w:fill="E7E6E6"/>
            <w:noWrap/>
            <w:vAlign w:val="bottom"/>
          </w:tcPr>
          <w:p w:rsidR="00320FA1" w:rsidRPr="00B151C6" w:rsidRDefault="00320FA1" w:rsidP="008773CA">
            <w:pPr>
              <w:widowControl w:val="0"/>
              <w:autoSpaceDE w:val="0"/>
              <w:autoSpaceDN w:val="0"/>
              <w:jc w:val="left"/>
              <w:rPr>
                <w:rFonts w:ascii="Arial" w:eastAsia="Times New Roman" w:hAnsi="Arial" w:cs="Arial"/>
                <w:lang w:val="es-ES"/>
              </w:rPr>
            </w:pPr>
            <w:r w:rsidRPr="00B151C6">
              <w:rPr>
                <w:rFonts w:ascii="Arial" w:eastAsia="Times New Roman" w:hAnsi="Arial" w:cs="Arial"/>
                <w:sz w:val="20"/>
                <w:szCs w:val="20"/>
                <w:lang w:val="es-ES"/>
              </w:rPr>
              <w:t>Financia</w:t>
            </w:r>
            <w:r w:rsidR="008773CA">
              <w:rPr>
                <w:rFonts w:ascii="Arial" w:eastAsia="Times New Roman" w:hAnsi="Arial" w:cs="Arial"/>
                <w:sz w:val="20"/>
                <w:szCs w:val="20"/>
                <w:lang w:val="es-ES"/>
              </w:rPr>
              <w:t>c</w:t>
            </w:r>
            <w:r w:rsidRPr="00B151C6">
              <w:rPr>
                <w:rFonts w:ascii="Arial" w:eastAsia="Times New Roman" w:hAnsi="Arial" w:cs="Arial"/>
                <w:sz w:val="20"/>
                <w:szCs w:val="20"/>
                <w:lang w:val="es-ES"/>
              </w:rPr>
              <w:t>i</w:t>
            </w:r>
            <w:r w:rsidR="008773CA">
              <w:rPr>
                <w:rFonts w:ascii="Arial" w:eastAsia="Times New Roman" w:hAnsi="Arial" w:cs="Arial"/>
                <w:sz w:val="20"/>
                <w:szCs w:val="20"/>
                <w:lang w:val="es-ES"/>
              </w:rPr>
              <w:t>ó</w:t>
            </w:r>
            <w:r w:rsidRPr="00B151C6">
              <w:rPr>
                <w:rFonts w:ascii="Arial" w:eastAsia="Times New Roman" w:hAnsi="Arial" w:cs="Arial"/>
                <w:sz w:val="20"/>
                <w:szCs w:val="20"/>
                <w:lang w:val="es-ES"/>
              </w:rPr>
              <w:t>n</w:t>
            </w:r>
          </w:p>
        </w:tc>
      </w:tr>
      <w:tr w:rsidR="00320FA1" w:rsidRPr="00B151C6" w:rsidTr="008773CA">
        <w:trPr>
          <w:trHeight w:val="864"/>
          <w:tblHeader/>
        </w:trPr>
        <w:tc>
          <w:tcPr>
            <w:tcW w:w="360" w:type="dxa"/>
            <w:tcBorders>
              <w:top w:val="nil"/>
              <w:left w:val="single" w:sz="4" w:space="0" w:color="auto"/>
              <w:bottom w:val="single" w:sz="4" w:space="0" w:color="auto"/>
              <w:right w:val="single" w:sz="4" w:space="0" w:color="auto"/>
            </w:tcBorders>
            <w:shd w:val="clear" w:color="auto" w:fill="DEEAF6"/>
            <w:noWrap/>
            <w:tcMar>
              <w:left w:w="29" w:type="dxa"/>
              <w:right w:w="29" w:type="dxa"/>
            </w:tcMar>
            <w:vAlign w:val="center"/>
          </w:tcPr>
          <w:p w:rsidR="00320FA1" w:rsidRPr="00B151C6" w:rsidRDefault="00320FA1" w:rsidP="003217AD">
            <w:pPr>
              <w:widowControl w:val="0"/>
              <w:autoSpaceDE w:val="0"/>
              <w:autoSpaceDN w:val="0"/>
              <w:jc w:val="center"/>
              <w:rPr>
                <w:rFonts w:ascii="Arial" w:eastAsia="Times New Roman" w:hAnsi="Arial" w:cs="Arial"/>
                <w:lang w:val="es-ES"/>
              </w:rPr>
            </w:pPr>
          </w:p>
        </w:tc>
        <w:tc>
          <w:tcPr>
            <w:tcW w:w="1800" w:type="dxa"/>
            <w:tcBorders>
              <w:top w:val="nil"/>
              <w:left w:val="nil"/>
              <w:bottom w:val="single" w:sz="4" w:space="0" w:color="auto"/>
              <w:right w:val="single" w:sz="4" w:space="0" w:color="auto"/>
            </w:tcBorders>
            <w:shd w:val="clear" w:color="auto" w:fill="DEEAF6"/>
            <w:noWrap/>
            <w:tcMar>
              <w:left w:w="29" w:type="dxa"/>
              <w:right w:w="29" w:type="dxa"/>
            </w:tcMar>
            <w:vAlign w:val="center"/>
          </w:tcPr>
          <w:p w:rsidR="00320FA1" w:rsidRPr="00B151C6" w:rsidRDefault="00320FA1" w:rsidP="003217AD">
            <w:pPr>
              <w:widowControl w:val="0"/>
              <w:autoSpaceDE w:val="0"/>
              <w:autoSpaceDN w:val="0"/>
              <w:jc w:val="center"/>
              <w:rPr>
                <w:rFonts w:ascii="Arial" w:eastAsia="Times New Roman" w:hAnsi="Arial" w:cs="Arial"/>
                <w:lang w:val="es-ES"/>
              </w:rPr>
            </w:pPr>
            <w:r w:rsidRPr="00B151C6">
              <w:rPr>
                <w:rFonts w:ascii="Arial" w:eastAsia="Times New Roman" w:hAnsi="Arial" w:cs="Arial"/>
                <w:sz w:val="20"/>
                <w:szCs w:val="20"/>
                <w:lang w:val="es-ES"/>
              </w:rPr>
              <w:t>País</w:t>
            </w:r>
          </w:p>
        </w:tc>
        <w:tc>
          <w:tcPr>
            <w:tcW w:w="1080" w:type="dxa"/>
            <w:tcBorders>
              <w:top w:val="nil"/>
              <w:left w:val="nil"/>
              <w:bottom w:val="single" w:sz="4" w:space="0" w:color="auto"/>
              <w:right w:val="single" w:sz="4" w:space="0" w:color="auto"/>
            </w:tcBorders>
            <w:shd w:val="clear" w:color="auto" w:fill="DEEAF6"/>
            <w:tcMar>
              <w:left w:w="29" w:type="dxa"/>
              <w:right w:w="29" w:type="dxa"/>
            </w:tcMar>
            <w:vAlign w:val="center"/>
          </w:tcPr>
          <w:p w:rsidR="00320FA1" w:rsidRPr="00B151C6" w:rsidRDefault="00320FA1" w:rsidP="003217AD">
            <w:pPr>
              <w:widowControl w:val="0"/>
              <w:autoSpaceDE w:val="0"/>
              <w:autoSpaceDN w:val="0"/>
              <w:jc w:val="center"/>
              <w:rPr>
                <w:rFonts w:ascii="Arial" w:eastAsia="Times New Roman" w:hAnsi="Arial" w:cs="Arial"/>
                <w:lang w:val="es-ES"/>
              </w:rPr>
            </w:pPr>
            <w:r w:rsidRPr="00B151C6">
              <w:rPr>
                <w:rFonts w:ascii="Arial" w:eastAsia="Times New Roman" w:hAnsi="Arial" w:cs="Arial"/>
                <w:sz w:val="20"/>
                <w:szCs w:val="20"/>
                <w:lang w:val="es-ES"/>
              </w:rPr>
              <w:t>Número de proyectos propuestos</w:t>
            </w:r>
          </w:p>
        </w:tc>
        <w:tc>
          <w:tcPr>
            <w:tcW w:w="1440" w:type="dxa"/>
            <w:tcBorders>
              <w:top w:val="nil"/>
              <w:left w:val="nil"/>
              <w:bottom w:val="single" w:sz="4" w:space="0" w:color="auto"/>
              <w:right w:val="single" w:sz="4" w:space="0" w:color="auto"/>
            </w:tcBorders>
            <w:shd w:val="clear" w:color="auto" w:fill="DEEAF6"/>
            <w:noWrap/>
            <w:tcMar>
              <w:left w:w="29" w:type="dxa"/>
              <w:right w:w="29" w:type="dxa"/>
            </w:tcMar>
            <w:vAlign w:val="center"/>
          </w:tcPr>
          <w:p w:rsidR="00320FA1" w:rsidRPr="00B151C6" w:rsidRDefault="00320FA1" w:rsidP="003217AD">
            <w:pPr>
              <w:widowControl w:val="0"/>
              <w:autoSpaceDE w:val="0"/>
              <w:autoSpaceDN w:val="0"/>
              <w:jc w:val="center"/>
              <w:rPr>
                <w:rFonts w:ascii="Arial" w:eastAsia="Times New Roman" w:hAnsi="Arial" w:cs="Arial"/>
                <w:lang w:val="es-ES"/>
              </w:rPr>
            </w:pPr>
            <w:r w:rsidRPr="00B151C6">
              <w:rPr>
                <w:rFonts w:ascii="Arial" w:eastAsia="Times New Roman" w:hAnsi="Arial" w:cs="Arial"/>
                <w:sz w:val="20"/>
                <w:szCs w:val="20"/>
                <w:lang w:val="es-ES"/>
              </w:rPr>
              <w:t>Monto del FMAM (USD)</w:t>
            </w:r>
          </w:p>
        </w:tc>
        <w:tc>
          <w:tcPr>
            <w:tcW w:w="1440" w:type="dxa"/>
            <w:tcBorders>
              <w:top w:val="nil"/>
              <w:left w:val="nil"/>
              <w:bottom w:val="single" w:sz="4" w:space="0" w:color="auto"/>
              <w:right w:val="single" w:sz="4" w:space="0" w:color="auto"/>
            </w:tcBorders>
            <w:shd w:val="clear" w:color="auto" w:fill="DEEAF6"/>
            <w:noWrap/>
            <w:tcMar>
              <w:left w:w="29" w:type="dxa"/>
              <w:right w:w="29" w:type="dxa"/>
            </w:tcMar>
            <w:vAlign w:val="center"/>
          </w:tcPr>
          <w:p w:rsidR="00320FA1" w:rsidRPr="003217AD" w:rsidRDefault="00320FA1" w:rsidP="003217AD">
            <w:pPr>
              <w:widowControl w:val="0"/>
              <w:autoSpaceDE w:val="0"/>
              <w:autoSpaceDN w:val="0"/>
              <w:jc w:val="center"/>
              <w:rPr>
                <w:rFonts w:ascii="Arial" w:eastAsia="Times New Roman" w:hAnsi="Arial" w:cs="Arial"/>
                <w:spacing w:val="-4"/>
                <w:lang w:val="es-ES"/>
              </w:rPr>
            </w:pPr>
            <w:r w:rsidRPr="003217AD">
              <w:rPr>
                <w:rFonts w:ascii="Arial" w:eastAsia="Times New Roman" w:hAnsi="Arial" w:cs="Arial"/>
                <w:spacing w:val="-4"/>
                <w:sz w:val="20"/>
                <w:szCs w:val="20"/>
                <w:lang w:val="es-ES"/>
              </w:rPr>
              <w:t>Cofinanciación de los Gobiernos (USD)</w:t>
            </w:r>
          </w:p>
        </w:tc>
        <w:tc>
          <w:tcPr>
            <w:tcW w:w="1440" w:type="dxa"/>
            <w:tcBorders>
              <w:top w:val="nil"/>
              <w:left w:val="nil"/>
              <w:bottom w:val="single" w:sz="4" w:space="0" w:color="auto"/>
              <w:right w:val="single" w:sz="4" w:space="0" w:color="auto"/>
            </w:tcBorders>
            <w:shd w:val="clear" w:color="auto" w:fill="DEEAF6"/>
            <w:noWrap/>
            <w:tcMar>
              <w:left w:w="29" w:type="dxa"/>
              <w:right w:w="29" w:type="dxa"/>
            </w:tcMar>
            <w:vAlign w:val="center"/>
          </w:tcPr>
          <w:p w:rsidR="00320FA1" w:rsidRPr="00B151C6" w:rsidRDefault="00320FA1" w:rsidP="003217AD">
            <w:pPr>
              <w:widowControl w:val="0"/>
              <w:autoSpaceDE w:val="0"/>
              <w:autoSpaceDN w:val="0"/>
              <w:jc w:val="center"/>
              <w:rPr>
                <w:rFonts w:ascii="Arial" w:eastAsia="Times New Roman" w:hAnsi="Arial" w:cs="Arial"/>
                <w:lang w:val="es-ES"/>
              </w:rPr>
            </w:pPr>
            <w:r w:rsidRPr="00B151C6">
              <w:rPr>
                <w:rFonts w:ascii="Arial" w:eastAsia="Times New Roman" w:hAnsi="Arial" w:cs="Arial"/>
                <w:sz w:val="20"/>
                <w:szCs w:val="20"/>
                <w:lang w:val="es-ES"/>
              </w:rPr>
              <w:t>Otra cofinanciación (USD)</w:t>
            </w:r>
          </w:p>
        </w:tc>
        <w:tc>
          <w:tcPr>
            <w:tcW w:w="1464" w:type="dxa"/>
            <w:tcBorders>
              <w:top w:val="nil"/>
              <w:left w:val="nil"/>
              <w:bottom w:val="single" w:sz="4" w:space="0" w:color="auto"/>
              <w:right w:val="single" w:sz="4" w:space="0" w:color="auto"/>
            </w:tcBorders>
            <w:shd w:val="clear" w:color="auto" w:fill="DEEAF6"/>
            <w:noWrap/>
            <w:tcMar>
              <w:left w:w="29" w:type="dxa"/>
              <w:right w:w="29" w:type="dxa"/>
            </w:tcMar>
            <w:vAlign w:val="center"/>
          </w:tcPr>
          <w:p w:rsidR="00320FA1" w:rsidRPr="00B151C6" w:rsidRDefault="00320FA1" w:rsidP="003217AD">
            <w:pPr>
              <w:widowControl w:val="0"/>
              <w:autoSpaceDE w:val="0"/>
              <w:autoSpaceDN w:val="0"/>
              <w:jc w:val="center"/>
              <w:rPr>
                <w:rFonts w:ascii="Arial" w:eastAsia="Times New Roman" w:hAnsi="Arial" w:cs="Arial"/>
                <w:lang w:val="es-ES"/>
              </w:rPr>
            </w:pPr>
            <w:r w:rsidRPr="00B151C6">
              <w:rPr>
                <w:rFonts w:ascii="Arial" w:eastAsia="Times New Roman" w:hAnsi="Arial" w:cs="Arial"/>
                <w:sz w:val="20"/>
                <w:szCs w:val="20"/>
                <w:lang w:val="es-ES"/>
              </w:rPr>
              <w:t>TOTAL (USD)</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Argelia</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8</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21.424.500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89.847.000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16.600.000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127.871.500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Armenia</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17.300.000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3.650.000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5.750.000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26.700.000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Bahamas</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2.500.000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lang w:val="es-ES"/>
              </w:rPr>
            </w:pP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3.500.000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Bangladesh</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75.000.000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33.000.000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108.000.000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Belarús</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lang w:val="es-ES"/>
              </w:rPr>
            </w:pP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lang w:val="es-ES"/>
              </w:rPr>
            </w:pP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2.000.000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6</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Benin</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75.000.000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13.000.000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19.000.000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107.000.000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7</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Bhután</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7.700.000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2.750.000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350.000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10.800.000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8</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Bosnia y Herzegovina</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sz w:val="20"/>
                <w:szCs w:val="20"/>
                <w:lang w:val="es-ES"/>
              </w:rPr>
            </w:pPr>
            <w:r w:rsidRPr="00B151C6">
              <w:rPr>
                <w:rFonts w:ascii="Arial" w:eastAsia="Times New Roman" w:hAnsi="Arial" w:cs="Arial"/>
                <w:sz w:val="20"/>
                <w:szCs w:val="20"/>
                <w:lang w:val="es-ES"/>
              </w:rPr>
              <w:t>7.500.000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sz w:val="20"/>
                <w:szCs w:val="20"/>
                <w:lang w:val="es-ES"/>
              </w:rPr>
            </w:pPr>
            <w:r w:rsidRPr="00B151C6">
              <w:rPr>
                <w:rFonts w:ascii="Arial" w:eastAsia="Times New Roman" w:hAnsi="Arial" w:cs="Arial"/>
                <w:sz w:val="20"/>
                <w:szCs w:val="20"/>
                <w:lang w:val="es-ES"/>
              </w:rPr>
              <w:t>2.600.000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sz w:val="20"/>
                <w:szCs w:val="20"/>
                <w:lang w:val="es-ES"/>
              </w:rPr>
            </w:pPr>
            <w:r w:rsidRPr="00B151C6">
              <w:rPr>
                <w:rFonts w:ascii="Arial" w:eastAsia="Times New Roman" w:hAnsi="Arial" w:cs="Arial"/>
                <w:sz w:val="20"/>
                <w:szCs w:val="20"/>
                <w:lang w:val="es-ES"/>
              </w:rPr>
              <w:t>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sz w:val="20"/>
                <w:szCs w:val="20"/>
                <w:lang w:val="es-ES"/>
              </w:rPr>
            </w:pPr>
            <w:r w:rsidRPr="00B151C6">
              <w:rPr>
                <w:rFonts w:ascii="Arial" w:eastAsia="Times New Roman" w:hAnsi="Arial" w:cs="Arial"/>
                <w:sz w:val="20"/>
                <w:szCs w:val="20"/>
                <w:lang w:val="es-ES"/>
              </w:rPr>
              <w:t>10.100.000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9</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Brasil</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7</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262.680.000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138.350.000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401.030.000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10</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Burundi</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850.680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lang w:val="es-ES"/>
              </w:rPr>
            </w:pP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900.680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12</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Chad</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7</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47.500.000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6.200.000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18.300.000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72.000.000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13</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Colombia</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8</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168.380.424</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228.546.031</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524.883.446</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921.809.901</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14</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Comoras</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5.935.000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15.000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6.000.000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15</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Congo</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sz w:val="20"/>
                <w:szCs w:val="20"/>
                <w:lang w:val="es-ES"/>
              </w:rPr>
            </w:pPr>
            <w:r w:rsidRPr="00B151C6">
              <w:rPr>
                <w:rFonts w:ascii="Arial" w:eastAsia="Times New Roman" w:hAnsi="Arial" w:cs="Arial"/>
                <w:sz w:val="20"/>
                <w:szCs w:val="20"/>
                <w:lang w:val="es-ES"/>
              </w:rPr>
              <w:t>750.000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sz w:val="20"/>
                <w:szCs w:val="20"/>
                <w:lang w:val="es-ES"/>
              </w:rPr>
            </w:pPr>
            <w:r w:rsidRPr="00B151C6">
              <w:rPr>
                <w:rFonts w:ascii="Arial" w:eastAsia="Times New Roman" w:hAnsi="Arial" w:cs="Arial"/>
                <w:sz w:val="20"/>
                <w:szCs w:val="20"/>
                <w:lang w:val="es-ES"/>
              </w:rPr>
              <w:t>375.000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sz w:val="20"/>
                <w:szCs w:val="20"/>
                <w:lang w:val="es-ES"/>
              </w:rPr>
            </w:pPr>
            <w:r w:rsidRPr="00B151C6">
              <w:rPr>
                <w:rFonts w:ascii="Arial" w:eastAsia="Times New Roman" w:hAnsi="Arial" w:cs="Arial"/>
                <w:sz w:val="20"/>
                <w:szCs w:val="20"/>
                <w:lang w:val="es-ES"/>
              </w:rPr>
              <w:t>375.000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sz w:val="20"/>
                <w:szCs w:val="20"/>
                <w:lang w:val="es-ES"/>
              </w:rPr>
            </w:pPr>
            <w:r w:rsidRPr="00B151C6">
              <w:rPr>
                <w:rFonts w:ascii="Arial" w:eastAsia="Times New Roman" w:hAnsi="Arial" w:cs="Arial"/>
                <w:sz w:val="20"/>
                <w:szCs w:val="20"/>
                <w:lang w:val="es-ES"/>
              </w:rPr>
              <w:t>1.500.000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16</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Costa Rica</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Pr>
                <w:rFonts w:ascii="Arial" w:eastAsia="Times New Roman" w:hAnsi="Arial" w:cs="Arial"/>
                <w:color w:val="000000"/>
                <w:sz w:val="20"/>
                <w:szCs w:val="20"/>
                <w:lang w:val="es-ES"/>
              </w:rPr>
              <w:t>1</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55.000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15.000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lang w:val="es-ES"/>
              </w:rPr>
            </w:pP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70.000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19</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Ecuador</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15</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60.300.000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156.500.000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23.500.000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240.300.000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34</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Filipinas</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8</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34.767.185</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171.335.925</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59.090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208.603.110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20</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Georgia</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800.000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16.000.000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21.800.000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21</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Iraq</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100.000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22</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Jordania</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7</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13.500.000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13.500.000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23</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Kenya</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900.000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lang w:val="es-ES"/>
              </w:rPr>
            </w:pP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1.000.000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24</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Liberia</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250.000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500.000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2.750.000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25</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Madagascar</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6</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91.000.000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14.000.000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46.350.000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151.350.000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26</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8773CA">
              <w:rPr>
                <w:rFonts w:ascii="Arial" w:eastAsia="Times New Roman" w:hAnsi="Arial" w:cs="Arial"/>
                <w:color w:val="000000"/>
                <w:sz w:val="20"/>
                <w:szCs w:val="20"/>
                <w:lang w:val="es-ES"/>
              </w:rPr>
              <w:t>Malí</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Pr>
                <w:rFonts w:ascii="Arial" w:eastAsia="Times New Roman" w:hAnsi="Arial" w:cs="Arial"/>
                <w:color w:val="000000"/>
                <w:sz w:val="20"/>
                <w:szCs w:val="20"/>
                <w:lang w:val="es-ES"/>
              </w:rPr>
              <w:t>7</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5.571.504</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931.767</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1.128.651</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7.631.922</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29</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Marruecos</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4.125.000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600.000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1.000.000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5.725.000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27</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México</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15</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140.780.000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579.184.936</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201.420.000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921.384.936</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28</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Mongolia</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3.400.000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250.000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3.650.000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lastRenderedPageBreak/>
              <w:t>30</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Myanmar</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12.500.000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12.500.000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31</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Nepal</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16.500.000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23.500.000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9.500.000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49.500.000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32</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Nigeria</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700.000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62.500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32.500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795.000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33</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Pakistán</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15.000.000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15.000.000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30.000.000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11</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República Centroafricana</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12</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26.682.174</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2.109.890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150.000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28.942.064</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18</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pacing w:val="-2"/>
                <w:sz w:val="20"/>
                <w:szCs w:val="20"/>
                <w:lang w:val="es-ES"/>
              </w:rPr>
              <w:t>Rep</w:t>
            </w:r>
            <w:r w:rsidRPr="00B151C6">
              <w:rPr>
                <w:rFonts w:ascii="Arial" w:eastAsia="Times New Roman" w:hAnsi="Arial" w:cs="Arial"/>
                <w:color w:val="000000"/>
                <w:sz w:val="20"/>
                <w:szCs w:val="20"/>
                <w:lang w:val="es-ES"/>
              </w:rPr>
              <w:t>ú</w:t>
            </w:r>
            <w:r w:rsidRPr="00B151C6">
              <w:rPr>
                <w:rFonts w:ascii="Arial" w:eastAsia="Times New Roman" w:hAnsi="Arial" w:cs="Arial"/>
                <w:color w:val="000000"/>
                <w:spacing w:val="-2"/>
                <w:sz w:val="20"/>
                <w:szCs w:val="20"/>
                <w:lang w:val="es-ES"/>
              </w:rPr>
              <w:t>bli</w:t>
            </w:r>
            <w:r w:rsidRPr="00B151C6">
              <w:rPr>
                <w:rFonts w:ascii="Arial" w:eastAsia="Times New Roman" w:hAnsi="Arial" w:cs="Arial"/>
                <w:color w:val="000000"/>
                <w:sz w:val="20"/>
                <w:szCs w:val="20"/>
                <w:lang w:val="es-ES"/>
              </w:rPr>
              <w:t xml:space="preserve">ca </w:t>
            </w:r>
            <w:r w:rsidRPr="00B151C6">
              <w:rPr>
                <w:rFonts w:ascii="Arial" w:eastAsia="Times New Roman" w:hAnsi="Arial" w:cs="Arial"/>
                <w:color w:val="000000"/>
                <w:spacing w:val="-2"/>
                <w:sz w:val="20"/>
                <w:szCs w:val="20"/>
                <w:lang w:val="es-ES"/>
              </w:rPr>
              <w:t>Dominicana</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178.000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22.000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17</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3217AD" w:rsidRDefault="004D1B33" w:rsidP="004D1B33">
            <w:pPr>
              <w:widowControl w:val="0"/>
              <w:autoSpaceDE w:val="0"/>
              <w:autoSpaceDN w:val="0"/>
              <w:jc w:val="left"/>
              <w:rPr>
                <w:rFonts w:ascii="Arial" w:eastAsia="Times New Roman" w:hAnsi="Arial" w:cs="Arial"/>
                <w:sz w:val="20"/>
                <w:szCs w:val="20"/>
                <w:lang w:val="es-ES"/>
              </w:rPr>
            </w:pPr>
            <w:hyperlink r:id="rId12" w:history="1">
              <w:r w:rsidRPr="003217AD">
                <w:rPr>
                  <w:rFonts w:ascii="Arial" w:eastAsia="Times New Roman" w:hAnsi="Arial" w:cs="Arial"/>
                  <w:color w:val="000000"/>
                  <w:sz w:val="20"/>
                  <w:szCs w:val="20"/>
                  <w:lang w:val="es-ES"/>
                </w:rPr>
                <w:t>República Popular Democrática de Corea</w:t>
              </w:r>
            </w:hyperlink>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Pr>
                <w:rFonts w:ascii="Arial" w:eastAsia="Times New Roman" w:hAnsi="Arial" w:cs="Arial"/>
                <w:color w:val="000000"/>
                <w:sz w:val="20"/>
                <w:szCs w:val="20"/>
                <w:lang w:val="es-ES"/>
              </w:rPr>
              <w:t>7</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6.180.000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2.820.000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9.000.000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35</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Senegal</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6</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22.600.000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5.550.000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7.700.000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35.850.000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36</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Seychelles</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10</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24.750.000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32.600.000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63.500.000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120.850.000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37</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Sudáfrica</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111.000.000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25.000.000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139.000.000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38</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Sudán</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9.000.000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12.000.000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39</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Suriname</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10</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76.000.000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6.550.000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4.750.000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87.300.000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40</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Togo</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7.900.500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550.000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10.500.000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18.950.500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41</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Trinidad y Tabago</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3.000.000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6.000.000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42</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Túnez</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6</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10.000.000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700.000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12.700.000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43</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Viet Nam</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20.000.000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50.000.000</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40.000.000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110.000.000</w:t>
            </w:r>
          </w:p>
        </w:tc>
      </w:tr>
      <w:tr w:rsidR="004D1B33"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44</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4D1B33" w:rsidRPr="00B151C6" w:rsidRDefault="004D1B33"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Zambia</w:t>
            </w:r>
          </w:p>
        </w:tc>
        <w:tc>
          <w:tcPr>
            <w:tcW w:w="1080" w:type="dxa"/>
            <w:tcBorders>
              <w:top w:val="nil"/>
              <w:left w:val="nil"/>
              <w:bottom w:val="single" w:sz="4" w:space="0" w:color="auto"/>
              <w:right w:val="single" w:sz="4" w:space="0" w:color="auto"/>
            </w:tcBorders>
            <w:noWrap/>
            <w:tcMar>
              <w:left w:w="29" w:type="dxa"/>
              <w:right w:w="144" w:type="dxa"/>
            </w:tcMar>
            <w:vAlign w:val="center"/>
          </w:tcPr>
          <w:p w:rsidR="004D1B33" w:rsidRPr="00B151C6" w:rsidRDefault="004D1B33" w:rsidP="004D1B33">
            <w:pPr>
              <w:widowControl w:val="0"/>
              <w:autoSpaceDE w:val="0"/>
              <w:autoSpaceDN w:val="0"/>
              <w:ind w:right="173"/>
              <w:jc w:val="right"/>
              <w:rPr>
                <w:rFonts w:ascii="Arial" w:eastAsia="Times New Roman" w:hAnsi="Arial" w:cs="Arial"/>
                <w:color w:val="000000"/>
                <w:sz w:val="20"/>
                <w:szCs w:val="20"/>
                <w:lang w:val="es-ES"/>
              </w:rPr>
            </w:pPr>
            <w:r>
              <w:rPr>
                <w:rFonts w:ascii="Arial" w:eastAsia="Times New Roman" w:hAnsi="Arial" w:cs="Arial"/>
                <w:color w:val="000000"/>
                <w:sz w:val="20"/>
                <w:szCs w:val="20"/>
                <w:lang w:val="es-ES"/>
              </w:rPr>
              <w:t>4</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983.556</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114.638</w:t>
            </w:r>
          </w:p>
        </w:tc>
        <w:tc>
          <w:tcPr>
            <w:tcW w:w="1440" w:type="dxa"/>
            <w:tcBorders>
              <w:top w:val="nil"/>
              <w:left w:val="nil"/>
              <w:bottom w:val="single" w:sz="4" w:space="0" w:color="auto"/>
              <w:right w:val="single" w:sz="4" w:space="0" w:color="auto"/>
            </w:tcBorders>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0</w:t>
            </w:r>
          </w:p>
        </w:tc>
        <w:tc>
          <w:tcPr>
            <w:tcW w:w="1464" w:type="dxa"/>
            <w:tcBorders>
              <w:top w:val="nil"/>
              <w:left w:val="nil"/>
              <w:bottom w:val="single" w:sz="4" w:space="0" w:color="auto"/>
              <w:right w:val="single" w:sz="4" w:space="0" w:color="auto"/>
            </w:tcBorders>
            <w:shd w:val="clear" w:color="auto" w:fill="D0CECE"/>
            <w:noWrap/>
            <w:tcMar>
              <w:left w:w="29" w:type="dxa"/>
              <w:right w:w="58" w:type="dxa"/>
            </w:tcMar>
            <w:vAlign w:val="center"/>
          </w:tcPr>
          <w:p w:rsidR="004D1B33" w:rsidRPr="00B151C6" w:rsidRDefault="004D1B33"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1.098.194</w:t>
            </w:r>
          </w:p>
        </w:tc>
      </w:tr>
      <w:tr w:rsidR="00320FA1" w:rsidRPr="00B151C6" w:rsidTr="004D1B33">
        <w:trPr>
          <w:trHeight w:val="288"/>
        </w:trPr>
        <w:tc>
          <w:tcPr>
            <w:tcW w:w="360" w:type="dxa"/>
            <w:tcBorders>
              <w:top w:val="nil"/>
              <w:left w:val="single" w:sz="4" w:space="0" w:color="auto"/>
              <w:bottom w:val="single" w:sz="4" w:space="0" w:color="auto"/>
              <w:right w:val="single" w:sz="4" w:space="0" w:color="auto"/>
            </w:tcBorders>
            <w:noWrap/>
            <w:tcMar>
              <w:left w:w="29" w:type="dxa"/>
              <w:right w:w="29" w:type="dxa"/>
            </w:tcMar>
            <w:vAlign w:val="bottom"/>
          </w:tcPr>
          <w:p w:rsidR="00320FA1" w:rsidRPr="00B151C6" w:rsidRDefault="00320FA1">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 </w:t>
            </w:r>
          </w:p>
        </w:tc>
        <w:tc>
          <w:tcPr>
            <w:tcW w:w="1800" w:type="dxa"/>
            <w:tcBorders>
              <w:top w:val="nil"/>
              <w:left w:val="nil"/>
              <w:bottom w:val="single" w:sz="4" w:space="0" w:color="auto"/>
              <w:right w:val="single" w:sz="4" w:space="0" w:color="auto"/>
            </w:tcBorders>
            <w:shd w:val="clear" w:color="auto" w:fill="F2F2F2"/>
            <w:noWrap/>
            <w:tcMar>
              <w:left w:w="58" w:type="dxa"/>
              <w:right w:w="29" w:type="dxa"/>
            </w:tcMar>
            <w:vAlign w:val="center"/>
          </w:tcPr>
          <w:p w:rsidR="00320FA1" w:rsidRPr="00B151C6" w:rsidRDefault="00320FA1" w:rsidP="004D1B33">
            <w:pPr>
              <w:widowControl w:val="0"/>
              <w:autoSpaceDE w:val="0"/>
              <w:autoSpaceDN w:val="0"/>
              <w:jc w:val="left"/>
              <w:rPr>
                <w:rFonts w:ascii="Arial" w:eastAsia="Times New Roman" w:hAnsi="Arial" w:cs="Arial"/>
                <w:lang w:val="es-ES"/>
              </w:rPr>
            </w:pPr>
            <w:r w:rsidRPr="00B151C6">
              <w:rPr>
                <w:rFonts w:ascii="Arial" w:eastAsia="Times New Roman" w:hAnsi="Arial" w:cs="Arial"/>
                <w:color w:val="000000"/>
                <w:sz w:val="20"/>
                <w:szCs w:val="20"/>
                <w:lang w:val="es-ES"/>
              </w:rPr>
              <w:t>TOTAL</w:t>
            </w:r>
          </w:p>
        </w:tc>
        <w:tc>
          <w:tcPr>
            <w:tcW w:w="1080" w:type="dxa"/>
            <w:tcBorders>
              <w:top w:val="nil"/>
              <w:left w:val="nil"/>
              <w:bottom w:val="single" w:sz="4" w:space="0" w:color="auto"/>
              <w:right w:val="single" w:sz="4" w:space="0" w:color="auto"/>
            </w:tcBorders>
            <w:noWrap/>
            <w:tcMar>
              <w:left w:w="29" w:type="dxa"/>
              <w:right w:w="144" w:type="dxa"/>
            </w:tcMar>
            <w:vAlign w:val="center"/>
          </w:tcPr>
          <w:p w:rsidR="00320FA1" w:rsidRPr="00B151C6" w:rsidRDefault="00320FA1" w:rsidP="004D1B33">
            <w:pPr>
              <w:widowControl w:val="0"/>
              <w:autoSpaceDE w:val="0"/>
              <w:autoSpaceDN w:val="0"/>
              <w:ind w:right="173"/>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210</w:t>
            </w:r>
          </w:p>
        </w:tc>
        <w:tc>
          <w:tcPr>
            <w:tcW w:w="1440" w:type="dxa"/>
            <w:tcBorders>
              <w:top w:val="nil"/>
              <w:left w:val="nil"/>
              <w:bottom w:val="single" w:sz="4" w:space="0" w:color="auto"/>
              <w:right w:val="single" w:sz="4" w:space="0" w:color="auto"/>
            </w:tcBorders>
            <w:shd w:val="clear" w:color="auto" w:fill="D9E2F3"/>
            <w:noWrap/>
            <w:tcMar>
              <w:left w:w="29" w:type="dxa"/>
              <w:right w:w="72" w:type="dxa"/>
            </w:tcMar>
            <w:vAlign w:val="center"/>
          </w:tcPr>
          <w:p w:rsidR="00320FA1" w:rsidRPr="00B151C6" w:rsidRDefault="00320FA1"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1.311.215.523</w:t>
            </w:r>
          </w:p>
        </w:tc>
        <w:tc>
          <w:tcPr>
            <w:tcW w:w="1440" w:type="dxa"/>
            <w:tcBorders>
              <w:top w:val="nil"/>
              <w:left w:val="nil"/>
              <w:bottom w:val="single" w:sz="4" w:space="0" w:color="auto"/>
              <w:right w:val="single" w:sz="4" w:space="0" w:color="auto"/>
            </w:tcBorders>
            <w:noWrap/>
            <w:tcMar>
              <w:left w:w="29" w:type="dxa"/>
              <w:right w:w="29" w:type="dxa"/>
            </w:tcMar>
            <w:vAlign w:val="center"/>
          </w:tcPr>
          <w:p w:rsidR="00320FA1" w:rsidRPr="00B151C6" w:rsidRDefault="00320FA1"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1.563.135.687</w:t>
            </w:r>
          </w:p>
        </w:tc>
        <w:tc>
          <w:tcPr>
            <w:tcW w:w="1440" w:type="dxa"/>
            <w:tcBorders>
              <w:top w:val="nil"/>
              <w:left w:val="nil"/>
              <w:bottom w:val="single" w:sz="4" w:space="0" w:color="auto"/>
              <w:right w:val="single" w:sz="4" w:space="0" w:color="auto"/>
            </w:tcBorders>
            <w:noWrap/>
            <w:tcMar>
              <w:left w:w="29" w:type="dxa"/>
              <w:right w:w="29" w:type="dxa"/>
            </w:tcMar>
            <w:vAlign w:val="center"/>
          </w:tcPr>
          <w:p w:rsidR="00320FA1" w:rsidRPr="00B151C6" w:rsidRDefault="00320FA1"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1.175.570.687</w:t>
            </w:r>
          </w:p>
        </w:tc>
        <w:tc>
          <w:tcPr>
            <w:tcW w:w="1464" w:type="dxa"/>
            <w:tcBorders>
              <w:top w:val="nil"/>
              <w:left w:val="nil"/>
              <w:bottom w:val="single" w:sz="4" w:space="0" w:color="auto"/>
              <w:right w:val="single" w:sz="4" w:space="0" w:color="auto"/>
            </w:tcBorders>
            <w:shd w:val="clear" w:color="auto" w:fill="D0CECE"/>
            <w:noWrap/>
            <w:tcMar>
              <w:left w:w="29" w:type="dxa"/>
              <w:right w:w="29" w:type="dxa"/>
            </w:tcMar>
            <w:vAlign w:val="center"/>
          </w:tcPr>
          <w:p w:rsidR="00320FA1" w:rsidRPr="00B151C6" w:rsidRDefault="00320FA1" w:rsidP="003217AD">
            <w:pPr>
              <w:widowControl w:val="0"/>
              <w:autoSpaceDE w:val="0"/>
              <w:autoSpaceDN w:val="0"/>
              <w:jc w:val="right"/>
              <w:rPr>
                <w:rFonts w:ascii="Arial" w:eastAsia="Times New Roman" w:hAnsi="Arial" w:cs="Arial"/>
                <w:color w:val="000000"/>
                <w:sz w:val="20"/>
                <w:szCs w:val="20"/>
                <w:lang w:val="es-ES"/>
              </w:rPr>
            </w:pPr>
            <w:r w:rsidRPr="00B151C6">
              <w:rPr>
                <w:rFonts w:ascii="Arial" w:eastAsia="Times New Roman" w:hAnsi="Arial" w:cs="Arial"/>
                <w:color w:val="000000"/>
                <w:sz w:val="20"/>
                <w:szCs w:val="20"/>
                <w:lang w:val="es-ES"/>
              </w:rPr>
              <w:t>4.052.362.807</w:t>
            </w:r>
          </w:p>
        </w:tc>
      </w:tr>
    </w:tbl>
    <w:p w:rsidR="00320FA1" w:rsidRPr="00B151C6" w:rsidRDefault="00320FA1">
      <w:pPr>
        <w:pStyle w:val="BodyText"/>
        <w:widowControl w:val="0"/>
        <w:numPr>
          <w:ilvl w:val="0"/>
          <w:numId w:val="10"/>
        </w:numPr>
        <w:autoSpaceDE w:val="0"/>
        <w:autoSpaceDN w:val="0"/>
        <w:ind w:left="0" w:firstLine="0"/>
        <w:jc w:val="left"/>
        <w:outlineLvl w:val="1"/>
        <w:rPr>
          <w:rFonts w:ascii="Arial" w:eastAsia="Times New Roman" w:hAnsi="Arial" w:cs="Arial"/>
          <w:u w:val="single"/>
          <w:lang w:val="es-ES"/>
        </w:rPr>
      </w:pPr>
      <w:r w:rsidRPr="00B151C6">
        <w:rPr>
          <w:rFonts w:ascii="Arial" w:eastAsia="Times New Roman" w:hAnsi="Arial" w:cs="Arial"/>
          <w:u w:val="single"/>
          <w:lang w:val="es-ES"/>
        </w:rPr>
        <w:t>Posibles escenarios</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La labor del equipo de expertos consistía en recabar las necesidades de financiación de todas las Partes en el CDB que reúnen las condiciones par</w:t>
      </w:r>
      <w:r w:rsidR="005F0D6C">
        <w:rPr>
          <w:rFonts w:ascii="Arial" w:eastAsia="Times New Roman" w:hAnsi="Arial" w:cs="Arial"/>
          <w:lang w:val="es-ES"/>
        </w:rPr>
        <w:t>a recibir financiación del FMAM</w:t>
      </w:r>
      <w:r w:rsidRPr="00B151C6">
        <w:rPr>
          <w:rFonts w:ascii="Arial" w:eastAsia="Times New Roman" w:hAnsi="Arial" w:cs="Arial"/>
          <w:lang w:val="es-ES"/>
        </w:rPr>
        <w:t xml:space="preserve"> con el fin de determinar las necesidades generales para el FMAM-8. En el caso de que todas las Partes respondieran al cuestionario, esto constituiría la base del análisis. </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Sin embargo,</w:t>
      </w:r>
      <w:r w:rsidR="00AA01A6">
        <w:rPr>
          <w:rFonts w:ascii="Arial" w:eastAsia="Times New Roman" w:hAnsi="Arial" w:cs="Arial"/>
          <w:lang w:val="es-ES"/>
        </w:rPr>
        <w:t xml:space="preserve"> como</w:t>
      </w:r>
      <w:r w:rsidRPr="00B151C6">
        <w:rPr>
          <w:rFonts w:ascii="Arial" w:eastAsia="Times New Roman" w:hAnsi="Arial" w:cs="Arial"/>
          <w:lang w:val="es-ES"/>
        </w:rPr>
        <w:t xml:space="preserve"> no todas las Partes presentaron esos datos, se utilizaron diferentes escenarios para extrapolar los datos de las fuentes existentes y determinar las necesidades de financiación para el FMAM-8. Por lo tanto, sobre la base de los datos proporcionados en las respuestas al cuestionario y utilizando información de las anteriores asignaciones del SATR del FMAM para la diversidad biológica, se emplearon al menos tres escenarios para hacer una proyección del monto total estimado para el ciclo FMAM-8.</w:t>
      </w:r>
      <w:r w:rsidR="00423F67">
        <w:rPr>
          <w:rFonts w:ascii="Arial" w:eastAsia="Times New Roman" w:hAnsi="Arial" w:cs="Arial"/>
          <w:lang w:val="es-ES"/>
        </w:rPr>
        <w:t xml:space="preserve"> </w:t>
      </w:r>
      <w:r w:rsidRPr="00B151C6">
        <w:rPr>
          <w:rFonts w:ascii="Arial" w:eastAsia="Times New Roman" w:hAnsi="Arial" w:cs="Arial"/>
          <w:lang w:val="es-ES"/>
        </w:rPr>
        <w:t xml:space="preserve">El </w:t>
      </w:r>
      <w:r w:rsidR="00AA01A6">
        <w:rPr>
          <w:rFonts w:ascii="Arial" w:eastAsia="Times New Roman" w:hAnsi="Arial" w:cs="Arial"/>
          <w:lang w:val="es-ES"/>
        </w:rPr>
        <w:t>e</w:t>
      </w:r>
      <w:r w:rsidRPr="00B151C6">
        <w:rPr>
          <w:rFonts w:ascii="Arial" w:eastAsia="Times New Roman" w:hAnsi="Arial" w:cs="Arial"/>
          <w:lang w:val="es-ES"/>
        </w:rPr>
        <w:t xml:space="preserve">quipo de </w:t>
      </w:r>
      <w:r w:rsidR="00AA01A6">
        <w:rPr>
          <w:rFonts w:ascii="Arial" w:eastAsia="Times New Roman" w:hAnsi="Arial" w:cs="Arial"/>
          <w:lang w:val="es-ES"/>
        </w:rPr>
        <w:t>e</w:t>
      </w:r>
      <w:r w:rsidRPr="00B151C6">
        <w:rPr>
          <w:rFonts w:ascii="Arial" w:eastAsia="Times New Roman" w:hAnsi="Arial" w:cs="Arial"/>
          <w:lang w:val="es-ES"/>
        </w:rPr>
        <w:t>xpertos presenta a continuación tres posibles escenarios para el monto total de fondos que se necesitan del ciclo del FMAM-8. No obstante, la proyección más baja (el escenario 2) no es adecuada para las circunstancias actuales dado que no tiene en cuenta que el marco mundial de la diversidad biológica posterior a 2020 todavía está en vías de negociación y que la financiación del FMAM-8 se aplicaría a esta nueva estrategia ambiciosa.</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El Equipo de Expertos también examinó un conjunto de informes nacionales presentados al CDB, como se detalla en la sección 3 anterior, pero la mayor parte de esos datos reflejaban o bien el gasto actual o las necesidades proyectadas para alcanzar las metas nacionales dentro del período 2010-2020 del Plan Estratégico del CDB. No fue posible extrapolar las necesidades de financiación para el período 2022-2026 a partir de esos datos. </w:t>
      </w:r>
    </w:p>
    <w:p w:rsidR="00320FA1" w:rsidRPr="00B151C6" w:rsidRDefault="00320FA1">
      <w:pPr>
        <w:pStyle w:val="BodyText"/>
        <w:ind w:firstLine="0"/>
        <w:outlineLvl w:val="0"/>
        <w:rPr>
          <w:rFonts w:ascii="Arial" w:eastAsia="Times New Roman" w:hAnsi="Arial" w:cs="Arial"/>
          <w:lang w:val="es-ES"/>
        </w:rPr>
      </w:pPr>
      <w:r w:rsidRPr="00B151C6">
        <w:rPr>
          <w:rFonts w:ascii="Arial" w:eastAsia="Times New Roman" w:hAnsi="Arial" w:cs="Arial"/>
          <w:b/>
          <w:bCs/>
          <w:u w:val="single"/>
          <w:lang w:val="es-ES"/>
        </w:rPr>
        <w:lastRenderedPageBreak/>
        <w:t>Escenario 1</w:t>
      </w:r>
      <w:r w:rsidRPr="00B151C6">
        <w:rPr>
          <w:rFonts w:ascii="Arial" w:eastAsia="Times New Roman" w:hAnsi="Arial" w:cs="Arial"/>
          <w:b/>
          <w:bCs/>
          <w:lang w:val="es-ES"/>
        </w:rPr>
        <w:t>: Estimación basada en las respuestas al cuestionario y aplicando el multiplicador a la asignación del SATR del FMAM-7 para la diversidad biológica</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Utilizando los datos aportados por las Partes que respondieron el cuestionario (44 hasta la fecha), los comparamos con la asignación del SATR del FMAM-7 para la diversidad biológica (sin incluir la financiación de los programas de impacto ni las asignaciones del SATR de las otras áreas que p</w:t>
      </w:r>
      <w:r w:rsidR="00FC698F">
        <w:rPr>
          <w:rFonts w:ascii="Arial" w:eastAsia="Times New Roman" w:hAnsi="Arial" w:cs="Arial"/>
          <w:lang w:val="es-ES"/>
        </w:rPr>
        <w:t>odría</w:t>
      </w:r>
      <w:r w:rsidRPr="00B151C6">
        <w:rPr>
          <w:rFonts w:ascii="Arial" w:eastAsia="Times New Roman" w:hAnsi="Arial" w:cs="Arial"/>
          <w:lang w:val="es-ES"/>
        </w:rPr>
        <w:t xml:space="preserve">n haber incluido resultados de diversidad biológica). Se calculó el </w:t>
      </w:r>
      <w:r w:rsidR="006E6522">
        <w:rPr>
          <w:rFonts w:ascii="Arial" w:eastAsia="Times New Roman" w:hAnsi="Arial" w:cs="Arial"/>
          <w:lang w:val="es-ES"/>
        </w:rPr>
        <w:t>incre</w:t>
      </w:r>
      <w:r w:rsidRPr="00B151C6">
        <w:rPr>
          <w:rFonts w:ascii="Arial" w:eastAsia="Times New Roman" w:hAnsi="Arial" w:cs="Arial"/>
          <w:lang w:val="es-ES"/>
        </w:rPr>
        <w:t xml:space="preserve">mento (o disminución) </w:t>
      </w:r>
      <w:r w:rsidR="006E6522" w:rsidRPr="00B151C6">
        <w:rPr>
          <w:rFonts w:ascii="Arial" w:eastAsia="Times New Roman" w:hAnsi="Arial" w:cs="Arial"/>
          <w:lang w:val="es-ES"/>
        </w:rPr>
        <w:t>porcent</w:t>
      </w:r>
      <w:r w:rsidR="006E6522">
        <w:rPr>
          <w:rFonts w:ascii="Arial" w:eastAsia="Times New Roman" w:hAnsi="Arial" w:cs="Arial"/>
          <w:lang w:val="es-ES"/>
        </w:rPr>
        <w:t>ual</w:t>
      </w:r>
      <w:r w:rsidR="006E6522" w:rsidRPr="00B151C6">
        <w:rPr>
          <w:rFonts w:ascii="Arial" w:eastAsia="Times New Roman" w:hAnsi="Arial" w:cs="Arial"/>
          <w:lang w:val="es-ES"/>
        </w:rPr>
        <w:t xml:space="preserve"> </w:t>
      </w:r>
      <w:r w:rsidRPr="00B151C6">
        <w:rPr>
          <w:rFonts w:ascii="Arial" w:eastAsia="Times New Roman" w:hAnsi="Arial" w:cs="Arial"/>
          <w:lang w:val="es-ES"/>
        </w:rPr>
        <w:t xml:space="preserve">entre la asignación del SATR del FMAM-7 para la diversidad biológica y el monto indicado en el cuestionario. Se calculó </w:t>
      </w:r>
      <w:r w:rsidR="006E6522">
        <w:rPr>
          <w:rFonts w:ascii="Arial" w:eastAsia="Times New Roman" w:hAnsi="Arial" w:cs="Arial"/>
          <w:lang w:val="es-ES"/>
        </w:rPr>
        <w:t>e</w:t>
      </w:r>
      <w:r w:rsidRPr="00B151C6">
        <w:rPr>
          <w:rFonts w:ascii="Arial" w:eastAsia="Times New Roman" w:hAnsi="Arial" w:cs="Arial"/>
          <w:lang w:val="es-ES"/>
        </w:rPr>
        <w:t>l promedio de esos porcentajes para obtener un multiplicador. Si se aplica esta cifra a la asignación total del SATR del FMAM-7 para la diversidad biológica se puede obtener un medio para estimar las necesidades de financiación del FMAM-8. La cifra del multiplicador será más precisa cuanto mayor sea el número de respuestas al cuestionario.</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El monto total solicitado </w:t>
      </w:r>
      <w:r w:rsidR="006E6522">
        <w:rPr>
          <w:rFonts w:ascii="Arial" w:eastAsia="Times New Roman" w:hAnsi="Arial" w:cs="Arial"/>
          <w:lang w:val="es-ES"/>
        </w:rPr>
        <w:t>a</w:t>
      </w:r>
      <w:r w:rsidR="006E6522" w:rsidRPr="00B151C6">
        <w:rPr>
          <w:rFonts w:ascii="Arial" w:eastAsia="Times New Roman" w:hAnsi="Arial" w:cs="Arial"/>
          <w:lang w:val="es-ES"/>
        </w:rPr>
        <w:t xml:space="preserve">l FMAM en el cuestionario </w:t>
      </w:r>
      <w:r w:rsidRPr="00B151C6">
        <w:rPr>
          <w:rFonts w:ascii="Arial" w:eastAsia="Times New Roman" w:hAnsi="Arial" w:cs="Arial"/>
          <w:lang w:val="es-ES"/>
        </w:rPr>
        <w:t>por 44 países con 210 proyectos asciende a 1.311 m</w:t>
      </w:r>
      <w:r w:rsidR="006E6522">
        <w:rPr>
          <w:rFonts w:ascii="Arial" w:eastAsia="Times New Roman" w:hAnsi="Arial" w:cs="Arial"/>
          <w:lang w:val="es-ES"/>
        </w:rPr>
        <w:t xml:space="preserve">illones de dólares. </w:t>
      </w:r>
      <w:r w:rsidRPr="00B151C6">
        <w:rPr>
          <w:rFonts w:ascii="Arial" w:eastAsia="Times New Roman" w:hAnsi="Arial" w:cs="Arial"/>
          <w:lang w:val="es-ES"/>
        </w:rPr>
        <w:t>En el marco de la asignación del SATR del FMAM-7 se asignó un total de 417 millones de dólares. Si se compara la asignación del SATR con el monto solicitado al FMAM, hay un incremento porcentual del 215 %.</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Multiplicamos por este porcentaje la asignación del SATR solo para los países </w:t>
      </w:r>
      <w:r w:rsidR="00C32568">
        <w:rPr>
          <w:rFonts w:ascii="Arial" w:eastAsia="Times New Roman" w:hAnsi="Arial" w:cs="Arial"/>
          <w:lang w:val="es-ES"/>
        </w:rPr>
        <w:t>que no proporciona</w:t>
      </w:r>
      <w:r w:rsidR="00174C7F">
        <w:rPr>
          <w:rFonts w:ascii="Arial" w:eastAsia="Times New Roman" w:hAnsi="Arial" w:cs="Arial"/>
          <w:lang w:val="es-ES"/>
        </w:rPr>
        <w:t>r</w:t>
      </w:r>
      <w:r w:rsidR="00C32568">
        <w:rPr>
          <w:rFonts w:ascii="Arial" w:eastAsia="Times New Roman" w:hAnsi="Arial" w:cs="Arial"/>
          <w:lang w:val="es-ES"/>
        </w:rPr>
        <w:t>o</w:t>
      </w:r>
      <w:r w:rsidR="00174C7F">
        <w:rPr>
          <w:rFonts w:ascii="Arial" w:eastAsia="Times New Roman" w:hAnsi="Arial" w:cs="Arial"/>
          <w:lang w:val="es-ES"/>
        </w:rPr>
        <w:t>n</w:t>
      </w:r>
      <w:r w:rsidR="00C32568">
        <w:rPr>
          <w:rFonts w:ascii="Arial" w:eastAsia="Times New Roman" w:hAnsi="Arial" w:cs="Arial"/>
          <w:lang w:val="es-ES"/>
        </w:rPr>
        <w:t xml:space="preserve"> </w:t>
      </w:r>
      <w:r w:rsidRPr="00B151C6">
        <w:rPr>
          <w:rFonts w:ascii="Arial" w:eastAsia="Times New Roman" w:hAnsi="Arial" w:cs="Arial"/>
          <w:lang w:val="es-ES"/>
        </w:rPr>
        <w:t>una estimación (101 países) y mantuvimos las estimaciones indicadas en el cuestionario (44 países). Sumamos todas las proyecciones de los 145 países, lo que arrojó un monto total proyectado de necesidades de financiación del FMAM-8 de 2.700 millones</w:t>
      </w:r>
      <w:r w:rsidR="00174C7F">
        <w:rPr>
          <w:rFonts w:ascii="Arial" w:eastAsia="Times New Roman" w:hAnsi="Arial" w:cs="Arial"/>
          <w:lang w:val="es-ES"/>
        </w:rPr>
        <w:t xml:space="preserve"> de dólares</w:t>
      </w:r>
      <w:r w:rsidRPr="00B151C6">
        <w:rPr>
          <w:rFonts w:ascii="Arial" w:eastAsia="Times New Roman" w:hAnsi="Arial" w:cs="Arial"/>
          <w:lang w:val="es-ES"/>
        </w:rPr>
        <w:t>.</w:t>
      </w:r>
    </w:p>
    <w:p w:rsidR="00320FA1" w:rsidRPr="00B151C6" w:rsidRDefault="00320FA1">
      <w:pPr>
        <w:pStyle w:val="BodyText"/>
        <w:ind w:firstLine="0"/>
        <w:outlineLvl w:val="0"/>
        <w:rPr>
          <w:rFonts w:ascii="Arial" w:eastAsia="Times New Roman" w:hAnsi="Arial" w:cs="Arial"/>
          <w:lang w:val="es-ES"/>
        </w:rPr>
      </w:pPr>
      <w:r w:rsidRPr="00B151C6">
        <w:rPr>
          <w:rFonts w:ascii="Arial" w:eastAsia="Times New Roman" w:hAnsi="Arial" w:cs="Arial"/>
          <w:b/>
          <w:bCs/>
          <w:u w:val="single"/>
          <w:lang w:val="es-ES"/>
        </w:rPr>
        <w:t>Escenario 2</w:t>
      </w:r>
      <w:r w:rsidRPr="00B151C6">
        <w:rPr>
          <w:rFonts w:ascii="Arial" w:eastAsia="Times New Roman" w:hAnsi="Arial" w:cs="Arial"/>
          <w:b/>
          <w:bCs/>
          <w:lang w:val="es-ES"/>
        </w:rPr>
        <w:t>:</w:t>
      </w:r>
      <w:r w:rsidRPr="00B151C6">
        <w:rPr>
          <w:rFonts w:ascii="Arial" w:eastAsia="Times New Roman" w:hAnsi="Arial" w:cs="Arial"/>
          <w:b/>
          <w:bCs/>
          <w:spacing w:val="-2"/>
          <w:lang w:val="es-ES"/>
        </w:rPr>
        <w:t xml:space="preserve"> </w:t>
      </w:r>
      <w:r w:rsidRPr="00B151C6">
        <w:rPr>
          <w:rFonts w:ascii="Arial" w:eastAsia="Times New Roman" w:hAnsi="Arial" w:cs="Arial"/>
          <w:b/>
          <w:bCs/>
          <w:lang w:val="es-ES"/>
        </w:rPr>
        <w:t>Estimación basada en la asignación del SATR del FMAM-6 y FMAM-7 para la diversidad biológica</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Calculando la variación porcentual entre el FMAM-6 y el FMAM-7 para cada uno de los 145 países en la asignación del SATR (diversidad biológica) y promediando ese porcentaje sobre el total, obtenemos un aumento promedio del 14 % para todas las Partes. Este multiplicador podría utilizarse </w:t>
      </w:r>
      <w:r w:rsidR="0089560A">
        <w:rPr>
          <w:rFonts w:ascii="Arial" w:eastAsia="Times New Roman" w:hAnsi="Arial" w:cs="Arial"/>
          <w:lang w:val="es-ES"/>
        </w:rPr>
        <w:t xml:space="preserve">entonces </w:t>
      </w:r>
      <w:r w:rsidRPr="00B151C6">
        <w:rPr>
          <w:rFonts w:ascii="Arial" w:eastAsia="Times New Roman" w:hAnsi="Arial" w:cs="Arial"/>
          <w:lang w:val="es-ES"/>
        </w:rPr>
        <w:t>de dos maneras: a)</w:t>
      </w:r>
      <w:r w:rsidR="0089560A">
        <w:rPr>
          <w:rFonts w:ascii="Arial" w:eastAsia="Times New Roman" w:hAnsi="Arial" w:cs="Arial"/>
          <w:lang w:val="es-ES"/>
        </w:rPr>
        <w:t> </w:t>
      </w:r>
      <w:r w:rsidRPr="00B151C6">
        <w:rPr>
          <w:rFonts w:ascii="Arial" w:eastAsia="Times New Roman" w:hAnsi="Arial" w:cs="Arial"/>
          <w:lang w:val="es-ES"/>
        </w:rPr>
        <w:t>para calcular simplemente una variación poco ambiciosa al mismo nivel para el FMAM-8, o b)</w:t>
      </w:r>
      <w:r w:rsidR="00423F67">
        <w:rPr>
          <w:rFonts w:ascii="Arial" w:eastAsia="Times New Roman" w:hAnsi="Arial" w:cs="Arial"/>
          <w:lang w:val="es-ES"/>
        </w:rPr>
        <w:t xml:space="preserve"> </w:t>
      </w:r>
      <w:r w:rsidRPr="00B151C6">
        <w:rPr>
          <w:rFonts w:ascii="Arial" w:eastAsia="Times New Roman" w:hAnsi="Arial" w:cs="Arial"/>
          <w:lang w:val="es-ES"/>
        </w:rPr>
        <w:t xml:space="preserve">duplicar este multiplicador y proporcionar una estimación más ambiciosa. </w:t>
      </w:r>
      <w:r w:rsidR="0089560A">
        <w:rPr>
          <w:rFonts w:ascii="Arial" w:eastAsia="Times New Roman" w:hAnsi="Arial" w:cs="Arial"/>
          <w:lang w:val="es-ES"/>
        </w:rPr>
        <w:t>S</w:t>
      </w:r>
      <w:r w:rsidR="0089560A" w:rsidRPr="00B151C6">
        <w:rPr>
          <w:rFonts w:ascii="Arial" w:eastAsia="Times New Roman" w:hAnsi="Arial" w:cs="Arial"/>
          <w:lang w:val="es-ES"/>
        </w:rPr>
        <w:t>e consideró la opción de duplicar el multiplicador</w:t>
      </w:r>
      <w:r w:rsidR="0089560A">
        <w:rPr>
          <w:rFonts w:ascii="Arial" w:eastAsia="Times New Roman" w:hAnsi="Arial" w:cs="Arial"/>
          <w:lang w:val="es-ES"/>
        </w:rPr>
        <w:t>,</w:t>
      </w:r>
      <w:r w:rsidR="0089560A" w:rsidRPr="00B151C6">
        <w:rPr>
          <w:rFonts w:ascii="Arial" w:eastAsia="Times New Roman" w:hAnsi="Arial" w:cs="Arial"/>
          <w:lang w:val="es-ES"/>
        </w:rPr>
        <w:t xml:space="preserve"> </w:t>
      </w:r>
      <w:r w:rsidR="0089560A">
        <w:rPr>
          <w:rFonts w:ascii="Arial" w:eastAsia="Times New Roman" w:hAnsi="Arial" w:cs="Arial"/>
          <w:lang w:val="es-ES"/>
        </w:rPr>
        <w:t>t</w:t>
      </w:r>
      <w:r w:rsidRPr="00B151C6">
        <w:rPr>
          <w:rFonts w:ascii="Arial" w:eastAsia="Times New Roman" w:hAnsi="Arial" w:cs="Arial"/>
          <w:lang w:val="es-ES"/>
        </w:rPr>
        <w:t>eniendo en cuenta discusiones pasadas y actuales sobre la movilización</w:t>
      </w:r>
      <w:r w:rsidR="0089560A">
        <w:rPr>
          <w:rFonts w:ascii="Arial" w:eastAsia="Times New Roman" w:hAnsi="Arial" w:cs="Arial"/>
          <w:lang w:val="es-ES"/>
        </w:rPr>
        <w:t xml:space="preserve"> de recursos en el seno del CDB</w:t>
      </w:r>
      <w:r w:rsidRPr="00B151C6">
        <w:rPr>
          <w:rFonts w:ascii="Arial" w:eastAsia="Times New Roman" w:hAnsi="Arial" w:cs="Arial"/>
          <w:lang w:val="es-ES"/>
        </w:rPr>
        <w:t xml:space="preserve">. En la </w:t>
      </w:r>
      <w:r w:rsidR="0089560A">
        <w:rPr>
          <w:rFonts w:ascii="Arial" w:eastAsia="Times New Roman" w:hAnsi="Arial" w:cs="Arial"/>
          <w:lang w:val="es-ES"/>
        </w:rPr>
        <w:t>COP</w:t>
      </w:r>
      <w:r w:rsidRPr="00B151C6">
        <w:rPr>
          <w:rFonts w:ascii="Arial" w:eastAsia="Times New Roman" w:hAnsi="Arial" w:cs="Arial"/>
          <w:lang w:val="es-ES"/>
        </w:rPr>
        <w:t>11, las Partes acordaron duplicar las corrientes financieras internacionales para implementar el Plan Estratégico Nacional 2010 y sus Metas de Aichi. En las negociaciones actuales sobre movilización de recursos (Meta</w:t>
      </w:r>
      <w:r w:rsidR="0089560A">
        <w:rPr>
          <w:rFonts w:ascii="Arial" w:eastAsia="Times New Roman" w:hAnsi="Arial" w:cs="Arial"/>
          <w:lang w:val="es-ES"/>
        </w:rPr>
        <w:t> </w:t>
      </w:r>
      <w:r w:rsidRPr="00B151C6">
        <w:rPr>
          <w:rFonts w:ascii="Arial" w:eastAsia="Times New Roman" w:hAnsi="Arial" w:cs="Arial"/>
          <w:lang w:val="es-ES"/>
        </w:rPr>
        <w:t>19), tras la primera parte de la tercera reunión del Grupo de Trabajo sobre el Marco Mundial de la Diversidad Biológica posterior a 2020</w:t>
      </w:r>
      <w:r w:rsidRPr="00B151C6">
        <w:rPr>
          <w:rStyle w:val="FootnoteReference"/>
          <w:rFonts w:ascii="Arial" w:eastAsia="Times New Roman" w:hAnsi="Arial" w:cs="Arial"/>
          <w:lang w:val="es-ES"/>
        </w:rPr>
        <w:footnoteReference w:id="15"/>
      </w:r>
      <w:r w:rsidRPr="00B151C6">
        <w:rPr>
          <w:rFonts w:ascii="Arial" w:eastAsia="Times New Roman" w:hAnsi="Arial" w:cs="Arial"/>
          <w:lang w:val="es-ES"/>
        </w:rPr>
        <w:t xml:space="preserve"> </w:t>
      </w:r>
      <w:r w:rsidR="0089560A" w:rsidRPr="00B151C6">
        <w:rPr>
          <w:rFonts w:ascii="Arial" w:eastAsia="Times New Roman" w:hAnsi="Arial" w:cs="Arial"/>
          <w:lang w:val="es-ES"/>
        </w:rPr>
        <w:t xml:space="preserve">los copresidentes </w:t>
      </w:r>
      <w:r w:rsidRPr="00B151C6">
        <w:rPr>
          <w:rFonts w:ascii="Arial" w:eastAsia="Times New Roman" w:hAnsi="Arial" w:cs="Arial"/>
          <w:lang w:val="es-ES"/>
        </w:rPr>
        <w:t>indic</w:t>
      </w:r>
      <w:r w:rsidR="0089560A">
        <w:rPr>
          <w:rFonts w:ascii="Arial" w:eastAsia="Times New Roman" w:hAnsi="Arial" w:cs="Arial"/>
          <w:lang w:val="es-ES"/>
        </w:rPr>
        <w:t>aron</w:t>
      </w:r>
      <w:r w:rsidRPr="00B151C6">
        <w:rPr>
          <w:rFonts w:ascii="Arial" w:eastAsia="Times New Roman" w:hAnsi="Arial" w:cs="Arial"/>
          <w:lang w:val="es-ES"/>
        </w:rPr>
        <w:t xml:space="preserve"> </w:t>
      </w:r>
      <w:r w:rsidR="0089560A">
        <w:rPr>
          <w:rFonts w:ascii="Arial" w:eastAsia="Times New Roman" w:hAnsi="Arial" w:cs="Arial"/>
          <w:lang w:val="es-ES"/>
        </w:rPr>
        <w:t>en sus reflexiones</w:t>
      </w:r>
      <w:r w:rsidR="0089560A" w:rsidRPr="00B151C6">
        <w:rPr>
          <w:rFonts w:ascii="Arial" w:eastAsia="Times New Roman" w:hAnsi="Arial" w:cs="Arial"/>
          <w:lang w:val="es-ES"/>
        </w:rPr>
        <w:t xml:space="preserve"> </w:t>
      </w:r>
      <w:r w:rsidRPr="00B151C6">
        <w:rPr>
          <w:rFonts w:ascii="Arial" w:eastAsia="Times New Roman" w:hAnsi="Arial" w:cs="Arial"/>
          <w:lang w:val="es-ES"/>
        </w:rPr>
        <w:t>que el aumento propuesto de 10.000 millones de dólares en corrientes financieras internacionales representa aproximadamente una duplicación del apoyo facilitado a los países en desarrollo.</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De este modo, aplicando los multiplicadores a los 1.292 millones de dólares asignados al área focal de biodiversidad para el período FMAM-7</w:t>
      </w:r>
      <w:r w:rsidRPr="00B151C6">
        <w:rPr>
          <w:rStyle w:val="FootnoteReference"/>
          <w:rFonts w:ascii="Arial" w:eastAsia="Times New Roman" w:hAnsi="Arial" w:cs="Arial"/>
          <w:lang w:val="es-ES"/>
        </w:rPr>
        <w:footnoteReference w:id="16"/>
      </w:r>
      <w:r w:rsidRPr="00B151C6">
        <w:rPr>
          <w:rFonts w:ascii="Arial" w:eastAsia="Times New Roman" w:hAnsi="Arial" w:cs="Arial"/>
          <w:lang w:val="es-ES"/>
        </w:rPr>
        <w:t xml:space="preserve">, se aplica el incremento entre el FMAM-6 y el FMAM-7 para cada uno de los 145 países examinados, y la financiación prevista para el FMAM-8 sería de entre 1.500 millones y 1.700 millones </w:t>
      </w:r>
      <w:r w:rsidR="00D239ED">
        <w:rPr>
          <w:rFonts w:ascii="Arial" w:eastAsia="Times New Roman" w:hAnsi="Arial" w:cs="Arial"/>
          <w:lang w:val="es-ES"/>
        </w:rPr>
        <w:t xml:space="preserve">de dólares </w:t>
      </w:r>
      <w:r w:rsidRPr="00B151C6">
        <w:rPr>
          <w:rFonts w:ascii="Arial" w:eastAsia="Times New Roman" w:hAnsi="Arial" w:cs="Arial"/>
          <w:lang w:val="es-ES"/>
        </w:rPr>
        <w:t xml:space="preserve">aproximadamente. Este incremento lineal, no tiene en cuenta el hecho de que actualmente se está negociando un marco mundial de la diversidad biológica posterior a 2020 totalmente nuevo y que la financiación del FMAM-8 debe aplicarse a esta nueva estrategia ambiciosa. </w:t>
      </w:r>
    </w:p>
    <w:p w:rsidR="00320FA1" w:rsidRPr="00B151C6" w:rsidRDefault="00320FA1">
      <w:pPr>
        <w:pStyle w:val="BodyText"/>
        <w:ind w:firstLine="0"/>
        <w:outlineLvl w:val="0"/>
        <w:rPr>
          <w:rFonts w:ascii="Arial" w:eastAsia="Times New Roman" w:hAnsi="Arial" w:cs="Arial"/>
          <w:lang w:val="es-ES"/>
        </w:rPr>
      </w:pPr>
      <w:r w:rsidRPr="00B151C6">
        <w:rPr>
          <w:rFonts w:ascii="Arial" w:eastAsia="Times New Roman" w:hAnsi="Arial" w:cs="Arial"/>
          <w:b/>
          <w:bCs/>
          <w:u w:val="single"/>
          <w:lang w:val="es-ES"/>
        </w:rPr>
        <w:lastRenderedPageBreak/>
        <w:t>Escenario 3</w:t>
      </w:r>
      <w:r w:rsidRPr="00B151C6">
        <w:rPr>
          <w:rFonts w:ascii="Arial" w:eastAsia="Times New Roman" w:hAnsi="Arial" w:cs="Arial"/>
          <w:b/>
          <w:bCs/>
          <w:lang w:val="es-ES"/>
        </w:rPr>
        <w:t xml:space="preserve">: Estimación basada en </w:t>
      </w:r>
      <w:r w:rsidR="00174C7F">
        <w:rPr>
          <w:rFonts w:ascii="Arial" w:eastAsia="Times New Roman" w:hAnsi="Arial" w:cs="Arial"/>
          <w:b/>
          <w:bCs/>
          <w:lang w:val="es-ES"/>
        </w:rPr>
        <w:t>la</w:t>
      </w:r>
      <w:r w:rsidRPr="00B151C6">
        <w:rPr>
          <w:rFonts w:ascii="Arial" w:eastAsia="Times New Roman" w:hAnsi="Arial" w:cs="Arial"/>
          <w:b/>
          <w:bCs/>
          <w:lang w:val="es-ES"/>
        </w:rPr>
        <w:t xml:space="preserve"> ex</w:t>
      </w:r>
      <w:r w:rsidR="00174C7F">
        <w:rPr>
          <w:rFonts w:ascii="Arial" w:eastAsia="Times New Roman" w:hAnsi="Arial" w:cs="Arial"/>
          <w:b/>
          <w:bCs/>
          <w:lang w:val="es-ES"/>
        </w:rPr>
        <w:t>trapolación de las respuestas a</w:t>
      </w:r>
      <w:r w:rsidRPr="00B151C6">
        <w:rPr>
          <w:rFonts w:ascii="Arial" w:eastAsia="Times New Roman" w:hAnsi="Arial" w:cs="Arial"/>
          <w:b/>
          <w:bCs/>
          <w:lang w:val="es-ES"/>
        </w:rPr>
        <w:t>l cuestionario al número total de Partes que reúnen las condiciones para recibir financiación del FMAM aplicando un modelo estadístico</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En este escenario, utilizamos el monto de las necesidades del FMAM indicadas en el cuestionario y cinco características de país (el número de especies amenazadas como indicación del estado de la diversidad biológica nacional, el producto interno bruto (PIB) y la densidad de población para representar las posibles presiones sobre la diversidad biológica, y por tanto, los impulsores de la financiación necesaria, y la superficie terrestre para </w:t>
      </w:r>
      <w:r w:rsidR="00174C7F">
        <w:rPr>
          <w:rFonts w:ascii="Arial" w:eastAsia="Times New Roman" w:hAnsi="Arial" w:cs="Arial"/>
          <w:lang w:val="es-ES"/>
        </w:rPr>
        <w:t>ajusta</w:t>
      </w:r>
      <w:r w:rsidRPr="00B151C6">
        <w:rPr>
          <w:rFonts w:ascii="Arial" w:eastAsia="Times New Roman" w:hAnsi="Arial" w:cs="Arial"/>
          <w:lang w:val="es-ES"/>
        </w:rPr>
        <w:t>r</w:t>
      </w:r>
      <w:r w:rsidR="00174C7F">
        <w:rPr>
          <w:rFonts w:ascii="Arial" w:eastAsia="Times New Roman" w:hAnsi="Arial" w:cs="Arial"/>
          <w:lang w:val="es-ES"/>
        </w:rPr>
        <w:t xml:space="preserve"> para el tamaño de</w:t>
      </w:r>
      <w:r w:rsidRPr="00B151C6">
        <w:rPr>
          <w:rFonts w:ascii="Arial" w:eastAsia="Times New Roman" w:hAnsi="Arial" w:cs="Arial"/>
          <w:lang w:val="es-ES"/>
        </w:rPr>
        <w:t xml:space="preserve"> país) para cada país que informó sobre las necesidades de financiación del FMAM</w:t>
      </w:r>
      <w:r w:rsidRPr="00B151C6">
        <w:rPr>
          <w:rStyle w:val="FootnoteReference"/>
          <w:rFonts w:ascii="Arial" w:eastAsia="Times New Roman" w:hAnsi="Arial" w:cs="Arial"/>
          <w:lang w:val="es-ES"/>
        </w:rPr>
        <w:footnoteReference w:id="17"/>
      </w:r>
      <w:r w:rsidRPr="00B151C6">
        <w:rPr>
          <w:rFonts w:ascii="Arial" w:eastAsia="Times New Roman" w:hAnsi="Arial" w:cs="Arial"/>
          <w:lang w:val="es-ES"/>
        </w:rPr>
        <w:t>. Este modelo proporciona una relación estadística entre las necesidades de financiación del FMAM indicadas en el cuestionario y las características de país. Utilizamos este modelo para proyectar los fondos a todas las demás Partes que no comunicaron sus necesidades de financiación a través del cuestionario.</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u w:val="single"/>
          <w:lang w:val="es-ES"/>
        </w:rPr>
      </w:pPr>
      <w:r w:rsidRPr="00B151C6">
        <w:rPr>
          <w:rFonts w:ascii="Arial" w:eastAsia="Times New Roman" w:hAnsi="Arial" w:cs="Arial"/>
          <w:lang w:val="es-ES"/>
        </w:rPr>
        <w:t>El modelo logró explicar el 63 % de la variación de la financiación del FMAM y proyectar</w:t>
      </w:r>
      <w:r w:rsidR="00423F67">
        <w:rPr>
          <w:rFonts w:ascii="Arial" w:eastAsia="Times New Roman" w:hAnsi="Arial" w:cs="Arial"/>
          <w:lang w:val="es-ES"/>
        </w:rPr>
        <w:t xml:space="preserve"> </w:t>
      </w:r>
      <w:r w:rsidRPr="00B151C6">
        <w:rPr>
          <w:rFonts w:ascii="Arial" w:eastAsia="Times New Roman" w:hAnsi="Arial" w:cs="Arial"/>
          <w:lang w:val="es-ES"/>
        </w:rPr>
        <w:t xml:space="preserve">las necesidades de financiación del FMAM para 139 países. En los casos del Congo, las Islas Cook, la República Popular Democrática de Corea, Niue, Siria, Somalia y el Sudán, no se contó con suficientes datos sobre las características de país como para hacer una proyección. El total de las necesidades de financiación del ciclo FMAM-8 proyectado para los 138 países </w:t>
      </w:r>
      <w:r w:rsidR="00CE2F5C">
        <w:rPr>
          <w:rFonts w:ascii="Arial" w:eastAsia="Times New Roman" w:hAnsi="Arial" w:cs="Arial"/>
          <w:lang w:val="es-ES"/>
        </w:rPr>
        <w:t>fue</w:t>
      </w:r>
      <w:r w:rsidRPr="00B151C6">
        <w:rPr>
          <w:rFonts w:ascii="Arial" w:eastAsia="Times New Roman" w:hAnsi="Arial" w:cs="Arial"/>
          <w:lang w:val="es-ES"/>
        </w:rPr>
        <w:t xml:space="preserve"> </w:t>
      </w:r>
      <w:r w:rsidR="00CE2F5C">
        <w:rPr>
          <w:rFonts w:ascii="Arial" w:eastAsia="Times New Roman" w:hAnsi="Arial" w:cs="Arial"/>
          <w:lang w:val="es-ES"/>
        </w:rPr>
        <w:t>de</w:t>
      </w:r>
      <w:r w:rsidRPr="00B151C6">
        <w:rPr>
          <w:rFonts w:ascii="Arial" w:eastAsia="Times New Roman" w:hAnsi="Arial" w:cs="Arial"/>
          <w:lang w:val="es-ES"/>
        </w:rPr>
        <w:t xml:space="preserve"> 3.700 millones de dólares.</w:t>
      </w:r>
    </w:p>
    <w:p w:rsidR="00320FA1" w:rsidRPr="00B151C6" w:rsidRDefault="006E4C7B">
      <w:pPr>
        <w:pStyle w:val="BodyText"/>
        <w:keepNext/>
        <w:rPr>
          <w:rFonts w:ascii="Arial" w:eastAsia="Times New Roman" w:hAnsi="Arial" w:cs="Arial"/>
          <w:lang w:val="es-ES"/>
        </w:rPr>
      </w:pPr>
      <w:r w:rsidRPr="00B151C6">
        <w:rPr>
          <w:rFonts w:ascii="Arial" w:eastAsia="Times New Roman" w:hAnsi="Arial" w:cs="Arial"/>
          <w:snapToGrid/>
          <w:lang w:val="es-ES"/>
        </w:rPr>
        <w:drawing>
          <wp:inline distT="0" distB="0" distL="0" distR="0">
            <wp:extent cx="5723255" cy="4455795"/>
            <wp:effectExtent l="19050" t="0" r="0" b="0"/>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3"/>
                    <a:srcRect t="-256"/>
                    <a:stretch>
                      <a:fillRect/>
                    </a:stretch>
                  </pic:blipFill>
                  <pic:spPr bwMode="auto">
                    <a:xfrm>
                      <a:off x="0" y="0"/>
                      <a:ext cx="5723255" cy="4455795"/>
                    </a:xfrm>
                    <a:prstGeom prst="rect">
                      <a:avLst/>
                    </a:prstGeom>
                    <a:noFill/>
                    <a:ln w="9525">
                      <a:noFill/>
                      <a:miter lim="800000"/>
                      <a:headEnd/>
                      <a:tailEnd/>
                    </a:ln>
                  </pic:spPr>
                </pic:pic>
              </a:graphicData>
            </a:graphic>
          </wp:inline>
        </w:drawing>
      </w:r>
    </w:p>
    <w:p w:rsidR="00320FA1" w:rsidRPr="00B151C6" w:rsidRDefault="00320FA1">
      <w:pPr>
        <w:pStyle w:val="BodyText"/>
        <w:rPr>
          <w:rFonts w:ascii="Arial" w:eastAsia="Times New Roman" w:hAnsi="Arial" w:cs="Arial"/>
          <w:lang w:val="es-ES"/>
        </w:rPr>
      </w:pPr>
      <w:r w:rsidRPr="00B151C6">
        <w:rPr>
          <w:rFonts w:ascii="Arial" w:eastAsia="Times New Roman" w:hAnsi="Arial" w:cs="Arial"/>
          <w:lang w:val="es-ES"/>
        </w:rPr>
        <w:t>Figura 1: Resumen de escenarios</w:t>
      </w:r>
    </w:p>
    <w:p w:rsidR="00320FA1" w:rsidRPr="00B151C6" w:rsidRDefault="00320FA1">
      <w:pPr>
        <w:pStyle w:val="BodyText"/>
        <w:widowControl w:val="0"/>
        <w:numPr>
          <w:ilvl w:val="0"/>
          <w:numId w:val="9"/>
        </w:numPr>
        <w:autoSpaceDE w:val="0"/>
        <w:autoSpaceDN w:val="0"/>
        <w:ind w:left="0" w:firstLine="0"/>
        <w:jc w:val="left"/>
        <w:outlineLvl w:val="0"/>
        <w:rPr>
          <w:rFonts w:ascii="Arial" w:eastAsia="Times New Roman" w:hAnsi="Arial" w:cs="Arial"/>
          <w:b/>
          <w:bCs/>
          <w:lang w:val="es-ES"/>
        </w:rPr>
      </w:pPr>
      <w:r w:rsidRPr="00B151C6">
        <w:rPr>
          <w:rFonts w:ascii="Arial" w:eastAsia="Times New Roman" w:hAnsi="Arial" w:cs="Arial"/>
          <w:b/>
          <w:bCs/>
          <w:lang w:val="es-ES"/>
        </w:rPr>
        <w:lastRenderedPageBreak/>
        <w:t>Conclusión</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El </w:t>
      </w:r>
      <w:r w:rsidR="00EE57A4">
        <w:rPr>
          <w:rFonts w:ascii="Arial" w:eastAsia="Times New Roman" w:hAnsi="Arial" w:cs="Arial"/>
          <w:lang w:val="es-ES"/>
        </w:rPr>
        <w:t>e</w:t>
      </w:r>
      <w:r w:rsidRPr="00B151C6">
        <w:rPr>
          <w:rFonts w:ascii="Arial" w:eastAsia="Times New Roman" w:hAnsi="Arial" w:cs="Arial"/>
          <w:lang w:val="es-ES"/>
        </w:rPr>
        <w:t xml:space="preserve">quipo de </w:t>
      </w:r>
      <w:r w:rsidR="00EE57A4">
        <w:rPr>
          <w:rFonts w:ascii="Arial" w:eastAsia="Times New Roman" w:hAnsi="Arial" w:cs="Arial"/>
          <w:lang w:val="es-ES"/>
        </w:rPr>
        <w:t>e</w:t>
      </w:r>
      <w:r w:rsidRPr="00B151C6">
        <w:rPr>
          <w:rFonts w:ascii="Arial" w:eastAsia="Times New Roman" w:hAnsi="Arial" w:cs="Arial"/>
          <w:lang w:val="es-ES"/>
        </w:rPr>
        <w:t xml:space="preserve">xpertos utilizó el cuestionario y otros datos para </w:t>
      </w:r>
      <w:r w:rsidR="00EE57A4">
        <w:rPr>
          <w:rFonts w:ascii="Arial" w:eastAsia="Times New Roman" w:hAnsi="Arial" w:cs="Arial"/>
          <w:lang w:val="es-ES"/>
        </w:rPr>
        <w:t>bri</w:t>
      </w:r>
      <w:r w:rsidRPr="00B151C6">
        <w:rPr>
          <w:rFonts w:ascii="Arial" w:eastAsia="Times New Roman" w:hAnsi="Arial" w:cs="Arial"/>
          <w:lang w:val="es-ES"/>
        </w:rPr>
        <w:t>n</w:t>
      </w:r>
      <w:r w:rsidR="00EE57A4">
        <w:rPr>
          <w:rFonts w:ascii="Arial" w:eastAsia="Times New Roman" w:hAnsi="Arial" w:cs="Arial"/>
          <w:lang w:val="es-ES"/>
        </w:rPr>
        <w:t>d</w:t>
      </w:r>
      <w:r w:rsidRPr="00B151C6">
        <w:rPr>
          <w:rFonts w:ascii="Arial" w:eastAsia="Times New Roman" w:hAnsi="Arial" w:cs="Arial"/>
          <w:lang w:val="es-ES"/>
        </w:rPr>
        <w:t>ar a las Partes en el CDB tres posibles escenarios para las necesidades de financiación aportada por el FMAM. A partir de estos análisis, las necesidades de financiación del FMAM-8 pueden estimarse en</w:t>
      </w:r>
      <w:r w:rsidR="00ED2E51">
        <w:rPr>
          <w:rFonts w:ascii="Arial" w:eastAsia="Times New Roman" w:hAnsi="Arial" w:cs="Arial"/>
          <w:lang w:val="es-ES"/>
        </w:rPr>
        <w:t>tre</w:t>
      </w:r>
      <w:r w:rsidRPr="00B151C6">
        <w:rPr>
          <w:rFonts w:ascii="Arial" w:eastAsia="Times New Roman" w:hAnsi="Arial" w:cs="Arial"/>
          <w:lang w:val="es-ES"/>
        </w:rPr>
        <w:t xml:space="preserve"> 1.500 millones </w:t>
      </w:r>
      <w:r w:rsidR="00ED2E51">
        <w:rPr>
          <w:rFonts w:ascii="Arial" w:eastAsia="Times New Roman" w:hAnsi="Arial" w:cs="Arial"/>
          <w:lang w:val="es-ES"/>
        </w:rPr>
        <w:t>y</w:t>
      </w:r>
      <w:r w:rsidRPr="00B151C6">
        <w:rPr>
          <w:rFonts w:ascii="Arial" w:eastAsia="Times New Roman" w:hAnsi="Arial" w:cs="Arial"/>
          <w:lang w:val="es-ES"/>
        </w:rPr>
        <w:t xml:space="preserve"> 3.700 millones de dólares. No obstante, si se comparan las metas de movilización de recursos indicadas en el proyecto de marco mundial de la diversidad biológica posterior a 2020 con metas anteriores del CDB en materia de movilización de recursos, se </w:t>
      </w:r>
      <w:r w:rsidR="00EE57A4">
        <w:rPr>
          <w:rFonts w:ascii="Arial" w:eastAsia="Times New Roman" w:hAnsi="Arial" w:cs="Arial"/>
          <w:lang w:val="es-ES"/>
        </w:rPr>
        <w:t>observa</w:t>
      </w:r>
      <w:r w:rsidRPr="00B151C6">
        <w:rPr>
          <w:rFonts w:ascii="Arial" w:eastAsia="Times New Roman" w:hAnsi="Arial" w:cs="Arial"/>
          <w:lang w:val="es-ES"/>
        </w:rPr>
        <w:t xml:space="preserve"> que las metas actuales son más ambiciosas y requerirán un apoyo financiero mayor que el requerido anteriormente.</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bookmarkStart w:id="2" w:name="_Hlk93327814"/>
      <w:r w:rsidRPr="00B151C6">
        <w:rPr>
          <w:rFonts w:ascii="Arial" w:eastAsia="Times New Roman" w:hAnsi="Arial" w:cs="Arial"/>
          <w:lang w:val="es-ES"/>
        </w:rPr>
        <w:t xml:space="preserve">Antes de que se empezara a implementar el Plan Estratégico para la Diversidad Biológica 2011-2020 no se </w:t>
      </w:r>
      <w:r w:rsidR="00EE57A4">
        <w:rPr>
          <w:rFonts w:ascii="Arial" w:eastAsia="Times New Roman" w:hAnsi="Arial" w:cs="Arial"/>
          <w:lang w:val="es-ES"/>
        </w:rPr>
        <w:t xml:space="preserve">había </w:t>
      </w:r>
      <w:r w:rsidRPr="00B151C6">
        <w:rPr>
          <w:rFonts w:ascii="Arial" w:eastAsia="Times New Roman" w:hAnsi="Arial" w:cs="Arial"/>
          <w:lang w:val="es-ES"/>
        </w:rPr>
        <w:t>realiz</w:t>
      </w:r>
      <w:r w:rsidR="00EE57A4">
        <w:rPr>
          <w:rFonts w:ascii="Arial" w:eastAsia="Times New Roman" w:hAnsi="Arial" w:cs="Arial"/>
          <w:lang w:val="es-ES"/>
        </w:rPr>
        <w:t>ado</w:t>
      </w:r>
      <w:r w:rsidRPr="00B151C6">
        <w:rPr>
          <w:rFonts w:ascii="Arial" w:eastAsia="Times New Roman" w:hAnsi="Arial" w:cs="Arial"/>
          <w:lang w:val="es-ES"/>
        </w:rPr>
        <w:t xml:space="preserve"> ninguna evaluación de las necesidades del CDB. La primera evaluación de necesidades de financiación se realizó para el sexto período de reposición del FMAM, que abarcaba los años 2014 a 2018. Esta evaluación tuvo </w:t>
      </w:r>
      <w:r w:rsidR="00423F67">
        <w:rPr>
          <w:rFonts w:ascii="Arial" w:eastAsia="Times New Roman" w:hAnsi="Arial" w:cs="Arial"/>
          <w:lang w:val="es-ES"/>
        </w:rPr>
        <w:t>múltiples</w:t>
      </w:r>
      <w:r w:rsidRPr="00B151C6">
        <w:rPr>
          <w:rFonts w:ascii="Arial" w:eastAsia="Times New Roman" w:hAnsi="Arial" w:cs="Arial"/>
          <w:lang w:val="es-ES"/>
        </w:rPr>
        <w:t xml:space="preserve"> escenarios, pero si consideramos únicamente el escenario medio basado en el coeficiente de cofinanciación del FMAM para la diversidad biológica (1:4) que existía para ese período, las evaluaciones de necesidades oscilaban entre 7.000 millones y 17.000 millones de dólares para el período de cuatro años</w:t>
      </w:r>
      <w:r w:rsidRPr="00B151C6">
        <w:rPr>
          <w:rFonts w:ascii="Arial" w:eastAsia="Times New Roman" w:hAnsi="Arial" w:cs="Arial"/>
          <w:vertAlign w:val="superscript"/>
          <w:lang w:val="es-ES"/>
        </w:rPr>
        <w:footnoteReference w:id="18"/>
      </w:r>
      <w:r w:rsidRPr="00B151C6">
        <w:rPr>
          <w:rFonts w:ascii="Arial" w:eastAsia="Times New Roman" w:hAnsi="Arial" w:cs="Arial"/>
          <w:lang w:val="es-ES"/>
        </w:rPr>
        <w:t xml:space="preserve">. </w:t>
      </w:r>
      <w:r w:rsidR="00EE57A4">
        <w:rPr>
          <w:rFonts w:ascii="Arial" w:eastAsia="Times New Roman" w:hAnsi="Arial" w:cs="Arial"/>
          <w:lang w:val="es-ES"/>
        </w:rPr>
        <w:t>En l</w:t>
      </w:r>
      <w:r w:rsidRPr="00B151C6">
        <w:rPr>
          <w:rFonts w:ascii="Arial" w:eastAsia="Times New Roman" w:hAnsi="Arial" w:cs="Arial"/>
          <w:lang w:val="es-ES"/>
        </w:rPr>
        <w:t>a segunda evaluación de necesidades</w:t>
      </w:r>
      <w:r w:rsidR="00EE57A4">
        <w:rPr>
          <w:rFonts w:ascii="Arial" w:eastAsia="Times New Roman" w:hAnsi="Arial" w:cs="Arial"/>
          <w:lang w:val="es-ES"/>
        </w:rPr>
        <w:t>, que</w:t>
      </w:r>
      <w:r w:rsidRPr="00B151C6">
        <w:rPr>
          <w:rFonts w:ascii="Arial" w:eastAsia="Times New Roman" w:hAnsi="Arial" w:cs="Arial"/>
          <w:lang w:val="es-ES"/>
        </w:rPr>
        <w:t xml:space="preserve"> se realizó en 2016 para el séptimo período de reposición del FMAM</w:t>
      </w:r>
      <w:r w:rsidR="00EE57A4">
        <w:rPr>
          <w:rFonts w:ascii="Arial" w:eastAsia="Times New Roman" w:hAnsi="Arial" w:cs="Arial"/>
          <w:lang w:val="es-ES"/>
        </w:rPr>
        <w:t>,</w:t>
      </w:r>
      <w:r w:rsidRPr="00B151C6">
        <w:rPr>
          <w:rFonts w:ascii="Arial" w:eastAsia="Times New Roman" w:hAnsi="Arial" w:cs="Arial"/>
          <w:lang w:val="es-ES"/>
        </w:rPr>
        <w:t xml:space="preserve"> </w:t>
      </w:r>
      <w:r w:rsidR="00EE57A4">
        <w:rPr>
          <w:rFonts w:ascii="Arial" w:eastAsia="Times New Roman" w:hAnsi="Arial" w:cs="Arial"/>
          <w:lang w:val="es-ES"/>
        </w:rPr>
        <w:t>se</w:t>
      </w:r>
      <w:r w:rsidRPr="00B151C6">
        <w:rPr>
          <w:rFonts w:ascii="Arial" w:eastAsia="Times New Roman" w:hAnsi="Arial" w:cs="Arial"/>
          <w:lang w:val="es-ES"/>
        </w:rPr>
        <w:t xml:space="preserve"> estimó un monto de 2.739 millones de dólares en su escenario 1, sobre la base de un coeficiente de cofinanciación de 1:2</w:t>
      </w:r>
      <w:r w:rsidRPr="00B151C6">
        <w:rPr>
          <w:rFonts w:ascii="Arial" w:eastAsia="Times New Roman" w:hAnsi="Arial" w:cs="Arial"/>
          <w:vertAlign w:val="superscript"/>
          <w:lang w:val="es-ES"/>
        </w:rPr>
        <w:footnoteReference w:id="19"/>
      </w:r>
      <w:r w:rsidRPr="00B151C6">
        <w:rPr>
          <w:rFonts w:ascii="Arial" w:eastAsia="Times New Roman" w:hAnsi="Arial" w:cs="Arial"/>
          <w:lang w:val="es-ES"/>
        </w:rPr>
        <w:t xml:space="preserve">. </w:t>
      </w:r>
      <w:r w:rsidR="00EE57A4">
        <w:rPr>
          <w:rFonts w:ascii="Arial" w:eastAsia="Times New Roman" w:hAnsi="Arial" w:cs="Arial"/>
          <w:lang w:val="es-ES"/>
        </w:rPr>
        <w:t>C</w:t>
      </w:r>
      <w:r w:rsidRPr="00B151C6">
        <w:rPr>
          <w:rFonts w:ascii="Arial" w:eastAsia="Times New Roman" w:hAnsi="Arial" w:cs="Arial"/>
          <w:lang w:val="es-ES"/>
        </w:rPr>
        <w:t>ompara</w:t>
      </w:r>
      <w:r w:rsidR="00EE57A4">
        <w:rPr>
          <w:rFonts w:ascii="Arial" w:eastAsia="Times New Roman" w:hAnsi="Arial" w:cs="Arial"/>
          <w:lang w:val="es-ES"/>
        </w:rPr>
        <w:t>das con estas</w:t>
      </w:r>
      <w:r w:rsidRPr="00B151C6">
        <w:rPr>
          <w:rFonts w:ascii="Arial" w:eastAsia="Times New Roman" w:hAnsi="Arial" w:cs="Arial"/>
          <w:lang w:val="es-ES"/>
        </w:rPr>
        <w:t xml:space="preserve">, la evaluación actual oscila entre 1.500 millones y 3.700 millones de dólares para el octavo período de reposición del FMAM, sobre la base de un coeficiente de cofinanciación </w:t>
      </w:r>
      <w:r w:rsidR="00EE57A4" w:rsidRPr="00B151C6">
        <w:rPr>
          <w:rFonts w:ascii="Arial" w:eastAsia="Times New Roman" w:hAnsi="Arial" w:cs="Arial"/>
          <w:lang w:val="es-ES"/>
        </w:rPr>
        <w:t xml:space="preserve">aproximado </w:t>
      </w:r>
      <w:r w:rsidRPr="00B151C6">
        <w:rPr>
          <w:rFonts w:ascii="Arial" w:eastAsia="Times New Roman" w:hAnsi="Arial" w:cs="Arial"/>
          <w:lang w:val="es-ES"/>
        </w:rPr>
        <w:t xml:space="preserve">de 1:3. Es probable que la diferencia significativa con respecto a la primera evaluación se deba a la metodología más centrada y orientada a proyectos que se ha empleado desde la evaluación de necesidades de 2016. La evaluación actual también puede tener la ventaja de la experiencia que adquirieron los países en la evaluación de 2016, que fue cuando se utilizó por primera vez una metodología orientada a proyectos. </w:t>
      </w:r>
    </w:p>
    <w:bookmarkEnd w:id="2"/>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De las deliberaciones sobre movilización de recursos en el Grupo de Trabajo de Composición Abierta sobre el Marco Mundial de la Diversidad Biológica posterior a 2020 también se desprende que las Partes en el CDB consideran que el FMAM es parte de un esfuerzo mucho mayor para financiar la aplicación del Convenio y sus Protocolos con fondos de todas las fuentes. Por otra parte, el </w:t>
      </w:r>
      <w:r w:rsidR="00EE57A4">
        <w:rPr>
          <w:rFonts w:ascii="Arial" w:eastAsia="Times New Roman" w:hAnsi="Arial" w:cs="Arial"/>
          <w:lang w:val="es-ES"/>
        </w:rPr>
        <w:t>e</w:t>
      </w:r>
      <w:r w:rsidRPr="00B151C6">
        <w:rPr>
          <w:rFonts w:ascii="Arial" w:eastAsia="Times New Roman" w:hAnsi="Arial" w:cs="Arial"/>
          <w:lang w:val="es-ES"/>
        </w:rPr>
        <w:t xml:space="preserve">quipo de </w:t>
      </w:r>
      <w:r w:rsidR="00EE57A4">
        <w:rPr>
          <w:rFonts w:ascii="Arial" w:eastAsia="Times New Roman" w:hAnsi="Arial" w:cs="Arial"/>
          <w:lang w:val="es-ES"/>
        </w:rPr>
        <w:t>e</w:t>
      </w:r>
      <w:r w:rsidRPr="00B151C6">
        <w:rPr>
          <w:rFonts w:ascii="Arial" w:eastAsia="Times New Roman" w:hAnsi="Arial" w:cs="Arial"/>
          <w:lang w:val="es-ES"/>
        </w:rPr>
        <w:t xml:space="preserve">xpertos también aprendió de la experiencia de las evaluaciones pasadas y proporcionó una orientación más detallada para ayudar a los países a proyectar sus necesidades de financiación </w:t>
      </w:r>
      <w:r w:rsidR="00EE57A4" w:rsidRPr="00B151C6">
        <w:rPr>
          <w:rFonts w:ascii="Arial" w:eastAsia="Times New Roman" w:hAnsi="Arial" w:cs="Arial"/>
          <w:lang w:val="es-ES"/>
        </w:rPr>
        <w:t xml:space="preserve">futuras </w:t>
      </w:r>
      <w:r w:rsidRPr="00B151C6">
        <w:rPr>
          <w:rFonts w:ascii="Arial" w:eastAsia="Times New Roman" w:hAnsi="Arial" w:cs="Arial"/>
          <w:lang w:val="es-ES"/>
        </w:rPr>
        <w:t xml:space="preserve">aplicando </w:t>
      </w:r>
      <w:r w:rsidR="00EE57A4">
        <w:rPr>
          <w:rFonts w:ascii="Arial" w:eastAsia="Times New Roman" w:hAnsi="Arial" w:cs="Arial"/>
          <w:lang w:val="es-ES"/>
        </w:rPr>
        <w:t xml:space="preserve">a la vez </w:t>
      </w:r>
      <w:r w:rsidRPr="00B151C6">
        <w:rPr>
          <w:rFonts w:ascii="Arial" w:eastAsia="Times New Roman" w:hAnsi="Arial" w:cs="Arial"/>
          <w:lang w:val="es-ES"/>
        </w:rPr>
        <w:t xml:space="preserve">el principio de costos incrementales y determinando a grandes rasgos las fuentes y el monto de cofinanciación. </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En el sexto período de reposición del FMAM se logró un incremento nominal del 50 % en la reposición total con respecto al FMAM-5 (de 3.135 millones a 4.200 millones de dólares) mientras que el componente de diversidad biológica aumentó de 1.2</w:t>
      </w:r>
      <w:r w:rsidR="00EE57A4">
        <w:rPr>
          <w:rFonts w:ascii="Arial" w:eastAsia="Times New Roman" w:hAnsi="Arial" w:cs="Arial"/>
          <w:lang w:val="es-ES"/>
        </w:rPr>
        <w:t>00</w:t>
      </w:r>
      <w:r w:rsidRPr="00B151C6">
        <w:rPr>
          <w:rFonts w:ascii="Arial" w:eastAsia="Times New Roman" w:hAnsi="Arial" w:cs="Arial"/>
          <w:lang w:val="es-ES"/>
        </w:rPr>
        <w:t xml:space="preserve"> millones a 1.296 millones de dólares, lo que supone un aumento de solo un 16 %. El componente de diversidad biológica para el FMAM-7 fue de 1.292 millones de dólares. El coeficiente de</w:t>
      </w:r>
      <w:r w:rsidR="00423F67">
        <w:rPr>
          <w:rFonts w:ascii="Arial" w:eastAsia="Times New Roman" w:hAnsi="Arial" w:cs="Arial"/>
          <w:lang w:val="es-ES"/>
        </w:rPr>
        <w:t xml:space="preserve"> </w:t>
      </w:r>
      <w:r w:rsidRPr="00B151C6">
        <w:rPr>
          <w:rFonts w:ascii="Arial" w:eastAsia="Times New Roman" w:hAnsi="Arial" w:cs="Arial"/>
          <w:lang w:val="es-ES"/>
        </w:rPr>
        <w:t xml:space="preserve">cofinanciación ha sido en promedio </w:t>
      </w:r>
      <w:r w:rsidR="001F6905">
        <w:rPr>
          <w:rFonts w:ascii="Arial" w:eastAsia="Times New Roman" w:hAnsi="Arial" w:cs="Arial"/>
          <w:lang w:val="es-ES"/>
        </w:rPr>
        <w:t xml:space="preserve">alrededor </w:t>
      </w:r>
      <w:r w:rsidRPr="00B151C6">
        <w:rPr>
          <w:rFonts w:ascii="Arial" w:eastAsia="Times New Roman" w:hAnsi="Arial" w:cs="Arial"/>
          <w:lang w:val="es-ES"/>
        </w:rPr>
        <w:t>de</w:t>
      </w:r>
      <w:r w:rsidRPr="00B151C6">
        <w:rPr>
          <w:rFonts w:ascii="Arial" w:eastAsia="Times New Roman" w:hAnsi="Arial" w:cs="Arial"/>
          <w:spacing w:val="-3"/>
          <w:lang w:val="es-ES"/>
        </w:rPr>
        <w:t xml:space="preserve"> 1:5 en la cartera de diversidad biológica del </w:t>
      </w:r>
      <w:r w:rsidRPr="00B151C6">
        <w:rPr>
          <w:rFonts w:ascii="Arial" w:eastAsia="Times New Roman" w:hAnsi="Arial" w:cs="Arial"/>
          <w:lang w:val="es-ES"/>
        </w:rPr>
        <w:t>FMAM (OPS7)</w:t>
      </w:r>
      <w:r w:rsidRPr="00B151C6">
        <w:rPr>
          <w:rFonts w:ascii="Arial" w:eastAsia="Times New Roman" w:hAnsi="Arial" w:cs="Arial"/>
          <w:vertAlign w:val="superscript"/>
          <w:lang w:val="es-ES"/>
        </w:rPr>
        <w:footnoteReference w:id="20"/>
      </w:r>
      <w:r w:rsidRPr="00B151C6">
        <w:rPr>
          <w:rFonts w:ascii="Arial" w:eastAsia="Times New Roman" w:hAnsi="Arial" w:cs="Arial"/>
          <w:lang w:val="es-ES"/>
        </w:rPr>
        <w:t>.</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En los comentarios presentados para el primer informe del </w:t>
      </w:r>
      <w:r w:rsidR="00ED2E51">
        <w:rPr>
          <w:rFonts w:ascii="Arial" w:eastAsia="Times New Roman" w:hAnsi="Arial" w:cs="Arial"/>
          <w:lang w:val="es-ES"/>
        </w:rPr>
        <w:t>Grupo</w:t>
      </w:r>
      <w:r w:rsidRPr="00B151C6">
        <w:rPr>
          <w:rFonts w:ascii="Arial" w:eastAsia="Times New Roman" w:hAnsi="Arial" w:cs="Arial"/>
          <w:lang w:val="es-ES"/>
        </w:rPr>
        <w:t xml:space="preserve"> de Expertos sobre movilización de recursos para el marco mundial de la diversidad biológica posterior a 2020 con respecto al Objetivo 3, relativo al fortalecimiento de las instituciones financieras existentes y la </w:t>
      </w:r>
      <w:r w:rsidRPr="00B151C6">
        <w:rPr>
          <w:rFonts w:ascii="Arial" w:eastAsia="Times New Roman" w:hAnsi="Arial" w:cs="Arial"/>
          <w:lang w:val="es-ES"/>
        </w:rPr>
        <w:lastRenderedPageBreak/>
        <w:t xml:space="preserve">promoción de la reproducción y la ampliación de los mecanismos e instrumentos de </w:t>
      </w:r>
      <w:r w:rsidR="008773CA">
        <w:rPr>
          <w:rFonts w:ascii="Arial" w:eastAsia="Times New Roman" w:hAnsi="Arial" w:cs="Arial"/>
          <w:lang w:val="es-ES"/>
        </w:rPr>
        <w:t>financiación</w:t>
      </w:r>
      <w:r w:rsidRPr="00B151C6">
        <w:rPr>
          <w:rFonts w:ascii="Arial" w:eastAsia="Times New Roman" w:hAnsi="Arial" w:cs="Arial"/>
          <w:lang w:val="es-ES"/>
        </w:rPr>
        <w:t xml:space="preserve"> exitosos, se señaló que </w:t>
      </w:r>
      <w:r w:rsidR="001F6905">
        <w:rPr>
          <w:rFonts w:ascii="Arial" w:eastAsia="Times New Roman" w:hAnsi="Arial" w:cs="Arial"/>
          <w:lang w:val="es-ES"/>
        </w:rPr>
        <w:t>hay</w:t>
      </w:r>
      <w:r w:rsidRPr="00B151C6">
        <w:rPr>
          <w:rFonts w:ascii="Arial" w:eastAsia="Times New Roman" w:hAnsi="Arial" w:cs="Arial"/>
          <w:lang w:val="es-ES"/>
        </w:rPr>
        <w:t xml:space="preserve"> </w:t>
      </w:r>
      <w:r w:rsidR="001F6905">
        <w:rPr>
          <w:rFonts w:ascii="Arial" w:eastAsia="Times New Roman" w:hAnsi="Arial" w:cs="Arial"/>
          <w:lang w:val="es-ES"/>
        </w:rPr>
        <w:t xml:space="preserve">una </w:t>
      </w:r>
      <w:r w:rsidRPr="00B151C6">
        <w:rPr>
          <w:rFonts w:ascii="Arial" w:eastAsia="Times New Roman" w:hAnsi="Arial" w:cs="Arial"/>
          <w:lang w:val="es-ES"/>
        </w:rPr>
        <w:t xml:space="preserve">carencia en la estrategia de movilización de recursos </w:t>
      </w:r>
      <w:r w:rsidR="001F6905">
        <w:rPr>
          <w:rFonts w:ascii="Arial" w:eastAsia="Times New Roman" w:hAnsi="Arial" w:cs="Arial"/>
          <w:lang w:val="es-ES"/>
        </w:rPr>
        <w:t>qu</w:t>
      </w:r>
      <w:r w:rsidRPr="00B151C6">
        <w:rPr>
          <w:rFonts w:ascii="Arial" w:eastAsia="Times New Roman" w:hAnsi="Arial" w:cs="Arial"/>
          <w:lang w:val="es-ES"/>
        </w:rPr>
        <w:t>e</w:t>
      </w:r>
      <w:r w:rsidR="001F6905">
        <w:rPr>
          <w:rFonts w:ascii="Arial" w:eastAsia="Times New Roman" w:hAnsi="Arial" w:cs="Arial"/>
          <w:lang w:val="es-ES"/>
        </w:rPr>
        <w:t xml:space="preserve"> tie</w:t>
      </w:r>
      <w:r w:rsidRPr="00B151C6">
        <w:rPr>
          <w:rFonts w:ascii="Arial" w:eastAsia="Times New Roman" w:hAnsi="Arial" w:cs="Arial"/>
          <w:lang w:val="es-ES"/>
        </w:rPr>
        <w:t>n</w:t>
      </w:r>
      <w:r w:rsidR="001F6905">
        <w:rPr>
          <w:rFonts w:ascii="Arial" w:eastAsia="Times New Roman" w:hAnsi="Arial" w:cs="Arial"/>
          <w:lang w:val="es-ES"/>
        </w:rPr>
        <w:t>e que ver</w:t>
      </w:r>
      <w:r w:rsidRPr="00B151C6">
        <w:rPr>
          <w:rFonts w:ascii="Arial" w:eastAsia="Times New Roman" w:hAnsi="Arial" w:cs="Arial"/>
          <w:lang w:val="es-ES"/>
        </w:rPr>
        <w:t xml:space="preserve"> con las limitaciones del FMAM para proporcionar financiación distinta de las donaciones</w:t>
      </w:r>
      <w:r w:rsidRPr="00B151C6">
        <w:rPr>
          <w:rFonts w:ascii="Arial" w:eastAsia="Times New Roman" w:hAnsi="Arial" w:cs="Arial"/>
          <w:vertAlign w:val="superscript"/>
          <w:lang w:val="es-ES"/>
        </w:rPr>
        <w:t>22</w:t>
      </w:r>
      <w:r w:rsidRPr="00B151C6">
        <w:rPr>
          <w:rFonts w:ascii="Arial" w:eastAsia="Times New Roman" w:hAnsi="Arial" w:cs="Arial"/>
          <w:lang w:val="es-ES"/>
        </w:rPr>
        <w:t>.</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sz w:val="21"/>
          <w:szCs w:val="21"/>
          <w:lang w:val="es-ES"/>
        </w:rPr>
      </w:pPr>
      <w:r w:rsidRPr="00B151C6">
        <w:rPr>
          <w:rFonts w:ascii="Arial" w:eastAsia="Times New Roman" w:hAnsi="Arial" w:cs="Arial"/>
          <w:lang w:val="es-ES"/>
        </w:rPr>
        <w:t>Como observación general, también se mencionó que, siendo que el FMAM es el mecanismo financiero del CDB, su financiación relacionada con la diversidad biológica aumentó solo un 30 % aproximadamente entre el FMAM-4 y el FMAM-7. El FMAM ha prestado apoyo a unos 1.300 proyectos en más de 155 países mediante inversiones de más de 3.500 millones de dólares y más de 10.000 millones de dólares de cofinanciación.</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Como recomendación, el tercer informe del </w:t>
      </w:r>
      <w:r w:rsidR="00ED2E51">
        <w:rPr>
          <w:rFonts w:ascii="Arial" w:eastAsia="Times New Roman" w:hAnsi="Arial" w:cs="Arial"/>
          <w:lang w:val="es-ES"/>
        </w:rPr>
        <w:t>Grupo</w:t>
      </w:r>
      <w:r w:rsidRPr="00B151C6">
        <w:rPr>
          <w:rFonts w:ascii="Arial" w:eastAsia="Times New Roman" w:hAnsi="Arial" w:cs="Arial"/>
          <w:lang w:val="es-ES"/>
        </w:rPr>
        <w:t xml:space="preserve"> de Expertos sobre movilización de recursos para el nuevo marco mundial de la diversidad biológica posterior a 2020, menciona que, dado que el FMAM es el mecanismo financiero del CDB, debería: a) </w:t>
      </w:r>
      <w:r w:rsidR="001F6905">
        <w:rPr>
          <w:rFonts w:ascii="Arial" w:eastAsia="Times New Roman" w:hAnsi="Arial" w:cs="Arial"/>
          <w:lang w:val="es-ES"/>
        </w:rPr>
        <w:t xml:space="preserve">seguir </w:t>
      </w:r>
      <w:r w:rsidRPr="00B151C6">
        <w:rPr>
          <w:rFonts w:ascii="Arial" w:eastAsia="Times New Roman" w:hAnsi="Arial" w:cs="Arial"/>
          <w:lang w:val="es-ES"/>
        </w:rPr>
        <w:t>desempeña</w:t>
      </w:r>
      <w:r w:rsidR="001F6905">
        <w:rPr>
          <w:rFonts w:ascii="Arial" w:eastAsia="Times New Roman" w:hAnsi="Arial" w:cs="Arial"/>
          <w:lang w:val="es-ES"/>
        </w:rPr>
        <w:t>ndo</w:t>
      </w:r>
      <w:r w:rsidRPr="00B151C6">
        <w:rPr>
          <w:rFonts w:ascii="Arial" w:eastAsia="Times New Roman" w:hAnsi="Arial" w:cs="Arial"/>
          <w:lang w:val="es-ES"/>
        </w:rPr>
        <w:t xml:space="preserve"> una función clave </w:t>
      </w:r>
      <w:r w:rsidR="00ED2E51">
        <w:rPr>
          <w:rFonts w:ascii="Arial" w:eastAsia="Times New Roman" w:hAnsi="Arial" w:cs="Arial"/>
          <w:lang w:val="es-ES"/>
        </w:rPr>
        <w:t>en términos de</w:t>
      </w:r>
      <w:r w:rsidRPr="00B151C6">
        <w:rPr>
          <w:rFonts w:ascii="Arial" w:eastAsia="Times New Roman" w:hAnsi="Arial" w:cs="Arial"/>
          <w:lang w:val="es-ES"/>
        </w:rPr>
        <w:t xml:space="preserve"> movilización de recursos para la aplicación del Convenio, dado su papel en la integración de la diversidad biológica en los esfuerzos de desarrollo, y </w:t>
      </w:r>
      <w:r w:rsidR="00ED2E51">
        <w:rPr>
          <w:rFonts w:ascii="Arial" w:eastAsia="Times New Roman" w:hAnsi="Arial" w:cs="Arial"/>
          <w:lang w:val="es-ES"/>
        </w:rPr>
        <w:t xml:space="preserve">en términos </w:t>
      </w:r>
      <w:r w:rsidR="001F6905">
        <w:rPr>
          <w:rFonts w:ascii="Arial" w:eastAsia="Times New Roman" w:hAnsi="Arial" w:cs="Arial"/>
          <w:lang w:val="es-ES"/>
        </w:rPr>
        <w:t>de</w:t>
      </w:r>
      <w:r w:rsidRPr="00B151C6">
        <w:rPr>
          <w:rFonts w:ascii="Arial" w:eastAsia="Times New Roman" w:hAnsi="Arial" w:cs="Arial"/>
          <w:lang w:val="es-ES"/>
        </w:rPr>
        <w:t xml:space="preserve"> garantizar el uso eficaz de los recursos; b) reforzar el enfoque en los Protocolos; y c) fortalecer los vínculos con el Fondo Verde para el Clima (FVC) a fin de obtener financiación adicional para la diversidad biológica.</w:t>
      </w:r>
    </w:p>
    <w:p w:rsidR="00320FA1" w:rsidRPr="00B151C6" w:rsidRDefault="00320FA1">
      <w:pPr>
        <w:pStyle w:val="BodyText"/>
        <w:widowControl w:val="0"/>
        <w:numPr>
          <w:ilvl w:val="0"/>
          <w:numId w:val="11"/>
        </w:numPr>
        <w:autoSpaceDE w:val="0"/>
        <w:autoSpaceDN w:val="0"/>
        <w:ind w:left="0" w:firstLine="0"/>
        <w:jc w:val="left"/>
        <w:rPr>
          <w:rFonts w:ascii="Arial" w:eastAsia="Times New Roman" w:hAnsi="Arial" w:cs="Arial"/>
          <w:lang w:val="es-ES"/>
        </w:rPr>
      </w:pPr>
      <w:r w:rsidRPr="00B151C6">
        <w:rPr>
          <w:rFonts w:ascii="Arial" w:eastAsia="Times New Roman" w:hAnsi="Arial" w:cs="Arial"/>
          <w:lang w:val="es-ES"/>
        </w:rPr>
        <w:t xml:space="preserve">El proyecto de documento de orientaciones programáticas para el octavo período de reposición del FMAM ya incluye algunas de estas recomendaciones que resaltan sus tres objetivos, a saber, mejorar la conservación, la utilización sostenible y la restauración de los ecosistemas naturales, aplicar eficazmente los Protocolos de Cartagena y </w:t>
      </w:r>
      <w:r w:rsidR="001F6905">
        <w:rPr>
          <w:rFonts w:ascii="Arial" w:eastAsia="Times New Roman" w:hAnsi="Arial" w:cs="Arial"/>
          <w:lang w:val="es-ES"/>
        </w:rPr>
        <w:t xml:space="preserve">de </w:t>
      </w:r>
      <w:r w:rsidRPr="00B151C6">
        <w:rPr>
          <w:rFonts w:ascii="Arial" w:eastAsia="Times New Roman" w:hAnsi="Arial" w:cs="Arial"/>
          <w:lang w:val="es-ES"/>
        </w:rPr>
        <w:t>Nagoya y aumentar la movilización de recursos nacionales para la diversidad biológica.</w:t>
      </w:r>
    </w:p>
    <w:p w:rsidR="00320FA1" w:rsidRPr="00B151C6" w:rsidRDefault="00320FA1">
      <w:pPr>
        <w:jc w:val="center"/>
        <w:rPr>
          <w:rFonts w:eastAsia="Times New Roman"/>
          <w:lang w:val="es-ES"/>
        </w:rPr>
      </w:pPr>
      <w:r w:rsidRPr="00B151C6">
        <w:rPr>
          <w:rFonts w:eastAsia="Times New Roman"/>
          <w:lang w:val="es-ES"/>
        </w:rPr>
        <w:t>__________</w:t>
      </w:r>
    </w:p>
    <w:sectPr w:rsidR="00320FA1" w:rsidRPr="00B151C6" w:rsidSect="00752A97">
      <w:headerReference w:type="even" r:id="rId14"/>
      <w:headerReference w:type="default" r:id="rId15"/>
      <w:pgSz w:w="12240" w:h="15840" w:code="1"/>
      <w:pgMar w:top="360" w:right="1440" w:bottom="1138" w:left="1440" w:header="525"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168" w:rsidRDefault="00467168">
      <w:pPr>
        <w:rPr>
          <w:rFonts w:eastAsia="Times New Roman"/>
        </w:rPr>
      </w:pPr>
      <w:r>
        <w:rPr>
          <w:rFonts w:eastAsia="Times New Roman"/>
        </w:rPr>
        <w:separator/>
      </w:r>
    </w:p>
  </w:endnote>
  <w:endnote w:type="continuationSeparator" w:id="1">
    <w:p w:rsidR="00467168" w:rsidRDefault="00467168">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168" w:rsidRDefault="00467168">
      <w:pPr>
        <w:rPr>
          <w:rFonts w:eastAsia="Times New Roman"/>
        </w:rPr>
      </w:pPr>
      <w:r>
        <w:rPr>
          <w:rFonts w:eastAsia="Times New Roman"/>
        </w:rPr>
        <w:separator/>
      </w:r>
    </w:p>
  </w:footnote>
  <w:footnote w:type="continuationSeparator" w:id="1">
    <w:p w:rsidR="00467168" w:rsidRDefault="00467168">
      <w:pPr>
        <w:rPr>
          <w:rFonts w:eastAsia="Times New Roman"/>
        </w:rPr>
      </w:pPr>
      <w:r>
        <w:rPr>
          <w:rFonts w:eastAsia="Times New Roman"/>
        </w:rPr>
        <w:continuationSeparator/>
      </w:r>
    </w:p>
  </w:footnote>
  <w:footnote w:id="2">
    <w:p w:rsidR="00056628" w:rsidRDefault="00056628" w:rsidP="00423F67">
      <w:pPr>
        <w:pStyle w:val="FootnoteText"/>
        <w:jc w:val="left"/>
        <w:rPr>
          <w:rFonts w:eastAsia="Times New Roman"/>
        </w:rPr>
      </w:pPr>
      <w:r>
        <w:rPr>
          <w:rStyle w:val="FootnoteReference"/>
          <w:rFonts w:eastAsia="Times New Roman"/>
        </w:rPr>
        <w:footnoteRef/>
      </w:r>
      <w:r>
        <w:rPr>
          <w:rFonts w:eastAsia="Times New Roman"/>
        </w:rPr>
        <w:t xml:space="preserve"> </w:t>
      </w:r>
      <w:r>
        <w:rPr>
          <w:rFonts w:eastAsia="Times New Roman"/>
          <w:lang w:val="es-ES"/>
        </w:rPr>
        <w:t>Ravi Sharma, Stephanie Mansourian, Yasha Feferholtz.</w:t>
      </w:r>
    </w:p>
  </w:footnote>
  <w:footnote w:id="3">
    <w:p w:rsidR="00056628" w:rsidRDefault="00056628" w:rsidP="00423F67">
      <w:pPr>
        <w:pStyle w:val="FootnoteText"/>
        <w:ind w:left="142"/>
        <w:jc w:val="left"/>
        <w:rPr>
          <w:rFonts w:eastAsia="Times New Roman"/>
        </w:rPr>
      </w:pPr>
      <w:r>
        <w:rPr>
          <w:rStyle w:val="FootnoteReference"/>
          <w:rFonts w:eastAsia="Times New Roman"/>
        </w:rPr>
        <w:footnoteRef/>
      </w:r>
      <w:r>
        <w:rPr>
          <w:rFonts w:eastAsia="Times New Roman"/>
        </w:rPr>
        <w:t xml:space="preserve"> </w:t>
      </w:r>
      <w:r w:rsidR="00423F67">
        <w:rPr>
          <w:rFonts w:eastAsia="Times New Roman"/>
          <w:lang w:val="es-ES"/>
        </w:rPr>
        <w:t xml:space="preserve">El Equipo de Expertos </w:t>
      </w:r>
      <w:r>
        <w:rPr>
          <w:rFonts w:eastAsia="Times New Roman"/>
          <w:lang w:val="es-ES"/>
        </w:rPr>
        <w:t>se basó en la lista de 143 países del informe de evaluación de necesidades del FMAM-7, a la que se agregó la República Popular Democrática de Corea, que presentó el cuestionario, y Somalia.</w:t>
      </w:r>
    </w:p>
  </w:footnote>
  <w:footnote w:id="4">
    <w:p w:rsidR="00056628" w:rsidRDefault="00056628" w:rsidP="00423F67">
      <w:pPr>
        <w:pStyle w:val="FootnoteText"/>
        <w:ind w:left="142"/>
        <w:jc w:val="left"/>
        <w:rPr>
          <w:rFonts w:eastAsia="Times New Roman"/>
        </w:rPr>
      </w:pPr>
      <w:r>
        <w:rPr>
          <w:rStyle w:val="FootnoteReference"/>
          <w:rFonts w:eastAsia="Times New Roman"/>
        </w:rPr>
        <w:footnoteRef/>
      </w:r>
      <w:r>
        <w:rPr>
          <w:rFonts w:eastAsia="Times New Roman"/>
        </w:rPr>
        <w:t xml:space="preserve"> </w:t>
      </w:r>
      <w:r>
        <w:rPr>
          <w:rFonts w:eastAsia="Times New Roman"/>
          <w:lang w:val="es-ES"/>
        </w:rPr>
        <w:t>El monto total se calculó sumando las necesidades de fondos del FMAM, la cofinanciación prevista de los Gobiernos y la cofinanciación prevista de otras fuentes.</w:t>
      </w:r>
      <w:r>
        <w:rPr>
          <w:rFonts w:eastAsia="Times New Roman"/>
        </w:rPr>
        <w:t xml:space="preserve"> </w:t>
      </w:r>
      <w:r>
        <w:rPr>
          <w:rFonts w:eastAsia="Times New Roman"/>
          <w:lang w:val="es-ES"/>
        </w:rPr>
        <w:t>No coincide necesariamente con las necesidades totales de fondos indicadas en la columna correspondiente del cuestionario debido a alguna discrepancia en muchos cuestionarios.</w:t>
      </w:r>
    </w:p>
  </w:footnote>
  <w:footnote w:id="5">
    <w:p w:rsidR="00056628" w:rsidRDefault="00056628" w:rsidP="00423F67">
      <w:pPr>
        <w:tabs>
          <w:tab w:val="left" w:pos="0"/>
        </w:tabs>
        <w:spacing w:before="59"/>
        <w:ind w:right="1420" w:firstLine="720"/>
        <w:jc w:val="left"/>
        <w:rPr>
          <w:rFonts w:eastAsia="Times New Roman"/>
        </w:rPr>
      </w:pPr>
      <w:r>
        <w:rPr>
          <w:rStyle w:val="FootnoteReference"/>
          <w:rFonts w:eastAsia="Times New Roman"/>
        </w:rPr>
        <w:footnoteRef/>
      </w:r>
      <w:r>
        <w:rPr>
          <w:rFonts w:eastAsia="Times New Roman"/>
        </w:rPr>
        <w:t xml:space="preserve"> </w:t>
      </w:r>
      <w:r>
        <w:rPr>
          <w:rFonts w:eastAsia="Times New Roman"/>
          <w:spacing w:val="-4"/>
          <w:sz w:val="18"/>
          <w:szCs w:val="18"/>
          <w:lang w:val="es-ES"/>
        </w:rPr>
        <w:t>Informe preliminar del Fondo para el Medio Ambiente Mundial, junio de 2020, CBD/SBI/3/6/Add.1.</w:t>
      </w:r>
    </w:p>
  </w:footnote>
  <w:footnote w:id="6">
    <w:p w:rsidR="00056628" w:rsidRDefault="00056628" w:rsidP="00423F67">
      <w:pPr>
        <w:pStyle w:val="FootnoteText"/>
        <w:jc w:val="left"/>
        <w:rPr>
          <w:rFonts w:eastAsia="Times New Roman"/>
        </w:rPr>
      </w:pPr>
      <w:r>
        <w:rPr>
          <w:rStyle w:val="FootnoteReference"/>
          <w:rFonts w:eastAsia="Times New Roman"/>
        </w:rPr>
        <w:footnoteRef/>
      </w:r>
      <w:r>
        <w:rPr>
          <w:rFonts w:eastAsia="Times New Roman"/>
        </w:rPr>
        <w:t xml:space="preserve"> </w:t>
      </w:r>
      <w:r>
        <w:rPr>
          <w:rFonts w:eastAsia="Times New Roman"/>
          <w:lang w:val="es-ES"/>
        </w:rPr>
        <w:t>Informe Final de la Séptima Evaluación General Del FMAM (OPS7), noviembre de 2021.</w:t>
      </w:r>
    </w:p>
  </w:footnote>
  <w:footnote w:id="7">
    <w:p w:rsidR="00056628" w:rsidRDefault="00056628" w:rsidP="00423F67">
      <w:pPr>
        <w:tabs>
          <w:tab w:val="left" w:pos="0"/>
          <w:tab w:val="left" w:pos="573"/>
        </w:tabs>
        <w:spacing w:before="61"/>
        <w:ind w:firstLine="720"/>
        <w:jc w:val="left"/>
        <w:rPr>
          <w:rFonts w:eastAsia="Times New Roman"/>
        </w:rPr>
      </w:pPr>
      <w:r>
        <w:rPr>
          <w:rStyle w:val="FootnoteReference"/>
          <w:rFonts w:eastAsia="Times New Roman"/>
        </w:rPr>
        <w:footnoteRef/>
      </w:r>
      <w:r>
        <w:rPr>
          <w:rFonts w:eastAsia="Times New Roman"/>
        </w:rPr>
        <w:t xml:space="preserve"> </w:t>
      </w:r>
      <w:r>
        <w:rPr>
          <w:rFonts w:eastAsia="Times New Roman"/>
          <w:sz w:val="18"/>
          <w:szCs w:val="18"/>
          <w:lang w:val="es-ES"/>
        </w:rPr>
        <w:t>https://www.thegef.org/newsroom/publications/gef-7-corporate-scorecard-december-2021</w:t>
      </w:r>
    </w:p>
  </w:footnote>
  <w:footnote w:id="8">
    <w:p w:rsidR="00056628" w:rsidRPr="00233517" w:rsidRDefault="00056628" w:rsidP="00423F67">
      <w:pPr>
        <w:tabs>
          <w:tab w:val="left" w:pos="0"/>
          <w:tab w:val="left" w:pos="573"/>
        </w:tabs>
        <w:spacing w:before="60"/>
        <w:ind w:firstLine="720"/>
        <w:jc w:val="left"/>
        <w:rPr>
          <w:rFonts w:eastAsia="Times New Roman"/>
        </w:rPr>
      </w:pPr>
      <w:r w:rsidRPr="00233517">
        <w:rPr>
          <w:rStyle w:val="FootnoteReference"/>
          <w:rFonts w:eastAsia="Times New Roman"/>
        </w:rPr>
        <w:footnoteRef/>
      </w:r>
      <w:r w:rsidRPr="00233517">
        <w:rPr>
          <w:rFonts w:eastAsia="Times New Roman"/>
        </w:rPr>
        <w:t xml:space="preserve"> </w:t>
      </w:r>
      <w:r w:rsidRPr="00233517">
        <w:rPr>
          <w:rFonts w:eastAsia="Times New Roman"/>
          <w:sz w:val="18"/>
          <w:szCs w:val="18"/>
          <w:lang w:val="es-ES"/>
        </w:rPr>
        <w:t>http://www.thegef.org/sites/default/files/documents/Results_Guidelines.pdf</w:t>
      </w:r>
    </w:p>
  </w:footnote>
  <w:footnote w:id="9">
    <w:p w:rsidR="00056628" w:rsidRDefault="00056628" w:rsidP="00423F67">
      <w:pPr>
        <w:tabs>
          <w:tab w:val="left" w:pos="573"/>
        </w:tabs>
        <w:spacing w:before="109"/>
        <w:ind w:firstLine="720"/>
        <w:jc w:val="left"/>
        <w:rPr>
          <w:rFonts w:eastAsia="Times New Roman"/>
        </w:rPr>
      </w:pPr>
      <w:r>
        <w:rPr>
          <w:rStyle w:val="FootnoteReference"/>
          <w:rFonts w:eastAsia="Times New Roman"/>
        </w:rPr>
        <w:footnoteRef/>
      </w:r>
      <w:r>
        <w:rPr>
          <w:rFonts w:eastAsia="Times New Roman"/>
        </w:rPr>
        <w:t xml:space="preserve"> </w:t>
      </w:r>
      <w:r>
        <w:rPr>
          <w:rFonts w:eastAsia="Times New Roman"/>
          <w:sz w:val="18"/>
          <w:szCs w:val="18"/>
          <w:lang w:val="es-ES"/>
        </w:rPr>
        <w:t>CBD/SBI/3/6/Add.2</w:t>
      </w:r>
    </w:p>
  </w:footnote>
  <w:footnote w:id="10">
    <w:p w:rsidR="00056628" w:rsidRDefault="00056628" w:rsidP="00423F67">
      <w:pPr>
        <w:adjustRightInd w:val="0"/>
        <w:spacing w:after="60"/>
        <w:ind w:firstLine="720"/>
        <w:jc w:val="left"/>
        <w:rPr>
          <w:rFonts w:eastAsia="Times New Roman"/>
        </w:rPr>
      </w:pPr>
      <w:r>
        <w:rPr>
          <w:rStyle w:val="FootnoteReference"/>
          <w:rFonts w:eastAsia="Times New Roman"/>
        </w:rPr>
        <w:footnoteRef/>
      </w:r>
      <w:r>
        <w:rPr>
          <w:rFonts w:eastAsia="Times New Roman"/>
        </w:rPr>
        <w:t xml:space="preserve"> </w:t>
      </w:r>
      <w:r>
        <w:rPr>
          <w:rFonts w:eastAsia="Times New Roman"/>
          <w:sz w:val="18"/>
          <w:szCs w:val="18"/>
          <w:lang w:val="es-ES"/>
        </w:rPr>
        <w:t>Cuadro 3</w:t>
      </w:r>
      <w:r>
        <w:rPr>
          <w:rFonts w:eastAsia="Times New Roman"/>
          <w:spacing w:val="-3"/>
          <w:sz w:val="18"/>
          <w:szCs w:val="18"/>
          <w:lang w:val="es-ES"/>
        </w:rPr>
        <w:t xml:space="preserve"> </w:t>
      </w:r>
      <w:r>
        <w:rPr>
          <w:rFonts w:eastAsia="Times New Roman"/>
          <w:sz w:val="18"/>
          <w:szCs w:val="18"/>
          <w:lang w:val="es-ES"/>
        </w:rPr>
        <w:t>en</w:t>
      </w:r>
      <w:r>
        <w:rPr>
          <w:rFonts w:eastAsia="Times New Roman"/>
          <w:spacing w:val="-2"/>
          <w:sz w:val="18"/>
          <w:szCs w:val="18"/>
          <w:lang w:val="es-ES"/>
        </w:rPr>
        <w:t xml:space="preserve"> </w:t>
      </w:r>
      <w:r>
        <w:rPr>
          <w:rFonts w:eastAsia="Times New Roman"/>
          <w:sz w:val="18"/>
          <w:szCs w:val="18"/>
          <w:lang w:val="es-ES"/>
        </w:rPr>
        <w:t>el</w:t>
      </w:r>
      <w:r>
        <w:rPr>
          <w:rFonts w:eastAsia="Times New Roman"/>
          <w:spacing w:val="-2"/>
          <w:sz w:val="18"/>
          <w:szCs w:val="18"/>
          <w:lang w:val="es-ES"/>
        </w:rPr>
        <w:t xml:space="preserve"> </w:t>
      </w:r>
      <w:r>
        <w:rPr>
          <w:rFonts w:eastAsia="Times New Roman"/>
          <w:sz w:val="18"/>
          <w:szCs w:val="18"/>
          <w:lang w:val="es-ES"/>
        </w:rPr>
        <w:t>documento de</w:t>
      </w:r>
      <w:r>
        <w:rPr>
          <w:rFonts w:eastAsia="Times New Roman"/>
          <w:spacing w:val="-3"/>
          <w:sz w:val="18"/>
          <w:szCs w:val="18"/>
          <w:lang w:val="es-ES"/>
        </w:rPr>
        <w:t xml:space="preserve"> </w:t>
      </w:r>
      <w:r>
        <w:rPr>
          <w:rFonts w:eastAsia="Times New Roman"/>
          <w:sz w:val="18"/>
          <w:szCs w:val="18"/>
          <w:lang w:val="es-ES"/>
        </w:rPr>
        <w:t>información CBD/SBI/3/INF/24:</w:t>
      </w:r>
      <w:r>
        <w:rPr>
          <w:rFonts w:eastAsia="Times New Roman"/>
          <w:spacing w:val="-3"/>
          <w:sz w:val="18"/>
          <w:szCs w:val="18"/>
          <w:lang w:val="es-ES"/>
        </w:rPr>
        <w:t xml:space="preserve"> </w:t>
      </w:r>
      <w:r>
        <w:rPr>
          <w:rFonts w:eastAsia="Times New Roman"/>
          <w:sz w:val="18"/>
          <w:szCs w:val="18"/>
          <w:lang w:val="es-ES"/>
        </w:rPr>
        <w:t>SATR-7 del FMAM -</w:t>
      </w:r>
      <w:r>
        <w:rPr>
          <w:rFonts w:eastAsia="Times New Roman"/>
          <w:spacing w:val="-2"/>
          <w:sz w:val="18"/>
          <w:szCs w:val="18"/>
          <w:lang w:val="es-ES"/>
        </w:rPr>
        <w:t xml:space="preserve"> </w:t>
      </w:r>
      <w:r>
        <w:rPr>
          <w:rFonts w:eastAsia="Times New Roman"/>
          <w:sz w:val="18"/>
          <w:szCs w:val="18"/>
          <w:lang w:val="es-ES"/>
        </w:rPr>
        <w:t xml:space="preserve">Asignación de fondos para la diversidad biológica como porcentaje </w:t>
      </w:r>
      <w:r>
        <w:rPr>
          <w:rFonts w:eastAsia="Times New Roman"/>
          <w:spacing w:val="-3"/>
          <w:sz w:val="18"/>
          <w:szCs w:val="18"/>
          <w:lang w:val="es-ES"/>
        </w:rPr>
        <w:t>del cuestionario de evaluación de necesidades</w:t>
      </w:r>
      <w:r>
        <w:rPr>
          <w:rFonts w:eastAsia="Times New Roman"/>
          <w:sz w:val="18"/>
          <w:szCs w:val="18"/>
          <w:lang w:val="es-ES"/>
        </w:rPr>
        <w:t xml:space="preserve"> (2016)</w:t>
      </w:r>
    </w:p>
  </w:footnote>
  <w:footnote w:id="11">
    <w:p w:rsidR="00056628" w:rsidRDefault="00056628" w:rsidP="00423F67">
      <w:pPr>
        <w:ind w:firstLine="720"/>
        <w:jc w:val="left"/>
        <w:rPr>
          <w:rFonts w:eastAsia="Times New Roman"/>
        </w:rPr>
      </w:pPr>
      <w:r>
        <w:rPr>
          <w:rStyle w:val="FootnoteReference"/>
          <w:rFonts w:eastAsia="Times New Roman"/>
        </w:rPr>
        <w:footnoteRef/>
      </w:r>
      <w:r>
        <w:rPr>
          <w:rFonts w:eastAsia="Times New Roman"/>
        </w:rPr>
        <w:t xml:space="preserve"> </w:t>
      </w:r>
      <w:hyperlink r:id="rId1">
        <w:r>
          <w:rPr>
            <w:rFonts w:eastAsia="Times New Roman"/>
            <w:color w:val="0000FF"/>
            <w:sz w:val="18"/>
            <w:szCs w:val="18"/>
            <w:u w:val="single" w:color="0000FF"/>
            <w:lang w:val="es-ES"/>
          </w:rPr>
          <w:t>https://www.biodiversityfinance.net/colombia</w:t>
        </w:r>
      </w:hyperlink>
    </w:p>
  </w:footnote>
  <w:footnote w:id="12">
    <w:p w:rsidR="00056628" w:rsidRDefault="00056628" w:rsidP="00423F67">
      <w:pPr>
        <w:pStyle w:val="FootnoteText"/>
        <w:jc w:val="left"/>
        <w:rPr>
          <w:rFonts w:eastAsia="Times New Roman"/>
        </w:rPr>
      </w:pPr>
      <w:r>
        <w:rPr>
          <w:rStyle w:val="FootnoteReference"/>
          <w:rFonts w:eastAsia="Times New Roman"/>
        </w:rPr>
        <w:footnoteRef/>
      </w:r>
      <w:r>
        <w:rPr>
          <w:rFonts w:eastAsia="Times New Roman"/>
        </w:rPr>
        <w:t xml:space="preserve"> </w:t>
      </w:r>
      <w:r>
        <w:rPr>
          <w:rFonts w:eastAsia="Times New Roman"/>
          <w:lang w:val="es-ES"/>
        </w:rPr>
        <w:t>https://www.wwf.de/fileadmin/fm-wwf/Publikationen-PDF/WWF-Barometer-CBD-SRM.pdf</w:t>
      </w:r>
    </w:p>
  </w:footnote>
  <w:footnote w:id="13">
    <w:p w:rsidR="00056628" w:rsidRPr="00B55ACE" w:rsidRDefault="00056628" w:rsidP="00423F67">
      <w:pPr>
        <w:spacing w:before="109"/>
        <w:ind w:firstLine="720"/>
        <w:jc w:val="left"/>
        <w:rPr>
          <w:rFonts w:eastAsia="Times New Roman"/>
        </w:rPr>
      </w:pPr>
      <w:r>
        <w:rPr>
          <w:rStyle w:val="FootnoteReference"/>
          <w:rFonts w:eastAsia="Times New Roman"/>
        </w:rPr>
        <w:footnoteRef/>
      </w:r>
      <w:r>
        <w:rPr>
          <w:rFonts w:eastAsia="Times New Roman"/>
        </w:rPr>
        <w:t xml:space="preserve"> </w:t>
      </w:r>
      <w:r w:rsidRPr="00B55ACE">
        <w:rPr>
          <w:rFonts w:eastAsia="Times New Roman"/>
          <w:sz w:val="18"/>
          <w:szCs w:val="18"/>
          <w:lang w:val="es-ES"/>
        </w:rPr>
        <w:t>https://www.cbd.int/financial/gef8needs.shtml</w:t>
      </w:r>
    </w:p>
  </w:footnote>
  <w:footnote w:id="14">
    <w:p w:rsidR="00056628" w:rsidRDefault="00056628" w:rsidP="00423F67">
      <w:pPr>
        <w:pStyle w:val="FootnoteText"/>
        <w:jc w:val="left"/>
        <w:rPr>
          <w:rFonts w:eastAsia="Times New Roman"/>
        </w:rPr>
      </w:pPr>
      <w:r>
        <w:rPr>
          <w:rStyle w:val="FootnoteReference"/>
          <w:rFonts w:eastAsia="Times New Roman"/>
        </w:rPr>
        <w:footnoteRef/>
      </w:r>
      <w:r>
        <w:rPr>
          <w:rFonts w:eastAsia="Times New Roman"/>
        </w:rPr>
        <w:t xml:space="preserve"> </w:t>
      </w:r>
      <w:r>
        <w:rPr>
          <w:rFonts w:eastAsia="Times New Roman"/>
          <w:lang w:val="es-ES"/>
        </w:rPr>
        <w:t>El monto total se calculó sumando las necesidades de financiación del FMAM, la cofinanciación prevista de los Gobiernos y la cofinanciación prevista de otras fuentes.</w:t>
      </w:r>
      <w:r>
        <w:rPr>
          <w:rFonts w:eastAsia="Times New Roman"/>
        </w:rPr>
        <w:t xml:space="preserve"> </w:t>
      </w:r>
      <w:r>
        <w:rPr>
          <w:rFonts w:eastAsia="Times New Roman"/>
          <w:lang w:val="es-ES"/>
        </w:rPr>
        <w:t xml:space="preserve">No coincide necesariamente con las necesidades totales de financiación indicadas en la columna correspondiente del cuestionario </w:t>
      </w:r>
      <w:r w:rsidR="004D1B33">
        <w:rPr>
          <w:rFonts w:eastAsia="Times New Roman"/>
          <w:lang w:val="es-ES"/>
        </w:rPr>
        <w:t>debid</w:t>
      </w:r>
      <w:r>
        <w:rPr>
          <w:rFonts w:eastAsia="Times New Roman"/>
          <w:lang w:val="es-ES"/>
        </w:rPr>
        <w:t xml:space="preserve">o </w:t>
      </w:r>
      <w:r w:rsidR="004D1B33">
        <w:rPr>
          <w:rFonts w:eastAsia="Times New Roman"/>
          <w:lang w:val="es-ES"/>
        </w:rPr>
        <w:t xml:space="preserve">a </w:t>
      </w:r>
      <w:r>
        <w:rPr>
          <w:rFonts w:eastAsia="Times New Roman"/>
          <w:lang w:val="es-ES"/>
        </w:rPr>
        <w:t>una discrepancia en muchos cuestionarios.</w:t>
      </w:r>
    </w:p>
  </w:footnote>
  <w:footnote w:id="15">
    <w:p w:rsidR="00056628" w:rsidRDefault="00056628" w:rsidP="00423F67">
      <w:pPr>
        <w:pStyle w:val="FootnoteText"/>
        <w:jc w:val="left"/>
        <w:rPr>
          <w:rFonts w:eastAsia="Times New Roman"/>
        </w:rPr>
      </w:pPr>
      <w:r>
        <w:rPr>
          <w:rStyle w:val="FootnoteReference"/>
          <w:rFonts w:eastAsia="Times New Roman"/>
        </w:rPr>
        <w:footnoteRef/>
      </w:r>
      <w:r>
        <w:rPr>
          <w:rFonts w:eastAsia="Times New Roman"/>
        </w:rPr>
        <w:t xml:space="preserve"> </w:t>
      </w:r>
      <w:hyperlink r:id="rId2" w:history="1">
        <w:r>
          <w:rPr>
            <w:rStyle w:val="Hyperlink"/>
            <w:rFonts w:eastAsia="Times New Roman"/>
            <w:lang w:val="es-ES"/>
          </w:rPr>
          <w:t>https://www.cbd.int/doc/c/41b4/1505/d0b205e153652d16848195f5/wg2020-03-06-es.pdf</w:t>
        </w:r>
      </w:hyperlink>
      <w:r>
        <w:rPr>
          <w:rFonts w:eastAsia="Times New Roman"/>
          <w:lang w:val="es-ES"/>
        </w:rPr>
        <w:t xml:space="preserve"> </w:t>
      </w:r>
    </w:p>
  </w:footnote>
  <w:footnote w:id="16">
    <w:p w:rsidR="00056628" w:rsidRDefault="00056628" w:rsidP="00423F67">
      <w:pPr>
        <w:pStyle w:val="FootnoteText"/>
        <w:jc w:val="left"/>
        <w:rPr>
          <w:rFonts w:eastAsia="Times New Roman"/>
        </w:rPr>
      </w:pPr>
      <w:r>
        <w:rPr>
          <w:rStyle w:val="FootnoteReference"/>
          <w:rFonts w:eastAsia="Times New Roman"/>
          <w:sz w:val="16"/>
          <w:szCs w:val="16"/>
        </w:rPr>
        <w:footnoteRef/>
      </w:r>
      <w:r>
        <w:rPr>
          <w:rFonts w:eastAsia="Times New Roman"/>
          <w:sz w:val="16"/>
          <w:szCs w:val="16"/>
        </w:rPr>
        <w:t xml:space="preserve"> </w:t>
      </w:r>
      <w:r>
        <w:rPr>
          <w:rFonts w:eastAsia="Times New Roman"/>
          <w:lang w:val="es-ES"/>
        </w:rPr>
        <w:t>CBD/SBI/3/6/Add.1</w:t>
      </w:r>
    </w:p>
  </w:footnote>
  <w:footnote w:id="17">
    <w:p w:rsidR="00056628" w:rsidRDefault="00056628" w:rsidP="00423F67">
      <w:pPr>
        <w:pStyle w:val="FootnoteText"/>
        <w:jc w:val="left"/>
        <w:rPr>
          <w:rFonts w:eastAsia="Times New Roman"/>
        </w:rPr>
      </w:pPr>
      <w:r>
        <w:rPr>
          <w:rStyle w:val="FootnoteReference"/>
          <w:rFonts w:eastAsia="Times New Roman"/>
          <w:sz w:val="16"/>
          <w:szCs w:val="16"/>
        </w:rPr>
        <w:footnoteRef/>
      </w:r>
      <w:r>
        <w:rPr>
          <w:rFonts w:eastAsia="Times New Roman"/>
          <w:sz w:val="16"/>
          <w:szCs w:val="16"/>
        </w:rPr>
        <w:t xml:space="preserve"> </w:t>
      </w:r>
      <w:r>
        <w:rPr>
          <w:rFonts w:eastAsia="Times New Roman"/>
          <w:lang w:val="es-ES"/>
        </w:rPr>
        <w:t>En el material complementario se brindan los resultados y detalles de esta estimación.</w:t>
      </w:r>
    </w:p>
  </w:footnote>
  <w:footnote w:id="18">
    <w:p w:rsidR="00056628" w:rsidRDefault="00056628" w:rsidP="00423F67">
      <w:pPr>
        <w:pStyle w:val="FootnoteText"/>
        <w:jc w:val="left"/>
        <w:rPr>
          <w:rFonts w:eastAsia="Times New Roman"/>
        </w:rPr>
      </w:pPr>
      <w:r>
        <w:rPr>
          <w:rStyle w:val="FootnoteReference"/>
          <w:rFonts w:eastAsia="Times New Roman"/>
        </w:rPr>
        <w:footnoteRef/>
      </w:r>
      <w:r>
        <w:rPr>
          <w:rFonts w:eastAsia="Times New Roman"/>
        </w:rPr>
        <w:t xml:space="preserve"> </w:t>
      </w:r>
      <w:r>
        <w:rPr>
          <w:rFonts w:eastAsia="Times New Roman"/>
          <w:lang w:val="es-ES"/>
        </w:rPr>
        <w:t>Cuadro 1 del informe de evolución de necesidades del FMAM-6 (https://www.cbd.int/doc/meetings/cop/cop-11/information/cop-11-inf-35-en.pdf).</w:t>
      </w:r>
    </w:p>
  </w:footnote>
  <w:footnote w:id="19">
    <w:p w:rsidR="00056628" w:rsidRDefault="00056628" w:rsidP="00423F67">
      <w:pPr>
        <w:pStyle w:val="FootnoteText"/>
        <w:jc w:val="left"/>
        <w:rPr>
          <w:rFonts w:eastAsia="Times New Roman"/>
        </w:rPr>
      </w:pPr>
      <w:r>
        <w:rPr>
          <w:rStyle w:val="FootnoteReference"/>
          <w:rFonts w:eastAsia="Times New Roman"/>
        </w:rPr>
        <w:footnoteRef/>
      </w:r>
      <w:r>
        <w:rPr>
          <w:rFonts w:eastAsia="Times New Roman"/>
        </w:rPr>
        <w:t xml:space="preserve"> </w:t>
      </w:r>
      <w:r>
        <w:rPr>
          <w:rFonts w:eastAsia="Times New Roman"/>
          <w:lang w:val="es-ES"/>
        </w:rPr>
        <w:t>Cuadro 12 del informe de evaluación de necesidades del FMAM-7 (https://www.cbd.int/doc/meetings/cop/cop-13/information/cop-13-inf-16-en.pdf).</w:t>
      </w:r>
    </w:p>
  </w:footnote>
  <w:footnote w:id="20">
    <w:p w:rsidR="00056628" w:rsidRDefault="00056628" w:rsidP="00423F67">
      <w:pPr>
        <w:pStyle w:val="FootnoteText"/>
        <w:jc w:val="left"/>
        <w:rPr>
          <w:rFonts w:eastAsia="Times New Roman"/>
        </w:rPr>
      </w:pPr>
      <w:r>
        <w:rPr>
          <w:rStyle w:val="FootnoteReference"/>
          <w:rFonts w:eastAsia="Times New Roman"/>
        </w:rPr>
        <w:footnoteRef/>
      </w:r>
      <w:r>
        <w:rPr>
          <w:rFonts w:eastAsia="Times New Roman"/>
        </w:rPr>
        <w:t xml:space="preserve"> </w:t>
      </w:r>
      <w:r>
        <w:rPr>
          <w:rFonts w:eastAsia="Times New Roman"/>
          <w:lang w:val="es-ES"/>
        </w:rPr>
        <w:t>Informe Final de la Séptima Evaluación General del FMAM (OPS7), noviembre de 2021, figura 3.1g.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28" w:rsidRPr="00233517" w:rsidRDefault="00056628">
    <w:pPr>
      <w:pStyle w:val="Header"/>
      <w:rPr>
        <w:rFonts w:eastAsia="Times New Roman"/>
        <w:lang w:val="es-ES"/>
      </w:rPr>
    </w:pPr>
    <w:r w:rsidRPr="00233517">
      <w:rPr>
        <w:rFonts w:eastAsia="Times New Roman"/>
        <w:lang w:val="es-ES"/>
      </w:rPr>
      <w:t>CBD/SBI/3/6/Add.2/Rev.1</w:t>
    </w:r>
  </w:p>
  <w:p w:rsidR="00056628" w:rsidRPr="00233517" w:rsidRDefault="00056628">
    <w:pPr>
      <w:pStyle w:val="Header"/>
      <w:rPr>
        <w:rFonts w:eastAsia="Times New Roman"/>
        <w:lang w:val="es-ES"/>
      </w:rPr>
    </w:pPr>
    <w:r w:rsidRPr="00233517">
      <w:rPr>
        <w:rFonts w:eastAsia="Times New Roman"/>
        <w:lang w:val="es-ES"/>
      </w:rPr>
      <w:t xml:space="preserve">Página </w:t>
    </w:r>
    <w:r w:rsidRPr="00233517">
      <w:rPr>
        <w:rFonts w:eastAsia="Times New Roman"/>
        <w:lang w:val="es-ES"/>
      </w:rPr>
      <w:fldChar w:fldCharType="begin"/>
    </w:r>
    <w:r w:rsidRPr="00233517">
      <w:rPr>
        <w:rFonts w:eastAsia="Times New Roman"/>
        <w:lang w:val="es-ES"/>
      </w:rPr>
      <w:instrText xml:space="preserve"> PAGE   \* MERGEFORMAT </w:instrText>
    </w:r>
    <w:r w:rsidRPr="00233517">
      <w:rPr>
        <w:rFonts w:eastAsia="Times New Roman"/>
        <w:lang w:val="es-ES"/>
      </w:rPr>
      <w:fldChar w:fldCharType="separate"/>
    </w:r>
    <w:r w:rsidR="001165DE">
      <w:rPr>
        <w:rFonts w:eastAsia="Times New Roman"/>
        <w:noProof/>
        <w:lang w:val="es-ES"/>
      </w:rPr>
      <w:t>16</w:t>
    </w:r>
    <w:r w:rsidRPr="00233517">
      <w:rPr>
        <w:rFonts w:eastAsia="Times New Roman"/>
        <w:lang w:val="es-ES"/>
      </w:rPr>
      <w:fldChar w:fldCharType="end"/>
    </w:r>
  </w:p>
  <w:p w:rsidR="00056628" w:rsidRPr="00233517" w:rsidRDefault="00056628">
    <w:pPr>
      <w:pStyle w:val="Header"/>
      <w:rPr>
        <w:rFonts w:eastAsia="Times New Roman"/>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628" w:rsidRPr="00233517" w:rsidRDefault="00056628">
    <w:pPr>
      <w:pStyle w:val="Header"/>
      <w:jc w:val="right"/>
      <w:rPr>
        <w:rFonts w:eastAsia="Times New Roman"/>
        <w:lang w:val="es-ES"/>
      </w:rPr>
    </w:pPr>
    <w:r w:rsidRPr="00233517">
      <w:rPr>
        <w:rFonts w:eastAsia="Times New Roman"/>
        <w:lang w:val="es-ES"/>
      </w:rPr>
      <w:t>CBD/SBI/3/6/Add.2/Rev.1</w:t>
    </w:r>
  </w:p>
  <w:p w:rsidR="00056628" w:rsidRPr="00233517" w:rsidRDefault="00056628">
    <w:pPr>
      <w:pStyle w:val="Header"/>
      <w:jc w:val="right"/>
      <w:rPr>
        <w:rFonts w:eastAsia="Times New Roman"/>
        <w:lang w:val="es-ES"/>
      </w:rPr>
    </w:pPr>
    <w:r w:rsidRPr="00233517">
      <w:rPr>
        <w:rFonts w:eastAsia="Times New Roman"/>
        <w:lang w:val="es-ES"/>
      </w:rPr>
      <w:t xml:space="preserve">Página </w:t>
    </w:r>
    <w:r w:rsidRPr="00233517">
      <w:rPr>
        <w:rFonts w:eastAsia="Times New Roman"/>
        <w:lang w:val="es-ES"/>
      </w:rPr>
      <w:fldChar w:fldCharType="begin"/>
    </w:r>
    <w:r w:rsidRPr="00233517">
      <w:rPr>
        <w:rFonts w:eastAsia="Times New Roman"/>
        <w:lang w:val="es-ES"/>
      </w:rPr>
      <w:instrText xml:space="preserve"> PAGE   \* MERGEFORMAT </w:instrText>
    </w:r>
    <w:r w:rsidRPr="00233517">
      <w:rPr>
        <w:rFonts w:eastAsia="Times New Roman"/>
        <w:lang w:val="es-ES"/>
      </w:rPr>
      <w:fldChar w:fldCharType="separate"/>
    </w:r>
    <w:r w:rsidR="001165DE">
      <w:rPr>
        <w:rFonts w:eastAsia="Times New Roman"/>
        <w:noProof/>
        <w:lang w:val="es-ES"/>
      </w:rPr>
      <w:t>17</w:t>
    </w:r>
    <w:r w:rsidRPr="00233517">
      <w:rPr>
        <w:rFonts w:eastAsia="Times New Roman"/>
        <w:lang w:val="es-ES"/>
      </w:rPr>
      <w:fldChar w:fldCharType="end"/>
    </w:r>
  </w:p>
  <w:p w:rsidR="00056628" w:rsidRPr="00233517" w:rsidRDefault="00056628">
    <w:pPr>
      <w:pStyle w:val="Header"/>
      <w:rPr>
        <w:rFonts w:eastAsia="Times New Roman"/>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10AC"/>
    <w:multiLevelType w:val="hybridMultilevel"/>
    <w:tmpl w:val="9FCE1CFC"/>
    <w:lvl w:ilvl="0" w:tplc="3FB0B6D4">
      <w:start w:val="1"/>
      <w:numFmt w:val="decimal"/>
      <w:lvlText w:val="%1."/>
      <w:lvlJc w:val="left"/>
      <w:pPr>
        <w:ind w:left="720" w:hanging="360"/>
      </w:pPr>
      <w:rPr>
        <w:rFonts w:hint="default"/>
        <w:strike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081B8C"/>
    <w:multiLevelType w:val="hybridMultilevel"/>
    <w:tmpl w:val="CA3E255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F0336B8"/>
    <w:multiLevelType w:val="multilevel"/>
    <w:tmpl w:val="99BA12E0"/>
    <w:lvl w:ilvl="0">
      <w:start w:val="1"/>
      <w:numFmt w:val="upperRoman"/>
      <w:lvlText w:val="%1."/>
      <w:lvlJc w:val="left"/>
      <w:pPr>
        <w:tabs>
          <w:tab w:val="num" w:pos="720"/>
        </w:tabs>
      </w:pPr>
      <w:rPr>
        <w:rFonts w:hint="default"/>
      </w:rPr>
    </w:lvl>
    <w:lvl w:ilvl="1">
      <w:start w:val="1"/>
      <w:numFmt w:val="upperLetter"/>
      <w:lvlText w:val="%2."/>
      <w:lvlJc w:val="left"/>
      <w:pPr>
        <w:tabs>
          <w:tab w:val="num" w:pos="360"/>
        </w:tabs>
      </w:pPr>
      <w:rPr>
        <w:rFonts w:hint="default"/>
      </w:rPr>
    </w:lvl>
    <w:lvl w:ilvl="2">
      <w:start w:val="1"/>
      <w:numFmt w:val="decimal"/>
      <w:lvlText w:val="%3."/>
      <w:lvlJc w:val="left"/>
      <w:pPr>
        <w:tabs>
          <w:tab w:val="num" w:pos="360"/>
        </w:tabs>
      </w:pPr>
      <w:rPr>
        <w:rFonts w:hint="default"/>
      </w:rPr>
    </w:lvl>
    <w:lvl w:ilvl="3">
      <w:start w:val="1"/>
      <w:numFmt w:val="decimal"/>
      <w:lvlText w:val="1.%4"/>
      <w:lvlJc w:val="left"/>
      <w:pPr>
        <w:tabs>
          <w:tab w:val="num" w:pos="360"/>
        </w:tabs>
      </w:pPr>
      <w:rPr>
        <w:rFonts w:hint="default"/>
      </w:rPr>
    </w:lvl>
    <w:lvl w:ilvl="4">
      <w:start w:val="1"/>
      <w:numFmt w:val="lowerRoman"/>
      <w:pStyle w:val="Heading5"/>
      <w:lvlText w:val="(%5)"/>
      <w:lvlJc w:val="left"/>
      <w:pPr>
        <w:tabs>
          <w:tab w:val="num" w:pos="720"/>
        </w:tabs>
      </w:pPr>
      <w:rPr>
        <w:rFonts w:hint="default"/>
      </w:rPr>
    </w:lvl>
    <w:lvl w:ilvl="5">
      <w:start w:val="1"/>
      <w:numFmt w:val="lowerLetter"/>
      <w:lvlText w:val="(%6)"/>
      <w:lvlJc w:val="left"/>
      <w:pPr>
        <w:tabs>
          <w:tab w:val="num" w:pos="1080"/>
        </w:tabs>
        <w:ind w:left="72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360"/>
        </w:tabs>
        <w:ind w:left="-720"/>
      </w:pPr>
      <w:rPr>
        <w:rFonts w:hint="default"/>
      </w:rPr>
    </w:lvl>
    <w:lvl w:ilvl="8">
      <w:start w:val="1"/>
      <w:numFmt w:val="lowerRoman"/>
      <w:lvlText w:val="(%9)"/>
      <w:lvlJc w:val="left"/>
      <w:pPr>
        <w:tabs>
          <w:tab w:val="num" w:pos="6120"/>
        </w:tabs>
        <w:ind w:left="5760"/>
      </w:pPr>
      <w:rPr>
        <w:rFonts w:hint="default"/>
      </w:rPr>
    </w:lvl>
  </w:abstractNum>
  <w:abstractNum w:abstractNumId="3">
    <w:nsid w:val="34E97B23"/>
    <w:multiLevelType w:val="hybridMultilevel"/>
    <w:tmpl w:val="18A23C62"/>
    <w:lvl w:ilvl="0" w:tplc="37EA7B7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3CF6748D"/>
    <w:multiLevelType w:val="hybridMultilevel"/>
    <w:tmpl w:val="1B90DAB4"/>
    <w:lvl w:ilvl="0" w:tplc="0306347E">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48E4287B"/>
    <w:multiLevelType w:val="multilevel"/>
    <w:tmpl w:val="2E6A1D38"/>
    <w:lvl w:ilvl="0">
      <w:start w:val="1"/>
      <w:numFmt w:val="decimal"/>
      <w:lvlText w:val="%1."/>
      <w:lvlJc w:val="left"/>
      <w:pPr>
        <w:tabs>
          <w:tab w:val="num" w:pos="360"/>
        </w:tabs>
      </w:pPr>
    </w:lvl>
    <w:lvl w:ilvl="1">
      <w:start w:val="1"/>
      <w:numFmt w:val="lowerLetter"/>
      <w:lvlText w:val="(%2)"/>
      <w:lvlJc w:val="left"/>
      <w:pPr>
        <w:tabs>
          <w:tab w:val="num" w:pos="1440"/>
        </w:tabs>
        <w:ind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hint="default"/>
        <w:b w:val="0"/>
        <w:bCs w:val="0"/>
        <w:i w:val="0"/>
        <w:iCs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60A32032"/>
    <w:multiLevelType w:val="hybridMultilevel"/>
    <w:tmpl w:val="F072F3D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4EE46A3"/>
    <w:multiLevelType w:val="hybridMultilevel"/>
    <w:tmpl w:val="B834303A"/>
    <w:lvl w:ilvl="0" w:tplc="5652EF34">
      <w:start w:val="1"/>
      <w:numFmt w:val="decimal"/>
      <w:lvlText w:val="%1."/>
      <w:lvlJc w:val="left"/>
      <w:pPr>
        <w:ind w:left="1070" w:hanging="360"/>
      </w:pPr>
      <w:rPr>
        <w:b w:val="0"/>
        <w:bCs w:val="0"/>
        <w:i w:val="0"/>
        <w:iCs w:val="0"/>
        <w:sz w:val="22"/>
        <w:szCs w:val="22"/>
      </w:rPr>
    </w:lvl>
    <w:lvl w:ilvl="1" w:tplc="4BFC5A3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0">
    <w:nsid w:val="7F8A3173"/>
    <w:multiLevelType w:val="hybridMultilevel"/>
    <w:tmpl w:val="B39A91A2"/>
    <w:lvl w:ilvl="0" w:tplc="56940608">
      <w:start w:val="1"/>
      <w:numFmt w:val="lowerLetter"/>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6"/>
  </w:num>
  <w:num w:numId="3">
    <w:abstractNumId w:val="5"/>
  </w:num>
  <w:num w:numId="4">
    <w:abstractNumId w:val="9"/>
  </w:num>
  <w:num w:numId="5">
    <w:abstractNumId w:val="8"/>
  </w:num>
  <w:num w:numId="6">
    <w:abstractNumId w:val="10"/>
  </w:num>
  <w:num w:numId="7">
    <w:abstractNumId w:val="1"/>
  </w:num>
  <w:num w:numId="8">
    <w:abstractNumId w:val="4"/>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doNotHyphenateCaps/>
  <w:evenAndOddHeaders/>
  <w:characterSpacingControl w:val="doNotCompress"/>
  <w:doNotValidateAgainstSchema/>
  <w:doNotDemarcateInvalidXml/>
  <w:footnotePr>
    <w:footnote w:id="0"/>
    <w:footnote w:id="1"/>
  </w:footnotePr>
  <w:endnotePr>
    <w:endnote w:id="0"/>
    <w:endnote w:id="1"/>
  </w:endnotePr>
  <w:compat/>
  <w:rsids>
    <w:rsidRoot w:val="00C9161D"/>
    <w:rsid w:val="00002DB2"/>
    <w:rsid w:val="00020884"/>
    <w:rsid w:val="00034A10"/>
    <w:rsid w:val="000542BB"/>
    <w:rsid w:val="00055488"/>
    <w:rsid w:val="00056628"/>
    <w:rsid w:val="0007171B"/>
    <w:rsid w:val="000925A9"/>
    <w:rsid w:val="000A560B"/>
    <w:rsid w:val="000B0C95"/>
    <w:rsid w:val="000B4652"/>
    <w:rsid w:val="000D0D11"/>
    <w:rsid w:val="000D5003"/>
    <w:rsid w:val="000E673A"/>
    <w:rsid w:val="000F1FB3"/>
    <w:rsid w:val="000F74F5"/>
    <w:rsid w:val="001039F9"/>
    <w:rsid w:val="00105372"/>
    <w:rsid w:val="001144EE"/>
    <w:rsid w:val="001165DE"/>
    <w:rsid w:val="00121D24"/>
    <w:rsid w:val="001312AD"/>
    <w:rsid w:val="00131E7A"/>
    <w:rsid w:val="00134846"/>
    <w:rsid w:val="001348A9"/>
    <w:rsid w:val="00165EF5"/>
    <w:rsid w:val="00172AF6"/>
    <w:rsid w:val="00174C7F"/>
    <w:rsid w:val="001753E3"/>
    <w:rsid w:val="00176CEE"/>
    <w:rsid w:val="00186DD8"/>
    <w:rsid w:val="001B13FE"/>
    <w:rsid w:val="001B2EEC"/>
    <w:rsid w:val="001C7E9D"/>
    <w:rsid w:val="001D40B2"/>
    <w:rsid w:val="001D68E9"/>
    <w:rsid w:val="001F6905"/>
    <w:rsid w:val="00206D3B"/>
    <w:rsid w:val="00210096"/>
    <w:rsid w:val="00233517"/>
    <w:rsid w:val="00242466"/>
    <w:rsid w:val="00250783"/>
    <w:rsid w:val="00266625"/>
    <w:rsid w:val="002836A7"/>
    <w:rsid w:val="00292553"/>
    <w:rsid w:val="002A2662"/>
    <w:rsid w:val="002B27C9"/>
    <w:rsid w:val="002B75C8"/>
    <w:rsid w:val="002D4492"/>
    <w:rsid w:val="002D7B72"/>
    <w:rsid w:val="0030169D"/>
    <w:rsid w:val="00304F9B"/>
    <w:rsid w:val="003060EB"/>
    <w:rsid w:val="00306200"/>
    <w:rsid w:val="003067CE"/>
    <w:rsid w:val="003153EB"/>
    <w:rsid w:val="00320FA1"/>
    <w:rsid w:val="003217AD"/>
    <w:rsid w:val="00321985"/>
    <w:rsid w:val="00332102"/>
    <w:rsid w:val="00340BB1"/>
    <w:rsid w:val="00351205"/>
    <w:rsid w:val="00353DDF"/>
    <w:rsid w:val="00370EC7"/>
    <w:rsid w:val="00372386"/>
    <w:rsid w:val="00372F74"/>
    <w:rsid w:val="00374FD8"/>
    <w:rsid w:val="003754CB"/>
    <w:rsid w:val="00390DDA"/>
    <w:rsid w:val="003A352E"/>
    <w:rsid w:val="003B0518"/>
    <w:rsid w:val="003B24F9"/>
    <w:rsid w:val="003E2221"/>
    <w:rsid w:val="003E3DC0"/>
    <w:rsid w:val="003E5D67"/>
    <w:rsid w:val="003E6E3D"/>
    <w:rsid w:val="003F7224"/>
    <w:rsid w:val="0041441D"/>
    <w:rsid w:val="00423F67"/>
    <w:rsid w:val="00427D21"/>
    <w:rsid w:val="00452DBD"/>
    <w:rsid w:val="004530A2"/>
    <w:rsid w:val="00453BCD"/>
    <w:rsid w:val="00461799"/>
    <w:rsid w:val="004644C2"/>
    <w:rsid w:val="00467168"/>
    <w:rsid w:val="00467F9C"/>
    <w:rsid w:val="00475311"/>
    <w:rsid w:val="00480C48"/>
    <w:rsid w:val="00480FC4"/>
    <w:rsid w:val="00485909"/>
    <w:rsid w:val="004B1933"/>
    <w:rsid w:val="004B44DE"/>
    <w:rsid w:val="004B6C01"/>
    <w:rsid w:val="004C7846"/>
    <w:rsid w:val="004D1B33"/>
    <w:rsid w:val="004D38ED"/>
    <w:rsid w:val="004D6A44"/>
    <w:rsid w:val="004F276F"/>
    <w:rsid w:val="0050119C"/>
    <w:rsid w:val="00504BFF"/>
    <w:rsid w:val="00506250"/>
    <w:rsid w:val="005106D4"/>
    <w:rsid w:val="005112F6"/>
    <w:rsid w:val="005276A0"/>
    <w:rsid w:val="005312CD"/>
    <w:rsid w:val="005325D9"/>
    <w:rsid w:val="00534681"/>
    <w:rsid w:val="005416A9"/>
    <w:rsid w:val="00546693"/>
    <w:rsid w:val="0054683D"/>
    <w:rsid w:val="00554253"/>
    <w:rsid w:val="00557269"/>
    <w:rsid w:val="00563442"/>
    <w:rsid w:val="0056401F"/>
    <w:rsid w:val="00565B42"/>
    <w:rsid w:val="005702D6"/>
    <w:rsid w:val="00574F67"/>
    <w:rsid w:val="005A035C"/>
    <w:rsid w:val="005A490A"/>
    <w:rsid w:val="005C47DA"/>
    <w:rsid w:val="005C4CE6"/>
    <w:rsid w:val="005C541F"/>
    <w:rsid w:val="005C7577"/>
    <w:rsid w:val="005E79D3"/>
    <w:rsid w:val="005F0C4B"/>
    <w:rsid w:val="005F0D6C"/>
    <w:rsid w:val="006122BA"/>
    <w:rsid w:val="00617FB0"/>
    <w:rsid w:val="0063373E"/>
    <w:rsid w:val="006878F2"/>
    <w:rsid w:val="00694558"/>
    <w:rsid w:val="006A69BC"/>
    <w:rsid w:val="006B2290"/>
    <w:rsid w:val="006B3E82"/>
    <w:rsid w:val="006B70CA"/>
    <w:rsid w:val="006C5B4C"/>
    <w:rsid w:val="006C5D8B"/>
    <w:rsid w:val="006E246F"/>
    <w:rsid w:val="006E3B50"/>
    <w:rsid w:val="006E4C7B"/>
    <w:rsid w:val="006E6522"/>
    <w:rsid w:val="006F3464"/>
    <w:rsid w:val="006F464B"/>
    <w:rsid w:val="006F6F64"/>
    <w:rsid w:val="006F7931"/>
    <w:rsid w:val="007119B0"/>
    <w:rsid w:val="00717D88"/>
    <w:rsid w:val="0072062E"/>
    <w:rsid w:val="00721393"/>
    <w:rsid w:val="00732436"/>
    <w:rsid w:val="0074789C"/>
    <w:rsid w:val="00752A97"/>
    <w:rsid w:val="00752EF7"/>
    <w:rsid w:val="007677FF"/>
    <w:rsid w:val="00774173"/>
    <w:rsid w:val="00783418"/>
    <w:rsid w:val="00786056"/>
    <w:rsid w:val="0079085D"/>
    <w:rsid w:val="007942D3"/>
    <w:rsid w:val="007B2099"/>
    <w:rsid w:val="007B2FF8"/>
    <w:rsid w:val="007B6C09"/>
    <w:rsid w:val="007B7741"/>
    <w:rsid w:val="007C1AEA"/>
    <w:rsid w:val="007C577C"/>
    <w:rsid w:val="007D35D2"/>
    <w:rsid w:val="007E09DA"/>
    <w:rsid w:val="007E22EA"/>
    <w:rsid w:val="007E25C4"/>
    <w:rsid w:val="007E5590"/>
    <w:rsid w:val="007F305C"/>
    <w:rsid w:val="0080147A"/>
    <w:rsid w:val="008178B6"/>
    <w:rsid w:val="00831A8B"/>
    <w:rsid w:val="00836CAA"/>
    <w:rsid w:val="00844023"/>
    <w:rsid w:val="00852987"/>
    <w:rsid w:val="00853A7F"/>
    <w:rsid w:val="00865B74"/>
    <w:rsid w:val="0087375C"/>
    <w:rsid w:val="008773CA"/>
    <w:rsid w:val="00882A52"/>
    <w:rsid w:val="008918BF"/>
    <w:rsid w:val="0089560A"/>
    <w:rsid w:val="008974F0"/>
    <w:rsid w:val="008A242B"/>
    <w:rsid w:val="008B012A"/>
    <w:rsid w:val="008B78FF"/>
    <w:rsid w:val="008C5ED7"/>
    <w:rsid w:val="008C68C0"/>
    <w:rsid w:val="0090084A"/>
    <w:rsid w:val="00906E17"/>
    <w:rsid w:val="009104EB"/>
    <w:rsid w:val="00914380"/>
    <w:rsid w:val="00921310"/>
    <w:rsid w:val="00930BA1"/>
    <w:rsid w:val="0093169E"/>
    <w:rsid w:val="00943946"/>
    <w:rsid w:val="009505C9"/>
    <w:rsid w:val="00950752"/>
    <w:rsid w:val="009633A3"/>
    <w:rsid w:val="00966424"/>
    <w:rsid w:val="00987994"/>
    <w:rsid w:val="009A26E9"/>
    <w:rsid w:val="009B2C0C"/>
    <w:rsid w:val="009B531F"/>
    <w:rsid w:val="009C114E"/>
    <w:rsid w:val="009C2DE6"/>
    <w:rsid w:val="009C4FC0"/>
    <w:rsid w:val="009E1196"/>
    <w:rsid w:val="009F24F2"/>
    <w:rsid w:val="00A0666A"/>
    <w:rsid w:val="00A32CCD"/>
    <w:rsid w:val="00A40F83"/>
    <w:rsid w:val="00A4760E"/>
    <w:rsid w:val="00A543F8"/>
    <w:rsid w:val="00A56246"/>
    <w:rsid w:val="00A6028C"/>
    <w:rsid w:val="00A61C05"/>
    <w:rsid w:val="00A6555F"/>
    <w:rsid w:val="00A75A82"/>
    <w:rsid w:val="00A86C55"/>
    <w:rsid w:val="00A87B18"/>
    <w:rsid w:val="00AA01A6"/>
    <w:rsid w:val="00AA2BC8"/>
    <w:rsid w:val="00AA3D4E"/>
    <w:rsid w:val="00AA6F92"/>
    <w:rsid w:val="00AB00B4"/>
    <w:rsid w:val="00AB4C4D"/>
    <w:rsid w:val="00AB6934"/>
    <w:rsid w:val="00AD4563"/>
    <w:rsid w:val="00AE1F3F"/>
    <w:rsid w:val="00AF42DE"/>
    <w:rsid w:val="00AF642C"/>
    <w:rsid w:val="00B151C6"/>
    <w:rsid w:val="00B3369F"/>
    <w:rsid w:val="00B43BAC"/>
    <w:rsid w:val="00B53E71"/>
    <w:rsid w:val="00B55ACE"/>
    <w:rsid w:val="00B82908"/>
    <w:rsid w:val="00B94E6C"/>
    <w:rsid w:val="00BA299A"/>
    <w:rsid w:val="00BA49DC"/>
    <w:rsid w:val="00BB0AEF"/>
    <w:rsid w:val="00BB1D5F"/>
    <w:rsid w:val="00BB4606"/>
    <w:rsid w:val="00BB474F"/>
    <w:rsid w:val="00BC6E78"/>
    <w:rsid w:val="00BD4334"/>
    <w:rsid w:val="00BE0B83"/>
    <w:rsid w:val="00BE7146"/>
    <w:rsid w:val="00BE7A85"/>
    <w:rsid w:val="00C23D2F"/>
    <w:rsid w:val="00C3253E"/>
    <w:rsid w:val="00C32568"/>
    <w:rsid w:val="00C41A7A"/>
    <w:rsid w:val="00C42B0C"/>
    <w:rsid w:val="00C443BD"/>
    <w:rsid w:val="00C451C5"/>
    <w:rsid w:val="00C9161D"/>
    <w:rsid w:val="00CA0C1D"/>
    <w:rsid w:val="00CC352F"/>
    <w:rsid w:val="00CE163A"/>
    <w:rsid w:val="00CE2F5C"/>
    <w:rsid w:val="00CF1848"/>
    <w:rsid w:val="00CF61B7"/>
    <w:rsid w:val="00D01177"/>
    <w:rsid w:val="00D024CE"/>
    <w:rsid w:val="00D07F97"/>
    <w:rsid w:val="00D12044"/>
    <w:rsid w:val="00D239ED"/>
    <w:rsid w:val="00D248A9"/>
    <w:rsid w:val="00D26B71"/>
    <w:rsid w:val="00D27BBC"/>
    <w:rsid w:val="00D33EFC"/>
    <w:rsid w:val="00D368C4"/>
    <w:rsid w:val="00D40DBC"/>
    <w:rsid w:val="00D4476C"/>
    <w:rsid w:val="00D74A55"/>
    <w:rsid w:val="00D76A18"/>
    <w:rsid w:val="00D80849"/>
    <w:rsid w:val="00D82E8F"/>
    <w:rsid w:val="00D92927"/>
    <w:rsid w:val="00DB08E7"/>
    <w:rsid w:val="00DD118C"/>
    <w:rsid w:val="00DF74EB"/>
    <w:rsid w:val="00E023A6"/>
    <w:rsid w:val="00E12DC2"/>
    <w:rsid w:val="00E36D9D"/>
    <w:rsid w:val="00E40563"/>
    <w:rsid w:val="00E44C4D"/>
    <w:rsid w:val="00E4609F"/>
    <w:rsid w:val="00E60F12"/>
    <w:rsid w:val="00E66235"/>
    <w:rsid w:val="00E66997"/>
    <w:rsid w:val="00E83C24"/>
    <w:rsid w:val="00E84B20"/>
    <w:rsid w:val="00E92FC8"/>
    <w:rsid w:val="00E9318D"/>
    <w:rsid w:val="00E94C1E"/>
    <w:rsid w:val="00EA7FEE"/>
    <w:rsid w:val="00ED2E51"/>
    <w:rsid w:val="00EE57A4"/>
    <w:rsid w:val="00EF5E43"/>
    <w:rsid w:val="00F01095"/>
    <w:rsid w:val="00F0559A"/>
    <w:rsid w:val="00F115B6"/>
    <w:rsid w:val="00F136EF"/>
    <w:rsid w:val="00F170EC"/>
    <w:rsid w:val="00F23B9D"/>
    <w:rsid w:val="00F53193"/>
    <w:rsid w:val="00F5357E"/>
    <w:rsid w:val="00F5568F"/>
    <w:rsid w:val="00F6586C"/>
    <w:rsid w:val="00F67764"/>
    <w:rsid w:val="00F93237"/>
    <w:rsid w:val="00F94774"/>
    <w:rsid w:val="00F94CF0"/>
    <w:rsid w:val="00FA663B"/>
    <w:rsid w:val="00FC53DB"/>
    <w:rsid w:val="00FC698F"/>
    <w:rsid w:val="00FF6D53"/>
    <w:rsid w:val="00FF7C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qFormat="1"/>
    <w:lsdException w:name="footnote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rsid w:val="00752A97"/>
    <w:pPr>
      <w:jc w:val="both"/>
    </w:pPr>
    <w:rPr>
      <w:rFonts w:eastAsia="MS Mincho" w:cs="Times New Roman"/>
      <w:snapToGrid w:val="0"/>
      <w:sz w:val="22"/>
      <w:szCs w:val="22"/>
      <w:lang w:val="en-GB"/>
    </w:rPr>
  </w:style>
  <w:style w:type="paragraph" w:styleId="Heading1">
    <w:name w:val="heading 1"/>
    <w:basedOn w:val="Normal"/>
    <w:next w:val="Heading2"/>
    <w:qFormat/>
    <w:rsid w:val="00752A97"/>
    <w:pPr>
      <w:keepNext/>
      <w:tabs>
        <w:tab w:val="left" w:pos="720"/>
      </w:tabs>
      <w:spacing w:before="240" w:after="120"/>
      <w:jc w:val="center"/>
      <w:outlineLvl w:val="0"/>
    </w:pPr>
    <w:rPr>
      <w:b/>
      <w:bCs/>
      <w:caps/>
    </w:rPr>
  </w:style>
  <w:style w:type="paragraph" w:styleId="Heading2">
    <w:name w:val="heading 2"/>
    <w:basedOn w:val="Normal"/>
    <w:next w:val="Normal"/>
    <w:link w:val="PlaceholderText"/>
    <w:qFormat/>
    <w:rsid w:val="00752A97"/>
    <w:pPr>
      <w:keepNext/>
      <w:tabs>
        <w:tab w:val="left" w:pos="720"/>
      </w:tabs>
      <w:spacing w:before="120" w:after="120"/>
      <w:jc w:val="center"/>
      <w:outlineLvl w:val="1"/>
    </w:pPr>
    <w:rPr>
      <w:b/>
      <w:bCs/>
    </w:rPr>
  </w:style>
  <w:style w:type="paragraph" w:styleId="Heading3">
    <w:name w:val="heading 3"/>
    <w:basedOn w:val="Normal"/>
    <w:next w:val="Normal"/>
    <w:qFormat/>
    <w:rsid w:val="00752A97"/>
    <w:pPr>
      <w:keepNext/>
      <w:tabs>
        <w:tab w:val="left" w:pos="567"/>
      </w:tabs>
      <w:spacing w:before="120" w:after="120"/>
      <w:jc w:val="center"/>
      <w:outlineLvl w:val="2"/>
    </w:pPr>
    <w:rPr>
      <w:i/>
      <w:iCs/>
    </w:rPr>
  </w:style>
  <w:style w:type="paragraph" w:styleId="Heading4">
    <w:name w:val="heading 4"/>
    <w:basedOn w:val="Normal"/>
    <w:qFormat/>
    <w:rsid w:val="00752A97"/>
    <w:pPr>
      <w:keepNext/>
      <w:spacing w:before="120" w:after="120"/>
      <w:outlineLvl w:val="3"/>
    </w:pPr>
    <w:rPr>
      <w:rFonts w:eastAsia="Times New Roman"/>
      <w:b/>
      <w:bCs/>
      <w:i/>
      <w:iCs/>
    </w:rPr>
  </w:style>
  <w:style w:type="paragraph" w:styleId="Heading5">
    <w:name w:val="heading 5"/>
    <w:basedOn w:val="Normal"/>
    <w:next w:val="Normal"/>
    <w:qFormat/>
    <w:rsid w:val="00752A97"/>
    <w:pPr>
      <w:keepNext/>
      <w:numPr>
        <w:ilvl w:val="4"/>
        <w:numId w:val="1"/>
      </w:numPr>
      <w:spacing w:before="120" w:after="120"/>
      <w:jc w:val="left"/>
      <w:outlineLvl w:val="4"/>
    </w:pPr>
    <w:rPr>
      <w:i/>
      <w:iCs/>
      <w:lang w:val="en-CA"/>
    </w:rPr>
  </w:style>
  <w:style w:type="paragraph" w:styleId="Heading6">
    <w:name w:val="heading 6"/>
    <w:basedOn w:val="Normal"/>
    <w:next w:val="Normal"/>
    <w:qFormat/>
    <w:rsid w:val="00752A97"/>
    <w:pPr>
      <w:keepNext/>
      <w:spacing w:after="240" w:line="240" w:lineRule="exact"/>
      <w:ind w:left="720"/>
      <w:outlineLvl w:val="5"/>
    </w:pPr>
    <w:rPr>
      <w:u w:val="single"/>
    </w:rPr>
  </w:style>
  <w:style w:type="paragraph" w:styleId="Heading7">
    <w:name w:val="heading 7"/>
    <w:basedOn w:val="Normal"/>
    <w:next w:val="Normal"/>
    <w:qFormat/>
    <w:rsid w:val="00752A97"/>
    <w:pPr>
      <w:keepNext/>
      <w:jc w:val="right"/>
      <w:outlineLvl w:val="6"/>
    </w:pPr>
    <w:rPr>
      <w:b/>
      <w:bCs/>
      <w:sz w:val="28"/>
      <w:szCs w:val="28"/>
    </w:rPr>
  </w:style>
  <w:style w:type="paragraph" w:styleId="Heading8">
    <w:name w:val="heading 8"/>
    <w:basedOn w:val="Normal"/>
    <w:next w:val="Normal"/>
    <w:qFormat/>
    <w:rsid w:val="00752A97"/>
    <w:pPr>
      <w:keepNext/>
      <w:jc w:val="right"/>
      <w:outlineLvl w:val="7"/>
    </w:pPr>
    <w:rPr>
      <w:b/>
      <w:bCs/>
      <w:sz w:val="32"/>
      <w:szCs w:val="32"/>
    </w:rPr>
  </w:style>
  <w:style w:type="paragraph" w:styleId="Heading9">
    <w:name w:val="heading 9"/>
    <w:basedOn w:val="Normal"/>
    <w:next w:val="Normal"/>
    <w:qFormat/>
    <w:rsid w:val="00752A97"/>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52A97"/>
    <w:rPr>
      <w:rFonts w:eastAsia="MS Mincho" w:cs="Times New Roman"/>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sid w:val="00752A97"/>
    <w:rPr>
      <w:sz w:val="18"/>
      <w:szCs w:val="18"/>
    </w:rPr>
  </w:style>
  <w:style w:type="character" w:customStyle="1" w:styleId="BalloonTextChar">
    <w:name w:val="Balloon Text Char"/>
    <w:basedOn w:val="DefaultParagraphFont"/>
    <w:semiHidden/>
    <w:locked/>
    <w:rsid w:val="00752A97"/>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rsid w:val="00752A97"/>
    <w:rPr>
      <w:color w:val="808080"/>
    </w:rPr>
  </w:style>
  <w:style w:type="paragraph" w:styleId="Header">
    <w:name w:val="header"/>
    <w:basedOn w:val="Normal"/>
    <w:rsid w:val="00752A97"/>
    <w:pPr>
      <w:tabs>
        <w:tab w:val="center" w:pos="4320"/>
        <w:tab w:val="right" w:pos="8640"/>
      </w:tabs>
    </w:pPr>
  </w:style>
  <w:style w:type="character" w:customStyle="1" w:styleId="HeaderChar">
    <w:name w:val="Header Char"/>
    <w:basedOn w:val="DefaultParagraphFont"/>
    <w:locked/>
    <w:rsid w:val="00752A97"/>
    <w:rPr>
      <w:rFonts w:ascii="Times New Roman" w:hAnsi="Times New Roman" w:cs="Times New Roman"/>
      <w:sz w:val="22"/>
      <w:szCs w:val="22"/>
      <w:lang w:val="en-GB"/>
    </w:rPr>
  </w:style>
  <w:style w:type="paragraph" w:styleId="Footer">
    <w:name w:val="footer"/>
    <w:basedOn w:val="Normal"/>
    <w:rsid w:val="00752A97"/>
    <w:pPr>
      <w:tabs>
        <w:tab w:val="center" w:pos="4320"/>
        <w:tab w:val="right" w:pos="8640"/>
      </w:tabs>
      <w:ind w:firstLine="720"/>
      <w:jc w:val="right"/>
    </w:pPr>
  </w:style>
  <w:style w:type="character" w:customStyle="1" w:styleId="FooterChar">
    <w:name w:val="Footer Char"/>
    <w:basedOn w:val="DefaultParagraphFont"/>
    <w:locked/>
    <w:rsid w:val="00752A97"/>
    <w:rPr>
      <w:rFonts w:ascii="Times New Roman" w:hAnsi="Times New Roman" w:cs="Times New Roman"/>
      <w:sz w:val="22"/>
      <w:szCs w:val="22"/>
      <w:lang w:val="en-GB"/>
    </w:rPr>
  </w:style>
  <w:style w:type="paragraph" w:customStyle="1" w:styleId="meetingname">
    <w:name w:val="meeting name"/>
    <w:basedOn w:val="Normal"/>
    <w:rsid w:val="00752A97"/>
    <w:pPr>
      <w:ind w:left="142" w:right="4218" w:hanging="142"/>
    </w:pPr>
    <w:rPr>
      <w:caps/>
    </w:rPr>
  </w:style>
  <w:style w:type="paragraph" w:styleId="Title">
    <w:name w:val="Title"/>
    <w:basedOn w:val="Normal"/>
    <w:next w:val="Normal"/>
    <w:qFormat/>
    <w:rsid w:val="00752A97"/>
    <w:pPr>
      <w:pBdr>
        <w:bottom w:val="single" w:sz="8" w:space="4" w:color="4F81BD"/>
      </w:pBdr>
      <w:spacing w:after="300"/>
    </w:pPr>
    <w:rPr>
      <w:rFonts w:eastAsia="Times New Roman"/>
      <w:color w:val="17365D"/>
      <w:spacing w:val="5"/>
      <w:kern w:val="28"/>
      <w:sz w:val="52"/>
      <w:szCs w:val="52"/>
    </w:rPr>
  </w:style>
  <w:style w:type="character" w:customStyle="1" w:styleId="TitleChar">
    <w:name w:val="Title Char"/>
    <w:basedOn w:val="DefaultParagraphFont"/>
    <w:locked/>
    <w:rsid w:val="00752A97"/>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752A97"/>
    <w:pPr>
      <w:numPr>
        <w:ilvl w:val="1"/>
      </w:numPr>
    </w:pPr>
    <w:rPr>
      <w:rFonts w:eastAsia="Times New Roman"/>
      <w:i/>
      <w:iCs/>
      <w:color w:val="4F81BD"/>
      <w:spacing w:val="15"/>
      <w:sz w:val="24"/>
      <w:szCs w:val="24"/>
    </w:rPr>
  </w:style>
  <w:style w:type="character" w:customStyle="1" w:styleId="SubtitleChar">
    <w:name w:val="Subtitle Char"/>
    <w:basedOn w:val="DefaultParagraphFont"/>
    <w:locked/>
    <w:rsid w:val="00752A97"/>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sid w:val="00752A97"/>
    <w:rPr>
      <w:rFonts w:ascii="Times New Roman" w:hAnsi="Times New Roman" w:cs="Times New Roman"/>
      <w:b/>
      <w:bCs/>
      <w:caps/>
      <w:sz w:val="22"/>
      <w:szCs w:val="22"/>
      <w:lang w:val="en-GB"/>
    </w:rPr>
  </w:style>
  <w:style w:type="paragraph" w:styleId="BodyText">
    <w:name w:val="Body Text"/>
    <w:basedOn w:val="Normal"/>
    <w:rsid w:val="00752A97"/>
    <w:pPr>
      <w:spacing w:before="120" w:after="120"/>
      <w:ind w:firstLine="720"/>
    </w:pPr>
  </w:style>
  <w:style w:type="character" w:customStyle="1" w:styleId="BalloonTextChar1">
    <w:name w:val="Balloon Text Char1"/>
    <w:basedOn w:val="DefaultParagraphFont"/>
    <w:link w:val="BalloonText"/>
    <w:locked/>
    <w:rsid w:val="00752A97"/>
    <w:rPr>
      <w:rFonts w:ascii="Times New Roman" w:hAnsi="Times New Roman" w:cs="Times New Roman"/>
      <w:sz w:val="22"/>
      <w:szCs w:val="22"/>
      <w:lang w:val="en-GB"/>
    </w:rPr>
  </w:style>
  <w:style w:type="paragraph" w:styleId="BodyTextIndent">
    <w:name w:val="Body Text Indent"/>
    <w:basedOn w:val="Normal"/>
    <w:rsid w:val="00752A97"/>
    <w:pPr>
      <w:spacing w:before="120" w:after="120"/>
      <w:ind w:left="1440" w:hanging="720"/>
      <w:jc w:val="left"/>
    </w:pPr>
  </w:style>
  <w:style w:type="character" w:customStyle="1" w:styleId="BodyTextIndentChar">
    <w:name w:val="Body Text Indent Char"/>
    <w:basedOn w:val="DefaultParagraphFont"/>
    <w:locked/>
    <w:rsid w:val="00752A97"/>
    <w:rPr>
      <w:rFonts w:ascii="Times New Roman" w:hAnsi="Times New Roman" w:cs="Times New Roman"/>
      <w:sz w:val="22"/>
      <w:szCs w:val="22"/>
      <w:lang w:val="en-GB"/>
    </w:rPr>
  </w:style>
  <w:style w:type="character" w:styleId="CommentReference">
    <w:name w:val="annotation reference"/>
    <w:basedOn w:val="DefaultParagraphFont"/>
    <w:semiHidden/>
    <w:rsid w:val="00752A97"/>
    <w:rPr>
      <w:sz w:val="16"/>
      <w:szCs w:val="16"/>
    </w:rPr>
  </w:style>
  <w:style w:type="paragraph" w:styleId="CommentText">
    <w:name w:val="annotation text"/>
    <w:basedOn w:val="Normal"/>
    <w:semiHidden/>
    <w:rsid w:val="00752A97"/>
    <w:pPr>
      <w:spacing w:after="120" w:line="240" w:lineRule="exact"/>
    </w:pPr>
  </w:style>
  <w:style w:type="character" w:customStyle="1" w:styleId="CommentTextChar">
    <w:name w:val="Comment Text Char"/>
    <w:basedOn w:val="DefaultParagraphFont"/>
    <w:locked/>
    <w:rsid w:val="00752A97"/>
    <w:rPr>
      <w:rFonts w:ascii="Times New Roman" w:hAnsi="Times New Roman" w:cs="Times New Roman"/>
      <w:sz w:val="22"/>
      <w:szCs w:val="22"/>
      <w:lang w:val="en-GB"/>
    </w:rPr>
  </w:style>
  <w:style w:type="paragraph" w:customStyle="1" w:styleId="Cornernotation">
    <w:name w:val="Corner notation"/>
    <w:basedOn w:val="Normal"/>
    <w:rsid w:val="00752A97"/>
    <w:pPr>
      <w:ind w:left="170" w:right="3119" w:hanging="170"/>
      <w:jc w:val="left"/>
    </w:pPr>
  </w:style>
  <w:style w:type="character" w:styleId="EndnoteReference">
    <w:name w:val="endnote reference"/>
    <w:basedOn w:val="DefaultParagraphFont"/>
    <w:semiHidden/>
    <w:rsid w:val="00752A97"/>
    <w:rPr>
      <w:vertAlign w:val="superscript"/>
    </w:rPr>
  </w:style>
  <w:style w:type="paragraph" w:styleId="EndnoteText">
    <w:name w:val="endnote text"/>
    <w:basedOn w:val="Normal"/>
    <w:semiHidden/>
    <w:rsid w:val="00752A97"/>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semiHidden/>
    <w:locked/>
    <w:rsid w:val="00752A97"/>
    <w:rPr>
      <w:rFonts w:ascii="Courier New" w:hAnsi="Courier New" w:cs="Courier New"/>
      <w:sz w:val="22"/>
      <w:szCs w:val="22"/>
      <w:lang w:val="en-GB"/>
    </w:rPr>
  </w:style>
  <w:style w:type="character" w:styleId="FollowedHyperlink">
    <w:name w:val="FollowedHyperlink"/>
    <w:basedOn w:val="DefaultParagraphFont"/>
    <w:rsid w:val="00752A97"/>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locked/>
    <w:rsid w:val="00752A97"/>
    <w:rPr>
      <w:sz w:val="22"/>
      <w:szCs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semiHidden/>
    <w:rsid w:val="00752A97"/>
    <w:pPr>
      <w:keepLines/>
      <w:spacing w:after="60"/>
      <w:ind w:firstLine="720"/>
    </w:pPr>
    <w:rPr>
      <w:sz w:val="18"/>
      <w:szCs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basedOn w:val="DefaultParagraphFont"/>
    <w:locked/>
    <w:rsid w:val="00752A97"/>
    <w:rPr>
      <w:rFonts w:ascii="Times New Roman" w:hAnsi="Times New Roman" w:cs="Times New Roman"/>
      <w:sz w:val="18"/>
      <w:szCs w:val="18"/>
      <w:lang w:val="en-GB"/>
    </w:rPr>
  </w:style>
  <w:style w:type="paragraph" w:customStyle="1" w:styleId="HEADING">
    <w:name w:val="HEADING"/>
    <w:basedOn w:val="Normal"/>
    <w:rsid w:val="00752A97"/>
    <w:pPr>
      <w:keepNext/>
      <w:spacing w:before="240" w:after="120"/>
      <w:jc w:val="center"/>
    </w:pPr>
    <w:rPr>
      <w:b/>
      <w:bCs/>
      <w:caps/>
    </w:rPr>
  </w:style>
  <w:style w:type="character" w:customStyle="1" w:styleId="Heading2Char">
    <w:name w:val="Heading 2 Char"/>
    <w:basedOn w:val="DefaultParagraphFont"/>
    <w:locked/>
    <w:rsid w:val="00752A97"/>
    <w:rPr>
      <w:rFonts w:ascii="Times New Roman" w:hAnsi="Times New Roman" w:cs="Times New Roman"/>
      <w:b/>
      <w:bCs/>
      <w:sz w:val="22"/>
      <w:szCs w:val="22"/>
      <w:lang w:val="en-GB"/>
    </w:rPr>
  </w:style>
  <w:style w:type="paragraph" w:customStyle="1" w:styleId="HEADINGNOTFORTOC">
    <w:name w:val="HEADING (NOT FOR TOC)"/>
    <w:basedOn w:val="Heading1"/>
    <w:next w:val="Heading2"/>
    <w:rsid w:val="00752A97"/>
  </w:style>
  <w:style w:type="paragraph" w:customStyle="1" w:styleId="Heading1longmultiline">
    <w:name w:val="Heading 1 (long multiline)"/>
    <w:basedOn w:val="Heading1"/>
    <w:rsid w:val="00752A97"/>
    <w:pPr>
      <w:ind w:left="1843" w:hanging="1134"/>
      <w:jc w:val="left"/>
    </w:pPr>
  </w:style>
  <w:style w:type="paragraph" w:customStyle="1" w:styleId="Heading1multiline">
    <w:name w:val="Heading 1 (multiline)"/>
    <w:basedOn w:val="Heading1"/>
    <w:rsid w:val="00752A97"/>
    <w:pPr>
      <w:ind w:left="1843" w:right="996" w:hanging="567"/>
      <w:jc w:val="left"/>
    </w:pPr>
  </w:style>
  <w:style w:type="paragraph" w:customStyle="1" w:styleId="Heading2multiline">
    <w:name w:val="Heading 2 (multiline)"/>
    <w:basedOn w:val="Heading1"/>
    <w:next w:val="Normal"/>
    <w:rsid w:val="00752A97"/>
    <w:pPr>
      <w:spacing w:before="120"/>
      <w:ind w:left="1843" w:right="998" w:hanging="567"/>
      <w:jc w:val="left"/>
    </w:pPr>
    <w:rPr>
      <w:i/>
      <w:iCs/>
      <w:caps w:val="0"/>
    </w:rPr>
  </w:style>
  <w:style w:type="paragraph" w:customStyle="1" w:styleId="Heading2longmultiline">
    <w:name w:val="Heading 2 (long multiline)"/>
    <w:basedOn w:val="Heading2multiline"/>
    <w:rsid w:val="00752A97"/>
    <w:pPr>
      <w:ind w:left="2127" w:hanging="1276"/>
    </w:pPr>
  </w:style>
  <w:style w:type="character" w:customStyle="1" w:styleId="Heading3Char">
    <w:name w:val="Heading 3 Char"/>
    <w:basedOn w:val="DefaultParagraphFont"/>
    <w:locked/>
    <w:rsid w:val="00752A97"/>
    <w:rPr>
      <w:rFonts w:ascii="Times New Roman" w:hAnsi="Times New Roman" w:cs="Times New Roman"/>
      <w:i/>
      <w:iCs/>
      <w:sz w:val="22"/>
      <w:szCs w:val="22"/>
      <w:lang w:val="en-GB"/>
    </w:rPr>
  </w:style>
  <w:style w:type="paragraph" w:customStyle="1" w:styleId="heading2notforTOC">
    <w:name w:val="heading 2 not for TOC"/>
    <w:basedOn w:val="Heading3"/>
    <w:rsid w:val="00752A97"/>
  </w:style>
  <w:style w:type="paragraph" w:customStyle="1" w:styleId="Heading3multiline">
    <w:name w:val="Heading 3 (multiline)"/>
    <w:basedOn w:val="Heading3"/>
    <w:next w:val="Normal"/>
    <w:rsid w:val="00752A97"/>
    <w:pPr>
      <w:ind w:left="1418" w:hanging="425"/>
      <w:jc w:val="left"/>
    </w:pPr>
  </w:style>
  <w:style w:type="character" w:customStyle="1" w:styleId="Heading4Char">
    <w:name w:val="Heading 4 Char"/>
    <w:basedOn w:val="DefaultParagraphFont"/>
    <w:locked/>
    <w:rsid w:val="00752A97"/>
    <w:rPr>
      <w:rFonts w:ascii="Times New Roman" w:eastAsia="Times New Roman" w:hAnsi="Times New Roman" w:cs="Times New Roman"/>
      <w:b/>
      <w:bCs/>
      <w:i/>
      <w:iCs/>
      <w:sz w:val="22"/>
      <w:szCs w:val="22"/>
      <w:lang w:val="en-GB"/>
    </w:rPr>
  </w:style>
  <w:style w:type="paragraph" w:customStyle="1" w:styleId="Heading4indent">
    <w:name w:val="Heading 4 indent"/>
    <w:basedOn w:val="Heading4"/>
    <w:rsid w:val="00752A97"/>
    <w:pPr>
      <w:ind w:left="720"/>
      <w:outlineLvl w:val="9"/>
    </w:pPr>
  </w:style>
  <w:style w:type="character" w:customStyle="1" w:styleId="Heading5Char">
    <w:name w:val="Heading 5 Char"/>
    <w:basedOn w:val="DefaultParagraphFont"/>
    <w:locked/>
    <w:rsid w:val="00752A97"/>
    <w:rPr>
      <w:rFonts w:eastAsia="MS Mincho"/>
      <w:i/>
      <w:iCs/>
      <w:sz w:val="26"/>
      <w:szCs w:val="26"/>
      <w:lang w:val="en-CA"/>
    </w:rPr>
  </w:style>
  <w:style w:type="character" w:customStyle="1" w:styleId="Heading6Char">
    <w:name w:val="Heading 6 Char"/>
    <w:basedOn w:val="DefaultParagraphFont"/>
    <w:locked/>
    <w:rsid w:val="00752A97"/>
    <w:rPr>
      <w:rFonts w:ascii="Times New Roman" w:hAnsi="Times New Roman" w:cs="Times New Roman"/>
      <w:sz w:val="22"/>
      <w:szCs w:val="22"/>
      <w:u w:val="single"/>
      <w:lang w:val="en-GB"/>
    </w:rPr>
  </w:style>
  <w:style w:type="character" w:customStyle="1" w:styleId="Heading7Char">
    <w:name w:val="Heading 7 Char"/>
    <w:basedOn w:val="DefaultParagraphFont"/>
    <w:locked/>
    <w:rsid w:val="00752A97"/>
    <w:rPr>
      <w:rFonts w:ascii="Times New Roman" w:hAnsi="Times New Roman" w:cs="Times New Roman"/>
      <w:b/>
      <w:bCs/>
      <w:sz w:val="28"/>
      <w:szCs w:val="28"/>
      <w:lang w:val="en-GB"/>
    </w:rPr>
  </w:style>
  <w:style w:type="character" w:customStyle="1" w:styleId="Heading8Char">
    <w:name w:val="Heading 8 Char"/>
    <w:basedOn w:val="DefaultParagraphFont"/>
    <w:locked/>
    <w:rsid w:val="00752A97"/>
    <w:rPr>
      <w:rFonts w:ascii="Times New Roman" w:hAnsi="Times New Roman" w:cs="Times New Roman"/>
      <w:b/>
      <w:bCs/>
      <w:sz w:val="32"/>
      <w:szCs w:val="32"/>
      <w:lang w:val="en-GB"/>
    </w:rPr>
  </w:style>
  <w:style w:type="character" w:customStyle="1" w:styleId="Heading9Char">
    <w:name w:val="Heading 9 Char"/>
    <w:basedOn w:val="DefaultParagraphFont"/>
    <w:locked/>
    <w:rsid w:val="00752A97"/>
    <w:rPr>
      <w:rFonts w:ascii="Times New Roman" w:hAnsi="Times New Roman" w:cs="Times New Roman"/>
      <w:i/>
      <w:iCs/>
      <w:sz w:val="22"/>
      <w:szCs w:val="22"/>
      <w:lang w:val="en-GB"/>
    </w:rPr>
  </w:style>
  <w:style w:type="character" w:styleId="PageNumber">
    <w:name w:val="page number"/>
    <w:basedOn w:val="DefaultParagraphFont"/>
    <w:rsid w:val="00752A97"/>
    <w:rPr>
      <w:rFonts w:ascii="Times New Roman" w:hAnsi="Times New Roman" w:cs="Times New Roman"/>
      <w:sz w:val="22"/>
      <w:szCs w:val="22"/>
    </w:rPr>
  </w:style>
  <w:style w:type="paragraph" w:customStyle="1" w:styleId="Para1">
    <w:name w:val="Para1"/>
    <w:basedOn w:val="Normal"/>
    <w:rsid w:val="00752A97"/>
    <w:pPr>
      <w:numPr>
        <w:numId w:val="2"/>
      </w:numPr>
      <w:spacing w:before="120" w:after="120"/>
    </w:pPr>
  </w:style>
  <w:style w:type="paragraph" w:customStyle="1" w:styleId="Para2">
    <w:name w:val="Para2"/>
    <w:basedOn w:val="Para1"/>
    <w:rsid w:val="00752A97"/>
    <w:pPr>
      <w:numPr>
        <w:numId w:val="0"/>
      </w:numPr>
      <w:autoSpaceDE w:val="0"/>
      <w:autoSpaceDN w:val="0"/>
    </w:pPr>
  </w:style>
  <w:style w:type="paragraph" w:customStyle="1" w:styleId="Para3">
    <w:name w:val="Para3"/>
    <w:basedOn w:val="Normal"/>
    <w:rsid w:val="00752A97"/>
    <w:pPr>
      <w:numPr>
        <w:ilvl w:val="3"/>
        <w:numId w:val="3"/>
      </w:numPr>
      <w:tabs>
        <w:tab w:val="left" w:pos="1980"/>
      </w:tabs>
      <w:spacing w:before="80" w:after="80"/>
    </w:pPr>
  </w:style>
  <w:style w:type="paragraph" w:customStyle="1" w:styleId="para4">
    <w:name w:val="para4"/>
    <w:basedOn w:val="Normal"/>
    <w:rsid w:val="00752A97"/>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752A97"/>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752A97"/>
    <w:pPr>
      <w:spacing w:before="120" w:after="120"/>
      <w:ind w:left="720" w:right="720"/>
    </w:pPr>
  </w:style>
  <w:style w:type="paragraph" w:customStyle="1" w:styleId="recommendationheader">
    <w:name w:val="recommendation header"/>
    <w:basedOn w:val="Heading2"/>
    <w:rsid w:val="00752A97"/>
  </w:style>
  <w:style w:type="paragraph" w:customStyle="1" w:styleId="recommendationheaderlong">
    <w:name w:val="recommendation header long"/>
    <w:basedOn w:val="Heading2longmultiline"/>
    <w:rsid w:val="00752A97"/>
  </w:style>
  <w:style w:type="paragraph" w:customStyle="1" w:styleId="reference">
    <w:name w:val="reference"/>
    <w:basedOn w:val="Heading9"/>
    <w:rsid w:val="00752A97"/>
    <w:rPr>
      <w:i w:val="0"/>
      <w:iCs w:val="0"/>
      <w:sz w:val="18"/>
      <w:szCs w:val="18"/>
    </w:rPr>
  </w:style>
  <w:style w:type="character" w:customStyle="1" w:styleId="StyleFootnoteReferenceNounderline">
    <w:name w:val="Style Footnote Reference + No underline"/>
    <w:rsid w:val="00752A97"/>
    <w:rPr>
      <w:sz w:val="18"/>
      <w:szCs w:val="18"/>
      <w:u w:val="none"/>
      <w:vertAlign w:val="baseline"/>
    </w:rPr>
  </w:style>
  <w:style w:type="paragraph" w:customStyle="1" w:styleId="tabletitle">
    <w:name w:val="table title"/>
    <w:basedOn w:val="Heading2"/>
    <w:rsid w:val="00752A97"/>
    <w:pPr>
      <w:jc w:val="left"/>
      <w:outlineLvl w:val="9"/>
    </w:pPr>
    <w:rPr>
      <w:i/>
      <w:iCs/>
    </w:rPr>
  </w:style>
  <w:style w:type="paragraph" w:styleId="TOAHeading">
    <w:name w:val="toa heading"/>
    <w:basedOn w:val="Normal"/>
    <w:next w:val="Normal"/>
    <w:semiHidden/>
    <w:rsid w:val="00752A97"/>
    <w:pPr>
      <w:spacing w:before="120"/>
    </w:pPr>
    <w:rPr>
      <w:b/>
      <w:bCs/>
      <w:sz w:val="24"/>
      <w:szCs w:val="24"/>
    </w:rPr>
  </w:style>
  <w:style w:type="paragraph" w:styleId="TOC1">
    <w:name w:val="toc 1"/>
    <w:basedOn w:val="Normal"/>
    <w:next w:val="Normal"/>
    <w:autoRedefine/>
    <w:semiHidden/>
    <w:rsid w:val="00752A97"/>
    <w:pPr>
      <w:ind w:left="720" w:hanging="720"/>
    </w:pPr>
    <w:rPr>
      <w:caps/>
    </w:rPr>
  </w:style>
  <w:style w:type="paragraph" w:styleId="TOC2">
    <w:name w:val="toc 2"/>
    <w:basedOn w:val="Normal"/>
    <w:next w:val="Normal"/>
    <w:autoRedefine/>
    <w:semiHidden/>
    <w:rsid w:val="00752A97"/>
    <w:pPr>
      <w:tabs>
        <w:tab w:val="right" w:leader="dot" w:pos="9356"/>
      </w:tabs>
      <w:ind w:left="1440" w:hanging="720"/>
    </w:pPr>
    <w:rPr>
      <w:noProof/>
      <w:lang w:val="en-US"/>
    </w:rPr>
  </w:style>
  <w:style w:type="paragraph" w:styleId="TOC3">
    <w:name w:val="toc 3"/>
    <w:basedOn w:val="Normal"/>
    <w:next w:val="Normal"/>
    <w:autoRedefine/>
    <w:semiHidden/>
    <w:rsid w:val="00752A97"/>
    <w:pPr>
      <w:ind w:left="2160" w:hanging="720"/>
    </w:pPr>
  </w:style>
  <w:style w:type="paragraph" w:styleId="TOC4">
    <w:name w:val="toc 4"/>
    <w:basedOn w:val="Normal"/>
    <w:next w:val="Normal"/>
    <w:autoRedefine/>
    <w:semiHidden/>
    <w:rsid w:val="00752A97"/>
    <w:pPr>
      <w:spacing w:before="120" w:after="120"/>
      <w:ind w:left="660"/>
      <w:jc w:val="left"/>
    </w:pPr>
  </w:style>
  <w:style w:type="paragraph" w:styleId="TOC5">
    <w:name w:val="toc 5"/>
    <w:basedOn w:val="Normal"/>
    <w:next w:val="Normal"/>
    <w:autoRedefine/>
    <w:semiHidden/>
    <w:rsid w:val="00752A97"/>
    <w:pPr>
      <w:spacing w:before="120" w:after="120"/>
      <w:ind w:left="880"/>
      <w:jc w:val="left"/>
    </w:pPr>
  </w:style>
  <w:style w:type="paragraph" w:styleId="TOC6">
    <w:name w:val="toc 6"/>
    <w:basedOn w:val="Normal"/>
    <w:next w:val="Normal"/>
    <w:autoRedefine/>
    <w:semiHidden/>
    <w:rsid w:val="00752A97"/>
    <w:pPr>
      <w:spacing w:before="120" w:after="120"/>
      <w:ind w:left="1100"/>
      <w:jc w:val="left"/>
    </w:pPr>
  </w:style>
  <w:style w:type="paragraph" w:styleId="TOC7">
    <w:name w:val="toc 7"/>
    <w:basedOn w:val="Normal"/>
    <w:next w:val="Normal"/>
    <w:autoRedefine/>
    <w:semiHidden/>
    <w:rsid w:val="00752A97"/>
    <w:pPr>
      <w:spacing w:before="120" w:after="120"/>
      <w:ind w:left="1320"/>
      <w:jc w:val="left"/>
    </w:pPr>
  </w:style>
  <w:style w:type="paragraph" w:styleId="TOC8">
    <w:name w:val="toc 8"/>
    <w:basedOn w:val="Normal"/>
    <w:next w:val="Normal"/>
    <w:autoRedefine/>
    <w:semiHidden/>
    <w:rsid w:val="00752A97"/>
    <w:pPr>
      <w:spacing w:before="120" w:after="120"/>
      <w:ind w:left="1540"/>
      <w:jc w:val="left"/>
    </w:pPr>
  </w:style>
  <w:style w:type="paragraph" w:styleId="TOC9">
    <w:name w:val="toc 9"/>
    <w:basedOn w:val="Normal"/>
    <w:next w:val="Normal"/>
    <w:autoRedefine/>
    <w:semiHidden/>
    <w:rsid w:val="00752A97"/>
    <w:pPr>
      <w:spacing w:before="120" w:after="120"/>
      <w:ind w:left="1760"/>
      <w:jc w:val="left"/>
    </w:pPr>
  </w:style>
  <w:style w:type="character" w:styleId="Hyperlink">
    <w:name w:val="Hyperlink"/>
    <w:basedOn w:val="DefaultParagraphFont"/>
    <w:rsid w:val="00752A97"/>
    <w:rPr>
      <w:color w:val="0000FF"/>
      <w:sz w:val="18"/>
      <w:szCs w:val="18"/>
      <w:u w:val="single"/>
    </w:rPr>
  </w:style>
  <w:style w:type="character" w:customStyle="1" w:styleId="Para1Char">
    <w:name w:val="Para1 Char"/>
    <w:locked/>
    <w:rsid w:val="00752A97"/>
    <w:rPr>
      <w:rFonts w:eastAsia="MS Mincho"/>
      <w:sz w:val="18"/>
      <w:szCs w:val="18"/>
      <w:lang w:val="en-GB"/>
    </w:rPr>
  </w:style>
  <w:style w:type="paragraph" w:customStyle="1" w:styleId="CBD-Doc-Type">
    <w:name w:val="CBD-Doc-Type"/>
    <w:basedOn w:val="Normal"/>
    <w:rsid w:val="00752A97"/>
    <w:pPr>
      <w:keepLines/>
      <w:spacing w:before="240" w:after="120"/>
    </w:pPr>
    <w:rPr>
      <w:b/>
      <w:bCs/>
      <w:i/>
      <w:iCs/>
      <w:sz w:val="24"/>
      <w:szCs w:val="24"/>
    </w:rPr>
  </w:style>
  <w:style w:type="paragraph" w:customStyle="1" w:styleId="CBD-Doc">
    <w:name w:val="CBD-Doc"/>
    <w:basedOn w:val="Normal"/>
    <w:rsid w:val="00752A97"/>
    <w:pPr>
      <w:keepLines/>
      <w:numPr>
        <w:numId w:val="4"/>
      </w:numPr>
      <w:spacing w:after="120"/>
    </w:pPr>
  </w:style>
  <w:style w:type="paragraph" w:styleId="ListParagraph">
    <w:name w:val="List Paragraph"/>
    <w:basedOn w:val="Normal"/>
    <w:qFormat/>
    <w:rsid w:val="00752A97"/>
    <w:pPr>
      <w:ind w:left="720"/>
    </w:pPr>
  </w:style>
  <w:style w:type="paragraph" w:styleId="Caption">
    <w:name w:val="caption"/>
    <w:basedOn w:val="Normal"/>
    <w:next w:val="Normal"/>
    <w:qFormat/>
    <w:rsid w:val="00752A97"/>
    <w:pPr>
      <w:keepNext/>
      <w:keepLines/>
      <w:spacing w:after="200"/>
    </w:pPr>
    <w:rPr>
      <w:b/>
      <w:bCs/>
    </w:rPr>
  </w:style>
  <w:style w:type="paragraph" w:customStyle="1" w:styleId="Style1">
    <w:name w:val="Style1"/>
    <w:basedOn w:val="Heading2"/>
    <w:rsid w:val="00752A97"/>
    <w:rPr>
      <w:i/>
      <w:i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rsid w:val="00752A97"/>
    <w:pPr>
      <w:spacing w:after="160" w:line="240" w:lineRule="exact"/>
      <w:jc w:val="left"/>
    </w:pPr>
    <w:rPr>
      <w:vertAlign w:val="superscript"/>
      <w:lang w:val="en-US"/>
    </w:rPr>
  </w:style>
  <w:style w:type="paragraph" w:customStyle="1" w:styleId="TableParagraph">
    <w:name w:val="Table Paragraph"/>
    <w:basedOn w:val="Normal"/>
    <w:rsid w:val="00752A97"/>
    <w:pPr>
      <w:widowControl w:val="0"/>
      <w:autoSpaceDE w:val="0"/>
      <w:autoSpaceDN w:val="0"/>
      <w:spacing w:before="123"/>
      <w:jc w:val="right"/>
    </w:pPr>
    <w:rPr>
      <w:rFonts w:ascii="Arial" w:eastAsia="Times New Roman" w:hAnsi="Arial" w:cs="Arial"/>
      <w:lang w:val="en-US"/>
    </w:rPr>
  </w:style>
  <w:style w:type="paragraph" w:styleId="CommentSubject">
    <w:name w:val="annotation subject"/>
    <w:basedOn w:val="CommentText"/>
    <w:next w:val="CommentText"/>
    <w:semiHidden/>
    <w:rsid w:val="00752A97"/>
    <w:pPr>
      <w:widowControl w:val="0"/>
      <w:autoSpaceDE w:val="0"/>
      <w:autoSpaceDN w:val="0"/>
      <w:spacing w:after="0" w:line="240" w:lineRule="auto"/>
      <w:jc w:val="left"/>
    </w:pPr>
    <w:rPr>
      <w:rFonts w:ascii="Arial" w:eastAsia="Times New Roman" w:hAnsi="Arial" w:cs="Arial"/>
      <w:b/>
      <w:bCs/>
      <w:sz w:val="20"/>
      <w:szCs w:val="20"/>
      <w:lang w:val="en-US"/>
    </w:rPr>
  </w:style>
  <w:style w:type="character" w:customStyle="1" w:styleId="CommentSubjectChar">
    <w:name w:val="Comment Subject Char"/>
    <w:basedOn w:val="CommentTextChar"/>
    <w:semiHidden/>
    <w:locked/>
    <w:rsid w:val="00752A97"/>
    <w:rPr>
      <w:rFonts w:ascii="Arial" w:eastAsia="Times New Roman" w:hAnsi="Arial" w:cs="Arial"/>
      <w:b/>
      <w:bCs/>
      <w:sz w:val="20"/>
      <w:szCs w:val="20"/>
      <w:lang w:val="en-US"/>
    </w:rPr>
  </w:style>
  <w:style w:type="character" w:customStyle="1" w:styleId="UnresolvedMention">
    <w:name w:val="Unresolved Mention"/>
    <w:basedOn w:val="DefaultParagraphFont"/>
    <w:semiHidden/>
    <w:rsid w:val="00752A97"/>
    <w:rPr>
      <w:color w:val="auto"/>
      <w:shd w:val="clear" w:color="auto" w:fill="auto"/>
    </w:rPr>
  </w:style>
  <w:style w:type="paragraph" w:styleId="Revision">
    <w:name w:val="Revision"/>
    <w:hidden/>
    <w:semiHidden/>
    <w:rsid w:val="00752A97"/>
    <w:rPr>
      <w:rFonts w:ascii="Arial" w:hAnsi="Arial" w:cs="Arial"/>
      <w:snapToGrid w:val="0"/>
      <w:sz w:val="22"/>
      <w:szCs w:val="22"/>
    </w:rPr>
  </w:style>
  <w:style w:type="paragraph" w:styleId="NormalWeb">
    <w:name w:val="Normal (Web)"/>
    <w:basedOn w:val="Normal"/>
    <w:semiHidden/>
    <w:rsid w:val="00752A97"/>
    <w:pPr>
      <w:widowControl w:val="0"/>
      <w:autoSpaceDE w:val="0"/>
      <w:autoSpaceDN w:val="0"/>
      <w:jc w:val="left"/>
    </w:pPr>
    <w:rPr>
      <w:rFonts w:eastAsia="Times New Roman"/>
      <w:sz w:val="24"/>
      <w:szCs w:val="24"/>
      <w:lang w:val="en-US"/>
    </w:rPr>
  </w:style>
  <w:style w:type="table" w:customStyle="1" w:styleId="TableGrid1">
    <w:name w:val="Table Grid1"/>
    <w:rsid w:val="00752A97"/>
    <w:rPr>
      <w:rFonts w:eastAsia="MS Mincho" w:cs="Times New Roman"/>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sid w:val="00752A97"/>
    <w:rPr>
      <w:rFonts w:ascii="Courier New" w:hAnsi="Courier New" w:cs="Courier New"/>
      <w:vanish/>
      <w:color w:val="800080"/>
      <w:sz w:val="24"/>
      <w:szCs w:val="24"/>
      <w:vertAlign w:val="subscript"/>
    </w:rPr>
  </w:style>
  <w:style w:type="character" w:customStyle="1" w:styleId="tw4winError">
    <w:name w:val="tw4winError"/>
    <w:rsid w:val="00752A97"/>
    <w:rPr>
      <w:rFonts w:ascii="Courier New" w:hAnsi="Courier New" w:cs="Courier New"/>
      <w:color w:val="00FF00"/>
      <w:sz w:val="40"/>
      <w:szCs w:val="40"/>
    </w:rPr>
  </w:style>
  <w:style w:type="character" w:customStyle="1" w:styleId="tw4winTerm">
    <w:name w:val="tw4winTerm"/>
    <w:rsid w:val="00752A97"/>
    <w:rPr>
      <w:color w:val="0000FF"/>
    </w:rPr>
  </w:style>
  <w:style w:type="character" w:customStyle="1" w:styleId="tw4winPopup">
    <w:name w:val="tw4winPopup"/>
    <w:rsid w:val="00752A97"/>
    <w:rPr>
      <w:rFonts w:ascii="Courier New" w:hAnsi="Courier New" w:cs="Courier New"/>
      <w:noProof/>
      <w:color w:val="008000"/>
    </w:rPr>
  </w:style>
  <w:style w:type="character" w:customStyle="1" w:styleId="tw4winJump">
    <w:name w:val="tw4winJump"/>
    <w:rsid w:val="00752A97"/>
    <w:rPr>
      <w:rFonts w:ascii="Courier New" w:hAnsi="Courier New" w:cs="Courier New"/>
      <w:noProof/>
      <w:color w:val="008080"/>
    </w:rPr>
  </w:style>
  <w:style w:type="character" w:customStyle="1" w:styleId="tw4winExternal">
    <w:name w:val="tw4winExternal"/>
    <w:rsid w:val="00752A97"/>
    <w:rPr>
      <w:rFonts w:ascii="Courier New" w:hAnsi="Courier New" w:cs="Courier New"/>
      <w:noProof/>
      <w:color w:val="808080"/>
    </w:rPr>
  </w:style>
  <w:style w:type="character" w:customStyle="1" w:styleId="tw4winInternal">
    <w:name w:val="tw4winInternal"/>
    <w:rsid w:val="00752A97"/>
    <w:rPr>
      <w:rFonts w:ascii="Courier New" w:hAnsi="Courier New" w:cs="Courier New"/>
      <w:noProof/>
      <w:color w:val="FF0000"/>
    </w:rPr>
  </w:style>
  <w:style w:type="character" w:customStyle="1" w:styleId="DONOTTRANSLATE">
    <w:name w:val="DO_NOT_TRANSLATE"/>
    <w:rsid w:val="00752A97"/>
    <w:rPr>
      <w:rFonts w:ascii="Courier New" w:hAnsi="Courier New" w:cs="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bd.int/world/map.shtml?country=k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23-es.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c/41b4/1505/d0b205e153652d16848195f5/wg2020-03-06-es.pdf" TargetMode="External"/><Relationship Id="rId1" Type="http://schemas.openxmlformats.org/officeDocument/2006/relationships/hyperlink" Target="https://www.biodiversityfinance.net/colomb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C5C6D-EDDA-4608-AF7C-7E55165F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17</Pages>
  <Words>8866</Words>
  <Characters>46373</Characters>
  <Application>Microsoft Office Word</Application>
  <DocSecurity>0</DocSecurity>
  <Lines>1008</Lines>
  <Paragraphs>536</Paragraphs>
  <ScaleCrop>false</ScaleCrop>
  <HeadingPairs>
    <vt:vector size="2" baseType="variant">
      <vt:variant>
        <vt:lpstr>Title</vt:lpstr>
      </vt:variant>
      <vt:variant>
        <vt:i4>1</vt:i4>
      </vt:variant>
    </vt:vector>
  </HeadingPairs>
  <TitlesOfParts>
    <vt:vector size="1" baseType="lpstr">
      <vt:lpstr>REPORT OF THE FULL ASSESSMENT OF FUNDS NEEDED FOR THE IMPLEMENTATION OF THE CONVENTION AND ITS PROTOCOLS DURING THE EIGHTH REPLENISHMENT PERIOD OF THE GLOBAL ENVIRONMENT FACILITY (JULY 2022 TO JUNE 2026) - EXECUTIVE SUMMARY</vt:lpstr>
    </vt:vector>
  </TitlesOfParts>
  <Company>SCBD</Company>
  <LinksUpToDate>false</LinksUpToDate>
  <CharactersWithSpaces>54703</CharactersWithSpaces>
  <SharedDoc>false</SharedDoc>
  <HLinks>
    <vt:vector size="30" baseType="variant">
      <vt:variant>
        <vt:i4>2228285</vt:i4>
      </vt:variant>
      <vt:variant>
        <vt:i4>3</vt:i4>
      </vt:variant>
      <vt:variant>
        <vt:i4>0</vt:i4>
      </vt:variant>
      <vt:variant>
        <vt:i4>5</vt:i4>
      </vt:variant>
      <vt:variant>
        <vt:lpwstr>https://www.cbd.int/world/map.shtml?country=kp</vt:lpwstr>
      </vt:variant>
      <vt:variant>
        <vt:lpwstr/>
      </vt:variant>
      <vt:variant>
        <vt:i4>786517</vt:i4>
      </vt:variant>
      <vt:variant>
        <vt:i4>0</vt:i4>
      </vt:variant>
      <vt:variant>
        <vt:i4>0</vt:i4>
      </vt:variant>
      <vt:variant>
        <vt:i4>5</vt:i4>
      </vt:variant>
      <vt:variant>
        <vt:lpwstr>https://www.cbd.int/doc/decisions/cop-14/cop-14-dec-23-es.pdf</vt:lpwstr>
      </vt:variant>
      <vt:variant>
        <vt:lpwstr/>
      </vt:variant>
      <vt:variant>
        <vt:i4>4653063</vt:i4>
      </vt:variant>
      <vt:variant>
        <vt:i4>6</vt:i4>
      </vt:variant>
      <vt:variant>
        <vt:i4>0</vt:i4>
      </vt:variant>
      <vt:variant>
        <vt:i4>5</vt:i4>
      </vt:variant>
      <vt:variant>
        <vt:lpwstr>https://www.cbd.int/doc/c/41b4/1505/d0b205e153652d16848195f5/wg2020-03-06-es.pdf</vt:lpwstr>
      </vt:variant>
      <vt:variant>
        <vt:lpwstr/>
      </vt:variant>
      <vt:variant>
        <vt:i4>1507399</vt:i4>
      </vt:variant>
      <vt:variant>
        <vt:i4>3</vt:i4>
      </vt:variant>
      <vt:variant>
        <vt:i4>0</vt:i4>
      </vt:variant>
      <vt:variant>
        <vt:i4>5</vt:i4>
      </vt:variant>
      <vt:variant>
        <vt:lpwstr>https://www.cbd.int/financial/gef8needs.shtml</vt:lpwstr>
      </vt:variant>
      <vt:variant>
        <vt:lpwstr/>
      </vt:variant>
      <vt:variant>
        <vt:i4>6094932</vt:i4>
      </vt:variant>
      <vt:variant>
        <vt:i4>0</vt:i4>
      </vt:variant>
      <vt:variant>
        <vt:i4>0</vt:i4>
      </vt:variant>
      <vt:variant>
        <vt:i4>5</vt:i4>
      </vt:variant>
      <vt:variant>
        <vt:lpwstr>https://www.biodiversityfinance.net/colombia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FULL ASSESSMENT OF FUNDS NEEDED FOR THE IMPLEMENTATION OF THE CONVENTION AND ITS PROTOCOLS DURING THE EIGHTH REPLENISHMENT PERIOD OF THE GLOBAL ENVIRONMENT FACILITY (JULY 2022 TO JUNE 2026) - EXECUTIVE SUMMARY</dc:title>
  <dc:subject>CBD/SBI/3/6/Add.2/Rev.1</dc:subject>
  <dc:creator>SCBD</dc:creator>
  <cp:keywords>Convention on Biological Diversity</cp:keywords>
  <cp:lastModifiedBy>Laura Perez</cp:lastModifiedBy>
  <cp:revision>26</cp:revision>
  <cp:lastPrinted>2020-01-21T16:56:00Z</cp:lastPrinted>
  <dcterms:created xsi:type="dcterms:W3CDTF">2022-02-07T17:37:00Z</dcterms:created>
  <dcterms:modified xsi:type="dcterms:W3CDTF">2022-02-09T00:46:00Z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