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2494A353" w14:textId="77777777" w:rsidTr="008A1499">
        <w:trPr>
          <w:trHeight w:val="850"/>
        </w:trPr>
        <w:tc>
          <w:tcPr>
            <w:tcW w:w="975" w:type="dxa"/>
            <w:vAlign w:val="bottom"/>
          </w:tcPr>
          <w:p w14:paraId="34FB5A2C"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9BF1C2F" w14:textId="77777777" w:rsidR="008A1499" w:rsidRPr="003F1A75" w:rsidRDefault="008A1499" w:rsidP="008A1499">
            <w:pPr>
              <w:pStyle w:val="AASmallLogo"/>
            </w:pPr>
          </w:p>
        </w:tc>
        <w:tc>
          <w:tcPr>
            <w:tcW w:w="1434" w:type="dxa"/>
            <w:noWrap/>
            <w:vAlign w:val="bottom"/>
          </w:tcPr>
          <w:p w14:paraId="23A8F484"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23B943B2" w14:textId="77777777" w:rsidR="008A1499" w:rsidRPr="003F1A75" w:rsidRDefault="008A1499" w:rsidP="008A1499">
            <w:pPr>
              <w:pStyle w:val="AASmallLogo"/>
            </w:pPr>
          </w:p>
        </w:tc>
        <w:tc>
          <w:tcPr>
            <w:tcW w:w="8073" w:type="dxa"/>
            <w:vAlign w:val="bottom"/>
          </w:tcPr>
          <w:p w14:paraId="1566D20B" w14:textId="4F313727" w:rsidR="008A1499" w:rsidRPr="003F1A75" w:rsidRDefault="008A1499" w:rsidP="003F1A75">
            <w:pPr>
              <w:pStyle w:val="ABSymbol"/>
            </w:pPr>
            <w:r w:rsidRPr="003F1A75">
              <w:rPr>
                <w:sz w:val="40"/>
              </w:rPr>
              <w:t>CBD</w:t>
            </w:r>
            <w:r w:rsidRPr="003F1A75">
              <w:t>/</w:t>
            </w:r>
            <w:r w:rsidR="00975047">
              <w:t>NP</w:t>
            </w:r>
            <w:r w:rsidRPr="003F1A75">
              <w:t>/</w:t>
            </w:r>
            <w:r w:rsidR="00975047">
              <w:t>MOP/6/</w:t>
            </w:r>
            <w:r w:rsidR="00B71CB4">
              <w:t>L.5</w:t>
            </w:r>
          </w:p>
        </w:tc>
      </w:tr>
    </w:tbl>
    <w:p w14:paraId="754A6AE2"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D3122D5" w14:textId="77777777" w:rsidTr="008A1499">
        <w:trPr>
          <w:trHeight w:val="1814"/>
        </w:trPr>
        <w:tc>
          <w:tcPr>
            <w:tcW w:w="7370" w:type="dxa"/>
          </w:tcPr>
          <w:p w14:paraId="42F36819"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0EED54A3" w14:textId="77777777" w:rsidR="008A1499" w:rsidRPr="003F1A75" w:rsidRDefault="008A1499" w:rsidP="008A1499">
            <w:pPr>
              <w:pStyle w:val="ACLargeLogo"/>
            </w:pPr>
          </w:p>
        </w:tc>
        <w:tc>
          <w:tcPr>
            <w:tcW w:w="3112" w:type="dxa"/>
          </w:tcPr>
          <w:p w14:paraId="41D4A49E" w14:textId="1A7506B3" w:rsidR="008A1499" w:rsidRPr="003F1A75" w:rsidRDefault="008A1499" w:rsidP="008A1499">
            <w:pPr>
              <w:pStyle w:val="AEDistrNormal"/>
            </w:pPr>
            <w:r w:rsidRPr="003F1A75">
              <w:t xml:space="preserve">Distr.: </w:t>
            </w:r>
            <w:r w:rsidR="0087796A">
              <w:t>Limited</w:t>
            </w:r>
            <w:r w:rsidRPr="003F1A75">
              <w:t xml:space="preserve"> </w:t>
            </w:r>
          </w:p>
          <w:p w14:paraId="15BC0C1B" w14:textId="2E1DABF6" w:rsidR="008A1499" w:rsidRPr="003F1A75" w:rsidRDefault="001A6A15" w:rsidP="008A1499">
            <w:pPr>
              <w:pStyle w:val="AEDistrNormal"/>
            </w:pPr>
            <w:r>
              <w:t>2</w:t>
            </w:r>
            <w:r w:rsidR="00B71CB4">
              <w:t>3</w:t>
            </w:r>
            <w:r w:rsidR="00BD5749">
              <w:t xml:space="preserve"> </w:t>
            </w:r>
            <w:r w:rsidR="0087796A">
              <w:t>October 2026</w:t>
            </w:r>
          </w:p>
          <w:p w14:paraId="6A291EF4" w14:textId="77777777" w:rsidR="008A1499" w:rsidRPr="003F1A75" w:rsidRDefault="008A1499" w:rsidP="008A1499">
            <w:pPr>
              <w:pStyle w:val="AEDistrNormal6pt"/>
            </w:pPr>
            <w:r w:rsidRPr="003F1A75">
              <w:t xml:space="preserve">Original: English </w:t>
            </w:r>
          </w:p>
          <w:p w14:paraId="46956ADB" w14:textId="77777777" w:rsidR="008A1499" w:rsidRPr="003F1A75" w:rsidRDefault="008A1499" w:rsidP="008A1499">
            <w:pPr>
              <w:pStyle w:val="AEDistrNormal6pt"/>
            </w:pPr>
          </w:p>
        </w:tc>
      </w:tr>
    </w:tbl>
    <w:p w14:paraId="111225F7"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43E59709" w14:textId="77777777" w:rsidTr="008A1499">
        <w:trPr>
          <w:trHeight w:val="57"/>
        </w:trPr>
        <w:tc>
          <w:tcPr>
            <w:tcW w:w="6094" w:type="dxa"/>
          </w:tcPr>
          <w:p w14:paraId="00472D75" w14:textId="77777777" w:rsidR="008A1499" w:rsidRPr="003F1A75" w:rsidRDefault="00975047" w:rsidP="008A1499">
            <w:pPr>
              <w:pStyle w:val="AFCorN12Bold"/>
            </w:pPr>
            <w:r>
              <w:t>Conference of the Parties to the Convention on Biological Diversity serving as the meeting of the Parties to the Nagoya Protocol on Access to Genetic Resources and the Fair and Equitable Sharing of Benefits Arising from Their Utilization</w:t>
            </w:r>
          </w:p>
          <w:p w14:paraId="45A781DF" w14:textId="77777777" w:rsidR="008A1499" w:rsidRPr="003F1A75" w:rsidRDefault="00975047" w:rsidP="008A1499">
            <w:pPr>
              <w:pStyle w:val="AFCorNBold"/>
            </w:pPr>
            <w:r>
              <w:t>Six</w:t>
            </w:r>
            <w:r w:rsidR="008A1499" w:rsidRPr="003F1A75">
              <w:t xml:space="preserve">th meeting </w:t>
            </w:r>
          </w:p>
          <w:p w14:paraId="462E33D6" w14:textId="77777777" w:rsidR="008A1499" w:rsidRPr="003F1A75" w:rsidRDefault="00975047" w:rsidP="008A1499">
            <w:pPr>
              <w:pStyle w:val="AFCorNNormal"/>
            </w:pPr>
            <w:r w:rsidRPr="00975047">
              <w:t>Yerevan, 19–30 October 2026</w:t>
            </w:r>
          </w:p>
          <w:p w14:paraId="75876936" w14:textId="03682FA8" w:rsidR="008A1499" w:rsidRPr="003F1A75" w:rsidRDefault="0087796A" w:rsidP="008A1499">
            <w:pPr>
              <w:pStyle w:val="AFCorNNormal"/>
            </w:pPr>
            <w:r>
              <w:t>Agenda i</w:t>
            </w:r>
            <w:r w:rsidR="008A1499" w:rsidRPr="003F1A75">
              <w:t xml:space="preserve">tem </w:t>
            </w:r>
            <w:r w:rsidR="00BD5749">
              <w:t>9</w:t>
            </w:r>
            <w:r w:rsidR="008A1499" w:rsidRPr="003F1A75">
              <w:t xml:space="preserve"> </w:t>
            </w:r>
          </w:p>
          <w:p w14:paraId="66DC3FF7" w14:textId="7DA6EF3D" w:rsidR="005649FD" w:rsidRPr="005649FD" w:rsidRDefault="005F39C6" w:rsidP="001146C4">
            <w:pPr>
              <w:pStyle w:val="AFCorNBold"/>
            </w:pPr>
            <w:r w:rsidRPr="005F39C6">
              <w:t>Enhancing the implementation of the Nagoya Protocol</w:t>
            </w:r>
          </w:p>
        </w:tc>
        <w:tc>
          <w:tcPr>
            <w:tcW w:w="4388" w:type="dxa"/>
          </w:tcPr>
          <w:p w14:paraId="2A8ED09B" w14:textId="77777777" w:rsidR="008A1499" w:rsidRPr="003F1A75" w:rsidRDefault="008A1499" w:rsidP="008A1499">
            <w:pPr>
              <w:pStyle w:val="CBDNormal"/>
              <w:jc w:val="left"/>
            </w:pPr>
          </w:p>
        </w:tc>
      </w:tr>
    </w:tbl>
    <w:p w14:paraId="59E00E1B" w14:textId="4923EB16" w:rsidR="00C9161D" w:rsidRPr="003F1A75" w:rsidRDefault="00BE7C19" w:rsidP="001A6A15">
      <w:pPr>
        <w:pStyle w:val="CBDTitle"/>
        <w:rPr>
          <w:caps/>
        </w:rPr>
      </w:pPr>
      <w:sdt>
        <w:sdt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EndPr/>
        <w:sdtContent>
          <w:r w:rsidR="005F39C6" w:rsidRPr="001A6A15">
            <w:t>Enhancing the implementation of the Nagoya Protocol</w:t>
          </w:r>
        </w:sdtContent>
      </w:sdt>
      <w:r w:rsidR="00105372" w:rsidRPr="003F1A75">
        <w:rPr>
          <w:caps/>
        </w:rPr>
        <w:t xml:space="preserve"> </w:t>
      </w:r>
    </w:p>
    <w:p w14:paraId="48F29D90" w14:textId="46A6EF9C" w:rsidR="005649FD" w:rsidRDefault="005649FD" w:rsidP="005F39C6">
      <w:pPr>
        <w:pStyle w:val="CBDSubTitle"/>
      </w:pPr>
      <w:r>
        <w:t xml:space="preserve">Draft decision submitted by </w:t>
      </w:r>
      <w:r w:rsidR="00F30F12">
        <w:t>the Chair of Working Group I</w:t>
      </w:r>
    </w:p>
    <w:p w14:paraId="7C6A8994" w14:textId="77777777" w:rsidR="00E8556C" w:rsidRPr="006B144A" w:rsidRDefault="00E8556C" w:rsidP="00E8556C">
      <w:pPr>
        <w:pStyle w:val="Para20"/>
        <w:keepNext/>
        <w:ind w:left="567" w:firstLine="567"/>
        <w:rPr>
          <w:i/>
          <w:iCs/>
        </w:rPr>
      </w:pPr>
      <w:r w:rsidRPr="006B144A">
        <w:rPr>
          <w:i/>
          <w:iCs/>
        </w:rPr>
        <w:t>The Conference of the Parties serving as the meeting of the Parties to the Nagoya Protocol</w:t>
      </w:r>
    </w:p>
    <w:p w14:paraId="1E2CDDC4" w14:textId="77777777" w:rsidR="00E8556C" w:rsidRPr="006B144A" w:rsidRDefault="00E8556C" w:rsidP="00E8556C">
      <w:pPr>
        <w:pStyle w:val="CBDNormalNoNumber"/>
        <w:keepNext/>
        <w:rPr>
          <w:bCs/>
          <w:u w:color="000000"/>
          <w:bdr w:val="nil"/>
        </w:rPr>
      </w:pPr>
      <w:r w:rsidRPr="006B144A">
        <w:rPr>
          <w:b/>
          <w:bCs/>
          <w:u w:color="000000"/>
          <w:bdr w:val="nil"/>
        </w:rPr>
        <w:t>I</w:t>
      </w:r>
      <w:r w:rsidRPr="006B144A">
        <w:rPr>
          <w:b/>
          <w:bCs/>
          <w:u w:color="000000"/>
          <w:bdr w:val="nil"/>
        </w:rPr>
        <w:br/>
        <w:t>Capacity-building and development and awareness-raising</w:t>
      </w:r>
    </w:p>
    <w:p w14:paraId="3A446A5E" w14:textId="0834EB27" w:rsidR="00E8556C" w:rsidRPr="00095629" w:rsidRDefault="00E8556C" w:rsidP="00E8556C">
      <w:pPr>
        <w:pStyle w:val="CBDNormalNoNumber"/>
        <w:ind w:firstLine="567"/>
        <w:rPr>
          <w:rFonts w:eastAsia="Times New Roman"/>
          <w:color w:val="000000" w:themeColor="text1"/>
          <w:kern w:val="22"/>
        </w:rPr>
      </w:pPr>
      <w:r w:rsidRPr="00095629">
        <w:rPr>
          <w:rFonts w:eastAsia="Times New Roman"/>
          <w:kern w:val="22"/>
        </w:rPr>
        <w:t>1.</w:t>
      </w:r>
      <w:r w:rsidRPr="00095629">
        <w:rPr>
          <w:rFonts w:eastAsia="Times New Roman"/>
          <w:kern w:val="22"/>
        </w:rPr>
        <w:tab/>
      </w:r>
      <w:r w:rsidRPr="00095629">
        <w:rPr>
          <w:i/>
        </w:rPr>
        <w:t xml:space="preserve">Recalls </w:t>
      </w:r>
      <w:r w:rsidRPr="00095629">
        <w:rPr>
          <w:iCs/>
        </w:rPr>
        <w:t xml:space="preserve">its </w:t>
      </w:r>
      <w:r w:rsidRPr="00095629">
        <w:rPr>
          <w:rFonts w:eastAsia="Times New Roman"/>
          <w:color w:val="000000" w:themeColor="text1"/>
          <w:kern w:val="22"/>
        </w:rPr>
        <w:t xml:space="preserve">decision </w:t>
      </w:r>
      <w:hyperlink r:id="rId15" w:history="1">
        <w:r w:rsidRPr="00095629">
          <w:rPr>
            <w:rStyle w:val="Hyperlink"/>
            <w:rFonts w:eastAsia="Times New Roman"/>
            <w:kern w:val="22"/>
          </w:rPr>
          <w:t>NP-5/3</w:t>
        </w:r>
      </w:hyperlink>
      <w:r w:rsidRPr="0093372E">
        <w:t xml:space="preserve"> of 1 November 2024</w:t>
      </w:r>
      <w:r w:rsidRPr="00095629">
        <w:rPr>
          <w:rFonts w:eastAsia="Times New Roman"/>
          <w:color w:val="000000" w:themeColor="text1"/>
          <w:kern w:val="22"/>
        </w:rPr>
        <w:t xml:space="preserve">, by which </w:t>
      </w:r>
      <w:r w:rsidRPr="006B144A">
        <w:t xml:space="preserve">it </w:t>
      </w:r>
      <w:r w:rsidRPr="00095629">
        <w:rPr>
          <w:rFonts w:eastAsia="Times New Roman"/>
          <w:color w:val="000000" w:themeColor="text1"/>
          <w:kern w:val="22"/>
        </w:rPr>
        <w:t>adopted the capacity-building and development action plan for the Nagoya Protocol</w:t>
      </w:r>
      <w:r w:rsidRPr="006B144A">
        <w:t xml:space="preserve"> on Access to Genetic Resources and the Fair and Equitable Sharing of Benefits Arising from Their Utilization</w:t>
      </w:r>
      <w:r w:rsidRPr="00095629">
        <w:rPr>
          <w:rFonts w:eastAsia="Times New Roman"/>
          <w:color w:val="000000" w:themeColor="text1"/>
          <w:kern w:val="22"/>
        </w:rPr>
        <w:t>,</w:t>
      </w:r>
      <w:r w:rsidRPr="0093372E">
        <w:rPr>
          <w:rStyle w:val="FootnoteReference"/>
        </w:rPr>
        <w:footnoteReference w:id="1"/>
      </w:r>
      <w:r w:rsidRPr="00095629">
        <w:rPr>
          <w:rFonts w:eastAsia="Times New Roman"/>
          <w:color w:val="000000" w:themeColor="text1"/>
          <w:kern w:val="22"/>
        </w:rPr>
        <w:t xml:space="preserve"> and its </w:t>
      </w:r>
      <w:r w:rsidRPr="006B144A">
        <w:t>decision</w:t>
      </w:r>
      <w:r w:rsidRPr="00095629">
        <w:rPr>
          <w:rFonts w:eastAsia="Times New Roman"/>
          <w:color w:val="000000" w:themeColor="text1"/>
          <w:kern w:val="22"/>
        </w:rPr>
        <w:t xml:space="preserve"> </w:t>
      </w:r>
      <w:hyperlink r:id="rId16" w:history="1">
        <w:r w:rsidRPr="00095629">
          <w:rPr>
            <w:rStyle w:val="Hyperlink"/>
            <w:rFonts w:eastAsia="Times New Roman"/>
            <w:kern w:val="22"/>
          </w:rPr>
          <w:t>NP-1/9</w:t>
        </w:r>
      </w:hyperlink>
      <w:r w:rsidRPr="00095629">
        <w:rPr>
          <w:rFonts w:eastAsia="Times New Roman"/>
          <w:color w:val="000000" w:themeColor="text1"/>
          <w:kern w:val="22"/>
        </w:rPr>
        <w:t xml:space="preserve"> of 17 October 2014, by which it adopted the awareness-raising strategy for the Protocol;</w:t>
      </w:r>
    </w:p>
    <w:p w14:paraId="6DB15A88" w14:textId="77777777" w:rsidR="00E8556C" w:rsidRPr="006B144A" w:rsidRDefault="00E8556C" w:rsidP="00E8556C">
      <w:pPr>
        <w:pStyle w:val="CBDNormalNoNumber"/>
        <w:keepNext/>
        <w:tabs>
          <w:tab w:val="clear" w:pos="567"/>
          <w:tab w:val="clear" w:pos="1134"/>
        </w:tabs>
        <w:ind w:firstLine="567"/>
        <w:rPr>
          <w:rFonts w:eastAsia="Times New Roman"/>
          <w:iCs/>
          <w:szCs w:val="24"/>
        </w:rPr>
      </w:pPr>
      <w:r w:rsidRPr="006B144A">
        <w:rPr>
          <w:rFonts w:eastAsia="Times New Roman"/>
          <w:szCs w:val="24"/>
        </w:rPr>
        <w:t>2.</w:t>
      </w:r>
      <w:r w:rsidRPr="006B144A">
        <w:rPr>
          <w:rFonts w:eastAsia="Times New Roman"/>
          <w:szCs w:val="24"/>
        </w:rPr>
        <w:tab/>
      </w:r>
      <w:r w:rsidRPr="006B144A">
        <w:rPr>
          <w:i/>
        </w:rPr>
        <w:t>Encourages</w:t>
      </w:r>
      <w:r w:rsidRPr="006B144A">
        <w:rPr>
          <w:rFonts w:eastAsia="Times New Roman"/>
          <w:color w:val="000000" w:themeColor="text1"/>
          <w:kern w:val="22"/>
        </w:rPr>
        <w:t xml:space="preserve"> Parties, other Governments and relevant </w:t>
      </w:r>
      <w:r>
        <w:rPr>
          <w:rFonts w:eastAsia="Times New Roman"/>
          <w:color w:val="000000" w:themeColor="text1"/>
          <w:kern w:val="22"/>
        </w:rPr>
        <w:t xml:space="preserve">stakeholders and </w:t>
      </w:r>
      <w:r w:rsidRPr="006B144A">
        <w:rPr>
          <w:rFonts w:eastAsia="Times New Roman"/>
          <w:color w:val="000000" w:themeColor="text1"/>
          <w:kern w:val="22"/>
        </w:rPr>
        <w:t xml:space="preserve">organizations, including the regional and subregional technical and </w:t>
      </w:r>
      <w:r w:rsidRPr="006B144A">
        <w:t>scientific</w:t>
      </w:r>
      <w:r w:rsidRPr="006B144A">
        <w:rPr>
          <w:rFonts w:eastAsia="Times New Roman"/>
          <w:color w:val="000000" w:themeColor="text1"/>
          <w:kern w:val="22"/>
        </w:rPr>
        <w:t xml:space="preserve"> cooperation support centres, in a position</w:t>
      </w:r>
      <w:r w:rsidRPr="006B144A">
        <w:rPr>
          <w:rFonts w:eastAsia="Times New Roman"/>
          <w:iCs/>
          <w:szCs w:val="24"/>
        </w:rPr>
        <w:t xml:space="preserve"> to do so</w:t>
      </w:r>
      <w:r>
        <w:rPr>
          <w:rFonts w:eastAsia="Times New Roman"/>
          <w:iCs/>
          <w:szCs w:val="24"/>
        </w:rPr>
        <w:t xml:space="preserve">, </w:t>
      </w:r>
      <w:proofErr w:type="gramStart"/>
      <w:r>
        <w:rPr>
          <w:rFonts w:eastAsia="Times New Roman"/>
          <w:iCs/>
          <w:szCs w:val="24"/>
        </w:rPr>
        <w:t>taking into account</w:t>
      </w:r>
      <w:proofErr w:type="gramEnd"/>
      <w:r>
        <w:rPr>
          <w:rFonts w:eastAsia="Times New Roman"/>
          <w:iCs/>
          <w:szCs w:val="24"/>
        </w:rPr>
        <w:t xml:space="preserve"> national circumstances, priorities, capabilities and legislation</w:t>
      </w:r>
      <w:r w:rsidRPr="006B144A">
        <w:rPr>
          <w:rFonts w:eastAsia="Times New Roman"/>
          <w:iCs/>
          <w:szCs w:val="24"/>
        </w:rPr>
        <w:t>:</w:t>
      </w:r>
    </w:p>
    <w:p w14:paraId="47EB1110" w14:textId="77777777" w:rsidR="00E8556C" w:rsidRPr="006B144A" w:rsidRDefault="00E8556C" w:rsidP="00E8556C">
      <w:pPr>
        <w:pStyle w:val="CBDNormalNoNumber"/>
        <w:tabs>
          <w:tab w:val="clear" w:pos="567"/>
          <w:tab w:val="clear" w:pos="1134"/>
        </w:tabs>
        <w:ind w:firstLine="567"/>
        <w:rPr>
          <w:rFonts w:eastAsia="Times New Roman"/>
          <w:iCs/>
          <w:szCs w:val="24"/>
        </w:rPr>
      </w:pPr>
      <w:r w:rsidRPr="006B144A">
        <w:rPr>
          <w:rFonts w:eastAsia="Times New Roman"/>
          <w:iCs/>
          <w:szCs w:val="24"/>
        </w:rPr>
        <w:t>(a)</w:t>
      </w:r>
      <w:r w:rsidRPr="006B144A">
        <w:rPr>
          <w:rFonts w:eastAsia="Times New Roman"/>
          <w:iCs/>
          <w:szCs w:val="24"/>
        </w:rPr>
        <w:tab/>
        <w:t xml:space="preserve">To </w:t>
      </w:r>
      <w:r>
        <w:rPr>
          <w:rFonts w:eastAsia="Times New Roman"/>
          <w:iCs/>
          <w:szCs w:val="24"/>
        </w:rPr>
        <w:t>enhance</w:t>
      </w:r>
      <w:r w:rsidRPr="006B144A">
        <w:rPr>
          <w:rFonts w:eastAsia="Times New Roman"/>
          <w:iCs/>
          <w:szCs w:val="24"/>
        </w:rPr>
        <w:t xml:space="preserve"> their efforts to build</w:t>
      </w:r>
      <w:r>
        <w:rPr>
          <w:rFonts w:eastAsia="Times New Roman"/>
          <w:iCs/>
          <w:szCs w:val="24"/>
        </w:rPr>
        <w:t xml:space="preserve"> long-term</w:t>
      </w:r>
      <w:r w:rsidRPr="006B144A">
        <w:rPr>
          <w:rFonts w:eastAsia="Times New Roman"/>
          <w:iCs/>
          <w:szCs w:val="24"/>
        </w:rPr>
        <w:t xml:space="preserve"> </w:t>
      </w:r>
      <w:r w:rsidRPr="006B144A">
        <w:t>capacity</w:t>
      </w:r>
      <w:r w:rsidRPr="006B144A">
        <w:rPr>
          <w:rFonts w:eastAsia="Times New Roman"/>
          <w:iCs/>
          <w:szCs w:val="24"/>
        </w:rPr>
        <w:t xml:space="preserve"> </w:t>
      </w:r>
      <w:r>
        <w:rPr>
          <w:rFonts w:eastAsia="Times New Roman"/>
          <w:iCs/>
          <w:szCs w:val="24"/>
        </w:rPr>
        <w:t>for</w:t>
      </w:r>
      <w:r w:rsidRPr="006B144A">
        <w:rPr>
          <w:rFonts w:eastAsia="Times New Roman"/>
          <w:iCs/>
          <w:szCs w:val="24"/>
        </w:rPr>
        <w:t xml:space="preserve"> implement</w:t>
      </w:r>
      <w:r>
        <w:rPr>
          <w:rFonts w:eastAsia="Times New Roman"/>
          <w:iCs/>
          <w:szCs w:val="24"/>
        </w:rPr>
        <w:t>ing</w:t>
      </w:r>
      <w:r w:rsidRPr="006B144A">
        <w:rPr>
          <w:rFonts w:eastAsia="Times New Roman"/>
          <w:iCs/>
          <w:szCs w:val="24"/>
        </w:rPr>
        <w:t xml:space="preserve"> the Nagoya Protocol, in accordance with its Article 22</w:t>
      </w:r>
      <w:r>
        <w:rPr>
          <w:rFonts w:eastAsia="Times New Roman"/>
          <w:iCs/>
          <w:szCs w:val="24"/>
        </w:rPr>
        <w:t xml:space="preserve"> and the </w:t>
      </w:r>
      <w:r w:rsidRPr="006B144A">
        <w:rPr>
          <w:rFonts w:eastAsia="Times New Roman"/>
          <w:color w:val="000000" w:themeColor="text1"/>
          <w:kern w:val="22"/>
        </w:rPr>
        <w:t>capacity-building and development action plan</w:t>
      </w:r>
      <w:r w:rsidRPr="003D042C">
        <w:rPr>
          <w:rFonts w:eastAsia="Times New Roman"/>
          <w:color w:val="000000" w:themeColor="text1"/>
          <w:kern w:val="22"/>
        </w:rPr>
        <w:t xml:space="preserve"> </w:t>
      </w:r>
      <w:r w:rsidRPr="006B144A">
        <w:rPr>
          <w:rFonts w:eastAsia="Times New Roman"/>
          <w:color w:val="000000" w:themeColor="text1"/>
          <w:kern w:val="22"/>
        </w:rPr>
        <w:t>for the Protocol</w:t>
      </w:r>
      <w:r w:rsidRPr="006B144A">
        <w:rPr>
          <w:rFonts w:eastAsia="Times New Roman"/>
          <w:iCs/>
          <w:szCs w:val="24"/>
        </w:rPr>
        <w:t>;</w:t>
      </w:r>
    </w:p>
    <w:p w14:paraId="1FFA5DD1" w14:textId="77777777" w:rsidR="00E8556C" w:rsidRPr="00020787" w:rsidRDefault="00E8556C" w:rsidP="00E8556C">
      <w:pPr>
        <w:pStyle w:val="CBDNormalNoNumber"/>
        <w:tabs>
          <w:tab w:val="clear" w:pos="567"/>
          <w:tab w:val="clear" w:pos="1134"/>
        </w:tabs>
        <w:ind w:firstLine="567"/>
        <w:rPr>
          <w:rFonts w:eastAsia="Times New Roman"/>
          <w:iCs/>
          <w:szCs w:val="24"/>
        </w:rPr>
      </w:pPr>
      <w:r w:rsidRPr="006B144A">
        <w:rPr>
          <w:rFonts w:eastAsia="Times New Roman"/>
          <w:iCs/>
          <w:szCs w:val="24"/>
        </w:rPr>
        <w:t>(b)</w:t>
      </w:r>
      <w:r w:rsidRPr="006B144A">
        <w:rPr>
          <w:rFonts w:eastAsia="Times New Roman"/>
          <w:iCs/>
          <w:szCs w:val="24"/>
        </w:rPr>
        <w:tab/>
        <w:t xml:space="preserve">To take into account the key findings and messages of the second assessment and review </w:t>
      </w:r>
      <w:r w:rsidRPr="0093372E">
        <w:t xml:space="preserve">of the effectiveness </w:t>
      </w:r>
      <w:r w:rsidRPr="006B144A">
        <w:rPr>
          <w:rFonts w:eastAsia="Times New Roman"/>
          <w:iCs/>
          <w:szCs w:val="24"/>
        </w:rPr>
        <w:t xml:space="preserve">of the Nagoya Protocol, which include areas where Parties require further support, and the indicative actions that </w:t>
      </w:r>
      <w:r>
        <w:rPr>
          <w:rFonts w:eastAsia="Times New Roman"/>
          <w:iCs/>
          <w:szCs w:val="24"/>
        </w:rPr>
        <w:t>could</w:t>
      </w:r>
      <w:r w:rsidRPr="006B144A">
        <w:rPr>
          <w:rFonts w:eastAsia="Times New Roman"/>
          <w:iCs/>
          <w:szCs w:val="24"/>
        </w:rPr>
        <w:t xml:space="preserve"> be taken at the national level to enhance the </w:t>
      </w:r>
      <w:r w:rsidRPr="00020787">
        <w:rPr>
          <w:rFonts w:eastAsia="Times New Roman"/>
          <w:iCs/>
          <w:szCs w:val="24"/>
        </w:rPr>
        <w:t>implementation of the Protocol;</w:t>
      </w:r>
      <w:r w:rsidRPr="00020787">
        <w:rPr>
          <w:rStyle w:val="FootnoteReference"/>
          <w:rFonts w:eastAsia="Times New Roman"/>
          <w:iCs/>
          <w:szCs w:val="24"/>
        </w:rPr>
        <w:footnoteReference w:id="2"/>
      </w:r>
    </w:p>
    <w:p w14:paraId="62EDEDF2" w14:textId="77777777" w:rsidR="00E8556C" w:rsidRPr="006B144A" w:rsidRDefault="00E8556C" w:rsidP="00E8556C">
      <w:pPr>
        <w:pStyle w:val="CBDNormalNoNumber"/>
        <w:tabs>
          <w:tab w:val="clear" w:pos="567"/>
          <w:tab w:val="clear" w:pos="1134"/>
        </w:tabs>
        <w:ind w:firstLine="567"/>
        <w:rPr>
          <w:rFonts w:eastAsia="Times New Roman"/>
          <w:iCs/>
          <w:szCs w:val="24"/>
        </w:rPr>
      </w:pPr>
      <w:r w:rsidRPr="00020787">
        <w:rPr>
          <w:rFonts w:eastAsia="Times New Roman"/>
          <w:iCs/>
          <w:szCs w:val="24"/>
        </w:rPr>
        <w:t>(</w:t>
      </w:r>
      <w:r>
        <w:rPr>
          <w:rFonts w:eastAsia="Times New Roman"/>
          <w:iCs/>
          <w:szCs w:val="24"/>
        </w:rPr>
        <w:t>c)</w:t>
      </w:r>
      <w:r>
        <w:rPr>
          <w:rFonts w:eastAsia="Times New Roman"/>
          <w:iCs/>
          <w:szCs w:val="24"/>
        </w:rPr>
        <w:tab/>
      </w:r>
      <w:r w:rsidRPr="007A4CE9">
        <w:rPr>
          <w:rFonts w:eastAsia="Times New Roman"/>
          <w:iCs/>
          <w:szCs w:val="24"/>
        </w:rPr>
        <w:t xml:space="preserve">To strengthen </w:t>
      </w:r>
      <w:r>
        <w:rPr>
          <w:rFonts w:eastAsia="Times New Roman"/>
          <w:iCs/>
          <w:szCs w:val="24"/>
        </w:rPr>
        <w:t xml:space="preserve">the </w:t>
      </w:r>
      <w:r w:rsidRPr="007A4CE9">
        <w:rPr>
          <w:rFonts w:eastAsia="Times New Roman"/>
          <w:iCs/>
          <w:szCs w:val="24"/>
        </w:rPr>
        <w:t xml:space="preserve">capacities of national authorities to implement the </w:t>
      </w:r>
      <w:r>
        <w:rPr>
          <w:rFonts w:eastAsia="Times New Roman"/>
          <w:iCs/>
          <w:szCs w:val="24"/>
        </w:rPr>
        <w:t xml:space="preserve">Nagoya </w:t>
      </w:r>
      <w:r w:rsidRPr="007A4CE9">
        <w:rPr>
          <w:rFonts w:eastAsia="Times New Roman"/>
          <w:iCs/>
          <w:szCs w:val="24"/>
        </w:rPr>
        <w:t xml:space="preserve">Protocol and domestic access and benefit-sharing measures, including </w:t>
      </w:r>
      <w:r>
        <w:rPr>
          <w:rFonts w:eastAsia="Times New Roman"/>
          <w:iCs/>
          <w:szCs w:val="24"/>
        </w:rPr>
        <w:t xml:space="preserve">the </w:t>
      </w:r>
      <w:r w:rsidRPr="007A4CE9">
        <w:rPr>
          <w:rFonts w:eastAsia="Times New Roman"/>
          <w:iCs/>
          <w:szCs w:val="24"/>
        </w:rPr>
        <w:t xml:space="preserve">capacity </w:t>
      </w:r>
      <w:r>
        <w:rPr>
          <w:rFonts w:eastAsia="Times New Roman"/>
          <w:iCs/>
        </w:rPr>
        <w:t>for</w:t>
      </w:r>
      <w:r w:rsidRPr="006D09F9">
        <w:rPr>
          <w:rFonts w:eastAsia="Times New Roman"/>
          <w:iCs/>
          <w:szCs w:val="24"/>
        </w:rPr>
        <w:t xml:space="preserve"> </w:t>
      </w:r>
      <w:r>
        <w:rPr>
          <w:rFonts w:eastAsia="Times New Roman"/>
          <w:iCs/>
        </w:rPr>
        <w:t xml:space="preserve">undertaking the following in an </w:t>
      </w:r>
      <w:r w:rsidRPr="003F54B6">
        <w:rPr>
          <w:rFonts w:eastAsia="Times New Roman"/>
          <w:iCs/>
          <w:szCs w:val="24"/>
        </w:rPr>
        <w:t xml:space="preserve">efficient and effective </w:t>
      </w:r>
      <w:r>
        <w:rPr>
          <w:rFonts w:eastAsia="Times New Roman"/>
          <w:iCs/>
        </w:rPr>
        <w:t xml:space="preserve">manner: </w:t>
      </w:r>
      <w:r w:rsidRPr="007A4CE9">
        <w:rPr>
          <w:rFonts w:eastAsia="Times New Roman"/>
          <w:iCs/>
          <w:szCs w:val="24"/>
        </w:rPr>
        <w:t>manag</w:t>
      </w:r>
      <w:r>
        <w:rPr>
          <w:rFonts w:eastAsia="Times New Roman"/>
          <w:iCs/>
          <w:szCs w:val="24"/>
        </w:rPr>
        <w:t>ing</w:t>
      </w:r>
      <w:r w:rsidRPr="007A4CE9">
        <w:rPr>
          <w:rFonts w:eastAsia="Times New Roman"/>
          <w:iCs/>
          <w:szCs w:val="24"/>
        </w:rPr>
        <w:t xml:space="preserve"> processes for granting access,</w:t>
      </w:r>
      <w:r>
        <w:rPr>
          <w:rFonts w:eastAsia="Times New Roman"/>
          <w:iCs/>
          <w:szCs w:val="24"/>
        </w:rPr>
        <w:t xml:space="preserve"> providing timely responses to requests for information by users of genetic resources,</w:t>
      </w:r>
      <w:r w:rsidRPr="007A4CE9">
        <w:rPr>
          <w:rFonts w:eastAsia="Times New Roman"/>
          <w:iCs/>
          <w:szCs w:val="24"/>
        </w:rPr>
        <w:t xml:space="preserve"> negotiat</w:t>
      </w:r>
      <w:r>
        <w:rPr>
          <w:rFonts w:eastAsia="Times New Roman"/>
          <w:iCs/>
          <w:szCs w:val="24"/>
        </w:rPr>
        <w:t>ing</w:t>
      </w:r>
      <w:r w:rsidRPr="007A4CE9">
        <w:rPr>
          <w:rFonts w:eastAsia="Times New Roman"/>
          <w:iCs/>
          <w:szCs w:val="24"/>
        </w:rPr>
        <w:t xml:space="preserve"> </w:t>
      </w:r>
      <w:r>
        <w:rPr>
          <w:rFonts w:eastAsia="Times New Roman"/>
          <w:iCs/>
          <w:szCs w:val="24"/>
        </w:rPr>
        <w:t xml:space="preserve">mutually agreed terms </w:t>
      </w:r>
      <w:r w:rsidRPr="007A4CE9">
        <w:rPr>
          <w:rFonts w:eastAsia="Times New Roman"/>
          <w:iCs/>
          <w:szCs w:val="24"/>
        </w:rPr>
        <w:t>and ensur</w:t>
      </w:r>
      <w:r>
        <w:rPr>
          <w:rFonts w:eastAsia="Times New Roman"/>
          <w:iCs/>
          <w:szCs w:val="24"/>
        </w:rPr>
        <w:t>ing</w:t>
      </w:r>
      <w:r w:rsidRPr="007A4CE9">
        <w:rPr>
          <w:rFonts w:eastAsia="Times New Roman"/>
          <w:iCs/>
          <w:szCs w:val="24"/>
        </w:rPr>
        <w:t xml:space="preserve"> compliance </w:t>
      </w:r>
      <w:r>
        <w:rPr>
          <w:rFonts w:eastAsia="Times New Roman"/>
          <w:iCs/>
          <w:szCs w:val="24"/>
        </w:rPr>
        <w:t>in accordance with Articles [10,] 15, 16, 17 and 18 of the Protocol;</w:t>
      </w:r>
    </w:p>
    <w:p w14:paraId="5CCE40A4" w14:textId="77777777" w:rsidR="00E8556C" w:rsidRPr="006B144A" w:rsidRDefault="00E8556C" w:rsidP="00E8556C">
      <w:pPr>
        <w:pStyle w:val="CBDNormalNoNumber"/>
        <w:tabs>
          <w:tab w:val="clear" w:pos="567"/>
          <w:tab w:val="clear" w:pos="1134"/>
        </w:tabs>
        <w:ind w:firstLine="567"/>
        <w:rPr>
          <w:rFonts w:eastAsia="Times New Roman"/>
          <w:iCs/>
          <w:szCs w:val="24"/>
        </w:rPr>
      </w:pPr>
      <w:r w:rsidRPr="006B144A">
        <w:rPr>
          <w:rFonts w:eastAsia="Times New Roman"/>
          <w:iCs/>
          <w:szCs w:val="24"/>
        </w:rPr>
        <w:lastRenderedPageBreak/>
        <w:t>(</w:t>
      </w:r>
      <w:r>
        <w:rPr>
          <w:rFonts w:eastAsia="Times New Roman"/>
          <w:iCs/>
          <w:szCs w:val="24"/>
        </w:rPr>
        <w:t>d</w:t>
      </w:r>
      <w:r w:rsidRPr="006B144A">
        <w:rPr>
          <w:rFonts w:eastAsia="Times New Roman"/>
          <w:iCs/>
          <w:szCs w:val="24"/>
        </w:rPr>
        <w:t>)</w:t>
      </w:r>
      <w:r w:rsidRPr="006B144A">
        <w:rPr>
          <w:rFonts w:eastAsia="Times New Roman"/>
          <w:iCs/>
          <w:szCs w:val="24"/>
        </w:rPr>
        <w:tab/>
        <w:t xml:space="preserve">To promote the exchange of experiences, best practices, success stories and lessons learned in the implementation of the Nagoya Protocol </w:t>
      </w:r>
      <w:r w:rsidRPr="006B144A">
        <w:t>among</w:t>
      </w:r>
      <w:r w:rsidRPr="006B144A">
        <w:rPr>
          <w:rFonts w:eastAsia="Times New Roman"/>
          <w:iCs/>
          <w:szCs w:val="24"/>
        </w:rPr>
        <w:t xml:space="preserve"> a wide range of actors involved in access and benefit-sharing processes, </w:t>
      </w:r>
      <w:r>
        <w:rPr>
          <w:rFonts w:eastAsia="Times New Roman"/>
          <w:iCs/>
          <w:szCs w:val="24"/>
        </w:rPr>
        <w:t xml:space="preserve">and </w:t>
      </w:r>
      <w:r w:rsidRPr="006B144A">
        <w:rPr>
          <w:rFonts w:eastAsia="Times New Roman"/>
          <w:iCs/>
          <w:szCs w:val="24"/>
        </w:rPr>
        <w:t xml:space="preserve">develop guidance, </w:t>
      </w:r>
      <w:proofErr w:type="gramStart"/>
      <w:r w:rsidRPr="006B144A">
        <w:rPr>
          <w:rFonts w:eastAsia="Times New Roman"/>
          <w:iCs/>
          <w:szCs w:val="24"/>
        </w:rPr>
        <w:t>in particular on</w:t>
      </w:r>
      <w:proofErr w:type="gramEnd"/>
      <w:r w:rsidRPr="006B144A">
        <w:rPr>
          <w:rFonts w:eastAsia="Times New Roman"/>
          <w:iCs/>
          <w:szCs w:val="24"/>
        </w:rPr>
        <w:t xml:space="preserve"> the areas identified in the key findings and messages</w:t>
      </w:r>
      <w:r>
        <w:rPr>
          <w:rFonts w:eastAsia="Times New Roman"/>
          <w:iCs/>
          <w:szCs w:val="24"/>
        </w:rPr>
        <w:t>;</w:t>
      </w:r>
    </w:p>
    <w:p w14:paraId="6F92CAB6" w14:textId="77777777" w:rsidR="00E8556C" w:rsidRPr="006B144A" w:rsidRDefault="00E8556C" w:rsidP="00E8556C">
      <w:pPr>
        <w:pStyle w:val="CBDNormalNoNumber"/>
        <w:tabs>
          <w:tab w:val="clear" w:pos="567"/>
          <w:tab w:val="clear" w:pos="1134"/>
        </w:tabs>
        <w:ind w:firstLine="567"/>
        <w:rPr>
          <w:rFonts w:eastAsia="Times New Roman"/>
          <w:iCs/>
          <w:szCs w:val="24"/>
        </w:rPr>
      </w:pPr>
      <w:r w:rsidRPr="006B144A">
        <w:rPr>
          <w:rFonts w:eastAsia="Times New Roman"/>
          <w:iCs/>
          <w:szCs w:val="24"/>
        </w:rPr>
        <w:t>(</w:t>
      </w:r>
      <w:r>
        <w:rPr>
          <w:rFonts w:eastAsia="Times New Roman"/>
          <w:iCs/>
          <w:szCs w:val="24"/>
        </w:rPr>
        <w:t>e</w:t>
      </w:r>
      <w:r w:rsidRPr="006B144A">
        <w:rPr>
          <w:rFonts w:eastAsia="Times New Roman"/>
          <w:iCs/>
          <w:szCs w:val="24"/>
        </w:rPr>
        <w:t>)</w:t>
      </w:r>
      <w:r w:rsidRPr="006B144A">
        <w:rPr>
          <w:rFonts w:eastAsia="Times New Roman"/>
          <w:iCs/>
          <w:szCs w:val="24"/>
        </w:rPr>
        <w:tab/>
        <w:t xml:space="preserve">To promote the development of regional and </w:t>
      </w:r>
      <w:r w:rsidRPr="006B144A">
        <w:t>global</w:t>
      </w:r>
      <w:r w:rsidRPr="006B144A">
        <w:rPr>
          <w:rFonts w:eastAsia="Times New Roman"/>
          <w:iCs/>
          <w:szCs w:val="24"/>
        </w:rPr>
        <w:t xml:space="preserve"> initiatives to facilitate the exchange of experiences and lessons learned among different actors</w:t>
      </w:r>
      <w:r>
        <w:rPr>
          <w:rFonts w:eastAsia="Times New Roman"/>
          <w:iCs/>
          <w:szCs w:val="24"/>
        </w:rPr>
        <w:t>, including indigenous peoples and local communities</w:t>
      </w:r>
      <w:r w:rsidRPr="006B144A">
        <w:rPr>
          <w:rFonts w:eastAsia="Times New Roman"/>
          <w:iCs/>
          <w:szCs w:val="24"/>
        </w:rPr>
        <w:t>;</w:t>
      </w:r>
    </w:p>
    <w:p w14:paraId="6D77A0F9" w14:textId="77777777" w:rsidR="00E8556C" w:rsidRPr="006B144A" w:rsidRDefault="00E8556C" w:rsidP="00E8556C">
      <w:pPr>
        <w:pStyle w:val="CBDNormalNoNumber"/>
        <w:tabs>
          <w:tab w:val="clear" w:pos="567"/>
          <w:tab w:val="clear" w:pos="1134"/>
        </w:tabs>
        <w:ind w:firstLine="567"/>
        <w:rPr>
          <w:u w:color="000000"/>
          <w:bdr w:val="nil"/>
        </w:rPr>
      </w:pPr>
      <w:r w:rsidRPr="006B144A">
        <w:rPr>
          <w:u w:color="000000"/>
          <w:bdr w:val="nil"/>
        </w:rPr>
        <w:t>(</w:t>
      </w:r>
      <w:r>
        <w:rPr>
          <w:u w:color="000000"/>
          <w:bdr w:val="nil"/>
        </w:rPr>
        <w:t>f</w:t>
      </w:r>
      <w:r w:rsidRPr="006B144A">
        <w:rPr>
          <w:u w:color="000000"/>
          <w:bdr w:val="nil"/>
        </w:rPr>
        <w:t>)</w:t>
      </w:r>
      <w:r w:rsidRPr="006B144A">
        <w:rPr>
          <w:u w:color="000000"/>
          <w:bdr w:val="nil"/>
        </w:rPr>
        <w:tab/>
        <w:t xml:space="preserve">To establish or strengthen mechanisms that facilitate partnerships between users and providers of genetic resources and </w:t>
      </w:r>
      <w:r>
        <w:rPr>
          <w:u w:color="000000"/>
          <w:bdr w:val="nil"/>
        </w:rPr>
        <w:t xml:space="preserve">holders of </w:t>
      </w:r>
      <w:r w:rsidRPr="006B144A">
        <w:rPr>
          <w:u w:color="000000"/>
          <w:bdr w:val="nil"/>
        </w:rPr>
        <w:t xml:space="preserve">associated </w:t>
      </w:r>
      <w:r w:rsidRPr="006B144A">
        <w:t>traditional</w:t>
      </w:r>
      <w:r w:rsidRPr="006B144A">
        <w:rPr>
          <w:u w:color="000000"/>
          <w:bdr w:val="nil"/>
        </w:rPr>
        <w:t xml:space="preserve"> knowledge;</w:t>
      </w:r>
    </w:p>
    <w:p w14:paraId="21677036" w14:textId="77777777" w:rsidR="00E8556C" w:rsidRPr="006B144A" w:rsidRDefault="00E8556C" w:rsidP="00E8556C">
      <w:pPr>
        <w:pStyle w:val="CBDNormalNoNumber"/>
        <w:tabs>
          <w:tab w:val="clear" w:pos="567"/>
          <w:tab w:val="clear" w:pos="1134"/>
        </w:tabs>
        <w:ind w:firstLine="567"/>
        <w:rPr>
          <w:rFonts w:eastAsia="Times New Roman"/>
          <w:iCs/>
          <w:szCs w:val="24"/>
        </w:rPr>
      </w:pPr>
      <w:r w:rsidRPr="006B144A">
        <w:rPr>
          <w:rFonts w:eastAsia="Times New Roman"/>
          <w:iCs/>
          <w:szCs w:val="24"/>
        </w:rPr>
        <w:t>(</w:t>
      </w:r>
      <w:r>
        <w:rPr>
          <w:rFonts w:eastAsia="Times New Roman"/>
          <w:iCs/>
          <w:szCs w:val="24"/>
        </w:rPr>
        <w:t>g</w:t>
      </w:r>
      <w:r w:rsidRPr="006B144A">
        <w:rPr>
          <w:rFonts w:eastAsia="Times New Roman"/>
          <w:iCs/>
          <w:szCs w:val="24"/>
        </w:rPr>
        <w:t>)</w:t>
      </w:r>
      <w:r w:rsidRPr="006B144A">
        <w:rPr>
          <w:rFonts w:eastAsia="Times New Roman"/>
          <w:iCs/>
          <w:szCs w:val="24"/>
        </w:rPr>
        <w:tab/>
      </w:r>
      <w:r w:rsidRPr="006B144A">
        <w:rPr>
          <w:u w:color="000000"/>
          <w:bdr w:val="nil"/>
        </w:rPr>
        <w:t>To document and share</w:t>
      </w:r>
      <w:r w:rsidRPr="00C07E31">
        <w:rPr>
          <w:u w:color="000000"/>
          <w:bdr w:val="nil"/>
        </w:rPr>
        <w:t xml:space="preserve"> through the Access and Benefit-sharing Clearing‑House</w:t>
      </w:r>
      <w:r w:rsidRPr="006B144A">
        <w:rPr>
          <w:u w:color="000000"/>
          <w:bdr w:val="nil"/>
        </w:rPr>
        <w:t xml:space="preserve"> lessons learned</w:t>
      </w:r>
      <w:r>
        <w:rPr>
          <w:u w:color="000000"/>
          <w:bdr w:val="nil"/>
        </w:rPr>
        <w:t>,</w:t>
      </w:r>
      <w:r w:rsidRPr="006B144A">
        <w:rPr>
          <w:u w:color="000000"/>
          <w:bdr w:val="nil"/>
        </w:rPr>
        <w:t xml:space="preserve"> best practices and capacity-building and development resources for the implementation of the </w:t>
      </w:r>
      <w:r w:rsidRPr="006B144A">
        <w:rPr>
          <w:rFonts w:eastAsia="Times New Roman"/>
          <w:iCs/>
          <w:szCs w:val="24"/>
        </w:rPr>
        <w:t xml:space="preserve">Nagoya </w:t>
      </w:r>
      <w:r w:rsidRPr="006B144A">
        <w:t>Protocol</w:t>
      </w:r>
      <w:r>
        <w:t>;</w:t>
      </w:r>
    </w:p>
    <w:p w14:paraId="184895EC" w14:textId="77777777" w:rsidR="00E8556C" w:rsidRPr="006B144A" w:rsidRDefault="00E8556C" w:rsidP="00E8556C">
      <w:pPr>
        <w:pStyle w:val="CBDNormalNoNumber"/>
        <w:tabs>
          <w:tab w:val="clear" w:pos="567"/>
          <w:tab w:val="clear" w:pos="1134"/>
        </w:tabs>
        <w:ind w:firstLine="567"/>
        <w:rPr>
          <w:u w:color="000000"/>
          <w:bdr w:val="nil"/>
        </w:rPr>
      </w:pPr>
      <w:r w:rsidRPr="006B144A">
        <w:rPr>
          <w:u w:color="000000"/>
          <w:bdr w:val="nil"/>
        </w:rPr>
        <w:t>(</w:t>
      </w:r>
      <w:r>
        <w:rPr>
          <w:u w:color="000000"/>
          <w:bdr w:val="nil"/>
        </w:rPr>
        <w:t>h</w:t>
      </w:r>
      <w:r w:rsidRPr="006B144A">
        <w:rPr>
          <w:u w:color="000000"/>
          <w:bdr w:val="nil"/>
        </w:rPr>
        <w:t>)</w:t>
      </w:r>
      <w:r w:rsidRPr="006B144A">
        <w:rPr>
          <w:u w:color="000000"/>
          <w:bdr w:val="nil"/>
        </w:rPr>
        <w:tab/>
        <w:t xml:space="preserve">To support work on information systems that facilitate access </w:t>
      </w:r>
      <w:r>
        <w:rPr>
          <w:u w:color="000000"/>
          <w:bdr w:val="nil"/>
        </w:rPr>
        <w:t xml:space="preserve">and </w:t>
      </w:r>
      <w:r w:rsidRPr="006B144A">
        <w:rPr>
          <w:u w:color="000000"/>
          <w:bdr w:val="nil"/>
        </w:rPr>
        <w:t xml:space="preserve">benefit-sharing and compliance with the Nagoya Protocol and to make those systems </w:t>
      </w:r>
      <w:r w:rsidRPr="006B144A">
        <w:t>interoperable</w:t>
      </w:r>
      <w:r w:rsidRPr="006B144A">
        <w:rPr>
          <w:u w:color="000000"/>
          <w:bdr w:val="nil"/>
        </w:rPr>
        <w:t xml:space="preserve"> with the Access and Benefit-sharing Clearing-House, as appropriate;</w:t>
      </w:r>
    </w:p>
    <w:p w14:paraId="33AC2B18" w14:textId="77777777" w:rsidR="00E8556C" w:rsidRPr="006B144A" w:rsidRDefault="00E8556C" w:rsidP="00E8556C">
      <w:pPr>
        <w:pStyle w:val="CBDNormalNoNumber"/>
        <w:tabs>
          <w:tab w:val="clear" w:pos="567"/>
          <w:tab w:val="clear" w:pos="1134"/>
        </w:tabs>
        <w:ind w:firstLine="567"/>
        <w:rPr>
          <w:u w:color="000000"/>
          <w:bdr w:val="nil"/>
        </w:rPr>
      </w:pPr>
      <w:r w:rsidRPr="006B144A">
        <w:rPr>
          <w:u w:color="000000"/>
          <w:bdr w:val="nil"/>
        </w:rPr>
        <w:t>(</w:t>
      </w:r>
      <w:proofErr w:type="spellStart"/>
      <w:r>
        <w:rPr>
          <w:u w:color="000000"/>
          <w:bdr w:val="nil"/>
        </w:rPr>
        <w:t>i</w:t>
      </w:r>
      <w:proofErr w:type="spellEnd"/>
      <w:r w:rsidRPr="006B144A">
        <w:rPr>
          <w:u w:color="000000"/>
          <w:bdr w:val="nil"/>
        </w:rPr>
        <w:t>)</w:t>
      </w:r>
      <w:r w:rsidRPr="006B144A">
        <w:rPr>
          <w:u w:color="000000"/>
          <w:bdr w:val="nil"/>
        </w:rPr>
        <w:tab/>
        <w:t xml:space="preserve">To support the publication </w:t>
      </w:r>
      <w:r>
        <w:rPr>
          <w:u w:color="000000"/>
          <w:bdr w:val="nil"/>
        </w:rPr>
        <w:t xml:space="preserve">and </w:t>
      </w:r>
      <w:r w:rsidRPr="006B144A">
        <w:rPr>
          <w:u w:color="000000"/>
          <w:bdr w:val="nil"/>
        </w:rPr>
        <w:t>use</w:t>
      </w:r>
      <w:r>
        <w:rPr>
          <w:u w:color="000000"/>
          <w:bdr w:val="nil"/>
        </w:rPr>
        <w:t xml:space="preserve"> </w:t>
      </w:r>
      <w:r w:rsidRPr="006B144A">
        <w:rPr>
          <w:u w:color="000000"/>
          <w:bdr w:val="nil"/>
        </w:rPr>
        <w:t xml:space="preserve">of information in the Access and Benefit-sharing Clearing-House by </w:t>
      </w:r>
      <w:r w:rsidRPr="006B144A">
        <w:t>indigenous</w:t>
      </w:r>
      <w:r w:rsidRPr="006B144A">
        <w:rPr>
          <w:u w:color="000000"/>
          <w:bdr w:val="nil"/>
        </w:rPr>
        <w:t xml:space="preserve"> peoples and local communities</w:t>
      </w:r>
      <w:r w:rsidRPr="0093372E">
        <w:t xml:space="preserve">, </w:t>
      </w:r>
      <w:r>
        <w:t xml:space="preserve">for example </w:t>
      </w:r>
      <w:r w:rsidRPr="0093372E">
        <w:t xml:space="preserve">by incorporating training on the </w:t>
      </w:r>
      <w:proofErr w:type="gramStart"/>
      <w:r w:rsidRPr="0093372E">
        <w:t>Clearing-House</w:t>
      </w:r>
      <w:proofErr w:type="gramEnd"/>
      <w:r w:rsidRPr="0093372E">
        <w:t xml:space="preserve"> into relevant capacity-building and development activities, as appropriate;</w:t>
      </w:r>
    </w:p>
    <w:p w14:paraId="6EFDFF93" w14:textId="77777777" w:rsidR="00E8556C" w:rsidRPr="006B144A" w:rsidRDefault="00E8556C" w:rsidP="00E8556C">
      <w:pPr>
        <w:pStyle w:val="CBDNormalNoNumber"/>
        <w:keepNext/>
        <w:tabs>
          <w:tab w:val="clear" w:pos="567"/>
          <w:tab w:val="clear" w:pos="1134"/>
        </w:tabs>
        <w:ind w:firstLine="567"/>
      </w:pPr>
      <w:r w:rsidRPr="006B144A">
        <w:rPr>
          <w:rFonts w:eastAsia="Times New Roman"/>
        </w:rPr>
        <w:t>3.</w:t>
      </w:r>
      <w:r w:rsidRPr="006B144A">
        <w:rPr>
          <w:rFonts w:eastAsia="Times New Roman"/>
        </w:rPr>
        <w:tab/>
      </w:r>
      <w:r w:rsidRPr="006B144A">
        <w:rPr>
          <w:i/>
          <w:iCs/>
        </w:rPr>
        <w:t xml:space="preserve">Invites </w:t>
      </w:r>
      <w:r w:rsidRPr="006B144A">
        <w:t>Parties, other Governments, indigenous peoples and local communities</w:t>
      </w:r>
      <w:r>
        <w:t>,</w:t>
      </w:r>
      <w:r w:rsidRPr="006B144A">
        <w:t xml:space="preserve"> and relevant stakeholders and organizations, including, as appropriate, the </w:t>
      </w:r>
      <w:r>
        <w:t xml:space="preserve">technical and scientific </w:t>
      </w:r>
      <w:r w:rsidRPr="006B144A">
        <w:t>cooperation support centres, to strengthen communication efforts,</w:t>
      </w:r>
      <w:r>
        <w:t xml:space="preserve"> subject to the availability of resources and national priorities,</w:t>
      </w:r>
      <w:r w:rsidRPr="006B144A">
        <w:t xml:space="preserve"> including through campaigns targeted at different access and benefit-sharing actors, and to consider:</w:t>
      </w:r>
    </w:p>
    <w:p w14:paraId="21428BA9" w14:textId="77777777" w:rsidR="00E8556C" w:rsidRPr="006B144A" w:rsidRDefault="00E8556C" w:rsidP="00E8556C">
      <w:pPr>
        <w:pStyle w:val="CBDNormalNoNumber"/>
        <w:tabs>
          <w:tab w:val="clear" w:pos="567"/>
          <w:tab w:val="clear" w:pos="1134"/>
        </w:tabs>
        <w:ind w:firstLine="567"/>
        <w:rPr>
          <w:rFonts w:eastAsia="Times New Roman"/>
          <w:iCs/>
          <w:szCs w:val="24"/>
        </w:rPr>
      </w:pPr>
      <w:r w:rsidRPr="006B144A">
        <w:rPr>
          <w:rFonts w:eastAsia="Times New Roman"/>
          <w:iCs/>
          <w:szCs w:val="24"/>
        </w:rPr>
        <w:t>(a)</w:t>
      </w:r>
      <w:r w:rsidRPr="006B144A">
        <w:rPr>
          <w:rFonts w:eastAsia="Times New Roman"/>
          <w:iCs/>
          <w:szCs w:val="24"/>
        </w:rPr>
        <w:tab/>
        <w:t>Promoting the third objective of the Convention on Biological Diversity,</w:t>
      </w:r>
      <w:r w:rsidRPr="0093372E">
        <w:rPr>
          <w:rStyle w:val="FootnoteReference"/>
          <w:rFonts w:eastAsia="Times New Roman"/>
          <w:iCs/>
          <w:szCs w:val="24"/>
        </w:rPr>
        <w:footnoteReference w:id="3"/>
      </w:r>
      <w:r w:rsidRPr="006B144A">
        <w:rPr>
          <w:rFonts w:eastAsia="Times New Roman"/>
          <w:iCs/>
          <w:szCs w:val="24"/>
        </w:rPr>
        <w:t xml:space="preserve"> that is, </w:t>
      </w:r>
      <w:r w:rsidRPr="0093372E">
        <w:rPr>
          <w:rFonts w:eastAsia="Times New Roman"/>
          <w:iCs/>
          <w:szCs w:val="24"/>
        </w:rPr>
        <w:t>the fair and equitable sharing of the benefits arising out of the utilization of genetic resources,</w:t>
      </w:r>
      <w:r w:rsidRPr="006B144A">
        <w:rPr>
          <w:rFonts w:eastAsia="Times New Roman"/>
          <w:iCs/>
          <w:szCs w:val="24"/>
        </w:rPr>
        <w:t xml:space="preserve"> so that it is </w:t>
      </w:r>
      <w:r w:rsidRPr="007A4CE9">
        <w:rPr>
          <w:rFonts w:eastAsia="Times New Roman"/>
          <w:szCs w:val="24"/>
        </w:rPr>
        <w:t>recognized and perceived</w:t>
      </w:r>
      <w:r>
        <w:rPr>
          <w:rFonts w:eastAsia="Times New Roman"/>
          <w:iCs/>
          <w:szCs w:val="24"/>
        </w:rPr>
        <w:t xml:space="preserve"> </w:t>
      </w:r>
      <w:r w:rsidRPr="006B144A">
        <w:rPr>
          <w:rFonts w:eastAsia="Times New Roman"/>
          <w:iCs/>
          <w:szCs w:val="24"/>
        </w:rPr>
        <w:t xml:space="preserve">as a strategy for </w:t>
      </w:r>
      <w:proofErr w:type="spellStart"/>
      <w:r w:rsidRPr="006B144A">
        <w:rPr>
          <w:rFonts w:eastAsia="Times New Roman"/>
          <w:iCs/>
          <w:szCs w:val="24"/>
        </w:rPr>
        <w:t>valorizing</w:t>
      </w:r>
      <w:proofErr w:type="spellEnd"/>
      <w:r w:rsidRPr="006B144A">
        <w:rPr>
          <w:rFonts w:eastAsia="Times New Roman"/>
          <w:iCs/>
          <w:szCs w:val="24"/>
        </w:rPr>
        <w:t xml:space="preserve"> biodiversity, </w:t>
      </w:r>
      <w:r w:rsidRPr="006B144A">
        <w:t>supporting</w:t>
      </w:r>
      <w:r w:rsidRPr="006B144A">
        <w:rPr>
          <w:rFonts w:eastAsia="Times New Roman"/>
          <w:iCs/>
          <w:szCs w:val="24"/>
        </w:rPr>
        <w:t xml:space="preserve"> its conservation and sustainable use and creating opportunities for sustainable development</w:t>
      </w:r>
      <w:r>
        <w:rPr>
          <w:rFonts w:eastAsia="Times New Roman"/>
          <w:iCs/>
          <w:szCs w:val="24"/>
        </w:rPr>
        <w:t>,</w:t>
      </w:r>
      <w:r w:rsidRPr="006B144A">
        <w:rPr>
          <w:rFonts w:eastAsia="Times New Roman"/>
          <w:iCs/>
          <w:szCs w:val="24"/>
        </w:rPr>
        <w:t xml:space="preserve"> in </w:t>
      </w:r>
      <w:r>
        <w:rPr>
          <w:rFonts w:eastAsia="Times New Roman"/>
          <w:iCs/>
          <w:szCs w:val="24"/>
        </w:rPr>
        <w:t xml:space="preserve">line </w:t>
      </w:r>
      <w:r w:rsidRPr="006B144A">
        <w:rPr>
          <w:rFonts w:eastAsia="Times New Roman"/>
          <w:iCs/>
          <w:szCs w:val="24"/>
        </w:rPr>
        <w:t>with the key findings and messages;</w:t>
      </w:r>
    </w:p>
    <w:p w14:paraId="10F4A38C" w14:textId="77777777" w:rsidR="00E8556C" w:rsidRPr="006B144A" w:rsidRDefault="00E8556C" w:rsidP="00E8556C">
      <w:pPr>
        <w:pStyle w:val="CBDNormalNoNumber"/>
        <w:tabs>
          <w:tab w:val="clear" w:pos="567"/>
          <w:tab w:val="clear" w:pos="1134"/>
        </w:tabs>
        <w:ind w:firstLine="567"/>
        <w:rPr>
          <w:rFonts w:eastAsia="Times New Roman"/>
          <w:iCs/>
          <w:szCs w:val="24"/>
        </w:rPr>
      </w:pPr>
      <w:r w:rsidRPr="006B144A">
        <w:rPr>
          <w:rFonts w:eastAsia="Times New Roman"/>
          <w:iCs/>
          <w:szCs w:val="24"/>
        </w:rPr>
        <w:t>(b)</w:t>
      </w:r>
      <w:r w:rsidRPr="006B144A">
        <w:rPr>
          <w:rFonts w:eastAsia="Times New Roman"/>
          <w:iCs/>
          <w:szCs w:val="24"/>
        </w:rPr>
        <w:tab/>
      </w:r>
      <w:r>
        <w:rPr>
          <w:rFonts w:eastAsia="Times New Roman"/>
          <w:iCs/>
          <w:szCs w:val="24"/>
        </w:rPr>
        <w:t>Continuing the i</w:t>
      </w:r>
      <w:r w:rsidRPr="006B144A">
        <w:rPr>
          <w:rFonts w:eastAsia="Times New Roman"/>
          <w:iCs/>
          <w:szCs w:val="24"/>
        </w:rPr>
        <w:t>mplementa</w:t>
      </w:r>
      <w:r>
        <w:rPr>
          <w:rFonts w:eastAsia="Times New Roman"/>
          <w:iCs/>
          <w:szCs w:val="24"/>
        </w:rPr>
        <w:t>tion</w:t>
      </w:r>
      <w:r w:rsidRPr="006B144A">
        <w:rPr>
          <w:rFonts w:eastAsia="Times New Roman"/>
          <w:iCs/>
          <w:szCs w:val="24"/>
        </w:rPr>
        <w:t xml:space="preserve"> </w:t>
      </w:r>
      <w:r>
        <w:rPr>
          <w:rFonts w:eastAsia="Times New Roman"/>
          <w:iCs/>
          <w:szCs w:val="24"/>
        </w:rPr>
        <w:t xml:space="preserve">of </w:t>
      </w:r>
      <w:r w:rsidRPr="006B144A">
        <w:rPr>
          <w:rFonts w:eastAsia="Times New Roman"/>
          <w:iCs/>
          <w:szCs w:val="24"/>
        </w:rPr>
        <w:t>the awareness-raising strategy for the Nagoya Protocol;</w:t>
      </w:r>
    </w:p>
    <w:p w14:paraId="1432DA79" w14:textId="77777777" w:rsidR="00E8556C" w:rsidRPr="006B144A" w:rsidRDefault="00E8556C" w:rsidP="00E8556C">
      <w:pPr>
        <w:pStyle w:val="CBDNormalNoNumber"/>
        <w:tabs>
          <w:tab w:val="clear" w:pos="567"/>
          <w:tab w:val="clear" w:pos="1134"/>
        </w:tabs>
        <w:ind w:firstLine="567"/>
        <w:rPr>
          <w:rFonts w:eastAsia="Times New Roman"/>
          <w:iCs/>
          <w:szCs w:val="24"/>
        </w:rPr>
      </w:pPr>
      <w:r w:rsidRPr="006B144A">
        <w:rPr>
          <w:rFonts w:eastAsia="Times New Roman"/>
          <w:iCs/>
          <w:szCs w:val="24"/>
        </w:rPr>
        <w:t>(c)</w:t>
      </w:r>
      <w:r w:rsidRPr="006B144A">
        <w:rPr>
          <w:rFonts w:eastAsia="Times New Roman"/>
          <w:iCs/>
          <w:szCs w:val="24"/>
        </w:rPr>
        <w:tab/>
        <w:t xml:space="preserve">Using existing tools, such as the communication, </w:t>
      </w:r>
      <w:r w:rsidRPr="006B144A">
        <w:t>education</w:t>
      </w:r>
      <w:r w:rsidRPr="006B144A">
        <w:rPr>
          <w:rFonts w:eastAsia="Times New Roman"/>
          <w:iCs/>
          <w:szCs w:val="24"/>
        </w:rPr>
        <w:t xml:space="preserve"> and public awareness toolkit</w:t>
      </w:r>
      <w:r>
        <w:rPr>
          <w:rFonts w:eastAsia="Times New Roman"/>
          <w:iCs/>
          <w:szCs w:val="24"/>
        </w:rPr>
        <w:t>,</w:t>
      </w:r>
      <w:r>
        <w:rPr>
          <w:rStyle w:val="FootnoteReference"/>
          <w:rFonts w:eastAsia="Times New Roman"/>
          <w:iCs/>
          <w:szCs w:val="24"/>
        </w:rPr>
        <w:footnoteReference w:id="4"/>
      </w:r>
      <w:r w:rsidRPr="006B144A">
        <w:rPr>
          <w:rFonts w:eastAsia="Times New Roman"/>
          <w:iCs/>
          <w:szCs w:val="24"/>
        </w:rPr>
        <w:t xml:space="preserve"> including considerations for access and benefit-sharing;</w:t>
      </w:r>
    </w:p>
    <w:p w14:paraId="7DF418AA" w14:textId="77777777" w:rsidR="00E8556C" w:rsidRPr="006B144A" w:rsidRDefault="00E8556C" w:rsidP="00E8556C">
      <w:pPr>
        <w:pStyle w:val="CBDNormalNoNumber"/>
        <w:keepNext/>
        <w:tabs>
          <w:tab w:val="clear" w:pos="567"/>
          <w:tab w:val="clear" w:pos="1134"/>
        </w:tabs>
        <w:ind w:firstLine="567"/>
        <w:rPr>
          <w:rFonts w:eastAsia="Times New Roman"/>
          <w:kern w:val="22"/>
        </w:rPr>
      </w:pPr>
      <w:r w:rsidRPr="006B144A">
        <w:rPr>
          <w:rFonts w:eastAsia="Times New Roman"/>
          <w:kern w:val="22"/>
        </w:rPr>
        <w:t>4.</w:t>
      </w:r>
      <w:r w:rsidRPr="006B144A">
        <w:rPr>
          <w:rFonts w:eastAsia="Times New Roman"/>
          <w:kern w:val="22"/>
        </w:rPr>
        <w:tab/>
      </w:r>
      <w:r w:rsidRPr="006B144A">
        <w:rPr>
          <w:i/>
        </w:rPr>
        <w:t>Requests</w:t>
      </w:r>
      <w:r w:rsidRPr="006B144A">
        <w:rPr>
          <w:rFonts w:eastAsia="Times New Roman"/>
          <w:kern w:val="22"/>
        </w:rPr>
        <w:t xml:space="preserve"> the Executive Secretary, subject to the availability of resources:</w:t>
      </w:r>
    </w:p>
    <w:p w14:paraId="18632141" w14:textId="01C6B95E" w:rsidR="00E8556C" w:rsidRPr="006B144A" w:rsidRDefault="00E8556C" w:rsidP="00E8556C">
      <w:pPr>
        <w:pStyle w:val="CBDNormalNoNumber"/>
        <w:tabs>
          <w:tab w:val="clear" w:pos="567"/>
          <w:tab w:val="clear" w:pos="1134"/>
        </w:tabs>
        <w:ind w:firstLine="567"/>
        <w:rPr>
          <w:rFonts w:eastAsia="Times New Roman"/>
          <w:i/>
          <w:szCs w:val="24"/>
        </w:rPr>
      </w:pPr>
      <w:r w:rsidRPr="006B144A">
        <w:rPr>
          <w:rFonts w:eastAsia="Times New Roman"/>
          <w:szCs w:val="24"/>
        </w:rPr>
        <w:t>(a)</w:t>
      </w:r>
      <w:r w:rsidRPr="006B144A">
        <w:rPr>
          <w:rFonts w:eastAsia="Times New Roman"/>
          <w:szCs w:val="24"/>
        </w:rPr>
        <w:tab/>
        <w:t xml:space="preserve">To </w:t>
      </w:r>
      <w:r w:rsidRPr="006B144A">
        <w:rPr>
          <w:rFonts w:eastAsia="Times New Roman"/>
          <w:iCs/>
          <w:szCs w:val="24"/>
        </w:rPr>
        <w:t>contribute to and promote the communication efforts of the actors referred to in paragraph </w:t>
      </w:r>
      <w:r w:rsidRPr="006B144A">
        <w:rPr>
          <w:rFonts w:eastAsia="Times New Roman"/>
          <w:szCs w:val="24"/>
        </w:rPr>
        <w:t>3</w:t>
      </w:r>
      <w:r w:rsidRPr="006B144A">
        <w:rPr>
          <w:rFonts w:eastAsia="Times New Roman"/>
          <w:iCs/>
          <w:szCs w:val="24"/>
        </w:rPr>
        <w:t xml:space="preserve"> above by </w:t>
      </w:r>
      <w:r w:rsidRPr="002A56A3">
        <w:rPr>
          <w:rFonts w:eastAsia="Times New Roman"/>
          <w:iCs/>
          <w:szCs w:val="24"/>
        </w:rPr>
        <w:t xml:space="preserve">producing </w:t>
      </w:r>
      <w:r w:rsidRPr="006B144A">
        <w:rPr>
          <w:rFonts w:eastAsia="Times New Roman"/>
          <w:iCs/>
          <w:szCs w:val="24"/>
        </w:rPr>
        <w:t>targeted communication materials</w:t>
      </w:r>
      <w:r>
        <w:rPr>
          <w:rFonts w:eastAsia="Times New Roman"/>
          <w:iCs/>
          <w:szCs w:val="24"/>
        </w:rPr>
        <w:t xml:space="preserve"> </w:t>
      </w:r>
      <w:r w:rsidRPr="0047576C">
        <w:rPr>
          <w:rFonts w:eastAsia="Times New Roman"/>
          <w:iCs/>
          <w:szCs w:val="24"/>
        </w:rPr>
        <w:t>that highlight success stories and best practices</w:t>
      </w:r>
      <w:r w:rsidRPr="006B144A">
        <w:rPr>
          <w:rFonts w:eastAsia="Times New Roman"/>
          <w:iCs/>
          <w:szCs w:val="24"/>
        </w:rPr>
        <w:t xml:space="preserve"> and </w:t>
      </w:r>
      <w:r w:rsidR="002905D7">
        <w:rPr>
          <w:rFonts w:eastAsia="Times New Roman"/>
          <w:iCs/>
          <w:szCs w:val="24"/>
        </w:rPr>
        <w:t xml:space="preserve">by </w:t>
      </w:r>
      <w:r w:rsidRPr="006B144A">
        <w:rPr>
          <w:rFonts w:eastAsia="Times New Roman"/>
          <w:iCs/>
          <w:szCs w:val="24"/>
        </w:rPr>
        <w:t xml:space="preserve">disseminating </w:t>
      </w:r>
      <w:r>
        <w:t>such</w:t>
      </w:r>
      <w:r w:rsidRPr="006B144A">
        <w:rPr>
          <w:rFonts w:eastAsia="Times New Roman"/>
          <w:iCs/>
          <w:szCs w:val="24"/>
        </w:rPr>
        <w:t xml:space="preserve"> information, including through the Access and Benefit-sharing Clearing-House;</w:t>
      </w:r>
    </w:p>
    <w:p w14:paraId="2DFF78E1" w14:textId="77777777" w:rsidR="00E8556C" w:rsidRPr="006B144A" w:rsidRDefault="00E8556C" w:rsidP="00E8556C">
      <w:pPr>
        <w:pStyle w:val="CBDNormalNoNumber"/>
        <w:tabs>
          <w:tab w:val="clear" w:pos="567"/>
          <w:tab w:val="clear" w:pos="1134"/>
        </w:tabs>
        <w:ind w:firstLine="567"/>
        <w:rPr>
          <w:rFonts w:eastAsia="Times New Roman"/>
          <w:i/>
          <w:szCs w:val="24"/>
        </w:rPr>
      </w:pPr>
      <w:r w:rsidRPr="006B144A">
        <w:rPr>
          <w:rFonts w:eastAsia="Times New Roman"/>
          <w:szCs w:val="24"/>
        </w:rPr>
        <w:t>(b)</w:t>
      </w:r>
      <w:r w:rsidRPr="006B144A">
        <w:rPr>
          <w:rFonts w:eastAsia="Times New Roman"/>
          <w:szCs w:val="24"/>
        </w:rPr>
        <w:tab/>
        <w:t xml:space="preserve">To </w:t>
      </w:r>
      <w:r w:rsidRPr="006B144A">
        <w:rPr>
          <w:rFonts w:eastAsia="Times New Roman"/>
          <w:iCs/>
          <w:szCs w:val="24"/>
        </w:rPr>
        <w:t xml:space="preserve">facilitate and promote the exchanges referred to in </w:t>
      </w:r>
      <w:r w:rsidRPr="005439DD">
        <w:rPr>
          <w:rFonts w:eastAsia="Times New Roman"/>
          <w:iCs/>
          <w:szCs w:val="24"/>
        </w:rPr>
        <w:t>subparagraphs 2 (</w:t>
      </w:r>
      <w:r w:rsidRPr="007A4CE9">
        <w:rPr>
          <w:rFonts w:eastAsia="Times New Roman"/>
          <w:szCs w:val="24"/>
        </w:rPr>
        <w:t>d</w:t>
      </w:r>
      <w:r w:rsidRPr="005439DD">
        <w:rPr>
          <w:rFonts w:eastAsia="Times New Roman"/>
          <w:szCs w:val="24"/>
        </w:rPr>
        <w:t>) and</w:t>
      </w:r>
      <w:r>
        <w:rPr>
          <w:rFonts w:eastAsia="Times New Roman"/>
          <w:szCs w:val="24"/>
        </w:rPr>
        <w:t> </w:t>
      </w:r>
      <w:r w:rsidRPr="005439DD">
        <w:rPr>
          <w:rFonts w:eastAsia="Times New Roman"/>
          <w:szCs w:val="24"/>
        </w:rPr>
        <w:t>(</w:t>
      </w:r>
      <w:r w:rsidRPr="007A4CE9">
        <w:rPr>
          <w:rFonts w:eastAsia="Times New Roman"/>
          <w:szCs w:val="24"/>
        </w:rPr>
        <w:t>e</w:t>
      </w:r>
      <w:r w:rsidRPr="005439DD">
        <w:rPr>
          <w:rFonts w:eastAsia="Times New Roman"/>
          <w:szCs w:val="24"/>
        </w:rPr>
        <w:t>)</w:t>
      </w:r>
      <w:r w:rsidRPr="005439DD">
        <w:rPr>
          <w:rFonts w:eastAsia="Times New Roman"/>
          <w:iCs/>
          <w:szCs w:val="24"/>
        </w:rPr>
        <w:t xml:space="preserve"> above on the areas identified in the key findings and messages, includin</w:t>
      </w:r>
      <w:r>
        <w:rPr>
          <w:rFonts w:eastAsia="Times New Roman"/>
          <w:iCs/>
          <w:szCs w:val="24"/>
        </w:rPr>
        <w:t>g through the holding of regional workshops</w:t>
      </w:r>
      <w:r w:rsidRPr="006B144A">
        <w:rPr>
          <w:rFonts w:eastAsia="Times New Roman"/>
          <w:iCs/>
          <w:szCs w:val="24"/>
        </w:rPr>
        <w:t>;</w:t>
      </w:r>
    </w:p>
    <w:p w14:paraId="3CCD2768" w14:textId="77777777" w:rsidR="00E8556C" w:rsidRDefault="00E8556C" w:rsidP="00E8556C">
      <w:pPr>
        <w:pStyle w:val="CBDNormalNoNumber"/>
        <w:tabs>
          <w:tab w:val="clear" w:pos="567"/>
          <w:tab w:val="clear" w:pos="1134"/>
        </w:tabs>
        <w:ind w:firstLine="567"/>
        <w:rPr>
          <w:rFonts w:eastAsia="Times New Roman"/>
          <w:iCs/>
          <w:szCs w:val="24"/>
        </w:rPr>
      </w:pPr>
      <w:r w:rsidRPr="006B144A">
        <w:rPr>
          <w:rFonts w:eastAsia="Times New Roman"/>
          <w:szCs w:val="24"/>
        </w:rPr>
        <w:t>(c)</w:t>
      </w:r>
      <w:r w:rsidRPr="006B144A">
        <w:rPr>
          <w:rFonts w:eastAsia="Times New Roman"/>
          <w:szCs w:val="24"/>
        </w:rPr>
        <w:tab/>
        <w:t xml:space="preserve">To </w:t>
      </w:r>
      <w:r w:rsidRPr="006B144A">
        <w:rPr>
          <w:rFonts w:eastAsia="Times New Roman"/>
          <w:iCs/>
          <w:szCs w:val="24"/>
        </w:rPr>
        <w:t>promote the integration of access and benefit-sharing</w:t>
      </w:r>
      <w:r w:rsidRPr="0093372E">
        <w:t xml:space="preserve"> </w:t>
      </w:r>
      <w:r w:rsidRPr="006B144A">
        <w:rPr>
          <w:rFonts w:eastAsia="Times New Roman"/>
          <w:iCs/>
          <w:szCs w:val="24"/>
        </w:rPr>
        <w:t xml:space="preserve">in regional or subregional capacity-building </w:t>
      </w:r>
      <w:r>
        <w:rPr>
          <w:rFonts w:eastAsia="Times New Roman"/>
          <w:iCs/>
          <w:szCs w:val="24"/>
        </w:rPr>
        <w:t xml:space="preserve">and development </w:t>
      </w:r>
      <w:r w:rsidRPr="006B144A">
        <w:rPr>
          <w:rFonts w:eastAsia="Times New Roman"/>
          <w:iCs/>
          <w:szCs w:val="24"/>
        </w:rPr>
        <w:t xml:space="preserve">initiatives, existing cooperation </w:t>
      </w:r>
      <w:r w:rsidRPr="006B144A">
        <w:t>frameworks</w:t>
      </w:r>
      <w:r w:rsidRPr="006B144A">
        <w:rPr>
          <w:rFonts w:eastAsia="Times New Roman"/>
          <w:iCs/>
          <w:szCs w:val="24"/>
        </w:rPr>
        <w:t xml:space="preserve"> and the work of relevant regional and subregional institutions, including the </w:t>
      </w:r>
      <w:r w:rsidRPr="00892507">
        <w:rPr>
          <w:rFonts w:eastAsia="Times New Roman"/>
          <w:iCs/>
          <w:szCs w:val="24"/>
        </w:rPr>
        <w:t xml:space="preserve">technical and scientific cooperation </w:t>
      </w:r>
      <w:r w:rsidRPr="00892507">
        <w:rPr>
          <w:rFonts w:eastAsia="Times New Roman"/>
          <w:iCs/>
          <w:szCs w:val="24"/>
        </w:rPr>
        <w:lastRenderedPageBreak/>
        <w:t>support centres</w:t>
      </w:r>
      <w:r>
        <w:rPr>
          <w:rFonts w:eastAsia="Times New Roman"/>
          <w:iCs/>
          <w:szCs w:val="24"/>
        </w:rPr>
        <w:t>, and to support, through those centres, the establishment and operationalization of checkpoints under Article 17 of the Nagoya Protocol</w:t>
      </w:r>
      <w:r w:rsidRPr="006B144A">
        <w:rPr>
          <w:rFonts w:eastAsia="Times New Roman"/>
          <w:iCs/>
          <w:szCs w:val="24"/>
        </w:rPr>
        <w:t>;</w:t>
      </w:r>
    </w:p>
    <w:p w14:paraId="256D8831" w14:textId="7BCFB4D3" w:rsidR="00E8556C" w:rsidRPr="006B144A" w:rsidRDefault="00E8556C" w:rsidP="00E8556C">
      <w:pPr>
        <w:pStyle w:val="CBDNormalNoNumber"/>
        <w:tabs>
          <w:tab w:val="clear" w:pos="567"/>
          <w:tab w:val="clear" w:pos="1134"/>
        </w:tabs>
        <w:ind w:firstLine="567"/>
        <w:rPr>
          <w:rFonts w:eastAsia="Times New Roman"/>
          <w:i/>
          <w:szCs w:val="24"/>
        </w:rPr>
      </w:pPr>
      <w:r w:rsidRPr="00CD774B">
        <w:rPr>
          <w:rFonts w:eastAsia="Times New Roman"/>
          <w:iCs/>
          <w:szCs w:val="24"/>
        </w:rPr>
        <w:t>(d)</w:t>
      </w:r>
      <w:r w:rsidRPr="00705257">
        <w:rPr>
          <w:rFonts w:eastAsia="Times New Roman"/>
          <w:iCs/>
          <w:szCs w:val="24"/>
        </w:rPr>
        <w:tab/>
        <w:t>To</w:t>
      </w:r>
      <w:r>
        <w:rPr>
          <w:rFonts w:eastAsia="Times New Roman"/>
          <w:iCs/>
          <w:szCs w:val="24"/>
        </w:rPr>
        <w:t xml:space="preserve"> promote cooperation, collaboration and synergy among the secretariats of relevant multilateral environmental agreements</w:t>
      </w:r>
      <w:r w:rsidR="008E1467">
        <w:rPr>
          <w:rFonts w:eastAsia="Times New Roman"/>
          <w:iCs/>
          <w:szCs w:val="24"/>
        </w:rPr>
        <w:t xml:space="preserve"> </w:t>
      </w:r>
      <w:r w:rsidR="000D0D8C">
        <w:rPr>
          <w:rFonts w:eastAsia="Times New Roman"/>
          <w:iCs/>
          <w:szCs w:val="24"/>
        </w:rPr>
        <w:t xml:space="preserve">and </w:t>
      </w:r>
      <w:r w:rsidR="00CD061E">
        <w:rPr>
          <w:rFonts w:eastAsia="Times New Roman"/>
          <w:iCs/>
          <w:szCs w:val="24"/>
        </w:rPr>
        <w:t xml:space="preserve">other </w:t>
      </w:r>
      <w:r w:rsidR="008E1467">
        <w:rPr>
          <w:rFonts w:eastAsia="Times New Roman"/>
          <w:iCs/>
          <w:szCs w:val="24"/>
        </w:rPr>
        <w:t>international agreement</w:t>
      </w:r>
      <w:r w:rsidR="003F4188">
        <w:rPr>
          <w:rFonts w:eastAsia="Times New Roman"/>
          <w:iCs/>
          <w:szCs w:val="24"/>
        </w:rPr>
        <w:t>s</w:t>
      </w:r>
      <w:r w:rsidR="008E1467">
        <w:rPr>
          <w:rFonts w:eastAsia="Times New Roman"/>
          <w:iCs/>
          <w:szCs w:val="24"/>
        </w:rPr>
        <w:t xml:space="preserve"> and </w:t>
      </w:r>
      <w:r w:rsidR="0079778A">
        <w:rPr>
          <w:rFonts w:eastAsia="Times New Roman"/>
          <w:iCs/>
          <w:szCs w:val="24"/>
        </w:rPr>
        <w:t xml:space="preserve">relevant </w:t>
      </w:r>
      <w:r w:rsidR="00623008">
        <w:rPr>
          <w:rFonts w:eastAsia="Times New Roman"/>
          <w:iCs/>
          <w:szCs w:val="24"/>
        </w:rPr>
        <w:t xml:space="preserve">international </w:t>
      </w:r>
      <w:r w:rsidR="008E1467">
        <w:rPr>
          <w:rFonts w:eastAsia="Times New Roman"/>
          <w:iCs/>
          <w:szCs w:val="24"/>
        </w:rPr>
        <w:t>organizations</w:t>
      </w:r>
      <w:r>
        <w:rPr>
          <w:rFonts w:eastAsia="Times New Roman"/>
          <w:iCs/>
          <w:szCs w:val="24"/>
        </w:rPr>
        <w:t xml:space="preserve"> addressing access and benefit-sharing, </w:t>
      </w:r>
      <w:r w:rsidR="008E1467" w:rsidRPr="00BB5B60">
        <w:rPr>
          <w:rFonts w:eastAsia="Times New Roman"/>
          <w:iCs/>
          <w:szCs w:val="24"/>
        </w:rPr>
        <w:t>while taking into consideration their respective mandates and scopes</w:t>
      </w:r>
      <w:r w:rsidR="003B59ED">
        <w:rPr>
          <w:rFonts w:eastAsia="Times New Roman"/>
          <w:iCs/>
          <w:szCs w:val="24"/>
        </w:rPr>
        <w:t>;</w:t>
      </w:r>
    </w:p>
    <w:p w14:paraId="760E773F" w14:textId="77777777" w:rsidR="00E8556C" w:rsidRPr="006B144A" w:rsidRDefault="00E8556C" w:rsidP="00E8556C">
      <w:pPr>
        <w:pStyle w:val="CBDNormalNoNumber"/>
        <w:keepNext/>
        <w:rPr>
          <w:bCs/>
        </w:rPr>
      </w:pPr>
      <w:r w:rsidRPr="00EE7CA8">
        <w:rPr>
          <w:b/>
          <w:bCs/>
        </w:rPr>
        <w:t>II</w:t>
      </w:r>
      <w:r w:rsidRPr="00EE7CA8">
        <w:rPr>
          <w:b/>
          <w:bCs/>
        </w:rPr>
        <w:br/>
        <w:t>Access and Benefit-sharing Clearing-House and information-sharing</w:t>
      </w:r>
    </w:p>
    <w:p w14:paraId="2401959D" w14:textId="77777777" w:rsidR="00E8556C" w:rsidRPr="006B144A" w:rsidRDefault="00E8556C" w:rsidP="00E8556C">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t>5.</w:t>
      </w:r>
      <w:r w:rsidRPr="006B144A">
        <w:rPr>
          <w:rFonts w:eastAsia="Times New Roman"/>
          <w:kern w:val="22"/>
        </w:rPr>
        <w:tab/>
      </w:r>
      <w:r w:rsidRPr="006B144A">
        <w:rPr>
          <w:i/>
        </w:rPr>
        <w:t>Emphasizes</w:t>
      </w:r>
      <w:r w:rsidRPr="006B144A">
        <w:rPr>
          <w:rFonts w:eastAsia="Times New Roman"/>
          <w:color w:val="000000" w:themeColor="text1"/>
          <w:kern w:val="22"/>
        </w:rPr>
        <w:t xml:space="preserve"> the key role of the Access and Benefit-sharing Clearing-House in supporting the effective implementation of the Nagoya </w:t>
      </w:r>
      <w:r w:rsidRPr="006B144A">
        <w:t>Protocol</w:t>
      </w:r>
      <w:r w:rsidRPr="006B144A">
        <w:rPr>
          <w:rFonts w:eastAsia="Times New Roman"/>
          <w:color w:val="000000" w:themeColor="text1"/>
          <w:kern w:val="22"/>
        </w:rPr>
        <w:t>;</w:t>
      </w:r>
    </w:p>
    <w:p w14:paraId="6BD566E6" w14:textId="77777777" w:rsidR="00E8556C" w:rsidRPr="006B144A" w:rsidRDefault="00E8556C" w:rsidP="00E8556C">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t>6.</w:t>
      </w:r>
      <w:r w:rsidRPr="006B144A">
        <w:rPr>
          <w:rFonts w:eastAsia="Times New Roman"/>
          <w:kern w:val="22"/>
        </w:rPr>
        <w:tab/>
      </w:r>
      <w:r w:rsidRPr="006B144A">
        <w:rPr>
          <w:rFonts w:eastAsia="Times New Roman"/>
          <w:i/>
          <w:iCs/>
          <w:color w:val="000000" w:themeColor="text1"/>
          <w:kern w:val="22"/>
        </w:rPr>
        <w:t xml:space="preserve">Underscores </w:t>
      </w:r>
      <w:r>
        <w:rPr>
          <w:rFonts w:eastAsia="Times New Roman"/>
          <w:color w:val="000000" w:themeColor="text1"/>
          <w:kern w:val="22"/>
        </w:rPr>
        <w:t xml:space="preserve">that it is important </w:t>
      </w:r>
      <w:r w:rsidRPr="006B144A">
        <w:rPr>
          <w:rFonts w:eastAsia="Times New Roman"/>
          <w:color w:val="000000" w:themeColor="text1"/>
          <w:kern w:val="22"/>
        </w:rPr>
        <w:t xml:space="preserve">for Parties to publish all available mandatory information </w:t>
      </w:r>
      <w:r>
        <w:t>through</w:t>
      </w:r>
      <w:r w:rsidRPr="006B144A">
        <w:rPr>
          <w:rFonts w:eastAsia="Times New Roman"/>
          <w:color w:val="000000" w:themeColor="text1"/>
          <w:kern w:val="22"/>
        </w:rPr>
        <w:t xml:space="preserve"> the Access and Benefit-sharing Clearing-House and to ensure that such </w:t>
      </w:r>
      <w:r w:rsidRPr="006B144A">
        <w:t>information</w:t>
      </w:r>
      <w:r w:rsidRPr="006B144A">
        <w:rPr>
          <w:rFonts w:eastAsia="Times New Roman"/>
          <w:color w:val="000000" w:themeColor="text1"/>
          <w:kern w:val="22"/>
        </w:rPr>
        <w:t xml:space="preserve"> is kept up to date </w:t>
      </w:r>
      <w:proofErr w:type="gramStart"/>
      <w:r w:rsidRPr="006B144A">
        <w:rPr>
          <w:rFonts w:eastAsia="Times New Roman"/>
          <w:color w:val="000000" w:themeColor="text1"/>
          <w:kern w:val="22"/>
        </w:rPr>
        <w:t>in order to</w:t>
      </w:r>
      <w:proofErr w:type="gramEnd"/>
      <w:r w:rsidRPr="006B144A">
        <w:rPr>
          <w:rFonts w:eastAsia="Times New Roman"/>
          <w:color w:val="000000" w:themeColor="text1"/>
          <w:kern w:val="22"/>
        </w:rPr>
        <w:t xml:space="preserve"> enhance the effectiveness of the </w:t>
      </w:r>
      <w:r w:rsidRPr="006B144A">
        <w:rPr>
          <w:rFonts w:eastAsia="Times New Roman"/>
          <w:iCs/>
          <w:szCs w:val="24"/>
        </w:rPr>
        <w:t xml:space="preserve">Nagoya </w:t>
      </w:r>
      <w:r w:rsidRPr="006B144A">
        <w:rPr>
          <w:rFonts w:eastAsia="Times New Roman"/>
          <w:color w:val="000000" w:themeColor="text1"/>
          <w:kern w:val="22"/>
        </w:rPr>
        <w:t>Protocol;</w:t>
      </w:r>
    </w:p>
    <w:p w14:paraId="74D96E9A" w14:textId="77777777" w:rsidR="00E8556C" w:rsidRPr="006B144A" w:rsidRDefault="00E8556C" w:rsidP="00E8556C">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t>7.</w:t>
      </w:r>
      <w:r w:rsidRPr="006B144A">
        <w:rPr>
          <w:rFonts w:eastAsia="Times New Roman"/>
          <w:kern w:val="22"/>
        </w:rPr>
        <w:tab/>
      </w:r>
      <w:r w:rsidRPr="006B144A">
        <w:rPr>
          <w:rFonts w:eastAsia="Times New Roman"/>
          <w:i/>
          <w:iCs/>
          <w:color w:val="000000" w:themeColor="text1"/>
          <w:kern w:val="22"/>
        </w:rPr>
        <w:t xml:space="preserve">Requests </w:t>
      </w:r>
      <w:r w:rsidRPr="006B144A">
        <w:rPr>
          <w:rFonts w:eastAsia="Times New Roman"/>
          <w:color w:val="000000" w:themeColor="text1"/>
          <w:kern w:val="22"/>
        </w:rPr>
        <w:t xml:space="preserve">Parties to provide up-to-date, </w:t>
      </w:r>
      <w:r w:rsidRPr="006B144A">
        <w:t>accurate</w:t>
      </w:r>
      <w:r w:rsidRPr="006B144A">
        <w:rPr>
          <w:rFonts w:eastAsia="Times New Roman"/>
          <w:color w:val="000000" w:themeColor="text1"/>
          <w:kern w:val="22"/>
        </w:rPr>
        <w:t xml:space="preserve"> and practical information on access and benefit-sharing procedures and national model contractual clauses in the Access and Benefit-sharing Clearing-House</w:t>
      </w:r>
      <w:r>
        <w:rPr>
          <w:rFonts w:eastAsia="Times New Roman"/>
          <w:color w:val="000000" w:themeColor="text1"/>
          <w:kern w:val="22"/>
        </w:rPr>
        <w:t>, in line with Article 14 of the Nagoya Protocol</w:t>
      </w:r>
      <w:r w:rsidRPr="006B144A">
        <w:rPr>
          <w:rFonts w:eastAsia="Times New Roman"/>
          <w:color w:val="000000" w:themeColor="text1"/>
          <w:kern w:val="22"/>
        </w:rPr>
        <w:t>;</w:t>
      </w:r>
    </w:p>
    <w:p w14:paraId="5474FD42" w14:textId="77777777" w:rsidR="00E8556C" w:rsidRPr="006B144A" w:rsidRDefault="00E8556C" w:rsidP="00E8556C">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t>8.</w:t>
      </w:r>
      <w:r w:rsidRPr="006B144A">
        <w:rPr>
          <w:rFonts w:eastAsia="Times New Roman"/>
          <w:kern w:val="22"/>
        </w:rPr>
        <w:tab/>
      </w:r>
      <w:r w:rsidRPr="006B144A">
        <w:rPr>
          <w:i/>
        </w:rPr>
        <w:t>Notes</w:t>
      </w:r>
      <w:r w:rsidRPr="006B144A">
        <w:rPr>
          <w:rFonts w:eastAsia="Times New Roman"/>
          <w:i/>
          <w:iCs/>
          <w:color w:val="000000" w:themeColor="text1"/>
          <w:kern w:val="22"/>
        </w:rPr>
        <w:t xml:space="preserve"> with concern</w:t>
      </w:r>
      <w:r w:rsidRPr="006B144A">
        <w:rPr>
          <w:rFonts w:eastAsia="Times New Roman"/>
          <w:color w:val="000000" w:themeColor="text1"/>
          <w:kern w:val="22"/>
        </w:rPr>
        <w:t xml:space="preserve"> that many Parties have not yet published all available mandatory information </w:t>
      </w:r>
      <w:r>
        <w:t>through</w:t>
      </w:r>
      <w:r w:rsidRPr="006B144A">
        <w:rPr>
          <w:rFonts w:eastAsia="Times New Roman"/>
          <w:color w:val="000000" w:themeColor="text1"/>
          <w:kern w:val="22"/>
        </w:rPr>
        <w:t xml:space="preserve"> the Access and Benefit-sharing Clearing-House, and urges those Parties to publish such information, as required </w:t>
      </w:r>
      <w:r>
        <w:rPr>
          <w:rFonts w:eastAsia="Times New Roman"/>
          <w:color w:val="000000" w:themeColor="text1"/>
          <w:kern w:val="22"/>
        </w:rPr>
        <w:t>under</w:t>
      </w:r>
      <w:r w:rsidRPr="006B144A">
        <w:rPr>
          <w:rFonts w:eastAsia="Times New Roman"/>
          <w:color w:val="000000" w:themeColor="text1"/>
          <w:kern w:val="22"/>
        </w:rPr>
        <w:t xml:space="preserve"> Article 14 of the Nagoya Protocol, as soon as possible</w:t>
      </w:r>
      <w:r>
        <w:rPr>
          <w:rFonts w:eastAsia="Times New Roman"/>
          <w:color w:val="000000" w:themeColor="text1"/>
          <w:kern w:val="22"/>
        </w:rPr>
        <w:t>,</w:t>
      </w:r>
      <w:r w:rsidRPr="006B144A">
        <w:rPr>
          <w:rFonts w:eastAsia="Times New Roman"/>
          <w:color w:val="000000" w:themeColor="text1"/>
          <w:kern w:val="22"/>
        </w:rPr>
        <w:t xml:space="preserve"> and to keep it up to date;</w:t>
      </w:r>
    </w:p>
    <w:p w14:paraId="2724BBCC" w14:textId="77777777" w:rsidR="00E8556C" w:rsidRPr="006B144A" w:rsidRDefault="00E8556C" w:rsidP="00E8556C">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t>9.</w:t>
      </w:r>
      <w:r w:rsidRPr="006B144A">
        <w:rPr>
          <w:rFonts w:eastAsia="Times New Roman"/>
          <w:kern w:val="22"/>
        </w:rPr>
        <w:tab/>
      </w:r>
      <w:r w:rsidRPr="0093372E">
        <w:rPr>
          <w:i/>
          <w:iCs/>
        </w:rPr>
        <w:t xml:space="preserve">Encourages </w:t>
      </w:r>
      <w:r w:rsidRPr="0093372E">
        <w:t>Parties to make use of the interoperability of the Access and Benefit-sharing Clearing-House with relevant national information systems to facilitate the publication of information related to internationally recognized certificates of compliance and checkpoint communiqués;</w:t>
      </w:r>
    </w:p>
    <w:p w14:paraId="47454D63" w14:textId="77777777" w:rsidR="00E8556C" w:rsidRPr="006B144A" w:rsidRDefault="00E8556C" w:rsidP="00E8556C">
      <w:pPr>
        <w:pStyle w:val="CBDNormalNoNumber"/>
        <w:keepNext/>
        <w:tabs>
          <w:tab w:val="clear" w:pos="567"/>
          <w:tab w:val="clear" w:pos="1134"/>
        </w:tabs>
        <w:ind w:firstLine="567"/>
        <w:rPr>
          <w:rFonts w:eastAsia="Times New Roman"/>
          <w:color w:val="000000" w:themeColor="text1"/>
          <w:kern w:val="22"/>
        </w:rPr>
      </w:pPr>
      <w:r w:rsidRPr="006B144A">
        <w:rPr>
          <w:rFonts w:eastAsia="Times New Roman"/>
          <w:kern w:val="22"/>
        </w:rPr>
        <w:t>10.</w:t>
      </w:r>
      <w:r w:rsidRPr="006B144A">
        <w:rPr>
          <w:rFonts w:eastAsia="Times New Roman"/>
          <w:kern w:val="22"/>
        </w:rPr>
        <w:tab/>
      </w:r>
      <w:r w:rsidRPr="006B144A">
        <w:rPr>
          <w:i/>
        </w:rPr>
        <w:t>Requests</w:t>
      </w:r>
      <w:r w:rsidRPr="006B144A">
        <w:rPr>
          <w:rFonts w:eastAsia="Times New Roman"/>
          <w:color w:val="000000" w:themeColor="text1"/>
          <w:kern w:val="22"/>
        </w:rPr>
        <w:t xml:space="preserve"> the Executive Secretary, subject to the </w:t>
      </w:r>
      <w:r w:rsidRPr="006B144A">
        <w:t>availability</w:t>
      </w:r>
      <w:r w:rsidRPr="006B144A">
        <w:rPr>
          <w:rFonts w:eastAsia="Times New Roman"/>
          <w:color w:val="000000" w:themeColor="text1"/>
          <w:kern w:val="22"/>
        </w:rPr>
        <w:t xml:space="preserve"> of resources:</w:t>
      </w:r>
    </w:p>
    <w:p w14:paraId="48B6A55B" w14:textId="77777777" w:rsidR="00E8556C" w:rsidRPr="0093372E" w:rsidRDefault="00E8556C" w:rsidP="00E8556C">
      <w:pPr>
        <w:pStyle w:val="CBDNormalNoNumber"/>
        <w:keepNext/>
        <w:tabs>
          <w:tab w:val="clear" w:pos="567"/>
          <w:tab w:val="clear" w:pos="1134"/>
        </w:tabs>
        <w:ind w:firstLine="567"/>
      </w:pPr>
      <w:r w:rsidRPr="0093372E">
        <w:t>(a)</w:t>
      </w:r>
      <w:r w:rsidRPr="0093372E">
        <w:tab/>
        <w:t xml:space="preserve">To further develop the </w:t>
      </w:r>
      <w:r w:rsidRPr="006B144A">
        <w:rPr>
          <w:rFonts w:eastAsia="Times New Roman"/>
          <w:color w:val="000000" w:themeColor="text1"/>
          <w:kern w:val="22"/>
        </w:rPr>
        <w:t xml:space="preserve">Access and Benefit-sharing </w:t>
      </w:r>
      <w:r w:rsidRPr="0093372E">
        <w:t xml:space="preserve">Clearing-House, and to encourage the publication </w:t>
      </w:r>
      <w:r>
        <w:t xml:space="preserve">and use </w:t>
      </w:r>
      <w:r w:rsidRPr="0093372E">
        <w:t xml:space="preserve">of information through the </w:t>
      </w:r>
      <w:proofErr w:type="gramStart"/>
      <w:r w:rsidRPr="0093372E">
        <w:t>Clearing-House</w:t>
      </w:r>
      <w:proofErr w:type="gramEnd"/>
      <w:r>
        <w:t>,</w:t>
      </w:r>
      <w:r w:rsidRPr="0093372E">
        <w:t xml:space="preserve"> in accordance with its modalities of operation, and </w:t>
      </w:r>
      <w:proofErr w:type="gramStart"/>
      <w:r w:rsidRPr="0093372E">
        <w:t>taking into account</w:t>
      </w:r>
      <w:proofErr w:type="gramEnd"/>
      <w:r w:rsidRPr="0093372E">
        <w:t>:</w:t>
      </w:r>
    </w:p>
    <w:p w14:paraId="21F27E75" w14:textId="77777777" w:rsidR="00E8556C" w:rsidRPr="006B144A" w:rsidRDefault="00E8556C" w:rsidP="00E8556C">
      <w:pPr>
        <w:pStyle w:val="CBDNormalNoNumber"/>
        <w:tabs>
          <w:tab w:val="clear" w:pos="567"/>
          <w:tab w:val="clear" w:pos="2268"/>
        </w:tabs>
        <w:ind w:left="1701" w:hanging="567"/>
        <w:rPr>
          <w:rFonts w:eastAsia="Times New Roman"/>
          <w:szCs w:val="24"/>
        </w:rPr>
      </w:pPr>
      <w:r w:rsidRPr="006B144A">
        <w:rPr>
          <w:rFonts w:eastAsia="Times New Roman"/>
          <w:szCs w:val="24"/>
        </w:rPr>
        <w:t>(</w:t>
      </w:r>
      <w:proofErr w:type="spellStart"/>
      <w:r w:rsidRPr="006B144A">
        <w:rPr>
          <w:rFonts w:eastAsia="Times New Roman"/>
          <w:szCs w:val="24"/>
        </w:rPr>
        <w:t>i</w:t>
      </w:r>
      <w:proofErr w:type="spellEnd"/>
      <w:r w:rsidRPr="006B144A">
        <w:rPr>
          <w:rFonts w:eastAsia="Times New Roman"/>
          <w:szCs w:val="24"/>
        </w:rPr>
        <w:t>)</w:t>
      </w:r>
      <w:r w:rsidRPr="006B144A">
        <w:rPr>
          <w:rFonts w:eastAsia="Times New Roman"/>
          <w:szCs w:val="24"/>
        </w:rPr>
        <w:tab/>
      </w:r>
      <w:r w:rsidRPr="0093372E">
        <w:t xml:space="preserve">Feedback received, </w:t>
      </w:r>
      <w:proofErr w:type="gramStart"/>
      <w:r w:rsidRPr="0093372E">
        <w:t>in particular from</w:t>
      </w:r>
      <w:proofErr w:type="gramEnd"/>
      <w:r w:rsidRPr="0093372E">
        <w:t xml:space="preserve"> Parties and the Informal Advisory Committee to the Access and Benefit-sharing Clearing-House, including </w:t>
      </w:r>
      <w:bookmarkStart w:id="0" w:name="_Hlk180704686"/>
      <w:r>
        <w:t>on</w:t>
      </w:r>
      <w:r w:rsidRPr="0093372E">
        <w:t xml:space="preserve"> goals and priorities for the administration </w:t>
      </w:r>
      <w:r>
        <w:t xml:space="preserve">and </w:t>
      </w:r>
      <w:r w:rsidRPr="0093372E">
        <w:t xml:space="preserve">further development of the </w:t>
      </w:r>
      <w:proofErr w:type="gramStart"/>
      <w:r w:rsidRPr="0093372E">
        <w:t>Clearing-House</w:t>
      </w:r>
      <w:proofErr w:type="gramEnd"/>
      <w:r w:rsidRPr="0093372E">
        <w:t xml:space="preserve"> by the Secretariat</w:t>
      </w:r>
      <w:bookmarkEnd w:id="0"/>
      <w:r w:rsidRPr="006B144A">
        <w:rPr>
          <w:rFonts w:eastAsia="Times New Roman"/>
          <w:iCs/>
          <w:szCs w:val="24"/>
        </w:rPr>
        <w:t>;</w:t>
      </w:r>
      <w:r>
        <w:rPr>
          <w:rStyle w:val="FootnoteReference"/>
          <w:rFonts w:eastAsia="Times New Roman"/>
          <w:iCs/>
          <w:szCs w:val="24"/>
        </w:rPr>
        <w:footnoteReference w:id="5"/>
      </w:r>
    </w:p>
    <w:p w14:paraId="6EEA25A5" w14:textId="77777777" w:rsidR="00E8556C" w:rsidRPr="006B144A" w:rsidRDefault="00E8556C" w:rsidP="00E8556C">
      <w:pPr>
        <w:pStyle w:val="CBDNormalNoNumber"/>
        <w:tabs>
          <w:tab w:val="clear" w:pos="567"/>
          <w:tab w:val="clear" w:pos="2268"/>
        </w:tabs>
        <w:ind w:left="1701" w:hanging="567"/>
      </w:pPr>
      <w:r w:rsidRPr="006B144A">
        <w:t>(ii)</w:t>
      </w:r>
      <w:r w:rsidRPr="006B144A">
        <w:tab/>
        <w:t xml:space="preserve">Relevant information from the second assessment and review; </w:t>
      </w:r>
    </w:p>
    <w:p w14:paraId="27B30E4C" w14:textId="77777777" w:rsidR="00E8556C" w:rsidRPr="006B144A" w:rsidRDefault="00E8556C" w:rsidP="00E8556C">
      <w:pPr>
        <w:pStyle w:val="CBDNormalNoNumber"/>
        <w:tabs>
          <w:tab w:val="clear" w:pos="567"/>
          <w:tab w:val="clear" w:pos="1134"/>
        </w:tabs>
        <w:ind w:firstLine="567"/>
        <w:rPr>
          <w:rFonts w:eastAsia="Times New Roman"/>
          <w:szCs w:val="24"/>
        </w:rPr>
      </w:pPr>
      <w:r w:rsidRPr="006B144A">
        <w:rPr>
          <w:rFonts w:eastAsia="Times New Roman"/>
          <w:szCs w:val="24"/>
        </w:rPr>
        <w:t>(b)</w:t>
      </w:r>
      <w:r w:rsidRPr="006B144A">
        <w:rPr>
          <w:rFonts w:eastAsia="Times New Roman"/>
          <w:szCs w:val="24"/>
        </w:rPr>
        <w:tab/>
        <w:t xml:space="preserve">To hold a meeting of the Informal Advisory Committee to the Access and Benefit-sharing Clearing-House before the seventh meeting of the Conference of the Parties serving as the meeting of the Parties to the Nagoya </w:t>
      </w:r>
      <w:r w:rsidRPr="006B144A">
        <w:t>Protocol</w:t>
      </w:r>
      <w:r w:rsidRPr="006B144A">
        <w:rPr>
          <w:rFonts w:eastAsia="Times New Roman"/>
          <w:szCs w:val="24"/>
        </w:rPr>
        <w:t xml:space="preserve"> and, as needed, informal online discussions, and to report on the outcomes of the Committee’s work at the seventh meeting;</w:t>
      </w:r>
    </w:p>
    <w:p w14:paraId="1B384E0E" w14:textId="77777777" w:rsidR="00E8556C" w:rsidRPr="006B144A" w:rsidRDefault="00E8556C" w:rsidP="00E8556C">
      <w:pPr>
        <w:pStyle w:val="CBDNormalNoNumber"/>
        <w:keepNext/>
        <w:tabs>
          <w:tab w:val="clear" w:pos="567"/>
          <w:tab w:val="clear" w:pos="1134"/>
        </w:tabs>
        <w:jc w:val="left"/>
        <w:rPr>
          <w:bCs/>
          <w:u w:color="000000"/>
          <w:bdr w:val="nil"/>
        </w:rPr>
      </w:pPr>
      <w:r w:rsidRPr="00EE7CA8">
        <w:rPr>
          <w:b/>
          <w:bCs/>
          <w:u w:color="000000"/>
          <w:bdr w:val="nil"/>
        </w:rPr>
        <w:t>III</w:t>
      </w:r>
      <w:r w:rsidRPr="00EE7CA8">
        <w:rPr>
          <w:b/>
          <w:bCs/>
          <w:u w:color="000000"/>
          <w:bdr w:val="nil"/>
        </w:rPr>
        <w:br/>
        <w:t xml:space="preserve">The Nagoya Protocol in the context of the </w:t>
      </w:r>
      <w:r w:rsidRPr="00EE7CA8">
        <w:rPr>
          <w:b/>
          <w:bCs/>
          <w:u w:color="000000"/>
          <w:bdr w:val="nil"/>
        </w:rPr>
        <w:br/>
        <w:t>Kunming-Montreal Global Biodiversity Framework</w:t>
      </w:r>
    </w:p>
    <w:p w14:paraId="5A173DC2" w14:textId="77777777" w:rsidR="00E8556C" w:rsidRPr="006B144A" w:rsidRDefault="00E8556C" w:rsidP="00E8556C">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t>11.</w:t>
      </w:r>
      <w:r w:rsidRPr="006B144A">
        <w:rPr>
          <w:rFonts w:eastAsia="Times New Roman"/>
          <w:kern w:val="22"/>
        </w:rPr>
        <w:tab/>
      </w:r>
      <w:r w:rsidRPr="006B144A">
        <w:rPr>
          <w:i/>
          <w:iCs/>
        </w:rPr>
        <w:t>Recalls</w:t>
      </w:r>
      <w:r w:rsidRPr="006B144A">
        <w:rPr>
          <w:rFonts w:eastAsia="Times New Roman"/>
          <w:color w:val="000000" w:themeColor="text1"/>
          <w:kern w:val="22"/>
        </w:rPr>
        <w:t xml:space="preserve"> its </w:t>
      </w:r>
      <w:r w:rsidRPr="006B144A">
        <w:t>decision</w:t>
      </w:r>
      <w:r w:rsidRPr="006B144A">
        <w:rPr>
          <w:rFonts w:eastAsia="Times New Roman"/>
          <w:color w:val="000000" w:themeColor="text1"/>
          <w:kern w:val="22"/>
        </w:rPr>
        <w:t xml:space="preserve"> </w:t>
      </w:r>
      <w:hyperlink r:id="rId17" w:history="1">
        <w:r w:rsidRPr="006B144A">
          <w:rPr>
            <w:rStyle w:val="Hyperlink"/>
            <w:rFonts w:eastAsia="Times New Roman"/>
            <w:iCs/>
            <w:szCs w:val="24"/>
          </w:rPr>
          <w:t>NP-5/6</w:t>
        </w:r>
      </w:hyperlink>
      <w:r w:rsidRPr="0093372E">
        <w:t xml:space="preserve"> of 25 October 2024</w:t>
      </w:r>
      <w:r w:rsidRPr="006B144A">
        <w:rPr>
          <w:rFonts w:eastAsia="Times New Roman"/>
          <w:color w:val="000000" w:themeColor="text1"/>
          <w:kern w:val="22"/>
        </w:rPr>
        <w:t>;</w:t>
      </w:r>
    </w:p>
    <w:p w14:paraId="48A9310A" w14:textId="77777777" w:rsidR="00E8556C" w:rsidRDefault="00E8556C" w:rsidP="00E8556C">
      <w:pPr>
        <w:pStyle w:val="CBDNormalNoNumber"/>
        <w:tabs>
          <w:tab w:val="clear" w:pos="567"/>
          <w:tab w:val="clear" w:pos="1134"/>
        </w:tabs>
        <w:ind w:firstLine="567"/>
        <w:rPr>
          <w:rFonts w:eastAsia="Times New Roman"/>
          <w:color w:val="000000" w:themeColor="text1"/>
          <w:kern w:val="22"/>
        </w:rPr>
      </w:pPr>
      <w:r w:rsidRPr="006B144A">
        <w:rPr>
          <w:rFonts w:eastAsia="Times New Roman"/>
          <w:kern w:val="22"/>
        </w:rPr>
        <w:t>12.</w:t>
      </w:r>
      <w:r w:rsidRPr="006B144A">
        <w:rPr>
          <w:rFonts w:eastAsia="Times New Roman"/>
          <w:kern w:val="22"/>
        </w:rPr>
        <w:tab/>
      </w:r>
      <w:r w:rsidRPr="006B144A">
        <w:rPr>
          <w:i/>
          <w:iCs/>
        </w:rPr>
        <w:t>Encourages</w:t>
      </w:r>
      <w:r w:rsidRPr="006B144A">
        <w:rPr>
          <w:rFonts w:eastAsia="Times New Roman"/>
          <w:color w:val="000000" w:themeColor="text1"/>
          <w:kern w:val="22"/>
        </w:rPr>
        <w:t xml:space="preserve"> Parties to provide </w:t>
      </w:r>
      <w:r w:rsidRPr="009E4445">
        <w:rPr>
          <w:rFonts w:eastAsia="Times New Roman"/>
          <w:color w:val="000000" w:themeColor="text1"/>
          <w:kern w:val="22"/>
        </w:rPr>
        <w:t>in their second national report</w:t>
      </w:r>
      <w:r>
        <w:rPr>
          <w:rFonts w:eastAsia="Times New Roman"/>
          <w:color w:val="000000" w:themeColor="text1"/>
          <w:kern w:val="22"/>
        </w:rPr>
        <w:t>s</w:t>
      </w:r>
      <w:r w:rsidRPr="009E4445">
        <w:rPr>
          <w:rFonts w:eastAsia="Times New Roman"/>
          <w:color w:val="000000" w:themeColor="text1"/>
          <w:kern w:val="22"/>
        </w:rPr>
        <w:t xml:space="preserve"> on the implementation of the Nagoya Protocol</w:t>
      </w:r>
      <w:r w:rsidRPr="007275F7">
        <w:rPr>
          <w:rFonts w:eastAsia="Times New Roman"/>
          <w:color w:val="000000" w:themeColor="text1"/>
          <w:kern w:val="22"/>
        </w:rPr>
        <w:t xml:space="preserve"> </w:t>
      </w:r>
      <w:r w:rsidRPr="006B144A">
        <w:rPr>
          <w:rFonts w:eastAsia="Times New Roman"/>
          <w:color w:val="000000" w:themeColor="text1"/>
          <w:kern w:val="22"/>
        </w:rPr>
        <w:t>complete and disaggregated information on benefits received</w:t>
      </w:r>
      <w:r>
        <w:rPr>
          <w:rFonts w:eastAsia="Times New Roman"/>
          <w:color w:val="000000" w:themeColor="text1"/>
          <w:kern w:val="22"/>
        </w:rPr>
        <w:t>,</w:t>
      </w:r>
      <w:r w:rsidRPr="006B144A">
        <w:rPr>
          <w:rFonts w:eastAsia="Times New Roman"/>
          <w:color w:val="000000" w:themeColor="text1"/>
          <w:kern w:val="22"/>
        </w:rPr>
        <w:t xml:space="preserve"> including</w:t>
      </w:r>
      <w:r w:rsidRPr="0014388E">
        <w:rPr>
          <w:rFonts w:eastAsia="Times New Roman"/>
          <w:color w:val="000000" w:themeColor="text1"/>
          <w:kern w:val="22"/>
        </w:rPr>
        <w:t xml:space="preserve">, </w:t>
      </w:r>
      <w:r w:rsidRPr="007A4CE9">
        <w:rPr>
          <w:rFonts w:eastAsia="Times New Roman"/>
          <w:color w:val="000000" w:themeColor="text1"/>
          <w:kern w:val="22"/>
        </w:rPr>
        <w:t xml:space="preserve">as </w:t>
      </w:r>
      <w:r w:rsidRPr="007A4CE9">
        <w:t>appropriate</w:t>
      </w:r>
      <w:r>
        <w:rPr>
          <w:rFonts w:eastAsia="Times New Roman"/>
          <w:color w:val="000000" w:themeColor="text1"/>
          <w:kern w:val="22"/>
        </w:rPr>
        <w:t xml:space="preserve">, the </w:t>
      </w:r>
      <w:r w:rsidRPr="006B144A">
        <w:rPr>
          <w:rFonts w:eastAsia="Times New Roman"/>
          <w:color w:val="000000" w:themeColor="text1"/>
          <w:kern w:val="22"/>
        </w:rPr>
        <w:t>details o</w:t>
      </w:r>
      <w:r>
        <w:rPr>
          <w:rFonts w:eastAsia="Times New Roman"/>
          <w:color w:val="000000" w:themeColor="text1"/>
          <w:kern w:val="22"/>
        </w:rPr>
        <w:t>f</w:t>
      </w:r>
      <w:r w:rsidRPr="006B144A">
        <w:rPr>
          <w:rFonts w:eastAsia="Times New Roman"/>
          <w:color w:val="000000" w:themeColor="text1"/>
          <w:kern w:val="22"/>
        </w:rPr>
        <w:t xml:space="preserve"> </w:t>
      </w:r>
      <w:r>
        <w:rPr>
          <w:rFonts w:eastAsia="Times New Roman"/>
          <w:color w:val="000000" w:themeColor="text1"/>
          <w:kern w:val="22"/>
        </w:rPr>
        <w:t>monetary and non-monetary</w:t>
      </w:r>
      <w:r w:rsidRPr="006B144A">
        <w:rPr>
          <w:rFonts w:eastAsia="Times New Roman"/>
          <w:color w:val="000000" w:themeColor="text1"/>
          <w:kern w:val="22"/>
        </w:rPr>
        <w:t xml:space="preserve"> benefits </w:t>
      </w:r>
      <w:r w:rsidRPr="006B144A">
        <w:t>received</w:t>
      </w:r>
      <w:r w:rsidRPr="006B144A">
        <w:rPr>
          <w:rFonts w:eastAsia="Times New Roman"/>
          <w:color w:val="000000" w:themeColor="text1"/>
          <w:kern w:val="22"/>
        </w:rPr>
        <w:t xml:space="preserve"> from the utilization of genetic resources and associated traditional knowledge, </w:t>
      </w:r>
      <w:r>
        <w:rPr>
          <w:rFonts w:eastAsia="Times New Roman"/>
          <w:color w:val="000000" w:themeColor="text1"/>
          <w:kern w:val="22"/>
        </w:rPr>
        <w:t>the</w:t>
      </w:r>
      <w:r w:rsidRPr="006B144A">
        <w:rPr>
          <w:rFonts w:eastAsia="Times New Roman"/>
          <w:color w:val="000000" w:themeColor="text1"/>
          <w:kern w:val="22"/>
        </w:rPr>
        <w:t xml:space="preserve"> recipients of the benefits, including </w:t>
      </w:r>
      <w:r w:rsidRPr="006B144A">
        <w:rPr>
          <w:rFonts w:eastAsia="Times New Roman"/>
          <w:color w:val="000000" w:themeColor="text1"/>
          <w:kern w:val="22"/>
        </w:rPr>
        <w:lastRenderedPageBreak/>
        <w:t xml:space="preserve">indigenous peoples and local communities, </w:t>
      </w:r>
      <w:r>
        <w:rPr>
          <w:rFonts w:eastAsia="Times New Roman"/>
          <w:color w:val="000000" w:themeColor="text1"/>
          <w:kern w:val="22"/>
        </w:rPr>
        <w:t xml:space="preserve">and </w:t>
      </w:r>
      <w:r w:rsidRPr="006B144A">
        <w:rPr>
          <w:rFonts w:eastAsia="Times New Roman"/>
          <w:color w:val="000000" w:themeColor="text1"/>
          <w:kern w:val="22"/>
        </w:rPr>
        <w:t>the proportion of benefits directed towards the conservation and sustainable use of biodiversity</w:t>
      </w:r>
      <w:r>
        <w:rPr>
          <w:rFonts w:eastAsia="Times New Roman"/>
          <w:color w:val="000000" w:themeColor="text1"/>
          <w:kern w:val="22"/>
        </w:rPr>
        <w:t xml:space="preserve">, </w:t>
      </w:r>
      <w:r w:rsidRPr="006D09F9">
        <w:rPr>
          <w:rFonts w:eastAsia="Times New Roman"/>
          <w:color w:val="000000" w:themeColor="text1"/>
          <w:kern w:val="22"/>
        </w:rPr>
        <w:t xml:space="preserve">in accordance with </w:t>
      </w:r>
      <w:r w:rsidRPr="006D09F9">
        <w:t>national legislation</w:t>
      </w:r>
      <w:r>
        <w:t xml:space="preserve"> and without prejudice to the protection of confidential information</w:t>
      </w:r>
      <w:r>
        <w:rPr>
          <w:rFonts w:eastAsia="Times New Roman"/>
          <w:color w:val="000000" w:themeColor="text1"/>
          <w:kern w:val="22"/>
        </w:rPr>
        <w:t xml:space="preserve">; </w:t>
      </w:r>
    </w:p>
    <w:p w14:paraId="23D7BBA9" w14:textId="7099BD45" w:rsidR="005649FD" w:rsidRPr="00C80BE8" w:rsidRDefault="00E8556C" w:rsidP="00C80BE8">
      <w:pPr>
        <w:pStyle w:val="CBDNormalNoNumber"/>
        <w:tabs>
          <w:tab w:val="clear" w:pos="567"/>
          <w:tab w:val="clear" w:pos="1134"/>
        </w:tabs>
        <w:ind w:firstLine="567"/>
        <w:rPr>
          <w:rFonts w:eastAsia="Times New Roman"/>
          <w:color w:val="000000" w:themeColor="text1"/>
          <w:kern w:val="22"/>
        </w:rPr>
      </w:pPr>
      <w:r w:rsidRPr="007A4CE9">
        <w:rPr>
          <w:rFonts w:eastAsia="Times New Roman"/>
          <w:color w:val="000000" w:themeColor="text1"/>
          <w:kern w:val="22"/>
        </w:rPr>
        <w:t>1</w:t>
      </w:r>
      <w:r>
        <w:rPr>
          <w:rFonts w:eastAsia="Times New Roman"/>
          <w:color w:val="000000" w:themeColor="text1"/>
          <w:kern w:val="22"/>
        </w:rPr>
        <w:t>3</w:t>
      </w:r>
      <w:r w:rsidRPr="007A4CE9">
        <w:rPr>
          <w:rFonts w:eastAsia="Times New Roman"/>
          <w:color w:val="000000" w:themeColor="text1"/>
          <w:kern w:val="22"/>
        </w:rPr>
        <w:t>.</w:t>
      </w:r>
      <w:r w:rsidRPr="007A4CE9">
        <w:rPr>
          <w:rFonts w:eastAsia="Times New Roman"/>
          <w:color w:val="000000" w:themeColor="text1"/>
          <w:kern w:val="22"/>
        </w:rPr>
        <w:tab/>
      </w:r>
      <w:r w:rsidRPr="007A4CE9">
        <w:rPr>
          <w:rFonts w:eastAsia="Times New Roman"/>
          <w:i/>
          <w:iCs/>
          <w:color w:val="000000" w:themeColor="text1"/>
          <w:kern w:val="22"/>
        </w:rPr>
        <w:t xml:space="preserve">Notes </w:t>
      </w:r>
      <w:r w:rsidRPr="003C19A0">
        <w:rPr>
          <w:rFonts w:eastAsia="Times New Roman"/>
          <w:color w:val="000000" w:themeColor="text1"/>
          <w:kern w:val="22"/>
        </w:rPr>
        <w:t xml:space="preserve">that the outcomes of the second assessment and review are complemented </w:t>
      </w:r>
      <w:r w:rsidRPr="00AF1280">
        <w:rPr>
          <w:rFonts w:eastAsia="Times New Roman"/>
          <w:color w:val="000000" w:themeColor="text1"/>
          <w:kern w:val="22"/>
        </w:rPr>
        <w:t>by decision 17/</w:t>
      </w:r>
      <w:r>
        <w:rPr>
          <w:rFonts w:eastAsia="Times New Roman"/>
          <w:color w:val="000000" w:themeColor="text1"/>
          <w:kern w:val="22"/>
        </w:rPr>
        <w:t>--</w:t>
      </w:r>
      <w:r w:rsidRPr="003C19A0">
        <w:rPr>
          <w:rFonts w:eastAsia="Times New Roman"/>
          <w:color w:val="000000" w:themeColor="text1"/>
          <w:kern w:val="22"/>
        </w:rPr>
        <w:t xml:space="preserve"> </w:t>
      </w:r>
      <w:r>
        <w:rPr>
          <w:rFonts w:eastAsia="Times New Roman"/>
          <w:color w:val="000000" w:themeColor="text1"/>
          <w:kern w:val="22"/>
        </w:rPr>
        <w:t>of</w:t>
      </w:r>
      <w:r w:rsidRPr="003C19A0">
        <w:rPr>
          <w:rFonts w:eastAsia="Times New Roman"/>
          <w:color w:val="000000" w:themeColor="text1"/>
          <w:kern w:val="22"/>
        </w:rPr>
        <w:t xml:space="preserve"> the Conference of the Parties </w:t>
      </w:r>
      <w:r>
        <w:rPr>
          <w:rFonts w:eastAsia="Times New Roman"/>
          <w:color w:val="000000" w:themeColor="text1"/>
          <w:kern w:val="22"/>
        </w:rPr>
        <w:t xml:space="preserve">to the Convention </w:t>
      </w:r>
      <w:r w:rsidRPr="003C19A0">
        <w:rPr>
          <w:rFonts w:eastAsia="Times New Roman"/>
          <w:color w:val="000000" w:themeColor="text1"/>
          <w:kern w:val="22"/>
        </w:rPr>
        <w:t>on the global review of collective progress in the implementation of the Kunming-Montreal Global Biodiversity Framework,</w:t>
      </w:r>
      <w:r>
        <w:rPr>
          <w:rStyle w:val="FootnoteReference"/>
          <w:rFonts w:eastAsia="Times New Roman"/>
          <w:color w:val="000000" w:themeColor="text1"/>
          <w:kern w:val="22"/>
        </w:rPr>
        <w:footnoteReference w:id="6"/>
      </w:r>
      <w:r w:rsidRPr="003C19A0">
        <w:rPr>
          <w:rFonts w:eastAsia="Times New Roman"/>
          <w:color w:val="000000" w:themeColor="text1"/>
          <w:kern w:val="22"/>
        </w:rPr>
        <w:t xml:space="preserve"> in particular </w:t>
      </w:r>
      <w:r>
        <w:rPr>
          <w:rFonts w:eastAsia="Times New Roman"/>
          <w:color w:val="000000" w:themeColor="text1"/>
          <w:kern w:val="22"/>
        </w:rPr>
        <w:t xml:space="preserve">with </w:t>
      </w:r>
      <w:r w:rsidRPr="003C19A0">
        <w:rPr>
          <w:rFonts w:eastAsia="Times New Roman"/>
          <w:color w:val="000000" w:themeColor="text1"/>
          <w:kern w:val="22"/>
        </w:rPr>
        <w:t xml:space="preserve">regard to </w:t>
      </w:r>
      <w:r>
        <w:rPr>
          <w:rFonts w:eastAsia="Times New Roman"/>
          <w:color w:val="000000" w:themeColor="text1"/>
          <w:kern w:val="22"/>
        </w:rPr>
        <w:t xml:space="preserve">its </w:t>
      </w:r>
      <w:r w:rsidRPr="003C19A0">
        <w:rPr>
          <w:rFonts w:eastAsia="Times New Roman"/>
          <w:color w:val="000000" w:themeColor="text1"/>
          <w:kern w:val="22"/>
        </w:rPr>
        <w:t>Goal</w:t>
      </w:r>
      <w:r>
        <w:rPr>
          <w:rFonts w:eastAsia="Times New Roman"/>
          <w:color w:val="000000" w:themeColor="text1"/>
          <w:kern w:val="22"/>
        </w:rPr>
        <w:t> </w:t>
      </w:r>
      <w:r w:rsidRPr="003C19A0">
        <w:rPr>
          <w:rFonts w:eastAsia="Times New Roman"/>
          <w:color w:val="000000" w:themeColor="text1"/>
          <w:kern w:val="22"/>
        </w:rPr>
        <w:t>C and Target</w:t>
      </w:r>
      <w:r>
        <w:rPr>
          <w:rFonts w:eastAsia="Times New Roman"/>
          <w:color w:val="000000" w:themeColor="text1"/>
          <w:kern w:val="22"/>
        </w:rPr>
        <w:t> </w:t>
      </w:r>
      <w:r w:rsidRPr="003C19A0">
        <w:rPr>
          <w:rFonts w:eastAsia="Times New Roman"/>
          <w:color w:val="000000" w:themeColor="text1"/>
          <w:kern w:val="22"/>
        </w:rPr>
        <w:t>13</w:t>
      </w:r>
      <w:r>
        <w:rPr>
          <w:rFonts w:eastAsia="Times New Roman"/>
          <w:color w:val="000000" w:themeColor="text1"/>
          <w:kern w:val="22"/>
        </w:rPr>
        <w:t>.</w:t>
      </w:r>
    </w:p>
    <w:p w14:paraId="5F2B403A" w14:textId="791488F9" w:rsidR="00A111D1" w:rsidRPr="003F1A75" w:rsidRDefault="00A111D1" w:rsidP="005649FD">
      <w:pPr>
        <w:pStyle w:val="CBDNormalNoNumber"/>
        <w:jc w:val="center"/>
      </w:pPr>
      <w:r w:rsidRPr="003F1A75">
        <w:t>__________</w:t>
      </w:r>
    </w:p>
    <w:sectPr w:rsidR="00A111D1" w:rsidRPr="003F1A75" w:rsidSect="005649FD">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A73FF6" w14:textId="77777777" w:rsidR="00BE7C19" w:rsidRPr="003F1A75" w:rsidRDefault="00BE7C19" w:rsidP="00CF1848">
      <w:r w:rsidRPr="003F1A75">
        <w:separator/>
      </w:r>
    </w:p>
  </w:endnote>
  <w:endnote w:type="continuationSeparator" w:id="0">
    <w:p w14:paraId="082106E4" w14:textId="77777777" w:rsidR="00BE7C19" w:rsidRPr="003F1A75" w:rsidRDefault="00BE7C1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8495F4E" w14:textId="77777777" w:rsidR="00D75CA6" w:rsidRPr="003F1A75" w:rsidRDefault="00D75CA6" w:rsidP="00D75CA6">
            <w:pPr>
              <w:pStyle w:val="Footer"/>
              <w:jc w:val="left"/>
            </w:pPr>
            <w:r w:rsidRPr="00D44CD7">
              <w:rPr>
                <w:szCs w:val="20"/>
              </w:rPr>
              <w:fldChar w:fldCharType="begin"/>
            </w:r>
            <w:r w:rsidRPr="00D44CD7">
              <w:rPr>
                <w:szCs w:val="20"/>
              </w:rPr>
              <w:instrText xml:space="preserve"> PAGE </w:instrText>
            </w:r>
            <w:r w:rsidRPr="00D44CD7">
              <w:rPr>
                <w:szCs w:val="20"/>
              </w:rPr>
              <w:fldChar w:fldCharType="separate"/>
            </w:r>
            <w:r w:rsidRPr="00D44CD7">
              <w:rPr>
                <w:noProof/>
                <w:szCs w:val="20"/>
              </w:rPr>
              <w:t>2</w:t>
            </w:r>
            <w:r w:rsidRPr="00D44CD7">
              <w:rPr>
                <w:szCs w:val="20"/>
              </w:rPr>
              <w:fldChar w:fldCharType="end"/>
            </w:r>
            <w:r w:rsidRPr="00D44CD7">
              <w:rPr>
                <w:szCs w:val="20"/>
              </w:rPr>
              <w:t>/</w:t>
            </w:r>
            <w:r w:rsidRPr="00D44CD7">
              <w:rPr>
                <w:szCs w:val="20"/>
              </w:rPr>
              <w:fldChar w:fldCharType="begin"/>
            </w:r>
            <w:r w:rsidRPr="00D44CD7">
              <w:rPr>
                <w:szCs w:val="20"/>
              </w:rPr>
              <w:instrText xml:space="preserve"> NUMPAGES  </w:instrText>
            </w:r>
            <w:r w:rsidRPr="00D44CD7">
              <w:rPr>
                <w:szCs w:val="20"/>
              </w:rPr>
              <w:fldChar w:fldCharType="separate"/>
            </w:r>
            <w:r w:rsidRPr="00D44CD7">
              <w:rPr>
                <w:noProof/>
                <w:szCs w:val="20"/>
              </w:rPr>
              <w:t>2</w:t>
            </w:r>
            <w:r w:rsidRPr="00D44CD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52D40491" w14:textId="77777777" w:rsidR="00D75CA6" w:rsidRPr="00D44CD7" w:rsidRDefault="00D75CA6" w:rsidP="00D44CD7">
        <w:pPr>
          <w:pStyle w:val="Footer"/>
          <w:jc w:val="right"/>
        </w:pPr>
        <w:r w:rsidRPr="00D44CD7">
          <w:rPr>
            <w:szCs w:val="20"/>
          </w:rPr>
          <w:fldChar w:fldCharType="begin"/>
        </w:r>
        <w:r w:rsidRPr="00D44CD7">
          <w:rPr>
            <w:szCs w:val="20"/>
          </w:rPr>
          <w:instrText xml:space="preserve"> PAGE </w:instrText>
        </w:r>
        <w:r w:rsidRPr="00D44CD7">
          <w:rPr>
            <w:szCs w:val="20"/>
          </w:rPr>
          <w:fldChar w:fldCharType="separate"/>
        </w:r>
        <w:r w:rsidRPr="00D44CD7">
          <w:rPr>
            <w:szCs w:val="20"/>
          </w:rPr>
          <w:t>2</w:t>
        </w:r>
        <w:r w:rsidRPr="00D44CD7">
          <w:rPr>
            <w:szCs w:val="20"/>
          </w:rPr>
          <w:fldChar w:fldCharType="end"/>
        </w:r>
        <w:r w:rsidRPr="00D44CD7">
          <w:rPr>
            <w:szCs w:val="20"/>
          </w:rPr>
          <w:t>/</w:t>
        </w:r>
        <w:r w:rsidRPr="00D44CD7">
          <w:rPr>
            <w:szCs w:val="20"/>
          </w:rPr>
          <w:fldChar w:fldCharType="begin"/>
        </w:r>
        <w:r w:rsidRPr="00D44CD7">
          <w:rPr>
            <w:szCs w:val="20"/>
          </w:rPr>
          <w:instrText xml:space="preserve"> NUMPAGES  </w:instrText>
        </w:r>
        <w:r w:rsidRPr="00D44CD7">
          <w:rPr>
            <w:szCs w:val="20"/>
          </w:rPr>
          <w:fldChar w:fldCharType="separate"/>
        </w:r>
        <w:r w:rsidRPr="00D44CD7">
          <w:rPr>
            <w:szCs w:val="20"/>
          </w:rPr>
          <w:t>3</w:t>
        </w:r>
        <w:r w:rsidRPr="00D44CD7">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1621E" w14:textId="77777777" w:rsidR="00BE7C19" w:rsidRPr="003F1A75" w:rsidRDefault="00BE7C19" w:rsidP="00CF1848">
      <w:r w:rsidRPr="003F1A75">
        <w:separator/>
      </w:r>
    </w:p>
  </w:footnote>
  <w:footnote w:type="continuationSeparator" w:id="0">
    <w:p w14:paraId="4CA24C68" w14:textId="77777777" w:rsidR="00BE7C19" w:rsidRPr="003F1A75" w:rsidRDefault="00BE7C19" w:rsidP="00CF1848">
      <w:r w:rsidRPr="003F1A75">
        <w:continuationSeparator/>
      </w:r>
    </w:p>
  </w:footnote>
  <w:footnote w:id="1">
    <w:p w14:paraId="15872205" w14:textId="77777777" w:rsidR="00E8556C" w:rsidRPr="000C0990" w:rsidRDefault="00E8556C" w:rsidP="00E8556C">
      <w:pPr>
        <w:pStyle w:val="FootnoteText"/>
        <w:rPr>
          <w:lang w:val="en-CA"/>
        </w:rPr>
      </w:pPr>
      <w:r>
        <w:rPr>
          <w:rStyle w:val="FootnoteReference"/>
        </w:rPr>
        <w:footnoteRef/>
      </w:r>
      <w:r>
        <w:t xml:space="preserve"> </w:t>
      </w:r>
      <w:r w:rsidRPr="00C257FB">
        <w:t xml:space="preserve">United Nations, </w:t>
      </w:r>
      <w:r w:rsidRPr="000C0990">
        <w:rPr>
          <w:i/>
          <w:iCs/>
        </w:rPr>
        <w:t>Treaty Series</w:t>
      </w:r>
      <w:r w:rsidRPr="00C257FB">
        <w:t>, vol. 3008, No. 30619.</w:t>
      </w:r>
    </w:p>
  </w:footnote>
  <w:footnote w:id="2">
    <w:p w14:paraId="7909935A" w14:textId="77777777" w:rsidR="00E8556C" w:rsidRPr="000C0990" w:rsidRDefault="00E8556C" w:rsidP="00E8556C">
      <w:pPr>
        <w:pStyle w:val="FootnoteText"/>
      </w:pPr>
      <w:r w:rsidRPr="005E0E9C">
        <w:rPr>
          <w:rStyle w:val="FootnoteReference"/>
        </w:rPr>
        <w:footnoteRef/>
      </w:r>
      <w:r w:rsidRPr="005E0E9C">
        <w:t xml:space="preserve"> </w:t>
      </w:r>
      <w:r>
        <w:t xml:space="preserve">See </w:t>
      </w:r>
      <w:hyperlink r:id="rId1" w:history="1">
        <w:r w:rsidRPr="003B6772">
          <w:rPr>
            <w:rStyle w:val="Hyperlink"/>
            <w:rFonts w:eastAsia="Times New Roman"/>
            <w:iCs/>
            <w:szCs w:val="24"/>
          </w:rPr>
          <w:t>CBD/SBI/7/7</w:t>
        </w:r>
      </w:hyperlink>
      <w:r w:rsidRPr="000C0990">
        <w:rPr>
          <w:rFonts w:eastAsia="Times New Roman"/>
          <w:iCs/>
          <w:szCs w:val="24"/>
        </w:rPr>
        <w:t>, annexes I and II.</w:t>
      </w:r>
    </w:p>
  </w:footnote>
  <w:footnote w:id="3">
    <w:p w14:paraId="7F66E073" w14:textId="77777777" w:rsidR="00E8556C" w:rsidRPr="001E4C31" w:rsidRDefault="00E8556C" w:rsidP="00E8556C">
      <w:pPr>
        <w:pStyle w:val="FootnoteText"/>
      </w:pPr>
      <w:r>
        <w:rPr>
          <w:rStyle w:val="FootnoteReference"/>
        </w:rPr>
        <w:footnoteRef/>
      </w:r>
      <w:r>
        <w:t xml:space="preserve"> </w:t>
      </w:r>
      <w:r w:rsidRPr="001E4C31">
        <w:t xml:space="preserve">United Nations, </w:t>
      </w:r>
      <w:r w:rsidRPr="006B144A">
        <w:rPr>
          <w:i/>
          <w:iCs/>
        </w:rPr>
        <w:t>Treaty Series</w:t>
      </w:r>
      <w:r w:rsidRPr="001E4C31">
        <w:t>, vol. 1760, No. 30619.</w:t>
      </w:r>
    </w:p>
  </w:footnote>
  <w:footnote w:id="4">
    <w:p w14:paraId="28BD8641" w14:textId="77777777" w:rsidR="00E8556C" w:rsidRPr="0038752D" w:rsidRDefault="00E8556C" w:rsidP="00E8556C">
      <w:pPr>
        <w:pStyle w:val="FootnoteText"/>
      </w:pPr>
      <w:r>
        <w:rPr>
          <w:rStyle w:val="FootnoteReference"/>
        </w:rPr>
        <w:footnoteRef/>
      </w:r>
      <w:r>
        <w:t xml:space="preserve"> </w:t>
      </w:r>
      <w:hyperlink r:id="rId2" w:history="1">
        <w:r w:rsidRPr="0038752D">
          <w:rPr>
            <w:rStyle w:val="Hyperlink"/>
          </w:rPr>
          <w:t>www.cbd.int/abs/doc/cepa-toolkit-en.pdf</w:t>
        </w:r>
      </w:hyperlink>
      <w:r>
        <w:t xml:space="preserve">. </w:t>
      </w:r>
    </w:p>
  </w:footnote>
  <w:footnote w:id="5">
    <w:p w14:paraId="2A603F87" w14:textId="77777777" w:rsidR="00E8556C" w:rsidRPr="006B144A" w:rsidRDefault="00E8556C" w:rsidP="00E8556C">
      <w:pPr>
        <w:pStyle w:val="FootnoteText"/>
        <w:rPr>
          <w:lang w:val="en-CA"/>
        </w:rPr>
      </w:pPr>
      <w:r>
        <w:rPr>
          <w:rStyle w:val="FootnoteReference"/>
        </w:rPr>
        <w:footnoteRef/>
      </w:r>
      <w:r>
        <w:t xml:space="preserve"> </w:t>
      </w:r>
      <w:r>
        <w:rPr>
          <w:lang w:val="en-CA"/>
        </w:rPr>
        <w:t xml:space="preserve">See </w:t>
      </w:r>
      <w:hyperlink r:id="rId3" w:history="1">
        <w:r w:rsidRPr="008A03B6">
          <w:rPr>
            <w:rStyle w:val="Hyperlink"/>
            <w:lang w:val="en-CA"/>
          </w:rPr>
          <w:t>CBD/NP/ABSCH-IAC/6/3</w:t>
        </w:r>
      </w:hyperlink>
      <w:r>
        <w:rPr>
          <w:lang w:val="en-CA"/>
        </w:rPr>
        <w:t>.</w:t>
      </w:r>
    </w:p>
  </w:footnote>
  <w:footnote w:id="6">
    <w:p w14:paraId="4971EE97" w14:textId="77777777" w:rsidR="00E8556C" w:rsidRPr="00D169DD" w:rsidRDefault="00E8556C" w:rsidP="00E8556C">
      <w:pPr>
        <w:pStyle w:val="FootnoteText"/>
      </w:pPr>
      <w:r>
        <w:rPr>
          <w:rStyle w:val="FootnoteReference"/>
        </w:rPr>
        <w:footnoteRef/>
      </w:r>
      <w:r>
        <w:t xml:space="preserve"> Decision </w:t>
      </w:r>
      <w:hyperlink r:id="rId4" w:history="1">
        <w:r w:rsidRPr="00946336">
          <w:rPr>
            <w:rStyle w:val="Hyperlink"/>
          </w:rPr>
          <w:t>15/4</w:t>
        </w:r>
      </w:hyperlink>
      <w:r>
        <w:t>,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2194B" w14:textId="452653C7" w:rsidR="00534681" w:rsidRPr="003F1A75" w:rsidRDefault="00BE7C19"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DA5DB9">
          <w:rPr>
            <w:szCs w:val="20"/>
          </w:rPr>
          <w:t>CBD/NP/MOP/6/L.5</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5D2D135" w14:textId="6A68E44A" w:rsidR="009505C9" w:rsidRPr="003F1A75" w:rsidRDefault="00DA5DB9" w:rsidP="007C4951">
        <w:pPr>
          <w:pStyle w:val="Header"/>
          <w:spacing w:after="240"/>
          <w:jc w:val="right"/>
        </w:pPr>
        <w:r>
          <w:t>CBD/NP/MOP/6/L.5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13E99"/>
    <w:rsid w:val="00056BC5"/>
    <w:rsid w:val="0007171B"/>
    <w:rsid w:val="000810AC"/>
    <w:rsid w:val="000D0D8C"/>
    <w:rsid w:val="000D0F68"/>
    <w:rsid w:val="000E673A"/>
    <w:rsid w:val="000F6945"/>
    <w:rsid w:val="000F74F5"/>
    <w:rsid w:val="000F78FC"/>
    <w:rsid w:val="001031DF"/>
    <w:rsid w:val="00105372"/>
    <w:rsid w:val="001054A6"/>
    <w:rsid w:val="00105649"/>
    <w:rsid w:val="001078A1"/>
    <w:rsid w:val="00110DA5"/>
    <w:rsid w:val="001146C4"/>
    <w:rsid w:val="001312AD"/>
    <w:rsid w:val="00131E7A"/>
    <w:rsid w:val="00134846"/>
    <w:rsid w:val="00172AF6"/>
    <w:rsid w:val="00176CEE"/>
    <w:rsid w:val="001847AD"/>
    <w:rsid w:val="00186DD8"/>
    <w:rsid w:val="001A35EC"/>
    <w:rsid w:val="001A6A15"/>
    <w:rsid w:val="001B13FE"/>
    <w:rsid w:val="001E3C01"/>
    <w:rsid w:val="00227D0F"/>
    <w:rsid w:val="00227D4E"/>
    <w:rsid w:val="00234539"/>
    <w:rsid w:val="00267374"/>
    <w:rsid w:val="002905D7"/>
    <w:rsid w:val="002B0C13"/>
    <w:rsid w:val="003008FE"/>
    <w:rsid w:val="00301239"/>
    <w:rsid w:val="0030169D"/>
    <w:rsid w:val="003060EB"/>
    <w:rsid w:val="00314EFE"/>
    <w:rsid w:val="003153EB"/>
    <w:rsid w:val="0032136E"/>
    <w:rsid w:val="00321985"/>
    <w:rsid w:val="00351205"/>
    <w:rsid w:val="00372F74"/>
    <w:rsid w:val="00392A12"/>
    <w:rsid w:val="003942EA"/>
    <w:rsid w:val="003B2D95"/>
    <w:rsid w:val="003B59ED"/>
    <w:rsid w:val="003F1A75"/>
    <w:rsid w:val="003F4188"/>
    <w:rsid w:val="003F7224"/>
    <w:rsid w:val="00427D21"/>
    <w:rsid w:val="00443340"/>
    <w:rsid w:val="00447F4A"/>
    <w:rsid w:val="00456F67"/>
    <w:rsid w:val="004644C2"/>
    <w:rsid w:val="004676F7"/>
    <w:rsid w:val="00467F9C"/>
    <w:rsid w:val="00503F8E"/>
    <w:rsid w:val="0051006C"/>
    <w:rsid w:val="00534681"/>
    <w:rsid w:val="00541240"/>
    <w:rsid w:val="005554CE"/>
    <w:rsid w:val="0056068E"/>
    <w:rsid w:val="00563442"/>
    <w:rsid w:val="0056348E"/>
    <w:rsid w:val="005649FD"/>
    <w:rsid w:val="00565B42"/>
    <w:rsid w:val="005B35E2"/>
    <w:rsid w:val="005C4CE6"/>
    <w:rsid w:val="005D1D03"/>
    <w:rsid w:val="005F39C6"/>
    <w:rsid w:val="006122BA"/>
    <w:rsid w:val="00623008"/>
    <w:rsid w:val="00643BBC"/>
    <w:rsid w:val="006478BF"/>
    <w:rsid w:val="00650CA9"/>
    <w:rsid w:val="006A73C1"/>
    <w:rsid w:val="006B2290"/>
    <w:rsid w:val="006F3019"/>
    <w:rsid w:val="00717D88"/>
    <w:rsid w:val="00720E54"/>
    <w:rsid w:val="00726A43"/>
    <w:rsid w:val="00731F80"/>
    <w:rsid w:val="00735206"/>
    <w:rsid w:val="00761A81"/>
    <w:rsid w:val="00786056"/>
    <w:rsid w:val="007942D3"/>
    <w:rsid w:val="0079778A"/>
    <w:rsid w:val="007B2099"/>
    <w:rsid w:val="007B6C09"/>
    <w:rsid w:val="007B7741"/>
    <w:rsid w:val="007C4951"/>
    <w:rsid w:val="007E09DA"/>
    <w:rsid w:val="007E0F8A"/>
    <w:rsid w:val="007E4208"/>
    <w:rsid w:val="007F718D"/>
    <w:rsid w:val="00801FAD"/>
    <w:rsid w:val="008178B6"/>
    <w:rsid w:val="00835BBC"/>
    <w:rsid w:val="00862473"/>
    <w:rsid w:val="00865B74"/>
    <w:rsid w:val="00866063"/>
    <w:rsid w:val="0087796A"/>
    <w:rsid w:val="008974F0"/>
    <w:rsid w:val="008A1499"/>
    <w:rsid w:val="008B012A"/>
    <w:rsid w:val="008D40D8"/>
    <w:rsid w:val="008E1467"/>
    <w:rsid w:val="008E471B"/>
    <w:rsid w:val="00906E17"/>
    <w:rsid w:val="00923A04"/>
    <w:rsid w:val="00930BA1"/>
    <w:rsid w:val="0093169E"/>
    <w:rsid w:val="009505C9"/>
    <w:rsid w:val="00950752"/>
    <w:rsid w:val="009611C8"/>
    <w:rsid w:val="00966424"/>
    <w:rsid w:val="00975047"/>
    <w:rsid w:val="009C2DE6"/>
    <w:rsid w:val="009F18B2"/>
    <w:rsid w:val="009F6B2D"/>
    <w:rsid w:val="00A111D1"/>
    <w:rsid w:val="00AA6F92"/>
    <w:rsid w:val="00AB6934"/>
    <w:rsid w:val="00AD38EF"/>
    <w:rsid w:val="00AF42DE"/>
    <w:rsid w:val="00B3369F"/>
    <w:rsid w:val="00B51FC6"/>
    <w:rsid w:val="00B71CB4"/>
    <w:rsid w:val="00B94E6C"/>
    <w:rsid w:val="00BB4606"/>
    <w:rsid w:val="00BD1372"/>
    <w:rsid w:val="00BD5749"/>
    <w:rsid w:val="00BE7C19"/>
    <w:rsid w:val="00C23D2F"/>
    <w:rsid w:val="00C443BD"/>
    <w:rsid w:val="00C451C5"/>
    <w:rsid w:val="00C70248"/>
    <w:rsid w:val="00C75225"/>
    <w:rsid w:val="00C80BE8"/>
    <w:rsid w:val="00C9161D"/>
    <w:rsid w:val="00CA0C1D"/>
    <w:rsid w:val="00CD061E"/>
    <w:rsid w:val="00CD5E03"/>
    <w:rsid w:val="00CD7C07"/>
    <w:rsid w:val="00CF1848"/>
    <w:rsid w:val="00D12044"/>
    <w:rsid w:val="00D170D9"/>
    <w:rsid w:val="00D33EFC"/>
    <w:rsid w:val="00D40DBC"/>
    <w:rsid w:val="00D44CD7"/>
    <w:rsid w:val="00D61C85"/>
    <w:rsid w:val="00D71C57"/>
    <w:rsid w:val="00D75CA6"/>
    <w:rsid w:val="00D76A18"/>
    <w:rsid w:val="00D80849"/>
    <w:rsid w:val="00D82E8F"/>
    <w:rsid w:val="00D94E20"/>
    <w:rsid w:val="00DA5DB9"/>
    <w:rsid w:val="00DB5E0F"/>
    <w:rsid w:val="00DD118C"/>
    <w:rsid w:val="00DE23A9"/>
    <w:rsid w:val="00DE765C"/>
    <w:rsid w:val="00E57E8D"/>
    <w:rsid w:val="00E6465E"/>
    <w:rsid w:val="00E66235"/>
    <w:rsid w:val="00E83C24"/>
    <w:rsid w:val="00E8556C"/>
    <w:rsid w:val="00E9318D"/>
    <w:rsid w:val="00E9388F"/>
    <w:rsid w:val="00E93F3E"/>
    <w:rsid w:val="00E97488"/>
    <w:rsid w:val="00EC193E"/>
    <w:rsid w:val="00F063C2"/>
    <w:rsid w:val="00F30F12"/>
    <w:rsid w:val="00F41B73"/>
    <w:rsid w:val="00F53193"/>
    <w:rsid w:val="00F5357E"/>
    <w:rsid w:val="00F6586C"/>
    <w:rsid w:val="00F9038B"/>
    <w:rsid w:val="00F90F9B"/>
    <w:rsid w:val="00F9456F"/>
    <w:rsid w:val="00F94774"/>
    <w:rsid w:val="00FA4FFD"/>
    <w:rsid w:val="00FA663B"/>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A2FB6C9F-EF4D-4888-8DFB-EA669258D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8556C"/>
    <w:pPr>
      <w:spacing w:after="160" w:line="240" w:lineRule="exact"/>
      <w:jc w:val="left"/>
    </w:pPr>
    <w:rPr>
      <w:rFonts w:asciiTheme="minorHAnsi" w:eastAsiaTheme="minorEastAsia" w:hAnsiTheme="minorHAnsi" w:cstheme="minorBidi"/>
      <w:sz w:val="24"/>
      <w:szCs w:val="24"/>
      <w:vertAlign w:val="superscript"/>
    </w:rPr>
  </w:style>
  <w:style w:type="paragraph" w:customStyle="1" w:styleId="Para20">
    <w:name w:val="Para 2"/>
    <w:qFormat/>
    <w:rsid w:val="00E8556C"/>
    <w:pPr>
      <w:tabs>
        <w:tab w:val="left" w:pos="1701"/>
      </w:tabs>
      <w:spacing w:before="120" w:after="120"/>
      <w:jc w:val="both"/>
    </w:pPr>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 Type="http://schemas.openxmlformats.org/officeDocument/2006/relationships/customXml" Target="../customXml/item2.xml"/><Relationship Id="rId16" Type="http://schemas.openxmlformats.org/officeDocument/2006/relationships/hyperlink" Target="https://www.cbd.int/decisions/np-mop?m=np-mop-0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5"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NP/ABSCH-IAC/6/3" TargetMode="External"/><Relationship Id="rId2" Type="http://schemas.openxmlformats.org/officeDocument/2006/relationships/hyperlink" Target="https://www.cbd.int/abs/doc/cepa-toolkit-en.pdf" TargetMode="External"/><Relationship Id="rId1" Type="http://schemas.openxmlformats.org/officeDocument/2006/relationships/hyperlink" Target="https://www.cbd.int/documents/CBD/SBI/7/7"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886902">
          <w:pPr>
            <w:pStyle w:val="231655F7C16F4CD6AA12DCC7F439990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110DA5"/>
    <w:rsid w:val="00213419"/>
    <w:rsid w:val="00337072"/>
    <w:rsid w:val="00660EAD"/>
    <w:rsid w:val="006F3019"/>
    <w:rsid w:val="00761A81"/>
    <w:rsid w:val="007713F5"/>
    <w:rsid w:val="00886902"/>
    <w:rsid w:val="00905E24"/>
    <w:rsid w:val="009611C8"/>
    <w:rsid w:val="009F6B2D"/>
    <w:rsid w:val="00B26A57"/>
    <w:rsid w:val="00BD35DD"/>
    <w:rsid w:val="00C26620"/>
    <w:rsid w:val="00DE23A9"/>
    <w:rsid w:val="00EA068C"/>
    <w:rsid w:val="00EB7993"/>
    <w:rsid w:val="00EF1F61"/>
    <w:rsid w:val="00F90F9B"/>
    <w:rsid w:val="00F9456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5ADE65-ED0D-4635-A511-0F1125FF0B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Template>
  <TotalTime>2</TotalTime>
  <Pages>4</Pages>
  <Words>1463</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9784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the implementation of the Nagoya Protocol</dc:title>
  <dc:subject>CBD/NP/MOP/6/L.5</dc:subject>
  <dc:creator>Veronique Lefebvre</dc:creator>
  <cp:keywords>Convention on Biological Diversity</cp:keywords>
  <cp:lastModifiedBy>Veronique Lefebvre</cp:lastModifiedBy>
  <cp:revision>4</cp:revision>
  <cp:lastPrinted>2020-01-21T16:56:00Z</cp:lastPrinted>
  <dcterms:created xsi:type="dcterms:W3CDTF">2026-10-23T12:27:00Z</dcterms:created>
  <dcterms:modified xsi:type="dcterms:W3CDTF">2026-10-23T12:28:00Z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