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D1078" w:rsidTr="00CF1848">
        <w:trPr>
          <w:trHeight w:val="709"/>
        </w:trPr>
        <w:tc>
          <w:tcPr>
            <w:tcW w:w="976" w:type="dxa"/>
            <w:tcBorders>
              <w:bottom w:val="single" w:sz="12" w:space="0" w:color="auto"/>
            </w:tcBorders>
          </w:tcPr>
          <w:p w:rsidR="00C9161D" w:rsidRPr="00060510" w:rsidRDefault="00C9161D" w:rsidP="00060510">
            <w:pPr>
              <w:suppressLineNumbers/>
              <w:suppressAutoHyphens/>
              <w:kinsoku w:val="0"/>
              <w:overflowPunct w:val="0"/>
              <w:autoSpaceDE w:val="0"/>
              <w:autoSpaceDN w:val="0"/>
              <w:adjustRightInd w:val="0"/>
              <w:snapToGrid w:val="0"/>
              <w:rPr>
                <w:snapToGrid w:val="0"/>
                <w:kern w:val="22"/>
              </w:rPr>
            </w:pPr>
            <w:bookmarkStart w:id="0" w:name="_GoBack"/>
            <w:bookmarkEnd w:id="0"/>
            <w:r w:rsidRPr="00060510">
              <w:rPr>
                <w:noProof/>
                <w:snapToGrid w:val="0"/>
                <w:kern w:val="22"/>
                <w:lang w:eastAsia="zh-CN"/>
              </w:rPr>
              <w:drawing>
                <wp:inline distT="0" distB="0" distL="0" distR="0" wp14:anchorId="594E30A9" wp14:editId="27AD989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060510" w:rsidRDefault="00C9161D" w:rsidP="00060510">
            <w:pPr>
              <w:suppressLineNumbers/>
              <w:suppressAutoHyphens/>
              <w:kinsoku w:val="0"/>
              <w:overflowPunct w:val="0"/>
              <w:autoSpaceDE w:val="0"/>
              <w:autoSpaceDN w:val="0"/>
              <w:adjustRightInd w:val="0"/>
              <w:snapToGrid w:val="0"/>
              <w:rPr>
                <w:snapToGrid w:val="0"/>
                <w:kern w:val="22"/>
              </w:rPr>
            </w:pPr>
            <w:r w:rsidRPr="00060510">
              <w:rPr>
                <w:noProof/>
                <w:snapToGrid w:val="0"/>
                <w:kern w:val="22"/>
                <w:lang w:eastAsia="zh-CN"/>
              </w:rPr>
              <w:drawing>
                <wp:inline distT="0" distB="0" distL="0" distR="0" wp14:anchorId="5B60C133" wp14:editId="29E0A7C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060510" w:rsidRDefault="00C9161D" w:rsidP="0006051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60510">
              <w:rPr>
                <w:rFonts w:ascii="Arial" w:hAnsi="Arial" w:cs="Arial"/>
                <w:b/>
                <w:snapToGrid w:val="0"/>
                <w:kern w:val="22"/>
                <w:sz w:val="32"/>
                <w:szCs w:val="32"/>
              </w:rPr>
              <w:t>CBD</w:t>
            </w:r>
          </w:p>
        </w:tc>
      </w:tr>
      <w:tr w:rsidR="00C9161D" w:rsidRPr="000D1078" w:rsidTr="00CF1848">
        <w:tc>
          <w:tcPr>
            <w:tcW w:w="6117" w:type="dxa"/>
            <w:gridSpan w:val="2"/>
            <w:tcBorders>
              <w:top w:val="single" w:sz="12" w:space="0" w:color="auto"/>
              <w:bottom w:val="single" w:sz="36" w:space="0" w:color="auto"/>
            </w:tcBorders>
            <w:vAlign w:val="center"/>
          </w:tcPr>
          <w:p w:rsidR="00C9161D" w:rsidRPr="00060510" w:rsidRDefault="00C9161D" w:rsidP="00060510">
            <w:pPr>
              <w:suppressLineNumbers/>
              <w:suppressAutoHyphens/>
              <w:kinsoku w:val="0"/>
              <w:overflowPunct w:val="0"/>
              <w:autoSpaceDE w:val="0"/>
              <w:autoSpaceDN w:val="0"/>
              <w:adjustRightInd w:val="0"/>
              <w:snapToGrid w:val="0"/>
              <w:rPr>
                <w:snapToGrid w:val="0"/>
                <w:kern w:val="22"/>
              </w:rPr>
            </w:pPr>
            <w:r w:rsidRPr="00060510">
              <w:rPr>
                <w:noProof/>
                <w:snapToGrid w:val="0"/>
                <w:kern w:val="22"/>
                <w:lang w:eastAsia="zh-CN"/>
              </w:rPr>
              <w:drawing>
                <wp:inline distT="0" distB="0" distL="0" distR="0" wp14:anchorId="2FE17D2A" wp14:editId="788B782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060510" w:rsidRDefault="00C9161D" w:rsidP="00060510">
            <w:pPr>
              <w:suppressLineNumbers/>
              <w:suppressAutoHyphens/>
              <w:kinsoku w:val="0"/>
              <w:overflowPunct w:val="0"/>
              <w:autoSpaceDE w:val="0"/>
              <w:autoSpaceDN w:val="0"/>
              <w:adjustRightInd w:val="0"/>
              <w:snapToGrid w:val="0"/>
              <w:ind w:left="1215"/>
              <w:rPr>
                <w:snapToGrid w:val="0"/>
                <w:kern w:val="22"/>
                <w:szCs w:val="22"/>
              </w:rPr>
            </w:pPr>
            <w:r w:rsidRPr="00060510">
              <w:rPr>
                <w:snapToGrid w:val="0"/>
                <w:kern w:val="22"/>
                <w:szCs w:val="22"/>
              </w:rPr>
              <w:t>Distr.</w:t>
            </w:r>
          </w:p>
          <w:p w:rsidR="00C9161D" w:rsidRPr="00060510" w:rsidRDefault="00060510" w:rsidP="00060510">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060510">
                  <w:rPr>
                    <w:caps/>
                    <w:snapToGrid w:val="0"/>
                    <w:kern w:val="22"/>
                    <w:szCs w:val="22"/>
                  </w:rPr>
                  <w:t>GENERAL</w:t>
                </w:r>
              </w:sdtContent>
            </w:sdt>
          </w:p>
          <w:p w:rsidR="00C9161D" w:rsidRPr="00060510" w:rsidRDefault="00C9161D" w:rsidP="00060510">
            <w:pPr>
              <w:suppressLineNumbers/>
              <w:suppressAutoHyphens/>
              <w:kinsoku w:val="0"/>
              <w:overflowPunct w:val="0"/>
              <w:autoSpaceDE w:val="0"/>
              <w:autoSpaceDN w:val="0"/>
              <w:adjustRightInd w:val="0"/>
              <w:snapToGrid w:val="0"/>
              <w:ind w:left="1215"/>
              <w:rPr>
                <w:snapToGrid w:val="0"/>
                <w:kern w:val="22"/>
                <w:szCs w:val="22"/>
              </w:rPr>
            </w:pPr>
          </w:p>
          <w:p w:rsidR="00C9161D" w:rsidRPr="00060510" w:rsidRDefault="00060510" w:rsidP="00060510">
            <w:pPr>
              <w:suppressLineNumbers/>
              <w:suppressAutoHyphens/>
              <w:kinsoku w:val="0"/>
              <w:overflowPunct w:val="0"/>
              <w:autoSpaceDE w:val="0"/>
              <w:autoSpaceDN w:val="0"/>
              <w:adjustRightInd w:val="0"/>
              <w:snapToGrid w:val="0"/>
              <w:ind w:left="1215"/>
              <w:rPr>
                <w:snapToGrid w:val="0"/>
                <w:kern w:val="22"/>
                <w:szCs w:val="22"/>
              </w:rPr>
            </w:pPr>
            <w:sdt>
              <w:sdtPr>
                <w:rPr>
                  <w:rFonts w:eastAsia="MS Mincho"/>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70D30" w:rsidRPr="00060510">
                  <w:rPr>
                    <w:rFonts w:eastAsia="MS Mincho"/>
                    <w:snapToGrid w:val="0"/>
                    <w:kern w:val="22"/>
                    <w:szCs w:val="22"/>
                  </w:rPr>
                  <w:t>CBD/SBI/2/4/Add.2</w:t>
                </w:r>
              </w:sdtContent>
            </w:sdt>
          </w:p>
          <w:p w:rsidR="00C9161D" w:rsidRPr="00060510" w:rsidRDefault="00060510" w:rsidP="00060510">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05-20T00:00:00Z">
                  <w:dateFormat w:val="d MMMM yyyy"/>
                  <w:lid w:val="en-US"/>
                  <w:storeMappedDataAs w:val="dateTime"/>
                  <w:calendar w:val="gregorian"/>
                </w:date>
              </w:sdtPr>
              <w:sdtEndPr/>
              <w:sdtContent>
                <w:r w:rsidR="007E09DA" w:rsidRPr="00060510">
                  <w:rPr>
                    <w:snapToGrid w:val="0"/>
                    <w:kern w:val="22"/>
                    <w:szCs w:val="22"/>
                  </w:rPr>
                  <w:t>2</w:t>
                </w:r>
                <w:r w:rsidR="00422D5C" w:rsidRPr="00060510">
                  <w:rPr>
                    <w:snapToGrid w:val="0"/>
                    <w:kern w:val="22"/>
                    <w:szCs w:val="22"/>
                  </w:rPr>
                  <w:t>0</w:t>
                </w:r>
                <w:r w:rsidR="007E09DA" w:rsidRPr="00060510">
                  <w:rPr>
                    <w:snapToGrid w:val="0"/>
                    <w:kern w:val="22"/>
                    <w:szCs w:val="22"/>
                  </w:rPr>
                  <w:t xml:space="preserve"> </w:t>
                </w:r>
                <w:r w:rsidR="00422D5C" w:rsidRPr="00060510">
                  <w:rPr>
                    <w:snapToGrid w:val="0"/>
                    <w:kern w:val="22"/>
                    <w:szCs w:val="22"/>
                  </w:rPr>
                  <w:t>May</w:t>
                </w:r>
                <w:r w:rsidR="007E09DA" w:rsidRPr="00060510">
                  <w:rPr>
                    <w:snapToGrid w:val="0"/>
                    <w:kern w:val="22"/>
                    <w:szCs w:val="22"/>
                  </w:rPr>
                  <w:t xml:space="preserve"> 2017</w:t>
                </w:r>
              </w:sdtContent>
            </w:sdt>
          </w:p>
          <w:p w:rsidR="00C9161D" w:rsidRPr="00060510" w:rsidRDefault="00C9161D" w:rsidP="00060510">
            <w:pPr>
              <w:suppressLineNumbers/>
              <w:suppressAutoHyphens/>
              <w:kinsoku w:val="0"/>
              <w:overflowPunct w:val="0"/>
              <w:autoSpaceDE w:val="0"/>
              <w:autoSpaceDN w:val="0"/>
              <w:adjustRightInd w:val="0"/>
              <w:snapToGrid w:val="0"/>
              <w:ind w:left="1215"/>
              <w:rPr>
                <w:snapToGrid w:val="0"/>
                <w:kern w:val="22"/>
                <w:szCs w:val="22"/>
              </w:rPr>
            </w:pPr>
          </w:p>
          <w:p w:rsidR="00C9161D" w:rsidRPr="00060510" w:rsidRDefault="006B2290" w:rsidP="00060510">
            <w:pPr>
              <w:suppressLineNumbers/>
              <w:suppressAutoHyphens/>
              <w:kinsoku w:val="0"/>
              <w:overflowPunct w:val="0"/>
              <w:autoSpaceDE w:val="0"/>
              <w:autoSpaceDN w:val="0"/>
              <w:adjustRightInd w:val="0"/>
              <w:snapToGrid w:val="0"/>
              <w:ind w:left="1215"/>
              <w:rPr>
                <w:snapToGrid w:val="0"/>
                <w:kern w:val="22"/>
                <w:szCs w:val="22"/>
              </w:rPr>
            </w:pPr>
            <w:r w:rsidRPr="00060510">
              <w:rPr>
                <w:snapToGrid w:val="0"/>
                <w:kern w:val="22"/>
                <w:szCs w:val="22"/>
              </w:rPr>
              <w:t xml:space="preserve">ORIGINAL: </w:t>
            </w:r>
            <w:r w:rsidR="00C9161D" w:rsidRPr="00060510">
              <w:rPr>
                <w:snapToGrid w:val="0"/>
                <w:kern w:val="22"/>
                <w:szCs w:val="22"/>
              </w:rPr>
              <w:t>ENGLISH</w:t>
            </w:r>
          </w:p>
          <w:p w:rsidR="00C9161D" w:rsidRPr="00060510" w:rsidRDefault="00C9161D" w:rsidP="00060510">
            <w:pPr>
              <w:suppressLineNumbers/>
              <w:suppressAutoHyphens/>
              <w:kinsoku w:val="0"/>
              <w:overflowPunct w:val="0"/>
              <w:autoSpaceDE w:val="0"/>
              <w:autoSpaceDN w:val="0"/>
              <w:adjustRightInd w:val="0"/>
              <w:snapToGrid w:val="0"/>
              <w:rPr>
                <w:snapToGrid w:val="0"/>
                <w:kern w:val="22"/>
              </w:rPr>
            </w:pPr>
          </w:p>
        </w:tc>
      </w:tr>
    </w:tbl>
    <w:p w:rsidR="00070D30" w:rsidRPr="00060510" w:rsidRDefault="00070D30" w:rsidP="00060510">
      <w:pPr>
        <w:suppressLineNumbers/>
        <w:suppressAutoHyphens/>
        <w:kinsoku w:val="0"/>
        <w:overflowPunct w:val="0"/>
        <w:autoSpaceDE w:val="0"/>
        <w:autoSpaceDN w:val="0"/>
        <w:adjustRightInd w:val="0"/>
        <w:snapToGrid w:val="0"/>
        <w:ind w:left="142" w:right="4398" w:hanging="142"/>
        <w:jc w:val="left"/>
        <w:rPr>
          <w:rFonts w:eastAsia="MS Mincho"/>
          <w:snapToGrid w:val="0"/>
          <w:kern w:val="22"/>
          <w:szCs w:val="22"/>
        </w:rPr>
      </w:pPr>
      <w:r w:rsidRPr="00060510">
        <w:rPr>
          <w:rFonts w:eastAsia="MS Mincho"/>
          <w:snapToGrid w:val="0"/>
          <w:kern w:val="22"/>
          <w:szCs w:val="22"/>
        </w:rPr>
        <w:t>SUBSIDIARY BODY ON IMPLEMENTATION</w:t>
      </w:r>
    </w:p>
    <w:p w:rsidR="00070D30" w:rsidRPr="00060510" w:rsidRDefault="00070D30" w:rsidP="00060510">
      <w:pPr>
        <w:suppressLineNumbers/>
        <w:tabs>
          <w:tab w:val="left" w:pos="5954"/>
        </w:tabs>
        <w:suppressAutoHyphens/>
        <w:kinsoku w:val="0"/>
        <w:overflowPunct w:val="0"/>
        <w:autoSpaceDE w:val="0"/>
        <w:autoSpaceDN w:val="0"/>
        <w:adjustRightInd w:val="0"/>
        <w:snapToGrid w:val="0"/>
        <w:ind w:left="142" w:right="3406" w:hanging="142"/>
        <w:jc w:val="left"/>
        <w:rPr>
          <w:rFonts w:eastAsia="MS Mincho"/>
          <w:snapToGrid w:val="0"/>
          <w:kern w:val="22"/>
          <w:szCs w:val="22"/>
        </w:rPr>
      </w:pPr>
      <w:r w:rsidRPr="00060510">
        <w:rPr>
          <w:rFonts w:eastAsia="MS Mincho"/>
          <w:snapToGrid w:val="0"/>
          <w:kern w:val="22"/>
          <w:szCs w:val="22"/>
        </w:rPr>
        <w:tab/>
        <w:t>Second meeting</w:t>
      </w:r>
    </w:p>
    <w:p w:rsidR="00070D30" w:rsidRPr="00060510" w:rsidRDefault="00070D30" w:rsidP="00060510">
      <w:pPr>
        <w:suppressLineNumbers/>
        <w:suppressAutoHyphens/>
        <w:kinsoku w:val="0"/>
        <w:overflowPunct w:val="0"/>
        <w:autoSpaceDE w:val="0"/>
        <w:autoSpaceDN w:val="0"/>
        <w:adjustRightInd w:val="0"/>
        <w:snapToGrid w:val="0"/>
        <w:ind w:left="142" w:right="3124"/>
        <w:jc w:val="left"/>
        <w:rPr>
          <w:rFonts w:eastAsia="MS Mincho"/>
          <w:snapToGrid w:val="0"/>
          <w:kern w:val="22"/>
          <w:szCs w:val="22"/>
        </w:rPr>
      </w:pPr>
      <w:r w:rsidRPr="00060510">
        <w:rPr>
          <w:rFonts w:eastAsia="MS Mincho"/>
          <w:snapToGrid w:val="0"/>
          <w:kern w:val="22"/>
          <w:szCs w:val="22"/>
        </w:rPr>
        <w:t>Montreal, Canada, 9-13 July 2018</w:t>
      </w:r>
    </w:p>
    <w:p w:rsidR="00C9161D" w:rsidRPr="00060510" w:rsidRDefault="00070D30" w:rsidP="00060510">
      <w:pPr>
        <w:suppressLineNumbers/>
        <w:suppressAutoHyphens/>
        <w:kinsoku w:val="0"/>
        <w:overflowPunct w:val="0"/>
        <w:autoSpaceDE w:val="0"/>
        <w:autoSpaceDN w:val="0"/>
        <w:adjustRightInd w:val="0"/>
        <w:snapToGrid w:val="0"/>
        <w:ind w:left="142"/>
        <w:rPr>
          <w:snapToGrid w:val="0"/>
          <w:kern w:val="22"/>
          <w:szCs w:val="22"/>
        </w:rPr>
      </w:pPr>
      <w:r w:rsidRPr="00060510">
        <w:rPr>
          <w:rFonts w:eastAsia="MS Mincho"/>
          <w:snapToGrid w:val="0"/>
          <w:kern w:val="22"/>
          <w:szCs w:val="22"/>
        </w:rPr>
        <w:t>Item 8 of the provisional agenda</w:t>
      </w:r>
      <w:r w:rsidRPr="00060510">
        <w:rPr>
          <w:rFonts w:eastAsia="MS Mincho"/>
          <w:snapToGrid w:val="0"/>
          <w:kern w:val="22"/>
          <w:szCs w:val="22"/>
          <w:vertAlign w:val="superscript"/>
        </w:rPr>
        <w:footnoteReference w:customMarkFollows="1" w:id="1"/>
        <w:t>*</w:t>
      </w:r>
    </w:p>
    <w:p w:rsidR="00C9161D" w:rsidRPr="00060510" w:rsidRDefault="00060510" w:rsidP="00060510">
      <w:pPr>
        <w:suppressLineNumbers/>
        <w:suppressAutoHyphens/>
        <w:kinsoku w:val="0"/>
        <w:overflowPunct w:val="0"/>
        <w:autoSpaceDE w:val="0"/>
        <w:autoSpaceDN w:val="0"/>
        <w:adjustRightInd w:val="0"/>
        <w:snapToGrid w:val="0"/>
        <w:spacing w:before="120" w:after="120"/>
        <w:jc w:val="center"/>
        <w:rPr>
          <w:b/>
          <w:caps/>
          <w:snapToGrid w:val="0"/>
          <w:kern w:val="22"/>
        </w:rPr>
      </w:pPr>
      <w:sdt>
        <w:sdtPr>
          <w:rPr>
            <w:rStyle w:val="Heading1Char"/>
            <w:rFonts w:ascii="Times New Roman Bold" w:hAnsi="Times New Roman Bold" w:cs="Times New Roman Bold"/>
            <w:bC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D1078" w:rsidRPr="00060510">
            <w:rPr>
              <w:rStyle w:val="Heading1Char"/>
              <w:rFonts w:ascii="Times New Roman Bold" w:hAnsi="Times New Roman Bold" w:cs="Times New Roman Bold"/>
              <w:bCs/>
              <w:snapToGrid w:val="0"/>
              <w:kern w:val="22"/>
            </w:rPr>
            <w:t>Guidance for reporting by businesses on their actions related to biodiversity</w:t>
          </w:r>
        </w:sdtContent>
      </w:sdt>
    </w:p>
    <w:p w:rsidR="00070D30" w:rsidRPr="00B14636" w:rsidRDefault="00070D30" w:rsidP="00060510">
      <w:pPr>
        <w:suppressLineNumbers/>
        <w:suppressAutoHyphens/>
        <w:kinsoku w:val="0"/>
        <w:overflowPunct w:val="0"/>
        <w:autoSpaceDE w:val="0"/>
        <w:autoSpaceDN w:val="0"/>
        <w:adjustRightInd w:val="0"/>
        <w:snapToGrid w:val="0"/>
        <w:spacing w:before="120" w:after="120"/>
        <w:jc w:val="center"/>
        <w:rPr>
          <w:i/>
          <w:snapToGrid w:val="0"/>
          <w:color w:val="000000"/>
          <w:kern w:val="22"/>
          <w:szCs w:val="22"/>
        </w:rPr>
      </w:pPr>
      <w:r w:rsidRPr="000D1078">
        <w:rPr>
          <w:i/>
          <w:snapToGrid w:val="0"/>
          <w:color w:val="000000"/>
          <w:kern w:val="22"/>
          <w:szCs w:val="22"/>
        </w:rPr>
        <w:t>Note by the Executive Secretary</w:t>
      </w:r>
      <w:r w:rsidR="00474575" w:rsidRPr="00060510">
        <w:rPr>
          <w:rStyle w:val="FootnoteReference"/>
          <w:iCs/>
          <w:snapToGrid w:val="0"/>
          <w:color w:val="000000"/>
          <w:kern w:val="22"/>
          <w:szCs w:val="22"/>
        </w:rPr>
        <w:footnoteReference w:customMarkFollows="1" w:id="2"/>
        <w:t>**</w:t>
      </w:r>
    </w:p>
    <w:p w:rsidR="00070D30" w:rsidRPr="00B14636" w:rsidRDefault="00070D30" w:rsidP="00060510">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B14636">
        <w:rPr>
          <w:snapToGrid w:val="0"/>
          <w:kern w:val="22"/>
          <w:szCs w:val="22"/>
        </w:rPr>
        <w:t>Introduction</w:t>
      </w:r>
    </w:p>
    <w:p w:rsidR="00070D30" w:rsidRPr="00A47DD9"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sidRPr="00B14636">
        <w:rPr>
          <w:rFonts w:eastAsia="Batang" w:cs="Times New Roman"/>
          <w:iCs/>
          <w:snapToGrid w:val="0"/>
          <w:color w:val="000000"/>
          <w:kern w:val="22"/>
          <w:lang w:eastAsia="ja-JP" w:bidi="th-TH"/>
        </w:rPr>
        <w:t xml:space="preserve">In decision </w:t>
      </w:r>
      <w:hyperlink r:id="rId13" w:history="1">
        <w:r w:rsidRPr="000D1078">
          <w:rPr>
            <w:rStyle w:val="Hyperlink"/>
            <w:rFonts w:eastAsia="Batang" w:cs="Times New Roman"/>
            <w:snapToGrid w:val="0"/>
            <w:kern w:val="22"/>
            <w:sz w:val="22"/>
            <w:lang w:eastAsia="ja-JP" w:bidi="th-TH"/>
          </w:rPr>
          <w:t>XIII/3</w:t>
        </w:r>
      </w:hyperlink>
      <w:r w:rsidRPr="000D1078">
        <w:rPr>
          <w:rFonts w:eastAsia="Batang" w:cs="Times New Roman"/>
          <w:iCs/>
          <w:snapToGrid w:val="0"/>
          <w:color w:val="000000"/>
          <w:kern w:val="22"/>
          <w:lang w:eastAsia="ja-JP" w:bidi="th-TH"/>
        </w:rPr>
        <w:t xml:space="preserve"> on s</w:t>
      </w:r>
      <w:r w:rsidRPr="00060510">
        <w:rPr>
          <w:snapToGrid w:val="0"/>
          <w:kern w:val="22"/>
        </w:rPr>
        <w:t xml:space="preserve">trategic actions to enhance the implementation of the Strategic Plan for Biodiversity 2011-2020 and the achievement of the Aichi Biodiversity Targets, including with respect to mainstreaming and the integration of biodiversity within and across sectors, the Conference of the Parties requested </w:t>
      </w:r>
      <w:r w:rsidRPr="000D1078">
        <w:rPr>
          <w:snapToGrid w:val="0"/>
          <w:kern w:val="22"/>
        </w:rPr>
        <w:t>further wor</w:t>
      </w:r>
      <w:r w:rsidRPr="00B14636">
        <w:rPr>
          <w:snapToGrid w:val="0"/>
          <w:kern w:val="22"/>
        </w:rPr>
        <w:t>k by the Executive Secretary on a typology of actions for reporting on business-related actions</w:t>
      </w:r>
      <w:r w:rsidRPr="00A47DD9">
        <w:rPr>
          <w:snapToGrid w:val="0"/>
          <w:kern w:val="22"/>
        </w:rPr>
        <w:t xml:space="preserve"> with a view to providing draft guidance for consideration by the Subsidiary Body on Implementation at its second meeting (para</w:t>
      </w:r>
      <w:r w:rsidR="00422D5C" w:rsidRPr="00A47DD9">
        <w:rPr>
          <w:snapToGrid w:val="0"/>
          <w:kern w:val="22"/>
        </w:rPr>
        <w:t>.</w:t>
      </w:r>
      <w:r w:rsidRPr="00A47DD9">
        <w:rPr>
          <w:snapToGrid w:val="0"/>
          <w:kern w:val="22"/>
        </w:rPr>
        <w:t xml:space="preserve"> 108).</w:t>
      </w:r>
    </w:p>
    <w:p w:rsidR="00070D30" w:rsidRPr="00171F21"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sidRPr="00A47DD9">
        <w:rPr>
          <w:rFonts w:eastAsia="Batang" w:cs="Times New Roman"/>
          <w:iCs/>
          <w:snapToGrid w:val="0"/>
          <w:color w:val="000000"/>
          <w:kern w:val="22"/>
          <w:lang w:eastAsia="ja-JP" w:bidi="th-TH"/>
        </w:rPr>
        <w:t xml:space="preserve">The present </w:t>
      </w:r>
      <w:r w:rsidR="000C2AD6">
        <w:rPr>
          <w:rFonts w:eastAsia="Batang" w:cs="Times New Roman"/>
          <w:iCs/>
          <w:snapToGrid w:val="0"/>
          <w:color w:val="000000"/>
          <w:kern w:val="22"/>
          <w:lang w:eastAsia="ja-JP" w:bidi="th-TH"/>
        </w:rPr>
        <w:t xml:space="preserve">document </w:t>
      </w:r>
      <w:r w:rsidR="007316F8">
        <w:rPr>
          <w:rFonts w:eastAsia="Batang" w:cs="Times New Roman"/>
          <w:iCs/>
          <w:snapToGrid w:val="0"/>
          <w:color w:val="000000"/>
          <w:kern w:val="22"/>
          <w:lang w:eastAsia="ja-JP" w:bidi="th-TH"/>
        </w:rPr>
        <w:t>is issued in response</w:t>
      </w:r>
      <w:r w:rsidRPr="00A47DD9">
        <w:rPr>
          <w:rFonts w:eastAsia="Batang" w:cs="Times New Roman"/>
          <w:iCs/>
          <w:snapToGrid w:val="0"/>
          <w:color w:val="000000"/>
          <w:kern w:val="22"/>
          <w:lang w:eastAsia="ja-JP" w:bidi="th-TH"/>
        </w:rPr>
        <w:t xml:space="preserve"> to this request. It builds on the earlier work undertaken </w:t>
      </w:r>
      <w:proofErr w:type="gramStart"/>
      <w:r w:rsidRPr="00A47DD9">
        <w:rPr>
          <w:rFonts w:eastAsia="Batang" w:cs="Times New Roman"/>
          <w:iCs/>
          <w:snapToGrid w:val="0"/>
          <w:color w:val="000000"/>
          <w:kern w:val="22"/>
          <w:lang w:eastAsia="ja-JP" w:bidi="th-TH"/>
        </w:rPr>
        <w:t>on</w:t>
      </w:r>
      <w:proofErr w:type="gramEnd"/>
      <w:r w:rsidRPr="00A47DD9">
        <w:rPr>
          <w:rFonts w:eastAsia="Batang" w:cs="Times New Roman"/>
          <w:iCs/>
          <w:snapToGrid w:val="0"/>
          <w:color w:val="000000"/>
          <w:kern w:val="22"/>
          <w:lang w:eastAsia="ja-JP" w:bidi="th-TH"/>
        </w:rPr>
        <w:t xml:space="preserve"> a typology of actions pursuant to decision </w:t>
      </w:r>
      <w:hyperlink r:id="rId14" w:history="1">
        <w:r w:rsidRPr="00B14636">
          <w:rPr>
            <w:rStyle w:val="Hyperlink"/>
            <w:rFonts w:eastAsia="Batang" w:cs="Times New Roman"/>
            <w:snapToGrid w:val="0"/>
            <w:kern w:val="22"/>
            <w:sz w:val="22"/>
            <w:lang w:eastAsia="ja-JP" w:bidi="th-TH"/>
          </w:rPr>
          <w:t>XII/10</w:t>
        </w:r>
      </w:hyperlink>
      <w:r w:rsidRPr="000D1078">
        <w:rPr>
          <w:rFonts w:eastAsia="Batang" w:cs="Times New Roman"/>
          <w:iCs/>
          <w:snapToGrid w:val="0"/>
          <w:color w:val="000000"/>
          <w:kern w:val="22"/>
          <w:lang w:eastAsia="ja-JP" w:bidi="th-TH"/>
        </w:rPr>
        <w:t>, para</w:t>
      </w:r>
      <w:r w:rsidR="00422D5C" w:rsidRPr="00B14636">
        <w:rPr>
          <w:rFonts w:eastAsia="Batang" w:cs="Times New Roman"/>
          <w:iCs/>
          <w:snapToGrid w:val="0"/>
          <w:color w:val="000000"/>
          <w:kern w:val="22"/>
          <w:lang w:eastAsia="ja-JP" w:bidi="th-TH"/>
        </w:rPr>
        <w:t>.</w:t>
      </w:r>
      <w:r w:rsidRPr="00B14636">
        <w:rPr>
          <w:rFonts w:eastAsia="Batang" w:cs="Times New Roman"/>
          <w:iCs/>
          <w:snapToGrid w:val="0"/>
          <w:color w:val="000000"/>
          <w:kern w:val="22"/>
          <w:lang w:eastAsia="ja-JP" w:bidi="th-TH"/>
        </w:rPr>
        <w:t xml:space="preserve"> 3(b), </w:t>
      </w:r>
      <w:r w:rsidR="00EA6D40">
        <w:rPr>
          <w:rFonts w:eastAsia="Batang" w:cs="Times New Roman"/>
          <w:iCs/>
          <w:snapToGrid w:val="0"/>
          <w:color w:val="000000"/>
          <w:kern w:val="22"/>
          <w:lang w:eastAsia="ja-JP" w:bidi="th-TH"/>
        </w:rPr>
        <w:t>which was issued for the first meeting of</w:t>
      </w:r>
      <w:r w:rsidRPr="00B14636">
        <w:rPr>
          <w:rFonts w:eastAsia="Batang" w:cs="Times New Roman"/>
          <w:iCs/>
          <w:snapToGrid w:val="0"/>
          <w:color w:val="000000"/>
          <w:kern w:val="22"/>
          <w:lang w:eastAsia="ja-JP" w:bidi="th-TH"/>
        </w:rPr>
        <w:t xml:space="preserve"> the Subsidiary Body (</w:t>
      </w:r>
      <w:r w:rsidR="004C04D2">
        <w:rPr>
          <w:rFonts w:eastAsia="Batang" w:cs="Times New Roman"/>
          <w:iCs/>
          <w:snapToGrid w:val="0"/>
          <w:color w:val="000000"/>
          <w:kern w:val="22"/>
          <w:lang w:eastAsia="ja-JP" w:bidi="th-TH"/>
        </w:rPr>
        <w:t>see</w:t>
      </w:r>
      <w:r w:rsidR="004C04D2" w:rsidRPr="00B14636">
        <w:rPr>
          <w:rFonts w:eastAsia="Batang" w:cs="Times New Roman"/>
          <w:iCs/>
          <w:snapToGrid w:val="0"/>
          <w:color w:val="000000"/>
          <w:kern w:val="22"/>
          <w:lang w:eastAsia="ja-JP" w:bidi="th-TH"/>
        </w:rPr>
        <w:t xml:space="preserve"> </w:t>
      </w:r>
      <w:hyperlink r:id="rId15" w:history="1">
        <w:r w:rsidRPr="00060510">
          <w:rPr>
            <w:rStyle w:val="Hyperlink"/>
            <w:sz w:val="22"/>
          </w:rPr>
          <w:t>SBI/1/INF/12</w:t>
        </w:r>
      </w:hyperlink>
      <w:r w:rsidRPr="00B14636">
        <w:rPr>
          <w:rFonts w:cs="Times New Roman"/>
          <w:snapToGrid w:val="0"/>
          <w:kern w:val="22"/>
          <w:lang w:eastAsia="ja-JP" w:bidi="th-TH"/>
        </w:rPr>
        <w:t>).</w:t>
      </w:r>
      <w:r w:rsidRPr="000D1078">
        <w:rPr>
          <w:rFonts w:cs="Times New Roman"/>
          <w:snapToGrid w:val="0"/>
          <w:kern w:val="22"/>
          <w:lang w:eastAsia="ja-JP" w:bidi="th-TH"/>
        </w:rPr>
        <w:t xml:space="preserve"> The Conference of the Parties at its thirteenth meeting invited Parties to encourage the use of this typology of actions and invited businesses to use the typology of actions for reporting on biodiversity-related actions including in their supply chains (</w:t>
      </w:r>
      <w:r w:rsidRPr="00B14636">
        <w:rPr>
          <w:rFonts w:cs="Times New Roman"/>
          <w:snapToGrid w:val="0"/>
          <w:kern w:val="22"/>
          <w:lang w:eastAsia="ja-JP" w:bidi="th-TH"/>
        </w:rPr>
        <w:t>decision XIII/3, paras</w:t>
      </w:r>
      <w:r w:rsidR="00422D5C" w:rsidRPr="00B14636">
        <w:rPr>
          <w:rFonts w:cs="Times New Roman"/>
          <w:snapToGrid w:val="0"/>
          <w:kern w:val="22"/>
          <w:lang w:eastAsia="ja-JP" w:bidi="th-TH"/>
        </w:rPr>
        <w:t>.</w:t>
      </w:r>
      <w:r w:rsidR="00171F21">
        <w:rPr>
          <w:rFonts w:cs="Times New Roman"/>
          <w:snapToGrid w:val="0"/>
          <w:kern w:val="22"/>
          <w:lang w:eastAsia="ja-JP" w:bidi="th-TH"/>
        </w:rPr>
        <w:t> </w:t>
      </w:r>
      <w:r w:rsidRPr="00B14636">
        <w:rPr>
          <w:rFonts w:cs="Times New Roman"/>
          <w:snapToGrid w:val="0"/>
          <w:kern w:val="22"/>
          <w:lang w:eastAsia="ja-JP" w:bidi="th-TH"/>
        </w:rPr>
        <w:t>94</w:t>
      </w:r>
      <w:r w:rsidR="00171F21">
        <w:rPr>
          <w:rFonts w:cs="Times New Roman"/>
          <w:snapToGrid w:val="0"/>
          <w:kern w:val="22"/>
          <w:lang w:eastAsia="ja-JP" w:bidi="th-TH"/>
        </w:rPr>
        <w:t>-</w:t>
      </w:r>
      <w:r w:rsidRPr="00B14636">
        <w:rPr>
          <w:rFonts w:cs="Times New Roman"/>
          <w:snapToGrid w:val="0"/>
          <w:kern w:val="22"/>
          <w:lang w:eastAsia="ja-JP" w:bidi="th-TH"/>
        </w:rPr>
        <w:t>95).</w:t>
      </w:r>
    </w:p>
    <w:p w:rsidR="00070D30" w:rsidRPr="00B14636"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bookmarkStart w:id="1" w:name="_Ref507413875"/>
      <w:r w:rsidRPr="00A47DD9">
        <w:rPr>
          <w:snapToGrid w:val="0"/>
          <w:kern w:val="22"/>
        </w:rPr>
        <w:t>In decision XIII/3, the Conference of the Parties also requested the Executive Secretary to seek views through the Global Business and Biodiversity Partnership as well as relevant partners on how the provision of data and information on biodiversity-related issues could be harmonized with a view to increasing the consistency of data and information across and within various business sectors (para</w:t>
      </w:r>
      <w:r w:rsidR="00422D5C" w:rsidRPr="00A47DD9">
        <w:rPr>
          <w:snapToGrid w:val="0"/>
          <w:kern w:val="22"/>
        </w:rPr>
        <w:t>.</w:t>
      </w:r>
      <w:r w:rsidRPr="00A47DD9">
        <w:rPr>
          <w:snapToGrid w:val="0"/>
          <w:kern w:val="22"/>
        </w:rPr>
        <w:t xml:space="preserve"> 106). Given that </w:t>
      </w:r>
      <w:r w:rsidRPr="00A47DD9">
        <w:rPr>
          <w:rFonts w:cs="Times New Roman"/>
          <w:snapToGrid w:val="0"/>
          <w:kern w:val="22"/>
          <w:lang w:eastAsia="ja-JP" w:bidi="th-TH"/>
        </w:rPr>
        <w:t xml:space="preserve">the work on the typology is also aimed towards enhancing consistency and comparability </w:t>
      </w:r>
      <w:r w:rsidRPr="00281B6E">
        <w:rPr>
          <w:rFonts w:cs="Times New Roman"/>
          <w:snapToGrid w:val="0"/>
          <w:kern w:val="22"/>
          <w:lang w:eastAsia="ja-JP" w:bidi="th-TH"/>
        </w:rPr>
        <w:t>of data and information, and with a view to avoid</w:t>
      </w:r>
      <w:r w:rsidR="00A64BD9" w:rsidRPr="000D1078">
        <w:rPr>
          <w:rFonts w:cs="Times New Roman"/>
          <w:snapToGrid w:val="0"/>
          <w:kern w:val="22"/>
          <w:lang w:eastAsia="ja-JP" w:bidi="th-TH"/>
        </w:rPr>
        <w:t>ing</w:t>
      </w:r>
      <w:r w:rsidRPr="000D1078">
        <w:rPr>
          <w:rFonts w:cs="Times New Roman"/>
          <w:snapToGrid w:val="0"/>
          <w:kern w:val="22"/>
          <w:lang w:eastAsia="ja-JP" w:bidi="th-TH"/>
        </w:rPr>
        <w:t xml:space="preserve"> duplication of work, this request was taken into consideration during the work on the typology.</w:t>
      </w:r>
      <w:bookmarkEnd w:id="1"/>
      <w:r w:rsidRPr="000D1078">
        <w:rPr>
          <w:rStyle w:val="FootnoteReference"/>
          <w:snapToGrid w:val="0"/>
          <w:kern w:val="22"/>
          <w:lang w:eastAsia="ja-JP" w:bidi="th-TH"/>
        </w:rPr>
        <w:footnoteReference w:id="3"/>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sidRPr="00B14636">
        <w:rPr>
          <w:rFonts w:cs="Times New Roman"/>
          <w:snapToGrid w:val="0"/>
          <w:kern w:val="22"/>
          <w:lang w:eastAsia="ja-JP" w:bidi="th-TH"/>
        </w:rPr>
        <w:t xml:space="preserve">Section I </w:t>
      </w:r>
      <w:r w:rsidR="00A64BD9" w:rsidRPr="00B14636">
        <w:rPr>
          <w:rFonts w:cs="Times New Roman"/>
          <w:snapToGrid w:val="0"/>
          <w:kern w:val="22"/>
          <w:lang w:eastAsia="ja-JP" w:bidi="th-TH"/>
        </w:rPr>
        <w:t xml:space="preserve">of the present note </w:t>
      </w:r>
      <w:r w:rsidRPr="00B14636">
        <w:rPr>
          <w:rFonts w:cs="Times New Roman"/>
          <w:snapToGrid w:val="0"/>
          <w:kern w:val="22"/>
          <w:lang w:eastAsia="ja-JP" w:bidi="th-TH"/>
        </w:rPr>
        <w:t xml:space="preserve">provides information on the overall approach in undertaking the work requested, and the individual </w:t>
      </w:r>
      <w:r w:rsidRPr="00A47DD9">
        <w:rPr>
          <w:rFonts w:cs="Times New Roman"/>
          <w:snapToGrid w:val="0"/>
          <w:kern w:val="22"/>
          <w:lang w:eastAsia="ja-JP" w:bidi="th-TH"/>
        </w:rPr>
        <w:t>steps taken. Section II presents a revised typology of actions and other relevant results of the research</w:t>
      </w:r>
      <w:r w:rsidRPr="00281B6E">
        <w:rPr>
          <w:rFonts w:cs="Times New Roman"/>
          <w:snapToGrid w:val="0"/>
          <w:kern w:val="22"/>
          <w:lang w:eastAsia="ja-JP" w:bidi="th-TH"/>
        </w:rPr>
        <w:t xml:space="preserve"> undertaken to develop the revi</w:t>
      </w:r>
      <w:r w:rsidRPr="000D1078">
        <w:rPr>
          <w:rFonts w:cs="Times New Roman"/>
          <w:snapToGrid w:val="0"/>
          <w:kern w:val="22"/>
          <w:lang w:eastAsia="ja-JP" w:bidi="th-TH"/>
        </w:rPr>
        <w:t>sed typology, as well as the draft guidance for applying the typology. Section I</w:t>
      </w:r>
      <w:r w:rsidR="00E32BFC">
        <w:rPr>
          <w:rFonts w:cs="Times New Roman"/>
          <w:snapToGrid w:val="0"/>
          <w:kern w:val="22"/>
          <w:lang w:eastAsia="ja-JP" w:bidi="th-TH"/>
        </w:rPr>
        <w:t>II</w:t>
      </w:r>
      <w:r w:rsidRPr="000D1078">
        <w:rPr>
          <w:rFonts w:cs="Times New Roman"/>
          <w:snapToGrid w:val="0"/>
          <w:kern w:val="22"/>
          <w:lang w:eastAsia="ja-JP" w:bidi="th-TH"/>
        </w:rPr>
        <w:t xml:space="preserve"> present</w:t>
      </w:r>
      <w:r w:rsidR="00A64BD9" w:rsidRPr="000D1078">
        <w:rPr>
          <w:rFonts w:cs="Times New Roman"/>
          <w:snapToGrid w:val="0"/>
          <w:kern w:val="22"/>
          <w:lang w:eastAsia="ja-JP" w:bidi="th-TH"/>
        </w:rPr>
        <w:t>s</w:t>
      </w:r>
      <w:r w:rsidRPr="000D1078">
        <w:rPr>
          <w:rFonts w:cs="Times New Roman"/>
          <w:snapToGrid w:val="0"/>
          <w:kern w:val="22"/>
          <w:lang w:eastAsia="ja-JP" w:bidi="th-TH"/>
        </w:rPr>
        <w:t xml:space="preserve"> possible conclusions for consideration by the Subsidiary Body as a basis for the development of recommendations for consideration by the Conference of the Parties at its fourteenth meeting.</w:t>
      </w:r>
    </w:p>
    <w:p w:rsidR="00070D30" w:rsidRPr="00060510"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060510">
        <w:rPr>
          <w:snapToGrid w:val="0"/>
          <w:kern w:val="22"/>
        </w:rPr>
        <w:lastRenderedPageBreak/>
        <w:t>I.</w:t>
      </w:r>
      <w:r w:rsidRPr="00060510">
        <w:rPr>
          <w:snapToGrid w:val="0"/>
          <w:kern w:val="22"/>
        </w:rPr>
        <w:tab/>
        <w:t>RESEARCH APPROACH AND PROCESS</w:t>
      </w:r>
    </w:p>
    <w:p w:rsidR="00070D30" w:rsidRPr="00281B6E" w:rsidRDefault="00070D30"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eastAsia="ja-JP" w:bidi="th-TH"/>
        </w:rPr>
      </w:pPr>
      <w:r w:rsidRPr="000D1078">
        <w:rPr>
          <w:rFonts w:cs="Times New Roman"/>
          <w:snapToGrid w:val="0"/>
          <w:kern w:val="22"/>
          <w:lang w:eastAsia="ja-JP" w:bidi="th-TH"/>
        </w:rPr>
        <w:t xml:space="preserve">The earlier work on the typology, prepared for </w:t>
      </w:r>
      <w:r w:rsidR="0069072F">
        <w:rPr>
          <w:rFonts w:cs="Times New Roman"/>
          <w:snapToGrid w:val="0"/>
          <w:kern w:val="22"/>
          <w:lang w:eastAsia="ja-JP" w:bidi="th-TH"/>
        </w:rPr>
        <w:t>the</w:t>
      </w:r>
      <w:r w:rsidR="0069072F" w:rsidRPr="000D1078">
        <w:rPr>
          <w:rFonts w:cs="Times New Roman"/>
          <w:snapToGrid w:val="0"/>
          <w:kern w:val="22"/>
          <w:lang w:eastAsia="ja-JP" w:bidi="th-TH"/>
        </w:rPr>
        <w:t xml:space="preserve"> first meeting</w:t>
      </w:r>
      <w:r w:rsidR="0069072F">
        <w:rPr>
          <w:rFonts w:cs="Times New Roman"/>
          <w:snapToGrid w:val="0"/>
          <w:kern w:val="22"/>
          <w:lang w:eastAsia="ja-JP" w:bidi="th-TH"/>
        </w:rPr>
        <w:t xml:space="preserve"> of</w:t>
      </w:r>
      <w:r w:rsidR="0069072F" w:rsidRPr="000D1078">
        <w:rPr>
          <w:rFonts w:cs="Times New Roman"/>
          <w:snapToGrid w:val="0"/>
          <w:kern w:val="22"/>
          <w:lang w:eastAsia="ja-JP" w:bidi="th-TH"/>
        </w:rPr>
        <w:t xml:space="preserve"> </w:t>
      </w:r>
      <w:r w:rsidRPr="000D1078">
        <w:rPr>
          <w:rFonts w:cs="Times New Roman"/>
          <w:snapToGrid w:val="0"/>
          <w:kern w:val="22"/>
          <w:lang w:eastAsia="ja-JP" w:bidi="th-TH"/>
        </w:rPr>
        <w:t xml:space="preserve">the Subsidiary Body on Implementation, conceptualized a typology as </w:t>
      </w:r>
      <w:r w:rsidRPr="00B14636">
        <w:rPr>
          <w:snapToGrid w:val="0"/>
          <w:kern w:val="22"/>
        </w:rPr>
        <w:t>a categori</w:t>
      </w:r>
      <w:r w:rsidR="00A9356C" w:rsidRPr="00B14636">
        <w:rPr>
          <w:snapToGrid w:val="0"/>
          <w:kern w:val="22"/>
        </w:rPr>
        <w:t>z</w:t>
      </w:r>
      <w:r w:rsidRPr="00B14636">
        <w:rPr>
          <w:snapToGrid w:val="0"/>
          <w:kern w:val="22"/>
        </w:rPr>
        <w:t>ation or classification of actions on reporting. Accordingly, it</w:t>
      </w:r>
      <w:r w:rsidRPr="00B14636">
        <w:rPr>
          <w:rFonts w:cs="Times New Roman"/>
          <w:snapToGrid w:val="0"/>
          <w:kern w:val="22"/>
          <w:lang w:eastAsia="ja-JP" w:bidi="th-TH"/>
        </w:rPr>
        <w:t xml:space="preserve"> identified categories of actions relevant to biodiversity that businesses might report on, and grouped those into main “themes”</w:t>
      </w:r>
      <w:r w:rsidR="00BF5265">
        <w:rPr>
          <w:rFonts w:cs="Times New Roman"/>
          <w:snapToGrid w:val="0"/>
          <w:kern w:val="22"/>
          <w:lang w:eastAsia="ja-JP" w:bidi="th-TH"/>
        </w:rPr>
        <w:t>.</w:t>
      </w:r>
      <w:r w:rsidRPr="00B14636">
        <w:rPr>
          <w:rFonts w:cs="Times New Roman"/>
          <w:snapToGrid w:val="0"/>
          <w:kern w:val="22"/>
          <w:lang w:eastAsia="ja-JP" w:bidi="th-TH"/>
        </w:rPr>
        <w:t xml:space="preserve"> It further identified basic elements to consider under each theme,</w:t>
      </w:r>
      <w:r w:rsidRPr="000D1078">
        <w:rPr>
          <w:rStyle w:val="FootnoteReference"/>
          <w:snapToGrid w:val="0"/>
          <w:kern w:val="22"/>
          <w:lang w:eastAsia="ja-JP" w:bidi="th-TH"/>
        </w:rPr>
        <w:footnoteReference w:id="4"/>
      </w:r>
      <w:r w:rsidRPr="000D1078">
        <w:rPr>
          <w:rFonts w:cs="Times New Roman"/>
          <w:snapToGrid w:val="0"/>
          <w:kern w:val="22"/>
          <w:lang w:eastAsia="ja-JP" w:bidi="th-TH"/>
        </w:rPr>
        <w:t xml:space="preserve"> wi</w:t>
      </w:r>
      <w:r w:rsidRPr="00B14636">
        <w:rPr>
          <w:rFonts w:cs="Times New Roman"/>
          <w:snapToGrid w:val="0"/>
          <w:kern w:val="22"/>
          <w:lang w:eastAsia="ja-JP" w:bidi="th-TH"/>
        </w:rPr>
        <w:t>th a view to support</w:t>
      </w:r>
      <w:r w:rsidR="00A9356C" w:rsidRPr="00A47DD9">
        <w:rPr>
          <w:rFonts w:cs="Times New Roman"/>
          <w:snapToGrid w:val="0"/>
          <w:kern w:val="22"/>
          <w:lang w:eastAsia="ja-JP" w:bidi="th-TH"/>
        </w:rPr>
        <w:t>ing</w:t>
      </w:r>
      <w:r w:rsidRPr="00A47DD9">
        <w:rPr>
          <w:rFonts w:cs="Times New Roman"/>
          <w:snapToGrid w:val="0"/>
          <w:kern w:val="22"/>
          <w:lang w:eastAsia="ja-JP" w:bidi="th-TH"/>
        </w:rPr>
        <w:t xml:space="preserve"> businesses in gathering the information necessary </w:t>
      </w:r>
      <w:proofErr w:type="gramStart"/>
      <w:r w:rsidRPr="00A47DD9">
        <w:rPr>
          <w:rFonts w:cs="Times New Roman"/>
          <w:snapToGrid w:val="0"/>
          <w:kern w:val="22"/>
          <w:lang w:eastAsia="ja-JP" w:bidi="th-TH"/>
        </w:rPr>
        <w:t>to</w:t>
      </w:r>
      <w:proofErr w:type="gramEnd"/>
      <w:r w:rsidRPr="00A47DD9">
        <w:rPr>
          <w:rFonts w:cs="Times New Roman"/>
          <w:snapToGrid w:val="0"/>
          <w:kern w:val="22"/>
          <w:lang w:eastAsia="ja-JP" w:bidi="th-TH"/>
        </w:rPr>
        <w:t xml:space="preserve"> accurately and concisely report on their impacts on, and activities related to, biodiversity.</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281B6E">
        <w:rPr>
          <w:rFonts w:cs="Times New Roman"/>
          <w:snapToGrid w:val="0"/>
          <w:kern w:val="22"/>
          <w:lang w:eastAsia="ja-JP" w:bidi="th-TH"/>
        </w:rPr>
        <w:t>T</w:t>
      </w:r>
      <w:r w:rsidRPr="000D1078">
        <w:rPr>
          <w:rFonts w:cs="Times New Roman"/>
          <w:snapToGrid w:val="0"/>
          <w:kern w:val="22"/>
          <w:lang w:eastAsia="ja-JP" w:bidi="th-TH"/>
        </w:rPr>
        <w:t xml:space="preserve">his initial typology was developed on </w:t>
      </w:r>
      <w:r w:rsidR="00AC71A6">
        <w:rPr>
          <w:rFonts w:cs="Times New Roman"/>
          <w:snapToGrid w:val="0"/>
          <w:kern w:val="22"/>
          <w:lang w:eastAsia="ja-JP" w:bidi="th-TH"/>
        </w:rPr>
        <w:t xml:space="preserve">the basis of </w:t>
      </w:r>
      <w:r w:rsidRPr="000D1078">
        <w:rPr>
          <w:rFonts w:cs="Times New Roman"/>
          <w:snapToGrid w:val="0"/>
          <w:kern w:val="22"/>
          <w:lang w:eastAsia="ja-JP" w:bidi="th-TH"/>
        </w:rPr>
        <w:t>a review of existing reporting mechanisms as well as national requirements on reporting. With a view to test</w:t>
      </w:r>
      <w:r w:rsidR="004F41FB">
        <w:rPr>
          <w:rFonts w:cs="Times New Roman"/>
          <w:snapToGrid w:val="0"/>
          <w:kern w:val="22"/>
          <w:lang w:eastAsia="ja-JP" w:bidi="th-TH"/>
        </w:rPr>
        <w:t>ing</w:t>
      </w:r>
      <w:r w:rsidRPr="000D1078">
        <w:rPr>
          <w:rFonts w:cs="Times New Roman"/>
          <w:snapToGrid w:val="0"/>
          <w:kern w:val="22"/>
          <w:lang w:eastAsia="ja-JP" w:bidi="th-TH"/>
        </w:rPr>
        <w:t xml:space="preserve"> and revis</w:t>
      </w:r>
      <w:r w:rsidR="004F41FB">
        <w:rPr>
          <w:rFonts w:cs="Times New Roman"/>
          <w:snapToGrid w:val="0"/>
          <w:kern w:val="22"/>
          <w:lang w:eastAsia="ja-JP" w:bidi="th-TH"/>
        </w:rPr>
        <w:t>ing</w:t>
      </w:r>
      <w:r w:rsidRPr="000D1078">
        <w:rPr>
          <w:rFonts w:cs="Times New Roman"/>
          <w:snapToGrid w:val="0"/>
          <w:kern w:val="22"/>
          <w:lang w:eastAsia="ja-JP" w:bidi="th-TH"/>
        </w:rPr>
        <w:t xml:space="preserve"> the initial typology of actions, and to gauge the scope and types of biodiversity-related reporting undertaken by businesses, a sample of sustainability reports from 100 companies from a range of sectors and regions </w:t>
      </w:r>
      <w:r w:rsidR="00E90419">
        <w:rPr>
          <w:rFonts w:cs="Times New Roman"/>
          <w:snapToGrid w:val="0"/>
          <w:kern w:val="22"/>
          <w:lang w:eastAsia="ja-JP" w:bidi="th-TH"/>
        </w:rPr>
        <w:t>was</w:t>
      </w:r>
      <w:r w:rsidR="00E90419" w:rsidRPr="000D1078">
        <w:rPr>
          <w:rFonts w:cs="Times New Roman"/>
          <w:snapToGrid w:val="0"/>
          <w:kern w:val="22"/>
          <w:lang w:eastAsia="ja-JP" w:bidi="th-TH"/>
        </w:rPr>
        <w:t xml:space="preserve"> </w:t>
      </w:r>
      <w:r w:rsidRPr="000D1078">
        <w:rPr>
          <w:rFonts w:cs="Times New Roman"/>
          <w:snapToGrid w:val="0"/>
          <w:kern w:val="22"/>
          <w:lang w:eastAsia="ja-JP" w:bidi="th-TH"/>
        </w:rPr>
        <w:t>examined, primarily by using the database of the Global Reporting Initiative (GRI).</w:t>
      </w:r>
      <w:r w:rsidRPr="000D1078">
        <w:rPr>
          <w:rStyle w:val="FootnoteReference"/>
          <w:snapToGrid w:val="0"/>
          <w:kern w:val="22"/>
          <w:lang w:eastAsia="ja-JP" w:bidi="th-TH"/>
        </w:rPr>
        <w:footnoteReference w:id="5"/>
      </w:r>
      <w:r w:rsidRPr="000D1078">
        <w:rPr>
          <w:rFonts w:cs="Times New Roman"/>
          <w:snapToGrid w:val="0"/>
          <w:kern w:val="22"/>
          <w:lang w:eastAsia="ja-JP" w:bidi="th-TH"/>
        </w:rPr>
        <w:t xml:space="preserve"> </w:t>
      </w:r>
      <w:r w:rsidRPr="00B14636">
        <w:rPr>
          <w:rFonts w:cs="Times New Roman"/>
          <w:snapToGrid w:val="0"/>
          <w:kern w:val="22"/>
          <w:lang w:eastAsia="ja-JP" w:bidi="th-TH"/>
        </w:rPr>
        <w:t xml:space="preserve">The sample comprised the </w:t>
      </w:r>
      <w:r w:rsidR="0044240C">
        <w:rPr>
          <w:rFonts w:cs="Times New Roman"/>
          <w:snapToGrid w:val="0"/>
          <w:kern w:val="22"/>
          <w:lang w:eastAsia="ja-JP" w:bidi="th-TH"/>
        </w:rPr>
        <w:t>following: (a) </w:t>
      </w:r>
      <w:r w:rsidRPr="00B14636">
        <w:rPr>
          <w:rFonts w:cs="Times New Roman"/>
          <w:snapToGrid w:val="0"/>
          <w:kern w:val="22"/>
          <w:lang w:eastAsia="ja-JP" w:bidi="th-TH"/>
        </w:rPr>
        <w:t xml:space="preserve">some of the top </w:t>
      </w:r>
      <w:r w:rsidRPr="00A47DD9">
        <w:rPr>
          <w:rFonts w:cs="Times New Roman"/>
          <w:snapToGrid w:val="0"/>
          <w:kern w:val="22"/>
          <w:lang w:eastAsia="ja-JP" w:bidi="th-TH"/>
        </w:rPr>
        <w:t xml:space="preserve">companies by revenue in nine sectors; </w:t>
      </w:r>
      <w:r w:rsidR="0044240C">
        <w:rPr>
          <w:rFonts w:cs="Times New Roman"/>
          <w:snapToGrid w:val="0"/>
          <w:kern w:val="22"/>
          <w:lang w:eastAsia="ja-JP" w:bidi="th-TH"/>
        </w:rPr>
        <w:t>(b) </w:t>
      </w:r>
      <w:r w:rsidRPr="00A47DD9">
        <w:rPr>
          <w:rFonts w:cs="Times New Roman"/>
          <w:snapToGrid w:val="0"/>
          <w:kern w:val="22"/>
          <w:lang w:eastAsia="ja-JP" w:bidi="th-TH"/>
        </w:rPr>
        <w:t xml:space="preserve">large companies representing sectors identified to be of particular importance to biodiversity mainstreaming, such as energy and mining, infrastructure, and </w:t>
      </w:r>
      <w:r w:rsidRPr="00281B6E">
        <w:rPr>
          <w:rFonts w:cs="Times New Roman"/>
          <w:snapToGrid w:val="0"/>
          <w:kern w:val="22"/>
          <w:lang w:eastAsia="ja-JP" w:bidi="th-TH"/>
        </w:rPr>
        <w:t xml:space="preserve">manufacturing and processing; </w:t>
      </w:r>
      <w:r w:rsidR="0044240C">
        <w:rPr>
          <w:rFonts w:cs="Times New Roman"/>
          <w:snapToGrid w:val="0"/>
          <w:kern w:val="22"/>
          <w:lang w:eastAsia="ja-JP" w:bidi="th-TH"/>
        </w:rPr>
        <w:t>(c) </w:t>
      </w:r>
      <w:r w:rsidRPr="000D1078">
        <w:rPr>
          <w:rFonts w:cs="Times New Roman"/>
          <w:snapToGrid w:val="0"/>
          <w:kern w:val="22"/>
          <w:lang w:eastAsia="ja-JP" w:bidi="th-TH"/>
        </w:rPr>
        <w:t xml:space="preserve">members of the Global Partnership for Business and Biodiversity; and </w:t>
      </w:r>
      <w:r w:rsidR="0044240C">
        <w:rPr>
          <w:rFonts w:cs="Times New Roman"/>
          <w:snapToGrid w:val="0"/>
          <w:kern w:val="22"/>
          <w:lang w:eastAsia="ja-JP" w:bidi="th-TH"/>
        </w:rPr>
        <w:t>(d) </w:t>
      </w:r>
      <w:r w:rsidRPr="000D1078">
        <w:rPr>
          <w:rFonts w:cs="Times New Roman"/>
          <w:snapToGrid w:val="0"/>
          <w:kern w:val="22"/>
          <w:lang w:eastAsia="ja-JP" w:bidi="th-TH"/>
        </w:rPr>
        <w:t>select businesses with a high likelihood of reporting on biodiversity.</w:t>
      </w:r>
    </w:p>
    <w:p w:rsidR="00070D30" w:rsidRPr="00080CF1"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80CF1">
        <w:rPr>
          <w:rFonts w:cs="Times New Roman"/>
          <w:snapToGrid w:val="0"/>
          <w:kern w:val="22"/>
          <w:lang w:eastAsia="ja-JP" w:bidi="th-TH"/>
        </w:rPr>
        <w:t>As a critical first step, the reports were analy</w:t>
      </w:r>
      <w:r w:rsidR="00B70948" w:rsidRPr="00080CF1">
        <w:rPr>
          <w:rFonts w:cs="Times New Roman"/>
          <w:snapToGrid w:val="0"/>
          <w:kern w:val="22"/>
          <w:lang w:eastAsia="ja-JP" w:bidi="th-TH"/>
        </w:rPr>
        <w:t>s</w:t>
      </w:r>
      <w:r w:rsidRPr="00080CF1">
        <w:rPr>
          <w:rFonts w:cs="Times New Roman"/>
          <w:snapToGrid w:val="0"/>
          <w:kern w:val="22"/>
          <w:lang w:eastAsia="ja-JP" w:bidi="th-TH"/>
        </w:rPr>
        <w:t>ed to determine whether biodiversity, or related concepts, were deemed material issues by the companies and whether and how they were rated on their materiality table or similar framework.</w:t>
      </w:r>
      <w:r w:rsidRPr="00080CF1">
        <w:rPr>
          <w:rStyle w:val="FootnoteReference"/>
          <w:snapToGrid w:val="0"/>
          <w:kern w:val="22"/>
          <w:lang w:eastAsia="ja-JP" w:bidi="th-TH"/>
        </w:rPr>
        <w:footnoteReference w:id="6"/>
      </w:r>
      <w:r w:rsidRPr="00080CF1">
        <w:rPr>
          <w:rFonts w:cs="Times New Roman"/>
          <w:snapToGrid w:val="0"/>
          <w:kern w:val="22"/>
          <w:lang w:eastAsia="ja-JP" w:bidi="th-TH"/>
        </w:rPr>
        <w:t xml:space="preserve"> To this effect, in addition to the term </w:t>
      </w:r>
      <w:r w:rsidR="00BF6AF7" w:rsidRPr="00080CF1">
        <w:rPr>
          <w:rFonts w:cs="Times New Roman"/>
          <w:snapToGrid w:val="0"/>
          <w:kern w:val="22"/>
          <w:lang w:eastAsia="ja-JP" w:bidi="th-TH"/>
        </w:rPr>
        <w:t>“</w:t>
      </w:r>
      <w:r w:rsidRPr="00080CF1">
        <w:rPr>
          <w:rFonts w:cs="Times New Roman"/>
          <w:snapToGrid w:val="0"/>
          <w:kern w:val="22"/>
          <w:lang w:eastAsia="ja-JP" w:bidi="th-TH"/>
        </w:rPr>
        <w:t>biological diversity</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or </w:t>
      </w:r>
      <w:r w:rsidR="00BF6AF7" w:rsidRPr="00080CF1">
        <w:rPr>
          <w:rFonts w:cs="Times New Roman"/>
          <w:snapToGrid w:val="0"/>
          <w:kern w:val="22"/>
          <w:lang w:eastAsia="ja-JP" w:bidi="th-TH"/>
        </w:rPr>
        <w:t>“</w:t>
      </w:r>
      <w:r w:rsidRPr="00080CF1">
        <w:rPr>
          <w:rFonts w:cs="Times New Roman"/>
          <w:snapToGrid w:val="0"/>
          <w:kern w:val="22"/>
          <w:lang w:eastAsia="ja-JP" w:bidi="th-TH"/>
        </w:rPr>
        <w:t>biodiversity</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various other relevant terms were searched within the reports, such as </w:t>
      </w:r>
      <w:r w:rsidR="00BF6AF7" w:rsidRPr="00080CF1">
        <w:rPr>
          <w:rFonts w:cs="Times New Roman"/>
          <w:snapToGrid w:val="0"/>
          <w:kern w:val="22"/>
          <w:lang w:eastAsia="ja-JP" w:bidi="th-TH"/>
        </w:rPr>
        <w:t>“</w:t>
      </w:r>
      <w:r w:rsidRPr="00080CF1">
        <w:rPr>
          <w:rFonts w:cs="Times New Roman"/>
          <w:snapToGrid w:val="0"/>
          <w:kern w:val="22"/>
          <w:lang w:eastAsia="ja-JP" w:bidi="th-TH"/>
        </w:rPr>
        <w:t>ecosystems</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w:t>
      </w:r>
      <w:r w:rsidR="00BF6AF7" w:rsidRPr="00080CF1">
        <w:rPr>
          <w:rFonts w:cs="Times New Roman"/>
          <w:snapToGrid w:val="0"/>
          <w:kern w:val="22"/>
          <w:lang w:eastAsia="ja-JP" w:bidi="th-TH"/>
        </w:rPr>
        <w:t>“</w:t>
      </w:r>
      <w:r w:rsidRPr="00080CF1">
        <w:rPr>
          <w:rFonts w:cs="Times New Roman"/>
          <w:snapToGrid w:val="0"/>
          <w:kern w:val="22"/>
          <w:lang w:eastAsia="ja-JP" w:bidi="th-TH"/>
        </w:rPr>
        <w:t>ecosystems services</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w:t>
      </w:r>
      <w:r w:rsidR="00BF6AF7" w:rsidRPr="00080CF1">
        <w:rPr>
          <w:rFonts w:cs="Times New Roman"/>
          <w:snapToGrid w:val="0"/>
          <w:kern w:val="22"/>
          <w:lang w:eastAsia="ja-JP" w:bidi="th-TH"/>
        </w:rPr>
        <w:t>“</w:t>
      </w:r>
      <w:r w:rsidRPr="00080CF1">
        <w:rPr>
          <w:rFonts w:cs="Times New Roman"/>
          <w:snapToGrid w:val="0"/>
          <w:kern w:val="22"/>
          <w:lang w:eastAsia="ja-JP" w:bidi="th-TH"/>
        </w:rPr>
        <w:t>natural capital</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w:t>
      </w:r>
      <w:r w:rsidR="00BF6AF7" w:rsidRPr="00080CF1">
        <w:rPr>
          <w:rFonts w:cs="Times New Roman"/>
          <w:snapToGrid w:val="0"/>
          <w:kern w:val="22"/>
          <w:lang w:eastAsia="ja-JP" w:bidi="th-TH"/>
        </w:rPr>
        <w:t>“</w:t>
      </w:r>
      <w:r w:rsidRPr="00080CF1">
        <w:rPr>
          <w:rFonts w:cs="Times New Roman"/>
          <w:snapToGrid w:val="0"/>
          <w:kern w:val="22"/>
          <w:lang w:eastAsia="ja-JP" w:bidi="th-TH"/>
        </w:rPr>
        <w:t>natural resources</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and </w:t>
      </w:r>
      <w:r w:rsidR="00BF6AF7" w:rsidRPr="00080CF1">
        <w:rPr>
          <w:rFonts w:cs="Times New Roman"/>
          <w:snapToGrid w:val="0"/>
          <w:kern w:val="22"/>
          <w:lang w:eastAsia="ja-JP" w:bidi="th-TH"/>
        </w:rPr>
        <w:t>“</w:t>
      </w:r>
      <w:r w:rsidRPr="00080CF1">
        <w:rPr>
          <w:rFonts w:cs="Times New Roman"/>
          <w:snapToGrid w:val="0"/>
          <w:kern w:val="22"/>
          <w:lang w:eastAsia="ja-JP" w:bidi="th-TH"/>
        </w:rPr>
        <w:t>raw materials.</w:t>
      </w:r>
      <w:r w:rsidR="00BF6AF7" w:rsidRPr="00080CF1">
        <w:rPr>
          <w:rFonts w:cs="Times New Roman"/>
          <w:snapToGrid w:val="0"/>
          <w:kern w:val="22"/>
          <w:lang w:eastAsia="ja-JP" w:bidi="th-TH"/>
        </w:rPr>
        <w:t>”</w:t>
      </w:r>
      <w:r w:rsidRPr="00080CF1">
        <w:rPr>
          <w:rFonts w:cs="Times New Roman"/>
          <w:snapToGrid w:val="0"/>
          <w:kern w:val="22"/>
          <w:lang w:eastAsia="ja-JP" w:bidi="th-TH"/>
        </w:rPr>
        <w:t xml:space="preserve"> The results of this analysis can be found in the information note</w:t>
      </w:r>
      <w:r w:rsidR="00080CF1" w:rsidRPr="00080CF1">
        <w:rPr>
          <w:rFonts w:cs="Times New Roman"/>
          <w:snapToGrid w:val="0"/>
          <w:kern w:val="22"/>
          <w:lang w:eastAsia="ja-JP" w:bidi="th-TH"/>
        </w:rPr>
        <w:t xml:space="preserve"> on this agenda item</w:t>
      </w:r>
      <w:r w:rsidRPr="00080CF1">
        <w:rPr>
          <w:rFonts w:cs="Times New Roman"/>
          <w:snapToGrid w:val="0"/>
          <w:kern w:val="22"/>
          <w:lang w:eastAsia="ja-JP" w:bidi="th-TH"/>
        </w:rPr>
        <w:t>.</w:t>
      </w:r>
    </w:p>
    <w:p w:rsidR="00070D30" w:rsidRPr="003D4A65"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3D4A65">
        <w:rPr>
          <w:rFonts w:cs="Times New Roman"/>
          <w:snapToGrid w:val="0"/>
          <w:kern w:val="22"/>
          <w:lang w:eastAsia="ja-JP" w:bidi="th-TH"/>
        </w:rPr>
        <w:t>Noting the existence of reporting fatigue, whereby companies are required to report according to various legal requirement</w:t>
      </w:r>
      <w:r w:rsidR="003D4A65" w:rsidRPr="003D4A65">
        <w:rPr>
          <w:rFonts w:cs="Times New Roman"/>
          <w:snapToGrid w:val="0"/>
          <w:kern w:val="22"/>
          <w:lang w:eastAsia="ja-JP" w:bidi="th-TH"/>
        </w:rPr>
        <w:t>s</w:t>
      </w:r>
      <w:r w:rsidRPr="003D4A65">
        <w:rPr>
          <w:rFonts w:cs="Times New Roman"/>
          <w:snapToGrid w:val="0"/>
          <w:kern w:val="22"/>
          <w:lang w:eastAsia="ja-JP" w:bidi="th-TH"/>
        </w:rPr>
        <w:t xml:space="preserve"> as well as voluntary initiatives based on different impacts, all with different indicators, it was considered that a more simplified typology might be more useful for Parties and businesses.</w:t>
      </w:r>
    </w:p>
    <w:p w:rsidR="00070D30" w:rsidRPr="003D4A65"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bookmarkStart w:id="2" w:name="_Ref512347620"/>
      <w:r w:rsidRPr="003D4A65">
        <w:rPr>
          <w:rFonts w:cs="Times New Roman"/>
          <w:snapToGrid w:val="0"/>
          <w:kern w:val="22"/>
          <w:lang w:eastAsia="ja-JP" w:bidi="th-TH"/>
        </w:rPr>
        <w:t>In addition to the analysis of individual business reports, important existing measurement tools and reporting guidelines that are commonly used by businesses were reviewed, with a view to determin</w:t>
      </w:r>
      <w:r w:rsidR="00A9356C" w:rsidRPr="003D4A65">
        <w:rPr>
          <w:rFonts w:cs="Times New Roman"/>
          <w:snapToGrid w:val="0"/>
          <w:kern w:val="22"/>
          <w:lang w:eastAsia="ja-JP" w:bidi="th-TH"/>
        </w:rPr>
        <w:t>ing</w:t>
      </w:r>
      <w:r w:rsidRPr="003D4A65">
        <w:rPr>
          <w:rFonts w:cs="Times New Roman"/>
          <w:snapToGrid w:val="0"/>
          <w:kern w:val="22"/>
          <w:lang w:eastAsia="ja-JP" w:bidi="th-TH"/>
        </w:rPr>
        <w:t xml:space="preserve"> what elements a revised typology for biodiversity-related reporting might include. A brief description of the tools and guidelines that were considered at this stage of the research is provided below:</w:t>
      </w:r>
      <w:bookmarkEnd w:id="2"/>
    </w:p>
    <w:p w:rsidR="00070D30" w:rsidRPr="003D4A65"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sidRPr="003D4A65">
        <w:rPr>
          <w:rFonts w:cs="Times New Roman"/>
          <w:snapToGrid w:val="0"/>
          <w:kern w:val="22"/>
          <w:lang w:eastAsia="ja-JP" w:bidi="th-TH"/>
        </w:rPr>
        <w:t xml:space="preserve">The </w:t>
      </w:r>
      <w:r w:rsidRPr="00060510">
        <w:rPr>
          <w:rFonts w:cs="Times New Roman"/>
          <w:bCs w:val="0"/>
          <w:i/>
          <w:iCs/>
          <w:snapToGrid w:val="0"/>
          <w:kern w:val="22"/>
          <w:lang w:eastAsia="ja-JP" w:bidi="th-TH"/>
        </w:rPr>
        <w:t>Carbon Disclosure Project (CDP)</w:t>
      </w:r>
      <w:r w:rsidRPr="003D4A65">
        <w:rPr>
          <w:rFonts w:cs="Times New Roman"/>
          <w:snapToGrid w:val="0"/>
          <w:kern w:val="22"/>
          <w:lang w:eastAsia="ja-JP" w:bidi="th-TH"/>
        </w:rPr>
        <w:t xml:space="preserve"> focusses on the disclosure of information on </w:t>
      </w:r>
      <w:r w:rsidR="007D513C">
        <w:rPr>
          <w:rFonts w:cs="Times New Roman"/>
          <w:snapToGrid w:val="0"/>
          <w:kern w:val="22"/>
          <w:lang w:eastAsia="ja-JP" w:bidi="th-TH"/>
        </w:rPr>
        <w:t>greenhouse gas</w:t>
      </w:r>
      <w:r w:rsidR="007D513C" w:rsidRPr="003D4A65">
        <w:rPr>
          <w:rFonts w:cs="Times New Roman"/>
          <w:snapToGrid w:val="0"/>
          <w:kern w:val="22"/>
          <w:lang w:eastAsia="ja-JP" w:bidi="th-TH"/>
        </w:rPr>
        <w:t xml:space="preserve"> </w:t>
      </w:r>
      <w:r w:rsidRPr="003D4A65">
        <w:rPr>
          <w:rFonts w:cs="Times New Roman"/>
          <w:snapToGrid w:val="0"/>
          <w:kern w:val="22"/>
          <w:lang w:eastAsia="ja-JP" w:bidi="th-TH"/>
        </w:rPr>
        <w:t>emissions, along with water and forestry. Backed by over 800 institutional investors, CDP gathers information through annual questionnaires sent on behalf of these institutional investors. In 2017, over 5,600 companies responded. Though geared mainly toward</w:t>
      </w:r>
      <w:r w:rsidR="008E10C9" w:rsidRPr="003D4A65">
        <w:rPr>
          <w:rFonts w:cs="Times New Roman"/>
          <w:snapToGrid w:val="0"/>
          <w:kern w:val="22"/>
          <w:lang w:eastAsia="ja-JP" w:bidi="th-TH"/>
        </w:rPr>
        <w:t>s</w:t>
      </w:r>
      <w:r w:rsidRPr="003D4A65">
        <w:rPr>
          <w:rFonts w:cs="Times New Roman"/>
          <w:snapToGrid w:val="0"/>
          <w:kern w:val="22"/>
          <w:lang w:eastAsia="ja-JP" w:bidi="th-TH"/>
        </w:rPr>
        <w:t xml:space="preserve"> the financial community, it is an important measurement tool</w:t>
      </w:r>
      <w:r w:rsidR="00422D5C" w:rsidRPr="003D4A65">
        <w:rPr>
          <w:rFonts w:cs="Times New Roman"/>
          <w:snapToGrid w:val="0"/>
          <w:kern w:val="22"/>
          <w:lang w:eastAsia="ja-JP" w:bidi="th-TH"/>
        </w:rPr>
        <w:t>;</w:t>
      </w:r>
      <w:r w:rsidRPr="003D4A65">
        <w:rPr>
          <w:rStyle w:val="FootnoteReference"/>
          <w:snapToGrid w:val="0"/>
          <w:kern w:val="22"/>
          <w:lang w:eastAsia="ja-JP" w:bidi="th-TH"/>
        </w:rPr>
        <w:footnoteReference w:id="7"/>
      </w:r>
    </w:p>
    <w:p w:rsidR="00070D30" w:rsidRPr="000D1078"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sidRPr="000D1078">
        <w:rPr>
          <w:rFonts w:cs="Times New Roman"/>
          <w:snapToGrid w:val="0"/>
          <w:kern w:val="22"/>
          <w:lang w:eastAsia="ja-JP" w:bidi="th-TH"/>
        </w:rPr>
        <w:lastRenderedPageBreak/>
        <w:t xml:space="preserve">The </w:t>
      </w:r>
      <w:r w:rsidRPr="00060510">
        <w:rPr>
          <w:rFonts w:cs="Times New Roman"/>
          <w:bCs w:val="0"/>
          <w:i/>
          <w:iCs/>
          <w:snapToGrid w:val="0"/>
          <w:kern w:val="22"/>
          <w:lang w:eastAsia="ja-JP" w:bidi="th-TH"/>
        </w:rPr>
        <w:t>Climate Disclosure Standards Board (CDSB)</w:t>
      </w:r>
      <w:r w:rsidRPr="00B14636">
        <w:rPr>
          <w:rFonts w:cs="Times New Roman"/>
          <w:snapToGrid w:val="0"/>
          <w:kern w:val="22"/>
          <w:lang w:eastAsia="ja-JP" w:bidi="th-TH"/>
        </w:rPr>
        <w:t xml:space="preserve"> is an organization of businesses and environmental </w:t>
      </w:r>
      <w:r w:rsidRPr="00A47DD9">
        <w:rPr>
          <w:rFonts w:cs="Times New Roman"/>
          <w:snapToGrid w:val="0"/>
          <w:kern w:val="22"/>
          <w:lang w:eastAsia="ja-JP" w:bidi="th-TH"/>
        </w:rPr>
        <w:t>organizations committed to advancing and aligning corporate reporting to equate natural capital with financial capital. It provides a framework for reporting environmental information</w:t>
      </w:r>
      <w:r w:rsidR="00422D5C" w:rsidRPr="00A47DD9">
        <w:rPr>
          <w:rFonts w:cs="Times New Roman"/>
          <w:snapToGrid w:val="0"/>
          <w:kern w:val="22"/>
          <w:lang w:eastAsia="ja-JP" w:bidi="th-TH"/>
        </w:rPr>
        <w:t>;</w:t>
      </w:r>
      <w:r w:rsidRPr="000D1078">
        <w:rPr>
          <w:rStyle w:val="FootnoteReference"/>
          <w:snapToGrid w:val="0"/>
          <w:kern w:val="22"/>
          <w:lang w:eastAsia="ja-JP" w:bidi="th-TH"/>
        </w:rPr>
        <w:footnoteReference w:id="8"/>
      </w:r>
    </w:p>
    <w:p w:rsidR="00070D30" w:rsidRPr="00A55EB3"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sidRPr="00A55EB3">
        <w:rPr>
          <w:rFonts w:cs="Times New Roman"/>
          <w:snapToGrid w:val="0"/>
          <w:kern w:val="22"/>
          <w:lang w:eastAsia="ja-JP" w:bidi="th-TH"/>
        </w:rPr>
        <w:t xml:space="preserve">The </w:t>
      </w:r>
      <w:r w:rsidRPr="00060510">
        <w:rPr>
          <w:rFonts w:cs="Times New Roman"/>
          <w:bCs w:val="0"/>
          <w:i/>
          <w:iCs/>
          <w:snapToGrid w:val="0"/>
          <w:kern w:val="22"/>
          <w:lang w:eastAsia="ja-JP" w:bidi="th-TH"/>
        </w:rPr>
        <w:t>Global Reporting Initiative (GRI)</w:t>
      </w:r>
      <w:r w:rsidRPr="00A55EB3">
        <w:rPr>
          <w:rFonts w:cs="Times New Roman"/>
          <w:snapToGrid w:val="0"/>
          <w:kern w:val="22"/>
          <w:lang w:eastAsia="ja-JP" w:bidi="th-TH"/>
        </w:rPr>
        <w:t xml:space="preserve"> is an international independent standard-setting organization that helps businesses, </w:t>
      </w:r>
      <w:r w:rsidR="00A9356C" w:rsidRPr="00A55EB3">
        <w:rPr>
          <w:rFonts w:cs="Times New Roman"/>
          <w:snapToGrid w:val="0"/>
          <w:kern w:val="22"/>
          <w:lang w:eastAsia="ja-JP" w:bidi="th-TH"/>
        </w:rPr>
        <w:t>G</w:t>
      </w:r>
      <w:r w:rsidRPr="00A55EB3">
        <w:rPr>
          <w:rFonts w:cs="Times New Roman"/>
          <w:snapToGrid w:val="0"/>
          <w:kern w:val="22"/>
          <w:lang w:eastAsia="ja-JP" w:bidi="th-TH"/>
        </w:rPr>
        <w:t xml:space="preserve">overnments and other organizations to understand and communicate their impacts on issues such as climate change, human rights and corruption. GRI produces standards (formerly guidelines) used by thousands of corporate and public-sector reporters in over 100 countries. More than 46,000 reports have been registered in </w:t>
      </w:r>
      <w:r w:rsidR="00F16D8F" w:rsidRPr="00A55EB3">
        <w:rPr>
          <w:rFonts w:cs="Times New Roman"/>
          <w:snapToGrid w:val="0"/>
          <w:kern w:val="22"/>
          <w:lang w:eastAsia="ja-JP" w:bidi="th-TH"/>
        </w:rPr>
        <w:t xml:space="preserve">the </w:t>
      </w:r>
      <w:r w:rsidRPr="00A55EB3">
        <w:rPr>
          <w:rFonts w:cs="Times New Roman"/>
          <w:snapToGrid w:val="0"/>
          <w:kern w:val="22"/>
          <w:lang w:eastAsia="ja-JP" w:bidi="th-TH"/>
        </w:rPr>
        <w:t>GRI Sustainability Database and almost 60 countries and regions reference GRI in their policies. GRI was acknowledged as the official reporting standard of the U</w:t>
      </w:r>
      <w:r w:rsidR="00A9356C" w:rsidRPr="00A55EB3">
        <w:rPr>
          <w:rFonts w:cs="Times New Roman"/>
          <w:snapToGrid w:val="0"/>
          <w:kern w:val="22"/>
          <w:lang w:eastAsia="ja-JP" w:bidi="th-TH"/>
        </w:rPr>
        <w:t xml:space="preserve">nited </w:t>
      </w:r>
      <w:r w:rsidRPr="00A55EB3">
        <w:rPr>
          <w:rFonts w:cs="Times New Roman"/>
          <w:snapToGrid w:val="0"/>
          <w:kern w:val="22"/>
          <w:lang w:eastAsia="ja-JP" w:bidi="th-TH"/>
        </w:rPr>
        <w:t>N</w:t>
      </w:r>
      <w:r w:rsidR="00A9356C" w:rsidRPr="00A55EB3">
        <w:rPr>
          <w:rFonts w:cs="Times New Roman"/>
          <w:snapToGrid w:val="0"/>
          <w:kern w:val="22"/>
          <w:lang w:eastAsia="ja-JP" w:bidi="th-TH"/>
        </w:rPr>
        <w:t>ations</w:t>
      </w:r>
      <w:r w:rsidRPr="00A55EB3">
        <w:rPr>
          <w:rFonts w:cs="Times New Roman"/>
          <w:snapToGrid w:val="0"/>
          <w:kern w:val="22"/>
          <w:lang w:eastAsia="ja-JP" w:bidi="th-TH"/>
        </w:rPr>
        <w:t xml:space="preserve"> Global Compact</w:t>
      </w:r>
      <w:r w:rsidR="00590353" w:rsidRPr="00A55EB3">
        <w:rPr>
          <w:rFonts w:cs="Times New Roman"/>
          <w:snapToGrid w:val="0"/>
          <w:kern w:val="22"/>
          <w:lang w:eastAsia="ja-JP" w:bidi="th-TH"/>
        </w:rPr>
        <w:t>,</w:t>
      </w:r>
      <w:r w:rsidRPr="00A55EB3">
        <w:rPr>
          <w:rFonts w:cs="Times New Roman"/>
          <w:snapToGrid w:val="0"/>
          <w:kern w:val="22"/>
          <w:lang w:eastAsia="ja-JP" w:bidi="th-TH"/>
        </w:rPr>
        <w:t xml:space="preserve"> making it the default reporting framework for its 9</w:t>
      </w:r>
      <w:r w:rsidR="00590353" w:rsidRPr="00A55EB3">
        <w:rPr>
          <w:rFonts w:cs="Times New Roman"/>
          <w:snapToGrid w:val="0"/>
          <w:kern w:val="22"/>
          <w:lang w:eastAsia="ja-JP" w:bidi="th-TH"/>
        </w:rPr>
        <w:t>,</w:t>
      </w:r>
      <w:r w:rsidRPr="00A55EB3">
        <w:rPr>
          <w:rFonts w:cs="Times New Roman"/>
          <w:snapToGrid w:val="0"/>
          <w:kern w:val="22"/>
          <w:lang w:eastAsia="ja-JP" w:bidi="th-TH"/>
        </w:rPr>
        <w:t>000 associated companies. Of the largest 250 corporations</w:t>
      </w:r>
      <w:r w:rsidR="009C3E11" w:rsidRPr="00A55EB3">
        <w:rPr>
          <w:rFonts w:cs="Times New Roman"/>
          <w:snapToGrid w:val="0"/>
          <w:kern w:val="22"/>
          <w:lang w:eastAsia="ja-JP" w:bidi="th-TH"/>
        </w:rPr>
        <w:t xml:space="preserve"> in the world</w:t>
      </w:r>
      <w:r w:rsidRPr="00A55EB3">
        <w:rPr>
          <w:rFonts w:cs="Times New Roman"/>
          <w:snapToGrid w:val="0"/>
          <w:kern w:val="22"/>
          <w:lang w:eastAsia="ja-JP" w:bidi="th-TH"/>
        </w:rPr>
        <w:t>, 93</w:t>
      </w:r>
      <w:r w:rsidR="00A9356C" w:rsidRPr="00A55EB3">
        <w:rPr>
          <w:rFonts w:cs="Times New Roman"/>
          <w:snapToGrid w:val="0"/>
          <w:kern w:val="22"/>
          <w:lang w:eastAsia="ja-JP" w:bidi="th-TH"/>
        </w:rPr>
        <w:t xml:space="preserve"> per cent</w:t>
      </w:r>
      <w:r w:rsidRPr="00A55EB3">
        <w:rPr>
          <w:rFonts w:cs="Times New Roman"/>
          <w:snapToGrid w:val="0"/>
          <w:kern w:val="22"/>
          <w:lang w:eastAsia="ja-JP" w:bidi="th-TH"/>
        </w:rPr>
        <w:t xml:space="preserve"> report on their sustainability </w:t>
      </w:r>
      <w:proofErr w:type="gramStart"/>
      <w:r w:rsidRPr="00A55EB3">
        <w:rPr>
          <w:rFonts w:cs="Times New Roman"/>
          <w:snapToGrid w:val="0"/>
          <w:kern w:val="22"/>
          <w:lang w:eastAsia="ja-JP" w:bidi="th-TH"/>
        </w:rPr>
        <w:t>performance</w:t>
      </w:r>
      <w:r w:rsidR="00A55EB3" w:rsidRPr="00A55EB3">
        <w:rPr>
          <w:rFonts w:cs="Times New Roman"/>
          <w:snapToGrid w:val="0"/>
          <w:kern w:val="22"/>
          <w:lang w:eastAsia="ja-JP" w:bidi="th-TH"/>
        </w:rPr>
        <w:t>,</w:t>
      </w:r>
      <w:proofErr w:type="gramEnd"/>
      <w:r w:rsidRPr="00A55EB3">
        <w:rPr>
          <w:rFonts w:cs="Times New Roman"/>
          <w:snapToGrid w:val="0"/>
          <w:kern w:val="22"/>
          <w:lang w:eastAsia="ja-JP" w:bidi="th-TH"/>
        </w:rPr>
        <w:t xml:space="preserve"> and 75</w:t>
      </w:r>
      <w:r w:rsidR="00A9356C" w:rsidRPr="00A55EB3">
        <w:rPr>
          <w:rFonts w:cs="Times New Roman"/>
          <w:snapToGrid w:val="0"/>
          <w:kern w:val="22"/>
          <w:lang w:eastAsia="ja-JP" w:bidi="th-TH"/>
        </w:rPr>
        <w:t xml:space="preserve"> per cent</w:t>
      </w:r>
      <w:r w:rsidRPr="00A55EB3">
        <w:rPr>
          <w:rFonts w:cs="Times New Roman"/>
          <w:snapToGrid w:val="0"/>
          <w:kern w:val="22"/>
          <w:lang w:eastAsia="ja-JP" w:bidi="th-TH"/>
        </w:rPr>
        <w:t xml:space="preserve"> of these use GRI guidelines to do so</w:t>
      </w:r>
      <w:r w:rsidR="00A9356C" w:rsidRPr="00A55EB3">
        <w:rPr>
          <w:rFonts w:cs="Times New Roman"/>
          <w:snapToGrid w:val="0"/>
          <w:kern w:val="22"/>
          <w:lang w:eastAsia="ja-JP" w:bidi="th-TH"/>
        </w:rPr>
        <w:t>.</w:t>
      </w:r>
      <w:r w:rsidRPr="00A55EB3">
        <w:rPr>
          <w:rStyle w:val="FootnoteReference"/>
          <w:snapToGrid w:val="0"/>
          <w:kern w:val="22"/>
          <w:lang w:eastAsia="ja-JP" w:bidi="th-TH"/>
        </w:rPr>
        <w:footnoteReference w:id="9"/>
      </w:r>
      <w:r w:rsidRPr="00A55EB3">
        <w:rPr>
          <w:rFonts w:cs="Times New Roman"/>
          <w:snapToGrid w:val="0"/>
          <w:kern w:val="22"/>
          <w:lang w:eastAsia="ja-JP" w:bidi="th-TH"/>
        </w:rPr>
        <w:t xml:space="preserve"> The GRI standards include four </w:t>
      </w:r>
      <w:r w:rsidR="002A2C4E">
        <w:rPr>
          <w:rFonts w:cs="Times New Roman"/>
          <w:snapToGrid w:val="0"/>
          <w:kern w:val="22"/>
          <w:lang w:eastAsia="ja-JP" w:bidi="th-TH"/>
        </w:rPr>
        <w:t>“</w:t>
      </w:r>
      <w:r w:rsidRPr="00A55EB3">
        <w:rPr>
          <w:rFonts w:cs="Times New Roman"/>
          <w:snapToGrid w:val="0"/>
          <w:kern w:val="22"/>
          <w:lang w:eastAsia="ja-JP" w:bidi="th-TH"/>
        </w:rPr>
        <w:t>disclosures</w:t>
      </w:r>
      <w:r w:rsidR="002A2C4E">
        <w:rPr>
          <w:rFonts w:cs="Times New Roman"/>
          <w:snapToGrid w:val="0"/>
          <w:kern w:val="22"/>
          <w:lang w:eastAsia="ja-JP" w:bidi="th-TH"/>
        </w:rPr>
        <w:t>”</w:t>
      </w:r>
      <w:r w:rsidRPr="00A55EB3">
        <w:rPr>
          <w:rFonts w:cs="Times New Roman"/>
          <w:snapToGrid w:val="0"/>
          <w:kern w:val="22"/>
          <w:lang w:eastAsia="ja-JP" w:bidi="th-TH"/>
        </w:rPr>
        <w:t xml:space="preserve"> on biodiversity and the management approach to biodiversity using GRI 103: Management approach</w:t>
      </w:r>
      <w:r w:rsidRPr="00A55EB3">
        <w:rPr>
          <w:rStyle w:val="FootnoteReference"/>
          <w:snapToGrid w:val="0"/>
          <w:kern w:val="22"/>
          <w:lang w:eastAsia="ja-JP" w:bidi="th-TH"/>
        </w:rPr>
        <w:footnoteReference w:id="10"/>
      </w:r>
      <w:r w:rsidRPr="00A55EB3">
        <w:rPr>
          <w:rFonts w:cs="Times New Roman"/>
          <w:snapToGrid w:val="0"/>
          <w:kern w:val="22"/>
          <w:lang w:eastAsia="ja-JP" w:bidi="th-TH"/>
        </w:rPr>
        <w:t xml:space="preserve"> as well as other indicators that </w:t>
      </w:r>
      <w:r w:rsidR="002A2C4E">
        <w:rPr>
          <w:rFonts w:cs="Times New Roman"/>
          <w:snapToGrid w:val="0"/>
          <w:kern w:val="22"/>
          <w:lang w:eastAsia="ja-JP" w:bidi="th-TH"/>
        </w:rPr>
        <w:t>are relevant</w:t>
      </w:r>
      <w:r w:rsidRPr="00A55EB3">
        <w:rPr>
          <w:rFonts w:cs="Times New Roman"/>
          <w:snapToGrid w:val="0"/>
          <w:kern w:val="22"/>
          <w:lang w:eastAsia="ja-JP" w:bidi="th-TH"/>
        </w:rPr>
        <w:t xml:space="preserve"> to biodiversity</w:t>
      </w:r>
      <w:r w:rsidR="00422D5C" w:rsidRPr="00A55EB3">
        <w:rPr>
          <w:rFonts w:cs="Times New Roman"/>
          <w:snapToGrid w:val="0"/>
          <w:kern w:val="22"/>
          <w:lang w:eastAsia="ja-JP" w:bidi="th-TH"/>
        </w:rPr>
        <w:t>;</w:t>
      </w:r>
    </w:p>
    <w:p w:rsidR="00070D30" w:rsidRPr="000D1078"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sidRPr="00A47DD9">
        <w:rPr>
          <w:rFonts w:cs="Times New Roman"/>
          <w:snapToGrid w:val="0"/>
          <w:kern w:val="22"/>
          <w:lang w:eastAsia="ja-JP" w:bidi="th-TH"/>
        </w:rPr>
        <w:t xml:space="preserve">The </w:t>
      </w:r>
      <w:r w:rsidRPr="00060510">
        <w:rPr>
          <w:rFonts w:cs="Times New Roman"/>
          <w:bCs w:val="0"/>
          <w:i/>
          <w:iCs/>
          <w:snapToGrid w:val="0"/>
          <w:kern w:val="22"/>
          <w:lang w:eastAsia="ja-JP" w:bidi="th-TH"/>
        </w:rPr>
        <w:t>International Integrated Reporting Council (IIRC)</w:t>
      </w:r>
      <w:r w:rsidRPr="00A47DD9">
        <w:rPr>
          <w:rFonts w:cs="Times New Roman"/>
          <w:snapToGrid w:val="0"/>
          <w:kern w:val="22"/>
          <w:lang w:eastAsia="ja-JP" w:bidi="th-TH"/>
        </w:rPr>
        <w:t xml:space="preserve"> has created an Integrated Reporting Framework, which includes biodiversity and ecosystem health. As a general framework to integrate thinking and decision</w:t>
      </w:r>
      <w:r w:rsidR="00A9356C" w:rsidRPr="00A47DD9">
        <w:rPr>
          <w:rFonts w:cs="Times New Roman"/>
          <w:snapToGrid w:val="0"/>
          <w:kern w:val="22"/>
          <w:lang w:eastAsia="ja-JP" w:bidi="th-TH"/>
        </w:rPr>
        <w:t>-</w:t>
      </w:r>
      <w:r w:rsidRPr="00281B6E">
        <w:rPr>
          <w:rFonts w:cs="Times New Roman"/>
          <w:snapToGrid w:val="0"/>
          <w:kern w:val="22"/>
          <w:lang w:eastAsia="ja-JP" w:bidi="th-TH"/>
        </w:rPr>
        <w:t>making, it does not include specific indictors or metrics</w:t>
      </w:r>
      <w:r w:rsidR="00422D5C" w:rsidRPr="000D1078">
        <w:rPr>
          <w:rFonts w:cs="Times New Roman"/>
          <w:snapToGrid w:val="0"/>
          <w:kern w:val="22"/>
          <w:lang w:eastAsia="ja-JP" w:bidi="th-TH"/>
        </w:rPr>
        <w:t>;</w:t>
      </w:r>
      <w:r w:rsidRPr="000D1078">
        <w:rPr>
          <w:rStyle w:val="FootnoteReference"/>
          <w:snapToGrid w:val="0"/>
          <w:kern w:val="22"/>
          <w:lang w:eastAsia="ja-JP" w:bidi="th-TH"/>
        </w:rPr>
        <w:footnoteReference w:id="11"/>
      </w:r>
    </w:p>
    <w:p w:rsidR="00070D30" w:rsidRPr="000D1078" w:rsidRDefault="00070D30"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eastAsia="ja-JP" w:bidi="th-TH"/>
        </w:rPr>
      </w:pPr>
      <w:r w:rsidRPr="00B14636">
        <w:rPr>
          <w:rFonts w:cs="Times New Roman"/>
          <w:snapToGrid w:val="0"/>
          <w:kern w:val="22"/>
          <w:lang w:eastAsia="ja-JP" w:bidi="th-TH"/>
        </w:rPr>
        <w:t xml:space="preserve">The </w:t>
      </w:r>
      <w:r w:rsidRPr="00060510">
        <w:rPr>
          <w:rFonts w:cs="Times New Roman"/>
          <w:bCs w:val="0"/>
          <w:i/>
          <w:iCs/>
          <w:snapToGrid w:val="0"/>
          <w:kern w:val="22"/>
          <w:lang w:eastAsia="ja-JP" w:bidi="th-TH"/>
        </w:rPr>
        <w:t>Sustainability Accounting Standards Board (SASB)</w:t>
      </w:r>
      <w:r w:rsidRPr="00A47DD9">
        <w:rPr>
          <w:rFonts w:cs="Times New Roman"/>
          <w:snapToGrid w:val="0"/>
          <w:kern w:val="22"/>
          <w:lang w:eastAsia="ja-JP" w:bidi="th-TH"/>
        </w:rPr>
        <w:t xml:space="preserve"> provides sustainability accounting standards for companies</w:t>
      </w:r>
      <w:r w:rsidR="003819F7">
        <w:rPr>
          <w:rFonts w:cs="Times New Roman"/>
          <w:snapToGrid w:val="0"/>
          <w:kern w:val="22"/>
          <w:lang w:eastAsia="ja-JP" w:bidi="th-TH"/>
        </w:rPr>
        <w:t xml:space="preserve"> based in the United States</w:t>
      </w:r>
      <w:r w:rsidRPr="00A47DD9">
        <w:rPr>
          <w:rFonts w:cs="Times New Roman"/>
          <w:snapToGrid w:val="0"/>
          <w:kern w:val="22"/>
          <w:lang w:eastAsia="ja-JP" w:bidi="th-TH"/>
        </w:rPr>
        <w:t xml:space="preserve">, for disclosure of material sustainability information in filings with the Securities and Exchange Commission. SASB standards identify sustainability topics and related accounting metrics at </w:t>
      </w:r>
      <w:r w:rsidR="003819B2">
        <w:rPr>
          <w:rFonts w:cs="Times New Roman"/>
          <w:snapToGrid w:val="0"/>
          <w:kern w:val="22"/>
          <w:lang w:eastAsia="ja-JP" w:bidi="th-TH"/>
        </w:rPr>
        <w:t>the</w:t>
      </w:r>
      <w:r w:rsidR="003819B2" w:rsidRPr="00A47DD9">
        <w:rPr>
          <w:rFonts w:cs="Times New Roman"/>
          <w:snapToGrid w:val="0"/>
          <w:kern w:val="22"/>
          <w:lang w:eastAsia="ja-JP" w:bidi="th-TH"/>
        </w:rPr>
        <w:t xml:space="preserve"> </w:t>
      </w:r>
      <w:r w:rsidRPr="00A47DD9">
        <w:rPr>
          <w:rFonts w:cs="Times New Roman"/>
          <w:snapToGrid w:val="0"/>
          <w:kern w:val="22"/>
          <w:lang w:eastAsia="ja-JP" w:bidi="th-TH"/>
        </w:rPr>
        <w:t>industry level that are likely to constitute material information to companies</w:t>
      </w:r>
      <w:r w:rsidRPr="00281B6E">
        <w:rPr>
          <w:rFonts w:cs="Times New Roman"/>
          <w:snapToGrid w:val="0"/>
          <w:kern w:val="22"/>
          <w:lang w:eastAsia="ja-JP" w:bidi="th-TH"/>
        </w:rPr>
        <w:t xml:space="preserve"> in that industry. SASB is developing provisional standards for more than 80 industrie</w:t>
      </w:r>
      <w:r w:rsidRPr="000D1078">
        <w:rPr>
          <w:rFonts w:cs="Times New Roman"/>
          <w:snapToGrid w:val="0"/>
          <w:kern w:val="22"/>
          <w:lang w:eastAsia="ja-JP" w:bidi="th-TH"/>
        </w:rPr>
        <w:t>s in 10</w:t>
      </w:r>
      <w:r w:rsidR="002653E4">
        <w:rPr>
          <w:rFonts w:cs="Times New Roman"/>
          <w:snapToGrid w:val="0"/>
          <w:kern w:val="22"/>
          <w:lang w:eastAsia="ja-JP" w:bidi="th-TH"/>
        </w:rPr>
        <w:t> </w:t>
      </w:r>
      <w:r w:rsidRPr="000D1078">
        <w:rPr>
          <w:rFonts w:cs="Times New Roman"/>
          <w:snapToGrid w:val="0"/>
          <w:kern w:val="22"/>
          <w:lang w:eastAsia="ja-JP" w:bidi="th-TH"/>
        </w:rPr>
        <w:t>sectors.</w:t>
      </w:r>
      <w:r w:rsidRPr="000D1078">
        <w:rPr>
          <w:rStyle w:val="FootnoteReference"/>
          <w:snapToGrid w:val="0"/>
          <w:kern w:val="22"/>
          <w:lang w:eastAsia="ja-JP" w:bidi="th-TH"/>
        </w:rPr>
        <w:footnoteReference w:id="12"/>
      </w:r>
    </w:p>
    <w:p w:rsidR="00070D30" w:rsidRPr="00F656A9"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60510">
        <w:rPr>
          <w:snapToGrid w:val="0"/>
          <w:kern w:val="22"/>
          <w:lang w:eastAsia="ja-JP" w:bidi="th-TH"/>
        </w:rPr>
        <w:t>In addition to the global reporting tools enumerated above, there are a number of initiatives aimed specifically at biodiversity. Five members of the Global Partnership for Business and Biodiversity have established pledging mechanisms of biodiversity-related commitments by their members, often referred to as declarations, and require reporting of their business members against these declarations. The German and Indian partnerships currently require all signatories to their respective pledges to submit a report every two years, and the Spanis</w:t>
      </w:r>
      <w:r w:rsidR="00F656A9" w:rsidRPr="00F656A9">
        <w:rPr>
          <w:snapToGrid w:val="0"/>
          <w:kern w:val="22"/>
          <w:lang w:eastAsia="ja-JP" w:bidi="th-TH"/>
        </w:rPr>
        <w:t>h</w:t>
      </w:r>
      <w:r w:rsidRPr="00060510">
        <w:rPr>
          <w:snapToGrid w:val="0"/>
          <w:kern w:val="22"/>
          <w:lang w:eastAsia="ja-JP" w:bidi="th-TH"/>
        </w:rPr>
        <w:t xml:space="preserve"> partnership every three years. </w:t>
      </w:r>
      <w:r w:rsidRPr="00F656A9">
        <w:rPr>
          <w:rFonts w:cs="Times New Roman"/>
          <w:snapToGrid w:val="0"/>
          <w:kern w:val="22"/>
          <w:lang w:eastAsia="ja-JP" w:bidi="th-TH"/>
        </w:rPr>
        <w:t>The Busines</w:t>
      </w:r>
      <w:r w:rsidR="00A9356C" w:rsidRPr="00F656A9">
        <w:rPr>
          <w:rFonts w:cs="Times New Roman"/>
          <w:snapToGrid w:val="0"/>
          <w:kern w:val="22"/>
          <w:lang w:eastAsia="ja-JP" w:bidi="th-TH"/>
        </w:rPr>
        <w:t>s</w:t>
      </w:r>
      <w:r w:rsidRPr="00F656A9">
        <w:rPr>
          <w:rFonts w:cs="Times New Roman"/>
          <w:snapToGrid w:val="0"/>
          <w:kern w:val="22"/>
          <w:lang w:eastAsia="ja-JP" w:bidi="th-TH"/>
        </w:rPr>
        <w:t xml:space="preserve"> and Biodiversity Pledge under the Convention, launched at the Global Business and Biodiversity Forum in 2016, now </w:t>
      </w:r>
      <w:r w:rsidR="00D8636C" w:rsidRPr="00C93388">
        <w:rPr>
          <w:rFonts w:cs="Times New Roman"/>
          <w:snapToGrid w:val="0"/>
          <w:kern w:val="22"/>
          <w:lang w:eastAsia="ja-JP" w:bidi="th-TH"/>
        </w:rPr>
        <w:t xml:space="preserve">has </w:t>
      </w:r>
      <w:r w:rsidRPr="00F656A9">
        <w:rPr>
          <w:rFonts w:cs="Times New Roman"/>
          <w:snapToGrid w:val="0"/>
          <w:kern w:val="22"/>
          <w:lang w:eastAsia="ja-JP" w:bidi="th-TH"/>
        </w:rPr>
        <w:t xml:space="preserve">over 130 signatories. It has </w:t>
      </w:r>
      <w:r w:rsidR="00A9356C" w:rsidRPr="00F656A9">
        <w:rPr>
          <w:rFonts w:cs="Times New Roman"/>
          <w:snapToGrid w:val="0"/>
          <w:kern w:val="22"/>
          <w:lang w:eastAsia="ja-JP" w:bidi="th-TH"/>
        </w:rPr>
        <w:t>nine</w:t>
      </w:r>
      <w:r w:rsidRPr="00F656A9">
        <w:rPr>
          <w:rFonts w:cs="Times New Roman"/>
          <w:snapToGrid w:val="0"/>
          <w:kern w:val="22"/>
          <w:lang w:eastAsia="ja-JP" w:bidi="th-TH"/>
        </w:rPr>
        <w:t xml:space="preserve"> elements, including a requirement to provide updates on how the pledge has been implemented. A mechanism for obtaining such reports will be made available on the Convention</w:t>
      </w:r>
      <w:r w:rsidR="0024682C">
        <w:rPr>
          <w:rFonts w:cs="Times New Roman"/>
          <w:snapToGrid w:val="0"/>
          <w:kern w:val="22"/>
          <w:lang w:eastAsia="ja-JP" w:bidi="th-TH"/>
        </w:rPr>
        <w:t>’s</w:t>
      </w:r>
      <w:r w:rsidRPr="00F656A9">
        <w:rPr>
          <w:rFonts w:cs="Times New Roman"/>
          <w:snapToGrid w:val="0"/>
          <w:kern w:val="22"/>
          <w:lang w:eastAsia="ja-JP" w:bidi="th-TH"/>
        </w:rPr>
        <w:t xml:space="preserve"> website. The accompanying information document provides additional information about the approach.</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sidRPr="00060510">
        <w:rPr>
          <w:snapToGrid w:val="0"/>
          <w:kern w:val="22"/>
          <w:lang w:eastAsia="ja-JP" w:bidi="th-TH"/>
        </w:rPr>
        <w:t xml:space="preserve">While not a reporting tool, it is worth noting the recent work of the Natural Capital Coalition in developing the </w:t>
      </w:r>
      <w:r w:rsidRPr="00060510">
        <w:rPr>
          <w:snapToGrid w:val="0"/>
          <w:kern w:val="22"/>
        </w:rPr>
        <w:t>Natural Capital Protocol</w:t>
      </w:r>
      <w:r w:rsidR="0063514B">
        <w:rPr>
          <w:snapToGrid w:val="0"/>
          <w:kern w:val="22"/>
        </w:rPr>
        <w:t>, which</w:t>
      </w:r>
      <w:r w:rsidRPr="00060510">
        <w:rPr>
          <w:snapToGrid w:val="0"/>
          <w:kern w:val="22"/>
        </w:rPr>
        <w:t xml:space="preserve"> is a framework designed to help generate credible and actionable information for business managers, by providing a standardized approach to identify, measure, and value business impacts and dependencies on natural capital and ecosystem services, to inform and improve internal management decision</w:t>
      </w:r>
      <w:r w:rsidR="00A9356C" w:rsidRPr="00060510">
        <w:rPr>
          <w:snapToGrid w:val="0"/>
          <w:kern w:val="22"/>
        </w:rPr>
        <w:t>-</w:t>
      </w:r>
      <w:r w:rsidRPr="00060510">
        <w:rPr>
          <w:snapToGrid w:val="0"/>
          <w:kern w:val="22"/>
        </w:rPr>
        <w:t>making. The protocol provides broad flexibility regarding the choice of measurement and valuation approaches, in accordance with the circumstances and conditions of the individual business. As a result, it does not necessarily produce comparable results across different businesses or applications. It does not currently provide specific guidance on ecosystems and biodiversity. However, there are several projects under</w:t>
      </w:r>
      <w:r w:rsidR="00C10793">
        <w:rPr>
          <w:snapToGrid w:val="0"/>
          <w:kern w:val="22"/>
        </w:rPr>
        <w:t xml:space="preserve"> </w:t>
      </w:r>
      <w:r w:rsidRPr="00060510">
        <w:rPr>
          <w:snapToGrid w:val="0"/>
          <w:kern w:val="22"/>
        </w:rPr>
        <w:t xml:space="preserve">way which </w:t>
      </w:r>
      <w:r w:rsidR="00C10793">
        <w:rPr>
          <w:snapToGrid w:val="0"/>
          <w:kern w:val="22"/>
        </w:rPr>
        <w:t xml:space="preserve">are </w:t>
      </w:r>
      <w:r w:rsidRPr="00060510">
        <w:rPr>
          <w:snapToGrid w:val="0"/>
          <w:kern w:val="22"/>
        </w:rPr>
        <w:t>aim</w:t>
      </w:r>
      <w:r w:rsidR="00C10793">
        <w:rPr>
          <w:snapToGrid w:val="0"/>
          <w:kern w:val="22"/>
        </w:rPr>
        <w:t>ed</w:t>
      </w:r>
      <w:r w:rsidRPr="00060510">
        <w:rPr>
          <w:snapToGrid w:val="0"/>
          <w:kern w:val="22"/>
        </w:rPr>
        <w:t xml:space="preserve">, inter alia, </w:t>
      </w:r>
      <w:r w:rsidR="00C10793">
        <w:rPr>
          <w:snapToGrid w:val="0"/>
          <w:kern w:val="22"/>
        </w:rPr>
        <w:t xml:space="preserve">at </w:t>
      </w:r>
      <w:r w:rsidRPr="00060510">
        <w:rPr>
          <w:snapToGrid w:val="0"/>
          <w:kern w:val="22"/>
        </w:rPr>
        <w:t>further strengthen</w:t>
      </w:r>
      <w:r w:rsidR="00C10793">
        <w:rPr>
          <w:snapToGrid w:val="0"/>
          <w:kern w:val="22"/>
        </w:rPr>
        <w:t>ing</w:t>
      </w:r>
      <w:r w:rsidRPr="00060510">
        <w:rPr>
          <w:snapToGrid w:val="0"/>
          <w:kern w:val="22"/>
        </w:rPr>
        <w:t xml:space="preserve"> the role of biodiversity in the natural capital concept, with a </w:t>
      </w:r>
      <w:r w:rsidR="00BF6AF7">
        <w:rPr>
          <w:snapToGrid w:val="0"/>
          <w:kern w:val="22"/>
        </w:rPr>
        <w:t>“</w:t>
      </w:r>
      <w:r w:rsidRPr="00060510">
        <w:rPr>
          <w:snapToGrid w:val="0"/>
          <w:kern w:val="22"/>
        </w:rPr>
        <w:t>biodiversity supplement</w:t>
      </w:r>
      <w:r w:rsidR="00BF6AF7">
        <w:rPr>
          <w:snapToGrid w:val="0"/>
          <w:kern w:val="22"/>
        </w:rPr>
        <w:t>”</w:t>
      </w:r>
      <w:r w:rsidRPr="00060510">
        <w:rPr>
          <w:snapToGrid w:val="0"/>
          <w:kern w:val="22"/>
        </w:rPr>
        <w:t xml:space="preserve"> to the Natural Capital </w:t>
      </w:r>
      <w:r w:rsidRPr="00060510">
        <w:rPr>
          <w:snapToGrid w:val="0"/>
          <w:kern w:val="22"/>
        </w:rPr>
        <w:lastRenderedPageBreak/>
        <w:t>Protocol as one possible concrete output of this work. A working group has currently been established with a view to undertak</w:t>
      </w:r>
      <w:r w:rsidR="00190893" w:rsidRPr="00060510">
        <w:rPr>
          <w:snapToGrid w:val="0"/>
          <w:kern w:val="22"/>
        </w:rPr>
        <w:t>ing</w:t>
      </w:r>
      <w:r w:rsidRPr="00060510">
        <w:rPr>
          <w:snapToGrid w:val="0"/>
          <w:kern w:val="22"/>
        </w:rPr>
        <w:t xml:space="preserve"> work on the role of biodiversity in the natural capital concept.</w:t>
      </w:r>
      <w:r w:rsidRPr="00060510">
        <w:rPr>
          <w:rStyle w:val="FootnoteReference"/>
          <w:snapToGrid w:val="0"/>
          <w:kern w:val="22"/>
        </w:rPr>
        <w:footnoteReference w:id="13"/>
      </w:r>
    </w:p>
    <w:p w:rsidR="00070D30" w:rsidRPr="00060510"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060510">
        <w:rPr>
          <w:snapToGrid w:val="0"/>
          <w:kern w:val="22"/>
        </w:rPr>
        <w:t>II.</w:t>
      </w:r>
      <w:r w:rsidRPr="00060510">
        <w:rPr>
          <w:snapToGrid w:val="0"/>
          <w:kern w:val="22"/>
        </w:rPr>
        <w:tab/>
        <w:t>RESEARCH RESULTS</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sidRPr="00060510">
        <w:rPr>
          <w:snapToGrid w:val="0"/>
          <w:kern w:val="22"/>
          <w:lang w:eastAsia="ja-JP" w:bidi="th-TH"/>
        </w:rPr>
        <w:t xml:space="preserve">Based on the approach described above, a revised and more simplified draft typology was prepared. In addition, to facilitate its application, guidance in the form of good practice examples practices was elaborated. At the same time, the research also led to a number of insights which, taken together, point to the need to focus future work in this area on a number of strategic priorities related to factors that are pre-conditions for effective reporting, </w:t>
      </w:r>
      <w:r w:rsidRPr="000D1078">
        <w:rPr>
          <w:rFonts w:cs="Times New Roman"/>
          <w:snapToGrid w:val="0"/>
          <w:kern w:val="22"/>
          <w:lang w:eastAsia="ja-JP" w:bidi="th-TH"/>
        </w:rPr>
        <w:t>bearing in mind that disclosure</w:t>
      </w:r>
      <w:r w:rsidRPr="00B14636">
        <w:rPr>
          <w:rFonts w:cs="Times New Roman"/>
          <w:snapToGrid w:val="0"/>
          <w:kern w:val="22"/>
          <w:lang w:eastAsia="ja-JP" w:bidi="th-TH"/>
        </w:rPr>
        <w:t xml:space="preserve"> and reporting is the last step of the process for identifying businesses impacts and dependencies on biodiversity.</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060510">
        <w:rPr>
          <w:snapToGrid w:val="0"/>
          <w:kern w:val="22"/>
        </w:rPr>
        <w:t>A.</w:t>
      </w:r>
      <w:r w:rsidRPr="00060510">
        <w:rPr>
          <w:snapToGrid w:val="0"/>
          <w:kern w:val="22"/>
        </w:rPr>
        <w:tab/>
        <w:t>Biodiversity in reporting</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B</w:t>
      </w:r>
      <w:r w:rsidRPr="00B14636">
        <w:rPr>
          <w:rFonts w:cs="Times New Roman"/>
          <w:snapToGrid w:val="0"/>
          <w:kern w:val="22"/>
          <w:lang w:eastAsia="ja-JP" w:bidi="th-TH"/>
        </w:rPr>
        <w:t xml:space="preserve">iodiversity is not often explicitly addressed, and reported </w:t>
      </w:r>
      <w:r w:rsidRPr="007C09F7">
        <w:rPr>
          <w:rFonts w:cs="Times New Roman"/>
          <w:snapToGrid w:val="0"/>
          <w:kern w:val="22"/>
          <w:lang w:eastAsia="ja-JP" w:bidi="th-TH"/>
        </w:rPr>
        <w:t>on, in sustainability reports, and even when it is, t</w:t>
      </w:r>
      <w:r w:rsidRPr="00A47DD9">
        <w:rPr>
          <w:rFonts w:cs="Times New Roman"/>
          <w:snapToGrid w:val="0"/>
          <w:kern w:val="22"/>
          <w:lang w:eastAsia="ja-JP" w:bidi="th-TH"/>
        </w:rPr>
        <w:t xml:space="preserve">here appeared to be a lack of coherence and consistency across reports. One explanation may be that this is due to the complexity associated with the term and associated </w:t>
      </w:r>
      <w:r w:rsidRPr="00281B6E">
        <w:rPr>
          <w:rFonts w:cs="Times New Roman"/>
          <w:snapToGrid w:val="0"/>
          <w:kern w:val="22"/>
          <w:lang w:eastAsia="ja-JP" w:bidi="th-TH"/>
        </w:rPr>
        <w:t xml:space="preserve">misconceptions about the relevance of biodiversity for a company. There appears to be a lack of overall </w:t>
      </w:r>
      <w:r w:rsidRPr="000D1078">
        <w:rPr>
          <w:rFonts w:cs="Times New Roman"/>
          <w:snapToGrid w:val="0"/>
          <w:kern w:val="22"/>
          <w:lang w:eastAsia="ja-JP" w:bidi="th-TH"/>
        </w:rPr>
        <w:t xml:space="preserve">understanding of the potential links between </w:t>
      </w:r>
      <w:r w:rsidR="002E2E65" w:rsidRPr="000D1078">
        <w:rPr>
          <w:rFonts w:cs="Times New Roman"/>
          <w:snapToGrid w:val="0"/>
          <w:kern w:val="22"/>
          <w:lang w:eastAsia="ja-JP" w:bidi="th-TH"/>
        </w:rPr>
        <w:t xml:space="preserve">biodiversity and </w:t>
      </w:r>
      <w:r w:rsidRPr="000D1078">
        <w:rPr>
          <w:rFonts w:cs="Times New Roman"/>
          <w:snapToGrid w:val="0"/>
          <w:kern w:val="22"/>
          <w:lang w:eastAsia="ja-JP" w:bidi="th-TH"/>
        </w:rPr>
        <w:t>business risks and opportunities.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 xml:space="preserve">In particular, in assessing biodiversity as a material issue, while 40 out of 100 companies refer to biodiversity as a material issue, only 15 rate it as a “high” material issue. Compared with other issues, it is ranked as of relatively low relevance to companies and external stakeholders. For example, one company, an overall leader in integrating sustainability into its entire business strategy and operations, does not refer to biodiversity as a material issue </w:t>
      </w:r>
      <w:r w:rsidR="00D772EB">
        <w:rPr>
          <w:rFonts w:cs="Times New Roman"/>
          <w:snapToGrid w:val="0"/>
          <w:kern w:val="22"/>
          <w:lang w:eastAsia="ja-JP" w:bidi="th-TH"/>
        </w:rPr>
        <w:t>but</w:t>
      </w:r>
      <w:r w:rsidR="00D772EB" w:rsidRPr="000D1078">
        <w:rPr>
          <w:rFonts w:cs="Times New Roman"/>
          <w:snapToGrid w:val="0"/>
          <w:kern w:val="22"/>
          <w:lang w:eastAsia="ja-JP" w:bidi="th-TH"/>
        </w:rPr>
        <w:t xml:space="preserve"> </w:t>
      </w:r>
      <w:r w:rsidRPr="000D1078">
        <w:rPr>
          <w:rFonts w:cs="Times New Roman"/>
          <w:snapToGrid w:val="0"/>
          <w:kern w:val="22"/>
          <w:lang w:eastAsia="ja-JP" w:bidi="th-TH"/>
        </w:rPr>
        <w:t xml:space="preserve">has a statement on why biodiversity matters along with several related policies and commitments; moreover, it ranks deforestation, agricultural sourcing and water as top material issues. Similarly, some companies do not refer to biodiversity but do refer to </w:t>
      </w:r>
      <w:r w:rsidR="00BF6AF7">
        <w:rPr>
          <w:rFonts w:cs="Times New Roman"/>
          <w:snapToGrid w:val="0"/>
          <w:kern w:val="22"/>
          <w:lang w:eastAsia="ja-JP" w:bidi="th-TH"/>
        </w:rPr>
        <w:t>“</w:t>
      </w:r>
      <w:r w:rsidRPr="000D1078">
        <w:rPr>
          <w:rFonts w:cs="Times New Roman"/>
          <w:snapToGrid w:val="0"/>
          <w:kern w:val="22"/>
          <w:lang w:eastAsia="ja-JP" w:bidi="th-TH"/>
        </w:rPr>
        <w:t>natural ecosystems</w:t>
      </w:r>
      <w:r w:rsidR="00BF6AF7">
        <w:rPr>
          <w:rFonts w:cs="Times New Roman"/>
          <w:snapToGrid w:val="0"/>
          <w:kern w:val="22"/>
          <w:lang w:eastAsia="ja-JP" w:bidi="th-TH"/>
        </w:rPr>
        <w:t>”</w:t>
      </w:r>
      <w:r w:rsidRPr="000D1078">
        <w:rPr>
          <w:rFonts w:cs="Times New Roman"/>
          <w:snapToGrid w:val="0"/>
          <w:kern w:val="22"/>
          <w:lang w:eastAsia="ja-JP" w:bidi="th-TH"/>
        </w:rPr>
        <w:t xml:space="preserve"> or just </w:t>
      </w:r>
      <w:r w:rsidR="00BF6AF7">
        <w:rPr>
          <w:rFonts w:cs="Times New Roman"/>
          <w:snapToGrid w:val="0"/>
          <w:kern w:val="22"/>
          <w:lang w:eastAsia="ja-JP" w:bidi="th-TH"/>
        </w:rPr>
        <w:t>“</w:t>
      </w:r>
      <w:r w:rsidRPr="000D1078">
        <w:rPr>
          <w:rFonts w:cs="Times New Roman"/>
          <w:snapToGrid w:val="0"/>
          <w:kern w:val="22"/>
          <w:lang w:eastAsia="ja-JP" w:bidi="th-TH"/>
        </w:rPr>
        <w:t>ecosystems</w:t>
      </w:r>
      <w:r w:rsidR="00BF6AF7">
        <w:rPr>
          <w:rFonts w:cs="Times New Roman"/>
          <w:snapToGrid w:val="0"/>
          <w:kern w:val="22"/>
          <w:lang w:eastAsia="ja-JP" w:bidi="th-TH"/>
        </w:rPr>
        <w:t>”</w:t>
      </w:r>
      <w:r w:rsidRPr="000D1078">
        <w:rPr>
          <w:rFonts w:cs="Times New Roman"/>
          <w:snapToGrid w:val="0"/>
          <w:kern w:val="22"/>
          <w:lang w:eastAsia="ja-JP" w:bidi="th-TH"/>
        </w:rPr>
        <w:t xml:space="preserve">. There is apparently a frequent lack of understanding that biodiversity underpins ecosystem functioning and the provision of ecosystem services. The resulting inconsistency of terms used prevents effective data comparison across companies and </w:t>
      </w:r>
      <w:r w:rsidR="00BF5828">
        <w:rPr>
          <w:rFonts w:cs="Times New Roman"/>
          <w:snapToGrid w:val="0"/>
          <w:kern w:val="22"/>
          <w:lang w:eastAsia="ja-JP" w:bidi="th-TH"/>
        </w:rPr>
        <w:t>the derivation of</w:t>
      </w:r>
      <w:r w:rsidR="00BF5828" w:rsidRPr="000D1078">
        <w:rPr>
          <w:rFonts w:cs="Times New Roman"/>
          <w:snapToGrid w:val="0"/>
          <w:kern w:val="22"/>
          <w:lang w:eastAsia="ja-JP" w:bidi="th-TH"/>
        </w:rPr>
        <w:t xml:space="preserve"> </w:t>
      </w:r>
      <w:r w:rsidRPr="000D1078">
        <w:rPr>
          <w:rFonts w:cs="Times New Roman"/>
          <w:snapToGrid w:val="0"/>
          <w:kern w:val="22"/>
          <w:lang w:eastAsia="ja-JP" w:bidi="th-TH"/>
        </w:rPr>
        <w:t>associated policy recommendations.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 xml:space="preserve">An additional challenge is that biodiversity impacts and dependencies vary among companies and sectors, making comparisons difficult. Biodiversity as a concept is difficult to clearly measure compared with, for example, </w:t>
      </w:r>
      <w:r w:rsidR="00BB515D" w:rsidRPr="000D1078">
        <w:rPr>
          <w:rFonts w:cs="Times New Roman"/>
          <w:snapToGrid w:val="0"/>
          <w:kern w:val="22"/>
          <w:lang w:eastAsia="ja-JP" w:bidi="th-TH"/>
        </w:rPr>
        <w:t xml:space="preserve">greenhouse gas </w:t>
      </w:r>
      <w:r w:rsidRPr="000D1078">
        <w:rPr>
          <w:rFonts w:cs="Times New Roman"/>
          <w:snapToGrid w:val="0"/>
          <w:kern w:val="22"/>
          <w:lang w:eastAsia="ja-JP" w:bidi="th-TH"/>
        </w:rPr>
        <w:t>emissions. The research shows that many companies measure and report on land use and water use, thus referring to important drivers of biodiversity loss</w:t>
      </w:r>
      <w:r w:rsidR="00D772EB">
        <w:rPr>
          <w:rFonts w:cs="Times New Roman"/>
          <w:snapToGrid w:val="0"/>
          <w:kern w:val="22"/>
          <w:lang w:eastAsia="ja-JP" w:bidi="th-TH"/>
        </w:rPr>
        <w:t>;</w:t>
      </w:r>
      <w:r w:rsidRPr="000D1078">
        <w:rPr>
          <w:rFonts w:cs="Times New Roman"/>
          <w:snapToGrid w:val="0"/>
          <w:kern w:val="22"/>
          <w:lang w:eastAsia="ja-JP" w:bidi="th-TH"/>
        </w:rPr>
        <w:t xml:space="preserve"> yet</w:t>
      </w:r>
      <w:r w:rsidR="00D772EB">
        <w:rPr>
          <w:rFonts w:cs="Times New Roman"/>
          <w:snapToGrid w:val="0"/>
          <w:kern w:val="22"/>
          <w:lang w:eastAsia="ja-JP" w:bidi="th-TH"/>
        </w:rPr>
        <w:t>, they</w:t>
      </w:r>
      <w:r w:rsidRPr="000D1078">
        <w:rPr>
          <w:rFonts w:cs="Times New Roman"/>
          <w:snapToGrid w:val="0"/>
          <w:kern w:val="22"/>
          <w:lang w:eastAsia="ja-JP" w:bidi="th-TH"/>
        </w:rPr>
        <w:t xml:space="preserve"> do not make the potentially important link with biodiversity.</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eastAsia="ja-JP" w:bidi="th-TH"/>
        </w:rPr>
      </w:pPr>
      <w:r w:rsidRPr="00060510">
        <w:rPr>
          <w:snapToGrid w:val="0"/>
          <w:kern w:val="22"/>
          <w:lang w:eastAsia="ja-JP" w:bidi="th-TH"/>
        </w:rPr>
        <w:t>B.</w:t>
      </w:r>
      <w:r w:rsidRPr="00060510">
        <w:rPr>
          <w:snapToGrid w:val="0"/>
          <w:kern w:val="22"/>
          <w:lang w:eastAsia="ja-JP" w:bidi="th-TH"/>
        </w:rPr>
        <w:tab/>
        <w:t xml:space="preserve">Reporting </w:t>
      </w:r>
      <w:r w:rsidR="00BB515D" w:rsidRPr="00060510">
        <w:rPr>
          <w:snapToGrid w:val="0"/>
          <w:kern w:val="22"/>
          <w:lang w:eastAsia="ja-JP" w:bidi="th-TH"/>
        </w:rPr>
        <w:t>t</w:t>
      </w:r>
      <w:r w:rsidRPr="00060510">
        <w:rPr>
          <w:snapToGrid w:val="0"/>
          <w:kern w:val="22"/>
          <w:lang w:eastAsia="ja-JP" w:bidi="th-TH"/>
        </w:rPr>
        <w:t>rends</w:t>
      </w:r>
    </w:p>
    <w:p w:rsidR="00070D30" w:rsidRPr="00060510" w:rsidRDefault="008041A9" w:rsidP="00060510">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eastAsia="ja-JP" w:bidi="th-TH"/>
        </w:rPr>
      </w:pPr>
      <w:r w:rsidRPr="00060510">
        <w:rPr>
          <w:snapToGrid w:val="0"/>
          <w:kern w:val="22"/>
          <w:lang w:eastAsia="ja-JP" w:bidi="th-TH"/>
        </w:rPr>
        <w:t>1.</w:t>
      </w:r>
      <w:r w:rsidRPr="00060510">
        <w:rPr>
          <w:snapToGrid w:val="0"/>
          <w:kern w:val="22"/>
          <w:lang w:eastAsia="ja-JP" w:bidi="th-TH"/>
        </w:rPr>
        <w:tab/>
      </w:r>
      <w:r w:rsidR="00070D30" w:rsidRPr="00060510">
        <w:rPr>
          <w:snapToGrid w:val="0"/>
          <w:kern w:val="22"/>
          <w:lang w:eastAsia="ja-JP" w:bidi="th-TH"/>
        </w:rPr>
        <w:t>Alignment of reporting frameworks</w:t>
      </w:r>
    </w:p>
    <w:p w:rsidR="00070D30" w:rsidRPr="00BB3DA1"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BB3DA1">
        <w:rPr>
          <w:rFonts w:cs="Times New Roman"/>
          <w:snapToGrid w:val="0"/>
          <w:kern w:val="22"/>
          <w:lang w:eastAsia="ja-JP" w:bidi="th-TH"/>
        </w:rPr>
        <w:t xml:space="preserve">Existing reporting mechanisms, such as those referenced in the section above, are generally not aligned and, as a result, the reports cannot be easily compared. Not all refer to biodiversity and they target different audiences: for instance, SASB is for companies </w:t>
      </w:r>
      <w:r w:rsidR="00557E1B" w:rsidRPr="00BB3DA1">
        <w:rPr>
          <w:rFonts w:cs="Times New Roman"/>
          <w:snapToGrid w:val="0"/>
          <w:kern w:val="22"/>
          <w:lang w:eastAsia="ja-JP" w:bidi="th-TH"/>
        </w:rPr>
        <w:t>based in the United States</w:t>
      </w:r>
      <w:r w:rsidR="00817AE1">
        <w:rPr>
          <w:rFonts w:cs="Times New Roman"/>
          <w:snapToGrid w:val="0"/>
          <w:kern w:val="22"/>
          <w:lang w:eastAsia="ja-JP" w:bidi="th-TH"/>
        </w:rPr>
        <w:t>,</w:t>
      </w:r>
      <w:r w:rsidR="00557E1B" w:rsidRPr="00BB3DA1">
        <w:rPr>
          <w:rFonts w:cs="Times New Roman"/>
          <w:snapToGrid w:val="0"/>
          <w:kern w:val="22"/>
          <w:lang w:eastAsia="ja-JP" w:bidi="th-TH"/>
        </w:rPr>
        <w:t xml:space="preserve"> </w:t>
      </w:r>
      <w:r w:rsidRPr="00BB3DA1">
        <w:rPr>
          <w:rFonts w:cs="Times New Roman"/>
          <w:snapToGrid w:val="0"/>
          <w:kern w:val="22"/>
          <w:lang w:eastAsia="ja-JP" w:bidi="th-TH"/>
        </w:rPr>
        <w:t>and the data collected by CDP is for investors. This lack of harmonization is prevalent throughout all sustainability reporting, and not just related to biodiversity.</w:t>
      </w:r>
    </w:p>
    <w:p w:rsidR="00070D30" w:rsidRPr="00C05106"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sidRPr="00C05106">
        <w:rPr>
          <w:snapToGrid w:val="0"/>
          <w:kern w:val="22"/>
          <w:lang w:eastAsia="ja-JP" w:bidi="th-TH"/>
        </w:rPr>
        <w:t xml:space="preserve">Associated with this, </w:t>
      </w:r>
      <w:r w:rsidRPr="00060510">
        <w:rPr>
          <w:rFonts w:cs="Times New Roman"/>
          <w:snapToGrid w:val="0"/>
          <w:kern w:val="22"/>
          <w:lang w:eastAsia="ja-JP" w:bidi="th-TH"/>
        </w:rPr>
        <w:t>reporting</w:t>
      </w:r>
      <w:r w:rsidRPr="00C05106">
        <w:rPr>
          <w:snapToGrid w:val="0"/>
          <w:kern w:val="22"/>
          <w:lang w:eastAsia="ja-JP" w:bidi="th-TH"/>
        </w:rPr>
        <w:t xml:space="preserve"> fatigue is seemingly a major challenge. Given the various frameworks and associated reporting channels, there is a lack of clarity on what and with whom to report and a need to harmonize and develop shared standard metrics. For instance, the Natural Capital Toolkit</w:t>
      </w:r>
      <w:r w:rsidRPr="00C05106">
        <w:rPr>
          <w:rStyle w:val="FootnoteReference"/>
          <w:snapToGrid w:val="0"/>
          <w:kern w:val="22"/>
          <w:lang w:eastAsia="ja-JP" w:bidi="th-TH"/>
        </w:rPr>
        <w:footnoteReference w:id="14"/>
      </w:r>
      <w:r w:rsidRPr="00C05106">
        <w:rPr>
          <w:snapToGrid w:val="0"/>
          <w:kern w:val="22"/>
          <w:lang w:eastAsia="ja-JP" w:bidi="th-TH"/>
        </w:rPr>
        <w:t xml:space="preserve"> and the Reporting Exchange</w:t>
      </w:r>
      <w:r w:rsidR="00986510">
        <w:rPr>
          <w:snapToGrid w:val="0"/>
          <w:kern w:val="22"/>
          <w:lang w:eastAsia="ja-JP" w:bidi="th-TH"/>
        </w:rPr>
        <w:t xml:space="preserve"> of the World Business Council for Sustainable Development</w:t>
      </w:r>
      <w:r w:rsidRPr="00C05106">
        <w:rPr>
          <w:rStyle w:val="FootnoteReference"/>
          <w:snapToGrid w:val="0"/>
          <w:kern w:val="22"/>
          <w:lang w:eastAsia="ja-JP" w:bidi="th-TH"/>
        </w:rPr>
        <w:footnoteReference w:id="15"/>
      </w:r>
      <w:r w:rsidRPr="00C05106">
        <w:rPr>
          <w:snapToGrid w:val="0"/>
          <w:kern w:val="22"/>
          <w:lang w:eastAsia="ja-JP" w:bidi="th-TH"/>
        </w:rPr>
        <w:t xml:space="preserve"> list over 40 available measurement tools related to biodiversity and ecosystems alone. </w:t>
      </w:r>
      <w:r w:rsidR="00927317">
        <w:rPr>
          <w:snapToGrid w:val="0"/>
          <w:kern w:val="22"/>
          <w:lang w:eastAsia="ja-JP" w:bidi="th-TH"/>
        </w:rPr>
        <w:t>M</w:t>
      </w:r>
      <w:r w:rsidRPr="00C05106">
        <w:rPr>
          <w:snapToGrid w:val="0"/>
          <w:kern w:val="22"/>
          <w:lang w:eastAsia="ja-JP" w:bidi="th-TH"/>
        </w:rPr>
        <w:t xml:space="preserve">ore schemes are being introduced: </w:t>
      </w:r>
      <w:r w:rsidR="00927317">
        <w:rPr>
          <w:snapToGrid w:val="0"/>
          <w:kern w:val="22"/>
          <w:lang w:eastAsia="ja-JP" w:bidi="th-TH"/>
        </w:rPr>
        <w:t>a</w:t>
      </w:r>
      <w:r w:rsidRPr="00C05106">
        <w:rPr>
          <w:snapToGrid w:val="0"/>
          <w:kern w:val="22"/>
          <w:lang w:eastAsia="ja-JP" w:bidi="th-TH"/>
        </w:rPr>
        <w:t xml:space="preserve">ccording to a recent joint report from KPMG, GRI, </w:t>
      </w:r>
      <w:r w:rsidR="00BB515D" w:rsidRPr="00C05106">
        <w:rPr>
          <w:snapToGrid w:val="0"/>
          <w:kern w:val="22"/>
          <w:lang w:eastAsia="ja-JP" w:bidi="th-TH"/>
        </w:rPr>
        <w:t xml:space="preserve">the </w:t>
      </w:r>
      <w:r w:rsidRPr="00C05106">
        <w:rPr>
          <w:snapToGrid w:val="0"/>
          <w:kern w:val="22"/>
          <w:lang w:eastAsia="ja-JP" w:bidi="th-TH"/>
        </w:rPr>
        <w:t>U</w:t>
      </w:r>
      <w:r w:rsidR="00BB515D" w:rsidRPr="00C05106">
        <w:rPr>
          <w:snapToGrid w:val="0"/>
          <w:kern w:val="22"/>
          <w:lang w:eastAsia="ja-JP" w:bidi="th-TH"/>
        </w:rPr>
        <w:t xml:space="preserve">nited </w:t>
      </w:r>
      <w:r w:rsidRPr="00C05106">
        <w:rPr>
          <w:snapToGrid w:val="0"/>
          <w:kern w:val="22"/>
          <w:lang w:eastAsia="ja-JP" w:bidi="th-TH"/>
        </w:rPr>
        <w:t>N</w:t>
      </w:r>
      <w:r w:rsidR="00BB515D" w:rsidRPr="00C05106">
        <w:rPr>
          <w:snapToGrid w:val="0"/>
          <w:kern w:val="22"/>
          <w:lang w:eastAsia="ja-JP" w:bidi="th-TH"/>
        </w:rPr>
        <w:t xml:space="preserve">ations </w:t>
      </w:r>
      <w:r w:rsidRPr="00C05106">
        <w:rPr>
          <w:snapToGrid w:val="0"/>
          <w:kern w:val="22"/>
          <w:lang w:eastAsia="ja-JP" w:bidi="th-TH"/>
        </w:rPr>
        <w:t>E</w:t>
      </w:r>
      <w:r w:rsidR="00BB515D" w:rsidRPr="00C05106">
        <w:rPr>
          <w:snapToGrid w:val="0"/>
          <w:kern w:val="22"/>
          <w:lang w:eastAsia="ja-JP" w:bidi="th-TH"/>
        </w:rPr>
        <w:t xml:space="preserve">nvironment </w:t>
      </w:r>
      <w:r w:rsidRPr="00C05106">
        <w:rPr>
          <w:snapToGrid w:val="0"/>
          <w:kern w:val="22"/>
          <w:lang w:eastAsia="ja-JP" w:bidi="th-TH"/>
        </w:rPr>
        <w:lastRenderedPageBreak/>
        <w:t>P</w:t>
      </w:r>
      <w:r w:rsidR="00BB515D" w:rsidRPr="00C05106">
        <w:rPr>
          <w:snapToGrid w:val="0"/>
          <w:kern w:val="22"/>
          <w:lang w:eastAsia="ja-JP" w:bidi="th-TH"/>
        </w:rPr>
        <w:t>rogramme</w:t>
      </w:r>
      <w:r w:rsidRPr="00C05106">
        <w:rPr>
          <w:snapToGrid w:val="0"/>
          <w:kern w:val="22"/>
          <w:lang w:eastAsia="ja-JP" w:bidi="th-TH"/>
        </w:rPr>
        <w:t xml:space="preserve"> and the </w:t>
      </w:r>
      <w:r w:rsidRPr="00060510">
        <w:rPr>
          <w:snapToGrid w:val="0"/>
          <w:color w:val="333333"/>
          <w:kern w:val="22"/>
          <w:shd w:val="clear" w:color="auto" w:fill="FFFFFF"/>
        </w:rPr>
        <w:t>Centre for Corporate Governance in Africa</w:t>
      </w:r>
      <w:r w:rsidRPr="00C05106">
        <w:rPr>
          <w:snapToGrid w:val="0"/>
          <w:kern w:val="22"/>
          <w:lang w:eastAsia="ja-JP" w:bidi="th-TH"/>
        </w:rPr>
        <w:t>,</w:t>
      </w:r>
      <w:r w:rsidRPr="00C05106">
        <w:rPr>
          <w:rStyle w:val="FootnoteReference"/>
          <w:snapToGrid w:val="0"/>
          <w:kern w:val="22"/>
          <w:lang w:eastAsia="ja-JP" w:bidi="th-TH"/>
        </w:rPr>
        <w:footnoteReference w:id="16"/>
      </w:r>
      <w:r w:rsidRPr="00C05106">
        <w:rPr>
          <w:snapToGrid w:val="0"/>
          <w:kern w:val="22"/>
          <w:lang w:eastAsia="ja-JP" w:bidi="th-TH"/>
        </w:rPr>
        <w:t xml:space="preserve"> there were almost 400 reporting instruments worldwide in 64 countries in 2016, up from 180 instruments in 44 countries in 2013. While many new reporting requirements result from government regulation, the guidance typically associated with such regulation may also help address the need for harmonization, such as the recent </w:t>
      </w:r>
      <w:r w:rsidR="00C32D32">
        <w:rPr>
          <w:snapToGrid w:val="0"/>
          <w:kern w:val="22"/>
          <w:lang w:eastAsia="ja-JP" w:bidi="th-TH"/>
        </w:rPr>
        <w:t>d</w:t>
      </w:r>
      <w:r w:rsidRPr="00C05106">
        <w:rPr>
          <w:snapToGrid w:val="0"/>
          <w:kern w:val="22"/>
          <w:lang w:eastAsia="ja-JP" w:bidi="th-TH"/>
        </w:rPr>
        <w:t xml:space="preserve">irective of the European Union on </w:t>
      </w:r>
      <w:r w:rsidR="00C32D32">
        <w:rPr>
          <w:snapToGrid w:val="0"/>
          <w:kern w:val="22"/>
          <w:lang w:eastAsia="ja-JP" w:bidi="th-TH"/>
        </w:rPr>
        <w:t>n</w:t>
      </w:r>
      <w:r w:rsidRPr="00C05106">
        <w:rPr>
          <w:snapToGrid w:val="0"/>
          <w:kern w:val="22"/>
          <w:lang w:eastAsia="ja-JP" w:bidi="th-TH"/>
        </w:rPr>
        <w:t>on-</w:t>
      </w:r>
      <w:r w:rsidR="00C32D32">
        <w:rPr>
          <w:snapToGrid w:val="0"/>
          <w:kern w:val="22"/>
          <w:lang w:eastAsia="ja-JP" w:bidi="th-TH"/>
        </w:rPr>
        <w:t>f</w:t>
      </w:r>
      <w:r w:rsidRPr="00C05106">
        <w:rPr>
          <w:snapToGrid w:val="0"/>
          <w:kern w:val="22"/>
          <w:lang w:eastAsia="ja-JP" w:bidi="th-TH"/>
        </w:rPr>
        <w:t xml:space="preserve">inancial </w:t>
      </w:r>
      <w:r w:rsidR="00C32D32">
        <w:rPr>
          <w:snapToGrid w:val="0"/>
          <w:kern w:val="22"/>
          <w:lang w:eastAsia="ja-JP" w:bidi="th-TH"/>
        </w:rPr>
        <w:t>r</w:t>
      </w:r>
      <w:r w:rsidRPr="00C05106">
        <w:rPr>
          <w:snapToGrid w:val="0"/>
          <w:kern w:val="22"/>
          <w:lang w:eastAsia="ja-JP" w:bidi="th-TH"/>
        </w:rPr>
        <w:t>eporting.</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 xml:space="preserve">Stock exchanges are also playing an increasingly important role in biodiversity disclosure. Eleven exchanges incorporate biodiversity-related information in their </w:t>
      </w:r>
      <w:r w:rsidR="00F0458D">
        <w:rPr>
          <w:rFonts w:cs="Times New Roman"/>
          <w:snapToGrid w:val="0"/>
          <w:kern w:val="22"/>
          <w:lang w:eastAsia="ja-JP" w:bidi="th-TH"/>
        </w:rPr>
        <w:t>e</w:t>
      </w:r>
      <w:r w:rsidRPr="000D1078">
        <w:rPr>
          <w:rFonts w:cs="Times New Roman"/>
          <w:snapToGrid w:val="0"/>
          <w:kern w:val="22"/>
          <w:lang w:eastAsia="ja-JP" w:bidi="th-TH"/>
        </w:rPr>
        <w:t>nvironmental</w:t>
      </w:r>
      <w:r w:rsidR="00F0458D">
        <w:rPr>
          <w:rFonts w:cs="Times New Roman"/>
          <w:snapToGrid w:val="0"/>
          <w:kern w:val="22"/>
          <w:lang w:eastAsia="ja-JP" w:bidi="th-TH"/>
        </w:rPr>
        <w:t>,</w:t>
      </w:r>
      <w:r w:rsidRPr="000D1078">
        <w:rPr>
          <w:rFonts w:cs="Times New Roman"/>
          <w:snapToGrid w:val="0"/>
          <w:kern w:val="22"/>
          <w:lang w:eastAsia="ja-JP" w:bidi="th-TH"/>
        </w:rPr>
        <w:t xml:space="preserve"> </w:t>
      </w:r>
      <w:r w:rsidR="00F0458D">
        <w:rPr>
          <w:rFonts w:cs="Times New Roman"/>
          <w:snapToGrid w:val="0"/>
          <w:kern w:val="22"/>
          <w:lang w:eastAsia="ja-JP" w:bidi="th-TH"/>
        </w:rPr>
        <w:t>s</w:t>
      </w:r>
      <w:r w:rsidRPr="000D1078">
        <w:rPr>
          <w:rFonts w:cs="Times New Roman"/>
          <w:snapToGrid w:val="0"/>
          <w:kern w:val="22"/>
          <w:lang w:eastAsia="ja-JP" w:bidi="th-TH"/>
        </w:rPr>
        <w:t xml:space="preserve">ocial and </w:t>
      </w:r>
      <w:r w:rsidR="00F0458D">
        <w:rPr>
          <w:rFonts w:cs="Times New Roman"/>
          <w:snapToGrid w:val="0"/>
          <w:kern w:val="22"/>
          <w:lang w:eastAsia="ja-JP" w:bidi="th-TH"/>
        </w:rPr>
        <w:t>g</w:t>
      </w:r>
      <w:r w:rsidRPr="000D1078">
        <w:rPr>
          <w:rFonts w:cs="Times New Roman"/>
          <w:snapToGrid w:val="0"/>
          <w:kern w:val="22"/>
          <w:lang w:eastAsia="ja-JP" w:bidi="th-TH"/>
        </w:rPr>
        <w:t>overnance (ESG) reporting rules. A further 23 stock exchanges have committed to introducing new ESG reporting guidance, but it is not yet known which will include requirements associated with biodiversity.</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 xml:space="preserve">The Corporate Reporting Dialogue </w:t>
      </w:r>
      <w:r w:rsidR="00B7269C">
        <w:rPr>
          <w:rFonts w:cs="Times New Roman"/>
          <w:snapToGrid w:val="0"/>
          <w:kern w:val="22"/>
          <w:lang w:eastAsia="ja-JP" w:bidi="th-TH"/>
        </w:rPr>
        <w:t>was</w:t>
      </w:r>
      <w:r w:rsidRPr="000D1078">
        <w:rPr>
          <w:rFonts w:cs="Times New Roman"/>
          <w:snapToGrid w:val="0"/>
          <w:kern w:val="22"/>
          <w:lang w:eastAsia="ja-JP" w:bidi="th-TH"/>
        </w:rPr>
        <w:t xml:space="preserve"> recently created in response to market calls for greater coherence and consistency among reporting standards, frameworks and schemes. This might help provide more clarity for business going forward.</w:t>
      </w:r>
      <w:r w:rsidRPr="000D1078">
        <w:rPr>
          <w:rStyle w:val="FootnoteReference"/>
          <w:snapToGrid w:val="0"/>
          <w:kern w:val="22"/>
          <w:lang w:eastAsia="ja-JP" w:bidi="th-TH"/>
        </w:rPr>
        <w:footnoteReference w:id="17"/>
      </w:r>
    </w:p>
    <w:p w:rsidR="00070D30" w:rsidRPr="00060510" w:rsidRDefault="00070D30" w:rsidP="00060510">
      <w:pPr>
        <w:pStyle w:val="Heading3"/>
        <w:numPr>
          <w:ilvl w:val="0"/>
          <w:numId w:val="16"/>
        </w:numPr>
        <w:suppressLineNumbers/>
        <w:suppressAutoHyphens/>
        <w:kinsoku w:val="0"/>
        <w:overflowPunct w:val="0"/>
        <w:autoSpaceDE w:val="0"/>
        <w:autoSpaceDN w:val="0"/>
        <w:adjustRightInd w:val="0"/>
        <w:snapToGrid w:val="0"/>
        <w:rPr>
          <w:snapToGrid w:val="0"/>
          <w:kern w:val="22"/>
          <w:lang w:eastAsia="ja-JP" w:bidi="th-TH"/>
        </w:rPr>
      </w:pPr>
      <w:r w:rsidRPr="00060510">
        <w:rPr>
          <w:snapToGrid w:val="0"/>
          <w:kern w:val="22"/>
          <w:lang w:eastAsia="ja-JP" w:bidi="th-TH"/>
        </w:rPr>
        <w:t>Reference to the Sustainable Development Goals in reporting</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sidRPr="00060510">
        <w:rPr>
          <w:snapToGrid w:val="0"/>
          <w:kern w:val="22"/>
          <w:lang w:eastAsia="ja-JP" w:bidi="th-TH"/>
        </w:rPr>
        <w:t>Another important trend is the increasing reference made in companies’ sustainability reports to the 2030 Agenda for Sustainable Development</w:t>
      </w:r>
      <w:r w:rsidR="002A3114">
        <w:rPr>
          <w:rStyle w:val="FootnoteReference"/>
          <w:snapToGrid w:val="0"/>
          <w:kern w:val="22"/>
          <w:lang w:eastAsia="ja-JP" w:bidi="th-TH"/>
        </w:rPr>
        <w:footnoteReference w:id="18"/>
      </w:r>
      <w:r w:rsidRPr="00060510">
        <w:rPr>
          <w:snapToGrid w:val="0"/>
          <w:kern w:val="22"/>
          <w:lang w:eastAsia="ja-JP" w:bidi="th-TH"/>
        </w:rPr>
        <w:t xml:space="preserve"> and the Sustainable Development Goals. Many companies are now using the </w:t>
      </w:r>
      <w:r w:rsidR="008041A9" w:rsidRPr="00060510">
        <w:rPr>
          <w:snapToGrid w:val="0"/>
          <w:kern w:val="22"/>
          <w:lang w:eastAsia="ja-JP" w:bidi="th-TH"/>
        </w:rPr>
        <w:t>Sustainable Development Goals</w:t>
      </w:r>
      <w:r w:rsidRPr="00060510">
        <w:rPr>
          <w:snapToGrid w:val="0"/>
          <w:kern w:val="22"/>
          <w:lang w:eastAsia="ja-JP" w:bidi="th-TH"/>
        </w:rPr>
        <w:t xml:space="preserve"> as a strategic planning tool</w:t>
      </w:r>
      <w:r w:rsidR="00E7683A">
        <w:rPr>
          <w:snapToGrid w:val="0"/>
          <w:kern w:val="22"/>
          <w:lang w:eastAsia="ja-JP" w:bidi="th-TH"/>
        </w:rPr>
        <w:t>,</w:t>
      </w:r>
      <w:r w:rsidRPr="00060510">
        <w:rPr>
          <w:snapToGrid w:val="0"/>
          <w:kern w:val="22"/>
          <w:lang w:eastAsia="ja-JP" w:bidi="th-TH"/>
        </w:rPr>
        <w:t xml:space="preserve"> and investors are looking </w:t>
      </w:r>
      <w:r w:rsidR="0003516D">
        <w:rPr>
          <w:snapToGrid w:val="0"/>
          <w:kern w:val="22"/>
          <w:lang w:eastAsia="ja-JP" w:bidi="th-TH"/>
        </w:rPr>
        <w:t>at</w:t>
      </w:r>
      <w:r w:rsidR="0003516D" w:rsidRPr="00060510">
        <w:rPr>
          <w:snapToGrid w:val="0"/>
          <w:kern w:val="22"/>
          <w:lang w:eastAsia="ja-JP" w:bidi="th-TH"/>
        </w:rPr>
        <w:t xml:space="preserve"> </w:t>
      </w:r>
      <w:r w:rsidRPr="00060510">
        <w:rPr>
          <w:snapToGrid w:val="0"/>
          <w:kern w:val="22"/>
          <w:lang w:eastAsia="ja-JP" w:bidi="th-TH"/>
        </w:rPr>
        <w:t xml:space="preserve">a commitment to the </w:t>
      </w:r>
      <w:r w:rsidR="00162409">
        <w:rPr>
          <w:snapToGrid w:val="0"/>
          <w:kern w:val="22"/>
          <w:lang w:eastAsia="ja-JP" w:bidi="th-TH"/>
        </w:rPr>
        <w:t>Goals</w:t>
      </w:r>
      <w:r w:rsidR="00162409" w:rsidRPr="00060510">
        <w:rPr>
          <w:snapToGrid w:val="0"/>
          <w:kern w:val="22"/>
          <w:lang w:eastAsia="ja-JP" w:bidi="th-TH"/>
        </w:rPr>
        <w:t xml:space="preserve"> </w:t>
      </w:r>
      <w:r w:rsidRPr="00060510">
        <w:rPr>
          <w:snapToGrid w:val="0"/>
          <w:kern w:val="22"/>
          <w:lang w:eastAsia="ja-JP" w:bidi="th-TH"/>
        </w:rPr>
        <w:t xml:space="preserve">as a risk criterion. According to a </w:t>
      </w:r>
      <w:r w:rsidR="00162409">
        <w:rPr>
          <w:snapToGrid w:val="0"/>
          <w:kern w:val="22"/>
          <w:lang w:eastAsia="ja-JP" w:bidi="th-TH"/>
        </w:rPr>
        <w:t>KPMG</w:t>
      </w:r>
      <w:r w:rsidR="00162409" w:rsidRPr="00060510">
        <w:rPr>
          <w:snapToGrid w:val="0"/>
          <w:kern w:val="22"/>
          <w:lang w:eastAsia="ja-JP" w:bidi="th-TH"/>
        </w:rPr>
        <w:t xml:space="preserve"> </w:t>
      </w:r>
      <w:r w:rsidRPr="00060510">
        <w:rPr>
          <w:snapToGrid w:val="0"/>
          <w:kern w:val="22"/>
          <w:lang w:eastAsia="ja-JP" w:bidi="th-TH"/>
        </w:rPr>
        <w:t xml:space="preserve">survey, many companies already connect their corporate responsibility activities to the </w:t>
      </w:r>
      <w:r w:rsidR="0045179F" w:rsidRPr="00C93388">
        <w:rPr>
          <w:snapToGrid w:val="0"/>
          <w:kern w:val="22"/>
          <w:lang w:eastAsia="ja-JP" w:bidi="th-TH"/>
        </w:rPr>
        <w:t>Sustainable Development Goals</w:t>
      </w:r>
      <w:r w:rsidRPr="00060510">
        <w:rPr>
          <w:snapToGrid w:val="0"/>
          <w:kern w:val="22"/>
          <w:lang w:eastAsia="ja-JP" w:bidi="th-TH"/>
        </w:rPr>
        <w:t>, for example, 43</w:t>
      </w:r>
      <w:r w:rsidR="008041A9" w:rsidRPr="00060510">
        <w:rPr>
          <w:snapToGrid w:val="0"/>
          <w:kern w:val="22"/>
          <w:lang w:eastAsia="ja-JP" w:bidi="th-TH"/>
        </w:rPr>
        <w:t xml:space="preserve"> per cent</w:t>
      </w:r>
      <w:r w:rsidRPr="00060510">
        <w:rPr>
          <w:snapToGrid w:val="0"/>
          <w:kern w:val="22"/>
          <w:lang w:eastAsia="ja-JP" w:bidi="th-TH"/>
        </w:rPr>
        <w:t xml:space="preserve"> of the 250 largest companies by revenue already do this</w:t>
      </w:r>
      <w:r w:rsidR="002F0C08" w:rsidRPr="00060510">
        <w:rPr>
          <w:snapToGrid w:val="0"/>
          <w:kern w:val="22"/>
          <w:lang w:eastAsia="ja-JP" w:bidi="th-TH"/>
        </w:rPr>
        <w:t>.</w:t>
      </w:r>
      <w:r w:rsidRPr="000D1078">
        <w:rPr>
          <w:rStyle w:val="FootnoteReference"/>
          <w:snapToGrid w:val="0"/>
          <w:kern w:val="22"/>
          <w:lang w:eastAsia="ja-JP" w:bidi="th-TH"/>
        </w:rPr>
        <w:footnoteReference w:id="19"/>
      </w:r>
      <w:r w:rsidRPr="00060510">
        <w:rPr>
          <w:snapToGrid w:val="0"/>
          <w:kern w:val="22"/>
          <w:lang w:eastAsia="ja-JP" w:bidi="th-TH"/>
        </w:rPr>
        <w:t xml:space="preserve"> This trend has emerged quickly and suggests that the </w:t>
      </w:r>
      <w:r w:rsidR="00A3389C" w:rsidRPr="00C93388">
        <w:rPr>
          <w:snapToGrid w:val="0"/>
          <w:kern w:val="22"/>
          <w:lang w:eastAsia="ja-JP" w:bidi="th-TH"/>
        </w:rPr>
        <w:t>Sustainable Development Goals</w:t>
      </w:r>
      <w:r w:rsidRPr="00060510">
        <w:rPr>
          <w:snapToGrid w:val="0"/>
          <w:kern w:val="22"/>
          <w:lang w:eastAsia="ja-JP" w:bidi="th-TH"/>
        </w:rPr>
        <w:t xml:space="preserve"> will grow in importance and relevance to corporate responsibility more generally. However, similar to materiality as discussed above, companies are most likely report</w:t>
      </w:r>
      <w:r w:rsidR="008041A9" w:rsidRPr="00060510">
        <w:rPr>
          <w:snapToGrid w:val="0"/>
          <w:kern w:val="22"/>
          <w:lang w:eastAsia="ja-JP" w:bidi="th-TH"/>
        </w:rPr>
        <w:t>ing</w:t>
      </w:r>
      <w:r w:rsidRPr="00060510">
        <w:rPr>
          <w:snapToGrid w:val="0"/>
          <w:kern w:val="22"/>
          <w:lang w:eastAsia="ja-JP" w:bidi="th-TH"/>
        </w:rPr>
        <w:t xml:space="preserve"> on those </w:t>
      </w:r>
      <w:r w:rsidR="00A3389C">
        <w:rPr>
          <w:snapToGrid w:val="0"/>
          <w:kern w:val="22"/>
          <w:lang w:eastAsia="ja-JP" w:bidi="th-TH"/>
        </w:rPr>
        <w:t>Goals</w:t>
      </w:r>
      <w:r w:rsidR="00A3389C" w:rsidRPr="00060510">
        <w:rPr>
          <w:snapToGrid w:val="0"/>
          <w:kern w:val="22"/>
          <w:lang w:eastAsia="ja-JP" w:bidi="th-TH"/>
        </w:rPr>
        <w:t xml:space="preserve"> </w:t>
      </w:r>
      <w:r w:rsidRPr="00060510">
        <w:rPr>
          <w:snapToGrid w:val="0"/>
          <w:kern w:val="22"/>
          <w:lang w:eastAsia="ja-JP" w:bidi="th-TH"/>
        </w:rPr>
        <w:t>that are directly relevant to their business operations</w:t>
      </w:r>
      <w:r w:rsidR="000D5074">
        <w:rPr>
          <w:snapToGrid w:val="0"/>
          <w:kern w:val="22"/>
          <w:lang w:eastAsia="ja-JP" w:bidi="th-TH"/>
        </w:rPr>
        <w:t>,</w:t>
      </w:r>
      <w:r w:rsidRPr="00060510">
        <w:rPr>
          <w:snapToGrid w:val="0"/>
          <w:kern w:val="22"/>
          <w:lang w:eastAsia="ja-JP" w:bidi="th-TH"/>
        </w:rPr>
        <w:t xml:space="preserve"> and a recent report of </w:t>
      </w:r>
      <w:r w:rsidR="00162409">
        <w:rPr>
          <w:snapToGrid w:val="0"/>
          <w:kern w:val="22"/>
          <w:lang w:eastAsia="ja-JP" w:bidi="th-TH"/>
        </w:rPr>
        <w:t>PricewaterhouseCoopers</w:t>
      </w:r>
      <w:r w:rsidR="00162409" w:rsidRPr="00060510">
        <w:rPr>
          <w:snapToGrid w:val="0"/>
          <w:kern w:val="22"/>
          <w:lang w:eastAsia="ja-JP" w:bidi="th-TH"/>
        </w:rPr>
        <w:t xml:space="preserve"> </w:t>
      </w:r>
      <w:r w:rsidRPr="00060510">
        <w:rPr>
          <w:snapToGrid w:val="0"/>
          <w:kern w:val="22"/>
          <w:lang w:eastAsia="ja-JP" w:bidi="th-TH"/>
        </w:rPr>
        <w:t xml:space="preserve">found </w:t>
      </w:r>
      <w:r w:rsidR="00A3389C">
        <w:rPr>
          <w:snapToGrid w:val="0"/>
          <w:kern w:val="22"/>
          <w:lang w:eastAsia="ja-JP" w:bidi="th-TH"/>
        </w:rPr>
        <w:t>Goal</w:t>
      </w:r>
      <w:r w:rsidR="00A3389C" w:rsidRPr="00060510">
        <w:rPr>
          <w:snapToGrid w:val="0"/>
          <w:kern w:val="22"/>
          <w:lang w:eastAsia="ja-JP" w:bidi="th-TH"/>
        </w:rPr>
        <w:t xml:space="preserve"> </w:t>
      </w:r>
      <w:r w:rsidRPr="00060510">
        <w:rPr>
          <w:snapToGrid w:val="0"/>
          <w:kern w:val="22"/>
          <w:lang w:eastAsia="ja-JP" w:bidi="th-TH"/>
        </w:rPr>
        <w:t xml:space="preserve">14 (Life </w:t>
      </w:r>
      <w:r w:rsidR="00A3389C">
        <w:rPr>
          <w:snapToGrid w:val="0"/>
          <w:kern w:val="22"/>
          <w:lang w:eastAsia="ja-JP" w:bidi="th-TH"/>
        </w:rPr>
        <w:t>b</w:t>
      </w:r>
      <w:r w:rsidRPr="00060510">
        <w:rPr>
          <w:snapToGrid w:val="0"/>
          <w:kern w:val="22"/>
          <w:lang w:eastAsia="ja-JP" w:bidi="th-TH"/>
        </w:rPr>
        <w:t xml:space="preserve">elow </w:t>
      </w:r>
      <w:r w:rsidR="00A3389C">
        <w:rPr>
          <w:snapToGrid w:val="0"/>
          <w:kern w:val="22"/>
          <w:lang w:eastAsia="ja-JP" w:bidi="th-TH"/>
        </w:rPr>
        <w:t>s</w:t>
      </w:r>
      <w:r w:rsidRPr="00060510">
        <w:rPr>
          <w:snapToGrid w:val="0"/>
          <w:kern w:val="22"/>
          <w:lang w:eastAsia="ja-JP" w:bidi="th-TH"/>
        </w:rPr>
        <w:t xml:space="preserve">ea) and </w:t>
      </w:r>
      <w:r w:rsidR="00A3389C">
        <w:rPr>
          <w:snapToGrid w:val="0"/>
          <w:kern w:val="22"/>
          <w:lang w:eastAsia="ja-JP" w:bidi="th-TH"/>
        </w:rPr>
        <w:t>Goal</w:t>
      </w:r>
      <w:r w:rsidR="00A3389C" w:rsidRPr="00060510">
        <w:rPr>
          <w:snapToGrid w:val="0"/>
          <w:kern w:val="22"/>
          <w:lang w:eastAsia="ja-JP" w:bidi="th-TH"/>
        </w:rPr>
        <w:t xml:space="preserve"> </w:t>
      </w:r>
      <w:r w:rsidRPr="00060510">
        <w:rPr>
          <w:snapToGrid w:val="0"/>
          <w:kern w:val="22"/>
          <w:lang w:eastAsia="ja-JP" w:bidi="th-TH"/>
        </w:rPr>
        <w:t xml:space="preserve">15 (Life on </w:t>
      </w:r>
      <w:r w:rsidR="00A3389C">
        <w:rPr>
          <w:snapToGrid w:val="0"/>
          <w:kern w:val="22"/>
          <w:lang w:eastAsia="ja-JP" w:bidi="th-TH"/>
        </w:rPr>
        <w:t>l</w:t>
      </w:r>
      <w:r w:rsidRPr="00060510">
        <w:rPr>
          <w:snapToGrid w:val="0"/>
          <w:kern w:val="22"/>
          <w:lang w:eastAsia="ja-JP" w:bidi="th-TH"/>
        </w:rPr>
        <w:t xml:space="preserve">and) to be among the lowest reported Goals in </w:t>
      </w:r>
      <w:r w:rsidR="002F36FF">
        <w:rPr>
          <w:snapToGrid w:val="0"/>
          <w:kern w:val="22"/>
          <w:lang w:eastAsia="ja-JP" w:bidi="th-TH"/>
        </w:rPr>
        <w:t>t</w:t>
      </w:r>
      <w:r w:rsidRPr="00060510">
        <w:rPr>
          <w:snapToGrid w:val="0"/>
          <w:kern w:val="22"/>
          <w:lang w:eastAsia="ja-JP" w:bidi="th-TH"/>
        </w:rPr>
        <w:t>he Netherlands.</w:t>
      </w:r>
      <w:r w:rsidRPr="000D1078">
        <w:rPr>
          <w:rStyle w:val="FootnoteReference"/>
          <w:snapToGrid w:val="0"/>
          <w:kern w:val="22"/>
          <w:lang w:eastAsia="ja-JP" w:bidi="th-TH"/>
        </w:rPr>
        <w:footnoteReference w:id="20"/>
      </w:r>
      <w:r w:rsidRPr="00060510">
        <w:rPr>
          <w:snapToGrid w:val="0"/>
          <w:kern w:val="22"/>
          <w:lang w:eastAsia="ja-JP" w:bidi="th-TH"/>
        </w:rPr>
        <w:t xml:space="preserve"> </w:t>
      </w:r>
      <w:r w:rsidRPr="000D1078">
        <w:rPr>
          <w:rFonts w:cs="Times New Roman"/>
          <w:snapToGrid w:val="0"/>
          <w:kern w:val="22"/>
          <w:lang w:eastAsia="ja-JP" w:bidi="th-TH"/>
        </w:rPr>
        <w:t>Addison et al (in review) found that 49 of the top 100 of the Global Fortune 500 (the Fortune 100) mention biodiversity in their sustainability reports. In 2016, 24 of these companies started to frame their biodiversity commitments in relation to the Susta</w:t>
      </w:r>
      <w:r w:rsidRPr="00B14636">
        <w:rPr>
          <w:rFonts w:cs="Times New Roman"/>
          <w:snapToGrid w:val="0"/>
          <w:kern w:val="22"/>
          <w:lang w:eastAsia="ja-JP" w:bidi="th-TH"/>
        </w:rPr>
        <w:t xml:space="preserve">inable Development Goals, as opposed to only </w:t>
      </w:r>
      <w:r w:rsidR="008041A9" w:rsidRPr="00B14636">
        <w:rPr>
          <w:rFonts w:cs="Times New Roman"/>
          <w:snapToGrid w:val="0"/>
          <w:kern w:val="22"/>
          <w:lang w:eastAsia="ja-JP" w:bidi="th-TH"/>
        </w:rPr>
        <w:t xml:space="preserve">six </w:t>
      </w:r>
      <w:r w:rsidRPr="00B14636">
        <w:rPr>
          <w:rFonts w:cs="Times New Roman"/>
          <w:snapToGrid w:val="0"/>
          <w:kern w:val="22"/>
          <w:lang w:eastAsia="ja-JP" w:bidi="th-TH"/>
        </w:rPr>
        <w:t xml:space="preserve">companies that acknowledged the Convention on Biological Diversity (the </w:t>
      </w:r>
      <w:r w:rsidR="002F36FF">
        <w:rPr>
          <w:rFonts w:cs="Times New Roman"/>
          <w:snapToGrid w:val="0"/>
          <w:kern w:val="22"/>
          <w:lang w:eastAsia="ja-JP" w:bidi="th-TH"/>
        </w:rPr>
        <w:t>Convention</w:t>
      </w:r>
      <w:r w:rsidR="002F36FF" w:rsidRPr="00B14636">
        <w:rPr>
          <w:rFonts w:cs="Times New Roman"/>
          <w:snapToGrid w:val="0"/>
          <w:kern w:val="22"/>
          <w:lang w:eastAsia="ja-JP" w:bidi="th-TH"/>
        </w:rPr>
        <w:t xml:space="preserve"> </w:t>
      </w:r>
      <w:r w:rsidRPr="00B14636">
        <w:rPr>
          <w:rFonts w:cs="Times New Roman"/>
          <w:snapToGrid w:val="0"/>
          <w:kern w:val="22"/>
          <w:lang w:eastAsia="ja-JP" w:bidi="th-TH"/>
        </w:rPr>
        <w:t xml:space="preserve">and/or the Aichi </w:t>
      </w:r>
      <w:r w:rsidR="008041A9" w:rsidRPr="007C09F7">
        <w:rPr>
          <w:rFonts w:cs="Times New Roman"/>
          <w:snapToGrid w:val="0"/>
          <w:kern w:val="22"/>
          <w:lang w:eastAsia="ja-JP" w:bidi="th-TH"/>
        </w:rPr>
        <w:t>Biodiversity T</w:t>
      </w:r>
      <w:r w:rsidRPr="007C09F7">
        <w:rPr>
          <w:rFonts w:cs="Times New Roman"/>
          <w:snapToGrid w:val="0"/>
          <w:kern w:val="22"/>
          <w:lang w:eastAsia="ja-JP" w:bidi="th-TH"/>
        </w:rPr>
        <w:t>argets).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In this context, the Global Reporting Initiative and the United Nations Global Com</w:t>
      </w:r>
      <w:r w:rsidRPr="00B14636">
        <w:rPr>
          <w:rFonts w:cs="Times New Roman"/>
          <w:snapToGrid w:val="0"/>
          <w:kern w:val="22"/>
          <w:lang w:eastAsia="ja-JP" w:bidi="th-TH"/>
        </w:rPr>
        <w:t xml:space="preserve">pact have recently developed a report entitled </w:t>
      </w:r>
      <w:r w:rsidRPr="00060510">
        <w:rPr>
          <w:rFonts w:cs="Times New Roman"/>
          <w:i/>
          <w:iCs/>
          <w:snapToGrid w:val="0"/>
          <w:kern w:val="22"/>
          <w:lang w:eastAsia="ja-JP" w:bidi="th-TH"/>
        </w:rPr>
        <w:t xml:space="preserve">Business Reporting on the SDGs – an </w:t>
      </w:r>
      <w:r w:rsidR="00683331" w:rsidRPr="00060510">
        <w:rPr>
          <w:rFonts w:cs="Times New Roman"/>
          <w:i/>
          <w:iCs/>
          <w:snapToGrid w:val="0"/>
          <w:kern w:val="22"/>
          <w:lang w:eastAsia="ja-JP" w:bidi="th-TH"/>
        </w:rPr>
        <w:t xml:space="preserve">Analysis of </w:t>
      </w:r>
      <w:r w:rsidRPr="00060510">
        <w:rPr>
          <w:rFonts w:cs="Times New Roman"/>
          <w:i/>
          <w:iCs/>
          <w:snapToGrid w:val="0"/>
          <w:kern w:val="22"/>
          <w:lang w:eastAsia="ja-JP" w:bidi="th-TH"/>
        </w:rPr>
        <w:t>the Goals</w:t>
      </w:r>
      <w:r w:rsidR="00683331" w:rsidRPr="00060510">
        <w:rPr>
          <w:rFonts w:cs="Times New Roman"/>
          <w:i/>
          <w:iCs/>
          <w:snapToGrid w:val="0"/>
          <w:kern w:val="22"/>
          <w:lang w:eastAsia="ja-JP" w:bidi="th-TH"/>
        </w:rPr>
        <w:t xml:space="preserve"> and Targets</w:t>
      </w:r>
      <w:r w:rsidR="00076EFB">
        <w:rPr>
          <w:rFonts w:cs="Times New Roman"/>
          <w:snapToGrid w:val="0"/>
          <w:kern w:val="22"/>
          <w:lang w:eastAsia="ja-JP" w:bidi="th-TH"/>
        </w:rPr>
        <w:t>, which</w:t>
      </w:r>
      <w:r w:rsidRPr="00A47DD9">
        <w:rPr>
          <w:rFonts w:cs="Times New Roman"/>
          <w:snapToGrid w:val="0"/>
          <w:kern w:val="22"/>
          <w:lang w:eastAsia="ja-JP" w:bidi="th-TH"/>
        </w:rPr>
        <w:t xml:space="preserve"> sets out possible relevant actions businesses can take to help achieve the targets</w:t>
      </w:r>
      <w:r w:rsidRPr="00281B6E">
        <w:rPr>
          <w:rFonts w:cs="Times New Roman"/>
          <w:snapToGrid w:val="0"/>
          <w:kern w:val="22"/>
          <w:lang w:eastAsia="ja-JP" w:bidi="th-TH"/>
        </w:rPr>
        <w:t>.</w:t>
      </w:r>
      <w:bookmarkStart w:id="3" w:name="_Ref515274810"/>
      <w:r w:rsidRPr="000D1078">
        <w:rPr>
          <w:rStyle w:val="FootnoteReference"/>
          <w:snapToGrid w:val="0"/>
          <w:kern w:val="22"/>
          <w:lang w:eastAsia="ja-JP" w:bidi="th-TH"/>
        </w:rPr>
        <w:footnoteReference w:id="21"/>
      </w:r>
      <w:bookmarkEnd w:id="3"/>
      <w:r w:rsidRPr="000D1078">
        <w:rPr>
          <w:rFonts w:cs="Times New Roman"/>
          <w:snapToGrid w:val="0"/>
          <w:kern w:val="22"/>
          <w:lang w:eastAsia="ja-JP" w:bidi="th-TH"/>
        </w:rPr>
        <w:t xml:space="preserve"> As part of this project, in July 2018</w:t>
      </w:r>
      <w:r w:rsidR="003F0A08">
        <w:rPr>
          <w:rFonts w:cs="Times New Roman"/>
          <w:snapToGrid w:val="0"/>
          <w:kern w:val="22"/>
          <w:lang w:eastAsia="ja-JP" w:bidi="th-TH"/>
        </w:rPr>
        <w:t>,</w:t>
      </w:r>
      <w:r w:rsidRPr="000D1078">
        <w:rPr>
          <w:rFonts w:cs="Times New Roman"/>
          <w:snapToGrid w:val="0"/>
          <w:kern w:val="22"/>
          <w:lang w:eastAsia="ja-JP" w:bidi="th-TH"/>
        </w:rPr>
        <w:t xml:space="preserve"> a practical guide will be launched that will present a principled approach for reporting on the </w:t>
      </w:r>
      <w:r w:rsidR="00AE52F4">
        <w:rPr>
          <w:rFonts w:cs="Times New Roman"/>
          <w:snapToGrid w:val="0"/>
          <w:kern w:val="22"/>
          <w:lang w:eastAsia="ja-JP" w:bidi="th-TH"/>
        </w:rPr>
        <w:t>Sustainable Development Goals</w:t>
      </w:r>
      <w:r w:rsidRPr="000D1078">
        <w:rPr>
          <w:rFonts w:cs="Times New Roman"/>
          <w:snapToGrid w:val="0"/>
          <w:kern w:val="22"/>
          <w:lang w:eastAsia="ja-JP" w:bidi="th-TH"/>
        </w:rPr>
        <w:t xml:space="preserve"> based on the GRI Standards and the Ten Principles</w:t>
      </w:r>
      <w:r w:rsidR="000D5074">
        <w:rPr>
          <w:rFonts w:cs="Times New Roman"/>
          <w:snapToGrid w:val="0"/>
          <w:kern w:val="22"/>
          <w:lang w:eastAsia="ja-JP" w:bidi="th-TH"/>
        </w:rPr>
        <w:t xml:space="preserve"> of the </w:t>
      </w:r>
      <w:r w:rsidR="000D5074" w:rsidRPr="000D1078">
        <w:rPr>
          <w:rFonts w:cs="Times New Roman"/>
          <w:snapToGrid w:val="0"/>
          <w:kern w:val="22"/>
          <w:lang w:eastAsia="ja-JP" w:bidi="th-TH"/>
        </w:rPr>
        <w:t>U</w:t>
      </w:r>
      <w:r w:rsidR="000D5074">
        <w:rPr>
          <w:rFonts w:cs="Times New Roman"/>
          <w:snapToGrid w:val="0"/>
          <w:kern w:val="22"/>
          <w:lang w:eastAsia="ja-JP" w:bidi="th-TH"/>
        </w:rPr>
        <w:t xml:space="preserve">nited </w:t>
      </w:r>
      <w:r w:rsidR="000D5074" w:rsidRPr="000D1078">
        <w:rPr>
          <w:rFonts w:cs="Times New Roman"/>
          <w:snapToGrid w:val="0"/>
          <w:kern w:val="22"/>
          <w:lang w:eastAsia="ja-JP" w:bidi="th-TH"/>
        </w:rPr>
        <w:t>N</w:t>
      </w:r>
      <w:r w:rsidR="000D5074">
        <w:rPr>
          <w:rFonts w:cs="Times New Roman"/>
          <w:snapToGrid w:val="0"/>
          <w:kern w:val="22"/>
          <w:lang w:eastAsia="ja-JP" w:bidi="th-TH"/>
        </w:rPr>
        <w:t>ations</w:t>
      </w:r>
      <w:r w:rsidR="000D5074" w:rsidRPr="000D1078">
        <w:rPr>
          <w:rFonts w:cs="Times New Roman"/>
          <w:snapToGrid w:val="0"/>
          <w:kern w:val="22"/>
          <w:lang w:eastAsia="ja-JP" w:bidi="th-TH"/>
        </w:rPr>
        <w:t xml:space="preserve"> Global Compact</w:t>
      </w:r>
      <w:r w:rsidRPr="000D1078">
        <w:rPr>
          <w:rFonts w:cs="Times New Roman"/>
          <w:snapToGrid w:val="0"/>
          <w:kern w:val="22"/>
          <w:lang w:eastAsia="ja-JP" w:bidi="th-TH"/>
        </w:rPr>
        <w:t xml:space="preserve">. </w:t>
      </w:r>
      <w:r w:rsidR="00C05106">
        <w:rPr>
          <w:rFonts w:cs="Times New Roman"/>
          <w:snapToGrid w:val="0"/>
          <w:kern w:val="22"/>
          <w:lang w:eastAsia="ja-JP" w:bidi="th-TH"/>
        </w:rPr>
        <w:t>The International Integrated Reporting Council</w:t>
      </w:r>
      <w:r w:rsidRPr="000D1078">
        <w:rPr>
          <w:rFonts w:cs="Times New Roman"/>
          <w:snapToGrid w:val="0"/>
          <w:kern w:val="22"/>
          <w:lang w:eastAsia="ja-JP" w:bidi="th-TH"/>
        </w:rPr>
        <w:t xml:space="preserve"> has also published a report on the </w:t>
      </w:r>
      <w:r w:rsidR="00AE52F4">
        <w:rPr>
          <w:rFonts w:cs="Times New Roman"/>
          <w:snapToGrid w:val="0"/>
          <w:kern w:val="22"/>
          <w:lang w:eastAsia="ja-JP" w:bidi="th-TH"/>
        </w:rPr>
        <w:t>Sustainable Development Goals</w:t>
      </w:r>
      <w:r w:rsidRPr="00B14636">
        <w:rPr>
          <w:rFonts w:cs="Times New Roman"/>
          <w:snapToGrid w:val="0"/>
          <w:kern w:val="22"/>
          <w:lang w:eastAsia="ja-JP" w:bidi="th-TH"/>
        </w:rPr>
        <w:t xml:space="preserve"> and integrated reporting.</w:t>
      </w:r>
      <w:r w:rsidRPr="000D1078">
        <w:rPr>
          <w:rStyle w:val="FootnoteReference"/>
          <w:snapToGrid w:val="0"/>
          <w:kern w:val="22"/>
          <w:lang w:eastAsia="ja-JP" w:bidi="th-TH"/>
        </w:rPr>
        <w:footnoteReference w:id="22"/>
      </w:r>
    </w:p>
    <w:p w:rsidR="00070D30" w:rsidRPr="00060510" w:rsidRDefault="00070D30" w:rsidP="00060510">
      <w:pPr>
        <w:pStyle w:val="Heading3"/>
        <w:numPr>
          <w:ilvl w:val="0"/>
          <w:numId w:val="16"/>
        </w:numPr>
        <w:suppressLineNumbers/>
        <w:suppressAutoHyphens/>
        <w:kinsoku w:val="0"/>
        <w:overflowPunct w:val="0"/>
        <w:autoSpaceDE w:val="0"/>
        <w:autoSpaceDN w:val="0"/>
        <w:adjustRightInd w:val="0"/>
        <w:snapToGrid w:val="0"/>
        <w:rPr>
          <w:snapToGrid w:val="0"/>
          <w:kern w:val="22"/>
          <w:lang w:eastAsia="ja-JP" w:bidi="th-TH"/>
        </w:rPr>
      </w:pPr>
      <w:r w:rsidRPr="00060510">
        <w:rPr>
          <w:snapToGrid w:val="0"/>
          <w:kern w:val="22"/>
          <w:lang w:eastAsia="ja-JP" w:bidi="th-TH"/>
        </w:rPr>
        <w:t>Work on biodiversity indicators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 xml:space="preserve">Work is </w:t>
      </w:r>
      <w:r w:rsidRPr="00B14636">
        <w:rPr>
          <w:rFonts w:cs="Times New Roman"/>
          <w:snapToGrid w:val="0"/>
          <w:kern w:val="22"/>
          <w:lang w:eastAsia="ja-JP" w:bidi="th-TH"/>
        </w:rPr>
        <w:t xml:space="preserve">currently being undertaken by a number of groups and private companies addressing different applications of biodiversity indicators for businesses. The applications are different depending on the scale of assessment and the target audience. One such organization working on this is the Cambridge </w:t>
      </w:r>
      <w:r w:rsidRPr="00B14636">
        <w:rPr>
          <w:rFonts w:cs="Times New Roman"/>
          <w:snapToGrid w:val="0"/>
          <w:kern w:val="22"/>
          <w:lang w:eastAsia="ja-JP" w:bidi="th-TH"/>
        </w:rPr>
        <w:lastRenderedPageBreak/>
        <w:t>Institute for Sustainability Leadership</w:t>
      </w:r>
      <w:r w:rsidRPr="00A47DD9">
        <w:rPr>
          <w:rFonts w:cs="Times New Roman"/>
          <w:snapToGrid w:val="0"/>
          <w:kern w:val="22"/>
          <w:lang w:eastAsia="ja-JP" w:bidi="th-TH"/>
        </w:rPr>
        <w:t xml:space="preserve"> and partners who are developing a biodiversity metric. As the overall </w:t>
      </w:r>
      <w:r w:rsidRPr="00281B6E">
        <w:rPr>
          <w:rFonts w:cs="Times New Roman"/>
          <w:snapToGrid w:val="0"/>
          <w:kern w:val="22"/>
          <w:lang w:eastAsia="ja-JP" w:bidi="th-TH"/>
        </w:rPr>
        <w:t>uptake of measu</w:t>
      </w:r>
      <w:r w:rsidRPr="000D1078">
        <w:rPr>
          <w:rFonts w:cs="Times New Roman"/>
          <w:snapToGrid w:val="0"/>
          <w:kern w:val="22"/>
          <w:lang w:eastAsia="ja-JP" w:bidi="th-TH"/>
        </w:rPr>
        <w:t>res and approaches is growing, the concept is to have one metric that is simple</w:t>
      </w:r>
      <w:r w:rsidR="007A4E56">
        <w:rPr>
          <w:rFonts w:cs="Times New Roman"/>
          <w:snapToGrid w:val="0"/>
          <w:kern w:val="22"/>
          <w:lang w:eastAsia="ja-JP" w:bidi="th-TH"/>
        </w:rPr>
        <w:t xml:space="preserve"> and</w:t>
      </w:r>
      <w:r w:rsidRPr="000D1078">
        <w:rPr>
          <w:rFonts w:cs="Times New Roman"/>
          <w:snapToGrid w:val="0"/>
          <w:kern w:val="22"/>
          <w:lang w:eastAsia="ja-JP" w:bidi="th-TH"/>
        </w:rPr>
        <w:t xml:space="preserve"> context</w:t>
      </w:r>
      <w:r w:rsidR="007A4E56">
        <w:rPr>
          <w:rFonts w:cs="Times New Roman"/>
          <w:snapToGrid w:val="0"/>
          <w:kern w:val="22"/>
          <w:lang w:eastAsia="ja-JP" w:bidi="th-TH"/>
        </w:rPr>
        <w:t>-</w:t>
      </w:r>
      <w:r w:rsidRPr="000D1078">
        <w:rPr>
          <w:rFonts w:cs="Times New Roman"/>
          <w:snapToGrid w:val="0"/>
          <w:kern w:val="22"/>
          <w:lang w:eastAsia="ja-JP" w:bidi="th-TH"/>
        </w:rPr>
        <w:t>based</w:t>
      </w:r>
      <w:r w:rsidR="007A4E56">
        <w:rPr>
          <w:rFonts w:cs="Times New Roman"/>
          <w:snapToGrid w:val="0"/>
          <w:kern w:val="22"/>
          <w:lang w:eastAsia="ja-JP" w:bidi="th-TH"/>
        </w:rPr>
        <w:t>,</w:t>
      </w:r>
      <w:r w:rsidRPr="000D1078">
        <w:rPr>
          <w:rFonts w:cs="Times New Roman"/>
          <w:snapToGrid w:val="0"/>
          <w:kern w:val="22"/>
          <w:lang w:eastAsia="ja-JP" w:bidi="th-TH"/>
        </w:rPr>
        <w:t xml:space="preserve"> can support decision</w:t>
      </w:r>
      <w:r w:rsidR="008041A9" w:rsidRPr="000D1078">
        <w:rPr>
          <w:rFonts w:cs="Times New Roman"/>
          <w:snapToGrid w:val="0"/>
          <w:kern w:val="22"/>
          <w:lang w:eastAsia="ja-JP" w:bidi="th-TH"/>
        </w:rPr>
        <w:t>-</w:t>
      </w:r>
      <w:r w:rsidRPr="000D1078">
        <w:rPr>
          <w:rFonts w:cs="Times New Roman"/>
          <w:snapToGrid w:val="0"/>
          <w:kern w:val="22"/>
          <w:lang w:eastAsia="ja-JP" w:bidi="th-TH"/>
        </w:rPr>
        <w:t>making and demonstrate</w:t>
      </w:r>
      <w:r w:rsidR="007A4E56">
        <w:rPr>
          <w:rFonts w:cs="Times New Roman"/>
          <w:snapToGrid w:val="0"/>
          <w:kern w:val="22"/>
          <w:lang w:eastAsia="ja-JP" w:bidi="th-TH"/>
        </w:rPr>
        <w:t xml:space="preserve"> a</w:t>
      </w:r>
      <w:r w:rsidRPr="000D1078">
        <w:rPr>
          <w:rFonts w:cs="Times New Roman"/>
          <w:snapToGrid w:val="0"/>
          <w:kern w:val="22"/>
          <w:lang w:eastAsia="ja-JP" w:bidi="th-TH"/>
        </w:rPr>
        <w:t xml:space="preserve"> positive impact. The metric proposed is based on the impact of a company upon the quality and quantity of biodiversity, soil and water. This work is currently being piloted with businesses. Although not yet tested, it could potentially feed into existing reporting frameworks, in particular into the framework of GRI, and could provide the basis for stronger materiality assessments related to biodiversity.</w:t>
      </w:r>
      <w:r w:rsidRPr="000D1078">
        <w:rPr>
          <w:rStyle w:val="FootnoteReference"/>
          <w:snapToGrid w:val="0"/>
          <w:kern w:val="22"/>
          <w:lang w:eastAsia="ja-JP" w:bidi="th-TH"/>
        </w:rPr>
        <w:footnoteReference w:id="23"/>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sidRPr="00060510">
        <w:rPr>
          <w:snapToGrid w:val="0"/>
          <w:kern w:val="22"/>
          <w:lang w:eastAsia="ja-JP" w:bidi="th-TH"/>
        </w:rPr>
        <w:t xml:space="preserve">Other work is being undertaken for instance by I-CARE, on a metric that quantifies a product’s impact on biodiversity across its life cycle, by </w:t>
      </w:r>
      <w:r w:rsidRPr="00060510">
        <w:rPr>
          <w:snapToGrid w:val="0"/>
          <w:kern w:val="22"/>
          <w:lang w:val="fr-FR" w:eastAsia="ja-JP" w:bidi="th-TH"/>
        </w:rPr>
        <w:t>CDC-Biodiversité</w:t>
      </w:r>
      <w:r w:rsidRPr="00060510">
        <w:rPr>
          <w:snapToGrid w:val="0"/>
          <w:kern w:val="22"/>
          <w:lang w:eastAsia="ja-JP" w:bidi="th-TH"/>
        </w:rPr>
        <w:t>, on developing a biodiversity footprint methodology called the Global Biodiversity Score (GBS)</w:t>
      </w:r>
      <w:r w:rsidR="008041A9" w:rsidRPr="00060510">
        <w:rPr>
          <w:snapToGrid w:val="0"/>
          <w:kern w:val="22"/>
          <w:lang w:eastAsia="ja-JP" w:bidi="th-TH"/>
        </w:rPr>
        <w:t>,</w:t>
      </w:r>
      <w:r w:rsidRPr="000D1078">
        <w:rPr>
          <w:rStyle w:val="FootnoteReference"/>
          <w:snapToGrid w:val="0"/>
          <w:kern w:val="22"/>
          <w:lang w:eastAsia="ja-JP" w:bidi="th-TH"/>
        </w:rPr>
        <w:footnoteReference w:id="24"/>
      </w:r>
      <w:r w:rsidRPr="00060510">
        <w:rPr>
          <w:snapToGrid w:val="0"/>
          <w:kern w:val="22"/>
          <w:lang w:eastAsia="ja-JP" w:bidi="th-TH"/>
        </w:rPr>
        <w:t xml:space="preserve"> by the LIFE Institute in Brazil</w:t>
      </w:r>
      <w:r w:rsidRPr="00060510">
        <w:rPr>
          <w:rStyle w:val="FootnoteReference"/>
          <w:snapToGrid w:val="0"/>
          <w:kern w:val="22"/>
          <w:lang w:eastAsia="ja-JP" w:bidi="th-TH"/>
        </w:rPr>
        <w:footnoteReference w:id="25"/>
      </w:r>
      <w:r w:rsidRPr="00060510">
        <w:rPr>
          <w:snapToGrid w:val="0"/>
          <w:kern w:val="22"/>
          <w:lang w:eastAsia="ja-JP" w:bidi="th-TH"/>
        </w:rPr>
        <w:t xml:space="preserve"> and many more. In 2016</w:t>
      </w:r>
      <w:r w:rsidR="007A4E56">
        <w:rPr>
          <w:snapToGrid w:val="0"/>
          <w:kern w:val="22"/>
          <w:lang w:eastAsia="ja-JP" w:bidi="th-TH"/>
        </w:rPr>
        <w:t>,</w:t>
      </w:r>
      <w:r w:rsidRPr="00060510">
        <w:rPr>
          <w:snapToGrid w:val="0"/>
          <w:kern w:val="22"/>
          <w:lang w:eastAsia="ja-JP" w:bidi="th-TH"/>
        </w:rPr>
        <w:t xml:space="preserve"> IPIECA produced </w:t>
      </w:r>
      <w:r w:rsidRPr="00060510">
        <w:rPr>
          <w:i/>
          <w:iCs/>
          <w:snapToGrid w:val="0"/>
          <w:kern w:val="22"/>
          <w:lang w:eastAsia="ja-JP" w:bidi="th-TH"/>
        </w:rPr>
        <w:t xml:space="preserve">Biodiversity and </w:t>
      </w:r>
      <w:r w:rsidR="00105759" w:rsidRPr="00060510">
        <w:rPr>
          <w:i/>
          <w:iCs/>
          <w:snapToGrid w:val="0"/>
          <w:kern w:val="22"/>
          <w:lang w:eastAsia="ja-JP" w:bidi="th-TH"/>
        </w:rPr>
        <w:t>Ecosystem Services Fundamentals</w:t>
      </w:r>
      <w:r w:rsidRPr="00060510">
        <w:rPr>
          <w:i/>
          <w:iCs/>
          <w:snapToGrid w:val="0"/>
          <w:kern w:val="22"/>
          <w:lang w:eastAsia="ja-JP" w:bidi="th-TH"/>
        </w:rPr>
        <w:t xml:space="preserve">: Guidance </w:t>
      </w:r>
      <w:r w:rsidR="00105759" w:rsidRPr="00060510">
        <w:rPr>
          <w:i/>
          <w:iCs/>
          <w:snapToGrid w:val="0"/>
          <w:kern w:val="22"/>
          <w:lang w:eastAsia="ja-JP" w:bidi="th-TH"/>
        </w:rPr>
        <w:t xml:space="preserve">Document </w:t>
      </w:r>
      <w:r w:rsidRPr="00060510">
        <w:rPr>
          <w:i/>
          <w:iCs/>
          <w:snapToGrid w:val="0"/>
          <w:kern w:val="22"/>
          <w:lang w:eastAsia="ja-JP" w:bidi="th-TH"/>
        </w:rPr>
        <w:t xml:space="preserve">for the </w:t>
      </w:r>
      <w:r w:rsidR="00105759" w:rsidRPr="00060510">
        <w:rPr>
          <w:i/>
          <w:iCs/>
          <w:snapToGrid w:val="0"/>
          <w:kern w:val="22"/>
          <w:lang w:eastAsia="ja-JP" w:bidi="th-TH"/>
        </w:rPr>
        <w:t xml:space="preserve">Oil </w:t>
      </w:r>
      <w:r w:rsidRPr="00060510">
        <w:rPr>
          <w:i/>
          <w:iCs/>
          <w:snapToGrid w:val="0"/>
          <w:kern w:val="22"/>
          <w:lang w:eastAsia="ja-JP" w:bidi="th-TH"/>
        </w:rPr>
        <w:t xml:space="preserve">and </w:t>
      </w:r>
      <w:r w:rsidR="00105759" w:rsidRPr="00060510">
        <w:rPr>
          <w:i/>
          <w:iCs/>
          <w:snapToGrid w:val="0"/>
          <w:kern w:val="22"/>
          <w:lang w:eastAsia="ja-JP" w:bidi="th-TH"/>
        </w:rPr>
        <w:t>Gas Industry</w:t>
      </w:r>
      <w:r w:rsidR="008041A9" w:rsidRPr="00060510">
        <w:rPr>
          <w:snapToGrid w:val="0"/>
          <w:kern w:val="22"/>
          <w:lang w:eastAsia="ja-JP" w:bidi="th-TH"/>
        </w:rPr>
        <w:t>.</w:t>
      </w:r>
      <w:r w:rsidRPr="00060510">
        <w:rPr>
          <w:rStyle w:val="FootnoteReference"/>
          <w:snapToGrid w:val="0"/>
          <w:kern w:val="22"/>
          <w:lang w:eastAsia="ja-JP" w:bidi="th-TH"/>
        </w:rPr>
        <w:footnoteReference w:id="26"/>
      </w:r>
      <w:r w:rsidRPr="00060510">
        <w:rPr>
          <w:snapToGrid w:val="0"/>
          <w:kern w:val="22"/>
          <w:lang w:eastAsia="ja-JP" w:bidi="th-TH"/>
        </w:rPr>
        <w:t xml:space="preserve"> Also, the Dutch ASN Bank has been developing a quantitative metric to assess and value the biodiversity impact and dependencies of its investments. The </w:t>
      </w:r>
      <w:r w:rsidR="00A32CCF">
        <w:rPr>
          <w:snapToGrid w:val="0"/>
          <w:kern w:val="22"/>
          <w:lang w:eastAsia="ja-JP" w:bidi="th-TH"/>
        </w:rPr>
        <w:t>European Union’s</w:t>
      </w:r>
      <w:r w:rsidR="00A32CCF" w:rsidRPr="00060510">
        <w:rPr>
          <w:snapToGrid w:val="0"/>
          <w:kern w:val="22"/>
          <w:lang w:eastAsia="ja-JP" w:bidi="th-TH"/>
        </w:rPr>
        <w:t xml:space="preserve"> </w:t>
      </w:r>
      <w:r w:rsidRPr="00060510">
        <w:rPr>
          <w:snapToGrid w:val="0"/>
          <w:kern w:val="22"/>
          <w:lang w:eastAsia="ja-JP" w:bidi="th-TH"/>
        </w:rPr>
        <w:t>Business and Biodiversity Platform is currently developing an overview and a critical assessment of the various ongoing activities to develop biodiversity metrics for business and financials including those mentioned here.</w:t>
      </w:r>
      <w:r w:rsidRPr="00060510">
        <w:rPr>
          <w:rStyle w:val="FootnoteReference"/>
          <w:snapToGrid w:val="0"/>
          <w:kern w:val="22"/>
          <w:lang w:eastAsia="ja-JP" w:bidi="th-TH"/>
        </w:rPr>
        <w:footnoteReference w:id="27"/>
      </w:r>
      <w:r w:rsidRPr="00060510">
        <w:rPr>
          <w:snapToGrid w:val="0"/>
          <w:kern w:val="22"/>
          <w:lang w:eastAsia="ja-JP" w:bidi="th-TH"/>
        </w:rPr>
        <w:t xml:space="preserve"> Other industry</w:t>
      </w:r>
      <w:r w:rsidR="00D64696">
        <w:rPr>
          <w:snapToGrid w:val="0"/>
          <w:kern w:val="22"/>
          <w:lang w:eastAsia="ja-JP" w:bidi="th-TH"/>
        </w:rPr>
        <w:noBreakHyphen/>
      </w:r>
      <w:r w:rsidRPr="00060510">
        <w:rPr>
          <w:snapToGrid w:val="0"/>
          <w:kern w:val="22"/>
          <w:lang w:eastAsia="ja-JP" w:bidi="th-TH"/>
        </w:rPr>
        <w:t xml:space="preserve"> and sector</w:t>
      </w:r>
      <w:r w:rsidR="00D64696">
        <w:rPr>
          <w:snapToGrid w:val="0"/>
          <w:kern w:val="22"/>
          <w:lang w:eastAsia="ja-JP" w:bidi="th-TH"/>
        </w:rPr>
        <w:t>-</w:t>
      </w:r>
      <w:r w:rsidRPr="00060510">
        <w:rPr>
          <w:snapToGrid w:val="0"/>
          <w:kern w:val="22"/>
          <w:lang w:eastAsia="ja-JP" w:bidi="th-TH"/>
        </w:rPr>
        <w:t>specific work exists as well.</w:t>
      </w:r>
    </w:p>
    <w:p w:rsidR="00070D30" w:rsidRPr="00A47DD9"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Related work is also undertaken in the ecosystem accounting context</w:t>
      </w:r>
      <w:r w:rsidR="00641DB8">
        <w:rPr>
          <w:rFonts w:cs="Times New Roman"/>
          <w:snapToGrid w:val="0"/>
          <w:kern w:val="22"/>
          <w:lang w:eastAsia="ja-JP" w:bidi="th-TH"/>
        </w:rPr>
        <w:t>,</w:t>
      </w:r>
      <w:r w:rsidRPr="000D1078">
        <w:rPr>
          <w:rFonts w:cs="Times New Roman"/>
          <w:snapToGrid w:val="0"/>
          <w:kern w:val="22"/>
          <w:lang w:eastAsia="ja-JP" w:bidi="th-TH"/>
        </w:rPr>
        <w:t xml:space="preserve"> and it could be beneficial to link the </w:t>
      </w:r>
      <w:r w:rsidR="00BE676B">
        <w:rPr>
          <w:rFonts w:cs="Times New Roman"/>
          <w:snapToGrid w:val="0"/>
          <w:kern w:val="22"/>
          <w:lang w:eastAsia="ja-JP" w:bidi="th-TH"/>
        </w:rPr>
        <w:t>above-</w:t>
      </w:r>
      <w:r w:rsidRPr="000D1078">
        <w:rPr>
          <w:rFonts w:cs="Times New Roman"/>
          <w:snapToGrid w:val="0"/>
          <w:kern w:val="22"/>
          <w:lang w:eastAsia="ja-JP" w:bidi="th-TH"/>
        </w:rPr>
        <w:t>mentioned initiatives</w:t>
      </w:r>
      <w:r w:rsidRPr="00B14636">
        <w:rPr>
          <w:rFonts w:cs="Times New Roman"/>
          <w:snapToGrid w:val="0"/>
          <w:kern w:val="22"/>
          <w:lang w:eastAsia="ja-JP" w:bidi="th-TH"/>
        </w:rPr>
        <w:t xml:space="preserve"> to experiences made and recent work undertaken in this context. </w:t>
      </w:r>
      <w:r w:rsidR="006304A3">
        <w:rPr>
          <w:rFonts w:cs="Times New Roman"/>
          <w:snapToGrid w:val="0"/>
          <w:kern w:val="22"/>
          <w:lang w:eastAsia="ja-JP" w:bidi="th-TH"/>
        </w:rPr>
        <w:t>T</w:t>
      </w:r>
      <w:r w:rsidRPr="00B14636">
        <w:rPr>
          <w:rFonts w:cs="Times New Roman"/>
          <w:snapToGrid w:val="0"/>
          <w:kern w:val="22"/>
          <w:lang w:eastAsia="ja-JP" w:bidi="th-TH"/>
        </w:rPr>
        <w:t>he last revision of the System of Environmental-Economic Accounting (SEEA) and the issuance of the SEEA volume on experimental ecosystem accounting (SEEA-EEA)</w:t>
      </w:r>
      <w:r w:rsidRPr="000D1078">
        <w:rPr>
          <w:rStyle w:val="FootnoteReference"/>
          <w:snapToGrid w:val="0"/>
          <w:kern w:val="22"/>
          <w:lang w:eastAsia="ja-JP" w:bidi="th-TH"/>
        </w:rPr>
        <w:footnoteReference w:id="28"/>
      </w:r>
      <w:r w:rsidRPr="000D1078">
        <w:rPr>
          <w:rFonts w:cs="Times New Roman"/>
          <w:snapToGrid w:val="0"/>
          <w:kern w:val="22"/>
          <w:lang w:eastAsia="ja-JP" w:bidi="th-TH"/>
        </w:rPr>
        <w:t xml:space="preserve"> </w:t>
      </w:r>
      <w:r w:rsidR="006304A3">
        <w:rPr>
          <w:rFonts w:cs="Times New Roman"/>
          <w:snapToGrid w:val="0"/>
          <w:kern w:val="22"/>
          <w:lang w:eastAsia="ja-JP" w:bidi="th-TH"/>
        </w:rPr>
        <w:t xml:space="preserve">spurred </w:t>
      </w:r>
      <w:r w:rsidRPr="000D1078">
        <w:rPr>
          <w:rFonts w:cs="Times New Roman"/>
          <w:snapToGrid w:val="0"/>
          <w:kern w:val="22"/>
          <w:lang w:eastAsia="ja-JP" w:bidi="th-TH"/>
        </w:rPr>
        <w:t>con</w:t>
      </w:r>
      <w:r w:rsidRPr="00B14636">
        <w:rPr>
          <w:rFonts w:cs="Times New Roman"/>
          <w:snapToGrid w:val="0"/>
          <w:kern w:val="22"/>
          <w:lang w:eastAsia="ja-JP" w:bidi="th-TH"/>
        </w:rPr>
        <w:t xml:space="preserve">ceptual progress in the past </w:t>
      </w:r>
      <w:r w:rsidR="006304A3">
        <w:rPr>
          <w:rFonts w:cs="Times New Roman"/>
          <w:snapToGrid w:val="0"/>
          <w:kern w:val="22"/>
          <w:lang w:eastAsia="ja-JP" w:bidi="th-TH"/>
        </w:rPr>
        <w:t xml:space="preserve">few </w:t>
      </w:r>
      <w:r w:rsidRPr="00B14636">
        <w:rPr>
          <w:rFonts w:cs="Times New Roman"/>
          <w:snapToGrid w:val="0"/>
          <w:kern w:val="22"/>
          <w:lang w:eastAsia="ja-JP" w:bidi="th-TH"/>
        </w:rPr>
        <w:t xml:space="preserve">years at </w:t>
      </w:r>
      <w:r w:rsidR="006304A3" w:rsidRPr="00B14636">
        <w:rPr>
          <w:rFonts w:cs="Times New Roman"/>
          <w:snapToGrid w:val="0"/>
          <w:kern w:val="22"/>
          <w:lang w:eastAsia="ja-JP" w:bidi="th-TH"/>
        </w:rPr>
        <w:t xml:space="preserve">both </w:t>
      </w:r>
      <w:r w:rsidR="006304A3">
        <w:rPr>
          <w:rFonts w:cs="Times New Roman"/>
          <w:snapToGrid w:val="0"/>
          <w:kern w:val="22"/>
          <w:lang w:eastAsia="ja-JP" w:bidi="th-TH"/>
        </w:rPr>
        <w:t xml:space="preserve">the </w:t>
      </w:r>
      <w:r w:rsidRPr="00B14636">
        <w:rPr>
          <w:rFonts w:cs="Times New Roman"/>
          <w:snapToGrid w:val="0"/>
          <w:kern w:val="22"/>
          <w:lang w:eastAsia="ja-JP" w:bidi="th-TH"/>
        </w:rPr>
        <w:t>global and country levels on how to best capture the role of biodiversity in an ecosystem accounting context.</w:t>
      </w:r>
      <w:r w:rsidRPr="000D1078">
        <w:rPr>
          <w:rStyle w:val="FootnoteReference"/>
          <w:snapToGrid w:val="0"/>
          <w:kern w:val="22"/>
          <w:lang w:eastAsia="ja-JP" w:bidi="th-TH"/>
        </w:rPr>
        <w:footnoteReference w:id="29"/>
      </w:r>
      <w:r w:rsidRPr="000D1078">
        <w:rPr>
          <w:rFonts w:cs="Times New Roman"/>
          <w:snapToGrid w:val="0"/>
          <w:kern w:val="22"/>
          <w:lang w:eastAsia="ja-JP" w:bidi="th-TH"/>
        </w:rPr>
        <w:t xml:space="preserve"> Momentum is growing to better align pertinent methodologies developed at the SEEA level</w:t>
      </w:r>
      <w:r w:rsidRPr="00B14636">
        <w:rPr>
          <w:rFonts w:cs="Times New Roman"/>
          <w:snapToGrid w:val="0"/>
          <w:kern w:val="22"/>
          <w:lang w:eastAsia="ja-JP" w:bidi="th-TH"/>
        </w:rPr>
        <w:t xml:space="preserve"> with business-level accounting frameworks. A recently initiated </w:t>
      </w:r>
      <w:r w:rsidR="00516E78" w:rsidRPr="00B14636">
        <w:rPr>
          <w:rFonts w:cs="Times New Roman"/>
          <w:snapToGrid w:val="0"/>
          <w:kern w:val="22"/>
          <w:lang w:eastAsia="ja-JP" w:bidi="th-TH"/>
        </w:rPr>
        <w:t>three</w:t>
      </w:r>
      <w:r w:rsidRPr="00B14636">
        <w:rPr>
          <w:rFonts w:cs="Times New Roman"/>
          <w:snapToGrid w:val="0"/>
          <w:kern w:val="22"/>
          <w:lang w:eastAsia="ja-JP" w:bidi="th-TH"/>
        </w:rPr>
        <w:t xml:space="preserve">-year project to support ecosystem accounting in Brazil, China, India, Mexico and </w:t>
      </w:r>
      <w:r w:rsidRPr="000D1078">
        <w:rPr>
          <w:rFonts w:cs="Times New Roman"/>
          <w:snapToGrid w:val="0"/>
          <w:kern w:val="22"/>
          <w:lang w:eastAsia="ja-JP" w:bidi="th-TH"/>
        </w:rPr>
        <w:t>South Africa, implemented by the United Nations Statistics Division and U</w:t>
      </w:r>
      <w:r w:rsidRPr="00B14636">
        <w:rPr>
          <w:rFonts w:cs="Times New Roman"/>
          <w:snapToGrid w:val="0"/>
          <w:kern w:val="22"/>
          <w:lang w:eastAsia="ja-JP" w:bidi="th-TH"/>
        </w:rPr>
        <w:t>NE</w:t>
      </w:r>
      <w:r w:rsidR="00516E78" w:rsidRPr="00B14636">
        <w:rPr>
          <w:rFonts w:cs="Times New Roman"/>
          <w:snapToGrid w:val="0"/>
          <w:kern w:val="22"/>
          <w:lang w:eastAsia="ja-JP" w:bidi="th-TH"/>
        </w:rPr>
        <w:t xml:space="preserve">P </w:t>
      </w:r>
      <w:r w:rsidRPr="007C09F7">
        <w:rPr>
          <w:rFonts w:cs="Times New Roman"/>
          <w:snapToGrid w:val="0"/>
          <w:kern w:val="22"/>
          <w:lang w:eastAsia="ja-JP" w:bidi="th-TH"/>
        </w:rPr>
        <w:t>(including its World Conservation Monitoring Centre), with financial support from the European Union and the Convention Secretariat as an affiliated partner,</w:t>
      </w:r>
      <w:r w:rsidRPr="000D1078">
        <w:rPr>
          <w:rStyle w:val="FootnoteReference"/>
          <w:snapToGrid w:val="0"/>
          <w:kern w:val="22"/>
          <w:lang w:eastAsia="ja-JP" w:bidi="th-TH"/>
        </w:rPr>
        <w:footnoteReference w:id="30"/>
      </w:r>
      <w:r w:rsidRPr="000D1078">
        <w:rPr>
          <w:rFonts w:cs="Times New Roman"/>
          <w:snapToGrid w:val="0"/>
          <w:kern w:val="22"/>
          <w:lang w:eastAsia="ja-JP" w:bidi="th-TH"/>
        </w:rPr>
        <w:t xml:space="preserve"> will also include a global work stream on aligning SEEA ecosystem accounting with business-l</w:t>
      </w:r>
      <w:r w:rsidRPr="00B14636">
        <w:rPr>
          <w:rFonts w:cs="Times New Roman"/>
          <w:snapToGrid w:val="0"/>
          <w:kern w:val="22"/>
          <w:lang w:eastAsia="ja-JP" w:bidi="th-TH"/>
        </w:rPr>
        <w:t>evel accounting frameworks.</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eastAsia="ja-JP" w:bidi="th-TH"/>
        </w:rPr>
      </w:pPr>
      <w:r w:rsidRPr="00060510">
        <w:rPr>
          <w:snapToGrid w:val="0"/>
          <w:kern w:val="22"/>
          <w:lang w:eastAsia="ja-JP" w:bidi="th-TH"/>
        </w:rPr>
        <w:t>C.</w:t>
      </w:r>
      <w:r w:rsidRPr="00060510">
        <w:rPr>
          <w:snapToGrid w:val="0"/>
          <w:kern w:val="22"/>
          <w:lang w:eastAsia="ja-JP" w:bidi="th-TH"/>
        </w:rPr>
        <w:tab/>
        <w:t xml:space="preserve">Results of </w:t>
      </w:r>
      <w:r w:rsidR="00C2297D">
        <w:rPr>
          <w:snapToGrid w:val="0"/>
          <w:kern w:val="22"/>
          <w:lang w:eastAsia="ja-JP" w:bidi="th-TH"/>
        </w:rPr>
        <w:t>c</w:t>
      </w:r>
      <w:r w:rsidRPr="00060510">
        <w:rPr>
          <w:snapToGrid w:val="0"/>
          <w:kern w:val="22"/>
          <w:lang w:eastAsia="ja-JP" w:bidi="th-TH"/>
        </w:rPr>
        <w:t>onsultations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60510">
        <w:rPr>
          <w:snapToGrid w:val="0"/>
          <w:kern w:val="22"/>
          <w:lang w:eastAsia="ja-JP" w:bidi="th-TH"/>
        </w:rPr>
        <w:t xml:space="preserve">An initial draft of the proposed approach was presented to, and discussed at, the seventh </w:t>
      </w:r>
      <w:r w:rsidRPr="00060510">
        <w:rPr>
          <w:snapToGrid w:val="0"/>
          <w:kern w:val="22"/>
        </w:rPr>
        <w:t xml:space="preserve">meeting </w:t>
      </w:r>
      <w:r w:rsidR="00444195">
        <w:rPr>
          <w:snapToGrid w:val="0"/>
          <w:kern w:val="22"/>
        </w:rPr>
        <w:t>of</w:t>
      </w:r>
      <w:r w:rsidR="00444195" w:rsidRPr="00060510">
        <w:rPr>
          <w:snapToGrid w:val="0"/>
          <w:kern w:val="22"/>
        </w:rPr>
        <w:t xml:space="preserve"> </w:t>
      </w:r>
      <w:r w:rsidRPr="00060510">
        <w:rPr>
          <w:snapToGrid w:val="0"/>
          <w:kern w:val="22"/>
        </w:rPr>
        <w:t xml:space="preserve">the Global Partnership for Business and Biodiversity, which was hosted by the French member of the Global Partnership and </w:t>
      </w:r>
      <w:r w:rsidR="00852220">
        <w:rPr>
          <w:snapToGrid w:val="0"/>
          <w:kern w:val="22"/>
        </w:rPr>
        <w:t>held</w:t>
      </w:r>
      <w:r w:rsidRPr="00060510">
        <w:rPr>
          <w:snapToGrid w:val="0"/>
          <w:kern w:val="22"/>
        </w:rPr>
        <w:t xml:space="preserve"> in Paris </w:t>
      </w:r>
      <w:r w:rsidR="00852220">
        <w:rPr>
          <w:snapToGrid w:val="0"/>
          <w:kern w:val="22"/>
        </w:rPr>
        <w:t>on</w:t>
      </w:r>
      <w:r w:rsidR="00852220" w:rsidRPr="00060510">
        <w:rPr>
          <w:snapToGrid w:val="0"/>
          <w:kern w:val="22"/>
        </w:rPr>
        <w:t xml:space="preserve"> </w:t>
      </w:r>
      <w:r w:rsidRPr="00060510">
        <w:rPr>
          <w:snapToGrid w:val="0"/>
          <w:kern w:val="22"/>
        </w:rPr>
        <w:t>23</w:t>
      </w:r>
      <w:r w:rsidR="00852220">
        <w:rPr>
          <w:snapToGrid w:val="0"/>
          <w:kern w:val="22"/>
        </w:rPr>
        <w:t xml:space="preserve"> and </w:t>
      </w:r>
      <w:r w:rsidRPr="00060510">
        <w:rPr>
          <w:snapToGrid w:val="0"/>
          <w:kern w:val="22"/>
        </w:rPr>
        <w:t>24 November 2017,</w:t>
      </w:r>
      <w:r w:rsidRPr="00060510">
        <w:rPr>
          <w:rStyle w:val="FootnoteReference"/>
          <w:snapToGrid w:val="0"/>
          <w:kern w:val="22"/>
        </w:rPr>
        <w:footnoteReference w:id="31"/>
      </w:r>
      <w:r w:rsidRPr="00060510">
        <w:rPr>
          <w:snapToGrid w:val="0"/>
          <w:kern w:val="22"/>
        </w:rPr>
        <w:t xml:space="preserve"> </w:t>
      </w:r>
      <w:r w:rsidR="00827F87">
        <w:rPr>
          <w:snapToGrid w:val="0"/>
          <w:kern w:val="22"/>
        </w:rPr>
        <w:t>and</w:t>
      </w:r>
      <w:r w:rsidRPr="00060510">
        <w:rPr>
          <w:snapToGrid w:val="0"/>
          <w:kern w:val="22"/>
        </w:rPr>
        <w:t xml:space="preserve"> at an informal meeting in January 2018 with representatives </w:t>
      </w:r>
      <w:r w:rsidR="00DE3C05">
        <w:rPr>
          <w:snapToGrid w:val="0"/>
          <w:kern w:val="22"/>
        </w:rPr>
        <w:t>of</w:t>
      </w:r>
      <w:r w:rsidR="00DE3C05" w:rsidRPr="00060510">
        <w:rPr>
          <w:snapToGrid w:val="0"/>
          <w:kern w:val="22"/>
        </w:rPr>
        <w:t xml:space="preserve"> </w:t>
      </w:r>
      <w:r w:rsidRPr="00060510">
        <w:rPr>
          <w:snapToGrid w:val="0"/>
          <w:kern w:val="22"/>
        </w:rPr>
        <w:t xml:space="preserve">the Global Partnership, the Global Reporting Initiative, Reporting 3.0, the Netherlands Accountants Association (NBA), the Natural Capital Coalition (NCC) and the International Integrated Reporting Council. A draft of </w:t>
      </w:r>
      <w:r w:rsidR="00BE3AF4">
        <w:rPr>
          <w:snapToGrid w:val="0"/>
          <w:kern w:val="22"/>
        </w:rPr>
        <w:t>the present document</w:t>
      </w:r>
      <w:r w:rsidRPr="00060510">
        <w:rPr>
          <w:snapToGrid w:val="0"/>
          <w:kern w:val="22"/>
        </w:rPr>
        <w:t xml:space="preserve"> was also circulated to the partner organizations of the Global Partnership </w:t>
      </w:r>
      <w:r w:rsidR="00004346">
        <w:rPr>
          <w:snapToGrid w:val="0"/>
          <w:kern w:val="22"/>
        </w:rPr>
        <w:t>and</w:t>
      </w:r>
      <w:r w:rsidRPr="00060510">
        <w:rPr>
          <w:snapToGrid w:val="0"/>
          <w:kern w:val="22"/>
        </w:rPr>
        <w:t xml:space="preserve"> other relevant partners.</w:t>
      </w:r>
    </w:p>
    <w:p w:rsidR="00070D30" w:rsidRPr="00A47DD9"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bookmarkStart w:id="4" w:name="_Ref515223405"/>
      <w:r w:rsidRPr="00B14636">
        <w:rPr>
          <w:rFonts w:cs="Times New Roman"/>
          <w:snapToGrid w:val="0"/>
          <w:kern w:val="22"/>
          <w:lang w:eastAsia="ja-JP" w:bidi="th-TH"/>
        </w:rPr>
        <w:lastRenderedPageBreak/>
        <w:t>A draft revised typology and the conclusions of the research presented above were discussed with biodiversity and business partnerships as well as other relevant partners. While t</w:t>
      </w:r>
      <w:r w:rsidRPr="00060510">
        <w:rPr>
          <w:snapToGrid w:val="0"/>
          <w:kern w:val="22"/>
          <w:lang w:eastAsia="ja-JP" w:bidi="th-TH"/>
        </w:rPr>
        <w:t>he proposed revised typology was perceived by partners as a useful step towards achieving greater comparability among reporting methodologies and, eventually, increased coherence and consistency of biodiversity-related business reporting, it was also noted that, in order to advance further, more focus needs to be given to several strategic priorities, namely to: (</w:t>
      </w:r>
      <w:r w:rsidR="00CA37EE" w:rsidRPr="00060510">
        <w:rPr>
          <w:snapToGrid w:val="0"/>
          <w:kern w:val="22"/>
          <w:lang w:eastAsia="ja-JP" w:bidi="th-TH"/>
        </w:rPr>
        <w:t>a</w:t>
      </w:r>
      <w:r w:rsidRPr="00060510">
        <w:rPr>
          <w:snapToGrid w:val="0"/>
          <w:kern w:val="22"/>
          <w:lang w:eastAsia="ja-JP" w:bidi="th-TH"/>
        </w:rPr>
        <w:t>)</w:t>
      </w:r>
      <w:r w:rsidR="00121B6F">
        <w:rPr>
          <w:snapToGrid w:val="0"/>
          <w:kern w:val="22"/>
          <w:lang w:eastAsia="ja-JP" w:bidi="th-TH"/>
        </w:rPr>
        <w:t> </w:t>
      </w:r>
      <w:r w:rsidRPr="00060510">
        <w:rPr>
          <w:snapToGrid w:val="0"/>
          <w:kern w:val="22"/>
          <w:lang w:eastAsia="ja-JP" w:bidi="th-TH"/>
        </w:rPr>
        <w:t>improving the conceptual understanding among businesses; (</w:t>
      </w:r>
      <w:r w:rsidR="00CA37EE" w:rsidRPr="00060510">
        <w:rPr>
          <w:snapToGrid w:val="0"/>
          <w:kern w:val="22"/>
          <w:lang w:eastAsia="ja-JP" w:bidi="th-TH"/>
        </w:rPr>
        <w:t>b</w:t>
      </w:r>
      <w:r w:rsidRPr="00060510">
        <w:rPr>
          <w:snapToGrid w:val="0"/>
          <w:kern w:val="22"/>
          <w:lang w:eastAsia="ja-JP" w:bidi="th-TH"/>
        </w:rPr>
        <w:t>)</w:t>
      </w:r>
      <w:r w:rsidR="00121B6F">
        <w:rPr>
          <w:snapToGrid w:val="0"/>
          <w:kern w:val="22"/>
          <w:lang w:eastAsia="ja-JP" w:bidi="th-TH"/>
        </w:rPr>
        <w:t> </w:t>
      </w:r>
      <w:r w:rsidRPr="00060510">
        <w:rPr>
          <w:snapToGrid w:val="0"/>
          <w:kern w:val="22"/>
          <w:lang w:eastAsia="ja-JP" w:bidi="th-TH"/>
        </w:rPr>
        <w:t>setting of specific goals/objectives for business; (</w:t>
      </w:r>
      <w:r w:rsidR="00CA37EE" w:rsidRPr="00060510">
        <w:rPr>
          <w:snapToGrid w:val="0"/>
          <w:kern w:val="22"/>
          <w:lang w:eastAsia="ja-JP" w:bidi="th-TH"/>
        </w:rPr>
        <w:t>c</w:t>
      </w:r>
      <w:r w:rsidRPr="00060510">
        <w:rPr>
          <w:snapToGrid w:val="0"/>
          <w:kern w:val="22"/>
          <w:lang w:eastAsia="ja-JP" w:bidi="th-TH"/>
        </w:rPr>
        <w:t>)</w:t>
      </w:r>
      <w:r w:rsidR="00121B6F">
        <w:rPr>
          <w:snapToGrid w:val="0"/>
          <w:kern w:val="22"/>
          <w:lang w:eastAsia="ja-JP" w:bidi="th-TH"/>
        </w:rPr>
        <w:t> </w:t>
      </w:r>
      <w:r w:rsidRPr="00060510">
        <w:rPr>
          <w:snapToGrid w:val="0"/>
          <w:kern w:val="22"/>
          <w:lang w:eastAsia="ja-JP" w:bidi="th-TH"/>
        </w:rPr>
        <w:t>measurement methodologies and metrics; (</w:t>
      </w:r>
      <w:r w:rsidR="00CA37EE" w:rsidRPr="00060510">
        <w:rPr>
          <w:snapToGrid w:val="0"/>
          <w:kern w:val="22"/>
          <w:lang w:eastAsia="ja-JP" w:bidi="th-TH"/>
        </w:rPr>
        <w:t>d</w:t>
      </w:r>
      <w:r w:rsidRPr="00060510">
        <w:rPr>
          <w:snapToGrid w:val="0"/>
          <w:kern w:val="22"/>
          <w:lang w:eastAsia="ja-JP" w:bidi="th-TH"/>
        </w:rPr>
        <w:t>)</w:t>
      </w:r>
      <w:r w:rsidR="00121B6F">
        <w:rPr>
          <w:snapToGrid w:val="0"/>
          <w:kern w:val="22"/>
          <w:lang w:eastAsia="ja-JP" w:bidi="th-TH"/>
        </w:rPr>
        <w:t> </w:t>
      </w:r>
      <w:r w:rsidRPr="00060510">
        <w:rPr>
          <w:snapToGrid w:val="0"/>
          <w:kern w:val="22"/>
          <w:lang w:eastAsia="ja-JP" w:bidi="th-TH"/>
        </w:rPr>
        <w:t>strengthening global and sectoral partnerships with relevant organizations and initiatives.</w:t>
      </w:r>
      <w:r w:rsidRPr="000D1078">
        <w:rPr>
          <w:rFonts w:cs="Times New Roman"/>
          <w:snapToGrid w:val="0"/>
          <w:kern w:val="22"/>
          <w:lang w:eastAsia="ja-JP" w:bidi="th-TH"/>
        </w:rPr>
        <w:t xml:space="preserve"> </w:t>
      </w:r>
      <w:r w:rsidRPr="00B14636">
        <w:rPr>
          <w:rFonts w:cs="Times New Roman"/>
          <w:snapToGrid w:val="0"/>
          <w:kern w:val="22"/>
          <w:lang w:eastAsia="ja-JP" w:bidi="th-TH"/>
        </w:rPr>
        <w:t>These points are further elaborated below</w:t>
      </w:r>
      <w:r w:rsidR="007D512F">
        <w:rPr>
          <w:rFonts w:cs="Times New Roman"/>
          <w:snapToGrid w:val="0"/>
          <w:kern w:val="22"/>
          <w:lang w:eastAsia="ja-JP" w:bidi="th-TH"/>
        </w:rPr>
        <w:t>:</w:t>
      </w:r>
      <w:bookmarkEnd w:id="4"/>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sidRPr="00060510">
        <w:rPr>
          <w:i/>
          <w:kern w:val="22"/>
          <w:lang w:eastAsia="ja-JP" w:bidi="th-TH"/>
        </w:rPr>
        <w:t>Improve understanding.</w:t>
      </w:r>
      <w:r w:rsidRPr="00060510">
        <w:rPr>
          <w:kern w:val="22"/>
          <w:lang w:eastAsia="ja-JP" w:bidi="th-TH"/>
        </w:rPr>
        <w:t xml:space="preserve"> Partners confirmed that biodiversity is currently not perceived by most businesses as directly impacting them. There is a need to improve the understanding of how biodiversity underpins the provision of ecosystem services and benefits that are critical for business operations and business models, and to get this understanding to the forefront of business discussions</w:t>
      </w:r>
      <w:r w:rsidR="00CA37EE" w:rsidRPr="00060510">
        <w:rPr>
          <w:kern w:val="22"/>
          <w:lang w:eastAsia="ja-JP" w:bidi="th-TH"/>
        </w:rPr>
        <w:t>;</w:t>
      </w:r>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sidRPr="00060510">
        <w:rPr>
          <w:i/>
          <w:kern w:val="22"/>
          <w:lang w:eastAsia="ja-JP" w:bidi="th-TH"/>
        </w:rPr>
        <w:t>Need for clear objectives and targets to inform robust indicator development</w:t>
      </w:r>
      <w:r w:rsidRPr="00060510">
        <w:rPr>
          <w:kern w:val="22"/>
          <w:lang w:eastAsia="ja-JP" w:bidi="th-TH"/>
        </w:rPr>
        <w:t xml:space="preserve">. As identified in the </w:t>
      </w:r>
      <w:r w:rsidR="003049F3" w:rsidRPr="005625DF">
        <w:rPr>
          <w:kern w:val="22"/>
          <w:lang w:eastAsia="ja-JP" w:bidi="th-TH"/>
        </w:rPr>
        <w:t>guidance</w:t>
      </w:r>
      <w:r w:rsidR="003049F3">
        <w:rPr>
          <w:kern w:val="22"/>
          <w:lang w:eastAsia="ja-JP" w:bidi="th-TH"/>
        </w:rPr>
        <w:t xml:space="preserve"> from the</w:t>
      </w:r>
      <w:r w:rsidR="003049F3" w:rsidRPr="00C05106">
        <w:rPr>
          <w:kern w:val="22"/>
          <w:lang w:eastAsia="ja-JP" w:bidi="th-TH"/>
        </w:rPr>
        <w:t xml:space="preserve"> </w:t>
      </w:r>
      <w:r w:rsidRPr="00060510">
        <w:rPr>
          <w:kern w:val="22"/>
          <w:lang w:eastAsia="ja-JP" w:bidi="th-TH"/>
        </w:rPr>
        <w:t xml:space="preserve">Biodiversity Indicators Partnership, businesses could benefit from having clear expectations outlined in terms of specific objectives and targets, which then inform more consistent and robust use of biodiversity indicators. The </w:t>
      </w:r>
      <w:r w:rsidR="008368FF">
        <w:rPr>
          <w:kern w:val="22"/>
          <w:lang w:eastAsia="ja-JP" w:bidi="th-TH"/>
        </w:rPr>
        <w:t>Convention</w:t>
      </w:r>
      <w:r w:rsidR="008368FF" w:rsidRPr="00060510">
        <w:rPr>
          <w:kern w:val="22"/>
          <w:lang w:eastAsia="ja-JP" w:bidi="th-TH"/>
        </w:rPr>
        <w:t xml:space="preserve"> </w:t>
      </w:r>
      <w:r w:rsidRPr="00060510">
        <w:rPr>
          <w:kern w:val="22"/>
          <w:lang w:eastAsia="ja-JP" w:bidi="th-TH"/>
        </w:rPr>
        <w:t>could also use the development of the post-2020 biodiversity strategy as a means to identify such targets and metrics for both the public and private sectors</w:t>
      </w:r>
      <w:r w:rsidR="00CF24DF" w:rsidRPr="00060510">
        <w:rPr>
          <w:kern w:val="22"/>
          <w:lang w:eastAsia="ja-JP" w:bidi="th-TH"/>
        </w:rPr>
        <w:t>;</w:t>
      </w:r>
      <w:r w:rsidRPr="00060510">
        <w:rPr>
          <w:rStyle w:val="FootnoteReference"/>
          <w:kern w:val="22"/>
          <w:lang w:eastAsia="ja-JP" w:bidi="th-TH"/>
        </w:rPr>
        <w:footnoteReference w:id="32"/>
      </w:r>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sidRPr="00060510">
        <w:rPr>
          <w:i/>
          <w:kern w:val="22"/>
          <w:lang w:eastAsia="ja-JP" w:bidi="th-TH"/>
        </w:rPr>
        <w:t xml:space="preserve">Measurement methodologies or metrics. </w:t>
      </w:r>
      <w:r w:rsidRPr="00060510">
        <w:rPr>
          <w:kern w:val="22"/>
          <w:lang w:eastAsia="ja-JP" w:bidi="th-TH"/>
        </w:rPr>
        <w:t xml:space="preserve">Related to the previous point, a need was identified to provide increased focus on further developing agreed methodologies or metrics for measuring impacts on, and dependencies from, biodiversity, in particular with regard to the critical role of biodiversity as underpinning ecosystem functioning and the provision of ecosystem services and benefits that are critical for business operations and business models. In </w:t>
      </w:r>
      <w:r w:rsidR="00DF1E43" w:rsidRPr="00060510">
        <w:rPr>
          <w:kern w:val="22"/>
          <w:lang w:eastAsia="ja-JP" w:bidi="th-TH"/>
        </w:rPr>
        <w:t xml:space="preserve">the </w:t>
      </w:r>
      <w:r w:rsidRPr="00060510">
        <w:rPr>
          <w:kern w:val="22"/>
          <w:lang w:eastAsia="ja-JP" w:bidi="th-TH"/>
        </w:rPr>
        <w:t xml:space="preserve">light of earlier decisions of the Conference of the Parties, such as decision XIII/3, paragraph 87, these methodologies or metrics need to take into account the various conceptualizations of biodiversity values, as </w:t>
      </w:r>
      <w:r w:rsidR="000D074E">
        <w:rPr>
          <w:kern w:val="22"/>
          <w:lang w:eastAsia="ja-JP" w:bidi="th-TH"/>
        </w:rPr>
        <w:t>spelled</w:t>
      </w:r>
      <w:r w:rsidR="000D074E" w:rsidRPr="00060510">
        <w:rPr>
          <w:kern w:val="22"/>
          <w:lang w:eastAsia="ja-JP" w:bidi="th-TH"/>
        </w:rPr>
        <w:t xml:space="preserve"> </w:t>
      </w:r>
      <w:r w:rsidRPr="00060510">
        <w:rPr>
          <w:kern w:val="22"/>
          <w:lang w:eastAsia="ja-JP" w:bidi="th-TH"/>
        </w:rPr>
        <w:t xml:space="preserve">out in decision </w:t>
      </w:r>
      <w:r w:rsidRPr="00060510">
        <w:rPr>
          <w:kern w:val="22"/>
        </w:rPr>
        <w:t>X/3, paragraph 9(b)(ii)</w:t>
      </w:r>
      <w:r w:rsidR="00CF24DF" w:rsidRPr="00060510">
        <w:rPr>
          <w:kern w:val="22"/>
        </w:rPr>
        <w:t>;</w:t>
      </w:r>
      <w:r w:rsidRPr="00060510">
        <w:rPr>
          <w:rStyle w:val="FootnoteReference"/>
          <w:kern w:val="22"/>
        </w:rPr>
        <w:footnoteReference w:id="33"/>
      </w:r>
    </w:p>
    <w:p w:rsidR="00070D30" w:rsidRPr="00060510" w:rsidRDefault="00070D30"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lang w:eastAsia="ja-JP" w:bidi="th-TH"/>
        </w:rPr>
      </w:pPr>
      <w:r w:rsidRPr="00060510">
        <w:rPr>
          <w:i/>
          <w:kern w:val="22"/>
          <w:lang w:eastAsia="ja-JP" w:bidi="th-TH"/>
        </w:rPr>
        <w:t>Strengthening partnerships.</w:t>
      </w:r>
      <w:r w:rsidRPr="00060510">
        <w:rPr>
          <w:kern w:val="22"/>
          <w:lang w:eastAsia="ja-JP" w:bidi="th-TH"/>
        </w:rPr>
        <w:t xml:space="preserve"> In this context, partners saw value in sharing experience</w:t>
      </w:r>
      <w:r w:rsidR="00AE3075" w:rsidRPr="00060510">
        <w:rPr>
          <w:kern w:val="22"/>
          <w:lang w:eastAsia="ja-JP" w:bidi="th-TH"/>
        </w:rPr>
        <w:t xml:space="preserve"> on</w:t>
      </w:r>
      <w:r w:rsidRPr="00060510">
        <w:rPr>
          <w:kern w:val="22"/>
          <w:lang w:eastAsia="ja-JP" w:bidi="th-TH"/>
        </w:rPr>
        <w:t xml:space="preserve"> what is working for businesses, for instance experiences gained in applying the Natural Capital Protocol and other relevant tools, and to encourage and or support collaborative partners in their necessary further work on methodologies or metrics, including on the interface between SEEA accounting and business accounting. At the global level, this could include partners such as UNE</w:t>
      </w:r>
      <w:r w:rsidR="00AE3075" w:rsidRPr="00060510">
        <w:rPr>
          <w:kern w:val="22"/>
          <w:lang w:eastAsia="ja-JP" w:bidi="th-TH"/>
        </w:rPr>
        <w:t>P</w:t>
      </w:r>
      <w:r w:rsidRPr="00060510">
        <w:rPr>
          <w:kern w:val="22"/>
          <w:lang w:eastAsia="ja-JP" w:bidi="th-TH"/>
        </w:rPr>
        <w:t xml:space="preserve"> and its World Conservation Monitoring Centre, the United Nations Global Compact, the United Nations Statistics Division, the Natural Capital Coalition and its biodiversity working group, the referenced work of the Cambridge Institute for Sustainability Leadership, the Global Reporting Initiative, and other partners. Moreover, sector business associations, in particular of those sectors associated with higher impacts and dependencies, could be important partners in developing relevant sector</w:t>
      </w:r>
      <w:r w:rsidR="000F4D33">
        <w:rPr>
          <w:kern w:val="22"/>
          <w:lang w:eastAsia="ja-JP" w:bidi="th-TH"/>
        </w:rPr>
        <w:t>-</w:t>
      </w:r>
      <w:r w:rsidRPr="00060510">
        <w:rPr>
          <w:kern w:val="22"/>
          <w:lang w:eastAsia="ja-JP" w:bidi="th-TH"/>
        </w:rPr>
        <w:t>specific indicators and metrics. This work could be informed by the considerable wealth of experience under the Convention in developing relevant indicators, such as the work of the Biodiversity Indicators Partnership (BIP), referenced above.</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060510">
        <w:rPr>
          <w:snapToGrid w:val="0"/>
          <w:kern w:val="22"/>
        </w:rPr>
        <w:t>D.</w:t>
      </w:r>
      <w:r w:rsidRPr="00060510">
        <w:rPr>
          <w:snapToGrid w:val="0"/>
          <w:kern w:val="22"/>
        </w:rPr>
        <w:tab/>
        <w:t xml:space="preserve">Revised </w:t>
      </w:r>
      <w:r w:rsidR="00AE3075" w:rsidRPr="00060510">
        <w:rPr>
          <w:snapToGrid w:val="0"/>
          <w:kern w:val="22"/>
        </w:rPr>
        <w:t>t</w:t>
      </w:r>
      <w:r w:rsidRPr="00060510">
        <w:rPr>
          <w:snapToGrid w:val="0"/>
          <w:kern w:val="22"/>
        </w:rPr>
        <w:t xml:space="preserve">ypology of </w:t>
      </w:r>
      <w:r w:rsidR="00AE3075" w:rsidRPr="00060510">
        <w:rPr>
          <w:snapToGrid w:val="0"/>
          <w:kern w:val="22"/>
        </w:rPr>
        <w:t>a</w:t>
      </w:r>
      <w:r w:rsidRPr="00060510">
        <w:rPr>
          <w:snapToGrid w:val="0"/>
          <w:kern w:val="22"/>
        </w:rPr>
        <w:t>ctions</w:t>
      </w:r>
    </w:p>
    <w:p w:rsidR="00070D30" w:rsidRPr="000D1078"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D1078">
        <w:rPr>
          <w:rFonts w:cs="Times New Roman"/>
          <w:snapToGrid w:val="0"/>
          <w:kern w:val="22"/>
          <w:lang w:eastAsia="ja-JP" w:bidi="th-TH"/>
        </w:rPr>
        <w:t xml:space="preserve">As </w:t>
      </w:r>
      <w:r w:rsidR="00725ABA">
        <w:rPr>
          <w:rFonts w:cs="Times New Roman"/>
          <w:snapToGrid w:val="0"/>
          <w:kern w:val="22"/>
          <w:lang w:eastAsia="ja-JP" w:bidi="th-TH"/>
        </w:rPr>
        <w:t>indicated</w:t>
      </w:r>
      <w:r w:rsidR="00725ABA" w:rsidRPr="000D1078">
        <w:rPr>
          <w:rFonts w:cs="Times New Roman"/>
          <w:snapToGrid w:val="0"/>
          <w:kern w:val="22"/>
          <w:lang w:eastAsia="ja-JP" w:bidi="th-TH"/>
        </w:rPr>
        <w:t xml:space="preserve"> </w:t>
      </w:r>
      <w:r w:rsidRPr="000D1078">
        <w:rPr>
          <w:rFonts w:cs="Times New Roman"/>
          <w:snapToGrid w:val="0"/>
          <w:kern w:val="22"/>
          <w:lang w:eastAsia="ja-JP" w:bidi="th-TH"/>
        </w:rPr>
        <w:t>above, b</w:t>
      </w:r>
      <w:r w:rsidRPr="00B14636">
        <w:rPr>
          <w:rFonts w:cs="Times New Roman"/>
          <w:snapToGrid w:val="0"/>
          <w:kern w:val="22"/>
          <w:lang w:eastAsia="ja-JP" w:bidi="th-TH"/>
        </w:rPr>
        <w:t>ased on the research and consultations, the typology of actions was simplified</w:t>
      </w:r>
      <w:r w:rsidRPr="007C09F7">
        <w:rPr>
          <w:rFonts w:cs="Times New Roman"/>
          <w:snapToGrid w:val="0"/>
          <w:kern w:val="22"/>
          <w:lang w:eastAsia="ja-JP" w:bidi="th-TH"/>
        </w:rPr>
        <w:t>. Categories were narrowed down to three main themes: (</w:t>
      </w:r>
      <w:r w:rsidR="00AE3075" w:rsidRPr="007C09F7">
        <w:rPr>
          <w:rFonts w:cs="Times New Roman"/>
          <w:snapToGrid w:val="0"/>
          <w:kern w:val="22"/>
          <w:lang w:eastAsia="ja-JP" w:bidi="th-TH"/>
        </w:rPr>
        <w:t>a</w:t>
      </w:r>
      <w:r w:rsidRPr="007C09F7">
        <w:rPr>
          <w:rFonts w:cs="Times New Roman"/>
          <w:snapToGrid w:val="0"/>
          <w:kern w:val="22"/>
          <w:lang w:eastAsia="ja-JP" w:bidi="th-TH"/>
        </w:rPr>
        <w:t xml:space="preserve">) </w:t>
      </w:r>
      <w:r w:rsidR="00391801">
        <w:rPr>
          <w:rFonts w:cs="Times New Roman"/>
          <w:snapToGrid w:val="0"/>
          <w:kern w:val="22"/>
          <w:lang w:eastAsia="ja-JP" w:bidi="th-TH"/>
        </w:rPr>
        <w:t>c</w:t>
      </w:r>
      <w:r w:rsidRPr="00060510">
        <w:rPr>
          <w:rFonts w:cs="Times New Roman"/>
          <w:snapToGrid w:val="0"/>
          <w:kern w:val="22"/>
          <w:lang w:eastAsia="ja-JP" w:bidi="th-TH"/>
        </w:rPr>
        <w:t>ommitment; (</w:t>
      </w:r>
      <w:r w:rsidR="00AE3075" w:rsidRPr="00060510">
        <w:rPr>
          <w:rFonts w:cs="Times New Roman"/>
          <w:snapToGrid w:val="0"/>
          <w:kern w:val="22"/>
          <w:lang w:eastAsia="ja-JP" w:bidi="th-TH"/>
        </w:rPr>
        <w:t>b</w:t>
      </w:r>
      <w:r w:rsidRPr="00060510">
        <w:rPr>
          <w:rFonts w:cs="Times New Roman"/>
          <w:snapToGrid w:val="0"/>
          <w:kern w:val="22"/>
          <w:lang w:eastAsia="ja-JP" w:bidi="th-TH"/>
        </w:rPr>
        <w:t xml:space="preserve">) </w:t>
      </w:r>
      <w:r w:rsidR="00391801">
        <w:rPr>
          <w:rFonts w:cs="Times New Roman"/>
          <w:snapToGrid w:val="0"/>
          <w:kern w:val="22"/>
          <w:lang w:eastAsia="ja-JP" w:bidi="th-TH"/>
        </w:rPr>
        <w:t>e</w:t>
      </w:r>
      <w:r w:rsidRPr="000D1078">
        <w:rPr>
          <w:rFonts w:cs="Times New Roman"/>
          <w:snapToGrid w:val="0"/>
          <w:kern w:val="22"/>
          <w:lang w:eastAsia="ja-JP" w:bidi="th-TH"/>
        </w:rPr>
        <w:t>ngagement; and (</w:t>
      </w:r>
      <w:r w:rsidR="00AE3075" w:rsidRPr="00B14636">
        <w:rPr>
          <w:rFonts w:cs="Times New Roman"/>
          <w:snapToGrid w:val="0"/>
          <w:kern w:val="22"/>
          <w:lang w:eastAsia="ja-JP" w:bidi="th-TH"/>
        </w:rPr>
        <w:t>c</w:t>
      </w:r>
      <w:r w:rsidRPr="00B14636">
        <w:rPr>
          <w:rFonts w:cs="Times New Roman"/>
          <w:snapToGrid w:val="0"/>
          <w:kern w:val="22"/>
          <w:lang w:eastAsia="ja-JP" w:bidi="th-TH"/>
        </w:rPr>
        <w:t>)</w:t>
      </w:r>
      <w:r w:rsidR="00AE3075" w:rsidRPr="00B14636">
        <w:rPr>
          <w:rFonts w:cs="Times New Roman"/>
          <w:snapToGrid w:val="0"/>
          <w:kern w:val="22"/>
          <w:lang w:eastAsia="ja-JP" w:bidi="th-TH"/>
        </w:rPr>
        <w:t> </w:t>
      </w:r>
      <w:r w:rsidR="00391801">
        <w:rPr>
          <w:rFonts w:cs="Times New Roman"/>
          <w:snapToGrid w:val="0"/>
          <w:kern w:val="22"/>
          <w:lang w:eastAsia="ja-JP" w:bidi="th-TH"/>
        </w:rPr>
        <w:t>m</w:t>
      </w:r>
      <w:r w:rsidRPr="007C09F7">
        <w:rPr>
          <w:rFonts w:cs="Times New Roman"/>
          <w:snapToGrid w:val="0"/>
          <w:kern w:val="22"/>
          <w:lang w:eastAsia="ja-JP" w:bidi="th-TH"/>
        </w:rPr>
        <w:t>easurement. For each of the themes of the typology, a number of common topics were identified to facilitate the identification of the good prac</w:t>
      </w:r>
      <w:r w:rsidRPr="00A47DD9">
        <w:rPr>
          <w:rFonts w:cs="Times New Roman"/>
          <w:snapToGrid w:val="0"/>
          <w:kern w:val="22"/>
          <w:lang w:eastAsia="ja-JP" w:bidi="th-TH"/>
        </w:rPr>
        <w:t xml:space="preserve">tices for reporting under each theme. This revised </w:t>
      </w:r>
      <w:r w:rsidRPr="00281B6E">
        <w:rPr>
          <w:rFonts w:cs="Times New Roman"/>
          <w:snapToGrid w:val="0"/>
          <w:kern w:val="22"/>
          <w:lang w:eastAsia="ja-JP" w:bidi="th-TH"/>
        </w:rPr>
        <w:t xml:space="preserve">typology is provided in </w:t>
      </w:r>
      <w:r w:rsidR="00AE3075" w:rsidRPr="00281B6E">
        <w:rPr>
          <w:rFonts w:cs="Times New Roman"/>
          <w:snapToGrid w:val="0"/>
          <w:kern w:val="22"/>
          <w:lang w:eastAsia="ja-JP" w:bidi="th-TH"/>
        </w:rPr>
        <w:t>a</w:t>
      </w:r>
      <w:r w:rsidRPr="000D5074">
        <w:rPr>
          <w:rFonts w:cs="Times New Roman"/>
          <w:snapToGrid w:val="0"/>
          <w:kern w:val="22"/>
          <w:lang w:eastAsia="ja-JP" w:bidi="th-TH"/>
        </w:rPr>
        <w:t>nnex</w:t>
      </w:r>
      <w:r w:rsidR="00BD721B">
        <w:rPr>
          <w:rFonts w:cs="Times New Roman"/>
          <w:snapToGrid w:val="0"/>
          <w:kern w:val="22"/>
          <w:lang w:eastAsia="ja-JP" w:bidi="th-TH"/>
        </w:rPr>
        <w:t> </w:t>
      </w:r>
      <w:r w:rsidRPr="000D5074">
        <w:rPr>
          <w:rFonts w:cs="Times New Roman"/>
          <w:snapToGrid w:val="0"/>
          <w:kern w:val="22"/>
          <w:lang w:eastAsia="ja-JP" w:bidi="th-TH"/>
        </w:rPr>
        <w:t>I</w:t>
      </w:r>
      <w:r w:rsidRPr="000D1078">
        <w:rPr>
          <w:rFonts w:cs="Times New Roman"/>
          <w:snapToGrid w:val="0"/>
          <w:kern w:val="22"/>
          <w:lang w:eastAsia="ja-JP" w:bidi="th-TH"/>
        </w:rPr>
        <w:t>.</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eastAsia="ja-JP" w:bidi="th-TH"/>
        </w:rPr>
      </w:pPr>
      <w:r w:rsidRPr="00060510">
        <w:rPr>
          <w:rFonts w:cs="Times New Roman"/>
          <w:snapToGrid w:val="0"/>
          <w:kern w:val="22"/>
          <w:lang w:eastAsia="ja-JP" w:bidi="th-TH"/>
        </w:rPr>
        <w:t xml:space="preserve">In order to provide further practical and concrete guidance to companies on how to apply the revised methodology, additional information was compiled from individual companies with a view to </w:t>
      </w:r>
      <w:r w:rsidRPr="00060510">
        <w:rPr>
          <w:rFonts w:cs="Times New Roman"/>
          <w:snapToGrid w:val="0"/>
          <w:kern w:val="22"/>
          <w:lang w:eastAsia="ja-JP" w:bidi="th-TH"/>
        </w:rPr>
        <w:lastRenderedPageBreak/>
        <w:t>identify</w:t>
      </w:r>
      <w:r w:rsidR="000D7F40" w:rsidRPr="00060510">
        <w:rPr>
          <w:rFonts w:cs="Times New Roman"/>
          <w:snapToGrid w:val="0"/>
          <w:kern w:val="22"/>
          <w:lang w:eastAsia="ja-JP" w:bidi="th-TH"/>
        </w:rPr>
        <w:t>ing</w:t>
      </w:r>
      <w:r w:rsidRPr="00060510">
        <w:rPr>
          <w:rFonts w:cs="Times New Roman"/>
          <w:snapToGrid w:val="0"/>
          <w:kern w:val="22"/>
          <w:lang w:eastAsia="ja-JP" w:bidi="th-TH"/>
        </w:rPr>
        <w:t xml:space="preserve"> good practice examples </w:t>
      </w:r>
      <w:r w:rsidR="00276B34">
        <w:rPr>
          <w:rFonts w:cs="Times New Roman"/>
          <w:snapToGrid w:val="0"/>
          <w:kern w:val="22"/>
          <w:lang w:eastAsia="ja-JP" w:bidi="th-TH"/>
        </w:rPr>
        <w:t>that</w:t>
      </w:r>
      <w:r w:rsidR="00276B34" w:rsidRPr="00060510">
        <w:rPr>
          <w:rFonts w:cs="Times New Roman"/>
          <w:snapToGrid w:val="0"/>
          <w:kern w:val="22"/>
          <w:lang w:eastAsia="ja-JP" w:bidi="th-TH"/>
        </w:rPr>
        <w:t xml:space="preserve"> </w:t>
      </w:r>
      <w:r w:rsidRPr="00060510">
        <w:rPr>
          <w:rFonts w:cs="Times New Roman"/>
          <w:snapToGrid w:val="0"/>
          <w:kern w:val="22"/>
          <w:lang w:eastAsia="ja-JP" w:bidi="th-TH"/>
        </w:rPr>
        <w:t>match the themes and associated topics of the typology and could thus act as guidance for emulation. For example, under the theme of “commitment,” a good practice example is a biodiv</w:t>
      </w:r>
      <w:r w:rsidR="00AE3075" w:rsidRPr="00060510">
        <w:rPr>
          <w:rFonts w:cs="Times New Roman"/>
          <w:snapToGrid w:val="0"/>
          <w:kern w:val="22"/>
          <w:lang w:eastAsia="ja-JP" w:bidi="th-TH"/>
        </w:rPr>
        <w:t>e</w:t>
      </w:r>
      <w:r w:rsidRPr="00060510">
        <w:rPr>
          <w:rFonts w:cs="Times New Roman"/>
          <w:snapToGrid w:val="0"/>
          <w:kern w:val="22"/>
          <w:lang w:eastAsia="ja-JP" w:bidi="th-TH"/>
        </w:rPr>
        <w:t>r</w:t>
      </w:r>
      <w:r w:rsidR="00AE3075" w:rsidRPr="00060510">
        <w:rPr>
          <w:rFonts w:cs="Times New Roman"/>
          <w:snapToGrid w:val="0"/>
          <w:kern w:val="22"/>
          <w:lang w:eastAsia="ja-JP" w:bidi="th-TH"/>
        </w:rPr>
        <w:t>s</w:t>
      </w:r>
      <w:r w:rsidRPr="00060510">
        <w:rPr>
          <w:rFonts w:cs="Times New Roman"/>
          <w:snapToGrid w:val="0"/>
          <w:kern w:val="22"/>
          <w:lang w:eastAsia="ja-JP" w:bidi="th-TH"/>
        </w:rPr>
        <w:t>ity policy outlining the compan</w:t>
      </w:r>
      <w:r w:rsidR="00F77AF8">
        <w:rPr>
          <w:rFonts w:cs="Times New Roman"/>
          <w:snapToGrid w:val="0"/>
          <w:kern w:val="22"/>
          <w:lang w:eastAsia="ja-JP" w:bidi="th-TH"/>
        </w:rPr>
        <w:t>y’</w:t>
      </w:r>
      <w:r w:rsidRPr="00060510">
        <w:rPr>
          <w:rFonts w:cs="Times New Roman"/>
          <w:snapToGrid w:val="0"/>
          <w:kern w:val="22"/>
          <w:lang w:eastAsia="ja-JP" w:bidi="th-TH"/>
        </w:rPr>
        <w:t xml:space="preserve">s commitments. Under “engagement,” </w:t>
      </w:r>
      <w:r w:rsidR="007A6A72">
        <w:rPr>
          <w:rFonts w:cs="Times New Roman"/>
          <w:snapToGrid w:val="0"/>
          <w:kern w:val="22"/>
          <w:lang w:eastAsia="ja-JP" w:bidi="th-TH"/>
        </w:rPr>
        <w:t>there</w:t>
      </w:r>
      <w:r w:rsidR="007A6A72" w:rsidRPr="00060510">
        <w:rPr>
          <w:rFonts w:cs="Times New Roman"/>
          <w:snapToGrid w:val="0"/>
          <w:kern w:val="22"/>
          <w:lang w:eastAsia="ja-JP" w:bidi="th-TH"/>
        </w:rPr>
        <w:t xml:space="preserve"> </w:t>
      </w:r>
      <w:r w:rsidRPr="00060510">
        <w:rPr>
          <w:rFonts w:cs="Times New Roman"/>
          <w:snapToGrid w:val="0"/>
          <w:kern w:val="22"/>
          <w:lang w:eastAsia="ja-JP" w:bidi="th-TH"/>
        </w:rPr>
        <w:t xml:space="preserve">could be a reference to support for conservation projects for biodiversity affected by the company’s actions. Under “measurement”, </w:t>
      </w:r>
      <w:r w:rsidR="007A6A72">
        <w:rPr>
          <w:rFonts w:cs="Times New Roman"/>
          <w:snapToGrid w:val="0"/>
          <w:kern w:val="22"/>
          <w:lang w:eastAsia="ja-JP" w:bidi="th-TH"/>
        </w:rPr>
        <w:t>there</w:t>
      </w:r>
      <w:r w:rsidR="007A6A72" w:rsidRPr="00060510">
        <w:rPr>
          <w:rFonts w:cs="Times New Roman"/>
          <w:snapToGrid w:val="0"/>
          <w:kern w:val="22"/>
          <w:lang w:eastAsia="ja-JP" w:bidi="th-TH"/>
        </w:rPr>
        <w:t xml:space="preserve"> </w:t>
      </w:r>
      <w:r w:rsidRPr="00060510">
        <w:rPr>
          <w:rFonts w:cs="Times New Roman"/>
          <w:snapToGrid w:val="0"/>
          <w:kern w:val="22"/>
          <w:lang w:eastAsia="ja-JP" w:bidi="th-TH"/>
        </w:rPr>
        <w:t xml:space="preserve">could be a reference, for instance, </w:t>
      </w:r>
      <w:r w:rsidR="007A6A72" w:rsidRPr="00C93388">
        <w:rPr>
          <w:rFonts w:cs="Times New Roman"/>
          <w:snapToGrid w:val="0"/>
          <w:kern w:val="22"/>
          <w:lang w:eastAsia="ja-JP" w:bidi="th-TH"/>
        </w:rPr>
        <w:t>to</w:t>
      </w:r>
      <w:r w:rsidR="007A6A72" w:rsidRPr="00C05106">
        <w:rPr>
          <w:rFonts w:cs="Times New Roman"/>
          <w:snapToGrid w:val="0"/>
          <w:kern w:val="22"/>
          <w:lang w:eastAsia="ja-JP" w:bidi="th-TH"/>
        </w:rPr>
        <w:t xml:space="preserve"> </w:t>
      </w:r>
      <w:r w:rsidRPr="00060510">
        <w:rPr>
          <w:rFonts w:cs="Times New Roman"/>
          <w:snapToGrid w:val="0"/>
          <w:kern w:val="22"/>
          <w:lang w:eastAsia="ja-JP" w:bidi="th-TH"/>
        </w:rPr>
        <w:t>the use of the Integrated Biodiversity Assessment Tool (IBAT)</w:t>
      </w:r>
      <w:r w:rsidRPr="00060510">
        <w:rPr>
          <w:rFonts w:cs="Times New Roman"/>
          <w:snapToGrid w:val="0"/>
          <w:color w:val="000000"/>
          <w:kern w:val="22"/>
        </w:rPr>
        <w:t>.</w:t>
      </w:r>
      <w:r w:rsidRPr="00060510">
        <w:rPr>
          <w:rStyle w:val="FootnoteReference"/>
          <w:rFonts w:cs="Times New Roman"/>
          <w:snapToGrid w:val="0"/>
          <w:color w:val="000000"/>
          <w:kern w:val="22"/>
        </w:rPr>
        <w:footnoteReference w:id="34"/>
      </w:r>
      <w:r w:rsidRPr="00060510">
        <w:rPr>
          <w:rFonts w:cs="Times New Roman"/>
          <w:snapToGrid w:val="0"/>
          <w:kern w:val="22"/>
          <w:lang w:eastAsia="ja-JP" w:bidi="th-TH"/>
        </w:rPr>
        <w:t xml:space="preserve"> This compilation of good practice cases from companies is provided in </w:t>
      </w:r>
      <w:r w:rsidR="00456383" w:rsidRPr="00060510">
        <w:rPr>
          <w:rFonts w:cs="Times New Roman"/>
          <w:snapToGrid w:val="0"/>
          <w:kern w:val="22"/>
          <w:lang w:eastAsia="ja-JP" w:bidi="th-TH"/>
        </w:rPr>
        <w:t>a</w:t>
      </w:r>
      <w:r w:rsidRPr="00060510">
        <w:rPr>
          <w:rFonts w:cs="Times New Roman"/>
          <w:snapToGrid w:val="0"/>
          <w:kern w:val="22"/>
          <w:lang w:eastAsia="ja-JP" w:bidi="th-TH"/>
        </w:rPr>
        <w:t>nnex</w:t>
      </w:r>
      <w:r w:rsidR="00D95F7A">
        <w:rPr>
          <w:rFonts w:cs="Times New Roman"/>
          <w:snapToGrid w:val="0"/>
          <w:kern w:val="22"/>
          <w:lang w:eastAsia="ja-JP" w:bidi="th-TH"/>
        </w:rPr>
        <w:t> </w:t>
      </w:r>
      <w:r w:rsidRPr="00060510">
        <w:rPr>
          <w:rFonts w:cs="Times New Roman"/>
          <w:snapToGrid w:val="0"/>
          <w:kern w:val="22"/>
          <w:lang w:eastAsia="ja-JP" w:bidi="th-TH"/>
        </w:rPr>
        <w:t>II.</w:t>
      </w:r>
    </w:p>
    <w:p w:rsidR="00070D30" w:rsidRPr="00060510" w:rsidRDefault="00070D30" w:rsidP="00060510">
      <w:pPr>
        <w:pStyle w:val="Para1"/>
        <w:suppressLineNumbers/>
        <w:suppressAutoHyphens/>
        <w:kinsoku w:val="0"/>
        <w:overflowPunct w:val="0"/>
        <w:autoSpaceDE w:val="0"/>
        <w:autoSpaceDN w:val="0"/>
        <w:adjustRightInd w:val="0"/>
        <w:snapToGrid w:val="0"/>
        <w:ind w:left="0" w:firstLine="0"/>
        <w:rPr>
          <w:snapToGrid w:val="0"/>
          <w:kern w:val="22"/>
          <w:lang w:eastAsia="ja-JP" w:bidi="th-TH"/>
        </w:rPr>
      </w:pPr>
      <w:r w:rsidRPr="00060510">
        <w:rPr>
          <w:snapToGrid w:val="0"/>
          <w:kern w:val="22"/>
          <w:lang w:eastAsia="ja-JP" w:bidi="th-TH"/>
        </w:rPr>
        <w:t xml:space="preserve">Finally, as noted above, disclosure and reporting is the last step for businesses in identifying impacts and dependencies on biodiversity. As explained in paragraph </w:t>
      </w:r>
      <w:r w:rsidR="00A945FA">
        <w:rPr>
          <w:snapToGrid w:val="0"/>
          <w:kern w:val="22"/>
          <w:lang w:eastAsia="ja-JP" w:bidi="th-TH"/>
        </w:rPr>
        <w:fldChar w:fldCharType="begin"/>
      </w:r>
      <w:r w:rsidR="00A945FA">
        <w:rPr>
          <w:snapToGrid w:val="0"/>
          <w:kern w:val="22"/>
          <w:lang w:eastAsia="ja-JP" w:bidi="th-TH"/>
        </w:rPr>
        <w:instrText xml:space="preserve"> REF _Ref515223405 \r \h </w:instrText>
      </w:r>
      <w:r w:rsidR="00A945FA">
        <w:rPr>
          <w:snapToGrid w:val="0"/>
          <w:kern w:val="22"/>
          <w:lang w:eastAsia="ja-JP" w:bidi="th-TH"/>
        </w:rPr>
      </w:r>
      <w:r w:rsidR="00A945FA">
        <w:rPr>
          <w:snapToGrid w:val="0"/>
          <w:kern w:val="22"/>
          <w:lang w:eastAsia="ja-JP" w:bidi="th-TH"/>
        </w:rPr>
        <w:fldChar w:fldCharType="separate"/>
      </w:r>
      <w:r w:rsidR="00A945FA">
        <w:rPr>
          <w:rFonts w:cs="Times New Roman" w:hint="cs"/>
          <w:snapToGrid w:val="0"/>
          <w:kern w:val="22"/>
          <w:cs/>
          <w:lang w:eastAsia="ja-JP" w:bidi="th-TH"/>
        </w:rPr>
        <w:t>‎</w:t>
      </w:r>
      <w:r w:rsidR="00A945FA">
        <w:rPr>
          <w:snapToGrid w:val="0"/>
          <w:kern w:val="22"/>
          <w:lang w:eastAsia="ja-JP" w:bidi="th-TH"/>
        </w:rPr>
        <w:t>26</w:t>
      </w:r>
      <w:r w:rsidR="00A945FA">
        <w:rPr>
          <w:snapToGrid w:val="0"/>
          <w:kern w:val="22"/>
          <w:lang w:eastAsia="ja-JP" w:bidi="th-TH"/>
        </w:rPr>
        <w:fldChar w:fldCharType="end"/>
      </w:r>
      <w:r w:rsidR="00A945FA">
        <w:rPr>
          <w:snapToGrid w:val="0"/>
          <w:kern w:val="22"/>
          <w:lang w:eastAsia="ja-JP" w:bidi="th-TH"/>
        </w:rPr>
        <w:t xml:space="preserve"> </w:t>
      </w:r>
      <w:r w:rsidRPr="00060510">
        <w:rPr>
          <w:snapToGrid w:val="0"/>
          <w:kern w:val="22"/>
          <w:lang w:eastAsia="ja-JP" w:bidi="th-TH"/>
        </w:rPr>
        <w:t xml:space="preserve">above, achieving enhanced coherence and consistency in business reporting requires achieving enhanced </w:t>
      </w:r>
      <w:r w:rsidRPr="000D1078">
        <w:rPr>
          <w:rFonts w:cs="Times New Roman"/>
          <w:snapToGrid w:val="0"/>
          <w:kern w:val="22"/>
          <w:lang w:eastAsia="ja-JP" w:bidi="th-TH"/>
        </w:rPr>
        <w:t xml:space="preserve">coherence and consistency </w:t>
      </w:r>
      <w:r w:rsidRPr="00B14636">
        <w:rPr>
          <w:rFonts w:cs="Times New Roman"/>
          <w:snapToGrid w:val="0"/>
          <w:kern w:val="22"/>
          <w:lang w:eastAsia="ja-JP" w:bidi="th-TH"/>
        </w:rPr>
        <w:t xml:space="preserve">in applying </w:t>
      </w:r>
      <w:r w:rsidRPr="00060510">
        <w:rPr>
          <w:snapToGrid w:val="0"/>
          <w:kern w:val="22"/>
          <w:lang w:eastAsia="ja-JP" w:bidi="th-TH"/>
        </w:rPr>
        <w:t xml:space="preserve">measurement methodologies and metrics for biodiversity impacts and dependencies by businesses. In </w:t>
      </w:r>
      <w:r w:rsidR="00456383" w:rsidRPr="00060510">
        <w:rPr>
          <w:snapToGrid w:val="0"/>
          <w:kern w:val="22"/>
          <w:lang w:eastAsia="ja-JP" w:bidi="th-TH"/>
        </w:rPr>
        <w:t xml:space="preserve">the </w:t>
      </w:r>
      <w:r w:rsidRPr="00060510">
        <w:rPr>
          <w:snapToGrid w:val="0"/>
          <w:kern w:val="22"/>
          <w:lang w:eastAsia="ja-JP" w:bidi="th-TH"/>
        </w:rPr>
        <w:t xml:space="preserve">light of these considerations, the typology </w:t>
      </w:r>
      <w:r w:rsidR="009A6E87" w:rsidRPr="00060510">
        <w:rPr>
          <w:snapToGrid w:val="0"/>
          <w:kern w:val="22"/>
          <w:lang w:eastAsia="ja-JP" w:bidi="th-TH"/>
        </w:rPr>
        <w:t>o</w:t>
      </w:r>
      <w:r w:rsidRPr="00060510">
        <w:rPr>
          <w:snapToGrid w:val="0"/>
          <w:kern w:val="22"/>
          <w:lang w:eastAsia="ja-JP" w:bidi="th-TH"/>
        </w:rPr>
        <w:t xml:space="preserve">f actions for reporting on biodiversity and the associated guidance could be viewed as an intermediate step to increase comparability </w:t>
      </w:r>
      <w:r w:rsidR="00995D90">
        <w:rPr>
          <w:snapToGrid w:val="0"/>
          <w:kern w:val="22"/>
          <w:lang w:eastAsia="ja-JP" w:bidi="th-TH"/>
        </w:rPr>
        <w:t>in</w:t>
      </w:r>
      <w:r w:rsidR="00995D90" w:rsidRPr="00060510">
        <w:rPr>
          <w:snapToGrid w:val="0"/>
          <w:kern w:val="22"/>
          <w:lang w:eastAsia="ja-JP" w:bidi="th-TH"/>
        </w:rPr>
        <w:t xml:space="preserve"> </w:t>
      </w:r>
      <w:r w:rsidRPr="00060510">
        <w:rPr>
          <w:snapToGrid w:val="0"/>
          <w:kern w:val="22"/>
          <w:lang w:eastAsia="ja-JP" w:bidi="th-TH"/>
        </w:rPr>
        <w:t xml:space="preserve">business reporting on biodiversity in the short term, to provide guidance on what reporting on biodiversity impacts and dependencies could look like, and to thus encourage businesses and other stakeholders to strengthen biodiversity-related business reporting. </w:t>
      </w:r>
      <w:r w:rsidR="00995D90">
        <w:rPr>
          <w:snapToGrid w:val="0"/>
          <w:kern w:val="22"/>
          <w:lang w:eastAsia="ja-JP" w:bidi="th-TH"/>
        </w:rPr>
        <w:t>Application of</w:t>
      </w:r>
      <w:r w:rsidR="00995D90" w:rsidRPr="00060510">
        <w:rPr>
          <w:snapToGrid w:val="0"/>
          <w:kern w:val="22"/>
          <w:lang w:eastAsia="ja-JP" w:bidi="th-TH"/>
        </w:rPr>
        <w:t xml:space="preserve"> </w:t>
      </w:r>
      <w:r w:rsidRPr="00060510">
        <w:rPr>
          <w:snapToGrid w:val="0"/>
          <w:kern w:val="22"/>
          <w:lang w:eastAsia="ja-JP" w:bidi="th-TH"/>
        </w:rPr>
        <w:t>the typology would need to be complemented by action on the strategic priorities identified above.</w:t>
      </w:r>
    </w:p>
    <w:p w:rsidR="00070D30" w:rsidRPr="00060510"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eastAsia="ja-JP" w:bidi="th-TH"/>
        </w:rPr>
      </w:pPr>
      <w:r w:rsidRPr="00060510">
        <w:rPr>
          <w:snapToGrid w:val="0"/>
          <w:kern w:val="22"/>
          <w:lang w:eastAsia="ja-JP" w:bidi="th-TH"/>
        </w:rPr>
        <w:t>I</w:t>
      </w:r>
      <w:r w:rsidR="00281B6E">
        <w:rPr>
          <w:snapToGrid w:val="0"/>
          <w:kern w:val="22"/>
          <w:lang w:eastAsia="ja-JP" w:bidi="th-TH"/>
        </w:rPr>
        <w:t>II</w:t>
      </w:r>
      <w:r w:rsidRPr="00060510">
        <w:rPr>
          <w:snapToGrid w:val="0"/>
          <w:kern w:val="22"/>
          <w:lang w:eastAsia="ja-JP" w:bidi="th-TH"/>
        </w:rPr>
        <w:t>.</w:t>
      </w:r>
      <w:r w:rsidRPr="00060510">
        <w:rPr>
          <w:snapToGrid w:val="0"/>
          <w:kern w:val="22"/>
          <w:lang w:eastAsia="ja-JP" w:bidi="th-TH"/>
        </w:rPr>
        <w:tab/>
        <w:t>Conclusions</w:t>
      </w:r>
    </w:p>
    <w:p w:rsidR="00070D30" w:rsidRPr="00A47DD9"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sidRPr="000D1078">
        <w:rPr>
          <w:rFonts w:cs="Times New Roman"/>
          <w:snapToGrid w:val="0"/>
          <w:kern w:val="22"/>
          <w:lang w:eastAsia="ja-JP" w:bidi="th-TH"/>
        </w:rPr>
        <w:t xml:space="preserve">In </w:t>
      </w:r>
      <w:r w:rsidR="00456383" w:rsidRPr="00B14636">
        <w:rPr>
          <w:rFonts w:cs="Times New Roman"/>
          <w:snapToGrid w:val="0"/>
          <w:kern w:val="22"/>
          <w:lang w:eastAsia="ja-JP" w:bidi="th-TH"/>
        </w:rPr>
        <w:t xml:space="preserve">the </w:t>
      </w:r>
      <w:r w:rsidRPr="00B14636">
        <w:rPr>
          <w:rFonts w:cs="Times New Roman"/>
          <w:snapToGrid w:val="0"/>
          <w:kern w:val="22"/>
          <w:lang w:eastAsia="ja-JP" w:bidi="th-TH"/>
        </w:rPr>
        <w:t>light of the above, the Subsidiary Body on Implementation may wish to consider the conclusions below as</w:t>
      </w:r>
      <w:r w:rsidRPr="00A47DD9">
        <w:rPr>
          <w:rFonts w:cs="Times New Roman"/>
          <w:snapToGrid w:val="0"/>
          <w:kern w:val="22"/>
          <w:lang w:eastAsia="ja-JP" w:bidi="th-TH"/>
        </w:rPr>
        <w:t xml:space="preserve"> a possible basis for developing its recommendation, including a draft decision, for consideration by the Conference of the Parties at its fourteenth meeting. Pertinent language has been included in the draft recommendation provided in document CBD/SBI/2/4.</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lang w:eastAsia="ja-JP" w:bidi="th-TH"/>
        </w:rPr>
      </w:pPr>
      <w:r w:rsidRPr="00060510">
        <w:rPr>
          <w:snapToGrid w:val="0"/>
          <w:kern w:val="22"/>
          <w:lang w:eastAsia="ja-JP" w:bidi="th-TH"/>
        </w:rPr>
        <w:t>A.</w:t>
      </w:r>
      <w:r w:rsidRPr="00060510">
        <w:rPr>
          <w:snapToGrid w:val="0"/>
          <w:kern w:val="22"/>
          <w:lang w:eastAsia="ja-JP" w:bidi="th-TH"/>
        </w:rPr>
        <w:tab/>
        <w:t>Guidance on biodiversity-related reporting by businesses</w:t>
      </w:r>
    </w:p>
    <w:p w:rsidR="00070D30" w:rsidRPr="00060510" w:rsidRDefault="00070D30"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eastAsia="ja-JP" w:bidi="th-TH"/>
        </w:rPr>
      </w:pPr>
      <w:r w:rsidRPr="000D1078">
        <w:rPr>
          <w:rFonts w:cs="Times New Roman"/>
          <w:snapToGrid w:val="0"/>
          <w:kern w:val="22"/>
          <w:lang w:eastAsia="ja-JP" w:bidi="th-TH"/>
        </w:rPr>
        <w:t>The Subsidiary Body may wish to recommend taking note of the revised typology of biodiversity</w:t>
      </w:r>
      <w:r w:rsidR="00930BA8" w:rsidRPr="00B14636">
        <w:rPr>
          <w:rFonts w:cs="Times New Roman"/>
          <w:snapToGrid w:val="0"/>
          <w:kern w:val="22"/>
          <w:lang w:eastAsia="ja-JP" w:bidi="th-TH"/>
        </w:rPr>
        <w:noBreakHyphen/>
      </w:r>
      <w:r w:rsidRPr="00B14636">
        <w:rPr>
          <w:rFonts w:cs="Times New Roman"/>
          <w:snapToGrid w:val="0"/>
          <w:kern w:val="22"/>
          <w:lang w:eastAsia="ja-JP" w:bidi="th-TH"/>
        </w:rPr>
        <w:t xml:space="preserve">related business actions, provided in </w:t>
      </w:r>
      <w:r w:rsidR="00930BA8" w:rsidRPr="00B14636">
        <w:rPr>
          <w:rFonts w:cs="Times New Roman"/>
          <w:snapToGrid w:val="0"/>
          <w:kern w:val="22"/>
          <w:lang w:eastAsia="ja-JP" w:bidi="th-TH"/>
        </w:rPr>
        <w:t>a</w:t>
      </w:r>
      <w:r w:rsidRPr="007C09F7">
        <w:rPr>
          <w:rFonts w:cs="Times New Roman"/>
          <w:snapToGrid w:val="0"/>
          <w:kern w:val="22"/>
          <w:lang w:eastAsia="ja-JP" w:bidi="th-TH"/>
        </w:rPr>
        <w:t xml:space="preserve">nnex </w:t>
      </w:r>
      <w:proofErr w:type="gramStart"/>
      <w:r w:rsidRPr="007C09F7">
        <w:rPr>
          <w:rFonts w:cs="Times New Roman"/>
          <w:snapToGrid w:val="0"/>
          <w:kern w:val="22"/>
          <w:lang w:eastAsia="ja-JP" w:bidi="th-TH"/>
        </w:rPr>
        <w:t>I</w:t>
      </w:r>
      <w:proofErr w:type="gramEnd"/>
      <w:r w:rsidRPr="007C09F7">
        <w:rPr>
          <w:rFonts w:cs="Times New Roman"/>
          <w:snapToGrid w:val="0"/>
          <w:kern w:val="22"/>
          <w:lang w:eastAsia="ja-JP" w:bidi="th-TH"/>
        </w:rPr>
        <w:t xml:space="preserve"> </w:t>
      </w:r>
      <w:r w:rsidR="00930BA8" w:rsidRPr="007C09F7">
        <w:rPr>
          <w:rFonts w:cs="Times New Roman"/>
          <w:snapToGrid w:val="0"/>
          <w:kern w:val="22"/>
          <w:lang w:eastAsia="ja-JP" w:bidi="th-TH"/>
        </w:rPr>
        <w:t>to</w:t>
      </w:r>
      <w:r w:rsidRPr="007C09F7">
        <w:rPr>
          <w:rFonts w:cs="Times New Roman"/>
          <w:snapToGrid w:val="0"/>
          <w:kern w:val="22"/>
          <w:lang w:eastAsia="ja-JP" w:bidi="th-TH"/>
        </w:rPr>
        <w:t xml:space="preserve"> the present note, as a useful interim tool to encourage and increase reporting on biodiversity, and to </w:t>
      </w:r>
      <w:r w:rsidRPr="00060510">
        <w:rPr>
          <w:snapToGrid w:val="0"/>
          <w:kern w:val="22"/>
          <w:lang w:eastAsia="ja-JP" w:bidi="th-TH"/>
        </w:rPr>
        <w:t xml:space="preserve">increase the comparability among business reporting on biodiversity, and as a step towards enhancing coherence and consistency of biodiversity-related business reporting. To this end, </w:t>
      </w:r>
      <w:r w:rsidR="00930BA8" w:rsidRPr="00060510">
        <w:rPr>
          <w:snapToGrid w:val="0"/>
          <w:kern w:val="22"/>
          <w:lang w:eastAsia="ja-JP" w:bidi="th-TH"/>
        </w:rPr>
        <w:t>b</w:t>
      </w:r>
      <w:r w:rsidRPr="00060510">
        <w:rPr>
          <w:snapToGrid w:val="0"/>
          <w:kern w:val="22"/>
          <w:lang w:eastAsia="ja-JP" w:bidi="th-TH"/>
        </w:rPr>
        <w:t xml:space="preserve">usinesses, Parties and other </w:t>
      </w:r>
      <w:r w:rsidR="00930BA8" w:rsidRPr="00060510">
        <w:rPr>
          <w:snapToGrid w:val="0"/>
          <w:kern w:val="22"/>
          <w:lang w:eastAsia="ja-JP" w:bidi="th-TH"/>
        </w:rPr>
        <w:t>G</w:t>
      </w:r>
      <w:r w:rsidRPr="00060510">
        <w:rPr>
          <w:snapToGrid w:val="0"/>
          <w:kern w:val="22"/>
          <w:lang w:eastAsia="ja-JP" w:bidi="th-TH"/>
        </w:rPr>
        <w:t>overnments, and</w:t>
      </w:r>
      <w:r w:rsidRPr="000D1078">
        <w:rPr>
          <w:rFonts w:cs="Times New Roman"/>
          <w:snapToGrid w:val="0"/>
          <w:kern w:val="22"/>
          <w:lang w:eastAsia="ja-JP" w:bidi="th-TH"/>
        </w:rPr>
        <w:t xml:space="preserve"> relevant organizations and initiatives could be invited to make use of the re</w:t>
      </w:r>
      <w:r w:rsidRPr="00B14636">
        <w:rPr>
          <w:rFonts w:cs="Times New Roman"/>
          <w:snapToGrid w:val="0"/>
          <w:kern w:val="22"/>
          <w:lang w:eastAsia="ja-JP" w:bidi="th-TH"/>
        </w:rPr>
        <w:t>vised typology of actions.</w:t>
      </w:r>
    </w:p>
    <w:p w:rsidR="00070D30" w:rsidRPr="00B14636"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sidRPr="00060510">
        <w:rPr>
          <w:snapToGrid w:val="0"/>
          <w:kern w:val="22"/>
          <w:lang w:eastAsia="ja-JP" w:bidi="th-TH"/>
        </w:rPr>
        <w:t xml:space="preserve">The Subsidiary Body may also wish to recommend taking note of the good practice examples provided in </w:t>
      </w:r>
      <w:r w:rsidR="00930BA8" w:rsidRPr="00060510">
        <w:rPr>
          <w:snapToGrid w:val="0"/>
          <w:kern w:val="22"/>
          <w:lang w:eastAsia="ja-JP" w:bidi="th-TH"/>
        </w:rPr>
        <w:t>a</w:t>
      </w:r>
      <w:r w:rsidRPr="00060510">
        <w:rPr>
          <w:snapToGrid w:val="0"/>
          <w:kern w:val="22"/>
          <w:lang w:eastAsia="ja-JP" w:bidi="th-TH"/>
        </w:rPr>
        <w:t xml:space="preserve">nnex II </w:t>
      </w:r>
      <w:r w:rsidR="00930BA8" w:rsidRPr="00060510">
        <w:rPr>
          <w:snapToGrid w:val="0"/>
          <w:kern w:val="22"/>
          <w:lang w:eastAsia="ja-JP" w:bidi="th-TH"/>
        </w:rPr>
        <w:t>to</w:t>
      </w:r>
      <w:r w:rsidRPr="00060510">
        <w:rPr>
          <w:snapToGrid w:val="0"/>
          <w:kern w:val="22"/>
          <w:lang w:eastAsia="ja-JP" w:bidi="th-TH"/>
        </w:rPr>
        <w:t xml:space="preserve"> the present note, as indicative guidance for businesses, Parties and other </w:t>
      </w:r>
      <w:r w:rsidR="00930BA8" w:rsidRPr="00060510">
        <w:rPr>
          <w:snapToGrid w:val="0"/>
          <w:kern w:val="22"/>
          <w:lang w:eastAsia="ja-JP" w:bidi="th-TH"/>
        </w:rPr>
        <w:t>G</w:t>
      </w:r>
      <w:r w:rsidRPr="00060510">
        <w:rPr>
          <w:snapToGrid w:val="0"/>
          <w:kern w:val="22"/>
          <w:lang w:eastAsia="ja-JP" w:bidi="th-TH"/>
        </w:rPr>
        <w:t xml:space="preserve">overnments, and other stakeholders, on the main topics which could be addressed in biodiversity-related business reporting. Businesses, Parties and other </w:t>
      </w:r>
      <w:r w:rsidR="00930BA8" w:rsidRPr="00060510">
        <w:rPr>
          <w:snapToGrid w:val="0"/>
          <w:kern w:val="22"/>
          <w:lang w:eastAsia="ja-JP" w:bidi="th-TH"/>
        </w:rPr>
        <w:t>G</w:t>
      </w:r>
      <w:r w:rsidRPr="00060510">
        <w:rPr>
          <w:snapToGrid w:val="0"/>
          <w:kern w:val="22"/>
          <w:lang w:eastAsia="ja-JP" w:bidi="th-TH"/>
        </w:rPr>
        <w:t>overnments as well as</w:t>
      </w:r>
      <w:r w:rsidRPr="000D1078">
        <w:rPr>
          <w:rFonts w:cs="Times New Roman"/>
          <w:snapToGrid w:val="0"/>
          <w:kern w:val="22"/>
          <w:lang w:eastAsia="ja-JP" w:bidi="th-TH"/>
        </w:rPr>
        <w:t xml:space="preserve"> relevant organizations and initiatives could be invited to make use of the good practice examples in reporting on their pertinent activities.</w:t>
      </w:r>
    </w:p>
    <w:p w:rsidR="00070D30" w:rsidRPr="00C05106" w:rsidRDefault="005E68C4"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Pr>
          <w:rFonts w:cs="Times New Roman"/>
          <w:snapToGrid w:val="0"/>
          <w:kern w:val="22"/>
          <w:lang w:eastAsia="ja-JP" w:bidi="th-TH"/>
        </w:rPr>
        <w:t>T</w:t>
      </w:r>
      <w:r w:rsidR="00070D30" w:rsidRPr="00C05106">
        <w:rPr>
          <w:rFonts w:cs="Times New Roman"/>
          <w:snapToGrid w:val="0"/>
          <w:kern w:val="22"/>
          <w:lang w:eastAsia="ja-JP" w:bidi="th-TH"/>
        </w:rPr>
        <w:t xml:space="preserve">he Subsidiary Body may further wish to note the important role of the reporting standards of the Global Reporting Initiative, as described in paragraph </w:t>
      </w:r>
      <w:r w:rsidR="00070D30" w:rsidRPr="00C05106">
        <w:rPr>
          <w:rFonts w:cs="Times New Roman"/>
          <w:snapToGrid w:val="0"/>
          <w:kern w:val="22"/>
          <w:lang w:eastAsia="ja-JP" w:bidi="th-TH"/>
        </w:rPr>
        <w:fldChar w:fldCharType="begin"/>
      </w:r>
      <w:r w:rsidR="00070D30" w:rsidRPr="00C05106">
        <w:rPr>
          <w:rFonts w:cs="Times New Roman"/>
          <w:snapToGrid w:val="0"/>
          <w:kern w:val="22"/>
          <w:lang w:eastAsia="ja-JP" w:bidi="th-TH"/>
        </w:rPr>
        <w:instrText xml:space="preserve"> REF _Ref512347620 \r \h </w:instrText>
      </w:r>
      <w:r w:rsidR="00930BA8" w:rsidRPr="00060510">
        <w:rPr>
          <w:rFonts w:cs="Times New Roman"/>
          <w:snapToGrid w:val="0"/>
          <w:kern w:val="22"/>
          <w:lang w:eastAsia="ja-JP" w:bidi="th-TH"/>
        </w:rPr>
        <w:instrText xml:space="preserve"> \* MERGEFORMAT </w:instrText>
      </w:r>
      <w:r w:rsidR="00070D30" w:rsidRPr="00C05106">
        <w:rPr>
          <w:rFonts w:cs="Times New Roman"/>
          <w:snapToGrid w:val="0"/>
          <w:kern w:val="22"/>
          <w:lang w:eastAsia="ja-JP" w:bidi="th-TH"/>
        </w:rPr>
      </w:r>
      <w:r w:rsidR="00070D30" w:rsidRPr="00C05106">
        <w:rPr>
          <w:rFonts w:cs="Times New Roman"/>
          <w:snapToGrid w:val="0"/>
          <w:kern w:val="22"/>
          <w:lang w:eastAsia="ja-JP" w:bidi="th-TH"/>
        </w:rPr>
        <w:fldChar w:fldCharType="separate"/>
      </w:r>
      <w:r w:rsidR="00070D30" w:rsidRPr="00C05106">
        <w:rPr>
          <w:rFonts w:cs="Times New Roman"/>
          <w:snapToGrid w:val="0"/>
          <w:kern w:val="22"/>
          <w:lang w:eastAsia="ja-JP" w:bidi="th-TH"/>
        </w:rPr>
        <w:t>9</w:t>
      </w:r>
      <w:r w:rsidR="00070D30" w:rsidRPr="00C05106">
        <w:rPr>
          <w:rFonts w:cs="Times New Roman"/>
          <w:snapToGrid w:val="0"/>
          <w:kern w:val="22"/>
          <w:lang w:eastAsia="ja-JP" w:bidi="th-TH"/>
        </w:rPr>
        <w:fldChar w:fldCharType="end"/>
      </w:r>
      <w:r w:rsidR="000E0879" w:rsidRPr="00060510">
        <w:rPr>
          <w:rFonts w:cs="Times New Roman"/>
          <w:snapToGrid w:val="0"/>
          <w:kern w:val="22"/>
          <w:lang w:eastAsia="ja-JP" w:bidi="th-TH"/>
        </w:rPr>
        <w:t>(c)</w:t>
      </w:r>
      <w:r w:rsidR="00070D30" w:rsidRPr="00C05106">
        <w:rPr>
          <w:rFonts w:cs="Times New Roman"/>
          <w:snapToGrid w:val="0"/>
          <w:kern w:val="22"/>
          <w:lang w:eastAsia="ja-JP" w:bidi="th-TH"/>
        </w:rPr>
        <w:t xml:space="preserve"> above, and may therefore wish to recommend encouraging businesses to use existing reporting guidelines, such as the GRI </w:t>
      </w:r>
      <w:r w:rsidR="00657EE3" w:rsidRPr="00C05106">
        <w:rPr>
          <w:rFonts w:cs="Times New Roman"/>
          <w:snapToGrid w:val="0"/>
          <w:kern w:val="22"/>
          <w:lang w:eastAsia="ja-JP" w:bidi="th-TH"/>
        </w:rPr>
        <w:t>s</w:t>
      </w:r>
      <w:r w:rsidR="00070D30" w:rsidRPr="00C05106">
        <w:rPr>
          <w:rFonts w:cs="Times New Roman"/>
          <w:snapToGrid w:val="0"/>
          <w:kern w:val="22"/>
          <w:lang w:eastAsia="ja-JP" w:bidi="th-TH"/>
        </w:rPr>
        <w:t xml:space="preserve">tandard on biodiversity, </w:t>
      </w:r>
      <w:r w:rsidR="00070D30" w:rsidRPr="00060510">
        <w:rPr>
          <w:rFonts w:cs="Times New Roman"/>
          <w:iCs/>
          <w:snapToGrid w:val="0"/>
          <w:kern w:val="22"/>
          <w:lang w:eastAsia="ja-JP" w:bidi="th-TH"/>
        </w:rPr>
        <w:t>GRI 304: Biodiversity 2016</w:t>
      </w:r>
      <w:r w:rsidR="00657EE3" w:rsidRPr="00C05106">
        <w:rPr>
          <w:rFonts w:cs="Times New Roman"/>
          <w:snapToGrid w:val="0"/>
          <w:kern w:val="22"/>
          <w:lang w:eastAsia="ja-JP" w:bidi="th-TH"/>
        </w:rPr>
        <w:t>,</w:t>
      </w:r>
      <w:r w:rsidR="00070D30" w:rsidRPr="00C05106">
        <w:rPr>
          <w:rStyle w:val="FootnoteReference"/>
          <w:snapToGrid w:val="0"/>
          <w:kern w:val="22"/>
          <w:lang w:eastAsia="ja-JP" w:bidi="th-TH"/>
        </w:rPr>
        <w:footnoteReference w:id="35"/>
      </w:r>
      <w:r w:rsidR="00E543F9" w:rsidRPr="00060510">
        <w:rPr>
          <w:rStyle w:val="FootnoteReference"/>
          <w:snapToGrid w:val="0"/>
          <w:kern w:val="22"/>
          <w:vertAlign w:val="baseline"/>
          <w:lang w:eastAsia="ja-JP" w:bidi="th-TH"/>
        </w:rPr>
        <w:t xml:space="preserve"> </w:t>
      </w:r>
      <w:r w:rsidR="00E543F9" w:rsidRPr="00C05106">
        <w:rPr>
          <w:rFonts w:cs="Times New Roman"/>
          <w:snapToGrid w:val="0"/>
          <w:kern w:val="22"/>
          <w:lang w:eastAsia="ja-JP" w:bidi="th-TH"/>
        </w:rPr>
        <w:t>as appropriate.</w:t>
      </w:r>
    </w:p>
    <w:p w:rsidR="00070D30" w:rsidRPr="00060510"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lang w:eastAsia="ja-JP" w:bidi="th-TH"/>
        </w:rPr>
      </w:pPr>
      <w:r w:rsidRPr="00060510">
        <w:rPr>
          <w:snapToGrid w:val="0"/>
          <w:kern w:val="22"/>
          <w:lang w:eastAsia="ja-JP" w:bidi="th-TH"/>
        </w:rPr>
        <w:t>B.</w:t>
      </w:r>
      <w:r w:rsidRPr="00060510">
        <w:rPr>
          <w:snapToGrid w:val="0"/>
          <w:kern w:val="22"/>
          <w:lang w:eastAsia="ja-JP" w:bidi="th-TH"/>
        </w:rPr>
        <w:tab/>
        <w:t>Strategic actions to advance biodiversity-related achievements by businesses</w:t>
      </w:r>
    </w:p>
    <w:p w:rsidR="00070D30" w:rsidRPr="00060510" w:rsidRDefault="00070D30"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eastAsia="ja-JP" w:bidi="th-TH"/>
        </w:rPr>
      </w:pPr>
      <w:r w:rsidRPr="00060510">
        <w:rPr>
          <w:snapToGrid w:val="0"/>
          <w:kern w:val="22"/>
          <w:lang w:eastAsia="ja-JP" w:bidi="th-TH"/>
        </w:rPr>
        <w:t xml:space="preserve">The Subsidiary Body may wish to note that disclosure and reporting is the last step in the process of identifying businesses impacts and dependencies on biodiversity. In order to </w:t>
      </w:r>
      <w:r w:rsidRPr="000D1078">
        <w:rPr>
          <w:rFonts w:cs="Times New Roman"/>
          <w:snapToGrid w:val="0"/>
          <w:kern w:val="22"/>
          <w:lang w:eastAsia="ja-JP" w:bidi="th-TH"/>
        </w:rPr>
        <w:t>enhanc</w:t>
      </w:r>
      <w:r w:rsidRPr="00B14636">
        <w:rPr>
          <w:rFonts w:cs="Times New Roman"/>
          <w:snapToGrid w:val="0"/>
          <w:kern w:val="22"/>
          <w:lang w:eastAsia="ja-JP" w:bidi="th-TH"/>
        </w:rPr>
        <w:t xml:space="preserve">e coherence and consistency of biodiversity-related business reporting, </w:t>
      </w:r>
      <w:r w:rsidRPr="00060510">
        <w:rPr>
          <w:snapToGrid w:val="0"/>
          <w:kern w:val="22"/>
          <w:lang w:eastAsia="ja-JP" w:bidi="th-TH"/>
        </w:rPr>
        <w:t xml:space="preserve">there is a need for strategic actions to improve the understanding among businesses on the role of biodiversity, and to develop and improve measurement </w:t>
      </w:r>
      <w:r w:rsidRPr="00060510">
        <w:rPr>
          <w:snapToGrid w:val="0"/>
          <w:kern w:val="22"/>
          <w:lang w:eastAsia="ja-JP" w:bidi="th-TH"/>
        </w:rPr>
        <w:lastRenderedPageBreak/>
        <w:t>methodologies and metrics for biodiversity impacts and dependencies, with a view to provid</w:t>
      </w:r>
      <w:r w:rsidR="008B2B5E" w:rsidRPr="00060510">
        <w:rPr>
          <w:snapToGrid w:val="0"/>
          <w:kern w:val="22"/>
          <w:lang w:eastAsia="ja-JP" w:bidi="th-TH"/>
        </w:rPr>
        <w:t>ing</w:t>
      </w:r>
      <w:r w:rsidRPr="00060510">
        <w:rPr>
          <w:snapToGrid w:val="0"/>
          <w:kern w:val="22"/>
          <w:lang w:eastAsia="ja-JP" w:bidi="th-TH"/>
        </w:rPr>
        <w:t xml:space="preserve"> trusted, credible, and actionable information to business managers for improved decision</w:t>
      </w:r>
      <w:r w:rsidR="008B2B5E" w:rsidRPr="00060510">
        <w:rPr>
          <w:snapToGrid w:val="0"/>
          <w:kern w:val="22"/>
          <w:lang w:eastAsia="ja-JP" w:bidi="th-TH"/>
        </w:rPr>
        <w:t>-</w:t>
      </w:r>
      <w:r w:rsidRPr="00060510">
        <w:rPr>
          <w:snapToGrid w:val="0"/>
          <w:kern w:val="22"/>
          <w:lang w:eastAsia="ja-JP" w:bidi="th-TH"/>
        </w:rPr>
        <w:t>making. Consequently, the Subsidiary Body may wish to suggest strengthening global and sectoral partnerships as well as information sharing and collaboration among relevant organizations and initiatives.</w:t>
      </w:r>
    </w:p>
    <w:p w:rsidR="00070D30" w:rsidRPr="000D1078"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bookmarkStart w:id="5" w:name="_Ref515279487"/>
      <w:r w:rsidRPr="00060510">
        <w:rPr>
          <w:snapToGrid w:val="0"/>
          <w:kern w:val="22"/>
          <w:lang w:eastAsia="ja-JP" w:bidi="th-TH"/>
        </w:rPr>
        <w:t xml:space="preserve">In particular, the Subsidiary Body may wish to recommend acknowledging the existing pertinent work of relevant partner organizations and initiatives, such as the United Nations Environment Programme, the United Nations Global Compact, the United Nations Statistics Division, the </w:t>
      </w:r>
      <w:r w:rsidR="008B2B5E" w:rsidRPr="00060510">
        <w:rPr>
          <w:snapToGrid w:val="0"/>
          <w:kern w:val="22"/>
          <w:lang w:eastAsia="ja-JP" w:bidi="th-TH"/>
        </w:rPr>
        <w:t>International Union for Conservation of Nature (</w:t>
      </w:r>
      <w:r w:rsidRPr="00060510">
        <w:rPr>
          <w:snapToGrid w:val="0"/>
          <w:kern w:val="22"/>
          <w:lang w:eastAsia="ja-JP" w:bidi="th-TH"/>
        </w:rPr>
        <w:t>IUCN</w:t>
      </w:r>
      <w:r w:rsidR="008B2B5E" w:rsidRPr="00060510">
        <w:rPr>
          <w:snapToGrid w:val="0"/>
          <w:kern w:val="22"/>
          <w:lang w:eastAsia="ja-JP" w:bidi="th-TH"/>
        </w:rPr>
        <w:t>)</w:t>
      </w:r>
      <w:r w:rsidRPr="00060510">
        <w:rPr>
          <w:snapToGrid w:val="0"/>
          <w:kern w:val="22"/>
          <w:lang w:eastAsia="ja-JP" w:bidi="th-TH"/>
        </w:rPr>
        <w:t xml:space="preserve">, the International Integrated Reporting Council, the Cambridge Institute for Sustainability Leadership, the Natural Capital Coalition and its biodiversity working group, </w:t>
      </w:r>
      <w:r w:rsidR="00800D7D">
        <w:rPr>
          <w:snapToGrid w:val="0"/>
          <w:kern w:val="22"/>
          <w:lang w:eastAsia="ja-JP" w:bidi="th-TH"/>
        </w:rPr>
        <w:t xml:space="preserve">and </w:t>
      </w:r>
      <w:r w:rsidRPr="00060510">
        <w:rPr>
          <w:snapToGrid w:val="0"/>
          <w:kern w:val="22"/>
          <w:lang w:eastAsia="ja-JP" w:bidi="th-TH"/>
        </w:rPr>
        <w:t>the Global Reporting Initiative, as well as other partners, including sectoral business associations. They could be invited to further intensify their work and to enhance mutual information sharing and collaboration, in particular with regard to:</w:t>
      </w:r>
      <w:bookmarkEnd w:id="5"/>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sidRPr="00060510">
        <w:rPr>
          <w:kern w:val="22"/>
          <w:lang w:eastAsia="ja-JP" w:bidi="th-TH"/>
        </w:rPr>
        <w:t xml:space="preserve">Sharing experiences and good practices on, and developing guidance tools for, enhancing the conceptual understanding of businesses </w:t>
      </w:r>
      <w:r w:rsidR="00217DEE" w:rsidRPr="00562340">
        <w:rPr>
          <w:kern w:val="22"/>
          <w:lang w:eastAsia="ja-JP" w:bidi="th-TH"/>
        </w:rPr>
        <w:t>of</w:t>
      </w:r>
      <w:r w:rsidR="00217DEE" w:rsidRPr="00060510">
        <w:rPr>
          <w:kern w:val="22"/>
          <w:lang w:eastAsia="ja-JP" w:bidi="th-TH"/>
        </w:rPr>
        <w:t xml:space="preserve"> </w:t>
      </w:r>
      <w:r w:rsidRPr="00060510">
        <w:rPr>
          <w:kern w:val="22"/>
          <w:lang w:eastAsia="ja-JP" w:bidi="th-TH"/>
        </w:rPr>
        <w:t>their dependencies on biodiversity</w:t>
      </w:r>
      <w:r w:rsidR="00AD491A" w:rsidRPr="00562340">
        <w:rPr>
          <w:kern w:val="22"/>
          <w:lang w:eastAsia="ja-JP" w:bidi="th-TH"/>
        </w:rPr>
        <w:t>,</w:t>
      </w:r>
      <w:r w:rsidRPr="00060510">
        <w:rPr>
          <w:kern w:val="22"/>
          <w:lang w:eastAsia="ja-JP" w:bidi="th-TH"/>
        </w:rPr>
        <w:t xml:space="preserve"> </w:t>
      </w:r>
      <w:r w:rsidR="00335F6F" w:rsidRPr="00562340">
        <w:rPr>
          <w:kern w:val="22"/>
          <w:lang w:eastAsia="ja-JP" w:bidi="th-TH"/>
        </w:rPr>
        <w:t xml:space="preserve">the </w:t>
      </w:r>
      <w:r w:rsidRPr="00060510">
        <w:rPr>
          <w:kern w:val="22"/>
          <w:lang w:eastAsia="ja-JP" w:bidi="th-TH"/>
        </w:rPr>
        <w:t xml:space="preserve">underpinning </w:t>
      </w:r>
      <w:r w:rsidR="00335F6F" w:rsidRPr="00562340">
        <w:rPr>
          <w:kern w:val="22"/>
          <w:lang w:eastAsia="ja-JP" w:bidi="th-TH"/>
        </w:rPr>
        <w:t xml:space="preserve">of </w:t>
      </w:r>
      <w:r w:rsidRPr="00060510">
        <w:rPr>
          <w:kern w:val="22"/>
          <w:lang w:eastAsia="ja-JP" w:bidi="th-TH"/>
        </w:rPr>
        <w:t>ecosystem functioning and the provision of ecosystem services and benefits that are critical for business operations and business models, taking into account the various conceptualizations of biodiversity values, with a view to inform</w:t>
      </w:r>
      <w:r w:rsidR="008B2B5E" w:rsidRPr="00060510">
        <w:rPr>
          <w:kern w:val="22"/>
          <w:lang w:eastAsia="ja-JP" w:bidi="th-TH"/>
        </w:rPr>
        <w:t>ing</w:t>
      </w:r>
      <w:r w:rsidRPr="00060510">
        <w:rPr>
          <w:kern w:val="22"/>
          <w:lang w:eastAsia="ja-JP" w:bidi="th-TH"/>
        </w:rPr>
        <w:t xml:space="preserve"> materiality assessments and enhanc</w:t>
      </w:r>
      <w:r w:rsidR="008B2B5E" w:rsidRPr="00060510">
        <w:rPr>
          <w:kern w:val="22"/>
          <w:lang w:eastAsia="ja-JP" w:bidi="th-TH"/>
        </w:rPr>
        <w:t>ing</w:t>
      </w:r>
      <w:r w:rsidRPr="00060510">
        <w:rPr>
          <w:kern w:val="22"/>
          <w:lang w:eastAsia="ja-JP" w:bidi="th-TH"/>
        </w:rPr>
        <w:t xml:space="preserve"> the identification of biodiversity as a high</w:t>
      </w:r>
      <w:r w:rsidR="00076549" w:rsidRPr="00562340">
        <w:rPr>
          <w:kern w:val="22"/>
          <w:lang w:eastAsia="ja-JP" w:bidi="th-TH"/>
        </w:rPr>
        <w:t>-</w:t>
      </w:r>
      <w:r w:rsidRPr="00060510">
        <w:rPr>
          <w:kern w:val="22"/>
          <w:lang w:eastAsia="ja-JP" w:bidi="th-TH"/>
        </w:rPr>
        <w:t>materiality issue;</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sidRPr="00060510">
        <w:rPr>
          <w:kern w:val="22"/>
          <w:lang w:eastAsia="ja-JP" w:bidi="th-TH"/>
        </w:rPr>
        <w:t>Enhanc</w:t>
      </w:r>
      <w:r w:rsidR="008B722E" w:rsidRPr="00060510">
        <w:rPr>
          <w:kern w:val="22"/>
          <w:lang w:eastAsia="ja-JP" w:bidi="th-TH"/>
        </w:rPr>
        <w:t>ing</w:t>
      </w:r>
      <w:r w:rsidRPr="00060510">
        <w:rPr>
          <w:kern w:val="22"/>
          <w:lang w:eastAsia="ja-JP" w:bidi="th-TH"/>
        </w:rPr>
        <w:t xml:space="preserve"> information sharing and collaboration in further developing methodologies or metrics, such as the work undertaken on creating one biodiversity metric, undertaken by the Cambridge Institute for Sustainability Leadership and partners, for measuring impacts on, and dependencies from, biodiversity as underpinning ecosystem functioning and the provision of ecosystem services and benefits that are critical for business operations and business models, and for human well-being more generally;</w:t>
      </w:r>
    </w:p>
    <w:p w:rsidR="00070D30" w:rsidRPr="0056234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rFonts w:cs="Times New Roman"/>
          <w:kern w:val="22"/>
          <w:lang w:eastAsia="ja-JP" w:bidi="th-TH"/>
        </w:rPr>
      </w:pPr>
      <w:r w:rsidRPr="00060510">
        <w:rPr>
          <w:kern w:val="22"/>
          <w:lang w:eastAsia="ja-JP" w:bidi="th-TH"/>
        </w:rPr>
        <w:t xml:space="preserve">Building on the above and noting the </w:t>
      </w:r>
      <w:r w:rsidR="00FC7F5C" w:rsidRPr="00562340">
        <w:rPr>
          <w:kern w:val="22"/>
          <w:lang w:eastAsia="ja-JP" w:bidi="th-TH"/>
        </w:rPr>
        <w:t>above-</w:t>
      </w:r>
      <w:r w:rsidRPr="00060510">
        <w:rPr>
          <w:kern w:val="22"/>
          <w:lang w:eastAsia="ja-JP" w:bidi="th-TH"/>
        </w:rPr>
        <w:t xml:space="preserve">mentioned report on business reporting and the </w:t>
      </w:r>
      <w:r w:rsidR="00AE52F4" w:rsidRPr="00562340">
        <w:rPr>
          <w:kern w:val="22"/>
          <w:lang w:eastAsia="ja-JP" w:bidi="th-TH"/>
        </w:rPr>
        <w:t>Sustainable Development Goals</w:t>
      </w:r>
      <w:r w:rsidRPr="00060510">
        <w:rPr>
          <w:kern w:val="22"/>
          <w:lang w:eastAsia="ja-JP" w:bidi="th-TH"/>
        </w:rPr>
        <w:t>,</w:t>
      </w:r>
      <w:r w:rsidR="00076EFB" w:rsidRPr="00060510">
        <w:rPr>
          <w:kern w:val="22"/>
          <w:vertAlign w:val="superscript"/>
          <w:lang w:eastAsia="ja-JP" w:bidi="th-TH"/>
        </w:rPr>
        <w:fldChar w:fldCharType="begin"/>
      </w:r>
      <w:r w:rsidR="00076EFB" w:rsidRPr="00060510">
        <w:rPr>
          <w:kern w:val="22"/>
          <w:vertAlign w:val="superscript"/>
          <w:lang w:eastAsia="ja-JP" w:bidi="th-TH"/>
        </w:rPr>
        <w:instrText xml:space="preserve"> NOTEREF _Ref515274810 \h </w:instrText>
      </w:r>
      <w:r w:rsidR="00076EFB" w:rsidRPr="00562340">
        <w:rPr>
          <w:kern w:val="22"/>
          <w:vertAlign w:val="superscript"/>
          <w:lang w:eastAsia="ja-JP" w:bidi="th-TH"/>
        </w:rPr>
        <w:instrText xml:space="preserve"> \* MERGEFORMAT </w:instrText>
      </w:r>
      <w:r w:rsidR="00076EFB" w:rsidRPr="00060510">
        <w:rPr>
          <w:kern w:val="22"/>
          <w:vertAlign w:val="superscript"/>
          <w:lang w:eastAsia="ja-JP" w:bidi="th-TH"/>
        </w:rPr>
      </w:r>
      <w:r w:rsidR="00076EFB" w:rsidRPr="00060510">
        <w:rPr>
          <w:kern w:val="22"/>
          <w:vertAlign w:val="superscript"/>
          <w:lang w:eastAsia="ja-JP" w:bidi="th-TH"/>
        </w:rPr>
        <w:fldChar w:fldCharType="separate"/>
      </w:r>
      <w:r w:rsidR="00076EFB" w:rsidRPr="00060510">
        <w:rPr>
          <w:kern w:val="22"/>
          <w:vertAlign w:val="superscript"/>
          <w:lang w:eastAsia="ja-JP" w:bidi="th-TH"/>
        </w:rPr>
        <w:t>20</w:t>
      </w:r>
      <w:r w:rsidR="00076EFB" w:rsidRPr="00060510">
        <w:rPr>
          <w:kern w:val="22"/>
          <w:vertAlign w:val="superscript"/>
          <w:lang w:eastAsia="ja-JP" w:bidi="th-TH"/>
        </w:rPr>
        <w:fldChar w:fldCharType="end"/>
      </w:r>
      <w:r w:rsidRPr="00060510">
        <w:rPr>
          <w:kern w:val="22"/>
          <w:lang w:eastAsia="ja-JP" w:bidi="th-TH"/>
        </w:rPr>
        <w:t xml:space="preserve"> consider</w:t>
      </w:r>
      <w:r w:rsidR="005D1C4A" w:rsidRPr="00562340">
        <w:rPr>
          <w:kern w:val="22"/>
          <w:lang w:eastAsia="ja-JP" w:bidi="th-TH"/>
        </w:rPr>
        <w:t>ing the</w:t>
      </w:r>
      <w:r w:rsidRPr="00060510">
        <w:rPr>
          <w:kern w:val="22"/>
          <w:lang w:eastAsia="ja-JP" w:bidi="th-TH"/>
        </w:rPr>
        <w:t xml:space="preserve"> develop</w:t>
      </w:r>
      <w:r w:rsidR="005D1C4A" w:rsidRPr="00562340">
        <w:rPr>
          <w:kern w:val="22"/>
          <w:lang w:eastAsia="ja-JP" w:bidi="th-TH"/>
        </w:rPr>
        <w:t>ment of</w:t>
      </w:r>
      <w:r w:rsidRPr="00060510">
        <w:rPr>
          <w:kern w:val="22"/>
          <w:lang w:eastAsia="ja-JP" w:bidi="th-TH"/>
        </w:rPr>
        <w:t xml:space="preserve"> specific guidance on how to strengthen the ecosystem and biodiversity components of business reporting against the 2030 Agenda for Sustainable Development and its Sustainable Development Goals;</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sidRPr="00060510">
        <w:rPr>
          <w:kern w:val="22"/>
          <w:lang w:eastAsia="ja-JP" w:bidi="th-TH"/>
        </w:rPr>
        <w:t>Consider</w:t>
      </w:r>
      <w:r w:rsidR="008B722E" w:rsidRPr="00562340">
        <w:rPr>
          <w:kern w:val="22"/>
          <w:lang w:eastAsia="ja-JP" w:bidi="th-TH"/>
        </w:rPr>
        <w:t>ing</w:t>
      </w:r>
      <w:r w:rsidRPr="00060510">
        <w:rPr>
          <w:kern w:val="22"/>
          <w:lang w:eastAsia="ja-JP" w:bidi="th-TH"/>
        </w:rPr>
        <w:t xml:space="preserve"> </w:t>
      </w:r>
      <w:r w:rsidR="005D1C4A" w:rsidRPr="00562340">
        <w:rPr>
          <w:kern w:val="22"/>
          <w:lang w:eastAsia="ja-JP" w:bidi="th-TH"/>
        </w:rPr>
        <w:t>the</w:t>
      </w:r>
      <w:r w:rsidR="005D1C4A" w:rsidRPr="00060510">
        <w:rPr>
          <w:kern w:val="22"/>
          <w:lang w:eastAsia="ja-JP" w:bidi="th-TH"/>
        </w:rPr>
        <w:t xml:space="preserve"> </w:t>
      </w:r>
      <w:r w:rsidRPr="00060510">
        <w:rPr>
          <w:kern w:val="22"/>
          <w:lang w:eastAsia="ja-JP" w:bidi="th-TH"/>
        </w:rPr>
        <w:t>develop</w:t>
      </w:r>
      <w:r w:rsidR="005D1C4A" w:rsidRPr="00562340">
        <w:rPr>
          <w:kern w:val="22"/>
          <w:lang w:eastAsia="ja-JP" w:bidi="th-TH"/>
        </w:rPr>
        <w:t>ment</w:t>
      </w:r>
      <w:r w:rsidRPr="00060510">
        <w:rPr>
          <w:kern w:val="22"/>
          <w:lang w:eastAsia="ja-JP" w:bidi="th-TH"/>
        </w:rPr>
        <w:t xml:space="preserve"> or strengthen</w:t>
      </w:r>
      <w:r w:rsidR="005D1C4A" w:rsidRPr="00562340">
        <w:rPr>
          <w:kern w:val="22"/>
          <w:lang w:eastAsia="ja-JP" w:bidi="th-TH"/>
        </w:rPr>
        <w:t>ing of</w:t>
      </w:r>
      <w:r w:rsidRPr="00060510">
        <w:rPr>
          <w:kern w:val="22"/>
          <w:lang w:eastAsia="ja-JP" w:bidi="th-TH"/>
        </w:rPr>
        <w:t xml:space="preserve"> relevant sector</w:t>
      </w:r>
      <w:r w:rsidR="005D1C4A" w:rsidRPr="00562340">
        <w:rPr>
          <w:kern w:val="22"/>
          <w:lang w:eastAsia="ja-JP" w:bidi="th-TH"/>
        </w:rPr>
        <w:t>-</w:t>
      </w:r>
      <w:r w:rsidRPr="00060510">
        <w:rPr>
          <w:kern w:val="22"/>
          <w:lang w:eastAsia="ja-JP" w:bidi="th-TH"/>
        </w:rPr>
        <w:t xml:space="preserve">specific indicators and metrics, in particular </w:t>
      </w:r>
      <w:r w:rsidR="005D1C4A" w:rsidRPr="00562340">
        <w:rPr>
          <w:kern w:val="22"/>
          <w:lang w:eastAsia="ja-JP" w:bidi="th-TH"/>
        </w:rPr>
        <w:t>for</w:t>
      </w:r>
      <w:r w:rsidR="005D1C4A" w:rsidRPr="00060510">
        <w:rPr>
          <w:kern w:val="22"/>
          <w:lang w:eastAsia="ja-JP" w:bidi="th-TH"/>
        </w:rPr>
        <w:t xml:space="preserve"> </w:t>
      </w:r>
      <w:r w:rsidRPr="00060510">
        <w:rPr>
          <w:kern w:val="22"/>
          <w:lang w:eastAsia="ja-JP" w:bidi="th-TH"/>
        </w:rPr>
        <w:t>those sectors associated with high biodiversity impacts and dependencies;</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sidRPr="00060510">
        <w:rPr>
          <w:kern w:val="22"/>
          <w:lang w:eastAsia="ja-JP" w:bidi="th-TH"/>
        </w:rPr>
        <w:t>Contribut</w:t>
      </w:r>
      <w:r w:rsidR="008B722E" w:rsidRPr="00060510">
        <w:rPr>
          <w:kern w:val="22"/>
          <w:lang w:eastAsia="ja-JP" w:bidi="th-TH"/>
        </w:rPr>
        <w:t>ing</w:t>
      </w:r>
      <w:r w:rsidRPr="00060510">
        <w:rPr>
          <w:kern w:val="22"/>
          <w:lang w:eastAsia="ja-JP" w:bidi="th-TH"/>
        </w:rPr>
        <w:t xml:space="preserve"> to efforts to enhance the linkages between the work undertaken on ecosystem accounting under the framework of the United Nations System of Environmental-Economic Accounting (SEEA) and business-level accounting frameworks for ecosystems and biodiversity;</w:t>
      </w:r>
    </w:p>
    <w:p w:rsidR="00070D30" w:rsidRPr="00060510" w:rsidRDefault="00070D3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eastAsia="ja-JP" w:bidi="th-TH"/>
        </w:rPr>
      </w:pPr>
      <w:r w:rsidRPr="00060510">
        <w:rPr>
          <w:kern w:val="22"/>
          <w:lang w:eastAsia="ja-JP" w:bidi="th-TH"/>
        </w:rPr>
        <w:t>Consider</w:t>
      </w:r>
      <w:r w:rsidR="008B722E" w:rsidRPr="00562340">
        <w:rPr>
          <w:kern w:val="22"/>
          <w:lang w:eastAsia="ja-JP" w:bidi="th-TH"/>
        </w:rPr>
        <w:t>ing</w:t>
      </w:r>
      <w:r w:rsidR="00562340" w:rsidRPr="00562340">
        <w:rPr>
          <w:kern w:val="22"/>
          <w:lang w:eastAsia="ja-JP" w:bidi="th-TH"/>
        </w:rPr>
        <w:t xml:space="preserve"> the</w:t>
      </w:r>
      <w:r w:rsidRPr="00060510">
        <w:rPr>
          <w:kern w:val="22"/>
          <w:lang w:eastAsia="ja-JP" w:bidi="th-TH"/>
        </w:rPr>
        <w:t xml:space="preserve"> incorporati</w:t>
      </w:r>
      <w:r w:rsidR="00562340" w:rsidRPr="00562340">
        <w:rPr>
          <w:kern w:val="22"/>
          <w:lang w:eastAsia="ja-JP" w:bidi="th-TH"/>
        </w:rPr>
        <w:t>o</w:t>
      </w:r>
      <w:r w:rsidRPr="00060510">
        <w:rPr>
          <w:kern w:val="22"/>
          <w:lang w:eastAsia="ja-JP" w:bidi="th-TH"/>
        </w:rPr>
        <w:t>n</w:t>
      </w:r>
      <w:r w:rsidR="00562340" w:rsidRPr="00562340">
        <w:rPr>
          <w:kern w:val="22"/>
          <w:lang w:eastAsia="ja-JP" w:bidi="th-TH"/>
        </w:rPr>
        <w:t xml:space="preserve"> of</w:t>
      </w:r>
      <w:r w:rsidRPr="00060510">
        <w:rPr>
          <w:kern w:val="22"/>
          <w:lang w:eastAsia="ja-JP" w:bidi="th-TH"/>
        </w:rPr>
        <w:t xml:space="preserve"> agreed outputs of this work as complementary elements into relevant reporting guidelines and associated guidance, such as the GRI Standards, taking into account existing work under the Biodiversity Indicators Partnership.</w:t>
      </w:r>
    </w:p>
    <w:p w:rsidR="00070D30" w:rsidRPr="00A47DD9"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sidRPr="000D1078">
        <w:rPr>
          <w:rFonts w:cs="Times New Roman"/>
          <w:snapToGrid w:val="0"/>
          <w:kern w:val="22"/>
          <w:lang w:eastAsia="ja-JP" w:bidi="th-TH"/>
        </w:rPr>
        <w:t>The Subsidi</w:t>
      </w:r>
      <w:r w:rsidRPr="00B14636">
        <w:rPr>
          <w:rFonts w:cs="Times New Roman"/>
          <w:snapToGrid w:val="0"/>
          <w:kern w:val="22"/>
          <w:lang w:eastAsia="ja-JP" w:bidi="th-TH"/>
        </w:rPr>
        <w:t xml:space="preserve">ary Body may wish to recommend inviting Parties and other </w:t>
      </w:r>
      <w:r w:rsidR="00606ED1" w:rsidRPr="00B14636">
        <w:rPr>
          <w:rFonts w:cs="Times New Roman"/>
          <w:snapToGrid w:val="0"/>
          <w:kern w:val="22"/>
          <w:lang w:eastAsia="ja-JP" w:bidi="th-TH"/>
        </w:rPr>
        <w:t>G</w:t>
      </w:r>
      <w:r w:rsidRPr="00B14636">
        <w:rPr>
          <w:rFonts w:cs="Times New Roman"/>
          <w:snapToGrid w:val="0"/>
          <w:kern w:val="22"/>
          <w:lang w:eastAsia="ja-JP" w:bidi="th-TH"/>
        </w:rPr>
        <w:t xml:space="preserve">overnments in a position to do so to provide financial support to </w:t>
      </w:r>
      <w:r w:rsidR="00347C9B">
        <w:rPr>
          <w:rFonts w:cs="Times New Roman"/>
          <w:snapToGrid w:val="0"/>
          <w:kern w:val="22"/>
          <w:lang w:eastAsia="ja-JP" w:bidi="th-TH"/>
        </w:rPr>
        <w:t xml:space="preserve">the </w:t>
      </w:r>
      <w:r w:rsidRPr="00B14636">
        <w:rPr>
          <w:rFonts w:cs="Times New Roman"/>
          <w:snapToGrid w:val="0"/>
          <w:kern w:val="22"/>
          <w:lang w:eastAsia="ja-JP" w:bidi="th-TH"/>
        </w:rPr>
        <w:t xml:space="preserve">work </w:t>
      </w:r>
      <w:r w:rsidR="00347C9B">
        <w:rPr>
          <w:rFonts w:cs="Times New Roman"/>
          <w:snapToGrid w:val="0"/>
          <w:kern w:val="22"/>
          <w:lang w:eastAsia="ja-JP" w:bidi="th-TH"/>
        </w:rPr>
        <w:t>described</w:t>
      </w:r>
      <w:r w:rsidR="00347C9B" w:rsidRPr="00B14636">
        <w:rPr>
          <w:rFonts w:cs="Times New Roman"/>
          <w:snapToGrid w:val="0"/>
          <w:kern w:val="22"/>
          <w:lang w:eastAsia="ja-JP" w:bidi="th-TH"/>
        </w:rPr>
        <w:t xml:space="preserve"> </w:t>
      </w:r>
      <w:r w:rsidRPr="00B14636">
        <w:rPr>
          <w:rFonts w:cs="Times New Roman"/>
          <w:snapToGrid w:val="0"/>
          <w:kern w:val="22"/>
          <w:lang w:eastAsia="ja-JP" w:bidi="th-TH"/>
        </w:rPr>
        <w:t xml:space="preserve">in paragraph </w:t>
      </w:r>
      <w:r w:rsidR="00347C9B">
        <w:rPr>
          <w:rFonts w:cs="Times New Roman"/>
          <w:snapToGrid w:val="0"/>
          <w:kern w:val="22"/>
          <w:lang w:eastAsia="ja-JP" w:bidi="th-TH"/>
        </w:rPr>
        <w:fldChar w:fldCharType="begin"/>
      </w:r>
      <w:r w:rsidR="00347C9B">
        <w:rPr>
          <w:rFonts w:cs="Times New Roman"/>
          <w:snapToGrid w:val="0"/>
          <w:kern w:val="22"/>
          <w:lang w:eastAsia="ja-JP" w:bidi="th-TH"/>
        </w:rPr>
        <w:instrText xml:space="preserve"> REF _Ref515279487 \r \h </w:instrText>
      </w:r>
      <w:r w:rsidR="00347C9B">
        <w:rPr>
          <w:rFonts w:cs="Times New Roman"/>
          <w:snapToGrid w:val="0"/>
          <w:kern w:val="22"/>
          <w:lang w:eastAsia="ja-JP" w:bidi="th-TH"/>
        </w:rPr>
      </w:r>
      <w:r w:rsidR="00347C9B">
        <w:rPr>
          <w:rFonts w:cs="Times New Roman"/>
          <w:snapToGrid w:val="0"/>
          <w:kern w:val="22"/>
          <w:lang w:eastAsia="ja-JP" w:bidi="th-TH"/>
        </w:rPr>
        <w:fldChar w:fldCharType="separate"/>
      </w:r>
      <w:r w:rsidR="00347C9B">
        <w:rPr>
          <w:rFonts w:cs="Times New Roman"/>
          <w:snapToGrid w:val="0"/>
          <w:kern w:val="22"/>
          <w:cs/>
          <w:lang w:eastAsia="ja-JP" w:bidi="th-TH"/>
        </w:rPr>
        <w:t>‎</w:t>
      </w:r>
      <w:r w:rsidR="00347C9B">
        <w:rPr>
          <w:rFonts w:cs="Times New Roman"/>
          <w:snapToGrid w:val="0"/>
          <w:kern w:val="22"/>
          <w:lang w:eastAsia="ja-JP" w:bidi="th-TH"/>
        </w:rPr>
        <w:t>35</w:t>
      </w:r>
      <w:r w:rsidR="00347C9B">
        <w:rPr>
          <w:rFonts w:cs="Times New Roman"/>
          <w:snapToGrid w:val="0"/>
          <w:kern w:val="22"/>
          <w:lang w:eastAsia="ja-JP" w:bidi="th-TH"/>
        </w:rPr>
        <w:fldChar w:fldCharType="end"/>
      </w:r>
      <w:r w:rsidR="00347C9B">
        <w:rPr>
          <w:rFonts w:cs="Times New Roman"/>
          <w:snapToGrid w:val="0"/>
          <w:kern w:val="22"/>
          <w:lang w:eastAsia="ja-JP" w:bidi="th-TH"/>
        </w:rPr>
        <w:t xml:space="preserve"> above </w:t>
      </w:r>
      <w:r w:rsidRPr="00B14636">
        <w:rPr>
          <w:rFonts w:cs="Times New Roman"/>
          <w:snapToGrid w:val="0"/>
          <w:kern w:val="22"/>
          <w:lang w:eastAsia="ja-JP" w:bidi="th-TH"/>
        </w:rPr>
        <w:t>and requesting the Executive Secretary to support and facilitate this work, subj</w:t>
      </w:r>
      <w:r w:rsidRPr="00A47DD9">
        <w:rPr>
          <w:rFonts w:cs="Times New Roman"/>
          <w:snapToGrid w:val="0"/>
          <w:kern w:val="22"/>
          <w:lang w:eastAsia="ja-JP" w:bidi="th-TH"/>
        </w:rPr>
        <w:t>ect to the availability of resources.</w:t>
      </w:r>
    </w:p>
    <w:p w:rsidR="00070D30" w:rsidRPr="00060510" w:rsidRDefault="00070D30"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eastAsia="ja-JP" w:bidi="th-TH"/>
        </w:rPr>
      </w:pPr>
      <w:r w:rsidRPr="00A47DD9">
        <w:rPr>
          <w:rFonts w:cs="Times New Roman"/>
          <w:snapToGrid w:val="0"/>
          <w:kern w:val="22"/>
          <w:lang w:eastAsia="ja-JP" w:bidi="th-TH"/>
        </w:rPr>
        <w:t xml:space="preserve">The Subsidiary Body may </w:t>
      </w:r>
      <w:r w:rsidR="00C461F7">
        <w:rPr>
          <w:rFonts w:cs="Times New Roman"/>
          <w:snapToGrid w:val="0"/>
          <w:kern w:val="22"/>
          <w:lang w:eastAsia="ja-JP" w:bidi="th-TH"/>
        </w:rPr>
        <w:t>also</w:t>
      </w:r>
      <w:r w:rsidR="00C461F7" w:rsidRPr="00A47DD9">
        <w:rPr>
          <w:rFonts w:cs="Times New Roman"/>
          <w:snapToGrid w:val="0"/>
          <w:kern w:val="22"/>
          <w:lang w:eastAsia="ja-JP" w:bidi="th-TH"/>
        </w:rPr>
        <w:t xml:space="preserve"> </w:t>
      </w:r>
      <w:r w:rsidRPr="00A47DD9">
        <w:rPr>
          <w:rFonts w:cs="Times New Roman"/>
          <w:snapToGrid w:val="0"/>
          <w:kern w:val="22"/>
          <w:lang w:eastAsia="ja-JP" w:bidi="th-TH"/>
        </w:rPr>
        <w:t>wish to recommend inviting Parties</w:t>
      </w:r>
      <w:r w:rsidRPr="00281B6E">
        <w:rPr>
          <w:rFonts w:cs="Times New Roman"/>
          <w:snapToGrid w:val="0"/>
          <w:kern w:val="22"/>
          <w:lang w:eastAsia="ja-JP" w:bidi="th-TH"/>
        </w:rPr>
        <w:t xml:space="preserve">, other </w:t>
      </w:r>
      <w:r w:rsidR="000D4D91" w:rsidRPr="00281B6E">
        <w:rPr>
          <w:rFonts w:cs="Times New Roman"/>
          <w:snapToGrid w:val="0"/>
          <w:kern w:val="22"/>
          <w:lang w:eastAsia="ja-JP" w:bidi="th-TH"/>
        </w:rPr>
        <w:t>G</w:t>
      </w:r>
      <w:r w:rsidRPr="000D5074">
        <w:rPr>
          <w:rFonts w:cs="Times New Roman"/>
          <w:snapToGrid w:val="0"/>
          <w:kern w:val="22"/>
          <w:lang w:eastAsia="ja-JP" w:bidi="th-TH"/>
        </w:rPr>
        <w:t>overnments</w:t>
      </w:r>
      <w:r w:rsidRPr="000D1078">
        <w:rPr>
          <w:rFonts w:cs="Times New Roman"/>
          <w:snapToGrid w:val="0"/>
          <w:kern w:val="22"/>
          <w:lang w:eastAsia="ja-JP" w:bidi="th-TH"/>
        </w:rPr>
        <w:t xml:space="preserve">, </w:t>
      </w:r>
      <w:r w:rsidR="00C461F7">
        <w:rPr>
          <w:rFonts w:cs="Times New Roman"/>
          <w:snapToGrid w:val="0"/>
          <w:kern w:val="22"/>
          <w:lang w:eastAsia="ja-JP" w:bidi="th-TH"/>
        </w:rPr>
        <w:t>and</w:t>
      </w:r>
      <w:r w:rsidRPr="000D1078">
        <w:rPr>
          <w:rFonts w:cs="Times New Roman"/>
          <w:snapToGrid w:val="0"/>
          <w:kern w:val="22"/>
          <w:lang w:eastAsia="ja-JP" w:bidi="th-TH"/>
        </w:rPr>
        <w:t xml:space="preserve"> relevant organizations and initiatives to strengthen, building on the work </w:t>
      </w:r>
      <w:r w:rsidR="00C461F7">
        <w:rPr>
          <w:rFonts w:cs="Times New Roman"/>
          <w:snapToGrid w:val="0"/>
          <w:kern w:val="22"/>
          <w:lang w:eastAsia="ja-JP" w:bidi="th-TH"/>
        </w:rPr>
        <w:t xml:space="preserve">described </w:t>
      </w:r>
      <w:r w:rsidRPr="000D1078">
        <w:rPr>
          <w:rFonts w:cs="Times New Roman"/>
          <w:snapToGrid w:val="0"/>
          <w:kern w:val="22"/>
          <w:lang w:eastAsia="ja-JP" w:bidi="th-TH"/>
        </w:rPr>
        <w:t xml:space="preserve">above, </w:t>
      </w:r>
      <w:proofErr w:type="gramStart"/>
      <w:r w:rsidRPr="00060510">
        <w:rPr>
          <w:snapToGrid w:val="0"/>
          <w:kern w:val="22"/>
          <w:lang w:eastAsia="ja-JP" w:bidi="th-TH"/>
        </w:rPr>
        <w:t>the</w:t>
      </w:r>
      <w:proofErr w:type="gramEnd"/>
      <w:r w:rsidRPr="00060510">
        <w:rPr>
          <w:snapToGrid w:val="0"/>
          <w:kern w:val="22"/>
          <w:lang w:eastAsia="ja-JP" w:bidi="th-TH"/>
        </w:rPr>
        <w:t xml:space="preserve"> ecosystem and biodiversity components in existing guidance for business reporting of non-financial information</w:t>
      </w:r>
      <w:r w:rsidR="009A768E">
        <w:rPr>
          <w:snapToGrid w:val="0"/>
          <w:kern w:val="22"/>
          <w:lang w:eastAsia="ja-JP" w:bidi="th-TH"/>
        </w:rPr>
        <w:t>.</w:t>
      </w:r>
    </w:p>
    <w:p w:rsidR="00070D30" w:rsidRPr="00A47DD9" w:rsidRDefault="00070D30"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eastAsia="ja-JP" w:bidi="th-TH"/>
        </w:rPr>
      </w:pPr>
      <w:r w:rsidRPr="000D1078">
        <w:rPr>
          <w:rFonts w:cs="Times New Roman"/>
          <w:snapToGrid w:val="0"/>
          <w:kern w:val="22"/>
          <w:lang w:eastAsia="ja-JP" w:bidi="th-TH"/>
        </w:rPr>
        <w:t xml:space="preserve">The Subsidiary Body may further wish to recommend inviting the </w:t>
      </w:r>
      <w:r w:rsidR="004703B2">
        <w:rPr>
          <w:rFonts w:cs="Times New Roman"/>
          <w:snapToGrid w:val="0"/>
          <w:kern w:val="22"/>
          <w:lang w:eastAsia="ja-JP" w:bidi="th-TH"/>
        </w:rPr>
        <w:t>above-</w:t>
      </w:r>
      <w:r w:rsidRPr="000D1078">
        <w:rPr>
          <w:rFonts w:cs="Times New Roman"/>
          <w:snapToGrid w:val="0"/>
          <w:kern w:val="22"/>
          <w:lang w:eastAsia="ja-JP" w:bidi="th-TH"/>
        </w:rPr>
        <w:t>mentioned partners organizations and initiatives to submit information to the Executive Secretary on pertinen</w:t>
      </w:r>
      <w:r w:rsidRPr="00B14636">
        <w:rPr>
          <w:rFonts w:cs="Times New Roman"/>
          <w:snapToGrid w:val="0"/>
          <w:kern w:val="22"/>
          <w:lang w:eastAsia="ja-JP" w:bidi="th-TH"/>
        </w:rPr>
        <w:t>t progress made, lessons learned</w:t>
      </w:r>
      <w:r w:rsidR="0003635E">
        <w:rPr>
          <w:rFonts w:cs="Times New Roman"/>
          <w:snapToGrid w:val="0"/>
          <w:kern w:val="22"/>
          <w:lang w:eastAsia="ja-JP" w:bidi="th-TH"/>
        </w:rPr>
        <w:t xml:space="preserve"> and</w:t>
      </w:r>
      <w:r w:rsidRPr="00B14636">
        <w:rPr>
          <w:rFonts w:cs="Times New Roman"/>
          <w:snapToGrid w:val="0"/>
          <w:kern w:val="22"/>
          <w:lang w:eastAsia="ja-JP" w:bidi="th-TH"/>
        </w:rPr>
        <w:t xml:space="preserve"> obstacles encountered as well as possible ways and means to overcome obstacles</w:t>
      </w:r>
      <w:r w:rsidR="008670BB" w:rsidRPr="008670BB">
        <w:rPr>
          <w:rFonts w:cs="Times New Roman"/>
          <w:snapToGrid w:val="0"/>
          <w:kern w:val="22"/>
          <w:lang w:eastAsia="ja-JP" w:bidi="th-TH"/>
        </w:rPr>
        <w:t xml:space="preserve"> </w:t>
      </w:r>
      <w:r w:rsidR="008670BB" w:rsidRPr="00B14636">
        <w:rPr>
          <w:rFonts w:cs="Times New Roman"/>
          <w:snapToGrid w:val="0"/>
          <w:kern w:val="22"/>
          <w:lang w:eastAsia="ja-JP" w:bidi="th-TH"/>
        </w:rPr>
        <w:t>identified</w:t>
      </w:r>
      <w:r w:rsidRPr="00B14636">
        <w:rPr>
          <w:rFonts w:cs="Times New Roman"/>
          <w:snapToGrid w:val="0"/>
          <w:kern w:val="22"/>
          <w:lang w:eastAsia="ja-JP" w:bidi="th-TH"/>
        </w:rPr>
        <w:t xml:space="preserve">, including as possible actions in the form of targets and metrics for the private sector for potential inclusion in the post-2020 </w:t>
      </w:r>
      <w:r w:rsidRPr="00A47DD9">
        <w:rPr>
          <w:rFonts w:cs="Times New Roman"/>
          <w:snapToGrid w:val="0"/>
          <w:kern w:val="22"/>
          <w:lang w:eastAsia="ja-JP" w:bidi="th-TH"/>
        </w:rPr>
        <w:t>global biodiversity framework. The Subsidiary Body may also wish to recommend strengthening direct business engagement in achieving the three objectives of the Convention in the coming decade. The Executive Secretary could be requested to compile and analyse the information submitted and to prepare, in consultation with the Global Partnership on Business and Biodiversity, a progress report for consideration of the Subsidiary Body on implementation at its third meeting.</w:t>
      </w:r>
    </w:p>
    <w:p w:rsidR="00070D30" w:rsidRPr="00060510" w:rsidRDefault="00070D30" w:rsidP="00060510">
      <w:pPr>
        <w:pStyle w:val="Para1"/>
        <w:numPr>
          <w:ilvl w:val="0"/>
          <w:numId w:val="0"/>
        </w:numPr>
        <w:suppressLineNumbers/>
        <w:suppressAutoHyphens/>
        <w:kinsoku w:val="0"/>
        <w:overflowPunct w:val="0"/>
        <w:autoSpaceDE w:val="0"/>
        <w:autoSpaceDN w:val="0"/>
        <w:adjustRightInd w:val="0"/>
        <w:snapToGrid w:val="0"/>
        <w:spacing w:before="0"/>
        <w:jc w:val="center"/>
        <w:rPr>
          <w:rFonts w:eastAsia="Calibri"/>
          <w:i/>
          <w:snapToGrid w:val="0"/>
          <w:kern w:val="22"/>
        </w:rPr>
      </w:pPr>
      <w:r w:rsidRPr="00060510">
        <w:rPr>
          <w:rFonts w:eastAsia="Calibri" w:cs="Times New Roman"/>
          <w:snapToGrid w:val="0"/>
          <w:kern w:val="22"/>
        </w:rPr>
        <w:br w:type="page"/>
      </w:r>
      <w:r w:rsidRPr="00060510">
        <w:rPr>
          <w:rFonts w:eastAsia="Calibri"/>
          <w:i/>
          <w:snapToGrid w:val="0"/>
          <w:kern w:val="22"/>
        </w:rPr>
        <w:lastRenderedPageBreak/>
        <w:t>Annex I</w:t>
      </w:r>
    </w:p>
    <w:p w:rsidR="00070D30" w:rsidRPr="00060510" w:rsidRDefault="00070D30" w:rsidP="0006051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snapToGrid w:val="0"/>
          <w:kern w:val="22"/>
        </w:rPr>
      </w:pPr>
      <w:r w:rsidRPr="00060510">
        <w:rPr>
          <w:rFonts w:ascii="Times New Roman Bold" w:eastAsia="Calibri" w:hAnsi="Times New Roman Bold" w:cs="Times New Roman Bold"/>
          <w:bCs/>
          <w:snapToGrid w:val="0"/>
          <w:kern w:val="22"/>
        </w:rPr>
        <w:t xml:space="preserve">Revised </w:t>
      </w:r>
      <w:r w:rsidR="00281B6E" w:rsidRPr="00060510">
        <w:rPr>
          <w:rFonts w:ascii="Times New Roman Bold" w:eastAsia="Calibri" w:hAnsi="Times New Roman Bold" w:cs="Times New Roman Bold"/>
          <w:bCs/>
          <w:snapToGrid w:val="0"/>
          <w:kern w:val="22"/>
        </w:rPr>
        <w:t>typology of actions for reporting on biodiversity</w:t>
      </w:r>
      <w:r w:rsidRPr="00060510">
        <w:rPr>
          <w:rFonts w:ascii="Times New Roman Bold" w:eastAsia="Calibri" w:hAnsi="Times New Roman Bold" w:cs="Times New Roman Bold"/>
          <w:bCs/>
          <w:snapToGrid w:val="0"/>
          <w:kern w:val="22"/>
        </w:rPr>
        <w:t xml:space="preserve"> </w:t>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69"/>
        <w:gridCol w:w="2123"/>
        <w:gridCol w:w="1417"/>
      </w:tblGrid>
      <w:tr w:rsidR="00070D30" w:rsidRPr="000D1078" w:rsidTr="00060510">
        <w:trPr>
          <w:trHeight w:val="440"/>
          <w:jc w:val="center"/>
        </w:trPr>
        <w:tc>
          <w:tcPr>
            <w:tcW w:w="1378"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060510">
              <w:rPr>
                <w:rFonts w:eastAsia="Calibri"/>
                <w:bCs/>
                <w:i/>
                <w:iCs/>
                <w:snapToGrid w:val="0"/>
                <w:kern w:val="22"/>
                <w:szCs w:val="22"/>
              </w:rPr>
              <w:t>Theme</w:t>
            </w:r>
          </w:p>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p>
        </w:tc>
        <w:tc>
          <w:tcPr>
            <w:tcW w:w="5280"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060510">
              <w:rPr>
                <w:rFonts w:eastAsia="Calibri"/>
                <w:bCs/>
                <w:i/>
                <w:iCs/>
                <w:snapToGrid w:val="0"/>
                <w:kern w:val="22"/>
                <w:szCs w:val="22"/>
              </w:rPr>
              <w:t>Main topics</w:t>
            </w:r>
          </w:p>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060510">
              <w:rPr>
                <w:rFonts w:eastAsia="Calibri"/>
                <w:bCs/>
                <w:i/>
                <w:iCs/>
                <w:snapToGrid w:val="0"/>
                <w:kern w:val="22"/>
                <w:szCs w:val="22"/>
              </w:rPr>
              <w:t xml:space="preserve">(see good practice examples in </w:t>
            </w:r>
            <w:r w:rsidR="00D46106" w:rsidRPr="00060510">
              <w:rPr>
                <w:rFonts w:eastAsia="Calibri"/>
                <w:bCs/>
                <w:i/>
                <w:iCs/>
                <w:snapToGrid w:val="0"/>
                <w:kern w:val="22"/>
                <w:szCs w:val="22"/>
              </w:rPr>
              <w:t>a</w:t>
            </w:r>
            <w:r w:rsidRPr="00060510">
              <w:rPr>
                <w:rFonts w:eastAsia="Calibri"/>
                <w:bCs/>
                <w:i/>
                <w:iCs/>
                <w:snapToGrid w:val="0"/>
                <w:kern w:val="22"/>
                <w:szCs w:val="22"/>
              </w:rPr>
              <w:t>nnex II)</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060510">
              <w:rPr>
                <w:rFonts w:eastAsia="Calibri"/>
                <w:bCs/>
                <w:i/>
                <w:iCs/>
                <w:snapToGrid w:val="0"/>
                <w:kern w:val="22"/>
                <w:szCs w:val="22"/>
              </w:rPr>
              <w:t>Aichi Targets</w:t>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060510">
              <w:rPr>
                <w:rFonts w:eastAsia="Calibri"/>
                <w:bCs/>
                <w:i/>
                <w:iCs/>
                <w:snapToGrid w:val="0"/>
                <w:kern w:val="22"/>
                <w:szCs w:val="22"/>
              </w:rPr>
              <w:t>GRI Indicators</w:t>
            </w:r>
          </w:p>
        </w:tc>
      </w:tr>
      <w:tr w:rsidR="00070D30" w:rsidRPr="000D1078" w:rsidTr="00060510">
        <w:trPr>
          <w:jc w:val="center"/>
        </w:trPr>
        <w:tc>
          <w:tcPr>
            <w:tcW w:w="1378"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snapToGrid w:val="0"/>
                <w:kern w:val="22"/>
                <w:szCs w:val="22"/>
              </w:rPr>
            </w:pPr>
            <w:r w:rsidRPr="00060510">
              <w:rPr>
                <w:rFonts w:eastAsia="Calibri"/>
                <w:snapToGrid w:val="0"/>
                <w:kern w:val="22"/>
                <w:szCs w:val="22"/>
              </w:rPr>
              <w:t>Commitment</w:t>
            </w:r>
          </w:p>
        </w:tc>
        <w:tc>
          <w:tcPr>
            <w:tcW w:w="5280" w:type="dxa"/>
            <w:shd w:val="clear" w:color="auto" w:fill="auto"/>
            <w:tcMar>
              <w:top w:w="43" w:type="dxa"/>
              <w:left w:w="115" w:type="dxa"/>
              <w:bottom w:w="43" w:type="dxa"/>
              <w:right w:w="115" w:type="dxa"/>
            </w:tcMar>
          </w:tcPr>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Biodiversity appear a material issue</w:t>
            </w:r>
          </w:p>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Existence of a biodiversity policy statement</w:t>
            </w:r>
          </w:p>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Management approach to biodiversity reported on</w:t>
            </w:r>
          </w:p>
          <w:p w:rsidR="00070D30" w:rsidRPr="00060510" w:rsidRDefault="00070D30"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Reports include a CEO letter which specifically refers to biodiversity</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color w:val="000000"/>
                <w:kern w:val="22"/>
                <w:szCs w:val="22"/>
                <w:lang w:eastAsia="en-CA"/>
              </w:rPr>
              <w:t>Strategic Goal “A”</w:t>
            </w:r>
            <w:r w:rsidRPr="00060510">
              <w:rPr>
                <w:rFonts w:eastAsia="Calibri"/>
                <w:snapToGrid w:val="0"/>
                <w:color w:val="000000"/>
                <w:kern w:val="22"/>
                <w:szCs w:val="22"/>
                <w:vertAlign w:val="superscript"/>
                <w:lang w:eastAsia="en-CA"/>
              </w:rPr>
              <w:footnoteReference w:id="36"/>
            </w:r>
            <w:r w:rsidRPr="00060510">
              <w:rPr>
                <w:rFonts w:eastAsia="Calibri"/>
                <w:snapToGrid w:val="0"/>
                <w:color w:val="000000"/>
                <w:kern w:val="22"/>
                <w:szCs w:val="22"/>
                <w:lang w:eastAsia="en-CA"/>
              </w:rPr>
              <w:t xml:space="preserve"> and Strategic Goal “E”</w:t>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 xml:space="preserve">GRI 103 Management Disclosure </w:t>
            </w:r>
          </w:p>
        </w:tc>
      </w:tr>
      <w:tr w:rsidR="00070D30" w:rsidRPr="000D1078" w:rsidTr="00060510">
        <w:trPr>
          <w:jc w:val="center"/>
        </w:trPr>
        <w:tc>
          <w:tcPr>
            <w:tcW w:w="1378"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snapToGrid w:val="0"/>
                <w:kern w:val="22"/>
                <w:szCs w:val="22"/>
              </w:rPr>
            </w:pPr>
            <w:r w:rsidRPr="00060510">
              <w:rPr>
                <w:rFonts w:eastAsia="Calibri"/>
                <w:snapToGrid w:val="0"/>
                <w:kern w:val="22"/>
                <w:szCs w:val="22"/>
              </w:rPr>
              <w:t>Engagement</w:t>
            </w:r>
          </w:p>
        </w:tc>
        <w:tc>
          <w:tcPr>
            <w:tcW w:w="5280" w:type="dxa"/>
            <w:shd w:val="clear" w:color="auto" w:fill="auto"/>
            <w:tcMar>
              <w:top w:w="43" w:type="dxa"/>
              <w:left w:w="115" w:type="dxa"/>
              <w:bottom w:w="43" w:type="dxa"/>
              <w:right w:w="115" w:type="dxa"/>
            </w:tcMar>
          </w:tcPr>
          <w:p w:rsidR="00070D30" w:rsidRPr="00060510" w:rsidRDefault="00070D30" w:rsidP="00060510">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Cs w:val="22"/>
              </w:rPr>
            </w:pPr>
            <w:r w:rsidRPr="00060510">
              <w:rPr>
                <w:rFonts w:eastAsia="Calibri"/>
                <w:snapToGrid w:val="0"/>
                <w:kern w:val="22"/>
                <w:szCs w:val="22"/>
              </w:rPr>
              <w:t>Action taken to address biodiversity impacts, risks and opportunities</w:t>
            </w:r>
          </w:p>
          <w:p w:rsidR="00070D30" w:rsidRPr="00060510" w:rsidRDefault="00070D30"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Specific examples of engaging with stakeholders e.g. suppliers</w:t>
            </w:r>
          </w:p>
          <w:p w:rsidR="00070D30" w:rsidRPr="00060510" w:rsidRDefault="00070D30"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Partnerships with NGOs and other organizations on biodiversity related projects</w:t>
            </w:r>
          </w:p>
          <w:p w:rsidR="00070D30" w:rsidRPr="00060510" w:rsidRDefault="00070D30"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Funding specific biodiversity related projects</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color w:val="000000"/>
                <w:kern w:val="22"/>
                <w:szCs w:val="22"/>
                <w:lang w:eastAsia="en-CA"/>
              </w:rPr>
              <w:t>Strategic Goal “A”, Strategic Goal “B”</w:t>
            </w:r>
            <w:r w:rsidRPr="00060510">
              <w:rPr>
                <w:rFonts w:eastAsia="Calibri"/>
                <w:snapToGrid w:val="0"/>
                <w:color w:val="000000"/>
                <w:kern w:val="22"/>
                <w:szCs w:val="22"/>
                <w:vertAlign w:val="superscript"/>
                <w:lang w:eastAsia="en-CA"/>
              </w:rPr>
              <w:t xml:space="preserve"> </w:t>
            </w:r>
            <w:r w:rsidRPr="00060510">
              <w:rPr>
                <w:rFonts w:eastAsia="Calibri"/>
                <w:snapToGrid w:val="0"/>
                <w:color w:val="000000"/>
                <w:kern w:val="22"/>
                <w:szCs w:val="22"/>
                <w:vertAlign w:val="superscript"/>
                <w:lang w:eastAsia="en-CA"/>
              </w:rPr>
              <w:footnoteReference w:id="37"/>
            </w:r>
            <w:r w:rsidRPr="00060510">
              <w:rPr>
                <w:rFonts w:eastAsia="Calibri"/>
                <w:snapToGrid w:val="0"/>
                <w:color w:val="000000"/>
                <w:kern w:val="22"/>
                <w:szCs w:val="22"/>
                <w:lang w:eastAsia="en-CA"/>
              </w:rPr>
              <w:t>, Strategic Goal “C”</w:t>
            </w:r>
            <w:r w:rsidRPr="00060510">
              <w:rPr>
                <w:rFonts w:eastAsia="Calibri"/>
                <w:snapToGrid w:val="0"/>
                <w:color w:val="000000"/>
                <w:kern w:val="22"/>
                <w:szCs w:val="22"/>
                <w:vertAlign w:val="superscript"/>
                <w:lang w:eastAsia="en-CA"/>
              </w:rPr>
              <w:footnoteReference w:id="38"/>
            </w:r>
            <w:r w:rsidRPr="00060510">
              <w:rPr>
                <w:rFonts w:eastAsia="Calibri"/>
                <w:snapToGrid w:val="0"/>
                <w:color w:val="000000"/>
                <w:kern w:val="22"/>
                <w:szCs w:val="22"/>
                <w:lang w:eastAsia="en-CA"/>
              </w:rPr>
              <w:t>, Strategic Goal “D”</w:t>
            </w:r>
            <w:r w:rsidRPr="00060510">
              <w:rPr>
                <w:rFonts w:eastAsia="Calibri"/>
                <w:snapToGrid w:val="0"/>
                <w:color w:val="000000"/>
                <w:kern w:val="22"/>
                <w:szCs w:val="22"/>
                <w:vertAlign w:val="superscript"/>
                <w:lang w:eastAsia="en-CA"/>
              </w:rPr>
              <w:t xml:space="preserve"> </w:t>
            </w:r>
            <w:r w:rsidRPr="00060510">
              <w:rPr>
                <w:rFonts w:eastAsia="Calibri"/>
                <w:snapToGrid w:val="0"/>
                <w:color w:val="000000"/>
                <w:kern w:val="22"/>
                <w:szCs w:val="22"/>
                <w:vertAlign w:val="superscript"/>
                <w:lang w:eastAsia="en-CA"/>
              </w:rPr>
              <w:footnoteReference w:id="39"/>
            </w:r>
            <w:r w:rsidRPr="00060510">
              <w:rPr>
                <w:rFonts w:eastAsia="Calibri"/>
                <w:snapToGrid w:val="0"/>
                <w:color w:val="000000"/>
                <w:kern w:val="22"/>
                <w:szCs w:val="22"/>
                <w:lang w:eastAsia="en-CA"/>
              </w:rPr>
              <w:t xml:space="preserve"> and Strategic Goal “E”</w:t>
            </w:r>
            <w:r w:rsidRPr="00060510">
              <w:rPr>
                <w:rFonts w:eastAsia="Calibri"/>
                <w:snapToGrid w:val="0"/>
                <w:color w:val="000000"/>
                <w:kern w:val="22"/>
                <w:szCs w:val="22"/>
                <w:vertAlign w:val="superscript"/>
                <w:lang w:eastAsia="en-CA"/>
              </w:rPr>
              <w:t xml:space="preserve"> </w:t>
            </w:r>
            <w:r w:rsidRPr="00060510">
              <w:rPr>
                <w:rFonts w:eastAsia="Calibri"/>
                <w:snapToGrid w:val="0"/>
                <w:color w:val="000000"/>
                <w:kern w:val="22"/>
                <w:szCs w:val="22"/>
                <w:vertAlign w:val="superscript"/>
                <w:lang w:eastAsia="en-CA"/>
              </w:rPr>
              <w:footnoteReference w:id="40"/>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304-3</w:t>
            </w:r>
            <w:r w:rsidRPr="00060510">
              <w:rPr>
                <w:rFonts w:eastAsia="Calibri"/>
                <w:snapToGrid w:val="0"/>
                <w:kern w:val="22"/>
                <w:szCs w:val="22"/>
                <w:vertAlign w:val="superscript"/>
              </w:rPr>
              <w:footnoteReference w:id="41"/>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70D30" w:rsidRPr="000D1078" w:rsidTr="00060510">
        <w:trPr>
          <w:jc w:val="center"/>
        </w:trPr>
        <w:tc>
          <w:tcPr>
            <w:tcW w:w="1378"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center"/>
              <w:rPr>
                <w:rFonts w:eastAsia="Calibri"/>
                <w:snapToGrid w:val="0"/>
                <w:kern w:val="22"/>
                <w:szCs w:val="22"/>
              </w:rPr>
            </w:pPr>
            <w:r w:rsidRPr="00060510">
              <w:rPr>
                <w:rFonts w:eastAsia="Calibri"/>
                <w:snapToGrid w:val="0"/>
                <w:kern w:val="22"/>
                <w:szCs w:val="22"/>
              </w:rPr>
              <w:t>Measuring</w:t>
            </w:r>
          </w:p>
        </w:tc>
        <w:tc>
          <w:tcPr>
            <w:tcW w:w="5280" w:type="dxa"/>
            <w:shd w:val="clear" w:color="auto" w:fill="auto"/>
            <w:tcMar>
              <w:top w:w="43" w:type="dxa"/>
              <w:left w:w="115" w:type="dxa"/>
              <w:bottom w:w="43" w:type="dxa"/>
              <w:right w:w="115" w:type="dxa"/>
            </w:tcMar>
          </w:tcPr>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 xml:space="preserve">Identifying risks and opportunities </w:t>
            </w:r>
          </w:p>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 xml:space="preserve">Using tools and other means to measure both positive and negative impacts </w:t>
            </w:r>
          </w:p>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 xml:space="preserve">Reporting on biodiversity specific indicators such as GRI </w:t>
            </w:r>
          </w:p>
          <w:p w:rsidR="00070D30" w:rsidRPr="00060510" w:rsidRDefault="00070D30"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All operations with significant impact taken into account in measurements</w:t>
            </w:r>
          </w:p>
        </w:tc>
        <w:tc>
          <w:tcPr>
            <w:tcW w:w="2126"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color w:val="000000"/>
                <w:kern w:val="22"/>
                <w:szCs w:val="22"/>
                <w:lang w:eastAsia="en-CA"/>
              </w:rPr>
              <w:t>Strategic Goal “A”, Strategic Goal “B”, Strategic Goal “C”, Strategic Goal “D” Strategic Goal “E”</w:t>
            </w:r>
          </w:p>
        </w:tc>
        <w:tc>
          <w:tcPr>
            <w:tcW w:w="1417" w:type="dxa"/>
            <w:shd w:val="clear" w:color="auto" w:fill="auto"/>
            <w:tcMar>
              <w:top w:w="43" w:type="dxa"/>
              <w:left w:w="115" w:type="dxa"/>
              <w:bottom w:w="43" w:type="dxa"/>
              <w:right w:w="115" w:type="dxa"/>
            </w:tcMar>
          </w:tcPr>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304-1</w:t>
            </w:r>
            <w:r w:rsidRPr="00060510">
              <w:rPr>
                <w:rFonts w:eastAsia="Calibri"/>
                <w:snapToGrid w:val="0"/>
                <w:kern w:val="22"/>
                <w:szCs w:val="22"/>
                <w:vertAlign w:val="superscript"/>
              </w:rPr>
              <w:footnoteReference w:id="42"/>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304-2</w:t>
            </w:r>
            <w:r w:rsidRPr="00060510">
              <w:rPr>
                <w:rFonts w:eastAsia="Calibri"/>
                <w:snapToGrid w:val="0"/>
                <w:kern w:val="22"/>
                <w:szCs w:val="22"/>
                <w:vertAlign w:val="superscript"/>
              </w:rPr>
              <w:footnoteReference w:id="43"/>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304-3</w:t>
            </w:r>
            <w:r w:rsidRPr="00060510">
              <w:rPr>
                <w:rFonts w:eastAsia="Calibri"/>
                <w:snapToGrid w:val="0"/>
                <w:kern w:val="22"/>
                <w:szCs w:val="22"/>
                <w:vertAlign w:val="superscript"/>
              </w:rPr>
              <w:footnoteReference w:id="44"/>
            </w:r>
          </w:p>
          <w:p w:rsidR="00070D30" w:rsidRPr="00060510"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rPr>
            </w:pPr>
            <w:r w:rsidRPr="00060510">
              <w:rPr>
                <w:rFonts w:eastAsia="Calibri"/>
                <w:snapToGrid w:val="0"/>
                <w:kern w:val="22"/>
                <w:szCs w:val="22"/>
              </w:rPr>
              <w:t>304-4</w:t>
            </w:r>
            <w:r w:rsidRPr="00060510">
              <w:rPr>
                <w:rFonts w:eastAsia="Calibri"/>
                <w:snapToGrid w:val="0"/>
                <w:kern w:val="22"/>
                <w:szCs w:val="22"/>
                <w:vertAlign w:val="superscript"/>
              </w:rPr>
              <w:footnoteReference w:id="45"/>
            </w:r>
          </w:p>
        </w:tc>
      </w:tr>
    </w:tbl>
    <w:p w:rsidR="00070D30" w:rsidRPr="00060510" w:rsidRDefault="00070D30" w:rsidP="00060510">
      <w:pPr>
        <w:suppressLineNumbers/>
        <w:suppressAutoHyphens/>
        <w:kinsoku w:val="0"/>
        <w:overflowPunct w:val="0"/>
        <w:autoSpaceDE w:val="0"/>
        <w:autoSpaceDN w:val="0"/>
        <w:adjustRightInd w:val="0"/>
        <w:snapToGrid w:val="0"/>
        <w:rPr>
          <w:snapToGrid w:val="0"/>
          <w:kern w:val="22"/>
          <w:szCs w:val="22"/>
        </w:rPr>
      </w:pPr>
    </w:p>
    <w:p w:rsidR="00070D30" w:rsidRPr="00060510" w:rsidRDefault="00070D30" w:rsidP="00060510">
      <w:pPr>
        <w:pStyle w:val="Heading1"/>
        <w:suppressLineNumbers/>
        <w:suppressAutoHyphens/>
        <w:kinsoku w:val="0"/>
        <w:overflowPunct w:val="0"/>
        <w:autoSpaceDE w:val="0"/>
        <w:autoSpaceDN w:val="0"/>
        <w:adjustRightInd w:val="0"/>
        <w:snapToGrid w:val="0"/>
        <w:rPr>
          <w:b w:val="0"/>
          <w:i/>
          <w:snapToGrid w:val="0"/>
          <w:kern w:val="22"/>
        </w:rPr>
      </w:pPr>
      <w:r w:rsidRPr="00060510">
        <w:rPr>
          <w:rFonts w:ascii="Calibri" w:hAnsi="Calibri" w:cs="Tahoma"/>
          <w:snapToGrid w:val="0"/>
          <w:kern w:val="22"/>
        </w:rPr>
        <w:br w:type="page"/>
      </w:r>
      <w:r w:rsidR="00D46106" w:rsidRPr="00060510">
        <w:rPr>
          <w:b w:val="0"/>
          <w:i/>
          <w:caps w:val="0"/>
          <w:snapToGrid w:val="0"/>
          <w:kern w:val="22"/>
        </w:rPr>
        <w:lastRenderedPageBreak/>
        <w:t>Annex II</w:t>
      </w:r>
    </w:p>
    <w:p w:rsidR="00070D30" w:rsidRPr="00060510" w:rsidRDefault="00070D30" w:rsidP="00060510">
      <w:pPr>
        <w:pStyle w:val="Heading1"/>
        <w:suppressLineNumbers/>
        <w:suppressAutoHyphens/>
        <w:kinsoku w:val="0"/>
        <w:overflowPunct w:val="0"/>
        <w:autoSpaceDE w:val="0"/>
        <w:autoSpaceDN w:val="0"/>
        <w:adjustRightInd w:val="0"/>
        <w:snapToGrid w:val="0"/>
        <w:rPr>
          <w:rFonts w:eastAsia="Batang"/>
          <w:snapToGrid w:val="0"/>
          <w:kern w:val="22"/>
          <w:lang w:eastAsia="ja-JP" w:bidi="th-TH"/>
        </w:rPr>
      </w:pPr>
      <w:r w:rsidRPr="00060510">
        <w:rPr>
          <w:rFonts w:eastAsia="Batang"/>
          <w:snapToGrid w:val="0"/>
          <w:kern w:val="22"/>
          <w:lang w:eastAsia="ja-JP" w:bidi="th-TH"/>
        </w:rPr>
        <w:t>Good Practice examples for the Revised Typology of Actions For Reporting on biodiversity</w:t>
      </w:r>
    </w:p>
    <w:p w:rsidR="00070D30" w:rsidRPr="00060510" w:rsidRDefault="00070D30" w:rsidP="00060510">
      <w:pPr>
        <w:pStyle w:val="Heading2"/>
        <w:suppressLineNumbers/>
        <w:suppressAutoHyphens/>
        <w:kinsoku w:val="0"/>
        <w:overflowPunct w:val="0"/>
        <w:autoSpaceDE w:val="0"/>
        <w:autoSpaceDN w:val="0"/>
        <w:adjustRightInd w:val="0"/>
        <w:snapToGrid w:val="0"/>
        <w:rPr>
          <w:rFonts w:eastAsia="Batang"/>
          <w:snapToGrid w:val="0"/>
          <w:kern w:val="22"/>
          <w:lang w:eastAsia="ja-JP" w:bidi="th-TH"/>
        </w:rPr>
      </w:pPr>
      <w:r w:rsidRPr="00060510">
        <w:rPr>
          <w:rFonts w:eastAsia="Batang"/>
          <w:snapToGrid w:val="0"/>
          <w:kern w:val="22"/>
          <w:lang w:eastAsia="ja-JP" w:bidi="th-TH"/>
        </w:rPr>
        <w:t>The good practice examples below are compiled with a view to provid</w:t>
      </w:r>
      <w:r w:rsidR="000D4D91" w:rsidRPr="00060510">
        <w:rPr>
          <w:rFonts w:eastAsia="Batang"/>
          <w:snapToGrid w:val="0"/>
          <w:kern w:val="22"/>
          <w:lang w:eastAsia="ja-JP" w:bidi="th-TH"/>
        </w:rPr>
        <w:t>ing</w:t>
      </w:r>
      <w:r w:rsidRPr="00060510">
        <w:rPr>
          <w:rFonts w:eastAsia="Batang"/>
          <w:snapToGrid w:val="0"/>
          <w:kern w:val="22"/>
          <w:lang w:eastAsia="ja-JP" w:bidi="th-TH"/>
        </w:rPr>
        <w:t xml:space="preserve"> indicative guidance on how to use the revised typology of actions. No claim for comprehensiveness is made; in particular, absence of a particular example from the list below does not imply that it could not also be considered good practice</w:t>
      </w:r>
    </w:p>
    <w:tbl>
      <w:tblPr>
        <w:tblpPr w:leftFromText="187" w:rightFromText="187"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6"/>
        <w:gridCol w:w="7147"/>
      </w:tblGrid>
      <w:tr w:rsidR="00160693" w:rsidRPr="000D1078" w:rsidTr="00060510">
        <w:trPr>
          <w:tblHeader/>
          <w:jc w:val="center"/>
        </w:trPr>
        <w:tc>
          <w:tcPr>
            <w:tcW w:w="2469" w:type="dxa"/>
            <w:shd w:val="clear" w:color="auto" w:fill="auto"/>
            <w:tcMar>
              <w:top w:w="43" w:type="dxa"/>
              <w:left w:w="115" w:type="dxa"/>
              <w:bottom w:w="43" w:type="dxa"/>
              <w:right w:w="115" w:type="dxa"/>
            </w:tcMar>
          </w:tcPr>
          <w:p w:rsidR="00070D30" w:rsidRPr="00060510" w:rsidRDefault="00160693" w:rsidP="00060510">
            <w:pPr>
              <w:suppressLineNumbers/>
              <w:suppressAutoHyphens/>
              <w:kinsoku w:val="0"/>
              <w:overflowPunct w:val="0"/>
              <w:autoSpaceDE w:val="0"/>
              <w:autoSpaceDN w:val="0"/>
              <w:adjustRightInd w:val="0"/>
              <w:snapToGrid w:val="0"/>
              <w:jc w:val="center"/>
              <w:rPr>
                <w:i/>
                <w:iCs/>
                <w:snapToGrid w:val="0"/>
                <w:color w:val="000000"/>
                <w:kern w:val="22"/>
                <w:szCs w:val="22"/>
              </w:rPr>
            </w:pPr>
            <w:r w:rsidRPr="00060510">
              <w:rPr>
                <w:i/>
                <w:iCs/>
                <w:snapToGrid w:val="0"/>
                <w:color w:val="000000"/>
                <w:kern w:val="22"/>
                <w:szCs w:val="22"/>
              </w:rPr>
              <w:t>Company</w:t>
            </w:r>
          </w:p>
        </w:tc>
        <w:tc>
          <w:tcPr>
            <w:tcW w:w="7223" w:type="dxa"/>
            <w:gridSpan w:val="2"/>
            <w:shd w:val="clear" w:color="auto" w:fill="auto"/>
            <w:tcMar>
              <w:top w:w="43" w:type="dxa"/>
              <w:left w:w="115" w:type="dxa"/>
              <w:bottom w:w="43" w:type="dxa"/>
              <w:right w:w="115" w:type="dxa"/>
            </w:tcMar>
            <w:hideMark/>
          </w:tcPr>
          <w:p w:rsidR="00070D30" w:rsidRPr="00060510" w:rsidRDefault="00160693" w:rsidP="00060510">
            <w:pPr>
              <w:suppressLineNumbers/>
              <w:suppressAutoHyphens/>
              <w:kinsoku w:val="0"/>
              <w:overflowPunct w:val="0"/>
              <w:autoSpaceDE w:val="0"/>
              <w:autoSpaceDN w:val="0"/>
              <w:adjustRightInd w:val="0"/>
              <w:snapToGrid w:val="0"/>
              <w:jc w:val="center"/>
              <w:rPr>
                <w:i/>
                <w:iCs/>
                <w:snapToGrid w:val="0"/>
                <w:color w:val="000000"/>
                <w:kern w:val="22"/>
                <w:szCs w:val="22"/>
              </w:rPr>
            </w:pPr>
            <w:r w:rsidRPr="00060510">
              <w:rPr>
                <w:i/>
                <w:iCs/>
                <w:snapToGrid w:val="0"/>
                <w:color w:val="000000"/>
                <w:kern w:val="22"/>
                <w:szCs w:val="22"/>
              </w:rPr>
              <w:t>Examples</w:t>
            </w:r>
          </w:p>
        </w:tc>
      </w:tr>
      <w:tr w:rsidR="00160693" w:rsidRPr="000D1078" w:rsidTr="00060510">
        <w:trPr>
          <w:jc w:val="center"/>
        </w:trPr>
        <w:tc>
          <w:tcPr>
            <w:tcW w:w="9692" w:type="dxa"/>
            <w:gridSpan w:val="3"/>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120"/>
              <w:jc w:val="left"/>
              <w:rPr>
                <w:b/>
                <w:bCs/>
                <w:snapToGrid w:val="0"/>
                <w:color w:val="000000"/>
                <w:kern w:val="22"/>
                <w:szCs w:val="22"/>
              </w:rPr>
            </w:pPr>
            <w:r w:rsidRPr="00060510">
              <w:rPr>
                <w:b/>
                <w:bCs/>
                <w:snapToGrid w:val="0"/>
                <w:color w:val="000000"/>
                <w:kern w:val="22"/>
                <w:szCs w:val="22"/>
              </w:rPr>
              <w:t>Theme: Commitment</w:t>
            </w:r>
          </w:p>
          <w:p w:rsidR="00070D30" w:rsidRPr="00060510" w:rsidRDefault="00070D30" w:rsidP="00060510">
            <w:pPr>
              <w:suppressLineNumbers/>
              <w:suppressAutoHyphens/>
              <w:kinsoku w:val="0"/>
              <w:overflowPunct w:val="0"/>
              <w:autoSpaceDE w:val="0"/>
              <w:autoSpaceDN w:val="0"/>
              <w:adjustRightInd w:val="0"/>
              <w:snapToGrid w:val="0"/>
              <w:jc w:val="left"/>
              <w:rPr>
                <w:snapToGrid w:val="0"/>
                <w:color w:val="000000"/>
                <w:kern w:val="22"/>
                <w:szCs w:val="22"/>
              </w:rPr>
            </w:pPr>
            <w:r w:rsidRPr="00060510">
              <w:rPr>
                <w:snapToGrid w:val="0"/>
                <w:color w:val="000000"/>
                <w:kern w:val="22"/>
                <w:szCs w:val="22"/>
              </w:rPr>
              <w:t>Examples on main topics: Policies, statements, standards, biodiversity mentioned in CEO letter, materiality, certifications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Fujifilm</w:t>
            </w:r>
          </w:p>
        </w:tc>
        <w:tc>
          <w:tcPr>
            <w:tcW w:w="7223" w:type="dxa"/>
            <w:gridSpan w:val="2"/>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Biodiversity as material issue</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xml:space="preserve">• Philosophy: </w:t>
            </w:r>
            <w:r w:rsidR="00913A4E" w:rsidRPr="00060510">
              <w:rPr>
                <w:snapToGrid w:val="0"/>
                <w:color w:val="000000"/>
                <w:kern w:val="22"/>
                <w:szCs w:val="22"/>
              </w:rPr>
              <w:t>“</w:t>
            </w:r>
            <w:r w:rsidRPr="00060510">
              <w:rPr>
                <w:snapToGrid w:val="0"/>
                <w:color w:val="000000"/>
                <w:kern w:val="22"/>
                <w:szCs w:val="22"/>
              </w:rPr>
              <w:t>Environmental consciousness and environmental protection are at the core of our corporate activities</w:t>
            </w:r>
            <w:r w:rsidR="00913A4E" w:rsidRPr="00060510">
              <w:rPr>
                <w:snapToGrid w:val="0"/>
                <w:color w:val="000000"/>
                <w:kern w:val="22"/>
                <w:szCs w:val="22"/>
              </w:rPr>
              <w:t>”</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2009: introduced Fujifilm Group Basic Concepts and Action Guidelines for Biodiversity Conservation</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2012: reviewed biodiversity approach under 4 key elements of factories, products, social contribution and communication</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2015: participated in Nagoya Protocol on ABS for Genetic Resources</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FY2016: Biodiversity preservation as priority issue</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ASAHI – Food and Beverages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Biodiversity is a high material issue</w:t>
            </w:r>
            <w:r w:rsidRPr="00060510">
              <w:rPr>
                <w:rFonts w:eastAsia="PMingLiU"/>
                <w:snapToGrid w:val="0"/>
                <w:color w:val="000000"/>
                <w:kern w:val="22"/>
                <w:szCs w:val="22"/>
              </w:rPr>
              <w:br/>
            </w:r>
            <w:r w:rsidRPr="00060510">
              <w:rPr>
                <w:snapToGrid w:val="0"/>
                <w:color w:val="000000"/>
                <w:kern w:val="22"/>
                <w:szCs w:val="22"/>
              </w:rPr>
              <w:t>• Establishment of Key Performance Indicators (KPI) for biodiversity in 2017</w:t>
            </w:r>
            <w:r w:rsidRPr="00060510">
              <w:rPr>
                <w:rFonts w:eastAsia="PMingLiU"/>
                <w:snapToGrid w:val="0"/>
                <w:color w:val="000000"/>
                <w:kern w:val="22"/>
                <w:szCs w:val="22"/>
              </w:rPr>
              <w:br/>
            </w:r>
            <w:r w:rsidRPr="00060510">
              <w:rPr>
                <w:snapToGrid w:val="0"/>
                <w:color w:val="000000"/>
                <w:kern w:val="22"/>
                <w:szCs w:val="22"/>
              </w:rPr>
              <w:t>• Declaration on Biodiversity in report</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Ambuja</w:t>
            </w:r>
            <w:proofErr w:type="spellEnd"/>
            <w:r w:rsidRPr="00060510">
              <w:rPr>
                <w:b/>
                <w:bCs/>
                <w:snapToGrid w:val="0"/>
                <w:color w:val="000000"/>
                <w:kern w:val="22"/>
                <w:szCs w:val="22"/>
              </w:rPr>
              <w:t xml:space="preserve"> Cements – Construction Materials</w:t>
            </w:r>
          </w:p>
        </w:tc>
        <w:tc>
          <w:tcPr>
            <w:tcW w:w="7223" w:type="dxa"/>
            <w:gridSpan w:val="2"/>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Commitment to GRI and SDGs</w:t>
            </w:r>
            <w:r w:rsidRPr="00060510">
              <w:rPr>
                <w:rFonts w:eastAsia="PMingLiU"/>
                <w:snapToGrid w:val="0"/>
                <w:color w:val="000000"/>
                <w:kern w:val="22"/>
                <w:szCs w:val="22"/>
              </w:rPr>
              <w:br/>
            </w:r>
            <w:r w:rsidRPr="00060510">
              <w:rPr>
                <w:snapToGrid w:val="0"/>
                <w:color w:val="000000"/>
                <w:kern w:val="22"/>
                <w:szCs w:val="22"/>
              </w:rPr>
              <w:t xml:space="preserve">• Letter from the CEO: </w:t>
            </w:r>
            <w:r w:rsidR="00913A4E" w:rsidRPr="00060510">
              <w:rPr>
                <w:snapToGrid w:val="0"/>
                <w:color w:val="000000"/>
                <w:kern w:val="22"/>
                <w:szCs w:val="22"/>
              </w:rPr>
              <w:t>“</w:t>
            </w:r>
            <w:r w:rsidRPr="00060510">
              <w:rPr>
                <w:snapToGrid w:val="0"/>
                <w:color w:val="000000"/>
                <w:kern w:val="22"/>
                <w:szCs w:val="22"/>
              </w:rPr>
              <w:t>when speaking of sustainability, it becomes imperative for industry to address the climate change and biodiversity impact</w:t>
            </w:r>
            <w:r w:rsidR="00913A4E" w:rsidRPr="00060510">
              <w:rPr>
                <w:snapToGrid w:val="0"/>
                <w:color w:val="000000"/>
                <w:kern w:val="22"/>
                <w:szCs w:val="22"/>
              </w:rPr>
              <w:t>”</w:t>
            </w:r>
            <w:r w:rsidRPr="00060510">
              <w:rPr>
                <w:rFonts w:eastAsia="PMingLiU"/>
                <w:snapToGrid w:val="0"/>
                <w:color w:val="000000"/>
                <w:kern w:val="22"/>
                <w:szCs w:val="22"/>
              </w:rPr>
              <w:br/>
            </w:r>
            <w:r w:rsidRPr="00060510">
              <w:rPr>
                <w:snapToGrid w:val="0"/>
                <w:color w:val="000000"/>
                <w:kern w:val="22"/>
                <w:szCs w:val="22"/>
              </w:rPr>
              <w:t>• Biodiversity identified as a material issue</w:t>
            </w:r>
            <w:r w:rsidRPr="00060510">
              <w:rPr>
                <w:rFonts w:eastAsia="PMingLiU"/>
                <w:snapToGrid w:val="0"/>
                <w:color w:val="000000"/>
                <w:kern w:val="22"/>
                <w:szCs w:val="22"/>
              </w:rPr>
              <w:br/>
            </w:r>
            <w:r w:rsidRPr="00060510">
              <w:rPr>
                <w:snapToGrid w:val="0"/>
                <w:color w:val="000000"/>
                <w:kern w:val="22"/>
                <w:szCs w:val="22"/>
              </w:rPr>
              <w:t>• Has its own 2030 targets</w:t>
            </w:r>
            <w:r w:rsidRPr="00060510">
              <w:rPr>
                <w:snapToGrid w:val="0"/>
                <w:color w:val="000000"/>
                <w:kern w:val="22"/>
                <w:szCs w:val="22"/>
              </w:rPr>
              <w:br/>
              <w:t>• Voluntarily reported on biodiversity performance in 2016 towards IBBI Declaration Commitments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Kering</w:t>
            </w:r>
            <w:proofErr w:type="spellEnd"/>
            <w:r w:rsidRPr="00060510">
              <w:rPr>
                <w:b/>
                <w:bCs/>
                <w:snapToGrid w:val="0"/>
                <w:color w:val="000000"/>
                <w:kern w:val="22"/>
                <w:szCs w:val="22"/>
              </w:rPr>
              <w:t xml:space="preserve"> – Textiles and Apparel</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xml:space="preserve">• Preservation of biodiversity: key component of </w:t>
            </w:r>
            <w:proofErr w:type="spellStart"/>
            <w:r w:rsidRPr="00060510">
              <w:rPr>
                <w:snapToGrid w:val="0"/>
                <w:color w:val="000000"/>
                <w:kern w:val="22"/>
                <w:szCs w:val="22"/>
              </w:rPr>
              <w:t>Kering</w:t>
            </w:r>
            <w:r w:rsidR="00BF6AF7">
              <w:rPr>
                <w:snapToGrid w:val="0"/>
                <w:color w:val="000000"/>
                <w:kern w:val="22"/>
                <w:szCs w:val="22"/>
              </w:rPr>
              <w:t>’</w:t>
            </w:r>
            <w:r w:rsidRPr="00060510">
              <w:rPr>
                <w:snapToGrid w:val="0"/>
                <w:color w:val="000000"/>
                <w:kern w:val="22"/>
                <w:szCs w:val="22"/>
              </w:rPr>
              <w:t>s</w:t>
            </w:r>
            <w:proofErr w:type="spellEnd"/>
            <w:r w:rsidRPr="00060510">
              <w:rPr>
                <w:snapToGrid w:val="0"/>
                <w:color w:val="000000"/>
                <w:kern w:val="22"/>
                <w:szCs w:val="22"/>
              </w:rPr>
              <w:t xml:space="preserve"> environmental policy</w:t>
            </w:r>
            <w:r w:rsidRPr="00060510">
              <w:rPr>
                <w:rFonts w:eastAsia="PMingLiU"/>
                <w:snapToGrid w:val="0"/>
                <w:color w:val="000000"/>
                <w:kern w:val="22"/>
                <w:szCs w:val="22"/>
              </w:rPr>
              <w:br/>
            </w:r>
            <w:r w:rsidRPr="00060510">
              <w:rPr>
                <w:snapToGrid w:val="0"/>
                <w:color w:val="000000"/>
                <w:kern w:val="22"/>
                <w:szCs w:val="22"/>
              </w:rPr>
              <w:t>• Contributed to the creation of the Natural Capital Protocol</w:t>
            </w:r>
            <w:r w:rsidRPr="00060510">
              <w:rPr>
                <w:rFonts w:eastAsia="PMingLiU"/>
                <w:snapToGrid w:val="0"/>
                <w:color w:val="000000"/>
                <w:kern w:val="22"/>
                <w:szCs w:val="22"/>
              </w:rPr>
              <w:br/>
            </w:r>
            <w:r w:rsidRPr="00060510">
              <w:rPr>
                <w:snapToGrid w:val="0"/>
                <w:color w:val="000000"/>
                <w:kern w:val="22"/>
                <w:szCs w:val="22"/>
              </w:rPr>
              <w:t>• Commitment to avoid the conversion of sensitive ecosystems into grazing land or agricultural land</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Kingfisher – Retailers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Sustainable forestry 2020 target commitment: work with partners to measure the impact of certification on forests, biodiversity and forest communities and assess the effect of their responsible wood and paper sourcing</w:t>
            </w:r>
            <w:r w:rsidRPr="00060510">
              <w:rPr>
                <w:snapToGrid w:val="0"/>
                <w:color w:val="000000"/>
                <w:kern w:val="22"/>
                <w:szCs w:val="22"/>
              </w:rPr>
              <w:br/>
              <w:t>• In 2014, helped found the Value Impact Analysis (VIA) initiative to develop a methodology for quantifying the impacts of Forest Stewardship Council (FSC) certification</w:t>
            </w:r>
            <w:r w:rsidRPr="00060510">
              <w:rPr>
                <w:snapToGrid w:val="0"/>
                <w:color w:val="000000"/>
                <w:kern w:val="22"/>
                <w:szCs w:val="22"/>
              </w:rPr>
              <w:br/>
              <w:t>• Biodiversity 2020 target: Enhance biodiversity on new build projects, major refurbishments and existing stores</w:t>
            </w:r>
            <w:r w:rsidRPr="00060510">
              <w:rPr>
                <w:snapToGrid w:val="0"/>
                <w:color w:val="000000"/>
                <w:kern w:val="22"/>
                <w:szCs w:val="22"/>
              </w:rPr>
              <w:br/>
              <w:t>• Biodiversity audits were carried out for some new-build projects and major refurbishments during 2016/17</w:t>
            </w:r>
          </w:p>
        </w:tc>
      </w:tr>
      <w:tr w:rsidR="00160693" w:rsidRPr="000D1078" w:rsidTr="00060510">
        <w:trPr>
          <w:cantSplit/>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kern w:val="22"/>
              </w:rPr>
              <w:lastRenderedPageBreak/>
              <w:t>Hydro Quebec - Energy Utilities</w:t>
            </w:r>
          </w:p>
        </w:tc>
        <w:tc>
          <w:tcPr>
            <w:tcW w:w="7223"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40"/>
              <w:jc w:val="left"/>
              <w:rPr>
                <w:snapToGrid w:val="0"/>
                <w:color w:val="000000"/>
                <w:kern w:val="22"/>
                <w:szCs w:val="22"/>
              </w:rPr>
            </w:pPr>
            <w:r w:rsidRPr="00060510">
              <w:rPr>
                <w:snapToGrid w:val="0"/>
                <w:kern w:val="22"/>
              </w:rPr>
              <w:t>• Ranked 4th (out of 34) for commitment to protection and restoration for protected areas natural habitats and wildlife</w:t>
            </w:r>
            <w:r w:rsidRPr="00060510">
              <w:rPr>
                <w:rFonts w:eastAsia="PMingLiU"/>
                <w:snapToGrid w:val="0"/>
                <w:kern w:val="22"/>
              </w:rPr>
              <w:br/>
            </w:r>
            <w:r w:rsidRPr="00060510">
              <w:rPr>
                <w:snapToGrid w:val="0"/>
                <w:kern w:val="22"/>
              </w:rPr>
              <w:t>• To improve its governance of biodiversity, Hydro-Québec adopted a new corporate strategy and action plan, and committed to public reporting on biodiversity</w:t>
            </w:r>
            <w:r w:rsidRPr="00060510">
              <w:rPr>
                <w:snapToGrid w:val="0"/>
                <w:kern w:val="22"/>
              </w:rPr>
              <w:br/>
              <w:t>• Published their second Biodiversity Performance Report</w:t>
            </w:r>
          </w:p>
        </w:tc>
      </w:tr>
      <w:tr w:rsidR="00160693" w:rsidRPr="000D1078" w:rsidTr="00060510">
        <w:trPr>
          <w:jc w:val="center"/>
        </w:trPr>
        <w:tc>
          <w:tcPr>
            <w:tcW w:w="9692" w:type="dxa"/>
            <w:gridSpan w:val="3"/>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120"/>
              <w:jc w:val="left"/>
              <w:rPr>
                <w:b/>
                <w:bCs/>
                <w:snapToGrid w:val="0"/>
                <w:color w:val="000000"/>
                <w:kern w:val="22"/>
                <w:szCs w:val="22"/>
              </w:rPr>
            </w:pPr>
            <w:r w:rsidRPr="00060510">
              <w:rPr>
                <w:b/>
                <w:bCs/>
                <w:snapToGrid w:val="0"/>
                <w:color w:val="000000"/>
                <w:kern w:val="22"/>
                <w:szCs w:val="22"/>
              </w:rPr>
              <w:t>Theme: Engagement</w:t>
            </w:r>
          </w:p>
          <w:p w:rsidR="00070D30" w:rsidRPr="00060510" w:rsidRDefault="00070D30" w:rsidP="00060510">
            <w:pPr>
              <w:suppressLineNumbers/>
              <w:suppressAutoHyphens/>
              <w:kinsoku w:val="0"/>
              <w:overflowPunct w:val="0"/>
              <w:autoSpaceDE w:val="0"/>
              <w:autoSpaceDN w:val="0"/>
              <w:adjustRightInd w:val="0"/>
              <w:snapToGrid w:val="0"/>
              <w:jc w:val="left"/>
              <w:rPr>
                <w:snapToGrid w:val="0"/>
                <w:color w:val="000000"/>
                <w:kern w:val="22"/>
                <w:szCs w:val="22"/>
              </w:rPr>
            </w:pPr>
            <w:r w:rsidRPr="00060510">
              <w:rPr>
                <w:snapToGrid w:val="0"/>
                <w:color w:val="000000"/>
                <w:kern w:val="22"/>
                <w:szCs w:val="22"/>
              </w:rPr>
              <w:t>Examples on main topics: action taken; stakeholder engagement, funding projects, partnerships with NGOs and others</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Unilever – Food and Beverages</w:t>
            </w:r>
          </w:p>
        </w:tc>
        <w:tc>
          <w:tcPr>
            <w:tcW w:w="7147" w:type="dxa"/>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xml:space="preserve">• Member of the Consumer Goods Forum (CGF) </w:t>
            </w:r>
            <w:r w:rsidRPr="00060510">
              <w:rPr>
                <w:rFonts w:eastAsia="PMingLiU"/>
                <w:snapToGrid w:val="0"/>
                <w:color w:val="000000"/>
                <w:kern w:val="22"/>
                <w:szCs w:val="22"/>
              </w:rPr>
              <w:br/>
            </w:r>
            <w:r w:rsidRPr="00060510">
              <w:rPr>
                <w:snapToGrid w:val="0"/>
                <w:color w:val="000000"/>
                <w:kern w:val="22"/>
                <w:szCs w:val="22"/>
              </w:rPr>
              <w:t>• Led Foundation of Tropical Forest Alliance 2020 and inspired farmers to start their own biodiversity action plans</w:t>
            </w:r>
            <w:r w:rsidRPr="00060510">
              <w:rPr>
                <w:rFonts w:eastAsia="PMingLiU"/>
                <w:snapToGrid w:val="0"/>
                <w:color w:val="000000"/>
                <w:kern w:val="22"/>
                <w:szCs w:val="22"/>
              </w:rPr>
              <w:br/>
            </w:r>
            <w:r w:rsidRPr="00060510">
              <w:rPr>
                <w:snapToGrid w:val="0"/>
                <w:color w:val="000000"/>
                <w:kern w:val="22"/>
                <w:szCs w:val="22"/>
              </w:rPr>
              <w:t xml:space="preserve">• Engages with stakeholders through platforms such as the World Economic Forum, </w:t>
            </w:r>
            <w:r w:rsidR="00AE52F4">
              <w:rPr>
                <w:snapToGrid w:val="0"/>
                <w:color w:val="000000"/>
                <w:kern w:val="22"/>
                <w:szCs w:val="22"/>
              </w:rPr>
              <w:t>United Nations</w:t>
            </w:r>
            <w:r w:rsidR="00AE52F4" w:rsidRPr="00060510">
              <w:rPr>
                <w:snapToGrid w:val="0"/>
                <w:color w:val="000000"/>
                <w:kern w:val="22"/>
                <w:szCs w:val="22"/>
              </w:rPr>
              <w:t xml:space="preserve"> </w:t>
            </w:r>
            <w:r w:rsidRPr="00060510">
              <w:rPr>
                <w:snapToGrid w:val="0"/>
                <w:color w:val="000000"/>
                <w:kern w:val="22"/>
                <w:szCs w:val="22"/>
              </w:rPr>
              <w:t>Global Compact, the World Business Council for Sustainable Development and the Consumer Goods Forum</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BHP</w:t>
            </w:r>
            <w:r w:rsidR="00A7570F">
              <w:rPr>
                <w:b/>
                <w:bCs/>
                <w:snapToGrid w:val="0"/>
                <w:color w:val="000000"/>
                <w:kern w:val="22"/>
                <w:szCs w:val="22"/>
              </w:rPr>
              <w:t xml:space="preserve"> </w:t>
            </w:r>
            <w:r w:rsidRPr="00060510">
              <w:rPr>
                <w:b/>
                <w:bCs/>
                <w:snapToGrid w:val="0"/>
                <w:color w:val="000000"/>
                <w:kern w:val="22"/>
                <w:szCs w:val="22"/>
              </w:rPr>
              <w:t>– Mining</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Partnership with Fauna and Flora International (FFI)</w:t>
            </w:r>
            <w:r w:rsidRPr="00060510">
              <w:rPr>
                <w:snapToGrid w:val="0"/>
                <w:color w:val="000000"/>
                <w:kern w:val="22"/>
                <w:szCs w:val="22"/>
              </w:rPr>
              <w:br/>
              <w:t>• A$1.4 million partnership between the Queensland Museum Network and BHP Billiton to communicate the importance and value of biodiversity</w:t>
            </w:r>
            <w:r w:rsidRPr="00060510">
              <w:rPr>
                <w:rFonts w:eastAsia="PMingLiU"/>
                <w:snapToGrid w:val="0"/>
                <w:color w:val="000000"/>
                <w:kern w:val="22"/>
                <w:szCs w:val="22"/>
              </w:rPr>
              <w:br/>
            </w:r>
            <w:r w:rsidRPr="00060510">
              <w:rPr>
                <w:snapToGrid w:val="0"/>
                <w:color w:val="000000"/>
                <w:kern w:val="22"/>
                <w:szCs w:val="22"/>
              </w:rPr>
              <w:t>•</w:t>
            </w:r>
            <w:r w:rsidR="00B3722D">
              <w:rPr>
                <w:snapToGrid w:val="0"/>
                <w:color w:val="000000"/>
                <w:kern w:val="22"/>
                <w:szCs w:val="22"/>
              </w:rPr>
              <w:t xml:space="preserve"> </w:t>
            </w:r>
            <w:r w:rsidRPr="00060510">
              <w:rPr>
                <w:snapToGrid w:val="0"/>
                <w:color w:val="000000"/>
                <w:kern w:val="22"/>
                <w:szCs w:val="22"/>
              </w:rPr>
              <w:t>Launched Five Rivers Conservation Project with the Tasmanian Land Conservancy and Conservation International, pledging A$13.4 million for conservation and ongoing management of 11,000 hectares of land in Tasmania, Australia</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BP – Energy</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Partners with the Nature Conservancy and FFI</w:t>
            </w:r>
            <w:r w:rsidRPr="00060510">
              <w:rPr>
                <w:rFonts w:eastAsia="PMingLiU"/>
                <w:snapToGrid w:val="0"/>
                <w:color w:val="000000"/>
                <w:kern w:val="22"/>
                <w:szCs w:val="22"/>
              </w:rPr>
              <w:br/>
            </w:r>
            <w:r w:rsidRPr="00060510">
              <w:rPr>
                <w:snapToGrid w:val="0"/>
                <w:color w:val="000000"/>
                <w:kern w:val="22"/>
                <w:szCs w:val="22"/>
              </w:rPr>
              <w:t>• Works with NGOs and communities to manage wildlife issues around their sites</w:t>
            </w:r>
            <w:r w:rsidRPr="00060510">
              <w:rPr>
                <w:snapToGrid w:val="0"/>
                <w:color w:val="000000"/>
                <w:kern w:val="22"/>
                <w:szCs w:val="22"/>
              </w:rPr>
              <w:br/>
              <w:t>• Member of IPIECA</w:t>
            </w:r>
            <w:r w:rsidRPr="00060510">
              <w:rPr>
                <w:rFonts w:eastAsia="PMingLiU"/>
                <w:snapToGrid w:val="0"/>
                <w:color w:val="000000"/>
                <w:kern w:val="22"/>
                <w:szCs w:val="22"/>
              </w:rPr>
              <w:br/>
            </w:r>
            <w:r w:rsidRPr="00060510">
              <w:rPr>
                <w:snapToGrid w:val="0"/>
                <w:color w:val="000000"/>
                <w:kern w:val="22"/>
                <w:szCs w:val="22"/>
              </w:rPr>
              <w:t>• Committed to support the Great Australian Bight research programme examining the biological and socioeconomic importance of the Bight</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Sime Darby Plantation </w:t>
            </w:r>
            <w:r w:rsidR="00271971">
              <w:rPr>
                <w:b/>
                <w:bCs/>
                <w:snapToGrid w:val="0"/>
                <w:color w:val="000000"/>
                <w:kern w:val="22"/>
                <w:szCs w:val="22"/>
              </w:rPr>
              <w:t>– i</w:t>
            </w:r>
            <w:r w:rsidRPr="00060510">
              <w:rPr>
                <w:b/>
                <w:bCs/>
                <w:snapToGrid w:val="0"/>
                <w:color w:val="000000"/>
                <w:kern w:val="22"/>
                <w:szCs w:val="22"/>
              </w:rPr>
              <w:t>ndustrial equipment, motors, property, logistics</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Signatory of the Sustainable Palm Oil Manifesto (SPOM)</w:t>
            </w:r>
            <w:r w:rsidRPr="00060510">
              <w:rPr>
                <w:rFonts w:eastAsia="PMingLiU"/>
                <w:snapToGrid w:val="0"/>
                <w:color w:val="000000"/>
                <w:kern w:val="22"/>
                <w:szCs w:val="22"/>
              </w:rPr>
              <w:br/>
            </w:r>
            <w:r w:rsidRPr="00060510">
              <w:rPr>
                <w:snapToGrid w:val="0"/>
                <w:color w:val="000000"/>
                <w:kern w:val="22"/>
                <w:szCs w:val="22"/>
              </w:rPr>
              <w:t>• Partnership with other SPOM signatories</w:t>
            </w:r>
            <w:r w:rsidRPr="00060510">
              <w:rPr>
                <w:rFonts w:eastAsia="PMingLiU"/>
                <w:snapToGrid w:val="0"/>
                <w:color w:val="000000"/>
                <w:kern w:val="22"/>
                <w:szCs w:val="22"/>
              </w:rPr>
              <w:br/>
            </w:r>
            <w:r w:rsidRPr="00060510">
              <w:rPr>
                <w:snapToGrid w:val="0"/>
                <w:color w:val="000000"/>
                <w:kern w:val="22"/>
                <w:szCs w:val="22"/>
              </w:rPr>
              <w:t xml:space="preserve">• Biodiversity Conservation Efforts: </w:t>
            </w:r>
            <w:r w:rsidR="000710DE" w:rsidRPr="00060510">
              <w:rPr>
                <w:snapToGrid w:val="0"/>
                <w:color w:val="000000"/>
                <w:kern w:val="22"/>
                <w:szCs w:val="22"/>
              </w:rPr>
              <w:t>“</w:t>
            </w:r>
            <w:r w:rsidRPr="00060510">
              <w:rPr>
                <w:snapToGrid w:val="0"/>
                <w:color w:val="000000"/>
                <w:kern w:val="22"/>
                <w:szCs w:val="22"/>
              </w:rPr>
              <w:t>Plant-A-Tree</w:t>
            </w:r>
            <w:r w:rsidR="000710DE" w:rsidRPr="00060510">
              <w:rPr>
                <w:snapToGrid w:val="0"/>
                <w:color w:val="000000"/>
                <w:kern w:val="22"/>
                <w:szCs w:val="22"/>
              </w:rPr>
              <w:t>”</w:t>
            </w:r>
            <w:r w:rsidRPr="00060510">
              <w:rPr>
                <w:snapToGrid w:val="0"/>
                <w:color w:val="000000"/>
                <w:kern w:val="22"/>
                <w:szCs w:val="22"/>
              </w:rPr>
              <w:t xml:space="preserve"> programme launched in 2008</w:t>
            </w:r>
            <w:r w:rsidRPr="00060510">
              <w:rPr>
                <w:snapToGrid w:val="0"/>
                <w:color w:val="000000"/>
                <w:kern w:val="22"/>
                <w:szCs w:val="22"/>
              </w:rPr>
              <w:br/>
              <w:t>• The Carey island Wildlife Sanctuary: has been set aside as a biodiversity conservation area</w:t>
            </w:r>
            <w:r w:rsidRPr="00060510">
              <w:rPr>
                <w:rFonts w:eastAsia="PMingLiU"/>
                <w:snapToGrid w:val="0"/>
                <w:color w:val="000000"/>
                <w:kern w:val="22"/>
                <w:szCs w:val="22"/>
              </w:rPr>
              <w:br/>
            </w:r>
            <w:r w:rsidRPr="00060510">
              <w:rPr>
                <w:snapToGrid w:val="0"/>
                <w:color w:val="000000"/>
                <w:kern w:val="22"/>
                <w:szCs w:val="22"/>
              </w:rPr>
              <w:t>• Engaged with customers through surveys and meetings on biodiversity</w:t>
            </w:r>
            <w:r w:rsidRPr="00060510">
              <w:rPr>
                <w:rFonts w:eastAsia="PMingLiU"/>
                <w:snapToGrid w:val="0"/>
                <w:color w:val="000000"/>
                <w:kern w:val="22"/>
                <w:szCs w:val="22"/>
              </w:rPr>
              <w:br/>
            </w:r>
            <w:r w:rsidRPr="00060510">
              <w:rPr>
                <w:snapToGrid w:val="0"/>
                <w:color w:val="000000"/>
                <w:kern w:val="22"/>
                <w:szCs w:val="22"/>
              </w:rPr>
              <w:t>• Participating in working group on biodiversity and High Conservation Value Working Group</w:t>
            </w:r>
          </w:p>
        </w:tc>
      </w:tr>
      <w:tr w:rsidR="00160693" w:rsidRPr="000D1078" w:rsidTr="00060510">
        <w:trPr>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Bechtel </w:t>
            </w:r>
            <w:r w:rsidR="00A7570F">
              <w:rPr>
                <w:b/>
                <w:bCs/>
                <w:snapToGrid w:val="0"/>
                <w:color w:val="000000"/>
                <w:kern w:val="22"/>
                <w:szCs w:val="22"/>
              </w:rPr>
              <w:t>–</w:t>
            </w:r>
            <w:r w:rsidRPr="00060510">
              <w:rPr>
                <w:b/>
                <w:bCs/>
                <w:snapToGrid w:val="0"/>
                <w:color w:val="000000"/>
                <w:kern w:val="22"/>
                <w:szCs w:val="22"/>
              </w:rPr>
              <w:t xml:space="preserve"> Infrastructure</w:t>
            </w:r>
          </w:p>
        </w:tc>
        <w:tc>
          <w:tcPr>
            <w:tcW w:w="7147" w:type="dxa"/>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Bechtel and Conservation International are collaborating on a coastal protection project in the Philippines</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xml:space="preserve">•Bechtel and Engineers Without Borders are working with leaders of the </w:t>
            </w:r>
            <w:proofErr w:type="spellStart"/>
            <w:r w:rsidRPr="00060510">
              <w:rPr>
                <w:snapToGrid w:val="0"/>
                <w:color w:val="000000"/>
                <w:kern w:val="22"/>
                <w:szCs w:val="22"/>
              </w:rPr>
              <w:t>Mikomago</w:t>
            </w:r>
            <w:proofErr w:type="spellEnd"/>
            <w:r w:rsidRPr="00060510">
              <w:rPr>
                <w:snapToGrid w:val="0"/>
                <w:color w:val="000000"/>
                <w:kern w:val="22"/>
                <w:szCs w:val="22"/>
              </w:rPr>
              <w:t xml:space="preserve"> community, in Uganda, to provide safe, clean water to more than 1,700 people</w:t>
            </w:r>
          </w:p>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w:t>
            </w:r>
            <w:r w:rsidR="00B3722D">
              <w:rPr>
                <w:snapToGrid w:val="0"/>
                <w:color w:val="000000"/>
                <w:kern w:val="22"/>
                <w:szCs w:val="22"/>
              </w:rPr>
              <w:t xml:space="preserve"> </w:t>
            </w:r>
            <w:r w:rsidRPr="00060510">
              <w:rPr>
                <w:snapToGrid w:val="0"/>
                <w:color w:val="000000"/>
                <w:kern w:val="22"/>
                <w:szCs w:val="22"/>
              </w:rPr>
              <w:t xml:space="preserve">Bechtel delivered three liquefied natural gas (LNG) plants on Curtis Island. The development is part of the largest capital investment in </w:t>
            </w:r>
            <w:r w:rsidR="00536DE1" w:rsidRPr="00060510">
              <w:rPr>
                <w:snapToGrid w:val="0"/>
                <w:color w:val="000000"/>
                <w:kern w:val="22"/>
                <w:szCs w:val="22"/>
              </w:rPr>
              <w:t xml:space="preserve">the history of </w:t>
            </w:r>
            <w:r w:rsidRPr="00060510">
              <w:rPr>
                <w:snapToGrid w:val="0"/>
                <w:color w:val="000000"/>
                <w:kern w:val="22"/>
                <w:szCs w:val="22"/>
              </w:rPr>
              <w:t>Australia. Biodiversity protection was a key sustainability objective during construction, with a variety of native wild fowl, marine mammals, and reptiles depending on the natural ecosystem</w:t>
            </w:r>
          </w:p>
        </w:tc>
      </w:tr>
      <w:tr w:rsidR="00160693" w:rsidRPr="000D1078" w:rsidTr="00060510">
        <w:trPr>
          <w:cantSplit/>
          <w:jc w:val="center"/>
        </w:trPr>
        <w:tc>
          <w:tcPr>
            <w:tcW w:w="2545"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lastRenderedPageBreak/>
              <w:t xml:space="preserve">Olam </w:t>
            </w:r>
            <w:r w:rsidR="00A7570F">
              <w:rPr>
                <w:b/>
                <w:bCs/>
                <w:snapToGrid w:val="0"/>
                <w:color w:val="000000"/>
                <w:kern w:val="22"/>
                <w:szCs w:val="22"/>
              </w:rPr>
              <w:t>–</w:t>
            </w:r>
            <w:r w:rsidRPr="00060510">
              <w:rPr>
                <w:b/>
                <w:bCs/>
                <w:snapToGrid w:val="0"/>
                <w:color w:val="000000"/>
                <w:kern w:val="22"/>
                <w:szCs w:val="22"/>
              </w:rPr>
              <w:t xml:space="preserve"> Agriculture</w:t>
            </w:r>
          </w:p>
        </w:tc>
        <w:tc>
          <w:tcPr>
            <w:tcW w:w="7147"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kern w:val="22"/>
              </w:rPr>
              <w:t>• Beyond their direct operations, Olam works with smallholders under the Olam Livelihood Charter to recogni</w:t>
            </w:r>
            <w:r w:rsidR="00536DE1" w:rsidRPr="00060510">
              <w:rPr>
                <w:snapToGrid w:val="0"/>
                <w:kern w:val="22"/>
              </w:rPr>
              <w:t>z</w:t>
            </w:r>
            <w:r w:rsidRPr="00060510">
              <w:rPr>
                <w:snapToGrid w:val="0"/>
                <w:kern w:val="22"/>
              </w:rPr>
              <w:t>e the benefits of maintaining the ecosystem, including the benefits of biodiversity</w:t>
            </w:r>
            <w:r w:rsidRPr="00060510">
              <w:rPr>
                <w:snapToGrid w:val="0"/>
                <w:kern w:val="22"/>
              </w:rPr>
              <w:br/>
              <w:t>• Develops all of their plantations to internationally recogni</w:t>
            </w:r>
            <w:r w:rsidR="00536DE1" w:rsidRPr="00060510">
              <w:rPr>
                <w:snapToGrid w:val="0"/>
                <w:kern w:val="22"/>
              </w:rPr>
              <w:t>z</w:t>
            </w:r>
            <w:r w:rsidRPr="00060510">
              <w:rPr>
                <w:snapToGrid w:val="0"/>
                <w:kern w:val="22"/>
              </w:rPr>
              <w:t>ed standards, complying with the IFC Performance Standards as a minimum, and going beyond with the Olam Plantations, Concessions and Farms (PCF) code</w:t>
            </w:r>
            <w:r w:rsidRPr="00060510">
              <w:rPr>
                <w:snapToGrid w:val="0"/>
                <w:kern w:val="22"/>
              </w:rPr>
              <w:br/>
              <w:t>• Invests in local education and healthcare facilities and income diversification training in beekeeping and other crops, Olam works closely with NGO partners to support thriving rural communities</w:t>
            </w:r>
          </w:p>
        </w:tc>
      </w:tr>
      <w:tr w:rsidR="00160693" w:rsidRPr="000D1078" w:rsidTr="00060510">
        <w:trPr>
          <w:jc w:val="center"/>
        </w:trPr>
        <w:tc>
          <w:tcPr>
            <w:tcW w:w="9692" w:type="dxa"/>
            <w:gridSpan w:val="3"/>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Theme: Measurement</w:t>
            </w:r>
          </w:p>
          <w:p w:rsidR="00070D30" w:rsidRPr="00060510" w:rsidRDefault="00070D30" w:rsidP="00060510">
            <w:pPr>
              <w:suppressLineNumbers/>
              <w:suppressAutoHyphens/>
              <w:kinsoku w:val="0"/>
              <w:overflowPunct w:val="0"/>
              <w:autoSpaceDE w:val="0"/>
              <w:autoSpaceDN w:val="0"/>
              <w:adjustRightInd w:val="0"/>
              <w:snapToGrid w:val="0"/>
              <w:jc w:val="left"/>
              <w:rPr>
                <w:snapToGrid w:val="0"/>
                <w:color w:val="000000"/>
                <w:kern w:val="22"/>
                <w:szCs w:val="22"/>
              </w:rPr>
            </w:pPr>
            <w:r w:rsidRPr="00060510">
              <w:rPr>
                <w:snapToGrid w:val="0"/>
                <w:color w:val="000000"/>
                <w:kern w:val="22"/>
                <w:szCs w:val="22"/>
              </w:rPr>
              <w:t>Examples on main topics: Measuring impacts, assessing risks, implementing tools, reporting on indicators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Arcelor Mittal Brazil – Metal Products</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Development of Biodiversity Plans Management</w:t>
            </w:r>
            <w:r w:rsidRPr="00060510">
              <w:rPr>
                <w:rFonts w:eastAsia="PMingLiU"/>
                <w:snapToGrid w:val="0"/>
                <w:color w:val="000000"/>
                <w:kern w:val="22"/>
                <w:szCs w:val="22"/>
              </w:rPr>
              <w:br/>
            </w:r>
            <w:r w:rsidRPr="00060510">
              <w:rPr>
                <w:snapToGrid w:val="0"/>
                <w:color w:val="000000"/>
                <w:kern w:val="22"/>
                <w:szCs w:val="22"/>
              </w:rPr>
              <w:t>• Assessment of biodiversity performance by external audits</w:t>
            </w:r>
            <w:r w:rsidRPr="00060510">
              <w:rPr>
                <w:rFonts w:eastAsia="PMingLiU"/>
                <w:snapToGrid w:val="0"/>
                <w:color w:val="000000"/>
                <w:kern w:val="22"/>
                <w:szCs w:val="22"/>
              </w:rPr>
              <w:br/>
            </w:r>
            <w:r w:rsidRPr="00060510">
              <w:rPr>
                <w:snapToGrid w:val="0"/>
                <w:color w:val="000000"/>
                <w:kern w:val="22"/>
                <w:szCs w:val="22"/>
              </w:rPr>
              <w:t>• Reports using GRI EN11-14</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Lafarge Holcim – Construction materials </w:t>
            </w:r>
          </w:p>
        </w:tc>
        <w:tc>
          <w:tcPr>
            <w:tcW w:w="7223" w:type="dxa"/>
            <w:gridSpan w:val="2"/>
            <w:shd w:val="clear" w:color="auto" w:fill="auto"/>
            <w:tcMar>
              <w:top w:w="43" w:type="dxa"/>
              <w:left w:w="115" w:type="dxa"/>
              <w:bottom w:w="43" w:type="dxa"/>
              <w:right w:w="115" w:type="dxa"/>
            </w:tcMa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Biodiversity Indicators Reporting System (BIRS) designed by independent experts in collaboration with the International Union for the Conservation of Nature (IUCN)</w:t>
            </w:r>
            <w:r w:rsidRPr="00060510">
              <w:rPr>
                <w:snapToGrid w:val="0"/>
                <w:color w:val="000000"/>
                <w:kern w:val="22"/>
                <w:szCs w:val="22"/>
              </w:rPr>
              <w:br/>
              <w:t>• BIRS methodology enables Lafarge Holcim to aggregate the biodiversity scores across sites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ENI – Energy</w:t>
            </w:r>
          </w:p>
        </w:tc>
        <w:tc>
          <w:tcPr>
            <w:tcW w:w="7223" w:type="dxa"/>
            <w:gridSpan w:val="2"/>
            <w:shd w:val="clear" w:color="auto" w:fill="auto"/>
            <w:tcMar>
              <w:top w:w="43" w:type="dxa"/>
              <w:left w:w="115" w:type="dxa"/>
              <w:bottom w:w="43" w:type="dxa"/>
              <w:right w:w="115" w:type="dxa"/>
            </w:tcMar>
            <w:vAlign w:val="bottom"/>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Use of the UNEP-WCMC</w:t>
            </w:r>
            <w:r w:rsidR="00BF6AF7">
              <w:rPr>
                <w:snapToGrid w:val="0"/>
                <w:color w:val="000000"/>
                <w:kern w:val="22"/>
                <w:szCs w:val="22"/>
              </w:rPr>
              <w:t>’</w:t>
            </w:r>
            <w:r w:rsidRPr="00060510">
              <w:rPr>
                <w:snapToGrid w:val="0"/>
                <w:color w:val="000000"/>
                <w:kern w:val="22"/>
                <w:szCs w:val="22"/>
              </w:rPr>
              <w:t>s IBAT Alliance tool to map the position of protected areas and the presence of species at risk of extinction</w:t>
            </w:r>
            <w:r w:rsidRPr="00060510">
              <w:rPr>
                <w:rFonts w:eastAsia="PMingLiU"/>
                <w:snapToGrid w:val="0"/>
                <w:color w:val="000000"/>
                <w:kern w:val="22"/>
                <w:szCs w:val="22"/>
              </w:rPr>
              <w:br/>
            </w:r>
            <w:r w:rsidRPr="00060510">
              <w:rPr>
                <w:snapToGrid w:val="0"/>
                <w:color w:val="000000"/>
                <w:kern w:val="22"/>
                <w:szCs w:val="22"/>
              </w:rPr>
              <w:t>• Integrated Impact Assessment: biodiversity, Social &amp; Health impact Assessment (ESHIA) in all new projects</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proofErr w:type="spellStart"/>
            <w:r w:rsidRPr="00060510">
              <w:rPr>
                <w:b/>
                <w:bCs/>
                <w:snapToGrid w:val="0"/>
                <w:color w:val="000000"/>
                <w:kern w:val="22"/>
                <w:szCs w:val="22"/>
              </w:rPr>
              <w:t>Fingrid</w:t>
            </w:r>
            <w:proofErr w:type="spellEnd"/>
            <w:r w:rsidRPr="00060510">
              <w:rPr>
                <w:b/>
                <w:bCs/>
                <w:snapToGrid w:val="0"/>
                <w:color w:val="000000"/>
                <w:kern w:val="22"/>
                <w:szCs w:val="22"/>
              </w:rPr>
              <w:t xml:space="preserve"> </w:t>
            </w:r>
            <w:proofErr w:type="spellStart"/>
            <w:r w:rsidRPr="00060510">
              <w:rPr>
                <w:b/>
                <w:bCs/>
                <w:snapToGrid w:val="0"/>
                <w:color w:val="000000"/>
                <w:kern w:val="22"/>
                <w:szCs w:val="22"/>
              </w:rPr>
              <w:t>Oyi</w:t>
            </w:r>
            <w:proofErr w:type="spellEnd"/>
            <w:r w:rsidRPr="00060510">
              <w:rPr>
                <w:b/>
                <w:bCs/>
                <w:snapToGrid w:val="0"/>
                <w:color w:val="000000"/>
                <w:kern w:val="22"/>
                <w:szCs w:val="22"/>
              </w:rPr>
              <w:t xml:space="preserve"> – Energy</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Reports on GRI G4-EN11</w:t>
            </w:r>
            <w:r w:rsidRPr="00060510">
              <w:rPr>
                <w:rFonts w:eastAsia="PMingLiU"/>
                <w:snapToGrid w:val="0"/>
                <w:color w:val="000000"/>
                <w:kern w:val="22"/>
                <w:szCs w:val="22"/>
              </w:rPr>
              <w:br/>
            </w:r>
            <w:r w:rsidRPr="00060510">
              <w:rPr>
                <w:snapToGrid w:val="0"/>
                <w:color w:val="000000"/>
                <w:kern w:val="22"/>
                <w:szCs w:val="22"/>
              </w:rPr>
              <w:t>• Reported line transmission kilomet</w:t>
            </w:r>
            <w:r w:rsidR="00536DE1" w:rsidRPr="00060510">
              <w:rPr>
                <w:snapToGrid w:val="0"/>
                <w:color w:val="000000"/>
                <w:kern w:val="22"/>
                <w:szCs w:val="22"/>
              </w:rPr>
              <w:t>re</w:t>
            </w:r>
            <w:r w:rsidRPr="00060510">
              <w:rPr>
                <w:snapToGrid w:val="0"/>
                <w:color w:val="000000"/>
                <w:kern w:val="22"/>
                <w:szCs w:val="22"/>
              </w:rPr>
              <w:t>s in protected and Natura areas</w:t>
            </w:r>
            <w:r w:rsidRPr="00060510">
              <w:rPr>
                <w:rFonts w:eastAsia="PMingLiU"/>
                <w:snapToGrid w:val="0"/>
                <w:color w:val="000000"/>
                <w:kern w:val="22"/>
                <w:szCs w:val="22"/>
              </w:rPr>
              <w:br/>
            </w:r>
            <w:r w:rsidRPr="00060510">
              <w:rPr>
                <w:snapToGrid w:val="0"/>
                <w:color w:val="000000"/>
                <w:kern w:val="22"/>
                <w:szCs w:val="22"/>
              </w:rPr>
              <w:t>• Following the A Natura assessment, a considerable bird population database was compiled for this project in compliance with the Nature Conservation Act</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color w:val="000000"/>
                <w:kern w:val="22"/>
                <w:szCs w:val="22"/>
              </w:rPr>
              <w:t xml:space="preserve">Mondi – forest and paper products </w:t>
            </w:r>
          </w:p>
        </w:tc>
        <w:tc>
          <w:tcPr>
            <w:tcW w:w="7223" w:type="dxa"/>
            <w:gridSpan w:val="2"/>
            <w:shd w:val="clear" w:color="auto" w:fill="auto"/>
            <w:tcMar>
              <w:top w:w="43" w:type="dxa"/>
              <w:left w:w="115" w:type="dxa"/>
              <w:bottom w:w="43" w:type="dxa"/>
              <w:right w:w="115" w:type="dxa"/>
            </w:tcMar>
            <w:vAlign w:val="center"/>
            <w:hideMark/>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color w:val="000000"/>
                <w:kern w:val="22"/>
                <w:szCs w:val="22"/>
              </w:rPr>
              <w:t>• Ecosystem Management Plans (EMPs), and harvesting plans provide protection for rivers, wetlands and other HCV areas</w:t>
            </w:r>
            <w:r w:rsidRPr="00060510">
              <w:rPr>
                <w:rFonts w:eastAsia="PMingLiU"/>
                <w:snapToGrid w:val="0"/>
                <w:color w:val="000000"/>
                <w:kern w:val="22"/>
                <w:szCs w:val="22"/>
              </w:rPr>
              <w:br/>
            </w:r>
            <w:r w:rsidRPr="00060510">
              <w:rPr>
                <w:snapToGrid w:val="0"/>
                <w:color w:val="000000"/>
                <w:kern w:val="22"/>
                <w:szCs w:val="22"/>
              </w:rPr>
              <w:t>• In 2015, started to investigate the biodiversity on and around their production facility sites using the Integrated Biodiversity Assessment Tool (IBAT) to identify those locations in or in the vicinity of a protected biodiversity area</w:t>
            </w:r>
            <w:r w:rsidRPr="00060510">
              <w:rPr>
                <w:snapToGrid w:val="0"/>
                <w:color w:val="000000"/>
                <w:kern w:val="22"/>
                <w:szCs w:val="22"/>
              </w:rPr>
              <w:br/>
              <w:t>• Reports on G4-EN11 and EN 12</w:t>
            </w:r>
          </w:p>
        </w:tc>
      </w:tr>
      <w:tr w:rsidR="00160693" w:rsidRPr="000D1078" w:rsidTr="00060510">
        <w:trPr>
          <w:jc w:val="center"/>
        </w:trPr>
        <w:tc>
          <w:tcPr>
            <w:tcW w:w="2469" w:type="dxa"/>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jc w:val="left"/>
              <w:rPr>
                <w:b/>
                <w:bCs/>
                <w:snapToGrid w:val="0"/>
                <w:color w:val="000000"/>
                <w:kern w:val="22"/>
                <w:szCs w:val="22"/>
              </w:rPr>
            </w:pPr>
            <w:r w:rsidRPr="00060510">
              <w:rPr>
                <w:b/>
                <w:bCs/>
                <w:snapToGrid w:val="0"/>
                <w:kern w:val="22"/>
              </w:rPr>
              <w:t>Merck - Pharmaceuticals</w:t>
            </w:r>
          </w:p>
        </w:tc>
        <w:tc>
          <w:tcPr>
            <w:tcW w:w="7223" w:type="dxa"/>
            <w:gridSpan w:val="2"/>
            <w:shd w:val="clear" w:color="auto" w:fill="auto"/>
            <w:tcMar>
              <w:top w:w="43" w:type="dxa"/>
              <w:left w:w="115" w:type="dxa"/>
              <w:bottom w:w="43" w:type="dxa"/>
              <w:right w:w="115" w:type="dxa"/>
            </w:tcMar>
            <w:vAlign w:val="center"/>
          </w:tcPr>
          <w:p w:rsidR="00070D30" w:rsidRPr="0006051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Cs w:val="22"/>
              </w:rPr>
            </w:pPr>
            <w:r w:rsidRPr="00060510">
              <w:rPr>
                <w:snapToGrid w:val="0"/>
                <w:kern w:val="22"/>
              </w:rPr>
              <w:t xml:space="preserve">• In 2016, Merck began conducted an assessment of their facilities in both Darmstadt and </w:t>
            </w:r>
            <w:proofErr w:type="spellStart"/>
            <w:r w:rsidRPr="00060510">
              <w:rPr>
                <w:snapToGrid w:val="0"/>
                <w:kern w:val="22"/>
              </w:rPr>
              <w:t>Gernsheim</w:t>
            </w:r>
            <w:proofErr w:type="spellEnd"/>
            <w:r w:rsidRPr="00060510">
              <w:rPr>
                <w:snapToGrid w:val="0"/>
                <w:kern w:val="22"/>
              </w:rPr>
              <w:t xml:space="preserve"> to evaluate their nature conservation efforts. The results will help them develop an action plan for improving the surrounding ecosystem for plants and animals. 30% of the premises (0.4 square kilomet</w:t>
            </w:r>
            <w:r w:rsidR="00536DE1" w:rsidRPr="00060510">
              <w:rPr>
                <w:snapToGrid w:val="0"/>
                <w:kern w:val="22"/>
              </w:rPr>
              <w:t>re</w:t>
            </w:r>
            <w:r w:rsidRPr="00060510">
              <w:rPr>
                <w:snapToGrid w:val="0"/>
                <w:kern w:val="22"/>
              </w:rPr>
              <w:t>s) have already been greened.</w:t>
            </w:r>
          </w:p>
        </w:tc>
      </w:tr>
    </w:tbl>
    <w:p w:rsidR="00070D30" w:rsidRPr="00060510" w:rsidRDefault="00070D30" w:rsidP="00060510">
      <w:pPr>
        <w:suppressLineNumbers/>
        <w:suppressAutoHyphens/>
        <w:kinsoku w:val="0"/>
        <w:overflowPunct w:val="0"/>
        <w:autoSpaceDE w:val="0"/>
        <w:autoSpaceDN w:val="0"/>
        <w:adjustRightInd w:val="0"/>
        <w:snapToGrid w:val="0"/>
        <w:jc w:val="left"/>
        <w:rPr>
          <w:snapToGrid w:val="0"/>
          <w:kern w:val="22"/>
          <w:szCs w:val="22"/>
        </w:rPr>
      </w:pPr>
    </w:p>
    <w:p w:rsidR="00B3369F" w:rsidRPr="00060510" w:rsidRDefault="00070D30" w:rsidP="00060510">
      <w:pPr>
        <w:suppressLineNumbers/>
        <w:suppressAutoHyphens/>
        <w:kinsoku w:val="0"/>
        <w:overflowPunct w:val="0"/>
        <w:autoSpaceDE w:val="0"/>
        <w:autoSpaceDN w:val="0"/>
        <w:adjustRightInd w:val="0"/>
        <w:snapToGrid w:val="0"/>
        <w:jc w:val="center"/>
        <w:rPr>
          <w:snapToGrid w:val="0"/>
          <w:kern w:val="22"/>
        </w:rPr>
      </w:pPr>
      <w:r w:rsidRPr="00060510">
        <w:rPr>
          <w:snapToGrid w:val="0"/>
          <w:kern w:val="22"/>
        </w:rPr>
        <w:t>_____</w:t>
      </w:r>
      <w:r w:rsidR="00FD61AA">
        <w:rPr>
          <w:snapToGrid w:val="0"/>
          <w:kern w:val="22"/>
        </w:rPr>
        <w:t>_____</w:t>
      </w:r>
    </w:p>
    <w:sectPr w:rsidR="00B3369F" w:rsidRPr="00060510" w:rsidSect="00060510">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6F" w:rsidRDefault="00335F6F" w:rsidP="00CF1848">
      <w:r>
        <w:separator/>
      </w:r>
    </w:p>
  </w:endnote>
  <w:endnote w:type="continuationSeparator" w:id="0">
    <w:p w:rsidR="00335F6F" w:rsidRDefault="00335F6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6F" w:rsidRDefault="00335F6F" w:rsidP="000605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6F" w:rsidRDefault="00335F6F" w:rsidP="000605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6F" w:rsidRDefault="00335F6F" w:rsidP="00CF1848">
      <w:r>
        <w:separator/>
      </w:r>
    </w:p>
  </w:footnote>
  <w:footnote w:type="continuationSeparator" w:id="0">
    <w:p w:rsidR="00335F6F" w:rsidRDefault="00335F6F" w:rsidP="00CF1848">
      <w:r>
        <w:continuationSeparator/>
      </w:r>
    </w:p>
  </w:footnote>
  <w:footnote w:id="1">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t>*</w:t>
      </w:r>
      <w:hyperlink r:id="rId1" w:history="1">
        <w:proofErr w:type="gramStart"/>
        <w:r w:rsidRPr="00060510">
          <w:rPr>
            <w:rStyle w:val="Hyperlink"/>
            <w:snapToGrid w:val="0"/>
            <w:kern w:val="18"/>
            <w:szCs w:val="18"/>
          </w:rPr>
          <w:t>CBD/SBI/2/1</w:t>
        </w:r>
      </w:hyperlink>
      <w:r w:rsidRPr="00060510">
        <w:rPr>
          <w:snapToGrid w:val="0"/>
          <w:kern w:val="18"/>
          <w:szCs w:val="18"/>
        </w:rPr>
        <w:t>.</w:t>
      </w:r>
      <w:proofErr w:type="gramEnd"/>
    </w:p>
  </w:footnote>
  <w:footnote w:id="2">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t>**</w:t>
      </w:r>
      <w:r w:rsidRPr="00060510">
        <w:rPr>
          <w:snapToGrid w:val="0"/>
          <w:kern w:val="18"/>
          <w:szCs w:val="18"/>
        </w:rPr>
        <w:t xml:space="preserve"> Mention of firm names and commercial products does not imply the endorsement of the Secretariat of the Convention on Biological Diversity.</w:t>
      </w:r>
    </w:p>
  </w:footnote>
  <w:footnote w:id="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A first draft of the present </w:t>
      </w:r>
      <w:r w:rsidRPr="00C05106">
        <w:rPr>
          <w:snapToGrid w:val="0"/>
          <w:kern w:val="18"/>
          <w:szCs w:val="18"/>
        </w:rPr>
        <w:t>document</w:t>
      </w:r>
      <w:r w:rsidRPr="00060510">
        <w:rPr>
          <w:snapToGrid w:val="0"/>
          <w:kern w:val="18"/>
          <w:szCs w:val="18"/>
        </w:rPr>
        <w:t xml:space="preserve"> was shared with the informal advisory group on mainstreaming, established pursuant to recommendation </w:t>
      </w:r>
      <w:hyperlink r:id="rId2" w:history="1">
        <w:r w:rsidRPr="00060510">
          <w:rPr>
            <w:rStyle w:val="Hyperlink"/>
            <w:snapToGrid w:val="0"/>
            <w:kern w:val="18"/>
            <w:szCs w:val="18"/>
          </w:rPr>
          <w:t>XXI/4</w:t>
        </w:r>
      </w:hyperlink>
      <w:r w:rsidRPr="00060510">
        <w:rPr>
          <w:snapToGrid w:val="0"/>
          <w:kern w:val="18"/>
          <w:szCs w:val="18"/>
        </w:rPr>
        <w:t xml:space="preserve"> of the Subsidiary Body on Scientific, Technical and Technological Advice, and with the members of the Global Partnership on Business and Biodiversity. Comments received are gratefully acknowledged.</w:t>
      </w:r>
    </w:p>
  </w:footnote>
  <w:footnote w:id="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For instance, under the theme “corporate commitment to biodiversity”, the two basic elements to consider are “strategy and targets” and “management approach.”</w:t>
      </w:r>
    </w:p>
  </w:footnote>
  <w:footnote w:id="5">
    <w:p w:rsidR="00335F6F" w:rsidRPr="00C05106"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The GRI Sustainability Disclosure Database provides access to all types of sustainability reports, whether GRI-based or otherwise, and relevant information related to the reporting organizations:</w:t>
      </w:r>
      <w:r w:rsidRPr="00C05106">
        <w:rPr>
          <w:snapToGrid w:val="0"/>
          <w:kern w:val="18"/>
          <w:szCs w:val="18"/>
        </w:rPr>
        <w:t xml:space="preserve"> </w:t>
      </w:r>
      <w:hyperlink r:id="rId3" w:history="1">
        <w:r w:rsidRPr="00060510">
          <w:rPr>
            <w:rStyle w:val="Hyperlink"/>
            <w:rFonts w:eastAsia="Arial Unicode MS"/>
            <w:snapToGrid w:val="0"/>
            <w:kern w:val="18"/>
            <w:szCs w:val="18"/>
          </w:rPr>
          <w:t>http://database.globalreporting.org/</w:t>
        </w:r>
      </w:hyperlink>
      <w:r w:rsidRPr="00C05106">
        <w:rPr>
          <w:snapToGrid w:val="0"/>
          <w:kern w:val="18"/>
          <w:szCs w:val="18"/>
        </w:rPr>
        <w:t>.</w:t>
      </w:r>
    </w:p>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snapToGrid w:val="0"/>
          <w:kern w:val="18"/>
          <w:szCs w:val="18"/>
        </w:rPr>
        <w:t xml:space="preserve">For information including latest trends in reporting and an overview of policies </w:t>
      </w:r>
      <w:r w:rsidRPr="00C05106">
        <w:rPr>
          <w:snapToGrid w:val="0"/>
          <w:kern w:val="18"/>
          <w:szCs w:val="18"/>
        </w:rPr>
        <w:t>and</w:t>
      </w:r>
      <w:r w:rsidRPr="00060510">
        <w:rPr>
          <w:snapToGrid w:val="0"/>
          <w:kern w:val="18"/>
          <w:szCs w:val="18"/>
        </w:rPr>
        <w:t xml:space="preserve"> regulations: </w:t>
      </w:r>
      <w:hyperlink r:id="rId4" w:history="1">
        <w:r w:rsidRPr="00060510">
          <w:rPr>
            <w:rStyle w:val="Hyperlink"/>
            <w:rFonts w:eastAsia="Arial Unicode MS"/>
            <w:snapToGrid w:val="0"/>
            <w:kern w:val="18"/>
            <w:szCs w:val="18"/>
          </w:rPr>
          <w:t>www.carrotsandsticks.net/regulations/</w:t>
        </w:r>
      </w:hyperlink>
      <w:r w:rsidRPr="00060510">
        <w:rPr>
          <w:snapToGrid w:val="0"/>
          <w:kern w:val="18"/>
          <w:szCs w:val="18"/>
        </w:rPr>
        <w:t xml:space="preserve"> and </w:t>
      </w:r>
      <w:hyperlink r:id="rId5" w:history="1">
        <w:r w:rsidRPr="00060510">
          <w:rPr>
            <w:rStyle w:val="Hyperlink"/>
            <w:rFonts w:eastAsia="Arial Unicode MS"/>
            <w:snapToGrid w:val="0"/>
            <w:kern w:val="18"/>
            <w:szCs w:val="18"/>
          </w:rPr>
          <w:t>https://www.globalreporting.org/resourcelibrary/Carrots%20and%20Sticks-2016.pdf</w:t>
        </w:r>
      </w:hyperlink>
      <w:r w:rsidRPr="00060510">
        <w:rPr>
          <w:snapToGrid w:val="0"/>
          <w:kern w:val="18"/>
          <w:szCs w:val="18"/>
        </w:rPr>
        <w:t xml:space="preserve"> </w:t>
      </w:r>
    </w:p>
  </w:footnote>
  <w:footnote w:id="6">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060510">
        <w:rPr>
          <w:snapToGrid w:val="0"/>
          <w:kern w:val="18"/>
          <w:szCs w:val="18"/>
          <w:lang w:eastAsia="ja-JP" w:bidi="th-TH"/>
        </w:rPr>
        <w:t xml:space="preserve">Materiality refers to any topic, </w:t>
      </w:r>
      <w:r w:rsidRPr="00C05106">
        <w:rPr>
          <w:snapToGrid w:val="0"/>
          <w:kern w:val="18"/>
          <w:szCs w:val="18"/>
          <w:lang w:eastAsia="ja-JP" w:bidi="th-TH"/>
        </w:rPr>
        <w:t>whether</w:t>
      </w:r>
      <w:r w:rsidRPr="00060510">
        <w:rPr>
          <w:snapToGrid w:val="0"/>
          <w:kern w:val="18"/>
          <w:szCs w:val="18"/>
          <w:lang w:eastAsia="ja-JP" w:bidi="th-TH"/>
        </w:rPr>
        <w:t xml:space="preserve"> internal </w:t>
      </w:r>
      <w:r w:rsidRPr="00C05106">
        <w:rPr>
          <w:snapToGrid w:val="0"/>
          <w:kern w:val="18"/>
          <w:szCs w:val="18"/>
          <w:lang w:eastAsia="ja-JP" w:bidi="th-TH"/>
        </w:rPr>
        <w:t>or</w:t>
      </w:r>
      <w:r w:rsidRPr="00060510">
        <w:rPr>
          <w:snapToGrid w:val="0"/>
          <w:kern w:val="18"/>
          <w:szCs w:val="18"/>
          <w:lang w:eastAsia="ja-JP" w:bidi="th-TH"/>
        </w:rPr>
        <w:t xml:space="preserve"> external, that is deemed relevant enough that it should be reported on. The process of identifying topics as </w:t>
      </w:r>
      <w:r w:rsidRPr="00C05106">
        <w:rPr>
          <w:snapToGrid w:val="0"/>
          <w:kern w:val="18"/>
          <w:szCs w:val="18"/>
          <w:lang w:eastAsia="ja-JP" w:bidi="th-TH"/>
        </w:rPr>
        <w:t>“</w:t>
      </w:r>
      <w:r w:rsidRPr="00060510">
        <w:rPr>
          <w:snapToGrid w:val="0"/>
          <w:kern w:val="18"/>
          <w:szCs w:val="18"/>
          <w:lang w:eastAsia="ja-JP" w:bidi="th-TH"/>
        </w:rPr>
        <w:t>material</w:t>
      </w:r>
      <w:r w:rsidRPr="00C05106">
        <w:rPr>
          <w:snapToGrid w:val="0"/>
          <w:kern w:val="18"/>
          <w:szCs w:val="18"/>
          <w:lang w:eastAsia="ja-JP" w:bidi="th-TH"/>
        </w:rPr>
        <w:t>”</w:t>
      </w:r>
      <w:r w:rsidRPr="00060510">
        <w:rPr>
          <w:snapToGrid w:val="0"/>
          <w:kern w:val="18"/>
          <w:szCs w:val="18"/>
          <w:lang w:eastAsia="ja-JP" w:bidi="th-TH"/>
        </w:rPr>
        <w:t xml:space="preserve"> in a company is commonly known as materiality analysis. It requires a comprehensive framework that identifies and prioritizes issues, risks and opportunities. Materiality is assessed not only by the individual business, but often by external stakeholders as well who might have an interest in or be impacted by the business.</w:t>
      </w:r>
    </w:p>
  </w:footnote>
  <w:footnote w:id="7">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w:t>
      </w:r>
      <w:hyperlink r:id="rId6" w:history="1">
        <w:r w:rsidRPr="00C05106">
          <w:rPr>
            <w:rStyle w:val="Hyperlink"/>
            <w:snapToGrid w:val="0"/>
            <w:kern w:val="18"/>
            <w:szCs w:val="18"/>
          </w:rPr>
          <w:t>h</w:t>
        </w:r>
        <w:r w:rsidRPr="00060510">
          <w:rPr>
            <w:rStyle w:val="Hyperlink"/>
            <w:snapToGrid w:val="0"/>
            <w:kern w:val="18"/>
            <w:szCs w:val="18"/>
          </w:rPr>
          <w:t>ttps://www.cdp.net/</w:t>
        </w:r>
      </w:hyperlink>
    </w:p>
  </w:footnote>
  <w:footnote w:id="8">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w:t>
      </w:r>
      <w:hyperlink r:id="rId7" w:history="1">
        <w:r w:rsidRPr="00060510">
          <w:rPr>
            <w:rStyle w:val="Hyperlink"/>
            <w:snapToGrid w:val="0"/>
            <w:kern w:val="18"/>
            <w:szCs w:val="18"/>
          </w:rPr>
          <w:t>https://www.cdsb.net/</w:t>
        </w:r>
      </w:hyperlink>
    </w:p>
  </w:footnote>
  <w:footnote w:id="9">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8" w:history="1">
        <w:r w:rsidRPr="00060510">
          <w:rPr>
            <w:rStyle w:val="Hyperlink"/>
            <w:snapToGrid w:val="0"/>
            <w:kern w:val="18"/>
            <w:szCs w:val="18"/>
          </w:rPr>
          <w:t>https://home.kpmg.com/content/dam/kpmg/campaigns/csr/pdf/CSR_Reporting_2017.pdf</w:t>
        </w:r>
      </w:hyperlink>
    </w:p>
  </w:footnote>
  <w:footnote w:id="10">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w:t>
      </w:r>
      <w:hyperlink r:id="rId9" w:history="1">
        <w:r w:rsidRPr="00060510">
          <w:rPr>
            <w:rStyle w:val="Hyperlink"/>
            <w:snapToGrid w:val="0"/>
            <w:kern w:val="18"/>
            <w:szCs w:val="18"/>
          </w:rPr>
          <w:t>https://www.globalreporting.org/</w:t>
        </w:r>
      </w:hyperlink>
    </w:p>
  </w:footnote>
  <w:footnote w:id="11">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w:t>
      </w:r>
      <w:hyperlink r:id="rId10" w:history="1">
        <w:r w:rsidRPr="00060510">
          <w:rPr>
            <w:rStyle w:val="Hyperlink"/>
            <w:snapToGrid w:val="0"/>
            <w:kern w:val="18"/>
            <w:szCs w:val="18"/>
          </w:rPr>
          <w:t>https://integratedreporting.org</w:t>
        </w:r>
      </w:hyperlink>
    </w:p>
  </w:footnote>
  <w:footnote w:id="12">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w:t>
      </w:r>
      <w:hyperlink r:id="rId11" w:history="1">
        <w:r w:rsidRPr="00060510">
          <w:rPr>
            <w:rStyle w:val="Hyperlink"/>
            <w:snapToGrid w:val="0"/>
            <w:kern w:val="18"/>
            <w:szCs w:val="18"/>
          </w:rPr>
          <w:t>https://www.sasb.org/</w:t>
        </w:r>
      </w:hyperlink>
    </w:p>
  </w:footnote>
  <w:footnote w:id="1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12" w:history="1">
        <w:r w:rsidRPr="00060510">
          <w:rPr>
            <w:rStyle w:val="Hyperlink"/>
            <w:rFonts w:eastAsia="Arial Unicode MS"/>
            <w:snapToGrid w:val="0"/>
            <w:kern w:val="18"/>
            <w:szCs w:val="18"/>
          </w:rPr>
          <w:t>https://naturalcapitalcoalition.org/projects/biodiversity/</w:t>
        </w:r>
      </w:hyperlink>
      <w:r w:rsidRPr="00060510">
        <w:rPr>
          <w:snapToGrid w:val="0"/>
          <w:kern w:val="18"/>
          <w:szCs w:val="18"/>
        </w:rPr>
        <w:t xml:space="preserve"> </w:t>
      </w:r>
    </w:p>
  </w:footnote>
  <w:footnote w:id="1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13" w:history="1">
        <w:r w:rsidRPr="00060510">
          <w:rPr>
            <w:rStyle w:val="Hyperlink"/>
            <w:rFonts w:eastAsia="Arial Unicode MS"/>
            <w:snapToGrid w:val="0"/>
            <w:kern w:val="18"/>
            <w:szCs w:val="18"/>
          </w:rPr>
          <w:t>https://www.naturalcapitaltoolkit.org/</w:t>
        </w:r>
      </w:hyperlink>
      <w:r w:rsidRPr="00060510">
        <w:rPr>
          <w:snapToGrid w:val="0"/>
          <w:kern w:val="18"/>
          <w:szCs w:val="18"/>
        </w:rPr>
        <w:t xml:space="preserve"> </w:t>
      </w:r>
    </w:p>
  </w:footnote>
  <w:footnote w:id="15">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14" w:history="1">
        <w:r w:rsidRPr="00060510">
          <w:rPr>
            <w:rStyle w:val="Hyperlink"/>
            <w:rFonts w:eastAsia="Arial Unicode MS"/>
            <w:snapToGrid w:val="0"/>
            <w:kern w:val="18"/>
            <w:szCs w:val="18"/>
          </w:rPr>
          <w:t>http://www.wbcsd.org/Projects/Reporting/The-Reporting-Exchange</w:t>
        </w:r>
      </w:hyperlink>
      <w:r w:rsidRPr="00060510">
        <w:rPr>
          <w:snapToGrid w:val="0"/>
          <w:kern w:val="18"/>
          <w:szCs w:val="18"/>
        </w:rPr>
        <w:t xml:space="preserve"> </w:t>
      </w:r>
    </w:p>
  </w:footnote>
  <w:footnote w:id="16">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“Carrot and Sticks: Global trends in sustainability reporting regulation and policy” </w:t>
      </w:r>
      <w:hyperlink r:id="rId15" w:history="1">
        <w:r w:rsidRPr="00060510">
          <w:rPr>
            <w:rStyle w:val="Hyperlink"/>
            <w:rFonts w:eastAsia="Arial Unicode MS"/>
            <w:snapToGrid w:val="0"/>
            <w:kern w:val="18"/>
            <w:szCs w:val="18"/>
          </w:rPr>
          <w:t>https://www.globalreporting.org/resourcelibrary/Carrots%20and%20Sticks-2016.pdf</w:t>
        </w:r>
      </w:hyperlink>
      <w:r w:rsidRPr="00060510">
        <w:rPr>
          <w:snapToGrid w:val="0"/>
          <w:kern w:val="18"/>
          <w:szCs w:val="18"/>
        </w:rPr>
        <w:t xml:space="preserve"> </w:t>
      </w:r>
    </w:p>
  </w:footnote>
  <w:footnote w:id="17">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snapToGrid w:val="0"/>
          <w:color w:val="333333"/>
          <w:kern w:val="18"/>
          <w:sz w:val="18"/>
          <w:szCs w:val="18"/>
          <w:shd w:val="clear" w:color="auto" w:fill="FFFFFF"/>
        </w:rPr>
        <w:t>The Corporate Reporting Dialogue is an initiative designed to respond to market calls for greater coherence, consistency and comparability between corporate reporting frameworks, standards and related requirements.</w:t>
      </w:r>
    </w:p>
  </w:footnote>
  <w:footnote w:id="18">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General Assembly resolution </w:t>
      </w:r>
      <w:hyperlink r:id="rId16" w:history="1">
        <w:r w:rsidRPr="00060510">
          <w:rPr>
            <w:rStyle w:val="Hyperlink"/>
            <w:snapToGrid w:val="0"/>
            <w:kern w:val="18"/>
            <w:szCs w:val="18"/>
          </w:rPr>
          <w:t>70/1</w:t>
        </w:r>
      </w:hyperlink>
      <w:r w:rsidRPr="00060510">
        <w:rPr>
          <w:snapToGrid w:val="0"/>
          <w:kern w:val="18"/>
          <w:szCs w:val="18"/>
        </w:rPr>
        <w:t>, annex.</w:t>
      </w:r>
    </w:p>
  </w:footnote>
  <w:footnote w:id="19">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17" w:history="1">
        <w:r w:rsidRPr="00060510">
          <w:rPr>
            <w:rStyle w:val="Hyperlink"/>
            <w:rFonts w:eastAsia="Arial Unicode MS"/>
            <w:snapToGrid w:val="0"/>
            <w:kern w:val="18"/>
            <w:szCs w:val="18"/>
          </w:rPr>
          <w:t>https://home.kpmg.com/content/dam/kpmg/campaigns/csr/pdf/CSR_Reporting_2017.pdf</w:t>
        </w:r>
      </w:hyperlink>
      <w:r w:rsidRPr="00060510">
        <w:rPr>
          <w:snapToGrid w:val="0"/>
          <w:kern w:val="18"/>
          <w:szCs w:val="18"/>
        </w:rPr>
        <w:t xml:space="preserve"> </w:t>
      </w:r>
    </w:p>
  </w:footnote>
  <w:footnote w:id="20">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18" w:history="1">
        <w:r w:rsidRPr="00060510">
          <w:rPr>
            <w:rStyle w:val="Hyperlink"/>
            <w:rFonts w:eastAsia="Arial Unicode MS"/>
            <w:snapToGrid w:val="0"/>
            <w:kern w:val="18"/>
            <w:szCs w:val="18"/>
          </w:rPr>
          <w:t>https://www.pwc.nl/nl/assets/documents/the-sustainable-development-goals.pdf</w:t>
        </w:r>
      </w:hyperlink>
      <w:r w:rsidRPr="00060510">
        <w:rPr>
          <w:snapToGrid w:val="0"/>
          <w:kern w:val="18"/>
          <w:szCs w:val="18"/>
        </w:rPr>
        <w:t xml:space="preserve"> </w:t>
      </w:r>
    </w:p>
  </w:footnote>
  <w:footnote w:id="21">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w:t>
      </w:r>
      <w:hyperlink r:id="rId19" w:history="1">
        <w:r w:rsidRPr="00060510">
          <w:rPr>
            <w:rStyle w:val="Hyperlink"/>
            <w:rFonts w:eastAsia="Arial Unicode MS"/>
            <w:snapToGrid w:val="0"/>
            <w:kern w:val="18"/>
            <w:szCs w:val="18"/>
          </w:rPr>
          <w:t>https://www.globalreporting.org/resourcelibrary/GRI_UNGC_Business-Reporting-on-SDGs_Analysis-of-Goals-and-Targets.pdf</w:t>
        </w:r>
      </w:hyperlink>
    </w:p>
  </w:footnote>
  <w:footnote w:id="22">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20" w:history="1">
        <w:r w:rsidRPr="00060510">
          <w:rPr>
            <w:rStyle w:val="Hyperlink"/>
            <w:rFonts w:eastAsia="Arial Unicode MS"/>
            <w:snapToGrid w:val="0"/>
            <w:kern w:val="18"/>
            <w:szCs w:val="18"/>
          </w:rPr>
          <w:t>http://integratedreporting.org/resource/sdgs-integrated-thinking-and-the-integrated-report/</w:t>
        </w:r>
      </w:hyperlink>
      <w:r w:rsidRPr="00060510">
        <w:rPr>
          <w:snapToGrid w:val="0"/>
          <w:kern w:val="18"/>
          <w:szCs w:val="18"/>
        </w:rPr>
        <w:t xml:space="preserve"> </w:t>
      </w:r>
    </w:p>
  </w:footnote>
  <w:footnote w:id="2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w:t>
      </w:r>
      <w:hyperlink r:id="rId21" w:history="1">
        <w:r w:rsidRPr="00060510">
          <w:rPr>
            <w:rStyle w:val="Hyperlink"/>
            <w:rFonts w:eastAsia="Arial Unicode MS"/>
            <w:snapToGrid w:val="0"/>
            <w:kern w:val="18"/>
            <w:szCs w:val="18"/>
          </w:rPr>
          <w:t>https://www.cisl.cam.ac.uk/publications/working-papers-folder/healthy-ecosystem-metric-framework</w:t>
        </w:r>
      </w:hyperlink>
    </w:p>
  </w:footnote>
  <w:footnote w:id="2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w:t>
      </w:r>
      <w:hyperlink r:id="rId22" w:history="1">
        <w:r w:rsidRPr="00060510">
          <w:rPr>
            <w:rStyle w:val="Hyperlink"/>
            <w:rFonts w:eastAsia="Arial Unicode MS"/>
            <w:snapToGrid w:val="0"/>
            <w:kern w:val="18"/>
            <w:szCs w:val="18"/>
          </w:rPr>
          <w:t>http://www.mission-economie-biodiversite.com/wp-content/uploads/2017/11/N11-TRAVAUX-DU-CLUB-B4B-INDICATEUR-GBS-UK-BD.pdf</w:t>
        </w:r>
      </w:hyperlink>
    </w:p>
  </w:footnote>
  <w:footnote w:id="25">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23" w:history="1">
        <w:r w:rsidRPr="00060510">
          <w:rPr>
            <w:rStyle w:val="Hyperlink"/>
            <w:rFonts w:eastAsia="Arial Unicode MS"/>
            <w:snapToGrid w:val="0"/>
            <w:kern w:val="18"/>
            <w:szCs w:val="18"/>
          </w:rPr>
          <w:t>http://institutolife.org/en/</w:t>
        </w:r>
      </w:hyperlink>
    </w:p>
  </w:footnote>
  <w:footnote w:id="26">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24" w:history="1">
        <w:r w:rsidRPr="00060510">
          <w:rPr>
            <w:rStyle w:val="Hyperlink"/>
            <w:rFonts w:eastAsia="Arial Unicode MS"/>
            <w:snapToGrid w:val="0"/>
            <w:kern w:val="18"/>
            <w:szCs w:val="18"/>
          </w:rPr>
          <w:t>http://www.ipieca.org/resources/good-practice/biodiversity-and-ecosystem-services-fundamentals/</w:t>
        </w:r>
      </w:hyperlink>
    </w:p>
  </w:footnote>
  <w:footnote w:id="27">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25" w:history="1">
        <w:r w:rsidRPr="00060510">
          <w:rPr>
            <w:rStyle w:val="Hyperlink"/>
            <w:rFonts w:eastAsia="Arial Unicode MS"/>
            <w:snapToGrid w:val="0"/>
            <w:kern w:val="18"/>
            <w:szCs w:val="18"/>
          </w:rPr>
          <w:t>http://ec.europa.eu/environment/biodiversity/business/workstreams/natural-capital-accounting/index_en.htm</w:t>
        </w:r>
      </w:hyperlink>
    </w:p>
  </w:footnote>
  <w:footnote w:id="28">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26" w:history="1">
        <w:r w:rsidRPr="00060510">
          <w:rPr>
            <w:rStyle w:val="Hyperlink"/>
            <w:rFonts w:eastAsia="Arial Unicode MS"/>
            <w:snapToGrid w:val="0"/>
            <w:kern w:val="18"/>
            <w:szCs w:val="18"/>
          </w:rPr>
          <w:t>https://unstats.un.org/unsd/envaccounting/seea.asp</w:t>
        </w:r>
      </w:hyperlink>
    </w:p>
  </w:footnote>
  <w:footnote w:id="29">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CBD Technical Series </w:t>
      </w:r>
      <w:r w:rsidRPr="00C05106">
        <w:rPr>
          <w:snapToGrid w:val="0"/>
          <w:kern w:val="18"/>
          <w:szCs w:val="18"/>
        </w:rPr>
        <w:t>N</w:t>
      </w:r>
      <w:r w:rsidRPr="00060510">
        <w:rPr>
          <w:snapToGrid w:val="0"/>
          <w:kern w:val="18"/>
          <w:szCs w:val="18"/>
        </w:rPr>
        <w:t xml:space="preserve">o. 77 for an early output as well as the more recent technical recommendation available under </w:t>
      </w:r>
      <w:hyperlink r:id="rId27" w:history="1">
        <w:r w:rsidRPr="00060510">
          <w:rPr>
            <w:rStyle w:val="Hyperlink"/>
            <w:rFonts w:eastAsia="Arial Unicode MS"/>
            <w:snapToGrid w:val="0"/>
            <w:kern w:val="18"/>
            <w:szCs w:val="18"/>
          </w:rPr>
          <w:t>https://unstats.un.org/unsd/envaccounting/eea_project/default.asp</w:t>
        </w:r>
      </w:hyperlink>
      <w:r w:rsidRPr="00060510">
        <w:rPr>
          <w:snapToGrid w:val="0"/>
          <w:kern w:val="18"/>
          <w:szCs w:val="18"/>
        </w:rPr>
        <w:t xml:space="preserve"> . See also the World Bank-led WAVES initiative; </w:t>
      </w:r>
      <w:hyperlink r:id="rId28" w:history="1">
        <w:r w:rsidRPr="00060510">
          <w:rPr>
            <w:rStyle w:val="Hyperlink"/>
            <w:rFonts w:eastAsia="Arial Unicode MS"/>
            <w:snapToGrid w:val="0"/>
            <w:kern w:val="18"/>
            <w:szCs w:val="18"/>
          </w:rPr>
          <w:t>https://www.wavespartnership.org</w:t>
        </w:r>
      </w:hyperlink>
    </w:p>
  </w:footnote>
  <w:footnote w:id="30">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w:t>
      </w:r>
      <w:hyperlink r:id="rId29" w:history="1">
        <w:r w:rsidRPr="00060510">
          <w:rPr>
            <w:rStyle w:val="Hyperlink"/>
            <w:rFonts w:eastAsia="Arial Unicode MS"/>
            <w:snapToGrid w:val="0"/>
            <w:kern w:val="18"/>
            <w:szCs w:val="18"/>
          </w:rPr>
          <w:t>https://unstats.un.org/unsd/envaccounting/eu_project/default.asp</w:t>
        </w:r>
      </w:hyperlink>
    </w:p>
  </w:footnote>
  <w:footnote w:id="31">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30" w:history="1">
        <w:r w:rsidRPr="00060510">
          <w:rPr>
            <w:rStyle w:val="Hyperlink"/>
            <w:rFonts w:eastAsia="Arial Unicode MS"/>
            <w:snapToGrid w:val="0"/>
            <w:kern w:val="18"/>
            <w:szCs w:val="18"/>
          </w:rPr>
          <w:t>https://www.cbd.int/business/meetings-events/2017/default.shtml</w:t>
        </w:r>
      </w:hyperlink>
    </w:p>
  </w:footnote>
  <w:footnote w:id="32">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hyperlink r:id="rId31" w:history="1">
        <w:r w:rsidRPr="00060510">
          <w:rPr>
            <w:rStyle w:val="Hyperlink"/>
            <w:rFonts w:eastAsia="Arial Unicode MS"/>
            <w:snapToGrid w:val="0"/>
            <w:spacing w:val="-12"/>
            <w:kern w:val="18"/>
            <w:szCs w:val="18"/>
          </w:rPr>
          <w:t>https://www.bipindicators.net/system/resources/files/000/002/191/original/Framework_Brochure_UK_0311_LOWRES_%281%29.pdf?1481634262</w:t>
        </w:r>
      </w:hyperlink>
    </w:p>
  </w:footnote>
  <w:footnote w:id="33">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proofErr w:type="gramStart"/>
      <w:r w:rsidRPr="00060510">
        <w:rPr>
          <w:snapToGrid w:val="0"/>
          <w:kern w:val="18"/>
          <w:sz w:val="18"/>
          <w:szCs w:val="18"/>
        </w:rPr>
        <w:t xml:space="preserve">Namely, the </w:t>
      </w:r>
      <w:r w:rsidRPr="00060510">
        <w:rPr>
          <w:snapToGrid w:val="0"/>
          <w:color w:val="333333"/>
          <w:kern w:val="18"/>
          <w:sz w:val="18"/>
          <w:szCs w:val="18"/>
          <w:shd w:val="clear" w:color="auto" w:fill="FFFFFF"/>
        </w:rPr>
        <w:t>intrinsic value as well as the ecological, genetic, social, economic, scientific, educational, cultural, recreational and aesthetic values of biological diversity and its components.</w:t>
      </w:r>
      <w:proofErr w:type="gramEnd"/>
    </w:p>
  </w:footnote>
  <w:footnote w:id="34">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This is a tool governed by UNEP-WCMC, Conservation International, IUCN and </w:t>
      </w:r>
      <w:proofErr w:type="spellStart"/>
      <w:r w:rsidRPr="00060510">
        <w:rPr>
          <w:snapToGrid w:val="0"/>
          <w:kern w:val="18"/>
          <w:szCs w:val="18"/>
        </w:rPr>
        <w:t>BirdLife</w:t>
      </w:r>
      <w:proofErr w:type="spellEnd"/>
      <w:r w:rsidRPr="00060510">
        <w:rPr>
          <w:snapToGrid w:val="0"/>
          <w:kern w:val="18"/>
          <w:szCs w:val="18"/>
        </w:rPr>
        <w:t xml:space="preserve"> International that enables the mapping of the position of protected areas, key biodiversity areas and the presence of species at risk of extinction. See </w:t>
      </w:r>
      <w:hyperlink r:id="rId32" w:history="1">
        <w:r w:rsidRPr="00060510">
          <w:rPr>
            <w:rStyle w:val="Hyperlink"/>
            <w:rFonts w:eastAsia="Arial Unicode MS"/>
            <w:snapToGrid w:val="0"/>
            <w:kern w:val="18"/>
            <w:szCs w:val="18"/>
          </w:rPr>
          <w:t>https://www.unep-wcmc.org/resources-and-data/ibat</w:t>
        </w:r>
      </w:hyperlink>
    </w:p>
  </w:footnote>
  <w:footnote w:id="35">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See GRI 304: Biodiversity 2016 (Topic Specific Standards 300 series (Environmental Topics)), available </w:t>
      </w:r>
      <w:r>
        <w:rPr>
          <w:snapToGrid w:val="0"/>
          <w:kern w:val="18"/>
          <w:szCs w:val="18"/>
        </w:rPr>
        <w:t>at</w:t>
      </w:r>
      <w:r w:rsidRPr="00060510">
        <w:rPr>
          <w:snapToGrid w:val="0"/>
          <w:kern w:val="18"/>
          <w:szCs w:val="18"/>
        </w:rPr>
        <w:t>:</w:t>
      </w:r>
      <w:r>
        <w:rPr>
          <w:snapToGrid w:val="0"/>
          <w:kern w:val="18"/>
          <w:szCs w:val="18"/>
        </w:rPr>
        <w:t xml:space="preserve"> </w:t>
      </w:r>
      <w:hyperlink r:id="rId33" w:history="1">
        <w:r w:rsidRPr="00060510">
          <w:rPr>
            <w:rStyle w:val="Hyperlink"/>
            <w:rFonts w:eastAsia="Arial Unicode MS"/>
            <w:snapToGrid w:val="0"/>
            <w:kern w:val="18"/>
            <w:szCs w:val="18"/>
          </w:rPr>
          <w:t>https://www.globalreporting.org/standards/gri-standards-download-center/gri-304-biodiversity/</w:t>
        </w:r>
      </w:hyperlink>
    </w:p>
  </w:footnote>
  <w:footnote w:id="36">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Aichi Strategic Goal A: Address the underlying causes of biodiversity loss by mainstreaming biodiversity across government and society.</w:t>
      </w:r>
    </w:p>
  </w:footnote>
  <w:footnote w:id="37">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Aichi Strategic Goal B: Reduce the direct pressures on biodiversity and promote sustainable use.</w:t>
      </w:r>
    </w:p>
  </w:footnote>
  <w:footnote w:id="38">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Aichi Strategic Goal C: To improve the status of biodiversity by safeguarding ecosystems, species and genetic diversity.</w:t>
      </w:r>
    </w:p>
  </w:footnote>
  <w:footnote w:id="39">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Aichi Strategic Goal D: Enhance the benefits to all from biodiversity and ecosystem services.</w:t>
      </w:r>
    </w:p>
  </w:footnote>
  <w:footnote w:id="40">
    <w:p w:rsidR="00335F6F" w:rsidRPr="00060510" w:rsidRDefault="00335F6F" w:rsidP="00060510">
      <w:pPr>
        <w:suppressLineNumbers/>
        <w:suppressAutoHyphens/>
        <w:kinsoku w:val="0"/>
        <w:overflowPunct w:val="0"/>
        <w:autoSpaceDE w:val="0"/>
        <w:autoSpaceDN w:val="0"/>
        <w:adjustRightInd w:val="0"/>
        <w:snapToGrid w:val="0"/>
        <w:spacing w:after="60"/>
        <w:jc w:val="left"/>
        <w:rPr>
          <w:bCs/>
          <w:iCs/>
          <w:snapToGrid w:val="0"/>
          <w:color w:val="262626"/>
          <w:kern w:val="18"/>
          <w:sz w:val="18"/>
          <w:szCs w:val="18"/>
          <w:shd w:val="clear" w:color="auto" w:fill="FFFFFF"/>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Aichi Strategic Goal E: Enhance implementation through participatory planning, knowledge management and capacity-building.</w:t>
      </w:r>
    </w:p>
  </w:footnote>
  <w:footnote w:id="41">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GRI</w:t>
      </w:r>
      <w:r w:rsidRPr="00060510">
        <w:rPr>
          <w:snapToGrid w:val="0"/>
          <w:kern w:val="18"/>
          <w:sz w:val="18"/>
          <w:szCs w:val="18"/>
        </w:rPr>
        <w:t xml:space="preserve"> 304-3 Habitats protected or restored.</w:t>
      </w:r>
    </w:p>
  </w:footnote>
  <w:footnote w:id="42">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GRI</w:t>
      </w:r>
      <w:r w:rsidRPr="00060510">
        <w:rPr>
          <w:snapToGrid w:val="0"/>
          <w:kern w:val="18"/>
          <w:sz w:val="18"/>
          <w:szCs w:val="18"/>
        </w:rPr>
        <w:t xml:space="preserve"> 304-1 Operational sites owned, leased, managed in, or adjacent to, protected areas and areas of high biodiversity value outside protected areas.</w:t>
      </w:r>
    </w:p>
  </w:footnote>
  <w:footnote w:id="43">
    <w:p w:rsidR="00335F6F" w:rsidRPr="00060510" w:rsidRDefault="00335F6F" w:rsidP="00060510">
      <w:pPr>
        <w:pStyle w:val="FootnoteText"/>
        <w:keepLines w:val="0"/>
        <w:suppressLineNumbers/>
        <w:suppressAutoHyphens/>
        <w:kinsoku w:val="0"/>
        <w:overflowPunct w:val="0"/>
        <w:autoSpaceDE w:val="0"/>
        <w:autoSpaceDN w:val="0"/>
        <w:adjustRightInd w:val="0"/>
        <w:snapToGrid w:val="0"/>
        <w:ind w:firstLine="0"/>
        <w:jc w:val="left"/>
        <w:rPr>
          <w:b/>
          <w:i/>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060510">
        <w:rPr>
          <w:bCs/>
          <w:iCs/>
          <w:snapToGrid w:val="0"/>
          <w:color w:val="262626"/>
          <w:kern w:val="18"/>
          <w:szCs w:val="18"/>
          <w:shd w:val="clear" w:color="auto" w:fill="FFFFFF"/>
        </w:rPr>
        <w:t>GRI</w:t>
      </w:r>
      <w:r w:rsidRPr="00060510">
        <w:rPr>
          <w:snapToGrid w:val="0"/>
          <w:kern w:val="18"/>
          <w:szCs w:val="18"/>
        </w:rPr>
        <w:t xml:space="preserve"> 304-2 Significant impacts of activities, products, and services on biodiversity.</w:t>
      </w:r>
    </w:p>
  </w:footnote>
  <w:footnote w:id="44">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 w:val="18"/>
          <w:szCs w:val="18"/>
        </w:rPr>
      </w:pPr>
      <w:r w:rsidRPr="00060510">
        <w:rPr>
          <w:rStyle w:val="FootnoteReference"/>
          <w:snapToGrid w:val="0"/>
          <w:kern w:val="18"/>
          <w:sz w:val="18"/>
          <w:szCs w:val="18"/>
        </w:rPr>
        <w:footnoteRef/>
      </w:r>
      <w:r w:rsidRPr="00060510">
        <w:rPr>
          <w:b/>
          <w:i/>
          <w:snapToGrid w:val="0"/>
          <w:kern w:val="18"/>
          <w:sz w:val="18"/>
          <w:szCs w:val="18"/>
        </w:rPr>
        <w:t xml:space="preserve"> </w:t>
      </w:r>
      <w:r w:rsidRPr="00060510">
        <w:rPr>
          <w:bCs/>
          <w:iCs/>
          <w:snapToGrid w:val="0"/>
          <w:color w:val="262626"/>
          <w:kern w:val="18"/>
          <w:sz w:val="18"/>
          <w:szCs w:val="18"/>
          <w:shd w:val="clear" w:color="auto" w:fill="FFFFFF"/>
        </w:rPr>
        <w:t>GRI</w:t>
      </w:r>
      <w:r w:rsidRPr="00060510">
        <w:rPr>
          <w:snapToGrid w:val="0"/>
          <w:kern w:val="18"/>
          <w:sz w:val="18"/>
          <w:szCs w:val="18"/>
        </w:rPr>
        <w:t xml:space="preserve"> 304-3 Habitats protected or restored.</w:t>
      </w:r>
    </w:p>
  </w:footnote>
  <w:footnote w:id="45">
    <w:p w:rsidR="00335F6F" w:rsidRPr="00060510" w:rsidRDefault="00335F6F" w:rsidP="00060510">
      <w:pPr>
        <w:suppressLineNumbers/>
        <w:suppressAutoHyphens/>
        <w:kinsoku w:val="0"/>
        <w:overflowPunct w:val="0"/>
        <w:autoSpaceDE w:val="0"/>
        <w:autoSpaceDN w:val="0"/>
        <w:adjustRightInd w:val="0"/>
        <w:snapToGrid w:val="0"/>
        <w:spacing w:after="60"/>
        <w:jc w:val="left"/>
        <w:rPr>
          <w:snapToGrid w:val="0"/>
          <w:kern w:val="18"/>
          <w:szCs w:val="18"/>
        </w:rPr>
      </w:pPr>
      <w:r w:rsidRPr="00060510">
        <w:rPr>
          <w:rStyle w:val="FootnoteReference"/>
          <w:snapToGrid w:val="0"/>
          <w:kern w:val="18"/>
          <w:sz w:val="18"/>
          <w:szCs w:val="18"/>
        </w:rPr>
        <w:footnoteRef/>
      </w:r>
      <w:r w:rsidRPr="00060510">
        <w:rPr>
          <w:snapToGrid w:val="0"/>
          <w:kern w:val="18"/>
          <w:sz w:val="18"/>
          <w:szCs w:val="18"/>
        </w:rPr>
        <w:t xml:space="preserve"> </w:t>
      </w:r>
      <w:r w:rsidRPr="00060510">
        <w:rPr>
          <w:bCs/>
          <w:iCs/>
          <w:snapToGrid w:val="0"/>
          <w:color w:val="262626"/>
          <w:kern w:val="18"/>
          <w:sz w:val="18"/>
          <w:szCs w:val="18"/>
          <w:shd w:val="clear" w:color="auto" w:fill="FFFFFF"/>
        </w:rPr>
        <w:t>GRI</w:t>
      </w:r>
      <w:r w:rsidRPr="00060510">
        <w:rPr>
          <w:snapToGrid w:val="0"/>
          <w:kern w:val="18"/>
          <w:sz w:val="18"/>
          <w:szCs w:val="18"/>
        </w:rPr>
        <w:t xml:space="preserve"> 304-4 IUCN Red List species and national conservation list species with habitats in areas affected by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335F6F" w:rsidRPr="00060510" w:rsidRDefault="00335F6F" w:rsidP="00060510">
        <w:pPr>
          <w:pStyle w:val="Header"/>
          <w:tabs>
            <w:tab w:val="clear" w:pos="4320"/>
            <w:tab w:val="clear" w:pos="8640"/>
          </w:tabs>
          <w:kinsoku w:val="0"/>
          <w:overflowPunct w:val="0"/>
          <w:autoSpaceDE w:val="0"/>
          <w:autoSpaceDN w:val="0"/>
          <w:adjustRightInd w:val="0"/>
          <w:snapToGrid w:val="0"/>
          <w:jc w:val="left"/>
          <w:rPr>
            <w:noProof/>
            <w:kern w:val="22"/>
          </w:rPr>
        </w:pPr>
        <w:r w:rsidRPr="00060510">
          <w:rPr>
            <w:noProof/>
            <w:kern w:val="22"/>
          </w:rPr>
          <w:t>CBD/SBI/2/4/Add.2</w:t>
        </w:r>
      </w:p>
    </w:sdtContent>
  </w:sdt>
  <w:p w:rsidR="00335F6F" w:rsidRPr="00060510" w:rsidRDefault="00335F6F" w:rsidP="00060510">
    <w:pPr>
      <w:pStyle w:val="Header"/>
      <w:tabs>
        <w:tab w:val="clear" w:pos="4320"/>
        <w:tab w:val="clear" w:pos="8640"/>
      </w:tabs>
      <w:kinsoku w:val="0"/>
      <w:overflowPunct w:val="0"/>
      <w:autoSpaceDE w:val="0"/>
      <w:autoSpaceDN w:val="0"/>
      <w:adjustRightInd w:val="0"/>
      <w:snapToGrid w:val="0"/>
      <w:jc w:val="left"/>
      <w:rPr>
        <w:noProof/>
        <w:kern w:val="22"/>
      </w:rPr>
    </w:pPr>
    <w:r w:rsidRPr="00060510">
      <w:rPr>
        <w:noProof/>
        <w:kern w:val="22"/>
      </w:rPr>
      <w:t xml:space="preserve">Page </w:t>
    </w:r>
    <w:r w:rsidRPr="00060510">
      <w:rPr>
        <w:noProof/>
        <w:kern w:val="22"/>
      </w:rPr>
      <w:fldChar w:fldCharType="begin"/>
    </w:r>
    <w:r w:rsidRPr="00060510">
      <w:rPr>
        <w:noProof/>
        <w:kern w:val="22"/>
      </w:rPr>
      <w:instrText xml:space="preserve"> PAGE   \* MERGEFORMAT </w:instrText>
    </w:r>
    <w:r w:rsidRPr="00060510">
      <w:rPr>
        <w:noProof/>
        <w:kern w:val="22"/>
      </w:rPr>
      <w:fldChar w:fldCharType="separate"/>
    </w:r>
    <w:r w:rsidR="00060510">
      <w:rPr>
        <w:noProof/>
        <w:kern w:val="22"/>
      </w:rPr>
      <w:t>12</w:t>
    </w:r>
    <w:r w:rsidRPr="00060510">
      <w:rPr>
        <w:noProof/>
        <w:kern w:val="22"/>
      </w:rPr>
      <w:fldChar w:fldCharType="end"/>
    </w:r>
  </w:p>
  <w:p w:rsidR="00335F6F" w:rsidRPr="00060510" w:rsidRDefault="00335F6F" w:rsidP="00060510">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335F6F" w:rsidRPr="00060510" w:rsidRDefault="00335F6F" w:rsidP="00060510">
        <w:pPr>
          <w:pStyle w:val="Header"/>
          <w:tabs>
            <w:tab w:val="clear" w:pos="4320"/>
            <w:tab w:val="clear" w:pos="8640"/>
          </w:tabs>
          <w:kinsoku w:val="0"/>
          <w:overflowPunct w:val="0"/>
          <w:autoSpaceDE w:val="0"/>
          <w:autoSpaceDN w:val="0"/>
          <w:jc w:val="right"/>
          <w:rPr>
            <w:kern w:val="22"/>
          </w:rPr>
        </w:pPr>
        <w:r w:rsidRPr="00060510">
          <w:rPr>
            <w:kern w:val="22"/>
          </w:rPr>
          <w:t>CBD/SBI/2/4/Add.2</w:t>
        </w:r>
      </w:p>
    </w:sdtContent>
  </w:sdt>
  <w:p w:rsidR="00335F6F" w:rsidRPr="00060510" w:rsidRDefault="00335F6F" w:rsidP="00060510">
    <w:pPr>
      <w:pStyle w:val="Header"/>
      <w:tabs>
        <w:tab w:val="clear" w:pos="4320"/>
        <w:tab w:val="clear" w:pos="8640"/>
      </w:tabs>
      <w:kinsoku w:val="0"/>
      <w:overflowPunct w:val="0"/>
      <w:autoSpaceDE w:val="0"/>
      <w:autoSpaceDN w:val="0"/>
      <w:jc w:val="right"/>
      <w:rPr>
        <w:kern w:val="22"/>
      </w:rPr>
    </w:pPr>
    <w:r w:rsidRPr="00060510">
      <w:rPr>
        <w:kern w:val="22"/>
      </w:rPr>
      <w:t xml:space="preserve">Page </w:t>
    </w:r>
    <w:r w:rsidRPr="00060510">
      <w:rPr>
        <w:kern w:val="22"/>
      </w:rPr>
      <w:fldChar w:fldCharType="begin"/>
    </w:r>
    <w:r w:rsidRPr="00060510">
      <w:rPr>
        <w:kern w:val="22"/>
      </w:rPr>
      <w:instrText xml:space="preserve"> PAGE   \* MERGEFORMAT </w:instrText>
    </w:r>
    <w:r w:rsidRPr="00060510">
      <w:rPr>
        <w:kern w:val="22"/>
      </w:rPr>
      <w:fldChar w:fldCharType="separate"/>
    </w:r>
    <w:r w:rsidR="00060510">
      <w:rPr>
        <w:noProof/>
        <w:kern w:val="22"/>
      </w:rPr>
      <w:t>13</w:t>
    </w:r>
    <w:r w:rsidRPr="00060510">
      <w:rPr>
        <w:noProof/>
        <w:kern w:val="22"/>
      </w:rPr>
      <w:fldChar w:fldCharType="end"/>
    </w:r>
  </w:p>
  <w:p w:rsidR="00335F6F" w:rsidRPr="00060510" w:rsidRDefault="00335F6F" w:rsidP="00060510">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D22"/>
    <w:multiLevelType w:val="hybridMultilevel"/>
    <w:tmpl w:val="ECA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F2BA7"/>
    <w:multiLevelType w:val="hybridMultilevel"/>
    <w:tmpl w:val="D7DA47EE"/>
    <w:lvl w:ilvl="0" w:tplc="9D1253A4">
      <w:start w:val="1"/>
      <w:numFmt w:val="decimal"/>
      <w:lvlText w:val="%1."/>
      <w:lvlJc w:val="left"/>
      <w:pPr>
        <w:ind w:left="810" w:hanging="360"/>
      </w:pPr>
      <w:rPr>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5C90C89"/>
    <w:multiLevelType w:val="hybridMultilevel"/>
    <w:tmpl w:val="0776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E43C91"/>
    <w:multiLevelType w:val="singleLevel"/>
    <w:tmpl w:val="B36A8C58"/>
    <w:lvl w:ilvl="0">
      <w:start w:val="1"/>
      <w:numFmt w:val="decimal"/>
      <w:pStyle w:val="Paranum"/>
      <w:lvlText w:val="%1."/>
      <w:lvlJc w:val="left"/>
      <w:pPr>
        <w:tabs>
          <w:tab w:val="num" w:pos="360"/>
        </w:tabs>
        <w:ind w:left="0" w:firstLine="0"/>
      </w:pPr>
    </w:lvl>
  </w:abstractNum>
  <w:abstractNum w:abstractNumId="5">
    <w:nsid w:val="3ED7041C"/>
    <w:multiLevelType w:val="hybridMultilevel"/>
    <w:tmpl w:val="B92666C2"/>
    <w:styleLink w:val="ImportedStyle2"/>
    <w:lvl w:ilvl="0" w:tplc="B8F29A38">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FE188A62">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rPr>
    </w:lvl>
    <w:lvl w:ilvl="2" w:tplc="61068F0E">
      <w:start w:val="1"/>
      <w:numFmt w:val="lowerRoman"/>
      <w:lvlText w:val="%3."/>
      <w:lvlJc w:val="left"/>
      <w:pPr>
        <w:tabs>
          <w:tab w:val="num" w:pos="2160"/>
        </w:tabs>
        <w:ind w:left="2520" w:hanging="634"/>
      </w:pPr>
      <w:rPr>
        <w:rFonts w:hAnsi="Arial Unicode MS"/>
        <w:b/>
        <w:bCs/>
        <w:caps w:val="0"/>
        <w:smallCaps w:val="0"/>
        <w:strike w:val="0"/>
        <w:dstrike w:val="0"/>
        <w:color w:val="000000"/>
        <w:spacing w:val="0"/>
        <w:w w:val="100"/>
        <w:kern w:val="0"/>
        <w:position w:val="0"/>
        <w:highlight w:val="none"/>
        <w:vertAlign w:val="baseline"/>
      </w:rPr>
    </w:lvl>
    <w:lvl w:ilvl="3" w:tplc="967814A8">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rPr>
    </w:lvl>
    <w:lvl w:ilvl="4" w:tplc="F800A4E0">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rPr>
    </w:lvl>
    <w:lvl w:ilvl="5" w:tplc="C596C5A6">
      <w:start w:val="1"/>
      <w:numFmt w:val="lowerRoman"/>
      <w:lvlText w:val="%6."/>
      <w:lvlJc w:val="left"/>
      <w:pPr>
        <w:tabs>
          <w:tab w:val="num" w:pos="4320"/>
        </w:tabs>
        <w:ind w:left="4680" w:hanging="634"/>
      </w:pPr>
      <w:rPr>
        <w:rFonts w:hAnsi="Arial Unicode MS"/>
        <w:b/>
        <w:bCs/>
        <w:caps w:val="0"/>
        <w:smallCaps w:val="0"/>
        <w:strike w:val="0"/>
        <w:dstrike w:val="0"/>
        <w:color w:val="000000"/>
        <w:spacing w:val="0"/>
        <w:w w:val="100"/>
        <w:kern w:val="0"/>
        <w:position w:val="0"/>
        <w:highlight w:val="none"/>
        <w:vertAlign w:val="baseline"/>
      </w:rPr>
    </w:lvl>
    <w:lvl w:ilvl="6" w:tplc="01742BF8">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rPr>
    </w:lvl>
    <w:lvl w:ilvl="7" w:tplc="16F4066C">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rPr>
    </w:lvl>
    <w:lvl w:ilvl="8" w:tplc="DA90498C">
      <w:start w:val="1"/>
      <w:numFmt w:val="lowerRoman"/>
      <w:lvlText w:val="%9."/>
      <w:lvlJc w:val="left"/>
      <w:pPr>
        <w:tabs>
          <w:tab w:val="num" w:pos="6480"/>
        </w:tabs>
        <w:ind w:left="6840" w:hanging="634"/>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24046"/>
    <w:multiLevelType w:val="hybridMultilevel"/>
    <w:tmpl w:val="10B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A7E772E"/>
    <w:multiLevelType w:val="hybridMultilevel"/>
    <w:tmpl w:val="EDFC6E7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5825D8"/>
    <w:multiLevelType w:val="hybridMultilevel"/>
    <w:tmpl w:val="16E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A5C7D"/>
    <w:multiLevelType w:val="hybridMultilevel"/>
    <w:tmpl w:val="FDF8C894"/>
    <w:lvl w:ilvl="0" w:tplc="9D1253A4">
      <w:start w:val="1"/>
      <w:numFmt w:val="decimal"/>
      <w:lvlText w:val="%1."/>
      <w:lvlJc w:val="left"/>
      <w:pPr>
        <w:ind w:left="81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507617F"/>
    <w:multiLevelType w:val="hybridMultilevel"/>
    <w:tmpl w:val="161EFE9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6"/>
  </w:num>
  <w:num w:numId="5">
    <w:abstractNumId w:val="15"/>
  </w:num>
  <w:num w:numId="6">
    <w:abstractNumId w:val="11"/>
  </w:num>
  <w:num w:numId="7">
    <w:abstractNumId w:val="4"/>
  </w:num>
  <w:num w:numId="8">
    <w:abstractNumId w:val="5"/>
  </w:num>
  <w:num w:numId="9">
    <w:abstractNumId w:val="6"/>
  </w:num>
  <w:num w:numId="10">
    <w:abstractNumId w:val="7"/>
  </w:num>
  <w:num w:numId="11">
    <w:abstractNumId w:val="0"/>
  </w:num>
  <w:num w:numId="12">
    <w:abstractNumId w:val="3"/>
  </w:num>
  <w:num w:numId="13">
    <w:abstractNumId w:val="13"/>
  </w:num>
  <w:num w:numId="14">
    <w:abstractNumId w:val="14"/>
  </w:num>
  <w:num w:numId="15">
    <w:abstractNumId w:val="12"/>
  </w:num>
  <w:num w:numId="16">
    <w:abstractNumId w:val="1"/>
  </w:num>
  <w:num w:numId="17">
    <w:abstractNumId w:val="17"/>
  </w:num>
  <w:num w:numId="18">
    <w:abstractNumId w:val="9"/>
  </w:num>
  <w:num w:numId="19">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defaultTabStop w:val="720"/>
  <w:evenAndOddHeaders/>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1857"/>
    <w:rsid w:val="00004346"/>
    <w:rsid w:val="0003516D"/>
    <w:rsid w:val="0003635E"/>
    <w:rsid w:val="00060510"/>
    <w:rsid w:val="00070D30"/>
    <w:rsid w:val="000710DE"/>
    <w:rsid w:val="00076549"/>
    <w:rsid w:val="00076EFB"/>
    <w:rsid w:val="00080CF1"/>
    <w:rsid w:val="0009201C"/>
    <w:rsid w:val="000C2AD6"/>
    <w:rsid w:val="000D074E"/>
    <w:rsid w:val="000D1078"/>
    <w:rsid w:val="000D4D91"/>
    <w:rsid w:val="000D5074"/>
    <w:rsid w:val="000D7F40"/>
    <w:rsid w:val="000E0879"/>
    <w:rsid w:val="000E5227"/>
    <w:rsid w:val="000E673A"/>
    <w:rsid w:val="000F07B2"/>
    <w:rsid w:val="000F4D33"/>
    <w:rsid w:val="000F7193"/>
    <w:rsid w:val="000F74F5"/>
    <w:rsid w:val="0010028E"/>
    <w:rsid w:val="001043B8"/>
    <w:rsid w:val="00105372"/>
    <w:rsid w:val="00105759"/>
    <w:rsid w:val="00116500"/>
    <w:rsid w:val="00121B6F"/>
    <w:rsid w:val="00123118"/>
    <w:rsid w:val="00131E7A"/>
    <w:rsid w:val="00160693"/>
    <w:rsid w:val="00162409"/>
    <w:rsid w:val="00163B8F"/>
    <w:rsid w:val="00171F21"/>
    <w:rsid w:val="00172AF6"/>
    <w:rsid w:val="00176CEE"/>
    <w:rsid w:val="00186DD8"/>
    <w:rsid w:val="00190893"/>
    <w:rsid w:val="001B136A"/>
    <w:rsid w:val="001E095B"/>
    <w:rsid w:val="001E325B"/>
    <w:rsid w:val="001E52C1"/>
    <w:rsid w:val="001F756E"/>
    <w:rsid w:val="00200328"/>
    <w:rsid w:val="00217DEE"/>
    <w:rsid w:val="002261E6"/>
    <w:rsid w:val="00232EA6"/>
    <w:rsid w:val="0024682C"/>
    <w:rsid w:val="002653E4"/>
    <w:rsid w:val="00271971"/>
    <w:rsid w:val="00276B34"/>
    <w:rsid w:val="00281B6E"/>
    <w:rsid w:val="002A2C4E"/>
    <w:rsid w:val="002A3114"/>
    <w:rsid w:val="002A732D"/>
    <w:rsid w:val="002E2945"/>
    <w:rsid w:val="002E2B02"/>
    <w:rsid w:val="002E2E65"/>
    <w:rsid w:val="002F0C08"/>
    <w:rsid w:val="002F36FF"/>
    <w:rsid w:val="00301D05"/>
    <w:rsid w:val="003049F3"/>
    <w:rsid w:val="00335F6F"/>
    <w:rsid w:val="00347C9B"/>
    <w:rsid w:val="00357F5D"/>
    <w:rsid w:val="003727BE"/>
    <w:rsid w:val="00372F74"/>
    <w:rsid w:val="003819B2"/>
    <w:rsid w:val="003819F7"/>
    <w:rsid w:val="00381D9C"/>
    <w:rsid w:val="00391801"/>
    <w:rsid w:val="00395FE5"/>
    <w:rsid w:val="003D32BB"/>
    <w:rsid w:val="003D4A65"/>
    <w:rsid w:val="003F0A08"/>
    <w:rsid w:val="003F7224"/>
    <w:rsid w:val="00422D5C"/>
    <w:rsid w:val="00427D21"/>
    <w:rsid w:val="0044240C"/>
    <w:rsid w:val="00444195"/>
    <w:rsid w:val="0045179F"/>
    <w:rsid w:val="00456383"/>
    <w:rsid w:val="004644C2"/>
    <w:rsid w:val="00467F9C"/>
    <w:rsid w:val="004703B2"/>
    <w:rsid w:val="0047361E"/>
    <w:rsid w:val="00474575"/>
    <w:rsid w:val="004745FE"/>
    <w:rsid w:val="004C04D2"/>
    <w:rsid w:val="004F41FB"/>
    <w:rsid w:val="00516E78"/>
    <w:rsid w:val="00525B49"/>
    <w:rsid w:val="005342BB"/>
    <w:rsid w:val="00534681"/>
    <w:rsid w:val="005367F1"/>
    <w:rsid w:val="00536DE1"/>
    <w:rsid w:val="00557E1B"/>
    <w:rsid w:val="00562340"/>
    <w:rsid w:val="00563A3B"/>
    <w:rsid w:val="00590353"/>
    <w:rsid w:val="00592D59"/>
    <w:rsid w:val="005A0CE2"/>
    <w:rsid w:val="005A272F"/>
    <w:rsid w:val="005A71E1"/>
    <w:rsid w:val="005B7A98"/>
    <w:rsid w:val="005D1C4A"/>
    <w:rsid w:val="005D524A"/>
    <w:rsid w:val="005E68C4"/>
    <w:rsid w:val="00605EC4"/>
    <w:rsid w:val="0060669D"/>
    <w:rsid w:val="00606ED1"/>
    <w:rsid w:val="00610610"/>
    <w:rsid w:val="006122BA"/>
    <w:rsid w:val="0061280D"/>
    <w:rsid w:val="006304A3"/>
    <w:rsid w:val="0063514B"/>
    <w:rsid w:val="00641DB8"/>
    <w:rsid w:val="00657EE3"/>
    <w:rsid w:val="00663432"/>
    <w:rsid w:val="00680FAC"/>
    <w:rsid w:val="00683331"/>
    <w:rsid w:val="0069072F"/>
    <w:rsid w:val="006941D7"/>
    <w:rsid w:val="006A1E03"/>
    <w:rsid w:val="006A2210"/>
    <w:rsid w:val="006B2290"/>
    <w:rsid w:val="006C2825"/>
    <w:rsid w:val="006D40B3"/>
    <w:rsid w:val="006F5573"/>
    <w:rsid w:val="00704B84"/>
    <w:rsid w:val="00717D88"/>
    <w:rsid w:val="00720882"/>
    <w:rsid w:val="00725ABA"/>
    <w:rsid w:val="007316F8"/>
    <w:rsid w:val="00733869"/>
    <w:rsid w:val="00757746"/>
    <w:rsid w:val="0076536C"/>
    <w:rsid w:val="00767266"/>
    <w:rsid w:val="00777C99"/>
    <w:rsid w:val="007942D3"/>
    <w:rsid w:val="007A4E56"/>
    <w:rsid w:val="007A6A72"/>
    <w:rsid w:val="007B6C09"/>
    <w:rsid w:val="007C09F7"/>
    <w:rsid w:val="007C1501"/>
    <w:rsid w:val="007D512F"/>
    <w:rsid w:val="007D513C"/>
    <w:rsid w:val="007E09DA"/>
    <w:rsid w:val="007E7BB4"/>
    <w:rsid w:val="00800D7D"/>
    <w:rsid w:val="008041A9"/>
    <w:rsid w:val="008178B6"/>
    <w:rsid w:val="00817AE1"/>
    <w:rsid w:val="00826469"/>
    <w:rsid w:val="00827F87"/>
    <w:rsid w:val="008368FF"/>
    <w:rsid w:val="00852220"/>
    <w:rsid w:val="00853A1F"/>
    <w:rsid w:val="00865B74"/>
    <w:rsid w:val="008670BB"/>
    <w:rsid w:val="00891766"/>
    <w:rsid w:val="008962DE"/>
    <w:rsid w:val="008B2B5E"/>
    <w:rsid w:val="008B722E"/>
    <w:rsid w:val="008C45CD"/>
    <w:rsid w:val="008D5AA2"/>
    <w:rsid w:val="008E10C9"/>
    <w:rsid w:val="008E511B"/>
    <w:rsid w:val="008F0FA2"/>
    <w:rsid w:val="00903291"/>
    <w:rsid w:val="00913A4E"/>
    <w:rsid w:val="00927317"/>
    <w:rsid w:val="00930BA1"/>
    <w:rsid w:val="00930BA8"/>
    <w:rsid w:val="0093169E"/>
    <w:rsid w:val="009321BA"/>
    <w:rsid w:val="009505C9"/>
    <w:rsid w:val="0095167A"/>
    <w:rsid w:val="009530BC"/>
    <w:rsid w:val="00961A32"/>
    <w:rsid w:val="00970936"/>
    <w:rsid w:val="00986510"/>
    <w:rsid w:val="00995D90"/>
    <w:rsid w:val="009A6E87"/>
    <w:rsid w:val="009A768E"/>
    <w:rsid w:val="009B595E"/>
    <w:rsid w:val="009B6BDE"/>
    <w:rsid w:val="009C1EA6"/>
    <w:rsid w:val="009C3E11"/>
    <w:rsid w:val="00A07FBB"/>
    <w:rsid w:val="00A32CCF"/>
    <w:rsid w:val="00A3389C"/>
    <w:rsid w:val="00A47DD9"/>
    <w:rsid w:val="00A55EB3"/>
    <w:rsid w:val="00A64BD9"/>
    <w:rsid w:val="00A73F4F"/>
    <w:rsid w:val="00A7570F"/>
    <w:rsid w:val="00A822CD"/>
    <w:rsid w:val="00A9356C"/>
    <w:rsid w:val="00A93801"/>
    <w:rsid w:val="00A945FA"/>
    <w:rsid w:val="00AC48D5"/>
    <w:rsid w:val="00AC71A6"/>
    <w:rsid w:val="00AD1A69"/>
    <w:rsid w:val="00AD491A"/>
    <w:rsid w:val="00AE3075"/>
    <w:rsid w:val="00AE52F4"/>
    <w:rsid w:val="00AF1F1D"/>
    <w:rsid w:val="00B14636"/>
    <w:rsid w:val="00B3369F"/>
    <w:rsid w:val="00B3722D"/>
    <w:rsid w:val="00B42CD0"/>
    <w:rsid w:val="00B70948"/>
    <w:rsid w:val="00B7269C"/>
    <w:rsid w:val="00B75E8C"/>
    <w:rsid w:val="00B81277"/>
    <w:rsid w:val="00B926CC"/>
    <w:rsid w:val="00BB2D2D"/>
    <w:rsid w:val="00BB3DA1"/>
    <w:rsid w:val="00BB515D"/>
    <w:rsid w:val="00BD721B"/>
    <w:rsid w:val="00BE3AF4"/>
    <w:rsid w:val="00BE676B"/>
    <w:rsid w:val="00BE79A6"/>
    <w:rsid w:val="00BF5265"/>
    <w:rsid w:val="00BF5828"/>
    <w:rsid w:val="00BF6AF7"/>
    <w:rsid w:val="00C05106"/>
    <w:rsid w:val="00C10793"/>
    <w:rsid w:val="00C22787"/>
    <w:rsid w:val="00C2297D"/>
    <w:rsid w:val="00C300C5"/>
    <w:rsid w:val="00C32D32"/>
    <w:rsid w:val="00C43128"/>
    <w:rsid w:val="00C443BD"/>
    <w:rsid w:val="00C461F7"/>
    <w:rsid w:val="00C547EF"/>
    <w:rsid w:val="00C85AC8"/>
    <w:rsid w:val="00C9161D"/>
    <w:rsid w:val="00CA37EE"/>
    <w:rsid w:val="00CF02B2"/>
    <w:rsid w:val="00CF1848"/>
    <w:rsid w:val="00CF24DF"/>
    <w:rsid w:val="00D10778"/>
    <w:rsid w:val="00D12044"/>
    <w:rsid w:val="00D2150E"/>
    <w:rsid w:val="00D35000"/>
    <w:rsid w:val="00D46106"/>
    <w:rsid w:val="00D5227D"/>
    <w:rsid w:val="00D606FA"/>
    <w:rsid w:val="00D64696"/>
    <w:rsid w:val="00D74E58"/>
    <w:rsid w:val="00D76A18"/>
    <w:rsid w:val="00D772EB"/>
    <w:rsid w:val="00D8636C"/>
    <w:rsid w:val="00D93A8D"/>
    <w:rsid w:val="00D95F7A"/>
    <w:rsid w:val="00DA7B2F"/>
    <w:rsid w:val="00DB65C6"/>
    <w:rsid w:val="00DC2843"/>
    <w:rsid w:val="00DD118C"/>
    <w:rsid w:val="00DD3E1A"/>
    <w:rsid w:val="00DE3C05"/>
    <w:rsid w:val="00DE5673"/>
    <w:rsid w:val="00DF0F56"/>
    <w:rsid w:val="00DF1E43"/>
    <w:rsid w:val="00DF4C93"/>
    <w:rsid w:val="00DF608A"/>
    <w:rsid w:val="00E07399"/>
    <w:rsid w:val="00E16D2F"/>
    <w:rsid w:val="00E23487"/>
    <w:rsid w:val="00E32BFC"/>
    <w:rsid w:val="00E44486"/>
    <w:rsid w:val="00E543F9"/>
    <w:rsid w:val="00E60FDF"/>
    <w:rsid w:val="00E66235"/>
    <w:rsid w:val="00E67620"/>
    <w:rsid w:val="00E7683A"/>
    <w:rsid w:val="00E76F1D"/>
    <w:rsid w:val="00E80E2C"/>
    <w:rsid w:val="00E830F0"/>
    <w:rsid w:val="00E83C24"/>
    <w:rsid w:val="00E84B31"/>
    <w:rsid w:val="00E90419"/>
    <w:rsid w:val="00E9318D"/>
    <w:rsid w:val="00EA6D40"/>
    <w:rsid w:val="00EB0A54"/>
    <w:rsid w:val="00ED0967"/>
    <w:rsid w:val="00ED7BD5"/>
    <w:rsid w:val="00EF2626"/>
    <w:rsid w:val="00F01382"/>
    <w:rsid w:val="00F0458D"/>
    <w:rsid w:val="00F16D8F"/>
    <w:rsid w:val="00F656A9"/>
    <w:rsid w:val="00F70BE6"/>
    <w:rsid w:val="00F77AF8"/>
    <w:rsid w:val="00F841C8"/>
    <w:rsid w:val="00F9092F"/>
    <w:rsid w:val="00F94774"/>
    <w:rsid w:val="00FB37EA"/>
    <w:rsid w:val="00FC53DB"/>
    <w:rsid w:val="00FC7F5C"/>
    <w:rsid w:val="00FD61AA"/>
    <w:rsid w:val="00FE35B0"/>
    <w:rsid w:val="00FE458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2">
    <w:name w:val="Style2"/>
    <w:basedOn w:val="Normal"/>
    <w:autoRedefine/>
    <w:rsid w:val="00070D30"/>
    <w:rPr>
      <w:rFonts w:ascii="Lucida Sans Unicode" w:hAnsi="Lucida Sans Unicode" w:cs="Angsana New"/>
      <w:noProof/>
      <w:color w:val="0000FF"/>
      <w:lang w:val="en-US"/>
    </w:rPr>
  </w:style>
  <w:style w:type="paragraph" w:styleId="CommentSubject">
    <w:name w:val="annotation subject"/>
    <w:basedOn w:val="CommentText"/>
    <w:next w:val="CommentText"/>
    <w:link w:val="CommentSubjectChar"/>
    <w:rsid w:val="00070D30"/>
    <w:pPr>
      <w:spacing w:after="0" w:line="240" w:lineRule="auto"/>
    </w:pPr>
    <w:rPr>
      <w:b/>
      <w:bCs/>
      <w:sz w:val="20"/>
      <w:szCs w:val="20"/>
      <w:lang w:eastAsia="x-none"/>
    </w:rPr>
  </w:style>
  <w:style w:type="character" w:customStyle="1" w:styleId="CommentSubjectChar">
    <w:name w:val="Comment Subject Char"/>
    <w:basedOn w:val="CommentTextChar"/>
    <w:link w:val="CommentSubject"/>
    <w:rsid w:val="00070D30"/>
    <w:rPr>
      <w:rFonts w:ascii="Times New Roman" w:eastAsia="Times New Roman" w:hAnsi="Times New Roman" w:cs="Times New Roman"/>
      <w:b/>
      <w:bCs/>
      <w:sz w:val="20"/>
      <w:szCs w:val="20"/>
      <w:lang w:val="en-GB" w:eastAsia="x-none"/>
    </w:rPr>
  </w:style>
  <w:style w:type="paragraph" w:customStyle="1" w:styleId="bodytextnoindent">
    <w:name w:val="body text (no indent)"/>
    <w:basedOn w:val="Normal"/>
    <w:rsid w:val="00070D30"/>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070D30"/>
    <w:rPr>
      <w:rFonts w:cs="Angsana New"/>
      <w:i/>
      <w:iCs/>
    </w:rPr>
  </w:style>
  <w:style w:type="character" w:customStyle="1" w:styleId="BodyText2Char">
    <w:name w:val="Body Text 2 Char"/>
    <w:basedOn w:val="DefaultParagraphFont"/>
    <w:link w:val="BodyText2"/>
    <w:rsid w:val="00070D30"/>
    <w:rPr>
      <w:rFonts w:ascii="Times New Roman" w:eastAsia="Times New Roman" w:hAnsi="Times New Roman" w:cs="Angsana New"/>
      <w:i/>
      <w:iCs/>
      <w:sz w:val="22"/>
      <w:lang w:val="en-GB"/>
    </w:rPr>
  </w:style>
  <w:style w:type="paragraph" w:styleId="BodyText3">
    <w:name w:val="Body Text 3"/>
    <w:basedOn w:val="Normal"/>
    <w:link w:val="BodyText3Char"/>
    <w:rsid w:val="00070D30"/>
    <w:pPr>
      <w:jc w:val="center"/>
    </w:pPr>
    <w:rPr>
      <w:rFonts w:cs="Angsana New"/>
      <w:sz w:val="28"/>
    </w:rPr>
  </w:style>
  <w:style w:type="character" w:customStyle="1" w:styleId="BodyText3Char">
    <w:name w:val="Body Text 3 Char"/>
    <w:basedOn w:val="DefaultParagraphFont"/>
    <w:link w:val="BodyText3"/>
    <w:rsid w:val="00070D30"/>
    <w:rPr>
      <w:rFonts w:ascii="Times New Roman" w:eastAsia="Times New Roman" w:hAnsi="Times New Roman" w:cs="Angsana New"/>
      <w:sz w:val="28"/>
      <w:lang w:val="en-GB"/>
    </w:rPr>
  </w:style>
  <w:style w:type="paragraph" w:styleId="BodyTextIndent2">
    <w:name w:val="Body Text Indent 2"/>
    <w:basedOn w:val="Normal"/>
    <w:link w:val="BodyTextIndent2Char"/>
    <w:rsid w:val="00070D30"/>
    <w:pPr>
      <w:ind w:firstLine="720"/>
    </w:pPr>
    <w:rPr>
      <w:rFonts w:cs="Angsana New"/>
    </w:rPr>
  </w:style>
  <w:style w:type="character" w:customStyle="1" w:styleId="BodyTextIndent2Char">
    <w:name w:val="Body Text Indent 2 Char"/>
    <w:basedOn w:val="DefaultParagraphFont"/>
    <w:link w:val="BodyTextIndent2"/>
    <w:rsid w:val="00070D30"/>
    <w:rPr>
      <w:rFonts w:ascii="Times New Roman" w:eastAsia="Times New Roman" w:hAnsi="Times New Roman" w:cs="Angsana New"/>
      <w:sz w:val="22"/>
      <w:lang w:val="en-GB"/>
    </w:rPr>
  </w:style>
  <w:style w:type="paragraph" w:customStyle="1" w:styleId="Bodytextitalic">
    <w:name w:val="Body text italic"/>
    <w:basedOn w:val="BodyText"/>
    <w:rsid w:val="00070D30"/>
    <w:rPr>
      <w:rFonts w:cs="Angsana New"/>
      <w:i/>
      <w:iCs w:val="0"/>
    </w:rPr>
  </w:style>
  <w:style w:type="paragraph" w:customStyle="1" w:styleId="boxbody">
    <w:name w:val="boxbody"/>
    <w:basedOn w:val="Normal"/>
    <w:rsid w:val="00070D3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070D30"/>
    <w:pPr>
      <w:tabs>
        <w:tab w:val="clear" w:pos="720"/>
        <w:tab w:val="left" w:pos="900"/>
      </w:tabs>
    </w:pPr>
    <w:rPr>
      <w:rFonts w:eastAsia="Batang"/>
      <w:b w:val="0"/>
      <w:bCs w:val="0"/>
      <w:szCs w:val="20"/>
    </w:rPr>
  </w:style>
  <w:style w:type="paragraph" w:customStyle="1" w:styleId="Heading2noletter">
    <w:name w:val="Heading 2 (no letter)"/>
    <w:basedOn w:val="Heading2"/>
    <w:rsid w:val="00070D30"/>
    <w:pPr>
      <w:tabs>
        <w:tab w:val="clear" w:pos="720"/>
      </w:tabs>
    </w:pPr>
  </w:style>
  <w:style w:type="character" w:customStyle="1" w:styleId="Heading2CharChar">
    <w:name w:val="Heading 2 Char Char"/>
    <w:rsid w:val="00070D30"/>
    <w:rPr>
      <w:rFonts w:ascii="Arial" w:hAnsi="Arial" w:cs="Arial"/>
      <w:b/>
      <w:bCs/>
      <w:i/>
      <w:iCs/>
      <w:noProof w:val="0"/>
      <w:sz w:val="28"/>
      <w:szCs w:val="28"/>
      <w:lang w:val="en-US" w:eastAsia="en-US" w:bidi="ar-SA"/>
    </w:rPr>
  </w:style>
  <w:style w:type="paragraph" w:customStyle="1" w:styleId="Heading-plain0">
    <w:name w:val="Heading-plain"/>
    <w:basedOn w:val="Normal"/>
    <w:rsid w:val="00070D30"/>
    <w:pPr>
      <w:spacing w:before="120" w:after="120"/>
      <w:jc w:val="center"/>
      <w:outlineLvl w:val="0"/>
    </w:pPr>
    <w:rPr>
      <w:rFonts w:cs="Angsana New"/>
      <w:i/>
      <w:szCs w:val="20"/>
    </w:rPr>
  </w:style>
  <w:style w:type="paragraph" w:customStyle="1" w:styleId="Heading-plainbold">
    <w:name w:val="Heading-plain bold"/>
    <w:basedOn w:val="BodyText"/>
    <w:rsid w:val="00070D30"/>
    <w:pPr>
      <w:ind w:firstLine="0"/>
      <w:jc w:val="center"/>
    </w:pPr>
    <w:rPr>
      <w:rFonts w:cs="Angsana New"/>
      <w:b/>
      <w:bCs/>
      <w:i/>
      <w:iCs w:val="0"/>
    </w:rPr>
  </w:style>
  <w:style w:type="paragraph" w:customStyle="1" w:styleId="Heading-plainitalic">
    <w:name w:val="Heading-plain italic"/>
    <w:basedOn w:val="Heading-plainbold"/>
    <w:rsid w:val="00070D30"/>
    <w:rPr>
      <w:b w:val="0"/>
      <w:bCs w:val="0"/>
    </w:rPr>
  </w:style>
  <w:style w:type="paragraph" w:styleId="NormalWeb">
    <w:name w:val="Normal (Web)"/>
    <w:basedOn w:val="Normal"/>
    <w:uiPriority w:val="99"/>
    <w:rsid w:val="00070D30"/>
    <w:pPr>
      <w:spacing w:before="100" w:beforeAutospacing="1" w:after="100" w:afterAutospacing="1"/>
      <w:jc w:val="left"/>
    </w:pPr>
    <w:rPr>
      <w:rFonts w:ascii="Verdana" w:hAnsi="Verdana" w:cs="Angsana New"/>
      <w:color w:val="000000"/>
      <w:sz w:val="18"/>
      <w:szCs w:val="18"/>
      <w:lang w:val="en-US"/>
    </w:rPr>
  </w:style>
  <w:style w:type="paragraph" w:customStyle="1" w:styleId="Para1">
    <w:name w:val="Para 1"/>
    <w:basedOn w:val="BodyText"/>
    <w:rsid w:val="00070D30"/>
    <w:pPr>
      <w:numPr>
        <w:numId w:val="9"/>
      </w:numPr>
    </w:pPr>
    <w:rPr>
      <w:rFonts w:eastAsia="MS Mincho" w:cs="Angsana New"/>
      <w:bCs/>
      <w:iCs w:val="0"/>
      <w:szCs w:val="22"/>
    </w:rPr>
  </w:style>
  <w:style w:type="character" w:customStyle="1" w:styleId="Para1Char0">
    <w:name w:val="Para 1 Char"/>
    <w:rsid w:val="00070D30"/>
    <w:rPr>
      <w:rFonts w:eastAsia="MS Mincho"/>
      <w:bCs/>
      <w:iCs/>
      <w:sz w:val="22"/>
      <w:szCs w:val="22"/>
      <w:lang w:val="en-GB" w:eastAsia="en-US" w:bidi="ar-SA"/>
    </w:rPr>
  </w:style>
  <w:style w:type="paragraph" w:customStyle="1" w:styleId="Paraofficial">
    <w:name w:val="Para official"/>
    <w:basedOn w:val="Normal"/>
    <w:rsid w:val="00070D30"/>
    <w:pPr>
      <w:framePr w:hSpace="187" w:vSpace="187" w:wrap="notBeside" w:vAnchor="text" w:hAnchor="text" w:y="1"/>
      <w:numPr>
        <w:numId w:val="5"/>
      </w:numPr>
      <w:spacing w:before="240" w:after="240"/>
      <w:jc w:val="left"/>
    </w:pPr>
    <w:rPr>
      <w:rFonts w:cs="Angsana New"/>
      <w:szCs w:val="20"/>
    </w:rPr>
  </w:style>
  <w:style w:type="paragraph" w:customStyle="1" w:styleId="ColorfulShading-Accent11">
    <w:name w:val="Colorful Shading - Accent 11"/>
    <w:hidden/>
    <w:uiPriority w:val="99"/>
    <w:semiHidden/>
    <w:rsid w:val="00070D30"/>
    <w:rPr>
      <w:rFonts w:ascii="Times New Roman" w:eastAsia="Times New Roman" w:hAnsi="Times New Roman" w:cs="Angsana New"/>
      <w:sz w:val="22"/>
      <w:lang w:val="en-GB"/>
    </w:rPr>
  </w:style>
  <w:style w:type="paragraph" w:customStyle="1" w:styleId="Para1-Annex">
    <w:name w:val="Para1-Annex"/>
    <w:basedOn w:val="Normal"/>
    <w:rsid w:val="00070D30"/>
    <w:pPr>
      <w:numPr>
        <w:numId w:val="6"/>
      </w:numPr>
      <w:spacing w:after="120"/>
    </w:pPr>
    <w:rPr>
      <w:szCs w:val="22"/>
      <w:lang w:val="en-US"/>
    </w:rPr>
  </w:style>
  <w:style w:type="paragraph" w:customStyle="1" w:styleId="para20">
    <w:name w:val="para2"/>
    <w:basedOn w:val="para2a"/>
    <w:rsid w:val="00070D30"/>
  </w:style>
  <w:style w:type="paragraph" w:customStyle="1" w:styleId="Para40">
    <w:name w:val="Para4"/>
    <w:basedOn w:val="Para3"/>
    <w:rsid w:val="00070D3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070D30"/>
    <w:pPr>
      <w:numPr>
        <w:numId w:val="7"/>
      </w:numPr>
      <w:spacing w:after="120" w:line="240" w:lineRule="exact"/>
    </w:pPr>
    <w:rPr>
      <w:rFonts w:cs="Angsana New"/>
      <w:szCs w:val="20"/>
      <w:lang w:val="en-US"/>
    </w:rPr>
  </w:style>
  <w:style w:type="character" w:styleId="Strong">
    <w:name w:val="Strong"/>
    <w:uiPriority w:val="22"/>
    <w:qFormat/>
    <w:rsid w:val="00070D30"/>
    <w:rPr>
      <w:b/>
      <w:bCs/>
    </w:rPr>
  </w:style>
  <w:style w:type="paragraph" w:customStyle="1" w:styleId="StyleBodyTextTimesNewRoman11ptCharChar">
    <w:name w:val="Style Body Text + Times New Roman 11 pt Char Char"/>
    <w:basedOn w:val="BodyText"/>
    <w:rsid w:val="00070D3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070D30"/>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070D30"/>
    <w:pPr>
      <w:tabs>
        <w:tab w:val="num" w:pos="360"/>
      </w:tabs>
      <w:spacing w:after="120"/>
    </w:pPr>
    <w:rPr>
      <w:rFonts w:cs="Angsana New"/>
      <w:snapToGrid w:val="0"/>
      <w:szCs w:val="20"/>
    </w:rPr>
  </w:style>
  <w:style w:type="paragraph" w:customStyle="1" w:styleId="StylePara1Italic">
    <w:name w:val="Style Para1 + Italic"/>
    <w:basedOn w:val="Normal"/>
    <w:rsid w:val="00070D30"/>
    <w:pPr>
      <w:spacing w:before="120" w:after="120"/>
    </w:pPr>
    <w:rPr>
      <w:i/>
      <w:iCs/>
      <w:snapToGrid w:val="0"/>
      <w:szCs w:val="18"/>
    </w:rPr>
  </w:style>
  <w:style w:type="paragraph" w:customStyle="1" w:styleId="ColorfulShading-Accent31">
    <w:name w:val="Colorful Shading - Accent 31"/>
    <w:basedOn w:val="Normal"/>
    <w:uiPriority w:val="34"/>
    <w:qFormat/>
    <w:rsid w:val="00070D30"/>
    <w:pPr>
      <w:ind w:left="720"/>
      <w:contextualSpacing/>
    </w:pPr>
    <w:rPr>
      <w:rFonts w:cs="Angsana New"/>
    </w:rPr>
  </w:style>
  <w:style w:type="paragraph" w:customStyle="1" w:styleId="para2a">
    <w:name w:val="para 2 (a)"/>
    <w:basedOn w:val="Normal"/>
    <w:qFormat/>
    <w:rsid w:val="00070D30"/>
    <w:pPr>
      <w:spacing w:after="120"/>
    </w:pPr>
    <w:rPr>
      <w:rFonts w:eastAsia="MS Mincho" w:cs="Angsana New"/>
      <w:snapToGrid w:val="0"/>
      <w:szCs w:val="18"/>
    </w:rPr>
  </w:style>
  <w:style w:type="paragraph" w:customStyle="1" w:styleId="SubtleEmphasis1">
    <w:name w:val="Subtle Emphasis1"/>
    <w:basedOn w:val="Normal"/>
    <w:uiPriority w:val="34"/>
    <w:qFormat/>
    <w:rsid w:val="00070D30"/>
    <w:pPr>
      <w:ind w:left="720"/>
      <w:contextualSpacing/>
    </w:pPr>
    <w:rPr>
      <w:rFonts w:cs="Angsana New"/>
    </w:rPr>
  </w:style>
  <w:style w:type="paragraph" w:customStyle="1" w:styleId="Body">
    <w:name w:val="Body"/>
    <w:rsid w:val="00070D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SG"/>
    </w:rPr>
  </w:style>
  <w:style w:type="paragraph" w:customStyle="1" w:styleId="recommendation">
    <w:name w:val="recommendation"/>
    <w:basedOn w:val="Heading2"/>
    <w:qFormat/>
    <w:rsid w:val="00070D30"/>
    <w:pPr>
      <w:tabs>
        <w:tab w:val="clear" w:pos="720"/>
      </w:tabs>
      <w:spacing w:before="240" w:after="60" w:line="276" w:lineRule="auto"/>
      <w:jc w:val="left"/>
    </w:pPr>
    <w:rPr>
      <w:i/>
      <w:snapToGrid w:val="0"/>
      <w:kern w:val="2"/>
      <w:szCs w:val="22"/>
      <w:lang w:val="en-US"/>
    </w:rPr>
  </w:style>
  <w:style w:type="paragraph" w:customStyle="1" w:styleId="SubtleEmphasis2">
    <w:name w:val="Subtle Emphasis2"/>
    <w:basedOn w:val="Normal"/>
    <w:uiPriority w:val="34"/>
    <w:qFormat/>
    <w:rsid w:val="00070D30"/>
    <w:pPr>
      <w:spacing w:after="240"/>
      <w:ind w:left="720"/>
      <w:contextualSpacing/>
      <w:jc w:val="left"/>
    </w:pPr>
    <w:rPr>
      <w:rFonts w:ascii="Calibri" w:eastAsia="Calibri" w:hAnsi="Calibri"/>
      <w:sz w:val="24"/>
    </w:rPr>
  </w:style>
  <w:style w:type="paragraph" w:customStyle="1" w:styleId="Default">
    <w:name w:val="Default"/>
    <w:rsid w:val="00070D30"/>
    <w:pPr>
      <w:autoSpaceDE w:val="0"/>
      <w:autoSpaceDN w:val="0"/>
      <w:adjustRightInd w:val="0"/>
    </w:pPr>
    <w:rPr>
      <w:rFonts w:ascii="Calibri" w:eastAsia="Calibri" w:hAnsi="Calibri" w:cs="Calibri"/>
      <w:color w:val="000000"/>
      <w:lang w:val="en-US"/>
    </w:rPr>
  </w:style>
  <w:style w:type="paragraph" w:customStyle="1" w:styleId="ColorfulGrid-Accent61">
    <w:name w:val="Colorful Grid - Accent 61"/>
    <w:hidden/>
    <w:uiPriority w:val="66"/>
    <w:rsid w:val="00070D30"/>
    <w:rPr>
      <w:rFonts w:ascii="Times New Roman" w:eastAsia="Times New Roman" w:hAnsi="Times New Roman" w:cs="Angsana New"/>
      <w:sz w:val="22"/>
      <w:lang w:val="en-GB"/>
    </w:rPr>
  </w:style>
  <w:style w:type="paragraph" w:customStyle="1" w:styleId="SubtleEmphasis3">
    <w:name w:val="Subtle Emphasis3"/>
    <w:basedOn w:val="Normal"/>
    <w:uiPriority w:val="34"/>
    <w:qFormat/>
    <w:rsid w:val="00070D30"/>
    <w:pPr>
      <w:ind w:left="720"/>
      <w:contextualSpacing/>
    </w:pPr>
    <w:rPr>
      <w:rFonts w:cs="Angsana New"/>
    </w:rPr>
  </w:style>
  <w:style w:type="paragraph" w:customStyle="1" w:styleId="SubtleEmphasis4">
    <w:name w:val="Subtle Emphasis4"/>
    <w:basedOn w:val="Normal"/>
    <w:uiPriority w:val="34"/>
    <w:qFormat/>
    <w:rsid w:val="00070D30"/>
    <w:pPr>
      <w:ind w:left="720"/>
    </w:pPr>
    <w:rPr>
      <w:rFonts w:cs="Angsana New"/>
    </w:rPr>
  </w:style>
  <w:style w:type="paragraph" w:customStyle="1" w:styleId="SubtleEmphasis5">
    <w:name w:val="Subtle Emphasis5"/>
    <w:basedOn w:val="Normal"/>
    <w:uiPriority w:val="72"/>
    <w:qFormat/>
    <w:rsid w:val="00070D30"/>
    <w:pPr>
      <w:ind w:left="720"/>
    </w:pPr>
    <w:rPr>
      <w:rFonts w:cs="Angsana New"/>
    </w:rPr>
  </w:style>
  <w:style w:type="numbering" w:customStyle="1" w:styleId="ImportedStyle2">
    <w:name w:val="Imported Style 2"/>
    <w:rsid w:val="00070D30"/>
    <w:pPr>
      <w:numPr>
        <w:numId w:val="8"/>
      </w:numPr>
    </w:pPr>
  </w:style>
  <w:style w:type="character" w:customStyle="1" w:styleId="apple-converted-space">
    <w:name w:val="apple-converted-space"/>
    <w:rsid w:val="00070D30"/>
    <w:rPr>
      <w:lang w:val="fr-FR"/>
    </w:rPr>
  </w:style>
  <w:style w:type="table" w:customStyle="1" w:styleId="TableGrid1">
    <w:name w:val="Table Grid1"/>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70D30"/>
    <w:rPr>
      <w:sz w:val="24"/>
      <w:lang w:eastAsia="x-none"/>
    </w:rPr>
  </w:style>
  <w:style w:type="character" w:customStyle="1" w:styleId="DocumentMapChar">
    <w:name w:val="Document Map Char"/>
    <w:basedOn w:val="DefaultParagraphFont"/>
    <w:link w:val="DocumentMap"/>
    <w:rsid w:val="00070D30"/>
    <w:rPr>
      <w:rFonts w:ascii="Times New Roman" w:eastAsia="Times New Roman" w:hAnsi="Times New Roman" w:cs="Times New Roman"/>
      <w:lang w:val="en-GB" w:eastAsia="x-none"/>
    </w:rPr>
  </w:style>
  <w:style w:type="paragraph" w:styleId="Revision">
    <w:name w:val="Revision"/>
    <w:hidden/>
    <w:uiPriority w:val="99"/>
    <w:unhideWhenUsed/>
    <w:rsid w:val="00070D30"/>
    <w:rPr>
      <w:rFonts w:ascii="Times New Roman" w:eastAsia="Times New Roman" w:hAnsi="Times New Roman" w:cs="Angsana New"/>
      <w:sz w:val="22"/>
      <w:lang w:val="en-GB"/>
    </w:rPr>
  </w:style>
  <w:style w:type="character" w:customStyle="1" w:styleId="UnresolvedMention">
    <w:name w:val="Unresolved Mention"/>
    <w:basedOn w:val="DefaultParagraphFont"/>
    <w:uiPriority w:val="99"/>
    <w:semiHidden/>
    <w:unhideWhenUsed/>
    <w:rsid w:val="00422D5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2">
    <w:name w:val="Style2"/>
    <w:basedOn w:val="Normal"/>
    <w:autoRedefine/>
    <w:rsid w:val="00070D30"/>
    <w:rPr>
      <w:rFonts w:ascii="Lucida Sans Unicode" w:hAnsi="Lucida Sans Unicode" w:cs="Angsana New"/>
      <w:noProof/>
      <w:color w:val="0000FF"/>
      <w:lang w:val="en-US"/>
    </w:rPr>
  </w:style>
  <w:style w:type="paragraph" w:styleId="CommentSubject">
    <w:name w:val="annotation subject"/>
    <w:basedOn w:val="CommentText"/>
    <w:next w:val="CommentText"/>
    <w:link w:val="CommentSubjectChar"/>
    <w:rsid w:val="00070D30"/>
    <w:pPr>
      <w:spacing w:after="0" w:line="240" w:lineRule="auto"/>
    </w:pPr>
    <w:rPr>
      <w:b/>
      <w:bCs/>
      <w:sz w:val="20"/>
      <w:szCs w:val="20"/>
      <w:lang w:eastAsia="x-none"/>
    </w:rPr>
  </w:style>
  <w:style w:type="character" w:customStyle="1" w:styleId="CommentSubjectChar">
    <w:name w:val="Comment Subject Char"/>
    <w:basedOn w:val="CommentTextChar"/>
    <w:link w:val="CommentSubject"/>
    <w:rsid w:val="00070D30"/>
    <w:rPr>
      <w:rFonts w:ascii="Times New Roman" w:eastAsia="Times New Roman" w:hAnsi="Times New Roman" w:cs="Times New Roman"/>
      <w:b/>
      <w:bCs/>
      <w:sz w:val="20"/>
      <w:szCs w:val="20"/>
      <w:lang w:val="en-GB" w:eastAsia="x-none"/>
    </w:rPr>
  </w:style>
  <w:style w:type="paragraph" w:customStyle="1" w:styleId="bodytextnoindent">
    <w:name w:val="body text (no indent)"/>
    <w:basedOn w:val="Normal"/>
    <w:rsid w:val="00070D30"/>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070D30"/>
    <w:rPr>
      <w:rFonts w:cs="Angsana New"/>
      <w:i/>
      <w:iCs/>
    </w:rPr>
  </w:style>
  <w:style w:type="character" w:customStyle="1" w:styleId="BodyText2Char">
    <w:name w:val="Body Text 2 Char"/>
    <w:basedOn w:val="DefaultParagraphFont"/>
    <w:link w:val="BodyText2"/>
    <w:rsid w:val="00070D30"/>
    <w:rPr>
      <w:rFonts w:ascii="Times New Roman" w:eastAsia="Times New Roman" w:hAnsi="Times New Roman" w:cs="Angsana New"/>
      <w:i/>
      <w:iCs/>
      <w:sz w:val="22"/>
      <w:lang w:val="en-GB"/>
    </w:rPr>
  </w:style>
  <w:style w:type="paragraph" w:styleId="BodyText3">
    <w:name w:val="Body Text 3"/>
    <w:basedOn w:val="Normal"/>
    <w:link w:val="BodyText3Char"/>
    <w:rsid w:val="00070D30"/>
    <w:pPr>
      <w:jc w:val="center"/>
    </w:pPr>
    <w:rPr>
      <w:rFonts w:cs="Angsana New"/>
      <w:sz w:val="28"/>
    </w:rPr>
  </w:style>
  <w:style w:type="character" w:customStyle="1" w:styleId="BodyText3Char">
    <w:name w:val="Body Text 3 Char"/>
    <w:basedOn w:val="DefaultParagraphFont"/>
    <w:link w:val="BodyText3"/>
    <w:rsid w:val="00070D30"/>
    <w:rPr>
      <w:rFonts w:ascii="Times New Roman" w:eastAsia="Times New Roman" w:hAnsi="Times New Roman" w:cs="Angsana New"/>
      <w:sz w:val="28"/>
      <w:lang w:val="en-GB"/>
    </w:rPr>
  </w:style>
  <w:style w:type="paragraph" w:styleId="BodyTextIndent2">
    <w:name w:val="Body Text Indent 2"/>
    <w:basedOn w:val="Normal"/>
    <w:link w:val="BodyTextIndent2Char"/>
    <w:rsid w:val="00070D30"/>
    <w:pPr>
      <w:ind w:firstLine="720"/>
    </w:pPr>
    <w:rPr>
      <w:rFonts w:cs="Angsana New"/>
    </w:rPr>
  </w:style>
  <w:style w:type="character" w:customStyle="1" w:styleId="BodyTextIndent2Char">
    <w:name w:val="Body Text Indent 2 Char"/>
    <w:basedOn w:val="DefaultParagraphFont"/>
    <w:link w:val="BodyTextIndent2"/>
    <w:rsid w:val="00070D30"/>
    <w:rPr>
      <w:rFonts w:ascii="Times New Roman" w:eastAsia="Times New Roman" w:hAnsi="Times New Roman" w:cs="Angsana New"/>
      <w:sz w:val="22"/>
      <w:lang w:val="en-GB"/>
    </w:rPr>
  </w:style>
  <w:style w:type="paragraph" w:customStyle="1" w:styleId="Bodytextitalic">
    <w:name w:val="Body text italic"/>
    <w:basedOn w:val="BodyText"/>
    <w:rsid w:val="00070D30"/>
    <w:rPr>
      <w:rFonts w:cs="Angsana New"/>
      <w:i/>
      <w:iCs w:val="0"/>
    </w:rPr>
  </w:style>
  <w:style w:type="paragraph" w:customStyle="1" w:styleId="boxbody">
    <w:name w:val="boxbody"/>
    <w:basedOn w:val="Normal"/>
    <w:rsid w:val="00070D3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070D30"/>
    <w:pPr>
      <w:tabs>
        <w:tab w:val="clear" w:pos="720"/>
        <w:tab w:val="left" w:pos="900"/>
      </w:tabs>
    </w:pPr>
    <w:rPr>
      <w:rFonts w:eastAsia="Batang"/>
      <w:b w:val="0"/>
      <w:bCs w:val="0"/>
      <w:szCs w:val="20"/>
    </w:rPr>
  </w:style>
  <w:style w:type="paragraph" w:customStyle="1" w:styleId="Heading2noletter">
    <w:name w:val="Heading 2 (no letter)"/>
    <w:basedOn w:val="Heading2"/>
    <w:rsid w:val="00070D30"/>
    <w:pPr>
      <w:tabs>
        <w:tab w:val="clear" w:pos="720"/>
      </w:tabs>
    </w:pPr>
  </w:style>
  <w:style w:type="character" w:customStyle="1" w:styleId="Heading2CharChar">
    <w:name w:val="Heading 2 Char Char"/>
    <w:rsid w:val="00070D30"/>
    <w:rPr>
      <w:rFonts w:ascii="Arial" w:hAnsi="Arial" w:cs="Arial"/>
      <w:b/>
      <w:bCs/>
      <w:i/>
      <w:iCs/>
      <w:noProof w:val="0"/>
      <w:sz w:val="28"/>
      <w:szCs w:val="28"/>
      <w:lang w:val="en-US" w:eastAsia="en-US" w:bidi="ar-SA"/>
    </w:rPr>
  </w:style>
  <w:style w:type="paragraph" w:customStyle="1" w:styleId="Heading-plain0">
    <w:name w:val="Heading-plain"/>
    <w:basedOn w:val="Normal"/>
    <w:rsid w:val="00070D30"/>
    <w:pPr>
      <w:spacing w:before="120" w:after="120"/>
      <w:jc w:val="center"/>
      <w:outlineLvl w:val="0"/>
    </w:pPr>
    <w:rPr>
      <w:rFonts w:cs="Angsana New"/>
      <w:i/>
      <w:szCs w:val="20"/>
    </w:rPr>
  </w:style>
  <w:style w:type="paragraph" w:customStyle="1" w:styleId="Heading-plainbold">
    <w:name w:val="Heading-plain bold"/>
    <w:basedOn w:val="BodyText"/>
    <w:rsid w:val="00070D30"/>
    <w:pPr>
      <w:ind w:firstLine="0"/>
      <w:jc w:val="center"/>
    </w:pPr>
    <w:rPr>
      <w:rFonts w:cs="Angsana New"/>
      <w:b/>
      <w:bCs/>
      <w:i/>
      <w:iCs w:val="0"/>
    </w:rPr>
  </w:style>
  <w:style w:type="paragraph" w:customStyle="1" w:styleId="Heading-plainitalic">
    <w:name w:val="Heading-plain italic"/>
    <w:basedOn w:val="Heading-plainbold"/>
    <w:rsid w:val="00070D30"/>
    <w:rPr>
      <w:b w:val="0"/>
      <w:bCs w:val="0"/>
    </w:rPr>
  </w:style>
  <w:style w:type="paragraph" w:styleId="NormalWeb">
    <w:name w:val="Normal (Web)"/>
    <w:basedOn w:val="Normal"/>
    <w:uiPriority w:val="99"/>
    <w:rsid w:val="00070D30"/>
    <w:pPr>
      <w:spacing w:before="100" w:beforeAutospacing="1" w:after="100" w:afterAutospacing="1"/>
      <w:jc w:val="left"/>
    </w:pPr>
    <w:rPr>
      <w:rFonts w:ascii="Verdana" w:hAnsi="Verdana" w:cs="Angsana New"/>
      <w:color w:val="000000"/>
      <w:sz w:val="18"/>
      <w:szCs w:val="18"/>
      <w:lang w:val="en-US"/>
    </w:rPr>
  </w:style>
  <w:style w:type="paragraph" w:customStyle="1" w:styleId="Para1">
    <w:name w:val="Para 1"/>
    <w:basedOn w:val="BodyText"/>
    <w:rsid w:val="00070D30"/>
    <w:pPr>
      <w:numPr>
        <w:numId w:val="9"/>
      </w:numPr>
    </w:pPr>
    <w:rPr>
      <w:rFonts w:eastAsia="MS Mincho" w:cs="Angsana New"/>
      <w:bCs/>
      <w:iCs w:val="0"/>
      <w:szCs w:val="22"/>
    </w:rPr>
  </w:style>
  <w:style w:type="character" w:customStyle="1" w:styleId="Para1Char0">
    <w:name w:val="Para 1 Char"/>
    <w:rsid w:val="00070D30"/>
    <w:rPr>
      <w:rFonts w:eastAsia="MS Mincho"/>
      <w:bCs/>
      <w:iCs/>
      <w:sz w:val="22"/>
      <w:szCs w:val="22"/>
      <w:lang w:val="en-GB" w:eastAsia="en-US" w:bidi="ar-SA"/>
    </w:rPr>
  </w:style>
  <w:style w:type="paragraph" w:customStyle="1" w:styleId="Paraofficial">
    <w:name w:val="Para official"/>
    <w:basedOn w:val="Normal"/>
    <w:rsid w:val="00070D30"/>
    <w:pPr>
      <w:framePr w:hSpace="187" w:vSpace="187" w:wrap="notBeside" w:vAnchor="text" w:hAnchor="text" w:y="1"/>
      <w:numPr>
        <w:numId w:val="5"/>
      </w:numPr>
      <w:spacing w:before="240" w:after="240"/>
      <w:jc w:val="left"/>
    </w:pPr>
    <w:rPr>
      <w:rFonts w:cs="Angsana New"/>
      <w:szCs w:val="20"/>
    </w:rPr>
  </w:style>
  <w:style w:type="paragraph" w:customStyle="1" w:styleId="ColorfulShading-Accent11">
    <w:name w:val="Colorful Shading - Accent 11"/>
    <w:hidden/>
    <w:uiPriority w:val="99"/>
    <w:semiHidden/>
    <w:rsid w:val="00070D30"/>
    <w:rPr>
      <w:rFonts w:ascii="Times New Roman" w:eastAsia="Times New Roman" w:hAnsi="Times New Roman" w:cs="Angsana New"/>
      <w:sz w:val="22"/>
      <w:lang w:val="en-GB"/>
    </w:rPr>
  </w:style>
  <w:style w:type="paragraph" w:customStyle="1" w:styleId="Para1-Annex">
    <w:name w:val="Para1-Annex"/>
    <w:basedOn w:val="Normal"/>
    <w:rsid w:val="00070D30"/>
    <w:pPr>
      <w:numPr>
        <w:numId w:val="6"/>
      </w:numPr>
      <w:spacing w:after="120"/>
    </w:pPr>
    <w:rPr>
      <w:szCs w:val="22"/>
      <w:lang w:val="en-US"/>
    </w:rPr>
  </w:style>
  <w:style w:type="paragraph" w:customStyle="1" w:styleId="para20">
    <w:name w:val="para2"/>
    <w:basedOn w:val="para2a"/>
    <w:rsid w:val="00070D30"/>
  </w:style>
  <w:style w:type="paragraph" w:customStyle="1" w:styleId="Para40">
    <w:name w:val="Para4"/>
    <w:basedOn w:val="Para3"/>
    <w:rsid w:val="00070D3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070D30"/>
    <w:pPr>
      <w:numPr>
        <w:numId w:val="7"/>
      </w:numPr>
      <w:spacing w:after="120" w:line="240" w:lineRule="exact"/>
    </w:pPr>
    <w:rPr>
      <w:rFonts w:cs="Angsana New"/>
      <w:szCs w:val="20"/>
      <w:lang w:val="en-US"/>
    </w:rPr>
  </w:style>
  <w:style w:type="character" w:styleId="Strong">
    <w:name w:val="Strong"/>
    <w:uiPriority w:val="22"/>
    <w:qFormat/>
    <w:rsid w:val="00070D30"/>
    <w:rPr>
      <w:b/>
      <w:bCs/>
    </w:rPr>
  </w:style>
  <w:style w:type="paragraph" w:customStyle="1" w:styleId="StyleBodyTextTimesNewRoman11ptCharChar">
    <w:name w:val="Style Body Text + Times New Roman 11 pt Char Char"/>
    <w:basedOn w:val="BodyText"/>
    <w:rsid w:val="00070D3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070D30"/>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070D30"/>
    <w:pPr>
      <w:tabs>
        <w:tab w:val="num" w:pos="360"/>
      </w:tabs>
      <w:spacing w:after="120"/>
    </w:pPr>
    <w:rPr>
      <w:rFonts w:cs="Angsana New"/>
      <w:snapToGrid w:val="0"/>
      <w:szCs w:val="20"/>
    </w:rPr>
  </w:style>
  <w:style w:type="paragraph" w:customStyle="1" w:styleId="StylePara1Italic">
    <w:name w:val="Style Para1 + Italic"/>
    <w:basedOn w:val="Normal"/>
    <w:rsid w:val="00070D30"/>
    <w:pPr>
      <w:spacing w:before="120" w:after="120"/>
    </w:pPr>
    <w:rPr>
      <w:i/>
      <w:iCs/>
      <w:snapToGrid w:val="0"/>
      <w:szCs w:val="18"/>
    </w:rPr>
  </w:style>
  <w:style w:type="paragraph" w:customStyle="1" w:styleId="ColorfulShading-Accent31">
    <w:name w:val="Colorful Shading - Accent 31"/>
    <w:basedOn w:val="Normal"/>
    <w:uiPriority w:val="34"/>
    <w:qFormat/>
    <w:rsid w:val="00070D30"/>
    <w:pPr>
      <w:ind w:left="720"/>
      <w:contextualSpacing/>
    </w:pPr>
    <w:rPr>
      <w:rFonts w:cs="Angsana New"/>
    </w:rPr>
  </w:style>
  <w:style w:type="paragraph" w:customStyle="1" w:styleId="para2a">
    <w:name w:val="para 2 (a)"/>
    <w:basedOn w:val="Normal"/>
    <w:qFormat/>
    <w:rsid w:val="00070D30"/>
    <w:pPr>
      <w:spacing w:after="120"/>
    </w:pPr>
    <w:rPr>
      <w:rFonts w:eastAsia="MS Mincho" w:cs="Angsana New"/>
      <w:snapToGrid w:val="0"/>
      <w:szCs w:val="18"/>
    </w:rPr>
  </w:style>
  <w:style w:type="paragraph" w:customStyle="1" w:styleId="SubtleEmphasis1">
    <w:name w:val="Subtle Emphasis1"/>
    <w:basedOn w:val="Normal"/>
    <w:uiPriority w:val="34"/>
    <w:qFormat/>
    <w:rsid w:val="00070D30"/>
    <w:pPr>
      <w:ind w:left="720"/>
      <w:contextualSpacing/>
    </w:pPr>
    <w:rPr>
      <w:rFonts w:cs="Angsana New"/>
    </w:rPr>
  </w:style>
  <w:style w:type="paragraph" w:customStyle="1" w:styleId="Body">
    <w:name w:val="Body"/>
    <w:rsid w:val="00070D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SG"/>
    </w:rPr>
  </w:style>
  <w:style w:type="paragraph" w:customStyle="1" w:styleId="recommendation">
    <w:name w:val="recommendation"/>
    <w:basedOn w:val="Heading2"/>
    <w:qFormat/>
    <w:rsid w:val="00070D30"/>
    <w:pPr>
      <w:tabs>
        <w:tab w:val="clear" w:pos="720"/>
      </w:tabs>
      <w:spacing w:before="240" w:after="60" w:line="276" w:lineRule="auto"/>
      <w:jc w:val="left"/>
    </w:pPr>
    <w:rPr>
      <w:i/>
      <w:snapToGrid w:val="0"/>
      <w:kern w:val="2"/>
      <w:szCs w:val="22"/>
      <w:lang w:val="en-US"/>
    </w:rPr>
  </w:style>
  <w:style w:type="paragraph" w:customStyle="1" w:styleId="SubtleEmphasis2">
    <w:name w:val="Subtle Emphasis2"/>
    <w:basedOn w:val="Normal"/>
    <w:uiPriority w:val="34"/>
    <w:qFormat/>
    <w:rsid w:val="00070D30"/>
    <w:pPr>
      <w:spacing w:after="240"/>
      <w:ind w:left="720"/>
      <w:contextualSpacing/>
      <w:jc w:val="left"/>
    </w:pPr>
    <w:rPr>
      <w:rFonts w:ascii="Calibri" w:eastAsia="Calibri" w:hAnsi="Calibri"/>
      <w:sz w:val="24"/>
    </w:rPr>
  </w:style>
  <w:style w:type="paragraph" w:customStyle="1" w:styleId="Default">
    <w:name w:val="Default"/>
    <w:rsid w:val="00070D30"/>
    <w:pPr>
      <w:autoSpaceDE w:val="0"/>
      <w:autoSpaceDN w:val="0"/>
      <w:adjustRightInd w:val="0"/>
    </w:pPr>
    <w:rPr>
      <w:rFonts w:ascii="Calibri" w:eastAsia="Calibri" w:hAnsi="Calibri" w:cs="Calibri"/>
      <w:color w:val="000000"/>
      <w:lang w:val="en-US"/>
    </w:rPr>
  </w:style>
  <w:style w:type="paragraph" w:customStyle="1" w:styleId="ColorfulGrid-Accent61">
    <w:name w:val="Colorful Grid - Accent 61"/>
    <w:hidden/>
    <w:uiPriority w:val="66"/>
    <w:rsid w:val="00070D30"/>
    <w:rPr>
      <w:rFonts w:ascii="Times New Roman" w:eastAsia="Times New Roman" w:hAnsi="Times New Roman" w:cs="Angsana New"/>
      <w:sz w:val="22"/>
      <w:lang w:val="en-GB"/>
    </w:rPr>
  </w:style>
  <w:style w:type="paragraph" w:customStyle="1" w:styleId="SubtleEmphasis3">
    <w:name w:val="Subtle Emphasis3"/>
    <w:basedOn w:val="Normal"/>
    <w:uiPriority w:val="34"/>
    <w:qFormat/>
    <w:rsid w:val="00070D30"/>
    <w:pPr>
      <w:ind w:left="720"/>
      <w:contextualSpacing/>
    </w:pPr>
    <w:rPr>
      <w:rFonts w:cs="Angsana New"/>
    </w:rPr>
  </w:style>
  <w:style w:type="paragraph" w:customStyle="1" w:styleId="SubtleEmphasis4">
    <w:name w:val="Subtle Emphasis4"/>
    <w:basedOn w:val="Normal"/>
    <w:uiPriority w:val="34"/>
    <w:qFormat/>
    <w:rsid w:val="00070D30"/>
    <w:pPr>
      <w:ind w:left="720"/>
    </w:pPr>
    <w:rPr>
      <w:rFonts w:cs="Angsana New"/>
    </w:rPr>
  </w:style>
  <w:style w:type="paragraph" w:customStyle="1" w:styleId="SubtleEmphasis5">
    <w:name w:val="Subtle Emphasis5"/>
    <w:basedOn w:val="Normal"/>
    <w:uiPriority w:val="72"/>
    <w:qFormat/>
    <w:rsid w:val="00070D30"/>
    <w:pPr>
      <w:ind w:left="720"/>
    </w:pPr>
    <w:rPr>
      <w:rFonts w:cs="Angsana New"/>
    </w:rPr>
  </w:style>
  <w:style w:type="numbering" w:customStyle="1" w:styleId="ImportedStyle2">
    <w:name w:val="Imported Style 2"/>
    <w:rsid w:val="00070D30"/>
    <w:pPr>
      <w:numPr>
        <w:numId w:val="8"/>
      </w:numPr>
    </w:pPr>
  </w:style>
  <w:style w:type="character" w:customStyle="1" w:styleId="apple-converted-space">
    <w:name w:val="apple-converted-space"/>
    <w:rsid w:val="00070D30"/>
    <w:rPr>
      <w:lang w:val="fr-FR"/>
    </w:rPr>
  </w:style>
  <w:style w:type="table" w:customStyle="1" w:styleId="TableGrid1">
    <w:name w:val="Table Grid1"/>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70D30"/>
    <w:rPr>
      <w:sz w:val="24"/>
      <w:lang w:eastAsia="x-none"/>
    </w:rPr>
  </w:style>
  <w:style w:type="character" w:customStyle="1" w:styleId="DocumentMapChar">
    <w:name w:val="Document Map Char"/>
    <w:basedOn w:val="DefaultParagraphFont"/>
    <w:link w:val="DocumentMap"/>
    <w:rsid w:val="00070D30"/>
    <w:rPr>
      <w:rFonts w:ascii="Times New Roman" w:eastAsia="Times New Roman" w:hAnsi="Times New Roman" w:cs="Times New Roman"/>
      <w:lang w:val="en-GB" w:eastAsia="x-none"/>
    </w:rPr>
  </w:style>
  <w:style w:type="paragraph" w:styleId="Revision">
    <w:name w:val="Revision"/>
    <w:hidden/>
    <w:uiPriority w:val="99"/>
    <w:unhideWhenUsed/>
    <w:rsid w:val="00070D30"/>
    <w:rPr>
      <w:rFonts w:ascii="Times New Roman" w:eastAsia="Times New Roman" w:hAnsi="Times New Roman" w:cs="Angsana New"/>
      <w:sz w:val="22"/>
      <w:lang w:val="en-GB"/>
    </w:rPr>
  </w:style>
  <w:style w:type="character" w:customStyle="1" w:styleId="UnresolvedMention">
    <w:name w:val="Unresolved Mention"/>
    <w:basedOn w:val="DefaultParagraphFont"/>
    <w:uiPriority w:val="99"/>
    <w:semiHidden/>
    <w:unhideWhenUsed/>
    <w:rsid w:val="00422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en.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meetings/sbi/sbi-01/information/sbi-01-inf-12-en.pdf"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2/cop-12-dec-10-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ome.kpmg.com/content/dam/kpmg/campaigns/csr/pdf/CSR_Reporting_2017.pdf" TargetMode="External"/><Relationship Id="rId13" Type="http://schemas.openxmlformats.org/officeDocument/2006/relationships/hyperlink" Target="https://www.naturalcapitaltoolkit.org/" TargetMode="External"/><Relationship Id="rId18" Type="http://schemas.openxmlformats.org/officeDocument/2006/relationships/hyperlink" Target="https://www.pwc.nl/nl/assets/documents/the-sustainable-development-goals.pdf" TargetMode="External"/><Relationship Id="rId26" Type="http://schemas.openxmlformats.org/officeDocument/2006/relationships/hyperlink" Target="https://unstats.un.org/unsd/envaccounting/seea.asp" TargetMode="External"/><Relationship Id="rId3" Type="http://schemas.openxmlformats.org/officeDocument/2006/relationships/hyperlink" Target="http://database.globalreporting.org/" TargetMode="External"/><Relationship Id="rId21" Type="http://schemas.openxmlformats.org/officeDocument/2006/relationships/hyperlink" Target="https://www.cisl.cam.ac.uk/publications/working-papers-folder/healthy-ecosystem-metric-framework" TargetMode="External"/><Relationship Id="rId7" Type="http://schemas.openxmlformats.org/officeDocument/2006/relationships/hyperlink" Target="https://www.cdsb.net/" TargetMode="External"/><Relationship Id="rId12" Type="http://schemas.openxmlformats.org/officeDocument/2006/relationships/hyperlink" Target="https://naturalcapitalcoalition.org/projects/biodiversity/" TargetMode="External"/><Relationship Id="rId17" Type="http://schemas.openxmlformats.org/officeDocument/2006/relationships/hyperlink" Target="https://home.kpmg.com/content/dam/kpmg/campaigns/csr/pdf/CSR_Reporting_2017.pdf" TargetMode="External"/><Relationship Id="rId25" Type="http://schemas.openxmlformats.org/officeDocument/2006/relationships/hyperlink" Target="http://ec.europa.eu/environment/biodiversity/business/workstreams/natural-capital-accounting/index_en.htm" TargetMode="External"/><Relationship Id="rId33" Type="http://schemas.openxmlformats.org/officeDocument/2006/relationships/hyperlink" Target="https://www.globalreporting.org/standards/gri-standards-download-center/gri-304-biodiversity/" TargetMode="External"/><Relationship Id="rId2" Type="http://schemas.openxmlformats.org/officeDocument/2006/relationships/hyperlink" Target="https://www.cbd.int/doc/recommendations/sbstta-21/sbstta-21-rec-04-en.pdf" TargetMode="External"/><Relationship Id="rId16" Type="http://schemas.openxmlformats.org/officeDocument/2006/relationships/hyperlink" Target="http://www.un.org/ga/search/view_doc.asp?symbol=A/RES/70/1&amp;Lang=E" TargetMode="External"/><Relationship Id="rId20" Type="http://schemas.openxmlformats.org/officeDocument/2006/relationships/hyperlink" Target="http://integratedreporting.org/resource/sdgs-integrated-thinking-and-the-integrated-report/" TargetMode="External"/><Relationship Id="rId29" Type="http://schemas.openxmlformats.org/officeDocument/2006/relationships/hyperlink" Target="https://unstats.un.org/unsd/envaccounting/eu_project/default.asp"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dp.net/" TargetMode="External"/><Relationship Id="rId11" Type="http://schemas.openxmlformats.org/officeDocument/2006/relationships/hyperlink" Target="https://www.sasb.org/" TargetMode="External"/><Relationship Id="rId24" Type="http://schemas.openxmlformats.org/officeDocument/2006/relationships/hyperlink" Target="http://www.ipieca.org/resources/good-practice/biodiversity-and-ecosystem-services-fundamentals/" TargetMode="External"/><Relationship Id="rId32" Type="http://schemas.openxmlformats.org/officeDocument/2006/relationships/hyperlink" Target="https://www.unep-wcmc.org/resources-and-data/ibat" TargetMode="External"/><Relationship Id="rId5" Type="http://schemas.openxmlformats.org/officeDocument/2006/relationships/hyperlink" Target="https://www.globalreporting.org/resourcelibrary/Carrots%20and%20Sticks-2016.pdf" TargetMode="External"/><Relationship Id="rId15" Type="http://schemas.openxmlformats.org/officeDocument/2006/relationships/hyperlink" Target="https://www.globalreporting.org/resourcelibrary/Carrots%20and%20Sticks-2016.pdf" TargetMode="External"/><Relationship Id="rId23" Type="http://schemas.openxmlformats.org/officeDocument/2006/relationships/hyperlink" Target="http://institutolife.org/en/" TargetMode="External"/><Relationship Id="rId28" Type="http://schemas.openxmlformats.org/officeDocument/2006/relationships/hyperlink" Target="https://www.wavespartnership.org" TargetMode="External"/><Relationship Id="rId10" Type="http://schemas.openxmlformats.org/officeDocument/2006/relationships/hyperlink" Target="https://integratedreporting.org" TargetMode="External"/><Relationship Id="rId19" Type="http://schemas.openxmlformats.org/officeDocument/2006/relationships/hyperlink" Target="https://www.globalreporting.org/resourcelibrary/GRI_UNGC_Business-Reporting-on-SDGs_Analysis-of-Goals-and-Targets.pdf" TargetMode="External"/><Relationship Id="rId31" Type="http://schemas.openxmlformats.org/officeDocument/2006/relationships/hyperlink" Target="https://www.bipindicators.net/system/resources/files/000/002/191/original/Framework_Brochure_UK_0311_LOWRES_%281%29.pdf?1481634262" TargetMode="External"/><Relationship Id="rId4" Type="http://schemas.openxmlformats.org/officeDocument/2006/relationships/hyperlink" Target="https://www.carrotsandsticks.net/regulations/" TargetMode="External"/><Relationship Id="rId9" Type="http://schemas.openxmlformats.org/officeDocument/2006/relationships/hyperlink" Target="https://www.globalreporting.org/" TargetMode="External"/><Relationship Id="rId14" Type="http://schemas.openxmlformats.org/officeDocument/2006/relationships/hyperlink" Target="http://www.wbcsd.org/Projects/Reporting/The-Reporting-Exchange" TargetMode="External"/><Relationship Id="rId22" Type="http://schemas.openxmlformats.org/officeDocument/2006/relationships/hyperlink" Target="http://www.mission-economie-biodiversite.com/wp-content/uploads/2017/11/N11-TRAVAUX-DU-CLUB-B4B-INDICATEUR-GBS-UK-BD.pdf" TargetMode="External"/><Relationship Id="rId27" Type="http://schemas.openxmlformats.org/officeDocument/2006/relationships/hyperlink" Target="https://unstats.un.org/unsd/envaccounting/eea_project/default.asp" TargetMode="External"/><Relationship Id="rId30" Type="http://schemas.openxmlformats.org/officeDocument/2006/relationships/hyperlink" Target="https://www.cbd.int/business/meetings-events/2017/defaul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3BD1"/>
    <w:rsid w:val="00500A2B"/>
    <w:rsid w:val="0058288D"/>
    <w:rsid w:val="006801B3"/>
    <w:rsid w:val="00810A55"/>
    <w:rsid w:val="008C6619"/>
    <w:rsid w:val="008D420E"/>
    <w:rsid w:val="0098146B"/>
    <w:rsid w:val="0098642F"/>
    <w:rsid w:val="00F12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83B5CC-11BF-4572-AC37-12EC1E92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6501</Words>
  <Characters>37060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Guidance for reporting by businesses on their actions related to biodiversity</vt:lpstr>
    </vt:vector>
  </TitlesOfParts>
  <Company>SCBD</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reporting by businesses on their actions related to biodiversity</dc:title>
  <dc:subject>CBD/SBI/2/4/Add.2</dc:subject>
  <dc:creator>SCBD</dc:creator>
  <cp:lastModifiedBy>Orestes Plasencia</cp:lastModifiedBy>
  <cp:revision>2</cp:revision>
  <dcterms:created xsi:type="dcterms:W3CDTF">2018-05-28T18:34:00Z</dcterms:created>
  <dcterms:modified xsi:type="dcterms:W3CDTF">2018-05-28T18:34:00Z</dcterms:modified>
  <cp:contentStatus>GENERAL</cp:contentStatus>
</cp:coreProperties>
</file>