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95"/>
        <w:gridCol w:w="5766"/>
      </w:tblGrid>
      <w:tr w:rsidR="00A96B21" w:rsidRPr="005337B0" w14:paraId="46D7FE46" w14:textId="77777777" w:rsidTr="009A3ED4">
        <w:trPr>
          <w:trHeight w:val="851"/>
        </w:trPr>
        <w:tc>
          <w:tcPr>
            <w:tcW w:w="432" w:type="pct"/>
            <w:tcBorders>
              <w:bottom w:val="single" w:sz="8" w:space="0" w:color="auto"/>
            </w:tcBorders>
            <w:vAlign w:val="bottom"/>
          </w:tcPr>
          <w:p w14:paraId="4E779057" w14:textId="77777777" w:rsidR="00A96B21" w:rsidRPr="005337B0" w:rsidRDefault="00A96B21">
            <w:pPr>
              <w:spacing w:after="120"/>
              <w:jc w:val="left"/>
            </w:pPr>
            <w:bookmarkStart w:id="0" w:name="_Hlk143266149"/>
            <w:bookmarkStart w:id="1" w:name="_Hlk137651738"/>
            <w:bookmarkEnd w:id="0"/>
            <w:r w:rsidRPr="005337B0">
              <w:rPr>
                <w:noProof/>
                <w:lang w:bidi="fr-FR"/>
              </w:rPr>
              <w:drawing>
                <wp:inline distT="0" distB="0" distL="0" distR="0" wp14:anchorId="57BF5D04" wp14:editId="636058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7" w:type="pct"/>
            <w:tcBorders>
              <w:bottom w:val="single" w:sz="8" w:space="0" w:color="auto"/>
            </w:tcBorders>
            <w:shd w:val="clear" w:color="auto" w:fill="auto"/>
            <w:tcFitText/>
            <w:vAlign w:val="bottom"/>
          </w:tcPr>
          <w:p w14:paraId="5BE93850" w14:textId="717CD897" w:rsidR="00A96B21" w:rsidRPr="005337B0" w:rsidRDefault="006443F5">
            <w:pPr>
              <w:spacing w:after="120"/>
              <w:jc w:val="left"/>
            </w:pPr>
            <w:r w:rsidRPr="006443F5">
              <w:rPr>
                <w:noProof/>
                <w14:ligatures w14:val="standardContextual"/>
              </w:rPr>
              <w:drawing>
                <wp:inline distT="0" distB="0" distL="0" distR="0" wp14:anchorId="5D8E1336" wp14:editId="588365CC">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671" w:type="pct"/>
            <w:tcBorders>
              <w:bottom w:val="single" w:sz="8" w:space="0" w:color="auto"/>
            </w:tcBorders>
            <w:vAlign w:val="bottom"/>
          </w:tcPr>
          <w:p w14:paraId="1D2245AF" w14:textId="7CA0ABD8" w:rsidR="00A96B21" w:rsidRPr="005337B0" w:rsidRDefault="00A96B21" w:rsidP="00184909">
            <w:pPr>
              <w:spacing w:after="120"/>
              <w:ind w:left="2021"/>
              <w:jc w:val="right"/>
              <w:rPr>
                <w:szCs w:val="22"/>
              </w:rPr>
            </w:pPr>
            <w:r w:rsidRPr="005337B0">
              <w:rPr>
                <w:sz w:val="40"/>
                <w:szCs w:val="40"/>
                <w:lang w:bidi="fr-FR"/>
              </w:rPr>
              <w:t>CBD</w:t>
            </w:r>
            <w:r w:rsidRPr="005337B0">
              <w:rPr>
                <w:szCs w:val="22"/>
                <w:lang w:bidi="fr-FR"/>
              </w:rPr>
              <w:t>/SBI/4/12</w:t>
            </w:r>
          </w:p>
        </w:tc>
      </w:tr>
      <w:tr w:rsidR="00A96B21" w:rsidRPr="005337B0" w14:paraId="4F7A9A32" w14:textId="77777777" w:rsidTr="009A3ED4">
        <w:tc>
          <w:tcPr>
            <w:tcW w:w="2329" w:type="pct"/>
            <w:gridSpan w:val="2"/>
            <w:tcBorders>
              <w:top w:val="single" w:sz="8" w:space="0" w:color="auto"/>
              <w:bottom w:val="single" w:sz="12" w:space="0" w:color="auto"/>
            </w:tcBorders>
          </w:tcPr>
          <w:p w14:paraId="6742AA01" w14:textId="3195F6B9" w:rsidR="00A96B21" w:rsidRPr="005337B0" w:rsidRDefault="006443F5">
            <w:pPr>
              <w:pStyle w:val="Cornernotation"/>
              <w:suppressLineNumbers/>
              <w:suppressAutoHyphens/>
              <w:spacing w:before="120" w:after="120"/>
              <w:ind w:left="0" w:right="0" w:firstLine="0"/>
            </w:pPr>
            <w:r>
              <w:rPr>
                <w:noProof/>
                <w14:ligatures w14:val="standardContextual"/>
              </w:rPr>
              <w:drawing>
                <wp:inline distT="0" distB="0" distL="0" distR="0" wp14:anchorId="6126F46B" wp14:editId="2E7B8537">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0380DBC2" w14:textId="2916588F" w:rsidR="00A96B21" w:rsidRPr="005337B0" w:rsidRDefault="00A96B21" w:rsidP="003C6F10">
            <w:pPr>
              <w:ind w:left="2584"/>
              <w:rPr>
                <w:sz w:val="22"/>
                <w:szCs w:val="22"/>
              </w:rPr>
            </w:pPr>
            <w:r w:rsidRPr="005337B0">
              <w:rPr>
                <w:sz w:val="22"/>
                <w:szCs w:val="22"/>
                <w:lang w:bidi="fr-FR"/>
              </w:rPr>
              <w:t>Distr. </w:t>
            </w:r>
            <w:r w:rsidR="006443F5">
              <w:rPr>
                <w:sz w:val="22"/>
                <w:szCs w:val="22"/>
                <w:lang w:bidi="fr-FR"/>
              </w:rPr>
              <w:t>g</w:t>
            </w:r>
            <w:r w:rsidRPr="005337B0">
              <w:rPr>
                <w:sz w:val="22"/>
                <w:szCs w:val="22"/>
                <w:lang w:bidi="fr-FR"/>
              </w:rPr>
              <w:t>énérale</w:t>
            </w:r>
          </w:p>
          <w:p w14:paraId="017B4A77" w14:textId="60ED7369" w:rsidR="00A96B21" w:rsidRPr="005337B0" w:rsidRDefault="00AB668B" w:rsidP="003C6F10">
            <w:pPr>
              <w:ind w:left="2584"/>
              <w:rPr>
                <w:sz w:val="22"/>
                <w:szCs w:val="22"/>
              </w:rPr>
            </w:pPr>
            <w:r w:rsidRPr="005337B0">
              <w:rPr>
                <w:szCs w:val="22"/>
                <w:lang w:bidi="fr-FR"/>
              </w:rPr>
              <w:t>15 avril 2024</w:t>
            </w:r>
          </w:p>
          <w:p w14:paraId="71E4786A" w14:textId="7E806526" w:rsidR="00A96B21" w:rsidRPr="005337B0" w:rsidRDefault="006443F5" w:rsidP="003C6F10">
            <w:pPr>
              <w:ind w:left="2584"/>
              <w:rPr>
                <w:sz w:val="22"/>
                <w:szCs w:val="22"/>
              </w:rPr>
            </w:pPr>
            <w:r>
              <w:rPr>
                <w:sz w:val="22"/>
                <w:szCs w:val="22"/>
              </w:rPr>
              <w:t>Français</w:t>
            </w:r>
          </w:p>
          <w:p w14:paraId="64EC7BC2" w14:textId="72AF87F6" w:rsidR="00A96B21" w:rsidRPr="005337B0" w:rsidRDefault="008E570E" w:rsidP="003C6F10">
            <w:pPr>
              <w:ind w:left="2584"/>
              <w:rPr>
                <w:sz w:val="22"/>
                <w:szCs w:val="22"/>
              </w:rPr>
            </w:pPr>
            <w:r w:rsidRPr="005337B0">
              <w:rPr>
                <w:sz w:val="22"/>
                <w:szCs w:val="22"/>
                <w:lang w:bidi="fr-FR"/>
              </w:rPr>
              <w:t xml:space="preserve">Original : </w:t>
            </w:r>
            <w:r w:rsidR="006443F5">
              <w:rPr>
                <w:sz w:val="22"/>
                <w:szCs w:val="22"/>
                <w:lang w:bidi="fr-FR"/>
              </w:rPr>
              <w:t>a</w:t>
            </w:r>
            <w:r w:rsidRPr="005337B0">
              <w:rPr>
                <w:sz w:val="22"/>
                <w:szCs w:val="22"/>
                <w:lang w:bidi="fr-FR"/>
              </w:rPr>
              <w:t>nglais</w:t>
            </w:r>
          </w:p>
          <w:p w14:paraId="5F54B397" w14:textId="77777777" w:rsidR="00A96B21" w:rsidRPr="005337B0" w:rsidRDefault="00A96B21"/>
        </w:tc>
      </w:tr>
    </w:tbl>
    <w:p w14:paraId="5D7F3694" w14:textId="6741DAC5" w:rsidR="009A3ED4" w:rsidRPr="005337B0" w:rsidRDefault="00DC6E52" w:rsidP="009A3ED4">
      <w:pPr>
        <w:pStyle w:val="Cornernotation"/>
        <w:ind w:left="0" w:firstLine="0"/>
        <w:rPr>
          <w:bCs/>
        </w:rPr>
      </w:pPr>
      <w:r w:rsidRPr="005337B0">
        <w:rPr>
          <w:lang w:bidi="fr-FR"/>
        </w:rPr>
        <w:t xml:space="preserve">Organe subsidiaire pour la mise en application </w:t>
      </w:r>
    </w:p>
    <w:p w14:paraId="48EEAE3D" w14:textId="77777777" w:rsidR="009A3ED4" w:rsidRPr="005337B0" w:rsidRDefault="009A3ED4" w:rsidP="009A3ED4">
      <w:pPr>
        <w:pStyle w:val="Cornernotation"/>
        <w:rPr>
          <w:bCs/>
          <w:sz w:val="22"/>
          <w:szCs w:val="22"/>
        </w:rPr>
      </w:pPr>
      <w:r w:rsidRPr="005337B0">
        <w:rPr>
          <w:sz w:val="22"/>
          <w:szCs w:val="22"/>
          <w:lang w:bidi="fr-FR"/>
        </w:rPr>
        <w:t xml:space="preserve">Quatrième réunion </w:t>
      </w:r>
    </w:p>
    <w:p w14:paraId="079F2A1D" w14:textId="644F49EC" w:rsidR="009A3ED4" w:rsidRPr="005337B0" w:rsidRDefault="00DC6E52" w:rsidP="009A3ED4">
      <w:pPr>
        <w:pStyle w:val="Venuedate"/>
      </w:pPr>
      <w:r w:rsidRPr="005337B0">
        <w:rPr>
          <w:lang w:bidi="fr-FR"/>
        </w:rPr>
        <w:t>Nairobi, 21-29 </w:t>
      </w:r>
      <w:r w:rsidR="006443F5">
        <w:rPr>
          <w:lang w:bidi="fr-FR"/>
        </w:rPr>
        <w:t>mai</w:t>
      </w:r>
      <w:r w:rsidRPr="005337B0">
        <w:rPr>
          <w:lang w:bidi="fr-FR"/>
        </w:rPr>
        <w:t> 2024</w:t>
      </w:r>
    </w:p>
    <w:p w14:paraId="001F46BF" w14:textId="002A0818" w:rsidR="009A3ED4" w:rsidRPr="005337B0" w:rsidRDefault="009A3ED4" w:rsidP="009A3ED4">
      <w:pPr>
        <w:pStyle w:val="Cornernotation-Item"/>
        <w:rPr>
          <w:b w:val="0"/>
          <w:bCs w:val="0"/>
        </w:rPr>
      </w:pPr>
      <w:r w:rsidRPr="005337B0">
        <w:rPr>
          <w:b w:val="0"/>
          <w:lang w:bidi="fr-FR"/>
        </w:rPr>
        <w:t xml:space="preserve">Point 9 de l’ordre du jour provisoire </w:t>
      </w:r>
      <w:r w:rsidRPr="005337B0">
        <w:rPr>
          <w:rStyle w:val="FootnoteReference"/>
          <w:b w:val="0"/>
          <w:lang w:bidi="fr-FR"/>
        </w:rPr>
        <w:t>*</w:t>
      </w:r>
    </w:p>
    <w:p w14:paraId="4AE9C74E" w14:textId="371F13BD" w:rsidR="009A3ED4" w:rsidRPr="005337B0" w:rsidRDefault="00DC6E52" w:rsidP="00D17C52">
      <w:pPr>
        <w:pStyle w:val="Cornernotation-Item"/>
        <w:ind w:left="0" w:right="5519" w:firstLine="0"/>
        <w:rPr>
          <w:b w:val="0"/>
          <w:bCs w:val="0"/>
        </w:rPr>
      </w:pPr>
      <w:r w:rsidRPr="005337B0">
        <w:rPr>
          <w:lang w:bidi="fr-FR"/>
        </w:rPr>
        <w:footnoteReference w:customMarkFollows="1" w:id="2"/>
        <w:t>Évaluation et examen de l’efficacité du Protocole de Nagoya (article 31)</w:t>
      </w:r>
    </w:p>
    <w:bookmarkEnd w:id="1"/>
    <w:p w14:paraId="7B31F626" w14:textId="50B06004" w:rsidR="008A4787" w:rsidRPr="005337B0" w:rsidRDefault="00DB38FD" w:rsidP="006D0CCB">
      <w:pPr>
        <w:pStyle w:val="Title"/>
        <w:tabs>
          <w:tab w:val="left" w:pos="540"/>
        </w:tabs>
        <w:ind w:hanging="11"/>
        <w:jc w:val="left"/>
      </w:pPr>
      <w:sdt>
        <w:sdtPr>
          <w:alias w:val="Title"/>
          <w:tag w:val=""/>
          <w:id w:val="-1869446449"/>
          <w:placeholder>
            <w:docPart w:val="AC7774E123D14F96AA3DBC2D8569F464"/>
          </w:placeholder>
          <w:dataBinding w:prefixMappings="xmlns:ns0='http://purl.org/dc/elements/1.1/' xmlns:ns1='http://schemas.openxmlformats.org/package/2006/metadata/core-properties' " w:xpath="/ns1:coreProperties[1]/ns0:title[1]" w:storeItemID="{6C3C8BC8-F283-45AE-878A-BAB7291924A1}"/>
          <w:text/>
        </w:sdtPr>
        <w:sdtEndPr/>
        <w:sdtContent>
          <w:r w:rsidR="006443F5" w:rsidRPr="006443F5">
            <w:t>Élaboration de la méthode pour la deuxième évaluation et le deuxième examen de l’efficacité du Protocole de Nagoya</w:t>
          </w:r>
        </w:sdtContent>
      </w:sdt>
      <w:r w:rsidR="00C91FB5" w:rsidRPr="005337B0">
        <w:rPr>
          <w:rStyle w:val="FootnoteReference"/>
          <w:lang w:bidi="fr-FR"/>
        </w:rPr>
        <w:t>**</w:t>
      </w:r>
    </w:p>
    <w:p w14:paraId="6908A0DC" w14:textId="46BD12A1" w:rsidR="00A96B21" w:rsidRPr="005337B0" w:rsidRDefault="00A96B21" w:rsidP="00B6543C">
      <w:pPr>
        <w:pStyle w:val="Title"/>
        <w:tabs>
          <w:tab w:val="left" w:pos="540"/>
        </w:tabs>
        <w:ind w:left="540"/>
        <w:rPr>
          <w:rFonts w:ascii="Times New Roman" w:hAnsi="Times New Roman"/>
          <w:sz w:val="22"/>
          <w:szCs w:val="22"/>
        </w:rPr>
      </w:pPr>
      <w:r w:rsidRPr="005337B0">
        <w:rPr>
          <w:rFonts w:ascii="Times New Roman" w:eastAsia="Times New Roman" w:hAnsi="Times New Roman"/>
          <w:sz w:val="22"/>
          <w:szCs w:val="22"/>
          <w:lang w:bidi="fr-FR"/>
        </w:rPr>
        <w:footnoteReference w:customMarkFollows="1" w:id="3"/>
        <w:t>Note du Secrétariat</w:t>
      </w:r>
    </w:p>
    <w:p w14:paraId="1F135F3F" w14:textId="77777777" w:rsidR="00352247" w:rsidRPr="005337B0" w:rsidRDefault="00352247" w:rsidP="00352247">
      <w:pPr>
        <w:pStyle w:val="Heading1"/>
        <w:ind w:left="540" w:hanging="540"/>
        <w:rPr>
          <w:lang w:val="en-GB"/>
        </w:rPr>
      </w:pPr>
      <w:r w:rsidRPr="005337B0">
        <w:rPr>
          <w:lang w:val="fr-FR" w:bidi="fr-FR"/>
        </w:rPr>
        <w:t>Introduction</w:t>
      </w:r>
    </w:p>
    <w:p w14:paraId="4EB12A9B" w14:textId="6F80006E" w:rsidR="00C7757D" w:rsidRPr="005337B0" w:rsidRDefault="001E2CCA" w:rsidP="00D17C52">
      <w:pPr>
        <w:pStyle w:val="Para10"/>
        <w:numPr>
          <w:ilvl w:val="0"/>
          <w:numId w:val="6"/>
        </w:numPr>
        <w:tabs>
          <w:tab w:val="clear" w:pos="360"/>
        </w:tabs>
        <w:ind w:left="539"/>
        <w:rPr>
          <w:kern w:val="22"/>
          <w:szCs w:val="22"/>
          <w:lang w:val="en-GB"/>
        </w:rPr>
      </w:pPr>
      <w:r w:rsidRPr="005337B0">
        <w:rPr>
          <w:kern w:val="22"/>
          <w:szCs w:val="22"/>
          <w:lang w:val="fr-FR" w:bidi="fr-FR"/>
        </w:rPr>
        <w:t xml:space="preserve">Conformément au paragraphe 3 de la </w:t>
      </w:r>
      <w:hyperlink r:id="rId14" w:history="1">
        <w:r w:rsidRPr="005337B0">
          <w:rPr>
            <w:rStyle w:val="Hyperlink"/>
            <w:color w:val="auto"/>
            <w:kern w:val="22"/>
            <w:szCs w:val="22"/>
            <w:u w:val="none"/>
            <w:lang w:val="fr-FR" w:bidi="fr-FR"/>
          </w:rPr>
          <w:t xml:space="preserve">décision </w:t>
        </w:r>
        <w:r w:rsidRPr="005337B0">
          <w:rPr>
            <w:rStyle w:val="Hyperlink"/>
            <w:kern w:val="22"/>
            <w:szCs w:val="22"/>
            <w:lang w:val="fr-FR" w:bidi="fr-FR"/>
          </w:rPr>
          <w:t>NP-3/1</w:t>
        </w:r>
      </w:hyperlink>
      <w:r w:rsidRPr="005337B0">
        <w:rPr>
          <w:kern w:val="22"/>
          <w:szCs w:val="22"/>
          <w:lang w:val="fr-FR" w:bidi="fr-FR"/>
        </w:rPr>
        <w:t xml:space="preserve"> B de la</w:t>
      </w:r>
      <w:r w:rsidR="00B96358" w:rsidRPr="005337B0">
        <w:rPr>
          <w:lang w:val="fr-FR" w:bidi="fr-FR"/>
        </w:rPr>
        <w:t xml:space="preserve"> Conférence des Parties siégeant en tant que réunion des Parties au Protocole de Nagoya </w:t>
      </w:r>
      <w:r w:rsidR="00B96358" w:rsidRPr="005337B0">
        <w:rPr>
          <w:kern w:val="22"/>
          <w:szCs w:val="22"/>
          <w:lang w:val="fr-FR" w:bidi="fr-FR"/>
        </w:rPr>
        <w:t xml:space="preserve">sur l’accès aux ressources génétiques et le partage juste et équitable des avantages découlant de leur utilisation, l’Organe subsidiaire pour la mise en application, à sa quatrième réunion, doit examiner la méthodologie proposée pour réaliser la deuxième évaluation et le deuxième examen de l’efficacité du </w:t>
      </w:r>
      <w:r w:rsidR="00B96358" w:rsidRPr="005337B0">
        <w:rPr>
          <w:lang w:val="fr-FR" w:bidi="fr-FR"/>
        </w:rPr>
        <w:t>Protocole</w:t>
      </w:r>
      <w:r w:rsidR="00547EEF" w:rsidRPr="005337B0">
        <w:rPr>
          <w:kern w:val="22"/>
          <w:szCs w:val="22"/>
          <w:lang w:val="fr-FR" w:bidi="fr-FR"/>
        </w:rPr>
        <w:t xml:space="preserve"> et formuler des recommandations pour examen par la Conférence des Parties agissant comme réunion des Parties au Protocole à sa cinquième réunion. La présente note a été établie pour faciliter l’examen de cette question par l’Organe subsidiaire à sa quatrième réunion.</w:t>
      </w:r>
    </w:p>
    <w:p w14:paraId="03B23F02" w14:textId="2C534E35" w:rsidR="00C92DD1" w:rsidRPr="005337B0" w:rsidRDefault="00C92DD1" w:rsidP="009F4F9E">
      <w:pPr>
        <w:pStyle w:val="Heading1"/>
        <w:ind w:left="540" w:hanging="540"/>
        <w:rPr>
          <w:lang w:val="en-GB"/>
        </w:rPr>
      </w:pPr>
      <w:r w:rsidRPr="005337B0">
        <w:rPr>
          <w:lang w:val="fr-FR" w:bidi="fr-FR"/>
        </w:rPr>
        <w:t>Historique</w:t>
      </w:r>
    </w:p>
    <w:p w14:paraId="458C6FEE" w14:textId="7AB16D12" w:rsidR="00A26443" w:rsidRPr="005337B0" w:rsidRDefault="00BA5703" w:rsidP="00B90F0C">
      <w:pPr>
        <w:pStyle w:val="Para10"/>
        <w:numPr>
          <w:ilvl w:val="0"/>
          <w:numId w:val="6"/>
        </w:numPr>
        <w:tabs>
          <w:tab w:val="clear" w:pos="1134"/>
          <w:tab w:val="left" w:pos="1080"/>
        </w:tabs>
        <w:spacing w:before="0"/>
        <w:ind w:left="540"/>
        <w:rPr>
          <w:kern w:val="22"/>
          <w:szCs w:val="22"/>
          <w:lang w:val="en-GB"/>
        </w:rPr>
      </w:pPr>
      <w:r w:rsidRPr="005337B0">
        <w:rPr>
          <w:kern w:val="22"/>
          <w:szCs w:val="22"/>
          <w:lang w:val="fr-FR" w:bidi="fr-FR"/>
        </w:rPr>
        <w:t>En vertu de l’article 31 du Protocole de Nagoya, la Conférence des Parties siégeant en tant que réunion des Parties au Protocole est tenue de procéder, quatre ans après l’entrée en vigueur du Protocole et, par la suite, à des intervalles déterminés par la Conférence des Parties agissant comme réunion des Parties, à une évaluation de l’efficacité du Protocole.</w:t>
      </w:r>
    </w:p>
    <w:p w14:paraId="56C3B447" w14:textId="3601F40F" w:rsidR="00EF1878" w:rsidRPr="005337B0" w:rsidRDefault="004543A9" w:rsidP="005740C7">
      <w:pPr>
        <w:pStyle w:val="Para10"/>
        <w:numPr>
          <w:ilvl w:val="0"/>
          <w:numId w:val="6"/>
        </w:numPr>
        <w:tabs>
          <w:tab w:val="clear" w:pos="1134"/>
          <w:tab w:val="left" w:pos="1080"/>
        </w:tabs>
        <w:spacing w:before="0"/>
        <w:ind w:left="540"/>
        <w:rPr>
          <w:rFonts w:eastAsiaTheme="minorHAnsi"/>
          <w:kern w:val="22"/>
          <w:szCs w:val="22"/>
          <w:lang w:val="en-GB"/>
          <w14:ligatures w14:val="standardContextual"/>
        </w:rPr>
      </w:pPr>
      <w:r w:rsidRPr="005337B0">
        <w:rPr>
          <w:kern w:val="22"/>
          <w:szCs w:val="22"/>
          <w:lang w:val="fr-FR" w:bidi="fr-FR"/>
        </w:rPr>
        <w:t xml:space="preserve">Cette question a été examinée pour la première fois par la Conférence des Parties siégeant en tant que réunion des Parties au Protocole lors de sa deuxième réunion. Dans sa </w:t>
      </w:r>
      <w:hyperlink r:id="rId15" w:history="1">
        <w:r w:rsidR="00A26443" w:rsidRPr="005337B0">
          <w:rPr>
            <w:rStyle w:val="Hyperlink"/>
            <w:color w:val="auto"/>
            <w:kern w:val="22"/>
            <w:szCs w:val="22"/>
            <w:u w:val="none"/>
            <w:lang w:val="fr-FR" w:bidi="fr-FR"/>
          </w:rPr>
          <w:t xml:space="preserve">décision </w:t>
        </w:r>
        <w:r w:rsidR="00A26443" w:rsidRPr="005337B0">
          <w:rPr>
            <w:rStyle w:val="Hyperlink"/>
            <w:kern w:val="22"/>
            <w:szCs w:val="22"/>
            <w:lang w:val="fr-FR" w:bidi="fr-FR"/>
          </w:rPr>
          <w:t>NP-2/4</w:t>
        </w:r>
      </w:hyperlink>
      <w:r w:rsidRPr="005337B0">
        <w:rPr>
          <w:kern w:val="22"/>
          <w:szCs w:val="22"/>
          <w:lang w:val="fr-FR" w:bidi="fr-FR"/>
        </w:rPr>
        <w:t xml:space="preserve">, elle a convenu, entre autres, des éléments à inclure dans la première évaluation et le premier examen, tels qu’ils sont énumérés dans l’annexe de la décision, et des sources d’information à utiliser pour évaluer chacun de ces éléments. </w:t>
      </w:r>
      <w:r w:rsidR="00EF1878" w:rsidRPr="005337B0">
        <w:rPr>
          <w:rFonts w:eastAsiaTheme="minorHAnsi"/>
          <w:kern w:val="22"/>
          <w:szCs w:val="22"/>
          <w:lang w:val="fr-FR" w:bidi="fr-FR"/>
          <w14:ligatures w14:val="standardContextual"/>
        </w:rPr>
        <w:t xml:space="preserve">Les principales sources d’information étaient les rapports nationaux intermédiaires sur la mise en application du protocole de Nagoya et le centre d’échange sur l’accès et le partage des avantages. En outre, les correspondants nationaux pour l’accès et le partage des avantages, les correspondants nationaux pour la convention, les peuples autochtones et les communautés locales </w:t>
      </w:r>
      <w:r w:rsidR="00EF1878" w:rsidRPr="005337B0">
        <w:rPr>
          <w:rFonts w:eastAsiaTheme="minorHAnsi"/>
          <w:kern w:val="22"/>
          <w:szCs w:val="22"/>
          <w:lang w:val="fr-FR" w:bidi="fr-FR"/>
          <w14:ligatures w14:val="standardContextual"/>
        </w:rPr>
        <w:lastRenderedPageBreak/>
        <w:t>ainsi que les parties prenantes concernées ont été invités à fournir des informations sur un certain nombre de questions par le biais d’une enquête en ligne.</w:t>
      </w:r>
    </w:p>
    <w:p w14:paraId="37AECCE3" w14:textId="3D79491F" w:rsidR="00A26443" w:rsidRPr="005337B0" w:rsidRDefault="00EF1878"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fr-FR" w:bidi="fr-FR"/>
        </w:rPr>
        <w:t>Comme demandé dans la décision NP-2/4, la Secrétaire exécutive a également préparé un cadre d’indicateurs qui servira de base pour mesurer les progrès accomplis dans la réalisation de l’objectif du protocole lors des évaluations ultérieures, et a mis à disposition des informations sur les expériences tirées du processus d’évaluation et d’examen dans le cadre du protocole de Cartagena sur la prévention des risques biotechnologiques.</w:t>
      </w:r>
    </w:p>
    <w:p w14:paraId="4AD30BEB" w14:textId="0C1F2051" w:rsidR="00A26443" w:rsidRPr="005337B0" w:rsidRDefault="00186B04"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fr-FR" w:bidi="fr-FR"/>
        </w:rPr>
        <w:t>Lors de sa troisième réunion, la Conférence des Parties siégeant en tant que réunion des parties au protocole de Nagoya a adopté, sur la base de la recommandation de l’organe subsidiaire pour la mise en application et des informations fournies par la Secrétaire exécutive, la décision NP-3/1, qui comprend :</w:t>
      </w:r>
    </w:p>
    <w:p w14:paraId="1D7D1F46" w14:textId="0F494E1C" w:rsidR="00A26443" w:rsidRPr="005337B0" w:rsidRDefault="00303F11" w:rsidP="006D0CCB">
      <w:pPr>
        <w:pStyle w:val="Para10"/>
        <w:numPr>
          <w:ilvl w:val="1"/>
          <w:numId w:val="9"/>
        </w:numPr>
        <w:tabs>
          <w:tab w:val="clear" w:pos="1134"/>
          <w:tab w:val="clear" w:pos="1778"/>
          <w:tab w:val="num" w:pos="1701"/>
        </w:tabs>
        <w:spacing w:before="0"/>
        <w:ind w:left="567" w:firstLine="567"/>
        <w:rPr>
          <w:kern w:val="22"/>
          <w:szCs w:val="22"/>
          <w:lang w:val="en-GB"/>
        </w:rPr>
      </w:pPr>
      <w:r w:rsidRPr="005337B0">
        <w:rPr>
          <w:kern w:val="22"/>
          <w:szCs w:val="22"/>
          <w:lang w:val="fr-FR" w:bidi="fr-FR"/>
        </w:rPr>
        <w:t xml:space="preserve">les résultats de la première évaluation et du premier examen (partie A de la </w:t>
      </w:r>
      <w:r w:rsidR="008C00C3" w:rsidRPr="005337B0">
        <w:rPr>
          <w:rStyle w:val="Hyperlink"/>
          <w:color w:val="auto"/>
          <w:u w:val="none"/>
          <w:lang w:val="fr-FR" w:bidi="fr-FR"/>
        </w:rPr>
        <w:t>décision</w:t>
      </w:r>
      <w:r w:rsidRPr="005337B0">
        <w:rPr>
          <w:kern w:val="22"/>
          <w:szCs w:val="22"/>
          <w:lang w:val="fr-FR" w:bidi="fr-FR"/>
        </w:rPr>
        <w:t>), y compris les principales conclusions pour chaque élément (annexe I de la décision) ;</w:t>
      </w:r>
    </w:p>
    <w:p w14:paraId="64257F4B" w14:textId="3934D1FD" w:rsidR="00A26443" w:rsidRPr="005337B0" w:rsidRDefault="00667FAD" w:rsidP="006D0CCB">
      <w:pPr>
        <w:pStyle w:val="Para10"/>
        <w:numPr>
          <w:ilvl w:val="1"/>
          <w:numId w:val="9"/>
        </w:numPr>
        <w:tabs>
          <w:tab w:val="clear" w:pos="1134"/>
          <w:tab w:val="clear" w:pos="1778"/>
          <w:tab w:val="num" w:pos="1701"/>
        </w:tabs>
        <w:spacing w:before="0"/>
        <w:ind w:left="567" w:firstLine="567"/>
        <w:rPr>
          <w:kern w:val="22"/>
          <w:szCs w:val="22"/>
          <w:lang w:val="en-GB"/>
        </w:rPr>
      </w:pPr>
      <w:r w:rsidRPr="005337B0">
        <w:rPr>
          <w:kern w:val="22"/>
          <w:szCs w:val="22"/>
          <w:lang w:val="fr-FR" w:bidi="fr-FR"/>
        </w:rPr>
        <w:t>les dispositions relatives à la deuxième évaluation et au deuxième examen et les intervalles pour les processus ultérieurs (</w:t>
      </w:r>
      <w:r w:rsidR="00BE0BBE" w:rsidRPr="005337B0">
        <w:rPr>
          <w:lang w:val="fr-FR" w:bidi="fr-FR"/>
        </w:rPr>
        <w:t>partie B de la décision</w:t>
      </w:r>
      <w:r w:rsidR="008C00C3" w:rsidRPr="005337B0">
        <w:rPr>
          <w:kern w:val="22"/>
          <w:szCs w:val="22"/>
          <w:lang w:val="fr-FR" w:bidi="fr-FR"/>
        </w:rPr>
        <w:t xml:space="preserve">) ; </w:t>
      </w:r>
    </w:p>
    <w:p w14:paraId="3DCFFD7C" w14:textId="7F87545F" w:rsidR="009E106B" w:rsidRPr="005337B0" w:rsidRDefault="00613A6F" w:rsidP="00D1080E">
      <w:pPr>
        <w:pStyle w:val="Para10"/>
        <w:numPr>
          <w:ilvl w:val="1"/>
          <w:numId w:val="9"/>
        </w:numPr>
        <w:tabs>
          <w:tab w:val="clear" w:pos="1134"/>
          <w:tab w:val="num" w:pos="1701"/>
        </w:tabs>
        <w:spacing w:before="0"/>
        <w:ind w:left="567" w:firstLine="567"/>
        <w:rPr>
          <w:kern w:val="22"/>
          <w:szCs w:val="22"/>
          <w:lang w:val="en-GB"/>
        </w:rPr>
      </w:pPr>
      <w:r w:rsidRPr="005337B0">
        <w:rPr>
          <w:kern w:val="22"/>
          <w:szCs w:val="22"/>
          <w:lang w:val="fr-FR" w:bidi="fr-FR"/>
        </w:rPr>
        <w:t>un cadre d’indicateurs et de points de référence pour mesurer les progrès accomplis (annexe II de la décision).</w:t>
      </w:r>
    </w:p>
    <w:p w14:paraId="2C870EE6" w14:textId="059045B7" w:rsidR="00C871C9" w:rsidRPr="005337B0" w:rsidRDefault="001C588C" w:rsidP="00D17C52">
      <w:pPr>
        <w:pStyle w:val="Para10"/>
        <w:numPr>
          <w:ilvl w:val="0"/>
          <w:numId w:val="6"/>
        </w:numPr>
        <w:tabs>
          <w:tab w:val="clear" w:pos="1134"/>
          <w:tab w:val="left" w:pos="1080"/>
        </w:tabs>
        <w:spacing w:before="0"/>
        <w:ind w:left="540"/>
        <w:rPr>
          <w:kern w:val="22"/>
          <w:szCs w:val="22"/>
        </w:rPr>
      </w:pPr>
      <w:r w:rsidRPr="005337B0">
        <w:rPr>
          <w:kern w:val="22"/>
          <w:szCs w:val="22"/>
          <w:lang w:val="fr-FR" w:bidi="fr-FR"/>
        </w:rPr>
        <w:t>Le cadre d’indicateurs</w:t>
      </w:r>
      <w:r w:rsidRPr="005337B0">
        <w:rPr>
          <w:rFonts w:eastAsia="Malgun Gothic"/>
          <w:spacing w:val="-2"/>
          <w:kern w:val="22"/>
          <w:szCs w:val="22"/>
          <w:lang w:val="fr-FR" w:bidi="fr-FR"/>
        </w:rPr>
        <w:t xml:space="preserve"> comprend des </w:t>
      </w:r>
      <w:r w:rsidRPr="005337B0">
        <w:rPr>
          <w:kern w:val="22"/>
          <w:szCs w:val="22"/>
          <w:lang w:val="fr-FR" w:bidi="fr-FR"/>
        </w:rPr>
        <w:t>indicateurs pour les différents éléments abordés lors de la première évaluation et du premier examen. Pour faciliter la consultation, le cadre a suivi la structure et l’ordre du format du rapport national intermédiaire et a inclus une colonne pour indiquer l’élément ou les éléments auxquels chaque indicateur est lié. Le cadre a été adopté en tant qu’outil flexible pouvant être adapté au fur et à mesure des progrès réalisés dans la mise en œuvre.</w:t>
      </w:r>
    </w:p>
    <w:p w14:paraId="407EA0DE" w14:textId="0ACF1E7D" w:rsidR="001C588C" w:rsidRPr="005337B0" w:rsidRDefault="001C588C" w:rsidP="00D17C52">
      <w:pPr>
        <w:pStyle w:val="Para10"/>
        <w:numPr>
          <w:ilvl w:val="0"/>
          <w:numId w:val="6"/>
        </w:numPr>
        <w:tabs>
          <w:tab w:val="clear" w:pos="1134"/>
          <w:tab w:val="left" w:pos="1080"/>
        </w:tabs>
        <w:spacing w:before="0"/>
        <w:ind w:left="540"/>
        <w:rPr>
          <w:kern w:val="22"/>
          <w:szCs w:val="22"/>
        </w:rPr>
      </w:pPr>
      <w:r w:rsidRPr="005337B0">
        <w:rPr>
          <w:kern w:val="22"/>
          <w:szCs w:val="22"/>
          <w:lang w:val="fr-FR" w:bidi="fr-FR"/>
        </w:rPr>
        <w:t xml:space="preserve">Les indicateurs du cadre ont été largement basés sur les questions du format du rapport national intérimaire. Le cadre comprend également la source d’information pour mesurer chaque indicateur. Des points de référence ont été inclus pour la plupart des indicateurs, exprimés principalement en nombres et en pourcentages calculés sur la base du nombre total de Parties (105) au moment de l’analyse. Ces points de référence déterminent une base par rapport à laquelle les progrès pourront être mesurés à l’avenir pour chacun des indicateurs. Toutefois, dans certains cas, aucune information concluante n’a pu être tirée des réponses au rapport national intérimaire, et un nouveau texte a donc été suggéré pour ces indicateurs, qui a été incorporé dans le format du premier rapport national sur la mise en œuvre du protocole. </w:t>
      </w:r>
    </w:p>
    <w:p w14:paraId="69305ED6" w14:textId="545B14CE" w:rsidR="00D609C2" w:rsidRPr="005337B0" w:rsidRDefault="00ED77CB"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La section III de la présente note contient des informations sur l’expérience acquise lors des évaluations et des examens effectués dans le cadre des protocoles de Nagoya et de Cartagena. La section IV contient un calendrier synchronisé avec les étapes du Cadre Mondial pour la biodiversité de Kunming-Montréal.</w:t>
      </w:r>
      <w:r w:rsidR="00B95B5E" w:rsidRPr="005337B0">
        <w:rPr>
          <w:lang w:val="fr-FR" w:bidi="fr-FR"/>
        </w:rPr>
        <w:t xml:space="preserve"> La contribution du comité chargé du respect des dispositions du protocole de Nagoya est résumée dans la section V. La section VI contient la </w:t>
      </w:r>
      <w:r w:rsidR="007B4A0D" w:rsidRPr="005337B0">
        <w:rPr>
          <w:kern w:val="22"/>
          <w:lang w:val="fr-FR" w:bidi="fr-FR"/>
        </w:rPr>
        <w:t>méthodologie proposée pour la deuxième évaluation et le deuxième examen de l’efficacité du protocole de Nagoya.</w:t>
      </w:r>
      <w:r w:rsidR="006E1ED7">
        <w:rPr>
          <w:kern w:val="22"/>
          <w:lang w:val="fr-FR" w:bidi="fr-FR"/>
        </w:rPr>
        <w:t xml:space="preserve"> </w:t>
      </w:r>
      <w:r w:rsidR="00B95B5E" w:rsidRPr="005337B0">
        <w:rPr>
          <w:lang w:val="fr-FR" w:bidi="fr-FR"/>
        </w:rPr>
        <w:t>Enfin, la section VII contient des suggestions de questions à examiner par l’Organe subsidiaire pour la mise en application, y compris un projet de recommandation.</w:t>
      </w:r>
    </w:p>
    <w:p w14:paraId="41552B14" w14:textId="3607DE79" w:rsidR="00667284" w:rsidRPr="005337B0" w:rsidRDefault="00105A92" w:rsidP="00B6543C">
      <w:pPr>
        <w:pStyle w:val="Heading1"/>
        <w:ind w:left="540" w:hanging="540"/>
        <w:rPr>
          <w:lang w:val="en-GB"/>
        </w:rPr>
      </w:pPr>
      <w:r w:rsidRPr="005337B0">
        <w:rPr>
          <w:lang w:val="fr-FR" w:bidi="fr-FR"/>
        </w:rPr>
        <w:t xml:space="preserve">Expériences passées en matière d’évaluation et d’examen dans le cadre </w:t>
      </w:r>
      <w:r w:rsidRPr="005337B0">
        <w:rPr>
          <w:lang w:val="fr-FR" w:bidi="fr-FR"/>
        </w:rPr>
        <w:br/>
        <w:t>des protocoles de Nagoya et de Cartagena, et enseignements tirés</w:t>
      </w:r>
    </w:p>
    <w:p w14:paraId="00CAD632" w14:textId="3BAED2E0" w:rsidR="0052788A" w:rsidRPr="005337B0" w:rsidRDefault="006B6AF5" w:rsidP="00D17C52">
      <w:pPr>
        <w:pStyle w:val="Para10"/>
        <w:numPr>
          <w:ilvl w:val="0"/>
          <w:numId w:val="6"/>
        </w:numPr>
        <w:tabs>
          <w:tab w:val="clear" w:pos="1134"/>
          <w:tab w:val="left" w:pos="1080"/>
        </w:tabs>
        <w:spacing w:before="0"/>
        <w:ind w:left="540"/>
        <w:rPr>
          <w:lang w:val="en-GB"/>
        </w:rPr>
      </w:pPr>
      <w:bookmarkStart w:id="2" w:name="_Hlk143078730"/>
      <w:r w:rsidRPr="005337B0">
        <w:rPr>
          <w:lang w:val="fr-FR" w:bidi="fr-FR"/>
        </w:rPr>
        <w:t xml:space="preserve">Pour aider à la </w:t>
      </w:r>
      <w:r w:rsidRPr="005337B0">
        <w:rPr>
          <w:kern w:val="22"/>
          <w:szCs w:val="22"/>
          <w:lang w:val="fr-FR" w:bidi="fr-FR"/>
        </w:rPr>
        <w:t>préparation</w:t>
      </w:r>
      <w:r w:rsidRPr="005337B0">
        <w:rPr>
          <w:lang w:val="fr-FR" w:bidi="fr-FR"/>
        </w:rPr>
        <w:t xml:space="preserve"> de l’évaluation et de l’examen par la Conférence des Parties siégeant en tant que réunion des Parties au Protocole lors de sa troisième réunion, le Secrétariat a préparé le document </w:t>
      </w:r>
      <w:hyperlink r:id="rId16" w:history="1">
        <w:r w:rsidR="0052788A" w:rsidRPr="005337B0">
          <w:rPr>
            <w:rStyle w:val="Hyperlink"/>
            <w:lang w:val="fr-FR" w:bidi="fr-FR"/>
          </w:rPr>
          <w:t>CBD/NP/</w:t>
        </w:r>
        <w:r w:rsidR="0052788A" w:rsidRPr="005337B0">
          <w:rPr>
            <w:rStyle w:val="Hyperlink"/>
            <w:rFonts w:eastAsiaTheme="minorEastAsia"/>
            <w:kern w:val="22"/>
            <w:lang w:val="fr-FR" w:bidi="fr-FR"/>
            <w14:ligatures w14:val="standardContextual"/>
          </w:rPr>
          <w:t>MOP</w:t>
        </w:r>
        <w:r w:rsidR="0052788A" w:rsidRPr="005337B0">
          <w:rPr>
            <w:rStyle w:val="Hyperlink"/>
            <w:lang w:val="fr-FR" w:bidi="fr-FR"/>
          </w:rPr>
          <w:t>/3/3</w:t>
        </w:r>
      </w:hyperlink>
      <w:r w:rsidRPr="005337B0">
        <w:rPr>
          <w:lang w:val="fr-FR" w:bidi="fr-FR"/>
        </w:rPr>
        <w:t xml:space="preserve">, qui comprend les expériences et les enseignements tirés de l’évaluation et de l’examen au titre du Protocole de Cartagena et identifie les parallèles avec les </w:t>
      </w:r>
      <w:r w:rsidR="008F534F" w:rsidRPr="005337B0">
        <w:rPr>
          <w:kern w:val="22"/>
          <w:lang w:val="fr-FR" w:bidi="fr-FR"/>
        </w:rPr>
        <w:t>enseignements</w:t>
      </w:r>
      <w:r w:rsidRPr="005337B0">
        <w:rPr>
          <w:lang w:val="fr-FR" w:bidi="fr-FR"/>
        </w:rPr>
        <w:t xml:space="preserve"> tirés de la </w:t>
      </w:r>
      <w:r w:rsidR="008F534F" w:rsidRPr="005337B0">
        <w:rPr>
          <w:kern w:val="22"/>
          <w:lang w:val="fr-FR" w:bidi="fr-FR"/>
        </w:rPr>
        <w:t>première</w:t>
      </w:r>
      <w:r w:rsidRPr="005337B0">
        <w:rPr>
          <w:lang w:val="fr-FR" w:bidi="fr-FR"/>
        </w:rPr>
        <w:t xml:space="preserve"> évaluation et du premier examen menés au titre du Protocole de Nagoya.</w:t>
      </w:r>
    </w:p>
    <w:p w14:paraId="6922AE8B" w14:textId="50323182" w:rsidR="002E4D28" w:rsidRPr="005337B0" w:rsidRDefault="0085714D" w:rsidP="00D17C52">
      <w:pPr>
        <w:pStyle w:val="Para10"/>
        <w:numPr>
          <w:ilvl w:val="0"/>
          <w:numId w:val="6"/>
        </w:numPr>
        <w:tabs>
          <w:tab w:val="clear" w:pos="1134"/>
          <w:tab w:val="left" w:pos="1080"/>
        </w:tabs>
        <w:spacing w:before="0"/>
        <w:ind w:left="540"/>
        <w:rPr>
          <w:lang w:val="en-GB"/>
        </w:rPr>
      </w:pPr>
      <w:r w:rsidRPr="005337B0">
        <w:rPr>
          <w:lang w:val="fr-FR" w:bidi="fr-FR"/>
        </w:rPr>
        <w:t xml:space="preserve">Les conclusions et les enseignements tirés de ce document concernant le format d’établissement de rapports, l’analyseur de rapport en ligne et les indicateurs pour mesurer les </w:t>
      </w:r>
      <w:r w:rsidR="00473BD2" w:rsidRPr="005337B0">
        <w:rPr>
          <w:kern w:val="22"/>
          <w:lang w:val="fr-FR" w:bidi="fr-FR"/>
        </w:rPr>
        <w:t xml:space="preserve">progrès </w:t>
      </w:r>
      <w:r w:rsidRPr="005337B0">
        <w:rPr>
          <w:lang w:val="fr-FR" w:bidi="fr-FR"/>
        </w:rPr>
        <w:t xml:space="preserve">ont été incorporés </w:t>
      </w:r>
      <w:r w:rsidRPr="005337B0">
        <w:rPr>
          <w:lang w:val="fr-FR" w:bidi="fr-FR"/>
        </w:rPr>
        <w:lastRenderedPageBreak/>
        <w:t xml:space="preserve">dans le format du premier rapport national adopté </w:t>
      </w:r>
      <w:hyperlink r:id="rId17" w:history="1">
        <w:r w:rsidR="00937C02" w:rsidRPr="005337B0">
          <w:rPr>
            <w:lang w:val="fr-FR" w:bidi="fr-FR"/>
          </w:rPr>
          <w:t xml:space="preserve">dans la </w:t>
        </w:r>
        <w:r w:rsidR="00937C02" w:rsidRPr="005337B0">
          <w:rPr>
            <w:rStyle w:val="Hyperlink"/>
            <w:color w:val="auto"/>
            <w:u w:val="none"/>
            <w:lang w:val="fr-FR" w:bidi="fr-FR"/>
          </w:rPr>
          <w:t xml:space="preserve">décision </w:t>
        </w:r>
        <w:r w:rsidR="00937C02" w:rsidRPr="005337B0">
          <w:rPr>
            <w:rStyle w:val="Hyperlink"/>
            <w:lang w:val="fr-FR" w:bidi="fr-FR"/>
          </w:rPr>
          <w:t>NP-4/3</w:t>
        </w:r>
      </w:hyperlink>
      <w:r w:rsidRPr="005337B0">
        <w:rPr>
          <w:lang w:val="fr-FR" w:bidi="fr-FR"/>
        </w:rPr>
        <w:t>, sur le Centre d’échange sur l’accès et le partage des avantages</w:t>
      </w:r>
      <w:r w:rsidR="00937C02" w:rsidRPr="005337B0">
        <w:rPr>
          <w:rStyle w:val="FootnoteReference"/>
          <w:lang w:val="fr-FR" w:bidi="fr-FR"/>
        </w:rPr>
        <w:footnoteReference w:id="4"/>
      </w:r>
      <w:r w:rsidRPr="005337B0">
        <w:rPr>
          <w:lang w:val="fr-FR" w:bidi="fr-FR"/>
        </w:rPr>
        <w:t xml:space="preserve"> et dans le cadre des indicateurs de l’annexe II de la </w:t>
      </w:r>
      <w:hyperlink r:id="rId18" w:history="1">
        <w:r w:rsidR="00DD0442" w:rsidRPr="005337B0">
          <w:rPr>
            <w:rStyle w:val="Hyperlink"/>
            <w:color w:val="auto"/>
            <w:u w:val="none"/>
            <w:lang w:val="fr-FR" w:bidi="fr-FR"/>
          </w:rPr>
          <w:t xml:space="preserve">décision </w:t>
        </w:r>
        <w:r w:rsidR="00DD0442" w:rsidRPr="005337B0">
          <w:rPr>
            <w:rStyle w:val="Hyperlink"/>
            <w:lang w:val="fr-FR" w:bidi="fr-FR"/>
          </w:rPr>
          <w:t>NP-3/1</w:t>
        </w:r>
      </w:hyperlink>
      <w:r w:rsidRPr="005337B0">
        <w:rPr>
          <w:lang w:val="fr-FR" w:bidi="fr-FR"/>
        </w:rPr>
        <w:t>.</w:t>
      </w:r>
    </w:p>
    <w:p w14:paraId="3731DABE" w14:textId="400EC7DC" w:rsidR="009532DE" w:rsidRPr="005337B0" w:rsidRDefault="004B61D2" w:rsidP="00D17C52">
      <w:pPr>
        <w:pStyle w:val="Para10"/>
        <w:numPr>
          <w:ilvl w:val="0"/>
          <w:numId w:val="6"/>
        </w:numPr>
        <w:tabs>
          <w:tab w:val="clear" w:pos="1134"/>
          <w:tab w:val="left" w:pos="1080"/>
        </w:tabs>
        <w:spacing w:before="0"/>
        <w:ind w:left="540"/>
        <w:rPr>
          <w:lang w:val="en-GB"/>
        </w:rPr>
      </w:pPr>
      <w:r w:rsidRPr="005337B0">
        <w:rPr>
          <w:kern w:val="22"/>
          <w:szCs w:val="22"/>
          <w:lang w:val="fr-FR" w:bidi="fr-FR"/>
        </w:rPr>
        <w:t>Le document</w:t>
      </w:r>
      <w:r w:rsidRPr="005337B0">
        <w:rPr>
          <w:lang w:val="fr-FR" w:bidi="fr-FR"/>
        </w:rPr>
        <w:t xml:space="preserve"> CBD/NP/MOP/3/3 comprenait également des réflexions sur la nécessité de soumettre les rapports nationaux en temps voulu, ainsi que des informations complètes et </w:t>
      </w:r>
      <w:r w:rsidR="009532DE" w:rsidRPr="005337B0">
        <w:rPr>
          <w:kern w:val="22"/>
          <w:lang w:val="fr-FR" w:bidi="fr-FR"/>
        </w:rPr>
        <w:t>précises</w:t>
      </w:r>
      <w:r w:rsidRPr="005337B0">
        <w:rPr>
          <w:lang w:val="fr-FR" w:bidi="fr-FR"/>
        </w:rPr>
        <w:t xml:space="preserve"> sur le Centre d’échange sur l’accès et le partage des avantages, étant donné le délai très court pour la collecte et l’analyse des informations pour l’évaluation et l’examen. Les retards dans la réception des rapports nationaux peuvent avoir un impact significatif sur les résultats de l’analyse. </w:t>
      </w:r>
    </w:p>
    <w:p w14:paraId="3CAB1548" w14:textId="12161785" w:rsidR="00303B94" w:rsidRPr="005337B0" w:rsidRDefault="00EF18DD" w:rsidP="00D17C52">
      <w:pPr>
        <w:pStyle w:val="Para10"/>
        <w:numPr>
          <w:ilvl w:val="0"/>
          <w:numId w:val="6"/>
        </w:numPr>
        <w:tabs>
          <w:tab w:val="clear" w:pos="1134"/>
          <w:tab w:val="left" w:pos="1080"/>
        </w:tabs>
        <w:spacing w:before="0"/>
        <w:ind w:left="540"/>
        <w:rPr>
          <w:lang w:val="en-GB"/>
        </w:rPr>
      </w:pPr>
      <w:r w:rsidRPr="005337B0">
        <w:rPr>
          <w:lang w:val="fr-FR" w:bidi="fr-FR"/>
        </w:rPr>
        <w:t xml:space="preserve">À cet </w:t>
      </w:r>
      <w:r w:rsidR="00F6691C" w:rsidRPr="005337B0">
        <w:rPr>
          <w:kern w:val="22"/>
          <w:szCs w:val="22"/>
          <w:lang w:val="fr-FR" w:bidi="fr-FR"/>
        </w:rPr>
        <w:t>égard</w:t>
      </w:r>
      <w:r w:rsidRPr="005337B0">
        <w:rPr>
          <w:lang w:val="fr-FR" w:bidi="fr-FR"/>
        </w:rPr>
        <w:t>, il convient de noter l’expérience récente concernant les retards dans l’accès au financement pour soutenir la préparation des quatrièmes rapports nationaux dans le cadre du protocole de Cartagena sur la prévention des risques biotechnologiques. Le Comité chargé du respect des dispositions du Protocole de Cartagena a examiné la question lors de sa dix-septième réunion et a noté que l’approche consistant à recueillir autant de lettres d’engagement que possible avant de soumettre les projets à l’approbation du Fonds pour l’environnement mondial avait entraîné des retards importants dans l’accès au financement, en particulier pour les parties qui avaient soumis leurs lettres d’engagement en temps voulu. Le Comité a également examiné la disponibilité de financement provenant d’autres sources pour la mise en œuvre du Protocole, y compris pour l’établissement des rapports nationaux, et l’importance de donner la priorité à la prévention des risques biotechnologiques dans les allocations budgétaires nationales.</w:t>
      </w:r>
      <w:r w:rsidR="00974707" w:rsidRPr="005337B0">
        <w:rPr>
          <w:rStyle w:val="FootnoteReference"/>
          <w:lang w:val="fr-FR" w:bidi="fr-FR"/>
        </w:rPr>
        <w:footnoteReference w:id="5"/>
      </w:r>
    </w:p>
    <w:p w14:paraId="21C1679C" w14:textId="5497A68D" w:rsidR="00F80067" w:rsidRPr="005337B0" w:rsidRDefault="005F25BC" w:rsidP="00D17C52">
      <w:pPr>
        <w:pStyle w:val="Para10"/>
        <w:numPr>
          <w:ilvl w:val="0"/>
          <w:numId w:val="6"/>
        </w:numPr>
        <w:tabs>
          <w:tab w:val="clear" w:pos="1134"/>
          <w:tab w:val="left" w:pos="1080"/>
        </w:tabs>
        <w:spacing w:before="0"/>
        <w:ind w:left="540"/>
        <w:rPr>
          <w:lang w:val="en-GB"/>
        </w:rPr>
      </w:pPr>
      <w:r w:rsidRPr="005337B0">
        <w:rPr>
          <w:lang w:val="fr-FR" w:bidi="fr-FR"/>
        </w:rPr>
        <w:t xml:space="preserve">Le </w:t>
      </w:r>
      <w:r w:rsidR="00AB14CA" w:rsidRPr="005337B0">
        <w:rPr>
          <w:kern w:val="22"/>
          <w:szCs w:val="22"/>
          <w:lang w:val="fr-FR" w:bidi="fr-FR"/>
        </w:rPr>
        <w:t>Comité</w:t>
      </w:r>
      <w:r w:rsidRPr="005337B0">
        <w:rPr>
          <w:lang w:val="fr-FR" w:bidi="fr-FR"/>
        </w:rPr>
        <w:t xml:space="preserve"> chargé du respect des dispositions a fait des recommandations à cet égard à la Conférence des Parties siégeant en tant que réunion des Parties au Protocole de Cartagena, et celles-ci ont été incorporées dans la décision </w:t>
      </w:r>
      <w:hyperlink r:id="rId19">
        <w:r w:rsidR="00670373" w:rsidRPr="005337B0">
          <w:rPr>
            <w:rStyle w:val="Hyperlink"/>
            <w:lang w:val="fr-FR" w:bidi="fr-FR"/>
          </w:rPr>
          <w:t>CP-10/9</w:t>
        </w:r>
      </w:hyperlink>
      <w:r w:rsidR="00285940" w:rsidRPr="005337B0">
        <w:rPr>
          <w:rStyle w:val="Hyperlink"/>
          <w:lang w:val="fr-FR" w:bidi="fr-FR"/>
        </w:rPr>
        <w:t>,</w:t>
      </w:r>
      <w:r w:rsidRPr="005337B0">
        <w:rPr>
          <w:lang w:val="fr-FR" w:bidi="fr-FR"/>
        </w:rPr>
        <w:t xml:space="preserve"> sur le suivi et l’établissement de rapports. Dans cette décision, la Conférence des Parties siégeant en tant que réunion des Parties au Protocole s’est déclarée préoccupée par le faible nombre de quatrièmes rapports nationaux soumis ( par. 2) et par les retards dans la soumission de propositions de projets au Fonds pour l’environnement mondial afin d’aider les Parties remplissant les conditions requises à préparer leurs quatrièmes rapports nationaux, notant que ce financement n’était pas disponible avant la date limite de soumission des quatrièmes rapports nationaux, ce qui était l’un des facteurs susceptibles d’avoir influé sur le taux de soumission ( par. 3).</w:t>
      </w:r>
    </w:p>
    <w:p w14:paraId="52D1CB99" w14:textId="457508FA" w:rsidR="005C63FE" w:rsidRPr="005337B0" w:rsidRDefault="00BD0069" w:rsidP="00D17C52">
      <w:pPr>
        <w:pStyle w:val="Para10"/>
        <w:numPr>
          <w:ilvl w:val="0"/>
          <w:numId w:val="6"/>
        </w:numPr>
        <w:tabs>
          <w:tab w:val="clear" w:pos="1134"/>
          <w:tab w:val="left" w:pos="1080"/>
        </w:tabs>
        <w:spacing w:before="0"/>
        <w:ind w:left="540"/>
        <w:rPr>
          <w:lang w:val="en-GB"/>
        </w:rPr>
      </w:pPr>
      <w:r w:rsidRPr="005337B0">
        <w:rPr>
          <w:lang w:val="fr-FR" w:bidi="fr-FR"/>
        </w:rPr>
        <w:t>L’utilité d’</w:t>
      </w:r>
      <w:r w:rsidR="00EB7A20" w:rsidRPr="005337B0">
        <w:rPr>
          <w:kern w:val="22"/>
          <w:szCs w:val="22"/>
          <w:lang w:val="fr-FR" w:bidi="fr-FR"/>
        </w:rPr>
        <w:t>avoir</w:t>
      </w:r>
      <w:r w:rsidRPr="005337B0">
        <w:rPr>
          <w:lang w:val="fr-FR" w:bidi="fr-FR"/>
        </w:rPr>
        <w:t xml:space="preserve"> un groupe ou un organe d’experts plus restreint pour examiner plus en détail l’analyse préparée par le Secrétariat et fournir des informations à un organe décisionnel plus important, tel que l’Organe subsidiaire pour la mise en application ou la Conférence des Parties siégeant en tant que réunion des Parties au Protocole, a également été soulignée dans le document CBD/NP/MOP/3/3. Pour mémoire, dans le cadre du Protocole de Cartagena, un groupe d’experts ad hoc a été créé à l’origine avec cet objectif, tandis que, pour l’évaluation et l’examen les plus récents, le Comité chargé du respect des dispositions et le Groupe de liaison sur le protocole de Cartagena ont joué ce rôle.</w:t>
      </w:r>
    </w:p>
    <w:p w14:paraId="57F05A5B" w14:textId="6E0DCA3A" w:rsidR="00D96671" w:rsidRPr="005337B0" w:rsidRDefault="005D08B9" w:rsidP="0035247F">
      <w:pPr>
        <w:pStyle w:val="Heading1"/>
        <w:ind w:left="540" w:hanging="540"/>
        <w:rPr>
          <w:lang w:val="en-GB"/>
        </w:rPr>
      </w:pPr>
      <w:bookmarkStart w:id="3" w:name="_Hlk163125747"/>
      <w:bookmarkEnd w:id="2"/>
      <w:r w:rsidRPr="005337B0">
        <w:rPr>
          <w:lang w:val="fr-FR" w:bidi="fr-FR"/>
        </w:rPr>
        <w:t xml:space="preserve">Calendrier et étapes importantes du Cadre Mondial pour la biodiversité Kunming-Montréal et </w:t>
      </w:r>
      <w:r w:rsidR="005D4C93">
        <w:rPr>
          <w:lang w:val="fr-FR" w:bidi="fr-FR"/>
        </w:rPr>
        <w:t xml:space="preserve">des </w:t>
      </w:r>
      <w:r w:rsidRPr="005337B0">
        <w:rPr>
          <w:lang w:val="fr-FR" w:bidi="fr-FR"/>
        </w:rPr>
        <w:t xml:space="preserve">rapports nationaux </w:t>
      </w:r>
    </w:p>
    <w:bookmarkEnd w:id="3"/>
    <w:p w14:paraId="6BE74349" w14:textId="611A0487" w:rsidR="00E31889" w:rsidRPr="005337B0" w:rsidRDefault="00425DEA" w:rsidP="00D17C52">
      <w:pPr>
        <w:pStyle w:val="Para10"/>
        <w:numPr>
          <w:ilvl w:val="0"/>
          <w:numId w:val="6"/>
        </w:numPr>
        <w:tabs>
          <w:tab w:val="clear" w:pos="1134"/>
          <w:tab w:val="left" w:pos="1080"/>
        </w:tabs>
        <w:spacing w:before="0"/>
        <w:ind w:left="540"/>
        <w:rPr>
          <w:lang w:val="en-GB"/>
        </w:rPr>
      </w:pPr>
      <w:r w:rsidRPr="005337B0">
        <w:rPr>
          <w:lang w:val="fr-FR" w:bidi="fr-FR"/>
        </w:rPr>
        <w:t xml:space="preserve">Dans sa </w:t>
      </w:r>
      <w:r w:rsidR="0068168E" w:rsidRPr="005337B0">
        <w:rPr>
          <w:kern w:val="22"/>
          <w:szCs w:val="22"/>
          <w:lang w:val="fr-FR" w:bidi="fr-FR"/>
        </w:rPr>
        <w:t xml:space="preserve">décision </w:t>
      </w:r>
      <w:hyperlink r:id="rId20">
        <w:r w:rsidR="0068168E" w:rsidRPr="005337B0">
          <w:rPr>
            <w:rStyle w:val="Hyperlink"/>
            <w:lang w:val="fr-FR" w:bidi="fr-FR"/>
          </w:rPr>
          <w:t>NP-4/3</w:t>
        </w:r>
      </w:hyperlink>
      <w:r w:rsidRPr="005337B0">
        <w:rPr>
          <w:lang w:val="fr-FR" w:bidi="fr-FR"/>
        </w:rPr>
        <w:t xml:space="preserve">, la Conférence des Parties siégeant en tant que réunion des Parties au Protocole de Nagoya a accueilli favorablement la </w:t>
      </w:r>
      <w:hyperlink r:id="rId21">
        <w:r w:rsidR="00247952" w:rsidRPr="005337B0">
          <w:rPr>
            <w:rStyle w:val="Hyperlink"/>
            <w:color w:val="auto"/>
            <w:u w:val="none"/>
            <w:lang w:val="fr-FR" w:bidi="fr-FR"/>
          </w:rPr>
          <w:t>décision 1</w:t>
        </w:r>
        <w:r w:rsidR="00247952" w:rsidRPr="005337B0">
          <w:rPr>
            <w:rStyle w:val="Hyperlink"/>
            <w:lang w:val="fr-FR" w:bidi="fr-FR"/>
          </w:rPr>
          <w:t>5/6</w:t>
        </w:r>
      </w:hyperlink>
      <w:r w:rsidRPr="005337B0">
        <w:rPr>
          <w:lang w:val="fr-FR" w:bidi="fr-FR"/>
        </w:rPr>
        <w:t xml:space="preserve"> de la Conférence des Parties à la Convention et a convenu de maintenir le cycle synchronisé de présentation des rapports nationaux prévu dans les décisions </w:t>
      </w:r>
      <w:hyperlink r:id="rId22">
        <w:r w:rsidR="00247952" w:rsidRPr="005337B0">
          <w:rPr>
            <w:rStyle w:val="Hyperlink"/>
            <w:lang w:val="fr-FR" w:bidi="fr-FR"/>
          </w:rPr>
          <w:t>14/27</w:t>
        </w:r>
      </w:hyperlink>
      <w:r w:rsidRPr="005337B0">
        <w:rPr>
          <w:lang w:val="fr-FR" w:bidi="fr-FR"/>
        </w:rPr>
        <w:t xml:space="preserve"> et </w:t>
      </w:r>
      <w:hyperlink r:id="rId23">
        <w:r w:rsidR="00247952" w:rsidRPr="005337B0">
          <w:rPr>
            <w:rStyle w:val="Hyperlink"/>
            <w:lang w:val="fr-FR" w:bidi="fr-FR"/>
          </w:rPr>
          <w:t>NP-3/4</w:t>
        </w:r>
      </w:hyperlink>
      <w:r w:rsidRPr="005337B0">
        <w:rPr>
          <w:lang w:val="fr-FR" w:bidi="fr-FR"/>
        </w:rPr>
        <w:t xml:space="preserve"> (par. 1). Dans la décision </w:t>
      </w:r>
      <w:hyperlink r:id="rId24">
        <w:r w:rsidR="007C054D" w:rsidRPr="005337B0">
          <w:rPr>
            <w:rStyle w:val="Hyperlink"/>
            <w:lang w:val="fr-FR" w:bidi="fr-FR"/>
          </w:rPr>
          <w:t>15/6</w:t>
        </w:r>
      </w:hyperlink>
      <w:r w:rsidRPr="005337B0">
        <w:rPr>
          <w:lang w:val="fr-FR" w:bidi="fr-FR"/>
        </w:rPr>
        <w:t xml:space="preserve"> de la Conférence des Parties à la Convention, les Parties ont été priées de soumettre leur septième rapport national avant le 28 février 2026 et leur huitième rapport national avant le 30 juin 2029. Par conséquent, la date limite de soumission du premier rapport national au titre du Protocole de Nagoya est fixée au 28 février 2026 et celle du deuxième rapport national au 30 juin 2029.</w:t>
      </w:r>
    </w:p>
    <w:p w14:paraId="72E41E3C" w14:textId="1E5FD0AB" w:rsidR="000C6468" w:rsidRPr="005337B0" w:rsidRDefault="001C0B11" w:rsidP="00D17C52">
      <w:pPr>
        <w:pStyle w:val="Para10"/>
        <w:numPr>
          <w:ilvl w:val="0"/>
          <w:numId w:val="6"/>
        </w:numPr>
        <w:tabs>
          <w:tab w:val="clear" w:pos="1134"/>
          <w:tab w:val="left" w:pos="1080"/>
        </w:tabs>
        <w:spacing w:before="0"/>
        <w:ind w:left="540"/>
        <w:rPr>
          <w:lang w:val="en-GB"/>
        </w:rPr>
      </w:pPr>
      <w:r w:rsidRPr="005337B0">
        <w:rPr>
          <w:lang w:val="fr-FR" w:bidi="fr-FR"/>
        </w:rPr>
        <w:t xml:space="preserve">Dans sa </w:t>
      </w:r>
      <w:r w:rsidRPr="005337B0">
        <w:rPr>
          <w:kern w:val="22"/>
          <w:szCs w:val="22"/>
          <w:lang w:val="fr-FR" w:bidi="fr-FR"/>
        </w:rPr>
        <w:t>décision</w:t>
      </w:r>
      <w:r w:rsidRPr="005337B0">
        <w:rPr>
          <w:lang w:val="fr-FR" w:bidi="fr-FR"/>
        </w:rPr>
        <w:t xml:space="preserve"> 15/6, la Conférence des Parties à la Convention a également décidé de procéder, à ses dix-septième et dix-neuvième réunions, à un examen global des progrès collectifs accomplis dans </w:t>
      </w:r>
      <w:r w:rsidRPr="005337B0">
        <w:rPr>
          <w:lang w:val="fr-FR" w:bidi="fr-FR"/>
        </w:rPr>
        <w:lastRenderedPageBreak/>
        <w:t xml:space="preserve">la mise en œuvre du Cadre, y compris les moyens de mise en œuvre, sur la base des rapports nationaux et, le cas échéant, d’autres sources d’information (par. 16). </w:t>
      </w:r>
    </w:p>
    <w:p w14:paraId="0113CA10" w14:textId="019A476B" w:rsidR="007318FB" w:rsidRPr="005337B0" w:rsidRDefault="00C90357" w:rsidP="00D17C52">
      <w:pPr>
        <w:pStyle w:val="Para10"/>
        <w:keepNext/>
        <w:tabs>
          <w:tab w:val="clear" w:pos="1134"/>
          <w:tab w:val="left" w:pos="1080"/>
        </w:tabs>
        <w:spacing w:before="0" w:after="0"/>
        <w:ind w:left="539"/>
        <w:rPr>
          <w:lang w:val="en-GB"/>
        </w:rPr>
      </w:pPr>
      <w:r w:rsidRPr="005337B0">
        <w:rPr>
          <w:lang w:val="fr-FR" w:bidi="fr-FR"/>
        </w:rPr>
        <w:t>Tableau 1</w:t>
      </w:r>
    </w:p>
    <w:p w14:paraId="5DED081A" w14:textId="6F6619D1" w:rsidR="00C90357" w:rsidRPr="005337B0" w:rsidRDefault="00811271" w:rsidP="00D17C52">
      <w:pPr>
        <w:pStyle w:val="Para10"/>
        <w:keepNext/>
        <w:tabs>
          <w:tab w:val="clear" w:pos="1134"/>
          <w:tab w:val="left" w:pos="1080"/>
        </w:tabs>
        <w:spacing w:before="0"/>
        <w:ind w:left="539"/>
        <w:jc w:val="left"/>
        <w:rPr>
          <w:b/>
          <w:bCs/>
          <w:lang w:val="en-GB"/>
        </w:rPr>
      </w:pPr>
      <w:r w:rsidRPr="005337B0">
        <w:rPr>
          <w:b/>
          <w:lang w:val="fr-FR" w:bidi="fr-FR"/>
        </w:rPr>
        <w:t xml:space="preserve">Calendrier et étapes pertinents et pour l’établissement de rapports et l’examen </w:t>
      </w:r>
      <w:r w:rsidRPr="005337B0">
        <w:rPr>
          <w:b/>
          <w:lang w:val="fr-FR" w:bidi="fr-FR"/>
        </w:rPr>
        <w:br/>
        <w:t>des progrès accomplis dans le cadre de la Convention et du Protocole de Nagoya</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EE26E1" w:rsidRPr="005337B0" w14:paraId="47B331D8" w14:textId="77777777" w:rsidTr="006D0CCB">
        <w:trPr>
          <w:cantSplit/>
          <w:tblHeader/>
          <w:jc w:val="right"/>
        </w:trPr>
        <w:tc>
          <w:tcPr>
            <w:tcW w:w="1080" w:type="dxa"/>
            <w:shd w:val="clear" w:color="auto" w:fill="FFFFFF" w:themeFill="background1"/>
          </w:tcPr>
          <w:p w14:paraId="0BB56413" w14:textId="3AF94E8D" w:rsidR="00187250" w:rsidRPr="005337B0" w:rsidRDefault="00B2655E" w:rsidP="006D0CCB">
            <w:pPr>
              <w:spacing w:before="40" w:after="40"/>
              <w:ind w:left="72" w:right="43"/>
              <w:jc w:val="left"/>
              <w:rPr>
                <w:rFonts w:eastAsia="Calibri"/>
                <w:i/>
                <w:iCs/>
                <w:sz w:val="20"/>
                <w:szCs w:val="20"/>
              </w:rPr>
            </w:pPr>
            <w:r w:rsidRPr="005337B0">
              <w:rPr>
                <w:rFonts w:eastAsia="Calibri"/>
                <w:i/>
                <w:sz w:val="20"/>
                <w:szCs w:val="20"/>
                <w:lang w:bidi="fr-FR"/>
              </w:rPr>
              <w:t>Calendrier</w:t>
            </w:r>
          </w:p>
        </w:tc>
        <w:tc>
          <w:tcPr>
            <w:tcW w:w="1758" w:type="dxa"/>
            <w:shd w:val="clear" w:color="auto" w:fill="FFFFFF" w:themeFill="background1"/>
            <w:tcMar>
              <w:top w:w="0" w:type="dxa"/>
              <w:left w:w="108" w:type="dxa"/>
              <w:bottom w:w="0" w:type="dxa"/>
              <w:right w:w="108" w:type="dxa"/>
            </w:tcMar>
          </w:tcPr>
          <w:p w14:paraId="6023D779" w14:textId="6400BF3D" w:rsidR="00187250" w:rsidRPr="005337B0" w:rsidRDefault="00187250" w:rsidP="006D0CCB">
            <w:pPr>
              <w:spacing w:before="40" w:after="40"/>
              <w:ind w:left="20" w:right="20"/>
              <w:rPr>
                <w:rFonts w:eastAsia="Calibri"/>
                <w:i/>
                <w:iCs/>
                <w:sz w:val="20"/>
                <w:szCs w:val="20"/>
              </w:rPr>
            </w:pPr>
            <w:r w:rsidRPr="005337B0">
              <w:rPr>
                <w:rFonts w:eastAsia="Calibri"/>
                <w:i/>
                <w:sz w:val="20"/>
                <w:szCs w:val="20"/>
                <w:lang w:bidi="fr-FR"/>
              </w:rPr>
              <w:t>Étapes</w:t>
            </w:r>
          </w:p>
        </w:tc>
        <w:tc>
          <w:tcPr>
            <w:tcW w:w="3323" w:type="dxa"/>
            <w:shd w:val="clear" w:color="auto" w:fill="FFFFFF" w:themeFill="background1"/>
            <w:tcMar>
              <w:top w:w="0" w:type="dxa"/>
              <w:left w:w="108" w:type="dxa"/>
              <w:bottom w:w="0" w:type="dxa"/>
              <w:right w:w="108" w:type="dxa"/>
            </w:tcMar>
            <w:hideMark/>
          </w:tcPr>
          <w:p w14:paraId="5A0E3883" w14:textId="6A464612" w:rsidR="00187250" w:rsidRPr="005337B0" w:rsidRDefault="005229B7" w:rsidP="006D0CCB">
            <w:pPr>
              <w:spacing w:before="40" w:after="40"/>
              <w:ind w:left="72" w:right="144"/>
              <w:jc w:val="left"/>
              <w:rPr>
                <w:rFonts w:eastAsia="Calibri"/>
                <w:i/>
                <w:iCs/>
                <w:sz w:val="20"/>
                <w:szCs w:val="20"/>
              </w:rPr>
            </w:pPr>
            <w:r w:rsidRPr="005337B0">
              <w:rPr>
                <w:rFonts w:eastAsia="Calibri"/>
                <w:i/>
                <w:sz w:val="20"/>
                <w:szCs w:val="20"/>
                <w:lang w:bidi="fr-FR"/>
              </w:rPr>
              <w:t>Pour la Convention</w:t>
            </w:r>
          </w:p>
        </w:tc>
        <w:tc>
          <w:tcPr>
            <w:tcW w:w="2912" w:type="dxa"/>
            <w:shd w:val="clear" w:color="auto" w:fill="FFFFFF" w:themeFill="background1"/>
            <w:tcMar>
              <w:top w:w="0" w:type="dxa"/>
              <w:left w:w="108" w:type="dxa"/>
              <w:bottom w:w="0" w:type="dxa"/>
              <w:right w:w="108" w:type="dxa"/>
            </w:tcMar>
            <w:hideMark/>
          </w:tcPr>
          <w:p w14:paraId="6E9AE795" w14:textId="3B955231" w:rsidR="00187250" w:rsidRPr="005337B0" w:rsidRDefault="005229B7" w:rsidP="006D0CCB">
            <w:pPr>
              <w:spacing w:before="40" w:after="40"/>
              <w:ind w:left="72" w:right="144"/>
              <w:jc w:val="left"/>
              <w:rPr>
                <w:rFonts w:eastAsia="Calibri"/>
                <w:i/>
                <w:iCs/>
                <w:sz w:val="20"/>
                <w:szCs w:val="20"/>
              </w:rPr>
            </w:pPr>
            <w:r w:rsidRPr="005337B0">
              <w:rPr>
                <w:rFonts w:eastAsia="Calibri"/>
                <w:i/>
                <w:sz w:val="20"/>
                <w:szCs w:val="20"/>
                <w:lang w:bidi="fr-FR"/>
              </w:rPr>
              <w:t>Pour le Protocole de Nagoya</w:t>
            </w:r>
          </w:p>
        </w:tc>
      </w:tr>
      <w:tr w:rsidR="00EE26E1" w:rsidRPr="005337B0" w14:paraId="2F7B17E1" w14:textId="77777777" w:rsidTr="006D0CCB">
        <w:trPr>
          <w:cantSplit/>
          <w:jc w:val="right"/>
        </w:trPr>
        <w:tc>
          <w:tcPr>
            <w:tcW w:w="1080" w:type="dxa"/>
            <w:shd w:val="clear" w:color="auto" w:fill="FFFFFF" w:themeFill="background1"/>
          </w:tcPr>
          <w:p w14:paraId="5931FDE6" w14:textId="4BD9044B" w:rsidR="00187250" w:rsidRPr="005337B0" w:rsidRDefault="00DE71A8" w:rsidP="006D0CCB">
            <w:pPr>
              <w:spacing w:before="40" w:after="40"/>
              <w:ind w:left="72" w:right="43"/>
              <w:jc w:val="left"/>
              <w:rPr>
                <w:rFonts w:eastAsia="Calibri"/>
                <w:sz w:val="20"/>
                <w:szCs w:val="20"/>
              </w:rPr>
            </w:pPr>
            <w:r w:rsidRPr="005337B0">
              <w:rPr>
                <w:rFonts w:eastAsia="Calibri"/>
                <w:sz w:val="20"/>
                <w:szCs w:val="20"/>
                <w:lang w:bidi="fr-FR"/>
              </w:rPr>
              <w:t>2022</w:t>
            </w:r>
          </w:p>
        </w:tc>
        <w:tc>
          <w:tcPr>
            <w:tcW w:w="1758" w:type="dxa"/>
            <w:shd w:val="clear" w:color="auto" w:fill="FFFFFF" w:themeFill="background1"/>
            <w:tcMar>
              <w:top w:w="0" w:type="dxa"/>
              <w:left w:w="108" w:type="dxa"/>
              <w:bottom w:w="0" w:type="dxa"/>
              <w:right w:w="108" w:type="dxa"/>
            </w:tcMar>
            <w:hideMark/>
          </w:tcPr>
          <w:p w14:paraId="408C08E8" w14:textId="3EB8F8EA" w:rsidR="00187250" w:rsidRPr="005337B0" w:rsidRDefault="00187250" w:rsidP="006D0CCB">
            <w:pPr>
              <w:spacing w:before="40" w:after="40"/>
              <w:ind w:right="14"/>
              <w:jc w:val="left"/>
              <w:rPr>
                <w:rFonts w:eastAsia="Calibri"/>
                <w:sz w:val="20"/>
                <w:szCs w:val="20"/>
              </w:rPr>
            </w:pPr>
            <w:r w:rsidRPr="005337B0">
              <w:rPr>
                <w:rFonts w:eastAsia="Calibri"/>
                <w:sz w:val="20"/>
                <w:szCs w:val="20"/>
                <w:lang w:bidi="fr-FR"/>
              </w:rPr>
              <w:t>Adoption du format d’établissement de rapports</w:t>
            </w:r>
          </w:p>
        </w:tc>
        <w:tc>
          <w:tcPr>
            <w:tcW w:w="3323" w:type="dxa"/>
            <w:shd w:val="clear" w:color="auto" w:fill="FFFFFF" w:themeFill="background1"/>
            <w:tcMar>
              <w:top w:w="0" w:type="dxa"/>
              <w:left w:w="108" w:type="dxa"/>
              <w:bottom w:w="0" w:type="dxa"/>
              <w:right w:w="108" w:type="dxa"/>
            </w:tcMar>
            <w:hideMark/>
          </w:tcPr>
          <w:p w14:paraId="573E732A" w14:textId="304826D0" w:rsidR="00187250" w:rsidRPr="005337B0" w:rsidRDefault="00B73CF5" w:rsidP="006D0CCB">
            <w:pPr>
              <w:spacing w:before="40" w:after="40"/>
              <w:ind w:left="20" w:right="20"/>
              <w:jc w:val="left"/>
              <w:rPr>
                <w:rFonts w:eastAsia="Calibri"/>
                <w:sz w:val="20"/>
                <w:szCs w:val="20"/>
              </w:rPr>
            </w:pPr>
            <w:r w:rsidRPr="005337B0">
              <w:rPr>
                <w:rFonts w:eastAsia="Calibri"/>
                <w:sz w:val="20"/>
                <w:szCs w:val="20"/>
                <w:lang w:bidi="fr-FR"/>
              </w:rPr>
              <w:t xml:space="preserve">Avant-projet de format (à réviser et à adopter lors de la seizième réunion de la </w:t>
            </w:r>
            <w:r w:rsidR="002F2C30" w:rsidRPr="005337B0">
              <w:rPr>
                <w:kern w:val="22"/>
                <w:sz w:val="20"/>
                <w:szCs w:val="20"/>
                <w:lang w:bidi="fr-FR"/>
              </w:rPr>
              <w:t>Conférence des Parties)</w:t>
            </w:r>
            <w:r w:rsidRPr="005337B0">
              <w:rPr>
                <w:rFonts w:eastAsia="Calibri"/>
                <w:sz w:val="20"/>
                <w:szCs w:val="20"/>
                <w:lang w:bidi="fr-FR"/>
              </w:rPr>
              <w:t xml:space="preserve"> adopté avec la décision 15/6</w:t>
            </w:r>
          </w:p>
        </w:tc>
        <w:tc>
          <w:tcPr>
            <w:tcW w:w="2912" w:type="dxa"/>
            <w:shd w:val="clear" w:color="auto" w:fill="FFFFFF" w:themeFill="background1"/>
            <w:tcMar>
              <w:top w:w="0" w:type="dxa"/>
              <w:left w:w="108" w:type="dxa"/>
              <w:bottom w:w="0" w:type="dxa"/>
              <w:right w:w="108" w:type="dxa"/>
            </w:tcMar>
            <w:hideMark/>
          </w:tcPr>
          <w:p w14:paraId="11D4E5A8" w14:textId="067CACD6" w:rsidR="00187250" w:rsidRPr="005337B0" w:rsidRDefault="0074394F" w:rsidP="006D0CCB">
            <w:pPr>
              <w:spacing w:before="40" w:after="40"/>
              <w:ind w:left="20" w:right="20"/>
              <w:jc w:val="left"/>
              <w:rPr>
                <w:rFonts w:eastAsia="Calibri"/>
                <w:sz w:val="20"/>
                <w:szCs w:val="20"/>
              </w:rPr>
            </w:pPr>
            <w:r w:rsidRPr="005337B0">
              <w:rPr>
                <w:rFonts w:eastAsia="Calibri"/>
                <w:sz w:val="20"/>
                <w:szCs w:val="20"/>
                <w:lang w:bidi="fr-FR"/>
              </w:rPr>
              <w:t xml:space="preserve">La décision 15/6 a été accueillie favorablement et </w:t>
            </w:r>
            <w:r w:rsidRPr="005337B0">
              <w:rPr>
                <w:sz w:val="20"/>
                <w:szCs w:val="20"/>
                <w:lang w:bidi="fr-FR"/>
              </w:rPr>
              <w:t>le cycle synchronisé de présentation des rapports nationaux</w:t>
            </w:r>
            <w:r w:rsidRPr="005337B0">
              <w:rPr>
                <w:rFonts w:eastAsia="Calibri"/>
                <w:sz w:val="20"/>
                <w:szCs w:val="20"/>
                <w:lang w:bidi="fr-FR"/>
              </w:rPr>
              <w:t xml:space="preserve"> a été maintenu dans la décision NP-4/3</w:t>
            </w:r>
          </w:p>
        </w:tc>
      </w:tr>
      <w:tr w:rsidR="00EE26E1" w:rsidRPr="005337B0" w14:paraId="3C806A32" w14:textId="77777777" w:rsidTr="006D0CCB">
        <w:trPr>
          <w:cantSplit/>
          <w:jc w:val="right"/>
        </w:trPr>
        <w:tc>
          <w:tcPr>
            <w:tcW w:w="1080" w:type="dxa"/>
            <w:shd w:val="clear" w:color="auto" w:fill="FFFFFF" w:themeFill="background1"/>
          </w:tcPr>
          <w:p w14:paraId="7B794A5F" w14:textId="6CB7E92F" w:rsidR="00187250" w:rsidRPr="005337B0" w:rsidRDefault="00DE71A8" w:rsidP="006D0CCB">
            <w:pPr>
              <w:spacing w:before="40" w:after="40"/>
              <w:ind w:left="72" w:right="43"/>
              <w:jc w:val="left"/>
              <w:rPr>
                <w:rFonts w:eastAsia="Calibri"/>
                <w:sz w:val="20"/>
                <w:szCs w:val="20"/>
              </w:rPr>
            </w:pPr>
            <w:r w:rsidRPr="005337B0">
              <w:rPr>
                <w:rFonts w:eastAsia="Calibri"/>
                <w:sz w:val="20"/>
                <w:szCs w:val="20"/>
                <w:lang w:bidi="fr-FR"/>
              </w:rPr>
              <w:t>2024</w:t>
            </w:r>
          </w:p>
        </w:tc>
        <w:tc>
          <w:tcPr>
            <w:tcW w:w="1758" w:type="dxa"/>
            <w:shd w:val="clear" w:color="auto" w:fill="FFFFFF" w:themeFill="background1"/>
            <w:tcMar>
              <w:top w:w="0" w:type="dxa"/>
              <w:left w:w="108" w:type="dxa"/>
              <w:bottom w:w="0" w:type="dxa"/>
              <w:right w:w="108" w:type="dxa"/>
            </w:tcMar>
            <w:hideMark/>
          </w:tcPr>
          <w:p w14:paraId="204FCEE8" w14:textId="25DFE7CD" w:rsidR="00187250" w:rsidRPr="005337B0" w:rsidRDefault="00DC713D" w:rsidP="006D0CCB">
            <w:pPr>
              <w:spacing w:before="40" w:after="40"/>
              <w:ind w:right="14"/>
              <w:jc w:val="left"/>
              <w:rPr>
                <w:rFonts w:eastAsia="Calibri"/>
                <w:sz w:val="20"/>
                <w:szCs w:val="20"/>
              </w:rPr>
            </w:pPr>
            <w:r w:rsidRPr="005337B0">
              <w:rPr>
                <w:rFonts w:eastAsia="Calibri"/>
                <w:sz w:val="20"/>
                <w:szCs w:val="20"/>
                <w:lang w:bidi="fr-FR"/>
              </w:rPr>
              <w:t>Adoption de méthodologies pour les évaluations mondiales</w:t>
            </w:r>
          </w:p>
        </w:tc>
        <w:tc>
          <w:tcPr>
            <w:tcW w:w="3323" w:type="dxa"/>
            <w:shd w:val="clear" w:color="auto" w:fill="FFFFFF" w:themeFill="background1"/>
            <w:tcMar>
              <w:top w:w="0" w:type="dxa"/>
              <w:left w:w="108" w:type="dxa"/>
              <w:bottom w:w="0" w:type="dxa"/>
              <w:right w:w="108" w:type="dxa"/>
            </w:tcMar>
            <w:hideMark/>
          </w:tcPr>
          <w:p w14:paraId="30C16EA7" w14:textId="03C8D8A1" w:rsidR="00187250" w:rsidRPr="005337B0" w:rsidRDefault="00246E16" w:rsidP="006D0CCB">
            <w:pPr>
              <w:spacing w:before="40" w:after="40"/>
              <w:ind w:left="20" w:right="20"/>
              <w:jc w:val="left"/>
              <w:rPr>
                <w:rFonts w:eastAsia="Calibri"/>
                <w:sz w:val="20"/>
                <w:szCs w:val="20"/>
              </w:rPr>
            </w:pPr>
            <w:r w:rsidRPr="005337B0">
              <w:rPr>
                <w:rFonts w:eastAsia="Calibri"/>
                <w:sz w:val="20"/>
                <w:szCs w:val="20"/>
                <w:lang w:bidi="fr-FR"/>
              </w:rPr>
              <w:t xml:space="preserve">Bilan mondial des progrès accomplis dans la mise en œuvre du Cadre Mondial pour la biodiversité de Kunming-Montréal </w:t>
            </w:r>
            <w:r w:rsidRPr="005337B0">
              <w:rPr>
                <w:rFonts w:eastAsia="Calibri"/>
                <w:sz w:val="20"/>
                <w:szCs w:val="20"/>
                <w:lang w:bidi="fr-FR"/>
              </w:rPr>
              <w:br/>
              <w:t xml:space="preserve">(seizième réunion de la </w:t>
            </w:r>
            <w:r w:rsidR="006D6069" w:rsidRPr="005337B0">
              <w:rPr>
                <w:kern w:val="22"/>
                <w:sz w:val="20"/>
                <w:szCs w:val="20"/>
                <w:lang w:bidi="fr-FR"/>
              </w:rPr>
              <w:t>Conférence des Parties</w:t>
            </w:r>
            <w:r w:rsidRPr="005337B0">
              <w:rPr>
                <w:rFonts w:eastAsia="Calibri"/>
                <w:sz w:val="20"/>
                <w:szCs w:val="20"/>
                <w:lang w:bidi="fr-FR"/>
              </w:rPr>
              <w:t>)</w:t>
            </w:r>
          </w:p>
        </w:tc>
        <w:tc>
          <w:tcPr>
            <w:tcW w:w="2912" w:type="dxa"/>
            <w:shd w:val="clear" w:color="auto" w:fill="FFFFFF" w:themeFill="background1"/>
            <w:tcMar>
              <w:top w:w="0" w:type="dxa"/>
              <w:left w:w="108" w:type="dxa"/>
              <w:bottom w:w="0" w:type="dxa"/>
              <w:right w:w="108" w:type="dxa"/>
            </w:tcMar>
            <w:hideMark/>
          </w:tcPr>
          <w:p w14:paraId="07BEC461" w14:textId="777B9178" w:rsidR="00187250" w:rsidRPr="005337B0" w:rsidRDefault="002A3946" w:rsidP="006D0CCB">
            <w:pPr>
              <w:spacing w:before="40" w:after="40"/>
              <w:ind w:left="20" w:right="20"/>
              <w:jc w:val="left"/>
              <w:rPr>
                <w:rFonts w:eastAsia="Calibri"/>
                <w:sz w:val="20"/>
                <w:szCs w:val="20"/>
              </w:rPr>
            </w:pPr>
            <w:r w:rsidRPr="005337B0">
              <w:rPr>
                <w:rFonts w:eastAsia="Calibri"/>
                <w:sz w:val="20"/>
                <w:szCs w:val="20"/>
                <w:lang w:bidi="fr-FR"/>
              </w:rPr>
              <w:t xml:space="preserve">Deuxième évaluation et examen du Protocole </w:t>
            </w:r>
            <w:r w:rsidRPr="005337B0">
              <w:rPr>
                <w:rFonts w:eastAsia="Calibri"/>
                <w:sz w:val="20"/>
                <w:szCs w:val="20"/>
                <w:lang w:bidi="fr-FR"/>
              </w:rPr>
              <w:br/>
              <w:t xml:space="preserve">(cinquième réunion de la </w:t>
            </w:r>
            <w:r w:rsidR="00D91A32" w:rsidRPr="005337B0">
              <w:rPr>
                <w:kern w:val="22"/>
                <w:sz w:val="20"/>
                <w:szCs w:val="20"/>
                <w:lang w:bidi="fr-FR"/>
              </w:rPr>
              <w:t>Conférence des Parties siégeant en tant que réunion des Parties au Protocole</w:t>
            </w:r>
            <w:r w:rsidRPr="005337B0">
              <w:rPr>
                <w:rFonts w:eastAsia="Calibri"/>
                <w:sz w:val="20"/>
                <w:szCs w:val="20"/>
                <w:lang w:bidi="fr-FR"/>
              </w:rPr>
              <w:t>)</w:t>
            </w:r>
          </w:p>
        </w:tc>
      </w:tr>
      <w:tr w:rsidR="005D396F" w:rsidRPr="005337B0" w14:paraId="2BABF590" w14:textId="77777777" w:rsidTr="002369B3">
        <w:trPr>
          <w:cantSplit/>
          <w:jc w:val="right"/>
        </w:trPr>
        <w:tc>
          <w:tcPr>
            <w:tcW w:w="1080" w:type="dxa"/>
            <w:shd w:val="clear" w:color="auto" w:fill="FFFFFF" w:themeFill="background1"/>
          </w:tcPr>
          <w:p w14:paraId="6C12F4E8" w14:textId="5D25B0F8" w:rsidR="00417FCA" w:rsidRPr="005337B0" w:rsidRDefault="00417FCA" w:rsidP="006D0CCB">
            <w:pPr>
              <w:spacing w:before="40" w:after="40"/>
              <w:ind w:left="72" w:right="43"/>
              <w:jc w:val="left"/>
              <w:rPr>
                <w:rFonts w:eastAsia="Calibri"/>
                <w:sz w:val="20"/>
                <w:szCs w:val="20"/>
              </w:rPr>
            </w:pPr>
            <w:r w:rsidRPr="005337B0">
              <w:rPr>
                <w:rFonts w:eastAsia="Calibri"/>
                <w:sz w:val="20"/>
                <w:szCs w:val="20"/>
                <w:lang w:bidi="fr-FR"/>
              </w:rPr>
              <w:t>2026</w:t>
            </w:r>
          </w:p>
        </w:tc>
        <w:tc>
          <w:tcPr>
            <w:tcW w:w="1758" w:type="dxa"/>
            <w:shd w:val="clear" w:color="auto" w:fill="FFFFFF" w:themeFill="background1"/>
            <w:tcMar>
              <w:top w:w="0" w:type="dxa"/>
              <w:left w:w="108" w:type="dxa"/>
              <w:bottom w:w="0" w:type="dxa"/>
              <w:right w:w="108" w:type="dxa"/>
            </w:tcMar>
            <w:hideMark/>
          </w:tcPr>
          <w:p w14:paraId="2576D968" w14:textId="635774E3" w:rsidR="00417FCA" w:rsidRPr="005337B0" w:rsidRDefault="00417FCA" w:rsidP="006D0CCB">
            <w:pPr>
              <w:spacing w:before="40" w:after="40"/>
              <w:ind w:right="14"/>
              <w:jc w:val="left"/>
              <w:rPr>
                <w:rFonts w:eastAsia="Calibri"/>
                <w:sz w:val="20"/>
                <w:szCs w:val="20"/>
              </w:rPr>
            </w:pPr>
            <w:r w:rsidRPr="005337B0">
              <w:rPr>
                <w:rFonts w:eastAsia="Calibri"/>
                <w:sz w:val="20"/>
                <w:szCs w:val="20"/>
                <w:lang w:bidi="fr-FR"/>
              </w:rPr>
              <w:t xml:space="preserve">Soumission des rapports nationaux </w:t>
            </w:r>
          </w:p>
        </w:tc>
        <w:tc>
          <w:tcPr>
            <w:tcW w:w="3323" w:type="dxa"/>
            <w:shd w:val="clear" w:color="auto" w:fill="FFFFFF" w:themeFill="background1"/>
            <w:tcMar>
              <w:top w:w="0" w:type="dxa"/>
              <w:left w:w="108" w:type="dxa"/>
              <w:bottom w:w="0" w:type="dxa"/>
              <w:right w:w="108" w:type="dxa"/>
            </w:tcMar>
            <w:hideMark/>
          </w:tcPr>
          <w:p w14:paraId="5B7F2B12" w14:textId="5A889431" w:rsidR="00417FCA" w:rsidRPr="005337B0" w:rsidRDefault="00417FCA" w:rsidP="006D0CCB">
            <w:pPr>
              <w:keepNext/>
              <w:spacing w:before="40" w:after="40"/>
              <w:ind w:left="14" w:right="14"/>
              <w:jc w:val="left"/>
              <w:rPr>
                <w:rFonts w:eastAsia="Calibri"/>
                <w:sz w:val="20"/>
                <w:szCs w:val="20"/>
              </w:rPr>
            </w:pPr>
            <w:r w:rsidRPr="005337B0">
              <w:rPr>
                <w:rFonts w:eastAsia="Calibri"/>
                <w:sz w:val="20"/>
                <w:szCs w:val="20"/>
                <w:lang w:bidi="fr-FR"/>
              </w:rPr>
              <w:t>Septième rapport national au titre de la Convention (date limite : 28 février 2026)</w:t>
            </w:r>
          </w:p>
        </w:tc>
        <w:tc>
          <w:tcPr>
            <w:tcW w:w="2912" w:type="dxa"/>
            <w:shd w:val="clear" w:color="auto" w:fill="FFFFFF" w:themeFill="background1"/>
            <w:tcMar>
              <w:top w:w="0" w:type="dxa"/>
              <w:left w:w="108" w:type="dxa"/>
              <w:bottom w:w="0" w:type="dxa"/>
              <w:right w:w="108" w:type="dxa"/>
            </w:tcMar>
          </w:tcPr>
          <w:p w14:paraId="0C40C400" w14:textId="464FF11D" w:rsidR="00417FCA" w:rsidRPr="005337B0" w:rsidRDefault="00417FCA" w:rsidP="006D0CCB">
            <w:pPr>
              <w:keepNext/>
              <w:spacing w:before="40" w:after="40"/>
              <w:ind w:left="14" w:right="14"/>
              <w:jc w:val="left"/>
              <w:rPr>
                <w:rFonts w:eastAsia="Calibri"/>
                <w:sz w:val="20"/>
                <w:szCs w:val="20"/>
              </w:rPr>
            </w:pPr>
            <w:r w:rsidRPr="005337B0">
              <w:rPr>
                <w:rFonts w:eastAsia="Calibri"/>
                <w:sz w:val="20"/>
                <w:szCs w:val="20"/>
                <w:lang w:bidi="fr-FR"/>
              </w:rPr>
              <w:t>Premier rapport national au titre du Protocole (date limite : 28 février 2026)</w:t>
            </w:r>
          </w:p>
        </w:tc>
      </w:tr>
      <w:tr w:rsidR="005D396F" w:rsidRPr="005337B0" w14:paraId="6C2F688A" w14:textId="77777777" w:rsidTr="002369B3">
        <w:trPr>
          <w:cantSplit/>
          <w:jc w:val="right"/>
        </w:trPr>
        <w:tc>
          <w:tcPr>
            <w:tcW w:w="1080" w:type="dxa"/>
            <w:shd w:val="clear" w:color="auto" w:fill="FFFFFF" w:themeFill="background1"/>
          </w:tcPr>
          <w:p w14:paraId="2044D74A" w14:textId="2A930C5E" w:rsidR="00417FCA" w:rsidRPr="005337B0" w:rsidRDefault="002369B3" w:rsidP="006D0CCB">
            <w:pPr>
              <w:spacing w:before="40" w:after="40"/>
              <w:ind w:left="72" w:right="43"/>
              <w:jc w:val="left"/>
              <w:rPr>
                <w:rFonts w:eastAsia="Calibri"/>
                <w:sz w:val="20"/>
                <w:szCs w:val="20"/>
              </w:rPr>
            </w:pPr>
            <w:r w:rsidRPr="005337B0">
              <w:rPr>
                <w:rFonts w:eastAsia="Calibri"/>
                <w:sz w:val="20"/>
                <w:szCs w:val="20"/>
                <w:lang w:bidi="fr-FR"/>
              </w:rPr>
              <w:t>2026</w:t>
            </w:r>
          </w:p>
        </w:tc>
        <w:tc>
          <w:tcPr>
            <w:tcW w:w="1758" w:type="dxa"/>
            <w:shd w:val="clear" w:color="auto" w:fill="FFFFFF" w:themeFill="background1"/>
            <w:tcMar>
              <w:top w:w="0" w:type="dxa"/>
              <w:left w:w="108" w:type="dxa"/>
              <w:bottom w:w="0" w:type="dxa"/>
              <w:right w:w="108" w:type="dxa"/>
            </w:tcMar>
            <w:hideMark/>
          </w:tcPr>
          <w:p w14:paraId="7EF86CAD" w14:textId="1702D9B2" w:rsidR="00417FCA" w:rsidRPr="005337B0" w:rsidRDefault="00791505" w:rsidP="006D0CCB">
            <w:pPr>
              <w:spacing w:before="40" w:after="40"/>
              <w:ind w:right="14"/>
              <w:jc w:val="left"/>
              <w:rPr>
                <w:rFonts w:eastAsia="Calibri"/>
                <w:sz w:val="20"/>
                <w:szCs w:val="20"/>
              </w:rPr>
            </w:pPr>
            <w:r w:rsidRPr="005337B0">
              <w:rPr>
                <w:rFonts w:eastAsia="Calibri"/>
                <w:sz w:val="20"/>
                <w:szCs w:val="20"/>
                <w:lang w:bidi="fr-FR"/>
              </w:rPr>
              <w:t xml:space="preserve">Les rapports nationaux sont utilisés comme sources d’information dans les processus pour dresser les bilans </w:t>
            </w:r>
          </w:p>
        </w:tc>
        <w:tc>
          <w:tcPr>
            <w:tcW w:w="3323" w:type="dxa"/>
            <w:shd w:val="clear" w:color="auto" w:fill="FFFFFF" w:themeFill="background1"/>
            <w:tcMar>
              <w:top w:w="0" w:type="dxa"/>
              <w:left w:w="108" w:type="dxa"/>
              <w:bottom w:w="0" w:type="dxa"/>
              <w:right w:w="108" w:type="dxa"/>
            </w:tcMar>
            <w:hideMark/>
          </w:tcPr>
          <w:p w14:paraId="1B6E211C" w14:textId="130A8297" w:rsidR="00417FCA" w:rsidRPr="005337B0" w:rsidRDefault="003D6849" w:rsidP="006D0CCB">
            <w:pPr>
              <w:keepNext/>
              <w:spacing w:before="40" w:after="40"/>
              <w:ind w:left="14" w:right="14"/>
              <w:jc w:val="left"/>
              <w:rPr>
                <w:rFonts w:eastAsia="Calibri"/>
                <w:sz w:val="20"/>
                <w:szCs w:val="20"/>
              </w:rPr>
            </w:pPr>
            <w:r w:rsidRPr="005337B0">
              <w:rPr>
                <w:rFonts w:eastAsia="Calibri"/>
                <w:sz w:val="20"/>
                <w:szCs w:val="20"/>
                <w:lang w:bidi="fr-FR"/>
              </w:rPr>
              <w:t xml:space="preserve">Les rapports nationaux alimentent l’examen global des progrès collectifs accomplis dans la mise en œuvre du Cadre </w:t>
            </w:r>
            <w:r w:rsidRPr="005337B0">
              <w:rPr>
                <w:rFonts w:eastAsia="Calibri"/>
                <w:sz w:val="20"/>
                <w:szCs w:val="20"/>
                <w:lang w:bidi="fr-FR"/>
              </w:rPr>
              <w:br/>
              <w:t xml:space="preserve">(dix-septième réunion de la </w:t>
            </w:r>
            <w:r w:rsidR="006D6069" w:rsidRPr="005337B0">
              <w:rPr>
                <w:kern w:val="22"/>
                <w:sz w:val="20"/>
                <w:szCs w:val="20"/>
                <w:lang w:bidi="fr-FR"/>
              </w:rPr>
              <w:t>Conférence des Parties</w:t>
            </w:r>
            <w:r w:rsidRPr="005337B0">
              <w:rPr>
                <w:rFonts w:eastAsia="Calibri"/>
                <w:sz w:val="20"/>
                <w:szCs w:val="20"/>
                <w:lang w:bidi="fr-FR"/>
              </w:rPr>
              <w:t>)</w:t>
            </w:r>
          </w:p>
        </w:tc>
        <w:tc>
          <w:tcPr>
            <w:tcW w:w="2912" w:type="dxa"/>
            <w:shd w:val="clear" w:color="auto" w:fill="FFFFFF" w:themeFill="background1"/>
            <w:tcMar>
              <w:top w:w="0" w:type="dxa"/>
              <w:left w:w="108" w:type="dxa"/>
              <w:bottom w:w="0" w:type="dxa"/>
              <w:right w:w="108" w:type="dxa"/>
            </w:tcMar>
            <w:hideMark/>
          </w:tcPr>
          <w:p w14:paraId="6AF8F72D" w14:textId="324B0421" w:rsidR="00417FCA" w:rsidRPr="005337B0" w:rsidRDefault="007648F0" w:rsidP="006D0CCB">
            <w:pPr>
              <w:keepNext/>
              <w:spacing w:before="40" w:after="40"/>
              <w:ind w:left="14" w:right="14"/>
              <w:jc w:val="left"/>
              <w:rPr>
                <w:rFonts w:eastAsia="Calibri"/>
                <w:sz w:val="20"/>
                <w:szCs w:val="20"/>
              </w:rPr>
            </w:pPr>
            <w:r w:rsidRPr="005337B0">
              <w:rPr>
                <w:rFonts w:eastAsia="Calibri"/>
                <w:sz w:val="20"/>
                <w:szCs w:val="20"/>
                <w:lang w:bidi="fr-FR"/>
              </w:rPr>
              <w:t xml:space="preserve">Les rapports nationaux alimentent la deuxième évaluation et le deuxième examen de l’efficacité du Protocole </w:t>
            </w:r>
            <w:r w:rsidRPr="005337B0">
              <w:rPr>
                <w:rFonts w:eastAsia="Calibri"/>
                <w:sz w:val="20"/>
                <w:szCs w:val="20"/>
                <w:lang w:bidi="fr-FR"/>
              </w:rPr>
              <w:br/>
              <w:t xml:space="preserve">(sixième réunion de la </w:t>
            </w:r>
            <w:r w:rsidR="00D91A32" w:rsidRPr="005337B0">
              <w:rPr>
                <w:kern w:val="22"/>
                <w:sz w:val="20"/>
                <w:szCs w:val="20"/>
                <w:lang w:bidi="fr-FR"/>
              </w:rPr>
              <w:t>Conférence des Parties siégeant en tant que réunion des Parties au Protocole</w:t>
            </w:r>
            <w:r w:rsidRPr="005337B0">
              <w:rPr>
                <w:rFonts w:eastAsia="Calibri"/>
                <w:sz w:val="20"/>
                <w:szCs w:val="20"/>
                <w:lang w:bidi="fr-FR"/>
              </w:rPr>
              <w:t>)</w:t>
            </w:r>
          </w:p>
        </w:tc>
      </w:tr>
      <w:tr w:rsidR="005D396F" w:rsidRPr="005337B0" w14:paraId="4AC896E3" w14:textId="77777777" w:rsidTr="002369B3">
        <w:trPr>
          <w:cantSplit/>
          <w:jc w:val="right"/>
        </w:trPr>
        <w:tc>
          <w:tcPr>
            <w:tcW w:w="1080" w:type="dxa"/>
            <w:shd w:val="clear" w:color="auto" w:fill="FFFFFF" w:themeFill="background1"/>
          </w:tcPr>
          <w:p w14:paraId="257A5001" w14:textId="20A342C7" w:rsidR="00417FCA" w:rsidRPr="005337B0" w:rsidRDefault="002369B3" w:rsidP="006D0CCB">
            <w:pPr>
              <w:spacing w:before="40" w:after="40"/>
              <w:ind w:left="72" w:right="43"/>
              <w:jc w:val="left"/>
              <w:rPr>
                <w:rFonts w:eastAsia="Calibri"/>
                <w:sz w:val="20"/>
                <w:szCs w:val="20"/>
              </w:rPr>
            </w:pPr>
            <w:r w:rsidRPr="005337B0">
              <w:rPr>
                <w:rFonts w:eastAsia="Calibri"/>
                <w:sz w:val="20"/>
                <w:szCs w:val="20"/>
                <w:lang w:bidi="fr-FR"/>
              </w:rPr>
              <w:t>2026</w:t>
            </w:r>
          </w:p>
        </w:tc>
        <w:tc>
          <w:tcPr>
            <w:tcW w:w="1758" w:type="dxa"/>
            <w:shd w:val="clear" w:color="auto" w:fill="FFFFFF" w:themeFill="background1"/>
            <w:tcMar>
              <w:top w:w="0" w:type="dxa"/>
              <w:left w:w="108" w:type="dxa"/>
              <w:bottom w:w="0" w:type="dxa"/>
              <w:right w:w="108" w:type="dxa"/>
            </w:tcMar>
            <w:hideMark/>
          </w:tcPr>
          <w:p w14:paraId="71CA6540" w14:textId="6EB4B46B" w:rsidR="00417FCA" w:rsidRPr="005337B0" w:rsidRDefault="00417FCA" w:rsidP="006D0CCB">
            <w:pPr>
              <w:spacing w:before="40" w:after="40"/>
              <w:ind w:left="20" w:right="20"/>
              <w:jc w:val="left"/>
              <w:rPr>
                <w:rFonts w:eastAsia="Calibri"/>
                <w:sz w:val="20"/>
                <w:szCs w:val="20"/>
              </w:rPr>
            </w:pPr>
            <w:r w:rsidRPr="005337B0">
              <w:rPr>
                <w:rFonts w:eastAsia="Calibri"/>
                <w:sz w:val="20"/>
                <w:szCs w:val="20"/>
                <w:lang w:bidi="fr-FR"/>
              </w:rPr>
              <w:t>Adoption du format d’établissement de rapports</w:t>
            </w:r>
          </w:p>
        </w:tc>
        <w:tc>
          <w:tcPr>
            <w:tcW w:w="3323" w:type="dxa"/>
            <w:shd w:val="clear" w:color="auto" w:fill="FFFFFF" w:themeFill="background1"/>
            <w:tcMar>
              <w:top w:w="0" w:type="dxa"/>
              <w:left w:w="108" w:type="dxa"/>
              <w:bottom w:w="0" w:type="dxa"/>
              <w:right w:w="108" w:type="dxa"/>
            </w:tcMar>
            <w:hideMark/>
          </w:tcPr>
          <w:p w14:paraId="7C9B3079" w14:textId="02EA4394" w:rsidR="00417FCA" w:rsidRPr="005337B0" w:rsidRDefault="006D6069" w:rsidP="006D0CCB">
            <w:pPr>
              <w:spacing w:before="40" w:after="40"/>
              <w:ind w:left="20" w:right="20"/>
              <w:jc w:val="left"/>
              <w:rPr>
                <w:rFonts w:eastAsia="Calibri"/>
                <w:sz w:val="20"/>
                <w:szCs w:val="20"/>
              </w:rPr>
            </w:pPr>
            <w:r w:rsidRPr="005337B0">
              <w:rPr>
                <w:rFonts w:eastAsia="Calibri"/>
                <w:sz w:val="20"/>
                <w:szCs w:val="20"/>
                <w:lang w:bidi="fr-FR"/>
              </w:rPr>
              <w:t xml:space="preserve">Dix-septième réunion de la </w:t>
            </w:r>
            <w:r w:rsidRPr="005337B0">
              <w:rPr>
                <w:kern w:val="22"/>
                <w:sz w:val="20"/>
                <w:szCs w:val="20"/>
                <w:lang w:bidi="fr-FR"/>
              </w:rPr>
              <w:t>Conférence des Parties</w:t>
            </w:r>
          </w:p>
        </w:tc>
        <w:tc>
          <w:tcPr>
            <w:tcW w:w="2912" w:type="dxa"/>
            <w:shd w:val="clear" w:color="auto" w:fill="FFFFFF" w:themeFill="background1"/>
            <w:tcMar>
              <w:top w:w="0" w:type="dxa"/>
              <w:left w:w="108" w:type="dxa"/>
              <w:bottom w:w="0" w:type="dxa"/>
              <w:right w:w="108" w:type="dxa"/>
            </w:tcMar>
            <w:hideMark/>
          </w:tcPr>
          <w:p w14:paraId="689F8545" w14:textId="5ACBE23B" w:rsidR="00417FCA" w:rsidRPr="005337B0" w:rsidRDefault="00D91A32" w:rsidP="006D0CCB">
            <w:pPr>
              <w:spacing w:before="40" w:after="40"/>
              <w:ind w:left="20" w:right="20"/>
              <w:jc w:val="left"/>
              <w:rPr>
                <w:rFonts w:eastAsia="Calibri"/>
                <w:sz w:val="20"/>
                <w:szCs w:val="20"/>
              </w:rPr>
            </w:pPr>
            <w:r w:rsidRPr="005337B0">
              <w:rPr>
                <w:rFonts w:eastAsia="Calibri"/>
                <w:sz w:val="20"/>
                <w:szCs w:val="20"/>
                <w:lang w:bidi="fr-FR"/>
              </w:rPr>
              <w:t xml:space="preserve">Sixième réunion de la </w:t>
            </w:r>
            <w:r w:rsidRPr="005337B0">
              <w:rPr>
                <w:kern w:val="22"/>
                <w:sz w:val="20"/>
                <w:szCs w:val="20"/>
                <w:lang w:bidi="fr-FR"/>
              </w:rPr>
              <w:t>Conférence des Parties siégeant en tant que réunion des Parties au Protocole</w:t>
            </w:r>
          </w:p>
        </w:tc>
      </w:tr>
      <w:tr w:rsidR="00EE26E1" w:rsidRPr="005337B0" w14:paraId="0B36446D" w14:textId="77777777" w:rsidTr="006D0CCB">
        <w:trPr>
          <w:cantSplit/>
          <w:jc w:val="right"/>
        </w:trPr>
        <w:tc>
          <w:tcPr>
            <w:tcW w:w="1080" w:type="dxa"/>
            <w:shd w:val="clear" w:color="auto" w:fill="FFFFFF" w:themeFill="background1"/>
          </w:tcPr>
          <w:p w14:paraId="668FE53D" w14:textId="737817A1" w:rsidR="00187250" w:rsidRPr="005337B0" w:rsidRDefault="00CC181A" w:rsidP="006D0CCB">
            <w:pPr>
              <w:spacing w:before="40" w:after="40"/>
              <w:ind w:left="72" w:right="43"/>
              <w:jc w:val="left"/>
              <w:rPr>
                <w:rFonts w:eastAsia="Calibri"/>
                <w:sz w:val="20"/>
                <w:szCs w:val="20"/>
              </w:rPr>
            </w:pPr>
            <w:r w:rsidRPr="005337B0">
              <w:rPr>
                <w:rFonts w:eastAsia="Calibri"/>
                <w:sz w:val="20"/>
                <w:szCs w:val="20"/>
                <w:lang w:bidi="fr-FR"/>
              </w:rPr>
              <w:t>2028</w:t>
            </w:r>
          </w:p>
        </w:tc>
        <w:tc>
          <w:tcPr>
            <w:tcW w:w="1758" w:type="dxa"/>
            <w:shd w:val="clear" w:color="auto" w:fill="FFFFFF" w:themeFill="background1"/>
            <w:tcMar>
              <w:top w:w="0" w:type="dxa"/>
              <w:left w:w="108" w:type="dxa"/>
              <w:bottom w:w="0" w:type="dxa"/>
              <w:right w:w="108" w:type="dxa"/>
            </w:tcMar>
            <w:hideMark/>
          </w:tcPr>
          <w:p w14:paraId="0C514EBF" w14:textId="14AAFE33" w:rsidR="00187250" w:rsidRPr="005337B0" w:rsidRDefault="00F170EB" w:rsidP="006D0CCB">
            <w:pPr>
              <w:spacing w:before="40" w:after="40"/>
              <w:ind w:left="20" w:right="20"/>
              <w:jc w:val="left"/>
              <w:rPr>
                <w:rFonts w:eastAsia="Calibri"/>
                <w:sz w:val="20"/>
                <w:szCs w:val="20"/>
              </w:rPr>
            </w:pPr>
            <w:r w:rsidRPr="005337B0">
              <w:rPr>
                <w:rFonts w:eastAsia="Calibri"/>
                <w:sz w:val="20"/>
                <w:szCs w:val="20"/>
                <w:lang w:bidi="fr-FR"/>
              </w:rPr>
              <w:t>Adoption de méthodologies pour les évaluations mondiales</w:t>
            </w:r>
          </w:p>
        </w:tc>
        <w:tc>
          <w:tcPr>
            <w:tcW w:w="3323" w:type="dxa"/>
            <w:shd w:val="clear" w:color="auto" w:fill="FFFFFF" w:themeFill="background1"/>
            <w:tcMar>
              <w:top w:w="0" w:type="dxa"/>
              <w:left w:w="108" w:type="dxa"/>
              <w:bottom w:w="0" w:type="dxa"/>
              <w:right w:w="108" w:type="dxa"/>
            </w:tcMar>
            <w:hideMark/>
          </w:tcPr>
          <w:p w14:paraId="2646A56B" w14:textId="45ABDC01" w:rsidR="00187250" w:rsidRPr="005337B0" w:rsidRDefault="00DC6E26" w:rsidP="006D0CCB">
            <w:pPr>
              <w:spacing w:before="40" w:after="40"/>
              <w:ind w:left="20" w:right="20"/>
              <w:jc w:val="left"/>
              <w:rPr>
                <w:rFonts w:eastAsia="Calibri"/>
                <w:sz w:val="20"/>
                <w:szCs w:val="20"/>
              </w:rPr>
            </w:pPr>
            <w:r w:rsidRPr="005337B0">
              <w:rPr>
                <w:rFonts w:eastAsia="Calibri"/>
                <w:sz w:val="20"/>
                <w:szCs w:val="20"/>
                <w:lang w:bidi="fr-FR"/>
              </w:rPr>
              <w:t xml:space="preserve">Bilan mondial des progrès accomplis dans la mise en œuvre du Cadre </w:t>
            </w:r>
            <w:r w:rsidRPr="005337B0">
              <w:rPr>
                <w:rFonts w:eastAsia="Calibri"/>
                <w:sz w:val="20"/>
                <w:szCs w:val="20"/>
                <w:lang w:bidi="fr-FR"/>
              </w:rPr>
              <w:br/>
              <w:t xml:space="preserve">(dix-huitième réunion de la </w:t>
            </w:r>
            <w:r w:rsidR="006D6069" w:rsidRPr="005337B0">
              <w:rPr>
                <w:kern w:val="22"/>
                <w:sz w:val="20"/>
                <w:szCs w:val="20"/>
                <w:lang w:bidi="fr-FR"/>
              </w:rPr>
              <w:t>Conférence des Parties</w:t>
            </w:r>
            <w:r w:rsidRPr="005337B0">
              <w:rPr>
                <w:rFonts w:eastAsia="Calibri"/>
                <w:sz w:val="20"/>
                <w:szCs w:val="20"/>
                <w:lang w:bidi="fr-FR"/>
              </w:rPr>
              <w:t>)</w:t>
            </w:r>
          </w:p>
        </w:tc>
        <w:tc>
          <w:tcPr>
            <w:tcW w:w="2912" w:type="dxa"/>
            <w:shd w:val="clear" w:color="auto" w:fill="FFFFFF" w:themeFill="background1"/>
            <w:tcMar>
              <w:top w:w="0" w:type="dxa"/>
              <w:left w:w="108" w:type="dxa"/>
              <w:bottom w:w="0" w:type="dxa"/>
              <w:right w:w="108" w:type="dxa"/>
            </w:tcMar>
            <w:hideMark/>
          </w:tcPr>
          <w:p w14:paraId="7F44BDE7" w14:textId="01EDB4ED" w:rsidR="00187250" w:rsidRPr="005337B0" w:rsidRDefault="009910E9" w:rsidP="006D0CCB">
            <w:pPr>
              <w:spacing w:before="40" w:after="40"/>
              <w:ind w:left="20" w:right="20"/>
              <w:jc w:val="left"/>
              <w:rPr>
                <w:rFonts w:eastAsia="Calibri"/>
                <w:sz w:val="20"/>
                <w:szCs w:val="20"/>
              </w:rPr>
            </w:pPr>
            <w:r w:rsidRPr="005337B0">
              <w:rPr>
                <w:rFonts w:eastAsia="Calibri"/>
                <w:sz w:val="20"/>
                <w:szCs w:val="20"/>
                <w:lang w:bidi="fr-FR"/>
              </w:rPr>
              <w:t xml:space="preserve">Troisième évaluation et examen du Protocole </w:t>
            </w:r>
            <w:r w:rsidRPr="005337B0">
              <w:rPr>
                <w:rFonts w:eastAsia="Calibri"/>
                <w:sz w:val="20"/>
                <w:szCs w:val="20"/>
                <w:lang w:bidi="fr-FR"/>
              </w:rPr>
              <w:br/>
              <w:t xml:space="preserve">(septième réunion de la </w:t>
            </w:r>
            <w:r w:rsidR="00D91A32" w:rsidRPr="005337B0">
              <w:rPr>
                <w:kern w:val="22"/>
                <w:sz w:val="20"/>
                <w:szCs w:val="20"/>
                <w:lang w:bidi="fr-FR"/>
              </w:rPr>
              <w:t>Conférence des Parties siégeant en tant que réunion des Parties au Protocole</w:t>
            </w:r>
            <w:r w:rsidRPr="005337B0">
              <w:rPr>
                <w:rFonts w:eastAsia="Calibri"/>
                <w:sz w:val="20"/>
                <w:szCs w:val="20"/>
                <w:lang w:bidi="fr-FR"/>
              </w:rPr>
              <w:t>)</w:t>
            </w:r>
          </w:p>
        </w:tc>
      </w:tr>
      <w:tr w:rsidR="00EE26E1" w:rsidRPr="005337B0" w14:paraId="0E4FDEEE" w14:textId="77777777" w:rsidTr="006D0CCB">
        <w:trPr>
          <w:cantSplit/>
          <w:jc w:val="right"/>
        </w:trPr>
        <w:tc>
          <w:tcPr>
            <w:tcW w:w="1080" w:type="dxa"/>
            <w:shd w:val="clear" w:color="auto" w:fill="FFFFFF" w:themeFill="background1"/>
          </w:tcPr>
          <w:p w14:paraId="62EFC8BD" w14:textId="51C85D14" w:rsidR="00187250" w:rsidRPr="005337B0" w:rsidRDefault="00893F62" w:rsidP="006D0CCB">
            <w:pPr>
              <w:spacing w:before="40" w:after="40"/>
              <w:ind w:left="72" w:right="43"/>
              <w:jc w:val="left"/>
              <w:rPr>
                <w:rFonts w:eastAsia="Calibri"/>
                <w:sz w:val="20"/>
                <w:szCs w:val="20"/>
              </w:rPr>
            </w:pPr>
            <w:r w:rsidRPr="005337B0">
              <w:rPr>
                <w:rFonts w:eastAsia="Calibri"/>
                <w:sz w:val="20"/>
                <w:szCs w:val="20"/>
                <w:lang w:bidi="fr-FR"/>
              </w:rPr>
              <w:t>2029</w:t>
            </w:r>
          </w:p>
        </w:tc>
        <w:tc>
          <w:tcPr>
            <w:tcW w:w="1758" w:type="dxa"/>
            <w:shd w:val="clear" w:color="auto" w:fill="FFFFFF" w:themeFill="background1"/>
            <w:tcMar>
              <w:top w:w="0" w:type="dxa"/>
              <w:left w:w="108" w:type="dxa"/>
              <w:bottom w:w="0" w:type="dxa"/>
              <w:right w:w="108" w:type="dxa"/>
            </w:tcMar>
            <w:hideMark/>
          </w:tcPr>
          <w:p w14:paraId="3BEBC6AA" w14:textId="72D75BA3" w:rsidR="00187250" w:rsidRPr="005337B0" w:rsidRDefault="00187250" w:rsidP="006D0CCB">
            <w:pPr>
              <w:spacing w:before="40" w:after="40"/>
              <w:ind w:left="20" w:right="20"/>
              <w:jc w:val="left"/>
              <w:rPr>
                <w:rFonts w:eastAsia="Calibri"/>
                <w:sz w:val="20"/>
                <w:szCs w:val="20"/>
              </w:rPr>
            </w:pPr>
            <w:r w:rsidRPr="005337B0">
              <w:rPr>
                <w:rFonts w:eastAsia="Calibri"/>
                <w:sz w:val="20"/>
                <w:szCs w:val="20"/>
                <w:lang w:bidi="fr-FR"/>
              </w:rPr>
              <w:t xml:space="preserve">Soumission des rapports nationaux </w:t>
            </w:r>
          </w:p>
        </w:tc>
        <w:tc>
          <w:tcPr>
            <w:tcW w:w="3323" w:type="dxa"/>
            <w:shd w:val="clear" w:color="auto" w:fill="FFFFFF" w:themeFill="background1"/>
            <w:tcMar>
              <w:top w:w="0" w:type="dxa"/>
              <w:left w:w="108" w:type="dxa"/>
              <w:bottom w:w="0" w:type="dxa"/>
              <w:right w:w="108" w:type="dxa"/>
            </w:tcMar>
            <w:hideMark/>
          </w:tcPr>
          <w:p w14:paraId="5F314305" w14:textId="1742A697" w:rsidR="00187250" w:rsidRPr="005337B0" w:rsidRDefault="00187250" w:rsidP="006D0CCB">
            <w:pPr>
              <w:spacing w:before="40" w:after="40"/>
              <w:ind w:left="20" w:right="20"/>
              <w:jc w:val="left"/>
              <w:rPr>
                <w:rFonts w:eastAsia="Calibri"/>
                <w:sz w:val="20"/>
                <w:szCs w:val="20"/>
              </w:rPr>
            </w:pPr>
            <w:r w:rsidRPr="005337B0">
              <w:rPr>
                <w:rFonts w:eastAsia="Calibri"/>
                <w:sz w:val="20"/>
                <w:szCs w:val="20"/>
                <w:lang w:bidi="fr-FR"/>
              </w:rPr>
              <w:t>Huitième rapport national au titre de la Convention (date limite : 30 juin 2029)</w:t>
            </w:r>
          </w:p>
        </w:tc>
        <w:tc>
          <w:tcPr>
            <w:tcW w:w="2912" w:type="dxa"/>
            <w:shd w:val="clear" w:color="auto" w:fill="FFFFFF" w:themeFill="background1"/>
            <w:tcMar>
              <w:top w:w="0" w:type="dxa"/>
              <w:left w:w="108" w:type="dxa"/>
              <w:bottom w:w="0" w:type="dxa"/>
              <w:right w:w="108" w:type="dxa"/>
            </w:tcMar>
            <w:hideMark/>
          </w:tcPr>
          <w:p w14:paraId="7FE4F9CB" w14:textId="1FD0DBA9" w:rsidR="00187250" w:rsidRPr="005337B0" w:rsidRDefault="00187250" w:rsidP="006D0CCB">
            <w:pPr>
              <w:spacing w:before="40" w:after="40"/>
              <w:ind w:left="20" w:right="20"/>
              <w:jc w:val="left"/>
              <w:rPr>
                <w:rFonts w:eastAsia="Calibri"/>
                <w:sz w:val="20"/>
                <w:szCs w:val="20"/>
              </w:rPr>
            </w:pPr>
            <w:r w:rsidRPr="005337B0">
              <w:rPr>
                <w:rFonts w:eastAsia="Calibri"/>
                <w:sz w:val="20"/>
                <w:szCs w:val="20"/>
                <w:lang w:bidi="fr-FR"/>
              </w:rPr>
              <w:t>Deuxième rapport national au titre du Protocole (date limite : 30 juin 2029)</w:t>
            </w:r>
          </w:p>
        </w:tc>
      </w:tr>
      <w:tr w:rsidR="00EE26E1" w:rsidRPr="005337B0" w14:paraId="1FF60333" w14:textId="77777777" w:rsidTr="006D0CCB">
        <w:trPr>
          <w:cantSplit/>
          <w:jc w:val="right"/>
        </w:trPr>
        <w:tc>
          <w:tcPr>
            <w:tcW w:w="1080" w:type="dxa"/>
            <w:shd w:val="clear" w:color="auto" w:fill="FFFFFF" w:themeFill="background1"/>
          </w:tcPr>
          <w:p w14:paraId="348F4076" w14:textId="77107F5E" w:rsidR="00187250" w:rsidRPr="005337B0" w:rsidRDefault="00893F62" w:rsidP="006D0CCB">
            <w:pPr>
              <w:spacing w:before="40" w:after="40"/>
              <w:ind w:left="72" w:right="43"/>
              <w:jc w:val="left"/>
              <w:rPr>
                <w:rFonts w:eastAsia="Calibri"/>
                <w:sz w:val="20"/>
                <w:szCs w:val="20"/>
              </w:rPr>
            </w:pPr>
            <w:r w:rsidRPr="005337B0">
              <w:rPr>
                <w:rFonts w:eastAsia="Calibri"/>
                <w:sz w:val="20"/>
                <w:szCs w:val="20"/>
                <w:lang w:bidi="fr-FR"/>
              </w:rPr>
              <w:t>2030</w:t>
            </w:r>
          </w:p>
        </w:tc>
        <w:tc>
          <w:tcPr>
            <w:tcW w:w="1758" w:type="dxa"/>
            <w:shd w:val="clear" w:color="auto" w:fill="FFFFFF" w:themeFill="background1"/>
            <w:tcMar>
              <w:top w:w="0" w:type="dxa"/>
              <w:left w:w="108" w:type="dxa"/>
              <w:bottom w:w="0" w:type="dxa"/>
              <w:right w:w="108" w:type="dxa"/>
            </w:tcMar>
            <w:hideMark/>
          </w:tcPr>
          <w:p w14:paraId="2927FF71" w14:textId="7AFCFE41" w:rsidR="00187250" w:rsidRPr="005337B0" w:rsidRDefault="003F2777" w:rsidP="006D0CCB">
            <w:pPr>
              <w:spacing w:before="40" w:after="40"/>
              <w:ind w:left="7" w:right="7"/>
              <w:jc w:val="left"/>
              <w:rPr>
                <w:rFonts w:eastAsia="Calibri"/>
                <w:sz w:val="20"/>
                <w:szCs w:val="20"/>
              </w:rPr>
            </w:pPr>
            <w:r w:rsidRPr="005337B0">
              <w:rPr>
                <w:rFonts w:eastAsia="Calibri"/>
                <w:sz w:val="20"/>
                <w:szCs w:val="20"/>
                <w:lang w:bidi="fr-FR"/>
              </w:rPr>
              <w:t xml:space="preserve">Les rapports nationaux sont utilisés comme sources d’information dans les processus pour dresser les bilans </w:t>
            </w:r>
          </w:p>
        </w:tc>
        <w:tc>
          <w:tcPr>
            <w:tcW w:w="3323" w:type="dxa"/>
            <w:shd w:val="clear" w:color="auto" w:fill="FFFFFF" w:themeFill="background1"/>
            <w:tcMar>
              <w:top w:w="0" w:type="dxa"/>
              <w:left w:w="108" w:type="dxa"/>
              <w:bottom w:w="0" w:type="dxa"/>
              <w:right w:w="108" w:type="dxa"/>
            </w:tcMar>
            <w:hideMark/>
          </w:tcPr>
          <w:p w14:paraId="7E7F679E" w14:textId="207DD769" w:rsidR="00187250" w:rsidRPr="005337B0" w:rsidRDefault="003D6849" w:rsidP="006D0CCB">
            <w:pPr>
              <w:spacing w:before="40" w:after="40"/>
              <w:ind w:left="20" w:right="20"/>
              <w:jc w:val="left"/>
              <w:rPr>
                <w:rFonts w:eastAsia="Calibri"/>
                <w:sz w:val="20"/>
                <w:szCs w:val="20"/>
              </w:rPr>
            </w:pPr>
            <w:r w:rsidRPr="005337B0">
              <w:rPr>
                <w:rFonts w:eastAsia="Calibri"/>
                <w:sz w:val="20"/>
                <w:szCs w:val="20"/>
                <w:lang w:bidi="fr-FR"/>
              </w:rPr>
              <w:t xml:space="preserve">Les rapports nationaux alimentent l’examen global des progrès collectifs accomplis dans la mise en œuvre du Cadre </w:t>
            </w:r>
            <w:r w:rsidRPr="005337B0">
              <w:rPr>
                <w:rFonts w:eastAsia="Calibri"/>
                <w:sz w:val="20"/>
                <w:szCs w:val="20"/>
                <w:lang w:bidi="fr-FR"/>
              </w:rPr>
              <w:br/>
              <w:t xml:space="preserve">(dix-neuvième réunion de la </w:t>
            </w:r>
            <w:r w:rsidR="006D6069" w:rsidRPr="005337B0">
              <w:rPr>
                <w:kern w:val="22"/>
                <w:sz w:val="20"/>
                <w:szCs w:val="20"/>
                <w:lang w:bidi="fr-FR"/>
              </w:rPr>
              <w:t>Conférence des Parties</w:t>
            </w:r>
            <w:r w:rsidRPr="005337B0">
              <w:rPr>
                <w:rFonts w:eastAsia="Calibri"/>
                <w:sz w:val="20"/>
                <w:szCs w:val="20"/>
                <w:lang w:bidi="fr-FR"/>
              </w:rPr>
              <w:t>)</w:t>
            </w:r>
          </w:p>
        </w:tc>
        <w:tc>
          <w:tcPr>
            <w:tcW w:w="2912" w:type="dxa"/>
            <w:shd w:val="clear" w:color="auto" w:fill="FFFFFF" w:themeFill="background1"/>
            <w:tcMar>
              <w:top w:w="0" w:type="dxa"/>
              <w:left w:w="108" w:type="dxa"/>
              <w:bottom w:w="0" w:type="dxa"/>
              <w:right w:w="108" w:type="dxa"/>
            </w:tcMar>
            <w:hideMark/>
          </w:tcPr>
          <w:p w14:paraId="78B702DE" w14:textId="350E2045" w:rsidR="00187250" w:rsidRPr="005337B0" w:rsidRDefault="004C44CC" w:rsidP="006D0CCB">
            <w:pPr>
              <w:spacing w:before="40" w:after="40"/>
              <w:ind w:left="20" w:right="20"/>
              <w:jc w:val="left"/>
              <w:rPr>
                <w:rFonts w:eastAsia="Calibri"/>
                <w:sz w:val="20"/>
                <w:szCs w:val="20"/>
              </w:rPr>
            </w:pPr>
            <w:r w:rsidRPr="005337B0">
              <w:rPr>
                <w:rFonts w:eastAsia="Calibri"/>
                <w:sz w:val="20"/>
                <w:szCs w:val="20"/>
                <w:lang w:bidi="fr-FR"/>
              </w:rPr>
              <w:t xml:space="preserve">Troisième évaluation et examen de l’efficacité du Protocole </w:t>
            </w:r>
            <w:r w:rsidRPr="005337B0">
              <w:rPr>
                <w:rFonts w:eastAsia="Calibri"/>
                <w:sz w:val="20"/>
                <w:szCs w:val="20"/>
                <w:lang w:bidi="fr-FR"/>
              </w:rPr>
              <w:br/>
              <w:t xml:space="preserve">(huitième réunion de la </w:t>
            </w:r>
            <w:r w:rsidR="00D91A32" w:rsidRPr="005337B0">
              <w:rPr>
                <w:kern w:val="22"/>
                <w:sz w:val="20"/>
                <w:szCs w:val="20"/>
                <w:lang w:bidi="fr-FR"/>
              </w:rPr>
              <w:t>Conférence des Parties siégeant en tant que réunion des Parties au Protocole</w:t>
            </w:r>
            <w:r w:rsidRPr="005337B0">
              <w:rPr>
                <w:rFonts w:eastAsia="Calibri"/>
                <w:sz w:val="20"/>
                <w:szCs w:val="20"/>
                <w:lang w:bidi="fr-FR"/>
              </w:rPr>
              <w:t>)</w:t>
            </w:r>
          </w:p>
        </w:tc>
      </w:tr>
    </w:tbl>
    <w:p w14:paraId="33F576D6" w14:textId="16B27B49" w:rsidR="007E7094" w:rsidRPr="005337B0" w:rsidRDefault="00781336"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fr-FR" w:bidi="fr-FR"/>
        </w:rPr>
        <w:t xml:space="preserve">Compte tenu du peu de temps disponible entre la date limite de soumission des </w:t>
      </w:r>
      <w:r w:rsidR="00A93F33" w:rsidRPr="005337B0">
        <w:rPr>
          <w:lang w:val="fr-FR" w:bidi="fr-FR"/>
        </w:rPr>
        <w:t xml:space="preserve">premiers rapports </w:t>
      </w:r>
      <w:r w:rsidRPr="005337B0">
        <w:rPr>
          <w:kern w:val="22"/>
          <w:szCs w:val="22"/>
          <w:lang w:val="fr-FR" w:bidi="fr-FR"/>
        </w:rPr>
        <w:t xml:space="preserve">nationaux et leur analyse en vue de la deuxième évaluation et du deuxième examen, il est peu probable que les rapports soumis après la date limite puissent être pris en compte dans l’analyse. Étant donné que </w:t>
      </w:r>
      <w:r w:rsidRPr="005337B0">
        <w:rPr>
          <w:kern w:val="22"/>
          <w:szCs w:val="22"/>
          <w:lang w:val="fr-FR" w:bidi="fr-FR"/>
        </w:rPr>
        <w:lastRenderedPageBreak/>
        <w:t>l’analyse doit se fonder sur un nombre suffisamment représentatif de Parties pour produire des résultats significatifs, il est essentiel que le financement soit disponible à temps et que le premier rapport national soit soumis dans les délais impartis.</w:t>
      </w:r>
    </w:p>
    <w:p w14:paraId="7BACD2E0" w14:textId="77777777" w:rsidR="00907626" w:rsidRPr="005337B0" w:rsidRDefault="00907626" w:rsidP="00D17C52">
      <w:pPr>
        <w:pStyle w:val="Heading1"/>
        <w:ind w:left="567" w:hanging="567"/>
      </w:pPr>
      <w:r w:rsidRPr="005337B0">
        <w:rPr>
          <w:lang w:val="fr-FR" w:bidi="fr-FR"/>
        </w:rPr>
        <w:t>Contribution du Comité chargé du respect des dispositions à la méthodologie proposée pour la deuxième évaluation et le deuxième examen de l’efficacité du Protocole de Nagoya</w:t>
      </w:r>
    </w:p>
    <w:p w14:paraId="49768F4F" w14:textId="2D0E3B5A"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lang w:val="en-GB"/>
        </w:rPr>
      </w:pPr>
      <w:r w:rsidRPr="005337B0">
        <w:rPr>
          <w:kern w:val="22"/>
          <w:lang w:val="fr-FR" w:bidi="fr-FR"/>
        </w:rPr>
        <w:t>Le Comité chargé du respect des dispositions du Protocole de Nagoya a apporté sa contribution à la première évaluation et au premier examen du Protocole. Dans l’espoir que le Comité pourrait également participer à la deuxième évaluation et au deuxième examen, le Comité a été invité, lors de sa quatrième réunion, tenue en mars 2024, à fournir des contributions sur le projet de méthodologie proposée pour la deuxième évaluation et le deuxième examen</w:t>
      </w:r>
      <w:r w:rsidR="00585B84" w:rsidRPr="005337B0">
        <w:rPr>
          <w:rStyle w:val="FootnoteReference"/>
          <w:kern w:val="22"/>
          <w:lang w:val="fr-FR" w:bidi="fr-FR"/>
        </w:rPr>
        <w:footnoteReference w:id="6"/>
      </w:r>
      <w:r w:rsidRPr="005337B0">
        <w:rPr>
          <w:kern w:val="22"/>
          <w:lang w:val="fr-FR" w:bidi="fr-FR"/>
        </w:rPr>
        <w:t>, afin d’aider à son développement, le cas échéant.</w:t>
      </w:r>
      <w:r w:rsidRPr="005337B0">
        <w:rPr>
          <w:rStyle w:val="FootnoteReference"/>
          <w:color w:val="000000" w:themeColor="text1"/>
          <w:kern w:val="22"/>
          <w:lang w:val="fr-FR" w:bidi="fr-FR"/>
        </w:rPr>
        <w:footnoteReference w:id="7"/>
      </w:r>
      <w:r w:rsidR="00CF1C85" w:rsidRPr="005337B0">
        <w:rPr>
          <w:color w:val="000000" w:themeColor="text1"/>
          <w:kern w:val="22"/>
          <w:lang w:val="fr-FR" w:bidi="fr-FR"/>
        </w:rPr>
        <w:t xml:space="preserve"> </w:t>
      </w:r>
    </w:p>
    <w:p w14:paraId="64649633" w14:textId="583067D3"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fr-FR" w:bidi="fr-FR"/>
        </w:rPr>
        <w:t>Le Comité chargé du respect des dispositions a noté que les procédures et mécanismes d’examen de la conformité prévoyaient, à la section G, que la Conférence des Parties siégeant en tant que réunion des Parties au Protocole devait entreprendre l’examen de l’efficacité des procédures et mécanismes dans le cadre de l’évaluation et de l’examen prévus à l’article 31 du Protocole. Il a reconnu que si l’expérience des procédures et mécanismes de conformité avait été limitée, le fait de reporter l’examen de l’efficacité des procédures et mécanismes d’examen de la conformité jusqu’à la troisième évaluation et au troisième examen signifierait que la question ne serait examinée qu’en 2029, soit quinze ans après l’adoption des procédures et mécanismes. À la lumière de ce qui précède, le Comité a suggéré qu’il pourrait y avoir un examen préliminaire des procédures et mécanismes de conformité dans le cadre de la deuxième évaluation et du deuxième examen, afin d’identifier les domaines devant faire l’objet d’un examen plus approfondi.</w:t>
      </w:r>
    </w:p>
    <w:p w14:paraId="7E9635AF" w14:textId="3CFBECDD"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fr-FR" w:bidi="fr-FR"/>
        </w:rPr>
        <w:t xml:space="preserve">Le Comité chargé du respect des dispositions a noté que le processus de la deuxième évaluation et du deuxième examen comprendrait une enquête ciblée visant à recueillir des informations sur les difficultés liées à la mise en œuvre du Protocole de Nagoya, comme demandé dans la décision </w:t>
      </w:r>
      <w:hyperlink r:id="rId25" w:history="1">
        <w:r w:rsidRPr="005337B0">
          <w:rPr>
            <w:color w:val="000000" w:themeColor="text1"/>
            <w:kern w:val="22"/>
            <w:lang w:val="fr-FR" w:bidi="fr-FR"/>
          </w:rPr>
          <w:t>NP-3/1</w:t>
        </w:r>
      </w:hyperlink>
      <w:r w:rsidRPr="005337B0">
        <w:rPr>
          <w:color w:val="000000" w:themeColor="text1"/>
          <w:kern w:val="22"/>
          <w:lang w:val="fr-FR" w:bidi="fr-FR"/>
        </w:rPr>
        <w:t xml:space="preserve"> A. Il a discuté de la nécessité de disposer d’informations supplémentaires pour brosser un tableau plus détaillé de la mise en œuvre et des difficultés qui s’y rattachent. En conséquence, le Comité a recommandé, en tant que source d’information supplémentaire, que la deuxième évaluation comprenne également une étude exploratoire sur les raisons possibles et les causes profondes sous-jacentes des défis posés à la mise en œuvre et à la conformité effectives, ainsi que sur la meilleure façon de les améliorer.</w:t>
      </w:r>
    </w:p>
    <w:p w14:paraId="63967934" w14:textId="6A7D33CD"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fr-FR" w:bidi="fr-FR"/>
        </w:rPr>
        <w:t>Le Comité chargé du respect des dispositions a accueilli favorablement la suggestion d’étendre le mandat du Comité consultatif informel sur le renforcement des capacités à la fourniture d’avis sur les questions liées à la mise en œuvre du Protocole.</w:t>
      </w:r>
      <w:r w:rsidR="00AB668B" w:rsidRPr="005337B0">
        <w:rPr>
          <w:rStyle w:val="FootnoteReference"/>
          <w:color w:val="000000" w:themeColor="text1"/>
          <w:kern w:val="22"/>
          <w:lang w:val="fr-FR" w:bidi="fr-FR"/>
        </w:rPr>
        <w:footnoteReference w:id="8"/>
      </w:r>
      <w:r w:rsidRPr="005337B0">
        <w:rPr>
          <w:color w:val="000000" w:themeColor="text1"/>
          <w:kern w:val="22"/>
          <w:lang w:val="fr-FR" w:bidi="fr-FR"/>
        </w:rPr>
        <w:t xml:space="preserve"> </w:t>
      </w:r>
    </w:p>
    <w:p w14:paraId="351EEB69" w14:textId="04955A83" w:rsidR="00907626" w:rsidRPr="005337B0" w:rsidRDefault="00907626" w:rsidP="00D17C52">
      <w:pPr>
        <w:pStyle w:val="Para10"/>
        <w:numPr>
          <w:ilvl w:val="0"/>
          <w:numId w:val="6"/>
        </w:numPr>
        <w:tabs>
          <w:tab w:val="clear" w:pos="1134"/>
          <w:tab w:val="left" w:pos="1080"/>
        </w:tabs>
        <w:spacing w:before="0"/>
        <w:ind w:left="540"/>
        <w:rPr>
          <w:kern w:val="22"/>
          <w:szCs w:val="22"/>
          <w:lang w:val="en-GB"/>
        </w:rPr>
      </w:pPr>
      <w:r w:rsidRPr="005337B0">
        <w:rPr>
          <w:color w:val="000000" w:themeColor="text1"/>
          <w:kern w:val="22"/>
          <w:lang w:val="fr-FR" w:bidi="fr-FR"/>
        </w:rPr>
        <w:t xml:space="preserve">En ce qui concerne le calendrier de la deuxième évaluation et du deuxième examen, le Comité chargé du respect des dispositions s’est dit préoccupé par le fait que le Secrétariat ne disposerait que d’un mois après la date limite de soumission des rapports nationaux pour entreprendre l’analyse approfondie requise. Il a réitéré l’importance pour les Parties de soumettre leur rapport à temps et de préférence avant la date limite. </w:t>
      </w:r>
    </w:p>
    <w:p w14:paraId="69579E3E" w14:textId="369F3C0A" w:rsidR="00285A4A" w:rsidRPr="005337B0" w:rsidRDefault="00545644" w:rsidP="00AC3206">
      <w:pPr>
        <w:pStyle w:val="Heading1"/>
        <w:keepNext w:val="0"/>
        <w:keepLines w:val="0"/>
        <w:ind w:left="567" w:hanging="567"/>
        <w:rPr>
          <w:lang w:val="en-GB"/>
        </w:rPr>
      </w:pPr>
      <w:r w:rsidRPr="005337B0">
        <w:rPr>
          <w:lang w:val="fr-FR" w:bidi="fr-FR"/>
        </w:rPr>
        <w:t xml:space="preserve">Méthodologie proposée pour la deuxième évaluation et </w:t>
      </w:r>
      <w:r w:rsidRPr="005337B0">
        <w:rPr>
          <w:lang w:val="fr-FR" w:bidi="fr-FR"/>
        </w:rPr>
        <w:br/>
        <w:t xml:space="preserve">le deuxième examen de l’efficacité du Protocole de Nagoya </w:t>
      </w:r>
    </w:p>
    <w:p w14:paraId="257C4FCC" w14:textId="27DF60D4" w:rsidR="006F18F9" w:rsidRPr="005337B0" w:rsidRDefault="002D052F" w:rsidP="00D17C52">
      <w:pPr>
        <w:pStyle w:val="Para10"/>
        <w:numPr>
          <w:ilvl w:val="0"/>
          <w:numId w:val="6"/>
        </w:numPr>
        <w:tabs>
          <w:tab w:val="clear" w:pos="1134"/>
          <w:tab w:val="left" w:pos="1080"/>
        </w:tabs>
        <w:spacing w:before="0"/>
        <w:ind w:left="540"/>
        <w:rPr>
          <w:color w:val="000000" w:themeColor="text1"/>
          <w:lang w:val="en-GB"/>
        </w:rPr>
      </w:pPr>
      <w:bookmarkStart w:id="4" w:name="_Hlk138245592"/>
      <w:r w:rsidRPr="005337B0">
        <w:rPr>
          <w:color w:val="000000" w:themeColor="text1"/>
          <w:lang w:val="fr-FR" w:bidi="fr-FR"/>
        </w:rPr>
        <w:t xml:space="preserve">Dans la </w:t>
      </w:r>
      <w:r w:rsidRPr="005337B0">
        <w:rPr>
          <w:kern w:val="22"/>
          <w:lang w:val="fr-FR" w:bidi="fr-FR"/>
        </w:rPr>
        <w:t xml:space="preserve">décision NP-3/1 B, la Secrétaire exécutive a été priée de proposer une méthodologie pour mener la deuxième évaluation et le deuxième examen de l’efficacité du Protocole de Nagoya, en tenant </w:t>
      </w:r>
      <w:r w:rsidRPr="005337B0">
        <w:rPr>
          <w:kern w:val="22"/>
          <w:lang w:val="fr-FR" w:bidi="fr-FR"/>
        </w:rPr>
        <w:lastRenderedPageBreak/>
        <w:t xml:space="preserve">compte des résultats et des enseignements tirés du premier processus </w:t>
      </w:r>
      <w:r w:rsidR="00147A50" w:rsidRPr="005337B0">
        <w:rPr>
          <w:lang w:val="fr-FR" w:bidi="fr-FR"/>
        </w:rPr>
        <w:t>d’évaluation et d’examen</w:t>
      </w:r>
      <w:r w:rsidR="006F18F9" w:rsidRPr="005337B0">
        <w:rPr>
          <w:kern w:val="22"/>
          <w:lang w:val="fr-FR" w:bidi="fr-FR"/>
        </w:rPr>
        <w:t>, des expériences tirées de l’évaluation et de l’examen au titre du Protocole de Cartagena et du cadre mondial de la biodiversité pour l’après-2020 (par. 2).</w:t>
      </w:r>
    </w:p>
    <w:p w14:paraId="39DF57B1" w14:textId="6D53C031" w:rsidR="00183C75" w:rsidRPr="005337B0" w:rsidRDefault="00C37435" w:rsidP="00D17C52">
      <w:pPr>
        <w:pStyle w:val="Para10"/>
        <w:numPr>
          <w:ilvl w:val="0"/>
          <w:numId w:val="6"/>
        </w:numPr>
        <w:tabs>
          <w:tab w:val="clear" w:pos="1134"/>
          <w:tab w:val="left" w:pos="1080"/>
        </w:tabs>
        <w:spacing w:before="0"/>
        <w:ind w:left="540"/>
        <w:rPr>
          <w:color w:val="000000" w:themeColor="text1"/>
          <w:lang w:val="en-GB"/>
        </w:rPr>
      </w:pPr>
      <w:r w:rsidRPr="005337B0">
        <w:rPr>
          <w:kern w:val="22"/>
          <w:lang w:val="fr-FR" w:bidi="fr-FR"/>
        </w:rPr>
        <w:t>La présente section contient les éléments et les sources d’information proposés pour la deuxième évaluation et le deuxième examen (section A), un mécanisme proposé pour conseiller la Secrétaire exécutive sur les questions liées à la mise en œuvre (section B) et un aperçu du processus et du calendrier proposés (section C).</w:t>
      </w:r>
    </w:p>
    <w:p w14:paraId="10623330" w14:textId="57306494" w:rsidR="00520AE6" w:rsidRPr="005337B0" w:rsidRDefault="00520AE6" w:rsidP="00D17C52">
      <w:pPr>
        <w:pStyle w:val="Para1"/>
        <w:keepNext/>
        <w:numPr>
          <w:ilvl w:val="0"/>
          <w:numId w:val="0"/>
        </w:numPr>
        <w:tabs>
          <w:tab w:val="left" w:pos="1134"/>
        </w:tabs>
        <w:ind w:left="544" w:hanging="544"/>
        <w:jc w:val="both"/>
        <w:outlineLvl w:val="1"/>
        <w:rPr>
          <w:b/>
          <w:bCs/>
          <w:color w:val="000000" w:themeColor="text1"/>
          <w:lang w:val="en-GB"/>
        </w:rPr>
      </w:pPr>
      <w:r w:rsidRPr="005337B0">
        <w:rPr>
          <w:b/>
          <w:color w:val="000000" w:themeColor="text1"/>
          <w:lang w:val="fr-FR" w:bidi="fr-FR"/>
        </w:rPr>
        <w:t>A.</w:t>
      </w:r>
      <w:r w:rsidRPr="005337B0">
        <w:rPr>
          <w:b/>
          <w:color w:val="000000" w:themeColor="text1"/>
          <w:lang w:val="fr-FR" w:bidi="fr-FR"/>
        </w:rPr>
        <w:tab/>
        <w:t>Éléments et sources d’information proposés</w:t>
      </w:r>
    </w:p>
    <w:p w14:paraId="20504B39" w14:textId="577A5777" w:rsidR="004D0E11" w:rsidRPr="005337B0" w:rsidRDefault="000167A6"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 xml:space="preserve">Aux </w:t>
      </w:r>
      <w:bookmarkStart w:id="5" w:name="_Hlk163191089"/>
      <w:r w:rsidRPr="005337B0">
        <w:rPr>
          <w:kern w:val="22"/>
          <w:szCs w:val="22"/>
          <w:lang w:val="fr-FR" w:bidi="fr-FR"/>
        </w:rPr>
        <w:t xml:space="preserve">paragraphes 16 et 17 de sa </w:t>
      </w:r>
      <w:hyperlink r:id="rId26" w:history="1">
        <w:r w:rsidRPr="005337B0">
          <w:rPr>
            <w:rStyle w:val="Hyperlink"/>
            <w:color w:val="auto"/>
            <w:kern w:val="22"/>
            <w:u w:val="none"/>
            <w:lang w:val="fr-FR" w:bidi="fr-FR"/>
          </w:rPr>
          <w:t>décision</w:t>
        </w:r>
        <w:r w:rsidRPr="005337B0">
          <w:rPr>
            <w:rStyle w:val="Hyperlink"/>
            <w:kern w:val="22"/>
            <w:lang w:val="fr-FR" w:bidi="fr-FR"/>
          </w:rPr>
          <w:t xml:space="preserve"> NP-3/1</w:t>
        </w:r>
      </w:hyperlink>
      <w:r w:rsidR="00887BCA" w:rsidRPr="005337B0">
        <w:rPr>
          <w:rStyle w:val="Hyperlink"/>
          <w:kern w:val="22"/>
          <w:lang w:val="fr-FR" w:bidi="fr-FR"/>
        </w:rPr>
        <w:t> A</w:t>
      </w:r>
      <w:bookmarkEnd w:id="5"/>
      <w:r w:rsidRPr="005337B0">
        <w:rPr>
          <w:kern w:val="22"/>
          <w:lang w:val="fr-FR" w:bidi="fr-FR"/>
        </w:rPr>
        <w:t xml:space="preserve">, la Conférence des Parties siégeant en tant que réunion des Parties au Protocole de Nagoya a décidé d’évaluer tous les éléments pertinents pour la mise en œuvre du Protocole, y compris l’efficacité de l’article 18 et les progrès accomplis en ce qui concerne les articles 10 et 23. </w:t>
      </w:r>
    </w:p>
    <w:p w14:paraId="3885962D" w14:textId="0F516E84" w:rsidR="009315E3" w:rsidRPr="005337B0" w:rsidRDefault="00446216"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La section G des procédures de coopération et des mécanismes institutionnels visant à promouvoir la conformité avec le Protocole</w:t>
      </w:r>
      <w:r w:rsidR="008E5BB6" w:rsidRPr="005337B0">
        <w:rPr>
          <w:rStyle w:val="FootnoteReference"/>
          <w:color w:val="000000" w:themeColor="text1"/>
          <w:kern w:val="22"/>
          <w:lang w:val="fr-FR" w:bidi="fr-FR"/>
        </w:rPr>
        <w:footnoteReference w:id="9"/>
      </w:r>
      <w:r w:rsidR="008E5BB6" w:rsidRPr="005337B0">
        <w:rPr>
          <w:rStyle w:val="FootnoteReference"/>
          <w:color w:val="000000" w:themeColor="text1"/>
          <w:vertAlign w:val="baseline"/>
          <w:lang w:val="fr-FR" w:bidi="fr-FR"/>
        </w:rPr>
        <w:t xml:space="preserve"> </w:t>
      </w:r>
      <w:r w:rsidR="00A77366" w:rsidRPr="005337B0">
        <w:rPr>
          <w:color w:val="000000" w:themeColor="text1"/>
          <w:lang w:val="fr-FR" w:bidi="fr-FR"/>
        </w:rPr>
        <w:t xml:space="preserve">prévoit </w:t>
      </w:r>
      <w:r w:rsidRPr="005337B0">
        <w:rPr>
          <w:kern w:val="22"/>
          <w:lang w:val="fr-FR" w:bidi="fr-FR"/>
        </w:rPr>
        <w:t xml:space="preserve">que la Conférence des Parties siégeant en tant que réunion des Parties au Protocole doit entreprendre l’examen de l’efficacité de ces procédures et mécanismes dans le cadre de l’évaluation et de l’examen prévus à l’article 31 du Protocole, et prendre les mesures appropriées. </w:t>
      </w:r>
    </w:p>
    <w:p w14:paraId="40DD84A8" w14:textId="071D27DA" w:rsidR="00463B07" w:rsidRPr="005337B0" w:rsidRDefault="00D15C4D"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 xml:space="preserve">Au paragraphe 18 a) de la </w:t>
      </w:r>
      <w:hyperlink r:id="rId27" w:history="1">
        <w:r w:rsidR="008E5BB6" w:rsidRPr="005337B0">
          <w:rPr>
            <w:rStyle w:val="Hyperlink"/>
            <w:color w:val="auto"/>
            <w:kern w:val="22"/>
            <w:u w:val="none"/>
            <w:lang w:val="fr-FR" w:bidi="fr-FR"/>
          </w:rPr>
          <w:t xml:space="preserve">décision </w:t>
        </w:r>
        <w:r w:rsidR="008E5BB6" w:rsidRPr="005337B0">
          <w:rPr>
            <w:rStyle w:val="Hyperlink"/>
            <w:kern w:val="22"/>
            <w:lang w:val="fr-FR" w:bidi="fr-FR"/>
          </w:rPr>
          <w:t>NP-3/1</w:t>
        </w:r>
      </w:hyperlink>
      <w:r w:rsidR="003F7BA3" w:rsidRPr="005337B0">
        <w:rPr>
          <w:rStyle w:val="Hyperlink"/>
          <w:kern w:val="22"/>
          <w:lang w:val="fr-FR" w:bidi="fr-FR"/>
        </w:rPr>
        <w:t xml:space="preserve"> A</w:t>
      </w:r>
      <w:r w:rsidRPr="005337B0">
        <w:rPr>
          <w:kern w:val="22"/>
          <w:lang w:val="fr-FR" w:bidi="fr-FR"/>
        </w:rPr>
        <w:t>, la Secrétaire exécutive a été priée de mener une enquête ciblée auprès des correspondants nationaux APA, des autorités nationales compétentes et des utilisateurs et fournisseurs de ressources génétiques et/ou de connaissances traditionnelles associées, sur les difficultés liées à la mise en œuvre du Protocole de Nagoya, afin de disposer d’une source d’information supplémentaire dans les futurs processus d’évaluation et d’examen de l’efficacité du Protocole. Au paragraphe 20 (c), la Secrétaire exécutive a également été priée de demander à tous les types d’utilisateurs du Centre d’échange sur l’accès et le partage des avantages de faire part de leurs commentaires sur sa mise en œuvre et son fonctionnement.</w:t>
      </w:r>
    </w:p>
    <w:bookmarkEnd w:id="4"/>
    <w:p w14:paraId="0AF5B390" w14:textId="398630DC" w:rsidR="004B516A" w:rsidRPr="005337B0" w:rsidRDefault="00EC4C81"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 xml:space="preserve">Les éléments et les sources d’information proposés pour la deuxième évaluation et le deuxième examen figurent dans le tableau de l’annexe de la recommandation proposée. Ce tableau a été mis à jour par rapport à celui utilisé lors de la première évaluation afin d’inclure les demandes susmentionnées émanant des décisions adoptées lors de la troisième réunion de la Conférence des Parties siégeant en tant que réunion des Parties au Protocole de Nagoya et d’autres décisions pertinentes. </w:t>
      </w:r>
      <w:r w:rsidR="00731EFA" w:rsidRPr="005337B0">
        <w:rPr>
          <w:lang w:val="fr-FR" w:bidi="fr-FR"/>
        </w:rPr>
        <w:t xml:space="preserve">Il tient également compte de la contribution du Comité chargé du respect des dispositions, comme indiqué dans la section V ci-dessus, concernant un examen préliminaire des procédures et des mécanismes de conformité. </w:t>
      </w:r>
      <w:r w:rsidR="00402021" w:rsidRPr="005337B0">
        <w:rPr>
          <w:kern w:val="22"/>
          <w:lang w:val="fr-FR" w:bidi="fr-FR"/>
        </w:rPr>
        <w:t xml:space="preserve">L’enquête ciblée et le retour d’information demandé aux paragraphes 18 (a) et 20 (c), respectivement, de la décision </w:t>
      </w:r>
      <w:hyperlink r:id="rId28" w:history="1">
        <w:r w:rsidR="003E68F1" w:rsidRPr="005337B0">
          <w:rPr>
            <w:rStyle w:val="Hyperlink"/>
            <w:kern w:val="22"/>
            <w:lang w:val="fr-FR" w:bidi="fr-FR"/>
          </w:rPr>
          <w:t>NP</w:t>
        </w:r>
        <w:r w:rsidR="00174276" w:rsidRPr="005337B0">
          <w:rPr>
            <w:rStyle w:val="Hyperlink"/>
            <w:kern w:val="22"/>
            <w:szCs w:val="22"/>
            <w:lang w:val="fr-FR" w:bidi="fr-FR"/>
          </w:rPr>
          <w:noBreakHyphen/>
        </w:r>
        <w:r w:rsidR="003E68F1" w:rsidRPr="005337B0">
          <w:rPr>
            <w:rStyle w:val="Hyperlink"/>
            <w:kern w:val="22"/>
            <w:lang w:val="fr-FR" w:bidi="fr-FR"/>
          </w:rPr>
          <w:t>3/1</w:t>
        </w:r>
      </w:hyperlink>
      <w:r w:rsidR="00402021" w:rsidRPr="005337B0">
        <w:rPr>
          <w:rStyle w:val="Hyperlink"/>
          <w:kern w:val="22"/>
          <w:lang w:val="fr-FR" w:bidi="fr-FR"/>
        </w:rPr>
        <w:t xml:space="preserve"> A</w:t>
      </w:r>
      <w:r w:rsidR="004B516A" w:rsidRPr="005337B0">
        <w:rPr>
          <w:kern w:val="22"/>
          <w:lang w:val="fr-FR" w:bidi="fr-FR"/>
        </w:rPr>
        <w:t xml:space="preserve"> ont été intégrés comme sources d’informations.</w:t>
      </w:r>
    </w:p>
    <w:p w14:paraId="4F718032" w14:textId="60CE6117" w:rsidR="00334DFC" w:rsidRPr="005337B0" w:rsidRDefault="0014607D"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 xml:space="preserve">La deuxième évaluation doit également comprendre une évaluation des progrès réalisés par rapport aux points de référence contenus dans le cadre d’indicateurs, tel qu’il figure à l’annexe II de la décision </w:t>
      </w:r>
      <w:hyperlink r:id="rId29" w:history="1">
        <w:r w:rsidR="003E4166" w:rsidRPr="005337B0">
          <w:rPr>
            <w:rStyle w:val="Hyperlink"/>
            <w:kern w:val="22"/>
            <w:lang w:val="fr-FR" w:bidi="fr-FR"/>
          </w:rPr>
          <w:t>NP-3/1</w:t>
        </w:r>
      </w:hyperlink>
      <w:r w:rsidRPr="005337B0">
        <w:rPr>
          <w:kern w:val="22"/>
          <w:lang w:val="fr-FR" w:bidi="fr-FR"/>
        </w:rPr>
        <w:t>.</w:t>
      </w:r>
    </w:p>
    <w:p w14:paraId="379147BE" w14:textId="5E86592C" w:rsidR="00EC4C81" w:rsidRPr="005337B0" w:rsidRDefault="00EC4C81" w:rsidP="00D17C52">
      <w:pPr>
        <w:pStyle w:val="Para10"/>
        <w:numPr>
          <w:ilvl w:val="0"/>
          <w:numId w:val="6"/>
        </w:numPr>
        <w:tabs>
          <w:tab w:val="clear" w:pos="1134"/>
          <w:tab w:val="left" w:pos="1080"/>
        </w:tabs>
        <w:spacing w:before="0"/>
        <w:ind w:left="540"/>
        <w:rPr>
          <w:kern w:val="22"/>
          <w:szCs w:val="22"/>
          <w:lang w:val="en-GB"/>
        </w:rPr>
      </w:pPr>
      <w:r w:rsidRPr="005337B0">
        <w:rPr>
          <w:kern w:val="22"/>
          <w:lang w:val="fr-FR" w:bidi="fr-FR"/>
        </w:rPr>
        <w:t xml:space="preserve">En outre, la deuxième évaluation et le deuxième examen peuvent être étayés par une étude exploratoire, comme l’a recommandé le Comité chargé du respect des dispositions. </w:t>
      </w:r>
    </w:p>
    <w:p w14:paraId="06B8EB73" w14:textId="303753D0" w:rsidR="004D50AB" w:rsidRPr="005337B0" w:rsidRDefault="00B45C92" w:rsidP="006D0CCB">
      <w:pPr>
        <w:pStyle w:val="Para1"/>
        <w:numPr>
          <w:ilvl w:val="0"/>
          <w:numId w:val="0"/>
        </w:numPr>
        <w:tabs>
          <w:tab w:val="left" w:pos="1134"/>
        </w:tabs>
        <w:ind w:left="544" w:hanging="544"/>
        <w:outlineLvl w:val="1"/>
        <w:rPr>
          <w:b/>
          <w:color w:val="000000" w:themeColor="text1"/>
          <w:lang w:val="en-GB"/>
        </w:rPr>
      </w:pPr>
      <w:r w:rsidRPr="005337B0">
        <w:rPr>
          <w:b/>
          <w:color w:val="000000" w:themeColor="text1"/>
          <w:lang w:val="fr-FR" w:bidi="fr-FR"/>
        </w:rPr>
        <w:t>B.</w:t>
      </w:r>
      <w:r w:rsidRPr="005337B0">
        <w:rPr>
          <w:b/>
          <w:color w:val="000000" w:themeColor="text1"/>
          <w:lang w:val="fr-FR" w:bidi="fr-FR"/>
        </w:rPr>
        <w:tab/>
        <w:t xml:space="preserve">Mécanisme proposé pour conseiller la Secrétaire exécutive </w:t>
      </w:r>
      <w:r w:rsidRPr="005337B0">
        <w:rPr>
          <w:b/>
          <w:color w:val="000000" w:themeColor="text1"/>
          <w:lang w:val="fr-FR" w:bidi="fr-FR"/>
        </w:rPr>
        <w:br/>
        <w:t>sur les questions liées à la mise en œuvre</w:t>
      </w:r>
    </w:p>
    <w:p w14:paraId="7B94B73C" w14:textId="5CA57BB8" w:rsidR="002A22AF" w:rsidRPr="005337B0" w:rsidRDefault="002A22AF" w:rsidP="00D17C52">
      <w:pPr>
        <w:pStyle w:val="Para10"/>
        <w:numPr>
          <w:ilvl w:val="0"/>
          <w:numId w:val="6"/>
        </w:numPr>
        <w:tabs>
          <w:tab w:val="clear" w:pos="1134"/>
          <w:tab w:val="left" w:pos="1080"/>
        </w:tabs>
        <w:spacing w:before="0"/>
        <w:ind w:left="540"/>
        <w:rPr>
          <w:color w:val="000000" w:themeColor="text1"/>
          <w:kern w:val="22"/>
          <w:szCs w:val="22"/>
          <w:lang w:val="en-GB"/>
        </w:rPr>
      </w:pPr>
      <w:r w:rsidRPr="005337B0">
        <w:rPr>
          <w:color w:val="000000" w:themeColor="text1"/>
          <w:kern w:val="22"/>
          <w:lang w:val="fr-FR" w:bidi="fr-FR"/>
        </w:rPr>
        <w:t xml:space="preserve">Lors de sa première réunion, la Conférence des Parties siégeant en tant que réunion des Parties au Protocole de Nagoya a créé un comité consultatif informel sur le renforcement des capacités pour la mise en œuvre du Protocole afin de conseiller la Secrétaire exécutive sur les questions liées à l’évaluation de l’efficacité du cadre stratégique pour le renforcement des capacités et le développement (décision NP-1/8). Le Comité avait un mandat limité dans le temps, qui a été prolongé par la Conférence des </w:t>
      </w:r>
      <w:r w:rsidRPr="005337B0">
        <w:rPr>
          <w:color w:val="000000" w:themeColor="text1"/>
          <w:kern w:val="22"/>
          <w:lang w:val="fr-FR" w:bidi="fr-FR"/>
        </w:rPr>
        <w:lastRenderedPageBreak/>
        <w:t>Parties siégeant en tant que réunion des Parties au Protocole lors de ses troisième et quatrième réunions. Dans la décision NP-4/7, les termes de référence du Comité ont également été mis à jour et sa composition a été élargie pour inclure des représentants du secteur des affaires, de la communauté des chercheurs et de la jeunesse, en plus des 15 experts des Parties, de trois représentants des peuples autochtones et des communautés locales, et des représentants des organisations concernées.</w:t>
      </w:r>
    </w:p>
    <w:p w14:paraId="3F31723F" w14:textId="57CD3543" w:rsidR="003E60B8" w:rsidRPr="005337B0" w:rsidRDefault="0023093A"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fr-FR" w:bidi="fr-FR"/>
        </w:rPr>
        <w:t>Le mandat du comité consultatif informel expirera lors de la cinquième réunion de la Conférence des Parties siégeant en tant que réunion des Parties au protocole de Nagoya, et une décision doit être prise sur la voie à suivre. Lors de sa dernière réunion, en juin 2023, le Comité a suggéré que son mandat soit élargi de manière à fournir des conseils sur des questions plus généralement liées à la mise en œuvre du Protocole, tout en conservant la composition élargie actuelle.</w:t>
      </w:r>
      <w:r w:rsidR="00D03E41" w:rsidRPr="005337B0">
        <w:rPr>
          <w:kern w:val="22"/>
          <w:szCs w:val="22"/>
          <w:lang w:val="fr-FR" w:bidi="fr-FR"/>
        </w:rPr>
        <w:footnoteReference w:id="10"/>
      </w:r>
      <w:r w:rsidRPr="005337B0">
        <w:rPr>
          <w:kern w:val="22"/>
          <w:szCs w:val="22"/>
          <w:lang w:val="fr-FR" w:bidi="fr-FR"/>
        </w:rPr>
        <w:t xml:space="preserve"> Si le mandat du Comité est prolongé et élargi comme suggéré, il pourrait inclure, selon les besoins, des conseils sur des questions liées au renforcement des capacités et au développement, à la sensibilisation et à l’évaluation et l’examen au titre du Protocole, avec la souplesse nécessaire pour adapter ses tâches en fonction des besoins (voir le document CBD/SBI/4/8).</w:t>
      </w:r>
    </w:p>
    <w:p w14:paraId="4C627307" w14:textId="614E38C7" w:rsidR="008766DD" w:rsidRPr="005337B0" w:rsidRDefault="00735AF1" w:rsidP="006D0CCB">
      <w:pPr>
        <w:pStyle w:val="Para1"/>
        <w:numPr>
          <w:ilvl w:val="0"/>
          <w:numId w:val="0"/>
        </w:numPr>
        <w:tabs>
          <w:tab w:val="left" w:pos="1134"/>
        </w:tabs>
        <w:ind w:left="544" w:hanging="544"/>
        <w:jc w:val="both"/>
        <w:outlineLvl w:val="1"/>
        <w:rPr>
          <w:b/>
          <w:bCs/>
          <w:lang w:val="en-GB"/>
        </w:rPr>
      </w:pPr>
      <w:r w:rsidRPr="005337B0">
        <w:rPr>
          <w:b/>
          <w:lang w:val="fr-FR" w:bidi="fr-FR"/>
        </w:rPr>
        <w:t>C.</w:t>
      </w:r>
      <w:r w:rsidRPr="005337B0">
        <w:rPr>
          <w:b/>
          <w:lang w:val="fr-FR" w:bidi="fr-FR"/>
        </w:rPr>
        <w:tab/>
        <w:t xml:space="preserve">Aperçu du processus et du calendrier proposés </w:t>
      </w:r>
    </w:p>
    <w:p w14:paraId="400480E4" w14:textId="76811D02" w:rsidR="008F0E21" w:rsidRPr="005337B0" w:rsidRDefault="00FD2D3D" w:rsidP="00D17C52">
      <w:pPr>
        <w:pStyle w:val="Para10"/>
        <w:numPr>
          <w:ilvl w:val="0"/>
          <w:numId w:val="6"/>
        </w:numPr>
        <w:tabs>
          <w:tab w:val="clear" w:pos="1134"/>
          <w:tab w:val="left" w:pos="1080"/>
        </w:tabs>
        <w:spacing w:before="0"/>
        <w:ind w:left="540"/>
        <w:rPr>
          <w:b/>
          <w:bCs/>
          <w:lang w:val="en-GB"/>
        </w:rPr>
      </w:pPr>
      <w:r w:rsidRPr="005337B0">
        <w:rPr>
          <w:color w:val="000000" w:themeColor="text1"/>
          <w:kern w:val="22"/>
          <w:lang w:val="fr-FR" w:bidi="fr-FR"/>
        </w:rPr>
        <w:t>Le tableau 2 donne un aperçu des activités et du calendrier du processus proposé pour réaliser la deuxième évaluation et le deuxième examen de l’efficacité du Protocole de Nagoya. Il explique l’importance de la soumission des rapports nationaux dans les délais impartis.</w:t>
      </w:r>
    </w:p>
    <w:p w14:paraId="3ACB5DAC" w14:textId="5242D57A" w:rsidR="000B0F47" w:rsidRPr="005337B0" w:rsidRDefault="006711CF" w:rsidP="006D0CCB">
      <w:pPr>
        <w:pStyle w:val="Para1"/>
        <w:keepNext/>
        <w:numPr>
          <w:ilvl w:val="0"/>
          <w:numId w:val="0"/>
        </w:numPr>
        <w:tabs>
          <w:tab w:val="left" w:pos="1134"/>
        </w:tabs>
        <w:spacing w:after="0"/>
        <w:ind w:left="539"/>
        <w:jc w:val="both"/>
        <w:rPr>
          <w:color w:val="000000" w:themeColor="text1"/>
          <w:kern w:val="22"/>
          <w:sz w:val="22"/>
          <w:szCs w:val="22"/>
          <w:lang w:val="en-GB"/>
        </w:rPr>
      </w:pPr>
      <w:r w:rsidRPr="005337B0">
        <w:rPr>
          <w:color w:val="000000" w:themeColor="text1"/>
          <w:kern w:val="22"/>
          <w:sz w:val="22"/>
          <w:szCs w:val="22"/>
          <w:lang w:val="fr-FR" w:bidi="fr-FR"/>
        </w:rPr>
        <w:t>Tableau 2</w:t>
      </w:r>
    </w:p>
    <w:p w14:paraId="09178892" w14:textId="04927930" w:rsidR="006711CF" w:rsidRPr="005337B0" w:rsidRDefault="006711CF" w:rsidP="006D0CCB">
      <w:pPr>
        <w:pStyle w:val="Para1"/>
        <w:keepNext/>
        <w:numPr>
          <w:ilvl w:val="0"/>
          <w:numId w:val="0"/>
        </w:numPr>
        <w:tabs>
          <w:tab w:val="left" w:pos="1134"/>
        </w:tabs>
        <w:spacing w:before="0"/>
        <w:ind w:left="539"/>
        <w:rPr>
          <w:b/>
          <w:bCs/>
          <w:color w:val="000000" w:themeColor="text1"/>
          <w:kern w:val="22"/>
          <w:sz w:val="22"/>
          <w:szCs w:val="22"/>
          <w:lang w:val="en-GB"/>
        </w:rPr>
      </w:pPr>
      <w:r w:rsidRPr="005337B0">
        <w:rPr>
          <w:b/>
          <w:color w:val="000000" w:themeColor="text1"/>
          <w:kern w:val="22"/>
          <w:sz w:val="22"/>
          <w:szCs w:val="22"/>
          <w:lang w:val="fr-FR" w:bidi="fr-FR"/>
        </w:rPr>
        <w:t>Aperçu des activités et du calendrier estimatif de la deuxième évaluation et du deuxième examen</w:t>
      </w:r>
    </w:p>
    <w:tbl>
      <w:tblPr>
        <w:tblStyle w:val="TableGrid"/>
        <w:tblpPr w:leftFromText="180" w:rightFromText="180" w:vertAnchor="text" w:horzAnchor="margin" w:tblpX="562" w:tblpY="40"/>
        <w:tblW w:w="0" w:type="auto"/>
        <w:tblLook w:val="04A0" w:firstRow="1" w:lastRow="0" w:firstColumn="1" w:lastColumn="0" w:noHBand="0" w:noVBand="1"/>
      </w:tblPr>
      <w:tblGrid>
        <w:gridCol w:w="6374"/>
        <w:gridCol w:w="2148"/>
      </w:tblGrid>
      <w:tr w:rsidR="006711CF" w:rsidRPr="005337B0" w14:paraId="3A26FBBF" w14:textId="77777777" w:rsidTr="0033721D">
        <w:trPr>
          <w:tblHeader/>
        </w:trPr>
        <w:tc>
          <w:tcPr>
            <w:tcW w:w="6374" w:type="dxa"/>
            <w:shd w:val="clear" w:color="auto" w:fill="auto"/>
          </w:tcPr>
          <w:p w14:paraId="4E7C73E2" w14:textId="023FE54E" w:rsidR="006711CF" w:rsidRPr="005337B0" w:rsidRDefault="006711CF" w:rsidP="002F6769">
            <w:pPr>
              <w:pStyle w:val="Para1"/>
              <w:keepNext/>
              <w:keepLines/>
              <w:numPr>
                <w:ilvl w:val="0"/>
                <w:numId w:val="0"/>
              </w:numPr>
              <w:tabs>
                <w:tab w:val="left" w:pos="1134"/>
              </w:tabs>
              <w:jc w:val="both"/>
              <w:rPr>
                <w:i/>
                <w:iCs/>
                <w:color w:val="000000" w:themeColor="text1"/>
                <w:kern w:val="22"/>
                <w:sz w:val="20"/>
                <w:szCs w:val="20"/>
                <w:lang w:val="en-GB"/>
              </w:rPr>
            </w:pPr>
            <w:r w:rsidRPr="005337B0">
              <w:rPr>
                <w:i/>
                <w:color w:val="000000" w:themeColor="text1"/>
                <w:kern w:val="22"/>
                <w:sz w:val="20"/>
                <w:szCs w:val="20"/>
                <w:lang w:val="fr-FR" w:bidi="fr-FR"/>
              </w:rPr>
              <w:t>Activités</w:t>
            </w:r>
          </w:p>
        </w:tc>
        <w:tc>
          <w:tcPr>
            <w:tcW w:w="2148" w:type="dxa"/>
            <w:shd w:val="clear" w:color="auto" w:fill="auto"/>
          </w:tcPr>
          <w:p w14:paraId="17768DB4" w14:textId="77777777" w:rsidR="006711CF" w:rsidRPr="005337B0" w:rsidRDefault="006711CF" w:rsidP="002F6769">
            <w:pPr>
              <w:pStyle w:val="Para1"/>
              <w:keepNext/>
              <w:keepLines/>
              <w:numPr>
                <w:ilvl w:val="0"/>
                <w:numId w:val="0"/>
              </w:numPr>
              <w:tabs>
                <w:tab w:val="left" w:pos="1134"/>
              </w:tabs>
              <w:jc w:val="both"/>
              <w:rPr>
                <w:i/>
                <w:iCs/>
                <w:color w:val="000000" w:themeColor="text1"/>
                <w:kern w:val="22"/>
                <w:sz w:val="20"/>
                <w:szCs w:val="20"/>
                <w:lang w:val="en-GB"/>
              </w:rPr>
            </w:pPr>
            <w:r w:rsidRPr="005337B0">
              <w:rPr>
                <w:i/>
                <w:color w:val="000000" w:themeColor="text1"/>
                <w:kern w:val="22"/>
                <w:sz w:val="20"/>
                <w:szCs w:val="20"/>
                <w:lang w:val="fr-FR" w:bidi="fr-FR"/>
              </w:rPr>
              <w:t>Calendrier estimatif</w:t>
            </w:r>
          </w:p>
        </w:tc>
      </w:tr>
      <w:tr w:rsidR="006711CF" w:rsidRPr="005337B0" w14:paraId="7D8AA424" w14:textId="77777777" w:rsidTr="0033721D">
        <w:trPr>
          <w:tblHeader/>
        </w:trPr>
        <w:tc>
          <w:tcPr>
            <w:tcW w:w="6374" w:type="dxa"/>
            <w:shd w:val="clear" w:color="auto" w:fill="auto"/>
          </w:tcPr>
          <w:p w14:paraId="0494A190" w14:textId="77777777"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 xml:space="preserve">Enquête ciblée sur des éléments sélectionnés </w:t>
            </w:r>
          </w:p>
        </w:tc>
        <w:tc>
          <w:tcPr>
            <w:tcW w:w="2148" w:type="dxa"/>
            <w:shd w:val="clear" w:color="auto" w:fill="auto"/>
          </w:tcPr>
          <w:p w14:paraId="5506B640"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Premier trimestre 2025</w:t>
            </w:r>
          </w:p>
        </w:tc>
      </w:tr>
      <w:tr w:rsidR="006711CF" w:rsidRPr="005337B0" w14:paraId="2C67E7E6" w14:textId="77777777" w:rsidTr="0033721D">
        <w:trPr>
          <w:tblHeader/>
        </w:trPr>
        <w:tc>
          <w:tcPr>
            <w:tcW w:w="6374" w:type="dxa"/>
            <w:shd w:val="clear" w:color="auto" w:fill="auto"/>
          </w:tcPr>
          <w:p w14:paraId="4AC7F2B0" w14:textId="684CA405"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Soumission des premiers rapports nationaux au titre du protocole de Nagoya</w:t>
            </w:r>
          </w:p>
        </w:tc>
        <w:tc>
          <w:tcPr>
            <w:tcW w:w="2148" w:type="dxa"/>
            <w:shd w:val="clear" w:color="auto" w:fill="auto"/>
          </w:tcPr>
          <w:p w14:paraId="73B61C48"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Pour le 28 février 2026</w:t>
            </w:r>
          </w:p>
        </w:tc>
      </w:tr>
      <w:tr w:rsidR="006711CF" w:rsidRPr="005337B0" w14:paraId="2A85480C" w14:textId="77777777" w:rsidTr="0033721D">
        <w:trPr>
          <w:tblHeader/>
        </w:trPr>
        <w:tc>
          <w:tcPr>
            <w:tcW w:w="6374" w:type="dxa"/>
            <w:shd w:val="clear" w:color="auto" w:fill="auto"/>
          </w:tcPr>
          <w:p w14:paraId="29383235" w14:textId="0F8F9110"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Achèvement de l’analyse de toutes les sources d’information identifiées pour chacun des éléments</w:t>
            </w:r>
          </w:p>
        </w:tc>
        <w:tc>
          <w:tcPr>
            <w:tcW w:w="2148" w:type="dxa"/>
            <w:shd w:val="clear" w:color="auto" w:fill="auto"/>
          </w:tcPr>
          <w:p w14:paraId="6BEAD1F3"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Pour le 28 mars 2026</w:t>
            </w:r>
          </w:p>
        </w:tc>
      </w:tr>
      <w:tr w:rsidR="006711CF" w:rsidRPr="005337B0" w14:paraId="7C5EE91F" w14:textId="77777777" w:rsidTr="0033721D">
        <w:trPr>
          <w:tblHeader/>
        </w:trPr>
        <w:tc>
          <w:tcPr>
            <w:tcW w:w="6374" w:type="dxa"/>
            <w:shd w:val="clear" w:color="auto" w:fill="auto"/>
          </w:tcPr>
          <w:p w14:paraId="5629B612" w14:textId="0CAFC238"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Examen de l’analyse par le Comité chargé du respect des dispositions</w:t>
            </w:r>
            <w:r w:rsidR="00B84733" w:rsidRPr="005337B0">
              <w:rPr>
                <w:lang w:val="fr-FR" w:bidi="fr-FR"/>
              </w:rPr>
              <w:t xml:space="preserve"> </w:t>
            </w:r>
            <w:r w:rsidR="00B84733" w:rsidRPr="005337B0">
              <w:rPr>
                <w:color w:val="000000" w:themeColor="text1"/>
                <w:kern w:val="22"/>
                <w:sz w:val="20"/>
                <w:szCs w:val="20"/>
                <w:lang w:val="fr-FR" w:bidi="fr-FR"/>
              </w:rPr>
              <w:t>du Protocole de Nagoya, le cas échéant</w:t>
            </w:r>
          </w:p>
        </w:tc>
        <w:tc>
          <w:tcPr>
            <w:tcW w:w="2148" w:type="dxa"/>
            <w:shd w:val="clear" w:color="auto" w:fill="auto"/>
          </w:tcPr>
          <w:p w14:paraId="193AB5D8" w14:textId="5F3D46FB"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Avril ou mai 2026</w:t>
            </w:r>
          </w:p>
        </w:tc>
      </w:tr>
      <w:tr w:rsidR="006711CF" w:rsidRPr="005337B0" w14:paraId="5E8CE616" w14:textId="77777777" w:rsidTr="0033721D">
        <w:trPr>
          <w:tblHeader/>
        </w:trPr>
        <w:tc>
          <w:tcPr>
            <w:tcW w:w="6374" w:type="dxa"/>
            <w:shd w:val="clear" w:color="auto" w:fill="auto"/>
          </w:tcPr>
          <w:p w14:paraId="6022394E" w14:textId="3C54B51F" w:rsidR="006711CF" w:rsidRPr="005337B0" w:rsidRDefault="006711CF" w:rsidP="00D17C52">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Examen de l’analyse par un comité consultatif informel sur la mise en œuvre du Protocole de Nagoya</w:t>
            </w:r>
          </w:p>
        </w:tc>
        <w:tc>
          <w:tcPr>
            <w:tcW w:w="2148" w:type="dxa"/>
            <w:shd w:val="clear" w:color="auto" w:fill="auto"/>
          </w:tcPr>
          <w:p w14:paraId="1BFD46AC" w14:textId="18B540DA"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Avril ou mai 2026</w:t>
            </w:r>
          </w:p>
        </w:tc>
      </w:tr>
      <w:tr w:rsidR="006711CF" w:rsidRPr="005337B0" w14:paraId="29741E56" w14:textId="77777777" w:rsidTr="0033721D">
        <w:trPr>
          <w:tblHeader/>
        </w:trPr>
        <w:tc>
          <w:tcPr>
            <w:tcW w:w="6374" w:type="dxa"/>
            <w:shd w:val="clear" w:color="auto" w:fill="auto"/>
          </w:tcPr>
          <w:p w14:paraId="5E63BD45" w14:textId="1A34EE37"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Examen de l’analyse par l’Organe subsidiaire pour la mise en application, y compris les contributions du Comité chargé du respect des dispositions et d’un comité consultatif informel sur la mise en œuvre</w:t>
            </w:r>
          </w:p>
        </w:tc>
        <w:tc>
          <w:tcPr>
            <w:tcW w:w="2148" w:type="dxa"/>
            <w:shd w:val="clear" w:color="auto" w:fill="auto"/>
          </w:tcPr>
          <w:p w14:paraId="3360F3C2" w14:textId="532F4286" w:rsidR="006711CF" w:rsidRPr="005337B0" w:rsidRDefault="0033721D" w:rsidP="002F6769">
            <w:pPr>
              <w:pStyle w:val="Para1"/>
              <w:keepNext/>
              <w:keepLines/>
              <w:numPr>
                <w:ilvl w:val="0"/>
                <w:numId w:val="0"/>
              </w:numPr>
              <w:tabs>
                <w:tab w:val="left" w:pos="1134"/>
              </w:tabs>
              <w:jc w:val="both"/>
              <w:rPr>
                <w:color w:val="000000" w:themeColor="text1"/>
                <w:kern w:val="22"/>
                <w:sz w:val="20"/>
                <w:szCs w:val="20"/>
                <w:lang w:val="en-GB"/>
              </w:rPr>
            </w:pPr>
            <w:r>
              <w:rPr>
                <w:color w:val="000000" w:themeColor="text1"/>
                <w:kern w:val="22"/>
                <w:sz w:val="20"/>
                <w:szCs w:val="20"/>
                <w:lang w:val="fr-FR" w:bidi="fr-FR"/>
              </w:rPr>
              <w:t>Date à</w:t>
            </w:r>
            <w:r w:rsidR="006711CF" w:rsidRPr="005337B0">
              <w:rPr>
                <w:color w:val="000000" w:themeColor="text1"/>
                <w:kern w:val="22"/>
                <w:sz w:val="20"/>
                <w:szCs w:val="20"/>
                <w:lang w:val="fr-FR" w:bidi="fr-FR"/>
              </w:rPr>
              <w:t xml:space="preserve"> déterminer</w:t>
            </w:r>
          </w:p>
        </w:tc>
      </w:tr>
      <w:tr w:rsidR="006711CF" w:rsidRPr="005337B0" w14:paraId="69D4CB68" w14:textId="77777777" w:rsidTr="0033721D">
        <w:trPr>
          <w:tblHeader/>
        </w:trPr>
        <w:tc>
          <w:tcPr>
            <w:tcW w:w="6374" w:type="dxa"/>
            <w:shd w:val="clear" w:color="auto" w:fill="auto"/>
          </w:tcPr>
          <w:p w14:paraId="66BCA04F" w14:textId="462C6C08"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fr-FR" w:bidi="fr-FR"/>
              </w:rPr>
              <w:t>Examen, lors de la sixième réunion de la Conférence des Parties siégeant en tant que réunion des Parties au Protocole de Nagoya, des recommandations et des conclusions de l’Organe subsidiaire pour la mise en application</w:t>
            </w:r>
          </w:p>
        </w:tc>
        <w:tc>
          <w:tcPr>
            <w:tcW w:w="2148" w:type="dxa"/>
            <w:shd w:val="clear" w:color="auto" w:fill="auto"/>
          </w:tcPr>
          <w:p w14:paraId="6D5ED315"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fr-FR" w:bidi="fr-FR"/>
              </w:rPr>
              <w:t>Dernier trimestre 2026</w:t>
            </w:r>
          </w:p>
        </w:tc>
      </w:tr>
    </w:tbl>
    <w:p w14:paraId="379DBE3F" w14:textId="77777777" w:rsidR="00C92DD1" w:rsidRPr="005337B0" w:rsidRDefault="00C92DD1" w:rsidP="0035247F">
      <w:pPr>
        <w:rPr>
          <w:lang w:val="en-CA"/>
        </w:rPr>
      </w:pPr>
    </w:p>
    <w:p w14:paraId="32569508" w14:textId="77777777" w:rsidR="0018022D" w:rsidRPr="005337B0" w:rsidRDefault="0018022D" w:rsidP="00EE1C22">
      <w:pPr>
        <w:pStyle w:val="Heading1"/>
        <w:numPr>
          <w:ilvl w:val="0"/>
          <w:numId w:val="0"/>
        </w:numPr>
        <w:ind w:left="567"/>
        <w:sectPr w:rsidR="0018022D" w:rsidRPr="005337B0" w:rsidSect="00511461">
          <w:headerReference w:type="even" r:id="rId30"/>
          <w:headerReference w:type="default" r:id="rId31"/>
          <w:footerReference w:type="even" r:id="rId32"/>
          <w:footerReference w:type="default" r:id="rId33"/>
          <w:pgSz w:w="12240" w:h="15840"/>
          <w:pgMar w:top="1134" w:right="1440" w:bottom="1134" w:left="1170" w:header="709" w:footer="709" w:gutter="0"/>
          <w:cols w:space="708"/>
          <w:titlePg/>
          <w:docGrid w:linePitch="360"/>
        </w:sectPr>
      </w:pPr>
    </w:p>
    <w:p w14:paraId="25FCDD18" w14:textId="39BD4F1C" w:rsidR="002B3103" w:rsidRPr="005337B0" w:rsidRDefault="002B3103" w:rsidP="00D17C52">
      <w:pPr>
        <w:pStyle w:val="Heading1"/>
        <w:ind w:left="567" w:hanging="567"/>
      </w:pPr>
      <w:r w:rsidRPr="005337B0">
        <w:rPr>
          <w:lang w:val="fr-FR" w:bidi="fr-FR"/>
        </w:rPr>
        <w:lastRenderedPageBreak/>
        <w:t>Questions suggérées pour examen par l’Organe subsidiaire pour la mise en application</w:t>
      </w:r>
    </w:p>
    <w:p w14:paraId="339C0554" w14:textId="78345C5E" w:rsidR="008C4F37" w:rsidRPr="005337B0" w:rsidRDefault="00B37584"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fr-FR" w:bidi="fr-FR"/>
        </w:rPr>
        <w:t xml:space="preserve">L’Organe subsidiaire pour la mise en application souhaitera peut-être examiner la méthode proposée pour la deuxième évaluation et le deuxième examen de l’efficacité du Protocole de Nagoya et recommander que la Conférence des Parties siégeant en tant que réunion des Parties au Protocole adopte, à sa cinquième réunion, une décision libellée comme suit : </w:t>
      </w:r>
    </w:p>
    <w:p w14:paraId="481C643C" w14:textId="77777777" w:rsidR="008C4F37" w:rsidRPr="005337B0" w:rsidRDefault="008C4F37" w:rsidP="008C4F37">
      <w:pPr>
        <w:pStyle w:val="Para2"/>
        <w:ind w:left="567" w:firstLine="567"/>
        <w:rPr>
          <w:i/>
          <w:iCs/>
        </w:rPr>
      </w:pPr>
      <w:r w:rsidRPr="005337B0">
        <w:rPr>
          <w:i/>
          <w:lang w:bidi="fr-FR"/>
        </w:rPr>
        <w:t>La Conférence des Parties siégeant en tant que réunion des Parties au Protocole de Nagoya,</w:t>
      </w:r>
    </w:p>
    <w:p w14:paraId="00A7D6C3" w14:textId="25A6C46F" w:rsidR="008C4F37" w:rsidRPr="005337B0" w:rsidRDefault="008C4F37" w:rsidP="008C4F37">
      <w:pPr>
        <w:pStyle w:val="Para2"/>
        <w:ind w:left="567" w:firstLine="567"/>
      </w:pPr>
      <w:r w:rsidRPr="005337B0">
        <w:rPr>
          <w:i/>
          <w:lang w:bidi="fr-FR"/>
        </w:rPr>
        <w:t>Rappelant</w:t>
      </w:r>
      <w:r w:rsidRPr="005337B0">
        <w:rPr>
          <w:lang w:bidi="fr-FR"/>
        </w:rPr>
        <w:t xml:space="preserve"> </w:t>
      </w:r>
      <w:hyperlink r:id="rId34" w:history="1">
        <w:r w:rsidRPr="005337B0">
          <w:rPr>
            <w:lang w:bidi="fr-FR"/>
          </w:rPr>
          <w:t>l’article 31</w:t>
        </w:r>
      </w:hyperlink>
      <w:r w:rsidRPr="005337B0">
        <w:rPr>
          <w:lang w:bidi="fr-FR"/>
        </w:rPr>
        <w:t xml:space="preserve"> du Protocole de Nagoya sur l’accès aux ressources génétiques et le partage juste et équitable des avantages découlant de </w:t>
      </w:r>
      <w:proofErr w:type="gramStart"/>
      <w:r w:rsidRPr="005337B0">
        <w:rPr>
          <w:lang w:bidi="fr-FR"/>
        </w:rPr>
        <w:t>leur utilisation relatif</w:t>
      </w:r>
      <w:proofErr w:type="gramEnd"/>
      <w:r w:rsidRPr="005337B0">
        <w:rPr>
          <w:lang w:bidi="fr-FR"/>
        </w:rPr>
        <w:t xml:space="preserve"> à la Convention sur la diversité biologique,</w:t>
      </w:r>
      <w:r w:rsidR="005101EE" w:rsidRPr="005337B0">
        <w:rPr>
          <w:rStyle w:val="FootnoteReference"/>
          <w:lang w:bidi="fr-FR"/>
        </w:rPr>
        <w:footnoteReference w:id="11"/>
      </w:r>
    </w:p>
    <w:p w14:paraId="50A9CA3C" w14:textId="2E90ACF5" w:rsidR="008C4F1F" w:rsidRPr="005337B0" w:rsidRDefault="008C4F1F" w:rsidP="00122D90">
      <w:pPr>
        <w:pStyle w:val="Para2"/>
        <w:ind w:left="567" w:firstLine="567"/>
        <w:rPr>
          <w:iCs/>
          <w:lang w:val="en-GB"/>
        </w:rPr>
      </w:pPr>
      <w:r w:rsidRPr="005337B0">
        <w:rPr>
          <w:i/>
          <w:lang w:bidi="fr-FR"/>
        </w:rPr>
        <w:t xml:space="preserve">Rappelant également </w:t>
      </w:r>
      <w:r w:rsidRPr="005337B0">
        <w:rPr>
          <w:lang w:bidi="fr-FR"/>
        </w:rPr>
        <w:t>la décision NP-2/4 du 17 décembre 2016, dans laquelle la Conférence des Parties siégeant en tant que réunion des Parties au Protocole de Nagoya a décidé de procéder à la première évaluation et au premier examen du Protocole sur la base des éléments figurant dans l’annexe à cette décision, et l’importance de la continuité des approches pour assurer la comparabilité des résultats,</w:t>
      </w:r>
    </w:p>
    <w:p w14:paraId="165C84B6" w14:textId="6036FD2E" w:rsidR="00FB1D78" w:rsidRPr="005337B0" w:rsidRDefault="008C4F37" w:rsidP="00FB1D78">
      <w:pPr>
        <w:pStyle w:val="Para2"/>
        <w:ind w:left="567" w:firstLine="567"/>
        <w:rPr>
          <w:i/>
          <w:iCs/>
        </w:rPr>
      </w:pPr>
      <w:r w:rsidRPr="005337B0">
        <w:rPr>
          <w:i/>
          <w:lang w:bidi="fr-FR"/>
        </w:rPr>
        <w:t xml:space="preserve">Rappelant en outre </w:t>
      </w:r>
      <w:r w:rsidRPr="005337B0">
        <w:rPr>
          <w:lang w:bidi="fr-FR"/>
        </w:rPr>
        <w:t xml:space="preserve">la décision NP-3/1 du 25 novembre 2018, dans laquelle la </w:t>
      </w:r>
      <w:bookmarkStart w:id="8" w:name="_Hlk163362197"/>
      <w:r w:rsidRPr="005337B0">
        <w:rPr>
          <w:lang w:bidi="fr-FR"/>
        </w:rPr>
        <w:t xml:space="preserve">Conférence des Parties siégeant en tant que réunion des Parties au Protocole </w:t>
      </w:r>
      <w:bookmarkEnd w:id="8"/>
      <w:r w:rsidRPr="005337B0">
        <w:rPr>
          <w:lang w:bidi="fr-FR"/>
        </w:rPr>
        <w:t>a défini des éléments supplémentaires à prendre en considération pour la deuxième évaluation et le deuxième examen du Protocole et a prié la Secrétaire exécutive de réaliser une enquête ciblée sur les difficultés liées à la mise en œuvre du Protocole de Nagoya et de demander à tous les types d’utilisateurs du Centre d’échange sur l’accès et le partage des avantages de faire part de leurs observations sur sa mise en œuvre et son fonctionnement,</w:t>
      </w:r>
    </w:p>
    <w:p w14:paraId="796C7685" w14:textId="1E9D1130" w:rsidR="00F22C1D" w:rsidRPr="005337B0" w:rsidRDefault="00F22C1D" w:rsidP="00FB1D78">
      <w:pPr>
        <w:pStyle w:val="Para2"/>
        <w:ind w:left="567" w:firstLine="567"/>
        <w:rPr>
          <w:i/>
          <w:iCs/>
        </w:rPr>
      </w:pPr>
      <w:r w:rsidRPr="005337B0">
        <w:rPr>
          <w:i/>
          <w:lang w:bidi="fr-FR"/>
        </w:rPr>
        <w:t xml:space="preserve">Rappelant </w:t>
      </w:r>
      <w:r w:rsidRPr="005337B0">
        <w:rPr>
          <w:lang w:bidi="fr-FR"/>
        </w:rPr>
        <w:t>que la date limite de soumission par les Parties de leurs premiers rapports nationaux sur la mise en œuvre du Protocole est fixée au 28 février 2026,</w:t>
      </w:r>
    </w:p>
    <w:p w14:paraId="5BD1CAF5" w14:textId="07E585E1" w:rsidR="00FB1D78" w:rsidRPr="005337B0" w:rsidRDefault="00FB1D78" w:rsidP="00D17C52">
      <w:pPr>
        <w:pStyle w:val="Para10"/>
        <w:tabs>
          <w:tab w:val="clear" w:pos="1134"/>
          <w:tab w:val="left" w:pos="1701"/>
        </w:tabs>
        <w:ind w:left="540" w:firstLine="594"/>
      </w:pPr>
      <w:r w:rsidRPr="005337B0">
        <w:rPr>
          <w:lang w:val="fr-FR" w:bidi="fr-FR"/>
        </w:rPr>
        <w:t>1.</w:t>
      </w:r>
      <w:r w:rsidRPr="005337B0">
        <w:rPr>
          <w:lang w:val="fr-FR" w:bidi="fr-FR"/>
        </w:rPr>
        <w:tab/>
      </w:r>
      <w:r w:rsidRPr="005337B0">
        <w:rPr>
          <w:i/>
          <w:lang w:val="fr-FR" w:bidi="fr-FR"/>
        </w:rPr>
        <w:t xml:space="preserve">Décide </w:t>
      </w:r>
      <w:r w:rsidRPr="005337B0">
        <w:rPr>
          <w:lang w:val="fr-FR" w:bidi="fr-FR"/>
        </w:rPr>
        <w:t xml:space="preserve">de procéder à la deuxième évaluation et au deuxième examen du Protocole sur la base des éléments figurant à l’annexe de la présente décision ; </w:t>
      </w:r>
    </w:p>
    <w:p w14:paraId="70847FEA" w14:textId="4256C357" w:rsidR="00F22C1D" w:rsidRPr="005337B0" w:rsidRDefault="00F22C1D" w:rsidP="00D17C52">
      <w:pPr>
        <w:pStyle w:val="Para10"/>
        <w:tabs>
          <w:tab w:val="clear" w:pos="1134"/>
          <w:tab w:val="left" w:pos="1701"/>
        </w:tabs>
        <w:ind w:left="540" w:firstLine="594"/>
      </w:pPr>
      <w:r w:rsidRPr="005337B0">
        <w:rPr>
          <w:lang w:val="fr-FR" w:bidi="fr-FR"/>
        </w:rPr>
        <w:t>2.</w:t>
      </w:r>
      <w:r w:rsidRPr="005337B0">
        <w:rPr>
          <w:lang w:val="fr-FR" w:bidi="fr-FR"/>
        </w:rPr>
        <w:tab/>
      </w:r>
      <w:r w:rsidRPr="005337B0">
        <w:rPr>
          <w:i/>
          <w:lang w:val="fr-FR" w:bidi="fr-FR"/>
        </w:rPr>
        <w:t xml:space="preserve">Prie instamment </w:t>
      </w:r>
      <w:r w:rsidRPr="005337B0">
        <w:rPr>
          <w:lang w:val="fr-FR" w:bidi="fr-FR"/>
        </w:rPr>
        <w:t>les Parties et encourage les autres gouvernements, les organisations compétentes, les peuples autochtones et les communautés locales à publier des informations sur le Centre d’échange sur l’accès et le partage des avantages afin que ces informations soient disponibles pour éclairer la deuxième évaluation et le deuxième examen de l’efficacité du Protocole de Nagoya ;</w:t>
      </w:r>
    </w:p>
    <w:p w14:paraId="529DCB9C" w14:textId="1590B281" w:rsidR="00F22C1D" w:rsidRPr="005337B0" w:rsidRDefault="00F22C1D" w:rsidP="00D17C52">
      <w:pPr>
        <w:pStyle w:val="Para10"/>
        <w:tabs>
          <w:tab w:val="clear" w:pos="1134"/>
          <w:tab w:val="left" w:pos="1701"/>
        </w:tabs>
        <w:ind w:left="540" w:firstLine="594"/>
      </w:pPr>
      <w:r w:rsidRPr="005337B0">
        <w:rPr>
          <w:lang w:val="fr-FR" w:bidi="fr-FR"/>
        </w:rPr>
        <w:t>3.</w:t>
      </w:r>
      <w:r w:rsidRPr="005337B0">
        <w:rPr>
          <w:lang w:val="fr-FR" w:bidi="fr-FR"/>
        </w:rPr>
        <w:tab/>
      </w:r>
      <w:r w:rsidRPr="005337B0">
        <w:rPr>
          <w:i/>
          <w:lang w:val="fr-FR" w:bidi="fr-FR"/>
        </w:rPr>
        <w:t>Exhorte</w:t>
      </w:r>
      <w:r w:rsidRPr="005337B0">
        <w:rPr>
          <w:lang w:val="fr-FR" w:bidi="fr-FR"/>
        </w:rPr>
        <w:t xml:space="preserve"> les Parties à achever rapidement le processus d’établissement des rapports et à soumettre leurs premiers rapports nationaux sur la mise en œuvre du Protocole bien avant la date limite, afin de garantir une analyse précise et représentative pour la deuxième évaluation et le deuxième examen de l’efficacité du Protocole ;</w:t>
      </w:r>
      <w:r w:rsidRPr="005337B0">
        <w:rPr>
          <w:vertAlign w:val="superscript"/>
          <w:lang w:val="fr-FR" w:bidi="fr-FR"/>
        </w:rPr>
        <w:footnoteReference w:id="12"/>
      </w:r>
    </w:p>
    <w:p w14:paraId="0A99098D" w14:textId="6B1CC6CB" w:rsidR="00F22C1D" w:rsidRPr="005337B0" w:rsidRDefault="00F22C1D" w:rsidP="00D17C52">
      <w:pPr>
        <w:pStyle w:val="Para10"/>
        <w:tabs>
          <w:tab w:val="clear" w:pos="1134"/>
          <w:tab w:val="left" w:pos="1701"/>
        </w:tabs>
        <w:ind w:left="540" w:firstLine="594"/>
        <w:rPr>
          <w:vertAlign w:val="superscript"/>
        </w:rPr>
      </w:pPr>
      <w:r w:rsidRPr="005337B0">
        <w:rPr>
          <w:lang w:val="fr-FR" w:bidi="fr-FR"/>
        </w:rPr>
        <w:t>4.</w:t>
      </w:r>
      <w:r w:rsidRPr="005337B0">
        <w:rPr>
          <w:lang w:val="fr-FR" w:bidi="fr-FR"/>
        </w:rPr>
        <w:tab/>
      </w:r>
      <w:r w:rsidRPr="005337B0">
        <w:rPr>
          <w:i/>
          <w:lang w:val="fr-FR" w:bidi="fr-FR"/>
        </w:rPr>
        <w:t xml:space="preserve">Prie instamment </w:t>
      </w:r>
      <w:r w:rsidRPr="005337B0">
        <w:rPr>
          <w:lang w:val="fr-FR" w:bidi="fr-FR"/>
        </w:rPr>
        <w:t xml:space="preserve">les Parties remplissant les conditions requises de soumettre leurs lettres d’engagement à l’organisme d’exécution en temps voulu pour que les projets visant à appuyer l’élaboration des premiers rapports nationaux puissent être présentés au Fonds pour l’environnement mondial pour approbation bien avant la date limite de présentation des rapports ; </w:t>
      </w:r>
      <w:r w:rsidRPr="005337B0">
        <w:rPr>
          <w:vertAlign w:val="superscript"/>
          <w:lang w:val="fr-FR" w:bidi="fr-FR"/>
        </w:rPr>
        <w:footnoteReference w:id="13"/>
      </w:r>
    </w:p>
    <w:p w14:paraId="1291DE67" w14:textId="7A06BA68" w:rsidR="004259C7" w:rsidRPr="005337B0" w:rsidRDefault="00910E7E" w:rsidP="00D17C52">
      <w:pPr>
        <w:pStyle w:val="Para10"/>
        <w:tabs>
          <w:tab w:val="clear" w:pos="1134"/>
          <w:tab w:val="left" w:pos="1701"/>
        </w:tabs>
        <w:ind w:left="540" w:firstLine="594"/>
      </w:pPr>
      <w:r w:rsidRPr="005337B0">
        <w:rPr>
          <w:lang w:val="fr-FR" w:bidi="fr-FR"/>
        </w:rPr>
        <w:lastRenderedPageBreak/>
        <w:t>5.</w:t>
      </w:r>
      <w:r w:rsidRPr="005337B0">
        <w:rPr>
          <w:lang w:val="fr-FR" w:bidi="fr-FR"/>
        </w:rPr>
        <w:tab/>
      </w:r>
      <w:r w:rsidRPr="005337B0">
        <w:rPr>
          <w:i/>
          <w:lang w:val="fr-FR" w:bidi="fr-FR"/>
        </w:rPr>
        <w:t xml:space="preserve">Prie instamment </w:t>
      </w:r>
      <w:r w:rsidRPr="005337B0">
        <w:rPr>
          <w:lang w:val="fr-FR" w:bidi="fr-FR"/>
        </w:rPr>
        <w:t>le Fonds pour l’environnement mondial et les organismes d’exécution de veiller à ce que les Parties qui présentent leur lettre d’engagement bénéficient d’un appui sans retard excessif ;</w:t>
      </w:r>
    </w:p>
    <w:p w14:paraId="0A1E591F" w14:textId="3CAEFE81" w:rsidR="00F22C1D" w:rsidRPr="005337B0" w:rsidRDefault="00430E54" w:rsidP="00D17C52">
      <w:pPr>
        <w:pStyle w:val="Para10"/>
        <w:tabs>
          <w:tab w:val="clear" w:pos="1134"/>
          <w:tab w:val="left" w:pos="1701"/>
        </w:tabs>
        <w:ind w:left="540" w:firstLine="594"/>
      </w:pPr>
      <w:r w:rsidRPr="005337B0">
        <w:rPr>
          <w:lang w:val="fr-FR" w:bidi="fr-FR"/>
        </w:rPr>
        <w:t>6.</w:t>
      </w:r>
      <w:r w:rsidRPr="005337B0">
        <w:rPr>
          <w:lang w:val="fr-FR" w:bidi="fr-FR"/>
        </w:rPr>
        <w:tab/>
      </w:r>
      <w:r w:rsidRPr="005337B0">
        <w:rPr>
          <w:i/>
          <w:lang w:val="fr-FR" w:bidi="fr-FR"/>
        </w:rPr>
        <w:t xml:space="preserve">Invite </w:t>
      </w:r>
      <w:r w:rsidRPr="005337B0">
        <w:rPr>
          <w:lang w:val="fr-FR" w:bidi="fr-FR"/>
        </w:rPr>
        <w:t>les Parties, les autres gouvernements, les peuples autochtones et les communautés locales, ainsi que les parties prenantes et les organisations concernées, à répondre aux enquêtes ciblées qui seront menées par la Secrétaire exécutive en application des paragraphes 18 (a) et 20 (c) de la décision NP-3/1 A, et à faire part de leurs points de vue pour étayer un examen préliminaire des procédures et mécanismes de conformité figurant à l’annexe de la décision NP-1/4 du 17 octobre 2014 ;</w:t>
      </w:r>
    </w:p>
    <w:p w14:paraId="318E3114" w14:textId="20665D07" w:rsidR="00FB1D78" w:rsidRPr="005337B0" w:rsidRDefault="00430E54" w:rsidP="00D17C52">
      <w:pPr>
        <w:pStyle w:val="Para10"/>
        <w:tabs>
          <w:tab w:val="clear" w:pos="1134"/>
          <w:tab w:val="left" w:pos="1701"/>
        </w:tabs>
        <w:ind w:left="540" w:firstLine="594"/>
      </w:pPr>
      <w:r w:rsidRPr="005337B0">
        <w:rPr>
          <w:lang w:val="fr-FR" w:bidi="fr-FR"/>
        </w:rPr>
        <w:t>7.</w:t>
      </w:r>
      <w:r w:rsidRPr="005337B0">
        <w:rPr>
          <w:lang w:val="fr-FR" w:bidi="fr-FR"/>
        </w:rPr>
        <w:tab/>
      </w:r>
      <w:r w:rsidRPr="005337B0">
        <w:rPr>
          <w:i/>
          <w:lang w:val="fr-FR" w:bidi="fr-FR"/>
        </w:rPr>
        <w:t xml:space="preserve">Prie </w:t>
      </w:r>
      <w:r w:rsidRPr="005337B0">
        <w:rPr>
          <w:lang w:val="fr-FR" w:bidi="fr-FR"/>
        </w:rPr>
        <w:t xml:space="preserve">la Secrétaire exécutive : </w:t>
      </w:r>
    </w:p>
    <w:p w14:paraId="6B142A0C" w14:textId="653B4E4A" w:rsidR="00F22C1D" w:rsidRPr="005337B0" w:rsidRDefault="006E1ED7" w:rsidP="00F22C1D">
      <w:pPr>
        <w:pStyle w:val="Para2"/>
        <w:ind w:left="567" w:firstLine="567"/>
        <w:rPr>
          <w:lang w:val="en-GB"/>
        </w:rPr>
      </w:pPr>
      <w:r>
        <w:rPr>
          <w:lang w:bidi="fr-FR"/>
        </w:rPr>
        <w:t>(</w:t>
      </w:r>
      <w:r w:rsidR="008C4F37" w:rsidRPr="005337B0">
        <w:rPr>
          <w:lang w:bidi="fr-FR"/>
        </w:rPr>
        <w:t>a)</w:t>
      </w:r>
      <w:r w:rsidR="008C4F37" w:rsidRPr="005337B0">
        <w:rPr>
          <w:lang w:bidi="fr-FR"/>
        </w:rPr>
        <w:tab/>
        <w:t xml:space="preserve">D’analyser et de synthétiser les informations sur la mise en œuvre du Protocole en utilisant les sources d’information énumérées dans l’annexe à la présente décision et de présenter des mesures actualisées des indicateurs dans le cadre des indicateurs et de mettre ces informations à la disposition du comité consultatif informel sur la mise en œuvre du Protocole de Nagoya, du Comité chargé du respect des dispositions au titre du Protocole de Nagoya et de l’Organe subsidiaire pour la mise en application ; </w:t>
      </w:r>
    </w:p>
    <w:p w14:paraId="3F749A88" w14:textId="2F375A0E" w:rsidR="00F22C1D" w:rsidRPr="005337B0" w:rsidRDefault="006E1ED7" w:rsidP="00F22C1D">
      <w:pPr>
        <w:pStyle w:val="Para2"/>
        <w:ind w:left="567" w:firstLine="567"/>
      </w:pPr>
      <w:r>
        <w:rPr>
          <w:lang w:bidi="fr-FR"/>
        </w:rPr>
        <w:t>(</w:t>
      </w:r>
      <w:r w:rsidR="00F22C1D" w:rsidRPr="005337B0">
        <w:rPr>
          <w:lang w:bidi="fr-FR"/>
        </w:rPr>
        <w:t>b)</w:t>
      </w:r>
      <w:r w:rsidR="00F22C1D" w:rsidRPr="005337B0">
        <w:rPr>
          <w:lang w:bidi="fr-FR"/>
        </w:rPr>
        <w:tab/>
        <w:t>De commander une étude exploratoire, sous réserve de la disponibilité des ressources, sur les raisons possibles et les causes profondes sous-jacentes des difficultés rencontrées dans la mise en œuvre et la conformité effectives et sur la manière dont elles pourraient être améliorées au mieux, en tant que contribution complémentaire à la deuxième évaluation et au deuxième examen ;</w:t>
      </w:r>
    </w:p>
    <w:p w14:paraId="161AF634" w14:textId="2FBF9151" w:rsidR="00654194" w:rsidRPr="005337B0" w:rsidRDefault="00430E54" w:rsidP="00D17C52">
      <w:pPr>
        <w:pStyle w:val="Para10"/>
        <w:tabs>
          <w:tab w:val="clear" w:pos="1134"/>
          <w:tab w:val="left" w:pos="1701"/>
        </w:tabs>
        <w:ind w:left="540" w:firstLine="594"/>
      </w:pPr>
      <w:r w:rsidRPr="005337B0">
        <w:rPr>
          <w:lang w:val="fr-FR" w:bidi="fr-FR"/>
        </w:rPr>
        <w:t xml:space="preserve">8. </w:t>
      </w:r>
      <w:r w:rsidRPr="005337B0">
        <w:rPr>
          <w:lang w:val="fr-FR" w:bidi="fr-FR"/>
        </w:rPr>
        <w:tab/>
      </w:r>
      <w:r w:rsidRPr="005337B0">
        <w:rPr>
          <w:i/>
          <w:lang w:val="fr-FR" w:bidi="fr-FR"/>
        </w:rPr>
        <w:t xml:space="preserve">Demande </w:t>
      </w:r>
      <w:r w:rsidRPr="005337B0">
        <w:rPr>
          <w:lang w:val="fr-FR" w:bidi="fr-FR"/>
        </w:rPr>
        <w:t>au comité consultatif informel sur la mise en œuvre du Protocole de Nagoya</w:t>
      </w:r>
      <w:r w:rsidR="002E1B02" w:rsidRPr="005337B0">
        <w:rPr>
          <w:rStyle w:val="FootnoteReference"/>
          <w:lang w:val="fr-FR" w:bidi="fr-FR"/>
        </w:rPr>
        <w:footnoteReference w:id="14"/>
      </w:r>
      <w:r w:rsidRPr="005337B0">
        <w:rPr>
          <w:lang w:val="fr-FR" w:bidi="fr-FR"/>
        </w:rPr>
        <w:t xml:space="preserve"> et au Comité chargé du respect des dispositions du Protocole de Nagoya, travaillant en complémentarité et sans double emploi, de contribuer à la deuxième évaluation et au deuxième examen du Protocole et de soumettre leurs conclusions à l’examen de l’Organe subsidiaire pour la mise en application lors de sa sixième réunion.</w:t>
      </w:r>
    </w:p>
    <w:p w14:paraId="7A664965" w14:textId="2B48F53B" w:rsidR="00D35FD1" w:rsidRPr="005337B0" w:rsidRDefault="00D35FD1" w:rsidP="00D17C52">
      <w:pPr>
        <w:pStyle w:val="Annex"/>
        <w:ind w:left="567"/>
        <w:rPr>
          <w:rFonts w:eastAsia="Malgun Gothic"/>
          <w:sz w:val="24"/>
        </w:rPr>
      </w:pPr>
      <w:r w:rsidRPr="005337B0">
        <w:rPr>
          <w:rFonts w:eastAsia="Malgun Gothic"/>
          <w:sz w:val="24"/>
          <w:lang w:bidi="fr-FR"/>
        </w:rPr>
        <w:t>Annexe</w:t>
      </w:r>
    </w:p>
    <w:p w14:paraId="2B25BDC5" w14:textId="6EE4290C" w:rsidR="002E2676" w:rsidRPr="005337B0" w:rsidRDefault="002E2676" w:rsidP="00D17C52">
      <w:pPr>
        <w:pStyle w:val="Title"/>
        <w:jc w:val="left"/>
        <w:rPr>
          <w:b w:val="0"/>
          <w:sz w:val="24"/>
          <w:szCs w:val="24"/>
        </w:rPr>
      </w:pPr>
      <w:r w:rsidRPr="005337B0">
        <w:rPr>
          <w:sz w:val="24"/>
          <w:szCs w:val="24"/>
          <w:lang w:bidi="fr-FR"/>
        </w:rPr>
        <w:t>Éléments et sources d’information proposés pour la deuxième évaluation et le deuxième examen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7719C4" w:rsidRPr="005337B0" w14:paraId="075B2BAA" w14:textId="77777777" w:rsidTr="0033721D">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7741FA93" w14:textId="77777777" w:rsidR="007719C4" w:rsidRPr="005337B0" w:rsidRDefault="007719C4">
            <w:pPr>
              <w:spacing w:before="40" w:after="40"/>
              <w:ind w:left="40" w:right="40"/>
              <w:jc w:val="left"/>
              <w:rPr>
                <w:i/>
                <w:iCs/>
                <w:snapToGrid w:val="0"/>
                <w:kern w:val="22"/>
                <w:sz w:val="20"/>
                <w:szCs w:val="20"/>
              </w:rPr>
            </w:pPr>
            <w:r w:rsidRPr="005337B0">
              <w:rPr>
                <w:i/>
                <w:snapToGrid w:val="0"/>
                <w:kern w:val="22"/>
                <w:sz w:val="20"/>
                <w:szCs w:val="20"/>
                <w:lang w:bidi="fr-FR"/>
              </w:rPr>
              <w:t>Éléments</w:t>
            </w:r>
          </w:p>
        </w:tc>
        <w:tc>
          <w:tcPr>
            <w:tcW w:w="4482" w:type="dxa"/>
            <w:tcBorders>
              <w:top w:val="single" w:sz="4" w:space="0" w:color="auto"/>
              <w:left w:val="single" w:sz="4" w:space="0" w:color="auto"/>
              <w:bottom w:val="single" w:sz="4" w:space="0" w:color="auto"/>
              <w:right w:val="single" w:sz="4" w:space="0" w:color="auto"/>
            </w:tcBorders>
            <w:hideMark/>
          </w:tcPr>
          <w:p w14:paraId="3936D376" w14:textId="77777777" w:rsidR="007719C4" w:rsidRPr="005337B0" w:rsidRDefault="007719C4">
            <w:pPr>
              <w:spacing w:before="40" w:after="40"/>
              <w:ind w:left="40" w:right="40"/>
              <w:jc w:val="left"/>
              <w:rPr>
                <w:i/>
                <w:iCs/>
                <w:snapToGrid w:val="0"/>
                <w:kern w:val="22"/>
                <w:sz w:val="20"/>
                <w:szCs w:val="20"/>
              </w:rPr>
            </w:pPr>
            <w:r w:rsidRPr="005337B0">
              <w:rPr>
                <w:i/>
                <w:snapToGrid w:val="0"/>
                <w:kern w:val="22"/>
                <w:sz w:val="20"/>
                <w:szCs w:val="20"/>
                <w:lang w:bidi="fr-FR"/>
              </w:rPr>
              <w:t>Sources d’informations</w:t>
            </w:r>
            <w:r w:rsidRPr="005337B0">
              <w:rPr>
                <w:rStyle w:val="FootnoteReference"/>
                <w:i/>
                <w:snapToGrid w:val="0"/>
                <w:kern w:val="22"/>
                <w:sz w:val="20"/>
                <w:szCs w:val="20"/>
                <w:lang w:bidi="fr-FR"/>
              </w:rPr>
              <w:footnoteReference w:id="15"/>
            </w:r>
          </w:p>
        </w:tc>
      </w:tr>
      <w:tr w:rsidR="007719C4" w:rsidRPr="005337B0" w14:paraId="5BF9042C"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FA6CB69" w14:textId="388D7D2A"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(a) Degré d’application des dispositions du Protocole de Nagoya et des obligations connexes des Parties, y compris l’évaluation des progrès accomplis par les Parties dans la mise en place de structures institutionnelles et de mesures d’accès et de partage des avantages en vue de l’application du Protocole.</w:t>
            </w:r>
          </w:p>
        </w:tc>
        <w:tc>
          <w:tcPr>
            <w:tcW w:w="4482" w:type="dxa"/>
            <w:tcBorders>
              <w:top w:val="single" w:sz="4" w:space="0" w:color="auto"/>
              <w:left w:val="single" w:sz="4" w:space="0" w:color="auto"/>
              <w:bottom w:val="single" w:sz="4" w:space="0" w:color="auto"/>
              <w:right w:val="single" w:sz="4" w:space="0" w:color="auto"/>
            </w:tcBorders>
            <w:hideMark/>
          </w:tcPr>
          <w:p w14:paraId="4CD64CE4"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Premiers rapports nationaux</w:t>
            </w:r>
          </w:p>
          <w:p w14:paraId="5450A72F" w14:textId="27079837" w:rsidR="007719C4" w:rsidRPr="005337B0" w:rsidRDefault="00FE68EF">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Centre d’échange sur l’accès et le partage des avantages</w:t>
            </w:r>
          </w:p>
          <w:p w14:paraId="352AA68B"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Rapports nationaux soumis au titre de la Convention</w:t>
            </w:r>
          </w:p>
          <w:p w14:paraId="4043EEA0"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Stratégies et plans d’action nationaux pour la diversité biologique</w:t>
            </w:r>
          </w:p>
          <w:p w14:paraId="1A557869" w14:textId="1E46D128" w:rsidR="007719C4"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Enquête ciblée</w:t>
            </w:r>
          </w:p>
        </w:tc>
      </w:tr>
      <w:tr w:rsidR="007719C4" w:rsidRPr="005337B0" w14:paraId="0C82BFE0"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7B21F661"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(b) Évaluation de l’efficacité</w:t>
            </w:r>
          </w:p>
        </w:tc>
        <w:tc>
          <w:tcPr>
            <w:tcW w:w="4482" w:type="dxa"/>
            <w:tcBorders>
              <w:top w:val="single" w:sz="4" w:space="0" w:color="auto"/>
              <w:left w:val="single" w:sz="4" w:space="0" w:color="auto"/>
              <w:bottom w:val="single" w:sz="4" w:space="0" w:color="auto"/>
              <w:right w:val="single" w:sz="4" w:space="0" w:color="auto"/>
            </w:tcBorders>
            <w:hideMark/>
          </w:tcPr>
          <w:p w14:paraId="60F5E4BE" w14:textId="77777777" w:rsidR="007719C4" w:rsidRPr="005337B0" w:rsidRDefault="08CAE885"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fr-FR" w:bidi="fr-FR"/>
              </w:rPr>
              <w:t>Premiers rapports nationaux (questions 10, 12, 19, 30 à 32 et 43 à 45 du format)</w:t>
            </w:r>
          </w:p>
          <w:p w14:paraId="54553074" w14:textId="6967354B" w:rsidR="007719C4" w:rsidRPr="005337B0" w:rsidRDefault="00926AD6"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fr-FR" w:bidi="fr-FR"/>
              </w:rPr>
              <w:t>Centre d’échange sur l’accès et le partage des avantages</w:t>
            </w:r>
          </w:p>
          <w:p w14:paraId="5D792B66" w14:textId="5669BEEA" w:rsidR="007719C4" w:rsidRPr="005337B0" w:rsidRDefault="08CAE885"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fr-FR" w:bidi="fr-FR"/>
              </w:rPr>
              <w:t>Enquête ciblée</w:t>
            </w:r>
          </w:p>
        </w:tc>
      </w:tr>
      <w:tr w:rsidR="007719C4" w:rsidRPr="005337B0" w14:paraId="6F588344"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F07A35C"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lastRenderedPageBreak/>
              <w:t>(c) Évaluation de l’appui disponible pour la mise en œuvre</w:t>
            </w:r>
          </w:p>
        </w:tc>
        <w:tc>
          <w:tcPr>
            <w:tcW w:w="4482" w:type="dxa"/>
            <w:tcBorders>
              <w:top w:val="single" w:sz="4" w:space="0" w:color="auto"/>
              <w:left w:val="single" w:sz="4" w:space="0" w:color="auto"/>
              <w:bottom w:val="single" w:sz="4" w:space="0" w:color="auto"/>
              <w:right w:val="single" w:sz="4" w:space="0" w:color="auto"/>
            </w:tcBorders>
            <w:hideMark/>
          </w:tcPr>
          <w:p w14:paraId="3312AFA1"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Premiers rapports nationaux (questions 54, 55 et 59 à 64)</w:t>
            </w:r>
          </w:p>
          <w:p w14:paraId="6EE87798" w14:textId="37746ABE" w:rsidR="007719C4" w:rsidRPr="005337B0" w:rsidRDefault="006E3799"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Centre d’échange sur l’accès et le partage des avantages</w:t>
            </w:r>
          </w:p>
          <w:p w14:paraId="674106B1"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Informations sur le renforcement des capacités et les ressources</w:t>
            </w:r>
          </w:p>
          <w:p w14:paraId="5EEAC370" w14:textId="145FA501"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Enquête ciblée</w:t>
            </w:r>
          </w:p>
        </w:tc>
      </w:tr>
      <w:tr w:rsidR="007719C4" w:rsidRPr="005337B0" w14:paraId="103394D3"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31B0B0E7"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(d) Évaluation de l’efficacité de l’article 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627F68A8" w14:textId="77777777" w:rsidR="007719C4" w:rsidRPr="005337B0" w:rsidRDefault="007719C4"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fr-FR" w:bidi="fr-FR"/>
              </w:rPr>
              <w:t>Premiers rapports nationaux (questions 25 à 28)</w:t>
            </w:r>
          </w:p>
          <w:p w14:paraId="1A8234E2" w14:textId="0DFC7B80" w:rsidR="007719C4"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Enquête ciblée</w:t>
            </w:r>
          </w:p>
        </w:tc>
      </w:tr>
      <w:tr w:rsidR="007719C4" w:rsidRPr="005337B0" w14:paraId="3724A966"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25E12A83"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 xml:space="preserve">(e) Évaluation de l’application de l’article 16 à la lumière des faits nouveaux intervenus dans d’autres organisations internationales pertinentes, entre autres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4A289E7C"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Premiers rapports nationaux (question 20)</w:t>
            </w:r>
          </w:p>
          <w:p w14:paraId="1354CC0C"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Rapports, entre autres, du Comité intergouvernemental sur la propriété intellectuelle et les ressources génétiques, les savoirs traditionnels et le folklore de l’Organisation mondiale de la propriété intellectuelle</w:t>
            </w:r>
          </w:p>
        </w:tc>
      </w:tr>
      <w:tr w:rsidR="007719C4" w:rsidRPr="005337B0" w14:paraId="3E72B030"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14837B02"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(f) Bilan de l’utilisation des clauses contractuelles types, des codes de conduite, des lignes directrices, des pratiques exemplaires et des normes, ainsi que du droit coutumier des peuples autochtones et des communautés locales, des protocoles et des procédures communautaires</w:t>
            </w:r>
          </w:p>
        </w:tc>
        <w:tc>
          <w:tcPr>
            <w:tcW w:w="4482" w:type="dxa"/>
            <w:tcBorders>
              <w:top w:val="single" w:sz="4" w:space="0" w:color="auto"/>
              <w:left w:val="single" w:sz="4" w:space="0" w:color="auto"/>
              <w:bottom w:val="single" w:sz="4" w:space="0" w:color="auto"/>
              <w:right w:val="single" w:sz="4" w:space="0" w:color="auto"/>
            </w:tcBorders>
            <w:hideMark/>
          </w:tcPr>
          <w:p w14:paraId="1312C41C" w14:textId="77777777" w:rsidR="007719C4" w:rsidRPr="005337B0" w:rsidRDefault="08CAE885" w:rsidP="004A60DE">
            <w:pPr>
              <w:pStyle w:val="ListParagraph"/>
              <w:numPr>
                <w:ilvl w:val="0"/>
                <w:numId w:val="28"/>
              </w:numPr>
              <w:tabs>
                <w:tab w:val="left" w:pos="329"/>
              </w:tabs>
              <w:spacing w:before="40" w:after="40"/>
              <w:ind w:left="319" w:right="40" w:hanging="283"/>
              <w:rPr>
                <w:snapToGrid w:val="0"/>
                <w:kern w:val="22"/>
                <w:sz w:val="20"/>
                <w:szCs w:val="20"/>
              </w:rPr>
            </w:pPr>
            <w:r w:rsidRPr="005337B0">
              <w:rPr>
                <w:snapToGrid w:val="0"/>
                <w:kern w:val="22"/>
                <w:sz w:val="20"/>
                <w:szCs w:val="20"/>
                <w:lang w:val="fr-FR" w:bidi="fr-FR"/>
              </w:rPr>
              <w:t>Premiers rapports nationaux (questions 39 et 50 à 51)</w:t>
            </w:r>
          </w:p>
          <w:p w14:paraId="51FA2B7B" w14:textId="082FD577" w:rsidR="007719C4" w:rsidRPr="005337B0" w:rsidRDefault="006E3799" w:rsidP="0033721D">
            <w:pPr>
              <w:pStyle w:val="ListParagraph"/>
              <w:numPr>
                <w:ilvl w:val="0"/>
                <w:numId w:val="28"/>
              </w:numPr>
              <w:tabs>
                <w:tab w:val="left" w:pos="329"/>
              </w:tabs>
              <w:spacing w:before="40" w:after="40"/>
              <w:ind w:left="319" w:right="40" w:hanging="285"/>
              <w:rPr>
                <w:snapToGrid w:val="0"/>
                <w:kern w:val="22"/>
                <w:sz w:val="20"/>
                <w:szCs w:val="20"/>
                <w:lang w:val="en-GB"/>
              </w:rPr>
            </w:pPr>
            <w:r w:rsidRPr="005337B0">
              <w:rPr>
                <w:snapToGrid w:val="0"/>
                <w:kern w:val="22"/>
                <w:sz w:val="20"/>
                <w:szCs w:val="20"/>
                <w:lang w:val="fr-FR" w:bidi="fr-FR"/>
              </w:rPr>
              <w:t>Centre d’échange sur l’accès et le partage des avantages</w:t>
            </w:r>
          </w:p>
          <w:p w14:paraId="0562E833" w14:textId="09190C56" w:rsidR="0000453D"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Enquête ciblée</w:t>
            </w:r>
          </w:p>
        </w:tc>
      </w:tr>
      <w:tr w:rsidR="007719C4" w:rsidRPr="005337B0" w14:paraId="577183F4"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50DDFC1A" w14:textId="052CBD14"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(g) Examen de la mise en œuvre et du fonctionnement du Centre d’échange sur l’accès et le partage des avantages, et notamment du nombre de mesures d’accès et de partage des avantages mises à disposition, du nombre de pays ayant publié des informations sur leurs autorités nationales compétentes, du nombre de certificats de conformité internationalement reconnus qui ont été établis et du nombre de communiqués publiés aux points de contrôle</w:t>
            </w:r>
          </w:p>
        </w:tc>
        <w:tc>
          <w:tcPr>
            <w:tcW w:w="4482" w:type="dxa"/>
            <w:tcBorders>
              <w:top w:val="single" w:sz="4" w:space="0" w:color="auto"/>
              <w:left w:val="single" w:sz="4" w:space="0" w:color="auto"/>
              <w:bottom w:val="single" w:sz="4" w:space="0" w:color="auto"/>
              <w:right w:val="single" w:sz="4" w:space="0" w:color="auto"/>
            </w:tcBorders>
            <w:hideMark/>
          </w:tcPr>
          <w:p w14:paraId="6F1D430A"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Premiers rapports nationaux (questions 4, 5, 7, 12, 13 et 21)</w:t>
            </w:r>
          </w:p>
          <w:p w14:paraId="50A1CF6B" w14:textId="205E68DB" w:rsidR="007719C4" w:rsidRPr="005337B0" w:rsidRDefault="006E3799"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Centre d’échange sur l’accès et le partage des avantages</w:t>
            </w:r>
          </w:p>
          <w:p w14:paraId="6A9F0E37" w14:textId="60E96310"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Rapports des réunions relatives au Centre d’échange sur l’accès et le partage des avantages</w:t>
            </w:r>
          </w:p>
          <w:p w14:paraId="72F145B8"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fr-FR" w:bidi="fr-FR"/>
              </w:rPr>
              <w:t xml:space="preserve">Enquête ciblée </w:t>
            </w:r>
          </w:p>
          <w:p w14:paraId="53D28C9F"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lang w:val="en-GB"/>
              </w:rPr>
            </w:pPr>
            <w:r w:rsidRPr="005337B0">
              <w:rPr>
                <w:snapToGrid w:val="0"/>
                <w:kern w:val="22"/>
                <w:sz w:val="20"/>
                <w:szCs w:val="20"/>
                <w:lang w:val="fr-FR" w:bidi="fr-FR"/>
              </w:rPr>
              <w:t>Google Analytics</w:t>
            </w:r>
          </w:p>
          <w:p w14:paraId="2D0C99B5" w14:textId="4163A216" w:rsidR="0055647D" w:rsidRPr="005337B0" w:rsidRDefault="0055647D" w:rsidP="001A3456">
            <w:pPr>
              <w:tabs>
                <w:tab w:val="left" w:pos="329"/>
              </w:tabs>
              <w:spacing w:before="40" w:after="40"/>
              <w:ind w:left="34" w:right="40"/>
              <w:rPr>
                <w:snapToGrid w:val="0"/>
                <w:kern w:val="22"/>
                <w:sz w:val="20"/>
                <w:szCs w:val="20"/>
              </w:rPr>
            </w:pPr>
          </w:p>
        </w:tc>
      </w:tr>
      <w:tr w:rsidR="007719C4" w:rsidRPr="005337B0" w14:paraId="15BF47C7"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tcPr>
          <w:p w14:paraId="38E00141"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(h) Progrès concernant l’article 10, relatif à 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44B1AB32"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Rapports pertinents à la Conférence des Parties siégeant en tant que réunion des Parties au Protocole</w:t>
            </w:r>
          </w:p>
          <w:p w14:paraId="049CFDBF" w14:textId="654502C3" w:rsidR="0000453D" w:rsidRPr="005337B0" w:rsidRDefault="0000453D">
            <w:pPr>
              <w:spacing w:before="40" w:after="40"/>
              <w:ind w:left="40" w:right="40"/>
              <w:jc w:val="left"/>
              <w:rPr>
                <w:snapToGrid w:val="0"/>
                <w:kern w:val="22"/>
                <w:sz w:val="20"/>
                <w:szCs w:val="20"/>
              </w:rPr>
            </w:pPr>
          </w:p>
        </w:tc>
      </w:tr>
      <w:tr w:rsidR="007719C4" w:rsidRPr="005337B0" w14:paraId="128FDCCC"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tcPr>
          <w:p w14:paraId="66316A64"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(i) Progrès accomplis en ce qui concerne l’article 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10CB7B03"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fr-FR" w:bidi="fr-FR"/>
              </w:rPr>
              <w:t>Premiers rapports nationaux (question 57)</w:t>
            </w:r>
          </w:p>
          <w:p w14:paraId="4D7745DB"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fr-FR" w:bidi="fr-FR"/>
              </w:rPr>
              <w:t>Enquête ciblée</w:t>
            </w:r>
          </w:p>
          <w:p w14:paraId="693ADF27" w14:textId="74E4CBB2" w:rsidR="0000453D" w:rsidRPr="005337B0" w:rsidRDefault="0000453D" w:rsidP="001A3456">
            <w:pPr>
              <w:tabs>
                <w:tab w:val="left" w:pos="329"/>
              </w:tabs>
              <w:spacing w:before="40" w:after="40"/>
              <w:ind w:left="34" w:right="40"/>
              <w:rPr>
                <w:snapToGrid w:val="0"/>
                <w:kern w:val="22"/>
                <w:sz w:val="20"/>
                <w:szCs w:val="20"/>
              </w:rPr>
            </w:pPr>
          </w:p>
        </w:tc>
      </w:tr>
      <w:tr w:rsidR="007719C4" w:rsidRPr="005337B0" w14:paraId="4ACCC72D" w14:textId="77777777" w:rsidTr="0033721D">
        <w:trPr>
          <w:cantSplit/>
          <w:jc w:val="right"/>
        </w:trPr>
        <w:tc>
          <w:tcPr>
            <w:tcW w:w="4673" w:type="dxa"/>
            <w:tcBorders>
              <w:top w:val="single" w:sz="4" w:space="0" w:color="auto"/>
              <w:left w:val="single" w:sz="4" w:space="0" w:color="auto"/>
              <w:bottom w:val="single" w:sz="4" w:space="0" w:color="auto"/>
              <w:right w:val="single" w:sz="4" w:space="0" w:color="auto"/>
            </w:tcBorders>
          </w:tcPr>
          <w:p w14:paraId="34163ABA" w14:textId="27344CE9" w:rsidR="007719C4" w:rsidRPr="005337B0" w:rsidRDefault="007719C4">
            <w:pPr>
              <w:spacing w:before="40" w:after="40"/>
              <w:ind w:left="40" w:right="40"/>
              <w:jc w:val="left"/>
              <w:rPr>
                <w:snapToGrid w:val="0"/>
                <w:kern w:val="22"/>
                <w:sz w:val="20"/>
                <w:szCs w:val="20"/>
              </w:rPr>
            </w:pPr>
            <w:r w:rsidRPr="005337B0">
              <w:rPr>
                <w:snapToGrid w:val="0"/>
                <w:kern w:val="22"/>
                <w:sz w:val="20"/>
                <w:szCs w:val="20"/>
                <w:lang w:bidi="fr-FR"/>
              </w:rPr>
              <w:t>(j) Examen préliminaire des procédures et mécanismes de conformité (</w:t>
            </w:r>
            <w:hyperlink r:id="rId35" w:history="1">
              <w:r w:rsidRPr="005337B0">
                <w:rPr>
                  <w:snapToGrid w:val="0"/>
                  <w:kern w:val="22"/>
                  <w:sz w:val="20"/>
                  <w:szCs w:val="20"/>
                  <w:lang w:bidi="fr-FR"/>
                </w:rPr>
                <w:t>décision NP-1/4</w:t>
              </w:r>
            </w:hyperlink>
            <w:r w:rsidRPr="005337B0">
              <w:rPr>
                <w:snapToGrid w:val="0"/>
                <w:kern w:val="22"/>
                <w:sz w:val="20"/>
                <w:szCs w:val="20"/>
                <w:lang w:bidi="fr-FR"/>
              </w:rPr>
              <w:t>, annexe)</w:t>
            </w:r>
          </w:p>
        </w:tc>
        <w:tc>
          <w:tcPr>
            <w:tcW w:w="4482" w:type="dxa"/>
            <w:tcBorders>
              <w:top w:val="single" w:sz="4" w:space="0" w:color="auto"/>
              <w:left w:val="single" w:sz="4" w:space="0" w:color="auto"/>
              <w:bottom w:val="single" w:sz="4" w:space="0" w:color="auto"/>
              <w:right w:val="single" w:sz="4" w:space="0" w:color="auto"/>
            </w:tcBorders>
          </w:tcPr>
          <w:p w14:paraId="53D7C963"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fr-FR" w:bidi="fr-FR"/>
              </w:rPr>
              <w:t>Soumission des points de vue</w:t>
            </w:r>
          </w:p>
          <w:p w14:paraId="1855B050" w14:textId="72061A60" w:rsidR="007719C4" w:rsidRPr="005337B0" w:rsidRDefault="08CAE885" w:rsidP="0033721D">
            <w:pPr>
              <w:pStyle w:val="ListParagraph"/>
              <w:numPr>
                <w:ilvl w:val="0"/>
                <w:numId w:val="28"/>
              </w:numPr>
              <w:tabs>
                <w:tab w:val="left" w:pos="329"/>
              </w:tabs>
              <w:spacing w:before="40" w:after="40"/>
              <w:ind w:left="319" w:right="40" w:hanging="285"/>
              <w:rPr>
                <w:snapToGrid w:val="0"/>
                <w:kern w:val="22"/>
                <w:sz w:val="20"/>
                <w:szCs w:val="20"/>
                <w:lang w:val="en-GB"/>
              </w:rPr>
            </w:pPr>
            <w:r w:rsidRPr="005337B0">
              <w:rPr>
                <w:snapToGrid w:val="0"/>
                <w:kern w:val="22"/>
                <w:sz w:val="20"/>
                <w:szCs w:val="20"/>
                <w:lang w:val="fr-FR" w:bidi="fr-FR"/>
              </w:rPr>
              <w:t>Rapport du Comité chargé du respect des dispositions</w:t>
            </w:r>
          </w:p>
          <w:p w14:paraId="2A599C45" w14:textId="77777777" w:rsidR="007719C4" w:rsidRPr="005337B0" w:rsidRDefault="007719C4">
            <w:pPr>
              <w:tabs>
                <w:tab w:val="left" w:pos="329"/>
              </w:tabs>
              <w:spacing w:before="40" w:after="40"/>
              <w:ind w:left="34" w:right="40"/>
              <w:rPr>
                <w:snapToGrid w:val="0"/>
                <w:kern w:val="22"/>
                <w:sz w:val="20"/>
                <w:szCs w:val="20"/>
              </w:rPr>
            </w:pPr>
          </w:p>
        </w:tc>
      </w:tr>
    </w:tbl>
    <w:p w14:paraId="052E11E5" w14:textId="77777777" w:rsidR="00D35FD1" w:rsidRPr="005337B0" w:rsidRDefault="00D35FD1" w:rsidP="0035247F">
      <w:pPr>
        <w:suppressLineNumbers/>
        <w:suppressAutoHyphens/>
        <w:kinsoku w:val="0"/>
        <w:overflowPunct w:val="0"/>
        <w:autoSpaceDE w:val="0"/>
        <w:autoSpaceDN w:val="0"/>
        <w:adjustRightInd w:val="0"/>
        <w:snapToGrid w:val="0"/>
        <w:spacing w:before="120" w:after="120"/>
        <w:rPr>
          <w:rFonts w:eastAsia="Malgun Gothic"/>
          <w:kern w:val="22"/>
          <w:szCs w:val="22"/>
        </w:rPr>
      </w:pPr>
    </w:p>
    <w:p w14:paraId="37776234" w14:textId="48C1266E" w:rsidR="00D35FD1" w:rsidRPr="000962AA" w:rsidRDefault="00D35FD1" w:rsidP="009264C9">
      <w:pPr>
        <w:jc w:val="center"/>
        <w:rPr>
          <w:kern w:val="22"/>
          <w:szCs w:val="22"/>
        </w:rPr>
      </w:pPr>
      <w:r w:rsidRPr="005337B0">
        <w:rPr>
          <w:kern w:val="22"/>
          <w:szCs w:val="22"/>
          <w:lang w:bidi="fr-FR"/>
        </w:rPr>
        <w:t>__________</w:t>
      </w:r>
    </w:p>
    <w:sectPr w:rsidR="00D35FD1" w:rsidRPr="000962AA" w:rsidSect="00511461">
      <w:footnotePr>
        <w:numRestart w:val="eachSect"/>
      </w:footnotePr>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061C3" w14:textId="77777777" w:rsidR="00511461" w:rsidRDefault="00511461" w:rsidP="00A96B21">
      <w:r>
        <w:separator/>
      </w:r>
    </w:p>
  </w:endnote>
  <w:endnote w:type="continuationSeparator" w:id="0">
    <w:p w14:paraId="0C723465" w14:textId="77777777" w:rsidR="00511461" w:rsidRDefault="00511461" w:rsidP="00A96B21">
      <w:r>
        <w:continuationSeparator/>
      </w:r>
    </w:p>
  </w:endnote>
  <w:endnote w:type="continuationNotice" w:id="1">
    <w:p w14:paraId="78870F57" w14:textId="77777777" w:rsidR="00511461" w:rsidRDefault="00511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6FBF" w14:textId="77777777" w:rsidR="0052660F" w:rsidRDefault="0052660F">
    <w:pPr>
      <w:pStyle w:val="Footer"/>
    </w:pPr>
    <w:r w:rsidRPr="002B559C">
      <w:rPr>
        <w:sz w:val="20"/>
        <w:szCs w:val="20"/>
        <w:lang w:bidi="fr-FR"/>
      </w:rPr>
      <w:fldChar w:fldCharType="begin"/>
    </w:r>
    <w:r w:rsidRPr="002B559C">
      <w:rPr>
        <w:sz w:val="20"/>
        <w:szCs w:val="20"/>
        <w:lang w:bidi="fr-FR"/>
      </w:rPr>
      <w:instrText xml:space="preserve"> PAGE </w:instrText>
    </w:r>
    <w:r w:rsidRPr="002B559C">
      <w:rPr>
        <w:sz w:val="20"/>
        <w:szCs w:val="20"/>
        <w:lang w:bidi="fr-FR"/>
      </w:rPr>
      <w:fldChar w:fldCharType="separate"/>
    </w:r>
    <w:r w:rsidRPr="002B559C">
      <w:rPr>
        <w:noProof/>
        <w:sz w:val="20"/>
        <w:szCs w:val="20"/>
        <w:lang w:bidi="fr-FR"/>
      </w:rPr>
      <w:t>2</w:t>
    </w:r>
    <w:r w:rsidRPr="002B559C">
      <w:rPr>
        <w:sz w:val="20"/>
        <w:szCs w:val="20"/>
        <w:lang w:bidi="fr-FR"/>
      </w:rPr>
      <w:fldChar w:fldCharType="end"/>
    </w:r>
    <w:r w:rsidRPr="002B559C">
      <w:rPr>
        <w:sz w:val="20"/>
        <w:szCs w:val="20"/>
        <w:lang w:bidi="fr-FR"/>
      </w:rPr>
      <w:t>/</w:t>
    </w:r>
    <w:r w:rsidRPr="002B559C">
      <w:rPr>
        <w:sz w:val="20"/>
        <w:szCs w:val="20"/>
        <w:lang w:bidi="fr-FR"/>
      </w:rPr>
      <w:fldChar w:fldCharType="begin"/>
    </w:r>
    <w:r w:rsidRPr="002B559C">
      <w:rPr>
        <w:sz w:val="20"/>
        <w:szCs w:val="20"/>
        <w:lang w:bidi="fr-FR"/>
      </w:rPr>
      <w:instrText xml:space="preserve"> NUMPAGES  </w:instrText>
    </w:r>
    <w:r w:rsidRPr="002B559C">
      <w:rPr>
        <w:sz w:val="20"/>
        <w:szCs w:val="20"/>
        <w:lang w:bidi="fr-FR"/>
      </w:rPr>
      <w:fldChar w:fldCharType="separate"/>
    </w:r>
    <w:r w:rsidRPr="002B559C">
      <w:rPr>
        <w:noProof/>
        <w:sz w:val="20"/>
        <w:szCs w:val="20"/>
        <w:lang w:bidi="fr-FR"/>
      </w:rPr>
      <w:t>2</w:t>
    </w:r>
    <w:r w:rsidRPr="002B559C">
      <w:rPr>
        <w:sz w:val="20"/>
        <w:szCs w:val="20"/>
        <w:lang w:bidi="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52C3E4D" w14:textId="2023DED0" w:rsidR="0052660F" w:rsidRDefault="0052660F" w:rsidP="008C4902">
            <w:pPr>
              <w:pStyle w:val="Footer"/>
              <w:jc w:val="right"/>
            </w:pPr>
            <w:r w:rsidRPr="002B559C">
              <w:rPr>
                <w:sz w:val="20"/>
                <w:szCs w:val="20"/>
                <w:lang w:bidi="fr-FR"/>
              </w:rPr>
              <w:fldChar w:fldCharType="begin"/>
            </w:r>
            <w:r w:rsidRPr="002B559C">
              <w:rPr>
                <w:sz w:val="20"/>
                <w:szCs w:val="20"/>
                <w:lang w:bidi="fr-FR"/>
              </w:rPr>
              <w:instrText xml:space="preserve"> PAGE </w:instrText>
            </w:r>
            <w:r w:rsidRPr="002B559C">
              <w:rPr>
                <w:sz w:val="20"/>
                <w:szCs w:val="20"/>
                <w:lang w:bidi="fr-FR"/>
              </w:rPr>
              <w:fldChar w:fldCharType="separate"/>
            </w:r>
            <w:r w:rsidRPr="002B559C">
              <w:rPr>
                <w:noProof/>
                <w:sz w:val="20"/>
                <w:szCs w:val="20"/>
                <w:lang w:bidi="fr-FR"/>
              </w:rPr>
              <w:t>2</w:t>
            </w:r>
            <w:r w:rsidRPr="002B559C">
              <w:rPr>
                <w:sz w:val="20"/>
                <w:szCs w:val="20"/>
                <w:lang w:bidi="fr-FR"/>
              </w:rPr>
              <w:fldChar w:fldCharType="end"/>
            </w:r>
            <w:r w:rsidRPr="002B559C">
              <w:rPr>
                <w:sz w:val="20"/>
                <w:szCs w:val="20"/>
                <w:lang w:bidi="fr-FR"/>
              </w:rPr>
              <w:t>/</w:t>
            </w:r>
            <w:r w:rsidRPr="002B559C">
              <w:rPr>
                <w:sz w:val="20"/>
                <w:szCs w:val="20"/>
                <w:lang w:bidi="fr-FR"/>
              </w:rPr>
              <w:fldChar w:fldCharType="begin"/>
            </w:r>
            <w:r w:rsidRPr="002B559C">
              <w:rPr>
                <w:sz w:val="20"/>
                <w:szCs w:val="20"/>
                <w:lang w:bidi="fr-FR"/>
              </w:rPr>
              <w:instrText xml:space="preserve"> NUMPAGES  </w:instrText>
            </w:r>
            <w:r w:rsidRPr="002B559C">
              <w:rPr>
                <w:sz w:val="20"/>
                <w:szCs w:val="20"/>
                <w:lang w:bidi="fr-FR"/>
              </w:rPr>
              <w:fldChar w:fldCharType="separate"/>
            </w:r>
            <w:r w:rsidRPr="002B559C">
              <w:rPr>
                <w:noProof/>
                <w:sz w:val="20"/>
                <w:szCs w:val="20"/>
                <w:lang w:bidi="fr-FR"/>
              </w:rPr>
              <w:t>2</w:t>
            </w:r>
            <w:r w:rsidRPr="002B559C">
              <w:rPr>
                <w:sz w:val="20"/>
                <w:szCs w:val="20"/>
                <w:lang w:bidi="fr-FR"/>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9C4F8" w14:textId="77777777" w:rsidR="00511461" w:rsidRDefault="00511461" w:rsidP="00A96B21">
      <w:r>
        <w:separator/>
      </w:r>
    </w:p>
  </w:footnote>
  <w:footnote w:type="continuationSeparator" w:id="0">
    <w:p w14:paraId="1FB315AF" w14:textId="77777777" w:rsidR="00511461" w:rsidRDefault="00511461" w:rsidP="00A96B21">
      <w:r>
        <w:continuationSeparator/>
      </w:r>
    </w:p>
  </w:footnote>
  <w:footnote w:type="continuationNotice" w:id="1">
    <w:p w14:paraId="04ED755B" w14:textId="77777777" w:rsidR="00511461" w:rsidRDefault="00511461"/>
  </w:footnote>
  <w:footnote w:id="2">
    <w:p w14:paraId="058FE4D7" w14:textId="573BCA3E" w:rsidR="0052660F" w:rsidRPr="00C91FB5" w:rsidRDefault="0052660F" w:rsidP="009A3ED4">
      <w:pPr>
        <w:pStyle w:val="Footnote"/>
      </w:pPr>
      <w:r w:rsidRPr="0080246D">
        <w:rPr>
          <w:rStyle w:val="FootnoteReference"/>
          <w:lang w:val="fr-FR" w:bidi="fr-FR"/>
        </w:rPr>
        <w:t xml:space="preserve">* </w:t>
      </w:r>
      <w:r w:rsidRPr="00C91FB5">
        <w:rPr>
          <w:lang w:val="fr-FR" w:bidi="fr-FR"/>
        </w:rPr>
        <w:t>CBD/SBI/4/1</w:t>
      </w:r>
    </w:p>
  </w:footnote>
  <w:footnote w:id="3">
    <w:p w14:paraId="3B4460F9" w14:textId="72B56E33" w:rsidR="00C91FB5" w:rsidRPr="00D17C52" w:rsidRDefault="00C91FB5">
      <w:pPr>
        <w:pStyle w:val="FootnoteText"/>
        <w:rPr>
          <w:lang w:val="en-US"/>
        </w:rPr>
      </w:pPr>
      <w:r w:rsidRPr="00D17C52">
        <w:rPr>
          <w:rStyle w:val="FootnoteReference"/>
          <w:sz w:val="18"/>
          <w:szCs w:val="18"/>
          <w:lang w:bidi="fr-FR"/>
        </w:rPr>
        <w:t>**</w:t>
      </w:r>
      <w:r w:rsidRPr="00D17C52">
        <w:rPr>
          <w:sz w:val="18"/>
          <w:szCs w:val="18"/>
          <w:lang w:bidi="fr-FR"/>
        </w:rPr>
        <w:t xml:space="preserve"> Le présent document est publié sans avoir été revu par les services de révision.</w:t>
      </w:r>
    </w:p>
  </w:footnote>
  <w:footnote w:id="4">
    <w:p w14:paraId="0C55916A" w14:textId="653E5AD9" w:rsidR="0052660F" w:rsidRPr="00937C02" w:rsidRDefault="0052660F">
      <w:pPr>
        <w:pStyle w:val="FootnoteText"/>
        <w:rPr>
          <w:lang w:val="en-US"/>
        </w:rPr>
      </w:pPr>
      <w:r>
        <w:rPr>
          <w:rStyle w:val="FootnoteReference"/>
          <w:lang w:bidi="fr-FR"/>
        </w:rPr>
        <w:footnoteRef/>
      </w:r>
      <w:r w:rsidRPr="00363F68">
        <w:rPr>
          <w:sz w:val="18"/>
          <w:szCs w:val="18"/>
          <w:lang w:bidi="fr-FR"/>
        </w:rPr>
        <w:t xml:space="preserve">Voir l’analyseur de rapports nationaux à l’adresse suivante : </w:t>
      </w:r>
      <w:hyperlink r:id="rId1" w:history="1">
        <w:r w:rsidRPr="00363F68">
          <w:rPr>
            <w:rStyle w:val="Hyperlink"/>
            <w:sz w:val="18"/>
            <w:szCs w:val="18"/>
            <w:lang w:bidi="fr-FR"/>
          </w:rPr>
          <w:t>https://absch.cbd.int/fr/reports</w:t>
        </w:r>
      </w:hyperlink>
      <w:r w:rsidRPr="00363F68">
        <w:rPr>
          <w:sz w:val="18"/>
          <w:szCs w:val="18"/>
          <w:lang w:bidi="fr-FR"/>
        </w:rPr>
        <w:t>.</w:t>
      </w:r>
    </w:p>
  </w:footnote>
  <w:footnote w:id="5">
    <w:p w14:paraId="358E0D5B" w14:textId="6CE9500B" w:rsidR="0052660F" w:rsidRPr="0035247F" w:rsidRDefault="0052660F" w:rsidP="00974707">
      <w:pPr>
        <w:pStyle w:val="FootnoteText"/>
        <w:rPr>
          <w:lang w:val="pt-PT"/>
        </w:rPr>
      </w:pPr>
      <w:r>
        <w:rPr>
          <w:rStyle w:val="FootnoteReference"/>
          <w:lang w:bidi="fr-FR"/>
        </w:rPr>
        <w:footnoteRef/>
      </w:r>
      <w:r w:rsidRPr="0035247F">
        <w:rPr>
          <w:lang w:bidi="fr-FR"/>
        </w:rPr>
        <w:t xml:space="preserve"> </w:t>
      </w:r>
      <w:hyperlink r:id="rId2" w:history="1">
        <w:r w:rsidRPr="0035247F">
          <w:rPr>
            <w:rStyle w:val="Hyperlink"/>
            <w:sz w:val="18"/>
            <w:szCs w:val="18"/>
            <w:lang w:bidi="fr-FR"/>
          </w:rPr>
          <w:t>CBD/CP/CC/17/6</w:t>
        </w:r>
      </w:hyperlink>
      <w:r w:rsidRPr="0035247F">
        <w:rPr>
          <w:sz w:val="18"/>
          <w:szCs w:val="18"/>
          <w:lang w:bidi="fr-FR"/>
        </w:rPr>
        <w:t>, par. 16.</w:t>
      </w:r>
    </w:p>
  </w:footnote>
  <w:footnote w:id="6">
    <w:p w14:paraId="14FD5991" w14:textId="2DB13DEC" w:rsidR="0052660F" w:rsidRPr="00D17C52" w:rsidRDefault="0052660F">
      <w:pPr>
        <w:pStyle w:val="FootnoteText"/>
        <w:rPr>
          <w:sz w:val="18"/>
          <w:szCs w:val="18"/>
          <w:lang w:val="pt-PT"/>
        </w:rPr>
      </w:pPr>
      <w:r w:rsidRPr="00D17C52">
        <w:rPr>
          <w:rStyle w:val="FootnoteReference"/>
          <w:sz w:val="18"/>
          <w:szCs w:val="18"/>
          <w:lang w:bidi="fr-FR"/>
        </w:rPr>
        <w:footnoteRef/>
      </w:r>
      <w:r w:rsidRPr="00D17C52">
        <w:rPr>
          <w:sz w:val="18"/>
          <w:szCs w:val="18"/>
          <w:lang w:bidi="fr-FR"/>
        </w:rPr>
        <w:t xml:space="preserve"> Voir le document </w:t>
      </w:r>
      <w:hyperlink r:id="rId3" w:history="1">
        <w:r w:rsidRPr="00D17C52">
          <w:rPr>
            <w:rStyle w:val="Hyperlink"/>
            <w:sz w:val="18"/>
            <w:szCs w:val="18"/>
            <w:lang w:bidi="fr-FR"/>
          </w:rPr>
          <w:t>CBD/NP/CC/4/4</w:t>
        </w:r>
      </w:hyperlink>
      <w:r w:rsidRPr="00D17C52">
        <w:rPr>
          <w:sz w:val="18"/>
          <w:szCs w:val="18"/>
          <w:lang w:bidi="fr-FR"/>
        </w:rPr>
        <w:t>.</w:t>
      </w:r>
    </w:p>
  </w:footnote>
  <w:footnote w:id="7">
    <w:p w14:paraId="4A936FDE" w14:textId="0E1E21CF" w:rsidR="0052660F" w:rsidRPr="00D17C52" w:rsidRDefault="0052660F" w:rsidP="00907626">
      <w:pPr>
        <w:pStyle w:val="FootnoteText"/>
        <w:rPr>
          <w:sz w:val="18"/>
          <w:szCs w:val="18"/>
          <w:lang w:val="en-CA"/>
        </w:rPr>
      </w:pPr>
      <w:r w:rsidRPr="00D17C52">
        <w:rPr>
          <w:rStyle w:val="FootnoteReference"/>
          <w:sz w:val="18"/>
          <w:szCs w:val="18"/>
          <w:lang w:bidi="fr-FR"/>
        </w:rPr>
        <w:footnoteRef/>
      </w:r>
      <w:r w:rsidR="00C93092">
        <w:rPr>
          <w:sz w:val="18"/>
          <w:szCs w:val="18"/>
          <w:lang w:bidi="fr-FR"/>
        </w:rPr>
        <w:t xml:space="preserve"> Document CBD/CP/CC/4/5, par. 42 à 48.</w:t>
      </w:r>
    </w:p>
  </w:footnote>
  <w:footnote w:id="8">
    <w:p w14:paraId="74D9BA2D" w14:textId="6947B382" w:rsidR="0052660F" w:rsidRPr="009F4F9E" w:rsidRDefault="0052660F">
      <w:pPr>
        <w:pStyle w:val="FootnoteText"/>
      </w:pPr>
      <w:r w:rsidRPr="00D17C52">
        <w:rPr>
          <w:rStyle w:val="FootnoteReference"/>
          <w:sz w:val="18"/>
          <w:szCs w:val="18"/>
          <w:lang w:bidi="fr-FR"/>
        </w:rPr>
        <w:footnoteRef/>
      </w:r>
      <w:r w:rsidRPr="00D17C52">
        <w:rPr>
          <w:sz w:val="18"/>
          <w:szCs w:val="18"/>
          <w:lang w:bidi="fr-FR"/>
        </w:rPr>
        <w:t xml:space="preserve"> Voir section VI B ci-dessous pour plus d’informations.</w:t>
      </w:r>
    </w:p>
  </w:footnote>
  <w:footnote w:id="9">
    <w:p w14:paraId="43A82984" w14:textId="502E5C51" w:rsidR="0052660F" w:rsidRPr="009F4F9E" w:rsidRDefault="0052660F" w:rsidP="00474ED1">
      <w:pPr>
        <w:pStyle w:val="FootnoteText"/>
        <w:rPr>
          <w:lang w:val="en-CA"/>
        </w:rPr>
      </w:pPr>
      <w:r>
        <w:rPr>
          <w:rStyle w:val="FootnoteReference"/>
          <w:lang w:bidi="fr-FR"/>
        </w:rPr>
        <w:footnoteRef/>
      </w:r>
      <w:r w:rsidRPr="009F4F9E">
        <w:rPr>
          <w:lang w:bidi="fr-FR"/>
        </w:rPr>
        <w:t xml:space="preserve"> </w:t>
      </w:r>
      <w:hyperlink r:id="rId4" w:history="1">
        <w:r w:rsidRPr="009F4F9E">
          <w:rPr>
            <w:rStyle w:val="Hyperlink"/>
            <w:color w:val="auto"/>
            <w:sz w:val="18"/>
            <w:szCs w:val="18"/>
            <w:u w:val="none"/>
            <w:lang w:bidi="fr-FR"/>
          </w:rPr>
          <w:t xml:space="preserve">Décision </w:t>
        </w:r>
        <w:r w:rsidRPr="009F4F9E">
          <w:rPr>
            <w:rStyle w:val="Hyperlink"/>
            <w:sz w:val="18"/>
            <w:szCs w:val="18"/>
            <w:lang w:bidi="fr-FR"/>
          </w:rPr>
          <w:t>NP-1/4</w:t>
        </w:r>
      </w:hyperlink>
      <w:r w:rsidRPr="009F4F9E">
        <w:rPr>
          <w:rStyle w:val="Hyperlink"/>
          <w:sz w:val="18"/>
          <w:szCs w:val="18"/>
          <w:lang w:bidi="fr-FR"/>
        </w:rPr>
        <w:t>, annexe</w:t>
      </w:r>
      <w:r w:rsidRPr="009F4F9E">
        <w:rPr>
          <w:rStyle w:val="Hyperlink"/>
          <w:color w:val="auto"/>
          <w:sz w:val="18"/>
          <w:szCs w:val="18"/>
          <w:u w:val="none"/>
          <w:lang w:bidi="fr-FR"/>
        </w:rPr>
        <w:t>.</w:t>
      </w:r>
    </w:p>
  </w:footnote>
  <w:footnote w:id="10">
    <w:p w14:paraId="528EBD12" w14:textId="64FF9873" w:rsidR="0052660F" w:rsidRPr="00B90F0C" w:rsidRDefault="0052660F" w:rsidP="00D03E41">
      <w:pPr>
        <w:pStyle w:val="FootnoteText"/>
        <w:rPr>
          <w:lang w:val="en-CA"/>
        </w:rPr>
      </w:pPr>
      <w:r>
        <w:rPr>
          <w:rStyle w:val="FootnoteReference"/>
          <w:lang w:bidi="fr-FR"/>
        </w:rPr>
        <w:footnoteRef/>
      </w:r>
      <w:r w:rsidRPr="00D3415E">
        <w:rPr>
          <w:lang w:bidi="fr-FR"/>
        </w:rPr>
        <w:t xml:space="preserve"> </w:t>
      </w:r>
      <w:r w:rsidRPr="00D3415E">
        <w:rPr>
          <w:snapToGrid w:val="0"/>
          <w:kern w:val="18"/>
          <w:sz w:val="18"/>
          <w:szCs w:val="18"/>
          <w:lang w:bidi="fr-FR"/>
        </w:rPr>
        <w:t>CBD/NP/CB-IAC/2023/1/3, par. 69.</w:t>
      </w:r>
    </w:p>
  </w:footnote>
  <w:footnote w:id="11">
    <w:p w14:paraId="4746E25F" w14:textId="24A7336A" w:rsidR="005101EE" w:rsidRPr="00D17C52" w:rsidRDefault="005101EE">
      <w:pPr>
        <w:pStyle w:val="FootnoteText"/>
        <w:rPr>
          <w:lang w:val="en-US"/>
        </w:rPr>
      </w:pPr>
      <w:r>
        <w:rPr>
          <w:rStyle w:val="FootnoteReference"/>
          <w:lang w:bidi="fr-FR"/>
        </w:rPr>
        <w:footnoteRef/>
      </w:r>
      <w:r>
        <w:rPr>
          <w:lang w:bidi="fr-FR"/>
        </w:rPr>
        <w:t xml:space="preserve"> </w:t>
      </w:r>
      <w:r w:rsidRPr="00D17C52">
        <w:rPr>
          <w:sz w:val="18"/>
          <w:szCs w:val="18"/>
          <w:lang w:bidi="fr-FR"/>
        </w:rPr>
        <w:t>Nations Unies, Recueil des Traités, vol. 3008, n° 30619.</w:t>
      </w:r>
    </w:p>
  </w:footnote>
  <w:footnote w:id="12">
    <w:p w14:paraId="17EFC09D" w14:textId="3503AE7C" w:rsidR="00F22C1D" w:rsidRPr="00D17C52" w:rsidRDefault="00F22C1D" w:rsidP="00F22C1D">
      <w:pPr>
        <w:pStyle w:val="FootnoteText"/>
        <w:rPr>
          <w:sz w:val="18"/>
          <w:szCs w:val="18"/>
          <w:lang w:val="en-CA"/>
        </w:rPr>
      </w:pPr>
      <w:r w:rsidRPr="00D17C52">
        <w:rPr>
          <w:rStyle w:val="FootnoteReference"/>
          <w:sz w:val="18"/>
          <w:szCs w:val="18"/>
          <w:lang w:bidi="fr-FR"/>
        </w:rPr>
        <w:footnoteRef/>
      </w:r>
      <w:r w:rsidR="009C12A1" w:rsidRPr="00D17C52">
        <w:rPr>
          <w:sz w:val="18"/>
          <w:szCs w:val="18"/>
          <w:lang w:bidi="fr-FR"/>
        </w:rPr>
        <w:t>Un texte similaire avait été recommandé par le Comité chargé du respect des dispositions à la Conférence des Parties siégeant en tant que réunion des Parties au Protocole de Nagoya pour examen lors de sa cinquième réunion (CBD/NP/CC/4/4). Étant donné que la recommandation sera examinée au titre du point de l’ordre du jour relatif à l’évaluation et à l’examen lors de la cinquième réunion des Parties au Protocole, elle a été incluse pour l’information de l’Organe subsidiaire pour la mise en application.</w:t>
      </w:r>
    </w:p>
  </w:footnote>
  <w:footnote w:id="13">
    <w:p w14:paraId="63BD1542" w14:textId="69498BEF" w:rsidR="00F22C1D" w:rsidRPr="0035247F" w:rsidRDefault="00F22C1D" w:rsidP="00F22C1D">
      <w:pPr>
        <w:pStyle w:val="FootnoteText"/>
        <w:rPr>
          <w:lang w:val="en-CA"/>
        </w:rPr>
      </w:pPr>
      <w:r w:rsidRPr="00D17C52">
        <w:rPr>
          <w:rStyle w:val="FootnoteReference"/>
          <w:sz w:val="18"/>
          <w:szCs w:val="18"/>
          <w:lang w:bidi="fr-FR"/>
        </w:rPr>
        <w:footnoteRef/>
      </w:r>
      <w:r w:rsidRPr="00D17C52">
        <w:rPr>
          <w:sz w:val="18"/>
          <w:szCs w:val="18"/>
          <w:lang w:bidi="fr-FR"/>
        </w:rPr>
        <w:t xml:space="preserve"> Ce texte avait été recommandé par le Comité chargé du respect des dispositions à la Conférence des Parties siégeant en tant que réunion des Parties au Protocole de Nagoya pour examen lors de sa cinquième réunion (CBD/NP/CC/4/4). Étant donné que la recommandation sera examinée au titre du point de l’ordre du jour relatif à l’évaluation et à l’examen lors de la cinquième réunion des Parties au Protocole, elle a été incluse pour l’information de l’Organe subsidiaire pour la mise en application.</w:t>
      </w:r>
    </w:p>
  </w:footnote>
  <w:footnote w:id="14">
    <w:p w14:paraId="0EF88ACF" w14:textId="5FFBB194" w:rsidR="0052660F" w:rsidRPr="00D17C52" w:rsidRDefault="0052660F" w:rsidP="00D17C52">
      <w:pPr>
        <w:pStyle w:val="Para2"/>
        <w:spacing w:before="0" w:after="0"/>
        <w:rPr>
          <w:sz w:val="18"/>
          <w:szCs w:val="18"/>
          <w:lang w:val="en-GB"/>
        </w:rPr>
      </w:pPr>
      <w:r w:rsidRPr="00D17C52">
        <w:rPr>
          <w:rStyle w:val="FootnoteReference"/>
          <w:sz w:val="18"/>
          <w:szCs w:val="18"/>
          <w:lang w:bidi="fr-FR"/>
        </w:rPr>
        <w:footnoteRef/>
      </w:r>
      <w:r w:rsidRPr="00D17C52">
        <w:rPr>
          <w:sz w:val="18"/>
          <w:szCs w:val="18"/>
          <w:lang w:bidi="fr-FR"/>
        </w:rPr>
        <w:t>Voir le document CBD/SBI/4/8, dans lequel il est proposé d’élargir le mandat du Comité consultatif informel sur le renforcement des capacités pour la mise en œuvre du Protocole de Nagoya afin d’y inclure la fourniture d’avis sur des questions plus généralement liées à la mise en œuvre du Protocole.</w:t>
      </w:r>
    </w:p>
  </w:footnote>
  <w:footnote w:id="15">
    <w:p w14:paraId="2D01E776" w14:textId="01ADD1F3" w:rsidR="0052660F" w:rsidRPr="00A3241F" w:rsidRDefault="0052660F" w:rsidP="008F58B3">
      <w:pPr>
        <w:pStyle w:val="FootnoteText"/>
        <w:rPr>
          <w:lang w:val="en-CA"/>
        </w:rPr>
      </w:pPr>
      <w:r w:rsidRPr="00D17C52">
        <w:rPr>
          <w:rStyle w:val="FootnoteReference"/>
          <w:sz w:val="18"/>
          <w:szCs w:val="18"/>
          <w:lang w:bidi="fr-FR"/>
        </w:rPr>
        <w:footnoteRef/>
      </w:r>
      <w:r w:rsidRPr="00D17C52">
        <w:rPr>
          <w:sz w:val="18"/>
          <w:szCs w:val="18"/>
          <w:lang w:bidi="fr-FR"/>
        </w:rPr>
        <w:t xml:space="preserve"> </w:t>
      </w:r>
      <w:bookmarkStart w:id="9" w:name="_Hlk163825083"/>
      <w:r w:rsidRPr="00D17C52">
        <w:rPr>
          <w:sz w:val="18"/>
          <w:szCs w:val="18"/>
          <w:lang w:bidi="fr-FR"/>
        </w:rPr>
        <w:t xml:space="preserve">Le format du premier rapport national est disponible à l’adresse suivante : </w:t>
      </w:r>
      <w:bookmarkEnd w:id="9"/>
      <w:r w:rsidR="002C698C">
        <w:rPr>
          <w:sz w:val="18"/>
          <w:szCs w:val="18"/>
          <w:lang w:bidi="fr-FR"/>
        </w:rPr>
        <w:fldChar w:fldCharType="begin"/>
      </w:r>
      <w:r w:rsidR="002C698C">
        <w:rPr>
          <w:sz w:val="18"/>
          <w:szCs w:val="18"/>
          <w:lang w:bidi="fr-FR"/>
        </w:rPr>
        <w:instrText>HYPERLINK "</w:instrText>
      </w:r>
      <w:r w:rsidR="002C698C" w:rsidRPr="00D17C52">
        <w:rPr>
          <w:sz w:val="18"/>
          <w:szCs w:val="18"/>
          <w:lang w:bidi="fr-FR"/>
        </w:rPr>
        <w:instrText>https://absch.cbd.int/en/kb/tags/abs/First-National-Report-on-the-Implementation-of-the-Nagoya-Protocol/66199bba4defc2994ae886d7</w:instrText>
      </w:r>
      <w:r w:rsidR="002C698C">
        <w:rPr>
          <w:sz w:val="18"/>
          <w:szCs w:val="18"/>
          <w:lang w:bidi="fr-FR"/>
        </w:rPr>
        <w:instrText>"</w:instrText>
      </w:r>
      <w:r w:rsidR="002C698C">
        <w:rPr>
          <w:sz w:val="18"/>
          <w:szCs w:val="18"/>
          <w:lang w:bidi="fr-FR"/>
        </w:rPr>
      </w:r>
      <w:r w:rsidR="002C698C">
        <w:rPr>
          <w:sz w:val="18"/>
          <w:szCs w:val="18"/>
          <w:lang w:bidi="fr-FR"/>
        </w:rPr>
        <w:fldChar w:fldCharType="separate"/>
      </w:r>
      <w:r w:rsidR="002C698C" w:rsidRPr="00D17C52">
        <w:rPr>
          <w:rStyle w:val="Hyperlink"/>
          <w:sz w:val="18"/>
          <w:szCs w:val="18"/>
          <w:lang w:bidi="fr-FR"/>
        </w:rPr>
        <w:t>https://absch.cbd.int/fr/kb/tags/abs/First-National-Report-on-the-Implementation-of-the-Nagoya-Protocol/66199bba4defc2994ae886d7</w:t>
      </w:r>
      <w:r w:rsidR="002C698C">
        <w:rPr>
          <w:sz w:val="18"/>
          <w:szCs w:val="18"/>
          <w:lang w:bidi="fr-FR"/>
        </w:rPr>
        <w:fldChar w:fldCharType="end"/>
      </w:r>
      <w:r w:rsidRPr="00D17C52">
        <w:rPr>
          <w:sz w:val="18"/>
          <w:szCs w:val="18"/>
          <w:lang w:bidi="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27E83D71" w14:textId="07EAF349" w:rsidR="0052660F" w:rsidRPr="002B559C" w:rsidRDefault="00DB38FD"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A7536" w:rsidRPr="003A7536">
          <w:rPr>
            <w:sz w:val="20"/>
            <w:szCs w:val="20"/>
            <w:lang w:bidi="fr-FR"/>
          </w:rPr>
          <w:t>CBD/SBI/4/12</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00A14C" w14:textId="05913701" w:rsidR="0052660F" w:rsidRPr="002B559C" w:rsidRDefault="003A7536" w:rsidP="002B559C">
        <w:pPr>
          <w:pStyle w:val="Header"/>
          <w:pBdr>
            <w:bottom w:val="single" w:sz="4" w:space="1" w:color="auto"/>
          </w:pBdr>
          <w:spacing w:after="240"/>
          <w:jc w:val="right"/>
          <w:rPr>
            <w:sz w:val="20"/>
            <w:szCs w:val="20"/>
          </w:rPr>
        </w:pPr>
        <w:r>
          <w:rPr>
            <w:sz w:val="20"/>
            <w:szCs w:val="20"/>
            <w:lang w:bidi="fr-FR"/>
          </w:rPr>
          <w:t>CBD/SBI/4/12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3036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778"/>
        </w:tabs>
        <w:ind w:left="698"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3C9760F"/>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467961CE"/>
    <w:multiLevelType w:val="hybridMultilevel"/>
    <w:tmpl w:val="9126DCB4"/>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68B70991"/>
    <w:multiLevelType w:val="hybridMultilevel"/>
    <w:tmpl w:val="B0B46B4E"/>
    <w:lvl w:ilvl="0" w:tplc="25A23CC4">
      <w:start w:val="1"/>
      <w:numFmt w:val="decimal"/>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66229674">
    <w:abstractNumId w:val="2"/>
  </w:num>
  <w:num w:numId="2" w16cid:durableId="1651598131">
    <w:abstractNumId w:val="9"/>
  </w:num>
  <w:num w:numId="3" w16cid:durableId="1509102717">
    <w:abstractNumId w:val="5"/>
  </w:num>
  <w:num w:numId="4" w16cid:durableId="1080711217">
    <w:abstractNumId w:val="7"/>
  </w:num>
  <w:num w:numId="5" w16cid:durableId="682900225">
    <w:abstractNumId w:val="12"/>
  </w:num>
  <w:num w:numId="6" w16cid:durableId="242447204">
    <w:abstractNumId w:val="10"/>
  </w:num>
  <w:num w:numId="7" w16cid:durableId="1795441136">
    <w:abstractNumId w:val="3"/>
  </w:num>
  <w:num w:numId="8" w16cid:durableId="49623718">
    <w:abstractNumId w:val="6"/>
  </w:num>
  <w:num w:numId="9" w16cid:durableId="1770856004">
    <w:abstractNumId w:val="0"/>
  </w:num>
  <w:num w:numId="10" w16cid:durableId="1285043349">
    <w:abstractNumId w:val="4"/>
  </w:num>
  <w:num w:numId="11" w16cid:durableId="822353169">
    <w:abstractNumId w:val="3"/>
  </w:num>
  <w:num w:numId="12" w16cid:durableId="1964186447">
    <w:abstractNumId w:val="8"/>
  </w:num>
  <w:num w:numId="13" w16cid:durableId="815414731">
    <w:abstractNumId w:val="3"/>
  </w:num>
  <w:num w:numId="14" w16cid:durableId="830677678">
    <w:abstractNumId w:val="9"/>
  </w:num>
  <w:num w:numId="15" w16cid:durableId="1446852320">
    <w:abstractNumId w:val="9"/>
  </w:num>
  <w:num w:numId="16" w16cid:durableId="1833568044">
    <w:abstractNumId w:val="9"/>
  </w:num>
  <w:num w:numId="17" w16cid:durableId="735863318">
    <w:abstractNumId w:val="9"/>
  </w:num>
  <w:num w:numId="18" w16cid:durableId="1133718391">
    <w:abstractNumId w:val="9"/>
  </w:num>
  <w:num w:numId="19" w16cid:durableId="424688929">
    <w:abstractNumId w:val="9"/>
  </w:num>
  <w:num w:numId="20" w16cid:durableId="143131118">
    <w:abstractNumId w:val="9"/>
  </w:num>
  <w:num w:numId="21" w16cid:durableId="678970174">
    <w:abstractNumId w:val="9"/>
  </w:num>
  <w:num w:numId="22" w16cid:durableId="1513296930">
    <w:abstractNumId w:val="9"/>
  </w:num>
  <w:num w:numId="23" w16cid:durableId="713390057">
    <w:abstractNumId w:val="9"/>
  </w:num>
  <w:num w:numId="24" w16cid:durableId="1191526279">
    <w:abstractNumId w:val="9"/>
  </w:num>
  <w:num w:numId="25" w16cid:durableId="1058238851">
    <w:abstractNumId w:val="9"/>
  </w:num>
  <w:num w:numId="26" w16cid:durableId="102964482">
    <w:abstractNumId w:val="9"/>
  </w:num>
  <w:num w:numId="27" w16cid:durableId="1776972850">
    <w:abstractNumId w:val="9"/>
  </w:num>
  <w:num w:numId="28" w16cid:durableId="759183335">
    <w:abstractNumId w:val="11"/>
  </w:num>
  <w:num w:numId="29" w16cid:durableId="390202506">
    <w:abstractNumId w:val="9"/>
  </w:num>
  <w:num w:numId="30" w16cid:durableId="1981687463">
    <w:abstractNumId w:val="9"/>
  </w:num>
  <w:num w:numId="31" w16cid:durableId="1744640990">
    <w:abstractNumId w:val="9"/>
  </w:num>
  <w:num w:numId="32" w16cid:durableId="1725565504">
    <w:abstractNumId w:val="2"/>
    <w:lvlOverride w:ilvl="0">
      <w:startOverride w:val="1"/>
    </w:lvlOverride>
  </w:num>
  <w:num w:numId="33" w16cid:durableId="175964717">
    <w:abstractNumId w:val="9"/>
  </w:num>
  <w:num w:numId="34" w16cid:durableId="707491026">
    <w:abstractNumId w:val="9"/>
  </w:num>
  <w:num w:numId="35" w16cid:durableId="1040940632">
    <w:abstractNumId w:val="2"/>
  </w:num>
  <w:num w:numId="36" w16cid:durableId="871186511">
    <w:abstractNumId w:val="2"/>
  </w:num>
  <w:num w:numId="37" w16cid:durableId="65360658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23"/>
    <w:rsid w:val="000001EB"/>
    <w:rsid w:val="00000733"/>
    <w:rsid w:val="000010A1"/>
    <w:rsid w:val="00001334"/>
    <w:rsid w:val="0000152E"/>
    <w:rsid w:val="00001DA1"/>
    <w:rsid w:val="00002712"/>
    <w:rsid w:val="000030A6"/>
    <w:rsid w:val="000039B6"/>
    <w:rsid w:val="00003B23"/>
    <w:rsid w:val="0000453D"/>
    <w:rsid w:val="00005C4D"/>
    <w:rsid w:val="000060FA"/>
    <w:rsid w:val="00006532"/>
    <w:rsid w:val="0000719E"/>
    <w:rsid w:val="00007700"/>
    <w:rsid w:val="00007B49"/>
    <w:rsid w:val="00010285"/>
    <w:rsid w:val="0001079C"/>
    <w:rsid w:val="00011613"/>
    <w:rsid w:val="000116F5"/>
    <w:rsid w:val="00011A56"/>
    <w:rsid w:val="0001229A"/>
    <w:rsid w:val="00012C03"/>
    <w:rsid w:val="00012F51"/>
    <w:rsid w:val="000139B4"/>
    <w:rsid w:val="00013CA4"/>
    <w:rsid w:val="0001432A"/>
    <w:rsid w:val="000144AA"/>
    <w:rsid w:val="00014572"/>
    <w:rsid w:val="00014D2E"/>
    <w:rsid w:val="000156F5"/>
    <w:rsid w:val="00015B4D"/>
    <w:rsid w:val="000167A6"/>
    <w:rsid w:val="00016D0C"/>
    <w:rsid w:val="000170BE"/>
    <w:rsid w:val="00020D5D"/>
    <w:rsid w:val="00020E19"/>
    <w:rsid w:val="00021475"/>
    <w:rsid w:val="00022473"/>
    <w:rsid w:val="0002249D"/>
    <w:rsid w:val="000227A4"/>
    <w:rsid w:val="00022C33"/>
    <w:rsid w:val="00023FE6"/>
    <w:rsid w:val="000241AE"/>
    <w:rsid w:val="000251ED"/>
    <w:rsid w:val="000253A1"/>
    <w:rsid w:val="00025615"/>
    <w:rsid w:val="00025838"/>
    <w:rsid w:val="00025C0B"/>
    <w:rsid w:val="0002750D"/>
    <w:rsid w:val="000301F4"/>
    <w:rsid w:val="00030402"/>
    <w:rsid w:val="00030464"/>
    <w:rsid w:val="00030B8F"/>
    <w:rsid w:val="0003101F"/>
    <w:rsid w:val="0003126C"/>
    <w:rsid w:val="0003145C"/>
    <w:rsid w:val="00032BD9"/>
    <w:rsid w:val="00032CD3"/>
    <w:rsid w:val="000330BD"/>
    <w:rsid w:val="0003362C"/>
    <w:rsid w:val="00034908"/>
    <w:rsid w:val="00034C96"/>
    <w:rsid w:val="00034D84"/>
    <w:rsid w:val="00034ED1"/>
    <w:rsid w:val="0003547A"/>
    <w:rsid w:val="00035977"/>
    <w:rsid w:val="00035B6D"/>
    <w:rsid w:val="0003754A"/>
    <w:rsid w:val="0004020B"/>
    <w:rsid w:val="00040598"/>
    <w:rsid w:val="00040656"/>
    <w:rsid w:val="00041421"/>
    <w:rsid w:val="00041789"/>
    <w:rsid w:val="00041BDB"/>
    <w:rsid w:val="0004225E"/>
    <w:rsid w:val="000423AD"/>
    <w:rsid w:val="000423C5"/>
    <w:rsid w:val="00042822"/>
    <w:rsid w:val="00043067"/>
    <w:rsid w:val="000432D2"/>
    <w:rsid w:val="0004366F"/>
    <w:rsid w:val="000436CE"/>
    <w:rsid w:val="00043708"/>
    <w:rsid w:val="00043D14"/>
    <w:rsid w:val="00043EC5"/>
    <w:rsid w:val="00045734"/>
    <w:rsid w:val="000461AE"/>
    <w:rsid w:val="0004636E"/>
    <w:rsid w:val="000469AF"/>
    <w:rsid w:val="00046D46"/>
    <w:rsid w:val="000472B7"/>
    <w:rsid w:val="0004767C"/>
    <w:rsid w:val="00050514"/>
    <w:rsid w:val="00050803"/>
    <w:rsid w:val="000511A0"/>
    <w:rsid w:val="00051A73"/>
    <w:rsid w:val="00052F29"/>
    <w:rsid w:val="000535DE"/>
    <w:rsid w:val="0005391B"/>
    <w:rsid w:val="00055819"/>
    <w:rsid w:val="0005592D"/>
    <w:rsid w:val="000559C0"/>
    <w:rsid w:val="00055AE6"/>
    <w:rsid w:val="00055C26"/>
    <w:rsid w:val="00056A13"/>
    <w:rsid w:val="0005707A"/>
    <w:rsid w:val="00057382"/>
    <w:rsid w:val="0006086F"/>
    <w:rsid w:val="00060F2F"/>
    <w:rsid w:val="00061A70"/>
    <w:rsid w:val="00061DB9"/>
    <w:rsid w:val="00061EA7"/>
    <w:rsid w:val="00061FC0"/>
    <w:rsid w:val="000622A8"/>
    <w:rsid w:val="000629FA"/>
    <w:rsid w:val="00062F8E"/>
    <w:rsid w:val="00063828"/>
    <w:rsid w:val="00063CB1"/>
    <w:rsid w:val="00064081"/>
    <w:rsid w:val="000642D6"/>
    <w:rsid w:val="000645BE"/>
    <w:rsid w:val="00064FAF"/>
    <w:rsid w:val="00065E05"/>
    <w:rsid w:val="00065FCB"/>
    <w:rsid w:val="00066048"/>
    <w:rsid w:val="000661DD"/>
    <w:rsid w:val="0006624C"/>
    <w:rsid w:val="000664E0"/>
    <w:rsid w:val="000666B7"/>
    <w:rsid w:val="00066B09"/>
    <w:rsid w:val="00067796"/>
    <w:rsid w:val="000679BA"/>
    <w:rsid w:val="00067E8F"/>
    <w:rsid w:val="00070215"/>
    <w:rsid w:val="00070434"/>
    <w:rsid w:val="00070B0C"/>
    <w:rsid w:val="0007175D"/>
    <w:rsid w:val="00071DCB"/>
    <w:rsid w:val="00071EBF"/>
    <w:rsid w:val="000720FA"/>
    <w:rsid w:val="00072790"/>
    <w:rsid w:val="0007281A"/>
    <w:rsid w:val="00072CFC"/>
    <w:rsid w:val="000732F9"/>
    <w:rsid w:val="00073550"/>
    <w:rsid w:val="00073680"/>
    <w:rsid w:val="00073D56"/>
    <w:rsid w:val="0007448A"/>
    <w:rsid w:val="000744FC"/>
    <w:rsid w:val="000746FD"/>
    <w:rsid w:val="00074A74"/>
    <w:rsid w:val="00074BA4"/>
    <w:rsid w:val="0007570D"/>
    <w:rsid w:val="00075804"/>
    <w:rsid w:val="000763D2"/>
    <w:rsid w:val="00076EC9"/>
    <w:rsid w:val="0007764E"/>
    <w:rsid w:val="0007796D"/>
    <w:rsid w:val="000808E0"/>
    <w:rsid w:val="00081AE1"/>
    <w:rsid w:val="0008203C"/>
    <w:rsid w:val="0008220A"/>
    <w:rsid w:val="00082A66"/>
    <w:rsid w:val="0008329A"/>
    <w:rsid w:val="00083C1F"/>
    <w:rsid w:val="00084301"/>
    <w:rsid w:val="000851B7"/>
    <w:rsid w:val="000852AB"/>
    <w:rsid w:val="0008537B"/>
    <w:rsid w:val="000856E5"/>
    <w:rsid w:val="0008592F"/>
    <w:rsid w:val="00085BED"/>
    <w:rsid w:val="00085D94"/>
    <w:rsid w:val="00086066"/>
    <w:rsid w:val="000868D1"/>
    <w:rsid w:val="00086EFC"/>
    <w:rsid w:val="00087049"/>
    <w:rsid w:val="0008781D"/>
    <w:rsid w:val="0009003B"/>
    <w:rsid w:val="00091206"/>
    <w:rsid w:val="0009186C"/>
    <w:rsid w:val="00092BE2"/>
    <w:rsid w:val="00092CB8"/>
    <w:rsid w:val="0009382B"/>
    <w:rsid w:val="00093D0F"/>
    <w:rsid w:val="00093D39"/>
    <w:rsid w:val="0009412F"/>
    <w:rsid w:val="00094773"/>
    <w:rsid w:val="00094E43"/>
    <w:rsid w:val="00095300"/>
    <w:rsid w:val="00095613"/>
    <w:rsid w:val="000961DC"/>
    <w:rsid w:val="000962AA"/>
    <w:rsid w:val="00096992"/>
    <w:rsid w:val="0009722F"/>
    <w:rsid w:val="0009762D"/>
    <w:rsid w:val="0009785F"/>
    <w:rsid w:val="0009794B"/>
    <w:rsid w:val="000A00E8"/>
    <w:rsid w:val="000A120E"/>
    <w:rsid w:val="000A152A"/>
    <w:rsid w:val="000A196A"/>
    <w:rsid w:val="000A1A0A"/>
    <w:rsid w:val="000A1E18"/>
    <w:rsid w:val="000A1F22"/>
    <w:rsid w:val="000A1F93"/>
    <w:rsid w:val="000A215E"/>
    <w:rsid w:val="000A21CB"/>
    <w:rsid w:val="000A2592"/>
    <w:rsid w:val="000A25B2"/>
    <w:rsid w:val="000A2DB9"/>
    <w:rsid w:val="000A2E8C"/>
    <w:rsid w:val="000A3589"/>
    <w:rsid w:val="000A377E"/>
    <w:rsid w:val="000A3A10"/>
    <w:rsid w:val="000A4075"/>
    <w:rsid w:val="000A4883"/>
    <w:rsid w:val="000A5139"/>
    <w:rsid w:val="000A51A0"/>
    <w:rsid w:val="000A5FFD"/>
    <w:rsid w:val="000A645F"/>
    <w:rsid w:val="000A782E"/>
    <w:rsid w:val="000B0A4F"/>
    <w:rsid w:val="000B0F47"/>
    <w:rsid w:val="000B135B"/>
    <w:rsid w:val="000B1946"/>
    <w:rsid w:val="000B23DC"/>
    <w:rsid w:val="000B2882"/>
    <w:rsid w:val="000B29B6"/>
    <w:rsid w:val="000B2B69"/>
    <w:rsid w:val="000B2C0A"/>
    <w:rsid w:val="000B2E36"/>
    <w:rsid w:val="000B42AC"/>
    <w:rsid w:val="000B47D5"/>
    <w:rsid w:val="000B578F"/>
    <w:rsid w:val="000B5B59"/>
    <w:rsid w:val="000B5E38"/>
    <w:rsid w:val="000B6182"/>
    <w:rsid w:val="000B7C6D"/>
    <w:rsid w:val="000C017D"/>
    <w:rsid w:val="000C01C5"/>
    <w:rsid w:val="000C0E07"/>
    <w:rsid w:val="000C1119"/>
    <w:rsid w:val="000C1C86"/>
    <w:rsid w:val="000C2CE8"/>
    <w:rsid w:val="000C366E"/>
    <w:rsid w:val="000C3D63"/>
    <w:rsid w:val="000C455B"/>
    <w:rsid w:val="000C49AD"/>
    <w:rsid w:val="000C56A1"/>
    <w:rsid w:val="000C58A0"/>
    <w:rsid w:val="000C5B51"/>
    <w:rsid w:val="000C5D7F"/>
    <w:rsid w:val="000C5F42"/>
    <w:rsid w:val="000C619E"/>
    <w:rsid w:val="000C6291"/>
    <w:rsid w:val="000C6468"/>
    <w:rsid w:val="000C6584"/>
    <w:rsid w:val="000C729E"/>
    <w:rsid w:val="000C73D5"/>
    <w:rsid w:val="000C79DB"/>
    <w:rsid w:val="000C7D6B"/>
    <w:rsid w:val="000D02AF"/>
    <w:rsid w:val="000D03F6"/>
    <w:rsid w:val="000D1008"/>
    <w:rsid w:val="000D1898"/>
    <w:rsid w:val="000D1AB1"/>
    <w:rsid w:val="000D31BA"/>
    <w:rsid w:val="000D449D"/>
    <w:rsid w:val="000D6803"/>
    <w:rsid w:val="000D75EF"/>
    <w:rsid w:val="000D7E07"/>
    <w:rsid w:val="000D7E68"/>
    <w:rsid w:val="000E0848"/>
    <w:rsid w:val="000E0AC2"/>
    <w:rsid w:val="000E0C4E"/>
    <w:rsid w:val="000E1448"/>
    <w:rsid w:val="000E1D42"/>
    <w:rsid w:val="000E2E07"/>
    <w:rsid w:val="000E2FEB"/>
    <w:rsid w:val="000E37EA"/>
    <w:rsid w:val="000E387C"/>
    <w:rsid w:val="000E3D8D"/>
    <w:rsid w:val="000E42B8"/>
    <w:rsid w:val="000E4D03"/>
    <w:rsid w:val="000E4FCD"/>
    <w:rsid w:val="000E5109"/>
    <w:rsid w:val="000E5F1F"/>
    <w:rsid w:val="000E5F84"/>
    <w:rsid w:val="000E67F1"/>
    <w:rsid w:val="000E6F98"/>
    <w:rsid w:val="000E720D"/>
    <w:rsid w:val="000E7577"/>
    <w:rsid w:val="000E78A7"/>
    <w:rsid w:val="000E7C96"/>
    <w:rsid w:val="000E7EB2"/>
    <w:rsid w:val="000F0B5F"/>
    <w:rsid w:val="000F0F94"/>
    <w:rsid w:val="000F156A"/>
    <w:rsid w:val="000F1920"/>
    <w:rsid w:val="000F1E68"/>
    <w:rsid w:val="000F22F9"/>
    <w:rsid w:val="000F26C3"/>
    <w:rsid w:val="000F290F"/>
    <w:rsid w:val="000F2D47"/>
    <w:rsid w:val="000F35FC"/>
    <w:rsid w:val="000F3DD6"/>
    <w:rsid w:val="000F46A6"/>
    <w:rsid w:val="000F47B1"/>
    <w:rsid w:val="000F48C0"/>
    <w:rsid w:val="000F4BF0"/>
    <w:rsid w:val="000F4F2C"/>
    <w:rsid w:val="000F518B"/>
    <w:rsid w:val="000F5D14"/>
    <w:rsid w:val="000F5E16"/>
    <w:rsid w:val="000F6C8D"/>
    <w:rsid w:val="000F6E1B"/>
    <w:rsid w:val="000F773C"/>
    <w:rsid w:val="000F7A8C"/>
    <w:rsid w:val="000F7E3C"/>
    <w:rsid w:val="001000A6"/>
    <w:rsid w:val="00100B15"/>
    <w:rsid w:val="00101503"/>
    <w:rsid w:val="00101AD8"/>
    <w:rsid w:val="00101E4F"/>
    <w:rsid w:val="00101F5B"/>
    <w:rsid w:val="0010204C"/>
    <w:rsid w:val="001031CC"/>
    <w:rsid w:val="0010339C"/>
    <w:rsid w:val="00103CF1"/>
    <w:rsid w:val="00103D9E"/>
    <w:rsid w:val="00103DBD"/>
    <w:rsid w:val="00104FC4"/>
    <w:rsid w:val="0010500C"/>
    <w:rsid w:val="00105936"/>
    <w:rsid w:val="00105A92"/>
    <w:rsid w:val="001060A9"/>
    <w:rsid w:val="00106376"/>
    <w:rsid w:val="001063D7"/>
    <w:rsid w:val="00106498"/>
    <w:rsid w:val="001067AC"/>
    <w:rsid w:val="00107875"/>
    <w:rsid w:val="0010792C"/>
    <w:rsid w:val="00107BF4"/>
    <w:rsid w:val="0011081B"/>
    <w:rsid w:val="00111305"/>
    <w:rsid w:val="00111A3A"/>
    <w:rsid w:val="00112958"/>
    <w:rsid w:val="00112A01"/>
    <w:rsid w:val="00112AED"/>
    <w:rsid w:val="00112F11"/>
    <w:rsid w:val="001131DB"/>
    <w:rsid w:val="001131F9"/>
    <w:rsid w:val="0011370E"/>
    <w:rsid w:val="00114818"/>
    <w:rsid w:val="0011524A"/>
    <w:rsid w:val="00115321"/>
    <w:rsid w:val="00115669"/>
    <w:rsid w:val="00115858"/>
    <w:rsid w:val="00115882"/>
    <w:rsid w:val="00115EFA"/>
    <w:rsid w:val="00115F81"/>
    <w:rsid w:val="001164EF"/>
    <w:rsid w:val="0011684F"/>
    <w:rsid w:val="0011688F"/>
    <w:rsid w:val="0011690C"/>
    <w:rsid w:val="001175B5"/>
    <w:rsid w:val="00117D6B"/>
    <w:rsid w:val="00117F96"/>
    <w:rsid w:val="001204E4"/>
    <w:rsid w:val="00120580"/>
    <w:rsid w:val="00120938"/>
    <w:rsid w:val="0012105F"/>
    <w:rsid w:val="00121168"/>
    <w:rsid w:val="001215C4"/>
    <w:rsid w:val="001217A1"/>
    <w:rsid w:val="001221D7"/>
    <w:rsid w:val="00122260"/>
    <w:rsid w:val="0012261E"/>
    <w:rsid w:val="00122A7C"/>
    <w:rsid w:val="00122CF4"/>
    <w:rsid w:val="00122D90"/>
    <w:rsid w:val="00122E7F"/>
    <w:rsid w:val="0012312C"/>
    <w:rsid w:val="001244CB"/>
    <w:rsid w:val="00124E13"/>
    <w:rsid w:val="001253DC"/>
    <w:rsid w:val="001254DB"/>
    <w:rsid w:val="001262FB"/>
    <w:rsid w:val="00126750"/>
    <w:rsid w:val="00126B95"/>
    <w:rsid w:val="00126C63"/>
    <w:rsid w:val="00126D24"/>
    <w:rsid w:val="00127853"/>
    <w:rsid w:val="00127878"/>
    <w:rsid w:val="00127B5B"/>
    <w:rsid w:val="00127DBD"/>
    <w:rsid w:val="0013019B"/>
    <w:rsid w:val="0013041F"/>
    <w:rsid w:val="001305E1"/>
    <w:rsid w:val="00131209"/>
    <w:rsid w:val="00131539"/>
    <w:rsid w:val="001317AB"/>
    <w:rsid w:val="00131E91"/>
    <w:rsid w:val="00132581"/>
    <w:rsid w:val="00132A6E"/>
    <w:rsid w:val="00132DC7"/>
    <w:rsid w:val="00132FCD"/>
    <w:rsid w:val="001331BB"/>
    <w:rsid w:val="00133609"/>
    <w:rsid w:val="00133A46"/>
    <w:rsid w:val="00133BC1"/>
    <w:rsid w:val="00133EED"/>
    <w:rsid w:val="00134B4F"/>
    <w:rsid w:val="00134F12"/>
    <w:rsid w:val="00135755"/>
    <w:rsid w:val="001357A5"/>
    <w:rsid w:val="00135B1C"/>
    <w:rsid w:val="00135DEC"/>
    <w:rsid w:val="00136566"/>
    <w:rsid w:val="0013733A"/>
    <w:rsid w:val="00137C70"/>
    <w:rsid w:val="00141416"/>
    <w:rsid w:val="00141457"/>
    <w:rsid w:val="00141880"/>
    <w:rsid w:val="00141EBE"/>
    <w:rsid w:val="001424D5"/>
    <w:rsid w:val="00142D2D"/>
    <w:rsid w:val="00142E22"/>
    <w:rsid w:val="00143F15"/>
    <w:rsid w:val="00144685"/>
    <w:rsid w:val="00144D74"/>
    <w:rsid w:val="00144ECE"/>
    <w:rsid w:val="00145367"/>
    <w:rsid w:val="00145DE5"/>
    <w:rsid w:val="00145FC4"/>
    <w:rsid w:val="0014607D"/>
    <w:rsid w:val="00147A50"/>
    <w:rsid w:val="001500A7"/>
    <w:rsid w:val="001500C4"/>
    <w:rsid w:val="00150337"/>
    <w:rsid w:val="00150F55"/>
    <w:rsid w:val="0015148B"/>
    <w:rsid w:val="00152249"/>
    <w:rsid w:val="00152B35"/>
    <w:rsid w:val="00152C34"/>
    <w:rsid w:val="00153659"/>
    <w:rsid w:val="00153B8E"/>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1A7"/>
    <w:rsid w:val="001622A0"/>
    <w:rsid w:val="00162A37"/>
    <w:rsid w:val="00162C1B"/>
    <w:rsid w:val="001637EF"/>
    <w:rsid w:val="00163FE1"/>
    <w:rsid w:val="001648AA"/>
    <w:rsid w:val="00165ECD"/>
    <w:rsid w:val="00166B38"/>
    <w:rsid w:val="0016781F"/>
    <w:rsid w:val="00167C71"/>
    <w:rsid w:val="00170098"/>
    <w:rsid w:val="0017016F"/>
    <w:rsid w:val="0017071F"/>
    <w:rsid w:val="001707CB"/>
    <w:rsid w:val="0017100B"/>
    <w:rsid w:val="001711EF"/>
    <w:rsid w:val="0017270F"/>
    <w:rsid w:val="00172AB4"/>
    <w:rsid w:val="00172AFE"/>
    <w:rsid w:val="00172D8F"/>
    <w:rsid w:val="00173801"/>
    <w:rsid w:val="00174262"/>
    <w:rsid w:val="00174276"/>
    <w:rsid w:val="00174307"/>
    <w:rsid w:val="001746CA"/>
    <w:rsid w:val="00174E32"/>
    <w:rsid w:val="00174F3C"/>
    <w:rsid w:val="00174F60"/>
    <w:rsid w:val="00175682"/>
    <w:rsid w:val="00175C41"/>
    <w:rsid w:val="00175F55"/>
    <w:rsid w:val="001764AC"/>
    <w:rsid w:val="00176CE0"/>
    <w:rsid w:val="001772B1"/>
    <w:rsid w:val="001774F6"/>
    <w:rsid w:val="0017773E"/>
    <w:rsid w:val="00177EC8"/>
    <w:rsid w:val="0018022D"/>
    <w:rsid w:val="00180636"/>
    <w:rsid w:val="00180AD3"/>
    <w:rsid w:val="0018132A"/>
    <w:rsid w:val="001817C6"/>
    <w:rsid w:val="00181F76"/>
    <w:rsid w:val="001828BE"/>
    <w:rsid w:val="00182B8E"/>
    <w:rsid w:val="0018335F"/>
    <w:rsid w:val="00183C73"/>
    <w:rsid w:val="00183C75"/>
    <w:rsid w:val="00184909"/>
    <w:rsid w:val="001857E5"/>
    <w:rsid w:val="001858E8"/>
    <w:rsid w:val="00185A56"/>
    <w:rsid w:val="00185B72"/>
    <w:rsid w:val="00185E53"/>
    <w:rsid w:val="001862CF"/>
    <w:rsid w:val="00186757"/>
    <w:rsid w:val="00186B04"/>
    <w:rsid w:val="00186F6A"/>
    <w:rsid w:val="00187250"/>
    <w:rsid w:val="001873AF"/>
    <w:rsid w:val="00187958"/>
    <w:rsid w:val="00190D87"/>
    <w:rsid w:val="00191419"/>
    <w:rsid w:val="00191915"/>
    <w:rsid w:val="00191A19"/>
    <w:rsid w:val="00191AF1"/>
    <w:rsid w:val="00192066"/>
    <w:rsid w:val="00192C12"/>
    <w:rsid w:val="00193607"/>
    <w:rsid w:val="001936C6"/>
    <w:rsid w:val="00194F0B"/>
    <w:rsid w:val="00194F62"/>
    <w:rsid w:val="0019509B"/>
    <w:rsid w:val="001954D4"/>
    <w:rsid w:val="001964A2"/>
    <w:rsid w:val="00196AB9"/>
    <w:rsid w:val="00196B2A"/>
    <w:rsid w:val="00196C02"/>
    <w:rsid w:val="00196CA9"/>
    <w:rsid w:val="00196CAA"/>
    <w:rsid w:val="00196D08"/>
    <w:rsid w:val="00196D11"/>
    <w:rsid w:val="001972E7"/>
    <w:rsid w:val="00197BC4"/>
    <w:rsid w:val="001A083D"/>
    <w:rsid w:val="001A094C"/>
    <w:rsid w:val="001A0B08"/>
    <w:rsid w:val="001A0C3F"/>
    <w:rsid w:val="001A165A"/>
    <w:rsid w:val="001A16CB"/>
    <w:rsid w:val="001A1A77"/>
    <w:rsid w:val="001A26B8"/>
    <w:rsid w:val="001A3456"/>
    <w:rsid w:val="001A3628"/>
    <w:rsid w:val="001A36D3"/>
    <w:rsid w:val="001A4447"/>
    <w:rsid w:val="001A453B"/>
    <w:rsid w:val="001A4935"/>
    <w:rsid w:val="001A49E4"/>
    <w:rsid w:val="001A4E1F"/>
    <w:rsid w:val="001A5351"/>
    <w:rsid w:val="001A541E"/>
    <w:rsid w:val="001A54B5"/>
    <w:rsid w:val="001A5E8B"/>
    <w:rsid w:val="001A650B"/>
    <w:rsid w:val="001A656F"/>
    <w:rsid w:val="001A699C"/>
    <w:rsid w:val="001A6A16"/>
    <w:rsid w:val="001A6B1D"/>
    <w:rsid w:val="001A6F5E"/>
    <w:rsid w:val="001A7350"/>
    <w:rsid w:val="001A773B"/>
    <w:rsid w:val="001A78EF"/>
    <w:rsid w:val="001A79A3"/>
    <w:rsid w:val="001B0292"/>
    <w:rsid w:val="001B0AF6"/>
    <w:rsid w:val="001B0F89"/>
    <w:rsid w:val="001B1013"/>
    <w:rsid w:val="001B1AB4"/>
    <w:rsid w:val="001B1B7B"/>
    <w:rsid w:val="001B1C8A"/>
    <w:rsid w:val="001B2A36"/>
    <w:rsid w:val="001B3402"/>
    <w:rsid w:val="001B3DC0"/>
    <w:rsid w:val="001B50AA"/>
    <w:rsid w:val="001B524B"/>
    <w:rsid w:val="001B539D"/>
    <w:rsid w:val="001B5A43"/>
    <w:rsid w:val="001B5B51"/>
    <w:rsid w:val="001B623E"/>
    <w:rsid w:val="001B651E"/>
    <w:rsid w:val="001B69D0"/>
    <w:rsid w:val="001B71F7"/>
    <w:rsid w:val="001B73A4"/>
    <w:rsid w:val="001C0B11"/>
    <w:rsid w:val="001C0DC6"/>
    <w:rsid w:val="001C107F"/>
    <w:rsid w:val="001C186A"/>
    <w:rsid w:val="001C1E44"/>
    <w:rsid w:val="001C1EB5"/>
    <w:rsid w:val="001C32E8"/>
    <w:rsid w:val="001C37BF"/>
    <w:rsid w:val="001C38D2"/>
    <w:rsid w:val="001C38D4"/>
    <w:rsid w:val="001C3AE5"/>
    <w:rsid w:val="001C4120"/>
    <w:rsid w:val="001C48CB"/>
    <w:rsid w:val="001C5151"/>
    <w:rsid w:val="001C588C"/>
    <w:rsid w:val="001C6F62"/>
    <w:rsid w:val="001C6F70"/>
    <w:rsid w:val="001C73A5"/>
    <w:rsid w:val="001C7D1F"/>
    <w:rsid w:val="001C7DDB"/>
    <w:rsid w:val="001D05C4"/>
    <w:rsid w:val="001D082D"/>
    <w:rsid w:val="001D0B45"/>
    <w:rsid w:val="001D0DDB"/>
    <w:rsid w:val="001D1235"/>
    <w:rsid w:val="001D12C9"/>
    <w:rsid w:val="001D1566"/>
    <w:rsid w:val="001D19B3"/>
    <w:rsid w:val="001D2AF9"/>
    <w:rsid w:val="001D2F7E"/>
    <w:rsid w:val="001D3132"/>
    <w:rsid w:val="001D3369"/>
    <w:rsid w:val="001D337D"/>
    <w:rsid w:val="001D35CA"/>
    <w:rsid w:val="001D4400"/>
    <w:rsid w:val="001D514B"/>
    <w:rsid w:val="001D52FF"/>
    <w:rsid w:val="001D5396"/>
    <w:rsid w:val="001D59C1"/>
    <w:rsid w:val="001D61EF"/>
    <w:rsid w:val="001D66D1"/>
    <w:rsid w:val="001D66EB"/>
    <w:rsid w:val="001D6A4A"/>
    <w:rsid w:val="001D7055"/>
    <w:rsid w:val="001D7341"/>
    <w:rsid w:val="001D737C"/>
    <w:rsid w:val="001E06C6"/>
    <w:rsid w:val="001E0FEA"/>
    <w:rsid w:val="001E1320"/>
    <w:rsid w:val="001E2785"/>
    <w:rsid w:val="001E2BD6"/>
    <w:rsid w:val="001E2CCA"/>
    <w:rsid w:val="001E30AF"/>
    <w:rsid w:val="001E30CA"/>
    <w:rsid w:val="001E342E"/>
    <w:rsid w:val="001E3C52"/>
    <w:rsid w:val="001E3E51"/>
    <w:rsid w:val="001E3FA6"/>
    <w:rsid w:val="001E46AE"/>
    <w:rsid w:val="001E483F"/>
    <w:rsid w:val="001E4CC0"/>
    <w:rsid w:val="001E5435"/>
    <w:rsid w:val="001E5929"/>
    <w:rsid w:val="001E6A0D"/>
    <w:rsid w:val="001E7964"/>
    <w:rsid w:val="001E79EE"/>
    <w:rsid w:val="001E7ABA"/>
    <w:rsid w:val="001F03BA"/>
    <w:rsid w:val="001F10E6"/>
    <w:rsid w:val="001F1BE8"/>
    <w:rsid w:val="001F25FF"/>
    <w:rsid w:val="001F2856"/>
    <w:rsid w:val="001F2962"/>
    <w:rsid w:val="001F39C5"/>
    <w:rsid w:val="001F3A54"/>
    <w:rsid w:val="001F4C94"/>
    <w:rsid w:val="001F5469"/>
    <w:rsid w:val="001F5F76"/>
    <w:rsid w:val="001F5F7C"/>
    <w:rsid w:val="001F699D"/>
    <w:rsid w:val="001F6A78"/>
    <w:rsid w:val="001F738C"/>
    <w:rsid w:val="001F73A4"/>
    <w:rsid w:val="001F7891"/>
    <w:rsid w:val="002000D8"/>
    <w:rsid w:val="0020010E"/>
    <w:rsid w:val="00200C26"/>
    <w:rsid w:val="0020103A"/>
    <w:rsid w:val="00201107"/>
    <w:rsid w:val="0020167C"/>
    <w:rsid w:val="00201710"/>
    <w:rsid w:val="00201917"/>
    <w:rsid w:val="0020192D"/>
    <w:rsid w:val="00201B17"/>
    <w:rsid w:val="00202398"/>
    <w:rsid w:val="00202465"/>
    <w:rsid w:val="00202492"/>
    <w:rsid w:val="00202918"/>
    <w:rsid w:val="00202E7D"/>
    <w:rsid w:val="002033FB"/>
    <w:rsid w:val="00203956"/>
    <w:rsid w:val="00204154"/>
    <w:rsid w:val="0020434E"/>
    <w:rsid w:val="0020651F"/>
    <w:rsid w:val="0020690C"/>
    <w:rsid w:val="0020753F"/>
    <w:rsid w:val="002105E4"/>
    <w:rsid w:val="002111CE"/>
    <w:rsid w:val="00211BE0"/>
    <w:rsid w:val="002135BC"/>
    <w:rsid w:val="00213968"/>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6929"/>
    <w:rsid w:val="00226B37"/>
    <w:rsid w:val="00226C70"/>
    <w:rsid w:val="002274B6"/>
    <w:rsid w:val="00227540"/>
    <w:rsid w:val="00227EBB"/>
    <w:rsid w:val="002304C6"/>
    <w:rsid w:val="0023061E"/>
    <w:rsid w:val="0023074A"/>
    <w:rsid w:val="0023093A"/>
    <w:rsid w:val="002319DD"/>
    <w:rsid w:val="0023243C"/>
    <w:rsid w:val="00232EEA"/>
    <w:rsid w:val="00233A1E"/>
    <w:rsid w:val="0023485E"/>
    <w:rsid w:val="00234866"/>
    <w:rsid w:val="0023492C"/>
    <w:rsid w:val="00234B4D"/>
    <w:rsid w:val="00235952"/>
    <w:rsid w:val="00235A14"/>
    <w:rsid w:val="00235CDC"/>
    <w:rsid w:val="002369B3"/>
    <w:rsid w:val="002369DC"/>
    <w:rsid w:val="0023741E"/>
    <w:rsid w:val="00240027"/>
    <w:rsid w:val="002407FB"/>
    <w:rsid w:val="0024096F"/>
    <w:rsid w:val="00240970"/>
    <w:rsid w:val="00240AFF"/>
    <w:rsid w:val="00240B92"/>
    <w:rsid w:val="0024105B"/>
    <w:rsid w:val="00241457"/>
    <w:rsid w:val="00241DBD"/>
    <w:rsid w:val="00241F1F"/>
    <w:rsid w:val="0024257B"/>
    <w:rsid w:val="002426BF"/>
    <w:rsid w:val="00243164"/>
    <w:rsid w:val="0024397D"/>
    <w:rsid w:val="00243BFC"/>
    <w:rsid w:val="00243CA6"/>
    <w:rsid w:val="00243DC0"/>
    <w:rsid w:val="002440FE"/>
    <w:rsid w:val="002443CD"/>
    <w:rsid w:val="0024462E"/>
    <w:rsid w:val="00244BE5"/>
    <w:rsid w:val="0024506E"/>
    <w:rsid w:val="002453DA"/>
    <w:rsid w:val="00245680"/>
    <w:rsid w:val="002457A4"/>
    <w:rsid w:val="00245983"/>
    <w:rsid w:val="00245A08"/>
    <w:rsid w:val="00245A6A"/>
    <w:rsid w:val="002464CC"/>
    <w:rsid w:val="002465F6"/>
    <w:rsid w:val="0024662C"/>
    <w:rsid w:val="00246B51"/>
    <w:rsid w:val="00246BE0"/>
    <w:rsid w:val="00246E16"/>
    <w:rsid w:val="0024743A"/>
    <w:rsid w:val="002478B8"/>
    <w:rsid w:val="00247952"/>
    <w:rsid w:val="00250765"/>
    <w:rsid w:val="00250A98"/>
    <w:rsid w:val="00251585"/>
    <w:rsid w:val="0025170C"/>
    <w:rsid w:val="002517B6"/>
    <w:rsid w:val="0025206E"/>
    <w:rsid w:val="00252898"/>
    <w:rsid w:val="002528EF"/>
    <w:rsid w:val="00252E32"/>
    <w:rsid w:val="002533CC"/>
    <w:rsid w:val="002534FC"/>
    <w:rsid w:val="00253525"/>
    <w:rsid w:val="002537EC"/>
    <w:rsid w:val="002538EC"/>
    <w:rsid w:val="00254151"/>
    <w:rsid w:val="002544CE"/>
    <w:rsid w:val="00254811"/>
    <w:rsid w:val="002548B3"/>
    <w:rsid w:val="00255471"/>
    <w:rsid w:val="00255476"/>
    <w:rsid w:val="00256DE7"/>
    <w:rsid w:val="002570A5"/>
    <w:rsid w:val="0025760A"/>
    <w:rsid w:val="00257DDF"/>
    <w:rsid w:val="0026076E"/>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913"/>
    <w:rsid w:val="00271E72"/>
    <w:rsid w:val="00272134"/>
    <w:rsid w:val="00273994"/>
    <w:rsid w:val="0027584A"/>
    <w:rsid w:val="00276D98"/>
    <w:rsid w:val="00276EBF"/>
    <w:rsid w:val="002777EF"/>
    <w:rsid w:val="00277DC7"/>
    <w:rsid w:val="00280680"/>
    <w:rsid w:val="00281D34"/>
    <w:rsid w:val="002820B5"/>
    <w:rsid w:val="002820EA"/>
    <w:rsid w:val="002829AB"/>
    <w:rsid w:val="00283468"/>
    <w:rsid w:val="0028459A"/>
    <w:rsid w:val="00284924"/>
    <w:rsid w:val="00284D82"/>
    <w:rsid w:val="00285104"/>
    <w:rsid w:val="00285403"/>
    <w:rsid w:val="00285556"/>
    <w:rsid w:val="00285940"/>
    <w:rsid w:val="0028599C"/>
    <w:rsid w:val="00285A4A"/>
    <w:rsid w:val="002860B2"/>
    <w:rsid w:val="002861D5"/>
    <w:rsid w:val="002862FE"/>
    <w:rsid w:val="00286B56"/>
    <w:rsid w:val="00287778"/>
    <w:rsid w:val="002909F6"/>
    <w:rsid w:val="002915C7"/>
    <w:rsid w:val="002915D4"/>
    <w:rsid w:val="00291EA2"/>
    <w:rsid w:val="00291F57"/>
    <w:rsid w:val="002922D0"/>
    <w:rsid w:val="0029250E"/>
    <w:rsid w:val="00292A28"/>
    <w:rsid w:val="00294586"/>
    <w:rsid w:val="002945F6"/>
    <w:rsid w:val="00294CB7"/>
    <w:rsid w:val="00294ED6"/>
    <w:rsid w:val="00295113"/>
    <w:rsid w:val="00295136"/>
    <w:rsid w:val="0029548D"/>
    <w:rsid w:val="00295E60"/>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3D97"/>
    <w:rsid w:val="002A3FE8"/>
    <w:rsid w:val="002A44DC"/>
    <w:rsid w:val="002A5D12"/>
    <w:rsid w:val="002A6EA1"/>
    <w:rsid w:val="002A729F"/>
    <w:rsid w:val="002A7360"/>
    <w:rsid w:val="002A792E"/>
    <w:rsid w:val="002A7F50"/>
    <w:rsid w:val="002B00CA"/>
    <w:rsid w:val="002B0490"/>
    <w:rsid w:val="002B139F"/>
    <w:rsid w:val="002B1476"/>
    <w:rsid w:val="002B15CF"/>
    <w:rsid w:val="002B1870"/>
    <w:rsid w:val="002B1B32"/>
    <w:rsid w:val="002B3103"/>
    <w:rsid w:val="002B3186"/>
    <w:rsid w:val="002B33E1"/>
    <w:rsid w:val="002B3580"/>
    <w:rsid w:val="002B38E9"/>
    <w:rsid w:val="002B4426"/>
    <w:rsid w:val="002B4825"/>
    <w:rsid w:val="002B487B"/>
    <w:rsid w:val="002B50FE"/>
    <w:rsid w:val="002B5153"/>
    <w:rsid w:val="002B5246"/>
    <w:rsid w:val="002B559C"/>
    <w:rsid w:val="002B5BCB"/>
    <w:rsid w:val="002B65A5"/>
    <w:rsid w:val="002B672A"/>
    <w:rsid w:val="002B7135"/>
    <w:rsid w:val="002B744E"/>
    <w:rsid w:val="002B7FA0"/>
    <w:rsid w:val="002C042A"/>
    <w:rsid w:val="002C1FAA"/>
    <w:rsid w:val="002C1FE3"/>
    <w:rsid w:val="002C23DE"/>
    <w:rsid w:val="002C26A9"/>
    <w:rsid w:val="002C27A4"/>
    <w:rsid w:val="002C414C"/>
    <w:rsid w:val="002C44BC"/>
    <w:rsid w:val="002C4553"/>
    <w:rsid w:val="002C4E33"/>
    <w:rsid w:val="002C664D"/>
    <w:rsid w:val="002C6811"/>
    <w:rsid w:val="002C698C"/>
    <w:rsid w:val="002C7BB9"/>
    <w:rsid w:val="002D052F"/>
    <w:rsid w:val="002D0F03"/>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6DCF"/>
    <w:rsid w:val="002D7FF3"/>
    <w:rsid w:val="002E0343"/>
    <w:rsid w:val="002E1ACD"/>
    <w:rsid w:val="002E1B02"/>
    <w:rsid w:val="002E2676"/>
    <w:rsid w:val="002E3266"/>
    <w:rsid w:val="002E34B0"/>
    <w:rsid w:val="002E4961"/>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691"/>
    <w:rsid w:val="002F3788"/>
    <w:rsid w:val="002F38C1"/>
    <w:rsid w:val="002F4A92"/>
    <w:rsid w:val="002F4CD8"/>
    <w:rsid w:val="002F54C6"/>
    <w:rsid w:val="002F5D9D"/>
    <w:rsid w:val="002F6196"/>
    <w:rsid w:val="002F6769"/>
    <w:rsid w:val="002F6993"/>
    <w:rsid w:val="002F69F7"/>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5DE"/>
    <w:rsid w:val="00311A1E"/>
    <w:rsid w:val="00311B11"/>
    <w:rsid w:val="003120A8"/>
    <w:rsid w:val="003128E1"/>
    <w:rsid w:val="00313E59"/>
    <w:rsid w:val="00314310"/>
    <w:rsid w:val="003146EB"/>
    <w:rsid w:val="00314C74"/>
    <w:rsid w:val="00314ECE"/>
    <w:rsid w:val="0031592C"/>
    <w:rsid w:val="00315AF5"/>
    <w:rsid w:val="00315E0E"/>
    <w:rsid w:val="00317145"/>
    <w:rsid w:val="0031729D"/>
    <w:rsid w:val="003175CE"/>
    <w:rsid w:val="00320250"/>
    <w:rsid w:val="003215C6"/>
    <w:rsid w:val="0032164A"/>
    <w:rsid w:val="0032201C"/>
    <w:rsid w:val="00322256"/>
    <w:rsid w:val="0032243B"/>
    <w:rsid w:val="00322460"/>
    <w:rsid w:val="00322FC3"/>
    <w:rsid w:val="0032363B"/>
    <w:rsid w:val="00323B56"/>
    <w:rsid w:val="00323F22"/>
    <w:rsid w:val="00324B6F"/>
    <w:rsid w:val="00325570"/>
    <w:rsid w:val="003270BE"/>
    <w:rsid w:val="0033046D"/>
    <w:rsid w:val="00331DBD"/>
    <w:rsid w:val="00331FA9"/>
    <w:rsid w:val="003327C3"/>
    <w:rsid w:val="00332810"/>
    <w:rsid w:val="00332E26"/>
    <w:rsid w:val="00333093"/>
    <w:rsid w:val="00333CDD"/>
    <w:rsid w:val="0033413B"/>
    <w:rsid w:val="00334C6A"/>
    <w:rsid w:val="00334C9F"/>
    <w:rsid w:val="00334DFC"/>
    <w:rsid w:val="00335678"/>
    <w:rsid w:val="00335830"/>
    <w:rsid w:val="0033721D"/>
    <w:rsid w:val="0033726C"/>
    <w:rsid w:val="00340094"/>
    <w:rsid w:val="0034052E"/>
    <w:rsid w:val="00340F31"/>
    <w:rsid w:val="00341383"/>
    <w:rsid w:val="003413C2"/>
    <w:rsid w:val="003414D2"/>
    <w:rsid w:val="003416B1"/>
    <w:rsid w:val="003428DC"/>
    <w:rsid w:val="00342B59"/>
    <w:rsid w:val="00343581"/>
    <w:rsid w:val="00343928"/>
    <w:rsid w:val="00345856"/>
    <w:rsid w:val="00345D90"/>
    <w:rsid w:val="0034689C"/>
    <w:rsid w:val="0034758E"/>
    <w:rsid w:val="003476A9"/>
    <w:rsid w:val="003478EA"/>
    <w:rsid w:val="00350414"/>
    <w:rsid w:val="00350DC1"/>
    <w:rsid w:val="00350DD8"/>
    <w:rsid w:val="00350E1F"/>
    <w:rsid w:val="00350F7D"/>
    <w:rsid w:val="0035196C"/>
    <w:rsid w:val="00351D68"/>
    <w:rsid w:val="00352247"/>
    <w:rsid w:val="0035247F"/>
    <w:rsid w:val="00352703"/>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CF9"/>
    <w:rsid w:val="00363D38"/>
    <w:rsid w:val="00363D8C"/>
    <w:rsid w:val="00363F68"/>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09D8"/>
    <w:rsid w:val="00381F1B"/>
    <w:rsid w:val="00382263"/>
    <w:rsid w:val="0038340E"/>
    <w:rsid w:val="00383DE1"/>
    <w:rsid w:val="00383FF1"/>
    <w:rsid w:val="00384ADE"/>
    <w:rsid w:val="003856BC"/>
    <w:rsid w:val="00385751"/>
    <w:rsid w:val="00385F16"/>
    <w:rsid w:val="00386555"/>
    <w:rsid w:val="00386664"/>
    <w:rsid w:val="00386E29"/>
    <w:rsid w:val="003870BA"/>
    <w:rsid w:val="0038788D"/>
    <w:rsid w:val="003878DB"/>
    <w:rsid w:val="00387908"/>
    <w:rsid w:val="00387CE4"/>
    <w:rsid w:val="003904CE"/>
    <w:rsid w:val="00390584"/>
    <w:rsid w:val="00390909"/>
    <w:rsid w:val="00390D00"/>
    <w:rsid w:val="00390D5D"/>
    <w:rsid w:val="0039208C"/>
    <w:rsid w:val="00392959"/>
    <w:rsid w:val="00393693"/>
    <w:rsid w:val="00393769"/>
    <w:rsid w:val="003937C2"/>
    <w:rsid w:val="00393C56"/>
    <w:rsid w:val="00394CE0"/>
    <w:rsid w:val="00395888"/>
    <w:rsid w:val="003959D8"/>
    <w:rsid w:val="00395BFF"/>
    <w:rsid w:val="00396639"/>
    <w:rsid w:val="003A0E01"/>
    <w:rsid w:val="003A1078"/>
    <w:rsid w:val="003A2AB9"/>
    <w:rsid w:val="003A349D"/>
    <w:rsid w:val="003A3A01"/>
    <w:rsid w:val="003A3D11"/>
    <w:rsid w:val="003A4AC9"/>
    <w:rsid w:val="003A4BC4"/>
    <w:rsid w:val="003A50E2"/>
    <w:rsid w:val="003A60FE"/>
    <w:rsid w:val="003A70A4"/>
    <w:rsid w:val="003A70BB"/>
    <w:rsid w:val="003A7536"/>
    <w:rsid w:val="003A7F7B"/>
    <w:rsid w:val="003B074A"/>
    <w:rsid w:val="003B0822"/>
    <w:rsid w:val="003B2268"/>
    <w:rsid w:val="003B22B7"/>
    <w:rsid w:val="003B28FA"/>
    <w:rsid w:val="003B2991"/>
    <w:rsid w:val="003B3421"/>
    <w:rsid w:val="003B4AEE"/>
    <w:rsid w:val="003B525E"/>
    <w:rsid w:val="003B596F"/>
    <w:rsid w:val="003B6906"/>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9FE"/>
    <w:rsid w:val="003C6F10"/>
    <w:rsid w:val="003C7A64"/>
    <w:rsid w:val="003D030D"/>
    <w:rsid w:val="003D0980"/>
    <w:rsid w:val="003D0B23"/>
    <w:rsid w:val="003D1173"/>
    <w:rsid w:val="003D15F3"/>
    <w:rsid w:val="003D16F4"/>
    <w:rsid w:val="003D1911"/>
    <w:rsid w:val="003D1FE1"/>
    <w:rsid w:val="003D25EB"/>
    <w:rsid w:val="003D2FC4"/>
    <w:rsid w:val="003D3D0E"/>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59F"/>
    <w:rsid w:val="003E491D"/>
    <w:rsid w:val="003E5403"/>
    <w:rsid w:val="003E5F1E"/>
    <w:rsid w:val="003E60B8"/>
    <w:rsid w:val="003E614B"/>
    <w:rsid w:val="003E68F1"/>
    <w:rsid w:val="003E6B00"/>
    <w:rsid w:val="003E6CE4"/>
    <w:rsid w:val="003E72E5"/>
    <w:rsid w:val="003E77D6"/>
    <w:rsid w:val="003E7D2B"/>
    <w:rsid w:val="003E7E06"/>
    <w:rsid w:val="003F0054"/>
    <w:rsid w:val="003F0729"/>
    <w:rsid w:val="003F0DD9"/>
    <w:rsid w:val="003F1072"/>
    <w:rsid w:val="003F16D5"/>
    <w:rsid w:val="003F1856"/>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0980"/>
    <w:rsid w:val="00401646"/>
    <w:rsid w:val="00401973"/>
    <w:rsid w:val="00402021"/>
    <w:rsid w:val="00402AD2"/>
    <w:rsid w:val="00402E2E"/>
    <w:rsid w:val="00403547"/>
    <w:rsid w:val="00403C55"/>
    <w:rsid w:val="0040406B"/>
    <w:rsid w:val="00404570"/>
    <w:rsid w:val="004047DD"/>
    <w:rsid w:val="00404A62"/>
    <w:rsid w:val="0040566B"/>
    <w:rsid w:val="00405A1F"/>
    <w:rsid w:val="0040638B"/>
    <w:rsid w:val="004066C7"/>
    <w:rsid w:val="00407042"/>
    <w:rsid w:val="004079AD"/>
    <w:rsid w:val="00407B55"/>
    <w:rsid w:val="00410326"/>
    <w:rsid w:val="00410BD5"/>
    <w:rsid w:val="00411ACF"/>
    <w:rsid w:val="0041298B"/>
    <w:rsid w:val="00412DA8"/>
    <w:rsid w:val="00413333"/>
    <w:rsid w:val="004135EE"/>
    <w:rsid w:val="0041391E"/>
    <w:rsid w:val="00414055"/>
    <w:rsid w:val="00414D25"/>
    <w:rsid w:val="004153F3"/>
    <w:rsid w:val="004157F9"/>
    <w:rsid w:val="00416044"/>
    <w:rsid w:val="00416527"/>
    <w:rsid w:val="00416637"/>
    <w:rsid w:val="00416812"/>
    <w:rsid w:val="00416A21"/>
    <w:rsid w:val="00417EEF"/>
    <w:rsid w:val="00417FC0"/>
    <w:rsid w:val="00417FCA"/>
    <w:rsid w:val="004211E7"/>
    <w:rsid w:val="00421405"/>
    <w:rsid w:val="00422CB9"/>
    <w:rsid w:val="0042381D"/>
    <w:rsid w:val="00423824"/>
    <w:rsid w:val="00423B73"/>
    <w:rsid w:val="00424A50"/>
    <w:rsid w:val="00424F45"/>
    <w:rsid w:val="004251FB"/>
    <w:rsid w:val="0042542D"/>
    <w:rsid w:val="004259C7"/>
    <w:rsid w:val="00425DEA"/>
    <w:rsid w:val="00426388"/>
    <w:rsid w:val="004264BE"/>
    <w:rsid w:val="00426F47"/>
    <w:rsid w:val="00427185"/>
    <w:rsid w:val="0042771D"/>
    <w:rsid w:val="00427B3C"/>
    <w:rsid w:val="0043034C"/>
    <w:rsid w:val="00430BEA"/>
    <w:rsid w:val="00430E54"/>
    <w:rsid w:val="004317ED"/>
    <w:rsid w:val="00431B09"/>
    <w:rsid w:val="00431C65"/>
    <w:rsid w:val="00431D5A"/>
    <w:rsid w:val="004326F7"/>
    <w:rsid w:val="004330A0"/>
    <w:rsid w:val="00434990"/>
    <w:rsid w:val="004349DC"/>
    <w:rsid w:val="0043572F"/>
    <w:rsid w:val="00435A25"/>
    <w:rsid w:val="00435C40"/>
    <w:rsid w:val="00435DE7"/>
    <w:rsid w:val="00436249"/>
    <w:rsid w:val="0043652F"/>
    <w:rsid w:val="0043659D"/>
    <w:rsid w:val="00436A97"/>
    <w:rsid w:val="0043722D"/>
    <w:rsid w:val="00437B7E"/>
    <w:rsid w:val="00437E5A"/>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61A"/>
    <w:rsid w:val="00462766"/>
    <w:rsid w:val="00462AF2"/>
    <w:rsid w:val="00462DCE"/>
    <w:rsid w:val="00463198"/>
    <w:rsid w:val="00463927"/>
    <w:rsid w:val="00463B07"/>
    <w:rsid w:val="00464B4B"/>
    <w:rsid w:val="00464BDE"/>
    <w:rsid w:val="004650A8"/>
    <w:rsid w:val="0046518B"/>
    <w:rsid w:val="00465986"/>
    <w:rsid w:val="00466311"/>
    <w:rsid w:val="00466AB1"/>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281"/>
    <w:rsid w:val="00475761"/>
    <w:rsid w:val="00475B22"/>
    <w:rsid w:val="00475E12"/>
    <w:rsid w:val="00476965"/>
    <w:rsid w:val="0048070F"/>
    <w:rsid w:val="00480A91"/>
    <w:rsid w:val="00481107"/>
    <w:rsid w:val="00481C1E"/>
    <w:rsid w:val="00482F84"/>
    <w:rsid w:val="00483B9C"/>
    <w:rsid w:val="00483FDD"/>
    <w:rsid w:val="00484165"/>
    <w:rsid w:val="00484E83"/>
    <w:rsid w:val="00484F27"/>
    <w:rsid w:val="004859CB"/>
    <w:rsid w:val="00485C22"/>
    <w:rsid w:val="00486777"/>
    <w:rsid w:val="00486DCF"/>
    <w:rsid w:val="00487722"/>
    <w:rsid w:val="00487850"/>
    <w:rsid w:val="00487E20"/>
    <w:rsid w:val="004902D6"/>
    <w:rsid w:val="00490A12"/>
    <w:rsid w:val="00490AE7"/>
    <w:rsid w:val="0049163A"/>
    <w:rsid w:val="0049179A"/>
    <w:rsid w:val="00491A26"/>
    <w:rsid w:val="00493627"/>
    <w:rsid w:val="00493B5B"/>
    <w:rsid w:val="00494266"/>
    <w:rsid w:val="0049572B"/>
    <w:rsid w:val="0049579A"/>
    <w:rsid w:val="00495ADB"/>
    <w:rsid w:val="004965BA"/>
    <w:rsid w:val="00496791"/>
    <w:rsid w:val="00496A84"/>
    <w:rsid w:val="004973A8"/>
    <w:rsid w:val="00497BF3"/>
    <w:rsid w:val="004A01CD"/>
    <w:rsid w:val="004A10DB"/>
    <w:rsid w:val="004A18D2"/>
    <w:rsid w:val="004A18DA"/>
    <w:rsid w:val="004A21B3"/>
    <w:rsid w:val="004A2A2D"/>
    <w:rsid w:val="004A301A"/>
    <w:rsid w:val="004A3059"/>
    <w:rsid w:val="004A34DB"/>
    <w:rsid w:val="004A3C52"/>
    <w:rsid w:val="004A407D"/>
    <w:rsid w:val="004A4353"/>
    <w:rsid w:val="004A519E"/>
    <w:rsid w:val="004A5931"/>
    <w:rsid w:val="004A5964"/>
    <w:rsid w:val="004A5A15"/>
    <w:rsid w:val="004A5B6D"/>
    <w:rsid w:val="004A60DE"/>
    <w:rsid w:val="004A6213"/>
    <w:rsid w:val="004A6472"/>
    <w:rsid w:val="004A6996"/>
    <w:rsid w:val="004A6ED3"/>
    <w:rsid w:val="004A7A38"/>
    <w:rsid w:val="004B06E4"/>
    <w:rsid w:val="004B0C34"/>
    <w:rsid w:val="004B13A9"/>
    <w:rsid w:val="004B1CD7"/>
    <w:rsid w:val="004B201C"/>
    <w:rsid w:val="004B2362"/>
    <w:rsid w:val="004B4B9F"/>
    <w:rsid w:val="004B501E"/>
    <w:rsid w:val="004B516A"/>
    <w:rsid w:val="004B5CBC"/>
    <w:rsid w:val="004B6163"/>
    <w:rsid w:val="004B61D2"/>
    <w:rsid w:val="004B624A"/>
    <w:rsid w:val="004B6785"/>
    <w:rsid w:val="004B6828"/>
    <w:rsid w:val="004C0014"/>
    <w:rsid w:val="004C0052"/>
    <w:rsid w:val="004C0812"/>
    <w:rsid w:val="004C142C"/>
    <w:rsid w:val="004C1FE1"/>
    <w:rsid w:val="004C2B3B"/>
    <w:rsid w:val="004C324B"/>
    <w:rsid w:val="004C3AEA"/>
    <w:rsid w:val="004C3B7D"/>
    <w:rsid w:val="004C3EB8"/>
    <w:rsid w:val="004C4336"/>
    <w:rsid w:val="004C44CC"/>
    <w:rsid w:val="004C5224"/>
    <w:rsid w:val="004C5C06"/>
    <w:rsid w:val="004C630B"/>
    <w:rsid w:val="004C675C"/>
    <w:rsid w:val="004C7B4C"/>
    <w:rsid w:val="004C7BA1"/>
    <w:rsid w:val="004D07EA"/>
    <w:rsid w:val="004D0864"/>
    <w:rsid w:val="004D0997"/>
    <w:rsid w:val="004D09C0"/>
    <w:rsid w:val="004D0B80"/>
    <w:rsid w:val="004D0E11"/>
    <w:rsid w:val="004D0ECE"/>
    <w:rsid w:val="004D0F38"/>
    <w:rsid w:val="004D245F"/>
    <w:rsid w:val="004D26DE"/>
    <w:rsid w:val="004D2947"/>
    <w:rsid w:val="004D2CB9"/>
    <w:rsid w:val="004D2D0C"/>
    <w:rsid w:val="004D2D53"/>
    <w:rsid w:val="004D3822"/>
    <w:rsid w:val="004D3E58"/>
    <w:rsid w:val="004D47D4"/>
    <w:rsid w:val="004D49A9"/>
    <w:rsid w:val="004D4EF6"/>
    <w:rsid w:val="004D50AB"/>
    <w:rsid w:val="004D5611"/>
    <w:rsid w:val="004D5EA0"/>
    <w:rsid w:val="004D5F07"/>
    <w:rsid w:val="004D60CA"/>
    <w:rsid w:val="004D6C04"/>
    <w:rsid w:val="004D6FBC"/>
    <w:rsid w:val="004D732C"/>
    <w:rsid w:val="004D7755"/>
    <w:rsid w:val="004D78A0"/>
    <w:rsid w:val="004E0335"/>
    <w:rsid w:val="004E1A5D"/>
    <w:rsid w:val="004E2D5B"/>
    <w:rsid w:val="004E2DF5"/>
    <w:rsid w:val="004E3122"/>
    <w:rsid w:val="004E3631"/>
    <w:rsid w:val="004E3CE3"/>
    <w:rsid w:val="004E4498"/>
    <w:rsid w:val="004E4A74"/>
    <w:rsid w:val="004E4B9D"/>
    <w:rsid w:val="004E4D9E"/>
    <w:rsid w:val="004E5110"/>
    <w:rsid w:val="004E541F"/>
    <w:rsid w:val="004E5A0F"/>
    <w:rsid w:val="004E75D4"/>
    <w:rsid w:val="004E7B1B"/>
    <w:rsid w:val="004F038A"/>
    <w:rsid w:val="004F0B58"/>
    <w:rsid w:val="004F1296"/>
    <w:rsid w:val="004F21AF"/>
    <w:rsid w:val="004F26F6"/>
    <w:rsid w:val="004F3406"/>
    <w:rsid w:val="004F3659"/>
    <w:rsid w:val="004F3C6B"/>
    <w:rsid w:val="004F497F"/>
    <w:rsid w:val="004F6D9C"/>
    <w:rsid w:val="004F70B6"/>
    <w:rsid w:val="005007B8"/>
    <w:rsid w:val="00500EA9"/>
    <w:rsid w:val="00501448"/>
    <w:rsid w:val="005015BD"/>
    <w:rsid w:val="00501E4E"/>
    <w:rsid w:val="0050354F"/>
    <w:rsid w:val="00503AB7"/>
    <w:rsid w:val="00504AC0"/>
    <w:rsid w:val="00505740"/>
    <w:rsid w:val="00505E3D"/>
    <w:rsid w:val="00506072"/>
    <w:rsid w:val="00506113"/>
    <w:rsid w:val="00506897"/>
    <w:rsid w:val="00506A1D"/>
    <w:rsid w:val="00506B98"/>
    <w:rsid w:val="00506D8A"/>
    <w:rsid w:val="00506FEA"/>
    <w:rsid w:val="00507602"/>
    <w:rsid w:val="005076C8"/>
    <w:rsid w:val="005100BB"/>
    <w:rsid w:val="005101EE"/>
    <w:rsid w:val="0051050E"/>
    <w:rsid w:val="00511047"/>
    <w:rsid w:val="00511461"/>
    <w:rsid w:val="005114E0"/>
    <w:rsid w:val="0051226D"/>
    <w:rsid w:val="00512552"/>
    <w:rsid w:val="00512720"/>
    <w:rsid w:val="00512B11"/>
    <w:rsid w:val="00513648"/>
    <w:rsid w:val="0051379F"/>
    <w:rsid w:val="00514A1B"/>
    <w:rsid w:val="00514F34"/>
    <w:rsid w:val="005154B3"/>
    <w:rsid w:val="00515617"/>
    <w:rsid w:val="00516E8B"/>
    <w:rsid w:val="00517076"/>
    <w:rsid w:val="005172FE"/>
    <w:rsid w:val="00517688"/>
    <w:rsid w:val="00517A42"/>
    <w:rsid w:val="00520AE6"/>
    <w:rsid w:val="00520DC6"/>
    <w:rsid w:val="005229B7"/>
    <w:rsid w:val="00522AEF"/>
    <w:rsid w:val="005238A4"/>
    <w:rsid w:val="005239F3"/>
    <w:rsid w:val="00524876"/>
    <w:rsid w:val="00524ADC"/>
    <w:rsid w:val="00524EE5"/>
    <w:rsid w:val="00524FD9"/>
    <w:rsid w:val="00525684"/>
    <w:rsid w:val="005260F3"/>
    <w:rsid w:val="0052660F"/>
    <w:rsid w:val="0052668F"/>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7B0"/>
    <w:rsid w:val="00533AC1"/>
    <w:rsid w:val="00533E0F"/>
    <w:rsid w:val="00534204"/>
    <w:rsid w:val="00534DAA"/>
    <w:rsid w:val="00534E5F"/>
    <w:rsid w:val="005355AB"/>
    <w:rsid w:val="0053569B"/>
    <w:rsid w:val="00535D4F"/>
    <w:rsid w:val="005365A4"/>
    <w:rsid w:val="00537248"/>
    <w:rsid w:val="00537613"/>
    <w:rsid w:val="0054071D"/>
    <w:rsid w:val="00540D8F"/>
    <w:rsid w:val="00540F8B"/>
    <w:rsid w:val="00541603"/>
    <w:rsid w:val="005430E9"/>
    <w:rsid w:val="00543683"/>
    <w:rsid w:val="00543CB3"/>
    <w:rsid w:val="00544632"/>
    <w:rsid w:val="005449F9"/>
    <w:rsid w:val="00544FEA"/>
    <w:rsid w:val="00545310"/>
    <w:rsid w:val="00545644"/>
    <w:rsid w:val="00545A82"/>
    <w:rsid w:val="00545BE9"/>
    <w:rsid w:val="005460EE"/>
    <w:rsid w:val="00546E9E"/>
    <w:rsid w:val="005478D7"/>
    <w:rsid w:val="00547EEF"/>
    <w:rsid w:val="0055100D"/>
    <w:rsid w:val="005516CF"/>
    <w:rsid w:val="0055190D"/>
    <w:rsid w:val="00551B89"/>
    <w:rsid w:val="00551CE4"/>
    <w:rsid w:val="00552312"/>
    <w:rsid w:val="00552D9E"/>
    <w:rsid w:val="00552E13"/>
    <w:rsid w:val="005530EB"/>
    <w:rsid w:val="005532EE"/>
    <w:rsid w:val="00553336"/>
    <w:rsid w:val="005537E3"/>
    <w:rsid w:val="00553B9E"/>
    <w:rsid w:val="00554CAE"/>
    <w:rsid w:val="005558F1"/>
    <w:rsid w:val="0055647D"/>
    <w:rsid w:val="00556785"/>
    <w:rsid w:val="00556E8F"/>
    <w:rsid w:val="00557077"/>
    <w:rsid w:val="005577F1"/>
    <w:rsid w:val="00560356"/>
    <w:rsid w:val="005603E7"/>
    <w:rsid w:val="0056085F"/>
    <w:rsid w:val="005609FE"/>
    <w:rsid w:val="00561427"/>
    <w:rsid w:val="00561C70"/>
    <w:rsid w:val="005624FF"/>
    <w:rsid w:val="00562531"/>
    <w:rsid w:val="00562562"/>
    <w:rsid w:val="005625D0"/>
    <w:rsid w:val="005625D1"/>
    <w:rsid w:val="0056273C"/>
    <w:rsid w:val="00562A88"/>
    <w:rsid w:val="005641FE"/>
    <w:rsid w:val="00564BE6"/>
    <w:rsid w:val="00565246"/>
    <w:rsid w:val="0056551F"/>
    <w:rsid w:val="00565EDB"/>
    <w:rsid w:val="00566259"/>
    <w:rsid w:val="0056693F"/>
    <w:rsid w:val="00566C25"/>
    <w:rsid w:val="005670A6"/>
    <w:rsid w:val="00567481"/>
    <w:rsid w:val="00567795"/>
    <w:rsid w:val="00567D1C"/>
    <w:rsid w:val="00570025"/>
    <w:rsid w:val="0057051D"/>
    <w:rsid w:val="005709A8"/>
    <w:rsid w:val="00571C1C"/>
    <w:rsid w:val="00572594"/>
    <w:rsid w:val="00572A67"/>
    <w:rsid w:val="0057350B"/>
    <w:rsid w:val="0057389F"/>
    <w:rsid w:val="00573983"/>
    <w:rsid w:val="00573F70"/>
    <w:rsid w:val="005740C7"/>
    <w:rsid w:val="005743B8"/>
    <w:rsid w:val="0057452C"/>
    <w:rsid w:val="00574BE9"/>
    <w:rsid w:val="00574C9E"/>
    <w:rsid w:val="00575426"/>
    <w:rsid w:val="00575B97"/>
    <w:rsid w:val="00576016"/>
    <w:rsid w:val="00576086"/>
    <w:rsid w:val="0057617F"/>
    <w:rsid w:val="00576352"/>
    <w:rsid w:val="00576772"/>
    <w:rsid w:val="00576D78"/>
    <w:rsid w:val="00576F56"/>
    <w:rsid w:val="005773F7"/>
    <w:rsid w:val="00577B2F"/>
    <w:rsid w:val="00577D63"/>
    <w:rsid w:val="00580609"/>
    <w:rsid w:val="00581A71"/>
    <w:rsid w:val="00581CF5"/>
    <w:rsid w:val="005822FD"/>
    <w:rsid w:val="00582C43"/>
    <w:rsid w:val="00582F5D"/>
    <w:rsid w:val="005831D1"/>
    <w:rsid w:val="00583236"/>
    <w:rsid w:val="00583562"/>
    <w:rsid w:val="005837BA"/>
    <w:rsid w:val="00583D3C"/>
    <w:rsid w:val="00584158"/>
    <w:rsid w:val="0058431E"/>
    <w:rsid w:val="00584453"/>
    <w:rsid w:val="005846A2"/>
    <w:rsid w:val="00584E6A"/>
    <w:rsid w:val="005855B2"/>
    <w:rsid w:val="005857BC"/>
    <w:rsid w:val="00585B84"/>
    <w:rsid w:val="005860C7"/>
    <w:rsid w:val="00586778"/>
    <w:rsid w:val="005870A0"/>
    <w:rsid w:val="0058742C"/>
    <w:rsid w:val="00590854"/>
    <w:rsid w:val="00590A66"/>
    <w:rsid w:val="005913B0"/>
    <w:rsid w:val="00591425"/>
    <w:rsid w:val="00591F01"/>
    <w:rsid w:val="005923E5"/>
    <w:rsid w:val="005925ED"/>
    <w:rsid w:val="00593039"/>
    <w:rsid w:val="00593450"/>
    <w:rsid w:val="00593507"/>
    <w:rsid w:val="005941A1"/>
    <w:rsid w:val="00594510"/>
    <w:rsid w:val="0059490F"/>
    <w:rsid w:val="00594BF3"/>
    <w:rsid w:val="00594EC4"/>
    <w:rsid w:val="005957D2"/>
    <w:rsid w:val="00595FE5"/>
    <w:rsid w:val="0059604B"/>
    <w:rsid w:val="00596C78"/>
    <w:rsid w:val="005971D8"/>
    <w:rsid w:val="0059723F"/>
    <w:rsid w:val="005973CB"/>
    <w:rsid w:val="00597AE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2880"/>
    <w:rsid w:val="005A3610"/>
    <w:rsid w:val="005A37BA"/>
    <w:rsid w:val="005A3992"/>
    <w:rsid w:val="005A39DF"/>
    <w:rsid w:val="005A3A51"/>
    <w:rsid w:val="005A3AAB"/>
    <w:rsid w:val="005A3F51"/>
    <w:rsid w:val="005A436C"/>
    <w:rsid w:val="005A55A4"/>
    <w:rsid w:val="005A572A"/>
    <w:rsid w:val="005A585F"/>
    <w:rsid w:val="005A63E7"/>
    <w:rsid w:val="005A67F2"/>
    <w:rsid w:val="005A6C04"/>
    <w:rsid w:val="005A757E"/>
    <w:rsid w:val="005B0413"/>
    <w:rsid w:val="005B0A09"/>
    <w:rsid w:val="005B13E9"/>
    <w:rsid w:val="005B15A2"/>
    <w:rsid w:val="005B1AF0"/>
    <w:rsid w:val="005B1C4A"/>
    <w:rsid w:val="005B1C5A"/>
    <w:rsid w:val="005B2258"/>
    <w:rsid w:val="005B2ED8"/>
    <w:rsid w:val="005B2F3A"/>
    <w:rsid w:val="005B3284"/>
    <w:rsid w:val="005B341A"/>
    <w:rsid w:val="005B3D3B"/>
    <w:rsid w:val="005B3D64"/>
    <w:rsid w:val="005B46B5"/>
    <w:rsid w:val="005B4F81"/>
    <w:rsid w:val="005B5311"/>
    <w:rsid w:val="005B5C08"/>
    <w:rsid w:val="005B5C96"/>
    <w:rsid w:val="005B76CC"/>
    <w:rsid w:val="005B78BD"/>
    <w:rsid w:val="005B7BDA"/>
    <w:rsid w:val="005B7E3F"/>
    <w:rsid w:val="005C00AE"/>
    <w:rsid w:val="005C07AB"/>
    <w:rsid w:val="005C0BE0"/>
    <w:rsid w:val="005C0C9E"/>
    <w:rsid w:val="005C11B7"/>
    <w:rsid w:val="005C28CB"/>
    <w:rsid w:val="005C2DD4"/>
    <w:rsid w:val="005C2F07"/>
    <w:rsid w:val="005C32FB"/>
    <w:rsid w:val="005C3697"/>
    <w:rsid w:val="005C3D75"/>
    <w:rsid w:val="005C4461"/>
    <w:rsid w:val="005C63FE"/>
    <w:rsid w:val="005C6E73"/>
    <w:rsid w:val="005C74EF"/>
    <w:rsid w:val="005C79BC"/>
    <w:rsid w:val="005D0482"/>
    <w:rsid w:val="005D08B9"/>
    <w:rsid w:val="005D0FB1"/>
    <w:rsid w:val="005D0FD6"/>
    <w:rsid w:val="005D12E4"/>
    <w:rsid w:val="005D1646"/>
    <w:rsid w:val="005D27C0"/>
    <w:rsid w:val="005D2D21"/>
    <w:rsid w:val="005D358D"/>
    <w:rsid w:val="005D396F"/>
    <w:rsid w:val="005D397E"/>
    <w:rsid w:val="005D3A2C"/>
    <w:rsid w:val="005D3CB6"/>
    <w:rsid w:val="005D4030"/>
    <w:rsid w:val="005D4AFF"/>
    <w:rsid w:val="005D4BE3"/>
    <w:rsid w:val="005D4C35"/>
    <w:rsid w:val="005D4C8C"/>
    <w:rsid w:val="005D4C93"/>
    <w:rsid w:val="005D4E28"/>
    <w:rsid w:val="005D58EA"/>
    <w:rsid w:val="005D5952"/>
    <w:rsid w:val="005D74C9"/>
    <w:rsid w:val="005D7A92"/>
    <w:rsid w:val="005D7BA7"/>
    <w:rsid w:val="005D7CF6"/>
    <w:rsid w:val="005D7DDF"/>
    <w:rsid w:val="005E044F"/>
    <w:rsid w:val="005E0639"/>
    <w:rsid w:val="005E0FE5"/>
    <w:rsid w:val="005E1828"/>
    <w:rsid w:val="005E1DF9"/>
    <w:rsid w:val="005E2562"/>
    <w:rsid w:val="005E25FF"/>
    <w:rsid w:val="005E2605"/>
    <w:rsid w:val="005E2623"/>
    <w:rsid w:val="005E320B"/>
    <w:rsid w:val="005E3321"/>
    <w:rsid w:val="005E35E4"/>
    <w:rsid w:val="005E386A"/>
    <w:rsid w:val="005E45AE"/>
    <w:rsid w:val="005E5236"/>
    <w:rsid w:val="005E583E"/>
    <w:rsid w:val="005E5CB8"/>
    <w:rsid w:val="005E5ECB"/>
    <w:rsid w:val="005E65A2"/>
    <w:rsid w:val="005E7427"/>
    <w:rsid w:val="005F0691"/>
    <w:rsid w:val="005F0904"/>
    <w:rsid w:val="005F2157"/>
    <w:rsid w:val="005F2390"/>
    <w:rsid w:val="005F25BC"/>
    <w:rsid w:val="005F2F22"/>
    <w:rsid w:val="005F4D3C"/>
    <w:rsid w:val="005F5444"/>
    <w:rsid w:val="005F584E"/>
    <w:rsid w:val="005F6F5B"/>
    <w:rsid w:val="005F7922"/>
    <w:rsid w:val="005F7A17"/>
    <w:rsid w:val="005F7EDE"/>
    <w:rsid w:val="00600B45"/>
    <w:rsid w:val="00600EBE"/>
    <w:rsid w:val="006011A8"/>
    <w:rsid w:val="00601614"/>
    <w:rsid w:val="006016D5"/>
    <w:rsid w:val="006030AA"/>
    <w:rsid w:val="0060375E"/>
    <w:rsid w:val="00603D94"/>
    <w:rsid w:val="00603E9A"/>
    <w:rsid w:val="00604051"/>
    <w:rsid w:val="00604CBA"/>
    <w:rsid w:val="00604D3A"/>
    <w:rsid w:val="00605887"/>
    <w:rsid w:val="00605D1D"/>
    <w:rsid w:val="00606436"/>
    <w:rsid w:val="00607784"/>
    <w:rsid w:val="006102DA"/>
    <w:rsid w:val="00610434"/>
    <w:rsid w:val="00610C4C"/>
    <w:rsid w:val="00611103"/>
    <w:rsid w:val="0061131D"/>
    <w:rsid w:val="0061173B"/>
    <w:rsid w:val="006118E6"/>
    <w:rsid w:val="006118F9"/>
    <w:rsid w:val="0061191F"/>
    <w:rsid w:val="00611E95"/>
    <w:rsid w:val="00612415"/>
    <w:rsid w:val="00612587"/>
    <w:rsid w:val="00612E32"/>
    <w:rsid w:val="00612F20"/>
    <w:rsid w:val="0061308E"/>
    <w:rsid w:val="006139C3"/>
    <w:rsid w:val="00613A6F"/>
    <w:rsid w:val="00614823"/>
    <w:rsid w:val="00615302"/>
    <w:rsid w:val="00615949"/>
    <w:rsid w:val="006167CC"/>
    <w:rsid w:val="0061680B"/>
    <w:rsid w:val="00616AFD"/>
    <w:rsid w:val="00617073"/>
    <w:rsid w:val="006201D4"/>
    <w:rsid w:val="006202C3"/>
    <w:rsid w:val="0062052B"/>
    <w:rsid w:val="006205A9"/>
    <w:rsid w:val="006207E1"/>
    <w:rsid w:val="00620CBF"/>
    <w:rsid w:val="006211E0"/>
    <w:rsid w:val="0062143D"/>
    <w:rsid w:val="00621AE4"/>
    <w:rsid w:val="006222B0"/>
    <w:rsid w:val="00623D3D"/>
    <w:rsid w:val="00624185"/>
    <w:rsid w:val="0062426B"/>
    <w:rsid w:val="00624DD8"/>
    <w:rsid w:val="00624F57"/>
    <w:rsid w:val="00625398"/>
    <w:rsid w:val="00625B54"/>
    <w:rsid w:val="006263BF"/>
    <w:rsid w:val="00626402"/>
    <w:rsid w:val="00626684"/>
    <w:rsid w:val="006279FF"/>
    <w:rsid w:val="00627FB2"/>
    <w:rsid w:val="0063073D"/>
    <w:rsid w:val="00630CC6"/>
    <w:rsid w:val="00631142"/>
    <w:rsid w:val="00631477"/>
    <w:rsid w:val="00631C24"/>
    <w:rsid w:val="00631D4E"/>
    <w:rsid w:val="0063388E"/>
    <w:rsid w:val="00634A94"/>
    <w:rsid w:val="006352BB"/>
    <w:rsid w:val="00635747"/>
    <w:rsid w:val="0063675D"/>
    <w:rsid w:val="006374C7"/>
    <w:rsid w:val="006375F8"/>
    <w:rsid w:val="0064070F"/>
    <w:rsid w:val="00640854"/>
    <w:rsid w:val="00640B56"/>
    <w:rsid w:val="0064172F"/>
    <w:rsid w:val="00641D09"/>
    <w:rsid w:val="00642160"/>
    <w:rsid w:val="00642ABA"/>
    <w:rsid w:val="00643C8E"/>
    <w:rsid w:val="00644040"/>
    <w:rsid w:val="006441E3"/>
    <w:rsid w:val="006443F5"/>
    <w:rsid w:val="0064455D"/>
    <w:rsid w:val="00644FF2"/>
    <w:rsid w:val="00645955"/>
    <w:rsid w:val="00645D2E"/>
    <w:rsid w:val="006465F7"/>
    <w:rsid w:val="006467F9"/>
    <w:rsid w:val="00646B34"/>
    <w:rsid w:val="00647E1C"/>
    <w:rsid w:val="00650FF9"/>
    <w:rsid w:val="00651247"/>
    <w:rsid w:val="006513B5"/>
    <w:rsid w:val="00651A05"/>
    <w:rsid w:val="006531DF"/>
    <w:rsid w:val="006537F4"/>
    <w:rsid w:val="00653EB4"/>
    <w:rsid w:val="00653FE2"/>
    <w:rsid w:val="00654194"/>
    <w:rsid w:val="006546AA"/>
    <w:rsid w:val="006546E3"/>
    <w:rsid w:val="00654832"/>
    <w:rsid w:val="0065549C"/>
    <w:rsid w:val="00655A8A"/>
    <w:rsid w:val="0065640E"/>
    <w:rsid w:val="00656BE4"/>
    <w:rsid w:val="006570BE"/>
    <w:rsid w:val="0065759A"/>
    <w:rsid w:val="00657DEE"/>
    <w:rsid w:val="00657ED6"/>
    <w:rsid w:val="0066066C"/>
    <w:rsid w:val="006618B6"/>
    <w:rsid w:val="0066210C"/>
    <w:rsid w:val="006623B9"/>
    <w:rsid w:val="006628A9"/>
    <w:rsid w:val="006638C8"/>
    <w:rsid w:val="00663F6C"/>
    <w:rsid w:val="006642AC"/>
    <w:rsid w:val="0066475C"/>
    <w:rsid w:val="00664C87"/>
    <w:rsid w:val="006650BC"/>
    <w:rsid w:val="00665357"/>
    <w:rsid w:val="006653D4"/>
    <w:rsid w:val="006655BD"/>
    <w:rsid w:val="006656AB"/>
    <w:rsid w:val="00665C2D"/>
    <w:rsid w:val="00666392"/>
    <w:rsid w:val="00666734"/>
    <w:rsid w:val="00667284"/>
    <w:rsid w:val="00667801"/>
    <w:rsid w:val="00667A53"/>
    <w:rsid w:val="00667FAD"/>
    <w:rsid w:val="00670373"/>
    <w:rsid w:val="00671148"/>
    <w:rsid w:val="006711CF"/>
    <w:rsid w:val="00672141"/>
    <w:rsid w:val="006721E0"/>
    <w:rsid w:val="00672B07"/>
    <w:rsid w:val="0067366F"/>
    <w:rsid w:val="00673958"/>
    <w:rsid w:val="00674989"/>
    <w:rsid w:val="00674D4A"/>
    <w:rsid w:val="00675807"/>
    <w:rsid w:val="00675820"/>
    <w:rsid w:val="00676BE4"/>
    <w:rsid w:val="00677021"/>
    <w:rsid w:val="00677CCB"/>
    <w:rsid w:val="0068098E"/>
    <w:rsid w:val="00680FB9"/>
    <w:rsid w:val="00681464"/>
    <w:rsid w:val="0068168E"/>
    <w:rsid w:val="0068179A"/>
    <w:rsid w:val="00681993"/>
    <w:rsid w:val="006824B6"/>
    <w:rsid w:val="00682D80"/>
    <w:rsid w:val="00682E81"/>
    <w:rsid w:val="00683694"/>
    <w:rsid w:val="00683DBB"/>
    <w:rsid w:val="00684A0C"/>
    <w:rsid w:val="00684A33"/>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2EC9"/>
    <w:rsid w:val="00694575"/>
    <w:rsid w:val="00694870"/>
    <w:rsid w:val="00695992"/>
    <w:rsid w:val="00695F34"/>
    <w:rsid w:val="00696358"/>
    <w:rsid w:val="00696EA3"/>
    <w:rsid w:val="00696F75"/>
    <w:rsid w:val="006973BA"/>
    <w:rsid w:val="0069773F"/>
    <w:rsid w:val="0069783F"/>
    <w:rsid w:val="006A0D12"/>
    <w:rsid w:val="006A273A"/>
    <w:rsid w:val="006A3A2E"/>
    <w:rsid w:val="006A3BD6"/>
    <w:rsid w:val="006A465A"/>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0FA"/>
    <w:rsid w:val="006B532C"/>
    <w:rsid w:val="006B5BDC"/>
    <w:rsid w:val="006B5DAA"/>
    <w:rsid w:val="006B5FC5"/>
    <w:rsid w:val="006B6689"/>
    <w:rsid w:val="006B66F1"/>
    <w:rsid w:val="006B6AF5"/>
    <w:rsid w:val="006B6CE6"/>
    <w:rsid w:val="006B6F37"/>
    <w:rsid w:val="006C0321"/>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495"/>
    <w:rsid w:val="006D5DF1"/>
    <w:rsid w:val="006D5ED5"/>
    <w:rsid w:val="006D6069"/>
    <w:rsid w:val="006D7AF5"/>
    <w:rsid w:val="006D7CF1"/>
    <w:rsid w:val="006E0BEB"/>
    <w:rsid w:val="006E1388"/>
    <w:rsid w:val="006E1827"/>
    <w:rsid w:val="006E1B06"/>
    <w:rsid w:val="006E1B26"/>
    <w:rsid w:val="006E1ED7"/>
    <w:rsid w:val="006E2980"/>
    <w:rsid w:val="006E2CE9"/>
    <w:rsid w:val="006E2D8D"/>
    <w:rsid w:val="006E3799"/>
    <w:rsid w:val="006E3DAB"/>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27F5"/>
    <w:rsid w:val="006F3030"/>
    <w:rsid w:val="006F407A"/>
    <w:rsid w:val="006F40BA"/>
    <w:rsid w:val="006F498C"/>
    <w:rsid w:val="006F4BD3"/>
    <w:rsid w:val="006F5481"/>
    <w:rsid w:val="006F5749"/>
    <w:rsid w:val="006F5967"/>
    <w:rsid w:val="006F5B81"/>
    <w:rsid w:val="006F652C"/>
    <w:rsid w:val="006F6857"/>
    <w:rsid w:val="006F69FC"/>
    <w:rsid w:val="006F6CDC"/>
    <w:rsid w:val="0070145A"/>
    <w:rsid w:val="007019A9"/>
    <w:rsid w:val="0070212D"/>
    <w:rsid w:val="00702CD0"/>
    <w:rsid w:val="00704A31"/>
    <w:rsid w:val="0070519D"/>
    <w:rsid w:val="00705A0E"/>
    <w:rsid w:val="007061E6"/>
    <w:rsid w:val="0070733D"/>
    <w:rsid w:val="00710E55"/>
    <w:rsid w:val="007122F0"/>
    <w:rsid w:val="00712AC6"/>
    <w:rsid w:val="00713B6B"/>
    <w:rsid w:val="00713B8E"/>
    <w:rsid w:val="00714103"/>
    <w:rsid w:val="00714D7D"/>
    <w:rsid w:val="00714EF9"/>
    <w:rsid w:val="007150A9"/>
    <w:rsid w:val="00716578"/>
    <w:rsid w:val="007166E2"/>
    <w:rsid w:val="007172B5"/>
    <w:rsid w:val="007178F8"/>
    <w:rsid w:val="00720AAF"/>
    <w:rsid w:val="00720AFE"/>
    <w:rsid w:val="00720F63"/>
    <w:rsid w:val="00721AB2"/>
    <w:rsid w:val="00721D75"/>
    <w:rsid w:val="007220CF"/>
    <w:rsid w:val="00722308"/>
    <w:rsid w:val="0072250C"/>
    <w:rsid w:val="00722DA4"/>
    <w:rsid w:val="00723579"/>
    <w:rsid w:val="007238A3"/>
    <w:rsid w:val="007248A8"/>
    <w:rsid w:val="00724B18"/>
    <w:rsid w:val="00724BC5"/>
    <w:rsid w:val="00724BFF"/>
    <w:rsid w:val="00724D87"/>
    <w:rsid w:val="00725523"/>
    <w:rsid w:val="007258DC"/>
    <w:rsid w:val="0072593A"/>
    <w:rsid w:val="0072602B"/>
    <w:rsid w:val="00726429"/>
    <w:rsid w:val="00726694"/>
    <w:rsid w:val="007269CF"/>
    <w:rsid w:val="00726A15"/>
    <w:rsid w:val="007271C4"/>
    <w:rsid w:val="007271FE"/>
    <w:rsid w:val="00727870"/>
    <w:rsid w:val="00727E89"/>
    <w:rsid w:val="007305E6"/>
    <w:rsid w:val="00730935"/>
    <w:rsid w:val="00730C35"/>
    <w:rsid w:val="00730DD6"/>
    <w:rsid w:val="00731453"/>
    <w:rsid w:val="007318FB"/>
    <w:rsid w:val="00731D28"/>
    <w:rsid w:val="00731EFA"/>
    <w:rsid w:val="007323B2"/>
    <w:rsid w:val="00732B98"/>
    <w:rsid w:val="00732CAB"/>
    <w:rsid w:val="007330BB"/>
    <w:rsid w:val="0073345F"/>
    <w:rsid w:val="00734716"/>
    <w:rsid w:val="00735579"/>
    <w:rsid w:val="00735AF1"/>
    <w:rsid w:val="00735CDF"/>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53A"/>
    <w:rsid w:val="00750F4C"/>
    <w:rsid w:val="0075118A"/>
    <w:rsid w:val="007514E8"/>
    <w:rsid w:val="00751508"/>
    <w:rsid w:val="007517BD"/>
    <w:rsid w:val="007527B6"/>
    <w:rsid w:val="007531BA"/>
    <w:rsid w:val="0075342E"/>
    <w:rsid w:val="00753462"/>
    <w:rsid w:val="0075616D"/>
    <w:rsid w:val="0075625B"/>
    <w:rsid w:val="007565C4"/>
    <w:rsid w:val="00756C9C"/>
    <w:rsid w:val="00757406"/>
    <w:rsid w:val="00757534"/>
    <w:rsid w:val="00757CD2"/>
    <w:rsid w:val="0076015A"/>
    <w:rsid w:val="007601E2"/>
    <w:rsid w:val="007605A5"/>
    <w:rsid w:val="0076089B"/>
    <w:rsid w:val="00760B09"/>
    <w:rsid w:val="00761C2E"/>
    <w:rsid w:val="0076442A"/>
    <w:rsid w:val="00764498"/>
    <w:rsid w:val="007648F0"/>
    <w:rsid w:val="00764AC7"/>
    <w:rsid w:val="007679C2"/>
    <w:rsid w:val="00767CD5"/>
    <w:rsid w:val="007713CB"/>
    <w:rsid w:val="007719C4"/>
    <w:rsid w:val="007721D3"/>
    <w:rsid w:val="00773AED"/>
    <w:rsid w:val="007741A1"/>
    <w:rsid w:val="0077431B"/>
    <w:rsid w:val="00774528"/>
    <w:rsid w:val="00775139"/>
    <w:rsid w:val="00775769"/>
    <w:rsid w:val="00775E9A"/>
    <w:rsid w:val="00776705"/>
    <w:rsid w:val="00776804"/>
    <w:rsid w:val="00776B0E"/>
    <w:rsid w:val="0077769B"/>
    <w:rsid w:val="00777D65"/>
    <w:rsid w:val="00780021"/>
    <w:rsid w:val="0078011A"/>
    <w:rsid w:val="00780582"/>
    <w:rsid w:val="007806BB"/>
    <w:rsid w:val="00780892"/>
    <w:rsid w:val="00781336"/>
    <w:rsid w:val="00781E6A"/>
    <w:rsid w:val="00781F50"/>
    <w:rsid w:val="00782507"/>
    <w:rsid w:val="00782AE8"/>
    <w:rsid w:val="0078349F"/>
    <w:rsid w:val="00783680"/>
    <w:rsid w:val="007838C4"/>
    <w:rsid w:val="00783DD0"/>
    <w:rsid w:val="00783EE5"/>
    <w:rsid w:val="007846D7"/>
    <w:rsid w:val="0078476B"/>
    <w:rsid w:val="00784C52"/>
    <w:rsid w:val="00784D56"/>
    <w:rsid w:val="00784FB0"/>
    <w:rsid w:val="00785133"/>
    <w:rsid w:val="00785900"/>
    <w:rsid w:val="00785C1D"/>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3C72"/>
    <w:rsid w:val="007943B1"/>
    <w:rsid w:val="007949D8"/>
    <w:rsid w:val="0079524A"/>
    <w:rsid w:val="00795BD1"/>
    <w:rsid w:val="00796808"/>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746"/>
    <w:rsid w:val="007A6EFF"/>
    <w:rsid w:val="007A748B"/>
    <w:rsid w:val="007A7599"/>
    <w:rsid w:val="007A7AD5"/>
    <w:rsid w:val="007B034E"/>
    <w:rsid w:val="007B0AF6"/>
    <w:rsid w:val="007B0D46"/>
    <w:rsid w:val="007B144D"/>
    <w:rsid w:val="007B1EA4"/>
    <w:rsid w:val="007B24E3"/>
    <w:rsid w:val="007B2CF6"/>
    <w:rsid w:val="007B2E6F"/>
    <w:rsid w:val="007B2FF2"/>
    <w:rsid w:val="007B3279"/>
    <w:rsid w:val="007B3896"/>
    <w:rsid w:val="007B3EB4"/>
    <w:rsid w:val="007B4A0D"/>
    <w:rsid w:val="007B4D23"/>
    <w:rsid w:val="007B517D"/>
    <w:rsid w:val="007B5258"/>
    <w:rsid w:val="007B5B20"/>
    <w:rsid w:val="007B5F1A"/>
    <w:rsid w:val="007B5F61"/>
    <w:rsid w:val="007B5FFE"/>
    <w:rsid w:val="007B6375"/>
    <w:rsid w:val="007B68D1"/>
    <w:rsid w:val="007B6EAE"/>
    <w:rsid w:val="007B7D30"/>
    <w:rsid w:val="007C054D"/>
    <w:rsid w:val="007C0A7B"/>
    <w:rsid w:val="007C147E"/>
    <w:rsid w:val="007C214A"/>
    <w:rsid w:val="007C2336"/>
    <w:rsid w:val="007C2BB7"/>
    <w:rsid w:val="007C311D"/>
    <w:rsid w:val="007C35D2"/>
    <w:rsid w:val="007C3734"/>
    <w:rsid w:val="007C39E2"/>
    <w:rsid w:val="007C3B9A"/>
    <w:rsid w:val="007C3E84"/>
    <w:rsid w:val="007C45D4"/>
    <w:rsid w:val="007C4BEE"/>
    <w:rsid w:val="007C54B9"/>
    <w:rsid w:val="007C5651"/>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2CC4"/>
    <w:rsid w:val="007D31BF"/>
    <w:rsid w:val="007D39A7"/>
    <w:rsid w:val="007D4096"/>
    <w:rsid w:val="007D441D"/>
    <w:rsid w:val="007D481B"/>
    <w:rsid w:val="007D4BBA"/>
    <w:rsid w:val="007D4C3D"/>
    <w:rsid w:val="007D5030"/>
    <w:rsid w:val="007D61B0"/>
    <w:rsid w:val="007D6234"/>
    <w:rsid w:val="007D6891"/>
    <w:rsid w:val="007D6B87"/>
    <w:rsid w:val="007D7038"/>
    <w:rsid w:val="007D7D23"/>
    <w:rsid w:val="007D7D9A"/>
    <w:rsid w:val="007E023C"/>
    <w:rsid w:val="007E08B1"/>
    <w:rsid w:val="007E08C9"/>
    <w:rsid w:val="007E0E5A"/>
    <w:rsid w:val="007E0F03"/>
    <w:rsid w:val="007E12CF"/>
    <w:rsid w:val="007E14FD"/>
    <w:rsid w:val="007E152D"/>
    <w:rsid w:val="007E16C4"/>
    <w:rsid w:val="007E2539"/>
    <w:rsid w:val="007E31E4"/>
    <w:rsid w:val="007E3958"/>
    <w:rsid w:val="007E396F"/>
    <w:rsid w:val="007E3C1F"/>
    <w:rsid w:val="007E3EB2"/>
    <w:rsid w:val="007E42E7"/>
    <w:rsid w:val="007E46DA"/>
    <w:rsid w:val="007E4BE4"/>
    <w:rsid w:val="007E53B3"/>
    <w:rsid w:val="007E57D0"/>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2EA5"/>
    <w:rsid w:val="007F3581"/>
    <w:rsid w:val="007F3853"/>
    <w:rsid w:val="007F3907"/>
    <w:rsid w:val="007F428D"/>
    <w:rsid w:val="007F449E"/>
    <w:rsid w:val="007F4C59"/>
    <w:rsid w:val="007F4D4F"/>
    <w:rsid w:val="007F538D"/>
    <w:rsid w:val="007F68B0"/>
    <w:rsid w:val="007F7720"/>
    <w:rsid w:val="00800482"/>
    <w:rsid w:val="00800584"/>
    <w:rsid w:val="00800AFE"/>
    <w:rsid w:val="00801038"/>
    <w:rsid w:val="00801069"/>
    <w:rsid w:val="00801C16"/>
    <w:rsid w:val="00802692"/>
    <w:rsid w:val="008028CF"/>
    <w:rsid w:val="00802AA7"/>
    <w:rsid w:val="00803957"/>
    <w:rsid w:val="00803B8D"/>
    <w:rsid w:val="00804E45"/>
    <w:rsid w:val="008051AB"/>
    <w:rsid w:val="00805B24"/>
    <w:rsid w:val="008066AF"/>
    <w:rsid w:val="0080690F"/>
    <w:rsid w:val="00806DF5"/>
    <w:rsid w:val="008072CF"/>
    <w:rsid w:val="00807720"/>
    <w:rsid w:val="0080799C"/>
    <w:rsid w:val="00807C2D"/>
    <w:rsid w:val="00810566"/>
    <w:rsid w:val="00810A0E"/>
    <w:rsid w:val="00810ACB"/>
    <w:rsid w:val="00810DFA"/>
    <w:rsid w:val="00810E26"/>
    <w:rsid w:val="0081125E"/>
    <w:rsid w:val="00811271"/>
    <w:rsid w:val="008112A9"/>
    <w:rsid w:val="00811AE9"/>
    <w:rsid w:val="00813A5C"/>
    <w:rsid w:val="0081441A"/>
    <w:rsid w:val="008144C1"/>
    <w:rsid w:val="00814B94"/>
    <w:rsid w:val="00815050"/>
    <w:rsid w:val="00815105"/>
    <w:rsid w:val="00815879"/>
    <w:rsid w:val="0081637A"/>
    <w:rsid w:val="00816472"/>
    <w:rsid w:val="00816757"/>
    <w:rsid w:val="00816DE2"/>
    <w:rsid w:val="0081748C"/>
    <w:rsid w:val="008210E2"/>
    <w:rsid w:val="00821108"/>
    <w:rsid w:val="00823391"/>
    <w:rsid w:val="008242A3"/>
    <w:rsid w:val="00824346"/>
    <w:rsid w:val="0082499A"/>
    <w:rsid w:val="00824C47"/>
    <w:rsid w:val="00824D8F"/>
    <w:rsid w:val="00826C7D"/>
    <w:rsid w:val="00827278"/>
    <w:rsid w:val="008301D7"/>
    <w:rsid w:val="0083067B"/>
    <w:rsid w:val="0083115D"/>
    <w:rsid w:val="00831362"/>
    <w:rsid w:val="00831467"/>
    <w:rsid w:val="00832072"/>
    <w:rsid w:val="008320B1"/>
    <w:rsid w:val="00832B94"/>
    <w:rsid w:val="00833D93"/>
    <w:rsid w:val="00834977"/>
    <w:rsid w:val="00835776"/>
    <w:rsid w:val="0083599E"/>
    <w:rsid w:val="00836895"/>
    <w:rsid w:val="008369F6"/>
    <w:rsid w:val="0083752C"/>
    <w:rsid w:val="008406B7"/>
    <w:rsid w:val="00840B72"/>
    <w:rsid w:val="0084108F"/>
    <w:rsid w:val="0084207B"/>
    <w:rsid w:val="00842432"/>
    <w:rsid w:val="00842858"/>
    <w:rsid w:val="00842A41"/>
    <w:rsid w:val="00842B51"/>
    <w:rsid w:val="00842D1E"/>
    <w:rsid w:val="00842D93"/>
    <w:rsid w:val="00842FA6"/>
    <w:rsid w:val="008439EE"/>
    <w:rsid w:val="00843AB1"/>
    <w:rsid w:val="00843D8F"/>
    <w:rsid w:val="00843F97"/>
    <w:rsid w:val="00844654"/>
    <w:rsid w:val="008448BB"/>
    <w:rsid w:val="00844906"/>
    <w:rsid w:val="0084502C"/>
    <w:rsid w:val="0084519B"/>
    <w:rsid w:val="008456D5"/>
    <w:rsid w:val="00845A15"/>
    <w:rsid w:val="00845A7C"/>
    <w:rsid w:val="0084649F"/>
    <w:rsid w:val="008464FF"/>
    <w:rsid w:val="00846A3C"/>
    <w:rsid w:val="008475C3"/>
    <w:rsid w:val="00850692"/>
    <w:rsid w:val="00850F3F"/>
    <w:rsid w:val="00851D24"/>
    <w:rsid w:val="00852022"/>
    <w:rsid w:val="00853909"/>
    <w:rsid w:val="00853E70"/>
    <w:rsid w:val="00853F32"/>
    <w:rsid w:val="0085511F"/>
    <w:rsid w:val="008553AC"/>
    <w:rsid w:val="00855468"/>
    <w:rsid w:val="00855B7F"/>
    <w:rsid w:val="0085714D"/>
    <w:rsid w:val="00860502"/>
    <w:rsid w:val="00860523"/>
    <w:rsid w:val="008608CB"/>
    <w:rsid w:val="00860AA2"/>
    <w:rsid w:val="00860C5B"/>
    <w:rsid w:val="00860DF8"/>
    <w:rsid w:val="00861304"/>
    <w:rsid w:val="00861493"/>
    <w:rsid w:val="0086172A"/>
    <w:rsid w:val="00862AC1"/>
    <w:rsid w:val="00862E97"/>
    <w:rsid w:val="0086302E"/>
    <w:rsid w:val="008632D6"/>
    <w:rsid w:val="00865019"/>
    <w:rsid w:val="00866870"/>
    <w:rsid w:val="0086703E"/>
    <w:rsid w:val="008674DC"/>
    <w:rsid w:val="00867C84"/>
    <w:rsid w:val="00870FD8"/>
    <w:rsid w:val="00871398"/>
    <w:rsid w:val="00871E31"/>
    <w:rsid w:val="00871E70"/>
    <w:rsid w:val="00871FEB"/>
    <w:rsid w:val="00872164"/>
    <w:rsid w:val="008723D2"/>
    <w:rsid w:val="008723E8"/>
    <w:rsid w:val="00873246"/>
    <w:rsid w:val="00873943"/>
    <w:rsid w:val="00873A08"/>
    <w:rsid w:val="00874541"/>
    <w:rsid w:val="00874766"/>
    <w:rsid w:val="008749D5"/>
    <w:rsid w:val="00874A8A"/>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024"/>
    <w:rsid w:val="008863F3"/>
    <w:rsid w:val="008871E0"/>
    <w:rsid w:val="00887246"/>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6778"/>
    <w:rsid w:val="00896A44"/>
    <w:rsid w:val="00896EDE"/>
    <w:rsid w:val="008A08FF"/>
    <w:rsid w:val="008A0E90"/>
    <w:rsid w:val="008A1880"/>
    <w:rsid w:val="008A1D56"/>
    <w:rsid w:val="008A4007"/>
    <w:rsid w:val="008A4787"/>
    <w:rsid w:val="008A48BB"/>
    <w:rsid w:val="008A6756"/>
    <w:rsid w:val="008A690C"/>
    <w:rsid w:val="008A768F"/>
    <w:rsid w:val="008A7DE7"/>
    <w:rsid w:val="008B014F"/>
    <w:rsid w:val="008B03FF"/>
    <w:rsid w:val="008B0941"/>
    <w:rsid w:val="008B11EE"/>
    <w:rsid w:val="008B1C82"/>
    <w:rsid w:val="008B20EE"/>
    <w:rsid w:val="008B29E4"/>
    <w:rsid w:val="008B2CBB"/>
    <w:rsid w:val="008B2EB3"/>
    <w:rsid w:val="008B3184"/>
    <w:rsid w:val="008B35C7"/>
    <w:rsid w:val="008B3A19"/>
    <w:rsid w:val="008B3A5E"/>
    <w:rsid w:val="008B3A8C"/>
    <w:rsid w:val="008B4A40"/>
    <w:rsid w:val="008B5017"/>
    <w:rsid w:val="008B54E8"/>
    <w:rsid w:val="008B5575"/>
    <w:rsid w:val="008B58CA"/>
    <w:rsid w:val="008B6823"/>
    <w:rsid w:val="008B6D9A"/>
    <w:rsid w:val="008B73CB"/>
    <w:rsid w:val="008B7540"/>
    <w:rsid w:val="008B75BF"/>
    <w:rsid w:val="008C00C3"/>
    <w:rsid w:val="008C00E1"/>
    <w:rsid w:val="008C023F"/>
    <w:rsid w:val="008C043C"/>
    <w:rsid w:val="008C0B0D"/>
    <w:rsid w:val="008C0B8F"/>
    <w:rsid w:val="008C1008"/>
    <w:rsid w:val="008C1393"/>
    <w:rsid w:val="008C1D2A"/>
    <w:rsid w:val="008C1EB9"/>
    <w:rsid w:val="008C1F40"/>
    <w:rsid w:val="008C22A5"/>
    <w:rsid w:val="008C248F"/>
    <w:rsid w:val="008C256A"/>
    <w:rsid w:val="008C2E3B"/>
    <w:rsid w:val="008C31C1"/>
    <w:rsid w:val="008C3701"/>
    <w:rsid w:val="008C395D"/>
    <w:rsid w:val="008C42C3"/>
    <w:rsid w:val="008C43E2"/>
    <w:rsid w:val="008C4525"/>
    <w:rsid w:val="008C4902"/>
    <w:rsid w:val="008C4B9E"/>
    <w:rsid w:val="008C4F1F"/>
    <w:rsid w:val="008C4F37"/>
    <w:rsid w:val="008C626C"/>
    <w:rsid w:val="008C6288"/>
    <w:rsid w:val="008C6C7C"/>
    <w:rsid w:val="008C6CAF"/>
    <w:rsid w:val="008C7CCD"/>
    <w:rsid w:val="008C7FCA"/>
    <w:rsid w:val="008D0C14"/>
    <w:rsid w:val="008D176F"/>
    <w:rsid w:val="008D21E9"/>
    <w:rsid w:val="008D2495"/>
    <w:rsid w:val="008D3638"/>
    <w:rsid w:val="008D40A1"/>
    <w:rsid w:val="008D4211"/>
    <w:rsid w:val="008D42B8"/>
    <w:rsid w:val="008D4517"/>
    <w:rsid w:val="008D4C32"/>
    <w:rsid w:val="008D4C38"/>
    <w:rsid w:val="008D4DA8"/>
    <w:rsid w:val="008D58FB"/>
    <w:rsid w:val="008D593C"/>
    <w:rsid w:val="008D5FA5"/>
    <w:rsid w:val="008D6B00"/>
    <w:rsid w:val="008E0581"/>
    <w:rsid w:val="008E21B6"/>
    <w:rsid w:val="008E22A9"/>
    <w:rsid w:val="008E2E9A"/>
    <w:rsid w:val="008E3333"/>
    <w:rsid w:val="008E3672"/>
    <w:rsid w:val="008E3D9E"/>
    <w:rsid w:val="008E4167"/>
    <w:rsid w:val="008E570E"/>
    <w:rsid w:val="008E5BB6"/>
    <w:rsid w:val="008E6058"/>
    <w:rsid w:val="008E7851"/>
    <w:rsid w:val="008F01AA"/>
    <w:rsid w:val="008F0240"/>
    <w:rsid w:val="008F02CF"/>
    <w:rsid w:val="008F0800"/>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8B3"/>
    <w:rsid w:val="008F5D79"/>
    <w:rsid w:val="008F5F05"/>
    <w:rsid w:val="008F60A5"/>
    <w:rsid w:val="008F629A"/>
    <w:rsid w:val="008F6533"/>
    <w:rsid w:val="008F67DB"/>
    <w:rsid w:val="008F6B90"/>
    <w:rsid w:val="008F7B85"/>
    <w:rsid w:val="008F7CEF"/>
    <w:rsid w:val="00900525"/>
    <w:rsid w:val="00900583"/>
    <w:rsid w:val="00900939"/>
    <w:rsid w:val="00900B1F"/>
    <w:rsid w:val="00900EBA"/>
    <w:rsid w:val="00901389"/>
    <w:rsid w:val="0090176C"/>
    <w:rsid w:val="00901ABC"/>
    <w:rsid w:val="0090234B"/>
    <w:rsid w:val="009030C4"/>
    <w:rsid w:val="00903628"/>
    <w:rsid w:val="0090380B"/>
    <w:rsid w:val="00903C79"/>
    <w:rsid w:val="00903ED1"/>
    <w:rsid w:val="00903FEB"/>
    <w:rsid w:val="009042EA"/>
    <w:rsid w:val="0090500F"/>
    <w:rsid w:val="0090563C"/>
    <w:rsid w:val="00905BFE"/>
    <w:rsid w:val="00905EE5"/>
    <w:rsid w:val="0090663F"/>
    <w:rsid w:val="009066E5"/>
    <w:rsid w:val="00906863"/>
    <w:rsid w:val="00906D13"/>
    <w:rsid w:val="0090756F"/>
    <w:rsid w:val="00907626"/>
    <w:rsid w:val="00907827"/>
    <w:rsid w:val="009078AC"/>
    <w:rsid w:val="00907C2C"/>
    <w:rsid w:val="00907F10"/>
    <w:rsid w:val="00910098"/>
    <w:rsid w:val="00910292"/>
    <w:rsid w:val="009103EB"/>
    <w:rsid w:val="00910428"/>
    <w:rsid w:val="00910E7E"/>
    <w:rsid w:val="00911604"/>
    <w:rsid w:val="00911A0F"/>
    <w:rsid w:val="00911B3F"/>
    <w:rsid w:val="0091260D"/>
    <w:rsid w:val="009135FE"/>
    <w:rsid w:val="0091492D"/>
    <w:rsid w:val="00914A12"/>
    <w:rsid w:val="00914F41"/>
    <w:rsid w:val="009151D1"/>
    <w:rsid w:val="009154E2"/>
    <w:rsid w:val="009157D6"/>
    <w:rsid w:val="00915DAC"/>
    <w:rsid w:val="009164C5"/>
    <w:rsid w:val="00916BAF"/>
    <w:rsid w:val="0091742E"/>
    <w:rsid w:val="00917C81"/>
    <w:rsid w:val="00917C84"/>
    <w:rsid w:val="00920F73"/>
    <w:rsid w:val="0092106F"/>
    <w:rsid w:val="009216E7"/>
    <w:rsid w:val="00922169"/>
    <w:rsid w:val="00922891"/>
    <w:rsid w:val="009230B4"/>
    <w:rsid w:val="00923EC0"/>
    <w:rsid w:val="0092401F"/>
    <w:rsid w:val="00924307"/>
    <w:rsid w:val="0092439E"/>
    <w:rsid w:val="00924546"/>
    <w:rsid w:val="009245F4"/>
    <w:rsid w:val="00924604"/>
    <w:rsid w:val="00924726"/>
    <w:rsid w:val="009256D8"/>
    <w:rsid w:val="00925797"/>
    <w:rsid w:val="009264C9"/>
    <w:rsid w:val="00926AB2"/>
    <w:rsid w:val="00926AD6"/>
    <w:rsid w:val="00926CE1"/>
    <w:rsid w:val="00927F90"/>
    <w:rsid w:val="009300FA"/>
    <w:rsid w:val="00930720"/>
    <w:rsid w:val="00930F96"/>
    <w:rsid w:val="009314B3"/>
    <w:rsid w:val="009315E3"/>
    <w:rsid w:val="009317D2"/>
    <w:rsid w:val="00931B84"/>
    <w:rsid w:val="00932B5D"/>
    <w:rsid w:val="00932C05"/>
    <w:rsid w:val="00933989"/>
    <w:rsid w:val="00933B78"/>
    <w:rsid w:val="00933E09"/>
    <w:rsid w:val="00933FD5"/>
    <w:rsid w:val="00934000"/>
    <w:rsid w:val="00934ABD"/>
    <w:rsid w:val="00934BE2"/>
    <w:rsid w:val="00934CEB"/>
    <w:rsid w:val="00935461"/>
    <w:rsid w:val="009361F2"/>
    <w:rsid w:val="00936371"/>
    <w:rsid w:val="009370DC"/>
    <w:rsid w:val="00937116"/>
    <w:rsid w:val="009372E6"/>
    <w:rsid w:val="009374C3"/>
    <w:rsid w:val="00937C02"/>
    <w:rsid w:val="00937F50"/>
    <w:rsid w:val="00937F8C"/>
    <w:rsid w:val="009401F7"/>
    <w:rsid w:val="009402E0"/>
    <w:rsid w:val="00940C0A"/>
    <w:rsid w:val="00940D49"/>
    <w:rsid w:val="00940ECF"/>
    <w:rsid w:val="009410FE"/>
    <w:rsid w:val="00942519"/>
    <w:rsid w:val="00942B35"/>
    <w:rsid w:val="009438D9"/>
    <w:rsid w:val="009440DA"/>
    <w:rsid w:val="009452A5"/>
    <w:rsid w:val="00946020"/>
    <w:rsid w:val="0094625C"/>
    <w:rsid w:val="009467E3"/>
    <w:rsid w:val="0094684D"/>
    <w:rsid w:val="00946AE3"/>
    <w:rsid w:val="00946FA0"/>
    <w:rsid w:val="00946FD2"/>
    <w:rsid w:val="0094793C"/>
    <w:rsid w:val="009500F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713"/>
    <w:rsid w:val="00956AB6"/>
    <w:rsid w:val="00956D3A"/>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45B"/>
    <w:rsid w:val="00970A8E"/>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6AAC"/>
    <w:rsid w:val="0097716C"/>
    <w:rsid w:val="009775E7"/>
    <w:rsid w:val="00977632"/>
    <w:rsid w:val="0097798A"/>
    <w:rsid w:val="0098150B"/>
    <w:rsid w:val="00981596"/>
    <w:rsid w:val="00981622"/>
    <w:rsid w:val="00981C83"/>
    <w:rsid w:val="00981F22"/>
    <w:rsid w:val="0098215A"/>
    <w:rsid w:val="0098309A"/>
    <w:rsid w:val="00983524"/>
    <w:rsid w:val="00983CE3"/>
    <w:rsid w:val="009849CD"/>
    <w:rsid w:val="00985BE8"/>
    <w:rsid w:val="0098639D"/>
    <w:rsid w:val="00986B0D"/>
    <w:rsid w:val="009870D1"/>
    <w:rsid w:val="0098716C"/>
    <w:rsid w:val="009871F2"/>
    <w:rsid w:val="009875D4"/>
    <w:rsid w:val="00987783"/>
    <w:rsid w:val="009879E0"/>
    <w:rsid w:val="0099016A"/>
    <w:rsid w:val="0099030D"/>
    <w:rsid w:val="0099052C"/>
    <w:rsid w:val="00991025"/>
    <w:rsid w:val="009910E9"/>
    <w:rsid w:val="00991808"/>
    <w:rsid w:val="00991B0A"/>
    <w:rsid w:val="00991B4E"/>
    <w:rsid w:val="00992374"/>
    <w:rsid w:val="009931AF"/>
    <w:rsid w:val="00994BBC"/>
    <w:rsid w:val="00995DDC"/>
    <w:rsid w:val="009964CB"/>
    <w:rsid w:val="00996CDB"/>
    <w:rsid w:val="00996F73"/>
    <w:rsid w:val="00997C61"/>
    <w:rsid w:val="009A0D2B"/>
    <w:rsid w:val="009A10E2"/>
    <w:rsid w:val="009A10F1"/>
    <w:rsid w:val="009A168F"/>
    <w:rsid w:val="009A198E"/>
    <w:rsid w:val="009A1B9D"/>
    <w:rsid w:val="009A1D65"/>
    <w:rsid w:val="009A1DF5"/>
    <w:rsid w:val="009A23AD"/>
    <w:rsid w:val="009A240B"/>
    <w:rsid w:val="009A27A5"/>
    <w:rsid w:val="009A2AE4"/>
    <w:rsid w:val="009A344A"/>
    <w:rsid w:val="009A3787"/>
    <w:rsid w:val="009A3C8F"/>
    <w:rsid w:val="009A3D8A"/>
    <w:rsid w:val="009A3DFB"/>
    <w:rsid w:val="009A3EB4"/>
    <w:rsid w:val="009A3ED4"/>
    <w:rsid w:val="009A3EFC"/>
    <w:rsid w:val="009A4263"/>
    <w:rsid w:val="009A4B26"/>
    <w:rsid w:val="009A5124"/>
    <w:rsid w:val="009A5A4D"/>
    <w:rsid w:val="009A5C5C"/>
    <w:rsid w:val="009A64B5"/>
    <w:rsid w:val="009A7151"/>
    <w:rsid w:val="009B08C8"/>
    <w:rsid w:val="009B0B85"/>
    <w:rsid w:val="009B0C70"/>
    <w:rsid w:val="009B0D18"/>
    <w:rsid w:val="009B1F02"/>
    <w:rsid w:val="009B53D1"/>
    <w:rsid w:val="009B56A4"/>
    <w:rsid w:val="009B5A19"/>
    <w:rsid w:val="009B622A"/>
    <w:rsid w:val="009B65AC"/>
    <w:rsid w:val="009B69AA"/>
    <w:rsid w:val="009B6AD6"/>
    <w:rsid w:val="009B6BD7"/>
    <w:rsid w:val="009B6C03"/>
    <w:rsid w:val="009B6D95"/>
    <w:rsid w:val="009B76C9"/>
    <w:rsid w:val="009B7D2E"/>
    <w:rsid w:val="009C0AD6"/>
    <w:rsid w:val="009C0AF8"/>
    <w:rsid w:val="009C1114"/>
    <w:rsid w:val="009C12A1"/>
    <w:rsid w:val="009C2579"/>
    <w:rsid w:val="009C2784"/>
    <w:rsid w:val="009C2ECB"/>
    <w:rsid w:val="009C33B1"/>
    <w:rsid w:val="009C350F"/>
    <w:rsid w:val="009C56B5"/>
    <w:rsid w:val="009C5C10"/>
    <w:rsid w:val="009C6041"/>
    <w:rsid w:val="009C6262"/>
    <w:rsid w:val="009D0652"/>
    <w:rsid w:val="009D076B"/>
    <w:rsid w:val="009D079F"/>
    <w:rsid w:val="009D2450"/>
    <w:rsid w:val="009D2D65"/>
    <w:rsid w:val="009D2F56"/>
    <w:rsid w:val="009D3414"/>
    <w:rsid w:val="009D36ED"/>
    <w:rsid w:val="009D3722"/>
    <w:rsid w:val="009D39D7"/>
    <w:rsid w:val="009D56CE"/>
    <w:rsid w:val="009D5D93"/>
    <w:rsid w:val="009D5FA3"/>
    <w:rsid w:val="009D631E"/>
    <w:rsid w:val="009D64D3"/>
    <w:rsid w:val="009D6AF3"/>
    <w:rsid w:val="009D6BD1"/>
    <w:rsid w:val="009D70BB"/>
    <w:rsid w:val="009D7296"/>
    <w:rsid w:val="009D733D"/>
    <w:rsid w:val="009D7427"/>
    <w:rsid w:val="009D74D3"/>
    <w:rsid w:val="009D7842"/>
    <w:rsid w:val="009D7E85"/>
    <w:rsid w:val="009E010E"/>
    <w:rsid w:val="009E0570"/>
    <w:rsid w:val="009E106B"/>
    <w:rsid w:val="009E1D9B"/>
    <w:rsid w:val="009E2156"/>
    <w:rsid w:val="009E2980"/>
    <w:rsid w:val="009E4E0A"/>
    <w:rsid w:val="009E5582"/>
    <w:rsid w:val="009E76D2"/>
    <w:rsid w:val="009E7BB5"/>
    <w:rsid w:val="009E7C80"/>
    <w:rsid w:val="009E7F86"/>
    <w:rsid w:val="009F017E"/>
    <w:rsid w:val="009F0D22"/>
    <w:rsid w:val="009F187A"/>
    <w:rsid w:val="009F1958"/>
    <w:rsid w:val="009F2E2F"/>
    <w:rsid w:val="009F351C"/>
    <w:rsid w:val="009F3575"/>
    <w:rsid w:val="009F3E92"/>
    <w:rsid w:val="009F3FCC"/>
    <w:rsid w:val="009F4F9E"/>
    <w:rsid w:val="009F5852"/>
    <w:rsid w:val="009F6C75"/>
    <w:rsid w:val="009F7948"/>
    <w:rsid w:val="00A00599"/>
    <w:rsid w:val="00A0097E"/>
    <w:rsid w:val="00A016EF"/>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1BDB"/>
    <w:rsid w:val="00A12113"/>
    <w:rsid w:val="00A1225A"/>
    <w:rsid w:val="00A127D3"/>
    <w:rsid w:val="00A12BB0"/>
    <w:rsid w:val="00A13332"/>
    <w:rsid w:val="00A136D2"/>
    <w:rsid w:val="00A143E3"/>
    <w:rsid w:val="00A1472B"/>
    <w:rsid w:val="00A14C37"/>
    <w:rsid w:val="00A15D71"/>
    <w:rsid w:val="00A165F2"/>
    <w:rsid w:val="00A167DB"/>
    <w:rsid w:val="00A17D88"/>
    <w:rsid w:val="00A20488"/>
    <w:rsid w:val="00A20787"/>
    <w:rsid w:val="00A2134E"/>
    <w:rsid w:val="00A21D9C"/>
    <w:rsid w:val="00A225F4"/>
    <w:rsid w:val="00A22995"/>
    <w:rsid w:val="00A22C2D"/>
    <w:rsid w:val="00A22D18"/>
    <w:rsid w:val="00A2337A"/>
    <w:rsid w:val="00A23F72"/>
    <w:rsid w:val="00A23F73"/>
    <w:rsid w:val="00A24A65"/>
    <w:rsid w:val="00A24D44"/>
    <w:rsid w:val="00A24E4C"/>
    <w:rsid w:val="00A254E2"/>
    <w:rsid w:val="00A25730"/>
    <w:rsid w:val="00A259E3"/>
    <w:rsid w:val="00A2603C"/>
    <w:rsid w:val="00A26443"/>
    <w:rsid w:val="00A26547"/>
    <w:rsid w:val="00A26778"/>
    <w:rsid w:val="00A26D9E"/>
    <w:rsid w:val="00A3080F"/>
    <w:rsid w:val="00A32188"/>
    <w:rsid w:val="00A3241F"/>
    <w:rsid w:val="00A329B2"/>
    <w:rsid w:val="00A32EB6"/>
    <w:rsid w:val="00A3321D"/>
    <w:rsid w:val="00A33696"/>
    <w:rsid w:val="00A336E0"/>
    <w:rsid w:val="00A33A71"/>
    <w:rsid w:val="00A349BA"/>
    <w:rsid w:val="00A351C9"/>
    <w:rsid w:val="00A352A2"/>
    <w:rsid w:val="00A36BFE"/>
    <w:rsid w:val="00A372FF"/>
    <w:rsid w:val="00A374C2"/>
    <w:rsid w:val="00A4028D"/>
    <w:rsid w:val="00A407FB"/>
    <w:rsid w:val="00A412F0"/>
    <w:rsid w:val="00A41EE4"/>
    <w:rsid w:val="00A421CC"/>
    <w:rsid w:val="00A4230B"/>
    <w:rsid w:val="00A42B49"/>
    <w:rsid w:val="00A4369C"/>
    <w:rsid w:val="00A43A0A"/>
    <w:rsid w:val="00A43F55"/>
    <w:rsid w:val="00A44857"/>
    <w:rsid w:val="00A44A46"/>
    <w:rsid w:val="00A456BA"/>
    <w:rsid w:val="00A4600B"/>
    <w:rsid w:val="00A464C8"/>
    <w:rsid w:val="00A469F8"/>
    <w:rsid w:val="00A46DC0"/>
    <w:rsid w:val="00A46EE7"/>
    <w:rsid w:val="00A5216B"/>
    <w:rsid w:val="00A52748"/>
    <w:rsid w:val="00A52B77"/>
    <w:rsid w:val="00A52BE4"/>
    <w:rsid w:val="00A537E4"/>
    <w:rsid w:val="00A53BC1"/>
    <w:rsid w:val="00A5409D"/>
    <w:rsid w:val="00A54485"/>
    <w:rsid w:val="00A54DEB"/>
    <w:rsid w:val="00A54FA0"/>
    <w:rsid w:val="00A550C1"/>
    <w:rsid w:val="00A554A0"/>
    <w:rsid w:val="00A555FE"/>
    <w:rsid w:val="00A5573E"/>
    <w:rsid w:val="00A56BF8"/>
    <w:rsid w:val="00A60319"/>
    <w:rsid w:val="00A6050A"/>
    <w:rsid w:val="00A60E6F"/>
    <w:rsid w:val="00A6189D"/>
    <w:rsid w:val="00A61FA5"/>
    <w:rsid w:val="00A62D06"/>
    <w:rsid w:val="00A62E5C"/>
    <w:rsid w:val="00A634D2"/>
    <w:rsid w:val="00A64A1C"/>
    <w:rsid w:val="00A64E9E"/>
    <w:rsid w:val="00A65258"/>
    <w:rsid w:val="00A658E6"/>
    <w:rsid w:val="00A65A14"/>
    <w:rsid w:val="00A66312"/>
    <w:rsid w:val="00A6707A"/>
    <w:rsid w:val="00A677BC"/>
    <w:rsid w:val="00A70145"/>
    <w:rsid w:val="00A7086D"/>
    <w:rsid w:val="00A70B46"/>
    <w:rsid w:val="00A70D8D"/>
    <w:rsid w:val="00A70DAF"/>
    <w:rsid w:val="00A71298"/>
    <w:rsid w:val="00A72806"/>
    <w:rsid w:val="00A735CC"/>
    <w:rsid w:val="00A73B48"/>
    <w:rsid w:val="00A7456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1651"/>
    <w:rsid w:val="00A820E6"/>
    <w:rsid w:val="00A82957"/>
    <w:rsid w:val="00A82B6D"/>
    <w:rsid w:val="00A82B95"/>
    <w:rsid w:val="00A8308B"/>
    <w:rsid w:val="00A8357F"/>
    <w:rsid w:val="00A842A1"/>
    <w:rsid w:val="00A842AF"/>
    <w:rsid w:val="00A8503F"/>
    <w:rsid w:val="00A85A46"/>
    <w:rsid w:val="00A867FE"/>
    <w:rsid w:val="00A86B3E"/>
    <w:rsid w:val="00A86D06"/>
    <w:rsid w:val="00A873BA"/>
    <w:rsid w:val="00A87687"/>
    <w:rsid w:val="00A87C67"/>
    <w:rsid w:val="00A903F6"/>
    <w:rsid w:val="00A90803"/>
    <w:rsid w:val="00A90D39"/>
    <w:rsid w:val="00A9109F"/>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8A"/>
    <w:rsid w:val="00AA5AB4"/>
    <w:rsid w:val="00AA5DA1"/>
    <w:rsid w:val="00AA5E5B"/>
    <w:rsid w:val="00AA5F49"/>
    <w:rsid w:val="00AA6406"/>
    <w:rsid w:val="00AA69EA"/>
    <w:rsid w:val="00AA789F"/>
    <w:rsid w:val="00AA79FB"/>
    <w:rsid w:val="00AA7F58"/>
    <w:rsid w:val="00AB0343"/>
    <w:rsid w:val="00AB0A48"/>
    <w:rsid w:val="00AB0C3B"/>
    <w:rsid w:val="00AB14CA"/>
    <w:rsid w:val="00AB1699"/>
    <w:rsid w:val="00AB1AAE"/>
    <w:rsid w:val="00AB2FDF"/>
    <w:rsid w:val="00AB2FE8"/>
    <w:rsid w:val="00AB3275"/>
    <w:rsid w:val="00AB32E4"/>
    <w:rsid w:val="00AB353C"/>
    <w:rsid w:val="00AB36C6"/>
    <w:rsid w:val="00AB38EC"/>
    <w:rsid w:val="00AB3EAA"/>
    <w:rsid w:val="00AB454C"/>
    <w:rsid w:val="00AB47CA"/>
    <w:rsid w:val="00AB4900"/>
    <w:rsid w:val="00AB5119"/>
    <w:rsid w:val="00AB5182"/>
    <w:rsid w:val="00AB5223"/>
    <w:rsid w:val="00AB585E"/>
    <w:rsid w:val="00AB668B"/>
    <w:rsid w:val="00AB6F51"/>
    <w:rsid w:val="00AB789A"/>
    <w:rsid w:val="00AB7A75"/>
    <w:rsid w:val="00AB7BA6"/>
    <w:rsid w:val="00AB7FC7"/>
    <w:rsid w:val="00AC14C6"/>
    <w:rsid w:val="00AC1BE6"/>
    <w:rsid w:val="00AC2058"/>
    <w:rsid w:val="00AC2374"/>
    <w:rsid w:val="00AC2429"/>
    <w:rsid w:val="00AC24D1"/>
    <w:rsid w:val="00AC2519"/>
    <w:rsid w:val="00AC2C4D"/>
    <w:rsid w:val="00AC3206"/>
    <w:rsid w:val="00AC35EA"/>
    <w:rsid w:val="00AC372F"/>
    <w:rsid w:val="00AC40CD"/>
    <w:rsid w:val="00AC4709"/>
    <w:rsid w:val="00AC47A6"/>
    <w:rsid w:val="00AC4E31"/>
    <w:rsid w:val="00AC4F84"/>
    <w:rsid w:val="00AC5516"/>
    <w:rsid w:val="00AC55DB"/>
    <w:rsid w:val="00AC5B06"/>
    <w:rsid w:val="00AC6D3D"/>
    <w:rsid w:val="00AD019F"/>
    <w:rsid w:val="00AD0355"/>
    <w:rsid w:val="00AD09AA"/>
    <w:rsid w:val="00AD17C1"/>
    <w:rsid w:val="00AD1965"/>
    <w:rsid w:val="00AD1DCE"/>
    <w:rsid w:val="00AD1EA5"/>
    <w:rsid w:val="00AD254C"/>
    <w:rsid w:val="00AD2D21"/>
    <w:rsid w:val="00AD2F69"/>
    <w:rsid w:val="00AD33D8"/>
    <w:rsid w:val="00AD3DC2"/>
    <w:rsid w:val="00AD4811"/>
    <w:rsid w:val="00AD4F3E"/>
    <w:rsid w:val="00AD5986"/>
    <w:rsid w:val="00AD60EA"/>
    <w:rsid w:val="00AD649A"/>
    <w:rsid w:val="00AD6508"/>
    <w:rsid w:val="00AD6E34"/>
    <w:rsid w:val="00AD6FFF"/>
    <w:rsid w:val="00AD73C0"/>
    <w:rsid w:val="00AE1647"/>
    <w:rsid w:val="00AE1951"/>
    <w:rsid w:val="00AE1A87"/>
    <w:rsid w:val="00AE1A95"/>
    <w:rsid w:val="00AE1DC3"/>
    <w:rsid w:val="00AE273B"/>
    <w:rsid w:val="00AE2CF1"/>
    <w:rsid w:val="00AE2F67"/>
    <w:rsid w:val="00AE477A"/>
    <w:rsid w:val="00AE47E1"/>
    <w:rsid w:val="00AE4EDA"/>
    <w:rsid w:val="00AE5428"/>
    <w:rsid w:val="00AE5E10"/>
    <w:rsid w:val="00AE62FB"/>
    <w:rsid w:val="00AE6A29"/>
    <w:rsid w:val="00AE7241"/>
    <w:rsid w:val="00AE7867"/>
    <w:rsid w:val="00AF08F9"/>
    <w:rsid w:val="00AF1B66"/>
    <w:rsid w:val="00AF2369"/>
    <w:rsid w:val="00AF2F32"/>
    <w:rsid w:val="00AF3208"/>
    <w:rsid w:val="00AF3313"/>
    <w:rsid w:val="00AF33AE"/>
    <w:rsid w:val="00AF408D"/>
    <w:rsid w:val="00AF41CE"/>
    <w:rsid w:val="00AF43D4"/>
    <w:rsid w:val="00AF49D4"/>
    <w:rsid w:val="00AF58C0"/>
    <w:rsid w:val="00AF60A1"/>
    <w:rsid w:val="00AF6576"/>
    <w:rsid w:val="00AF762F"/>
    <w:rsid w:val="00AF7AFD"/>
    <w:rsid w:val="00AF7DF7"/>
    <w:rsid w:val="00B0040B"/>
    <w:rsid w:val="00B00538"/>
    <w:rsid w:val="00B00653"/>
    <w:rsid w:val="00B00B74"/>
    <w:rsid w:val="00B00CE9"/>
    <w:rsid w:val="00B00E5B"/>
    <w:rsid w:val="00B00F65"/>
    <w:rsid w:val="00B019AD"/>
    <w:rsid w:val="00B024B6"/>
    <w:rsid w:val="00B02A93"/>
    <w:rsid w:val="00B04174"/>
    <w:rsid w:val="00B048A2"/>
    <w:rsid w:val="00B04D84"/>
    <w:rsid w:val="00B05799"/>
    <w:rsid w:val="00B07EB0"/>
    <w:rsid w:val="00B10A5A"/>
    <w:rsid w:val="00B10E85"/>
    <w:rsid w:val="00B110DD"/>
    <w:rsid w:val="00B111E5"/>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477"/>
    <w:rsid w:val="00B22692"/>
    <w:rsid w:val="00B229A1"/>
    <w:rsid w:val="00B23095"/>
    <w:rsid w:val="00B2372F"/>
    <w:rsid w:val="00B23B09"/>
    <w:rsid w:val="00B24A3D"/>
    <w:rsid w:val="00B24FF4"/>
    <w:rsid w:val="00B2580B"/>
    <w:rsid w:val="00B26558"/>
    <w:rsid w:val="00B2655E"/>
    <w:rsid w:val="00B267DD"/>
    <w:rsid w:val="00B26F34"/>
    <w:rsid w:val="00B27115"/>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074"/>
    <w:rsid w:val="00B36468"/>
    <w:rsid w:val="00B367B2"/>
    <w:rsid w:val="00B367E1"/>
    <w:rsid w:val="00B36916"/>
    <w:rsid w:val="00B36EA9"/>
    <w:rsid w:val="00B37584"/>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4EDC"/>
    <w:rsid w:val="00B45041"/>
    <w:rsid w:val="00B45225"/>
    <w:rsid w:val="00B45A5F"/>
    <w:rsid w:val="00B45C92"/>
    <w:rsid w:val="00B4608D"/>
    <w:rsid w:val="00B463E2"/>
    <w:rsid w:val="00B46B93"/>
    <w:rsid w:val="00B47CA0"/>
    <w:rsid w:val="00B5037C"/>
    <w:rsid w:val="00B503D8"/>
    <w:rsid w:val="00B5133A"/>
    <w:rsid w:val="00B514FE"/>
    <w:rsid w:val="00B517F5"/>
    <w:rsid w:val="00B51825"/>
    <w:rsid w:val="00B5218C"/>
    <w:rsid w:val="00B52516"/>
    <w:rsid w:val="00B52BA4"/>
    <w:rsid w:val="00B52CA9"/>
    <w:rsid w:val="00B53F2C"/>
    <w:rsid w:val="00B55273"/>
    <w:rsid w:val="00B55692"/>
    <w:rsid w:val="00B55904"/>
    <w:rsid w:val="00B55BEA"/>
    <w:rsid w:val="00B568E3"/>
    <w:rsid w:val="00B56BC9"/>
    <w:rsid w:val="00B5709C"/>
    <w:rsid w:val="00B57611"/>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2FAD"/>
    <w:rsid w:val="00B7338B"/>
    <w:rsid w:val="00B73CF5"/>
    <w:rsid w:val="00B741AA"/>
    <w:rsid w:val="00B7445B"/>
    <w:rsid w:val="00B74D74"/>
    <w:rsid w:val="00B753A6"/>
    <w:rsid w:val="00B75A7C"/>
    <w:rsid w:val="00B7637B"/>
    <w:rsid w:val="00B768D0"/>
    <w:rsid w:val="00B804B8"/>
    <w:rsid w:val="00B8337C"/>
    <w:rsid w:val="00B835AD"/>
    <w:rsid w:val="00B83A09"/>
    <w:rsid w:val="00B83FA0"/>
    <w:rsid w:val="00B83FC6"/>
    <w:rsid w:val="00B83FF5"/>
    <w:rsid w:val="00B84733"/>
    <w:rsid w:val="00B8485D"/>
    <w:rsid w:val="00B84C55"/>
    <w:rsid w:val="00B84C6B"/>
    <w:rsid w:val="00B85400"/>
    <w:rsid w:val="00B85478"/>
    <w:rsid w:val="00B858B5"/>
    <w:rsid w:val="00B869B6"/>
    <w:rsid w:val="00B874D2"/>
    <w:rsid w:val="00B87C37"/>
    <w:rsid w:val="00B90023"/>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5B5E"/>
    <w:rsid w:val="00B96358"/>
    <w:rsid w:val="00B97169"/>
    <w:rsid w:val="00B97666"/>
    <w:rsid w:val="00BA0424"/>
    <w:rsid w:val="00BA0E31"/>
    <w:rsid w:val="00BA105B"/>
    <w:rsid w:val="00BA220E"/>
    <w:rsid w:val="00BA263F"/>
    <w:rsid w:val="00BA39AB"/>
    <w:rsid w:val="00BA3C28"/>
    <w:rsid w:val="00BA3C68"/>
    <w:rsid w:val="00BA45EB"/>
    <w:rsid w:val="00BA5703"/>
    <w:rsid w:val="00BA584C"/>
    <w:rsid w:val="00BA6912"/>
    <w:rsid w:val="00BA6AF5"/>
    <w:rsid w:val="00BA796F"/>
    <w:rsid w:val="00BB0137"/>
    <w:rsid w:val="00BB0AC5"/>
    <w:rsid w:val="00BB0E55"/>
    <w:rsid w:val="00BB1C26"/>
    <w:rsid w:val="00BB2EDD"/>
    <w:rsid w:val="00BB37F5"/>
    <w:rsid w:val="00BB38A6"/>
    <w:rsid w:val="00BB3A32"/>
    <w:rsid w:val="00BB3A5C"/>
    <w:rsid w:val="00BB3BF7"/>
    <w:rsid w:val="00BB42A3"/>
    <w:rsid w:val="00BB45B2"/>
    <w:rsid w:val="00BB7300"/>
    <w:rsid w:val="00BB74BC"/>
    <w:rsid w:val="00BB76AA"/>
    <w:rsid w:val="00BB77E7"/>
    <w:rsid w:val="00BB7FA7"/>
    <w:rsid w:val="00BC00D6"/>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1F72"/>
    <w:rsid w:val="00BD2511"/>
    <w:rsid w:val="00BD2CB4"/>
    <w:rsid w:val="00BD2E3C"/>
    <w:rsid w:val="00BD31D7"/>
    <w:rsid w:val="00BD31F5"/>
    <w:rsid w:val="00BD4308"/>
    <w:rsid w:val="00BD43B8"/>
    <w:rsid w:val="00BD51C8"/>
    <w:rsid w:val="00BD55A8"/>
    <w:rsid w:val="00BD5840"/>
    <w:rsid w:val="00BD5C12"/>
    <w:rsid w:val="00BD5F51"/>
    <w:rsid w:val="00BD6537"/>
    <w:rsid w:val="00BD6A55"/>
    <w:rsid w:val="00BD73EF"/>
    <w:rsid w:val="00BE0021"/>
    <w:rsid w:val="00BE0BBE"/>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CAC"/>
    <w:rsid w:val="00BF0DE6"/>
    <w:rsid w:val="00BF14F4"/>
    <w:rsid w:val="00BF1508"/>
    <w:rsid w:val="00BF2600"/>
    <w:rsid w:val="00BF28F3"/>
    <w:rsid w:val="00BF2A0D"/>
    <w:rsid w:val="00BF3917"/>
    <w:rsid w:val="00BF3DE0"/>
    <w:rsid w:val="00BF41EC"/>
    <w:rsid w:val="00BF4925"/>
    <w:rsid w:val="00BF4A38"/>
    <w:rsid w:val="00BF4DD4"/>
    <w:rsid w:val="00BF5350"/>
    <w:rsid w:val="00BF56F6"/>
    <w:rsid w:val="00BF63EE"/>
    <w:rsid w:val="00BF6643"/>
    <w:rsid w:val="00BF6980"/>
    <w:rsid w:val="00BF7580"/>
    <w:rsid w:val="00BF7639"/>
    <w:rsid w:val="00BF7728"/>
    <w:rsid w:val="00BF7990"/>
    <w:rsid w:val="00BF7D2D"/>
    <w:rsid w:val="00C002A1"/>
    <w:rsid w:val="00C016B8"/>
    <w:rsid w:val="00C01CE6"/>
    <w:rsid w:val="00C02C9C"/>
    <w:rsid w:val="00C03279"/>
    <w:rsid w:val="00C04514"/>
    <w:rsid w:val="00C05046"/>
    <w:rsid w:val="00C054D0"/>
    <w:rsid w:val="00C05DDA"/>
    <w:rsid w:val="00C064C7"/>
    <w:rsid w:val="00C0659A"/>
    <w:rsid w:val="00C06C4C"/>
    <w:rsid w:val="00C10152"/>
    <w:rsid w:val="00C103DB"/>
    <w:rsid w:val="00C10560"/>
    <w:rsid w:val="00C10B00"/>
    <w:rsid w:val="00C11990"/>
    <w:rsid w:val="00C131BB"/>
    <w:rsid w:val="00C144A2"/>
    <w:rsid w:val="00C144DD"/>
    <w:rsid w:val="00C14DC1"/>
    <w:rsid w:val="00C15598"/>
    <w:rsid w:val="00C15CF9"/>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70B"/>
    <w:rsid w:val="00C30FF9"/>
    <w:rsid w:val="00C316A3"/>
    <w:rsid w:val="00C31799"/>
    <w:rsid w:val="00C31BBB"/>
    <w:rsid w:val="00C31C39"/>
    <w:rsid w:val="00C334F2"/>
    <w:rsid w:val="00C33861"/>
    <w:rsid w:val="00C3394A"/>
    <w:rsid w:val="00C34809"/>
    <w:rsid w:val="00C34BDF"/>
    <w:rsid w:val="00C356F4"/>
    <w:rsid w:val="00C364EF"/>
    <w:rsid w:val="00C36E93"/>
    <w:rsid w:val="00C37435"/>
    <w:rsid w:val="00C400EB"/>
    <w:rsid w:val="00C402FF"/>
    <w:rsid w:val="00C40FBA"/>
    <w:rsid w:val="00C41857"/>
    <w:rsid w:val="00C41AE3"/>
    <w:rsid w:val="00C42681"/>
    <w:rsid w:val="00C42835"/>
    <w:rsid w:val="00C42A60"/>
    <w:rsid w:val="00C43552"/>
    <w:rsid w:val="00C451ED"/>
    <w:rsid w:val="00C45294"/>
    <w:rsid w:val="00C45DD5"/>
    <w:rsid w:val="00C4612B"/>
    <w:rsid w:val="00C46A67"/>
    <w:rsid w:val="00C46A7F"/>
    <w:rsid w:val="00C46ECE"/>
    <w:rsid w:val="00C46ED0"/>
    <w:rsid w:val="00C46F7C"/>
    <w:rsid w:val="00C475A5"/>
    <w:rsid w:val="00C475CB"/>
    <w:rsid w:val="00C476B4"/>
    <w:rsid w:val="00C508B9"/>
    <w:rsid w:val="00C5099E"/>
    <w:rsid w:val="00C50AC2"/>
    <w:rsid w:val="00C50BA4"/>
    <w:rsid w:val="00C5198F"/>
    <w:rsid w:val="00C522B1"/>
    <w:rsid w:val="00C5280C"/>
    <w:rsid w:val="00C5324D"/>
    <w:rsid w:val="00C538EF"/>
    <w:rsid w:val="00C5400D"/>
    <w:rsid w:val="00C54235"/>
    <w:rsid w:val="00C54250"/>
    <w:rsid w:val="00C55B11"/>
    <w:rsid w:val="00C56552"/>
    <w:rsid w:val="00C56DF7"/>
    <w:rsid w:val="00C574A0"/>
    <w:rsid w:val="00C600B6"/>
    <w:rsid w:val="00C60877"/>
    <w:rsid w:val="00C62164"/>
    <w:rsid w:val="00C62FCE"/>
    <w:rsid w:val="00C637EB"/>
    <w:rsid w:val="00C64A24"/>
    <w:rsid w:val="00C6557D"/>
    <w:rsid w:val="00C65901"/>
    <w:rsid w:val="00C65E25"/>
    <w:rsid w:val="00C65E57"/>
    <w:rsid w:val="00C66349"/>
    <w:rsid w:val="00C66B5A"/>
    <w:rsid w:val="00C66B96"/>
    <w:rsid w:val="00C671D7"/>
    <w:rsid w:val="00C7027D"/>
    <w:rsid w:val="00C7105C"/>
    <w:rsid w:val="00C71D59"/>
    <w:rsid w:val="00C72EE6"/>
    <w:rsid w:val="00C73EF7"/>
    <w:rsid w:val="00C73F05"/>
    <w:rsid w:val="00C73F70"/>
    <w:rsid w:val="00C74827"/>
    <w:rsid w:val="00C74C52"/>
    <w:rsid w:val="00C74D09"/>
    <w:rsid w:val="00C75A86"/>
    <w:rsid w:val="00C75D9D"/>
    <w:rsid w:val="00C75DAA"/>
    <w:rsid w:val="00C7748A"/>
    <w:rsid w:val="00C7757D"/>
    <w:rsid w:val="00C7772A"/>
    <w:rsid w:val="00C7775B"/>
    <w:rsid w:val="00C77D82"/>
    <w:rsid w:val="00C80AC8"/>
    <w:rsid w:val="00C80B74"/>
    <w:rsid w:val="00C80E8F"/>
    <w:rsid w:val="00C80EC8"/>
    <w:rsid w:val="00C810E8"/>
    <w:rsid w:val="00C818BE"/>
    <w:rsid w:val="00C8196A"/>
    <w:rsid w:val="00C81C45"/>
    <w:rsid w:val="00C827FA"/>
    <w:rsid w:val="00C82A3A"/>
    <w:rsid w:val="00C83196"/>
    <w:rsid w:val="00C83F7C"/>
    <w:rsid w:val="00C84213"/>
    <w:rsid w:val="00C84E06"/>
    <w:rsid w:val="00C85382"/>
    <w:rsid w:val="00C8570D"/>
    <w:rsid w:val="00C85B60"/>
    <w:rsid w:val="00C866E9"/>
    <w:rsid w:val="00C8686E"/>
    <w:rsid w:val="00C86BFA"/>
    <w:rsid w:val="00C871C9"/>
    <w:rsid w:val="00C874DA"/>
    <w:rsid w:val="00C90357"/>
    <w:rsid w:val="00C90C34"/>
    <w:rsid w:val="00C90EBA"/>
    <w:rsid w:val="00C91B46"/>
    <w:rsid w:val="00C91FB5"/>
    <w:rsid w:val="00C922A7"/>
    <w:rsid w:val="00C92313"/>
    <w:rsid w:val="00C92DD1"/>
    <w:rsid w:val="00C93092"/>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3D12"/>
    <w:rsid w:val="00CA4215"/>
    <w:rsid w:val="00CA5318"/>
    <w:rsid w:val="00CA615B"/>
    <w:rsid w:val="00CA737D"/>
    <w:rsid w:val="00CA73BD"/>
    <w:rsid w:val="00CA73C4"/>
    <w:rsid w:val="00CA7578"/>
    <w:rsid w:val="00CA768C"/>
    <w:rsid w:val="00CA7765"/>
    <w:rsid w:val="00CB070D"/>
    <w:rsid w:val="00CB132F"/>
    <w:rsid w:val="00CB1B47"/>
    <w:rsid w:val="00CB1EEF"/>
    <w:rsid w:val="00CB1F08"/>
    <w:rsid w:val="00CB2A9F"/>
    <w:rsid w:val="00CB3633"/>
    <w:rsid w:val="00CB3C54"/>
    <w:rsid w:val="00CB447C"/>
    <w:rsid w:val="00CB4AB5"/>
    <w:rsid w:val="00CB4C53"/>
    <w:rsid w:val="00CB4F45"/>
    <w:rsid w:val="00CB51AE"/>
    <w:rsid w:val="00CB5DC7"/>
    <w:rsid w:val="00CB5FF7"/>
    <w:rsid w:val="00CB6616"/>
    <w:rsid w:val="00CB69DC"/>
    <w:rsid w:val="00CB73BF"/>
    <w:rsid w:val="00CC0401"/>
    <w:rsid w:val="00CC0F76"/>
    <w:rsid w:val="00CC0FB7"/>
    <w:rsid w:val="00CC181A"/>
    <w:rsid w:val="00CC1928"/>
    <w:rsid w:val="00CC1CA6"/>
    <w:rsid w:val="00CC1D18"/>
    <w:rsid w:val="00CC1EE1"/>
    <w:rsid w:val="00CC2526"/>
    <w:rsid w:val="00CC25C2"/>
    <w:rsid w:val="00CC2C51"/>
    <w:rsid w:val="00CC2DE3"/>
    <w:rsid w:val="00CC2EAD"/>
    <w:rsid w:val="00CC2F11"/>
    <w:rsid w:val="00CC3183"/>
    <w:rsid w:val="00CC47DF"/>
    <w:rsid w:val="00CC4D77"/>
    <w:rsid w:val="00CC535F"/>
    <w:rsid w:val="00CC624C"/>
    <w:rsid w:val="00CC6695"/>
    <w:rsid w:val="00CC6929"/>
    <w:rsid w:val="00CC6E66"/>
    <w:rsid w:val="00CC776E"/>
    <w:rsid w:val="00CC788C"/>
    <w:rsid w:val="00CC79F3"/>
    <w:rsid w:val="00CC7C81"/>
    <w:rsid w:val="00CD02C0"/>
    <w:rsid w:val="00CD1025"/>
    <w:rsid w:val="00CD12B5"/>
    <w:rsid w:val="00CD16C2"/>
    <w:rsid w:val="00CD2081"/>
    <w:rsid w:val="00CD21EF"/>
    <w:rsid w:val="00CD2AB7"/>
    <w:rsid w:val="00CD308B"/>
    <w:rsid w:val="00CD3237"/>
    <w:rsid w:val="00CD3C24"/>
    <w:rsid w:val="00CD3C56"/>
    <w:rsid w:val="00CD439E"/>
    <w:rsid w:val="00CD471A"/>
    <w:rsid w:val="00CD48E2"/>
    <w:rsid w:val="00CD51CA"/>
    <w:rsid w:val="00CD5250"/>
    <w:rsid w:val="00CD53A0"/>
    <w:rsid w:val="00CD6408"/>
    <w:rsid w:val="00CD75C7"/>
    <w:rsid w:val="00CE01CA"/>
    <w:rsid w:val="00CE1845"/>
    <w:rsid w:val="00CE30E4"/>
    <w:rsid w:val="00CE3130"/>
    <w:rsid w:val="00CE370F"/>
    <w:rsid w:val="00CE3F9B"/>
    <w:rsid w:val="00CE47DA"/>
    <w:rsid w:val="00CE4EC2"/>
    <w:rsid w:val="00CE5539"/>
    <w:rsid w:val="00CE6F05"/>
    <w:rsid w:val="00CE6F65"/>
    <w:rsid w:val="00CE705A"/>
    <w:rsid w:val="00CE7616"/>
    <w:rsid w:val="00CE7EE8"/>
    <w:rsid w:val="00CF0C71"/>
    <w:rsid w:val="00CF1304"/>
    <w:rsid w:val="00CF148A"/>
    <w:rsid w:val="00CF19E6"/>
    <w:rsid w:val="00CF1C85"/>
    <w:rsid w:val="00CF1E0A"/>
    <w:rsid w:val="00CF25FF"/>
    <w:rsid w:val="00CF2905"/>
    <w:rsid w:val="00CF35FE"/>
    <w:rsid w:val="00CF3FFA"/>
    <w:rsid w:val="00CF4184"/>
    <w:rsid w:val="00CF42F1"/>
    <w:rsid w:val="00CF55C8"/>
    <w:rsid w:val="00CF56BA"/>
    <w:rsid w:val="00CF6E79"/>
    <w:rsid w:val="00CF6EFA"/>
    <w:rsid w:val="00CF6F2B"/>
    <w:rsid w:val="00CF70AB"/>
    <w:rsid w:val="00CF7566"/>
    <w:rsid w:val="00CF765C"/>
    <w:rsid w:val="00CF77AF"/>
    <w:rsid w:val="00CF7AB9"/>
    <w:rsid w:val="00D00D96"/>
    <w:rsid w:val="00D03642"/>
    <w:rsid w:val="00D0364F"/>
    <w:rsid w:val="00D039AD"/>
    <w:rsid w:val="00D03DF6"/>
    <w:rsid w:val="00D03E41"/>
    <w:rsid w:val="00D03FEA"/>
    <w:rsid w:val="00D04177"/>
    <w:rsid w:val="00D0451A"/>
    <w:rsid w:val="00D04A75"/>
    <w:rsid w:val="00D05723"/>
    <w:rsid w:val="00D05E18"/>
    <w:rsid w:val="00D06906"/>
    <w:rsid w:val="00D070B5"/>
    <w:rsid w:val="00D078D9"/>
    <w:rsid w:val="00D07B98"/>
    <w:rsid w:val="00D10091"/>
    <w:rsid w:val="00D1072B"/>
    <w:rsid w:val="00D1080E"/>
    <w:rsid w:val="00D109AE"/>
    <w:rsid w:val="00D109FE"/>
    <w:rsid w:val="00D111A6"/>
    <w:rsid w:val="00D11583"/>
    <w:rsid w:val="00D13046"/>
    <w:rsid w:val="00D13498"/>
    <w:rsid w:val="00D1360E"/>
    <w:rsid w:val="00D13FED"/>
    <w:rsid w:val="00D143EC"/>
    <w:rsid w:val="00D146FA"/>
    <w:rsid w:val="00D14F22"/>
    <w:rsid w:val="00D15104"/>
    <w:rsid w:val="00D15C4D"/>
    <w:rsid w:val="00D15DD8"/>
    <w:rsid w:val="00D17C52"/>
    <w:rsid w:val="00D17C80"/>
    <w:rsid w:val="00D20B33"/>
    <w:rsid w:val="00D21469"/>
    <w:rsid w:val="00D2231B"/>
    <w:rsid w:val="00D22BBD"/>
    <w:rsid w:val="00D22BEF"/>
    <w:rsid w:val="00D22F2C"/>
    <w:rsid w:val="00D235DC"/>
    <w:rsid w:val="00D23A61"/>
    <w:rsid w:val="00D23B33"/>
    <w:rsid w:val="00D246B5"/>
    <w:rsid w:val="00D249B5"/>
    <w:rsid w:val="00D24ACE"/>
    <w:rsid w:val="00D24DF6"/>
    <w:rsid w:val="00D2505D"/>
    <w:rsid w:val="00D26326"/>
    <w:rsid w:val="00D264D2"/>
    <w:rsid w:val="00D26C55"/>
    <w:rsid w:val="00D276A0"/>
    <w:rsid w:val="00D2782F"/>
    <w:rsid w:val="00D27B3A"/>
    <w:rsid w:val="00D303C6"/>
    <w:rsid w:val="00D3059B"/>
    <w:rsid w:val="00D316E8"/>
    <w:rsid w:val="00D32229"/>
    <w:rsid w:val="00D327E6"/>
    <w:rsid w:val="00D332B0"/>
    <w:rsid w:val="00D338D7"/>
    <w:rsid w:val="00D3415E"/>
    <w:rsid w:val="00D3439B"/>
    <w:rsid w:val="00D3556A"/>
    <w:rsid w:val="00D35B4F"/>
    <w:rsid w:val="00D35FD1"/>
    <w:rsid w:val="00D36110"/>
    <w:rsid w:val="00D368BB"/>
    <w:rsid w:val="00D3696B"/>
    <w:rsid w:val="00D37C32"/>
    <w:rsid w:val="00D37D9F"/>
    <w:rsid w:val="00D37E30"/>
    <w:rsid w:val="00D40806"/>
    <w:rsid w:val="00D40CD5"/>
    <w:rsid w:val="00D40D16"/>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50929"/>
    <w:rsid w:val="00D50AE7"/>
    <w:rsid w:val="00D50C83"/>
    <w:rsid w:val="00D510CB"/>
    <w:rsid w:val="00D514A5"/>
    <w:rsid w:val="00D51C92"/>
    <w:rsid w:val="00D5231C"/>
    <w:rsid w:val="00D523DB"/>
    <w:rsid w:val="00D5247F"/>
    <w:rsid w:val="00D5271E"/>
    <w:rsid w:val="00D528A2"/>
    <w:rsid w:val="00D52C5C"/>
    <w:rsid w:val="00D54741"/>
    <w:rsid w:val="00D5492B"/>
    <w:rsid w:val="00D54FF6"/>
    <w:rsid w:val="00D550B5"/>
    <w:rsid w:val="00D55373"/>
    <w:rsid w:val="00D55DD0"/>
    <w:rsid w:val="00D56351"/>
    <w:rsid w:val="00D5661A"/>
    <w:rsid w:val="00D56731"/>
    <w:rsid w:val="00D56AD3"/>
    <w:rsid w:val="00D576CF"/>
    <w:rsid w:val="00D57AE6"/>
    <w:rsid w:val="00D60046"/>
    <w:rsid w:val="00D607F9"/>
    <w:rsid w:val="00D609C2"/>
    <w:rsid w:val="00D60CDB"/>
    <w:rsid w:val="00D60E39"/>
    <w:rsid w:val="00D60EA0"/>
    <w:rsid w:val="00D61033"/>
    <w:rsid w:val="00D610A9"/>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6AF2"/>
    <w:rsid w:val="00D874F2"/>
    <w:rsid w:val="00D8762B"/>
    <w:rsid w:val="00D87E0B"/>
    <w:rsid w:val="00D91627"/>
    <w:rsid w:val="00D9180A"/>
    <w:rsid w:val="00D91A32"/>
    <w:rsid w:val="00D91AA2"/>
    <w:rsid w:val="00D9251E"/>
    <w:rsid w:val="00D925D5"/>
    <w:rsid w:val="00D926A6"/>
    <w:rsid w:val="00D92701"/>
    <w:rsid w:val="00D92CF1"/>
    <w:rsid w:val="00D93F5A"/>
    <w:rsid w:val="00D94554"/>
    <w:rsid w:val="00D94EAC"/>
    <w:rsid w:val="00D96671"/>
    <w:rsid w:val="00D9674C"/>
    <w:rsid w:val="00D96B76"/>
    <w:rsid w:val="00D975D7"/>
    <w:rsid w:val="00D97727"/>
    <w:rsid w:val="00D97A3F"/>
    <w:rsid w:val="00DA0668"/>
    <w:rsid w:val="00DA0D5C"/>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1CD9"/>
    <w:rsid w:val="00DB208F"/>
    <w:rsid w:val="00DB2415"/>
    <w:rsid w:val="00DB275D"/>
    <w:rsid w:val="00DB2808"/>
    <w:rsid w:val="00DB2D79"/>
    <w:rsid w:val="00DB38FD"/>
    <w:rsid w:val="00DB54AF"/>
    <w:rsid w:val="00DB59B9"/>
    <w:rsid w:val="00DB59F3"/>
    <w:rsid w:val="00DB5AC2"/>
    <w:rsid w:val="00DB65AD"/>
    <w:rsid w:val="00DB78B3"/>
    <w:rsid w:val="00DB7B4C"/>
    <w:rsid w:val="00DB7C19"/>
    <w:rsid w:val="00DC1457"/>
    <w:rsid w:val="00DC213E"/>
    <w:rsid w:val="00DC237A"/>
    <w:rsid w:val="00DC27DB"/>
    <w:rsid w:val="00DC2B6E"/>
    <w:rsid w:val="00DC315D"/>
    <w:rsid w:val="00DC350A"/>
    <w:rsid w:val="00DC3672"/>
    <w:rsid w:val="00DC3DE6"/>
    <w:rsid w:val="00DC3E0E"/>
    <w:rsid w:val="00DC403A"/>
    <w:rsid w:val="00DC41CB"/>
    <w:rsid w:val="00DC43C8"/>
    <w:rsid w:val="00DC5C71"/>
    <w:rsid w:val="00DC5F58"/>
    <w:rsid w:val="00DC6D9C"/>
    <w:rsid w:val="00DC6E26"/>
    <w:rsid w:val="00DC6E52"/>
    <w:rsid w:val="00DC713D"/>
    <w:rsid w:val="00DC73CC"/>
    <w:rsid w:val="00DC74D7"/>
    <w:rsid w:val="00DD0442"/>
    <w:rsid w:val="00DD04D7"/>
    <w:rsid w:val="00DD06C0"/>
    <w:rsid w:val="00DD0828"/>
    <w:rsid w:val="00DD0A03"/>
    <w:rsid w:val="00DD0F3E"/>
    <w:rsid w:val="00DD1502"/>
    <w:rsid w:val="00DD1A8D"/>
    <w:rsid w:val="00DD24F1"/>
    <w:rsid w:val="00DD2D66"/>
    <w:rsid w:val="00DD3AF8"/>
    <w:rsid w:val="00DD3B29"/>
    <w:rsid w:val="00DD54ED"/>
    <w:rsid w:val="00DD5A04"/>
    <w:rsid w:val="00DD5D6F"/>
    <w:rsid w:val="00DD6539"/>
    <w:rsid w:val="00DD6A8F"/>
    <w:rsid w:val="00DD7085"/>
    <w:rsid w:val="00DD7987"/>
    <w:rsid w:val="00DE0474"/>
    <w:rsid w:val="00DE09EC"/>
    <w:rsid w:val="00DE1888"/>
    <w:rsid w:val="00DE1A65"/>
    <w:rsid w:val="00DE1D4A"/>
    <w:rsid w:val="00DE221A"/>
    <w:rsid w:val="00DE23F6"/>
    <w:rsid w:val="00DE26BF"/>
    <w:rsid w:val="00DE34A5"/>
    <w:rsid w:val="00DE3F38"/>
    <w:rsid w:val="00DE4A14"/>
    <w:rsid w:val="00DE4E6E"/>
    <w:rsid w:val="00DE569A"/>
    <w:rsid w:val="00DE6D82"/>
    <w:rsid w:val="00DE71A8"/>
    <w:rsid w:val="00DE751A"/>
    <w:rsid w:val="00DE7AB7"/>
    <w:rsid w:val="00DF00DA"/>
    <w:rsid w:val="00DF03D5"/>
    <w:rsid w:val="00DF0615"/>
    <w:rsid w:val="00DF067D"/>
    <w:rsid w:val="00DF1356"/>
    <w:rsid w:val="00DF13E9"/>
    <w:rsid w:val="00DF1449"/>
    <w:rsid w:val="00DF1A06"/>
    <w:rsid w:val="00DF2226"/>
    <w:rsid w:val="00DF2872"/>
    <w:rsid w:val="00DF29BB"/>
    <w:rsid w:val="00DF2E4A"/>
    <w:rsid w:val="00DF3D10"/>
    <w:rsid w:val="00DF3D2D"/>
    <w:rsid w:val="00DF4866"/>
    <w:rsid w:val="00DF6398"/>
    <w:rsid w:val="00DF697A"/>
    <w:rsid w:val="00DF7606"/>
    <w:rsid w:val="00E0010F"/>
    <w:rsid w:val="00E019A4"/>
    <w:rsid w:val="00E01B10"/>
    <w:rsid w:val="00E02334"/>
    <w:rsid w:val="00E02B99"/>
    <w:rsid w:val="00E02C3F"/>
    <w:rsid w:val="00E03222"/>
    <w:rsid w:val="00E03699"/>
    <w:rsid w:val="00E04676"/>
    <w:rsid w:val="00E04B4E"/>
    <w:rsid w:val="00E04D78"/>
    <w:rsid w:val="00E0562B"/>
    <w:rsid w:val="00E05747"/>
    <w:rsid w:val="00E057B6"/>
    <w:rsid w:val="00E05AD0"/>
    <w:rsid w:val="00E060C5"/>
    <w:rsid w:val="00E06B28"/>
    <w:rsid w:val="00E1057F"/>
    <w:rsid w:val="00E10697"/>
    <w:rsid w:val="00E10C27"/>
    <w:rsid w:val="00E10E19"/>
    <w:rsid w:val="00E1151C"/>
    <w:rsid w:val="00E1169C"/>
    <w:rsid w:val="00E11BE8"/>
    <w:rsid w:val="00E11D96"/>
    <w:rsid w:val="00E1206E"/>
    <w:rsid w:val="00E127CF"/>
    <w:rsid w:val="00E128F2"/>
    <w:rsid w:val="00E12A18"/>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0A"/>
    <w:rsid w:val="00E23065"/>
    <w:rsid w:val="00E234B8"/>
    <w:rsid w:val="00E23DFC"/>
    <w:rsid w:val="00E24419"/>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AF5"/>
    <w:rsid w:val="00E34F10"/>
    <w:rsid w:val="00E34F15"/>
    <w:rsid w:val="00E35270"/>
    <w:rsid w:val="00E3585E"/>
    <w:rsid w:val="00E35905"/>
    <w:rsid w:val="00E3747B"/>
    <w:rsid w:val="00E37A9C"/>
    <w:rsid w:val="00E37C09"/>
    <w:rsid w:val="00E414D8"/>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921"/>
    <w:rsid w:val="00E51F0E"/>
    <w:rsid w:val="00E524BD"/>
    <w:rsid w:val="00E53DFD"/>
    <w:rsid w:val="00E54623"/>
    <w:rsid w:val="00E54BFA"/>
    <w:rsid w:val="00E5537A"/>
    <w:rsid w:val="00E55ED7"/>
    <w:rsid w:val="00E5682F"/>
    <w:rsid w:val="00E56DB6"/>
    <w:rsid w:val="00E56F05"/>
    <w:rsid w:val="00E60807"/>
    <w:rsid w:val="00E61AE4"/>
    <w:rsid w:val="00E62170"/>
    <w:rsid w:val="00E622E3"/>
    <w:rsid w:val="00E627F9"/>
    <w:rsid w:val="00E62F8A"/>
    <w:rsid w:val="00E630DB"/>
    <w:rsid w:val="00E63582"/>
    <w:rsid w:val="00E63FF0"/>
    <w:rsid w:val="00E64352"/>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0B1"/>
    <w:rsid w:val="00E77287"/>
    <w:rsid w:val="00E77289"/>
    <w:rsid w:val="00E77D28"/>
    <w:rsid w:val="00E77F92"/>
    <w:rsid w:val="00E77FCF"/>
    <w:rsid w:val="00E8033F"/>
    <w:rsid w:val="00E816C9"/>
    <w:rsid w:val="00E81982"/>
    <w:rsid w:val="00E82193"/>
    <w:rsid w:val="00E83291"/>
    <w:rsid w:val="00E833E4"/>
    <w:rsid w:val="00E83AA4"/>
    <w:rsid w:val="00E83E32"/>
    <w:rsid w:val="00E846D3"/>
    <w:rsid w:val="00E84AA6"/>
    <w:rsid w:val="00E84D98"/>
    <w:rsid w:val="00E85497"/>
    <w:rsid w:val="00E86338"/>
    <w:rsid w:val="00E86880"/>
    <w:rsid w:val="00E87A5A"/>
    <w:rsid w:val="00E910F8"/>
    <w:rsid w:val="00E91BDE"/>
    <w:rsid w:val="00E922D7"/>
    <w:rsid w:val="00E94026"/>
    <w:rsid w:val="00E9451E"/>
    <w:rsid w:val="00E94618"/>
    <w:rsid w:val="00E950C4"/>
    <w:rsid w:val="00E955A0"/>
    <w:rsid w:val="00E95A96"/>
    <w:rsid w:val="00E9640E"/>
    <w:rsid w:val="00E96D4A"/>
    <w:rsid w:val="00E96F32"/>
    <w:rsid w:val="00E97A1B"/>
    <w:rsid w:val="00E97FDE"/>
    <w:rsid w:val="00EA1BF0"/>
    <w:rsid w:val="00EA35D2"/>
    <w:rsid w:val="00EA38C9"/>
    <w:rsid w:val="00EA39CD"/>
    <w:rsid w:val="00EA4157"/>
    <w:rsid w:val="00EA55EA"/>
    <w:rsid w:val="00EA5BDA"/>
    <w:rsid w:val="00EA62C3"/>
    <w:rsid w:val="00EA7061"/>
    <w:rsid w:val="00EA7147"/>
    <w:rsid w:val="00EA73B9"/>
    <w:rsid w:val="00EA7422"/>
    <w:rsid w:val="00EA7A30"/>
    <w:rsid w:val="00EB0250"/>
    <w:rsid w:val="00EB0597"/>
    <w:rsid w:val="00EB0B32"/>
    <w:rsid w:val="00EB0F03"/>
    <w:rsid w:val="00EB1067"/>
    <w:rsid w:val="00EB19EF"/>
    <w:rsid w:val="00EB1C87"/>
    <w:rsid w:val="00EB226D"/>
    <w:rsid w:val="00EB28B3"/>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190E"/>
    <w:rsid w:val="00EC21FD"/>
    <w:rsid w:val="00EC2843"/>
    <w:rsid w:val="00EC3082"/>
    <w:rsid w:val="00EC35E5"/>
    <w:rsid w:val="00EC3CA7"/>
    <w:rsid w:val="00EC3EAD"/>
    <w:rsid w:val="00EC3F0E"/>
    <w:rsid w:val="00EC40E9"/>
    <w:rsid w:val="00EC48A5"/>
    <w:rsid w:val="00EC4C81"/>
    <w:rsid w:val="00EC5118"/>
    <w:rsid w:val="00EC52F6"/>
    <w:rsid w:val="00EC56D9"/>
    <w:rsid w:val="00EC57BE"/>
    <w:rsid w:val="00EC5F0A"/>
    <w:rsid w:val="00EC6E1E"/>
    <w:rsid w:val="00EC728E"/>
    <w:rsid w:val="00ED0215"/>
    <w:rsid w:val="00ED0B7B"/>
    <w:rsid w:val="00ED1C8E"/>
    <w:rsid w:val="00ED2F26"/>
    <w:rsid w:val="00ED3041"/>
    <w:rsid w:val="00ED32E8"/>
    <w:rsid w:val="00ED3849"/>
    <w:rsid w:val="00ED42B4"/>
    <w:rsid w:val="00ED4438"/>
    <w:rsid w:val="00ED4477"/>
    <w:rsid w:val="00ED4730"/>
    <w:rsid w:val="00ED487C"/>
    <w:rsid w:val="00ED52FD"/>
    <w:rsid w:val="00ED768F"/>
    <w:rsid w:val="00ED77CB"/>
    <w:rsid w:val="00ED7FE4"/>
    <w:rsid w:val="00EE0D34"/>
    <w:rsid w:val="00EE1AD9"/>
    <w:rsid w:val="00EE1C22"/>
    <w:rsid w:val="00EE263D"/>
    <w:rsid w:val="00EE26E1"/>
    <w:rsid w:val="00EE295D"/>
    <w:rsid w:val="00EE36EF"/>
    <w:rsid w:val="00EE42F7"/>
    <w:rsid w:val="00EE4C39"/>
    <w:rsid w:val="00EE5A14"/>
    <w:rsid w:val="00EE68F5"/>
    <w:rsid w:val="00EE6BFD"/>
    <w:rsid w:val="00EE7161"/>
    <w:rsid w:val="00EF076C"/>
    <w:rsid w:val="00EF08EB"/>
    <w:rsid w:val="00EF0A62"/>
    <w:rsid w:val="00EF1878"/>
    <w:rsid w:val="00EF18DD"/>
    <w:rsid w:val="00EF257B"/>
    <w:rsid w:val="00EF29BB"/>
    <w:rsid w:val="00EF2A5E"/>
    <w:rsid w:val="00EF2DD2"/>
    <w:rsid w:val="00EF3FCD"/>
    <w:rsid w:val="00EF455E"/>
    <w:rsid w:val="00EF4B83"/>
    <w:rsid w:val="00EF4BFD"/>
    <w:rsid w:val="00EF4C59"/>
    <w:rsid w:val="00EF4E6B"/>
    <w:rsid w:val="00EF6924"/>
    <w:rsid w:val="00EF694C"/>
    <w:rsid w:val="00EF6F5D"/>
    <w:rsid w:val="00EF7969"/>
    <w:rsid w:val="00EF79E3"/>
    <w:rsid w:val="00F005BF"/>
    <w:rsid w:val="00F005DE"/>
    <w:rsid w:val="00F01000"/>
    <w:rsid w:val="00F0129D"/>
    <w:rsid w:val="00F01CB6"/>
    <w:rsid w:val="00F01F18"/>
    <w:rsid w:val="00F021D4"/>
    <w:rsid w:val="00F02C66"/>
    <w:rsid w:val="00F02E1E"/>
    <w:rsid w:val="00F03B99"/>
    <w:rsid w:val="00F040C1"/>
    <w:rsid w:val="00F05233"/>
    <w:rsid w:val="00F0529E"/>
    <w:rsid w:val="00F05313"/>
    <w:rsid w:val="00F064EA"/>
    <w:rsid w:val="00F074C2"/>
    <w:rsid w:val="00F07A37"/>
    <w:rsid w:val="00F07D64"/>
    <w:rsid w:val="00F11007"/>
    <w:rsid w:val="00F126B6"/>
    <w:rsid w:val="00F12722"/>
    <w:rsid w:val="00F128D4"/>
    <w:rsid w:val="00F12CF7"/>
    <w:rsid w:val="00F13137"/>
    <w:rsid w:val="00F13822"/>
    <w:rsid w:val="00F1388C"/>
    <w:rsid w:val="00F13BF4"/>
    <w:rsid w:val="00F13D0E"/>
    <w:rsid w:val="00F144BC"/>
    <w:rsid w:val="00F15ED4"/>
    <w:rsid w:val="00F1604B"/>
    <w:rsid w:val="00F160F4"/>
    <w:rsid w:val="00F170EB"/>
    <w:rsid w:val="00F171D0"/>
    <w:rsid w:val="00F17380"/>
    <w:rsid w:val="00F17B6F"/>
    <w:rsid w:val="00F17C95"/>
    <w:rsid w:val="00F21497"/>
    <w:rsid w:val="00F21A8B"/>
    <w:rsid w:val="00F21AA1"/>
    <w:rsid w:val="00F21B9A"/>
    <w:rsid w:val="00F220F3"/>
    <w:rsid w:val="00F228BC"/>
    <w:rsid w:val="00F22B10"/>
    <w:rsid w:val="00F22BB1"/>
    <w:rsid w:val="00F22C1D"/>
    <w:rsid w:val="00F22FCB"/>
    <w:rsid w:val="00F22FFB"/>
    <w:rsid w:val="00F24203"/>
    <w:rsid w:val="00F245DB"/>
    <w:rsid w:val="00F24717"/>
    <w:rsid w:val="00F24A69"/>
    <w:rsid w:val="00F24CB7"/>
    <w:rsid w:val="00F258FB"/>
    <w:rsid w:val="00F25CE2"/>
    <w:rsid w:val="00F25FBD"/>
    <w:rsid w:val="00F2620A"/>
    <w:rsid w:val="00F26912"/>
    <w:rsid w:val="00F27BF7"/>
    <w:rsid w:val="00F27EE7"/>
    <w:rsid w:val="00F30BD2"/>
    <w:rsid w:val="00F30DF6"/>
    <w:rsid w:val="00F312E7"/>
    <w:rsid w:val="00F321D2"/>
    <w:rsid w:val="00F322E6"/>
    <w:rsid w:val="00F327BF"/>
    <w:rsid w:val="00F32FC3"/>
    <w:rsid w:val="00F338C6"/>
    <w:rsid w:val="00F33F41"/>
    <w:rsid w:val="00F34434"/>
    <w:rsid w:val="00F35441"/>
    <w:rsid w:val="00F37791"/>
    <w:rsid w:val="00F37D24"/>
    <w:rsid w:val="00F40789"/>
    <w:rsid w:val="00F4079E"/>
    <w:rsid w:val="00F4091C"/>
    <w:rsid w:val="00F40FED"/>
    <w:rsid w:val="00F41819"/>
    <w:rsid w:val="00F41A06"/>
    <w:rsid w:val="00F41E8A"/>
    <w:rsid w:val="00F420C2"/>
    <w:rsid w:val="00F4210F"/>
    <w:rsid w:val="00F426A3"/>
    <w:rsid w:val="00F42DB1"/>
    <w:rsid w:val="00F42E2E"/>
    <w:rsid w:val="00F434A5"/>
    <w:rsid w:val="00F43AD8"/>
    <w:rsid w:val="00F44503"/>
    <w:rsid w:val="00F44951"/>
    <w:rsid w:val="00F44F74"/>
    <w:rsid w:val="00F450B3"/>
    <w:rsid w:val="00F46254"/>
    <w:rsid w:val="00F468D8"/>
    <w:rsid w:val="00F46D9E"/>
    <w:rsid w:val="00F46E2B"/>
    <w:rsid w:val="00F47E6F"/>
    <w:rsid w:val="00F5015C"/>
    <w:rsid w:val="00F5058E"/>
    <w:rsid w:val="00F5072B"/>
    <w:rsid w:val="00F50F95"/>
    <w:rsid w:val="00F51798"/>
    <w:rsid w:val="00F52542"/>
    <w:rsid w:val="00F525DB"/>
    <w:rsid w:val="00F52FEF"/>
    <w:rsid w:val="00F532E9"/>
    <w:rsid w:val="00F533EE"/>
    <w:rsid w:val="00F53C1A"/>
    <w:rsid w:val="00F5440F"/>
    <w:rsid w:val="00F549E0"/>
    <w:rsid w:val="00F54A1F"/>
    <w:rsid w:val="00F55205"/>
    <w:rsid w:val="00F553BC"/>
    <w:rsid w:val="00F554E4"/>
    <w:rsid w:val="00F558A5"/>
    <w:rsid w:val="00F559DB"/>
    <w:rsid w:val="00F55A90"/>
    <w:rsid w:val="00F56630"/>
    <w:rsid w:val="00F56D8A"/>
    <w:rsid w:val="00F57A0E"/>
    <w:rsid w:val="00F57EA1"/>
    <w:rsid w:val="00F600B7"/>
    <w:rsid w:val="00F60389"/>
    <w:rsid w:val="00F60397"/>
    <w:rsid w:val="00F61612"/>
    <w:rsid w:val="00F6185B"/>
    <w:rsid w:val="00F61BE8"/>
    <w:rsid w:val="00F61C3B"/>
    <w:rsid w:val="00F62426"/>
    <w:rsid w:val="00F62DDB"/>
    <w:rsid w:val="00F6319F"/>
    <w:rsid w:val="00F649B2"/>
    <w:rsid w:val="00F64A66"/>
    <w:rsid w:val="00F64CA3"/>
    <w:rsid w:val="00F65E70"/>
    <w:rsid w:val="00F6691C"/>
    <w:rsid w:val="00F6693C"/>
    <w:rsid w:val="00F66A7B"/>
    <w:rsid w:val="00F66BBF"/>
    <w:rsid w:val="00F6706C"/>
    <w:rsid w:val="00F7058B"/>
    <w:rsid w:val="00F7134D"/>
    <w:rsid w:val="00F715D1"/>
    <w:rsid w:val="00F72281"/>
    <w:rsid w:val="00F72373"/>
    <w:rsid w:val="00F72B37"/>
    <w:rsid w:val="00F7311F"/>
    <w:rsid w:val="00F750AA"/>
    <w:rsid w:val="00F75B83"/>
    <w:rsid w:val="00F75E41"/>
    <w:rsid w:val="00F76D93"/>
    <w:rsid w:val="00F77B0C"/>
    <w:rsid w:val="00F77CAA"/>
    <w:rsid w:val="00F80060"/>
    <w:rsid w:val="00F80067"/>
    <w:rsid w:val="00F80BBB"/>
    <w:rsid w:val="00F80CE9"/>
    <w:rsid w:val="00F8156E"/>
    <w:rsid w:val="00F81C1E"/>
    <w:rsid w:val="00F81CD8"/>
    <w:rsid w:val="00F822F4"/>
    <w:rsid w:val="00F824AC"/>
    <w:rsid w:val="00F82ADD"/>
    <w:rsid w:val="00F836F4"/>
    <w:rsid w:val="00F83766"/>
    <w:rsid w:val="00F8415A"/>
    <w:rsid w:val="00F842FB"/>
    <w:rsid w:val="00F845DD"/>
    <w:rsid w:val="00F84B5C"/>
    <w:rsid w:val="00F84C3F"/>
    <w:rsid w:val="00F85120"/>
    <w:rsid w:val="00F85522"/>
    <w:rsid w:val="00F85C7F"/>
    <w:rsid w:val="00F86267"/>
    <w:rsid w:val="00F86D68"/>
    <w:rsid w:val="00F8755F"/>
    <w:rsid w:val="00F87B03"/>
    <w:rsid w:val="00F87C20"/>
    <w:rsid w:val="00F87E8A"/>
    <w:rsid w:val="00F904B0"/>
    <w:rsid w:val="00F90A59"/>
    <w:rsid w:val="00F90DA7"/>
    <w:rsid w:val="00F91493"/>
    <w:rsid w:val="00F927A6"/>
    <w:rsid w:val="00F9353A"/>
    <w:rsid w:val="00F93F43"/>
    <w:rsid w:val="00F942F9"/>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225D"/>
    <w:rsid w:val="00FA3089"/>
    <w:rsid w:val="00FA3A54"/>
    <w:rsid w:val="00FA4223"/>
    <w:rsid w:val="00FA42EB"/>
    <w:rsid w:val="00FA459B"/>
    <w:rsid w:val="00FA4A26"/>
    <w:rsid w:val="00FA4A6B"/>
    <w:rsid w:val="00FA594A"/>
    <w:rsid w:val="00FA6032"/>
    <w:rsid w:val="00FA6BE8"/>
    <w:rsid w:val="00FA7927"/>
    <w:rsid w:val="00FA7CF9"/>
    <w:rsid w:val="00FA7D5E"/>
    <w:rsid w:val="00FB03C8"/>
    <w:rsid w:val="00FB0823"/>
    <w:rsid w:val="00FB0B44"/>
    <w:rsid w:val="00FB0DBC"/>
    <w:rsid w:val="00FB1851"/>
    <w:rsid w:val="00FB196C"/>
    <w:rsid w:val="00FB1D78"/>
    <w:rsid w:val="00FB23AE"/>
    <w:rsid w:val="00FB24B9"/>
    <w:rsid w:val="00FB2F4A"/>
    <w:rsid w:val="00FB2FC5"/>
    <w:rsid w:val="00FB31FB"/>
    <w:rsid w:val="00FB3E0F"/>
    <w:rsid w:val="00FB3E2F"/>
    <w:rsid w:val="00FB3FEE"/>
    <w:rsid w:val="00FB4757"/>
    <w:rsid w:val="00FB5259"/>
    <w:rsid w:val="00FB6C8B"/>
    <w:rsid w:val="00FB6DEE"/>
    <w:rsid w:val="00FB7483"/>
    <w:rsid w:val="00FB7813"/>
    <w:rsid w:val="00FB7A79"/>
    <w:rsid w:val="00FC0968"/>
    <w:rsid w:val="00FC0BBF"/>
    <w:rsid w:val="00FC12B1"/>
    <w:rsid w:val="00FC22B1"/>
    <w:rsid w:val="00FC2758"/>
    <w:rsid w:val="00FC275F"/>
    <w:rsid w:val="00FC2962"/>
    <w:rsid w:val="00FC2CF1"/>
    <w:rsid w:val="00FC36B1"/>
    <w:rsid w:val="00FC38A9"/>
    <w:rsid w:val="00FC3B5F"/>
    <w:rsid w:val="00FC466F"/>
    <w:rsid w:val="00FC4BBE"/>
    <w:rsid w:val="00FC4C26"/>
    <w:rsid w:val="00FC4EF2"/>
    <w:rsid w:val="00FC54D6"/>
    <w:rsid w:val="00FC5B25"/>
    <w:rsid w:val="00FC5E43"/>
    <w:rsid w:val="00FC6063"/>
    <w:rsid w:val="00FC64DC"/>
    <w:rsid w:val="00FC6B58"/>
    <w:rsid w:val="00FC7724"/>
    <w:rsid w:val="00FC7E63"/>
    <w:rsid w:val="00FD110E"/>
    <w:rsid w:val="00FD13CD"/>
    <w:rsid w:val="00FD1FFE"/>
    <w:rsid w:val="00FD21AF"/>
    <w:rsid w:val="00FD2674"/>
    <w:rsid w:val="00FD268B"/>
    <w:rsid w:val="00FD28C6"/>
    <w:rsid w:val="00FD2B19"/>
    <w:rsid w:val="00FD2D3D"/>
    <w:rsid w:val="00FD3157"/>
    <w:rsid w:val="00FD33DB"/>
    <w:rsid w:val="00FD3D6C"/>
    <w:rsid w:val="00FD4B2A"/>
    <w:rsid w:val="00FD4C66"/>
    <w:rsid w:val="00FD4EAC"/>
    <w:rsid w:val="00FD590A"/>
    <w:rsid w:val="00FD590D"/>
    <w:rsid w:val="00FD60E0"/>
    <w:rsid w:val="00FD65E9"/>
    <w:rsid w:val="00FD65F3"/>
    <w:rsid w:val="00FD6B42"/>
    <w:rsid w:val="00FD6C23"/>
    <w:rsid w:val="00FD765C"/>
    <w:rsid w:val="00FE001E"/>
    <w:rsid w:val="00FE0C2F"/>
    <w:rsid w:val="00FE0DA6"/>
    <w:rsid w:val="00FE0F53"/>
    <w:rsid w:val="00FE1864"/>
    <w:rsid w:val="00FE3216"/>
    <w:rsid w:val="00FE4113"/>
    <w:rsid w:val="00FE452E"/>
    <w:rsid w:val="00FE48B3"/>
    <w:rsid w:val="00FE4ACE"/>
    <w:rsid w:val="00FE4B5E"/>
    <w:rsid w:val="00FE4C2C"/>
    <w:rsid w:val="00FE4DF1"/>
    <w:rsid w:val="00FE5C4E"/>
    <w:rsid w:val="00FE5F5A"/>
    <w:rsid w:val="00FE5FD6"/>
    <w:rsid w:val="00FE6074"/>
    <w:rsid w:val="00FE6284"/>
    <w:rsid w:val="00FE6547"/>
    <w:rsid w:val="00FE68EF"/>
    <w:rsid w:val="00FE740B"/>
    <w:rsid w:val="00FE7756"/>
    <w:rsid w:val="00FE7BA1"/>
    <w:rsid w:val="00FF0EA2"/>
    <w:rsid w:val="00FF1039"/>
    <w:rsid w:val="00FF1D9A"/>
    <w:rsid w:val="00FF23E3"/>
    <w:rsid w:val="00FF317F"/>
    <w:rsid w:val="00FF35F2"/>
    <w:rsid w:val="00FF3AB1"/>
    <w:rsid w:val="00FF3CBE"/>
    <w:rsid w:val="00FF3E61"/>
    <w:rsid w:val="00FF41CB"/>
    <w:rsid w:val="00FF43A6"/>
    <w:rsid w:val="00FF4E7A"/>
    <w:rsid w:val="00FF4EAA"/>
    <w:rsid w:val="00FF663F"/>
    <w:rsid w:val="00FF6835"/>
    <w:rsid w:val="00FF72F9"/>
    <w:rsid w:val="00FF7F98"/>
    <w:rsid w:val="0218D188"/>
    <w:rsid w:val="03AA676E"/>
    <w:rsid w:val="04B626DE"/>
    <w:rsid w:val="08CAE885"/>
    <w:rsid w:val="0C1748B8"/>
    <w:rsid w:val="0C8DB671"/>
    <w:rsid w:val="0EF9915F"/>
    <w:rsid w:val="19F9E50F"/>
    <w:rsid w:val="1DDA18F2"/>
    <w:rsid w:val="1E4B58B1"/>
    <w:rsid w:val="1EF15363"/>
    <w:rsid w:val="22F83767"/>
    <w:rsid w:val="2C6C27B7"/>
    <w:rsid w:val="2DE4DE98"/>
    <w:rsid w:val="304F4F66"/>
    <w:rsid w:val="34AE7D5D"/>
    <w:rsid w:val="374F3611"/>
    <w:rsid w:val="3822DD20"/>
    <w:rsid w:val="3B4413DB"/>
    <w:rsid w:val="3EB467F5"/>
    <w:rsid w:val="41312AD6"/>
    <w:rsid w:val="439D2DDA"/>
    <w:rsid w:val="45CBE54D"/>
    <w:rsid w:val="48499959"/>
    <w:rsid w:val="48EB63D0"/>
    <w:rsid w:val="4964A8BB"/>
    <w:rsid w:val="4BF53E0D"/>
    <w:rsid w:val="4E30DC51"/>
    <w:rsid w:val="522B53B1"/>
    <w:rsid w:val="56800356"/>
    <w:rsid w:val="62D49C6F"/>
    <w:rsid w:val="6A99B802"/>
    <w:rsid w:val="6E63A123"/>
    <w:rsid w:val="6F4EC7DB"/>
    <w:rsid w:val="7300C597"/>
    <w:rsid w:val="797A54DA"/>
    <w:rsid w:val="79A12EBD"/>
    <w:rsid w:val="7CC785D1"/>
    <w:rsid w:val="7D2193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B067B4CB-493B-44C6-BB93-2C8EBB88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8C"/>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31031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rsid w:val="008406B7"/>
    <w:pPr>
      <w:numPr>
        <w:numId w:val="7"/>
      </w:numPr>
      <w:spacing w:before="120" w:after="120"/>
      <w:jc w:val="left"/>
    </w:pPr>
    <w:rPr>
      <w:snapToGrid w:val="0"/>
      <w:sz w:val="24"/>
      <w:szCs w:val="18"/>
      <w:lang w:val="en-CA" w:eastAsia="ja-JP"/>
    </w:rPr>
  </w:style>
  <w:style w:type="paragraph" w:customStyle="1" w:styleId="Para3">
    <w:name w:val="Para3"/>
    <w:basedOn w:val="Normal"/>
    <w:rsid w:val="008406B7"/>
    <w:pPr>
      <w:numPr>
        <w:ilvl w:val="2"/>
        <w:numId w:val="7"/>
      </w:numPr>
      <w:tabs>
        <w:tab w:val="clear" w:pos="1440"/>
        <w:tab w:val="num" w:pos="360"/>
        <w:tab w:val="left" w:pos="1980"/>
      </w:tabs>
      <w:spacing w:before="80" w:after="80"/>
      <w:ind w:left="0" w:firstLine="0"/>
      <w:jc w:val="left"/>
    </w:pPr>
    <w:rPr>
      <w:sz w:val="24"/>
      <w:szCs w:val="20"/>
      <w:lang w:val="en-CA"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ListParagraph">
    <w:name w:val="List Paragraph"/>
    <w:basedOn w:val="Normal"/>
    <w:uiPriority w:val="34"/>
    <w:qFormat/>
    <w:rsid w:val="002B50FE"/>
    <w:pPr>
      <w:ind w:left="720"/>
      <w:contextualSpacing/>
      <w:jc w:val="left"/>
    </w:pPr>
    <w:rPr>
      <w:sz w:val="24"/>
      <w:lang w:val="en-CA" w:eastAsia="ja-JP"/>
    </w:rPr>
  </w:style>
  <w:style w:type="paragraph" w:styleId="Revision">
    <w:name w:val="Revision"/>
    <w:hidden/>
    <w:uiPriority w:val="99"/>
    <w:semiHidden/>
    <w:rsid w:val="0006086F"/>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A60319"/>
    <w:rPr>
      <w:rFonts w:ascii="Segoe UI" w:hAnsi="Segoe UI" w:cs="Segoe UI" w:hint="default"/>
      <w:sz w:val="18"/>
      <w:szCs w:val="18"/>
      <w:u w:val="single"/>
    </w:rPr>
  </w:style>
  <w:style w:type="character" w:styleId="PageNumber">
    <w:name w:val="page number"/>
    <w:rsid w:val="00D609C2"/>
    <w:rPr>
      <w:rFonts w:ascii="Times New Roman" w:hAnsi="Times New Roman"/>
      <w:sz w:val="22"/>
    </w:rPr>
  </w:style>
  <w:style w:type="character" w:styleId="UnresolvedMention">
    <w:name w:val="Unresolved Mention"/>
    <w:basedOn w:val="DefaultParagraphFont"/>
    <w:uiPriority w:val="99"/>
    <w:semiHidden/>
    <w:unhideWhenUsed/>
    <w:rsid w:val="00624185"/>
    <w:rPr>
      <w:color w:val="605E5C"/>
      <w:shd w:val="clear" w:color="auto" w:fill="E1DFDD"/>
    </w:rPr>
  </w:style>
  <w:style w:type="character" w:styleId="FollowedHyperlink">
    <w:name w:val="FollowedHyperlink"/>
    <w:basedOn w:val="DefaultParagraphFont"/>
    <w:uiPriority w:val="99"/>
    <w:semiHidden/>
    <w:unhideWhenUsed/>
    <w:rsid w:val="00624185"/>
    <w:rPr>
      <w:color w:val="954F72" w:themeColor="followedHyperlink"/>
      <w:u w:val="single"/>
    </w:rPr>
  </w:style>
  <w:style w:type="paragraph" w:customStyle="1" w:styleId="Decision">
    <w:name w:val="Decision"/>
    <w:basedOn w:val="Heading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n-GB"/>
      <w14:ligatures w14:val="none"/>
    </w:rPr>
  </w:style>
  <w:style w:type="character" w:styleId="Mention">
    <w:name w:val="Mention"/>
    <w:basedOn w:val="DefaultParagraphFont"/>
    <w:uiPriority w:val="99"/>
    <w:unhideWhenUsed/>
    <w:rsid w:val="0086703E"/>
    <w:rPr>
      <w:color w:val="2B579A"/>
      <w:shd w:val="clear" w:color="auto" w:fill="E1DFDD"/>
    </w:rPr>
  </w:style>
  <w:style w:type="paragraph" w:customStyle="1" w:styleId="paragraph">
    <w:name w:val="paragraph"/>
    <w:basedOn w:val="Normal"/>
    <w:rsid w:val="00FD21AF"/>
    <w:pPr>
      <w:spacing w:before="100" w:beforeAutospacing="1" w:after="100" w:afterAutospacing="1"/>
      <w:jc w:val="left"/>
    </w:pPr>
    <w:rPr>
      <w:sz w:val="24"/>
      <w:lang w:val="en-CA" w:eastAsia="en-CA"/>
    </w:rPr>
  </w:style>
  <w:style w:type="character" w:customStyle="1" w:styleId="normaltextrun">
    <w:name w:val="normaltextrun"/>
    <w:basedOn w:val="DefaultParagraphFont"/>
    <w:rsid w:val="00FD21AF"/>
  </w:style>
  <w:style w:type="character" w:customStyle="1" w:styleId="eop">
    <w:name w:val="eop"/>
    <w:basedOn w:val="DefaultParagraphFont"/>
    <w:rsid w:val="00FD21AF"/>
  </w:style>
  <w:style w:type="paragraph" w:customStyle="1" w:styleId="pf0">
    <w:name w:val="pf0"/>
    <w:basedOn w:val="Normal"/>
    <w:rsid w:val="008F194A"/>
    <w:pPr>
      <w:spacing w:before="100" w:beforeAutospacing="1" w:after="100" w:afterAutospacing="1"/>
      <w:jc w:val="left"/>
    </w:pPr>
    <w:rPr>
      <w:sz w:val="24"/>
      <w:lang w:val="en-CA" w:eastAsia="en-CA"/>
    </w:rPr>
  </w:style>
  <w:style w:type="paragraph" w:styleId="EndnoteText">
    <w:name w:val="endnote text"/>
    <w:basedOn w:val="Normal"/>
    <w:link w:val="EndnoteTextChar"/>
    <w:uiPriority w:val="99"/>
    <w:semiHidden/>
    <w:unhideWhenUsed/>
    <w:rsid w:val="00BF56F6"/>
    <w:rPr>
      <w:sz w:val="20"/>
      <w:szCs w:val="20"/>
    </w:rPr>
  </w:style>
  <w:style w:type="character" w:customStyle="1" w:styleId="EndnoteTextChar">
    <w:name w:val="Endnote Text Char"/>
    <w:basedOn w:val="DefaultParagraphFont"/>
    <w:link w:val="EndnoteText"/>
    <w:uiPriority w:val="99"/>
    <w:semiHidden/>
    <w:rsid w:val="00BF56F6"/>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F56F6"/>
    <w:rPr>
      <w:vertAlign w:val="superscript"/>
    </w:rPr>
  </w:style>
  <w:style w:type="character" w:styleId="HTMLVariable">
    <w:name w:val="HTML Variable"/>
    <w:basedOn w:val="DefaultParagraphFont"/>
    <w:uiPriority w:val="99"/>
    <w:semiHidden/>
    <w:unhideWhenUsed/>
    <w:rsid w:val="009A4263"/>
    <w:rPr>
      <w:i/>
      <w:iCs/>
    </w:rPr>
  </w:style>
  <w:style w:type="character" w:styleId="Emphasis">
    <w:name w:val="Emphasis"/>
    <w:basedOn w:val="DefaultParagraphFont"/>
    <w:uiPriority w:val="20"/>
    <w:qFormat/>
    <w:rsid w:val="009A4263"/>
    <w:rPr>
      <w:i/>
      <w:iCs/>
    </w:rPr>
  </w:style>
  <w:style w:type="paragraph" w:styleId="BalloonText">
    <w:name w:val="Balloon Text"/>
    <w:basedOn w:val="Normal"/>
    <w:link w:val="BalloonTextChar"/>
    <w:uiPriority w:val="99"/>
    <w:semiHidden/>
    <w:unhideWhenUsed/>
    <w:rsid w:val="000C1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86"/>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fr.pdf" TargetMode="External"/><Relationship Id="rId26" Type="http://schemas.openxmlformats.org/officeDocument/2006/relationships/hyperlink" Target="https://www.cbd.int/doc/decisions/np-mop-03/np-mop-03-dec-01-fr.pdf" TargetMode="External"/><Relationship Id="rId3" Type="http://schemas.openxmlformats.org/officeDocument/2006/relationships/customXml" Target="../customXml/item3.xml"/><Relationship Id="rId21" Type="http://schemas.openxmlformats.org/officeDocument/2006/relationships/hyperlink" Target="https://www.cbd.int/doc/decisions/cop-15/cop-15-dec-06-fr.pdf" TargetMode="External"/><Relationship Id="rId34" Type="http://schemas.openxmlformats.org/officeDocument/2006/relationships/hyperlink" Target="https://www.cbd.int/abs/text/articles?sec=abs-2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4" TargetMode="External"/><Relationship Id="rId25" Type="http://schemas.openxmlformats.org/officeDocument/2006/relationships/hyperlink" Target="https://www.cbd.int/doc/decisions/np-mop-03/np-mop-03-dec-01-en.pdf"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0b7c/e5ff/416eaa3e3a365139c6c68f04/np-mop-03-03-fr.pdf" TargetMode="External"/><Relationship Id="rId20" Type="http://schemas.openxmlformats.org/officeDocument/2006/relationships/hyperlink" Target="https://www.cbd.int/doc/decisions/np-mop-04/np-mop-04-dec-03-fr.pdf" TargetMode="External"/><Relationship Id="rId29" Type="http://schemas.openxmlformats.org/officeDocument/2006/relationships/hyperlink" Target="https://www.cbd.int/doc/decisions/np-mop-03/np-mop-03-dec-01-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fr.pdf"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np-mop-02/np-mop-02-dec-04-fr.pdf" TargetMode="External"/><Relationship Id="rId23" Type="http://schemas.openxmlformats.org/officeDocument/2006/relationships/hyperlink" Target="https://www.cbd.int/doc/decisions/np-mop-03/np-mop-03-dec-04-fr.pdf" TargetMode="External"/><Relationship Id="rId28" Type="http://schemas.openxmlformats.org/officeDocument/2006/relationships/hyperlink" Target="https://www.cbd.int/doc/decisions/np-mop-03/np-mop-03-dec-01-fr.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p-mop-10/cp-mop-10-dec-09-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fr.pdf" TargetMode="External"/><Relationship Id="rId22" Type="http://schemas.openxmlformats.org/officeDocument/2006/relationships/hyperlink" Target="https://www.cbd.int/doc/decisions/cop-14/cop-14-dec-27-fr.pdf" TargetMode="External"/><Relationship Id="rId27" Type="http://schemas.openxmlformats.org/officeDocument/2006/relationships/hyperlink" Target="https://www.cbd.int/doc/decisions/np-mop-03/np-mop-03-dec-01-fr.pdf" TargetMode="External"/><Relationship Id="rId30" Type="http://schemas.openxmlformats.org/officeDocument/2006/relationships/header" Target="header1.xml"/><Relationship Id="rId35" Type="http://schemas.openxmlformats.org/officeDocument/2006/relationships/hyperlink" Target="https://www.cbd.int/decisions/?id=1340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15ff/7143/d28c99fdf597838d88407011/np-cc-04-04-fr.pdf" TargetMode="External"/><Relationship Id="rId2" Type="http://schemas.openxmlformats.org/officeDocument/2006/relationships/hyperlink" Target="https://www.cbd.int/doc/c/679b/5453/3b1a3616b09ba37af014ca24/cp-cc-17-06-fr.pdf" TargetMode="External"/><Relationship Id="rId1" Type="http://schemas.openxmlformats.org/officeDocument/2006/relationships/hyperlink" Target="https://absch.cbd.int/en/reports" TargetMode="External"/><Relationship Id="rId4" Type="http://schemas.openxmlformats.org/officeDocument/2006/relationships/hyperlink" Target="https://www.cbd.int/doc/decisions/np-mop-01/np-mop-01-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7774E123D14F96AA3DBC2D8569F464"/>
        <w:category>
          <w:name w:val="General"/>
          <w:gallery w:val="placeholder"/>
        </w:category>
        <w:types>
          <w:type w:val="bbPlcHdr"/>
        </w:types>
        <w:behaviors>
          <w:behavior w:val="content"/>
        </w:behaviors>
        <w:guid w:val="{74320F4F-CBB3-4F76-9F9D-53882E2F62CB}"/>
      </w:docPartPr>
      <w:docPartBody>
        <w:p w:rsidR="00750FE3" w:rsidRDefault="00074BA4">
          <w:pPr>
            <w:pStyle w:val="AC7774E123D14F96AA3DBC2D8569F464"/>
          </w:pPr>
          <w:r w:rsidRPr="009B5A49">
            <w:rPr>
              <w:rStyle w:val="PlaceholderText"/>
              <w:lang w:val="fr-FR" w:bidi="fr-FR"/>
            </w:rPr>
            <w:t>[Titre]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A4"/>
    <w:rsid w:val="00041181"/>
    <w:rsid w:val="00074BA4"/>
    <w:rsid w:val="00082890"/>
    <w:rsid w:val="000E0ABF"/>
    <w:rsid w:val="0013059C"/>
    <w:rsid w:val="001826E1"/>
    <w:rsid w:val="00185A56"/>
    <w:rsid w:val="00185F03"/>
    <w:rsid w:val="00195BB2"/>
    <w:rsid w:val="001A7FAC"/>
    <w:rsid w:val="001F2AC0"/>
    <w:rsid w:val="002233A0"/>
    <w:rsid w:val="00240FDE"/>
    <w:rsid w:val="002465F0"/>
    <w:rsid w:val="002558E3"/>
    <w:rsid w:val="002E0869"/>
    <w:rsid w:val="002F7C64"/>
    <w:rsid w:val="00345937"/>
    <w:rsid w:val="00374E86"/>
    <w:rsid w:val="0039193F"/>
    <w:rsid w:val="003C0318"/>
    <w:rsid w:val="003D0D02"/>
    <w:rsid w:val="003D25EB"/>
    <w:rsid w:val="004C739A"/>
    <w:rsid w:val="004D30AD"/>
    <w:rsid w:val="004D655F"/>
    <w:rsid w:val="005C5D3E"/>
    <w:rsid w:val="005C6E4F"/>
    <w:rsid w:val="005D5B5A"/>
    <w:rsid w:val="00630710"/>
    <w:rsid w:val="00676DD9"/>
    <w:rsid w:val="00750FE3"/>
    <w:rsid w:val="00780EB7"/>
    <w:rsid w:val="007A4C01"/>
    <w:rsid w:val="007C5801"/>
    <w:rsid w:val="007F61AF"/>
    <w:rsid w:val="0083354C"/>
    <w:rsid w:val="00844718"/>
    <w:rsid w:val="008927FD"/>
    <w:rsid w:val="00893BCE"/>
    <w:rsid w:val="008C30F4"/>
    <w:rsid w:val="00920BFF"/>
    <w:rsid w:val="00922850"/>
    <w:rsid w:val="00984F92"/>
    <w:rsid w:val="00A270AD"/>
    <w:rsid w:val="00A30090"/>
    <w:rsid w:val="00A407FB"/>
    <w:rsid w:val="00A90F5B"/>
    <w:rsid w:val="00AF2493"/>
    <w:rsid w:val="00B402BA"/>
    <w:rsid w:val="00BC047A"/>
    <w:rsid w:val="00C2724C"/>
    <w:rsid w:val="00C31BB8"/>
    <w:rsid w:val="00C850B1"/>
    <w:rsid w:val="00D33C1F"/>
    <w:rsid w:val="00D82C50"/>
    <w:rsid w:val="00DF6C82"/>
    <w:rsid w:val="00E167A4"/>
    <w:rsid w:val="00E443C7"/>
    <w:rsid w:val="00E77661"/>
    <w:rsid w:val="00EC59B2"/>
    <w:rsid w:val="00EF7CD2"/>
    <w:rsid w:val="00F402D3"/>
    <w:rsid w:val="00F45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5F03"/>
    <w:rPr>
      <w:color w:val="808080"/>
    </w:rPr>
  </w:style>
  <w:style w:type="paragraph" w:customStyle="1" w:styleId="AC7774E123D14F96AA3DBC2D8569F464">
    <w:name w:val="AC7774E123D14F96AA3DBC2D8569F464"/>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Taukondjo Shikongo</DisplayName>
        <AccountId>30</AccountId>
        <AccountType/>
      </UserInfo>
      <UserInfo>
        <DisplayName>David Cooper</DisplayName>
        <AccountId>45</AccountId>
        <AccountType/>
      </UserInfo>
      <UserInfo>
        <DisplayName>Kathryn Garforth</DisplayName>
        <AccountId>12</AccountId>
        <AccountType/>
      </UserInfo>
      <UserInfo>
        <DisplayName>Matthew Dias</DisplayName>
        <AccountId>13</AccountId>
        <AccountType/>
      </UserInfo>
      <UserInfo>
        <DisplayName>Regina Kipper</DisplayName>
        <AccountId>427</AccountId>
        <AccountType/>
      </UserInfo>
      <UserInfo>
        <DisplayName>Neil Pratt</DisplayName>
        <AccountId>182</AccountId>
        <AccountType/>
      </UserInfo>
      <UserInfo>
        <DisplayName>Beatriz Gomez Castro</DisplayName>
        <AccountId>16</AccountId>
        <AccountType/>
      </UserInfo>
    </SharedWithUser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E6DA5B8-8D51-4A2E-9335-2CE77E695577}">
  <ds:schemaRefs>
    <ds:schemaRef ds:uri="http://schemas.openxmlformats.org/officeDocument/2006/bibliography"/>
  </ds:schemaRefs>
</ds:datastoreItem>
</file>

<file path=customXml/itemProps3.xml><?xml version="1.0" encoding="utf-8"?>
<ds:datastoreItem xmlns:ds="http://schemas.openxmlformats.org/officeDocument/2006/customXml" ds:itemID="{BD779B43-7F2B-4E8E-9D31-39DD7BCEF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9185FB-4D4E-4FC2-8814-761E17E385A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4</TotalTime>
  <Pages>10</Pages>
  <Words>5262</Words>
  <Characters>29625</Characters>
  <Application>Microsoft Office Word</Application>
  <DocSecurity>4</DocSecurity>
  <Lines>246</Lines>
  <Paragraphs>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Development of the methodology for the second assessment and review of the effectiveness of the Nagoya Protocol</vt:lpstr>
      <vt:lpstr>Development of the methodology for the second assessment and review of the effectiveness of the Nagoya Protocol</vt:lpstr>
    </vt:vector>
  </TitlesOfParts>
  <Company/>
  <LinksUpToDate>false</LinksUpToDate>
  <CharactersWithSpaces>34818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 la méthode pour la deuxième évaluation et le deuxième examen de l’efficacité du Protocole de Nagoya</dc:title>
  <dc:subject>CBD/SBI/4/12</dc:subject>
  <dc:creator>scbd</dc:creator>
  <cp:keywords/>
  <dc:description/>
  <cp:lastModifiedBy>Teresa Mazza</cp:lastModifiedBy>
  <cp:revision>2</cp:revision>
  <dcterms:created xsi:type="dcterms:W3CDTF">2024-04-26T19:53:00Z</dcterms:created>
  <dcterms:modified xsi:type="dcterms:W3CDTF">2024-04-26T19:53:00Z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