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804"/>
      </w:tblGrid>
      <w:tr w:rsidR="002B757B" w:rsidRPr="00B16F37" w14:paraId="7CAB295A" w14:textId="77777777" w:rsidTr="00361521">
        <w:tc>
          <w:tcPr>
            <w:tcW w:w="851" w:type="dxa"/>
            <w:tcBorders>
              <w:bottom w:val="single" w:sz="8" w:space="0" w:color="auto"/>
            </w:tcBorders>
            <w:vAlign w:val="bottom"/>
          </w:tcPr>
          <w:p w14:paraId="2D04D9BA" w14:textId="77777777" w:rsidR="002B757B" w:rsidRPr="00B16F37" w:rsidRDefault="002B757B" w:rsidP="00892011">
            <w:pPr>
              <w:spacing w:after="120"/>
              <w:jc w:val="left"/>
            </w:pPr>
            <w:bookmarkStart w:id="0" w:name="_Hlk137651738"/>
            <w:bookmarkStart w:id="1" w:name="_Toc522023191"/>
            <w:r>
              <w:rPr>
                <w:noProof/>
              </w:rPr>
              <w:drawing>
                <wp:inline distT="0" distB="0" distL="0" distR="0" wp14:anchorId="54FB724E" wp14:editId="4D5CF17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2E217D41" w14:textId="564C6290" w:rsidR="002B757B" w:rsidRPr="00B16F37" w:rsidRDefault="0050419E" w:rsidP="00892011">
            <w:pPr>
              <w:spacing w:after="120"/>
              <w:jc w:val="left"/>
            </w:pPr>
            <w:r w:rsidRPr="0050419E">
              <w:rPr>
                <w:noProof/>
                <w:lang w:val="fr-FR" w:eastAsia="fr-FR"/>
              </w:rPr>
              <w:drawing>
                <wp:inline distT="0" distB="0" distL="0" distR="0" wp14:anchorId="4B6E2034" wp14:editId="5AD6485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6521" w:type="dxa"/>
            <w:gridSpan w:val="2"/>
            <w:tcBorders>
              <w:bottom w:val="single" w:sz="8" w:space="0" w:color="auto"/>
            </w:tcBorders>
            <w:vAlign w:val="bottom"/>
          </w:tcPr>
          <w:p w14:paraId="55CEE16E" w14:textId="41048DC9" w:rsidR="002B757B" w:rsidRPr="00B16F37" w:rsidRDefault="002B757B" w:rsidP="00361521">
            <w:pPr>
              <w:tabs>
                <w:tab w:val="clear" w:pos="567"/>
                <w:tab w:val="clear" w:pos="1134"/>
                <w:tab w:val="clear" w:pos="1701"/>
                <w:tab w:val="clear" w:pos="2268"/>
              </w:tabs>
              <w:spacing w:after="120"/>
              <w:ind w:left="36"/>
              <w:jc w:val="right"/>
              <w:rPr>
                <w:szCs w:val="22"/>
              </w:rPr>
            </w:pPr>
            <w:r>
              <w:rPr>
                <w:sz w:val="40"/>
                <w:szCs w:val="40"/>
              </w:rPr>
              <w:t>CBD</w:t>
            </w:r>
            <w:r>
              <w:rPr>
                <w:sz w:val="20"/>
                <w:szCs w:val="20"/>
              </w:rPr>
              <w:t>/COP/16/3-</w:t>
            </w:r>
            <w:r>
              <w:rPr>
                <w:sz w:val="40"/>
                <w:szCs w:val="40"/>
              </w:rPr>
              <w:t>CBD</w:t>
            </w:r>
            <w:r>
              <w:rPr>
                <w:sz w:val="20"/>
                <w:szCs w:val="20"/>
              </w:rPr>
              <w:t>/CP/MOP/11/4-</w:t>
            </w:r>
            <w:r>
              <w:rPr>
                <w:sz w:val="40"/>
                <w:szCs w:val="40"/>
              </w:rPr>
              <w:t>CBD</w:t>
            </w:r>
            <w:r>
              <w:rPr>
                <w:sz w:val="20"/>
                <w:szCs w:val="20"/>
              </w:rPr>
              <w:t>/NP/MOP/5/4</w:t>
            </w:r>
          </w:p>
        </w:tc>
      </w:tr>
      <w:tr w:rsidR="002B757B" w:rsidRPr="00B16F37" w14:paraId="241A8FFC" w14:textId="77777777" w:rsidTr="00361521">
        <w:tc>
          <w:tcPr>
            <w:tcW w:w="4545" w:type="dxa"/>
            <w:gridSpan w:val="3"/>
            <w:tcBorders>
              <w:top w:val="single" w:sz="8" w:space="0" w:color="auto"/>
              <w:bottom w:val="single" w:sz="12" w:space="0" w:color="auto"/>
            </w:tcBorders>
          </w:tcPr>
          <w:p w14:paraId="4D5E4D38" w14:textId="3CA9693D" w:rsidR="002B757B" w:rsidRPr="00B16F37" w:rsidRDefault="0050419E" w:rsidP="00361521">
            <w:pPr>
              <w:pStyle w:val="Cornernotation"/>
              <w:suppressLineNumbers/>
              <w:suppressAutoHyphens/>
              <w:ind w:left="0" w:right="0" w:firstLine="0"/>
            </w:pPr>
            <w:r w:rsidRPr="0049796C">
              <w:rPr>
                <w:noProof/>
                <w:lang w:val="fr-FR" w:eastAsia="fr-FR"/>
              </w:rPr>
              <w:drawing>
                <wp:inline distT="0" distB="0" distL="0" distR="0" wp14:anchorId="4A371703" wp14:editId="35E02E74">
                  <wp:extent cx="2659380" cy="1001700"/>
                  <wp:effectExtent l="0" t="0" r="7620" b="825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2182" cy="1002755"/>
                          </a:xfrm>
                          <a:prstGeom prst="rect">
                            <a:avLst/>
                          </a:prstGeom>
                          <a:noFill/>
                          <a:ln>
                            <a:noFill/>
                          </a:ln>
                        </pic:spPr>
                      </pic:pic>
                    </a:graphicData>
                  </a:graphic>
                </wp:inline>
              </w:drawing>
            </w:r>
          </w:p>
        </w:tc>
        <w:tc>
          <w:tcPr>
            <w:tcW w:w="5804" w:type="dxa"/>
            <w:tcBorders>
              <w:top w:val="single" w:sz="8" w:space="0" w:color="auto"/>
              <w:bottom w:val="single" w:sz="12" w:space="0" w:color="auto"/>
            </w:tcBorders>
          </w:tcPr>
          <w:p w14:paraId="35C529FF" w14:textId="5DE443D4" w:rsidR="002B757B" w:rsidRPr="00B16F37" w:rsidRDefault="002B757B" w:rsidP="006814E7">
            <w:pPr>
              <w:ind w:left="2584"/>
              <w:rPr>
                <w:sz w:val="22"/>
                <w:szCs w:val="22"/>
              </w:rPr>
            </w:pPr>
            <w:r>
              <w:rPr>
                <w:sz w:val="22"/>
                <w:szCs w:val="22"/>
              </w:rPr>
              <w:t>Distr.</w:t>
            </w:r>
            <w:r w:rsidR="0050419E">
              <w:rPr>
                <w:sz w:val="22"/>
                <w:szCs w:val="22"/>
              </w:rPr>
              <w:t> </w:t>
            </w:r>
            <w:r>
              <w:rPr>
                <w:sz w:val="22"/>
                <w:szCs w:val="22"/>
              </w:rPr>
              <w:t xml:space="preserve">: </w:t>
            </w:r>
            <w:r w:rsidR="0050419E">
              <w:rPr>
                <w:sz w:val="22"/>
                <w:szCs w:val="22"/>
              </w:rPr>
              <w:t>g</w:t>
            </w:r>
            <w:r>
              <w:rPr>
                <w:sz w:val="22"/>
                <w:szCs w:val="22"/>
              </w:rPr>
              <w:t>énérale</w:t>
            </w:r>
          </w:p>
          <w:p w14:paraId="67E8EE81" w14:textId="341BA44C" w:rsidR="002B757B" w:rsidRPr="00B16F37" w:rsidRDefault="003F2B45" w:rsidP="006814E7">
            <w:pPr>
              <w:ind w:left="2584"/>
              <w:rPr>
                <w:sz w:val="22"/>
                <w:szCs w:val="22"/>
              </w:rPr>
            </w:pPr>
            <w:r>
              <w:rPr>
                <w:sz w:val="22"/>
                <w:szCs w:val="22"/>
              </w:rPr>
              <w:t>2 octobre 2024</w:t>
            </w:r>
          </w:p>
          <w:p w14:paraId="6E12C704" w14:textId="4E59C286" w:rsidR="002B757B" w:rsidRPr="00B16F37" w:rsidRDefault="0050419E" w:rsidP="006814E7">
            <w:pPr>
              <w:ind w:left="2584"/>
              <w:rPr>
                <w:sz w:val="22"/>
                <w:szCs w:val="22"/>
              </w:rPr>
            </w:pPr>
            <w:r>
              <w:rPr>
                <w:sz w:val="22"/>
                <w:szCs w:val="22"/>
              </w:rPr>
              <w:t>Français</w:t>
            </w:r>
          </w:p>
          <w:p w14:paraId="6169E3D4" w14:textId="29A834B0" w:rsidR="002B757B" w:rsidRPr="00B16F37" w:rsidRDefault="002B757B" w:rsidP="006814E7">
            <w:pPr>
              <w:ind w:left="2584"/>
              <w:rPr>
                <w:sz w:val="22"/>
                <w:szCs w:val="22"/>
              </w:rPr>
            </w:pPr>
            <w:r>
              <w:rPr>
                <w:sz w:val="22"/>
                <w:szCs w:val="22"/>
              </w:rPr>
              <w:t xml:space="preserve">Original : </w:t>
            </w:r>
            <w:r w:rsidR="0050419E">
              <w:rPr>
                <w:sz w:val="22"/>
                <w:szCs w:val="22"/>
              </w:rPr>
              <w:t>a</w:t>
            </w:r>
            <w:r>
              <w:rPr>
                <w:sz w:val="22"/>
                <w:szCs w:val="22"/>
              </w:rPr>
              <w:t>nglais</w:t>
            </w:r>
          </w:p>
          <w:p w14:paraId="36563420" w14:textId="77777777" w:rsidR="002B757B" w:rsidRPr="00B16F37" w:rsidRDefault="002B757B" w:rsidP="006814E7"/>
        </w:tc>
      </w:tr>
    </w:tbl>
    <w:tbl>
      <w:tblPr>
        <w:tblStyle w:val="TableGrid"/>
        <w:tblW w:w="10490" w:type="dxa"/>
        <w:tblInd w:w="-284" w:type="dxa"/>
        <w:tblLayout w:type="fixed"/>
        <w:tblLook w:val="04A0" w:firstRow="1" w:lastRow="0" w:firstColumn="1" w:lastColumn="0" w:noHBand="0" w:noVBand="1"/>
      </w:tblPr>
      <w:tblGrid>
        <w:gridCol w:w="2978"/>
        <w:gridCol w:w="3543"/>
        <w:gridCol w:w="3969"/>
      </w:tblGrid>
      <w:tr w:rsidR="0015126A" w:rsidRPr="00B16F37" w14:paraId="50A21BD0" w14:textId="77777777" w:rsidTr="00361521">
        <w:tc>
          <w:tcPr>
            <w:tcW w:w="2978" w:type="dxa"/>
            <w:tcBorders>
              <w:left w:val="nil"/>
              <w:bottom w:val="nil"/>
              <w:right w:val="nil"/>
            </w:tcBorders>
          </w:tcPr>
          <w:p w14:paraId="553402F3" w14:textId="77777777" w:rsidR="00411CB7" w:rsidRPr="00B16F37" w:rsidRDefault="00411CB7" w:rsidP="00892011">
            <w:pPr>
              <w:pStyle w:val="AFCorNot12Bold"/>
              <w:rPr>
                <w:snapToGrid w:val="0"/>
              </w:rPr>
            </w:pPr>
            <w:r>
              <w:rPr>
                <w:snapToGrid w:val="0"/>
              </w:rPr>
              <w:t xml:space="preserve">Conférence des Parties </w:t>
            </w:r>
            <w:r>
              <w:rPr>
                <w:snapToGrid w:val="0"/>
              </w:rPr>
              <w:br/>
              <w:t>à la Convention sur la diversité biologique</w:t>
            </w:r>
          </w:p>
          <w:p w14:paraId="4761F8B9" w14:textId="77777777" w:rsidR="00411CB7" w:rsidRPr="00B16F37" w:rsidRDefault="00411CB7" w:rsidP="00892011">
            <w:pPr>
              <w:pStyle w:val="AFCorNotBold"/>
              <w:rPr>
                <w:snapToGrid w:val="0"/>
                <w:sz w:val="22"/>
                <w:szCs w:val="22"/>
              </w:rPr>
            </w:pPr>
            <w:r>
              <w:rPr>
                <w:snapToGrid w:val="0"/>
                <w:sz w:val="22"/>
                <w:szCs w:val="22"/>
              </w:rPr>
              <w:t xml:space="preserve">Seizième réunion </w:t>
            </w:r>
          </w:p>
          <w:p w14:paraId="148F9FE2" w14:textId="50B7C2F5" w:rsidR="00411CB7" w:rsidRPr="00B16F37" w:rsidRDefault="00411CB7" w:rsidP="00892011">
            <w:pPr>
              <w:suppressLineNumbers/>
              <w:tabs>
                <w:tab w:val="left" w:pos="1814"/>
                <w:tab w:val="left" w:pos="2948"/>
                <w:tab w:val="left" w:pos="3515"/>
                <w:tab w:val="left" w:pos="4014"/>
              </w:tabs>
              <w:suppressAutoHyphens/>
              <w:ind w:right="176" w:firstLine="9"/>
              <w:jc w:val="left"/>
              <w:rPr>
                <w:sz w:val="22"/>
                <w:szCs w:val="22"/>
              </w:rPr>
            </w:pPr>
            <w:r>
              <w:rPr>
                <w:sz w:val="22"/>
                <w:szCs w:val="22"/>
              </w:rPr>
              <w:t>Cali (Colombie), 21 octobre–1</w:t>
            </w:r>
            <w:r>
              <w:rPr>
                <w:sz w:val="22"/>
                <w:szCs w:val="22"/>
                <w:vertAlign w:val="superscript"/>
              </w:rPr>
              <w:t>er</w:t>
            </w:r>
            <w:r w:rsidR="0050419E">
              <w:rPr>
                <w:sz w:val="22"/>
                <w:szCs w:val="22"/>
                <w:vertAlign w:val="superscript"/>
              </w:rPr>
              <w:t> </w:t>
            </w:r>
            <w:r>
              <w:rPr>
                <w:sz w:val="22"/>
                <w:szCs w:val="22"/>
              </w:rPr>
              <w:t>novembre 2024</w:t>
            </w:r>
          </w:p>
          <w:p w14:paraId="64F5704D" w14:textId="71583578" w:rsidR="0015126A" w:rsidRPr="00B16F37" w:rsidRDefault="00411CB7" w:rsidP="00B510B4">
            <w:pPr>
              <w:pStyle w:val="CBDNormal"/>
              <w:jc w:val="left"/>
              <w:rPr>
                <w:sz w:val="22"/>
                <w:szCs w:val="22"/>
              </w:rPr>
            </w:pPr>
            <w:r>
              <w:rPr>
                <w:snapToGrid w:val="0"/>
                <w:sz w:val="22"/>
                <w:szCs w:val="22"/>
              </w:rPr>
              <w:t>Point 7 de l’ordre du jour provisoire</w:t>
            </w:r>
            <w:bookmarkEnd w:id="0"/>
            <w:bookmarkEnd w:id="1"/>
            <w:r>
              <w:rPr>
                <w:rStyle w:val="FootnoteReference"/>
                <w:sz w:val="22"/>
                <w:szCs w:val="22"/>
              </w:rPr>
              <w:footnoteReference w:customMarkFollows="1" w:id="2"/>
              <w:t>*</w:t>
            </w:r>
          </w:p>
          <w:p w14:paraId="36E21396" w14:textId="409EB29C" w:rsidR="0015126A" w:rsidRPr="00B16F37" w:rsidRDefault="0015126A" w:rsidP="00B510B4">
            <w:pPr>
              <w:pStyle w:val="CBDNormal"/>
              <w:jc w:val="left"/>
              <w:rPr>
                <w:snapToGrid w:val="0"/>
              </w:rPr>
            </w:pPr>
            <w:r>
              <w:rPr>
                <w:sz w:val="22"/>
                <w:szCs w:val="22"/>
              </w:rPr>
              <w:t>Administration de la Convention et budget des fonds d’affectation spéciale</w:t>
            </w:r>
          </w:p>
        </w:tc>
        <w:tc>
          <w:tcPr>
            <w:tcW w:w="3543" w:type="dxa"/>
            <w:tcBorders>
              <w:left w:val="nil"/>
              <w:bottom w:val="nil"/>
              <w:right w:val="nil"/>
            </w:tcBorders>
          </w:tcPr>
          <w:p w14:paraId="1A1644A0" w14:textId="77777777" w:rsidR="0015126A" w:rsidRPr="00B16F37" w:rsidRDefault="0015126A" w:rsidP="00892011">
            <w:pPr>
              <w:pStyle w:val="AFCorNot12Bold"/>
              <w:rPr>
                <w:rFonts w:asciiTheme="majorBidi" w:hAnsiTheme="majorBidi" w:cstheme="majorBidi"/>
                <w:b w:val="0"/>
                <w:bCs/>
                <w:snapToGrid w:val="0"/>
                <w:kern w:val="22"/>
              </w:rPr>
            </w:pPr>
            <w:r>
              <w:rPr>
                <w:snapToGrid w:val="0"/>
              </w:rPr>
              <w:t>Conférence des Parties</w:t>
            </w:r>
            <w:r>
              <w:rPr>
                <w:snapToGrid w:val="0"/>
              </w:rPr>
              <w:br/>
              <w:t>à la Convention sur la diversité biologique siégeant en tant que réunion des Parties</w:t>
            </w:r>
            <w:r>
              <w:rPr>
                <w:snapToGrid w:val="0"/>
              </w:rPr>
              <w:br/>
              <w:t>au Protocole de Cartagena sur la prévention des risques biotechnologiques</w:t>
            </w:r>
          </w:p>
          <w:p w14:paraId="63536D83" w14:textId="77777777" w:rsidR="0015126A" w:rsidRPr="00B16F37" w:rsidRDefault="0015126A" w:rsidP="00892011">
            <w:pPr>
              <w:pStyle w:val="AFCorNotBold"/>
              <w:rPr>
                <w:rFonts w:asciiTheme="majorBidi" w:hAnsiTheme="majorBidi" w:cstheme="majorBidi"/>
                <w:b w:val="0"/>
                <w:bCs/>
                <w:snapToGrid w:val="0"/>
                <w:kern w:val="22"/>
                <w:sz w:val="22"/>
                <w:szCs w:val="22"/>
              </w:rPr>
            </w:pPr>
            <w:r>
              <w:rPr>
                <w:snapToGrid w:val="0"/>
                <w:sz w:val="22"/>
                <w:szCs w:val="22"/>
              </w:rPr>
              <w:t>Onzième réunion</w:t>
            </w:r>
          </w:p>
          <w:p w14:paraId="129D2E0F" w14:textId="227136BA" w:rsidR="0015126A" w:rsidRPr="00B16F37" w:rsidRDefault="0015126A" w:rsidP="00B510B4">
            <w:pPr>
              <w:pStyle w:val="CBDNormal"/>
              <w:jc w:val="left"/>
              <w:rPr>
                <w:sz w:val="22"/>
                <w:szCs w:val="22"/>
              </w:rPr>
            </w:pPr>
            <w:r>
              <w:rPr>
                <w:sz w:val="22"/>
                <w:szCs w:val="22"/>
              </w:rPr>
              <w:t>Cali (Colombie), 21 octobre–1</w:t>
            </w:r>
            <w:r>
              <w:rPr>
                <w:sz w:val="22"/>
                <w:szCs w:val="22"/>
                <w:vertAlign w:val="superscript"/>
              </w:rPr>
              <w:t>er</w:t>
            </w:r>
            <w:r w:rsidR="0050419E">
              <w:rPr>
                <w:sz w:val="22"/>
                <w:szCs w:val="22"/>
                <w:vertAlign w:val="superscript"/>
              </w:rPr>
              <w:t> </w:t>
            </w:r>
            <w:r>
              <w:rPr>
                <w:sz w:val="22"/>
                <w:szCs w:val="22"/>
              </w:rPr>
              <w:t>novembre 2024</w:t>
            </w:r>
          </w:p>
          <w:p w14:paraId="2F287522" w14:textId="0D2CA8AE" w:rsidR="0015126A" w:rsidRPr="00B16F37" w:rsidRDefault="0015126A" w:rsidP="00B510B4">
            <w:pPr>
              <w:pStyle w:val="CBDNormal"/>
              <w:jc w:val="left"/>
              <w:rPr>
                <w:rFonts w:asciiTheme="majorBidi" w:hAnsiTheme="majorBidi" w:cstheme="majorBidi"/>
                <w:snapToGrid w:val="0"/>
                <w:kern w:val="22"/>
                <w:sz w:val="22"/>
                <w:szCs w:val="22"/>
              </w:rPr>
            </w:pPr>
            <w:r>
              <w:rPr>
                <w:sz w:val="22"/>
                <w:szCs w:val="22"/>
              </w:rPr>
              <w:t>Point 6 de l’ordre du jour provisoire</w:t>
            </w:r>
            <w:r>
              <w:rPr>
                <w:rStyle w:val="FootnoteReference"/>
                <w:sz w:val="22"/>
                <w:szCs w:val="22"/>
              </w:rPr>
              <w:footnoteReference w:customMarkFollows="1" w:id="3"/>
              <w:t>**</w:t>
            </w:r>
          </w:p>
          <w:p w14:paraId="32FCA568" w14:textId="0A3300C7" w:rsidR="0015126A" w:rsidRPr="00B16F37" w:rsidRDefault="0015126A" w:rsidP="00B510B4">
            <w:pPr>
              <w:pStyle w:val="CBDNormal"/>
              <w:jc w:val="left"/>
              <w:rPr>
                <w:rFonts w:asciiTheme="majorBidi" w:hAnsiTheme="majorBidi" w:cstheme="majorBidi"/>
                <w:b/>
                <w:bCs/>
                <w:snapToGrid w:val="0"/>
                <w:kern w:val="22"/>
              </w:rPr>
            </w:pPr>
            <w:r>
              <w:rPr>
                <w:rFonts w:asciiTheme="majorBidi" w:hAnsiTheme="majorBidi"/>
                <w:snapToGrid w:val="0"/>
                <w:sz w:val="22"/>
                <w:szCs w:val="22"/>
              </w:rPr>
              <w:t>Administration du Protocole et budget des fonds d’affectation spéciale</w:t>
            </w:r>
          </w:p>
        </w:tc>
        <w:tc>
          <w:tcPr>
            <w:tcW w:w="3969" w:type="dxa"/>
            <w:tcBorders>
              <w:left w:val="nil"/>
              <w:bottom w:val="nil"/>
              <w:right w:val="nil"/>
            </w:tcBorders>
          </w:tcPr>
          <w:p w14:paraId="216243DA" w14:textId="77777777" w:rsidR="0015126A" w:rsidRPr="00B16F37" w:rsidRDefault="0015126A" w:rsidP="00892011">
            <w:pPr>
              <w:pStyle w:val="AFCorNot12Bold"/>
              <w:rPr>
                <w:rFonts w:asciiTheme="majorBidi" w:hAnsiTheme="majorBidi" w:cstheme="majorBidi"/>
                <w:b w:val="0"/>
                <w:bCs/>
                <w:snapToGrid w:val="0"/>
                <w:kern w:val="22"/>
              </w:rPr>
            </w:pPr>
            <w:r>
              <w:rPr>
                <w:snapToGrid w:val="0"/>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51D1B718" w14:textId="77777777" w:rsidR="0015126A" w:rsidRPr="00B16F37" w:rsidRDefault="0015126A" w:rsidP="00892011">
            <w:pPr>
              <w:pStyle w:val="AFCorNotBold"/>
              <w:rPr>
                <w:rFonts w:asciiTheme="majorBidi" w:hAnsiTheme="majorBidi" w:cstheme="majorBidi"/>
                <w:snapToGrid w:val="0"/>
                <w:kern w:val="22"/>
                <w:sz w:val="22"/>
                <w:szCs w:val="22"/>
              </w:rPr>
            </w:pPr>
            <w:r>
              <w:rPr>
                <w:rFonts w:asciiTheme="majorBidi" w:hAnsiTheme="majorBidi"/>
                <w:snapToGrid w:val="0"/>
                <w:sz w:val="22"/>
                <w:szCs w:val="22"/>
              </w:rPr>
              <w:t xml:space="preserve">Cinquième réunion </w:t>
            </w:r>
          </w:p>
          <w:p w14:paraId="7569F6B2" w14:textId="699B9CCE" w:rsidR="0015126A" w:rsidRPr="00B16F37" w:rsidRDefault="0015126A" w:rsidP="00B510B4">
            <w:pPr>
              <w:pStyle w:val="CBDNormal"/>
              <w:jc w:val="left"/>
              <w:rPr>
                <w:sz w:val="22"/>
                <w:szCs w:val="22"/>
              </w:rPr>
            </w:pPr>
            <w:r>
              <w:rPr>
                <w:sz w:val="22"/>
                <w:szCs w:val="22"/>
              </w:rPr>
              <w:t>Cali (Colombie), 21 octobre–1</w:t>
            </w:r>
            <w:r>
              <w:rPr>
                <w:sz w:val="22"/>
                <w:szCs w:val="22"/>
                <w:vertAlign w:val="superscript"/>
              </w:rPr>
              <w:t>er</w:t>
            </w:r>
            <w:r w:rsidR="0050419E">
              <w:rPr>
                <w:sz w:val="22"/>
                <w:szCs w:val="22"/>
                <w:vertAlign w:val="superscript"/>
              </w:rPr>
              <w:t> </w:t>
            </w:r>
            <w:r>
              <w:rPr>
                <w:sz w:val="22"/>
                <w:szCs w:val="22"/>
              </w:rPr>
              <w:t>novembre 2024</w:t>
            </w:r>
          </w:p>
          <w:p w14:paraId="57746601" w14:textId="60A51406" w:rsidR="0015126A" w:rsidRPr="00B16F37" w:rsidRDefault="0015126A" w:rsidP="00B510B4">
            <w:pPr>
              <w:pStyle w:val="CBDNormal"/>
              <w:jc w:val="left"/>
              <w:rPr>
                <w:sz w:val="22"/>
                <w:szCs w:val="22"/>
                <w:vertAlign w:val="superscript"/>
              </w:rPr>
            </w:pPr>
            <w:r>
              <w:rPr>
                <w:sz w:val="22"/>
                <w:szCs w:val="22"/>
              </w:rPr>
              <w:t>Point 6 de l’ordre du jour provisoire</w:t>
            </w:r>
            <w:r>
              <w:rPr>
                <w:rStyle w:val="FootnoteReference"/>
                <w:sz w:val="22"/>
                <w:szCs w:val="22"/>
              </w:rPr>
              <w:footnoteReference w:customMarkFollows="1" w:id="4"/>
              <w:t>***</w:t>
            </w:r>
          </w:p>
          <w:p w14:paraId="7D2A08D7" w14:textId="345D9C3B" w:rsidR="0015126A" w:rsidRPr="00B16F37" w:rsidRDefault="0015126A" w:rsidP="00B510B4">
            <w:pPr>
              <w:pStyle w:val="CBDNormal"/>
              <w:jc w:val="left"/>
              <w:rPr>
                <w:rFonts w:asciiTheme="majorBidi" w:hAnsiTheme="majorBidi" w:cstheme="majorBidi"/>
                <w:b/>
                <w:bCs/>
                <w:snapToGrid w:val="0"/>
                <w:kern w:val="22"/>
              </w:rPr>
            </w:pPr>
            <w:r>
              <w:rPr>
                <w:rFonts w:asciiTheme="majorBidi" w:hAnsiTheme="majorBidi"/>
                <w:snapToGrid w:val="0"/>
                <w:sz w:val="22"/>
                <w:szCs w:val="22"/>
              </w:rPr>
              <w:t>Administration de la Convention et budget des fonds d’affectation spéciale</w:t>
            </w:r>
          </w:p>
        </w:tc>
      </w:tr>
    </w:tbl>
    <w:p w14:paraId="03687E5E" w14:textId="30606E8B" w:rsidR="0015126A" w:rsidRPr="00B16F37" w:rsidRDefault="0015126A">
      <w:pPr>
        <w:pStyle w:val="CBDTitle"/>
      </w:pPr>
      <w:r>
        <w:t>Administration de la Convention et de ses Protocoles pour l’exercice biennal 2023-2024</w:t>
      </w:r>
    </w:p>
    <w:p w14:paraId="0B2FE69D" w14:textId="30E4EC32" w:rsidR="00324861" w:rsidRPr="00B16F37" w:rsidRDefault="00324861" w:rsidP="00324861">
      <w:pPr>
        <w:pStyle w:val="CBDSubTitle"/>
      </w:pPr>
      <w:r>
        <w:t>Note du Secrétariat</w:t>
      </w:r>
    </w:p>
    <w:p w14:paraId="6C09E3F3" w14:textId="0D324EA7" w:rsidR="0015126A" w:rsidRPr="00B16F37" w:rsidRDefault="0015126A" w:rsidP="00361521">
      <w:pPr>
        <w:pStyle w:val="CBDH1"/>
      </w:pPr>
      <w:r>
        <w:t>I.</w:t>
      </w:r>
      <w:r>
        <w:tab/>
        <w:t>Introduction</w:t>
      </w:r>
    </w:p>
    <w:p w14:paraId="3C68E7A0" w14:textId="7462E218" w:rsidR="0015126A" w:rsidRPr="00B16F37" w:rsidRDefault="0015126A" w:rsidP="00361521">
      <w:pPr>
        <w:pStyle w:val="CBDNormalNumber"/>
      </w:pPr>
      <w:r>
        <w:t>Dans sa décision 15/34, la Conférence des Parties à la Convention sur la diversité biologique a prié la Secrétaire exécutive de rendre compte à la Conférence des Parties à la Convention, à la Conférence des Parties à la Convention siégeant en tant que réunion des Parties au Protocole de Cartagena sur la prévention des risques biotechnologiques et à la Conférence des Parties siégeant en tant que réunion des Parties au Protocole de Nagoya sur l’accès aux ressources génétiques et le partage juste et équitable des avantages découlant de leur utilisation</w:t>
      </w:r>
      <w:r w:rsidR="0050419E">
        <w:t>,</w:t>
      </w:r>
      <w:r>
        <w:t xml:space="preserve"> à leurs seizième, onzième et cinquième réunions, respectivement, des revenus et de l’exécution du budget, des soldes non dépensés et de l’état des surplus et des reports, ainsi que de tous les ajustements au budget pour la période 2023-2024. </w:t>
      </w:r>
    </w:p>
    <w:p w14:paraId="6D94342D" w14:textId="5E5A281E" w:rsidR="0015126A" w:rsidRPr="00B16F37" w:rsidRDefault="0015126A" w:rsidP="00361521">
      <w:pPr>
        <w:pStyle w:val="CBDNormalNumber"/>
      </w:pPr>
      <w:r>
        <w:t xml:space="preserve">Le présent document fournit des renseignements détaillés sur les résultats financiers et administratifs du Secrétariat pour l’exercice biennal 2023-2024 jusqu’au 31 juillet 2024, sauf indication contraire. </w:t>
      </w:r>
      <w:r>
        <w:rPr>
          <w:color w:val="000000" w:themeColor="text1"/>
        </w:rPr>
        <w:t xml:space="preserve">Des renseignements supplémentaires sur l’état des contributions aux trois fonds généraux d’affectation (Fonds général d’affectation de la Convention, Fonds d’affectation général </w:t>
      </w:r>
      <w:r>
        <w:t xml:space="preserve">du budget-programme du Protocole de Cartagena et Fonds général d’affectation du budget-programme du Protocole de Nagoya), au Fonds d’affectation spéciale de contributions volontaires en appui aux activités liées là la Convention, au Fonds d’affectation spéciale de contributions volontaires visant à favoriser la participation des Parties aux processus de la Convention et au Fonds d’affectation spéciale de contributions volontaires visant à favoriser la participation des peuples </w:t>
      </w:r>
      <w:r>
        <w:lastRenderedPageBreak/>
        <w:t>autochtones et communautés locales aux processus de la Convention en date du 30 septembre 2024, ainsi que les états financiers de 2023, sont accessibles sur le site Web de la Convention</w:t>
      </w:r>
      <w:r w:rsidR="00892011" w:rsidRPr="00B16F37">
        <w:rPr>
          <w:rStyle w:val="FootnoteReference"/>
        </w:rPr>
        <w:footnoteReference w:id="5"/>
      </w:r>
      <w:r>
        <w:t>.</w:t>
      </w:r>
    </w:p>
    <w:p w14:paraId="58D4C218" w14:textId="43C1FFC2" w:rsidR="0015126A" w:rsidRPr="00B16F37" w:rsidRDefault="0015126A" w:rsidP="00361521">
      <w:pPr>
        <w:pStyle w:val="CBDH1"/>
      </w:pPr>
      <w:r>
        <w:t>II.</w:t>
      </w:r>
      <w:r>
        <w:tab/>
        <w:t>Revenus et résultats financiers pour l’exercice biennal 2023-2024</w:t>
      </w:r>
    </w:p>
    <w:p w14:paraId="75C92C22" w14:textId="0DBAFB3E" w:rsidR="0015126A" w:rsidRPr="00B16F37" w:rsidRDefault="0015126A" w:rsidP="00361521">
      <w:pPr>
        <w:pStyle w:val="CBDH2"/>
        <w:numPr>
          <w:ilvl w:val="0"/>
          <w:numId w:val="0"/>
        </w:numPr>
        <w:ind w:left="567" w:hanging="567"/>
        <w:outlineLvl w:val="1"/>
      </w:pPr>
      <w:r>
        <w:t>A.</w:t>
      </w:r>
      <w:r>
        <w:tab/>
        <w:t>État des contributions mises en recouvrement</w:t>
      </w:r>
    </w:p>
    <w:p w14:paraId="45E06CC3" w14:textId="7DEF5C49" w:rsidR="0015126A" w:rsidRPr="00B16F37" w:rsidRDefault="0015126A" w:rsidP="00361521">
      <w:pPr>
        <w:pStyle w:val="CBDNormalNumber"/>
      </w:pPr>
      <w:r>
        <w:t>Dans sa décision 15/34, la Conférence des Parties a adopté un programme de travail et un budget intégrés pour la Convention et ses Protocoles. Dans la même décision, elle a décidé de répartir tous les coûts des services de secrétariat entre la Convention, le Protocole de Cartagena et le Protocole de Nagoya dans une proportion de 72 à 15 à 13, respectivement, pour l’exercice biennal 2023-2024. Le budget intégré a également été approuvé par la Conférence des Parties, la Conférence des Parties siégeant en tant que réunion des Parties au Protocole de Cartagena et la Conférence des Parties siégeant en tant que réunion des Parties au Protocole de Nagoya dans les décisions 15/18, CP-10/14 et NP-4/12 respectivement.</w:t>
      </w:r>
    </w:p>
    <w:p w14:paraId="3BD4F738" w14:textId="27E83A5B" w:rsidR="0015126A" w:rsidRPr="00B16F37" w:rsidRDefault="0015126A" w:rsidP="00361521">
      <w:pPr>
        <w:pStyle w:val="CBDNormalNumber"/>
        <w:rPr>
          <w:b/>
          <w:bCs/>
        </w:rPr>
      </w:pPr>
      <w:r>
        <w:t>Le budget intégré de 19 931 600 dollars US et 21 714 500 dollars US a été approuvé pour 2023 et 2024, respectivement, totalisant 41 646 100 dollars US pour l’exercice biennal, y compris les dépenses d’appui au programme, qui s’élèvent à 13 pour cent. Les budgets individuels de la Convention et de ses Protocoles, comme approuvés par les organes directeurs respectifs, sont présentés dans le tableau 1.</w:t>
      </w:r>
    </w:p>
    <w:p w14:paraId="6646C215" w14:textId="57C27EFC" w:rsidR="0015126A" w:rsidRPr="00B16F37" w:rsidRDefault="0015126A" w:rsidP="000E301F">
      <w:pPr>
        <w:pStyle w:val="CBDTableTitle"/>
      </w:pPr>
      <w:r>
        <w:rPr>
          <w:b w:val="0"/>
          <w:bCs/>
        </w:rPr>
        <w:t>Tableau</w:t>
      </w:r>
      <w:r w:rsidR="0050419E">
        <w:rPr>
          <w:b w:val="0"/>
          <w:bCs/>
        </w:rPr>
        <w:t> </w:t>
      </w:r>
      <w:r>
        <w:rPr>
          <w:b w:val="0"/>
          <w:bCs/>
        </w:rPr>
        <w:t>1</w:t>
      </w:r>
      <w:r>
        <w:t xml:space="preserve"> </w:t>
      </w:r>
      <w:r>
        <w:br/>
        <w:t>Sommaire des ressources approuvées par fonds d’affectation, 2023–2024</w:t>
      </w:r>
    </w:p>
    <w:p w14:paraId="66E92596" w14:textId="53335C86" w:rsidR="0015126A" w:rsidRPr="00B16F37" w:rsidRDefault="0015126A" w:rsidP="00361521">
      <w:pPr>
        <w:pStyle w:val="CBDTableTitle"/>
        <w:spacing w:before="0"/>
        <w:rPr>
          <w:b w:val="0"/>
          <w:bCs/>
          <w:sz w:val="20"/>
          <w:szCs w:val="20"/>
        </w:rPr>
      </w:pPr>
      <w:r>
        <w:rPr>
          <w:b w:val="0"/>
          <w:bCs/>
          <w:color w:val="000000" w:themeColor="text1"/>
          <w:sz w:val="18"/>
          <w:szCs w:val="18"/>
        </w:rPr>
        <w:t>(en dollars des États-Unis)</w:t>
      </w:r>
    </w:p>
    <w:tbl>
      <w:tblPr>
        <w:tblW w:w="8647" w:type="dxa"/>
        <w:jc w:val="center"/>
        <w:tblLook w:val="04A0" w:firstRow="1" w:lastRow="0" w:firstColumn="1" w:lastColumn="0" w:noHBand="0" w:noVBand="1"/>
      </w:tblPr>
      <w:tblGrid>
        <w:gridCol w:w="3854"/>
        <w:gridCol w:w="1527"/>
        <w:gridCol w:w="1527"/>
        <w:gridCol w:w="1739"/>
      </w:tblGrid>
      <w:tr w:rsidR="0015126A" w:rsidRPr="00B16F37" w14:paraId="64F73087" w14:textId="77777777" w:rsidTr="00361521">
        <w:trPr>
          <w:trHeight w:val="433"/>
          <w:jc w:val="center"/>
        </w:trPr>
        <w:tc>
          <w:tcPr>
            <w:tcW w:w="3854" w:type="dxa"/>
            <w:vMerge w:val="restart"/>
            <w:tcBorders>
              <w:top w:val="single" w:sz="4" w:space="0" w:color="auto"/>
              <w:left w:val="nil"/>
              <w:bottom w:val="single" w:sz="4" w:space="0" w:color="auto"/>
              <w:right w:val="nil"/>
            </w:tcBorders>
            <w:shd w:val="clear" w:color="auto" w:fill="auto"/>
            <w:noWrap/>
            <w:vAlign w:val="bottom"/>
            <w:hideMark/>
          </w:tcPr>
          <w:p w14:paraId="65C39135" w14:textId="4ADFE5EA" w:rsidR="0015126A" w:rsidRPr="00B16F37" w:rsidRDefault="0015126A" w:rsidP="00361521">
            <w:pPr>
              <w:keepNext/>
              <w:keepLines/>
              <w:ind w:left="32"/>
              <w:jc w:val="left"/>
              <w:rPr>
                <w:i/>
                <w:iCs/>
                <w:color w:val="000000"/>
                <w:sz w:val="18"/>
                <w:szCs w:val="18"/>
              </w:rPr>
            </w:pPr>
            <w:r>
              <w:rPr>
                <w:i/>
                <w:iCs/>
                <w:color w:val="000000" w:themeColor="text1"/>
                <w:sz w:val="18"/>
                <w:szCs w:val="18"/>
              </w:rPr>
              <w:t>Fonds d’affectation</w:t>
            </w:r>
          </w:p>
        </w:tc>
        <w:tc>
          <w:tcPr>
            <w:tcW w:w="1527" w:type="dxa"/>
            <w:vMerge w:val="restart"/>
            <w:tcBorders>
              <w:top w:val="single" w:sz="4" w:space="0" w:color="auto"/>
              <w:left w:val="nil"/>
              <w:bottom w:val="single" w:sz="4" w:space="0" w:color="auto"/>
              <w:right w:val="nil"/>
            </w:tcBorders>
            <w:shd w:val="clear" w:color="auto" w:fill="auto"/>
            <w:vAlign w:val="bottom"/>
            <w:hideMark/>
          </w:tcPr>
          <w:p w14:paraId="1AA69A43" w14:textId="0A840F1D" w:rsidR="0015126A" w:rsidRPr="00B16F37" w:rsidRDefault="0015126A" w:rsidP="00361521">
            <w:pPr>
              <w:keepNext/>
              <w:keepLines/>
              <w:ind w:left="32"/>
              <w:jc w:val="right"/>
              <w:rPr>
                <w:i/>
                <w:iCs/>
                <w:color w:val="000000"/>
                <w:sz w:val="18"/>
                <w:szCs w:val="18"/>
              </w:rPr>
            </w:pPr>
            <w:r>
              <w:rPr>
                <w:i/>
                <w:iCs/>
                <w:color w:val="000000" w:themeColor="text1"/>
                <w:sz w:val="18"/>
                <w:szCs w:val="18"/>
              </w:rPr>
              <w:t>Budget approuvé pour 2023</w:t>
            </w:r>
          </w:p>
        </w:tc>
        <w:tc>
          <w:tcPr>
            <w:tcW w:w="1527" w:type="dxa"/>
            <w:vMerge w:val="restart"/>
            <w:tcBorders>
              <w:top w:val="single" w:sz="4" w:space="0" w:color="auto"/>
              <w:left w:val="nil"/>
              <w:bottom w:val="single" w:sz="4" w:space="0" w:color="auto"/>
              <w:right w:val="nil"/>
            </w:tcBorders>
            <w:shd w:val="clear" w:color="auto" w:fill="auto"/>
            <w:vAlign w:val="bottom"/>
            <w:hideMark/>
          </w:tcPr>
          <w:p w14:paraId="0478C76C" w14:textId="07447B7E" w:rsidR="0015126A" w:rsidRPr="00B16F37" w:rsidRDefault="0015126A" w:rsidP="00361521">
            <w:pPr>
              <w:keepNext/>
              <w:keepLines/>
              <w:ind w:left="32"/>
              <w:jc w:val="right"/>
              <w:rPr>
                <w:i/>
                <w:iCs/>
                <w:color w:val="000000"/>
                <w:sz w:val="18"/>
                <w:szCs w:val="18"/>
              </w:rPr>
            </w:pPr>
            <w:r>
              <w:rPr>
                <w:i/>
                <w:iCs/>
                <w:color w:val="000000" w:themeColor="text1"/>
                <w:sz w:val="18"/>
                <w:szCs w:val="18"/>
              </w:rPr>
              <w:t>Budget approuvé pour 2024</w:t>
            </w:r>
          </w:p>
        </w:tc>
        <w:tc>
          <w:tcPr>
            <w:tcW w:w="1739" w:type="dxa"/>
            <w:vMerge w:val="restart"/>
            <w:tcBorders>
              <w:top w:val="single" w:sz="4" w:space="0" w:color="auto"/>
              <w:left w:val="nil"/>
              <w:bottom w:val="single" w:sz="4" w:space="0" w:color="auto"/>
              <w:right w:val="nil"/>
            </w:tcBorders>
            <w:shd w:val="clear" w:color="auto" w:fill="auto"/>
            <w:vAlign w:val="bottom"/>
            <w:hideMark/>
          </w:tcPr>
          <w:p w14:paraId="28872DDD" w14:textId="36345521" w:rsidR="0015126A" w:rsidRPr="00B16F37" w:rsidRDefault="0015126A" w:rsidP="00361521">
            <w:pPr>
              <w:keepNext/>
              <w:keepLines/>
              <w:ind w:left="32"/>
              <w:jc w:val="right"/>
              <w:rPr>
                <w:i/>
                <w:iCs/>
                <w:color w:val="000000"/>
                <w:sz w:val="18"/>
                <w:szCs w:val="18"/>
              </w:rPr>
            </w:pPr>
            <w:r>
              <w:rPr>
                <w:i/>
                <w:iCs/>
                <w:color w:val="000000" w:themeColor="text1"/>
                <w:sz w:val="18"/>
                <w:szCs w:val="18"/>
              </w:rPr>
              <w:t>Budget total approuvé pour l’exercice biennal 2023-2024</w:t>
            </w:r>
          </w:p>
        </w:tc>
      </w:tr>
      <w:tr w:rsidR="0015126A" w:rsidRPr="00B16F37" w14:paraId="107192FC" w14:textId="77777777" w:rsidTr="00361521">
        <w:trPr>
          <w:trHeight w:val="433"/>
          <w:jc w:val="center"/>
        </w:trPr>
        <w:tc>
          <w:tcPr>
            <w:tcW w:w="3854" w:type="dxa"/>
            <w:vMerge/>
            <w:tcBorders>
              <w:bottom w:val="single" w:sz="4" w:space="0" w:color="auto"/>
            </w:tcBorders>
            <w:vAlign w:val="center"/>
            <w:hideMark/>
          </w:tcPr>
          <w:p w14:paraId="7A0DA28D" w14:textId="77777777" w:rsidR="0015126A" w:rsidRPr="00B16F37" w:rsidRDefault="0015126A" w:rsidP="00361521">
            <w:pPr>
              <w:keepNext/>
              <w:keepLines/>
              <w:ind w:left="32"/>
              <w:jc w:val="left"/>
              <w:rPr>
                <w:b/>
                <w:bCs/>
                <w:color w:val="000000"/>
                <w:sz w:val="18"/>
                <w:szCs w:val="18"/>
                <w:lang w:eastAsia="zh-CN"/>
              </w:rPr>
            </w:pPr>
          </w:p>
        </w:tc>
        <w:tc>
          <w:tcPr>
            <w:tcW w:w="1527" w:type="dxa"/>
            <w:vMerge/>
            <w:tcBorders>
              <w:bottom w:val="single" w:sz="4" w:space="0" w:color="auto"/>
            </w:tcBorders>
            <w:vAlign w:val="center"/>
            <w:hideMark/>
          </w:tcPr>
          <w:p w14:paraId="7821F08F" w14:textId="77777777" w:rsidR="0015126A" w:rsidRPr="00B16F37" w:rsidRDefault="0015126A" w:rsidP="00361521">
            <w:pPr>
              <w:keepNext/>
              <w:keepLines/>
              <w:ind w:left="32"/>
              <w:jc w:val="left"/>
              <w:rPr>
                <w:b/>
                <w:bCs/>
                <w:color w:val="000000"/>
                <w:sz w:val="18"/>
                <w:szCs w:val="18"/>
                <w:lang w:eastAsia="zh-CN"/>
              </w:rPr>
            </w:pPr>
          </w:p>
        </w:tc>
        <w:tc>
          <w:tcPr>
            <w:tcW w:w="1527" w:type="dxa"/>
            <w:vMerge/>
            <w:tcBorders>
              <w:bottom w:val="single" w:sz="4" w:space="0" w:color="auto"/>
            </w:tcBorders>
            <w:vAlign w:val="center"/>
            <w:hideMark/>
          </w:tcPr>
          <w:p w14:paraId="4916892C" w14:textId="77777777" w:rsidR="0015126A" w:rsidRPr="00B16F37" w:rsidRDefault="0015126A" w:rsidP="00361521">
            <w:pPr>
              <w:keepNext/>
              <w:keepLines/>
              <w:ind w:left="32"/>
              <w:jc w:val="left"/>
              <w:rPr>
                <w:b/>
                <w:bCs/>
                <w:color w:val="000000"/>
                <w:sz w:val="18"/>
                <w:szCs w:val="18"/>
                <w:lang w:eastAsia="zh-CN"/>
              </w:rPr>
            </w:pPr>
          </w:p>
        </w:tc>
        <w:tc>
          <w:tcPr>
            <w:tcW w:w="1739" w:type="dxa"/>
            <w:vMerge/>
            <w:tcBorders>
              <w:bottom w:val="single" w:sz="4" w:space="0" w:color="auto"/>
            </w:tcBorders>
            <w:vAlign w:val="center"/>
            <w:hideMark/>
          </w:tcPr>
          <w:p w14:paraId="00993421" w14:textId="77777777" w:rsidR="0015126A" w:rsidRPr="00B16F37" w:rsidRDefault="0015126A" w:rsidP="00361521">
            <w:pPr>
              <w:keepNext/>
              <w:keepLines/>
              <w:ind w:left="32"/>
              <w:jc w:val="left"/>
              <w:rPr>
                <w:b/>
                <w:bCs/>
                <w:color w:val="000000"/>
                <w:sz w:val="18"/>
                <w:szCs w:val="18"/>
                <w:lang w:eastAsia="zh-CN"/>
              </w:rPr>
            </w:pPr>
          </w:p>
        </w:tc>
      </w:tr>
      <w:tr w:rsidR="0015126A" w:rsidRPr="00B16F37" w14:paraId="796E195B" w14:textId="77777777" w:rsidTr="00361521">
        <w:trPr>
          <w:trHeight w:val="275"/>
          <w:jc w:val="center"/>
        </w:trPr>
        <w:tc>
          <w:tcPr>
            <w:tcW w:w="3854" w:type="dxa"/>
            <w:tcBorders>
              <w:top w:val="single" w:sz="4" w:space="0" w:color="auto"/>
              <w:left w:val="nil"/>
              <w:bottom w:val="nil"/>
              <w:right w:val="nil"/>
            </w:tcBorders>
            <w:shd w:val="clear" w:color="auto" w:fill="auto"/>
            <w:noWrap/>
            <w:vAlign w:val="bottom"/>
            <w:hideMark/>
          </w:tcPr>
          <w:p w14:paraId="70207B7A" w14:textId="38A5E4C7" w:rsidR="0015126A" w:rsidRPr="00B16F37" w:rsidRDefault="0015126A" w:rsidP="00361521">
            <w:pPr>
              <w:keepNext/>
              <w:keepLines/>
              <w:ind w:left="32"/>
              <w:jc w:val="left"/>
              <w:rPr>
                <w:color w:val="000000"/>
                <w:sz w:val="18"/>
                <w:szCs w:val="18"/>
              </w:rPr>
            </w:pPr>
            <w:r>
              <w:rPr>
                <w:color w:val="000000" w:themeColor="text1"/>
                <w:sz w:val="18"/>
                <w:szCs w:val="18"/>
              </w:rPr>
              <w:t>Fonds d’affectation général de la Convention</w:t>
            </w:r>
          </w:p>
        </w:tc>
        <w:tc>
          <w:tcPr>
            <w:tcW w:w="1527" w:type="dxa"/>
            <w:tcBorders>
              <w:top w:val="single" w:sz="4" w:space="0" w:color="auto"/>
              <w:left w:val="nil"/>
              <w:bottom w:val="nil"/>
              <w:right w:val="nil"/>
            </w:tcBorders>
            <w:shd w:val="clear" w:color="auto" w:fill="auto"/>
            <w:noWrap/>
            <w:vAlign w:val="bottom"/>
            <w:hideMark/>
          </w:tcPr>
          <w:p w14:paraId="292DE9ED" w14:textId="16BE191C" w:rsidR="0015126A" w:rsidRPr="00B16F37" w:rsidRDefault="0015126A" w:rsidP="00361521">
            <w:pPr>
              <w:keepNext/>
              <w:keepLines/>
              <w:ind w:left="32"/>
              <w:jc w:val="right"/>
              <w:rPr>
                <w:color w:val="000000"/>
                <w:sz w:val="18"/>
                <w:szCs w:val="18"/>
              </w:rPr>
            </w:pPr>
            <w:r>
              <w:rPr>
                <w:color w:val="000000" w:themeColor="text1"/>
                <w:sz w:val="18"/>
                <w:szCs w:val="18"/>
              </w:rPr>
              <w:t>14</w:t>
            </w:r>
            <w:r w:rsidR="0050419E">
              <w:rPr>
                <w:color w:val="000000" w:themeColor="text1"/>
                <w:sz w:val="18"/>
                <w:szCs w:val="18"/>
              </w:rPr>
              <w:t> 350 </w:t>
            </w:r>
            <w:r>
              <w:rPr>
                <w:color w:val="000000" w:themeColor="text1"/>
                <w:sz w:val="18"/>
                <w:szCs w:val="18"/>
              </w:rPr>
              <w:t>800</w:t>
            </w:r>
          </w:p>
        </w:tc>
        <w:tc>
          <w:tcPr>
            <w:tcW w:w="1527" w:type="dxa"/>
            <w:tcBorders>
              <w:top w:val="single" w:sz="4" w:space="0" w:color="auto"/>
              <w:left w:val="nil"/>
              <w:bottom w:val="nil"/>
              <w:right w:val="nil"/>
            </w:tcBorders>
            <w:shd w:val="clear" w:color="auto" w:fill="auto"/>
            <w:noWrap/>
            <w:vAlign w:val="bottom"/>
            <w:hideMark/>
          </w:tcPr>
          <w:p w14:paraId="6173E8DC" w14:textId="4E762A0A" w:rsidR="0015126A" w:rsidRPr="00B16F37" w:rsidRDefault="0015126A" w:rsidP="00361521">
            <w:pPr>
              <w:keepNext/>
              <w:keepLines/>
              <w:ind w:left="32"/>
              <w:jc w:val="right"/>
              <w:rPr>
                <w:color w:val="000000"/>
                <w:sz w:val="18"/>
                <w:szCs w:val="18"/>
              </w:rPr>
            </w:pPr>
            <w:r>
              <w:rPr>
                <w:color w:val="000000" w:themeColor="text1"/>
                <w:sz w:val="18"/>
                <w:szCs w:val="18"/>
              </w:rPr>
              <w:t>15</w:t>
            </w:r>
            <w:r w:rsidR="0050419E">
              <w:rPr>
                <w:color w:val="000000" w:themeColor="text1"/>
                <w:sz w:val="18"/>
                <w:szCs w:val="18"/>
              </w:rPr>
              <w:t> 634 </w:t>
            </w:r>
            <w:r>
              <w:rPr>
                <w:color w:val="000000" w:themeColor="text1"/>
                <w:sz w:val="18"/>
                <w:szCs w:val="18"/>
              </w:rPr>
              <w:t>400</w:t>
            </w:r>
          </w:p>
        </w:tc>
        <w:tc>
          <w:tcPr>
            <w:tcW w:w="1739" w:type="dxa"/>
            <w:tcBorders>
              <w:top w:val="single" w:sz="4" w:space="0" w:color="auto"/>
              <w:left w:val="nil"/>
              <w:bottom w:val="nil"/>
              <w:right w:val="nil"/>
            </w:tcBorders>
            <w:shd w:val="clear" w:color="auto" w:fill="auto"/>
            <w:noWrap/>
            <w:vAlign w:val="bottom"/>
            <w:hideMark/>
          </w:tcPr>
          <w:p w14:paraId="36B92FDE" w14:textId="3C7CD7D7" w:rsidR="0015126A" w:rsidRPr="00B16F37" w:rsidRDefault="0015126A" w:rsidP="00361521">
            <w:pPr>
              <w:keepNext/>
              <w:keepLines/>
              <w:ind w:left="32"/>
              <w:jc w:val="right"/>
              <w:rPr>
                <w:color w:val="000000"/>
                <w:sz w:val="18"/>
                <w:szCs w:val="18"/>
              </w:rPr>
            </w:pPr>
            <w:r>
              <w:rPr>
                <w:color w:val="000000" w:themeColor="text1"/>
                <w:sz w:val="18"/>
                <w:szCs w:val="18"/>
              </w:rPr>
              <w:t>29</w:t>
            </w:r>
            <w:r w:rsidR="0050419E">
              <w:rPr>
                <w:color w:val="000000" w:themeColor="text1"/>
                <w:sz w:val="18"/>
                <w:szCs w:val="18"/>
              </w:rPr>
              <w:t> 985 </w:t>
            </w:r>
            <w:r>
              <w:rPr>
                <w:color w:val="000000" w:themeColor="text1"/>
                <w:sz w:val="18"/>
                <w:szCs w:val="18"/>
              </w:rPr>
              <w:t>200</w:t>
            </w:r>
          </w:p>
        </w:tc>
      </w:tr>
      <w:tr w:rsidR="0015126A" w:rsidRPr="00B16F37" w14:paraId="040D69DB" w14:textId="77777777" w:rsidTr="00361521">
        <w:trPr>
          <w:trHeight w:val="275"/>
          <w:jc w:val="center"/>
        </w:trPr>
        <w:tc>
          <w:tcPr>
            <w:tcW w:w="3854" w:type="dxa"/>
            <w:tcBorders>
              <w:top w:val="nil"/>
              <w:left w:val="nil"/>
              <w:bottom w:val="nil"/>
              <w:right w:val="nil"/>
            </w:tcBorders>
            <w:shd w:val="clear" w:color="auto" w:fill="auto"/>
            <w:noWrap/>
            <w:vAlign w:val="bottom"/>
            <w:hideMark/>
          </w:tcPr>
          <w:p w14:paraId="0FCFC3BA" w14:textId="14538983" w:rsidR="0015126A" w:rsidRPr="00B16F37" w:rsidRDefault="0015126A" w:rsidP="00361521">
            <w:pPr>
              <w:keepNext/>
              <w:keepLines/>
              <w:ind w:left="32"/>
              <w:jc w:val="left"/>
              <w:rPr>
                <w:color w:val="000000"/>
                <w:sz w:val="18"/>
                <w:szCs w:val="18"/>
              </w:rPr>
            </w:pPr>
            <w:r>
              <w:rPr>
                <w:color w:val="000000" w:themeColor="text1"/>
                <w:sz w:val="18"/>
                <w:szCs w:val="18"/>
              </w:rPr>
              <w:t>Fonds d’affectation général pour le budget-programme du Protocole de Cartagena</w:t>
            </w:r>
          </w:p>
        </w:tc>
        <w:tc>
          <w:tcPr>
            <w:tcW w:w="1527" w:type="dxa"/>
            <w:tcBorders>
              <w:top w:val="nil"/>
              <w:left w:val="nil"/>
              <w:bottom w:val="nil"/>
              <w:right w:val="nil"/>
            </w:tcBorders>
            <w:shd w:val="clear" w:color="auto" w:fill="auto"/>
            <w:noWrap/>
            <w:vAlign w:val="bottom"/>
            <w:hideMark/>
          </w:tcPr>
          <w:p w14:paraId="3094803A" w14:textId="3A916BB6" w:rsidR="0015126A" w:rsidRPr="00B16F37" w:rsidRDefault="0015126A" w:rsidP="00361521">
            <w:pPr>
              <w:keepNext/>
              <w:keepLines/>
              <w:ind w:left="32"/>
              <w:jc w:val="right"/>
              <w:rPr>
                <w:color w:val="000000"/>
                <w:sz w:val="18"/>
                <w:szCs w:val="18"/>
              </w:rPr>
            </w:pPr>
            <w:r>
              <w:rPr>
                <w:color w:val="000000"/>
                <w:sz w:val="18"/>
                <w:szCs w:val="18"/>
              </w:rPr>
              <w:t>2</w:t>
            </w:r>
            <w:r w:rsidR="0050419E">
              <w:rPr>
                <w:color w:val="000000"/>
                <w:sz w:val="18"/>
                <w:szCs w:val="18"/>
              </w:rPr>
              <w:t> 989 </w:t>
            </w:r>
            <w:r>
              <w:rPr>
                <w:color w:val="000000"/>
                <w:sz w:val="18"/>
                <w:szCs w:val="18"/>
              </w:rPr>
              <w:t>700</w:t>
            </w:r>
          </w:p>
        </w:tc>
        <w:tc>
          <w:tcPr>
            <w:tcW w:w="1527" w:type="dxa"/>
            <w:tcBorders>
              <w:top w:val="nil"/>
              <w:left w:val="nil"/>
              <w:bottom w:val="nil"/>
              <w:right w:val="nil"/>
            </w:tcBorders>
            <w:shd w:val="clear" w:color="auto" w:fill="auto"/>
            <w:noWrap/>
            <w:vAlign w:val="bottom"/>
            <w:hideMark/>
          </w:tcPr>
          <w:p w14:paraId="4C07F9C0" w14:textId="18BEE35F" w:rsidR="0015126A" w:rsidRPr="00B16F37" w:rsidRDefault="0015126A" w:rsidP="00361521">
            <w:pPr>
              <w:keepNext/>
              <w:keepLines/>
              <w:ind w:left="32"/>
              <w:jc w:val="right"/>
              <w:rPr>
                <w:color w:val="000000"/>
                <w:sz w:val="18"/>
                <w:szCs w:val="18"/>
              </w:rPr>
            </w:pPr>
            <w:r>
              <w:rPr>
                <w:color w:val="000000" w:themeColor="text1"/>
                <w:sz w:val="18"/>
                <w:szCs w:val="18"/>
              </w:rPr>
              <w:t>3</w:t>
            </w:r>
            <w:r w:rsidR="0050419E">
              <w:rPr>
                <w:color w:val="000000" w:themeColor="text1"/>
                <w:sz w:val="18"/>
                <w:szCs w:val="18"/>
              </w:rPr>
              <w:t> 257 </w:t>
            </w:r>
            <w:r>
              <w:rPr>
                <w:color w:val="000000" w:themeColor="text1"/>
                <w:sz w:val="18"/>
                <w:szCs w:val="18"/>
              </w:rPr>
              <w:t>200</w:t>
            </w:r>
          </w:p>
        </w:tc>
        <w:tc>
          <w:tcPr>
            <w:tcW w:w="1739" w:type="dxa"/>
            <w:tcBorders>
              <w:top w:val="nil"/>
              <w:left w:val="nil"/>
              <w:bottom w:val="nil"/>
              <w:right w:val="nil"/>
            </w:tcBorders>
            <w:shd w:val="clear" w:color="auto" w:fill="auto"/>
            <w:noWrap/>
            <w:vAlign w:val="bottom"/>
            <w:hideMark/>
          </w:tcPr>
          <w:p w14:paraId="69051BEE" w14:textId="2CF53DAF" w:rsidR="0015126A" w:rsidRPr="00B16F37" w:rsidRDefault="0015126A" w:rsidP="00361521">
            <w:pPr>
              <w:keepNext/>
              <w:keepLines/>
              <w:ind w:left="32"/>
              <w:jc w:val="right"/>
              <w:rPr>
                <w:color w:val="000000"/>
                <w:sz w:val="18"/>
                <w:szCs w:val="18"/>
              </w:rPr>
            </w:pPr>
            <w:r>
              <w:rPr>
                <w:color w:val="000000" w:themeColor="text1"/>
                <w:sz w:val="18"/>
                <w:szCs w:val="18"/>
              </w:rPr>
              <w:t>6</w:t>
            </w:r>
            <w:r w:rsidR="0050419E">
              <w:rPr>
                <w:color w:val="000000" w:themeColor="text1"/>
                <w:sz w:val="18"/>
                <w:szCs w:val="18"/>
              </w:rPr>
              <w:t> 246 </w:t>
            </w:r>
            <w:r>
              <w:rPr>
                <w:color w:val="000000" w:themeColor="text1"/>
                <w:sz w:val="18"/>
                <w:szCs w:val="18"/>
              </w:rPr>
              <w:t>900</w:t>
            </w:r>
          </w:p>
        </w:tc>
      </w:tr>
      <w:tr w:rsidR="0015126A" w:rsidRPr="00B16F37" w14:paraId="32714A21" w14:textId="77777777" w:rsidTr="00361521">
        <w:trPr>
          <w:trHeight w:val="275"/>
          <w:jc w:val="center"/>
        </w:trPr>
        <w:tc>
          <w:tcPr>
            <w:tcW w:w="3854" w:type="dxa"/>
            <w:tcBorders>
              <w:top w:val="nil"/>
              <w:left w:val="nil"/>
              <w:bottom w:val="nil"/>
              <w:right w:val="nil"/>
            </w:tcBorders>
            <w:shd w:val="clear" w:color="auto" w:fill="auto"/>
            <w:noWrap/>
            <w:vAlign w:val="bottom"/>
            <w:hideMark/>
          </w:tcPr>
          <w:p w14:paraId="11A2BBB8" w14:textId="6D7B96CA" w:rsidR="0015126A" w:rsidRPr="00B16F37" w:rsidRDefault="0015126A" w:rsidP="00361521">
            <w:pPr>
              <w:ind w:left="32"/>
              <w:jc w:val="left"/>
              <w:rPr>
                <w:color w:val="000000"/>
                <w:sz w:val="18"/>
                <w:szCs w:val="18"/>
              </w:rPr>
            </w:pPr>
            <w:r>
              <w:rPr>
                <w:color w:val="000000" w:themeColor="text1"/>
                <w:sz w:val="18"/>
                <w:szCs w:val="18"/>
              </w:rPr>
              <w:t>Fonds d’affectation général pour le budget-programme du Protocole de Nagoya</w:t>
            </w:r>
          </w:p>
        </w:tc>
        <w:tc>
          <w:tcPr>
            <w:tcW w:w="1527" w:type="dxa"/>
            <w:tcBorders>
              <w:top w:val="nil"/>
              <w:left w:val="nil"/>
              <w:bottom w:val="nil"/>
              <w:right w:val="nil"/>
            </w:tcBorders>
            <w:shd w:val="clear" w:color="auto" w:fill="auto"/>
            <w:noWrap/>
            <w:vAlign w:val="bottom"/>
            <w:hideMark/>
          </w:tcPr>
          <w:p w14:paraId="2B084E6C" w14:textId="235778F1" w:rsidR="0015126A" w:rsidRPr="00B16F37" w:rsidRDefault="0015126A" w:rsidP="00361521">
            <w:pPr>
              <w:ind w:left="32"/>
              <w:jc w:val="right"/>
              <w:rPr>
                <w:color w:val="000000"/>
                <w:sz w:val="18"/>
                <w:szCs w:val="18"/>
              </w:rPr>
            </w:pPr>
            <w:r>
              <w:rPr>
                <w:color w:val="000000" w:themeColor="text1"/>
                <w:sz w:val="18"/>
                <w:szCs w:val="18"/>
              </w:rPr>
              <w:t>2</w:t>
            </w:r>
            <w:r w:rsidR="0050419E">
              <w:rPr>
                <w:color w:val="000000" w:themeColor="text1"/>
                <w:sz w:val="18"/>
                <w:szCs w:val="18"/>
              </w:rPr>
              <w:t> 591 </w:t>
            </w:r>
            <w:r>
              <w:rPr>
                <w:color w:val="000000" w:themeColor="text1"/>
                <w:sz w:val="18"/>
                <w:szCs w:val="18"/>
              </w:rPr>
              <w:t>100</w:t>
            </w:r>
          </w:p>
        </w:tc>
        <w:tc>
          <w:tcPr>
            <w:tcW w:w="1527" w:type="dxa"/>
            <w:tcBorders>
              <w:top w:val="nil"/>
              <w:left w:val="nil"/>
              <w:bottom w:val="nil"/>
              <w:right w:val="nil"/>
            </w:tcBorders>
            <w:shd w:val="clear" w:color="auto" w:fill="auto"/>
            <w:noWrap/>
            <w:vAlign w:val="bottom"/>
            <w:hideMark/>
          </w:tcPr>
          <w:p w14:paraId="78B55122" w14:textId="15ECC507" w:rsidR="0015126A" w:rsidRPr="00B16F37" w:rsidRDefault="0015126A" w:rsidP="00361521">
            <w:pPr>
              <w:ind w:left="32"/>
              <w:jc w:val="right"/>
              <w:rPr>
                <w:color w:val="000000"/>
                <w:sz w:val="18"/>
                <w:szCs w:val="18"/>
              </w:rPr>
            </w:pPr>
            <w:r>
              <w:rPr>
                <w:color w:val="000000" w:themeColor="text1"/>
                <w:sz w:val="18"/>
                <w:szCs w:val="18"/>
              </w:rPr>
              <w:t>2</w:t>
            </w:r>
            <w:r w:rsidR="0050419E">
              <w:rPr>
                <w:color w:val="000000" w:themeColor="text1"/>
                <w:sz w:val="18"/>
                <w:szCs w:val="18"/>
              </w:rPr>
              <w:t> 822 </w:t>
            </w:r>
            <w:r>
              <w:rPr>
                <w:color w:val="000000" w:themeColor="text1"/>
                <w:sz w:val="18"/>
                <w:szCs w:val="18"/>
              </w:rPr>
              <w:t>900</w:t>
            </w:r>
          </w:p>
        </w:tc>
        <w:tc>
          <w:tcPr>
            <w:tcW w:w="1739" w:type="dxa"/>
            <w:tcBorders>
              <w:top w:val="nil"/>
              <w:left w:val="nil"/>
              <w:bottom w:val="nil"/>
              <w:right w:val="nil"/>
            </w:tcBorders>
            <w:shd w:val="clear" w:color="auto" w:fill="auto"/>
            <w:noWrap/>
            <w:vAlign w:val="bottom"/>
            <w:hideMark/>
          </w:tcPr>
          <w:p w14:paraId="5EF685A1" w14:textId="7BB85DE5" w:rsidR="0015126A" w:rsidRPr="00B16F37" w:rsidRDefault="0015126A" w:rsidP="00361521">
            <w:pPr>
              <w:ind w:left="32"/>
              <w:jc w:val="right"/>
              <w:rPr>
                <w:color w:val="000000"/>
                <w:sz w:val="18"/>
                <w:szCs w:val="18"/>
              </w:rPr>
            </w:pPr>
            <w:r>
              <w:rPr>
                <w:color w:val="000000" w:themeColor="text1"/>
                <w:sz w:val="18"/>
                <w:szCs w:val="18"/>
              </w:rPr>
              <w:t>5</w:t>
            </w:r>
            <w:r w:rsidR="0050419E">
              <w:rPr>
                <w:color w:val="000000" w:themeColor="text1"/>
                <w:sz w:val="18"/>
                <w:szCs w:val="18"/>
              </w:rPr>
              <w:t> 414 </w:t>
            </w:r>
            <w:r>
              <w:rPr>
                <w:color w:val="000000" w:themeColor="text1"/>
                <w:sz w:val="18"/>
                <w:szCs w:val="18"/>
              </w:rPr>
              <w:t>000</w:t>
            </w:r>
          </w:p>
        </w:tc>
      </w:tr>
      <w:tr w:rsidR="0015126A" w:rsidRPr="00B16F37" w14:paraId="44443344" w14:textId="77777777" w:rsidTr="00361521">
        <w:trPr>
          <w:trHeight w:val="275"/>
          <w:jc w:val="center"/>
        </w:trPr>
        <w:tc>
          <w:tcPr>
            <w:tcW w:w="3854" w:type="dxa"/>
            <w:tcBorders>
              <w:top w:val="single" w:sz="4" w:space="0" w:color="auto"/>
              <w:left w:val="nil"/>
              <w:bottom w:val="single" w:sz="4" w:space="0" w:color="auto"/>
              <w:right w:val="nil"/>
            </w:tcBorders>
            <w:shd w:val="clear" w:color="auto" w:fill="auto"/>
            <w:noWrap/>
            <w:vAlign w:val="bottom"/>
            <w:hideMark/>
          </w:tcPr>
          <w:p w14:paraId="3F35A942" w14:textId="4BFC172F" w:rsidR="0015126A" w:rsidRPr="00B16F37" w:rsidRDefault="0015126A" w:rsidP="00361521">
            <w:pPr>
              <w:tabs>
                <w:tab w:val="clear" w:pos="567"/>
                <w:tab w:val="left" w:pos="316"/>
              </w:tabs>
              <w:ind w:left="32"/>
              <w:jc w:val="left"/>
              <w:rPr>
                <w:b/>
                <w:bCs/>
                <w:color w:val="000000"/>
                <w:sz w:val="18"/>
                <w:szCs w:val="18"/>
              </w:rPr>
            </w:pPr>
            <w:r>
              <w:rPr>
                <w:b/>
                <w:bCs/>
                <w:color w:val="000000" w:themeColor="text1"/>
                <w:sz w:val="18"/>
                <w:szCs w:val="18"/>
              </w:rPr>
              <w:tab/>
              <w:t>Total</w:t>
            </w:r>
          </w:p>
        </w:tc>
        <w:tc>
          <w:tcPr>
            <w:tcW w:w="1527" w:type="dxa"/>
            <w:tcBorders>
              <w:top w:val="single" w:sz="4" w:space="0" w:color="auto"/>
              <w:left w:val="nil"/>
              <w:bottom w:val="single" w:sz="4" w:space="0" w:color="auto"/>
              <w:right w:val="nil"/>
            </w:tcBorders>
            <w:shd w:val="clear" w:color="auto" w:fill="auto"/>
            <w:noWrap/>
            <w:vAlign w:val="bottom"/>
            <w:hideMark/>
          </w:tcPr>
          <w:p w14:paraId="08AB1794" w14:textId="2443ABDF" w:rsidR="0015126A" w:rsidRPr="00B16F37" w:rsidRDefault="0015126A" w:rsidP="00361521">
            <w:pPr>
              <w:ind w:left="32"/>
              <w:jc w:val="right"/>
              <w:rPr>
                <w:b/>
                <w:bCs/>
                <w:color w:val="000000"/>
                <w:sz w:val="18"/>
                <w:szCs w:val="18"/>
              </w:rPr>
            </w:pPr>
            <w:r>
              <w:rPr>
                <w:b/>
                <w:bCs/>
                <w:color w:val="000000" w:themeColor="text1"/>
                <w:sz w:val="18"/>
                <w:szCs w:val="18"/>
              </w:rPr>
              <w:t>19</w:t>
            </w:r>
            <w:r w:rsidR="0050419E">
              <w:rPr>
                <w:b/>
                <w:bCs/>
                <w:color w:val="000000" w:themeColor="text1"/>
                <w:sz w:val="18"/>
                <w:szCs w:val="18"/>
              </w:rPr>
              <w:t> 931 </w:t>
            </w:r>
            <w:r>
              <w:rPr>
                <w:b/>
                <w:bCs/>
                <w:color w:val="000000" w:themeColor="text1"/>
                <w:sz w:val="18"/>
                <w:szCs w:val="18"/>
              </w:rPr>
              <w:t>600</w:t>
            </w:r>
          </w:p>
        </w:tc>
        <w:tc>
          <w:tcPr>
            <w:tcW w:w="1527" w:type="dxa"/>
            <w:tcBorders>
              <w:top w:val="single" w:sz="4" w:space="0" w:color="auto"/>
              <w:left w:val="nil"/>
              <w:bottom w:val="single" w:sz="4" w:space="0" w:color="auto"/>
              <w:right w:val="nil"/>
            </w:tcBorders>
            <w:shd w:val="clear" w:color="auto" w:fill="auto"/>
            <w:noWrap/>
            <w:vAlign w:val="bottom"/>
            <w:hideMark/>
          </w:tcPr>
          <w:p w14:paraId="26B45100" w14:textId="5AA2C8D1" w:rsidR="0015126A" w:rsidRPr="00B16F37" w:rsidRDefault="0015126A" w:rsidP="00361521">
            <w:pPr>
              <w:ind w:left="32"/>
              <w:jc w:val="right"/>
              <w:rPr>
                <w:b/>
                <w:bCs/>
                <w:color w:val="000000"/>
                <w:sz w:val="18"/>
                <w:szCs w:val="18"/>
              </w:rPr>
            </w:pPr>
            <w:bookmarkStart w:id="2" w:name="_Hlk176421975"/>
            <w:r>
              <w:rPr>
                <w:b/>
                <w:bCs/>
                <w:color w:val="000000" w:themeColor="text1"/>
                <w:sz w:val="18"/>
                <w:szCs w:val="18"/>
              </w:rPr>
              <w:t>21</w:t>
            </w:r>
            <w:r w:rsidR="0050419E">
              <w:rPr>
                <w:b/>
                <w:bCs/>
                <w:color w:val="000000" w:themeColor="text1"/>
                <w:sz w:val="18"/>
                <w:szCs w:val="18"/>
              </w:rPr>
              <w:t> 714 </w:t>
            </w:r>
            <w:r>
              <w:rPr>
                <w:b/>
                <w:bCs/>
                <w:color w:val="000000" w:themeColor="text1"/>
                <w:sz w:val="18"/>
                <w:szCs w:val="18"/>
              </w:rPr>
              <w:t>500</w:t>
            </w:r>
            <w:bookmarkEnd w:id="2"/>
          </w:p>
        </w:tc>
        <w:tc>
          <w:tcPr>
            <w:tcW w:w="1739" w:type="dxa"/>
            <w:tcBorders>
              <w:top w:val="single" w:sz="4" w:space="0" w:color="auto"/>
              <w:left w:val="nil"/>
              <w:bottom w:val="single" w:sz="4" w:space="0" w:color="auto"/>
              <w:right w:val="nil"/>
            </w:tcBorders>
            <w:shd w:val="clear" w:color="auto" w:fill="auto"/>
            <w:noWrap/>
            <w:vAlign w:val="bottom"/>
            <w:hideMark/>
          </w:tcPr>
          <w:p w14:paraId="6E94245F" w14:textId="1A4DBE03" w:rsidR="0015126A" w:rsidRPr="00B16F37" w:rsidRDefault="0015126A" w:rsidP="00361521">
            <w:pPr>
              <w:ind w:left="32"/>
              <w:jc w:val="right"/>
              <w:rPr>
                <w:b/>
                <w:bCs/>
                <w:color w:val="000000"/>
                <w:sz w:val="18"/>
                <w:szCs w:val="18"/>
              </w:rPr>
            </w:pPr>
            <w:bookmarkStart w:id="3" w:name="_Hlk176422224"/>
            <w:r>
              <w:rPr>
                <w:b/>
                <w:bCs/>
                <w:color w:val="000000" w:themeColor="text1"/>
                <w:sz w:val="18"/>
                <w:szCs w:val="18"/>
              </w:rPr>
              <w:t>41</w:t>
            </w:r>
            <w:bookmarkEnd w:id="3"/>
            <w:r w:rsidR="0050419E">
              <w:rPr>
                <w:b/>
                <w:bCs/>
                <w:color w:val="000000" w:themeColor="text1"/>
                <w:sz w:val="18"/>
                <w:szCs w:val="18"/>
              </w:rPr>
              <w:t> 646 </w:t>
            </w:r>
            <w:r>
              <w:rPr>
                <w:b/>
                <w:bCs/>
                <w:color w:val="000000" w:themeColor="text1"/>
                <w:sz w:val="18"/>
                <w:szCs w:val="18"/>
              </w:rPr>
              <w:t>100</w:t>
            </w:r>
          </w:p>
        </w:tc>
      </w:tr>
    </w:tbl>
    <w:p w14:paraId="029AC54B" w14:textId="775FA8B8" w:rsidR="0015126A" w:rsidRPr="00B16F37" w:rsidRDefault="0015126A" w:rsidP="00361521">
      <w:pPr>
        <w:pStyle w:val="CBDNormalNumber"/>
        <w:rPr>
          <w:rFonts w:eastAsia="Malgun Gothic"/>
          <w:kern w:val="22"/>
        </w:rPr>
      </w:pPr>
      <w:r>
        <w:t xml:space="preserve">Comme indiqué dans le tableau 2, après déduction des économies de 410 000 dollars US réalisées au cours des périodes précédentes et de la contribution de 3 298 100 dollars US du pays hôte, et après l’ajout des contributions de 10 400 dollars US de trois nouvelles Parties au Protocole de Nagoya, le montant total des contributions mises en recouvrement de la part des Parties à la Convention et à ses Protocoles, conformément au barème des quotes-parts, s’est élevé à 37 948 400 dollars US pour l’exercice biennal. </w:t>
      </w:r>
    </w:p>
    <w:p w14:paraId="3095F5E3" w14:textId="00D25B47" w:rsidR="0015126A" w:rsidRPr="00B16F37" w:rsidRDefault="0015126A" w:rsidP="00FD70F5">
      <w:pPr>
        <w:pStyle w:val="CBDTableTitle"/>
      </w:pPr>
      <w:r>
        <w:rPr>
          <w:b w:val="0"/>
          <w:bCs/>
        </w:rPr>
        <w:t>Tableau</w:t>
      </w:r>
      <w:r w:rsidR="0050419E">
        <w:rPr>
          <w:b w:val="0"/>
          <w:bCs/>
        </w:rPr>
        <w:t> </w:t>
      </w:r>
      <w:r>
        <w:rPr>
          <w:b w:val="0"/>
          <w:bCs/>
        </w:rPr>
        <w:t>2</w:t>
      </w:r>
      <w:r>
        <w:br/>
        <w:t>État général des contributions mises en recouvrement, 2023-2024</w:t>
      </w:r>
    </w:p>
    <w:p w14:paraId="48A99164" w14:textId="4DD130B7" w:rsidR="0015126A" w:rsidRPr="00B16F37" w:rsidRDefault="0015126A" w:rsidP="00361521">
      <w:pPr>
        <w:pStyle w:val="CBDTableTitle"/>
        <w:spacing w:before="0"/>
        <w:rPr>
          <w:b w:val="0"/>
          <w:bCs/>
          <w:sz w:val="18"/>
          <w:szCs w:val="18"/>
        </w:rPr>
      </w:pPr>
      <w:r>
        <w:rPr>
          <w:b w:val="0"/>
          <w:bCs/>
          <w:color w:val="000000" w:themeColor="text1"/>
          <w:sz w:val="18"/>
          <w:szCs w:val="18"/>
        </w:rPr>
        <w:t>(En milliers de dollars des États-Unis)</w:t>
      </w:r>
    </w:p>
    <w:tbl>
      <w:tblPr>
        <w:tblW w:w="5812" w:type="dxa"/>
        <w:jc w:val="center"/>
        <w:tblLook w:val="04A0" w:firstRow="1" w:lastRow="0" w:firstColumn="1" w:lastColumn="0" w:noHBand="0" w:noVBand="1"/>
      </w:tblPr>
      <w:tblGrid>
        <w:gridCol w:w="4260"/>
        <w:gridCol w:w="1552"/>
      </w:tblGrid>
      <w:tr w:rsidR="0015126A" w:rsidRPr="00B16F37" w14:paraId="270D29F4" w14:textId="77777777" w:rsidTr="00361521">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19FC8059" w14:textId="4ECED478" w:rsidR="0015126A" w:rsidRPr="00B16F37" w:rsidRDefault="0015126A" w:rsidP="00F531D2">
            <w:pPr>
              <w:jc w:val="left"/>
              <w:rPr>
                <w:i/>
                <w:iCs/>
                <w:color w:val="000000"/>
                <w:sz w:val="18"/>
                <w:szCs w:val="18"/>
              </w:rPr>
            </w:pPr>
            <w:r>
              <w:rPr>
                <w:i/>
                <w:iCs/>
                <w:color w:val="000000" w:themeColor="text1"/>
                <w:sz w:val="18"/>
                <w:szCs w:val="18"/>
              </w:rPr>
              <w:t>Source de financement</w:t>
            </w:r>
          </w:p>
        </w:tc>
        <w:tc>
          <w:tcPr>
            <w:tcW w:w="1552" w:type="dxa"/>
            <w:tcBorders>
              <w:top w:val="single" w:sz="4" w:space="0" w:color="auto"/>
              <w:left w:val="nil"/>
              <w:bottom w:val="single" w:sz="4" w:space="0" w:color="auto"/>
              <w:right w:val="nil"/>
            </w:tcBorders>
            <w:shd w:val="clear" w:color="auto" w:fill="auto"/>
            <w:vAlign w:val="center"/>
            <w:hideMark/>
          </w:tcPr>
          <w:p w14:paraId="06D4A6BC" w14:textId="08AC49F9" w:rsidR="0015126A" w:rsidRPr="00B16F37" w:rsidRDefault="0015126A" w:rsidP="00F531D2">
            <w:pPr>
              <w:jc w:val="right"/>
              <w:rPr>
                <w:i/>
                <w:iCs/>
                <w:color w:val="000000"/>
                <w:sz w:val="18"/>
                <w:szCs w:val="18"/>
              </w:rPr>
            </w:pPr>
            <w:r>
              <w:rPr>
                <w:i/>
                <w:iCs/>
                <w:color w:val="000000" w:themeColor="text1"/>
                <w:sz w:val="18"/>
                <w:szCs w:val="18"/>
              </w:rPr>
              <w:t>Montant</w:t>
            </w:r>
          </w:p>
        </w:tc>
      </w:tr>
      <w:tr w:rsidR="0015126A" w:rsidRPr="00B16F37" w14:paraId="3F2FD620" w14:textId="77777777" w:rsidTr="00361521">
        <w:trPr>
          <w:trHeight w:val="290"/>
          <w:jc w:val="center"/>
        </w:trPr>
        <w:tc>
          <w:tcPr>
            <w:tcW w:w="4260" w:type="dxa"/>
            <w:tcBorders>
              <w:top w:val="nil"/>
              <w:left w:val="nil"/>
              <w:bottom w:val="nil"/>
              <w:right w:val="nil"/>
            </w:tcBorders>
            <w:shd w:val="clear" w:color="auto" w:fill="auto"/>
            <w:vAlign w:val="center"/>
            <w:hideMark/>
          </w:tcPr>
          <w:p w14:paraId="3F0F3D33" w14:textId="77777777" w:rsidR="0015126A" w:rsidRPr="00B16F37" w:rsidRDefault="0015126A" w:rsidP="00F531D2">
            <w:pPr>
              <w:jc w:val="left"/>
              <w:rPr>
                <w:color w:val="000000"/>
                <w:sz w:val="18"/>
                <w:szCs w:val="18"/>
              </w:rPr>
            </w:pPr>
            <w:r>
              <w:rPr>
                <w:color w:val="000000" w:themeColor="text1"/>
                <w:sz w:val="18"/>
                <w:szCs w:val="18"/>
              </w:rPr>
              <w:t>Budget approuvé</w:t>
            </w:r>
          </w:p>
        </w:tc>
        <w:tc>
          <w:tcPr>
            <w:tcW w:w="1552" w:type="dxa"/>
            <w:tcBorders>
              <w:top w:val="nil"/>
              <w:left w:val="nil"/>
              <w:bottom w:val="nil"/>
              <w:right w:val="nil"/>
            </w:tcBorders>
            <w:shd w:val="clear" w:color="auto" w:fill="auto"/>
            <w:vAlign w:val="center"/>
            <w:hideMark/>
          </w:tcPr>
          <w:p w14:paraId="46AB92E9" w14:textId="33C326FC" w:rsidR="0015126A" w:rsidRPr="00B16F37" w:rsidRDefault="0015126A" w:rsidP="00F531D2">
            <w:pPr>
              <w:jc w:val="right"/>
              <w:rPr>
                <w:color w:val="000000"/>
                <w:sz w:val="18"/>
                <w:szCs w:val="18"/>
              </w:rPr>
            </w:pPr>
            <w:r>
              <w:rPr>
                <w:color w:val="000000" w:themeColor="text1"/>
                <w:sz w:val="18"/>
                <w:szCs w:val="18"/>
              </w:rPr>
              <w:t>41</w:t>
            </w:r>
            <w:r w:rsidR="0050419E">
              <w:rPr>
                <w:color w:val="000000" w:themeColor="text1"/>
                <w:sz w:val="18"/>
                <w:szCs w:val="18"/>
              </w:rPr>
              <w:t> </w:t>
            </w:r>
            <w:r>
              <w:rPr>
                <w:color w:val="000000" w:themeColor="text1"/>
                <w:sz w:val="18"/>
                <w:szCs w:val="18"/>
              </w:rPr>
              <w:t>646,1</w:t>
            </w:r>
          </w:p>
        </w:tc>
      </w:tr>
      <w:tr w:rsidR="0015126A" w:rsidRPr="00B16F37" w14:paraId="3C0918B4" w14:textId="77777777" w:rsidTr="00361521">
        <w:trPr>
          <w:trHeight w:val="290"/>
          <w:jc w:val="center"/>
        </w:trPr>
        <w:tc>
          <w:tcPr>
            <w:tcW w:w="4260" w:type="dxa"/>
            <w:tcBorders>
              <w:top w:val="nil"/>
              <w:left w:val="nil"/>
              <w:bottom w:val="nil"/>
              <w:right w:val="nil"/>
            </w:tcBorders>
            <w:shd w:val="clear" w:color="auto" w:fill="auto"/>
            <w:vAlign w:val="center"/>
            <w:hideMark/>
          </w:tcPr>
          <w:p w14:paraId="29366F87" w14:textId="77777777" w:rsidR="0015126A" w:rsidRPr="00B16F37" w:rsidRDefault="0015126A" w:rsidP="00F531D2">
            <w:pPr>
              <w:jc w:val="left"/>
              <w:rPr>
                <w:color w:val="000000"/>
                <w:sz w:val="18"/>
                <w:szCs w:val="18"/>
              </w:rPr>
            </w:pPr>
            <w:r>
              <w:rPr>
                <w:color w:val="000000" w:themeColor="text1"/>
                <w:sz w:val="18"/>
                <w:szCs w:val="18"/>
              </w:rPr>
              <w:t>Pays hôte</w:t>
            </w:r>
          </w:p>
        </w:tc>
        <w:tc>
          <w:tcPr>
            <w:tcW w:w="1552" w:type="dxa"/>
            <w:tcBorders>
              <w:top w:val="nil"/>
              <w:left w:val="nil"/>
              <w:bottom w:val="nil"/>
              <w:right w:val="nil"/>
            </w:tcBorders>
            <w:shd w:val="clear" w:color="auto" w:fill="auto"/>
            <w:vAlign w:val="center"/>
            <w:hideMark/>
          </w:tcPr>
          <w:p w14:paraId="28616915" w14:textId="0CE636C0" w:rsidR="0015126A" w:rsidRPr="00B16F37" w:rsidRDefault="0015126A" w:rsidP="00F531D2">
            <w:pPr>
              <w:jc w:val="right"/>
              <w:rPr>
                <w:color w:val="000000"/>
                <w:sz w:val="18"/>
                <w:szCs w:val="18"/>
              </w:rPr>
            </w:pPr>
            <w:r>
              <w:rPr>
                <w:color w:val="000000" w:themeColor="text1"/>
                <w:sz w:val="18"/>
                <w:szCs w:val="18"/>
              </w:rPr>
              <w:t>(3</w:t>
            </w:r>
            <w:r w:rsidR="0050419E">
              <w:rPr>
                <w:color w:val="000000" w:themeColor="text1"/>
                <w:sz w:val="18"/>
                <w:szCs w:val="18"/>
              </w:rPr>
              <w:t> </w:t>
            </w:r>
            <w:r>
              <w:rPr>
                <w:color w:val="000000" w:themeColor="text1"/>
                <w:sz w:val="18"/>
                <w:szCs w:val="18"/>
              </w:rPr>
              <w:t>298,1)</w:t>
            </w:r>
          </w:p>
        </w:tc>
      </w:tr>
      <w:tr w:rsidR="0015126A" w:rsidRPr="00B16F37" w14:paraId="4FF3821C" w14:textId="77777777" w:rsidTr="00361521">
        <w:trPr>
          <w:trHeight w:val="300"/>
          <w:jc w:val="center"/>
        </w:trPr>
        <w:tc>
          <w:tcPr>
            <w:tcW w:w="4260" w:type="dxa"/>
            <w:tcBorders>
              <w:top w:val="nil"/>
              <w:left w:val="nil"/>
              <w:bottom w:val="nil"/>
              <w:right w:val="nil"/>
            </w:tcBorders>
            <w:shd w:val="clear" w:color="auto" w:fill="auto"/>
            <w:vAlign w:val="center"/>
            <w:hideMark/>
          </w:tcPr>
          <w:p w14:paraId="44059592" w14:textId="479D382C" w:rsidR="0015126A" w:rsidRPr="00B16F37" w:rsidRDefault="0015126A" w:rsidP="00F531D2">
            <w:pPr>
              <w:jc w:val="left"/>
              <w:rPr>
                <w:color w:val="000000"/>
                <w:sz w:val="18"/>
                <w:szCs w:val="18"/>
              </w:rPr>
            </w:pPr>
            <w:r>
              <w:rPr>
                <w:color w:val="000000" w:themeColor="text1"/>
                <w:sz w:val="18"/>
                <w:szCs w:val="18"/>
              </w:rPr>
              <w:t>Économies des années précédentes</w:t>
            </w:r>
          </w:p>
        </w:tc>
        <w:tc>
          <w:tcPr>
            <w:tcW w:w="1552" w:type="dxa"/>
            <w:tcBorders>
              <w:top w:val="nil"/>
              <w:left w:val="nil"/>
              <w:bottom w:val="nil"/>
              <w:right w:val="nil"/>
            </w:tcBorders>
            <w:shd w:val="clear" w:color="auto" w:fill="auto"/>
            <w:vAlign w:val="center"/>
            <w:hideMark/>
          </w:tcPr>
          <w:p w14:paraId="2547D643" w14:textId="7BA07914" w:rsidR="0015126A" w:rsidRPr="00B16F37" w:rsidRDefault="0015126A" w:rsidP="00F531D2">
            <w:pPr>
              <w:jc w:val="right"/>
              <w:rPr>
                <w:color w:val="000000"/>
                <w:sz w:val="18"/>
                <w:szCs w:val="18"/>
              </w:rPr>
            </w:pPr>
            <w:r>
              <w:rPr>
                <w:color w:val="000000" w:themeColor="text1"/>
                <w:sz w:val="18"/>
                <w:szCs w:val="18"/>
              </w:rPr>
              <w:t>(410,0)</w:t>
            </w:r>
          </w:p>
        </w:tc>
      </w:tr>
      <w:tr w:rsidR="0015126A" w:rsidRPr="00B16F37" w14:paraId="0CF73FB8" w14:textId="77777777" w:rsidTr="00361521">
        <w:trPr>
          <w:trHeight w:val="315"/>
          <w:jc w:val="center"/>
        </w:trPr>
        <w:tc>
          <w:tcPr>
            <w:tcW w:w="4260" w:type="dxa"/>
            <w:tcBorders>
              <w:top w:val="nil"/>
              <w:left w:val="nil"/>
              <w:bottom w:val="single" w:sz="4" w:space="0" w:color="auto"/>
              <w:right w:val="nil"/>
            </w:tcBorders>
            <w:shd w:val="clear" w:color="auto" w:fill="auto"/>
            <w:vAlign w:val="center"/>
            <w:hideMark/>
          </w:tcPr>
          <w:p w14:paraId="4BD347BC" w14:textId="77777777" w:rsidR="0015126A" w:rsidRPr="00B16F37" w:rsidRDefault="0015126A" w:rsidP="00F531D2">
            <w:pPr>
              <w:jc w:val="left"/>
              <w:rPr>
                <w:color w:val="000000"/>
                <w:sz w:val="18"/>
                <w:szCs w:val="18"/>
              </w:rPr>
            </w:pPr>
            <w:r>
              <w:rPr>
                <w:color w:val="000000" w:themeColor="text1"/>
                <w:sz w:val="18"/>
                <w:szCs w:val="18"/>
              </w:rPr>
              <w:t>Parties supplémentaires aux Protocoles</w:t>
            </w:r>
          </w:p>
        </w:tc>
        <w:tc>
          <w:tcPr>
            <w:tcW w:w="1552" w:type="dxa"/>
            <w:tcBorders>
              <w:top w:val="nil"/>
              <w:left w:val="nil"/>
              <w:bottom w:val="single" w:sz="4" w:space="0" w:color="auto"/>
              <w:right w:val="nil"/>
            </w:tcBorders>
            <w:shd w:val="clear" w:color="auto" w:fill="auto"/>
            <w:vAlign w:val="center"/>
            <w:hideMark/>
          </w:tcPr>
          <w:p w14:paraId="0373CFCB" w14:textId="276DC245" w:rsidR="0015126A" w:rsidRPr="00B16F37" w:rsidRDefault="0015126A" w:rsidP="00F531D2">
            <w:pPr>
              <w:jc w:val="right"/>
              <w:rPr>
                <w:color w:val="000000"/>
                <w:sz w:val="18"/>
                <w:szCs w:val="18"/>
              </w:rPr>
            </w:pPr>
            <w:r>
              <w:rPr>
                <w:color w:val="000000"/>
                <w:sz w:val="18"/>
                <w:szCs w:val="18"/>
              </w:rPr>
              <w:t>10,4</w:t>
            </w:r>
          </w:p>
        </w:tc>
      </w:tr>
      <w:tr w:rsidR="0015126A" w:rsidRPr="00B16F37" w14:paraId="1197FCA2" w14:textId="77777777" w:rsidTr="00361521">
        <w:trPr>
          <w:trHeight w:val="290"/>
          <w:jc w:val="center"/>
        </w:trPr>
        <w:tc>
          <w:tcPr>
            <w:tcW w:w="4260" w:type="dxa"/>
            <w:tcBorders>
              <w:top w:val="nil"/>
              <w:left w:val="nil"/>
              <w:bottom w:val="single" w:sz="4" w:space="0" w:color="auto"/>
              <w:right w:val="nil"/>
            </w:tcBorders>
            <w:shd w:val="clear" w:color="auto" w:fill="auto"/>
            <w:vAlign w:val="center"/>
            <w:hideMark/>
          </w:tcPr>
          <w:p w14:paraId="04542654" w14:textId="21416234" w:rsidR="0015126A" w:rsidRPr="00B16F37" w:rsidRDefault="0015126A" w:rsidP="00361521">
            <w:pPr>
              <w:tabs>
                <w:tab w:val="clear" w:pos="567"/>
                <w:tab w:val="left" w:pos="316"/>
              </w:tabs>
              <w:rPr>
                <w:b/>
                <w:bCs/>
                <w:color w:val="000000"/>
                <w:sz w:val="18"/>
                <w:szCs w:val="18"/>
              </w:rPr>
            </w:pPr>
            <w:r>
              <w:rPr>
                <w:b/>
                <w:bCs/>
                <w:color w:val="000000" w:themeColor="text1"/>
                <w:sz w:val="18"/>
                <w:szCs w:val="18"/>
              </w:rPr>
              <w:tab/>
              <w:t>Contribution totale</w:t>
            </w:r>
          </w:p>
        </w:tc>
        <w:tc>
          <w:tcPr>
            <w:tcW w:w="1552" w:type="dxa"/>
            <w:tcBorders>
              <w:top w:val="nil"/>
              <w:left w:val="nil"/>
              <w:bottom w:val="single" w:sz="4" w:space="0" w:color="auto"/>
              <w:right w:val="nil"/>
            </w:tcBorders>
            <w:shd w:val="clear" w:color="auto" w:fill="auto"/>
            <w:vAlign w:val="center"/>
            <w:hideMark/>
          </w:tcPr>
          <w:p w14:paraId="2B4F05A3" w14:textId="0170211C" w:rsidR="0015126A" w:rsidRPr="00B16F37" w:rsidRDefault="0015126A" w:rsidP="00F531D2">
            <w:pPr>
              <w:jc w:val="right"/>
              <w:rPr>
                <w:b/>
                <w:bCs/>
                <w:color w:val="000000"/>
                <w:sz w:val="18"/>
                <w:szCs w:val="18"/>
              </w:rPr>
            </w:pPr>
            <w:r>
              <w:rPr>
                <w:b/>
                <w:bCs/>
                <w:color w:val="000000" w:themeColor="text1"/>
                <w:sz w:val="18"/>
                <w:szCs w:val="18"/>
              </w:rPr>
              <w:t>37</w:t>
            </w:r>
            <w:r w:rsidR="0050419E">
              <w:rPr>
                <w:b/>
                <w:bCs/>
                <w:color w:val="000000" w:themeColor="text1"/>
                <w:sz w:val="18"/>
                <w:szCs w:val="18"/>
              </w:rPr>
              <w:t> </w:t>
            </w:r>
            <w:r>
              <w:rPr>
                <w:b/>
                <w:bCs/>
                <w:color w:val="000000" w:themeColor="text1"/>
                <w:sz w:val="18"/>
                <w:szCs w:val="18"/>
              </w:rPr>
              <w:t>948,4</w:t>
            </w:r>
          </w:p>
        </w:tc>
      </w:tr>
    </w:tbl>
    <w:p w14:paraId="33B5B05B" w14:textId="41F3A9CF" w:rsidR="0015126A" w:rsidRPr="00B16F37" w:rsidRDefault="0015126A" w:rsidP="00361521">
      <w:pPr>
        <w:pStyle w:val="CBDTableTitle"/>
      </w:pPr>
      <w:r>
        <w:rPr>
          <w:b w:val="0"/>
          <w:bCs/>
        </w:rPr>
        <w:lastRenderedPageBreak/>
        <w:t>Tableau</w:t>
      </w:r>
      <w:r w:rsidR="0050419E">
        <w:rPr>
          <w:b w:val="0"/>
          <w:bCs/>
        </w:rPr>
        <w:t> </w:t>
      </w:r>
      <w:r>
        <w:rPr>
          <w:b w:val="0"/>
          <w:bCs/>
        </w:rPr>
        <w:t>3</w:t>
      </w:r>
      <w:r>
        <w:t xml:space="preserve"> </w:t>
      </w:r>
      <w:r>
        <w:rPr>
          <w:i/>
          <w:iCs/>
        </w:rPr>
        <w:br/>
      </w:r>
      <w:r>
        <w:t>État des contributions à la Convention et ses Protocoles pour l’exercice biennal 2023-2024, au 31 juillet 2024</w:t>
      </w:r>
    </w:p>
    <w:p w14:paraId="087CBC12" w14:textId="7379CB81" w:rsidR="0015126A" w:rsidRPr="00B16F37" w:rsidRDefault="0015126A" w:rsidP="00361521">
      <w:pPr>
        <w:pStyle w:val="Style1"/>
        <w:numPr>
          <w:ilvl w:val="0"/>
          <w:numId w:val="0"/>
        </w:numPr>
        <w:spacing w:before="0" w:after="60"/>
        <w:ind w:left="567"/>
        <w:outlineLvl w:val="9"/>
        <w:rPr>
          <w:rFonts w:ascii="Times New Roman" w:hAnsi="Times New Roman" w:cs="Times New Roman"/>
          <w:b w:val="0"/>
          <w:bCs/>
          <w:i w:val="0"/>
          <w:iCs w:val="0"/>
          <w:sz w:val="18"/>
          <w:szCs w:val="18"/>
        </w:rPr>
      </w:pPr>
      <w:r>
        <w:rPr>
          <w:rFonts w:ascii="Times New Roman" w:hAnsi="Times New Roman"/>
          <w:b w:val="0"/>
          <w:bCs/>
          <w:i w:val="0"/>
          <w:iCs w:val="0"/>
          <w:color w:val="000000" w:themeColor="text1"/>
          <w:sz w:val="18"/>
          <w:szCs w:val="18"/>
        </w:rPr>
        <w:t>(En milliers de dollars des États-Unis)</w:t>
      </w:r>
    </w:p>
    <w:tbl>
      <w:tblPr>
        <w:tblW w:w="8293" w:type="dxa"/>
        <w:jc w:val="center"/>
        <w:tblLook w:val="04A0" w:firstRow="1" w:lastRow="0" w:firstColumn="1" w:lastColumn="0" w:noHBand="0" w:noVBand="1"/>
      </w:tblPr>
      <w:tblGrid>
        <w:gridCol w:w="3788"/>
        <w:gridCol w:w="1206"/>
        <w:gridCol w:w="1019"/>
        <w:gridCol w:w="1136"/>
        <w:gridCol w:w="934"/>
        <w:gridCol w:w="1136"/>
      </w:tblGrid>
      <w:tr w:rsidR="0015126A" w:rsidRPr="00B16F37" w14:paraId="421664AD" w14:textId="77777777" w:rsidTr="00931865">
        <w:trPr>
          <w:trHeight w:val="246"/>
          <w:jc w:val="center"/>
        </w:trPr>
        <w:tc>
          <w:tcPr>
            <w:tcW w:w="3788" w:type="dxa"/>
            <w:tcBorders>
              <w:top w:val="single" w:sz="4" w:space="0" w:color="auto"/>
              <w:bottom w:val="single" w:sz="4" w:space="0" w:color="auto"/>
            </w:tcBorders>
            <w:vAlign w:val="center"/>
            <w:hideMark/>
          </w:tcPr>
          <w:p w14:paraId="6980EEA3" w14:textId="77777777" w:rsidR="0015126A" w:rsidRPr="00B16F37" w:rsidRDefault="0015126A" w:rsidP="006B6E6D">
            <w:pPr>
              <w:keepNext/>
              <w:keepLines/>
              <w:jc w:val="left"/>
              <w:rPr>
                <w:color w:val="000000"/>
                <w:sz w:val="18"/>
                <w:szCs w:val="18"/>
                <w:lang w:eastAsia="zh-CN"/>
              </w:rPr>
            </w:pPr>
          </w:p>
        </w:tc>
        <w:tc>
          <w:tcPr>
            <w:tcW w:w="750" w:type="dxa"/>
            <w:tcBorders>
              <w:top w:val="single" w:sz="4" w:space="0" w:color="auto"/>
              <w:bottom w:val="single" w:sz="4" w:space="0" w:color="auto"/>
              <w:right w:val="nil"/>
            </w:tcBorders>
            <w:shd w:val="clear" w:color="auto" w:fill="auto"/>
            <w:noWrap/>
            <w:vAlign w:val="bottom"/>
            <w:hideMark/>
          </w:tcPr>
          <w:p w14:paraId="124FDEED" w14:textId="2280F74C" w:rsidR="0015126A" w:rsidRPr="00B16F37" w:rsidRDefault="0015126A" w:rsidP="006B6E6D">
            <w:pPr>
              <w:keepNext/>
              <w:keepLines/>
              <w:jc w:val="right"/>
              <w:rPr>
                <w:i/>
                <w:iCs/>
                <w:color w:val="000000"/>
                <w:sz w:val="18"/>
                <w:szCs w:val="18"/>
              </w:rPr>
            </w:pPr>
            <w:r>
              <w:rPr>
                <w:i/>
                <w:iCs/>
                <w:color w:val="000000" w:themeColor="text1"/>
                <w:sz w:val="18"/>
                <w:szCs w:val="18"/>
              </w:rPr>
              <w:t>Montant mis en recouvrement</w:t>
            </w:r>
          </w:p>
        </w:tc>
        <w:tc>
          <w:tcPr>
            <w:tcW w:w="1019" w:type="dxa"/>
            <w:tcBorders>
              <w:top w:val="single" w:sz="4" w:space="0" w:color="auto"/>
              <w:left w:val="nil"/>
              <w:bottom w:val="single" w:sz="4" w:space="0" w:color="auto"/>
              <w:right w:val="nil"/>
            </w:tcBorders>
            <w:shd w:val="clear" w:color="auto" w:fill="auto"/>
            <w:noWrap/>
            <w:vAlign w:val="bottom"/>
            <w:hideMark/>
          </w:tcPr>
          <w:p w14:paraId="1D27D94E" w14:textId="489BD395" w:rsidR="0015126A" w:rsidRPr="00B16F37" w:rsidRDefault="0015126A" w:rsidP="006B6E6D">
            <w:pPr>
              <w:keepNext/>
              <w:keepLines/>
              <w:jc w:val="right"/>
              <w:rPr>
                <w:i/>
                <w:iCs/>
                <w:color w:val="000000"/>
                <w:sz w:val="18"/>
                <w:szCs w:val="18"/>
              </w:rPr>
            </w:pPr>
            <w:r>
              <w:rPr>
                <w:i/>
                <w:iCs/>
                <w:color w:val="000000" w:themeColor="text1"/>
                <w:sz w:val="18"/>
                <w:szCs w:val="18"/>
              </w:rPr>
              <w:t>Montant reçu</w:t>
            </w:r>
          </w:p>
        </w:tc>
        <w:tc>
          <w:tcPr>
            <w:tcW w:w="901" w:type="dxa"/>
            <w:tcBorders>
              <w:top w:val="single" w:sz="4" w:space="0" w:color="auto"/>
              <w:left w:val="nil"/>
              <w:bottom w:val="single" w:sz="4" w:space="0" w:color="auto"/>
              <w:right w:val="nil"/>
            </w:tcBorders>
            <w:shd w:val="clear" w:color="auto" w:fill="auto"/>
            <w:noWrap/>
            <w:vAlign w:val="bottom"/>
            <w:hideMark/>
          </w:tcPr>
          <w:p w14:paraId="1CC84973" w14:textId="6F762684" w:rsidR="0015126A" w:rsidRPr="00B16F37" w:rsidRDefault="0015126A" w:rsidP="006B6E6D">
            <w:pPr>
              <w:keepNext/>
              <w:keepLines/>
              <w:jc w:val="left"/>
              <w:rPr>
                <w:i/>
                <w:iCs/>
                <w:color w:val="000000"/>
                <w:sz w:val="18"/>
                <w:szCs w:val="18"/>
              </w:rPr>
            </w:pPr>
            <w:r>
              <w:rPr>
                <w:i/>
                <w:iCs/>
                <w:color w:val="000000" w:themeColor="text1"/>
                <w:sz w:val="18"/>
                <w:szCs w:val="18"/>
              </w:rPr>
              <w:t>Pourcentage</w:t>
            </w:r>
          </w:p>
        </w:tc>
        <w:tc>
          <w:tcPr>
            <w:tcW w:w="934" w:type="dxa"/>
            <w:tcBorders>
              <w:top w:val="single" w:sz="4" w:space="0" w:color="auto"/>
              <w:left w:val="nil"/>
              <w:bottom w:val="single" w:sz="4" w:space="0" w:color="auto"/>
              <w:right w:val="nil"/>
            </w:tcBorders>
            <w:shd w:val="clear" w:color="auto" w:fill="auto"/>
            <w:noWrap/>
            <w:vAlign w:val="bottom"/>
            <w:hideMark/>
          </w:tcPr>
          <w:p w14:paraId="4AB67886" w14:textId="2C3103F6" w:rsidR="0015126A" w:rsidRPr="00B16F37" w:rsidRDefault="000A003A" w:rsidP="006B6E6D">
            <w:pPr>
              <w:keepNext/>
              <w:keepLines/>
              <w:jc w:val="right"/>
              <w:rPr>
                <w:i/>
                <w:iCs/>
                <w:color w:val="000000"/>
                <w:sz w:val="18"/>
                <w:szCs w:val="18"/>
              </w:rPr>
            </w:pPr>
            <w:r>
              <w:rPr>
                <w:i/>
                <w:iCs/>
                <w:color w:val="000000" w:themeColor="text1"/>
                <w:sz w:val="18"/>
                <w:szCs w:val="18"/>
              </w:rPr>
              <w:t>Montant impayé</w:t>
            </w:r>
          </w:p>
        </w:tc>
        <w:tc>
          <w:tcPr>
            <w:tcW w:w="901" w:type="dxa"/>
            <w:tcBorders>
              <w:top w:val="single" w:sz="4" w:space="0" w:color="auto"/>
              <w:left w:val="nil"/>
              <w:bottom w:val="single" w:sz="4" w:space="0" w:color="auto"/>
              <w:right w:val="nil"/>
            </w:tcBorders>
            <w:shd w:val="clear" w:color="auto" w:fill="auto"/>
            <w:noWrap/>
            <w:vAlign w:val="bottom"/>
            <w:hideMark/>
          </w:tcPr>
          <w:p w14:paraId="553A8BEA" w14:textId="77777777" w:rsidR="0015126A" w:rsidRPr="00B16F37" w:rsidRDefault="0015126A" w:rsidP="006B6E6D">
            <w:pPr>
              <w:keepNext/>
              <w:keepLines/>
              <w:jc w:val="left"/>
              <w:rPr>
                <w:i/>
                <w:iCs/>
                <w:color w:val="000000"/>
                <w:sz w:val="18"/>
                <w:szCs w:val="18"/>
              </w:rPr>
            </w:pPr>
            <w:r>
              <w:rPr>
                <w:i/>
                <w:iCs/>
                <w:color w:val="000000" w:themeColor="text1"/>
                <w:sz w:val="18"/>
                <w:szCs w:val="18"/>
              </w:rPr>
              <w:t>Pourcentage</w:t>
            </w:r>
          </w:p>
        </w:tc>
      </w:tr>
      <w:tr w:rsidR="0015126A" w:rsidRPr="00B16F37" w14:paraId="22B73784" w14:textId="77777777" w:rsidTr="00931865">
        <w:trPr>
          <w:trHeight w:val="259"/>
          <w:jc w:val="center"/>
        </w:trPr>
        <w:tc>
          <w:tcPr>
            <w:tcW w:w="3788" w:type="dxa"/>
            <w:tcBorders>
              <w:top w:val="single" w:sz="4" w:space="0" w:color="auto"/>
              <w:left w:val="nil"/>
              <w:bottom w:val="nil"/>
            </w:tcBorders>
            <w:shd w:val="clear" w:color="auto" w:fill="auto"/>
            <w:noWrap/>
            <w:vAlign w:val="bottom"/>
            <w:hideMark/>
          </w:tcPr>
          <w:p w14:paraId="7021246D" w14:textId="410FFF6F" w:rsidR="0015126A" w:rsidRPr="00B16F37" w:rsidRDefault="0015126A" w:rsidP="006B6E6D">
            <w:pPr>
              <w:keepNext/>
              <w:keepLines/>
              <w:jc w:val="left"/>
              <w:rPr>
                <w:color w:val="000000"/>
                <w:sz w:val="18"/>
                <w:szCs w:val="18"/>
              </w:rPr>
            </w:pPr>
            <w:r>
              <w:rPr>
                <w:color w:val="000000" w:themeColor="text1"/>
                <w:sz w:val="18"/>
                <w:szCs w:val="18"/>
              </w:rPr>
              <w:t>Fonds d’affectation général de la Convention</w:t>
            </w:r>
          </w:p>
        </w:tc>
        <w:tc>
          <w:tcPr>
            <w:tcW w:w="750" w:type="dxa"/>
            <w:tcBorders>
              <w:top w:val="single" w:sz="4" w:space="0" w:color="auto"/>
              <w:bottom w:val="nil"/>
              <w:right w:val="nil"/>
            </w:tcBorders>
            <w:shd w:val="clear" w:color="auto" w:fill="auto"/>
            <w:noWrap/>
            <w:vAlign w:val="bottom"/>
            <w:hideMark/>
          </w:tcPr>
          <w:p w14:paraId="427F52CC" w14:textId="796BDA76" w:rsidR="0015126A" w:rsidRPr="00B16F37" w:rsidRDefault="0015126A" w:rsidP="006B6E6D">
            <w:pPr>
              <w:keepNext/>
              <w:keepLines/>
              <w:jc w:val="right"/>
              <w:rPr>
                <w:color w:val="000000"/>
                <w:sz w:val="18"/>
                <w:szCs w:val="18"/>
              </w:rPr>
            </w:pPr>
            <w:r>
              <w:rPr>
                <w:color w:val="000000" w:themeColor="text1"/>
                <w:sz w:val="18"/>
                <w:szCs w:val="18"/>
              </w:rPr>
              <w:t>27</w:t>
            </w:r>
            <w:r w:rsidR="0050419E">
              <w:rPr>
                <w:color w:val="000000" w:themeColor="text1"/>
                <w:sz w:val="18"/>
                <w:szCs w:val="18"/>
              </w:rPr>
              <w:t> </w:t>
            </w:r>
            <w:r>
              <w:rPr>
                <w:color w:val="000000" w:themeColor="text1"/>
                <w:sz w:val="18"/>
                <w:szCs w:val="18"/>
              </w:rPr>
              <w:t>315,4</w:t>
            </w:r>
          </w:p>
        </w:tc>
        <w:tc>
          <w:tcPr>
            <w:tcW w:w="1019" w:type="dxa"/>
            <w:tcBorders>
              <w:top w:val="single" w:sz="4" w:space="0" w:color="auto"/>
              <w:left w:val="nil"/>
              <w:bottom w:val="nil"/>
              <w:right w:val="nil"/>
            </w:tcBorders>
            <w:shd w:val="clear" w:color="auto" w:fill="auto"/>
            <w:noWrap/>
            <w:vAlign w:val="bottom"/>
            <w:hideMark/>
          </w:tcPr>
          <w:p w14:paraId="299836D9" w14:textId="1AE40E80" w:rsidR="0015126A" w:rsidRPr="00B16F37" w:rsidRDefault="0015126A" w:rsidP="006B6E6D">
            <w:pPr>
              <w:keepNext/>
              <w:keepLines/>
              <w:jc w:val="right"/>
              <w:rPr>
                <w:color w:val="000000"/>
                <w:sz w:val="18"/>
                <w:szCs w:val="18"/>
              </w:rPr>
            </w:pPr>
            <w:r>
              <w:rPr>
                <w:color w:val="000000"/>
                <w:sz w:val="18"/>
                <w:szCs w:val="18"/>
              </w:rPr>
              <w:t>21</w:t>
            </w:r>
            <w:r w:rsidR="0050419E">
              <w:rPr>
                <w:color w:val="000000"/>
                <w:sz w:val="18"/>
                <w:szCs w:val="18"/>
              </w:rPr>
              <w:t> </w:t>
            </w:r>
            <w:r>
              <w:rPr>
                <w:color w:val="000000"/>
                <w:sz w:val="18"/>
                <w:szCs w:val="18"/>
              </w:rPr>
              <w:t>343,6</w:t>
            </w:r>
          </w:p>
        </w:tc>
        <w:tc>
          <w:tcPr>
            <w:tcW w:w="901" w:type="dxa"/>
            <w:tcBorders>
              <w:top w:val="single" w:sz="4" w:space="0" w:color="auto"/>
              <w:left w:val="nil"/>
              <w:bottom w:val="nil"/>
              <w:right w:val="nil"/>
            </w:tcBorders>
            <w:shd w:val="clear" w:color="auto" w:fill="auto"/>
            <w:noWrap/>
            <w:vAlign w:val="bottom"/>
            <w:hideMark/>
          </w:tcPr>
          <w:p w14:paraId="4F7CFB66" w14:textId="63116642" w:rsidR="0015126A" w:rsidRPr="00B16F37" w:rsidRDefault="0015126A" w:rsidP="006B6E6D">
            <w:pPr>
              <w:keepNext/>
              <w:keepLines/>
              <w:jc w:val="right"/>
              <w:rPr>
                <w:color w:val="000000"/>
                <w:sz w:val="18"/>
                <w:szCs w:val="18"/>
              </w:rPr>
            </w:pPr>
            <w:r>
              <w:rPr>
                <w:color w:val="000000"/>
                <w:sz w:val="18"/>
                <w:szCs w:val="18"/>
              </w:rPr>
              <w:t>78,14</w:t>
            </w:r>
          </w:p>
        </w:tc>
        <w:tc>
          <w:tcPr>
            <w:tcW w:w="934" w:type="dxa"/>
            <w:tcBorders>
              <w:top w:val="single" w:sz="4" w:space="0" w:color="auto"/>
              <w:left w:val="nil"/>
              <w:bottom w:val="nil"/>
              <w:right w:val="nil"/>
            </w:tcBorders>
            <w:shd w:val="clear" w:color="auto" w:fill="auto"/>
            <w:noWrap/>
            <w:vAlign w:val="bottom"/>
            <w:hideMark/>
          </w:tcPr>
          <w:p w14:paraId="08C5465C" w14:textId="1DA92DF8" w:rsidR="0015126A" w:rsidRPr="00B16F37" w:rsidRDefault="0015126A" w:rsidP="006B6E6D">
            <w:pPr>
              <w:keepNext/>
              <w:keepLines/>
              <w:jc w:val="right"/>
              <w:rPr>
                <w:color w:val="000000"/>
                <w:sz w:val="18"/>
                <w:szCs w:val="18"/>
              </w:rPr>
            </w:pPr>
            <w:r>
              <w:rPr>
                <w:color w:val="000000"/>
                <w:sz w:val="18"/>
                <w:szCs w:val="18"/>
              </w:rPr>
              <w:t>5</w:t>
            </w:r>
            <w:r w:rsidR="0050419E">
              <w:rPr>
                <w:color w:val="000000"/>
                <w:sz w:val="18"/>
                <w:szCs w:val="18"/>
              </w:rPr>
              <w:t> </w:t>
            </w:r>
            <w:r>
              <w:rPr>
                <w:color w:val="000000"/>
                <w:sz w:val="18"/>
                <w:szCs w:val="18"/>
              </w:rPr>
              <w:t>971,8</w:t>
            </w:r>
          </w:p>
        </w:tc>
        <w:tc>
          <w:tcPr>
            <w:tcW w:w="901" w:type="dxa"/>
            <w:tcBorders>
              <w:top w:val="single" w:sz="4" w:space="0" w:color="auto"/>
              <w:left w:val="nil"/>
              <w:bottom w:val="nil"/>
              <w:right w:val="nil"/>
            </w:tcBorders>
            <w:shd w:val="clear" w:color="auto" w:fill="auto"/>
            <w:noWrap/>
            <w:vAlign w:val="bottom"/>
            <w:hideMark/>
          </w:tcPr>
          <w:p w14:paraId="1328E3C8" w14:textId="0E14DB5C" w:rsidR="0015126A" w:rsidRPr="00B16F37" w:rsidRDefault="0015126A" w:rsidP="006B6E6D">
            <w:pPr>
              <w:keepNext/>
              <w:keepLines/>
              <w:jc w:val="right"/>
              <w:rPr>
                <w:color w:val="000000"/>
                <w:sz w:val="18"/>
                <w:szCs w:val="18"/>
              </w:rPr>
            </w:pPr>
            <w:r>
              <w:rPr>
                <w:color w:val="000000" w:themeColor="text1"/>
                <w:sz w:val="18"/>
                <w:szCs w:val="18"/>
              </w:rPr>
              <w:t>21,86</w:t>
            </w:r>
          </w:p>
        </w:tc>
      </w:tr>
      <w:tr w:rsidR="0015126A" w:rsidRPr="00B16F37" w14:paraId="7A75485A" w14:textId="77777777" w:rsidTr="00931865">
        <w:trPr>
          <w:trHeight w:val="238"/>
          <w:jc w:val="center"/>
        </w:trPr>
        <w:tc>
          <w:tcPr>
            <w:tcW w:w="3788" w:type="dxa"/>
            <w:tcBorders>
              <w:top w:val="nil"/>
              <w:left w:val="nil"/>
              <w:bottom w:val="nil"/>
            </w:tcBorders>
            <w:shd w:val="clear" w:color="auto" w:fill="auto"/>
            <w:noWrap/>
            <w:vAlign w:val="bottom"/>
            <w:hideMark/>
          </w:tcPr>
          <w:p w14:paraId="69D97DD8" w14:textId="5DCEC441" w:rsidR="0015126A" w:rsidRPr="00B16F37" w:rsidRDefault="0015126A" w:rsidP="006B6E6D">
            <w:pPr>
              <w:keepNext/>
              <w:keepLines/>
              <w:jc w:val="left"/>
              <w:rPr>
                <w:color w:val="000000"/>
                <w:sz w:val="18"/>
                <w:szCs w:val="18"/>
              </w:rPr>
            </w:pPr>
            <w:r>
              <w:rPr>
                <w:color w:val="000000" w:themeColor="text1"/>
                <w:sz w:val="18"/>
                <w:szCs w:val="18"/>
              </w:rPr>
              <w:t>Fonds d’affectation général pour le budget-programme du Protocole de Cartagena</w:t>
            </w:r>
          </w:p>
        </w:tc>
        <w:tc>
          <w:tcPr>
            <w:tcW w:w="750" w:type="dxa"/>
            <w:tcBorders>
              <w:top w:val="nil"/>
              <w:right w:val="nil"/>
            </w:tcBorders>
            <w:shd w:val="clear" w:color="auto" w:fill="auto"/>
            <w:noWrap/>
            <w:vAlign w:val="bottom"/>
            <w:hideMark/>
          </w:tcPr>
          <w:p w14:paraId="57BDBED4" w14:textId="2A12030F" w:rsidR="0015126A" w:rsidRPr="00B16F37" w:rsidRDefault="0015126A" w:rsidP="006B6E6D">
            <w:pPr>
              <w:keepNext/>
              <w:keepLines/>
              <w:jc w:val="right"/>
              <w:rPr>
                <w:color w:val="000000"/>
                <w:sz w:val="18"/>
                <w:szCs w:val="18"/>
              </w:rPr>
            </w:pPr>
            <w:r>
              <w:rPr>
                <w:color w:val="000000" w:themeColor="text1"/>
                <w:sz w:val="18"/>
                <w:szCs w:val="18"/>
              </w:rPr>
              <w:t>5</w:t>
            </w:r>
            <w:r w:rsidR="0050419E">
              <w:rPr>
                <w:color w:val="000000" w:themeColor="text1"/>
                <w:sz w:val="18"/>
                <w:szCs w:val="18"/>
              </w:rPr>
              <w:t> </w:t>
            </w:r>
            <w:r>
              <w:rPr>
                <w:color w:val="000000" w:themeColor="text1"/>
                <w:sz w:val="18"/>
                <w:szCs w:val="18"/>
              </w:rPr>
              <w:t>690,7</w:t>
            </w:r>
          </w:p>
        </w:tc>
        <w:tc>
          <w:tcPr>
            <w:tcW w:w="1019" w:type="dxa"/>
            <w:tcBorders>
              <w:top w:val="nil"/>
              <w:left w:val="nil"/>
              <w:bottom w:val="nil"/>
              <w:right w:val="nil"/>
            </w:tcBorders>
            <w:shd w:val="clear" w:color="auto" w:fill="auto"/>
            <w:noWrap/>
            <w:vAlign w:val="bottom"/>
            <w:hideMark/>
          </w:tcPr>
          <w:p w14:paraId="254EB26B" w14:textId="3F0CD3E6" w:rsidR="0015126A" w:rsidRPr="00B16F37" w:rsidRDefault="0015126A" w:rsidP="006B6E6D">
            <w:pPr>
              <w:keepNext/>
              <w:keepLines/>
              <w:jc w:val="right"/>
              <w:rPr>
                <w:color w:val="000000"/>
                <w:sz w:val="18"/>
                <w:szCs w:val="18"/>
              </w:rPr>
            </w:pPr>
            <w:r>
              <w:rPr>
                <w:color w:val="000000"/>
                <w:sz w:val="18"/>
                <w:szCs w:val="18"/>
              </w:rPr>
              <w:t>4</w:t>
            </w:r>
            <w:r w:rsidR="0050419E">
              <w:rPr>
                <w:color w:val="000000"/>
                <w:sz w:val="18"/>
                <w:szCs w:val="18"/>
              </w:rPr>
              <w:t> </w:t>
            </w:r>
            <w:r>
              <w:rPr>
                <w:color w:val="000000"/>
                <w:sz w:val="18"/>
                <w:szCs w:val="18"/>
              </w:rPr>
              <w:t>577,6</w:t>
            </w:r>
          </w:p>
        </w:tc>
        <w:tc>
          <w:tcPr>
            <w:tcW w:w="901" w:type="dxa"/>
            <w:tcBorders>
              <w:top w:val="nil"/>
              <w:left w:val="nil"/>
              <w:bottom w:val="nil"/>
              <w:right w:val="nil"/>
            </w:tcBorders>
            <w:shd w:val="clear" w:color="auto" w:fill="auto"/>
            <w:noWrap/>
            <w:vAlign w:val="bottom"/>
            <w:hideMark/>
          </w:tcPr>
          <w:p w14:paraId="571F7FD2" w14:textId="5E8A8F8B" w:rsidR="0015126A" w:rsidRPr="00B16F37" w:rsidRDefault="0015126A" w:rsidP="006B6E6D">
            <w:pPr>
              <w:keepNext/>
              <w:keepLines/>
              <w:jc w:val="right"/>
              <w:rPr>
                <w:color w:val="000000"/>
                <w:sz w:val="18"/>
                <w:szCs w:val="18"/>
              </w:rPr>
            </w:pPr>
            <w:r>
              <w:rPr>
                <w:color w:val="000000" w:themeColor="text1"/>
                <w:sz w:val="18"/>
                <w:szCs w:val="18"/>
              </w:rPr>
              <w:t>80,44</w:t>
            </w:r>
          </w:p>
        </w:tc>
        <w:tc>
          <w:tcPr>
            <w:tcW w:w="934" w:type="dxa"/>
            <w:tcBorders>
              <w:top w:val="nil"/>
              <w:left w:val="nil"/>
              <w:bottom w:val="nil"/>
              <w:right w:val="nil"/>
            </w:tcBorders>
            <w:shd w:val="clear" w:color="auto" w:fill="auto"/>
            <w:noWrap/>
            <w:vAlign w:val="bottom"/>
            <w:hideMark/>
          </w:tcPr>
          <w:p w14:paraId="6E778A08" w14:textId="67DD4458" w:rsidR="0015126A" w:rsidRPr="00B16F37" w:rsidRDefault="0015126A" w:rsidP="006B6E6D">
            <w:pPr>
              <w:keepNext/>
              <w:keepLines/>
              <w:jc w:val="right"/>
              <w:rPr>
                <w:color w:val="000000"/>
                <w:sz w:val="18"/>
                <w:szCs w:val="18"/>
              </w:rPr>
            </w:pPr>
            <w:r>
              <w:rPr>
                <w:color w:val="000000"/>
                <w:sz w:val="18"/>
                <w:szCs w:val="18"/>
              </w:rPr>
              <w:t>1</w:t>
            </w:r>
            <w:r w:rsidR="0050419E">
              <w:rPr>
                <w:color w:val="000000"/>
                <w:sz w:val="18"/>
                <w:szCs w:val="18"/>
              </w:rPr>
              <w:t> </w:t>
            </w:r>
            <w:r>
              <w:rPr>
                <w:color w:val="000000"/>
                <w:sz w:val="18"/>
                <w:szCs w:val="18"/>
              </w:rPr>
              <w:t>113,1</w:t>
            </w:r>
          </w:p>
        </w:tc>
        <w:tc>
          <w:tcPr>
            <w:tcW w:w="901" w:type="dxa"/>
            <w:tcBorders>
              <w:top w:val="nil"/>
              <w:left w:val="nil"/>
              <w:bottom w:val="nil"/>
              <w:right w:val="nil"/>
            </w:tcBorders>
            <w:shd w:val="clear" w:color="auto" w:fill="auto"/>
            <w:noWrap/>
            <w:vAlign w:val="bottom"/>
            <w:hideMark/>
          </w:tcPr>
          <w:p w14:paraId="7AF74093" w14:textId="2F2DBEE8" w:rsidR="0015126A" w:rsidRPr="00B16F37" w:rsidRDefault="0015126A" w:rsidP="006B6E6D">
            <w:pPr>
              <w:keepNext/>
              <w:keepLines/>
              <w:jc w:val="right"/>
              <w:rPr>
                <w:color w:val="000000"/>
                <w:sz w:val="18"/>
                <w:szCs w:val="18"/>
              </w:rPr>
            </w:pPr>
            <w:r>
              <w:rPr>
                <w:color w:val="000000" w:themeColor="text1"/>
                <w:sz w:val="18"/>
                <w:szCs w:val="18"/>
              </w:rPr>
              <w:t>19,56</w:t>
            </w:r>
          </w:p>
        </w:tc>
      </w:tr>
      <w:tr w:rsidR="0015126A" w:rsidRPr="00B16F37" w14:paraId="627BCD58" w14:textId="77777777" w:rsidTr="00931865">
        <w:trPr>
          <w:trHeight w:val="238"/>
          <w:jc w:val="center"/>
        </w:trPr>
        <w:tc>
          <w:tcPr>
            <w:tcW w:w="3788" w:type="dxa"/>
            <w:tcBorders>
              <w:top w:val="nil"/>
              <w:left w:val="nil"/>
              <w:bottom w:val="nil"/>
            </w:tcBorders>
            <w:shd w:val="clear" w:color="auto" w:fill="auto"/>
            <w:noWrap/>
            <w:vAlign w:val="bottom"/>
            <w:hideMark/>
          </w:tcPr>
          <w:p w14:paraId="006595C4" w14:textId="184C3F29" w:rsidR="0015126A" w:rsidRPr="00B16F37" w:rsidRDefault="0015126A" w:rsidP="003B5E42">
            <w:pPr>
              <w:jc w:val="left"/>
              <w:rPr>
                <w:color w:val="000000"/>
                <w:sz w:val="18"/>
                <w:szCs w:val="18"/>
              </w:rPr>
            </w:pPr>
            <w:r>
              <w:rPr>
                <w:color w:val="000000" w:themeColor="text1"/>
                <w:sz w:val="18"/>
                <w:szCs w:val="18"/>
              </w:rPr>
              <w:t>Fonds d’affectation général pour le budget-programme du Protocole de Nagoya</w:t>
            </w:r>
          </w:p>
        </w:tc>
        <w:tc>
          <w:tcPr>
            <w:tcW w:w="750" w:type="dxa"/>
            <w:tcBorders>
              <w:top w:val="nil"/>
              <w:bottom w:val="single" w:sz="4" w:space="0" w:color="auto"/>
              <w:right w:val="nil"/>
            </w:tcBorders>
            <w:shd w:val="clear" w:color="auto" w:fill="auto"/>
            <w:noWrap/>
            <w:vAlign w:val="bottom"/>
            <w:hideMark/>
          </w:tcPr>
          <w:p w14:paraId="542F376D" w14:textId="76C86A24" w:rsidR="0015126A" w:rsidRPr="00B16F37" w:rsidRDefault="0015126A" w:rsidP="003B5E42">
            <w:pPr>
              <w:jc w:val="right"/>
              <w:rPr>
                <w:color w:val="000000"/>
                <w:sz w:val="18"/>
                <w:szCs w:val="18"/>
              </w:rPr>
            </w:pPr>
            <w:r>
              <w:rPr>
                <w:color w:val="000000"/>
                <w:sz w:val="18"/>
                <w:szCs w:val="18"/>
              </w:rPr>
              <w:t>4</w:t>
            </w:r>
            <w:r w:rsidR="0050419E">
              <w:rPr>
                <w:color w:val="000000"/>
                <w:sz w:val="18"/>
                <w:szCs w:val="18"/>
              </w:rPr>
              <w:t> </w:t>
            </w:r>
            <w:r>
              <w:rPr>
                <w:color w:val="000000"/>
                <w:sz w:val="18"/>
                <w:szCs w:val="18"/>
              </w:rPr>
              <w:t>942,3</w:t>
            </w:r>
          </w:p>
        </w:tc>
        <w:tc>
          <w:tcPr>
            <w:tcW w:w="1019" w:type="dxa"/>
            <w:tcBorders>
              <w:top w:val="nil"/>
              <w:left w:val="nil"/>
              <w:bottom w:val="nil"/>
              <w:right w:val="nil"/>
            </w:tcBorders>
            <w:shd w:val="clear" w:color="auto" w:fill="auto"/>
            <w:noWrap/>
            <w:vAlign w:val="bottom"/>
            <w:hideMark/>
          </w:tcPr>
          <w:p w14:paraId="326E256B" w14:textId="7B0B4AC8" w:rsidR="0015126A" w:rsidRPr="00B16F37" w:rsidRDefault="0015126A" w:rsidP="003B5E42">
            <w:pPr>
              <w:jc w:val="right"/>
              <w:rPr>
                <w:color w:val="000000"/>
                <w:sz w:val="18"/>
                <w:szCs w:val="18"/>
              </w:rPr>
            </w:pPr>
            <w:r>
              <w:rPr>
                <w:color w:val="000000"/>
                <w:sz w:val="18"/>
                <w:szCs w:val="18"/>
              </w:rPr>
              <w:t>3</w:t>
            </w:r>
            <w:r w:rsidR="0050419E">
              <w:rPr>
                <w:color w:val="000000"/>
                <w:sz w:val="18"/>
                <w:szCs w:val="18"/>
              </w:rPr>
              <w:t> </w:t>
            </w:r>
            <w:r>
              <w:rPr>
                <w:color w:val="000000"/>
                <w:sz w:val="18"/>
                <w:szCs w:val="18"/>
              </w:rPr>
              <w:t>620,6</w:t>
            </w:r>
          </w:p>
        </w:tc>
        <w:tc>
          <w:tcPr>
            <w:tcW w:w="901" w:type="dxa"/>
            <w:tcBorders>
              <w:top w:val="nil"/>
              <w:left w:val="nil"/>
              <w:bottom w:val="nil"/>
              <w:right w:val="nil"/>
            </w:tcBorders>
            <w:shd w:val="clear" w:color="auto" w:fill="auto"/>
            <w:noWrap/>
            <w:vAlign w:val="bottom"/>
            <w:hideMark/>
          </w:tcPr>
          <w:p w14:paraId="469E5369" w14:textId="1B759EE8" w:rsidR="0015126A" w:rsidRPr="00B16F37" w:rsidRDefault="0015126A" w:rsidP="003B5E42">
            <w:pPr>
              <w:jc w:val="right"/>
              <w:rPr>
                <w:color w:val="000000"/>
                <w:sz w:val="18"/>
                <w:szCs w:val="18"/>
              </w:rPr>
            </w:pPr>
            <w:r>
              <w:rPr>
                <w:color w:val="000000" w:themeColor="text1"/>
                <w:sz w:val="18"/>
                <w:szCs w:val="18"/>
              </w:rPr>
              <w:t>73,26</w:t>
            </w:r>
          </w:p>
        </w:tc>
        <w:tc>
          <w:tcPr>
            <w:tcW w:w="934" w:type="dxa"/>
            <w:tcBorders>
              <w:top w:val="nil"/>
              <w:left w:val="nil"/>
              <w:bottom w:val="nil"/>
              <w:right w:val="nil"/>
            </w:tcBorders>
            <w:shd w:val="clear" w:color="auto" w:fill="auto"/>
            <w:noWrap/>
            <w:vAlign w:val="bottom"/>
            <w:hideMark/>
          </w:tcPr>
          <w:p w14:paraId="42F2BF4E" w14:textId="7E9B0F59" w:rsidR="0015126A" w:rsidRPr="00B16F37" w:rsidRDefault="0015126A" w:rsidP="003B5E42">
            <w:pPr>
              <w:jc w:val="right"/>
              <w:rPr>
                <w:color w:val="000000"/>
                <w:sz w:val="18"/>
                <w:szCs w:val="18"/>
              </w:rPr>
            </w:pPr>
            <w:r>
              <w:rPr>
                <w:color w:val="000000"/>
                <w:sz w:val="18"/>
                <w:szCs w:val="18"/>
              </w:rPr>
              <w:t>1</w:t>
            </w:r>
            <w:r w:rsidR="0050419E">
              <w:rPr>
                <w:color w:val="000000"/>
                <w:sz w:val="18"/>
                <w:szCs w:val="18"/>
              </w:rPr>
              <w:t> </w:t>
            </w:r>
            <w:r>
              <w:rPr>
                <w:color w:val="000000"/>
                <w:sz w:val="18"/>
                <w:szCs w:val="18"/>
              </w:rPr>
              <w:t>321,8</w:t>
            </w:r>
          </w:p>
        </w:tc>
        <w:tc>
          <w:tcPr>
            <w:tcW w:w="901" w:type="dxa"/>
            <w:tcBorders>
              <w:top w:val="nil"/>
              <w:left w:val="nil"/>
              <w:bottom w:val="nil"/>
              <w:right w:val="nil"/>
            </w:tcBorders>
            <w:shd w:val="clear" w:color="auto" w:fill="auto"/>
            <w:noWrap/>
            <w:vAlign w:val="bottom"/>
            <w:hideMark/>
          </w:tcPr>
          <w:p w14:paraId="75A1FD35" w14:textId="4FB1FA65" w:rsidR="0015126A" w:rsidRPr="00B16F37" w:rsidRDefault="0015126A" w:rsidP="003B5E42">
            <w:pPr>
              <w:jc w:val="right"/>
              <w:rPr>
                <w:color w:val="000000"/>
                <w:sz w:val="18"/>
                <w:szCs w:val="18"/>
              </w:rPr>
            </w:pPr>
            <w:r>
              <w:rPr>
                <w:color w:val="000000" w:themeColor="text1"/>
                <w:sz w:val="18"/>
                <w:szCs w:val="18"/>
              </w:rPr>
              <w:t>26,74</w:t>
            </w:r>
          </w:p>
        </w:tc>
      </w:tr>
      <w:tr w:rsidR="0015126A" w:rsidRPr="00B16F37" w14:paraId="51984EAA" w14:textId="77777777" w:rsidTr="00931865">
        <w:trPr>
          <w:trHeight w:val="238"/>
          <w:jc w:val="center"/>
        </w:trPr>
        <w:tc>
          <w:tcPr>
            <w:tcW w:w="3788" w:type="dxa"/>
            <w:tcBorders>
              <w:top w:val="single" w:sz="4" w:space="0" w:color="auto"/>
              <w:left w:val="nil"/>
              <w:bottom w:val="single" w:sz="4" w:space="0" w:color="auto"/>
            </w:tcBorders>
            <w:shd w:val="clear" w:color="auto" w:fill="auto"/>
            <w:noWrap/>
            <w:vAlign w:val="bottom"/>
            <w:hideMark/>
          </w:tcPr>
          <w:p w14:paraId="428182CF" w14:textId="72020D1C" w:rsidR="0015126A" w:rsidRPr="00B16F37" w:rsidRDefault="0015126A" w:rsidP="00361521">
            <w:pPr>
              <w:tabs>
                <w:tab w:val="clear" w:pos="567"/>
                <w:tab w:val="left" w:pos="316"/>
              </w:tabs>
              <w:jc w:val="left"/>
              <w:rPr>
                <w:b/>
                <w:bCs/>
                <w:color w:val="000000"/>
                <w:sz w:val="18"/>
                <w:szCs w:val="18"/>
              </w:rPr>
            </w:pPr>
            <w:r>
              <w:rPr>
                <w:b/>
                <w:bCs/>
                <w:color w:val="000000" w:themeColor="text1"/>
                <w:sz w:val="18"/>
                <w:szCs w:val="18"/>
              </w:rPr>
              <w:tab/>
              <w:t xml:space="preserve">Total </w:t>
            </w:r>
          </w:p>
        </w:tc>
        <w:tc>
          <w:tcPr>
            <w:tcW w:w="750" w:type="dxa"/>
            <w:tcBorders>
              <w:top w:val="single" w:sz="4" w:space="0" w:color="auto"/>
              <w:bottom w:val="single" w:sz="4" w:space="0" w:color="auto"/>
              <w:right w:val="nil"/>
            </w:tcBorders>
            <w:shd w:val="clear" w:color="auto" w:fill="auto"/>
            <w:noWrap/>
            <w:vAlign w:val="bottom"/>
            <w:hideMark/>
          </w:tcPr>
          <w:p w14:paraId="7D8410DE" w14:textId="716A85F1" w:rsidR="0015126A" w:rsidRPr="00B16F37" w:rsidRDefault="0015126A" w:rsidP="003B5E42">
            <w:pPr>
              <w:jc w:val="right"/>
              <w:rPr>
                <w:b/>
                <w:bCs/>
                <w:color w:val="000000"/>
                <w:sz w:val="18"/>
                <w:szCs w:val="18"/>
              </w:rPr>
            </w:pPr>
            <w:r>
              <w:rPr>
                <w:b/>
                <w:bCs/>
                <w:color w:val="000000"/>
                <w:sz w:val="18"/>
                <w:szCs w:val="18"/>
              </w:rPr>
              <w:t>37</w:t>
            </w:r>
            <w:r w:rsidR="0050419E">
              <w:rPr>
                <w:b/>
                <w:bCs/>
                <w:color w:val="000000"/>
                <w:sz w:val="18"/>
                <w:szCs w:val="18"/>
              </w:rPr>
              <w:t> </w:t>
            </w:r>
            <w:r>
              <w:rPr>
                <w:b/>
                <w:bCs/>
                <w:color w:val="000000"/>
                <w:sz w:val="18"/>
                <w:szCs w:val="18"/>
              </w:rPr>
              <w:t>948,4</w:t>
            </w:r>
          </w:p>
        </w:tc>
        <w:tc>
          <w:tcPr>
            <w:tcW w:w="1019" w:type="dxa"/>
            <w:tcBorders>
              <w:top w:val="single" w:sz="4" w:space="0" w:color="auto"/>
              <w:left w:val="nil"/>
              <w:bottom w:val="single" w:sz="4" w:space="0" w:color="auto"/>
              <w:right w:val="nil"/>
            </w:tcBorders>
            <w:shd w:val="clear" w:color="auto" w:fill="auto"/>
            <w:noWrap/>
            <w:vAlign w:val="bottom"/>
            <w:hideMark/>
          </w:tcPr>
          <w:p w14:paraId="4E881467" w14:textId="30C123B2" w:rsidR="0015126A" w:rsidRPr="00B16F37" w:rsidRDefault="0015126A" w:rsidP="003B5E42">
            <w:pPr>
              <w:jc w:val="right"/>
              <w:rPr>
                <w:b/>
                <w:bCs/>
                <w:color w:val="000000"/>
                <w:sz w:val="18"/>
                <w:szCs w:val="18"/>
              </w:rPr>
            </w:pPr>
            <w:r>
              <w:rPr>
                <w:b/>
                <w:bCs/>
                <w:color w:val="000000"/>
                <w:sz w:val="18"/>
                <w:szCs w:val="18"/>
              </w:rPr>
              <w:t>29</w:t>
            </w:r>
            <w:r w:rsidR="0050419E">
              <w:rPr>
                <w:b/>
                <w:bCs/>
                <w:color w:val="000000"/>
                <w:sz w:val="18"/>
                <w:szCs w:val="18"/>
              </w:rPr>
              <w:t> </w:t>
            </w:r>
            <w:r>
              <w:rPr>
                <w:b/>
                <w:bCs/>
                <w:color w:val="000000"/>
                <w:sz w:val="18"/>
                <w:szCs w:val="18"/>
              </w:rPr>
              <w:t>541,8</w:t>
            </w:r>
          </w:p>
        </w:tc>
        <w:tc>
          <w:tcPr>
            <w:tcW w:w="901" w:type="dxa"/>
            <w:tcBorders>
              <w:top w:val="single" w:sz="4" w:space="0" w:color="auto"/>
              <w:left w:val="nil"/>
              <w:bottom w:val="single" w:sz="4" w:space="0" w:color="auto"/>
              <w:right w:val="nil"/>
            </w:tcBorders>
            <w:shd w:val="clear" w:color="auto" w:fill="auto"/>
            <w:noWrap/>
            <w:vAlign w:val="bottom"/>
            <w:hideMark/>
          </w:tcPr>
          <w:p w14:paraId="558381B8" w14:textId="658964A8" w:rsidR="0015126A" w:rsidRPr="00B16F37" w:rsidRDefault="0015126A" w:rsidP="003B5E42">
            <w:pPr>
              <w:jc w:val="right"/>
              <w:rPr>
                <w:b/>
                <w:bCs/>
                <w:color w:val="000000"/>
                <w:sz w:val="18"/>
                <w:szCs w:val="18"/>
              </w:rPr>
            </w:pPr>
            <w:r>
              <w:rPr>
                <w:b/>
                <w:bCs/>
                <w:color w:val="000000" w:themeColor="text1"/>
                <w:sz w:val="18"/>
                <w:szCs w:val="18"/>
              </w:rPr>
              <w:t>77,85</w:t>
            </w:r>
          </w:p>
        </w:tc>
        <w:tc>
          <w:tcPr>
            <w:tcW w:w="934" w:type="dxa"/>
            <w:tcBorders>
              <w:top w:val="single" w:sz="4" w:space="0" w:color="auto"/>
              <w:left w:val="nil"/>
              <w:bottom w:val="single" w:sz="4" w:space="0" w:color="auto"/>
              <w:right w:val="nil"/>
            </w:tcBorders>
            <w:shd w:val="clear" w:color="auto" w:fill="auto"/>
            <w:noWrap/>
            <w:vAlign w:val="bottom"/>
            <w:hideMark/>
          </w:tcPr>
          <w:p w14:paraId="31144291" w14:textId="0CC7940D" w:rsidR="0015126A" w:rsidRPr="00B16F37" w:rsidRDefault="0015126A" w:rsidP="003B5E42">
            <w:pPr>
              <w:jc w:val="right"/>
              <w:rPr>
                <w:b/>
                <w:bCs/>
                <w:color w:val="000000"/>
                <w:sz w:val="18"/>
                <w:szCs w:val="18"/>
              </w:rPr>
            </w:pPr>
            <w:r>
              <w:rPr>
                <w:b/>
                <w:bCs/>
                <w:color w:val="000000"/>
                <w:sz w:val="18"/>
                <w:szCs w:val="18"/>
              </w:rPr>
              <w:t>8</w:t>
            </w:r>
            <w:r w:rsidR="0050419E">
              <w:rPr>
                <w:b/>
                <w:bCs/>
                <w:color w:val="000000"/>
                <w:sz w:val="18"/>
                <w:szCs w:val="18"/>
              </w:rPr>
              <w:t> 406,</w:t>
            </w:r>
            <w:r>
              <w:rPr>
                <w:b/>
                <w:bCs/>
                <w:color w:val="000000"/>
                <w:sz w:val="18"/>
                <w:szCs w:val="18"/>
              </w:rPr>
              <w:t>7</w:t>
            </w:r>
          </w:p>
        </w:tc>
        <w:tc>
          <w:tcPr>
            <w:tcW w:w="901" w:type="dxa"/>
            <w:tcBorders>
              <w:top w:val="single" w:sz="4" w:space="0" w:color="auto"/>
              <w:left w:val="nil"/>
              <w:bottom w:val="single" w:sz="4" w:space="0" w:color="auto"/>
              <w:right w:val="nil"/>
            </w:tcBorders>
            <w:shd w:val="clear" w:color="auto" w:fill="auto"/>
            <w:noWrap/>
            <w:vAlign w:val="bottom"/>
            <w:hideMark/>
          </w:tcPr>
          <w:p w14:paraId="714A7C88" w14:textId="65FC907A" w:rsidR="0015126A" w:rsidRPr="00B16F37" w:rsidRDefault="0015126A" w:rsidP="003B5E42">
            <w:pPr>
              <w:jc w:val="right"/>
              <w:rPr>
                <w:b/>
                <w:bCs/>
                <w:color w:val="000000"/>
                <w:sz w:val="18"/>
                <w:szCs w:val="18"/>
              </w:rPr>
            </w:pPr>
            <w:r>
              <w:rPr>
                <w:b/>
                <w:bCs/>
                <w:color w:val="000000" w:themeColor="text1"/>
                <w:sz w:val="18"/>
                <w:szCs w:val="18"/>
              </w:rPr>
              <w:t>22,15</w:t>
            </w:r>
          </w:p>
        </w:tc>
      </w:tr>
    </w:tbl>
    <w:p w14:paraId="79CB0351" w14:textId="3EEEAD77" w:rsidR="0015126A" w:rsidRPr="00B16F37" w:rsidRDefault="0015126A" w:rsidP="00361521">
      <w:pPr>
        <w:pStyle w:val="CBDNormalNumber"/>
        <w:rPr>
          <w:rFonts w:eastAsia="Malgun Gothic"/>
          <w:kern w:val="22"/>
        </w:rPr>
      </w:pPr>
      <w:r>
        <w:t>Comme le montre le tableau 3, au 31 juillet 2024, 77,85 pour cent du total des contributions mises en recouvrement pour l’exercice biennal 2023-2024 avaient été payées par les Parties. Le tableau 4 indique qu’à la même date, 92 Parties à la Convention, 82 Parties au Protocole de Cartagena et 59 Parties au Protocole de Nagoya avaient payé en totalité leurs contributions mises en recouvrement pour 2023. En ce qui concerne l’année 2024, 51 Parties à la Convention, 49 Parties au Protocole de Cartagena et 29 Parties au Protocole de Nagoya avaient payé en totalité leurs contributions mises en recouvrement.</w:t>
      </w:r>
    </w:p>
    <w:p w14:paraId="0B908333" w14:textId="3D90B369" w:rsidR="0015126A" w:rsidRPr="00B16F37" w:rsidRDefault="0015126A" w:rsidP="00361521">
      <w:pPr>
        <w:pStyle w:val="CBDTableTitle"/>
        <w:rPr>
          <w:rFonts w:eastAsia="Malgun Gothic"/>
        </w:rPr>
      </w:pPr>
      <w:r>
        <w:rPr>
          <w:b w:val="0"/>
          <w:bCs/>
        </w:rPr>
        <w:t>Tableau</w:t>
      </w:r>
      <w:r w:rsidR="0050419E">
        <w:rPr>
          <w:b w:val="0"/>
          <w:bCs/>
        </w:rPr>
        <w:t> </w:t>
      </w:r>
      <w:r>
        <w:rPr>
          <w:b w:val="0"/>
          <w:bCs/>
        </w:rPr>
        <w:t>4</w:t>
      </w:r>
      <w:r>
        <w:t xml:space="preserve"> </w:t>
      </w:r>
      <w:r>
        <w:br/>
        <w:t>État des contributions mises en recouvrement pour l’exercice biennal 2023-2024 payées en totalité au 31 juillet 2024</w:t>
      </w:r>
    </w:p>
    <w:tbl>
      <w:tblPr>
        <w:tblW w:w="9022" w:type="dxa"/>
        <w:jc w:val="center"/>
        <w:tblLook w:val="04A0" w:firstRow="1" w:lastRow="0" w:firstColumn="1" w:lastColumn="0" w:noHBand="0" w:noVBand="1"/>
      </w:tblPr>
      <w:tblGrid>
        <w:gridCol w:w="3786"/>
        <w:gridCol w:w="796"/>
        <w:gridCol w:w="1206"/>
        <w:gridCol w:w="1136"/>
        <w:gridCol w:w="1211"/>
        <w:gridCol w:w="1136"/>
      </w:tblGrid>
      <w:tr w:rsidR="0015126A" w:rsidRPr="00B16F37" w14:paraId="12056679" w14:textId="77777777" w:rsidTr="00361521">
        <w:trPr>
          <w:trHeight w:val="433"/>
          <w:jc w:val="center"/>
        </w:trPr>
        <w:tc>
          <w:tcPr>
            <w:tcW w:w="3786" w:type="dxa"/>
            <w:vMerge w:val="restart"/>
            <w:tcBorders>
              <w:top w:val="single" w:sz="4" w:space="0" w:color="auto"/>
              <w:left w:val="nil"/>
              <w:bottom w:val="single" w:sz="4" w:space="0" w:color="000000"/>
              <w:right w:val="nil"/>
            </w:tcBorders>
            <w:shd w:val="clear" w:color="auto" w:fill="auto"/>
            <w:noWrap/>
            <w:vAlign w:val="bottom"/>
            <w:hideMark/>
          </w:tcPr>
          <w:p w14:paraId="470EAA9B" w14:textId="514F76E2" w:rsidR="0015126A" w:rsidRPr="00B16F37" w:rsidRDefault="0015126A" w:rsidP="00361521">
            <w:pPr>
              <w:keepNext/>
              <w:keepLines/>
              <w:jc w:val="left"/>
              <w:rPr>
                <w:i/>
                <w:iCs/>
                <w:color w:val="000000"/>
                <w:sz w:val="18"/>
                <w:szCs w:val="18"/>
              </w:rPr>
            </w:pPr>
            <w:r>
              <w:rPr>
                <w:i/>
                <w:iCs/>
                <w:color w:val="000000"/>
                <w:sz w:val="18"/>
                <w:szCs w:val="18"/>
              </w:rPr>
              <w:t>Fonds d’affectation</w:t>
            </w:r>
          </w:p>
        </w:tc>
        <w:tc>
          <w:tcPr>
            <w:tcW w:w="796" w:type="dxa"/>
            <w:vMerge w:val="restart"/>
            <w:tcBorders>
              <w:top w:val="single" w:sz="4" w:space="0" w:color="auto"/>
              <w:left w:val="nil"/>
              <w:bottom w:val="single" w:sz="4" w:space="0" w:color="000000"/>
              <w:right w:val="nil"/>
            </w:tcBorders>
            <w:shd w:val="clear" w:color="auto" w:fill="auto"/>
            <w:vAlign w:val="bottom"/>
            <w:hideMark/>
          </w:tcPr>
          <w:p w14:paraId="18B3E6DC" w14:textId="77777777" w:rsidR="0015126A" w:rsidRPr="00B16F37" w:rsidRDefault="0015126A" w:rsidP="00361521">
            <w:pPr>
              <w:keepNext/>
              <w:keepLines/>
              <w:jc w:val="right"/>
              <w:rPr>
                <w:i/>
                <w:iCs/>
                <w:color w:val="000000"/>
                <w:sz w:val="18"/>
                <w:szCs w:val="18"/>
              </w:rPr>
            </w:pPr>
            <w:r>
              <w:rPr>
                <w:i/>
                <w:iCs/>
                <w:color w:val="000000"/>
                <w:sz w:val="18"/>
                <w:szCs w:val="18"/>
              </w:rPr>
              <w:t>Nombre de Parties</w:t>
            </w:r>
          </w:p>
        </w:tc>
        <w:tc>
          <w:tcPr>
            <w:tcW w:w="1157" w:type="dxa"/>
            <w:vMerge w:val="restart"/>
            <w:tcBorders>
              <w:top w:val="single" w:sz="4" w:space="0" w:color="auto"/>
              <w:left w:val="nil"/>
              <w:bottom w:val="single" w:sz="4" w:space="0" w:color="000000"/>
              <w:right w:val="nil"/>
            </w:tcBorders>
            <w:shd w:val="clear" w:color="auto" w:fill="auto"/>
            <w:vAlign w:val="bottom"/>
            <w:hideMark/>
          </w:tcPr>
          <w:p w14:paraId="48AC44A3" w14:textId="075524DF" w:rsidR="0015126A" w:rsidRPr="00B16F37" w:rsidRDefault="0015126A" w:rsidP="00361521">
            <w:pPr>
              <w:keepNext/>
              <w:keepLines/>
              <w:jc w:val="right"/>
              <w:rPr>
                <w:i/>
                <w:iCs/>
                <w:color w:val="000000"/>
                <w:sz w:val="18"/>
                <w:szCs w:val="18"/>
              </w:rPr>
            </w:pPr>
            <w:r>
              <w:rPr>
                <w:i/>
                <w:iCs/>
                <w:color w:val="000000"/>
                <w:sz w:val="18"/>
                <w:szCs w:val="18"/>
              </w:rPr>
              <w:t>Nombre de Parties qui avaient payé en totalité leurs contributions mises en recouvrement pour 2023</w:t>
            </w:r>
          </w:p>
        </w:tc>
        <w:tc>
          <w:tcPr>
            <w:tcW w:w="1036" w:type="dxa"/>
            <w:vMerge w:val="restart"/>
            <w:tcBorders>
              <w:top w:val="single" w:sz="4" w:space="0" w:color="auto"/>
              <w:left w:val="nil"/>
              <w:bottom w:val="single" w:sz="4" w:space="0" w:color="000000"/>
              <w:right w:val="nil"/>
            </w:tcBorders>
            <w:shd w:val="clear" w:color="auto" w:fill="auto"/>
            <w:noWrap/>
            <w:vAlign w:val="bottom"/>
            <w:hideMark/>
          </w:tcPr>
          <w:p w14:paraId="13D1FC55" w14:textId="77777777" w:rsidR="0015126A" w:rsidRPr="00B16F37" w:rsidRDefault="0015126A" w:rsidP="00361521">
            <w:pPr>
              <w:keepNext/>
              <w:keepLines/>
              <w:jc w:val="right"/>
              <w:rPr>
                <w:i/>
                <w:iCs/>
                <w:color w:val="000000"/>
                <w:sz w:val="18"/>
                <w:szCs w:val="18"/>
              </w:rPr>
            </w:pPr>
            <w:r>
              <w:rPr>
                <w:i/>
                <w:iCs/>
                <w:color w:val="000000"/>
                <w:sz w:val="18"/>
                <w:szCs w:val="18"/>
              </w:rPr>
              <w:t>Pourcentage</w:t>
            </w:r>
          </w:p>
        </w:tc>
        <w:tc>
          <w:tcPr>
            <w:tcW w:w="1211" w:type="dxa"/>
            <w:vMerge w:val="restart"/>
            <w:tcBorders>
              <w:top w:val="single" w:sz="4" w:space="0" w:color="auto"/>
              <w:left w:val="nil"/>
              <w:bottom w:val="single" w:sz="4" w:space="0" w:color="000000"/>
              <w:right w:val="nil"/>
            </w:tcBorders>
            <w:shd w:val="clear" w:color="auto" w:fill="auto"/>
            <w:vAlign w:val="bottom"/>
            <w:hideMark/>
          </w:tcPr>
          <w:p w14:paraId="79C9F78E" w14:textId="4B3F6203" w:rsidR="0015126A" w:rsidRPr="00B16F37" w:rsidRDefault="0015126A" w:rsidP="00361521">
            <w:pPr>
              <w:keepNext/>
              <w:keepLines/>
              <w:jc w:val="right"/>
              <w:rPr>
                <w:i/>
                <w:iCs/>
                <w:color w:val="000000"/>
                <w:sz w:val="18"/>
                <w:szCs w:val="18"/>
              </w:rPr>
            </w:pPr>
            <w:r>
              <w:rPr>
                <w:i/>
                <w:iCs/>
                <w:color w:val="000000"/>
                <w:sz w:val="18"/>
                <w:szCs w:val="18"/>
              </w:rPr>
              <w:t>Nombre de Parties qui avaient payé en totalité leurs contributions mises en recouvrement</w:t>
            </w:r>
          </w:p>
        </w:tc>
        <w:tc>
          <w:tcPr>
            <w:tcW w:w="1036" w:type="dxa"/>
            <w:vMerge w:val="restart"/>
            <w:tcBorders>
              <w:top w:val="single" w:sz="4" w:space="0" w:color="auto"/>
              <w:left w:val="nil"/>
              <w:bottom w:val="single" w:sz="4" w:space="0" w:color="000000"/>
              <w:right w:val="nil"/>
            </w:tcBorders>
            <w:shd w:val="clear" w:color="auto" w:fill="auto"/>
            <w:noWrap/>
            <w:vAlign w:val="bottom"/>
            <w:hideMark/>
          </w:tcPr>
          <w:p w14:paraId="542B0902" w14:textId="77777777" w:rsidR="0015126A" w:rsidRPr="00B16F37" w:rsidRDefault="0015126A" w:rsidP="00361521">
            <w:pPr>
              <w:keepNext/>
              <w:keepLines/>
              <w:jc w:val="right"/>
              <w:rPr>
                <w:i/>
                <w:iCs/>
                <w:color w:val="000000"/>
                <w:sz w:val="18"/>
                <w:szCs w:val="18"/>
              </w:rPr>
            </w:pPr>
            <w:r>
              <w:rPr>
                <w:i/>
                <w:iCs/>
                <w:color w:val="000000"/>
                <w:sz w:val="18"/>
                <w:szCs w:val="18"/>
              </w:rPr>
              <w:t>Pourcentage</w:t>
            </w:r>
          </w:p>
        </w:tc>
      </w:tr>
      <w:tr w:rsidR="0015126A" w:rsidRPr="00B16F37" w14:paraId="1A43E40D" w14:textId="77777777" w:rsidTr="00E20C80">
        <w:trPr>
          <w:trHeight w:val="433"/>
          <w:jc w:val="center"/>
        </w:trPr>
        <w:tc>
          <w:tcPr>
            <w:tcW w:w="3786" w:type="dxa"/>
            <w:vMerge/>
            <w:tcBorders>
              <w:top w:val="single" w:sz="4" w:space="0" w:color="auto"/>
              <w:left w:val="nil"/>
              <w:bottom w:val="single" w:sz="4" w:space="0" w:color="000000"/>
              <w:right w:val="nil"/>
            </w:tcBorders>
            <w:vAlign w:val="center"/>
            <w:hideMark/>
          </w:tcPr>
          <w:p w14:paraId="7438F424" w14:textId="77777777" w:rsidR="0015126A" w:rsidRPr="00B16F37" w:rsidRDefault="0015126A" w:rsidP="00361521">
            <w:pPr>
              <w:keepNext/>
              <w:keepLines/>
              <w:jc w:val="left"/>
              <w:rPr>
                <w:b/>
                <w:bCs/>
                <w:color w:val="000000"/>
                <w:sz w:val="18"/>
                <w:szCs w:val="18"/>
                <w:lang w:eastAsia="zh-CN"/>
              </w:rPr>
            </w:pPr>
          </w:p>
        </w:tc>
        <w:tc>
          <w:tcPr>
            <w:tcW w:w="796" w:type="dxa"/>
            <w:vMerge/>
            <w:tcBorders>
              <w:top w:val="single" w:sz="4" w:space="0" w:color="auto"/>
              <w:left w:val="nil"/>
              <w:bottom w:val="single" w:sz="4" w:space="0" w:color="000000"/>
              <w:right w:val="nil"/>
            </w:tcBorders>
            <w:vAlign w:val="center"/>
            <w:hideMark/>
          </w:tcPr>
          <w:p w14:paraId="47FAEE28" w14:textId="77777777" w:rsidR="0015126A" w:rsidRPr="00B16F37" w:rsidRDefault="0015126A" w:rsidP="00361521">
            <w:pPr>
              <w:keepNext/>
              <w:keepLines/>
              <w:jc w:val="left"/>
              <w:rPr>
                <w:b/>
                <w:bCs/>
                <w:color w:val="000000"/>
                <w:sz w:val="18"/>
                <w:szCs w:val="18"/>
                <w:lang w:eastAsia="zh-CN"/>
              </w:rPr>
            </w:pPr>
          </w:p>
        </w:tc>
        <w:tc>
          <w:tcPr>
            <w:tcW w:w="1157" w:type="dxa"/>
            <w:vMerge/>
            <w:tcBorders>
              <w:top w:val="single" w:sz="4" w:space="0" w:color="auto"/>
              <w:left w:val="nil"/>
              <w:bottom w:val="single" w:sz="4" w:space="0" w:color="000000"/>
              <w:right w:val="nil"/>
            </w:tcBorders>
            <w:vAlign w:val="center"/>
            <w:hideMark/>
          </w:tcPr>
          <w:p w14:paraId="008F4FB9" w14:textId="77777777" w:rsidR="0015126A" w:rsidRPr="00B16F37" w:rsidRDefault="0015126A" w:rsidP="00361521">
            <w:pPr>
              <w:keepNext/>
              <w:keepLines/>
              <w:jc w:val="left"/>
              <w:rPr>
                <w:b/>
                <w:bCs/>
                <w:color w:val="000000"/>
                <w:sz w:val="18"/>
                <w:szCs w:val="18"/>
                <w:lang w:eastAsia="zh-CN"/>
              </w:rPr>
            </w:pPr>
          </w:p>
        </w:tc>
        <w:tc>
          <w:tcPr>
            <w:tcW w:w="1036" w:type="dxa"/>
            <w:vMerge/>
            <w:tcBorders>
              <w:top w:val="single" w:sz="4" w:space="0" w:color="auto"/>
              <w:left w:val="nil"/>
              <w:bottom w:val="single" w:sz="4" w:space="0" w:color="000000"/>
              <w:right w:val="nil"/>
            </w:tcBorders>
            <w:vAlign w:val="center"/>
            <w:hideMark/>
          </w:tcPr>
          <w:p w14:paraId="14F221DC" w14:textId="77777777" w:rsidR="0015126A" w:rsidRPr="00B16F37" w:rsidRDefault="0015126A" w:rsidP="00361521">
            <w:pPr>
              <w:keepNext/>
              <w:keepLines/>
              <w:jc w:val="left"/>
              <w:rPr>
                <w:b/>
                <w:bCs/>
                <w:color w:val="000000"/>
                <w:sz w:val="18"/>
                <w:szCs w:val="18"/>
                <w:lang w:eastAsia="zh-CN"/>
              </w:rPr>
            </w:pPr>
          </w:p>
        </w:tc>
        <w:tc>
          <w:tcPr>
            <w:tcW w:w="1211" w:type="dxa"/>
            <w:vMerge/>
            <w:tcBorders>
              <w:top w:val="single" w:sz="4" w:space="0" w:color="auto"/>
              <w:left w:val="nil"/>
              <w:bottom w:val="single" w:sz="4" w:space="0" w:color="000000"/>
              <w:right w:val="nil"/>
            </w:tcBorders>
            <w:vAlign w:val="center"/>
            <w:hideMark/>
          </w:tcPr>
          <w:p w14:paraId="2809AA80" w14:textId="77777777" w:rsidR="0015126A" w:rsidRPr="00B16F37" w:rsidRDefault="0015126A" w:rsidP="00361521">
            <w:pPr>
              <w:keepNext/>
              <w:keepLines/>
              <w:jc w:val="left"/>
              <w:rPr>
                <w:b/>
                <w:bCs/>
                <w:color w:val="000000"/>
                <w:sz w:val="18"/>
                <w:szCs w:val="18"/>
                <w:lang w:eastAsia="zh-CN"/>
              </w:rPr>
            </w:pPr>
          </w:p>
        </w:tc>
        <w:tc>
          <w:tcPr>
            <w:tcW w:w="1036" w:type="dxa"/>
            <w:vMerge/>
            <w:tcBorders>
              <w:top w:val="single" w:sz="4" w:space="0" w:color="auto"/>
              <w:left w:val="nil"/>
              <w:bottom w:val="single" w:sz="4" w:space="0" w:color="000000"/>
              <w:right w:val="nil"/>
            </w:tcBorders>
            <w:vAlign w:val="center"/>
            <w:hideMark/>
          </w:tcPr>
          <w:p w14:paraId="15DEAA9C" w14:textId="77777777" w:rsidR="0015126A" w:rsidRPr="00B16F37" w:rsidRDefault="0015126A" w:rsidP="00361521">
            <w:pPr>
              <w:keepNext/>
              <w:keepLines/>
              <w:jc w:val="left"/>
              <w:rPr>
                <w:b/>
                <w:bCs/>
                <w:color w:val="000000"/>
                <w:sz w:val="18"/>
                <w:szCs w:val="18"/>
                <w:lang w:eastAsia="zh-CN"/>
              </w:rPr>
            </w:pPr>
          </w:p>
        </w:tc>
      </w:tr>
      <w:tr w:rsidR="0015126A" w:rsidRPr="00B16F37" w14:paraId="40C2B172" w14:textId="77777777" w:rsidTr="00361521">
        <w:trPr>
          <w:trHeight w:val="265"/>
          <w:jc w:val="center"/>
        </w:trPr>
        <w:tc>
          <w:tcPr>
            <w:tcW w:w="3786" w:type="dxa"/>
            <w:tcBorders>
              <w:top w:val="nil"/>
              <w:left w:val="nil"/>
              <w:bottom w:val="nil"/>
              <w:right w:val="nil"/>
            </w:tcBorders>
            <w:shd w:val="clear" w:color="auto" w:fill="auto"/>
            <w:noWrap/>
            <w:vAlign w:val="bottom"/>
            <w:hideMark/>
          </w:tcPr>
          <w:p w14:paraId="3990797D" w14:textId="2708C834" w:rsidR="0015126A" w:rsidRPr="00B16F37" w:rsidRDefault="0015126A" w:rsidP="00361521">
            <w:pPr>
              <w:keepNext/>
              <w:keepLines/>
              <w:jc w:val="left"/>
              <w:rPr>
                <w:color w:val="000000"/>
                <w:sz w:val="18"/>
                <w:szCs w:val="18"/>
              </w:rPr>
            </w:pPr>
            <w:r>
              <w:rPr>
                <w:sz w:val="18"/>
                <w:szCs w:val="18"/>
              </w:rPr>
              <w:t>Fonds d’affectation général de la Convention</w:t>
            </w:r>
          </w:p>
        </w:tc>
        <w:tc>
          <w:tcPr>
            <w:tcW w:w="796" w:type="dxa"/>
            <w:tcBorders>
              <w:top w:val="nil"/>
              <w:left w:val="nil"/>
              <w:bottom w:val="nil"/>
              <w:right w:val="nil"/>
            </w:tcBorders>
            <w:shd w:val="clear" w:color="auto" w:fill="auto"/>
            <w:noWrap/>
            <w:vAlign w:val="center"/>
            <w:hideMark/>
          </w:tcPr>
          <w:p w14:paraId="7691796D" w14:textId="77777777" w:rsidR="0015126A" w:rsidRPr="00B16F37" w:rsidRDefault="0015126A" w:rsidP="00361521">
            <w:pPr>
              <w:keepNext/>
              <w:keepLines/>
              <w:jc w:val="right"/>
              <w:rPr>
                <w:color w:val="000000"/>
                <w:sz w:val="18"/>
                <w:szCs w:val="18"/>
              </w:rPr>
            </w:pPr>
            <w:r>
              <w:rPr>
                <w:color w:val="000000"/>
                <w:sz w:val="18"/>
                <w:szCs w:val="18"/>
              </w:rPr>
              <w:t>196</w:t>
            </w:r>
          </w:p>
        </w:tc>
        <w:tc>
          <w:tcPr>
            <w:tcW w:w="1157" w:type="dxa"/>
            <w:tcBorders>
              <w:top w:val="nil"/>
              <w:left w:val="nil"/>
              <w:bottom w:val="nil"/>
              <w:right w:val="nil"/>
            </w:tcBorders>
            <w:shd w:val="clear" w:color="auto" w:fill="auto"/>
            <w:noWrap/>
            <w:vAlign w:val="center"/>
            <w:hideMark/>
          </w:tcPr>
          <w:p w14:paraId="45EC37FE" w14:textId="28B2887B" w:rsidR="0015126A" w:rsidRPr="00B16F37" w:rsidRDefault="0015126A" w:rsidP="00361521">
            <w:pPr>
              <w:keepNext/>
              <w:keepLines/>
              <w:jc w:val="right"/>
              <w:rPr>
                <w:color w:val="000000"/>
                <w:sz w:val="18"/>
                <w:szCs w:val="18"/>
              </w:rPr>
            </w:pPr>
            <w:r>
              <w:rPr>
                <w:color w:val="000000"/>
                <w:sz w:val="18"/>
                <w:szCs w:val="18"/>
              </w:rPr>
              <w:t>92</w:t>
            </w:r>
          </w:p>
        </w:tc>
        <w:tc>
          <w:tcPr>
            <w:tcW w:w="1036" w:type="dxa"/>
            <w:tcBorders>
              <w:top w:val="nil"/>
              <w:left w:val="nil"/>
              <w:bottom w:val="nil"/>
              <w:right w:val="nil"/>
            </w:tcBorders>
            <w:shd w:val="clear" w:color="auto" w:fill="auto"/>
            <w:noWrap/>
            <w:vAlign w:val="center"/>
            <w:hideMark/>
          </w:tcPr>
          <w:p w14:paraId="122CEC9C" w14:textId="16F5483D" w:rsidR="0015126A" w:rsidRPr="00B16F37" w:rsidRDefault="0015126A" w:rsidP="00361521">
            <w:pPr>
              <w:keepNext/>
              <w:keepLines/>
              <w:jc w:val="right"/>
              <w:rPr>
                <w:color w:val="000000"/>
                <w:sz w:val="18"/>
                <w:szCs w:val="18"/>
              </w:rPr>
            </w:pPr>
            <w:r>
              <w:rPr>
                <w:color w:val="000000"/>
                <w:sz w:val="18"/>
                <w:szCs w:val="18"/>
              </w:rPr>
              <w:t>46,94</w:t>
            </w:r>
          </w:p>
        </w:tc>
        <w:tc>
          <w:tcPr>
            <w:tcW w:w="1211" w:type="dxa"/>
            <w:tcBorders>
              <w:top w:val="nil"/>
              <w:left w:val="nil"/>
              <w:bottom w:val="nil"/>
              <w:right w:val="nil"/>
            </w:tcBorders>
            <w:shd w:val="clear" w:color="auto" w:fill="auto"/>
            <w:noWrap/>
            <w:vAlign w:val="center"/>
            <w:hideMark/>
          </w:tcPr>
          <w:p w14:paraId="607DCE46" w14:textId="7406588F" w:rsidR="0015126A" w:rsidRPr="00B16F37" w:rsidRDefault="0015126A" w:rsidP="00361521">
            <w:pPr>
              <w:keepNext/>
              <w:keepLines/>
              <w:jc w:val="right"/>
              <w:rPr>
                <w:color w:val="000000"/>
                <w:sz w:val="18"/>
                <w:szCs w:val="18"/>
              </w:rPr>
            </w:pPr>
            <w:r>
              <w:rPr>
                <w:color w:val="000000"/>
                <w:sz w:val="18"/>
                <w:szCs w:val="18"/>
              </w:rPr>
              <w:t>51</w:t>
            </w:r>
          </w:p>
        </w:tc>
        <w:tc>
          <w:tcPr>
            <w:tcW w:w="1036" w:type="dxa"/>
            <w:tcBorders>
              <w:top w:val="nil"/>
              <w:left w:val="nil"/>
              <w:bottom w:val="nil"/>
              <w:right w:val="nil"/>
            </w:tcBorders>
            <w:shd w:val="clear" w:color="auto" w:fill="auto"/>
            <w:noWrap/>
            <w:vAlign w:val="center"/>
            <w:hideMark/>
          </w:tcPr>
          <w:p w14:paraId="555F36B5" w14:textId="5AE0FB5D" w:rsidR="0015126A" w:rsidRPr="00B16F37" w:rsidRDefault="0015126A" w:rsidP="00361521">
            <w:pPr>
              <w:keepNext/>
              <w:keepLines/>
              <w:jc w:val="right"/>
              <w:rPr>
                <w:color w:val="000000"/>
                <w:sz w:val="18"/>
                <w:szCs w:val="18"/>
              </w:rPr>
            </w:pPr>
            <w:r>
              <w:rPr>
                <w:color w:val="000000"/>
                <w:sz w:val="18"/>
                <w:szCs w:val="18"/>
              </w:rPr>
              <w:t>26,02</w:t>
            </w:r>
          </w:p>
        </w:tc>
      </w:tr>
      <w:tr w:rsidR="0015126A" w:rsidRPr="00B16F37" w14:paraId="02CE8F80" w14:textId="77777777" w:rsidTr="00361521">
        <w:trPr>
          <w:trHeight w:val="265"/>
          <w:jc w:val="center"/>
        </w:trPr>
        <w:tc>
          <w:tcPr>
            <w:tcW w:w="3786" w:type="dxa"/>
            <w:tcBorders>
              <w:top w:val="nil"/>
              <w:left w:val="nil"/>
              <w:bottom w:val="nil"/>
              <w:right w:val="nil"/>
            </w:tcBorders>
            <w:shd w:val="clear" w:color="auto" w:fill="auto"/>
            <w:noWrap/>
            <w:vAlign w:val="bottom"/>
            <w:hideMark/>
          </w:tcPr>
          <w:p w14:paraId="081E2747" w14:textId="6CEFA3BD" w:rsidR="0015126A" w:rsidRPr="00B16F37" w:rsidRDefault="0015126A" w:rsidP="00361521">
            <w:pPr>
              <w:keepNext/>
              <w:keepLines/>
              <w:jc w:val="left"/>
              <w:rPr>
                <w:color w:val="000000"/>
                <w:sz w:val="18"/>
                <w:szCs w:val="18"/>
              </w:rPr>
            </w:pPr>
            <w:r>
              <w:rPr>
                <w:sz w:val="18"/>
                <w:szCs w:val="18"/>
              </w:rPr>
              <w:t>Fonds d’affectation général pour le budget-programme du Protocole de Cartagena</w:t>
            </w:r>
          </w:p>
        </w:tc>
        <w:tc>
          <w:tcPr>
            <w:tcW w:w="796" w:type="dxa"/>
            <w:tcBorders>
              <w:top w:val="nil"/>
              <w:left w:val="nil"/>
              <w:bottom w:val="nil"/>
              <w:right w:val="nil"/>
            </w:tcBorders>
            <w:shd w:val="clear" w:color="auto" w:fill="auto"/>
            <w:noWrap/>
            <w:vAlign w:val="center"/>
            <w:hideMark/>
          </w:tcPr>
          <w:p w14:paraId="07D57F80" w14:textId="24B74BA5" w:rsidR="0015126A" w:rsidRPr="00B16F37" w:rsidRDefault="0015126A" w:rsidP="00361521">
            <w:pPr>
              <w:keepNext/>
              <w:keepLines/>
              <w:jc w:val="right"/>
              <w:rPr>
                <w:color w:val="000000"/>
                <w:sz w:val="18"/>
                <w:szCs w:val="18"/>
              </w:rPr>
            </w:pPr>
            <w:r>
              <w:rPr>
                <w:color w:val="000000"/>
                <w:sz w:val="18"/>
                <w:szCs w:val="18"/>
              </w:rPr>
              <w:t>173</w:t>
            </w:r>
          </w:p>
        </w:tc>
        <w:tc>
          <w:tcPr>
            <w:tcW w:w="1157" w:type="dxa"/>
            <w:tcBorders>
              <w:top w:val="nil"/>
              <w:left w:val="nil"/>
              <w:bottom w:val="nil"/>
              <w:right w:val="nil"/>
            </w:tcBorders>
            <w:shd w:val="clear" w:color="auto" w:fill="auto"/>
            <w:noWrap/>
            <w:vAlign w:val="center"/>
            <w:hideMark/>
          </w:tcPr>
          <w:p w14:paraId="24890786" w14:textId="1DBDDE1A" w:rsidR="0015126A" w:rsidRPr="00B16F37" w:rsidRDefault="0015126A" w:rsidP="00361521">
            <w:pPr>
              <w:keepNext/>
              <w:keepLines/>
              <w:jc w:val="right"/>
              <w:rPr>
                <w:color w:val="000000"/>
                <w:sz w:val="18"/>
                <w:szCs w:val="18"/>
              </w:rPr>
            </w:pPr>
            <w:r>
              <w:rPr>
                <w:color w:val="000000"/>
                <w:sz w:val="18"/>
                <w:szCs w:val="18"/>
              </w:rPr>
              <w:t>82</w:t>
            </w:r>
          </w:p>
        </w:tc>
        <w:tc>
          <w:tcPr>
            <w:tcW w:w="1036" w:type="dxa"/>
            <w:tcBorders>
              <w:top w:val="nil"/>
              <w:left w:val="nil"/>
              <w:bottom w:val="nil"/>
              <w:right w:val="nil"/>
            </w:tcBorders>
            <w:shd w:val="clear" w:color="auto" w:fill="auto"/>
            <w:noWrap/>
            <w:vAlign w:val="center"/>
            <w:hideMark/>
          </w:tcPr>
          <w:p w14:paraId="37F27819" w14:textId="40696D64" w:rsidR="0015126A" w:rsidRPr="00B16F37" w:rsidRDefault="0015126A" w:rsidP="00361521">
            <w:pPr>
              <w:keepNext/>
              <w:keepLines/>
              <w:jc w:val="right"/>
              <w:rPr>
                <w:color w:val="000000"/>
                <w:sz w:val="18"/>
                <w:szCs w:val="18"/>
              </w:rPr>
            </w:pPr>
            <w:r>
              <w:rPr>
                <w:color w:val="000000"/>
                <w:sz w:val="18"/>
                <w:szCs w:val="18"/>
              </w:rPr>
              <w:t>47,40</w:t>
            </w:r>
          </w:p>
        </w:tc>
        <w:tc>
          <w:tcPr>
            <w:tcW w:w="1211" w:type="dxa"/>
            <w:tcBorders>
              <w:top w:val="nil"/>
              <w:left w:val="nil"/>
              <w:bottom w:val="nil"/>
              <w:right w:val="nil"/>
            </w:tcBorders>
            <w:shd w:val="clear" w:color="auto" w:fill="auto"/>
            <w:noWrap/>
            <w:vAlign w:val="center"/>
            <w:hideMark/>
          </w:tcPr>
          <w:p w14:paraId="6BF61771" w14:textId="50E1228B" w:rsidR="0015126A" w:rsidRPr="00B16F37" w:rsidRDefault="0015126A" w:rsidP="00361521">
            <w:pPr>
              <w:keepNext/>
              <w:keepLines/>
              <w:jc w:val="right"/>
              <w:rPr>
                <w:color w:val="000000"/>
                <w:sz w:val="18"/>
                <w:szCs w:val="18"/>
              </w:rPr>
            </w:pPr>
            <w:r>
              <w:rPr>
                <w:color w:val="000000"/>
                <w:sz w:val="18"/>
                <w:szCs w:val="18"/>
              </w:rPr>
              <w:t>49</w:t>
            </w:r>
          </w:p>
        </w:tc>
        <w:tc>
          <w:tcPr>
            <w:tcW w:w="1036" w:type="dxa"/>
            <w:tcBorders>
              <w:top w:val="nil"/>
              <w:left w:val="nil"/>
              <w:bottom w:val="nil"/>
              <w:right w:val="nil"/>
            </w:tcBorders>
            <w:shd w:val="clear" w:color="auto" w:fill="auto"/>
            <w:noWrap/>
            <w:vAlign w:val="center"/>
            <w:hideMark/>
          </w:tcPr>
          <w:p w14:paraId="5AEE4B60" w14:textId="2796662D" w:rsidR="0015126A" w:rsidRPr="00B16F37" w:rsidRDefault="0015126A" w:rsidP="00361521">
            <w:pPr>
              <w:keepNext/>
              <w:keepLines/>
              <w:jc w:val="right"/>
              <w:rPr>
                <w:color w:val="000000"/>
                <w:sz w:val="18"/>
                <w:szCs w:val="18"/>
              </w:rPr>
            </w:pPr>
            <w:r>
              <w:rPr>
                <w:color w:val="000000"/>
                <w:sz w:val="18"/>
                <w:szCs w:val="18"/>
              </w:rPr>
              <w:t>28,32</w:t>
            </w:r>
          </w:p>
        </w:tc>
      </w:tr>
      <w:tr w:rsidR="0015126A" w:rsidRPr="00B16F37" w14:paraId="529A6666" w14:textId="77777777" w:rsidTr="00361521">
        <w:trPr>
          <w:trHeight w:val="265"/>
          <w:jc w:val="center"/>
        </w:trPr>
        <w:tc>
          <w:tcPr>
            <w:tcW w:w="3786" w:type="dxa"/>
            <w:tcBorders>
              <w:top w:val="nil"/>
              <w:left w:val="nil"/>
              <w:bottom w:val="single" w:sz="4" w:space="0" w:color="auto"/>
              <w:right w:val="nil"/>
            </w:tcBorders>
            <w:shd w:val="clear" w:color="auto" w:fill="auto"/>
            <w:noWrap/>
            <w:vAlign w:val="bottom"/>
            <w:hideMark/>
          </w:tcPr>
          <w:p w14:paraId="4963CB03" w14:textId="1773C0EA" w:rsidR="0015126A" w:rsidRPr="00B16F37" w:rsidRDefault="0015126A" w:rsidP="00361521">
            <w:pPr>
              <w:keepNext/>
              <w:keepLines/>
              <w:jc w:val="left"/>
              <w:rPr>
                <w:color w:val="000000"/>
                <w:sz w:val="18"/>
                <w:szCs w:val="18"/>
              </w:rPr>
            </w:pPr>
            <w:r>
              <w:rPr>
                <w:sz w:val="18"/>
                <w:szCs w:val="18"/>
              </w:rPr>
              <w:t>Fonds d’affectation général pour le budget-programme du Protocole de Nagoya</w:t>
            </w:r>
          </w:p>
        </w:tc>
        <w:tc>
          <w:tcPr>
            <w:tcW w:w="796" w:type="dxa"/>
            <w:tcBorders>
              <w:top w:val="nil"/>
              <w:left w:val="nil"/>
              <w:bottom w:val="single" w:sz="4" w:space="0" w:color="auto"/>
              <w:right w:val="nil"/>
            </w:tcBorders>
            <w:shd w:val="clear" w:color="auto" w:fill="auto"/>
            <w:noWrap/>
            <w:vAlign w:val="center"/>
            <w:hideMark/>
          </w:tcPr>
          <w:p w14:paraId="146FFDB3" w14:textId="2456F213" w:rsidR="0015126A" w:rsidRPr="00B16F37" w:rsidRDefault="0015126A" w:rsidP="00361521">
            <w:pPr>
              <w:keepNext/>
              <w:keepLines/>
              <w:jc w:val="right"/>
              <w:rPr>
                <w:color w:val="000000"/>
                <w:sz w:val="18"/>
                <w:szCs w:val="18"/>
              </w:rPr>
            </w:pPr>
            <w:r>
              <w:rPr>
                <w:color w:val="000000"/>
                <w:sz w:val="18"/>
                <w:szCs w:val="18"/>
              </w:rPr>
              <w:t>141</w:t>
            </w:r>
          </w:p>
        </w:tc>
        <w:tc>
          <w:tcPr>
            <w:tcW w:w="1157" w:type="dxa"/>
            <w:tcBorders>
              <w:top w:val="nil"/>
              <w:left w:val="nil"/>
              <w:bottom w:val="single" w:sz="4" w:space="0" w:color="auto"/>
              <w:right w:val="nil"/>
            </w:tcBorders>
            <w:shd w:val="clear" w:color="auto" w:fill="auto"/>
            <w:noWrap/>
            <w:vAlign w:val="center"/>
            <w:hideMark/>
          </w:tcPr>
          <w:p w14:paraId="27646AB6" w14:textId="68599485" w:rsidR="0015126A" w:rsidRPr="00B16F37" w:rsidRDefault="0015126A" w:rsidP="00361521">
            <w:pPr>
              <w:keepNext/>
              <w:keepLines/>
              <w:jc w:val="right"/>
              <w:rPr>
                <w:color w:val="000000"/>
                <w:sz w:val="18"/>
                <w:szCs w:val="18"/>
              </w:rPr>
            </w:pPr>
            <w:r>
              <w:rPr>
                <w:color w:val="000000"/>
                <w:sz w:val="18"/>
                <w:szCs w:val="18"/>
              </w:rPr>
              <w:t>59</w:t>
            </w:r>
          </w:p>
        </w:tc>
        <w:tc>
          <w:tcPr>
            <w:tcW w:w="1036" w:type="dxa"/>
            <w:tcBorders>
              <w:top w:val="nil"/>
              <w:left w:val="nil"/>
              <w:bottom w:val="single" w:sz="4" w:space="0" w:color="auto"/>
              <w:right w:val="nil"/>
            </w:tcBorders>
            <w:shd w:val="clear" w:color="auto" w:fill="auto"/>
            <w:noWrap/>
            <w:vAlign w:val="center"/>
            <w:hideMark/>
          </w:tcPr>
          <w:p w14:paraId="525E81D0" w14:textId="4EBC8229" w:rsidR="0015126A" w:rsidRPr="00B16F37" w:rsidRDefault="0015126A" w:rsidP="00361521">
            <w:pPr>
              <w:keepNext/>
              <w:keepLines/>
              <w:jc w:val="right"/>
              <w:rPr>
                <w:color w:val="000000"/>
                <w:sz w:val="18"/>
                <w:szCs w:val="18"/>
              </w:rPr>
            </w:pPr>
            <w:r>
              <w:rPr>
                <w:color w:val="000000"/>
                <w:sz w:val="18"/>
                <w:szCs w:val="18"/>
              </w:rPr>
              <w:t>41,84</w:t>
            </w:r>
          </w:p>
        </w:tc>
        <w:tc>
          <w:tcPr>
            <w:tcW w:w="1211" w:type="dxa"/>
            <w:tcBorders>
              <w:top w:val="nil"/>
              <w:left w:val="nil"/>
              <w:bottom w:val="single" w:sz="4" w:space="0" w:color="auto"/>
              <w:right w:val="nil"/>
            </w:tcBorders>
            <w:shd w:val="clear" w:color="auto" w:fill="auto"/>
            <w:noWrap/>
            <w:vAlign w:val="center"/>
            <w:hideMark/>
          </w:tcPr>
          <w:p w14:paraId="0EA6DD29" w14:textId="74E8B600" w:rsidR="0015126A" w:rsidRPr="00B16F37" w:rsidRDefault="0015126A" w:rsidP="00361521">
            <w:pPr>
              <w:keepNext/>
              <w:keepLines/>
              <w:jc w:val="right"/>
              <w:rPr>
                <w:color w:val="000000"/>
                <w:sz w:val="18"/>
                <w:szCs w:val="18"/>
              </w:rPr>
            </w:pPr>
            <w:r>
              <w:rPr>
                <w:color w:val="000000"/>
                <w:sz w:val="18"/>
                <w:szCs w:val="18"/>
              </w:rPr>
              <w:t>29</w:t>
            </w:r>
          </w:p>
        </w:tc>
        <w:tc>
          <w:tcPr>
            <w:tcW w:w="1036" w:type="dxa"/>
            <w:tcBorders>
              <w:top w:val="nil"/>
              <w:left w:val="nil"/>
              <w:bottom w:val="single" w:sz="4" w:space="0" w:color="auto"/>
              <w:right w:val="nil"/>
            </w:tcBorders>
            <w:shd w:val="clear" w:color="auto" w:fill="auto"/>
            <w:noWrap/>
            <w:vAlign w:val="center"/>
            <w:hideMark/>
          </w:tcPr>
          <w:p w14:paraId="327F2425" w14:textId="30DA3EBB" w:rsidR="0015126A" w:rsidRPr="00B16F37" w:rsidRDefault="0015126A" w:rsidP="00361521">
            <w:pPr>
              <w:keepNext/>
              <w:keepLines/>
              <w:jc w:val="right"/>
              <w:rPr>
                <w:color w:val="000000"/>
                <w:sz w:val="18"/>
                <w:szCs w:val="18"/>
              </w:rPr>
            </w:pPr>
            <w:r>
              <w:rPr>
                <w:color w:val="000000"/>
                <w:sz w:val="18"/>
                <w:szCs w:val="18"/>
              </w:rPr>
              <w:t>20,57</w:t>
            </w:r>
          </w:p>
        </w:tc>
      </w:tr>
    </w:tbl>
    <w:p w14:paraId="00541796" w14:textId="28FCA982" w:rsidR="0015126A" w:rsidRPr="00B16F37" w:rsidRDefault="0015126A" w:rsidP="00361521">
      <w:pPr>
        <w:pStyle w:val="CBDNormalNumber"/>
        <w:rPr>
          <w:kern w:val="22"/>
        </w:rPr>
      </w:pPr>
      <w:r>
        <w:t>L’état des contributions aux trois fonds généraux d’affectation peut être consulté sur le site Web du Secrétariat.</w:t>
      </w:r>
    </w:p>
    <w:p w14:paraId="7A6E5F70" w14:textId="7FFF9A11" w:rsidR="0015126A" w:rsidRPr="00B16F37" w:rsidRDefault="0015126A" w:rsidP="00361521">
      <w:pPr>
        <w:pStyle w:val="CBDH2"/>
        <w:numPr>
          <w:ilvl w:val="0"/>
          <w:numId w:val="0"/>
        </w:numPr>
        <w:ind w:left="567" w:hanging="567"/>
        <w:outlineLvl w:val="1"/>
        <w:rPr>
          <w:kern w:val="22"/>
        </w:rPr>
      </w:pPr>
      <w:r>
        <w:t>B.</w:t>
      </w:r>
      <w:r>
        <w:tab/>
        <w:t>Résultats du budget intégré pour 2023-2024</w:t>
      </w:r>
    </w:p>
    <w:p w14:paraId="5F820B3E" w14:textId="59163F08" w:rsidR="0015126A" w:rsidRPr="00B16F37" w:rsidRDefault="0015126A" w:rsidP="00361521">
      <w:pPr>
        <w:pStyle w:val="CBDNormalNumber"/>
      </w:pPr>
      <w:r>
        <w:t>Comme l’indique la troisième colonne du tableau 5, au 31 juillet 2024, les dépenses engagées au titre du budget approuvé pour l’exercice biennal 2023-2024 se sont élevées à 39 284 700 dollars</w:t>
      </w:r>
      <w:r w:rsidR="00C62F66">
        <w:t> </w:t>
      </w:r>
      <w:r>
        <w:t>US, y compris les coûts et engagements réels à débourser d’ici la fin de 2024.</w:t>
      </w:r>
    </w:p>
    <w:p w14:paraId="6643187E" w14:textId="6AC6BD98" w:rsidR="0015126A" w:rsidRPr="00B16F37" w:rsidRDefault="0015126A" w:rsidP="00361521">
      <w:pPr>
        <w:pStyle w:val="CBDTableTitle"/>
        <w:rPr>
          <w:bCs/>
        </w:rPr>
      </w:pPr>
      <w:r>
        <w:rPr>
          <w:b w:val="0"/>
          <w:bCs/>
        </w:rPr>
        <w:t>Tableau</w:t>
      </w:r>
      <w:r w:rsidR="0050419E">
        <w:rPr>
          <w:b w:val="0"/>
          <w:bCs/>
        </w:rPr>
        <w:t> </w:t>
      </w:r>
      <w:r>
        <w:rPr>
          <w:b w:val="0"/>
          <w:bCs/>
        </w:rPr>
        <w:t>5</w:t>
      </w:r>
      <w:r>
        <w:t xml:space="preserve"> </w:t>
      </w:r>
      <w:r>
        <w:br/>
        <w:t xml:space="preserve">Dépense par poste de dépense par rapport au budget intégré approuvé pour 2023-2024, au 31 juillet 2024 </w:t>
      </w:r>
    </w:p>
    <w:p w14:paraId="2333653D" w14:textId="77777777" w:rsidR="0015126A" w:rsidRPr="00B16F37" w:rsidRDefault="0015126A" w:rsidP="00361521">
      <w:pPr>
        <w:pStyle w:val="Style1"/>
        <w:numPr>
          <w:ilvl w:val="0"/>
          <w:numId w:val="0"/>
        </w:numPr>
        <w:spacing w:before="0" w:after="60"/>
        <w:ind w:left="567"/>
        <w:outlineLvl w:val="9"/>
        <w:rPr>
          <w:rFonts w:ascii="Times New Roman" w:hAnsi="Times New Roman" w:cs="Times New Roman"/>
          <w:b w:val="0"/>
          <w:bCs/>
          <w:i w:val="0"/>
          <w:iCs w:val="0"/>
          <w:color w:val="000000" w:themeColor="text1"/>
          <w:sz w:val="18"/>
          <w:szCs w:val="18"/>
        </w:rPr>
      </w:pPr>
      <w:r>
        <w:rPr>
          <w:rFonts w:ascii="Times New Roman" w:hAnsi="Times New Roman"/>
          <w:b w:val="0"/>
          <w:bCs/>
          <w:i w:val="0"/>
          <w:iCs w:val="0"/>
          <w:color w:val="000000" w:themeColor="text1"/>
          <w:sz w:val="18"/>
          <w:szCs w:val="18"/>
        </w:rPr>
        <w:t>(En milliers de dollars des États-Unis)</w:t>
      </w: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559"/>
        <w:gridCol w:w="1678"/>
        <w:gridCol w:w="1154"/>
      </w:tblGrid>
      <w:tr w:rsidR="0015126A" w:rsidRPr="00B16F37" w14:paraId="32881321" w14:textId="77777777" w:rsidTr="00361521">
        <w:trPr>
          <w:trHeight w:val="426"/>
          <w:tblHeader/>
          <w:jc w:val="center"/>
        </w:trPr>
        <w:tc>
          <w:tcPr>
            <w:tcW w:w="2972" w:type="dxa"/>
            <w:shd w:val="clear" w:color="auto" w:fill="auto"/>
            <w:vAlign w:val="bottom"/>
            <w:hideMark/>
          </w:tcPr>
          <w:p w14:paraId="53872340" w14:textId="77777777" w:rsidR="0015126A" w:rsidRPr="00B16F37" w:rsidRDefault="0015126A" w:rsidP="00361521">
            <w:pPr>
              <w:keepNext/>
              <w:keepLines/>
              <w:jc w:val="center"/>
              <w:rPr>
                <w:rFonts w:asciiTheme="majorBidi" w:hAnsiTheme="majorBidi" w:cstheme="majorBidi"/>
                <w:i/>
                <w:iCs/>
                <w:color w:val="000000"/>
                <w:sz w:val="18"/>
                <w:szCs w:val="18"/>
              </w:rPr>
            </w:pPr>
            <w:r>
              <w:rPr>
                <w:rFonts w:asciiTheme="majorBidi" w:hAnsiTheme="majorBidi"/>
                <w:i/>
                <w:iCs/>
                <w:color w:val="000000"/>
                <w:sz w:val="18"/>
                <w:szCs w:val="18"/>
              </w:rPr>
              <w:t>Poste de dépense</w:t>
            </w:r>
          </w:p>
        </w:tc>
        <w:tc>
          <w:tcPr>
            <w:tcW w:w="2559" w:type="dxa"/>
            <w:shd w:val="clear" w:color="auto" w:fill="auto"/>
            <w:vAlign w:val="bottom"/>
            <w:hideMark/>
          </w:tcPr>
          <w:p w14:paraId="02603FC5" w14:textId="7C03C2F4" w:rsidR="0015126A" w:rsidRPr="00B16F37" w:rsidRDefault="0015126A" w:rsidP="00361521">
            <w:pPr>
              <w:keepNext/>
              <w:keepLines/>
              <w:jc w:val="center"/>
              <w:rPr>
                <w:rFonts w:asciiTheme="majorBidi" w:hAnsiTheme="majorBidi" w:cstheme="majorBidi"/>
                <w:i/>
                <w:iCs/>
                <w:color w:val="000000"/>
                <w:sz w:val="18"/>
                <w:szCs w:val="18"/>
              </w:rPr>
            </w:pPr>
            <w:r>
              <w:rPr>
                <w:rFonts w:asciiTheme="majorBidi" w:hAnsiTheme="majorBidi"/>
                <w:i/>
                <w:iCs/>
                <w:color w:val="000000"/>
                <w:sz w:val="18"/>
                <w:szCs w:val="18"/>
              </w:rPr>
              <w:t>Budget approuvé pour 2023-2024</w:t>
            </w:r>
          </w:p>
        </w:tc>
        <w:tc>
          <w:tcPr>
            <w:tcW w:w="1678" w:type="dxa"/>
            <w:shd w:val="clear" w:color="auto" w:fill="auto"/>
            <w:vAlign w:val="bottom"/>
            <w:hideMark/>
          </w:tcPr>
          <w:p w14:paraId="417B2329" w14:textId="77777777" w:rsidR="0015126A" w:rsidRPr="00B16F37" w:rsidRDefault="0015126A" w:rsidP="00361521">
            <w:pPr>
              <w:keepNext/>
              <w:keepLines/>
              <w:jc w:val="center"/>
              <w:rPr>
                <w:rFonts w:asciiTheme="majorBidi" w:hAnsiTheme="majorBidi" w:cstheme="majorBidi"/>
                <w:i/>
                <w:iCs/>
                <w:color w:val="000000"/>
                <w:sz w:val="18"/>
                <w:szCs w:val="18"/>
              </w:rPr>
            </w:pPr>
            <w:r>
              <w:rPr>
                <w:rFonts w:asciiTheme="majorBidi" w:hAnsiTheme="majorBidi"/>
                <w:i/>
                <w:iCs/>
                <w:color w:val="000000"/>
                <w:sz w:val="18"/>
                <w:szCs w:val="18"/>
              </w:rPr>
              <w:t>Dépenses</w:t>
            </w:r>
          </w:p>
        </w:tc>
        <w:tc>
          <w:tcPr>
            <w:tcW w:w="1154" w:type="dxa"/>
            <w:shd w:val="clear" w:color="auto" w:fill="auto"/>
            <w:vAlign w:val="bottom"/>
            <w:hideMark/>
          </w:tcPr>
          <w:p w14:paraId="2C00B763" w14:textId="77777777" w:rsidR="0015126A" w:rsidRPr="00B16F37" w:rsidRDefault="0015126A" w:rsidP="00361521">
            <w:pPr>
              <w:keepNext/>
              <w:keepLines/>
              <w:jc w:val="center"/>
              <w:rPr>
                <w:rFonts w:asciiTheme="majorBidi" w:hAnsiTheme="majorBidi" w:cstheme="majorBidi"/>
                <w:i/>
                <w:iCs/>
                <w:color w:val="000000"/>
                <w:sz w:val="18"/>
                <w:szCs w:val="18"/>
              </w:rPr>
            </w:pPr>
            <w:r>
              <w:rPr>
                <w:rFonts w:asciiTheme="majorBidi" w:hAnsiTheme="majorBidi"/>
                <w:i/>
                <w:iCs/>
                <w:color w:val="000000"/>
                <w:sz w:val="18"/>
                <w:szCs w:val="18"/>
              </w:rPr>
              <w:t>Écart</w:t>
            </w:r>
          </w:p>
        </w:tc>
      </w:tr>
      <w:tr w:rsidR="0015126A" w:rsidRPr="00B16F37" w14:paraId="2CA44748" w14:textId="77777777" w:rsidTr="00361521">
        <w:trPr>
          <w:trHeight w:val="347"/>
          <w:jc w:val="center"/>
        </w:trPr>
        <w:tc>
          <w:tcPr>
            <w:tcW w:w="2972" w:type="dxa"/>
            <w:shd w:val="clear" w:color="auto" w:fill="auto"/>
            <w:vAlign w:val="bottom"/>
            <w:hideMark/>
          </w:tcPr>
          <w:p w14:paraId="29529B60" w14:textId="375B0347" w:rsidR="0015126A" w:rsidRPr="00B16F37" w:rsidRDefault="0015126A" w:rsidP="00361521">
            <w:pPr>
              <w:keepNext/>
              <w:keepLines/>
              <w:jc w:val="left"/>
              <w:rPr>
                <w:rFonts w:asciiTheme="majorBidi" w:hAnsiTheme="majorBidi" w:cstheme="majorBidi"/>
                <w:color w:val="000000"/>
                <w:sz w:val="18"/>
                <w:szCs w:val="18"/>
              </w:rPr>
            </w:pPr>
            <w:r>
              <w:rPr>
                <w:rFonts w:asciiTheme="majorBidi" w:hAnsiTheme="majorBidi"/>
                <w:color w:val="000000"/>
                <w:sz w:val="18"/>
                <w:szCs w:val="18"/>
              </w:rPr>
              <w:t>Dépenses de personnel</w:t>
            </w:r>
          </w:p>
        </w:tc>
        <w:tc>
          <w:tcPr>
            <w:tcW w:w="2559" w:type="dxa"/>
            <w:shd w:val="clear" w:color="auto" w:fill="auto"/>
            <w:vAlign w:val="bottom"/>
            <w:hideMark/>
          </w:tcPr>
          <w:p w14:paraId="611F892A" w14:textId="4D43A46E" w:rsidR="0015126A" w:rsidRPr="00B16F37" w:rsidRDefault="0015126A" w:rsidP="00361521">
            <w:pPr>
              <w:keepNext/>
              <w:keepLines/>
              <w:jc w:val="right"/>
              <w:rPr>
                <w:rFonts w:asciiTheme="majorBidi" w:hAnsiTheme="majorBidi" w:cstheme="majorBidi"/>
                <w:color w:val="000000"/>
                <w:sz w:val="18"/>
                <w:szCs w:val="18"/>
              </w:rPr>
            </w:pPr>
            <w:r>
              <w:rPr>
                <w:rFonts w:asciiTheme="majorBidi" w:hAnsiTheme="majorBidi"/>
                <w:color w:val="000000"/>
                <w:sz w:val="18"/>
                <w:szCs w:val="18"/>
              </w:rPr>
              <w:t>24</w:t>
            </w:r>
            <w:r w:rsidR="0050419E">
              <w:rPr>
                <w:rFonts w:asciiTheme="majorBidi" w:hAnsiTheme="majorBidi"/>
                <w:color w:val="000000"/>
                <w:sz w:val="18"/>
                <w:szCs w:val="18"/>
              </w:rPr>
              <w:t> </w:t>
            </w:r>
            <w:r>
              <w:rPr>
                <w:rFonts w:asciiTheme="majorBidi" w:hAnsiTheme="majorBidi"/>
                <w:color w:val="000000"/>
                <w:sz w:val="18"/>
                <w:szCs w:val="18"/>
              </w:rPr>
              <w:t>157,3</w:t>
            </w:r>
          </w:p>
        </w:tc>
        <w:tc>
          <w:tcPr>
            <w:tcW w:w="1678" w:type="dxa"/>
            <w:shd w:val="clear" w:color="auto" w:fill="auto"/>
            <w:vAlign w:val="bottom"/>
            <w:hideMark/>
          </w:tcPr>
          <w:p w14:paraId="11DE018D" w14:textId="4533F40F" w:rsidR="0015126A" w:rsidRPr="00B16F37" w:rsidRDefault="0015126A" w:rsidP="00361521">
            <w:pPr>
              <w:keepNext/>
              <w:keepLines/>
              <w:jc w:val="right"/>
              <w:rPr>
                <w:rFonts w:asciiTheme="majorBidi" w:hAnsiTheme="majorBidi" w:cstheme="majorBidi"/>
                <w:color w:val="000000"/>
                <w:sz w:val="18"/>
                <w:szCs w:val="18"/>
              </w:rPr>
            </w:pPr>
            <w:r>
              <w:rPr>
                <w:rFonts w:asciiTheme="majorBidi" w:hAnsiTheme="majorBidi"/>
                <w:color w:val="000000"/>
                <w:sz w:val="18"/>
                <w:szCs w:val="18"/>
              </w:rPr>
              <w:t>23</w:t>
            </w:r>
            <w:r w:rsidR="0050419E">
              <w:rPr>
                <w:rFonts w:asciiTheme="majorBidi" w:hAnsiTheme="majorBidi"/>
                <w:color w:val="000000"/>
                <w:sz w:val="18"/>
                <w:szCs w:val="18"/>
              </w:rPr>
              <w:t> </w:t>
            </w:r>
            <w:r>
              <w:rPr>
                <w:rFonts w:asciiTheme="majorBidi" w:hAnsiTheme="majorBidi"/>
                <w:color w:val="000000"/>
                <w:sz w:val="18"/>
                <w:szCs w:val="18"/>
              </w:rPr>
              <w:t>394,0</w:t>
            </w:r>
          </w:p>
        </w:tc>
        <w:tc>
          <w:tcPr>
            <w:tcW w:w="1154" w:type="dxa"/>
            <w:shd w:val="clear" w:color="auto" w:fill="auto"/>
            <w:vAlign w:val="bottom"/>
            <w:hideMark/>
          </w:tcPr>
          <w:p w14:paraId="0CEE4A47" w14:textId="6328B92D" w:rsidR="0015126A" w:rsidRPr="00B16F37" w:rsidRDefault="0015126A" w:rsidP="00361521">
            <w:pPr>
              <w:keepNext/>
              <w:keepLines/>
              <w:jc w:val="right"/>
              <w:rPr>
                <w:rFonts w:asciiTheme="majorBidi" w:hAnsiTheme="majorBidi" w:cstheme="majorBidi"/>
                <w:color w:val="000000"/>
                <w:sz w:val="18"/>
                <w:szCs w:val="18"/>
              </w:rPr>
            </w:pPr>
            <w:r>
              <w:rPr>
                <w:rFonts w:asciiTheme="majorBidi" w:hAnsiTheme="majorBidi"/>
                <w:color w:val="000000"/>
                <w:sz w:val="18"/>
                <w:szCs w:val="18"/>
              </w:rPr>
              <w:t>763,3</w:t>
            </w:r>
          </w:p>
        </w:tc>
      </w:tr>
      <w:tr w:rsidR="0015126A" w:rsidRPr="00B16F37" w14:paraId="200C8564" w14:textId="77777777" w:rsidTr="00361521">
        <w:trPr>
          <w:trHeight w:val="216"/>
          <w:jc w:val="center"/>
        </w:trPr>
        <w:tc>
          <w:tcPr>
            <w:tcW w:w="2972" w:type="dxa"/>
            <w:shd w:val="clear" w:color="auto" w:fill="auto"/>
            <w:vAlign w:val="bottom"/>
            <w:hideMark/>
          </w:tcPr>
          <w:p w14:paraId="354F658E" w14:textId="505B4D8D" w:rsidR="0015126A" w:rsidRPr="00B16F37" w:rsidRDefault="0015126A" w:rsidP="00892011">
            <w:pPr>
              <w:jc w:val="left"/>
              <w:rPr>
                <w:rFonts w:asciiTheme="majorBidi" w:hAnsiTheme="majorBidi" w:cstheme="majorBidi"/>
                <w:color w:val="000000"/>
                <w:sz w:val="18"/>
                <w:szCs w:val="18"/>
              </w:rPr>
            </w:pPr>
            <w:r>
              <w:rPr>
                <w:rFonts w:asciiTheme="majorBidi" w:hAnsiTheme="majorBidi"/>
                <w:color w:val="000000"/>
                <w:sz w:val="18"/>
                <w:szCs w:val="18"/>
              </w:rPr>
              <w:t>Personnel temporaire/heures supplémentaires</w:t>
            </w:r>
          </w:p>
        </w:tc>
        <w:tc>
          <w:tcPr>
            <w:tcW w:w="2559" w:type="dxa"/>
            <w:shd w:val="clear" w:color="auto" w:fill="auto"/>
            <w:vAlign w:val="bottom"/>
            <w:hideMark/>
          </w:tcPr>
          <w:p w14:paraId="41F7CE9B" w14:textId="59BB0033"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200,0</w:t>
            </w:r>
          </w:p>
        </w:tc>
        <w:tc>
          <w:tcPr>
            <w:tcW w:w="1678" w:type="dxa"/>
            <w:shd w:val="clear" w:color="auto" w:fill="auto"/>
            <w:vAlign w:val="bottom"/>
            <w:hideMark/>
          </w:tcPr>
          <w:p w14:paraId="5ABDD7DD" w14:textId="76038688"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themeColor="text1"/>
                <w:sz w:val="18"/>
                <w:szCs w:val="18"/>
              </w:rPr>
              <w:t>210,0</w:t>
            </w:r>
          </w:p>
        </w:tc>
        <w:tc>
          <w:tcPr>
            <w:tcW w:w="1154" w:type="dxa"/>
            <w:shd w:val="clear" w:color="auto" w:fill="auto"/>
            <w:vAlign w:val="bottom"/>
            <w:hideMark/>
          </w:tcPr>
          <w:p w14:paraId="400F2508" w14:textId="004CFFBA"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themeColor="text1"/>
                <w:sz w:val="18"/>
                <w:szCs w:val="18"/>
              </w:rPr>
              <w:t>(10,0)</w:t>
            </w:r>
          </w:p>
        </w:tc>
      </w:tr>
      <w:tr w:rsidR="0015126A" w:rsidRPr="00B16F37" w14:paraId="04D54B4A" w14:textId="77777777" w:rsidTr="00361521">
        <w:trPr>
          <w:trHeight w:val="216"/>
          <w:jc w:val="center"/>
        </w:trPr>
        <w:tc>
          <w:tcPr>
            <w:tcW w:w="2972" w:type="dxa"/>
            <w:shd w:val="clear" w:color="auto" w:fill="auto"/>
            <w:vAlign w:val="bottom"/>
            <w:hideMark/>
          </w:tcPr>
          <w:p w14:paraId="1B660CDF" w14:textId="55F32969" w:rsidR="0015126A" w:rsidRPr="00B16F37" w:rsidRDefault="0015126A" w:rsidP="00892011">
            <w:pPr>
              <w:jc w:val="left"/>
              <w:rPr>
                <w:rFonts w:asciiTheme="majorBidi" w:hAnsiTheme="majorBidi" w:cstheme="majorBidi"/>
                <w:color w:val="000000"/>
                <w:sz w:val="18"/>
                <w:szCs w:val="18"/>
              </w:rPr>
            </w:pPr>
            <w:r>
              <w:rPr>
                <w:rFonts w:asciiTheme="majorBidi" w:hAnsiTheme="majorBidi"/>
                <w:color w:val="000000"/>
                <w:sz w:val="18"/>
                <w:szCs w:val="18"/>
              </w:rPr>
              <w:t>Consultants et sous-traitants</w:t>
            </w:r>
          </w:p>
        </w:tc>
        <w:tc>
          <w:tcPr>
            <w:tcW w:w="2559" w:type="dxa"/>
            <w:shd w:val="clear" w:color="auto" w:fill="auto"/>
            <w:vAlign w:val="bottom"/>
            <w:hideMark/>
          </w:tcPr>
          <w:p w14:paraId="35087BB0" w14:textId="6C8876EF"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100,0</w:t>
            </w:r>
          </w:p>
        </w:tc>
        <w:tc>
          <w:tcPr>
            <w:tcW w:w="1678" w:type="dxa"/>
            <w:shd w:val="clear" w:color="auto" w:fill="auto"/>
            <w:vAlign w:val="bottom"/>
            <w:hideMark/>
          </w:tcPr>
          <w:p w14:paraId="217DDD04" w14:textId="3AF2D2A3"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90,0</w:t>
            </w:r>
          </w:p>
        </w:tc>
        <w:tc>
          <w:tcPr>
            <w:tcW w:w="1154" w:type="dxa"/>
            <w:shd w:val="clear" w:color="auto" w:fill="auto"/>
            <w:vAlign w:val="bottom"/>
            <w:hideMark/>
          </w:tcPr>
          <w:p w14:paraId="7494A044" w14:textId="10879793"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10,0</w:t>
            </w:r>
          </w:p>
        </w:tc>
      </w:tr>
      <w:tr w:rsidR="0015126A" w:rsidRPr="00B16F37" w14:paraId="2DFCA1CE" w14:textId="77777777" w:rsidTr="00361521">
        <w:trPr>
          <w:trHeight w:val="216"/>
          <w:jc w:val="center"/>
        </w:trPr>
        <w:tc>
          <w:tcPr>
            <w:tcW w:w="2972" w:type="dxa"/>
            <w:shd w:val="clear" w:color="auto" w:fill="auto"/>
            <w:vAlign w:val="bottom"/>
            <w:hideMark/>
          </w:tcPr>
          <w:p w14:paraId="05B60FA8" w14:textId="3CCEAC82" w:rsidR="0015126A" w:rsidRPr="00B16F37" w:rsidRDefault="0015126A" w:rsidP="00892011">
            <w:pPr>
              <w:jc w:val="left"/>
              <w:rPr>
                <w:rFonts w:asciiTheme="majorBidi" w:hAnsiTheme="majorBidi" w:cstheme="majorBidi"/>
                <w:color w:val="000000"/>
                <w:sz w:val="18"/>
                <w:szCs w:val="18"/>
              </w:rPr>
            </w:pPr>
            <w:r>
              <w:rPr>
                <w:rFonts w:asciiTheme="majorBidi" w:hAnsiTheme="majorBidi"/>
                <w:color w:val="000000"/>
                <w:sz w:val="18"/>
                <w:szCs w:val="18"/>
              </w:rPr>
              <w:lastRenderedPageBreak/>
              <w:t>Formation</w:t>
            </w:r>
          </w:p>
        </w:tc>
        <w:tc>
          <w:tcPr>
            <w:tcW w:w="2559" w:type="dxa"/>
            <w:shd w:val="clear" w:color="auto" w:fill="auto"/>
            <w:vAlign w:val="bottom"/>
            <w:hideMark/>
          </w:tcPr>
          <w:p w14:paraId="3483553B" w14:textId="5FBCC35A"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10,0</w:t>
            </w:r>
          </w:p>
        </w:tc>
        <w:tc>
          <w:tcPr>
            <w:tcW w:w="1678" w:type="dxa"/>
            <w:shd w:val="clear" w:color="auto" w:fill="auto"/>
            <w:vAlign w:val="bottom"/>
            <w:hideMark/>
          </w:tcPr>
          <w:p w14:paraId="2D6990ED" w14:textId="63C78E3A"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7,2</w:t>
            </w:r>
          </w:p>
        </w:tc>
        <w:tc>
          <w:tcPr>
            <w:tcW w:w="1154" w:type="dxa"/>
            <w:shd w:val="clear" w:color="auto" w:fill="auto"/>
            <w:vAlign w:val="bottom"/>
            <w:hideMark/>
          </w:tcPr>
          <w:p w14:paraId="45E99B6E" w14:textId="79A843D3"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2,8</w:t>
            </w:r>
          </w:p>
        </w:tc>
      </w:tr>
      <w:tr w:rsidR="0015126A" w:rsidRPr="00B16F37" w14:paraId="39A29E88" w14:textId="77777777" w:rsidTr="00361521">
        <w:trPr>
          <w:trHeight w:val="329"/>
          <w:jc w:val="center"/>
        </w:trPr>
        <w:tc>
          <w:tcPr>
            <w:tcW w:w="2972" w:type="dxa"/>
            <w:shd w:val="clear" w:color="auto" w:fill="auto"/>
            <w:vAlign w:val="bottom"/>
            <w:hideMark/>
          </w:tcPr>
          <w:p w14:paraId="4FD82351" w14:textId="473EE00D" w:rsidR="0015126A" w:rsidRPr="00B16F37" w:rsidRDefault="0015126A" w:rsidP="00892011">
            <w:pPr>
              <w:jc w:val="left"/>
              <w:rPr>
                <w:rFonts w:asciiTheme="majorBidi" w:hAnsiTheme="majorBidi" w:cstheme="majorBidi"/>
                <w:color w:val="000000"/>
                <w:sz w:val="18"/>
                <w:szCs w:val="18"/>
              </w:rPr>
            </w:pPr>
            <w:r>
              <w:rPr>
                <w:rFonts w:asciiTheme="majorBidi" w:hAnsiTheme="majorBidi"/>
                <w:color w:val="000000"/>
                <w:sz w:val="18"/>
                <w:szCs w:val="18"/>
              </w:rPr>
              <w:t>Examen structurel</w:t>
            </w:r>
          </w:p>
        </w:tc>
        <w:tc>
          <w:tcPr>
            <w:tcW w:w="2559" w:type="dxa"/>
            <w:shd w:val="clear" w:color="auto" w:fill="auto"/>
            <w:vAlign w:val="bottom"/>
            <w:hideMark/>
          </w:tcPr>
          <w:p w14:paraId="31CFBF35" w14:textId="522629DD"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250,0</w:t>
            </w:r>
          </w:p>
        </w:tc>
        <w:tc>
          <w:tcPr>
            <w:tcW w:w="1678" w:type="dxa"/>
            <w:shd w:val="clear" w:color="auto" w:fill="auto"/>
            <w:vAlign w:val="bottom"/>
            <w:hideMark/>
          </w:tcPr>
          <w:p w14:paraId="09E7137F" w14:textId="123CF5E0"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23,0</w:t>
            </w:r>
          </w:p>
        </w:tc>
        <w:tc>
          <w:tcPr>
            <w:tcW w:w="1154" w:type="dxa"/>
            <w:shd w:val="clear" w:color="auto" w:fill="auto"/>
            <w:vAlign w:val="bottom"/>
            <w:hideMark/>
          </w:tcPr>
          <w:p w14:paraId="00E3AE4E" w14:textId="77777777"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227,0</w:t>
            </w:r>
          </w:p>
        </w:tc>
      </w:tr>
      <w:tr w:rsidR="0015126A" w:rsidRPr="00B16F37" w14:paraId="46FF80B2" w14:textId="77777777" w:rsidTr="00361521">
        <w:trPr>
          <w:trHeight w:val="216"/>
          <w:jc w:val="center"/>
        </w:trPr>
        <w:tc>
          <w:tcPr>
            <w:tcW w:w="2972" w:type="dxa"/>
            <w:shd w:val="clear" w:color="auto" w:fill="auto"/>
            <w:vAlign w:val="bottom"/>
            <w:hideMark/>
          </w:tcPr>
          <w:p w14:paraId="2EA8AA17" w14:textId="47B1531D" w:rsidR="0015126A" w:rsidRPr="00B16F37" w:rsidRDefault="0015126A" w:rsidP="00892011">
            <w:pPr>
              <w:jc w:val="left"/>
              <w:rPr>
                <w:rFonts w:asciiTheme="majorBidi" w:hAnsiTheme="majorBidi" w:cstheme="majorBidi"/>
                <w:color w:val="000000"/>
                <w:sz w:val="18"/>
                <w:szCs w:val="18"/>
              </w:rPr>
            </w:pPr>
            <w:r>
              <w:rPr>
                <w:rFonts w:asciiTheme="majorBidi" w:hAnsiTheme="majorBidi"/>
                <w:color w:val="000000"/>
                <w:sz w:val="18"/>
                <w:szCs w:val="18"/>
              </w:rPr>
              <w:t>Réunions du Bureau</w:t>
            </w:r>
          </w:p>
        </w:tc>
        <w:tc>
          <w:tcPr>
            <w:tcW w:w="2559" w:type="dxa"/>
            <w:shd w:val="clear" w:color="auto" w:fill="auto"/>
            <w:vAlign w:val="bottom"/>
            <w:hideMark/>
          </w:tcPr>
          <w:p w14:paraId="1791FBC4" w14:textId="78CE56F9"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278,9</w:t>
            </w:r>
          </w:p>
        </w:tc>
        <w:tc>
          <w:tcPr>
            <w:tcW w:w="1678" w:type="dxa"/>
            <w:shd w:val="clear" w:color="auto" w:fill="auto"/>
            <w:vAlign w:val="bottom"/>
            <w:hideMark/>
          </w:tcPr>
          <w:p w14:paraId="567445A6" w14:textId="1EEB8DB0" w:rsidR="0015126A" w:rsidRPr="00B16F37" w:rsidRDefault="0015126A" w:rsidP="00FB7401">
            <w:pPr>
              <w:jc w:val="right"/>
              <w:rPr>
                <w:rFonts w:asciiTheme="majorBidi" w:hAnsiTheme="majorBidi" w:cstheme="majorBidi"/>
                <w:color w:val="000000"/>
                <w:sz w:val="18"/>
                <w:szCs w:val="18"/>
              </w:rPr>
            </w:pPr>
            <w:r>
              <w:rPr>
                <w:rFonts w:asciiTheme="majorBidi" w:hAnsiTheme="majorBidi"/>
                <w:color w:val="000000"/>
                <w:sz w:val="18"/>
                <w:szCs w:val="18"/>
              </w:rPr>
              <w:t>280,0</w:t>
            </w:r>
          </w:p>
        </w:tc>
        <w:tc>
          <w:tcPr>
            <w:tcW w:w="1154" w:type="dxa"/>
            <w:shd w:val="clear" w:color="auto" w:fill="auto"/>
            <w:vAlign w:val="bottom"/>
            <w:hideMark/>
          </w:tcPr>
          <w:p w14:paraId="45A0DB07" w14:textId="4DA75CE6"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1,1</w:t>
            </w:r>
          </w:p>
        </w:tc>
      </w:tr>
      <w:tr w:rsidR="0015126A" w:rsidRPr="00B16F37" w14:paraId="10FD0F9B" w14:textId="77777777" w:rsidTr="00361521">
        <w:trPr>
          <w:trHeight w:val="216"/>
          <w:jc w:val="center"/>
        </w:trPr>
        <w:tc>
          <w:tcPr>
            <w:tcW w:w="2972" w:type="dxa"/>
            <w:shd w:val="clear" w:color="auto" w:fill="auto"/>
            <w:vAlign w:val="bottom"/>
            <w:hideMark/>
          </w:tcPr>
          <w:p w14:paraId="52F90EBF" w14:textId="725A4C69" w:rsidR="0015126A" w:rsidRPr="00B16F37" w:rsidRDefault="0015126A" w:rsidP="00892011">
            <w:pPr>
              <w:jc w:val="left"/>
              <w:rPr>
                <w:rFonts w:asciiTheme="majorBidi" w:hAnsiTheme="majorBidi" w:cstheme="majorBidi"/>
                <w:color w:val="000000"/>
                <w:sz w:val="18"/>
                <w:szCs w:val="18"/>
              </w:rPr>
            </w:pPr>
            <w:r>
              <w:rPr>
                <w:rFonts w:asciiTheme="majorBidi" w:hAnsiTheme="majorBidi"/>
                <w:color w:val="000000"/>
                <w:sz w:val="18"/>
                <w:szCs w:val="18"/>
              </w:rPr>
              <w:t>Réunions d</w:t>
            </w:r>
            <w:r w:rsidR="0050419E">
              <w:rPr>
                <w:rFonts w:asciiTheme="majorBidi" w:hAnsiTheme="majorBidi"/>
                <w:color w:val="000000"/>
                <w:sz w:val="18"/>
                <w:szCs w:val="18"/>
              </w:rPr>
              <w:t>’</w:t>
            </w:r>
            <w:r>
              <w:rPr>
                <w:rFonts w:asciiTheme="majorBidi" w:hAnsiTheme="majorBidi"/>
                <w:color w:val="000000"/>
                <w:sz w:val="18"/>
                <w:szCs w:val="18"/>
              </w:rPr>
              <w:t>experts</w:t>
            </w:r>
          </w:p>
        </w:tc>
        <w:tc>
          <w:tcPr>
            <w:tcW w:w="2559" w:type="dxa"/>
            <w:shd w:val="clear" w:color="auto" w:fill="auto"/>
            <w:vAlign w:val="bottom"/>
            <w:hideMark/>
          </w:tcPr>
          <w:p w14:paraId="37B7864F" w14:textId="2B32CE0C"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480,0</w:t>
            </w:r>
          </w:p>
        </w:tc>
        <w:tc>
          <w:tcPr>
            <w:tcW w:w="1678" w:type="dxa"/>
            <w:shd w:val="clear" w:color="auto" w:fill="auto"/>
            <w:vAlign w:val="bottom"/>
            <w:hideMark/>
          </w:tcPr>
          <w:p w14:paraId="16A86523" w14:textId="189E8FB4" w:rsidR="0015126A" w:rsidRPr="00B16F37" w:rsidRDefault="0015126A" w:rsidP="0019209D">
            <w:pPr>
              <w:jc w:val="right"/>
              <w:rPr>
                <w:rFonts w:asciiTheme="majorBidi" w:hAnsiTheme="majorBidi" w:cstheme="majorBidi"/>
                <w:color w:val="000000"/>
                <w:sz w:val="18"/>
                <w:szCs w:val="18"/>
              </w:rPr>
            </w:pPr>
            <w:r>
              <w:rPr>
                <w:rFonts w:asciiTheme="majorBidi" w:hAnsiTheme="majorBidi"/>
                <w:color w:val="000000"/>
                <w:sz w:val="18"/>
                <w:szCs w:val="18"/>
              </w:rPr>
              <w:t>453,1</w:t>
            </w:r>
          </w:p>
        </w:tc>
        <w:tc>
          <w:tcPr>
            <w:tcW w:w="1154" w:type="dxa"/>
            <w:shd w:val="clear" w:color="auto" w:fill="auto"/>
            <w:vAlign w:val="bottom"/>
            <w:hideMark/>
          </w:tcPr>
          <w:p w14:paraId="553C9A6C" w14:textId="57177647"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26,9</w:t>
            </w:r>
          </w:p>
        </w:tc>
      </w:tr>
      <w:tr w:rsidR="0015126A" w:rsidRPr="00B16F37" w14:paraId="574FF5F5" w14:textId="77777777" w:rsidTr="00361521">
        <w:trPr>
          <w:trHeight w:val="329"/>
          <w:jc w:val="center"/>
        </w:trPr>
        <w:tc>
          <w:tcPr>
            <w:tcW w:w="2972" w:type="dxa"/>
            <w:shd w:val="clear" w:color="auto" w:fill="auto"/>
            <w:vAlign w:val="bottom"/>
            <w:hideMark/>
          </w:tcPr>
          <w:p w14:paraId="574C7623" w14:textId="2F490A8E" w:rsidR="0015126A" w:rsidRPr="00B16F37" w:rsidRDefault="0015126A" w:rsidP="00892011">
            <w:pPr>
              <w:jc w:val="left"/>
              <w:rPr>
                <w:rFonts w:asciiTheme="majorBidi" w:hAnsiTheme="majorBidi" w:cstheme="majorBidi"/>
                <w:color w:val="000000"/>
                <w:sz w:val="18"/>
                <w:szCs w:val="18"/>
              </w:rPr>
            </w:pPr>
            <w:r>
              <w:rPr>
                <w:rFonts w:asciiTheme="majorBidi" w:hAnsiTheme="majorBidi"/>
                <w:color w:val="000000"/>
                <w:sz w:val="18"/>
                <w:szCs w:val="18"/>
              </w:rPr>
              <w:t>Réunions des organismes intergouvernementaux*</w:t>
            </w:r>
          </w:p>
        </w:tc>
        <w:tc>
          <w:tcPr>
            <w:tcW w:w="2559" w:type="dxa"/>
            <w:shd w:val="clear" w:color="auto" w:fill="auto"/>
            <w:vAlign w:val="bottom"/>
            <w:hideMark/>
          </w:tcPr>
          <w:p w14:paraId="2B5D0BD6" w14:textId="6AA00CE6"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5</w:t>
            </w:r>
            <w:r w:rsidR="0050419E">
              <w:rPr>
                <w:rFonts w:asciiTheme="majorBidi" w:hAnsiTheme="majorBidi"/>
                <w:color w:val="000000"/>
                <w:sz w:val="18"/>
                <w:szCs w:val="18"/>
              </w:rPr>
              <w:t> </w:t>
            </w:r>
            <w:r>
              <w:rPr>
                <w:rFonts w:asciiTheme="majorBidi" w:hAnsiTheme="majorBidi"/>
                <w:color w:val="000000"/>
                <w:sz w:val="18"/>
                <w:szCs w:val="18"/>
              </w:rPr>
              <w:t>584,6</w:t>
            </w:r>
          </w:p>
        </w:tc>
        <w:tc>
          <w:tcPr>
            <w:tcW w:w="1678" w:type="dxa"/>
            <w:shd w:val="clear" w:color="auto" w:fill="auto"/>
            <w:vAlign w:val="bottom"/>
            <w:hideMark/>
          </w:tcPr>
          <w:p w14:paraId="2B9BD288" w14:textId="568FC516"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5</w:t>
            </w:r>
            <w:r w:rsidR="0050419E">
              <w:rPr>
                <w:rFonts w:asciiTheme="majorBidi" w:hAnsiTheme="majorBidi"/>
                <w:color w:val="000000"/>
                <w:sz w:val="18"/>
                <w:szCs w:val="18"/>
              </w:rPr>
              <w:t> </w:t>
            </w:r>
            <w:r>
              <w:rPr>
                <w:rFonts w:asciiTheme="majorBidi" w:hAnsiTheme="majorBidi"/>
                <w:color w:val="000000"/>
                <w:sz w:val="18"/>
                <w:szCs w:val="18"/>
              </w:rPr>
              <w:t>500,0</w:t>
            </w:r>
          </w:p>
        </w:tc>
        <w:tc>
          <w:tcPr>
            <w:tcW w:w="1154" w:type="dxa"/>
            <w:shd w:val="clear" w:color="auto" w:fill="auto"/>
            <w:vAlign w:val="bottom"/>
            <w:hideMark/>
          </w:tcPr>
          <w:p w14:paraId="13E87151" w14:textId="711F4D05"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84,6</w:t>
            </w:r>
          </w:p>
        </w:tc>
      </w:tr>
      <w:tr w:rsidR="0015126A" w:rsidRPr="00B16F37" w14:paraId="13F69251" w14:textId="77777777" w:rsidTr="00361521">
        <w:trPr>
          <w:trHeight w:val="216"/>
          <w:jc w:val="center"/>
        </w:trPr>
        <w:tc>
          <w:tcPr>
            <w:tcW w:w="2972" w:type="dxa"/>
            <w:shd w:val="clear" w:color="auto" w:fill="auto"/>
            <w:vAlign w:val="bottom"/>
            <w:hideMark/>
          </w:tcPr>
          <w:p w14:paraId="319BA76C" w14:textId="5AAAFE8B" w:rsidR="0015126A" w:rsidRPr="00B16F37" w:rsidRDefault="0015126A" w:rsidP="00892011">
            <w:pPr>
              <w:jc w:val="left"/>
              <w:rPr>
                <w:rFonts w:asciiTheme="majorBidi" w:hAnsiTheme="majorBidi" w:cstheme="majorBidi"/>
                <w:color w:val="000000"/>
                <w:sz w:val="18"/>
                <w:szCs w:val="18"/>
                <w:vertAlign w:val="superscript"/>
              </w:rPr>
            </w:pPr>
            <w:r>
              <w:rPr>
                <w:rFonts w:asciiTheme="majorBidi" w:hAnsiTheme="majorBidi"/>
                <w:color w:val="000000" w:themeColor="text1"/>
                <w:sz w:val="18"/>
                <w:szCs w:val="18"/>
              </w:rPr>
              <w:t>Matériel de sensibilisation du public et communications</w:t>
            </w:r>
          </w:p>
        </w:tc>
        <w:tc>
          <w:tcPr>
            <w:tcW w:w="2559" w:type="dxa"/>
            <w:shd w:val="clear" w:color="auto" w:fill="auto"/>
            <w:vAlign w:val="bottom"/>
            <w:hideMark/>
          </w:tcPr>
          <w:p w14:paraId="3B72B7E5" w14:textId="6CF407E4"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100,0</w:t>
            </w:r>
          </w:p>
        </w:tc>
        <w:tc>
          <w:tcPr>
            <w:tcW w:w="1678" w:type="dxa"/>
            <w:shd w:val="clear" w:color="auto" w:fill="auto"/>
            <w:vAlign w:val="bottom"/>
            <w:hideMark/>
          </w:tcPr>
          <w:p w14:paraId="3B05A7FB" w14:textId="68DF9728"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100,0</w:t>
            </w:r>
          </w:p>
        </w:tc>
        <w:tc>
          <w:tcPr>
            <w:tcW w:w="1154" w:type="dxa"/>
            <w:shd w:val="clear" w:color="auto" w:fill="auto"/>
            <w:vAlign w:val="bottom"/>
            <w:hideMark/>
          </w:tcPr>
          <w:p w14:paraId="630A0F37" w14:textId="64B6D7EF"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w:t>
            </w:r>
          </w:p>
        </w:tc>
      </w:tr>
      <w:tr w:rsidR="0015126A" w:rsidRPr="00B16F37" w14:paraId="49813DF4" w14:textId="77777777" w:rsidTr="00361521">
        <w:trPr>
          <w:trHeight w:val="216"/>
          <w:jc w:val="center"/>
        </w:trPr>
        <w:tc>
          <w:tcPr>
            <w:tcW w:w="2972" w:type="dxa"/>
            <w:shd w:val="clear" w:color="auto" w:fill="auto"/>
            <w:vAlign w:val="bottom"/>
            <w:hideMark/>
          </w:tcPr>
          <w:p w14:paraId="7557DF06" w14:textId="1EA6D768" w:rsidR="0015126A" w:rsidRPr="00B16F37" w:rsidRDefault="0015126A" w:rsidP="00892011">
            <w:pPr>
              <w:jc w:val="left"/>
              <w:rPr>
                <w:rFonts w:asciiTheme="majorBidi" w:hAnsiTheme="majorBidi" w:cstheme="majorBidi"/>
                <w:color w:val="000000"/>
                <w:sz w:val="18"/>
                <w:szCs w:val="18"/>
              </w:rPr>
            </w:pPr>
            <w:r>
              <w:rPr>
                <w:rFonts w:asciiTheme="majorBidi" w:hAnsiTheme="majorBidi"/>
                <w:color w:val="000000"/>
                <w:sz w:val="18"/>
                <w:szCs w:val="18"/>
              </w:rPr>
              <w:t>Traduction du site Web et des projets de sites Web de centres d’échange</w:t>
            </w:r>
          </w:p>
        </w:tc>
        <w:tc>
          <w:tcPr>
            <w:tcW w:w="2559" w:type="dxa"/>
            <w:shd w:val="clear" w:color="auto" w:fill="auto"/>
            <w:vAlign w:val="bottom"/>
            <w:hideMark/>
          </w:tcPr>
          <w:p w14:paraId="4713F2D3" w14:textId="01A28455"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130,0</w:t>
            </w:r>
          </w:p>
        </w:tc>
        <w:tc>
          <w:tcPr>
            <w:tcW w:w="1678" w:type="dxa"/>
            <w:shd w:val="clear" w:color="auto" w:fill="auto"/>
            <w:vAlign w:val="bottom"/>
            <w:hideMark/>
          </w:tcPr>
          <w:p w14:paraId="6357560D" w14:textId="775107E5"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70,0</w:t>
            </w:r>
          </w:p>
        </w:tc>
        <w:tc>
          <w:tcPr>
            <w:tcW w:w="1154" w:type="dxa"/>
            <w:shd w:val="clear" w:color="auto" w:fill="auto"/>
            <w:vAlign w:val="bottom"/>
            <w:hideMark/>
          </w:tcPr>
          <w:p w14:paraId="288D22EA" w14:textId="7AA8E322"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60,0</w:t>
            </w:r>
          </w:p>
        </w:tc>
      </w:tr>
      <w:tr w:rsidR="0015126A" w:rsidRPr="00B16F37" w14:paraId="269F4C58" w14:textId="77777777" w:rsidTr="00361521">
        <w:trPr>
          <w:trHeight w:val="360"/>
          <w:jc w:val="center"/>
        </w:trPr>
        <w:tc>
          <w:tcPr>
            <w:tcW w:w="2972" w:type="dxa"/>
            <w:shd w:val="clear" w:color="auto" w:fill="auto"/>
            <w:vAlign w:val="bottom"/>
            <w:hideMark/>
          </w:tcPr>
          <w:p w14:paraId="7E329666" w14:textId="3C1E94CD" w:rsidR="0015126A" w:rsidRPr="00B16F37" w:rsidRDefault="0015126A" w:rsidP="00892011">
            <w:pPr>
              <w:jc w:val="left"/>
              <w:rPr>
                <w:rFonts w:asciiTheme="majorBidi" w:hAnsiTheme="majorBidi" w:cstheme="majorBidi"/>
                <w:color w:val="000000"/>
                <w:sz w:val="18"/>
                <w:szCs w:val="18"/>
                <w:vertAlign w:val="superscript"/>
              </w:rPr>
            </w:pPr>
            <w:r>
              <w:rPr>
                <w:rFonts w:asciiTheme="majorBidi" w:hAnsiTheme="majorBidi"/>
                <w:color w:val="000000" w:themeColor="text1"/>
                <w:sz w:val="18"/>
                <w:szCs w:val="18"/>
              </w:rPr>
              <w:t>Voyages en mission officielle</w:t>
            </w:r>
          </w:p>
        </w:tc>
        <w:tc>
          <w:tcPr>
            <w:tcW w:w="2559" w:type="dxa"/>
            <w:shd w:val="clear" w:color="auto" w:fill="auto"/>
            <w:vAlign w:val="bottom"/>
            <w:hideMark/>
          </w:tcPr>
          <w:p w14:paraId="75C0C24F" w14:textId="77777777"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 xml:space="preserve">640,0 </w:t>
            </w:r>
          </w:p>
        </w:tc>
        <w:tc>
          <w:tcPr>
            <w:tcW w:w="1678" w:type="dxa"/>
            <w:shd w:val="clear" w:color="auto" w:fill="auto"/>
            <w:vAlign w:val="bottom"/>
            <w:hideMark/>
          </w:tcPr>
          <w:p w14:paraId="7EEB4941" w14:textId="77777777"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 xml:space="preserve">720,0 </w:t>
            </w:r>
          </w:p>
        </w:tc>
        <w:tc>
          <w:tcPr>
            <w:tcW w:w="1154" w:type="dxa"/>
            <w:shd w:val="clear" w:color="auto" w:fill="auto"/>
            <w:vAlign w:val="bottom"/>
            <w:hideMark/>
          </w:tcPr>
          <w:p w14:paraId="23664CDC" w14:textId="7C3F4347"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(80,0)</w:t>
            </w:r>
          </w:p>
        </w:tc>
      </w:tr>
      <w:tr w:rsidR="0015126A" w:rsidRPr="00B16F37" w14:paraId="2EF6F601" w14:textId="77777777" w:rsidTr="00361521">
        <w:trPr>
          <w:trHeight w:val="216"/>
          <w:jc w:val="center"/>
        </w:trPr>
        <w:tc>
          <w:tcPr>
            <w:tcW w:w="2972" w:type="dxa"/>
            <w:shd w:val="clear" w:color="auto" w:fill="auto"/>
            <w:vAlign w:val="bottom"/>
            <w:hideMark/>
          </w:tcPr>
          <w:p w14:paraId="48409D31" w14:textId="2204ED96" w:rsidR="0015126A" w:rsidRPr="00B16F37" w:rsidRDefault="0015126A" w:rsidP="00892011">
            <w:pPr>
              <w:jc w:val="left"/>
              <w:rPr>
                <w:rFonts w:asciiTheme="majorBidi" w:hAnsiTheme="majorBidi" w:cstheme="majorBidi"/>
                <w:color w:val="000000" w:themeColor="text1"/>
                <w:sz w:val="18"/>
                <w:szCs w:val="18"/>
              </w:rPr>
            </w:pPr>
            <w:r>
              <w:rPr>
                <w:rFonts w:asciiTheme="majorBidi" w:hAnsiTheme="majorBidi"/>
                <w:color w:val="000000" w:themeColor="text1"/>
                <w:sz w:val="18"/>
                <w:szCs w:val="18"/>
              </w:rPr>
              <w:t>Loyers et frais connexes</w:t>
            </w:r>
          </w:p>
        </w:tc>
        <w:tc>
          <w:tcPr>
            <w:tcW w:w="2559" w:type="dxa"/>
            <w:shd w:val="clear" w:color="auto" w:fill="auto"/>
            <w:vAlign w:val="bottom"/>
            <w:hideMark/>
          </w:tcPr>
          <w:p w14:paraId="71DB36BE" w14:textId="6C81938C"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2</w:t>
            </w:r>
            <w:r w:rsidR="0050419E">
              <w:rPr>
                <w:rFonts w:asciiTheme="majorBidi" w:hAnsiTheme="majorBidi"/>
                <w:color w:val="000000"/>
                <w:sz w:val="18"/>
                <w:szCs w:val="18"/>
              </w:rPr>
              <w:t> </w:t>
            </w:r>
            <w:r>
              <w:rPr>
                <w:rFonts w:asciiTheme="majorBidi" w:hAnsiTheme="majorBidi"/>
                <w:color w:val="000000"/>
                <w:sz w:val="18"/>
                <w:szCs w:val="18"/>
              </w:rPr>
              <w:t xml:space="preserve">918,7 </w:t>
            </w:r>
          </w:p>
        </w:tc>
        <w:tc>
          <w:tcPr>
            <w:tcW w:w="1678" w:type="dxa"/>
            <w:shd w:val="clear" w:color="auto" w:fill="auto"/>
            <w:vAlign w:val="bottom"/>
            <w:hideMark/>
          </w:tcPr>
          <w:p w14:paraId="01CFFDFB" w14:textId="08886199"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2</w:t>
            </w:r>
            <w:r w:rsidR="0050419E">
              <w:rPr>
                <w:rFonts w:asciiTheme="majorBidi" w:hAnsiTheme="majorBidi"/>
                <w:color w:val="000000"/>
                <w:sz w:val="18"/>
                <w:szCs w:val="18"/>
              </w:rPr>
              <w:t> </w:t>
            </w:r>
            <w:r>
              <w:rPr>
                <w:rFonts w:asciiTheme="majorBidi" w:hAnsiTheme="majorBidi"/>
                <w:color w:val="000000"/>
                <w:sz w:val="18"/>
                <w:szCs w:val="18"/>
              </w:rPr>
              <w:t xml:space="preserve">895,8 </w:t>
            </w:r>
          </w:p>
        </w:tc>
        <w:tc>
          <w:tcPr>
            <w:tcW w:w="1154" w:type="dxa"/>
            <w:shd w:val="clear" w:color="auto" w:fill="auto"/>
            <w:vAlign w:val="bottom"/>
            <w:hideMark/>
          </w:tcPr>
          <w:p w14:paraId="234F297A" w14:textId="77777777"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22,9</w:t>
            </w:r>
          </w:p>
        </w:tc>
      </w:tr>
      <w:tr w:rsidR="0015126A" w:rsidRPr="00B16F37" w14:paraId="37961EAB" w14:textId="77777777" w:rsidTr="00361521">
        <w:trPr>
          <w:trHeight w:val="216"/>
          <w:jc w:val="center"/>
        </w:trPr>
        <w:tc>
          <w:tcPr>
            <w:tcW w:w="2972" w:type="dxa"/>
            <w:shd w:val="clear" w:color="auto" w:fill="auto"/>
            <w:vAlign w:val="bottom"/>
          </w:tcPr>
          <w:p w14:paraId="5348562F" w14:textId="7DC6F742" w:rsidR="0015126A" w:rsidRPr="00B16F37" w:rsidRDefault="0015126A" w:rsidP="00892011">
            <w:pPr>
              <w:jc w:val="left"/>
              <w:rPr>
                <w:rFonts w:asciiTheme="majorBidi" w:hAnsiTheme="majorBidi" w:cstheme="majorBidi"/>
                <w:color w:val="000000" w:themeColor="text1"/>
                <w:sz w:val="18"/>
                <w:szCs w:val="18"/>
              </w:rPr>
            </w:pPr>
            <w:r>
              <w:rPr>
                <w:rFonts w:asciiTheme="majorBidi" w:hAnsiTheme="majorBidi"/>
                <w:color w:val="000000"/>
                <w:sz w:val="18"/>
                <w:szCs w:val="18"/>
              </w:rPr>
              <w:t>Technologie de l’information</w:t>
            </w:r>
          </w:p>
        </w:tc>
        <w:tc>
          <w:tcPr>
            <w:tcW w:w="2559" w:type="dxa"/>
            <w:shd w:val="clear" w:color="auto" w:fill="auto"/>
            <w:vAlign w:val="bottom"/>
          </w:tcPr>
          <w:p w14:paraId="191F3067" w14:textId="77777777"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130,0</w:t>
            </w:r>
          </w:p>
        </w:tc>
        <w:tc>
          <w:tcPr>
            <w:tcW w:w="1678" w:type="dxa"/>
            <w:shd w:val="clear" w:color="auto" w:fill="auto"/>
            <w:vAlign w:val="bottom"/>
          </w:tcPr>
          <w:p w14:paraId="5C90A566" w14:textId="77777777"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100,0</w:t>
            </w:r>
          </w:p>
        </w:tc>
        <w:tc>
          <w:tcPr>
            <w:tcW w:w="1154" w:type="dxa"/>
            <w:shd w:val="clear" w:color="auto" w:fill="auto"/>
            <w:vAlign w:val="bottom"/>
          </w:tcPr>
          <w:p w14:paraId="34262CEC" w14:textId="77777777"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30,0</w:t>
            </w:r>
          </w:p>
        </w:tc>
      </w:tr>
      <w:tr w:rsidR="0015126A" w:rsidRPr="00B16F37" w14:paraId="1AC0BD33" w14:textId="77777777" w:rsidTr="00361521">
        <w:trPr>
          <w:trHeight w:val="216"/>
          <w:jc w:val="center"/>
        </w:trPr>
        <w:tc>
          <w:tcPr>
            <w:tcW w:w="2972" w:type="dxa"/>
            <w:shd w:val="clear" w:color="auto" w:fill="auto"/>
            <w:vAlign w:val="bottom"/>
          </w:tcPr>
          <w:p w14:paraId="15236429" w14:textId="15375F81" w:rsidR="0015126A" w:rsidRPr="00B16F37" w:rsidRDefault="0015126A" w:rsidP="00892011">
            <w:pPr>
              <w:jc w:val="left"/>
              <w:rPr>
                <w:rFonts w:asciiTheme="majorBidi" w:hAnsiTheme="majorBidi" w:cstheme="majorBidi"/>
                <w:color w:val="000000"/>
                <w:sz w:val="18"/>
                <w:szCs w:val="18"/>
              </w:rPr>
            </w:pPr>
            <w:r>
              <w:rPr>
                <w:rFonts w:asciiTheme="majorBidi" w:hAnsiTheme="majorBidi"/>
                <w:color w:val="000000"/>
                <w:sz w:val="18"/>
                <w:szCs w:val="18"/>
              </w:rPr>
              <w:t>Dépenses générales de fonctionnement</w:t>
            </w:r>
          </w:p>
        </w:tc>
        <w:tc>
          <w:tcPr>
            <w:tcW w:w="2559" w:type="dxa"/>
            <w:shd w:val="clear" w:color="auto" w:fill="auto"/>
            <w:vAlign w:val="bottom"/>
          </w:tcPr>
          <w:p w14:paraId="09C62ACD" w14:textId="056936AA"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w:t>
            </w:r>
            <w:r w:rsidR="0050419E">
              <w:rPr>
                <w:rFonts w:asciiTheme="majorBidi" w:hAnsiTheme="majorBidi"/>
                <w:color w:val="000000"/>
                <w:sz w:val="18"/>
                <w:szCs w:val="18"/>
              </w:rPr>
              <w:t> </w:t>
            </w:r>
            <w:r>
              <w:rPr>
                <w:rFonts w:asciiTheme="majorBidi" w:hAnsiTheme="majorBidi"/>
                <w:color w:val="000000"/>
                <w:sz w:val="18"/>
                <w:szCs w:val="18"/>
              </w:rPr>
              <w:t>453,2</w:t>
            </w:r>
          </w:p>
        </w:tc>
        <w:tc>
          <w:tcPr>
            <w:tcW w:w="1678" w:type="dxa"/>
            <w:shd w:val="clear" w:color="auto" w:fill="auto"/>
            <w:vAlign w:val="bottom"/>
          </w:tcPr>
          <w:p w14:paraId="1264ACE7" w14:textId="5943CCA8"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1</w:t>
            </w:r>
            <w:r w:rsidR="0050419E">
              <w:rPr>
                <w:rFonts w:asciiTheme="majorBidi" w:hAnsiTheme="majorBidi"/>
                <w:color w:val="000000"/>
                <w:sz w:val="18"/>
                <w:szCs w:val="18"/>
              </w:rPr>
              <w:t> </w:t>
            </w:r>
            <w:r>
              <w:rPr>
                <w:rFonts w:asciiTheme="majorBidi" w:hAnsiTheme="majorBidi"/>
                <w:color w:val="000000"/>
                <w:sz w:val="18"/>
                <w:szCs w:val="18"/>
              </w:rPr>
              <w:t>400,0</w:t>
            </w:r>
          </w:p>
        </w:tc>
        <w:tc>
          <w:tcPr>
            <w:tcW w:w="1154" w:type="dxa"/>
            <w:shd w:val="clear" w:color="auto" w:fill="auto"/>
            <w:vAlign w:val="bottom"/>
          </w:tcPr>
          <w:p w14:paraId="3B49D6C3" w14:textId="77777777"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53,2</w:t>
            </w:r>
          </w:p>
        </w:tc>
      </w:tr>
      <w:tr w:rsidR="0015126A" w:rsidRPr="00B16F37" w14:paraId="25CB644F" w14:textId="77777777" w:rsidTr="00361521">
        <w:trPr>
          <w:trHeight w:val="216"/>
          <w:jc w:val="center"/>
        </w:trPr>
        <w:tc>
          <w:tcPr>
            <w:tcW w:w="2972" w:type="dxa"/>
            <w:shd w:val="clear" w:color="auto" w:fill="auto"/>
            <w:vAlign w:val="bottom"/>
            <w:hideMark/>
          </w:tcPr>
          <w:p w14:paraId="6F271681" w14:textId="21A618FC" w:rsidR="0015126A" w:rsidRPr="00B16F37" w:rsidRDefault="0015126A" w:rsidP="00892011">
            <w:pPr>
              <w:jc w:val="left"/>
              <w:rPr>
                <w:rFonts w:asciiTheme="majorBidi" w:hAnsiTheme="majorBidi" w:cstheme="majorBidi"/>
                <w:b/>
                <w:bCs/>
                <w:color w:val="000000"/>
                <w:sz w:val="18"/>
                <w:szCs w:val="18"/>
              </w:rPr>
            </w:pPr>
            <w:r>
              <w:rPr>
                <w:rFonts w:asciiTheme="majorBidi" w:hAnsiTheme="majorBidi"/>
                <w:b/>
                <w:bCs/>
                <w:color w:val="000000"/>
                <w:sz w:val="18"/>
                <w:szCs w:val="18"/>
              </w:rPr>
              <w:tab/>
              <w:t>Sous-total</w:t>
            </w:r>
          </w:p>
        </w:tc>
        <w:tc>
          <w:tcPr>
            <w:tcW w:w="2559" w:type="dxa"/>
            <w:shd w:val="clear" w:color="auto" w:fill="auto"/>
            <w:vAlign w:val="bottom"/>
            <w:hideMark/>
          </w:tcPr>
          <w:p w14:paraId="49974FEB" w14:textId="7782769C" w:rsidR="0015126A" w:rsidRPr="00B16F37" w:rsidRDefault="0015126A" w:rsidP="00892011">
            <w:pPr>
              <w:jc w:val="right"/>
              <w:rPr>
                <w:rFonts w:asciiTheme="majorBidi" w:hAnsiTheme="majorBidi" w:cstheme="majorBidi"/>
                <w:b/>
                <w:bCs/>
                <w:color w:val="000000"/>
                <w:sz w:val="18"/>
                <w:szCs w:val="18"/>
              </w:rPr>
            </w:pPr>
            <w:r>
              <w:rPr>
                <w:rFonts w:asciiTheme="majorBidi" w:hAnsiTheme="majorBidi"/>
                <w:b/>
                <w:bCs/>
                <w:color w:val="000000"/>
                <w:sz w:val="18"/>
                <w:szCs w:val="18"/>
              </w:rPr>
              <w:t>36</w:t>
            </w:r>
            <w:r w:rsidR="0050419E">
              <w:rPr>
                <w:rFonts w:asciiTheme="majorBidi" w:hAnsiTheme="majorBidi"/>
                <w:b/>
                <w:bCs/>
                <w:color w:val="000000"/>
                <w:sz w:val="18"/>
                <w:szCs w:val="18"/>
              </w:rPr>
              <w:t> </w:t>
            </w:r>
            <w:r>
              <w:rPr>
                <w:rFonts w:asciiTheme="majorBidi" w:hAnsiTheme="majorBidi"/>
                <w:b/>
                <w:bCs/>
                <w:color w:val="000000"/>
                <w:sz w:val="18"/>
                <w:szCs w:val="18"/>
              </w:rPr>
              <w:t>432,7</w:t>
            </w:r>
          </w:p>
        </w:tc>
        <w:tc>
          <w:tcPr>
            <w:tcW w:w="1678" w:type="dxa"/>
            <w:shd w:val="clear" w:color="auto" w:fill="auto"/>
            <w:vAlign w:val="bottom"/>
            <w:hideMark/>
          </w:tcPr>
          <w:p w14:paraId="4CE1CA5B" w14:textId="0A71D452" w:rsidR="0015126A" w:rsidRPr="00B16F37" w:rsidRDefault="0015126A" w:rsidP="00892011">
            <w:pPr>
              <w:jc w:val="right"/>
              <w:rPr>
                <w:rFonts w:asciiTheme="majorBidi" w:hAnsiTheme="majorBidi" w:cstheme="majorBidi"/>
                <w:b/>
                <w:bCs/>
                <w:color w:val="000000"/>
                <w:sz w:val="18"/>
                <w:szCs w:val="18"/>
              </w:rPr>
            </w:pPr>
            <w:r>
              <w:rPr>
                <w:rFonts w:asciiTheme="majorBidi" w:hAnsiTheme="majorBidi"/>
                <w:b/>
                <w:bCs/>
                <w:color w:val="000000" w:themeColor="text1"/>
                <w:sz w:val="18"/>
                <w:szCs w:val="18"/>
              </w:rPr>
              <w:t>35</w:t>
            </w:r>
            <w:r w:rsidR="0050419E">
              <w:rPr>
                <w:rFonts w:asciiTheme="majorBidi" w:hAnsiTheme="majorBidi"/>
                <w:b/>
                <w:bCs/>
                <w:color w:val="000000" w:themeColor="text1"/>
                <w:sz w:val="18"/>
                <w:szCs w:val="18"/>
              </w:rPr>
              <w:t> </w:t>
            </w:r>
            <w:r>
              <w:rPr>
                <w:rFonts w:asciiTheme="majorBidi" w:hAnsiTheme="majorBidi"/>
                <w:b/>
                <w:bCs/>
                <w:color w:val="000000" w:themeColor="text1"/>
                <w:sz w:val="18"/>
                <w:szCs w:val="18"/>
              </w:rPr>
              <w:t>243,1</w:t>
            </w:r>
          </w:p>
        </w:tc>
        <w:tc>
          <w:tcPr>
            <w:tcW w:w="1154" w:type="dxa"/>
            <w:shd w:val="clear" w:color="auto" w:fill="auto"/>
            <w:vAlign w:val="bottom"/>
            <w:hideMark/>
          </w:tcPr>
          <w:p w14:paraId="0D1CD2B0" w14:textId="11E43C25" w:rsidR="0015126A" w:rsidRPr="00B16F37" w:rsidRDefault="0015126A" w:rsidP="00892011">
            <w:pPr>
              <w:jc w:val="right"/>
              <w:rPr>
                <w:rFonts w:asciiTheme="majorBidi" w:hAnsiTheme="majorBidi" w:cstheme="majorBidi"/>
                <w:b/>
                <w:bCs/>
                <w:color w:val="000000"/>
                <w:sz w:val="18"/>
                <w:szCs w:val="18"/>
              </w:rPr>
            </w:pPr>
            <w:r>
              <w:rPr>
                <w:rFonts w:asciiTheme="majorBidi" w:hAnsiTheme="majorBidi"/>
                <w:b/>
                <w:bCs/>
                <w:color w:val="000000" w:themeColor="text1"/>
                <w:sz w:val="18"/>
                <w:szCs w:val="18"/>
              </w:rPr>
              <w:t>1</w:t>
            </w:r>
            <w:r w:rsidR="0050419E">
              <w:rPr>
                <w:rFonts w:asciiTheme="majorBidi" w:hAnsiTheme="majorBidi"/>
                <w:b/>
                <w:bCs/>
                <w:color w:val="000000" w:themeColor="text1"/>
                <w:sz w:val="18"/>
                <w:szCs w:val="18"/>
              </w:rPr>
              <w:t> </w:t>
            </w:r>
            <w:r>
              <w:rPr>
                <w:rFonts w:asciiTheme="majorBidi" w:hAnsiTheme="majorBidi"/>
                <w:b/>
                <w:bCs/>
                <w:color w:val="000000" w:themeColor="text1"/>
                <w:sz w:val="18"/>
                <w:szCs w:val="18"/>
              </w:rPr>
              <w:t>189,6</w:t>
            </w:r>
          </w:p>
        </w:tc>
      </w:tr>
      <w:tr w:rsidR="0015126A" w:rsidRPr="00B16F37" w14:paraId="20075388" w14:textId="77777777" w:rsidTr="00361521">
        <w:trPr>
          <w:trHeight w:val="329"/>
          <w:jc w:val="center"/>
        </w:trPr>
        <w:tc>
          <w:tcPr>
            <w:tcW w:w="2972" w:type="dxa"/>
            <w:shd w:val="clear" w:color="auto" w:fill="auto"/>
            <w:vAlign w:val="bottom"/>
            <w:hideMark/>
          </w:tcPr>
          <w:p w14:paraId="06D3F149" w14:textId="0918D290" w:rsidR="0015126A" w:rsidRPr="00B16F37" w:rsidRDefault="0015126A" w:rsidP="00892011">
            <w:pPr>
              <w:jc w:val="left"/>
              <w:rPr>
                <w:rFonts w:asciiTheme="majorBidi" w:hAnsiTheme="majorBidi" w:cstheme="majorBidi"/>
                <w:color w:val="000000"/>
                <w:sz w:val="18"/>
                <w:szCs w:val="18"/>
              </w:rPr>
            </w:pPr>
            <w:r>
              <w:rPr>
                <w:rFonts w:asciiTheme="majorBidi" w:hAnsiTheme="majorBidi"/>
                <w:color w:val="000000"/>
                <w:sz w:val="18"/>
                <w:szCs w:val="18"/>
              </w:rPr>
              <w:t>Dépenses d’appui au programme</w:t>
            </w:r>
            <w:r>
              <w:rPr>
                <w:rFonts w:asciiTheme="majorBidi" w:hAnsiTheme="majorBidi"/>
                <w:color w:val="000000"/>
                <w:sz w:val="18"/>
                <w:szCs w:val="18"/>
              </w:rPr>
              <w:br/>
              <w:t>(13 %)</w:t>
            </w:r>
          </w:p>
        </w:tc>
        <w:tc>
          <w:tcPr>
            <w:tcW w:w="2559" w:type="dxa"/>
            <w:shd w:val="clear" w:color="auto" w:fill="auto"/>
            <w:vAlign w:val="bottom"/>
            <w:hideMark/>
          </w:tcPr>
          <w:p w14:paraId="0BDC350B" w14:textId="784136FF"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sz w:val="18"/>
                <w:szCs w:val="18"/>
              </w:rPr>
              <w:t>4</w:t>
            </w:r>
            <w:r w:rsidR="0050419E">
              <w:rPr>
                <w:rFonts w:asciiTheme="majorBidi" w:hAnsiTheme="majorBidi"/>
                <w:color w:val="000000"/>
                <w:sz w:val="18"/>
                <w:szCs w:val="18"/>
              </w:rPr>
              <w:t> </w:t>
            </w:r>
            <w:r>
              <w:rPr>
                <w:rFonts w:asciiTheme="majorBidi" w:hAnsiTheme="majorBidi"/>
                <w:color w:val="000000"/>
                <w:sz w:val="18"/>
                <w:szCs w:val="18"/>
              </w:rPr>
              <w:t xml:space="preserve">736,2 </w:t>
            </w:r>
          </w:p>
        </w:tc>
        <w:tc>
          <w:tcPr>
            <w:tcW w:w="1678" w:type="dxa"/>
            <w:shd w:val="clear" w:color="auto" w:fill="auto"/>
            <w:vAlign w:val="bottom"/>
            <w:hideMark/>
          </w:tcPr>
          <w:p w14:paraId="19EBB154" w14:textId="6D117990"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themeColor="text1"/>
                <w:sz w:val="18"/>
                <w:szCs w:val="18"/>
              </w:rPr>
              <w:t>4</w:t>
            </w:r>
            <w:r w:rsidR="0050419E">
              <w:rPr>
                <w:rFonts w:asciiTheme="majorBidi" w:hAnsiTheme="majorBidi"/>
                <w:color w:val="000000" w:themeColor="text1"/>
                <w:sz w:val="18"/>
                <w:szCs w:val="18"/>
              </w:rPr>
              <w:t> </w:t>
            </w:r>
            <w:r>
              <w:rPr>
                <w:rFonts w:asciiTheme="majorBidi" w:hAnsiTheme="majorBidi"/>
                <w:color w:val="000000" w:themeColor="text1"/>
                <w:sz w:val="18"/>
                <w:szCs w:val="18"/>
              </w:rPr>
              <w:t xml:space="preserve">581,6 </w:t>
            </w:r>
          </w:p>
        </w:tc>
        <w:tc>
          <w:tcPr>
            <w:tcW w:w="1154" w:type="dxa"/>
            <w:shd w:val="clear" w:color="auto" w:fill="auto"/>
            <w:vAlign w:val="bottom"/>
            <w:hideMark/>
          </w:tcPr>
          <w:p w14:paraId="01FE9E30" w14:textId="5FE3D37C" w:rsidR="0015126A" w:rsidRPr="00B16F37" w:rsidRDefault="0015126A" w:rsidP="00892011">
            <w:pPr>
              <w:jc w:val="right"/>
              <w:rPr>
                <w:rFonts w:asciiTheme="majorBidi" w:hAnsiTheme="majorBidi" w:cstheme="majorBidi"/>
                <w:color w:val="000000"/>
                <w:sz w:val="18"/>
                <w:szCs w:val="18"/>
              </w:rPr>
            </w:pPr>
            <w:r>
              <w:rPr>
                <w:rFonts w:asciiTheme="majorBidi" w:hAnsiTheme="majorBidi"/>
                <w:color w:val="000000" w:themeColor="text1"/>
                <w:sz w:val="18"/>
                <w:szCs w:val="18"/>
              </w:rPr>
              <w:t xml:space="preserve">154,6 </w:t>
            </w:r>
          </w:p>
        </w:tc>
      </w:tr>
      <w:tr w:rsidR="0015126A" w:rsidRPr="00B16F37" w14:paraId="2EA06421" w14:textId="77777777" w:rsidTr="00361521">
        <w:trPr>
          <w:trHeight w:val="215"/>
          <w:jc w:val="center"/>
        </w:trPr>
        <w:tc>
          <w:tcPr>
            <w:tcW w:w="2972" w:type="dxa"/>
            <w:shd w:val="clear" w:color="auto" w:fill="auto"/>
            <w:vAlign w:val="bottom"/>
            <w:hideMark/>
          </w:tcPr>
          <w:p w14:paraId="541C55CF" w14:textId="1FF3942F" w:rsidR="0015126A" w:rsidRPr="00B16F37" w:rsidRDefault="0015126A" w:rsidP="00892011">
            <w:pPr>
              <w:jc w:val="left"/>
              <w:rPr>
                <w:rFonts w:asciiTheme="majorBidi" w:hAnsiTheme="majorBidi" w:cstheme="majorBidi"/>
                <w:b/>
                <w:bCs/>
                <w:color w:val="000000"/>
                <w:sz w:val="18"/>
                <w:szCs w:val="18"/>
              </w:rPr>
            </w:pPr>
            <w:r>
              <w:rPr>
                <w:rFonts w:asciiTheme="majorBidi" w:hAnsiTheme="majorBidi"/>
                <w:b/>
                <w:bCs/>
                <w:color w:val="000000"/>
                <w:sz w:val="18"/>
                <w:szCs w:val="18"/>
              </w:rPr>
              <w:tab/>
              <w:t xml:space="preserve">Total </w:t>
            </w:r>
          </w:p>
        </w:tc>
        <w:tc>
          <w:tcPr>
            <w:tcW w:w="2559" w:type="dxa"/>
            <w:shd w:val="clear" w:color="auto" w:fill="auto"/>
            <w:vAlign w:val="bottom"/>
            <w:hideMark/>
          </w:tcPr>
          <w:p w14:paraId="5E14C907" w14:textId="65B8C119" w:rsidR="0015126A" w:rsidRPr="00B16F37" w:rsidRDefault="0015126A" w:rsidP="00892011">
            <w:pPr>
              <w:jc w:val="right"/>
              <w:rPr>
                <w:rFonts w:asciiTheme="majorBidi" w:hAnsiTheme="majorBidi" w:cstheme="majorBidi"/>
                <w:b/>
                <w:bCs/>
                <w:color w:val="000000"/>
                <w:sz w:val="18"/>
                <w:szCs w:val="18"/>
              </w:rPr>
            </w:pPr>
            <w:r>
              <w:rPr>
                <w:rFonts w:asciiTheme="majorBidi" w:hAnsiTheme="majorBidi"/>
                <w:b/>
                <w:bCs/>
                <w:color w:val="000000"/>
                <w:sz w:val="18"/>
                <w:szCs w:val="18"/>
              </w:rPr>
              <w:t>41</w:t>
            </w:r>
            <w:r w:rsidR="0050419E">
              <w:rPr>
                <w:rFonts w:asciiTheme="majorBidi" w:hAnsiTheme="majorBidi"/>
                <w:b/>
                <w:bCs/>
                <w:color w:val="000000"/>
                <w:sz w:val="18"/>
                <w:szCs w:val="18"/>
              </w:rPr>
              <w:t> </w:t>
            </w:r>
            <w:r>
              <w:rPr>
                <w:rFonts w:asciiTheme="majorBidi" w:hAnsiTheme="majorBidi"/>
                <w:b/>
                <w:bCs/>
                <w:color w:val="000000"/>
                <w:sz w:val="18"/>
                <w:szCs w:val="18"/>
              </w:rPr>
              <w:t>168,9</w:t>
            </w:r>
          </w:p>
        </w:tc>
        <w:tc>
          <w:tcPr>
            <w:tcW w:w="1678" w:type="dxa"/>
            <w:shd w:val="clear" w:color="auto" w:fill="auto"/>
            <w:vAlign w:val="bottom"/>
            <w:hideMark/>
          </w:tcPr>
          <w:p w14:paraId="5E7101C9" w14:textId="2E9B1F22" w:rsidR="0015126A" w:rsidRPr="00B16F37" w:rsidRDefault="0015126A" w:rsidP="00892011">
            <w:pPr>
              <w:jc w:val="right"/>
              <w:rPr>
                <w:rFonts w:asciiTheme="majorBidi" w:hAnsiTheme="majorBidi" w:cstheme="majorBidi"/>
                <w:b/>
                <w:bCs/>
                <w:color w:val="000000"/>
                <w:sz w:val="18"/>
                <w:szCs w:val="18"/>
              </w:rPr>
            </w:pPr>
            <w:r>
              <w:rPr>
                <w:rFonts w:asciiTheme="majorBidi" w:hAnsiTheme="majorBidi"/>
                <w:b/>
                <w:bCs/>
                <w:color w:val="000000" w:themeColor="text1"/>
                <w:sz w:val="18"/>
                <w:szCs w:val="18"/>
              </w:rPr>
              <w:t>39</w:t>
            </w:r>
            <w:r w:rsidR="0050419E">
              <w:rPr>
                <w:rFonts w:asciiTheme="majorBidi" w:hAnsiTheme="majorBidi"/>
                <w:b/>
                <w:bCs/>
                <w:color w:val="000000" w:themeColor="text1"/>
                <w:sz w:val="18"/>
                <w:szCs w:val="18"/>
              </w:rPr>
              <w:t> </w:t>
            </w:r>
            <w:r>
              <w:rPr>
                <w:rFonts w:asciiTheme="majorBidi" w:hAnsiTheme="majorBidi"/>
                <w:b/>
                <w:bCs/>
                <w:color w:val="000000" w:themeColor="text1"/>
                <w:sz w:val="18"/>
                <w:szCs w:val="18"/>
              </w:rPr>
              <w:t>824,7</w:t>
            </w:r>
          </w:p>
        </w:tc>
        <w:tc>
          <w:tcPr>
            <w:tcW w:w="1154" w:type="dxa"/>
            <w:shd w:val="clear" w:color="auto" w:fill="auto"/>
            <w:vAlign w:val="bottom"/>
            <w:hideMark/>
          </w:tcPr>
          <w:p w14:paraId="305E599B" w14:textId="598F6655" w:rsidR="0015126A" w:rsidRPr="00B16F37" w:rsidRDefault="0015126A" w:rsidP="00892011">
            <w:pPr>
              <w:jc w:val="right"/>
              <w:rPr>
                <w:rFonts w:asciiTheme="majorBidi" w:hAnsiTheme="majorBidi" w:cstheme="majorBidi"/>
                <w:b/>
                <w:bCs/>
                <w:color w:val="000000"/>
                <w:sz w:val="18"/>
                <w:szCs w:val="18"/>
              </w:rPr>
            </w:pPr>
            <w:r>
              <w:rPr>
                <w:rFonts w:asciiTheme="majorBidi" w:hAnsiTheme="majorBidi"/>
                <w:b/>
                <w:bCs/>
                <w:color w:val="000000" w:themeColor="text1"/>
                <w:sz w:val="18"/>
                <w:szCs w:val="18"/>
              </w:rPr>
              <w:t>1</w:t>
            </w:r>
            <w:r w:rsidR="0050419E">
              <w:rPr>
                <w:rFonts w:asciiTheme="majorBidi" w:hAnsiTheme="majorBidi"/>
                <w:b/>
                <w:bCs/>
                <w:color w:val="000000" w:themeColor="text1"/>
                <w:sz w:val="18"/>
                <w:szCs w:val="18"/>
              </w:rPr>
              <w:t> </w:t>
            </w:r>
            <w:r>
              <w:rPr>
                <w:rFonts w:asciiTheme="majorBidi" w:hAnsiTheme="majorBidi"/>
                <w:b/>
                <w:bCs/>
                <w:color w:val="000000" w:themeColor="text1"/>
                <w:sz w:val="18"/>
                <w:szCs w:val="18"/>
              </w:rPr>
              <w:t>344,2</w:t>
            </w:r>
          </w:p>
        </w:tc>
      </w:tr>
    </w:tbl>
    <w:p w14:paraId="75AD1470" w14:textId="278A1687" w:rsidR="0015126A" w:rsidRPr="00B16F37" w:rsidRDefault="0015126A" w:rsidP="006B6E6D">
      <w:pPr>
        <w:pStyle w:val="paragraph"/>
        <w:spacing w:before="240"/>
        <w:textAlignment w:val="baseline"/>
        <w:rPr>
          <w:kern w:val="22"/>
          <w:sz w:val="18"/>
          <w:szCs w:val="18"/>
        </w:rPr>
      </w:pPr>
      <w:r>
        <w:rPr>
          <w:i/>
          <w:iCs/>
          <w:sz w:val="18"/>
          <w:szCs w:val="18"/>
          <w:vertAlign w:val="superscript"/>
        </w:rPr>
        <w:t>a</w:t>
      </w:r>
      <w:r>
        <w:rPr>
          <w:sz w:val="18"/>
          <w:szCs w:val="18"/>
        </w:rPr>
        <w:t xml:space="preserve"> Réunions financées à partir du budget de base.</w:t>
      </w:r>
    </w:p>
    <w:p w14:paraId="51E9BF6C" w14:textId="55FFA036" w:rsidR="0015126A" w:rsidRPr="00B16F37" w:rsidRDefault="0015126A" w:rsidP="00361521">
      <w:pPr>
        <w:pStyle w:val="paragraph"/>
        <w:keepNext/>
        <w:spacing w:before="120" w:after="120"/>
        <w:textAlignment w:val="baseline"/>
        <w:rPr>
          <w:i/>
          <w:iCs/>
          <w:kern w:val="22"/>
        </w:rPr>
      </w:pPr>
      <w:r>
        <w:rPr>
          <w:i/>
          <w:iCs/>
        </w:rPr>
        <w:t>Dépenses de personnel</w:t>
      </w:r>
    </w:p>
    <w:p w14:paraId="552AEB30" w14:textId="478D9CD2" w:rsidR="0015126A" w:rsidRPr="00B16F37" w:rsidRDefault="0015126A" w:rsidP="00361521">
      <w:pPr>
        <w:pStyle w:val="CBDNormalNumber"/>
      </w:pPr>
      <w:r>
        <w:t xml:space="preserve">Dans sa décision 15/34, la Conférence des Parties a approuvé 82 postes (53 postes de la catégorie des administrateurs et fonctionnaires de rang supérieur et 29 postes de la catégorie des services généraux) pour le budget-programme consolidé des trois fonds généraux d’affectation pour l’exercice biennal 2023-2024. Un écart de 763 300 dollars US est prévu à la fin de 2024, principalement en raison de postes vacants non pourvus en 2023 et 2024. </w:t>
      </w:r>
    </w:p>
    <w:p w14:paraId="64B22D76" w14:textId="601D1966" w:rsidR="0015126A" w:rsidRPr="00B16F37" w:rsidRDefault="0015126A" w:rsidP="00361521">
      <w:pPr>
        <w:pStyle w:val="paragraph"/>
        <w:keepNext/>
        <w:spacing w:before="120" w:after="120"/>
        <w:textAlignment w:val="baseline"/>
        <w:rPr>
          <w:i/>
          <w:iCs/>
          <w:szCs w:val="22"/>
        </w:rPr>
      </w:pPr>
      <w:r>
        <w:rPr>
          <w:i/>
          <w:iCs/>
        </w:rPr>
        <w:t>Personnel temporaire/heures supplémentaires</w:t>
      </w:r>
    </w:p>
    <w:p w14:paraId="2286E754" w14:textId="21128AD9" w:rsidR="0015126A" w:rsidRPr="00B16F37" w:rsidRDefault="0015126A" w:rsidP="00361521">
      <w:pPr>
        <w:pStyle w:val="CBDNormalNumber"/>
        <w:rPr>
          <w:i/>
          <w:iCs/>
        </w:rPr>
      </w:pPr>
      <w:r>
        <w:t xml:space="preserve">Au 31 juillet 2024, le Secrétariat avait dépensé 210 000 dollars US environ pour recruter 28 prestataires indépendants pour répondre à ses besoins d’exploitation. </w:t>
      </w:r>
    </w:p>
    <w:p w14:paraId="49817A84" w14:textId="53599FEA" w:rsidR="0015126A" w:rsidRPr="00B16F37" w:rsidRDefault="0015126A" w:rsidP="00361521">
      <w:pPr>
        <w:pStyle w:val="paragraph"/>
        <w:keepNext/>
        <w:spacing w:before="120" w:after="120"/>
        <w:textAlignment w:val="baseline"/>
        <w:rPr>
          <w:i/>
          <w:iCs/>
          <w:szCs w:val="22"/>
        </w:rPr>
      </w:pPr>
      <w:r>
        <w:rPr>
          <w:i/>
          <w:iCs/>
        </w:rPr>
        <w:t>Consultants et sous-traitants</w:t>
      </w:r>
      <w:r>
        <w:rPr>
          <w:i/>
          <w:iCs/>
          <w:szCs w:val="22"/>
        </w:rPr>
        <w:t xml:space="preserve"> </w:t>
      </w:r>
    </w:p>
    <w:p w14:paraId="074605A1" w14:textId="05C74FC7" w:rsidR="0015126A" w:rsidRPr="00B16F37" w:rsidRDefault="0015126A" w:rsidP="00361521">
      <w:pPr>
        <w:pStyle w:val="CBDNormalNumber"/>
      </w:pPr>
      <w:r>
        <w:t xml:space="preserve">Au 31 juillet 2024, le Secrétariat avait dépensé environ 90 000 dollars US pour ses services de consultation visant l’examen de l’efficacité du mécanisme de financement, afin de répondre aux objectifs définis dans le mandat de l’examen (annexe IV de la décision 15/15). </w:t>
      </w:r>
    </w:p>
    <w:p w14:paraId="38D09ADA" w14:textId="77777777" w:rsidR="0015126A" w:rsidRPr="00B16F37" w:rsidRDefault="0015126A" w:rsidP="00361521">
      <w:pPr>
        <w:pStyle w:val="paragraph"/>
        <w:keepNext/>
        <w:spacing w:before="120" w:after="120"/>
        <w:textAlignment w:val="baseline"/>
        <w:rPr>
          <w:i/>
          <w:iCs/>
          <w:szCs w:val="22"/>
        </w:rPr>
      </w:pPr>
      <w:r>
        <w:rPr>
          <w:i/>
          <w:iCs/>
        </w:rPr>
        <w:t>Formation</w:t>
      </w:r>
      <w:r>
        <w:rPr>
          <w:i/>
          <w:iCs/>
          <w:szCs w:val="22"/>
        </w:rPr>
        <w:t xml:space="preserve"> </w:t>
      </w:r>
    </w:p>
    <w:p w14:paraId="35D172B0" w14:textId="4D2854BC" w:rsidR="0015126A" w:rsidRPr="00B16F37" w:rsidRDefault="0015126A">
      <w:pPr>
        <w:pStyle w:val="CBDNormalNumber"/>
      </w:pPr>
      <w:r>
        <w:t>Au 31 juillet 2024, une somme de 7 200 dollars US avait été dépensée pour couvrir les coûts de déplacement de l’équipe du Programme des Nations Unies pour l’environnement (PNUE) qui a dispensé une formation sur la solution intégrée Umoja de planification, de gestion et d’établissement de rapports.</w:t>
      </w:r>
    </w:p>
    <w:p w14:paraId="4C56F162" w14:textId="0624F5E9" w:rsidR="0015126A" w:rsidRPr="00B16F37" w:rsidRDefault="0015126A" w:rsidP="00361521">
      <w:pPr>
        <w:pStyle w:val="paragraph"/>
        <w:keepNext/>
        <w:spacing w:before="120" w:after="120"/>
        <w:textAlignment w:val="baseline"/>
        <w:rPr>
          <w:i/>
          <w:iCs/>
          <w:kern w:val="22"/>
        </w:rPr>
      </w:pPr>
      <w:r>
        <w:rPr>
          <w:i/>
          <w:iCs/>
        </w:rPr>
        <w:t>Examen structurel</w:t>
      </w:r>
    </w:p>
    <w:p w14:paraId="6CC9B7B8" w14:textId="2F473766" w:rsidR="0015126A" w:rsidRPr="00B16F37" w:rsidRDefault="008134FC" w:rsidP="00361521">
      <w:pPr>
        <w:pStyle w:val="CBDNormalNumber"/>
      </w:pPr>
      <w:r>
        <w:t>Le Secrétariat a mandaté une entreprise de services de consultation pour qu’elle prépare un rapport visant à définir le champ d’application</w:t>
      </w:r>
      <w:r w:rsidRPr="00B16F37">
        <w:rPr>
          <w:rStyle w:val="FootnoteReference"/>
        </w:rPr>
        <w:footnoteReference w:id="6"/>
      </w:r>
      <w:r>
        <w:t xml:space="preserve"> afin de soutenir le lancement de l’examen structurel après la présente réunion (voir la section E).</w:t>
      </w:r>
    </w:p>
    <w:p w14:paraId="6CD4E5C6" w14:textId="44CD9438" w:rsidR="0015126A" w:rsidRPr="00B16F37" w:rsidRDefault="0015126A" w:rsidP="00361521">
      <w:pPr>
        <w:pStyle w:val="paragraph"/>
        <w:keepNext/>
        <w:spacing w:before="120" w:after="120"/>
        <w:textAlignment w:val="baseline"/>
        <w:rPr>
          <w:szCs w:val="22"/>
        </w:rPr>
      </w:pPr>
      <w:r>
        <w:rPr>
          <w:i/>
          <w:iCs/>
        </w:rPr>
        <w:lastRenderedPageBreak/>
        <w:t>Réunions du Bureau</w:t>
      </w:r>
    </w:p>
    <w:p w14:paraId="5CAE3F3C" w14:textId="77777777" w:rsidR="0015126A" w:rsidRPr="00B16F37" w:rsidRDefault="0015126A" w:rsidP="00361521">
      <w:pPr>
        <w:pStyle w:val="CBDNormalNumber"/>
        <w:rPr>
          <w:i/>
          <w:iCs/>
        </w:rPr>
      </w:pPr>
      <w:r>
        <w:t>Au cours de la période allant de janvier 2023 à février 2024, cinq réunions du Bureau de la Conférence des Parties, deux réunions du Bureau de l’Organe subsidiaire chargé de fournir des avis scientifiques, techniques et technologiques et une réunion conjointe des deux Bureaux se sont tenues en personne. Un montant total de 280 000 dollars US a été dépensé pour faciliter le voyage des membres du Bureau des États Parties en développement.</w:t>
      </w:r>
    </w:p>
    <w:p w14:paraId="2CA4C415" w14:textId="5B079308" w:rsidR="0015126A" w:rsidRPr="00B16F37" w:rsidRDefault="0015126A" w:rsidP="00361521">
      <w:pPr>
        <w:pStyle w:val="paragraph"/>
        <w:keepNext/>
        <w:spacing w:before="120"/>
        <w:textAlignment w:val="baseline"/>
        <w:rPr>
          <w:i/>
          <w:iCs/>
          <w:szCs w:val="22"/>
        </w:rPr>
      </w:pPr>
      <w:r>
        <w:rPr>
          <w:i/>
          <w:iCs/>
          <w:szCs w:val="22"/>
        </w:rPr>
        <w:t>Réunions d</w:t>
      </w:r>
      <w:r w:rsidR="0050419E">
        <w:rPr>
          <w:i/>
          <w:iCs/>
          <w:szCs w:val="22"/>
        </w:rPr>
        <w:t>’</w:t>
      </w:r>
      <w:r>
        <w:rPr>
          <w:i/>
          <w:iCs/>
          <w:szCs w:val="22"/>
        </w:rPr>
        <w:t>experts</w:t>
      </w:r>
    </w:p>
    <w:p w14:paraId="48031BB7" w14:textId="29AF0724" w:rsidR="0015126A" w:rsidRPr="00B16F37" w:rsidRDefault="0015126A" w:rsidP="00361521">
      <w:pPr>
        <w:pStyle w:val="CBDNormalNumber"/>
      </w:pPr>
      <w:r>
        <w:t>À sa quinzième réunion, la Conférence des Parties a approuvé un budget de 480 000 dollars US pour l’organisation de plusieurs réunions d’experts en 2023-2024. Au cours de la période allant du 1</w:t>
      </w:r>
      <w:r>
        <w:rPr>
          <w:vertAlign w:val="superscript"/>
        </w:rPr>
        <w:t>er</w:t>
      </w:r>
      <w:r w:rsidR="0050419E">
        <w:rPr>
          <w:vertAlign w:val="superscript"/>
        </w:rPr>
        <w:t> </w:t>
      </w:r>
      <w:r>
        <w:t xml:space="preserve">janvier 2023 au 31 juillet 2024, le Secrétariat a organisé les réunions d’experts suivantes, pour un coût total de 453 100 dollars US : </w:t>
      </w:r>
    </w:p>
    <w:p w14:paraId="3A4B1D43" w14:textId="6847DE8D" w:rsidR="0015126A" w:rsidRPr="00B16F37" w:rsidRDefault="0015126A" w:rsidP="00361521">
      <w:pPr>
        <w:pStyle w:val="paragraph"/>
        <w:numPr>
          <w:ilvl w:val="0"/>
          <w:numId w:val="30"/>
        </w:numPr>
        <w:ind w:left="1134" w:hanging="567"/>
        <w:textAlignment w:val="baseline"/>
        <w:rPr>
          <w:szCs w:val="22"/>
        </w:rPr>
      </w:pPr>
      <w:r>
        <w:t>Douzième réunion du Comité consultatif informel du Centre d’échange pour la prévention des risques biotechnologiques (15 et 16 mai 2023)</w:t>
      </w:r>
    </w:p>
    <w:p w14:paraId="6EAE6EC0" w14:textId="62888718" w:rsidR="0015126A" w:rsidRPr="00B16F37" w:rsidRDefault="0015126A" w:rsidP="00361521">
      <w:pPr>
        <w:pStyle w:val="paragraph"/>
        <w:numPr>
          <w:ilvl w:val="0"/>
          <w:numId w:val="30"/>
        </w:numPr>
        <w:ind w:left="1134" w:hanging="567"/>
        <w:textAlignment w:val="baseline"/>
        <w:rPr>
          <w:szCs w:val="22"/>
        </w:rPr>
      </w:pPr>
      <w:r>
        <w:t>Première réunion du Groupe consultatif informel sur la coopération technique et scientifique (14</w:t>
      </w:r>
      <w:r>
        <w:noBreakHyphen/>
        <w:t xml:space="preserve">16 juin 2023) </w:t>
      </w:r>
    </w:p>
    <w:p w14:paraId="34DBACAB" w14:textId="77777777" w:rsidR="0015126A" w:rsidRPr="00B16F37" w:rsidRDefault="0015126A" w:rsidP="00361521">
      <w:pPr>
        <w:pStyle w:val="paragraph"/>
        <w:numPr>
          <w:ilvl w:val="0"/>
          <w:numId w:val="30"/>
        </w:numPr>
        <w:ind w:left="1134" w:hanging="567"/>
        <w:textAlignment w:val="baseline"/>
        <w:rPr>
          <w:szCs w:val="22"/>
        </w:rPr>
      </w:pPr>
      <w:r>
        <w:t xml:space="preserve">Cinquième réunion du Comité consultatif informel sur le renforcement des capacités pour la mise en œuvre du Protocole de Nagoya (20-22 juin 2023) </w:t>
      </w:r>
    </w:p>
    <w:p w14:paraId="6A7BEBC5" w14:textId="2AB387C0" w:rsidR="0015126A" w:rsidRPr="00B16F37" w:rsidRDefault="0015126A" w:rsidP="00361521">
      <w:pPr>
        <w:pStyle w:val="paragraph"/>
        <w:numPr>
          <w:ilvl w:val="0"/>
          <w:numId w:val="30"/>
        </w:numPr>
        <w:ind w:left="1134" w:hanging="567"/>
        <w:textAlignment w:val="baseline"/>
        <w:rPr>
          <w:szCs w:val="22"/>
        </w:rPr>
      </w:pPr>
      <w:r>
        <w:t xml:space="preserve">Première réunion du Comité consultatif sur la mobilisation des ressources (25-29 septembre 2023) </w:t>
      </w:r>
    </w:p>
    <w:p w14:paraId="2F10C1A1" w14:textId="446B9708" w:rsidR="0015126A" w:rsidRPr="00B16F37" w:rsidRDefault="0015126A" w:rsidP="00361521">
      <w:pPr>
        <w:pStyle w:val="paragraph"/>
        <w:numPr>
          <w:ilvl w:val="0"/>
          <w:numId w:val="30"/>
        </w:numPr>
        <w:ind w:left="1134" w:hanging="567"/>
        <w:textAlignment w:val="baseline"/>
        <w:rPr>
          <w:szCs w:val="22"/>
        </w:rPr>
      </w:pPr>
      <w:r>
        <w:t xml:space="preserve">Dix-huitième et dix-neuvième réunions du Comité chargé du respect des dispositions du Protocole de Cartagena (24-26 octobre 2023 et 30 avril au 2 mai 2024, respectivement) </w:t>
      </w:r>
    </w:p>
    <w:p w14:paraId="30E107E5" w14:textId="77777777" w:rsidR="0015126A" w:rsidRPr="00B16F37" w:rsidRDefault="0015126A" w:rsidP="00361521">
      <w:pPr>
        <w:pStyle w:val="paragraph"/>
        <w:numPr>
          <w:ilvl w:val="0"/>
          <w:numId w:val="30"/>
        </w:numPr>
        <w:ind w:left="1134" w:hanging="567"/>
        <w:textAlignment w:val="baseline"/>
        <w:rPr>
          <w:szCs w:val="22"/>
        </w:rPr>
      </w:pPr>
      <w:r>
        <w:t>Cinquième réunion du Comité consultatif informel du Centre d’échange sur l’accès et le partage des avantages (13-15 février 2024)</w:t>
      </w:r>
    </w:p>
    <w:p w14:paraId="279FC679" w14:textId="57B57B54" w:rsidR="0015126A" w:rsidRPr="00B16F37" w:rsidRDefault="0015126A" w:rsidP="00361521">
      <w:pPr>
        <w:pStyle w:val="paragraph"/>
        <w:numPr>
          <w:ilvl w:val="0"/>
          <w:numId w:val="30"/>
        </w:numPr>
        <w:ind w:left="1134" w:hanging="567"/>
        <w:textAlignment w:val="baseline"/>
        <w:rPr>
          <w:rFonts w:asciiTheme="majorBidi" w:hAnsiTheme="majorBidi" w:cstheme="majorBidi"/>
          <w:szCs w:val="22"/>
        </w:rPr>
      </w:pPr>
      <w:r>
        <w:t>Sixième réunion du Groupe spécial d’experts techniques sur les indicateurs du Cadre mondial de la biodiversité de Kunming-Montréal (12-15 mars 2024)</w:t>
      </w:r>
    </w:p>
    <w:p w14:paraId="697E9936" w14:textId="280ED5B3" w:rsidR="0015126A" w:rsidRPr="00B16F37" w:rsidRDefault="0015126A" w:rsidP="00361521">
      <w:pPr>
        <w:pStyle w:val="paragraph"/>
        <w:numPr>
          <w:ilvl w:val="0"/>
          <w:numId w:val="30"/>
        </w:numPr>
        <w:ind w:left="1134" w:hanging="567"/>
        <w:textAlignment w:val="baseline"/>
        <w:rPr>
          <w:i/>
          <w:iCs/>
          <w:szCs w:val="22"/>
        </w:rPr>
      </w:pPr>
      <w:r>
        <w:t>Quatrième réunion du Comité de conformité au titre du Protocole de Nagoya sur l’accès et le partage des avantages (25-27 mars 2024)</w:t>
      </w:r>
    </w:p>
    <w:p w14:paraId="1FB0F37D" w14:textId="77777777" w:rsidR="0015126A" w:rsidRPr="00B16F37" w:rsidRDefault="0015126A" w:rsidP="00361521">
      <w:pPr>
        <w:pStyle w:val="paragraph"/>
        <w:keepNext/>
        <w:spacing w:before="120" w:after="120"/>
        <w:textAlignment w:val="baseline"/>
        <w:rPr>
          <w:i/>
          <w:iCs/>
          <w:szCs w:val="22"/>
        </w:rPr>
      </w:pPr>
      <w:r>
        <w:rPr>
          <w:i/>
          <w:iCs/>
        </w:rPr>
        <w:t>Réunions des organes intergouvernementaux</w:t>
      </w:r>
    </w:p>
    <w:p w14:paraId="6279C039" w14:textId="17CAFD23" w:rsidR="0015126A" w:rsidRPr="00B16F37" w:rsidRDefault="0015126A" w:rsidP="00361521">
      <w:pPr>
        <w:pStyle w:val="CBDNormalNumber"/>
      </w:pPr>
      <w:r>
        <w:t>Dans sa décision 15/34, la Conférence des Parties a approuvé un budget de 5 584 600 dollars</w:t>
      </w:r>
      <w:r w:rsidR="00C62F66">
        <w:t> </w:t>
      </w:r>
      <w:r>
        <w:t>US pour l’exercice biennal afin de couvrir les frais des réunions des organes subsidiaires, de la seizième réunion de la Conférence des Parties à la Convention, de la onzième réunion de la Conférence des Parties siégeant en tant que réunion des Parties au Protocole de Cartagena et de la cinquième réunion de la Conférence des Parties siégeant en tant que réunion des Parties au Protocole de Nagoya. Au 31 juillet 2024, quelque 5,5 millions de dollars US avaient été dépensés pour couvrir les frais des vingt-cinquième et vingt-sixième réunions de l’Organe subsidiaire chargé de fournir des avis scientifiques, techniques et technologiques ; des quatrième et cinquième réunions de l’Organe subsidiaire chargé de l’application ; de la reprise des deuxièmes parties de la quinzième réunion de la Conférence des Parties à la Convention, de la dixième réunion de la Conférence des Parties siégeant en tant que réunion des Parties au Protocole de Cartagena et de la quatrième réunion de la Conférence des Parties siégeant en tant que réunion des Parties au Protocole de Nagoya ; de la douzième réunion du Groupe de travail spécial intersessions à composition non limitée sur l’article 8 j) et les dispositions connexes de la Convention ; de la seizième réunion de la Conférence des Parties à la Convention, de la onzième réunion de la Conférence des Parties siégeant en tant que réunion des Parties au Protocole de Cartagena et de la cinquième réunion de la Conférence des Parties siégeant en tant que réunion des Parties au Protocole de Nagoya.</w:t>
      </w:r>
    </w:p>
    <w:p w14:paraId="1E986E9F" w14:textId="146580D5" w:rsidR="0015126A" w:rsidRPr="00B16F37" w:rsidRDefault="0015126A" w:rsidP="00361521">
      <w:pPr>
        <w:pStyle w:val="paragraph"/>
        <w:keepNext/>
        <w:spacing w:before="120" w:after="120"/>
        <w:textAlignment w:val="baseline"/>
        <w:rPr>
          <w:i/>
          <w:iCs/>
          <w:szCs w:val="22"/>
        </w:rPr>
      </w:pPr>
      <w:r>
        <w:rPr>
          <w:i/>
          <w:iCs/>
        </w:rPr>
        <w:t>Matériel de sensibilisation du public et communications</w:t>
      </w:r>
    </w:p>
    <w:p w14:paraId="58D8998F" w14:textId="48440282" w:rsidR="0015126A" w:rsidRPr="00B16F37" w:rsidRDefault="0015126A" w:rsidP="00361521">
      <w:pPr>
        <w:pStyle w:val="CBDNormalNumber"/>
      </w:pPr>
      <w:r>
        <w:t xml:space="preserve">Au 31 juillet 2024, le Secrétariat avait dépensé 100 000 dollars US pour produire des documents d’information à distribuer sous forme imprimée, sur le Web, sur les médias sociaux, sous forme audio et à la télévision qui présentaient le Cadre et sensibilisaient les publics à celui-ci, en plus </w:t>
      </w:r>
      <w:r>
        <w:lastRenderedPageBreak/>
        <w:t>de porter sur la seizième réunion de la Conférence des Parties, les autres travaux entrepris au titre de la Convention et la célébration de la Journée internationale de la diversité biologique.</w:t>
      </w:r>
    </w:p>
    <w:p w14:paraId="0887EDF3" w14:textId="742116B5" w:rsidR="0015126A" w:rsidRPr="00B16F37" w:rsidRDefault="0015126A" w:rsidP="00361521">
      <w:pPr>
        <w:pStyle w:val="paragraph"/>
        <w:keepNext/>
        <w:spacing w:before="120" w:after="120"/>
        <w:textAlignment w:val="baseline"/>
        <w:rPr>
          <w:i/>
          <w:iCs/>
          <w:szCs w:val="22"/>
        </w:rPr>
      </w:pPr>
      <w:r>
        <w:rPr>
          <w:i/>
          <w:iCs/>
        </w:rPr>
        <w:t>Traduction du site Web et des projets de sites Web de centres d’échange</w:t>
      </w:r>
    </w:p>
    <w:p w14:paraId="61C04570" w14:textId="0B4D6E73" w:rsidR="0015126A" w:rsidRPr="00B16F37" w:rsidRDefault="0015126A" w:rsidP="00361521">
      <w:pPr>
        <w:pStyle w:val="CBDNormalNumber"/>
      </w:pPr>
      <w:r>
        <w:t>Au 31 juillet 2024, le Secrétariat avait dépensé environ 70 000 dollars US sous ce poste de dépenses, principalement pour la traduction des plateformes du Centre d’échange pour la prévention des risques biotechnologiques et du Centre d’échange sur l’accès et le partage des avantages. Comme le site Web du Secrétariat est en cours de refonte, la traduction du site Web a été reportée jusqu’après la fin de la refonte.</w:t>
      </w:r>
    </w:p>
    <w:p w14:paraId="48648CD7" w14:textId="568E49D7" w:rsidR="0015126A" w:rsidRPr="00B16F37" w:rsidRDefault="0015126A" w:rsidP="00361521">
      <w:pPr>
        <w:pStyle w:val="paragraph"/>
        <w:keepNext/>
        <w:spacing w:before="120" w:after="120"/>
        <w:textAlignment w:val="baseline"/>
        <w:rPr>
          <w:i/>
          <w:iCs/>
          <w:szCs w:val="22"/>
        </w:rPr>
      </w:pPr>
      <w:r>
        <w:rPr>
          <w:i/>
          <w:iCs/>
          <w:szCs w:val="22"/>
        </w:rPr>
        <w:t>Voyages en mission officielle</w:t>
      </w:r>
    </w:p>
    <w:p w14:paraId="48DD6D0C" w14:textId="685246F6" w:rsidR="0015126A" w:rsidRPr="00B16F37" w:rsidRDefault="0015126A" w:rsidP="00361521">
      <w:pPr>
        <w:pStyle w:val="CBDNormalNumber"/>
      </w:pPr>
      <w:r>
        <w:t>Au 31 juillet 2024, une somme de 720 000 dollars US avait été dépensée pour les voyages en mission officielle du personnel du Secrétariat se déplaçant pour représenter la Convention et ses Protocoles à divers réunions et événements. Le dépassement de 80 000 dollars US découle des demandes continues et croissantes envers le Secrétariat pour qu’il participe à des réunions et événements. Il convient également de noter que le budget des voyages pour l’exercice biennal en cours (640</w:t>
      </w:r>
      <w:r w:rsidR="0050419E">
        <w:t xml:space="preserve"> </w:t>
      </w:r>
      <w:r>
        <w:t>000 dollars US) est nettement inférieur à ceux des exercices biennaux précédents, qui variaient entre 800 000 et 900 000 dollars US.</w:t>
      </w:r>
    </w:p>
    <w:p w14:paraId="1FE6A055" w14:textId="4EEFECD2" w:rsidR="0015126A" w:rsidRPr="00B16F37" w:rsidRDefault="0015126A" w:rsidP="00361521">
      <w:pPr>
        <w:pStyle w:val="CBDNormalNumber"/>
      </w:pPr>
      <w:r>
        <w:t>Les membres du personnel avaient fait 85 voyages en 2023 et 75 du 1</w:t>
      </w:r>
      <w:r>
        <w:rPr>
          <w:vertAlign w:val="superscript"/>
        </w:rPr>
        <w:t>er</w:t>
      </w:r>
      <w:r w:rsidR="0050419E">
        <w:t> </w:t>
      </w:r>
      <w:r>
        <w:t>janvier au 31 juillet 2024. Pendant l’exercice biennal, le personnel du Secrétariat a aussi assisté à des rencontres avec la société civile et des forums commerciaux et participé à des réunions techniques et des processus intergouvernementaux pertinents. La participation du personnel à d’autres réunions et événements a été financée grâce à des contributions volontaires, tandis qu’une partie de cette participation a été payée par les différents organisateurs. En outre, les membres du personnel ont assisté à des réunions et événements par visioconférence.</w:t>
      </w:r>
    </w:p>
    <w:p w14:paraId="3E8DAE75" w14:textId="77777777" w:rsidR="0015126A" w:rsidRPr="00B16F37" w:rsidRDefault="0015126A" w:rsidP="00361521">
      <w:pPr>
        <w:pStyle w:val="paragraph"/>
        <w:keepNext/>
        <w:spacing w:before="120" w:after="120"/>
        <w:textAlignment w:val="baseline"/>
      </w:pPr>
      <w:r>
        <w:rPr>
          <w:i/>
          <w:iCs/>
        </w:rPr>
        <w:t>Loyers et frais connexes</w:t>
      </w:r>
    </w:p>
    <w:p w14:paraId="5C6AA1C8" w14:textId="357362FA" w:rsidR="0015126A" w:rsidRPr="00B16F37" w:rsidRDefault="0015126A" w:rsidP="00361521">
      <w:pPr>
        <w:pStyle w:val="CBDNormalNumber"/>
        <w:rPr>
          <w:i/>
          <w:iCs/>
        </w:rPr>
      </w:pPr>
      <w:r>
        <w:t>Le loyer et les frais connexes du bureau actuel du Secrétariat à Montréal, au Canada, sont payés par le gouvernement du Canada et le gouvernement de la province de Québec selon un principe de partage des frais de 75 %/25 %. Le Secrétariat a déboursé 2 895 800 dollars US pour la location de ses installations au cours de l’exercice biennal, conformément à la convention de bail actuelle d’une durée de 10 ans.</w:t>
      </w:r>
    </w:p>
    <w:p w14:paraId="498A6289" w14:textId="5B14F8C4" w:rsidR="0015126A" w:rsidRPr="00B16F37" w:rsidRDefault="0015126A" w:rsidP="00361521">
      <w:pPr>
        <w:pStyle w:val="paragraph"/>
        <w:keepNext/>
        <w:spacing w:before="120" w:after="120"/>
        <w:textAlignment w:val="baseline"/>
        <w:rPr>
          <w:i/>
          <w:iCs/>
          <w:szCs w:val="22"/>
        </w:rPr>
      </w:pPr>
      <w:r>
        <w:rPr>
          <w:i/>
          <w:iCs/>
          <w:szCs w:val="22"/>
        </w:rPr>
        <w:t>Technologie de l’information</w:t>
      </w:r>
    </w:p>
    <w:p w14:paraId="59B6451C" w14:textId="53495F0F" w:rsidR="00A7398E" w:rsidRPr="00B16F37" w:rsidRDefault="00A7398E" w:rsidP="00A7398E">
      <w:pPr>
        <w:pStyle w:val="CBDNormalNumber"/>
      </w:pPr>
      <w:r>
        <w:t xml:space="preserve">Le Secrétariat a dépensé 100 000 dollars US pour retenir les services de concepteurs d’interface utilisateur sous-traitants, afin d’améliorer la conception et les fonctionnalités du site Web du Secrétariat. Ce travail se traduira par un site Web plus dynamique, attrayant et convivial qui s’adapte aux appareils utilisés et est conforme aux thèmes du Cadre mondial de la biodiversité de Kunming-Montréal. </w:t>
      </w:r>
    </w:p>
    <w:p w14:paraId="32D9E32C" w14:textId="77777777" w:rsidR="0015126A" w:rsidRPr="00B16F37" w:rsidRDefault="0015126A" w:rsidP="00361521">
      <w:pPr>
        <w:pStyle w:val="CBDNormalNumber"/>
        <w:numPr>
          <w:ilvl w:val="0"/>
          <w:numId w:val="0"/>
        </w:numPr>
        <w:ind w:left="567"/>
      </w:pPr>
    </w:p>
    <w:p w14:paraId="3EB47028" w14:textId="3D9D66D6" w:rsidR="0015126A" w:rsidRPr="00B16F37" w:rsidRDefault="0015126A" w:rsidP="00361521">
      <w:pPr>
        <w:pStyle w:val="paragraph"/>
        <w:keepNext/>
        <w:spacing w:before="120" w:after="120"/>
        <w:textAlignment w:val="baseline"/>
        <w:rPr>
          <w:i/>
          <w:iCs/>
          <w:szCs w:val="22"/>
        </w:rPr>
      </w:pPr>
      <w:r>
        <w:rPr>
          <w:i/>
          <w:iCs/>
        </w:rPr>
        <w:t>Dépenses générales de fonctionnement</w:t>
      </w:r>
    </w:p>
    <w:p w14:paraId="6727FA24" w14:textId="2B4E6E4F" w:rsidR="0015126A" w:rsidRPr="00B16F37" w:rsidRDefault="0015126A" w:rsidP="00361521">
      <w:pPr>
        <w:pStyle w:val="CBDNormalNumber"/>
      </w:pPr>
      <w:r>
        <w:t xml:space="preserve">Les dépenses générales de fonctionnement comprennent l’achat d’équipement et de fournitures de bureau, les frais de services publics, les coûts d’assurance, les services de messagerie, les frais de communication et les coûts des licences annuelles d’Umoja. Le Secrétariat a terminé le projet de rénovation de ses bureaux et salles de conférence actuelles, ainsi que le projet de mise à niveau de l’infrastructure de technologie de l’information, afin de mieux soutenir et simplifier ses activités. La rénovation des salles de conférence et la mise à niveau de l’infrastructure de technologie de l’information ont contribué à la rentabilité et permis d’assurer la sécurité des données du Secrétariat. </w:t>
      </w:r>
    </w:p>
    <w:p w14:paraId="5E331B6D" w14:textId="2E819DAD" w:rsidR="0015126A" w:rsidRPr="00B16F37" w:rsidRDefault="0015126A" w:rsidP="00361521">
      <w:pPr>
        <w:pStyle w:val="CBDH3"/>
        <w:rPr>
          <w:bCs/>
        </w:rPr>
      </w:pPr>
      <w:r>
        <w:lastRenderedPageBreak/>
        <w:t>Réserve de trésorerie</w:t>
      </w:r>
    </w:p>
    <w:p w14:paraId="1E8220A0" w14:textId="6461F021" w:rsidR="0015126A" w:rsidRPr="00B16F37" w:rsidRDefault="0015126A" w:rsidP="00361521">
      <w:pPr>
        <w:pStyle w:val="CBDNormalNumber"/>
      </w:pPr>
      <w:r>
        <w:t xml:space="preserve">La réserve de trésorerie équivaut à 15 pour cent des dépenses annuelles estimatives, y compris les dépenses d’appui au programme. La réserve de trésorerie a pour but de garantir la continuité des activités du Secrétariat en cas d’insuffisance temporaire de trésorerie. En cas de retrait dans la réserve de trésorerie, la réserve est reconstituée à partir des contributions dans les meilleurs délais. </w:t>
      </w:r>
    </w:p>
    <w:p w14:paraId="38B36DB8" w14:textId="5922B204" w:rsidR="0015126A" w:rsidRPr="00B16F37" w:rsidRDefault="0015126A" w:rsidP="00361521">
      <w:pPr>
        <w:pStyle w:val="CBDTableTitle"/>
        <w:rPr>
          <w:snapToGrid w:val="0"/>
        </w:rPr>
      </w:pPr>
      <w:r>
        <w:rPr>
          <w:b w:val="0"/>
          <w:bCs/>
          <w:snapToGrid w:val="0"/>
        </w:rPr>
        <w:t>Tableau</w:t>
      </w:r>
      <w:r w:rsidR="0050419E">
        <w:rPr>
          <w:b w:val="0"/>
          <w:bCs/>
          <w:snapToGrid w:val="0"/>
        </w:rPr>
        <w:t> </w:t>
      </w:r>
      <w:r>
        <w:rPr>
          <w:b w:val="0"/>
          <w:bCs/>
          <w:snapToGrid w:val="0"/>
        </w:rPr>
        <w:t>6</w:t>
      </w:r>
      <w:r>
        <w:rPr>
          <w:snapToGrid w:val="0"/>
        </w:rPr>
        <w:br/>
        <w:t>Réserve de trésorerie au 31 décembre 2023</w:t>
      </w:r>
    </w:p>
    <w:p w14:paraId="5684F7DC" w14:textId="77777777" w:rsidR="0015126A" w:rsidRPr="00B16F37" w:rsidRDefault="0015126A" w:rsidP="00361521">
      <w:pPr>
        <w:pStyle w:val="ListParagraph"/>
        <w:keepNext/>
        <w:keepLines/>
        <w:suppressLineNumbers/>
        <w:suppressAutoHyphens/>
        <w:spacing w:after="60"/>
        <w:ind w:left="567"/>
        <w:jc w:val="left"/>
        <w:rPr>
          <w:kern w:val="22"/>
          <w:sz w:val="18"/>
          <w:szCs w:val="18"/>
        </w:rPr>
      </w:pPr>
      <w:r>
        <w:rPr>
          <w:sz w:val="18"/>
          <w:szCs w:val="18"/>
        </w:rPr>
        <w:t>(En milliers de dollars des États-Unis)</w:t>
      </w:r>
    </w:p>
    <w:tbl>
      <w:tblPr>
        <w:tblW w:w="6508" w:type="dxa"/>
        <w:jc w:val="center"/>
        <w:tblLayout w:type="fixed"/>
        <w:tblLook w:val="04A0" w:firstRow="1" w:lastRow="0" w:firstColumn="1" w:lastColumn="0" w:noHBand="0" w:noVBand="1"/>
      </w:tblPr>
      <w:tblGrid>
        <w:gridCol w:w="5398"/>
        <w:gridCol w:w="1110"/>
      </w:tblGrid>
      <w:tr w:rsidR="0015126A" w:rsidRPr="00B16F37" w14:paraId="76BA03E1" w14:textId="77777777" w:rsidTr="00361521">
        <w:trPr>
          <w:cantSplit/>
          <w:tblHeader/>
          <w:jc w:val="center"/>
        </w:trPr>
        <w:tc>
          <w:tcPr>
            <w:tcW w:w="5398" w:type="dxa"/>
            <w:tcBorders>
              <w:top w:val="single" w:sz="4" w:space="0" w:color="auto"/>
              <w:bottom w:val="single" w:sz="4" w:space="0" w:color="auto"/>
            </w:tcBorders>
            <w:shd w:val="clear" w:color="auto" w:fill="auto"/>
            <w:noWrap/>
          </w:tcPr>
          <w:p w14:paraId="0106B70D" w14:textId="77777777" w:rsidR="0015126A" w:rsidRPr="00B16F37" w:rsidRDefault="0015126A" w:rsidP="00361521">
            <w:pPr>
              <w:suppressLineNumbers/>
              <w:suppressAutoHyphens/>
              <w:spacing w:before="60"/>
              <w:jc w:val="left"/>
              <w:rPr>
                <w:i/>
                <w:iCs/>
                <w:color w:val="000000"/>
                <w:kern w:val="22"/>
                <w:sz w:val="18"/>
                <w:szCs w:val="18"/>
              </w:rPr>
            </w:pPr>
            <w:r>
              <w:rPr>
                <w:i/>
                <w:iCs/>
                <w:color w:val="000000"/>
                <w:sz w:val="18"/>
                <w:szCs w:val="18"/>
              </w:rPr>
              <w:t>Fonds d’affectation</w:t>
            </w:r>
          </w:p>
        </w:tc>
        <w:tc>
          <w:tcPr>
            <w:tcW w:w="1110" w:type="dxa"/>
            <w:tcBorders>
              <w:top w:val="single" w:sz="4" w:space="0" w:color="auto"/>
              <w:bottom w:val="single" w:sz="4" w:space="0" w:color="auto"/>
            </w:tcBorders>
            <w:shd w:val="clear" w:color="auto" w:fill="auto"/>
            <w:noWrap/>
            <w:hideMark/>
          </w:tcPr>
          <w:p w14:paraId="79A90DCA" w14:textId="33F1C6B5" w:rsidR="0015126A" w:rsidRPr="00B16F37" w:rsidRDefault="0015126A" w:rsidP="00361521">
            <w:pPr>
              <w:suppressLineNumbers/>
              <w:suppressAutoHyphens/>
              <w:spacing w:before="60"/>
              <w:jc w:val="right"/>
              <w:rPr>
                <w:i/>
                <w:iCs/>
                <w:color w:val="000000"/>
                <w:kern w:val="22"/>
                <w:sz w:val="18"/>
                <w:szCs w:val="18"/>
              </w:rPr>
            </w:pPr>
            <w:r>
              <w:rPr>
                <w:i/>
                <w:iCs/>
                <w:color w:val="000000"/>
                <w:sz w:val="18"/>
                <w:szCs w:val="18"/>
              </w:rPr>
              <w:t>2023</w:t>
            </w:r>
          </w:p>
        </w:tc>
      </w:tr>
      <w:tr w:rsidR="0015126A" w:rsidRPr="00B16F37" w14:paraId="1EEF9A03" w14:textId="77777777" w:rsidTr="00361521">
        <w:trPr>
          <w:cantSplit/>
          <w:jc w:val="center"/>
        </w:trPr>
        <w:tc>
          <w:tcPr>
            <w:tcW w:w="5398" w:type="dxa"/>
            <w:tcBorders>
              <w:top w:val="single" w:sz="4" w:space="0" w:color="auto"/>
            </w:tcBorders>
            <w:shd w:val="clear" w:color="auto" w:fill="auto"/>
            <w:noWrap/>
            <w:hideMark/>
          </w:tcPr>
          <w:p w14:paraId="5933B46A" w14:textId="49558694" w:rsidR="0015126A" w:rsidRPr="00B16F37" w:rsidRDefault="0015126A" w:rsidP="00361521">
            <w:pPr>
              <w:suppressLineNumbers/>
              <w:suppressAutoHyphens/>
              <w:spacing w:before="60"/>
              <w:jc w:val="left"/>
              <w:rPr>
                <w:color w:val="000000"/>
                <w:kern w:val="22"/>
                <w:sz w:val="18"/>
                <w:szCs w:val="18"/>
              </w:rPr>
            </w:pPr>
            <w:r>
              <w:rPr>
                <w:sz w:val="18"/>
                <w:szCs w:val="18"/>
              </w:rPr>
              <w:t>Fonds d’affectation général de la Convention</w:t>
            </w:r>
            <w:r>
              <w:rPr>
                <w:color w:val="000000"/>
                <w:sz w:val="18"/>
                <w:szCs w:val="18"/>
              </w:rPr>
              <w:t xml:space="preserve"> </w:t>
            </w:r>
          </w:p>
        </w:tc>
        <w:tc>
          <w:tcPr>
            <w:tcW w:w="1110" w:type="dxa"/>
            <w:tcBorders>
              <w:top w:val="single" w:sz="4" w:space="0" w:color="auto"/>
            </w:tcBorders>
            <w:shd w:val="clear" w:color="auto" w:fill="auto"/>
            <w:noWrap/>
            <w:hideMark/>
          </w:tcPr>
          <w:p w14:paraId="2F9D3315" w14:textId="3158E655" w:rsidR="0015126A" w:rsidRPr="00B16F37" w:rsidRDefault="0015126A" w:rsidP="00361521">
            <w:pPr>
              <w:suppressLineNumbers/>
              <w:suppressAutoHyphens/>
              <w:spacing w:before="60"/>
              <w:jc w:val="right"/>
              <w:rPr>
                <w:color w:val="000000"/>
                <w:kern w:val="22"/>
                <w:sz w:val="18"/>
                <w:szCs w:val="18"/>
              </w:rPr>
            </w:pPr>
            <w:r>
              <w:rPr>
                <w:color w:val="000000"/>
                <w:sz w:val="18"/>
                <w:szCs w:val="18"/>
              </w:rPr>
              <w:t>2317,0</w:t>
            </w:r>
          </w:p>
        </w:tc>
      </w:tr>
      <w:tr w:rsidR="0015126A" w:rsidRPr="00B16F37" w14:paraId="3A76AD80" w14:textId="77777777" w:rsidTr="00361521">
        <w:trPr>
          <w:cantSplit/>
          <w:jc w:val="center"/>
        </w:trPr>
        <w:tc>
          <w:tcPr>
            <w:tcW w:w="5398" w:type="dxa"/>
            <w:shd w:val="clear" w:color="auto" w:fill="auto"/>
            <w:noWrap/>
            <w:hideMark/>
          </w:tcPr>
          <w:p w14:paraId="68F4278D" w14:textId="7118A4F8" w:rsidR="0015126A" w:rsidRPr="00B16F37" w:rsidRDefault="0015126A" w:rsidP="00361521">
            <w:pPr>
              <w:suppressLineNumbers/>
              <w:suppressAutoHyphens/>
              <w:spacing w:before="60"/>
              <w:jc w:val="left"/>
              <w:rPr>
                <w:color w:val="000000"/>
                <w:kern w:val="22"/>
                <w:sz w:val="18"/>
                <w:szCs w:val="18"/>
              </w:rPr>
            </w:pPr>
            <w:r>
              <w:rPr>
                <w:sz w:val="18"/>
                <w:szCs w:val="18"/>
              </w:rPr>
              <w:t>Fonds d’affectation général pour le budget-programme du Protocole de Cartagena</w:t>
            </w:r>
            <w:r>
              <w:rPr>
                <w:color w:val="000000"/>
                <w:sz w:val="18"/>
                <w:szCs w:val="18"/>
              </w:rPr>
              <w:t xml:space="preserve"> </w:t>
            </w:r>
          </w:p>
        </w:tc>
        <w:tc>
          <w:tcPr>
            <w:tcW w:w="1110" w:type="dxa"/>
            <w:shd w:val="clear" w:color="auto" w:fill="auto"/>
            <w:noWrap/>
            <w:hideMark/>
          </w:tcPr>
          <w:p w14:paraId="799E2A7B" w14:textId="0FC3BC04" w:rsidR="0015126A" w:rsidRPr="00B16F37" w:rsidRDefault="0015126A" w:rsidP="00361521">
            <w:pPr>
              <w:suppressLineNumbers/>
              <w:suppressAutoHyphens/>
              <w:spacing w:before="60"/>
              <w:jc w:val="right"/>
              <w:rPr>
                <w:color w:val="000000"/>
                <w:kern w:val="22"/>
                <w:sz w:val="18"/>
                <w:szCs w:val="18"/>
              </w:rPr>
            </w:pPr>
            <w:r>
              <w:rPr>
                <w:color w:val="000000"/>
                <w:sz w:val="18"/>
                <w:szCs w:val="18"/>
              </w:rPr>
              <w:t>482,7</w:t>
            </w:r>
          </w:p>
        </w:tc>
      </w:tr>
      <w:tr w:rsidR="0015126A" w:rsidRPr="00B16F37" w14:paraId="31EA3795" w14:textId="77777777" w:rsidTr="00361521">
        <w:trPr>
          <w:cantSplit/>
          <w:jc w:val="center"/>
        </w:trPr>
        <w:tc>
          <w:tcPr>
            <w:tcW w:w="5398" w:type="dxa"/>
            <w:tcBorders>
              <w:bottom w:val="single" w:sz="4" w:space="0" w:color="auto"/>
            </w:tcBorders>
            <w:shd w:val="clear" w:color="auto" w:fill="auto"/>
            <w:noWrap/>
            <w:hideMark/>
          </w:tcPr>
          <w:p w14:paraId="75EAE049" w14:textId="597DA9B1" w:rsidR="0015126A" w:rsidRPr="00B16F37" w:rsidRDefault="0015126A" w:rsidP="00361521">
            <w:pPr>
              <w:suppressLineNumbers/>
              <w:suppressAutoHyphens/>
              <w:spacing w:before="60"/>
              <w:jc w:val="left"/>
              <w:rPr>
                <w:color w:val="000000"/>
                <w:kern w:val="22"/>
                <w:sz w:val="18"/>
                <w:szCs w:val="18"/>
              </w:rPr>
            </w:pPr>
            <w:r>
              <w:rPr>
                <w:color w:val="000000"/>
                <w:sz w:val="18"/>
                <w:szCs w:val="18"/>
              </w:rPr>
              <w:t>Fonds d’affectation général pour le budget-programme du Protocole de Nagoya</w:t>
            </w:r>
          </w:p>
        </w:tc>
        <w:tc>
          <w:tcPr>
            <w:tcW w:w="1110" w:type="dxa"/>
            <w:tcBorders>
              <w:bottom w:val="single" w:sz="4" w:space="0" w:color="auto"/>
            </w:tcBorders>
            <w:shd w:val="clear" w:color="auto" w:fill="auto"/>
            <w:noWrap/>
            <w:hideMark/>
          </w:tcPr>
          <w:p w14:paraId="4EAB5A16" w14:textId="4D380919" w:rsidR="0015126A" w:rsidRPr="00B16F37" w:rsidRDefault="0015126A" w:rsidP="00361521">
            <w:pPr>
              <w:suppressLineNumbers/>
              <w:suppressAutoHyphens/>
              <w:spacing w:before="60"/>
              <w:jc w:val="right"/>
              <w:rPr>
                <w:color w:val="000000"/>
                <w:kern w:val="22"/>
                <w:sz w:val="18"/>
                <w:szCs w:val="18"/>
              </w:rPr>
            </w:pPr>
            <w:r>
              <w:rPr>
                <w:color w:val="000000"/>
                <w:sz w:val="18"/>
                <w:szCs w:val="18"/>
              </w:rPr>
              <w:t>418,4</w:t>
            </w:r>
          </w:p>
        </w:tc>
      </w:tr>
      <w:tr w:rsidR="0015126A" w:rsidRPr="00B16F37" w14:paraId="44A97F1C" w14:textId="77777777" w:rsidTr="00361521">
        <w:trPr>
          <w:cantSplit/>
          <w:jc w:val="center"/>
        </w:trPr>
        <w:tc>
          <w:tcPr>
            <w:tcW w:w="5398" w:type="dxa"/>
            <w:tcBorders>
              <w:top w:val="single" w:sz="4" w:space="0" w:color="auto"/>
              <w:bottom w:val="single" w:sz="4" w:space="0" w:color="auto"/>
            </w:tcBorders>
            <w:shd w:val="clear" w:color="auto" w:fill="auto"/>
            <w:noWrap/>
            <w:hideMark/>
          </w:tcPr>
          <w:p w14:paraId="01630DA0" w14:textId="647D1BA5" w:rsidR="0015126A" w:rsidRPr="00B16F37" w:rsidRDefault="0015126A" w:rsidP="00361521">
            <w:pPr>
              <w:suppressLineNumbers/>
              <w:tabs>
                <w:tab w:val="clear" w:pos="567"/>
                <w:tab w:val="left" w:pos="316"/>
              </w:tabs>
              <w:suppressAutoHyphens/>
              <w:spacing w:before="60"/>
              <w:rPr>
                <w:b/>
                <w:bCs/>
                <w:color w:val="000000"/>
                <w:kern w:val="22"/>
                <w:sz w:val="18"/>
                <w:szCs w:val="18"/>
              </w:rPr>
            </w:pPr>
            <w:r>
              <w:rPr>
                <w:b/>
                <w:bCs/>
                <w:color w:val="000000"/>
                <w:sz w:val="18"/>
                <w:szCs w:val="18"/>
              </w:rPr>
              <w:tab/>
              <w:t>Total</w:t>
            </w:r>
          </w:p>
        </w:tc>
        <w:tc>
          <w:tcPr>
            <w:tcW w:w="1110" w:type="dxa"/>
            <w:tcBorders>
              <w:top w:val="single" w:sz="4" w:space="0" w:color="auto"/>
              <w:bottom w:val="single" w:sz="4" w:space="0" w:color="auto"/>
            </w:tcBorders>
            <w:shd w:val="clear" w:color="auto" w:fill="auto"/>
            <w:noWrap/>
            <w:hideMark/>
          </w:tcPr>
          <w:p w14:paraId="500E52F8" w14:textId="68B69259" w:rsidR="0015126A" w:rsidRPr="00B16F37" w:rsidRDefault="0015126A" w:rsidP="00361521">
            <w:pPr>
              <w:suppressLineNumbers/>
              <w:suppressAutoHyphens/>
              <w:spacing w:before="60"/>
              <w:jc w:val="right"/>
              <w:rPr>
                <w:b/>
                <w:bCs/>
                <w:color w:val="000000"/>
                <w:kern w:val="22"/>
                <w:sz w:val="18"/>
                <w:szCs w:val="18"/>
              </w:rPr>
            </w:pPr>
            <w:r>
              <w:rPr>
                <w:b/>
                <w:bCs/>
                <w:color w:val="000000"/>
                <w:sz w:val="18"/>
                <w:szCs w:val="18"/>
              </w:rPr>
              <w:t>3218,1</w:t>
            </w:r>
          </w:p>
        </w:tc>
      </w:tr>
    </w:tbl>
    <w:p w14:paraId="6F2B6889" w14:textId="412434EF" w:rsidR="0015126A" w:rsidRPr="00B16F37" w:rsidRDefault="0015126A" w:rsidP="00361521">
      <w:pPr>
        <w:pStyle w:val="CBDNormalNumber"/>
      </w:pPr>
      <w:r>
        <w:t xml:space="preserve">Le tableau 6 présente </w:t>
      </w:r>
      <w:r>
        <w:rPr>
          <w:snapToGrid w:val="0"/>
        </w:rPr>
        <w:t xml:space="preserve">l’état de la réserve de trésorerie au 31 décembre 2023. </w:t>
      </w:r>
      <w:r>
        <w:t>Selon les estimations, le surplus cumulatif, excluant la réserve de trésorerie de 3 218 100 dollars US des trois fonds généraux d’affectation, s’établira à 18 millions de dollars à la fin de 2024 (voir le tableau 7). Cette prévision s’appuie sur l’hypothèse selon laquelle le Secrétariat ne recevra aucune contribution mise en recouvrement entre le 1</w:t>
      </w:r>
      <w:r>
        <w:rPr>
          <w:vertAlign w:val="superscript"/>
        </w:rPr>
        <w:t>er</w:t>
      </w:r>
      <w:r w:rsidR="0050419E">
        <w:t> </w:t>
      </w:r>
      <w:r>
        <w:t>août et le 31 décembre 2024.</w:t>
      </w:r>
    </w:p>
    <w:p w14:paraId="30419FA1" w14:textId="55DFB5FA" w:rsidR="0015126A" w:rsidRPr="00B16F37" w:rsidRDefault="0015126A" w:rsidP="00361521">
      <w:pPr>
        <w:pStyle w:val="CBDTableTitle"/>
        <w:rPr>
          <w:bCs/>
          <w:kern w:val="22"/>
        </w:rPr>
      </w:pPr>
      <w:r>
        <w:rPr>
          <w:b w:val="0"/>
        </w:rPr>
        <w:t>Tableau</w:t>
      </w:r>
      <w:r w:rsidR="0050419E">
        <w:rPr>
          <w:b w:val="0"/>
        </w:rPr>
        <w:t> </w:t>
      </w:r>
      <w:r>
        <w:rPr>
          <w:b w:val="0"/>
        </w:rPr>
        <w:t>7</w:t>
      </w:r>
      <w:r>
        <w:br/>
        <w:t>Surplus cumulatif prévu (excluant la réserve de trésorerie) au 31 décembre 2024</w:t>
      </w:r>
    </w:p>
    <w:p w14:paraId="6095BFE0" w14:textId="77777777" w:rsidR="0015126A" w:rsidRPr="00B16F37" w:rsidRDefault="0015126A" w:rsidP="00361521">
      <w:pPr>
        <w:keepNext/>
        <w:keepLines/>
        <w:suppressLineNumbers/>
        <w:suppressAutoHyphens/>
        <w:spacing w:after="60"/>
        <w:ind w:left="567"/>
        <w:jc w:val="left"/>
        <w:rPr>
          <w:kern w:val="22"/>
          <w:sz w:val="18"/>
          <w:szCs w:val="18"/>
        </w:rPr>
      </w:pPr>
      <w:r>
        <w:rPr>
          <w:sz w:val="18"/>
          <w:szCs w:val="18"/>
        </w:rPr>
        <w:t>(En millions de dollars des États-Unis)</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549"/>
      </w:tblGrid>
      <w:tr w:rsidR="0015126A" w:rsidRPr="00B16F37" w14:paraId="2E67C50B" w14:textId="77777777" w:rsidTr="00361521">
        <w:tc>
          <w:tcPr>
            <w:tcW w:w="1701" w:type="dxa"/>
            <w:tcBorders>
              <w:top w:val="single" w:sz="4" w:space="0" w:color="auto"/>
            </w:tcBorders>
            <w:vAlign w:val="center"/>
          </w:tcPr>
          <w:p w14:paraId="7C1A40F5" w14:textId="1F8DC5BE" w:rsidR="0015126A" w:rsidRPr="00B16F37" w:rsidRDefault="0015126A" w:rsidP="00361521">
            <w:pPr>
              <w:keepNext/>
              <w:suppressLineNumbers/>
              <w:suppressAutoHyphens/>
              <w:spacing w:before="40" w:after="60"/>
              <w:jc w:val="left"/>
              <w:rPr>
                <w:kern w:val="22"/>
                <w:sz w:val="18"/>
                <w:szCs w:val="18"/>
              </w:rPr>
            </w:pPr>
            <w:r>
              <w:rPr>
                <w:sz w:val="18"/>
                <w:szCs w:val="18"/>
              </w:rPr>
              <w:t>Convention</w:t>
            </w:r>
          </w:p>
        </w:tc>
        <w:tc>
          <w:tcPr>
            <w:tcW w:w="3549" w:type="dxa"/>
            <w:tcBorders>
              <w:top w:val="single" w:sz="4" w:space="0" w:color="auto"/>
            </w:tcBorders>
            <w:vAlign w:val="center"/>
          </w:tcPr>
          <w:p w14:paraId="163AE500" w14:textId="7BEEE0BE" w:rsidR="0015126A" w:rsidRPr="00B16F37" w:rsidDel="00026C34" w:rsidRDefault="0015126A" w:rsidP="00361521">
            <w:pPr>
              <w:keepNext/>
              <w:suppressLineNumbers/>
              <w:suppressAutoHyphens/>
              <w:spacing w:before="40" w:after="60"/>
              <w:jc w:val="right"/>
              <w:rPr>
                <w:kern w:val="22"/>
                <w:sz w:val="18"/>
                <w:szCs w:val="18"/>
              </w:rPr>
            </w:pPr>
            <w:r>
              <w:rPr>
                <w:sz w:val="18"/>
                <w:szCs w:val="18"/>
              </w:rPr>
              <w:t>11,0</w:t>
            </w:r>
          </w:p>
        </w:tc>
      </w:tr>
      <w:tr w:rsidR="0015126A" w:rsidRPr="00B16F37" w14:paraId="2B35D0B7" w14:textId="77777777" w:rsidTr="00361521">
        <w:tc>
          <w:tcPr>
            <w:tcW w:w="1701" w:type="dxa"/>
            <w:vAlign w:val="center"/>
          </w:tcPr>
          <w:p w14:paraId="4F955580" w14:textId="4B33E00A" w:rsidR="0015126A" w:rsidRPr="00B16F37" w:rsidRDefault="0015126A" w:rsidP="00361521">
            <w:pPr>
              <w:keepNext/>
              <w:suppressLineNumbers/>
              <w:suppressAutoHyphens/>
              <w:spacing w:before="40" w:after="60"/>
              <w:jc w:val="left"/>
              <w:rPr>
                <w:kern w:val="22"/>
                <w:sz w:val="18"/>
                <w:szCs w:val="18"/>
              </w:rPr>
            </w:pPr>
            <w:r>
              <w:rPr>
                <w:sz w:val="18"/>
                <w:szCs w:val="18"/>
              </w:rPr>
              <w:t>Protocole de Cartagena</w:t>
            </w:r>
          </w:p>
        </w:tc>
        <w:tc>
          <w:tcPr>
            <w:tcW w:w="3549" w:type="dxa"/>
            <w:vAlign w:val="center"/>
          </w:tcPr>
          <w:p w14:paraId="2EFDFC39" w14:textId="7E451F94" w:rsidR="0015126A" w:rsidRPr="00B16F37" w:rsidDel="00026C34" w:rsidRDefault="0015126A" w:rsidP="00361521">
            <w:pPr>
              <w:keepNext/>
              <w:suppressLineNumbers/>
              <w:suppressAutoHyphens/>
              <w:spacing w:before="40" w:after="60"/>
              <w:jc w:val="right"/>
              <w:rPr>
                <w:kern w:val="22"/>
                <w:sz w:val="18"/>
                <w:szCs w:val="18"/>
              </w:rPr>
            </w:pPr>
            <w:r>
              <w:rPr>
                <w:sz w:val="18"/>
                <w:szCs w:val="18"/>
              </w:rPr>
              <w:t>4,9</w:t>
            </w:r>
          </w:p>
        </w:tc>
      </w:tr>
      <w:tr w:rsidR="0015126A" w:rsidRPr="00B16F37" w14:paraId="4AEA6DB5" w14:textId="77777777" w:rsidTr="00361521">
        <w:tc>
          <w:tcPr>
            <w:tcW w:w="1701" w:type="dxa"/>
            <w:tcBorders>
              <w:bottom w:val="single" w:sz="4" w:space="0" w:color="auto"/>
            </w:tcBorders>
            <w:vAlign w:val="center"/>
          </w:tcPr>
          <w:p w14:paraId="5520432E" w14:textId="7875825E" w:rsidR="0015126A" w:rsidRPr="00B16F37" w:rsidRDefault="0015126A" w:rsidP="00361521">
            <w:pPr>
              <w:keepNext/>
              <w:suppressLineNumbers/>
              <w:suppressAutoHyphens/>
              <w:spacing w:before="40" w:after="60"/>
              <w:jc w:val="left"/>
              <w:rPr>
                <w:kern w:val="22"/>
                <w:sz w:val="18"/>
                <w:szCs w:val="18"/>
              </w:rPr>
            </w:pPr>
            <w:r>
              <w:rPr>
                <w:sz w:val="18"/>
                <w:szCs w:val="18"/>
              </w:rPr>
              <w:t>Protocole de Nagoya</w:t>
            </w:r>
          </w:p>
        </w:tc>
        <w:tc>
          <w:tcPr>
            <w:tcW w:w="3549" w:type="dxa"/>
            <w:tcBorders>
              <w:bottom w:val="single" w:sz="4" w:space="0" w:color="auto"/>
            </w:tcBorders>
            <w:vAlign w:val="center"/>
          </w:tcPr>
          <w:p w14:paraId="51BE2356" w14:textId="2CE8DF0C" w:rsidR="0015126A" w:rsidRPr="00B16F37" w:rsidDel="00026C34" w:rsidRDefault="0015126A" w:rsidP="00361521">
            <w:pPr>
              <w:keepNext/>
              <w:suppressLineNumbers/>
              <w:suppressAutoHyphens/>
              <w:spacing w:before="40" w:after="60"/>
              <w:jc w:val="right"/>
              <w:rPr>
                <w:kern w:val="22"/>
                <w:sz w:val="18"/>
                <w:szCs w:val="18"/>
              </w:rPr>
            </w:pPr>
            <w:r>
              <w:rPr>
                <w:sz w:val="18"/>
                <w:szCs w:val="18"/>
              </w:rPr>
              <w:t>2,2</w:t>
            </w:r>
          </w:p>
        </w:tc>
      </w:tr>
      <w:tr w:rsidR="0015126A" w:rsidRPr="00B16F37" w14:paraId="692A8BED" w14:textId="77777777" w:rsidTr="00361521">
        <w:tc>
          <w:tcPr>
            <w:tcW w:w="1701" w:type="dxa"/>
            <w:tcBorders>
              <w:top w:val="single" w:sz="4" w:space="0" w:color="auto"/>
              <w:bottom w:val="single" w:sz="4" w:space="0" w:color="auto"/>
            </w:tcBorders>
            <w:vAlign w:val="center"/>
          </w:tcPr>
          <w:p w14:paraId="34B32B9C" w14:textId="2435187B" w:rsidR="0015126A" w:rsidRPr="00B16F37" w:rsidRDefault="0015126A" w:rsidP="00361521">
            <w:pPr>
              <w:keepNext/>
              <w:suppressLineNumbers/>
              <w:suppressAutoHyphens/>
              <w:spacing w:before="40" w:after="60"/>
              <w:ind w:left="181"/>
              <w:jc w:val="left"/>
              <w:rPr>
                <w:kern w:val="22"/>
                <w:sz w:val="18"/>
                <w:szCs w:val="18"/>
              </w:rPr>
            </w:pPr>
            <w:r>
              <w:rPr>
                <w:b/>
                <w:bCs/>
                <w:sz w:val="18"/>
                <w:szCs w:val="18"/>
              </w:rPr>
              <w:t>Total</w:t>
            </w:r>
          </w:p>
        </w:tc>
        <w:tc>
          <w:tcPr>
            <w:tcW w:w="3549" w:type="dxa"/>
            <w:tcBorders>
              <w:top w:val="single" w:sz="4" w:space="0" w:color="auto"/>
              <w:bottom w:val="single" w:sz="4" w:space="0" w:color="auto"/>
            </w:tcBorders>
            <w:vAlign w:val="center"/>
          </w:tcPr>
          <w:p w14:paraId="589CE280" w14:textId="2B5304B8" w:rsidR="0015126A" w:rsidRPr="00B16F37" w:rsidRDefault="0015126A" w:rsidP="00361521">
            <w:pPr>
              <w:keepNext/>
              <w:suppressLineNumbers/>
              <w:suppressAutoHyphens/>
              <w:spacing w:before="40" w:after="60"/>
              <w:jc w:val="right"/>
              <w:rPr>
                <w:kern w:val="22"/>
                <w:sz w:val="18"/>
                <w:szCs w:val="18"/>
              </w:rPr>
            </w:pPr>
            <w:r>
              <w:rPr>
                <w:b/>
                <w:bCs/>
                <w:sz w:val="18"/>
                <w:szCs w:val="18"/>
              </w:rPr>
              <w:t>18,1</w:t>
            </w:r>
          </w:p>
        </w:tc>
      </w:tr>
    </w:tbl>
    <w:p w14:paraId="2B98497D" w14:textId="4C94F9A1" w:rsidR="0015126A" w:rsidRPr="00B16F37" w:rsidRDefault="0015126A" w:rsidP="00361521">
      <w:pPr>
        <w:pStyle w:val="CBDH2"/>
        <w:numPr>
          <w:ilvl w:val="0"/>
          <w:numId w:val="0"/>
        </w:numPr>
        <w:ind w:left="567" w:hanging="567"/>
        <w:jc w:val="left"/>
        <w:outlineLvl w:val="1"/>
      </w:pPr>
      <w:r>
        <w:t>C.</w:t>
      </w:r>
      <w:r>
        <w:tab/>
        <w:t xml:space="preserve"> Fonds d’affectation spéciale volontaire pour les contributions à l</w:t>
      </w:r>
      <w:r w:rsidR="0050419E">
        <w:t>’</w:t>
      </w:r>
      <w:r>
        <w:t>appui d</w:t>
      </w:r>
      <w:r w:rsidR="0050419E">
        <w:t>’</w:t>
      </w:r>
      <w:r>
        <w:t xml:space="preserve">activités approuvées au titre de la Convention sur la diversité biologique  </w:t>
      </w:r>
    </w:p>
    <w:p w14:paraId="6DB100BF" w14:textId="4BCF829E" w:rsidR="0015126A" w:rsidRPr="00B16F37" w:rsidRDefault="0015126A" w:rsidP="00361521">
      <w:pPr>
        <w:pStyle w:val="CBDNormalNumber"/>
        <w:rPr>
          <w:color w:val="000000" w:themeColor="text1"/>
        </w:rPr>
      </w:pPr>
      <w:r>
        <w:t>Dans sa décision 15/34, la Conférence des Parties a pris en compte une estimation de financement de 22 207 099 dollars US pour le Fonds d’affectation spéciale volontaire pour les contributions à l</w:t>
      </w:r>
      <w:r w:rsidR="0050419E">
        <w:t>’</w:t>
      </w:r>
      <w:r>
        <w:t>appui d</w:t>
      </w:r>
      <w:r w:rsidR="0050419E">
        <w:t>’</w:t>
      </w:r>
      <w:r>
        <w:t>activités approuvées au titre de la Convention sur la diversité biologique pour l’exercice biennal 2023-2024.</w:t>
      </w:r>
      <w:r>
        <w:rPr>
          <w:color w:val="000000" w:themeColor="text1"/>
        </w:rPr>
        <w:t xml:space="preserve"> </w:t>
      </w:r>
      <w:r>
        <w:t xml:space="preserve">Au 31 août 2024, le Secrétariat avait reçu des contributions totales de 14 953 029 dollars US pour des activités supplémentaires approuvées. </w:t>
      </w:r>
    </w:p>
    <w:p w14:paraId="125DF76C" w14:textId="73F07DF4" w:rsidR="0015126A" w:rsidRPr="00B16F37" w:rsidRDefault="0015126A" w:rsidP="00361521">
      <w:pPr>
        <w:pStyle w:val="CBDNormalNumber"/>
        <w:rPr>
          <w:color w:val="000000" w:themeColor="text1"/>
        </w:rPr>
      </w:pPr>
      <w:r>
        <w:t>Le Secrétariat avait engagé des dépenses totales de 11 348 622 dollars US de janvier 2023 au 31 août 2024.</w:t>
      </w:r>
      <w:r>
        <w:rPr>
          <w:color w:val="000000" w:themeColor="text1"/>
        </w:rPr>
        <w:t xml:space="preserve"> Les activités que le Secrétariat a menées pendant cette période étaient liées, entre autres, à la mobilisation des ressources, à la biodiversité marine et côtière, à l’information de séquençage numérique, à la planification et au suivi, ainsi qu’à la prévention des risques biotechnologiques. </w:t>
      </w:r>
    </w:p>
    <w:p w14:paraId="4505E29B" w14:textId="1CE13517" w:rsidR="0015126A" w:rsidRPr="00B16F37" w:rsidRDefault="0015126A" w:rsidP="00361521">
      <w:pPr>
        <w:pStyle w:val="CBDH2"/>
        <w:numPr>
          <w:ilvl w:val="0"/>
          <w:numId w:val="0"/>
        </w:numPr>
        <w:ind w:left="567" w:hanging="567"/>
        <w:jc w:val="left"/>
        <w:outlineLvl w:val="1"/>
      </w:pPr>
      <w:r>
        <w:t>D.</w:t>
      </w:r>
      <w:r>
        <w:tab/>
        <w:t>Fonds d</w:t>
      </w:r>
      <w:r w:rsidR="0050419E">
        <w:t>’</w:t>
      </w:r>
      <w:r>
        <w:t xml:space="preserve">affectation spéciale pour les contributions volontaires visant à faciliter la participation des Parties aux processus de la Convention </w:t>
      </w:r>
    </w:p>
    <w:p w14:paraId="6BE78416" w14:textId="66B9B84F" w:rsidR="0015126A" w:rsidRPr="00B16F37" w:rsidRDefault="0015126A" w:rsidP="00361521">
      <w:pPr>
        <w:pStyle w:val="CBDNormalNumber"/>
        <w:rPr>
          <w:color w:val="000000" w:themeColor="text1"/>
        </w:rPr>
      </w:pPr>
      <w:r>
        <w:t xml:space="preserve">Dans sa décision 15/34, la Conférence des Parties a pris en compte une estimation de financement de 8 604 000 dollars US pour le Fonds d’affectation spéciale volontaire pour les contributions visant à faciliter la participation des Parties aux processus de la Convention pour </w:t>
      </w:r>
      <w:r>
        <w:lastRenderedPageBreak/>
        <w:t>l’exercice biennal 2023-2024.</w:t>
      </w:r>
      <w:r>
        <w:rPr>
          <w:color w:val="000000" w:themeColor="text1"/>
        </w:rPr>
        <w:t xml:space="preserve"> Au 31 août 2024, le Secrétariat avait reçu des contributions totales de 2 533 421 dollars US pour ce Fonds d’affectation.</w:t>
      </w:r>
    </w:p>
    <w:p w14:paraId="7ABA734F" w14:textId="1926E38B" w:rsidR="0015126A" w:rsidRPr="00B16F37" w:rsidRDefault="00F22649" w:rsidP="00361521">
      <w:pPr>
        <w:pStyle w:val="CBDNormalNumber"/>
      </w:pPr>
      <w:r>
        <w:t>Au 31 août 2024, le Secrétariat avait dépensé 2 526 854 dollars US en 2023 et 2024 pour la participation de 591 délégués de pays en développement à la vingt-cinquième et la vingt-sixième réunions de l’Organe subsidiaire chargé de fournir des avis scientifiques, techniques et technologiques ; à la reprise des deuxièmes parties de la quinzième réunion de la Conférence des Parties à la Convention, de la dixième réunion de la Conférence des Parties siégeant en tant que Parties au Protocole de Cartagena et de la quatrième réunion de la Conférence des Parties siégeant en tant que Parties au Protocole de Nagoya ; à la douzième réunion du Groupe de travail spécial intersessions à composition non limitée sur l’article 8 j) et les dispositions connexes de la Convention ; à la première et la deuxième réunions du Groupe de travail spécial à composition non limitée sur le partage des avantages découlant de l’utilisation de l’information de séquençage numérique sur les ressources génétiques ; à la quatrième et la cinquième réunions de l’Organe subsidiaire chargé de l’application ; à la seizième réunion de la Conférence des Parties à la Convention ; à la onzième réunion de la Conférence des Parties siégeant en tant que réunion des Parties au Protocole de Cartagena ; et à la cinquième réunion de la Conférence des Parties siégeant en tant que réunion des Parties au Protocole e Nagoya.</w:t>
      </w:r>
    </w:p>
    <w:p w14:paraId="42BB6FF7" w14:textId="5319B86D" w:rsidR="0015126A" w:rsidRPr="00B16F37" w:rsidRDefault="0015126A" w:rsidP="00361521">
      <w:pPr>
        <w:pStyle w:val="CBDH2"/>
        <w:numPr>
          <w:ilvl w:val="0"/>
          <w:numId w:val="0"/>
        </w:numPr>
        <w:ind w:left="567" w:hanging="567"/>
        <w:jc w:val="left"/>
        <w:outlineLvl w:val="1"/>
      </w:pPr>
      <w:r>
        <w:t>E.</w:t>
      </w:r>
      <w:r>
        <w:tab/>
        <w:t>Fonds d</w:t>
      </w:r>
      <w:r w:rsidR="0050419E">
        <w:t>’</w:t>
      </w:r>
      <w:r>
        <w:t>affectation spéciale volontaire pour les contributions visant à faciliter la participation des peuples autochtones et des communautés locales aux processus de la Convention</w:t>
      </w:r>
    </w:p>
    <w:p w14:paraId="0EB67B23" w14:textId="62BEBA66" w:rsidR="0015126A" w:rsidRPr="00B16F37" w:rsidRDefault="0015126A" w:rsidP="00361521">
      <w:pPr>
        <w:pStyle w:val="CBDNormalNumber"/>
        <w:rPr>
          <w:color w:val="000000" w:themeColor="text1"/>
        </w:rPr>
      </w:pPr>
      <w:r>
        <w:t>Dans sa décision 15/34, la Conférence des Parties a pris en compte une estimation de financement de 895 400 dollars US pour le Fonds d’affectation spéciale volontaire pour les contributions visant à faciliter la participation des peuples autochtones et des communautés locales aux processus de la Convention pour l’exercice biennal 2023-2024.</w:t>
      </w:r>
      <w:r>
        <w:rPr>
          <w:color w:val="000000" w:themeColor="text1"/>
        </w:rPr>
        <w:t xml:space="preserve"> Au 31 août 2024, le Secrétariat avait reçu des contributions totales de 420 460 dollars US.</w:t>
      </w:r>
    </w:p>
    <w:p w14:paraId="0FDEA8AA" w14:textId="23E58035" w:rsidR="0015126A" w:rsidRPr="00B16F37" w:rsidRDefault="0015126A" w:rsidP="00361521">
      <w:pPr>
        <w:pStyle w:val="CBDNormalNumber"/>
        <w:rPr>
          <w:b/>
          <w:bCs/>
          <w:kern w:val="22"/>
        </w:rPr>
      </w:pPr>
      <w:r>
        <w:t>Au 31 juillet 2024, le Secrétariat avait dépensé un total de 535 894 dollars US pour couvrir les frais de déplacement de 91 participants des peuples autochtones et des parties prenantes pour qu’ils assistent à la vingt-cinquième et la vingt-sixième réunions de l’Organe subsidiaire chargé de fournir des avis scientifiques, techniques et technologiques ; à la reprise des deuxièmes parties de la quinzième réunion de la Conférence des Parties à la Convention, de la dixième réunion de la Conférence des Parties siégeant en tant que Parties au Protocole de Cartagena et de la quatrième réunion de la Conférence des Parties siégeant en tant que Parties au Protocole de Nagoya ; à la douzième réunion du Groupe de travail spécial intersessions à composition non limitée sur l’article 8 j) et les dispositions connexes de la Convention ; à la première et la deuxième réunions du Groupe de travail spécial à composition non limitée sur le partage des avantages découlant de l’utilisation de l’information de séquençage numérique sur les ressources génétiques ; à la quatrième et la cinquième réunions de l’Organe subsidiaire chargé de l’application ; à la seizième réunion de la Conférence des Parties à la Convention ; à la onzième réunion de la Conférence des Parties siégeant en tant que réunion des Parties au Protocole de Cartagena ; et à la cinquième réunion de la Conférence des Parties siégeant en tant que réunion des Parties au Protocole e Nagoya.</w:t>
      </w:r>
    </w:p>
    <w:p w14:paraId="69D65875" w14:textId="21BD3F95" w:rsidR="0015126A" w:rsidRPr="00B16F37" w:rsidRDefault="0015126A" w:rsidP="00361521">
      <w:pPr>
        <w:pStyle w:val="CBDH1"/>
      </w:pPr>
      <w:r>
        <w:t>III.</w:t>
      </w:r>
      <w:r>
        <w:tab/>
        <w:t>Autres questions administratives</w:t>
      </w:r>
    </w:p>
    <w:p w14:paraId="7D835CAE" w14:textId="0C36DAF9" w:rsidR="0015126A" w:rsidRPr="00B16F37" w:rsidRDefault="0015126A" w:rsidP="00361521">
      <w:pPr>
        <w:pStyle w:val="CBDH2"/>
        <w:numPr>
          <w:ilvl w:val="0"/>
          <w:numId w:val="0"/>
        </w:numPr>
        <w:ind w:left="567" w:hanging="567"/>
        <w:outlineLvl w:val="1"/>
      </w:pPr>
      <w:r>
        <w:t>A.</w:t>
      </w:r>
      <w:r>
        <w:tab/>
        <w:t>Dotation en effectifs</w:t>
      </w:r>
    </w:p>
    <w:p w14:paraId="013FCA8E" w14:textId="353BC5C2" w:rsidR="0015126A" w:rsidRPr="00B16F37" w:rsidRDefault="0015126A" w:rsidP="00361521">
      <w:pPr>
        <w:pStyle w:val="CBDNormalNumber"/>
      </w:pPr>
      <w:r>
        <w:t xml:space="preserve">Dans sa décision 15/34, la Conférence des Parties a adopté un tableau sur les effectifs du Secrétariat pour l’exercice biennal 2023-2024, qui comprend 53 postes dans la catégorie des administrateurs et fonctionnaires de rang supérieur et 29 postes de la catégorie des services généraux. À l’heure actuelle, il y a six postes vacants dans les catégories des administrateurs et des fonctionnaires de rang supérieur et un poste vacant dans la catégorie des services généraux, pour </w:t>
      </w:r>
      <w:r>
        <w:lastRenderedPageBreak/>
        <w:t>lesquels le recrutement est en cours et à différents stades. Tous les postes vacants devraient être pourvus d’ici la fin de l’année 2024.</w:t>
      </w:r>
    </w:p>
    <w:p w14:paraId="653F97B1" w14:textId="4E45CACE" w:rsidR="0015126A" w:rsidRPr="00B16F37" w:rsidRDefault="0015126A" w:rsidP="00361521">
      <w:pPr>
        <w:pStyle w:val="CBDNormalNumber"/>
      </w:pPr>
      <w:r>
        <w:t xml:space="preserve">En plus des postes financés au titre du budget de base intégré, la Division de l’administration, des finances et des services de conférence compte 19 postes (4 dans la catégorie des administrateurs et des fonctionnaires de rang supérieur et 15 dans la catégorie des services généraux) financés par le fonds d’affectation spéciale pour les frais généraux du PNUE, ainsi que 5 postes dans l’équipe du Fonds japonais pour la biodiversité (3 dans la catégorie des administrateurs et fonctionnaires de rang supérieur et 2 dans la catégorie des services généraux). De plus, deux postes de la catégorie des administrateurs et fonctionnaires de rang supérieur sont financés à l’aide de contributions volontaires de l’Union européenne et de la Norvège et deux postes sont financés par la République de Corée dans le cadre du projet de l’Initiative Bio-Bridge (1 dans la catégorie des administrateurs et fonctionnaires de rang supérieur et 1 dans celle des services généraux). La République de Corée finance également directement un administrateur expert en mission. </w:t>
      </w:r>
    </w:p>
    <w:p w14:paraId="24179DE2" w14:textId="06CC3094" w:rsidR="0015126A" w:rsidRPr="00B16F37" w:rsidRDefault="0015126A" w:rsidP="00361521">
      <w:pPr>
        <w:pStyle w:val="CBDNormalNumber"/>
      </w:pPr>
      <w:r>
        <w:t xml:space="preserve">Par ailleurs, quatre administrateurs auxiliaires parrainés par le gouvernement japonais (deux), le gouvernement du Royaume-Uni de Grande-Bretagne (un) et le gouvernement italien (un) soutiennent actuellement le Secrétariat dans la mise en œuvre du programme de travail. </w:t>
      </w:r>
    </w:p>
    <w:p w14:paraId="5F36E2E0" w14:textId="66823233" w:rsidR="0015126A" w:rsidRPr="00B16F37" w:rsidRDefault="0015126A" w:rsidP="00361521">
      <w:pPr>
        <w:pStyle w:val="CBDNormalNumber"/>
      </w:pPr>
      <w:r>
        <w:t xml:space="preserve">Au 31 juillet 2024, le Secrétariat avait eu recours aux services de 62 consultants et vacataires au cours de l’exercice biennal, principalement financés par des contributions volontaires, en tant que ressources supplémentaires pour mettre en œuvre le programme de travail et gérer les besoins en personnel à court terme. </w:t>
      </w:r>
    </w:p>
    <w:p w14:paraId="47E4347E" w14:textId="61D4FE2D" w:rsidR="0015126A" w:rsidRPr="00B16F37" w:rsidRDefault="0015126A" w:rsidP="00361521">
      <w:pPr>
        <w:pStyle w:val="CBDH2"/>
        <w:numPr>
          <w:ilvl w:val="0"/>
          <w:numId w:val="0"/>
        </w:numPr>
        <w:ind w:left="567" w:hanging="567"/>
        <w:outlineLvl w:val="1"/>
      </w:pPr>
      <w:r>
        <w:t>B.</w:t>
      </w:r>
      <w:r>
        <w:tab/>
        <w:t xml:space="preserve">Budgétisation axée sur les résultats </w:t>
      </w:r>
    </w:p>
    <w:p w14:paraId="40D29002" w14:textId="6A1E195F" w:rsidR="0015126A" w:rsidRPr="00B16F37" w:rsidRDefault="0015126A" w:rsidP="00361521">
      <w:pPr>
        <w:pStyle w:val="CBDNormalNumber"/>
        <w:rPr>
          <w:kern w:val="22"/>
        </w:rPr>
      </w:pPr>
      <w:r>
        <w:t xml:space="preserve">En réponse à une demande de la Conférence des Parties dans sa décision 14/37 et aux recommandations d’audit, le Secrétariat a développé un cadre axé sur les résultats pour ses travaux de programmation et de budgétisation. Ce cadre a été progressivement mis en place depuis le début de l’année 2023 dans le but de le rendre pleinement opérationnel au cours de l’exercice biennal 2025-2026. Il sera mis à jour régulièrement, en particulier après les grandes réunions, afin de garantir que la planification est alignée et ajustée sur la base des décisions de la Conférence des Parties à la Convention et de la Conférence des Parties siégeant en tant que réunions des Parties aux Protocoles. Le cadre devrait aider le Secrétariat à déterminer ses besoins en ressources et à optimiser à l’avenir l’utilisation des fonds de contributions volontaires pour obtenir des résultats. </w:t>
      </w:r>
    </w:p>
    <w:p w14:paraId="0FE5B048" w14:textId="2B69C3CA" w:rsidR="0015126A" w:rsidRPr="00B16F37" w:rsidRDefault="0015126A" w:rsidP="00361521">
      <w:pPr>
        <w:pStyle w:val="CBDNormalNumber"/>
        <w:rPr>
          <w:kern w:val="22"/>
        </w:rPr>
      </w:pPr>
      <w:r>
        <w:t xml:space="preserve">Le Secrétariat a commencé à utiliser le cadre axé sur les résultats pour assurer une mise en œuvre optimisée de ses activités et des fonds de contributions volontaires. Le cadre permettra également au Secrétariat de suivre la mise en œuvre de ses activités et de rendre compte des résultats de manière efficace. </w:t>
      </w:r>
    </w:p>
    <w:p w14:paraId="6495B6D9" w14:textId="47765FBE" w:rsidR="0015126A" w:rsidRPr="00B16F37" w:rsidRDefault="0015126A" w:rsidP="00361521">
      <w:pPr>
        <w:pStyle w:val="CBDH2"/>
        <w:numPr>
          <w:ilvl w:val="0"/>
          <w:numId w:val="0"/>
        </w:numPr>
        <w:ind w:left="567" w:hanging="567"/>
        <w:outlineLvl w:val="1"/>
      </w:pPr>
      <w:r>
        <w:t>C.</w:t>
      </w:r>
      <w:r>
        <w:tab/>
        <w:t xml:space="preserve">Introduction d’un nouvel outil de suivi des programmes </w:t>
      </w:r>
    </w:p>
    <w:p w14:paraId="73CFB440" w14:textId="77C43DA7" w:rsidR="0015126A" w:rsidRPr="00B16F37" w:rsidRDefault="0015126A" w:rsidP="00361521">
      <w:pPr>
        <w:pStyle w:val="CBDNormalNumber"/>
        <w:rPr>
          <w:kern w:val="22"/>
        </w:rPr>
      </w:pPr>
      <w:r>
        <w:t xml:space="preserve">Le Secrétariat des Nations Unies a introduit la solution intégrée de planification, de gestion et d’établissement de rapports, conformément à la vision du Secrétaire général des Nations Unies d’un Secrétariat des Nations Unies plus souple et plus décentralisé. Dans sa résolution 74/271 sur les progrès accomplis dans la mise en place d’un système de responsabilisation au Secrétariat des Nations Unies, l’Assemblée générale a prié le Secrétaire général de poursuivre ses efforts en vue de renforcer la mise en œuvre de la gestion axée sur les résultats. La solution est conçue pour faciliter la mise en œuvre de projets axés sur les résultats suivant l’approche du cadre logique, conformément aux principes de la gestion axée sur les résultats, et soutiendra ainsi l’engagement et les efforts du Secrétaire général pour mettre en œuvre une culture de gestion axée sur les résultats. </w:t>
      </w:r>
    </w:p>
    <w:p w14:paraId="6E28C5DB" w14:textId="778B741F" w:rsidR="0015126A" w:rsidRPr="00B16F37" w:rsidRDefault="0015126A" w:rsidP="00361521">
      <w:pPr>
        <w:pStyle w:val="CBDNormalNumber"/>
        <w:rPr>
          <w:kern w:val="22"/>
        </w:rPr>
      </w:pPr>
      <w:r>
        <w:t xml:space="preserve">En mars 2024, le PNUE a organisé une session de formation, accueillie par le Secrétariat de la Convention, sur la solution intégrée de planification, de gestion et d’établissement de rapports pour les secrétariats des accords multilatéraux sur l’environnement administrés par le PNUE, à l’appui de leur transition vers la solution. Le Secrétariat de la Convention a commencé à déployer le nouveau </w:t>
      </w:r>
      <w:r>
        <w:lastRenderedPageBreak/>
        <w:t>système et l’utilisera pour la gestion de son programme de travail. La solution soutiendra et renforcera la mise en œuvre du cadre axé sur les résultats du Secrétariat.</w:t>
      </w:r>
    </w:p>
    <w:p w14:paraId="44223993" w14:textId="63A3CF91" w:rsidR="0015126A" w:rsidRPr="00B16F37" w:rsidRDefault="0015126A" w:rsidP="00361521">
      <w:pPr>
        <w:pStyle w:val="CBDH2"/>
        <w:numPr>
          <w:ilvl w:val="0"/>
          <w:numId w:val="0"/>
        </w:numPr>
        <w:ind w:left="567" w:hanging="567"/>
      </w:pPr>
      <w:r>
        <w:t>D.</w:t>
      </w:r>
      <w:r>
        <w:tab/>
        <w:t>Recommandations d’audit en suspens</w:t>
      </w:r>
    </w:p>
    <w:p w14:paraId="75668FD8" w14:textId="62E78BE8" w:rsidR="0015126A" w:rsidRPr="00B16F37" w:rsidRDefault="0015126A" w:rsidP="00361521">
      <w:pPr>
        <w:pStyle w:val="CBDNormalNumber"/>
      </w:pPr>
      <w:r>
        <w:t>Le Secrétariat a fait l’objet de trois audits au cours des cinq dernières années. Le premier, mené par le Bureau des services de contrôle interne en juillet 2019, a été suivi de deux audits du Comité des commissaires aux comptes en janvier 2020 et octobre 2021, respectivement. Au 31 juillet 2024, toutes les recommandations des audits avaient été mises en œuvre et fermées, à l’exception de celles qui concernent : a) la fermeture d’anciennes subventions ; b) la mise en place d’un mécanisme de mobilisation des ressources ; et c) l’élaboration d’une politique et d’un mécanisme d’évaluation afin de faciliter l’évaluation du programme de travail pluriannuel du Secrétariat.</w:t>
      </w:r>
    </w:p>
    <w:p w14:paraId="0ABB1D9D" w14:textId="6B043F1C" w:rsidR="0015126A" w:rsidRPr="00B16F37" w:rsidRDefault="0015126A" w:rsidP="00361521">
      <w:pPr>
        <w:pStyle w:val="CBDNormalNumber"/>
      </w:pPr>
      <w:r>
        <w:t>Depuis le début de 2024, le Secrétariat a fermé avec succès plus de 60 subventions en étroite collaboration avec le PNUE et le Bureau des Nations Unies à Nairobi. Cet exercice s’inscrit également dans les directives de la Directrice exécutive du PNUE et devrait être achevé d’ici la fin de 2024.</w:t>
      </w:r>
    </w:p>
    <w:p w14:paraId="1457C979" w14:textId="1E3F1B81" w:rsidR="0015126A" w:rsidRPr="00B16F37" w:rsidRDefault="0015126A" w:rsidP="00361521">
      <w:pPr>
        <w:pStyle w:val="CBDNormalNumber"/>
      </w:pPr>
      <w:r>
        <w:t>En ce qui a trait à la mise en place d’une stratégie de mobilisation des ressources et à l’élaboration d’une politique et d’un mécanisme d’évaluation, le Secrétariat a accordé la priorité à la définition d’un cadre de gestion axé sur les résultats pour étayer la préparation et la gestion de son programme de travail ; ce processus est toujours en cours et il est prévu qu’il soit finalisé en 2025. Le cadre de gestion axé sur les résultats est considéré comme une étape nécessaire avant l’élaboration d’une stratégie de mobilisation des ressources et d’une politique et d’un mécanisme d’évaluation. Compte tenu de son manque de capacités, le Secrétariat prévoit d’obtenir un financement qui lui permettra de recruter des spécialistes en stratégies de mobilisation des ressources et en évaluation de politiques dans le but de mettre ces recommandations en œuvre d’ici décembre 2025.</w:t>
      </w:r>
    </w:p>
    <w:p w14:paraId="6C3A9B65" w14:textId="760EE6EC" w:rsidR="0015126A" w:rsidRPr="00B16F37" w:rsidRDefault="0015126A" w:rsidP="00361521">
      <w:pPr>
        <w:pStyle w:val="CBDH2"/>
        <w:numPr>
          <w:ilvl w:val="0"/>
          <w:numId w:val="0"/>
        </w:numPr>
        <w:ind w:left="567" w:hanging="567"/>
      </w:pPr>
      <w:r>
        <w:t>E.</w:t>
      </w:r>
      <w:r>
        <w:tab/>
        <w:t>Examen fonctionnel</w:t>
      </w:r>
    </w:p>
    <w:p w14:paraId="51CC33C2" w14:textId="7295E496" w:rsidR="0015126A" w:rsidRPr="00B16F37" w:rsidRDefault="0015126A" w:rsidP="00361521">
      <w:pPr>
        <w:pStyle w:val="CBDNormalNumber"/>
      </w:pPr>
      <w:r>
        <w:t>Dans sa décision 15/34, la Conférence des Parties a demandé à la Secrétaire exécutive de réaliser un examen fonctionnel externe approfondi de la structure du Secrétariat, en vue d’actualiser sa structure et le classement de ses postes à la lumière du Cadre, pour examen par la Conférence des Parties lors de sa seizième réunion. La réalisation d’un examen fonctionnel exhaustif est un exercice complexe qui demande beaucoup de temps et nécessite la participation active de l’ensemble du personnel de l’organisation, ainsi que le leadership engagé et la vision stratégique de son dirigeant.</w:t>
      </w:r>
    </w:p>
    <w:p w14:paraId="026C42EB" w14:textId="7A3F0ACD" w:rsidR="003F3E6C" w:rsidRPr="00B16F37" w:rsidRDefault="0015126A" w:rsidP="00FD61C8">
      <w:pPr>
        <w:pStyle w:val="CBDNormalNumber"/>
      </w:pPr>
      <w:r>
        <w:t>En raison du long processus de nomination de la nouvelle Secrétaire exécutive, pendant lequel le Secrétaire exécutif adjoint a assumé le rôle de Secrétaire exécutif par intérim, en plus de ses fonctions d’adjoint, et en raison du fait que d’autres postes de haute direction étaient également en cours de dotation, et à la lumière de la surcharge de travail des ressources en personnel dans l’ensemble du Secrétariat, aucune mesure n’a pu être prise pour entreprendre l’examen fonctionnel avant la présente réunion. Cependant, le Secrétariat a mandaté une entreprise de services de consultation pour qu’elle prépare un rapport visant à définir le champ d’application afin de soutenir le lancement de l’examen structurel après la présente réunion.</w:t>
      </w:r>
    </w:p>
    <w:p w14:paraId="1D17120C" w14:textId="37419FAA" w:rsidR="00AB276E" w:rsidRPr="008035FA" w:rsidRDefault="00AB276E" w:rsidP="00361521">
      <w:pPr>
        <w:pStyle w:val="CBDNormalNumber"/>
        <w:numPr>
          <w:ilvl w:val="0"/>
          <w:numId w:val="0"/>
        </w:numPr>
        <w:ind w:left="567"/>
        <w:jc w:val="center"/>
      </w:pPr>
      <w:r>
        <w:t>__________</w:t>
      </w:r>
    </w:p>
    <w:sectPr w:rsidR="00AB276E" w:rsidRPr="008035FA" w:rsidSect="009B5636">
      <w:headerReference w:type="even" r:id="rId14"/>
      <w:headerReference w:type="default" r:id="rId15"/>
      <w:footerReference w:type="even" r:id="rId16"/>
      <w:footerReference w:type="default" r:id="rId17"/>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F7EBCC" w14:textId="77777777" w:rsidR="003F0F31" w:rsidRPr="006814E7" w:rsidRDefault="003F0F31" w:rsidP="00451B9F">
      <w:r w:rsidRPr="006814E7">
        <w:separator/>
      </w:r>
    </w:p>
  </w:endnote>
  <w:endnote w:type="continuationSeparator" w:id="0">
    <w:p w14:paraId="03D55971" w14:textId="77777777" w:rsidR="003F0F31" w:rsidRPr="006814E7" w:rsidRDefault="003F0F31" w:rsidP="00451B9F">
      <w:r w:rsidRPr="006814E7">
        <w:continuationSeparator/>
      </w:r>
    </w:p>
  </w:endnote>
  <w:endnote w:type="continuationNotice" w:id="1">
    <w:p w14:paraId="4978ED13" w14:textId="77777777" w:rsidR="003F0F31" w:rsidRPr="006814E7" w:rsidRDefault="003F0F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Malgun Gothic">
    <w:altName w:val="맑은 고딕"/>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A2B54" w14:textId="479F6B95" w:rsidR="00361521" w:rsidRDefault="00B510B4">
    <w:pPr>
      <w:pStyle w:val="Footer"/>
    </w:pPr>
    <w:r>
      <w:fldChar w:fldCharType="begin"/>
    </w:r>
    <w:r>
      <w:instrText xml:space="preserve"> PAGE </w:instrText>
    </w:r>
    <w:r>
      <w:fldChar w:fldCharType="separate"/>
    </w:r>
    <w:r>
      <w:t>2</w:t>
    </w:r>
    <w:r>
      <w:fldChar w:fldCharType="end"/>
    </w:r>
    <w:r>
      <w:t>/</w:t>
    </w:r>
    <w:fldSimple w:instr="NUMPAGES \* MERGEFORMAT">
      <w: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8CCD5" w14:textId="08928EBD" w:rsidR="00361521" w:rsidRDefault="00B510B4" w:rsidP="00B510B4">
    <w:pPr>
      <w:pStyle w:val="Footer"/>
      <w:jc w:val="right"/>
    </w:pPr>
    <w:r>
      <w:fldChar w:fldCharType="begin"/>
    </w:r>
    <w:r>
      <w:instrText xml:space="preserve"> PAGE </w:instrText>
    </w:r>
    <w:r>
      <w:fldChar w:fldCharType="separate"/>
    </w:r>
    <w:r>
      <w:t>2</w:t>
    </w:r>
    <w:r>
      <w:fldChar w:fldCharType="end"/>
    </w:r>
    <w:r>
      <w:t>/</w:t>
    </w:r>
    <w:fldSimple w:instr="NUMPAGES \* MERGEFORMAT">
      <w: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AEFE59" w14:textId="77777777" w:rsidR="003F0F31" w:rsidRPr="006814E7" w:rsidRDefault="003F0F31" w:rsidP="00451B9F">
      <w:r w:rsidRPr="006814E7">
        <w:separator/>
      </w:r>
    </w:p>
  </w:footnote>
  <w:footnote w:type="continuationSeparator" w:id="0">
    <w:p w14:paraId="3EC53104" w14:textId="77777777" w:rsidR="003F0F31" w:rsidRPr="006814E7" w:rsidRDefault="003F0F31" w:rsidP="00451B9F">
      <w:r w:rsidRPr="006814E7">
        <w:continuationSeparator/>
      </w:r>
    </w:p>
  </w:footnote>
  <w:footnote w:type="continuationNotice" w:id="1">
    <w:p w14:paraId="5D325637" w14:textId="77777777" w:rsidR="003F0F31" w:rsidRPr="006814E7" w:rsidRDefault="003F0F31"/>
  </w:footnote>
  <w:footnote w:id="2">
    <w:p w14:paraId="7611D034" w14:textId="3642BDB5" w:rsidR="0015126A" w:rsidRPr="0050419E" w:rsidRDefault="0015126A" w:rsidP="00411CB7">
      <w:pPr>
        <w:pStyle w:val="Footnote"/>
        <w:rPr>
          <w:lang w:val="en-CA"/>
        </w:rPr>
      </w:pPr>
      <w:r w:rsidRPr="0050419E">
        <w:rPr>
          <w:rStyle w:val="FootnoteReference"/>
          <w:lang w:val="en-CA"/>
        </w:rPr>
        <w:t>*</w:t>
      </w:r>
      <w:r w:rsidRPr="0050419E">
        <w:rPr>
          <w:lang w:val="en-CA"/>
        </w:rPr>
        <w:t xml:space="preserve"> CBD/COP/16/1.</w:t>
      </w:r>
    </w:p>
  </w:footnote>
  <w:footnote w:id="3">
    <w:p w14:paraId="3B268E0D" w14:textId="77777777" w:rsidR="00A16798" w:rsidRPr="0050419E" w:rsidRDefault="00A16798" w:rsidP="00A16798">
      <w:pPr>
        <w:pStyle w:val="FootnoteText"/>
        <w:rPr>
          <w:szCs w:val="18"/>
          <w:lang w:val="en-CA"/>
        </w:rPr>
      </w:pPr>
      <w:r w:rsidRPr="0050419E">
        <w:rPr>
          <w:rStyle w:val="FootnoteReference"/>
          <w:szCs w:val="18"/>
          <w:lang w:val="en-CA"/>
        </w:rPr>
        <w:t>**</w:t>
      </w:r>
      <w:r w:rsidRPr="0050419E">
        <w:rPr>
          <w:lang w:val="en-CA"/>
        </w:rPr>
        <w:t xml:space="preserve"> CBD/CP/MOP/11/1.</w:t>
      </w:r>
    </w:p>
  </w:footnote>
  <w:footnote w:id="4">
    <w:p w14:paraId="052AEA4D" w14:textId="056301A9" w:rsidR="0015126A" w:rsidRPr="0050419E" w:rsidRDefault="0015126A">
      <w:pPr>
        <w:pStyle w:val="FootnoteText"/>
        <w:rPr>
          <w:szCs w:val="18"/>
          <w:lang w:val="en-CA"/>
        </w:rPr>
      </w:pPr>
      <w:r w:rsidRPr="0050419E">
        <w:rPr>
          <w:rStyle w:val="FootnoteReference"/>
          <w:szCs w:val="18"/>
          <w:lang w:val="en-CA"/>
        </w:rPr>
        <w:t>***</w:t>
      </w:r>
      <w:r w:rsidRPr="0050419E">
        <w:rPr>
          <w:lang w:val="en-CA"/>
        </w:rPr>
        <w:t xml:space="preserve"> CBD/NP/MOP/5/1.</w:t>
      </w:r>
    </w:p>
  </w:footnote>
  <w:footnote w:id="5">
    <w:p w14:paraId="0790CD9C" w14:textId="30C3598E" w:rsidR="00892011" w:rsidRPr="0050419E" w:rsidRDefault="00892011">
      <w:pPr>
        <w:pStyle w:val="FootnoteText"/>
        <w:rPr>
          <w:lang w:val="en-CA"/>
        </w:rPr>
      </w:pPr>
      <w:r>
        <w:rPr>
          <w:rStyle w:val="FootnoteReference"/>
          <w:szCs w:val="18"/>
        </w:rPr>
        <w:footnoteRef/>
      </w:r>
      <w:r w:rsidRPr="0050419E">
        <w:rPr>
          <w:lang w:val="en-CA"/>
        </w:rPr>
        <w:t xml:space="preserve"> </w:t>
      </w:r>
      <w:hyperlink r:id="rId1">
        <w:r w:rsidRPr="0050419E">
          <w:rPr>
            <w:rStyle w:val="Hyperlink"/>
            <w:lang w:val="en-CA"/>
          </w:rPr>
          <w:t>www.cbd.int/information/adm-fin/</w:t>
        </w:r>
      </w:hyperlink>
      <w:r w:rsidRPr="0050419E">
        <w:rPr>
          <w:rStyle w:val="Hyperlink"/>
          <w:szCs w:val="18"/>
          <w:lang w:val="en-CA"/>
        </w:rPr>
        <w:t>.</w:t>
      </w:r>
    </w:p>
  </w:footnote>
  <w:footnote w:id="6">
    <w:p w14:paraId="7F44490C" w14:textId="77777777" w:rsidR="008134FC" w:rsidRPr="0050419E" w:rsidRDefault="008134FC" w:rsidP="008134FC">
      <w:pPr>
        <w:pStyle w:val="FootnoteText"/>
        <w:rPr>
          <w:lang w:val="en-CA"/>
        </w:rPr>
      </w:pPr>
      <w:r>
        <w:rPr>
          <w:rStyle w:val="FootnoteReference"/>
        </w:rPr>
        <w:footnoteRef/>
      </w:r>
      <w:r w:rsidRPr="0050419E">
        <w:rPr>
          <w:lang w:val="en-CA"/>
        </w:rPr>
        <w:t xml:space="preserve"> CBD/COP/16/4/Add.2-CBD/CP/MOP/11/5/Add.2-CBD/NP/MOP/5/5/Add.2.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6921F" w14:textId="6FD4A6B3" w:rsidR="005B31FC" w:rsidRPr="00361521" w:rsidRDefault="000A2346" w:rsidP="00361521">
    <w:pPr>
      <w:pBdr>
        <w:bottom w:val="single" w:sz="4" w:space="1" w:color="auto"/>
      </w:pBdr>
      <w:spacing w:after="240"/>
      <w:ind w:right="4"/>
      <w:jc w:val="left"/>
      <w:rPr>
        <w:noProof/>
        <w:kern w:val="20"/>
        <w:sz w:val="20"/>
        <w:szCs w:val="20"/>
      </w:rPr>
    </w:pPr>
    <w:r>
      <w:rPr>
        <w:rStyle w:val="PlaceholderText"/>
        <w:color w:val="auto"/>
        <w:sz w:val="20"/>
        <w:szCs w:val="20"/>
      </w:rPr>
      <w:t>CBD/COP/16/3-CBD/CP/MOP/11/4-CBD/NP/MOP/5/4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59B16" w14:textId="7E51516A" w:rsidR="005B31FC" w:rsidRPr="00B16F37" w:rsidRDefault="000A2346" w:rsidP="00361521">
    <w:pPr>
      <w:pBdr>
        <w:bottom w:val="single" w:sz="4" w:space="1" w:color="auto"/>
      </w:pBdr>
      <w:spacing w:after="240"/>
      <w:ind w:right="4"/>
      <w:jc w:val="right"/>
      <w:rPr>
        <w:kern w:val="20"/>
        <w:sz w:val="20"/>
        <w:szCs w:val="20"/>
      </w:rPr>
    </w:pPr>
    <w:r>
      <w:rPr>
        <w:sz w:val="20"/>
        <w:szCs w:val="20"/>
      </w:rPr>
      <w:t>CBD/COP/16/3-CBD/CP/MOP/11/4-CBD/NP/MOP/5/4</w:t>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581B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0F64F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F0F9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35AA4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3031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E11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AAF6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2485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6E0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8053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1"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22" w15:restartNumberingAfterBreak="0">
    <w:nsid w:val="1A3925CD"/>
    <w:multiLevelType w:val="hybridMultilevel"/>
    <w:tmpl w:val="D360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24" w15:restartNumberingAfterBreak="0">
    <w:nsid w:val="1A5D05E6"/>
    <w:multiLevelType w:val="hybridMultilevel"/>
    <w:tmpl w:val="EB76BC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977DD4"/>
    <w:multiLevelType w:val="hybridMultilevel"/>
    <w:tmpl w:val="0716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36"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40"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98E2FF3"/>
    <w:multiLevelType w:val="multilevel"/>
    <w:tmpl w:val="222A08B4"/>
    <w:numStyleLink w:val="ListCBD"/>
  </w:abstractNum>
  <w:abstractNum w:abstractNumId="4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4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4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4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4E880595"/>
    <w:multiLevelType w:val="multilevel"/>
    <w:tmpl w:val="222A08B4"/>
    <w:numStyleLink w:val="ListCBD"/>
  </w:abstractNum>
  <w:abstractNum w:abstractNumId="54" w15:restartNumberingAfterBreak="0">
    <w:nsid w:val="52A66A9D"/>
    <w:multiLevelType w:val="multilevel"/>
    <w:tmpl w:val="222A08B4"/>
    <w:numStyleLink w:val="ListCBD"/>
  </w:abstractNum>
  <w:abstractNum w:abstractNumId="5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D943BEE"/>
    <w:multiLevelType w:val="multilevel"/>
    <w:tmpl w:val="222A08B4"/>
    <w:numStyleLink w:val="ListCBD"/>
  </w:abstractNum>
  <w:abstractNum w:abstractNumId="59"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60"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8B70991"/>
    <w:multiLevelType w:val="multilevel"/>
    <w:tmpl w:val="222A08B4"/>
    <w:numStyleLink w:val="ListCBD"/>
  </w:abstractNum>
  <w:abstractNum w:abstractNumId="62"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07E6FE9"/>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67"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16cid:durableId="468864174">
    <w:abstractNumId w:val="60"/>
  </w:num>
  <w:num w:numId="2" w16cid:durableId="2039618497">
    <w:abstractNumId w:val="70"/>
  </w:num>
  <w:num w:numId="3" w16cid:durableId="521821063">
    <w:abstractNumId w:val="62"/>
  </w:num>
  <w:num w:numId="4" w16cid:durableId="428742993">
    <w:abstractNumId w:val="59"/>
  </w:num>
  <w:num w:numId="5" w16cid:durableId="1938632523">
    <w:abstractNumId w:val="39"/>
  </w:num>
  <w:num w:numId="6" w16cid:durableId="795872334">
    <w:abstractNumId w:val="36"/>
  </w:num>
  <w:num w:numId="7" w16cid:durableId="1312782846">
    <w:abstractNumId w:val="49"/>
  </w:num>
  <w:num w:numId="8" w16cid:durableId="1695229103">
    <w:abstractNumId w:val="18"/>
  </w:num>
  <w:num w:numId="9" w16cid:durableId="1644920754">
    <w:abstractNumId w:val="25"/>
  </w:num>
  <w:num w:numId="10" w16cid:durableId="1828396445">
    <w:abstractNumId w:val="64"/>
  </w:num>
  <w:num w:numId="11" w16cid:durableId="751897603">
    <w:abstractNumId w:val="43"/>
  </w:num>
  <w:num w:numId="12" w16cid:durableId="1125805898">
    <w:abstractNumId w:val="33"/>
  </w:num>
  <w:num w:numId="13" w16cid:durableId="616718184">
    <w:abstractNumId w:val="52"/>
  </w:num>
  <w:num w:numId="14" w16cid:durableId="1757942756">
    <w:abstractNumId w:val="50"/>
  </w:num>
  <w:num w:numId="15" w16cid:durableId="549076060">
    <w:abstractNumId w:val="38"/>
  </w:num>
  <w:num w:numId="16" w16cid:durableId="888224596">
    <w:abstractNumId w:val="15"/>
  </w:num>
  <w:num w:numId="17" w16cid:durableId="1691681130">
    <w:abstractNumId w:val="69"/>
  </w:num>
  <w:num w:numId="18" w16cid:durableId="16355201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5978027">
    <w:abstractNumId w:val="45"/>
  </w:num>
  <w:num w:numId="20" w16cid:durableId="2121486030">
    <w:abstractNumId w:val="23"/>
  </w:num>
  <w:num w:numId="21" w16cid:durableId="1630280876">
    <w:abstractNumId w:val="21"/>
  </w:num>
  <w:num w:numId="22" w16cid:durableId="1962877493">
    <w:abstractNumId w:val="44"/>
  </w:num>
  <w:num w:numId="23" w16cid:durableId="1497724973">
    <w:abstractNumId w:val="42"/>
  </w:num>
  <w:num w:numId="24" w16cid:durableId="204828385">
    <w:abstractNumId w:val="35"/>
  </w:num>
  <w:num w:numId="25" w16cid:durableId="202258076">
    <w:abstractNumId w:val="67"/>
  </w:num>
  <w:num w:numId="26" w16cid:durableId="8226196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1012216">
    <w:abstractNumId w:val="40"/>
  </w:num>
  <w:num w:numId="28" w16cid:durableId="21446343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0314483">
    <w:abstractNumId w:val="47"/>
  </w:num>
  <w:num w:numId="30" w16cid:durableId="1193494282">
    <w:abstractNumId w:val="22"/>
  </w:num>
  <w:num w:numId="31" w16cid:durableId="1322123619">
    <w:abstractNumId w:val="66"/>
  </w:num>
  <w:num w:numId="32" w16cid:durableId="1914313463">
    <w:abstractNumId w:val="30"/>
  </w:num>
  <w:num w:numId="33" w16cid:durableId="560672902">
    <w:abstractNumId w:val="14"/>
  </w:num>
  <w:num w:numId="34" w16cid:durableId="1072390599">
    <w:abstractNumId w:val="65"/>
  </w:num>
  <w:num w:numId="35" w16cid:durableId="1933662228">
    <w:abstractNumId w:val="37"/>
  </w:num>
  <w:num w:numId="36" w16cid:durableId="1991909117">
    <w:abstractNumId w:val="11"/>
  </w:num>
  <w:num w:numId="37" w16cid:durableId="1138956019">
    <w:abstractNumId w:val="26"/>
  </w:num>
  <w:num w:numId="38" w16cid:durableId="607395260">
    <w:abstractNumId w:val="9"/>
  </w:num>
  <w:num w:numId="39" w16cid:durableId="98110136">
    <w:abstractNumId w:val="7"/>
  </w:num>
  <w:num w:numId="40" w16cid:durableId="920676582">
    <w:abstractNumId w:val="6"/>
  </w:num>
  <w:num w:numId="41" w16cid:durableId="447286378">
    <w:abstractNumId w:val="5"/>
  </w:num>
  <w:num w:numId="42" w16cid:durableId="1532258362">
    <w:abstractNumId w:val="4"/>
  </w:num>
  <w:num w:numId="43" w16cid:durableId="1587106058">
    <w:abstractNumId w:val="8"/>
  </w:num>
  <w:num w:numId="44" w16cid:durableId="1646355732">
    <w:abstractNumId w:val="3"/>
  </w:num>
  <w:num w:numId="45" w16cid:durableId="2006930253">
    <w:abstractNumId w:val="2"/>
  </w:num>
  <w:num w:numId="46" w16cid:durableId="1811677887">
    <w:abstractNumId w:val="1"/>
  </w:num>
  <w:num w:numId="47" w16cid:durableId="537353487">
    <w:abstractNumId w:val="0"/>
  </w:num>
  <w:num w:numId="48" w16cid:durableId="2069499237">
    <w:abstractNumId w:val="61"/>
  </w:num>
  <w:num w:numId="49" w16cid:durableId="158270868">
    <w:abstractNumId w:val="68"/>
  </w:num>
  <w:num w:numId="50" w16cid:durableId="159275565">
    <w:abstractNumId w:val="28"/>
  </w:num>
  <w:num w:numId="51" w16cid:durableId="271714945">
    <w:abstractNumId w:val="29"/>
  </w:num>
  <w:num w:numId="52" w16cid:durableId="1638680439">
    <w:abstractNumId w:val="61"/>
    <w:lvlOverride w:ilvl="0">
      <w:startOverride w:val="1"/>
    </w:lvlOverride>
  </w:num>
  <w:num w:numId="53" w16cid:durableId="1865050652">
    <w:abstractNumId w:val="54"/>
  </w:num>
  <w:num w:numId="54" w16cid:durableId="152986975">
    <w:abstractNumId w:val="48"/>
  </w:num>
  <w:num w:numId="55" w16cid:durableId="1295136099">
    <w:abstractNumId w:val="57"/>
  </w:num>
  <w:num w:numId="56" w16cid:durableId="80179172">
    <w:abstractNumId w:val="56"/>
  </w:num>
  <w:num w:numId="57" w16cid:durableId="20679887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51"/>
  </w:num>
  <w:num w:numId="59" w16cid:durableId="1771076976">
    <w:abstractNumId w:val="16"/>
  </w:num>
  <w:num w:numId="60" w16cid:durableId="939752621">
    <w:abstractNumId w:val="53"/>
  </w:num>
  <w:num w:numId="61" w16cid:durableId="915044361">
    <w:abstractNumId w:val="41"/>
  </w:num>
  <w:num w:numId="62" w16cid:durableId="855196379">
    <w:abstractNumId w:val="19"/>
  </w:num>
  <w:num w:numId="63" w16cid:durableId="146685333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7"/>
  </w:num>
  <w:num w:numId="65" w16cid:durableId="708722651">
    <w:abstractNumId w:val="10"/>
  </w:num>
  <w:num w:numId="66" w16cid:durableId="21364124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4"/>
  </w:num>
  <w:num w:numId="74" w16cid:durableId="1570270110">
    <w:abstractNumId w:val="55"/>
  </w:num>
  <w:num w:numId="75" w16cid:durableId="2125995167">
    <w:abstractNumId w:val="46"/>
  </w:num>
  <w:num w:numId="76" w16cid:durableId="893932166">
    <w:abstractNumId w:val="63"/>
  </w:num>
  <w:num w:numId="77" w16cid:durableId="1627851340">
    <w:abstractNumId w:val="32"/>
  </w:num>
  <w:num w:numId="78" w16cid:durableId="1945532808">
    <w:abstractNumId w:val="17"/>
  </w:num>
  <w:num w:numId="79"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3"/>
  </w:num>
  <w:num w:numId="8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8"/>
  </w:num>
  <w:num w:numId="86" w16cid:durableId="1081876658">
    <w:abstractNumId w:val="8"/>
  </w:num>
  <w:num w:numId="87" w16cid:durableId="2057927063">
    <w:abstractNumId w:val="3"/>
  </w:num>
  <w:num w:numId="88" w16cid:durableId="630017806">
    <w:abstractNumId w:val="2"/>
  </w:num>
  <w:num w:numId="89" w16cid:durableId="2081127458">
    <w:abstractNumId w:val="1"/>
  </w:num>
  <w:num w:numId="90" w16cid:durableId="1864173357">
    <w:abstractNumId w:val="0"/>
  </w:num>
  <w:num w:numId="91" w16cid:durableId="424957950">
    <w:abstractNumId w:val="24"/>
  </w:num>
  <w:num w:numId="92" w16cid:durableId="2139492710">
    <w:abstractNumId w:val="58"/>
  </w:num>
  <w:num w:numId="93" w16cid:durableId="197353562">
    <w:abstractNumId w:val="58"/>
  </w:num>
  <w:num w:numId="94" w16cid:durableId="959148488">
    <w:abstractNumId w:val="58"/>
  </w:num>
  <w:num w:numId="95" w16cid:durableId="1306351563">
    <w:abstractNumId w:val="58"/>
  </w:num>
  <w:num w:numId="96" w16cid:durableId="1258291412">
    <w:abstractNumId w:val="58"/>
  </w:num>
  <w:num w:numId="97" w16cid:durableId="2132162123">
    <w:abstractNumId w:val="58"/>
  </w:num>
  <w:num w:numId="98" w16cid:durableId="767427740">
    <w:abstractNumId w:val="58"/>
  </w:num>
  <w:num w:numId="99" w16cid:durableId="921836813">
    <w:abstractNumId w:val="58"/>
  </w:num>
  <w:num w:numId="100" w16cid:durableId="430710877">
    <w:abstractNumId w:val="58"/>
  </w:num>
  <w:num w:numId="101" w16cid:durableId="161818173">
    <w:abstractNumId w:val="58"/>
  </w:num>
  <w:num w:numId="102" w16cid:durableId="237716041">
    <w:abstractNumId w:val="58"/>
  </w:num>
  <w:num w:numId="103" w16cid:durableId="1287740243">
    <w:abstractNumId w:val="58"/>
  </w:num>
  <w:num w:numId="104" w16cid:durableId="407192051">
    <w:abstractNumId w:val="58"/>
  </w:num>
  <w:num w:numId="105" w16cid:durableId="1300499834">
    <w:abstractNumId w:val="58"/>
  </w:num>
  <w:num w:numId="106" w16cid:durableId="892346738">
    <w:abstractNumId w:val="58"/>
  </w:num>
  <w:num w:numId="107" w16cid:durableId="382602386">
    <w:abstractNumId w:val="58"/>
  </w:num>
  <w:num w:numId="108" w16cid:durableId="1209025004">
    <w:abstractNumId w:val="58"/>
  </w:num>
  <w:num w:numId="109" w16cid:durableId="1323849562">
    <w:abstractNumId w:val="58"/>
  </w:num>
  <w:num w:numId="110" w16cid:durableId="1661692755">
    <w:abstractNumId w:val="58"/>
  </w:num>
  <w:num w:numId="111" w16cid:durableId="1616018499">
    <w:abstractNumId w:val="58"/>
  </w:num>
  <w:num w:numId="112" w16cid:durableId="786656891">
    <w:abstractNumId w:val="58"/>
  </w:num>
  <w:num w:numId="113" w16cid:durableId="1743915977">
    <w:abstractNumId w:val="58"/>
  </w:num>
  <w:num w:numId="114" w16cid:durableId="1788505549">
    <w:abstractNumId w:val="58"/>
  </w:num>
  <w:num w:numId="115" w16cid:durableId="1218586719">
    <w:abstractNumId w:val="58"/>
  </w:num>
  <w:num w:numId="116" w16cid:durableId="857541403">
    <w:abstractNumId w:val="58"/>
  </w:num>
  <w:num w:numId="117" w16cid:durableId="253976008">
    <w:abstractNumId w:val="58"/>
  </w:num>
  <w:num w:numId="118" w16cid:durableId="224146620">
    <w:abstractNumId w:val="58"/>
  </w:num>
  <w:num w:numId="119" w16cid:durableId="740175653">
    <w:abstractNumId w:val="58"/>
  </w:num>
  <w:num w:numId="120" w16cid:durableId="2055151187">
    <w:abstractNumId w:val="58"/>
  </w:num>
  <w:num w:numId="121" w16cid:durableId="1933588503">
    <w:abstractNumId w:val="58"/>
  </w:num>
  <w:num w:numId="122" w16cid:durableId="883907664">
    <w:abstractNumId w:val="58"/>
  </w:num>
  <w:num w:numId="123" w16cid:durableId="607272945">
    <w:abstractNumId w:val="58"/>
  </w:num>
  <w:num w:numId="124" w16cid:durableId="35737726">
    <w:abstractNumId w:val="58"/>
  </w:num>
  <w:num w:numId="125" w16cid:durableId="1387023358">
    <w:abstractNumId w:val="58"/>
  </w:num>
  <w:num w:numId="126" w16cid:durableId="591160294">
    <w:abstractNumId w:val="58"/>
  </w:num>
  <w:num w:numId="127" w16cid:durableId="1808010833">
    <w:abstractNumId w:val="58"/>
  </w:num>
  <w:num w:numId="128" w16cid:durableId="1708798286">
    <w:abstractNumId w:val="58"/>
  </w:num>
  <w:num w:numId="129" w16cid:durableId="811598167">
    <w:abstractNumId w:val="58"/>
  </w:num>
  <w:num w:numId="130" w16cid:durableId="1553732887">
    <w:abstractNumId w:val="58"/>
  </w:num>
  <w:num w:numId="131" w16cid:durableId="971984959">
    <w:abstractNumId w:val="58"/>
  </w:num>
  <w:num w:numId="132" w16cid:durableId="1008361928">
    <w:abstractNumId w:val="58"/>
  </w:num>
  <w:num w:numId="133" w16cid:durableId="1817258690">
    <w:abstractNumId w:val="58"/>
  </w:num>
  <w:num w:numId="134" w16cid:durableId="21131634">
    <w:abstractNumId w:val="58"/>
  </w:num>
  <w:num w:numId="135" w16cid:durableId="1616865514">
    <w:abstractNumId w:val="58"/>
  </w:num>
  <w:num w:numId="136" w16cid:durableId="353506157">
    <w:abstractNumId w:val="58"/>
  </w:num>
  <w:num w:numId="137" w16cid:durableId="292909767">
    <w:abstractNumId w:val="58"/>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activeWritingStyle w:appName="MSWord" w:lang="fr-CA" w:vendorID="64" w:dllVersion="0" w:nlCheck="1" w:checkStyle="0"/>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5D6"/>
    <w:rsid w:val="00000BF5"/>
    <w:rsid w:val="00001B0F"/>
    <w:rsid w:val="00001F94"/>
    <w:rsid w:val="00002398"/>
    <w:rsid w:val="0000259F"/>
    <w:rsid w:val="00002AE4"/>
    <w:rsid w:val="00003AEB"/>
    <w:rsid w:val="0000407B"/>
    <w:rsid w:val="00004159"/>
    <w:rsid w:val="0000440D"/>
    <w:rsid w:val="00005CCD"/>
    <w:rsid w:val="000061EE"/>
    <w:rsid w:val="00006597"/>
    <w:rsid w:val="00006616"/>
    <w:rsid w:val="00006E14"/>
    <w:rsid w:val="000073B2"/>
    <w:rsid w:val="00007538"/>
    <w:rsid w:val="000076F5"/>
    <w:rsid w:val="00007AA5"/>
    <w:rsid w:val="0001016D"/>
    <w:rsid w:val="0001087A"/>
    <w:rsid w:val="00010D45"/>
    <w:rsid w:val="000111F8"/>
    <w:rsid w:val="000112BE"/>
    <w:rsid w:val="000125D5"/>
    <w:rsid w:val="00012D38"/>
    <w:rsid w:val="0001354B"/>
    <w:rsid w:val="00013E5A"/>
    <w:rsid w:val="00013EA7"/>
    <w:rsid w:val="0001418B"/>
    <w:rsid w:val="0001438D"/>
    <w:rsid w:val="00014779"/>
    <w:rsid w:val="0001477E"/>
    <w:rsid w:val="00014A14"/>
    <w:rsid w:val="00014B94"/>
    <w:rsid w:val="00014E60"/>
    <w:rsid w:val="00014FB7"/>
    <w:rsid w:val="0001521B"/>
    <w:rsid w:val="00016C64"/>
    <w:rsid w:val="00017720"/>
    <w:rsid w:val="00017D68"/>
    <w:rsid w:val="00020161"/>
    <w:rsid w:val="00020831"/>
    <w:rsid w:val="00021164"/>
    <w:rsid w:val="000213E9"/>
    <w:rsid w:val="00021511"/>
    <w:rsid w:val="000228E8"/>
    <w:rsid w:val="000231BD"/>
    <w:rsid w:val="000232B1"/>
    <w:rsid w:val="00023383"/>
    <w:rsid w:val="00025493"/>
    <w:rsid w:val="0002550E"/>
    <w:rsid w:val="000258D2"/>
    <w:rsid w:val="000259C7"/>
    <w:rsid w:val="00025BB9"/>
    <w:rsid w:val="000262F2"/>
    <w:rsid w:val="000266DB"/>
    <w:rsid w:val="00026728"/>
    <w:rsid w:val="0002685A"/>
    <w:rsid w:val="00026C34"/>
    <w:rsid w:val="00026F68"/>
    <w:rsid w:val="00027385"/>
    <w:rsid w:val="0002776E"/>
    <w:rsid w:val="00027C88"/>
    <w:rsid w:val="00027D5D"/>
    <w:rsid w:val="00027E5E"/>
    <w:rsid w:val="00027F79"/>
    <w:rsid w:val="0003069F"/>
    <w:rsid w:val="00030DEB"/>
    <w:rsid w:val="000311B5"/>
    <w:rsid w:val="00031E36"/>
    <w:rsid w:val="000320AF"/>
    <w:rsid w:val="000322A9"/>
    <w:rsid w:val="00032584"/>
    <w:rsid w:val="00033DD1"/>
    <w:rsid w:val="00034123"/>
    <w:rsid w:val="000342A6"/>
    <w:rsid w:val="000343E2"/>
    <w:rsid w:val="00034518"/>
    <w:rsid w:val="00034737"/>
    <w:rsid w:val="00035008"/>
    <w:rsid w:val="00035BEE"/>
    <w:rsid w:val="00035F25"/>
    <w:rsid w:val="0003605F"/>
    <w:rsid w:val="000362C9"/>
    <w:rsid w:val="00036ACD"/>
    <w:rsid w:val="0003781E"/>
    <w:rsid w:val="00037E37"/>
    <w:rsid w:val="0004093A"/>
    <w:rsid w:val="00040ACA"/>
    <w:rsid w:val="00040B48"/>
    <w:rsid w:val="00040E9D"/>
    <w:rsid w:val="00040F30"/>
    <w:rsid w:val="000413C5"/>
    <w:rsid w:val="00041CC2"/>
    <w:rsid w:val="00042D48"/>
    <w:rsid w:val="00043130"/>
    <w:rsid w:val="00044379"/>
    <w:rsid w:val="000456D6"/>
    <w:rsid w:val="00045C28"/>
    <w:rsid w:val="00045E51"/>
    <w:rsid w:val="000461BE"/>
    <w:rsid w:val="0004644D"/>
    <w:rsid w:val="000478D3"/>
    <w:rsid w:val="00050118"/>
    <w:rsid w:val="00050267"/>
    <w:rsid w:val="0005171F"/>
    <w:rsid w:val="00051F11"/>
    <w:rsid w:val="00052A60"/>
    <w:rsid w:val="00052ADD"/>
    <w:rsid w:val="00052F42"/>
    <w:rsid w:val="00053772"/>
    <w:rsid w:val="00053972"/>
    <w:rsid w:val="000540DA"/>
    <w:rsid w:val="000544CA"/>
    <w:rsid w:val="00056F85"/>
    <w:rsid w:val="00059B05"/>
    <w:rsid w:val="000609B8"/>
    <w:rsid w:val="00060E23"/>
    <w:rsid w:val="0006126C"/>
    <w:rsid w:val="000618B4"/>
    <w:rsid w:val="00061B19"/>
    <w:rsid w:val="0006219B"/>
    <w:rsid w:val="00062627"/>
    <w:rsid w:val="000627AB"/>
    <w:rsid w:val="000630BD"/>
    <w:rsid w:val="000641D7"/>
    <w:rsid w:val="0006442E"/>
    <w:rsid w:val="00064499"/>
    <w:rsid w:val="00065000"/>
    <w:rsid w:val="0006504C"/>
    <w:rsid w:val="00065235"/>
    <w:rsid w:val="000659BF"/>
    <w:rsid w:val="00065EE0"/>
    <w:rsid w:val="00066016"/>
    <w:rsid w:val="000667D8"/>
    <w:rsid w:val="000667E6"/>
    <w:rsid w:val="000667F8"/>
    <w:rsid w:val="00066C0D"/>
    <w:rsid w:val="00066E89"/>
    <w:rsid w:val="00067F2D"/>
    <w:rsid w:val="000709FB"/>
    <w:rsid w:val="00070ADF"/>
    <w:rsid w:val="00070B88"/>
    <w:rsid w:val="00070CAD"/>
    <w:rsid w:val="000710C7"/>
    <w:rsid w:val="0007116A"/>
    <w:rsid w:val="00071FEE"/>
    <w:rsid w:val="000726AD"/>
    <w:rsid w:val="000734CA"/>
    <w:rsid w:val="000738E3"/>
    <w:rsid w:val="00074B1E"/>
    <w:rsid w:val="00074CC9"/>
    <w:rsid w:val="000752E3"/>
    <w:rsid w:val="0007588E"/>
    <w:rsid w:val="00075F4E"/>
    <w:rsid w:val="00076225"/>
    <w:rsid w:val="000769A0"/>
    <w:rsid w:val="00076BC5"/>
    <w:rsid w:val="00081DFD"/>
    <w:rsid w:val="000822E1"/>
    <w:rsid w:val="000826F7"/>
    <w:rsid w:val="00083A28"/>
    <w:rsid w:val="00083B33"/>
    <w:rsid w:val="00083B67"/>
    <w:rsid w:val="00083CC9"/>
    <w:rsid w:val="000845D9"/>
    <w:rsid w:val="00084D62"/>
    <w:rsid w:val="0008529C"/>
    <w:rsid w:val="00086D6A"/>
    <w:rsid w:val="00086E36"/>
    <w:rsid w:val="00086E6A"/>
    <w:rsid w:val="0008756D"/>
    <w:rsid w:val="00087634"/>
    <w:rsid w:val="000906E3"/>
    <w:rsid w:val="00090790"/>
    <w:rsid w:val="000909C1"/>
    <w:rsid w:val="00090D28"/>
    <w:rsid w:val="00090FB8"/>
    <w:rsid w:val="00091061"/>
    <w:rsid w:val="000911AA"/>
    <w:rsid w:val="00091470"/>
    <w:rsid w:val="00091C32"/>
    <w:rsid w:val="00091DEA"/>
    <w:rsid w:val="000925AC"/>
    <w:rsid w:val="00092DC0"/>
    <w:rsid w:val="0009308C"/>
    <w:rsid w:val="00093454"/>
    <w:rsid w:val="000934A3"/>
    <w:rsid w:val="00093DE2"/>
    <w:rsid w:val="00093F03"/>
    <w:rsid w:val="0009465B"/>
    <w:rsid w:val="00094AC9"/>
    <w:rsid w:val="00095189"/>
    <w:rsid w:val="0009557B"/>
    <w:rsid w:val="0009654C"/>
    <w:rsid w:val="00097574"/>
    <w:rsid w:val="00097897"/>
    <w:rsid w:val="00097948"/>
    <w:rsid w:val="00097FF5"/>
    <w:rsid w:val="00098A10"/>
    <w:rsid w:val="000A0039"/>
    <w:rsid w:val="000A003A"/>
    <w:rsid w:val="000A14E9"/>
    <w:rsid w:val="000A181E"/>
    <w:rsid w:val="000A2346"/>
    <w:rsid w:val="000A2755"/>
    <w:rsid w:val="000A306E"/>
    <w:rsid w:val="000A33DA"/>
    <w:rsid w:val="000A3B5B"/>
    <w:rsid w:val="000A59C4"/>
    <w:rsid w:val="000A6DC4"/>
    <w:rsid w:val="000A7B5E"/>
    <w:rsid w:val="000B0925"/>
    <w:rsid w:val="000B0CDF"/>
    <w:rsid w:val="000B123B"/>
    <w:rsid w:val="000B12BB"/>
    <w:rsid w:val="000B2250"/>
    <w:rsid w:val="000B23EF"/>
    <w:rsid w:val="000B2CFC"/>
    <w:rsid w:val="000B2EC2"/>
    <w:rsid w:val="000B312C"/>
    <w:rsid w:val="000B33D0"/>
    <w:rsid w:val="000B35E1"/>
    <w:rsid w:val="000B3C61"/>
    <w:rsid w:val="000B45F5"/>
    <w:rsid w:val="000B4667"/>
    <w:rsid w:val="000B5071"/>
    <w:rsid w:val="000B554E"/>
    <w:rsid w:val="000B5A57"/>
    <w:rsid w:val="000B5F8B"/>
    <w:rsid w:val="000B6141"/>
    <w:rsid w:val="000B7B72"/>
    <w:rsid w:val="000C049C"/>
    <w:rsid w:val="000C0519"/>
    <w:rsid w:val="000C1524"/>
    <w:rsid w:val="000C18CF"/>
    <w:rsid w:val="000C1A78"/>
    <w:rsid w:val="000C23C2"/>
    <w:rsid w:val="000C252F"/>
    <w:rsid w:val="000C29AF"/>
    <w:rsid w:val="000C3ABA"/>
    <w:rsid w:val="000C42F1"/>
    <w:rsid w:val="000C44C3"/>
    <w:rsid w:val="000C562C"/>
    <w:rsid w:val="000C585D"/>
    <w:rsid w:val="000C58C2"/>
    <w:rsid w:val="000C5FAD"/>
    <w:rsid w:val="000C6AFB"/>
    <w:rsid w:val="000C6B93"/>
    <w:rsid w:val="000C7391"/>
    <w:rsid w:val="000C78A0"/>
    <w:rsid w:val="000C7AE4"/>
    <w:rsid w:val="000C7BDC"/>
    <w:rsid w:val="000D02E4"/>
    <w:rsid w:val="000D0472"/>
    <w:rsid w:val="000D0E73"/>
    <w:rsid w:val="000D19CC"/>
    <w:rsid w:val="000D2976"/>
    <w:rsid w:val="000D3673"/>
    <w:rsid w:val="000D36D0"/>
    <w:rsid w:val="000D38D0"/>
    <w:rsid w:val="000D447D"/>
    <w:rsid w:val="000D5274"/>
    <w:rsid w:val="000D5C82"/>
    <w:rsid w:val="000D7B1C"/>
    <w:rsid w:val="000E04A0"/>
    <w:rsid w:val="000E096B"/>
    <w:rsid w:val="000E0CAA"/>
    <w:rsid w:val="000E100D"/>
    <w:rsid w:val="000E1026"/>
    <w:rsid w:val="000E10D1"/>
    <w:rsid w:val="000E1180"/>
    <w:rsid w:val="000E205B"/>
    <w:rsid w:val="000E2AC8"/>
    <w:rsid w:val="000E301F"/>
    <w:rsid w:val="000E31D0"/>
    <w:rsid w:val="000E35DD"/>
    <w:rsid w:val="000E3B95"/>
    <w:rsid w:val="000E3D5C"/>
    <w:rsid w:val="000E3FF4"/>
    <w:rsid w:val="000E3FFB"/>
    <w:rsid w:val="000E524E"/>
    <w:rsid w:val="000E61DF"/>
    <w:rsid w:val="000E6EFE"/>
    <w:rsid w:val="000E7027"/>
    <w:rsid w:val="000E7ACC"/>
    <w:rsid w:val="000F0ADA"/>
    <w:rsid w:val="000F1208"/>
    <w:rsid w:val="000F1F71"/>
    <w:rsid w:val="000F20D0"/>
    <w:rsid w:val="000F2113"/>
    <w:rsid w:val="000F25B5"/>
    <w:rsid w:val="000F3AF5"/>
    <w:rsid w:val="000F4186"/>
    <w:rsid w:val="000F420F"/>
    <w:rsid w:val="000F4F34"/>
    <w:rsid w:val="000F53F0"/>
    <w:rsid w:val="000F5F9C"/>
    <w:rsid w:val="000F6DC6"/>
    <w:rsid w:val="000F72CA"/>
    <w:rsid w:val="000F75CD"/>
    <w:rsid w:val="000F7CCF"/>
    <w:rsid w:val="00100491"/>
    <w:rsid w:val="00100515"/>
    <w:rsid w:val="001007DD"/>
    <w:rsid w:val="00100802"/>
    <w:rsid w:val="00100BF4"/>
    <w:rsid w:val="00100CE5"/>
    <w:rsid w:val="00100EF9"/>
    <w:rsid w:val="00100F1D"/>
    <w:rsid w:val="0010148C"/>
    <w:rsid w:val="00102BD9"/>
    <w:rsid w:val="00103171"/>
    <w:rsid w:val="00104232"/>
    <w:rsid w:val="00104976"/>
    <w:rsid w:val="00104E50"/>
    <w:rsid w:val="00106229"/>
    <w:rsid w:val="0010623C"/>
    <w:rsid w:val="00106652"/>
    <w:rsid w:val="001066B3"/>
    <w:rsid w:val="001068F9"/>
    <w:rsid w:val="001069FD"/>
    <w:rsid w:val="00106EA3"/>
    <w:rsid w:val="00107EB6"/>
    <w:rsid w:val="00110283"/>
    <w:rsid w:val="00110C28"/>
    <w:rsid w:val="00111B04"/>
    <w:rsid w:val="00111EAF"/>
    <w:rsid w:val="001124EB"/>
    <w:rsid w:val="00112509"/>
    <w:rsid w:val="001125C1"/>
    <w:rsid w:val="00112CB6"/>
    <w:rsid w:val="00113B90"/>
    <w:rsid w:val="00114257"/>
    <w:rsid w:val="0011508A"/>
    <w:rsid w:val="001150CA"/>
    <w:rsid w:val="001154FB"/>
    <w:rsid w:val="0011588E"/>
    <w:rsid w:val="00115DE8"/>
    <w:rsid w:val="001168DF"/>
    <w:rsid w:val="00116979"/>
    <w:rsid w:val="00116AD9"/>
    <w:rsid w:val="00117088"/>
    <w:rsid w:val="00117EF9"/>
    <w:rsid w:val="00117FFB"/>
    <w:rsid w:val="001200F6"/>
    <w:rsid w:val="00120230"/>
    <w:rsid w:val="0012097B"/>
    <w:rsid w:val="00120AF3"/>
    <w:rsid w:val="00120D38"/>
    <w:rsid w:val="00120D77"/>
    <w:rsid w:val="0012127B"/>
    <w:rsid w:val="00121DD4"/>
    <w:rsid w:val="00121E6A"/>
    <w:rsid w:val="00122295"/>
    <w:rsid w:val="00122536"/>
    <w:rsid w:val="00123072"/>
    <w:rsid w:val="0012332C"/>
    <w:rsid w:val="00123CF0"/>
    <w:rsid w:val="00123FE8"/>
    <w:rsid w:val="00123FFE"/>
    <w:rsid w:val="0012481C"/>
    <w:rsid w:val="00125847"/>
    <w:rsid w:val="00125B31"/>
    <w:rsid w:val="00125B77"/>
    <w:rsid w:val="00125F7E"/>
    <w:rsid w:val="001260A9"/>
    <w:rsid w:val="001272D6"/>
    <w:rsid w:val="001276B9"/>
    <w:rsid w:val="00127AD1"/>
    <w:rsid w:val="0012DDD0"/>
    <w:rsid w:val="00130423"/>
    <w:rsid w:val="001306BE"/>
    <w:rsid w:val="0013085B"/>
    <w:rsid w:val="001324EA"/>
    <w:rsid w:val="00132BF7"/>
    <w:rsid w:val="00132FBF"/>
    <w:rsid w:val="00133045"/>
    <w:rsid w:val="001331E7"/>
    <w:rsid w:val="00133C8B"/>
    <w:rsid w:val="00133E9F"/>
    <w:rsid w:val="00134136"/>
    <w:rsid w:val="00134435"/>
    <w:rsid w:val="00134613"/>
    <w:rsid w:val="00134C2E"/>
    <w:rsid w:val="00134C36"/>
    <w:rsid w:val="001351C3"/>
    <w:rsid w:val="00136648"/>
    <w:rsid w:val="00136EA5"/>
    <w:rsid w:val="0013718A"/>
    <w:rsid w:val="00137194"/>
    <w:rsid w:val="00137AEB"/>
    <w:rsid w:val="00137C04"/>
    <w:rsid w:val="00140315"/>
    <w:rsid w:val="0014040C"/>
    <w:rsid w:val="00140487"/>
    <w:rsid w:val="001411C6"/>
    <w:rsid w:val="00141310"/>
    <w:rsid w:val="00141487"/>
    <w:rsid w:val="00141C95"/>
    <w:rsid w:val="00142643"/>
    <w:rsid w:val="001427F2"/>
    <w:rsid w:val="00142BB5"/>
    <w:rsid w:val="001435D7"/>
    <w:rsid w:val="00143ACD"/>
    <w:rsid w:val="001443C5"/>
    <w:rsid w:val="00144988"/>
    <w:rsid w:val="0014518C"/>
    <w:rsid w:val="00145B48"/>
    <w:rsid w:val="001467DF"/>
    <w:rsid w:val="00146926"/>
    <w:rsid w:val="0014707B"/>
    <w:rsid w:val="001470C2"/>
    <w:rsid w:val="001474F9"/>
    <w:rsid w:val="001509AB"/>
    <w:rsid w:val="00151001"/>
    <w:rsid w:val="0015126A"/>
    <w:rsid w:val="001522F2"/>
    <w:rsid w:val="001523AA"/>
    <w:rsid w:val="00152B4D"/>
    <w:rsid w:val="00152D01"/>
    <w:rsid w:val="00153CC9"/>
    <w:rsid w:val="00153EF3"/>
    <w:rsid w:val="001549CC"/>
    <w:rsid w:val="00154A35"/>
    <w:rsid w:val="0015532B"/>
    <w:rsid w:val="001558E1"/>
    <w:rsid w:val="001573C3"/>
    <w:rsid w:val="00157B7F"/>
    <w:rsid w:val="00160067"/>
    <w:rsid w:val="0016035B"/>
    <w:rsid w:val="0016045C"/>
    <w:rsid w:val="001612B0"/>
    <w:rsid w:val="001616CA"/>
    <w:rsid w:val="00161B90"/>
    <w:rsid w:val="00161F18"/>
    <w:rsid w:val="00162797"/>
    <w:rsid w:val="00162B74"/>
    <w:rsid w:val="00162F9B"/>
    <w:rsid w:val="00162FC9"/>
    <w:rsid w:val="00163A8C"/>
    <w:rsid w:val="00163B8E"/>
    <w:rsid w:val="00164084"/>
    <w:rsid w:val="00164488"/>
    <w:rsid w:val="0016457D"/>
    <w:rsid w:val="00165A18"/>
    <w:rsid w:val="00166DC4"/>
    <w:rsid w:val="00167084"/>
    <w:rsid w:val="00167735"/>
    <w:rsid w:val="0016791F"/>
    <w:rsid w:val="001701FE"/>
    <w:rsid w:val="00170AD6"/>
    <w:rsid w:val="00171096"/>
    <w:rsid w:val="001717B2"/>
    <w:rsid w:val="00171DF6"/>
    <w:rsid w:val="00171F61"/>
    <w:rsid w:val="00172C38"/>
    <w:rsid w:val="001734F3"/>
    <w:rsid w:val="001735D5"/>
    <w:rsid w:val="00173615"/>
    <w:rsid w:val="0017362E"/>
    <w:rsid w:val="00173D56"/>
    <w:rsid w:val="0017409A"/>
    <w:rsid w:val="001742F7"/>
    <w:rsid w:val="00174B7C"/>
    <w:rsid w:val="00175CDE"/>
    <w:rsid w:val="001760EF"/>
    <w:rsid w:val="00176EC3"/>
    <w:rsid w:val="001777BF"/>
    <w:rsid w:val="00177973"/>
    <w:rsid w:val="00177F6C"/>
    <w:rsid w:val="001801D9"/>
    <w:rsid w:val="00180FCA"/>
    <w:rsid w:val="0018136B"/>
    <w:rsid w:val="001817FA"/>
    <w:rsid w:val="0018189A"/>
    <w:rsid w:val="00181D94"/>
    <w:rsid w:val="00182AA1"/>
    <w:rsid w:val="001831B9"/>
    <w:rsid w:val="001832E2"/>
    <w:rsid w:val="00183B5D"/>
    <w:rsid w:val="00183CDA"/>
    <w:rsid w:val="001840EE"/>
    <w:rsid w:val="00184439"/>
    <w:rsid w:val="00184A97"/>
    <w:rsid w:val="001850D0"/>
    <w:rsid w:val="00185E50"/>
    <w:rsid w:val="00186162"/>
    <w:rsid w:val="00186472"/>
    <w:rsid w:val="0018688C"/>
    <w:rsid w:val="00186F7E"/>
    <w:rsid w:val="00187E13"/>
    <w:rsid w:val="00190201"/>
    <w:rsid w:val="00190606"/>
    <w:rsid w:val="00190BE3"/>
    <w:rsid w:val="00190CC8"/>
    <w:rsid w:val="001915F0"/>
    <w:rsid w:val="00191A85"/>
    <w:rsid w:val="00191D46"/>
    <w:rsid w:val="0019209D"/>
    <w:rsid w:val="001922FB"/>
    <w:rsid w:val="001929F5"/>
    <w:rsid w:val="00192DE2"/>
    <w:rsid w:val="001933EA"/>
    <w:rsid w:val="001939F4"/>
    <w:rsid w:val="00193E16"/>
    <w:rsid w:val="00193FAD"/>
    <w:rsid w:val="00194C54"/>
    <w:rsid w:val="001951B4"/>
    <w:rsid w:val="00195C84"/>
    <w:rsid w:val="00195FC3"/>
    <w:rsid w:val="00196105"/>
    <w:rsid w:val="001963A8"/>
    <w:rsid w:val="001968AC"/>
    <w:rsid w:val="00197046"/>
    <w:rsid w:val="0019747F"/>
    <w:rsid w:val="0019748B"/>
    <w:rsid w:val="001978D0"/>
    <w:rsid w:val="0019E395"/>
    <w:rsid w:val="001A0344"/>
    <w:rsid w:val="001A0ECD"/>
    <w:rsid w:val="001A0F89"/>
    <w:rsid w:val="001A145E"/>
    <w:rsid w:val="001A1973"/>
    <w:rsid w:val="001A1B6C"/>
    <w:rsid w:val="001A1C05"/>
    <w:rsid w:val="001A1E20"/>
    <w:rsid w:val="001A2412"/>
    <w:rsid w:val="001A244E"/>
    <w:rsid w:val="001A2DBD"/>
    <w:rsid w:val="001A3108"/>
    <w:rsid w:val="001A31F1"/>
    <w:rsid w:val="001A3373"/>
    <w:rsid w:val="001A4BB0"/>
    <w:rsid w:val="001A518B"/>
    <w:rsid w:val="001A58BB"/>
    <w:rsid w:val="001A73CF"/>
    <w:rsid w:val="001A74A6"/>
    <w:rsid w:val="001A7511"/>
    <w:rsid w:val="001A7E19"/>
    <w:rsid w:val="001B0352"/>
    <w:rsid w:val="001B1DCA"/>
    <w:rsid w:val="001B21CD"/>
    <w:rsid w:val="001B2AA2"/>
    <w:rsid w:val="001B2F87"/>
    <w:rsid w:val="001B3420"/>
    <w:rsid w:val="001B3EDB"/>
    <w:rsid w:val="001B437B"/>
    <w:rsid w:val="001B446C"/>
    <w:rsid w:val="001B4818"/>
    <w:rsid w:val="001B4AFA"/>
    <w:rsid w:val="001B4CC6"/>
    <w:rsid w:val="001B515F"/>
    <w:rsid w:val="001B57CA"/>
    <w:rsid w:val="001B5B2B"/>
    <w:rsid w:val="001B5CE7"/>
    <w:rsid w:val="001B695E"/>
    <w:rsid w:val="001C0084"/>
    <w:rsid w:val="001C164E"/>
    <w:rsid w:val="001C1EB8"/>
    <w:rsid w:val="001C1FBB"/>
    <w:rsid w:val="001C2122"/>
    <w:rsid w:val="001C26A7"/>
    <w:rsid w:val="001C3537"/>
    <w:rsid w:val="001C37C6"/>
    <w:rsid w:val="001C57A1"/>
    <w:rsid w:val="001C62E8"/>
    <w:rsid w:val="001C6495"/>
    <w:rsid w:val="001C75BE"/>
    <w:rsid w:val="001C77D7"/>
    <w:rsid w:val="001CF05B"/>
    <w:rsid w:val="001D05CC"/>
    <w:rsid w:val="001D1246"/>
    <w:rsid w:val="001D1411"/>
    <w:rsid w:val="001D146C"/>
    <w:rsid w:val="001D1D85"/>
    <w:rsid w:val="001D2379"/>
    <w:rsid w:val="001D2433"/>
    <w:rsid w:val="001D28A9"/>
    <w:rsid w:val="001D3283"/>
    <w:rsid w:val="001D37D6"/>
    <w:rsid w:val="001D3E88"/>
    <w:rsid w:val="001D44CD"/>
    <w:rsid w:val="001D4566"/>
    <w:rsid w:val="001D484F"/>
    <w:rsid w:val="001D4E5B"/>
    <w:rsid w:val="001D57CF"/>
    <w:rsid w:val="001D5882"/>
    <w:rsid w:val="001D5C24"/>
    <w:rsid w:val="001D5DC0"/>
    <w:rsid w:val="001D5E2E"/>
    <w:rsid w:val="001D6177"/>
    <w:rsid w:val="001D61FB"/>
    <w:rsid w:val="001D64D1"/>
    <w:rsid w:val="001D663B"/>
    <w:rsid w:val="001D689E"/>
    <w:rsid w:val="001D6FF7"/>
    <w:rsid w:val="001D75B1"/>
    <w:rsid w:val="001D7927"/>
    <w:rsid w:val="001D79EB"/>
    <w:rsid w:val="001D7DC8"/>
    <w:rsid w:val="001E032E"/>
    <w:rsid w:val="001E0E0E"/>
    <w:rsid w:val="001E1195"/>
    <w:rsid w:val="001E16CA"/>
    <w:rsid w:val="001E172D"/>
    <w:rsid w:val="001E1F05"/>
    <w:rsid w:val="001E32E2"/>
    <w:rsid w:val="001E3820"/>
    <w:rsid w:val="001E3975"/>
    <w:rsid w:val="001E460F"/>
    <w:rsid w:val="001E4943"/>
    <w:rsid w:val="001E52B3"/>
    <w:rsid w:val="001E6653"/>
    <w:rsid w:val="001E68E8"/>
    <w:rsid w:val="001E7054"/>
    <w:rsid w:val="001E763C"/>
    <w:rsid w:val="001E7A20"/>
    <w:rsid w:val="001F0450"/>
    <w:rsid w:val="001F0FCE"/>
    <w:rsid w:val="001F110D"/>
    <w:rsid w:val="001F1545"/>
    <w:rsid w:val="001F1762"/>
    <w:rsid w:val="001F1855"/>
    <w:rsid w:val="001F2347"/>
    <w:rsid w:val="001F247D"/>
    <w:rsid w:val="001F3603"/>
    <w:rsid w:val="001F3795"/>
    <w:rsid w:val="001F3A86"/>
    <w:rsid w:val="001F4044"/>
    <w:rsid w:val="001F4921"/>
    <w:rsid w:val="001F55D9"/>
    <w:rsid w:val="001F5B43"/>
    <w:rsid w:val="001F67EA"/>
    <w:rsid w:val="001F67FA"/>
    <w:rsid w:val="001F6D78"/>
    <w:rsid w:val="001F6DB8"/>
    <w:rsid w:val="001F7DF1"/>
    <w:rsid w:val="00200B62"/>
    <w:rsid w:val="00200CB6"/>
    <w:rsid w:val="0020153D"/>
    <w:rsid w:val="0020182A"/>
    <w:rsid w:val="00201911"/>
    <w:rsid w:val="00201E35"/>
    <w:rsid w:val="0020245A"/>
    <w:rsid w:val="002024BB"/>
    <w:rsid w:val="00202617"/>
    <w:rsid w:val="00203039"/>
    <w:rsid w:val="002036EB"/>
    <w:rsid w:val="00203CD4"/>
    <w:rsid w:val="00204D2A"/>
    <w:rsid w:val="00205630"/>
    <w:rsid w:val="00205BAE"/>
    <w:rsid w:val="00205EC8"/>
    <w:rsid w:val="00207378"/>
    <w:rsid w:val="0021048A"/>
    <w:rsid w:val="002108B1"/>
    <w:rsid w:val="00211DBF"/>
    <w:rsid w:val="00211F3D"/>
    <w:rsid w:val="00212811"/>
    <w:rsid w:val="00212A6A"/>
    <w:rsid w:val="0021367E"/>
    <w:rsid w:val="002138BB"/>
    <w:rsid w:val="002151CD"/>
    <w:rsid w:val="002152F4"/>
    <w:rsid w:val="00215A0C"/>
    <w:rsid w:val="002161DA"/>
    <w:rsid w:val="00217524"/>
    <w:rsid w:val="0021796F"/>
    <w:rsid w:val="0022013F"/>
    <w:rsid w:val="00220456"/>
    <w:rsid w:val="002208A8"/>
    <w:rsid w:val="00221020"/>
    <w:rsid w:val="00221321"/>
    <w:rsid w:val="00221883"/>
    <w:rsid w:val="00221C2B"/>
    <w:rsid w:val="00221F33"/>
    <w:rsid w:val="0022255E"/>
    <w:rsid w:val="00222602"/>
    <w:rsid w:val="0022282C"/>
    <w:rsid w:val="00222A8C"/>
    <w:rsid w:val="00222D73"/>
    <w:rsid w:val="00222FCD"/>
    <w:rsid w:val="002231BC"/>
    <w:rsid w:val="00223E7F"/>
    <w:rsid w:val="00223F90"/>
    <w:rsid w:val="0022479C"/>
    <w:rsid w:val="00224A11"/>
    <w:rsid w:val="0022554C"/>
    <w:rsid w:val="00226073"/>
    <w:rsid w:val="002261A9"/>
    <w:rsid w:val="00226D52"/>
    <w:rsid w:val="0022708B"/>
    <w:rsid w:val="0022773B"/>
    <w:rsid w:val="00227C19"/>
    <w:rsid w:val="0023005D"/>
    <w:rsid w:val="002304A0"/>
    <w:rsid w:val="0023054E"/>
    <w:rsid w:val="002308C6"/>
    <w:rsid w:val="00231161"/>
    <w:rsid w:val="00231858"/>
    <w:rsid w:val="00232413"/>
    <w:rsid w:val="00232799"/>
    <w:rsid w:val="002329F5"/>
    <w:rsid w:val="0023329B"/>
    <w:rsid w:val="00233710"/>
    <w:rsid w:val="002340BA"/>
    <w:rsid w:val="002347C7"/>
    <w:rsid w:val="00234F0E"/>
    <w:rsid w:val="002362E6"/>
    <w:rsid w:val="00236445"/>
    <w:rsid w:val="002372B7"/>
    <w:rsid w:val="002379B9"/>
    <w:rsid w:val="00237C31"/>
    <w:rsid w:val="00237E55"/>
    <w:rsid w:val="0024026F"/>
    <w:rsid w:val="00240526"/>
    <w:rsid w:val="002406DC"/>
    <w:rsid w:val="00240A83"/>
    <w:rsid w:val="00240AC5"/>
    <w:rsid w:val="00240BA5"/>
    <w:rsid w:val="00240EC8"/>
    <w:rsid w:val="00240F79"/>
    <w:rsid w:val="0024162D"/>
    <w:rsid w:val="00242A84"/>
    <w:rsid w:val="002430C0"/>
    <w:rsid w:val="00243908"/>
    <w:rsid w:val="002439CC"/>
    <w:rsid w:val="00243BBC"/>
    <w:rsid w:val="0024412A"/>
    <w:rsid w:val="00245339"/>
    <w:rsid w:val="00245486"/>
    <w:rsid w:val="00245ACE"/>
    <w:rsid w:val="00246204"/>
    <w:rsid w:val="00246269"/>
    <w:rsid w:val="002474EF"/>
    <w:rsid w:val="00247D47"/>
    <w:rsid w:val="00251166"/>
    <w:rsid w:val="0025348A"/>
    <w:rsid w:val="00253669"/>
    <w:rsid w:val="00253C35"/>
    <w:rsid w:val="00253E6F"/>
    <w:rsid w:val="00253F07"/>
    <w:rsid w:val="00254C6F"/>
    <w:rsid w:val="0025544E"/>
    <w:rsid w:val="002557A8"/>
    <w:rsid w:val="00255C09"/>
    <w:rsid w:val="00255FDD"/>
    <w:rsid w:val="002560A7"/>
    <w:rsid w:val="00256164"/>
    <w:rsid w:val="00260088"/>
    <w:rsid w:val="0026049B"/>
    <w:rsid w:val="00260BBF"/>
    <w:rsid w:val="00260EC6"/>
    <w:rsid w:val="0026109F"/>
    <w:rsid w:val="00261340"/>
    <w:rsid w:val="002614F6"/>
    <w:rsid w:val="0026175D"/>
    <w:rsid w:val="002625A4"/>
    <w:rsid w:val="0026307C"/>
    <w:rsid w:val="00263154"/>
    <w:rsid w:val="00264378"/>
    <w:rsid w:val="00265284"/>
    <w:rsid w:val="002654FA"/>
    <w:rsid w:val="0026551A"/>
    <w:rsid w:val="002658D0"/>
    <w:rsid w:val="0026611F"/>
    <w:rsid w:val="00266571"/>
    <w:rsid w:val="0026671C"/>
    <w:rsid w:val="00266A72"/>
    <w:rsid w:val="00266AAB"/>
    <w:rsid w:val="00266D6D"/>
    <w:rsid w:val="0026709B"/>
    <w:rsid w:val="00267297"/>
    <w:rsid w:val="00267323"/>
    <w:rsid w:val="002702DF"/>
    <w:rsid w:val="002707A4"/>
    <w:rsid w:val="00270AEF"/>
    <w:rsid w:val="0027263B"/>
    <w:rsid w:val="002727E3"/>
    <w:rsid w:val="00273219"/>
    <w:rsid w:val="0027346C"/>
    <w:rsid w:val="0027398D"/>
    <w:rsid w:val="00273FFE"/>
    <w:rsid w:val="00274254"/>
    <w:rsid w:val="00274E5F"/>
    <w:rsid w:val="002755AC"/>
    <w:rsid w:val="002757A8"/>
    <w:rsid w:val="00275B2B"/>
    <w:rsid w:val="00275B55"/>
    <w:rsid w:val="0027678C"/>
    <w:rsid w:val="002768FC"/>
    <w:rsid w:val="00280368"/>
    <w:rsid w:val="002805E4"/>
    <w:rsid w:val="00280B0D"/>
    <w:rsid w:val="00281899"/>
    <w:rsid w:val="002819B0"/>
    <w:rsid w:val="00281E41"/>
    <w:rsid w:val="0028237D"/>
    <w:rsid w:val="002825A8"/>
    <w:rsid w:val="00282C17"/>
    <w:rsid w:val="00283D56"/>
    <w:rsid w:val="002848DE"/>
    <w:rsid w:val="00284BED"/>
    <w:rsid w:val="00284FB3"/>
    <w:rsid w:val="002850A3"/>
    <w:rsid w:val="00286C2B"/>
    <w:rsid w:val="00286CC9"/>
    <w:rsid w:val="0028705C"/>
    <w:rsid w:val="0028749D"/>
    <w:rsid w:val="00287C19"/>
    <w:rsid w:val="00287E68"/>
    <w:rsid w:val="002891E1"/>
    <w:rsid w:val="0029047A"/>
    <w:rsid w:val="00290CEA"/>
    <w:rsid w:val="00290EFC"/>
    <w:rsid w:val="00291695"/>
    <w:rsid w:val="0029196F"/>
    <w:rsid w:val="00291B60"/>
    <w:rsid w:val="00292535"/>
    <w:rsid w:val="00292715"/>
    <w:rsid w:val="00292D21"/>
    <w:rsid w:val="0029315A"/>
    <w:rsid w:val="00293630"/>
    <w:rsid w:val="00293976"/>
    <w:rsid w:val="00293E56"/>
    <w:rsid w:val="002947CF"/>
    <w:rsid w:val="00294F4F"/>
    <w:rsid w:val="00294FD0"/>
    <w:rsid w:val="002951AA"/>
    <w:rsid w:val="002952D0"/>
    <w:rsid w:val="00295AFE"/>
    <w:rsid w:val="00295C00"/>
    <w:rsid w:val="00296B5E"/>
    <w:rsid w:val="002978CF"/>
    <w:rsid w:val="002979E2"/>
    <w:rsid w:val="00297C7E"/>
    <w:rsid w:val="002A08B3"/>
    <w:rsid w:val="002A0EED"/>
    <w:rsid w:val="002A1164"/>
    <w:rsid w:val="002A12E7"/>
    <w:rsid w:val="002A1E0B"/>
    <w:rsid w:val="002A24A7"/>
    <w:rsid w:val="002A2502"/>
    <w:rsid w:val="002A2687"/>
    <w:rsid w:val="002A3072"/>
    <w:rsid w:val="002A30AA"/>
    <w:rsid w:val="002A34AA"/>
    <w:rsid w:val="002A3832"/>
    <w:rsid w:val="002A4384"/>
    <w:rsid w:val="002A4AE4"/>
    <w:rsid w:val="002A4C05"/>
    <w:rsid w:val="002A4C87"/>
    <w:rsid w:val="002A4FE3"/>
    <w:rsid w:val="002A551F"/>
    <w:rsid w:val="002A6B8D"/>
    <w:rsid w:val="002A6FA7"/>
    <w:rsid w:val="002A70BC"/>
    <w:rsid w:val="002A7CA3"/>
    <w:rsid w:val="002B12DD"/>
    <w:rsid w:val="002B1392"/>
    <w:rsid w:val="002B1C73"/>
    <w:rsid w:val="002B291B"/>
    <w:rsid w:val="002B2DED"/>
    <w:rsid w:val="002B2E9F"/>
    <w:rsid w:val="002B2ECB"/>
    <w:rsid w:val="002B33E4"/>
    <w:rsid w:val="002B3874"/>
    <w:rsid w:val="002B3C4A"/>
    <w:rsid w:val="002B3E9C"/>
    <w:rsid w:val="002B494C"/>
    <w:rsid w:val="002B53BC"/>
    <w:rsid w:val="002B6779"/>
    <w:rsid w:val="002B6B92"/>
    <w:rsid w:val="002B6D7C"/>
    <w:rsid w:val="002B702F"/>
    <w:rsid w:val="002B71A1"/>
    <w:rsid w:val="002B72B9"/>
    <w:rsid w:val="002B757B"/>
    <w:rsid w:val="002B7A83"/>
    <w:rsid w:val="002C020C"/>
    <w:rsid w:val="002C080E"/>
    <w:rsid w:val="002C0825"/>
    <w:rsid w:val="002C0B8B"/>
    <w:rsid w:val="002C1374"/>
    <w:rsid w:val="002C165E"/>
    <w:rsid w:val="002C1B04"/>
    <w:rsid w:val="002C1D98"/>
    <w:rsid w:val="002C27AA"/>
    <w:rsid w:val="002C35F6"/>
    <w:rsid w:val="002C3CC3"/>
    <w:rsid w:val="002C3FA4"/>
    <w:rsid w:val="002C4B40"/>
    <w:rsid w:val="002C553C"/>
    <w:rsid w:val="002C5643"/>
    <w:rsid w:val="002C6D50"/>
    <w:rsid w:val="002C72E7"/>
    <w:rsid w:val="002C7F51"/>
    <w:rsid w:val="002D02A8"/>
    <w:rsid w:val="002D038C"/>
    <w:rsid w:val="002D2410"/>
    <w:rsid w:val="002D2A8B"/>
    <w:rsid w:val="002D2DBD"/>
    <w:rsid w:val="002D34E9"/>
    <w:rsid w:val="002D3A9A"/>
    <w:rsid w:val="002D5696"/>
    <w:rsid w:val="002D6668"/>
    <w:rsid w:val="002D6CE4"/>
    <w:rsid w:val="002D6DA4"/>
    <w:rsid w:val="002D7355"/>
    <w:rsid w:val="002D75C0"/>
    <w:rsid w:val="002D7B60"/>
    <w:rsid w:val="002D8EC1"/>
    <w:rsid w:val="002E060E"/>
    <w:rsid w:val="002E164C"/>
    <w:rsid w:val="002E3314"/>
    <w:rsid w:val="002E3675"/>
    <w:rsid w:val="002E3A3B"/>
    <w:rsid w:val="002E3FF4"/>
    <w:rsid w:val="002E43D6"/>
    <w:rsid w:val="002E4415"/>
    <w:rsid w:val="002E4A76"/>
    <w:rsid w:val="002E507A"/>
    <w:rsid w:val="002E5981"/>
    <w:rsid w:val="002E615D"/>
    <w:rsid w:val="002E65EB"/>
    <w:rsid w:val="002E6E63"/>
    <w:rsid w:val="002E71B3"/>
    <w:rsid w:val="002E7362"/>
    <w:rsid w:val="002E7554"/>
    <w:rsid w:val="002E7A7A"/>
    <w:rsid w:val="002E7D48"/>
    <w:rsid w:val="002F009C"/>
    <w:rsid w:val="002F06FB"/>
    <w:rsid w:val="002F0BB5"/>
    <w:rsid w:val="002F0CCE"/>
    <w:rsid w:val="002F0D74"/>
    <w:rsid w:val="002F0E66"/>
    <w:rsid w:val="002F12C7"/>
    <w:rsid w:val="002F17D8"/>
    <w:rsid w:val="002F2058"/>
    <w:rsid w:val="002F2296"/>
    <w:rsid w:val="002F29C4"/>
    <w:rsid w:val="002F39A2"/>
    <w:rsid w:val="002F3C77"/>
    <w:rsid w:val="002F3F7F"/>
    <w:rsid w:val="002F40C4"/>
    <w:rsid w:val="002F4226"/>
    <w:rsid w:val="002F4947"/>
    <w:rsid w:val="002F496E"/>
    <w:rsid w:val="002F5008"/>
    <w:rsid w:val="002F5D92"/>
    <w:rsid w:val="002F6889"/>
    <w:rsid w:val="002F6F32"/>
    <w:rsid w:val="002F72DE"/>
    <w:rsid w:val="0030091E"/>
    <w:rsid w:val="00300DF8"/>
    <w:rsid w:val="00301330"/>
    <w:rsid w:val="003021E0"/>
    <w:rsid w:val="003028C4"/>
    <w:rsid w:val="00302A05"/>
    <w:rsid w:val="00302FCB"/>
    <w:rsid w:val="0030346B"/>
    <w:rsid w:val="0030349E"/>
    <w:rsid w:val="003036A8"/>
    <w:rsid w:val="00303EA3"/>
    <w:rsid w:val="00303F0B"/>
    <w:rsid w:val="0030420B"/>
    <w:rsid w:val="003042B5"/>
    <w:rsid w:val="0030497E"/>
    <w:rsid w:val="00304D73"/>
    <w:rsid w:val="00305D1C"/>
    <w:rsid w:val="00306467"/>
    <w:rsid w:val="00307AC2"/>
    <w:rsid w:val="00307BA4"/>
    <w:rsid w:val="00307F84"/>
    <w:rsid w:val="00310824"/>
    <w:rsid w:val="00310E11"/>
    <w:rsid w:val="0031151F"/>
    <w:rsid w:val="00311EFE"/>
    <w:rsid w:val="003131F7"/>
    <w:rsid w:val="00313455"/>
    <w:rsid w:val="003137AC"/>
    <w:rsid w:val="00314251"/>
    <w:rsid w:val="003144C5"/>
    <w:rsid w:val="00315701"/>
    <w:rsid w:val="00317D76"/>
    <w:rsid w:val="003203FB"/>
    <w:rsid w:val="00320C76"/>
    <w:rsid w:val="00321208"/>
    <w:rsid w:val="0032173C"/>
    <w:rsid w:val="00321839"/>
    <w:rsid w:val="003223D5"/>
    <w:rsid w:val="0032263E"/>
    <w:rsid w:val="00322C88"/>
    <w:rsid w:val="00323342"/>
    <w:rsid w:val="0032362B"/>
    <w:rsid w:val="0032384F"/>
    <w:rsid w:val="00323AAB"/>
    <w:rsid w:val="00324111"/>
    <w:rsid w:val="003243B0"/>
    <w:rsid w:val="0032485E"/>
    <w:rsid w:val="00324861"/>
    <w:rsid w:val="0032491D"/>
    <w:rsid w:val="00324E3A"/>
    <w:rsid w:val="00325168"/>
    <w:rsid w:val="00325204"/>
    <w:rsid w:val="003272E1"/>
    <w:rsid w:val="00327D20"/>
    <w:rsid w:val="00327D86"/>
    <w:rsid w:val="0032B289"/>
    <w:rsid w:val="00330240"/>
    <w:rsid w:val="003308A0"/>
    <w:rsid w:val="00330FFF"/>
    <w:rsid w:val="00331386"/>
    <w:rsid w:val="0033173F"/>
    <w:rsid w:val="00331DC8"/>
    <w:rsid w:val="00331E81"/>
    <w:rsid w:val="003324D8"/>
    <w:rsid w:val="00332522"/>
    <w:rsid w:val="0033367C"/>
    <w:rsid w:val="00333900"/>
    <w:rsid w:val="00334B75"/>
    <w:rsid w:val="00334C76"/>
    <w:rsid w:val="00336097"/>
    <w:rsid w:val="00336D57"/>
    <w:rsid w:val="003375D2"/>
    <w:rsid w:val="00337ADD"/>
    <w:rsid w:val="003403D3"/>
    <w:rsid w:val="003411DF"/>
    <w:rsid w:val="0034186D"/>
    <w:rsid w:val="00341DFA"/>
    <w:rsid w:val="00343D19"/>
    <w:rsid w:val="00343F4C"/>
    <w:rsid w:val="0034409E"/>
    <w:rsid w:val="0034430F"/>
    <w:rsid w:val="00344D0C"/>
    <w:rsid w:val="0034522D"/>
    <w:rsid w:val="00345821"/>
    <w:rsid w:val="00345D9F"/>
    <w:rsid w:val="00346995"/>
    <w:rsid w:val="003470DA"/>
    <w:rsid w:val="00347294"/>
    <w:rsid w:val="00347522"/>
    <w:rsid w:val="003475EE"/>
    <w:rsid w:val="003478E4"/>
    <w:rsid w:val="003501F8"/>
    <w:rsid w:val="00350294"/>
    <w:rsid w:val="00351059"/>
    <w:rsid w:val="00351069"/>
    <w:rsid w:val="00351954"/>
    <w:rsid w:val="00351BFE"/>
    <w:rsid w:val="00351EDD"/>
    <w:rsid w:val="00351FFE"/>
    <w:rsid w:val="003521AB"/>
    <w:rsid w:val="00352726"/>
    <w:rsid w:val="003534D8"/>
    <w:rsid w:val="0035382E"/>
    <w:rsid w:val="00353DDB"/>
    <w:rsid w:val="0035484A"/>
    <w:rsid w:val="00354B22"/>
    <w:rsid w:val="00354C4A"/>
    <w:rsid w:val="00354F22"/>
    <w:rsid w:val="00354FB1"/>
    <w:rsid w:val="00355922"/>
    <w:rsid w:val="003563FC"/>
    <w:rsid w:val="0035667E"/>
    <w:rsid w:val="0035676A"/>
    <w:rsid w:val="00356C00"/>
    <w:rsid w:val="00356D0E"/>
    <w:rsid w:val="00360ABA"/>
    <w:rsid w:val="00361363"/>
    <w:rsid w:val="00361521"/>
    <w:rsid w:val="00362244"/>
    <w:rsid w:val="00362A8C"/>
    <w:rsid w:val="00363FEA"/>
    <w:rsid w:val="00364139"/>
    <w:rsid w:val="003644AE"/>
    <w:rsid w:val="00364E6F"/>
    <w:rsid w:val="003658FC"/>
    <w:rsid w:val="0036631D"/>
    <w:rsid w:val="003664E6"/>
    <w:rsid w:val="0036692F"/>
    <w:rsid w:val="003673F9"/>
    <w:rsid w:val="00367518"/>
    <w:rsid w:val="00367B85"/>
    <w:rsid w:val="00367D00"/>
    <w:rsid w:val="00367DA2"/>
    <w:rsid w:val="00370908"/>
    <w:rsid w:val="003711A2"/>
    <w:rsid w:val="00372262"/>
    <w:rsid w:val="00372E5C"/>
    <w:rsid w:val="00373791"/>
    <w:rsid w:val="00373AE2"/>
    <w:rsid w:val="0037434B"/>
    <w:rsid w:val="003746C3"/>
    <w:rsid w:val="00374DB8"/>
    <w:rsid w:val="00375609"/>
    <w:rsid w:val="0037591F"/>
    <w:rsid w:val="00375C4D"/>
    <w:rsid w:val="003766CB"/>
    <w:rsid w:val="0037695F"/>
    <w:rsid w:val="00376DF2"/>
    <w:rsid w:val="0037705B"/>
    <w:rsid w:val="003778D5"/>
    <w:rsid w:val="00377B44"/>
    <w:rsid w:val="00377DC9"/>
    <w:rsid w:val="00380D5A"/>
    <w:rsid w:val="0038113D"/>
    <w:rsid w:val="00382991"/>
    <w:rsid w:val="00382D9D"/>
    <w:rsid w:val="00382EBA"/>
    <w:rsid w:val="00383B8B"/>
    <w:rsid w:val="003842BD"/>
    <w:rsid w:val="00384812"/>
    <w:rsid w:val="00385404"/>
    <w:rsid w:val="00385624"/>
    <w:rsid w:val="00386B5F"/>
    <w:rsid w:val="00387134"/>
    <w:rsid w:val="0038746B"/>
    <w:rsid w:val="003874DA"/>
    <w:rsid w:val="00387874"/>
    <w:rsid w:val="0038BF7E"/>
    <w:rsid w:val="00390AF4"/>
    <w:rsid w:val="0039109E"/>
    <w:rsid w:val="003919C6"/>
    <w:rsid w:val="00391BAB"/>
    <w:rsid w:val="00391F32"/>
    <w:rsid w:val="0039282B"/>
    <w:rsid w:val="00392F65"/>
    <w:rsid w:val="0039331C"/>
    <w:rsid w:val="003933ED"/>
    <w:rsid w:val="003935F6"/>
    <w:rsid w:val="00393E17"/>
    <w:rsid w:val="0039426C"/>
    <w:rsid w:val="003943F7"/>
    <w:rsid w:val="00394460"/>
    <w:rsid w:val="00394FC5"/>
    <w:rsid w:val="00394FE6"/>
    <w:rsid w:val="003955D5"/>
    <w:rsid w:val="0039569D"/>
    <w:rsid w:val="00395A73"/>
    <w:rsid w:val="00395B67"/>
    <w:rsid w:val="00396947"/>
    <w:rsid w:val="003A09EE"/>
    <w:rsid w:val="003A162B"/>
    <w:rsid w:val="003A2C9A"/>
    <w:rsid w:val="003A2D5C"/>
    <w:rsid w:val="003A3179"/>
    <w:rsid w:val="003A37F0"/>
    <w:rsid w:val="003A3C23"/>
    <w:rsid w:val="003A3E1F"/>
    <w:rsid w:val="003A453F"/>
    <w:rsid w:val="003A574E"/>
    <w:rsid w:val="003A63B3"/>
    <w:rsid w:val="003A7085"/>
    <w:rsid w:val="003A743A"/>
    <w:rsid w:val="003A7491"/>
    <w:rsid w:val="003A75A8"/>
    <w:rsid w:val="003B092C"/>
    <w:rsid w:val="003B0C76"/>
    <w:rsid w:val="003B13F8"/>
    <w:rsid w:val="003B1B48"/>
    <w:rsid w:val="003B2118"/>
    <w:rsid w:val="003B3C48"/>
    <w:rsid w:val="003B4254"/>
    <w:rsid w:val="003B4304"/>
    <w:rsid w:val="003B4514"/>
    <w:rsid w:val="003B5979"/>
    <w:rsid w:val="003B5E42"/>
    <w:rsid w:val="003B6789"/>
    <w:rsid w:val="003B72E2"/>
    <w:rsid w:val="003B72ED"/>
    <w:rsid w:val="003B7831"/>
    <w:rsid w:val="003B7CB1"/>
    <w:rsid w:val="003C0358"/>
    <w:rsid w:val="003C0454"/>
    <w:rsid w:val="003C0976"/>
    <w:rsid w:val="003C0F02"/>
    <w:rsid w:val="003C2A99"/>
    <w:rsid w:val="003C358F"/>
    <w:rsid w:val="003C3782"/>
    <w:rsid w:val="003C436C"/>
    <w:rsid w:val="003C4F2D"/>
    <w:rsid w:val="003C57F5"/>
    <w:rsid w:val="003C58EC"/>
    <w:rsid w:val="003C5F26"/>
    <w:rsid w:val="003C6F68"/>
    <w:rsid w:val="003C6F91"/>
    <w:rsid w:val="003C7660"/>
    <w:rsid w:val="003C7C9C"/>
    <w:rsid w:val="003C7F4F"/>
    <w:rsid w:val="003D0ED1"/>
    <w:rsid w:val="003D1072"/>
    <w:rsid w:val="003D1BFF"/>
    <w:rsid w:val="003D287C"/>
    <w:rsid w:val="003D391E"/>
    <w:rsid w:val="003D391F"/>
    <w:rsid w:val="003D3999"/>
    <w:rsid w:val="003D3F16"/>
    <w:rsid w:val="003D4BE0"/>
    <w:rsid w:val="003D5C49"/>
    <w:rsid w:val="003D7134"/>
    <w:rsid w:val="003D7A7F"/>
    <w:rsid w:val="003D7CF2"/>
    <w:rsid w:val="003E0811"/>
    <w:rsid w:val="003E1371"/>
    <w:rsid w:val="003E1795"/>
    <w:rsid w:val="003E232F"/>
    <w:rsid w:val="003E23B4"/>
    <w:rsid w:val="003E27E8"/>
    <w:rsid w:val="003E2A75"/>
    <w:rsid w:val="003E2C7E"/>
    <w:rsid w:val="003E3922"/>
    <w:rsid w:val="003E44F4"/>
    <w:rsid w:val="003E45DF"/>
    <w:rsid w:val="003E4CB8"/>
    <w:rsid w:val="003E5358"/>
    <w:rsid w:val="003E551A"/>
    <w:rsid w:val="003E597C"/>
    <w:rsid w:val="003E5EF9"/>
    <w:rsid w:val="003E63D7"/>
    <w:rsid w:val="003E64BB"/>
    <w:rsid w:val="003F0057"/>
    <w:rsid w:val="003F0938"/>
    <w:rsid w:val="003F0F31"/>
    <w:rsid w:val="003F13A6"/>
    <w:rsid w:val="003F211B"/>
    <w:rsid w:val="003F2355"/>
    <w:rsid w:val="003F2B45"/>
    <w:rsid w:val="003F2DCE"/>
    <w:rsid w:val="003F369E"/>
    <w:rsid w:val="003F386C"/>
    <w:rsid w:val="003F3965"/>
    <w:rsid w:val="003F3E6C"/>
    <w:rsid w:val="003F414E"/>
    <w:rsid w:val="003F47FD"/>
    <w:rsid w:val="003F50CF"/>
    <w:rsid w:val="003F5604"/>
    <w:rsid w:val="003F61EB"/>
    <w:rsid w:val="003F640A"/>
    <w:rsid w:val="003F6E65"/>
    <w:rsid w:val="003F762E"/>
    <w:rsid w:val="003F7ECD"/>
    <w:rsid w:val="003F7FDA"/>
    <w:rsid w:val="0040063B"/>
    <w:rsid w:val="00400C1D"/>
    <w:rsid w:val="00400E7E"/>
    <w:rsid w:val="00401128"/>
    <w:rsid w:val="00401458"/>
    <w:rsid w:val="00401CCC"/>
    <w:rsid w:val="00401D4B"/>
    <w:rsid w:val="00401DDB"/>
    <w:rsid w:val="00402655"/>
    <w:rsid w:val="004027E9"/>
    <w:rsid w:val="004035BA"/>
    <w:rsid w:val="00403B74"/>
    <w:rsid w:val="00403FB5"/>
    <w:rsid w:val="004053B1"/>
    <w:rsid w:val="00405927"/>
    <w:rsid w:val="0040597C"/>
    <w:rsid w:val="00405C90"/>
    <w:rsid w:val="00405ECD"/>
    <w:rsid w:val="00406E20"/>
    <w:rsid w:val="0040721B"/>
    <w:rsid w:val="00407239"/>
    <w:rsid w:val="004074D2"/>
    <w:rsid w:val="004077CB"/>
    <w:rsid w:val="00407D88"/>
    <w:rsid w:val="00407E1E"/>
    <w:rsid w:val="00410B62"/>
    <w:rsid w:val="0041102C"/>
    <w:rsid w:val="00411CB7"/>
    <w:rsid w:val="00412279"/>
    <w:rsid w:val="00414A50"/>
    <w:rsid w:val="004166DE"/>
    <w:rsid w:val="004167A1"/>
    <w:rsid w:val="0041691B"/>
    <w:rsid w:val="00416CC7"/>
    <w:rsid w:val="004217A0"/>
    <w:rsid w:val="00421FEB"/>
    <w:rsid w:val="004224F5"/>
    <w:rsid w:val="004225A0"/>
    <w:rsid w:val="0042273E"/>
    <w:rsid w:val="00422A6C"/>
    <w:rsid w:val="00423820"/>
    <w:rsid w:val="0042478D"/>
    <w:rsid w:val="004247F6"/>
    <w:rsid w:val="00424C1C"/>
    <w:rsid w:val="00425369"/>
    <w:rsid w:val="004256B2"/>
    <w:rsid w:val="00425901"/>
    <w:rsid w:val="00426B59"/>
    <w:rsid w:val="00426EC7"/>
    <w:rsid w:val="00427366"/>
    <w:rsid w:val="00430B66"/>
    <w:rsid w:val="00430C99"/>
    <w:rsid w:val="00432F49"/>
    <w:rsid w:val="004334BB"/>
    <w:rsid w:val="0043419D"/>
    <w:rsid w:val="00434A5B"/>
    <w:rsid w:val="00434B14"/>
    <w:rsid w:val="00434FE6"/>
    <w:rsid w:val="004351D7"/>
    <w:rsid w:val="0043524B"/>
    <w:rsid w:val="004352F7"/>
    <w:rsid w:val="00435BC8"/>
    <w:rsid w:val="00435DF4"/>
    <w:rsid w:val="004366AF"/>
    <w:rsid w:val="004368E7"/>
    <w:rsid w:val="00437041"/>
    <w:rsid w:val="004372CF"/>
    <w:rsid w:val="004375BA"/>
    <w:rsid w:val="00437839"/>
    <w:rsid w:val="00437DE2"/>
    <w:rsid w:val="00437EC1"/>
    <w:rsid w:val="00440CAA"/>
    <w:rsid w:val="00440CE9"/>
    <w:rsid w:val="004416D8"/>
    <w:rsid w:val="00441F78"/>
    <w:rsid w:val="00441FD2"/>
    <w:rsid w:val="00442330"/>
    <w:rsid w:val="0044265E"/>
    <w:rsid w:val="00442AF2"/>
    <w:rsid w:val="00442D28"/>
    <w:rsid w:val="00442E9E"/>
    <w:rsid w:val="00443939"/>
    <w:rsid w:val="00444839"/>
    <w:rsid w:val="00444F53"/>
    <w:rsid w:val="00444FCF"/>
    <w:rsid w:val="004450A4"/>
    <w:rsid w:val="004460B0"/>
    <w:rsid w:val="004463EC"/>
    <w:rsid w:val="00446884"/>
    <w:rsid w:val="00446B51"/>
    <w:rsid w:val="004475B0"/>
    <w:rsid w:val="0044775D"/>
    <w:rsid w:val="00450151"/>
    <w:rsid w:val="004503B7"/>
    <w:rsid w:val="00450A67"/>
    <w:rsid w:val="00451B9F"/>
    <w:rsid w:val="00451ECC"/>
    <w:rsid w:val="004524A5"/>
    <w:rsid w:val="0045329A"/>
    <w:rsid w:val="0045383B"/>
    <w:rsid w:val="00453CFC"/>
    <w:rsid w:val="00454469"/>
    <w:rsid w:val="00455DCD"/>
    <w:rsid w:val="00456BF5"/>
    <w:rsid w:val="0045788A"/>
    <w:rsid w:val="004603D8"/>
    <w:rsid w:val="00460832"/>
    <w:rsid w:val="004610CA"/>
    <w:rsid w:val="00461112"/>
    <w:rsid w:val="004611BE"/>
    <w:rsid w:val="0046187D"/>
    <w:rsid w:val="00461918"/>
    <w:rsid w:val="0046281C"/>
    <w:rsid w:val="0046287B"/>
    <w:rsid w:val="00463760"/>
    <w:rsid w:val="00463DB1"/>
    <w:rsid w:val="00463F19"/>
    <w:rsid w:val="00465349"/>
    <w:rsid w:val="004653D2"/>
    <w:rsid w:val="00465AEA"/>
    <w:rsid w:val="00465CAA"/>
    <w:rsid w:val="0046695F"/>
    <w:rsid w:val="004679D5"/>
    <w:rsid w:val="00467F68"/>
    <w:rsid w:val="0046AFC9"/>
    <w:rsid w:val="004700A4"/>
    <w:rsid w:val="004708D7"/>
    <w:rsid w:val="004709AC"/>
    <w:rsid w:val="004720EC"/>
    <w:rsid w:val="00472411"/>
    <w:rsid w:val="00472501"/>
    <w:rsid w:val="004727A4"/>
    <w:rsid w:val="00472A65"/>
    <w:rsid w:val="00474498"/>
    <w:rsid w:val="00474F8A"/>
    <w:rsid w:val="00475824"/>
    <w:rsid w:val="004760C1"/>
    <w:rsid w:val="00476489"/>
    <w:rsid w:val="00476509"/>
    <w:rsid w:val="0047688B"/>
    <w:rsid w:val="004772C9"/>
    <w:rsid w:val="0048014B"/>
    <w:rsid w:val="00480D83"/>
    <w:rsid w:val="00480E3D"/>
    <w:rsid w:val="004810A9"/>
    <w:rsid w:val="00481281"/>
    <w:rsid w:val="00481716"/>
    <w:rsid w:val="00481AB9"/>
    <w:rsid w:val="00482395"/>
    <w:rsid w:val="004827A2"/>
    <w:rsid w:val="00482E6E"/>
    <w:rsid w:val="004843DF"/>
    <w:rsid w:val="00484922"/>
    <w:rsid w:val="00484DBC"/>
    <w:rsid w:val="004854D4"/>
    <w:rsid w:val="00485760"/>
    <w:rsid w:val="0048596C"/>
    <w:rsid w:val="00485BCF"/>
    <w:rsid w:val="00486675"/>
    <w:rsid w:val="00490747"/>
    <w:rsid w:val="00490D77"/>
    <w:rsid w:val="00491186"/>
    <w:rsid w:val="004914AC"/>
    <w:rsid w:val="00492518"/>
    <w:rsid w:val="00492821"/>
    <w:rsid w:val="00492DFB"/>
    <w:rsid w:val="0049436C"/>
    <w:rsid w:val="0049451F"/>
    <w:rsid w:val="00494712"/>
    <w:rsid w:val="00495413"/>
    <w:rsid w:val="00495AB0"/>
    <w:rsid w:val="00495CE1"/>
    <w:rsid w:val="00496463"/>
    <w:rsid w:val="00496F77"/>
    <w:rsid w:val="0049750D"/>
    <w:rsid w:val="00497B00"/>
    <w:rsid w:val="004A0D10"/>
    <w:rsid w:val="004A1639"/>
    <w:rsid w:val="004A16D7"/>
    <w:rsid w:val="004A1947"/>
    <w:rsid w:val="004A1B96"/>
    <w:rsid w:val="004A21DB"/>
    <w:rsid w:val="004A2880"/>
    <w:rsid w:val="004A2918"/>
    <w:rsid w:val="004A312F"/>
    <w:rsid w:val="004A3249"/>
    <w:rsid w:val="004A45EE"/>
    <w:rsid w:val="004A4638"/>
    <w:rsid w:val="004A4814"/>
    <w:rsid w:val="004A4899"/>
    <w:rsid w:val="004A615C"/>
    <w:rsid w:val="004A6429"/>
    <w:rsid w:val="004A64F9"/>
    <w:rsid w:val="004A6F5E"/>
    <w:rsid w:val="004A707C"/>
    <w:rsid w:val="004A7699"/>
    <w:rsid w:val="004A772A"/>
    <w:rsid w:val="004B0724"/>
    <w:rsid w:val="004B0915"/>
    <w:rsid w:val="004B094F"/>
    <w:rsid w:val="004B0ACA"/>
    <w:rsid w:val="004B0C5F"/>
    <w:rsid w:val="004B1629"/>
    <w:rsid w:val="004B22CC"/>
    <w:rsid w:val="004B24CB"/>
    <w:rsid w:val="004B3203"/>
    <w:rsid w:val="004B3556"/>
    <w:rsid w:val="004B3FB4"/>
    <w:rsid w:val="004B44D9"/>
    <w:rsid w:val="004B4667"/>
    <w:rsid w:val="004B475E"/>
    <w:rsid w:val="004B4BD8"/>
    <w:rsid w:val="004B4E75"/>
    <w:rsid w:val="004B5207"/>
    <w:rsid w:val="004B5E31"/>
    <w:rsid w:val="004B6021"/>
    <w:rsid w:val="004B6212"/>
    <w:rsid w:val="004B691B"/>
    <w:rsid w:val="004B7446"/>
    <w:rsid w:val="004B7BD7"/>
    <w:rsid w:val="004C0190"/>
    <w:rsid w:val="004C0672"/>
    <w:rsid w:val="004C10EA"/>
    <w:rsid w:val="004C18E4"/>
    <w:rsid w:val="004C2236"/>
    <w:rsid w:val="004C24CD"/>
    <w:rsid w:val="004C26B5"/>
    <w:rsid w:val="004C27D3"/>
    <w:rsid w:val="004C37D0"/>
    <w:rsid w:val="004C4211"/>
    <w:rsid w:val="004C4AC5"/>
    <w:rsid w:val="004C529A"/>
    <w:rsid w:val="004C56F2"/>
    <w:rsid w:val="004C59DE"/>
    <w:rsid w:val="004C5A7C"/>
    <w:rsid w:val="004C61FD"/>
    <w:rsid w:val="004C68A1"/>
    <w:rsid w:val="004C6A1A"/>
    <w:rsid w:val="004C72D8"/>
    <w:rsid w:val="004C72F7"/>
    <w:rsid w:val="004C753C"/>
    <w:rsid w:val="004C75F7"/>
    <w:rsid w:val="004D09B4"/>
    <w:rsid w:val="004D0BE0"/>
    <w:rsid w:val="004D1581"/>
    <w:rsid w:val="004D17FE"/>
    <w:rsid w:val="004D18DE"/>
    <w:rsid w:val="004D22EA"/>
    <w:rsid w:val="004D26A6"/>
    <w:rsid w:val="004D2DF5"/>
    <w:rsid w:val="004D2E6B"/>
    <w:rsid w:val="004D31BE"/>
    <w:rsid w:val="004D3419"/>
    <w:rsid w:val="004D476A"/>
    <w:rsid w:val="004D4F55"/>
    <w:rsid w:val="004D5A76"/>
    <w:rsid w:val="004D5ADB"/>
    <w:rsid w:val="004D6C6F"/>
    <w:rsid w:val="004D7ECE"/>
    <w:rsid w:val="004E0B21"/>
    <w:rsid w:val="004E1D50"/>
    <w:rsid w:val="004E2692"/>
    <w:rsid w:val="004E2D60"/>
    <w:rsid w:val="004E31EE"/>
    <w:rsid w:val="004E3DD7"/>
    <w:rsid w:val="004E44C4"/>
    <w:rsid w:val="004E4E4C"/>
    <w:rsid w:val="004E5BEF"/>
    <w:rsid w:val="004E5C8C"/>
    <w:rsid w:val="004E62F8"/>
    <w:rsid w:val="004E6D45"/>
    <w:rsid w:val="004E739D"/>
    <w:rsid w:val="004E74A3"/>
    <w:rsid w:val="004E74CE"/>
    <w:rsid w:val="004E7A9C"/>
    <w:rsid w:val="004F005F"/>
    <w:rsid w:val="004F00A1"/>
    <w:rsid w:val="004F040F"/>
    <w:rsid w:val="004F08A4"/>
    <w:rsid w:val="004F0E8B"/>
    <w:rsid w:val="004F13A9"/>
    <w:rsid w:val="004F1608"/>
    <w:rsid w:val="004F19C8"/>
    <w:rsid w:val="004F2094"/>
    <w:rsid w:val="004F233D"/>
    <w:rsid w:val="004F2B1B"/>
    <w:rsid w:val="004F32B2"/>
    <w:rsid w:val="004F33A1"/>
    <w:rsid w:val="004F3457"/>
    <w:rsid w:val="004F3A23"/>
    <w:rsid w:val="004F4648"/>
    <w:rsid w:val="004F48B8"/>
    <w:rsid w:val="004F5BE1"/>
    <w:rsid w:val="004F6235"/>
    <w:rsid w:val="004F645A"/>
    <w:rsid w:val="004F648E"/>
    <w:rsid w:val="004F69A2"/>
    <w:rsid w:val="004F6EE9"/>
    <w:rsid w:val="004F7652"/>
    <w:rsid w:val="004F7750"/>
    <w:rsid w:val="004F7B15"/>
    <w:rsid w:val="004F7CA7"/>
    <w:rsid w:val="004F7E91"/>
    <w:rsid w:val="005001CE"/>
    <w:rsid w:val="005008BD"/>
    <w:rsid w:val="00500916"/>
    <w:rsid w:val="00500E21"/>
    <w:rsid w:val="00501AAA"/>
    <w:rsid w:val="00502003"/>
    <w:rsid w:val="0050292D"/>
    <w:rsid w:val="00502F28"/>
    <w:rsid w:val="0050316D"/>
    <w:rsid w:val="00503B65"/>
    <w:rsid w:val="00503DE5"/>
    <w:rsid w:val="0050419E"/>
    <w:rsid w:val="00504D2B"/>
    <w:rsid w:val="00505D34"/>
    <w:rsid w:val="00506643"/>
    <w:rsid w:val="00506707"/>
    <w:rsid w:val="00506791"/>
    <w:rsid w:val="00507137"/>
    <w:rsid w:val="005074D6"/>
    <w:rsid w:val="00510469"/>
    <w:rsid w:val="00511135"/>
    <w:rsid w:val="00511453"/>
    <w:rsid w:val="00511C8F"/>
    <w:rsid w:val="00511D5D"/>
    <w:rsid w:val="005125FD"/>
    <w:rsid w:val="005128E2"/>
    <w:rsid w:val="00513808"/>
    <w:rsid w:val="00514819"/>
    <w:rsid w:val="0051487A"/>
    <w:rsid w:val="00514A8C"/>
    <w:rsid w:val="005150F2"/>
    <w:rsid w:val="00516423"/>
    <w:rsid w:val="00517047"/>
    <w:rsid w:val="005170C3"/>
    <w:rsid w:val="0051766B"/>
    <w:rsid w:val="00517BCD"/>
    <w:rsid w:val="00517D8B"/>
    <w:rsid w:val="00517F56"/>
    <w:rsid w:val="00517FAF"/>
    <w:rsid w:val="00519A1A"/>
    <w:rsid w:val="00520414"/>
    <w:rsid w:val="00520E0C"/>
    <w:rsid w:val="00521271"/>
    <w:rsid w:val="00521523"/>
    <w:rsid w:val="00521D24"/>
    <w:rsid w:val="005222E3"/>
    <w:rsid w:val="005227A0"/>
    <w:rsid w:val="00522F6F"/>
    <w:rsid w:val="00522FE7"/>
    <w:rsid w:val="00523460"/>
    <w:rsid w:val="00523BCC"/>
    <w:rsid w:val="00523DBF"/>
    <w:rsid w:val="00524226"/>
    <w:rsid w:val="00524456"/>
    <w:rsid w:val="0052536C"/>
    <w:rsid w:val="0052571B"/>
    <w:rsid w:val="00525EC7"/>
    <w:rsid w:val="00526539"/>
    <w:rsid w:val="0052689A"/>
    <w:rsid w:val="00526F1C"/>
    <w:rsid w:val="00527231"/>
    <w:rsid w:val="00527CCB"/>
    <w:rsid w:val="00530929"/>
    <w:rsid w:val="00530932"/>
    <w:rsid w:val="00530AE9"/>
    <w:rsid w:val="00532735"/>
    <w:rsid w:val="00533DDE"/>
    <w:rsid w:val="005350C6"/>
    <w:rsid w:val="0053526E"/>
    <w:rsid w:val="005356F0"/>
    <w:rsid w:val="00535F53"/>
    <w:rsid w:val="005368D1"/>
    <w:rsid w:val="005369E0"/>
    <w:rsid w:val="00537013"/>
    <w:rsid w:val="005374D1"/>
    <w:rsid w:val="005375A7"/>
    <w:rsid w:val="005377B6"/>
    <w:rsid w:val="0053793E"/>
    <w:rsid w:val="00540203"/>
    <w:rsid w:val="0054056A"/>
    <w:rsid w:val="005405BD"/>
    <w:rsid w:val="00541278"/>
    <w:rsid w:val="0054132B"/>
    <w:rsid w:val="0054152A"/>
    <w:rsid w:val="00542059"/>
    <w:rsid w:val="00542CDD"/>
    <w:rsid w:val="00542CDF"/>
    <w:rsid w:val="00543DDF"/>
    <w:rsid w:val="00544062"/>
    <w:rsid w:val="005458B7"/>
    <w:rsid w:val="00546C50"/>
    <w:rsid w:val="0054727D"/>
    <w:rsid w:val="00547421"/>
    <w:rsid w:val="005478C8"/>
    <w:rsid w:val="00547997"/>
    <w:rsid w:val="00547C17"/>
    <w:rsid w:val="00547D33"/>
    <w:rsid w:val="005500E1"/>
    <w:rsid w:val="00550A8B"/>
    <w:rsid w:val="00550B90"/>
    <w:rsid w:val="00550BC4"/>
    <w:rsid w:val="00551789"/>
    <w:rsid w:val="00552148"/>
    <w:rsid w:val="00552308"/>
    <w:rsid w:val="005527D0"/>
    <w:rsid w:val="00552CFD"/>
    <w:rsid w:val="005531CD"/>
    <w:rsid w:val="00553751"/>
    <w:rsid w:val="00553D15"/>
    <w:rsid w:val="00553DFB"/>
    <w:rsid w:val="0055428B"/>
    <w:rsid w:val="00554EA8"/>
    <w:rsid w:val="00554ECB"/>
    <w:rsid w:val="0055504A"/>
    <w:rsid w:val="005556C1"/>
    <w:rsid w:val="00555BA6"/>
    <w:rsid w:val="0055634E"/>
    <w:rsid w:val="0055651E"/>
    <w:rsid w:val="00556978"/>
    <w:rsid w:val="00556C14"/>
    <w:rsid w:val="00556D23"/>
    <w:rsid w:val="005570E2"/>
    <w:rsid w:val="0055798A"/>
    <w:rsid w:val="00557C6B"/>
    <w:rsid w:val="00557C8A"/>
    <w:rsid w:val="00560686"/>
    <w:rsid w:val="00560CF3"/>
    <w:rsid w:val="00561C7F"/>
    <w:rsid w:val="00561F2E"/>
    <w:rsid w:val="00561F54"/>
    <w:rsid w:val="0056220B"/>
    <w:rsid w:val="0056272A"/>
    <w:rsid w:val="00562C39"/>
    <w:rsid w:val="00562F83"/>
    <w:rsid w:val="00563428"/>
    <w:rsid w:val="005636F6"/>
    <w:rsid w:val="00564562"/>
    <w:rsid w:val="00564886"/>
    <w:rsid w:val="00564F8E"/>
    <w:rsid w:val="005650D2"/>
    <w:rsid w:val="00565309"/>
    <w:rsid w:val="005667E7"/>
    <w:rsid w:val="005669FC"/>
    <w:rsid w:val="00566D0C"/>
    <w:rsid w:val="00566F7E"/>
    <w:rsid w:val="00567DBB"/>
    <w:rsid w:val="00570364"/>
    <w:rsid w:val="00571CCC"/>
    <w:rsid w:val="0057463E"/>
    <w:rsid w:val="00574762"/>
    <w:rsid w:val="00575506"/>
    <w:rsid w:val="00575C3B"/>
    <w:rsid w:val="00575C93"/>
    <w:rsid w:val="00575DC0"/>
    <w:rsid w:val="00577299"/>
    <w:rsid w:val="00577789"/>
    <w:rsid w:val="0057790B"/>
    <w:rsid w:val="005802C4"/>
    <w:rsid w:val="005805F6"/>
    <w:rsid w:val="0058100B"/>
    <w:rsid w:val="005817E2"/>
    <w:rsid w:val="00581E53"/>
    <w:rsid w:val="0058256E"/>
    <w:rsid w:val="005827EA"/>
    <w:rsid w:val="0058283E"/>
    <w:rsid w:val="00582DB4"/>
    <w:rsid w:val="00583701"/>
    <w:rsid w:val="00583CC3"/>
    <w:rsid w:val="00583DBE"/>
    <w:rsid w:val="0058524C"/>
    <w:rsid w:val="0058669C"/>
    <w:rsid w:val="00586783"/>
    <w:rsid w:val="0059126B"/>
    <w:rsid w:val="00591B77"/>
    <w:rsid w:val="00591F63"/>
    <w:rsid w:val="00592DF8"/>
    <w:rsid w:val="00592E91"/>
    <w:rsid w:val="00592EAF"/>
    <w:rsid w:val="005930FB"/>
    <w:rsid w:val="005936A3"/>
    <w:rsid w:val="005940CB"/>
    <w:rsid w:val="00594C08"/>
    <w:rsid w:val="00594EF1"/>
    <w:rsid w:val="005950BF"/>
    <w:rsid w:val="0059562D"/>
    <w:rsid w:val="00595A00"/>
    <w:rsid w:val="00596658"/>
    <w:rsid w:val="005968E0"/>
    <w:rsid w:val="00596F95"/>
    <w:rsid w:val="0059774C"/>
    <w:rsid w:val="00597992"/>
    <w:rsid w:val="00597D11"/>
    <w:rsid w:val="005A0118"/>
    <w:rsid w:val="005A0E80"/>
    <w:rsid w:val="005A0F66"/>
    <w:rsid w:val="005A1358"/>
    <w:rsid w:val="005A1600"/>
    <w:rsid w:val="005A2EE8"/>
    <w:rsid w:val="005A3218"/>
    <w:rsid w:val="005A3251"/>
    <w:rsid w:val="005A389A"/>
    <w:rsid w:val="005A3A39"/>
    <w:rsid w:val="005A4571"/>
    <w:rsid w:val="005A4D0D"/>
    <w:rsid w:val="005A4F8A"/>
    <w:rsid w:val="005A5B67"/>
    <w:rsid w:val="005A5E37"/>
    <w:rsid w:val="005A61CE"/>
    <w:rsid w:val="005A6EC9"/>
    <w:rsid w:val="005A7861"/>
    <w:rsid w:val="005A7B5C"/>
    <w:rsid w:val="005A7B6D"/>
    <w:rsid w:val="005A7BF0"/>
    <w:rsid w:val="005B0EBA"/>
    <w:rsid w:val="005B1967"/>
    <w:rsid w:val="005B2298"/>
    <w:rsid w:val="005B2B20"/>
    <w:rsid w:val="005B31FC"/>
    <w:rsid w:val="005B34E2"/>
    <w:rsid w:val="005B4E90"/>
    <w:rsid w:val="005B4FB5"/>
    <w:rsid w:val="005B6140"/>
    <w:rsid w:val="005B6220"/>
    <w:rsid w:val="005B68B0"/>
    <w:rsid w:val="005B6A57"/>
    <w:rsid w:val="005B77B6"/>
    <w:rsid w:val="005C0582"/>
    <w:rsid w:val="005C1C86"/>
    <w:rsid w:val="005C202E"/>
    <w:rsid w:val="005C2036"/>
    <w:rsid w:val="005C2228"/>
    <w:rsid w:val="005C22BB"/>
    <w:rsid w:val="005C30B9"/>
    <w:rsid w:val="005C3B1F"/>
    <w:rsid w:val="005C4A7D"/>
    <w:rsid w:val="005C5DED"/>
    <w:rsid w:val="005C5F70"/>
    <w:rsid w:val="005C6D75"/>
    <w:rsid w:val="005C6E4D"/>
    <w:rsid w:val="005C6F40"/>
    <w:rsid w:val="005C6F76"/>
    <w:rsid w:val="005C70ED"/>
    <w:rsid w:val="005C773D"/>
    <w:rsid w:val="005D00CC"/>
    <w:rsid w:val="005D01BF"/>
    <w:rsid w:val="005D0218"/>
    <w:rsid w:val="005D0C05"/>
    <w:rsid w:val="005D2B44"/>
    <w:rsid w:val="005D2DE2"/>
    <w:rsid w:val="005D38AF"/>
    <w:rsid w:val="005D3D9E"/>
    <w:rsid w:val="005D3EA2"/>
    <w:rsid w:val="005D3F42"/>
    <w:rsid w:val="005D4898"/>
    <w:rsid w:val="005D4DB5"/>
    <w:rsid w:val="005D59FF"/>
    <w:rsid w:val="005D6221"/>
    <w:rsid w:val="005D6257"/>
    <w:rsid w:val="005D65AE"/>
    <w:rsid w:val="005D66B7"/>
    <w:rsid w:val="005D7AD4"/>
    <w:rsid w:val="005DD12F"/>
    <w:rsid w:val="005E0CA8"/>
    <w:rsid w:val="005E0E7B"/>
    <w:rsid w:val="005E1234"/>
    <w:rsid w:val="005E1BCA"/>
    <w:rsid w:val="005E2256"/>
    <w:rsid w:val="005E25F4"/>
    <w:rsid w:val="005E27D5"/>
    <w:rsid w:val="005E286E"/>
    <w:rsid w:val="005E2A28"/>
    <w:rsid w:val="005E3595"/>
    <w:rsid w:val="005E3AAC"/>
    <w:rsid w:val="005E4007"/>
    <w:rsid w:val="005E4104"/>
    <w:rsid w:val="005E4A59"/>
    <w:rsid w:val="005E50A1"/>
    <w:rsid w:val="005E50F9"/>
    <w:rsid w:val="005E5116"/>
    <w:rsid w:val="005E53E9"/>
    <w:rsid w:val="005E6A34"/>
    <w:rsid w:val="005E6D74"/>
    <w:rsid w:val="005E76AB"/>
    <w:rsid w:val="005E7D7D"/>
    <w:rsid w:val="005E7E5C"/>
    <w:rsid w:val="005F009D"/>
    <w:rsid w:val="005F121F"/>
    <w:rsid w:val="005F1354"/>
    <w:rsid w:val="005F28B0"/>
    <w:rsid w:val="005F2A30"/>
    <w:rsid w:val="005F31F7"/>
    <w:rsid w:val="005F3309"/>
    <w:rsid w:val="005F418C"/>
    <w:rsid w:val="005F41BF"/>
    <w:rsid w:val="005F4F70"/>
    <w:rsid w:val="005F5017"/>
    <w:rsid w:val="005F5B57"/>
    <w:rsid w:val="005F62DB"/>
    <w:rsid w:val="005F6BDA"/>
    <w:rsid w:val="005F6F11"/>
    <w:rsid w:val="005F77C2"/>
    <w:rsid w:val="00600A9C"/>
    <w:rsid w:val="00600C13"/>
    <w:rsid w:val="006014FF"/>
    <w:rsid w:val="00602286"/>
    <w:rsid w:val="00603F9A"/>
    <w:rsid w:val="006042D6"/>
    <w:rsid w:val="00604D6B"/>
    <w:rsid w:val="0060533F"/>
    <w:rsid w:val="006056DA"/>
    <w:rsid w:val="00605855"/>
    <w:rsid w:val="00605BD5"/>
    <w:rsid w:val="00606337"/>
    <w:rsid w:val="0060752D"/>
    <w:rsid w:val="0060788F"/>
    <w:rsid w:val="00610D5F"/>
    <w:rsid w:val="00612698"/>
    <w:rsid w:val="00612939"/>
    <w:rsid w:val="00612DA6"/>
    <w:rsid w:val="00614111"/>
    <w:rsid w:val="00614433"/>
    <w:rsid w:val="00614DB1"/>
    <w:rsid w:val="00614E0C"/>
    <w:rsid w:val="00614E12"/>
    <w:rsid w:val="006150CF"/>
    <w:rsid w:val="0061581C"/>
    <w:rsid w:val="00615A39"/>
    <w:rsid w:val="00616DF9"/>
    <w:rsid w:val="006172F7"/>
    <w:rsid w:val="00617573"/>
    <w:rsid w:val="00617B07"/>
    <w:rsid w:val="00620CD6"/>
    <w:rsid w:val="00621071"/>
    <w:rsid w:val="006210CD"/>
    <w:rsid w:val="00621D88"/>
    <w:rsid w:val="00622739"/>
    <w:rsid w:val="00622F79"/>
    <w:rsid w:val="006232B4"/>
    <w:rsid w:val="006233FF"/>
    <w:rsid w:val="0062377A"/>
    <w:rsid w:val="00623902"/>
    <w:rsid w:val="00623EB4"/>
    <w:rsid w:val="00623F84"/>
    <w:rsid w:val="00624062"/>
    <w:rsid w:val="0062426A"/>
    <w:rsid w:val="00624D2B"/>
    <w:rsid w:val="00625265"/>
    <w:rsid w:val="0062541A"/>
    <w:rsid w:val="0062557C"/>
    <w:rsid w:val="00625729"/>
    <w:rsid w:val="00626322"/>
    <w:rsid w:val="00626434"/>
    <w:rsid w:val="00626B00"/>
    <w:rsid w:val="006274FF"/>
    <w:rsid w:val="006314DF"/>
    <w:rsid w:val="0063185C"/>
    <w:rsid w:val="00631915"/>
    <w:rsid w:val="0063259F"/>
    <w:rsid w:val="00632B70"/>
    <w:rsid w:val="00633118"/>
    <w:rsid w:val="00634127"/>
    <w:rsid w:val="006354E0"/>
    <w:rsid w:val="00636FE7"/>
    <w:rsid w:val="00637459"/>
    <w:rsid w:val="006376AA"/>
    <w:rsid w:val="0064092C"/>
    <w:rsid w:val="00640C7F"/>
    <w:rsid w:val="00641BCA"/>
    <w:rsid w:val="00642000"/>
    <w:rsid w:val="0064238F"/>
    <w:rsid w:val="00643173"/>
    <w:rsid w:val="00644664"/>
    <w:rsid w:val="00644AED"/>
    <w:rsid w:val="00644B84"/>
    <w:rsid w:val="00644C16"/>
    <w:rsid w:val="00645857"/>
    <w:rsid w:val="00645C64"/>
    <w:rsid w:val="00645F7F"/>
    <w:rsid w:val="006464E8"/>
    <w:rsid w:val="0065085F"/>
    <w:rsid w:val="00650DAD"/>
    <w:rsid w:val="00651635"/>
    <w:rsid w:val="00651832"/>
    <w:rsid w:val="006518E7"/>
    <w:rsid w:val="00651E3F"/>
    <w:rsid w:val="006520EF"/>
    <w:rsid w:val="0065222F"/>
    <w:rsid w:val="00652852"/>
    <w:rsid w:val="00652F86"/>
    <w:rsid w:val="00652FAD"/>
    <w:rsid w:val="00653A85"/>
    <w:rsid w:val="00653B1D"/>
    <w:rsid w:val="00653FCF"/>
    <w:rsid w:val="0065450C"/>
    <w:rsid w:val="0065486E"/>
    <w:rsid w:val="00654A81"/>
    <w:rsid w:val="00654FB1"/>
    <w:rsid w:val="00655277"/>
    <w:rsid w:val="00655576"/>
    <w:rsid w:val="00655E2A"/>
    <w:rsid w:val="00655E4E"/>
    <w:rsid w:val="0065662E"/>
    <w:rsid w:val="0065689B"/>
    <w:rsid w:val="006570E4"/>
    <w:rsid w:val="00657526"/>
    <w:rsid w:val="006577CE"/>
    <w:rsid w:val="0065F9BE"/>
    <w:rsid w:val="00660B61"/>
    <w:rsid w:val="006613BE"/>
    <w:rsid w:val="00661EBD"/>
    <w:rsid w:val="006622C6"/>
    <w:rsid w:val="006624F3"/>
    <w:rsid w:val="0066279D"/>
    <w:rsid w:val="006633E9"/>
    <w:rsid w:val="006639D1"/>
    <w:rsid w:val="00664D84"/>
    <w:rsid w:val="00666284"/>
    <w:rsid w:val="0066654B"/>
    <w:rsid w:val="006673BE"/>
    <w:rsid w:val="0066758C"/>
    <w:rsid w:val="00667E82"/>
    <w:rsid w:val="00670318"/>
    <w:rsid w:val="00670409"/>
    <w:rsid w:val="006719F6"/>
    <w:rsid w:val="00671BE3"/>
    <w:rsid w:val="0067292F"/>
    <w:rsid w:val="00672F63"/>
    <w:rsid w:val="00674058"/>
    <w:rsid w:val="006749DE"/>
    <w:rsid w:val="00674A81"/>
    <w:rsid w:val="00674CD9"/>
    <w:rsid w:val="00675DAD"/>
    <w:rsid w:val="00676208"/>
    <w:rsid w:val="00677792"/>
    <w:rsid w:val="00677ACA"/>
    <w:rsid w:val="00677ED0"/>
    <w:rsid w:val="00680D2D"/>
    <w:rsid w:val="006814E7"/>
    <w:rsid w:val="006815D6"/>
    <w:rsid w:val="00681BEF"/>
    <w:rsid w:val="0068246C"/>
    <w:rsid w:val="00683B58"/>
    <w:rsid w:val="006841CE"/>
    <w:rsid w:val="006842BA"/>
    <w:rsid w:val="006848DD"/>
    <w:rsid w:val="00685A3A"/>
    <w:rsid w:val="00685FC1"/>
    <w:rsid w:val="0068622A"/>
    <w:rsid w:val="006862F5"/>
    <w:rsid w:val="006865EA"/>
    <w:rsid w:val="006867A1"/>
    <w:rsid w:val="006868FE"/>
    <w:rsid w:val="00686F26"/>
    <w:rsid w:val="006876F3"/>
    <w:rsid w:val="006903BC"/>
    <w:rsid w:val="00690625"/>
    <w:rsid w:val="00690DBD"/>
    <w:rsid w:val="006914CE"/>
    <w:rsid w:val="00691E5A"/>
    <w:rsid w:val="00695116"/>
    <w:rsid w:val="006972AA"/>
    <w:rsid w:val="0069741A"/>
    <w:rsid w:val="00697A96"/>
    <w:rsid w:val="006A02BC"/>
    <w:rsid w:val="006A0499"/>
    <w:rsid w:val="006A04C3"/>
    <w:rsid w:val="006A0B03"/>
    <w:rsid w:val="006A0EEB"/>
    <w:rsid w:val="006A1783"/>
    <w:rsid w:val="006A27F6"/>
    <w:rsid w:val="006A2D8E"/>
    <w:rsid w:val="006A39BF"/>
    <w:rsid w:val="006A3E63"/>
    <w:rsid w:val="006A4850"/>
    <w:rsid w:val="006A576F"/>
    <w:rsid w:val="006A5A2E"/>
    <w:rsid w:val="006A5A37"/>
    <w:rsid w:val="006A5EE6"/>
    <w:rsid w:val="006A6EAF"/>
    <w:rsid w:val="006A78D3"/>
    <w:rsid w:val="006A794F"/>
    <w:rsid w:val="006B08E4"/>
    <w:rsid w:val="006B0BFC"/>
    <w:rsid w:val="006B0D7D"/>
    <w:rsid w:val="006B114F"/>
    <w:rsid w:val="006B18C9"/>
    <w:rsid w:val="006B1903"/>
    <w:rsid w:val="006B1B85"/>
    <w:rsid w:val="006B2FB7"/>
    <w:rsid w:val="006B53F5"/>
    <w:rsid w:val="006B5F53"/>
    <w:rsid w:val="006B639F"/>
    <w:rsid w:val="006B6426"/>
    <w:rsid w:val="006B6E6D"/>
    <w:rsid w:val="006B6EF9"/>
    <w:rsid w:val="006B7A7A"/>
    <w:rsid w:val="006B7E6E"/>
    <w:rsid w:val="006C0122"/>
    <w:rsid w:val="006C0462"/>
    <w:rsid w:val="006C1934"/>
    <w:rsid w:val="006C1D1D"/>
    <w:rsid w:val="006C21D9"/>
    <w:rsid w:val="006C241A"/>
    <w:rsid w:val="006C319F"/>
    <w:rsid w:val="006C42AC"/>
    <w:rsid w:val="006C4B51"/>
    <w:rsid w:val="006C4B84"/>
    <w:rsid w:val="006C518D"/>
    <w:rsid w:val="006C5550"/>
    <w:rsid w:val="006C5959"/>
    <w:rsid w:val="006C5FC9"/>
    <w:rsid w:val="006C66AD"/>
    <w:rsid w:val="006C6A49"/>
    <w:rsid w:val="006C6C5A"/>
    <w:rsid w:val="006C71FF"/>
    <w:rsid w:val="006C735C"/>
    <w:rsid w:val="006C75DA"/>
    <w:rsid w:val="006C7867"/>
    <w:rsid w:val="006D03B0"/>
    <w:rsid w:val="006D062E"/>
    <w:rsid w:val="006D0753"/>
    <w:rsid w:val="006D0E54"/>
    <w:rsid w:val="006D212E"/>
    <w:rsid w:val="006D2283"/>
    <w:rsid w:val="006D2289"/>
    <w:rsid w:val="006D2735"/>
    <w:rsid w:val="006D2A28"/>
    <w:rsid w:val="006D2F97"/>
    <w:rsid w:val="006D3665"/>
    <w:rsid w:val="006D3AC2"/>
    <w:rsid w:val="006D406D"/>
    <w:rsid w:val="006D426D"/>
    <w:rsid w:val="006D4699"/>
    <w:rsid w:val="006D48C6"/>
    <w:rsid w:val="006D4BC3"/>
    <w:rsid w:val="006D4F68"/>
    <w:rsid w:val="006D4F8C"/>
    <w:rsid w:val="006D5016"/>
    <w:rsid w:val="006D57EF"/>
    <w:rsid w:val="006D58F3"/>
    <w:rsid w:val="006D63BF"/>
    <w:rsid w:val="006D6796"/>
    <w:rsid w:val="006D7829"/>
    <w:rsid w:val="006D7DDC"/>
    <w:rsid w:val="006E02A0"/>
    <w:rsid w:val="006E0D06"/>
    <w:rsid w:val="006E0FA9"/>
    <w:rsid w:val="006E1A2E"/>
    <w:rsid w:val="006E1C6D"/>
    <w:rsid w:val="006E1C93"/>
    <w:rsid w:val="006E1D3E"/>
    <w:rsid w:val="006E2181"/>
    <w:rsid w:val="006E26FA"/>
    <w:rsid w:val="006E39CA"/>
    <w:rsid w:val="006E3A31"/>
    <w:rsid w:val="006E3C46"/>
    <w:rsid w:val="006E486D"/>
    <w:rsid w:val="006E4FB6"/>
    <w:rsid w:val="006E528C"/>
    <w:rsid w:val="006E54BA"/>
    <w:rsid w:val="006E6458"/>
    <w:rsid w:val="006E6A37"/>
    <w:rsid w:val="006E73CF"/>
    <w:rsid w:val="006E78EA"/>
    <w:rsid w:val="006E7AC8"/>
    <w:rsid w:val="006F0B23"/>
    <w:rsid w:val="006F0EF5"/>
    <w:rsid w:val="006F1FEA"/>
    <w:rsid w:val="006F2688"/>
    <w:rsid w:val="006F3BA7"/>
    <w:rsid w:val="006F3D4F"/>
    <w:rsid w:val="006F43D8"/>
    <w:rsid w:val="006F45E5"/>
    <w:rsid w:val="006F530D"/>
    <w:rsid w:val="006F5745"/>
    <w:rsid w:val="006F5928"/>
    <w:rsid w:val="006F7606"/>
    <w:rsid w:val="006F7A7E"/>
    <w:rsid w:val="006F7BC8"/>
    <w:rsid w:val="006F7FE1"/>
    <w:rsid w:val="007001D4"/>
    <w:rsid w:val="00700C77"/>
    <w:rsid w:val="007010A7"/>
    <w:rsid w:val="00701924"/>
    <w:rsid w:val="00701BB8"/>
    <w:rsid w:val="00702945"/>
    <w:rsid w:val="00702A50"/>
    <w:rsid w:val="00702B10"/>
    <w:rsid w:val="00703D0D"/>
    <w:rsid w:val="00704C99"/>
    <w:rsid w:val="00706474"/>
    <w:rsid w:val="007064ED"/>
    <w:rsid w:val="00706A7D"/>
    <w:rsid w:val="00706E9B"/>
    <w:rsid w:val="00706F6B"/>
    <w:rsid w:val="007076E3"/>
    <w:rsid w:val="00710215"/>
    <w:rsid w:val="00710ABF"/>
    <w:rsid w:val="00710FD3"/>
    <w:rsid w:val="007112E5"/>
    <w:rsid w:val="00711646"/>
    <w:rsid w:val="00711690"/>
    <w:rsid w:val="007117E2"/>
    <w:rsid w:val="00711BB0"/>
    <w:rsid w:val="00711C0E"/>
    <w:rsid w:val="00711D6E"/>
    <w:rsid w:val="00711D95"/>
    <w:rsid w:val="00712969"/>
    <w:rsid w:val="00713476"/>
    <w:rsid w:val="00713722"/>
    <w:rsid w:val="007141D3"/>
    <w:rsid w:val="007145BC"/>
    <w:rsid w:val="00714772"/>
    <w:rsid w:val="00714C2F"/>
    <w:rsid w:val="00714DB8"/>
    <w:rsid w:val="00714E9D"/>
    <w:rsid w:val="0071521A"/>
    <w:rsid w:val="00715596"/>
    <w:rsid w:val="007158FB"/>
    <w:rsid w:val="00715F3C"/>
    <w:rsid w:val="00716100"/>
    <w:rsid w:val="0071721E"/>
    <w:rsid w:val="00717CEF"/>
    <w:rsid w:val="007204EF"/>
    <w:rsid w:val="00720D2D"/>
    <w:rsid w:val="00721186"/>
    <w:rsid w:val="007215FD"/>
    <w:rsid w:val="00721AB9"/>
    <w:rsid w:val="00721CBD"/>
    <w:rsid w:val="00721DB7"/>
    <w:rsid w:val="007220B5"/>
    <w:rsid w:val="007223AC"/>
    <w:rsid w:val="00722E61"/>
    <w:rsid w:val="00723153"/>
    <w:rsid w:val="00723959"/>
    <w:rsid w:val="00723B8C"/>
    <w:rsid w:val="0072401A"/>
    <w:rsid w:val="007244A4"/>
    <w:rsid w:val="00724E8F"/>
    <w:rsid w:val="00725176"/>
    <w:rsid w:val="007253B4"/>
    <w:rsid w:val="00725D1B"/>
    <w:rsid w:val="00725F4A"/>
    <w:rsid w:val="00726EE7"/>
    <w:rsid w:val="00727836"/>
    <w:rsid w:val="00727AF6"/>
    <w:rsid w:val="00727DD5"/>
    <w:rsid w:val="00731794"/>
    <w:rsid w:val="007318FD"/>
    <w:rsid w:val="00731DFB"/>
    <w:rsid w:val="007320F0"/>
    <w:rsid w:val="007325D4"/>
    <w:rsid w:val="00732D97"/>
    <w:rsid w:val="007332D5"/>
    <w:rsid w:val="007336D1"/>
    <w:rsid w:val="00733763"/>
    <w:rsid w:val="00733A20"/>
    <w:rsid w:val="0073404B"/>
    <w:rsid w:val="00734447"/>
    <w:rsid w:val="007346BA"/>
    <w:rsid w:val="007348E2"/>
    <w:rsid w:val="00734B4D"/>
    <w:rsid w:val="00734CC5"/>
    <w:rsid w:val="0073536B"/>
    <w:rsid w:val="007364BB"/>
    <w:rsid w:val="0073690B"/>
    <w:rsid w:val="00736E95"/>
    <w:rsid w:val="00736F55"/>
    <w:rsid w:val="00737B25"/>
    <w:rsid w:val="00737C67"/>
    <w:rsid w:val="00737FED"/>
    <w:rsid w:val="0073FD70"/>
    <w:rsid w:val="00741551"/>
    <w:rsid w:val="00741665"/>
    <w:rsid w:val="00741ABD"/>
    <w:rsid w:val="00742386"/>
    <w:rsid w:val="00742AC7"/>
    <w:rsid w:val="00742C21"/>
    <w:rsid w:val="0074350D"/>
    <w:rsid w:val="00743623"/>
    <w:rsid w:val="00744888"/>
    <w:rsid w:val="007456EA"/>
    <w:rsid w:val="00745954"/>
    <w:rsid w:val="00746464"/>
    <w:rsid w:val="00746D78"/>
    <w:rsid w:val="0074725F"/>
    <w:rsid w:val="00747278"/>
    <w:rsid w:val="0074742E"/>
    <w:rsid w:val="00747950"/>
    <w:rsid w:val="00747EAE"/>
    <w:rsid w:val="0075074C"/>
    <w:rsid w:val="007510DA"/>
    <w:rsid w:val="0075137E"/>
    <w:rsid w:val="007513EA"/>
    <w:rsid w:val="007517E1"/>
    <w:rsid w:val="0075246B"/>
    <w:rsid w:val="00752AF1"/>
    <w:rsid w:val="00753C2B"/>
    <w:rsid w:val="00754272"/>
    <w:rsid w:val="00754431"/>
    <w:rsid w:val="00755BB4"/>
    <w:rsid w:val="00756061"/>
    <w:rsid w:val="007561AC"/>
    <w:rsid w:val="007565A8"/>
    <w:rsid w:val="00756C46"/>
    <w:rsid w:val="00756D42"/>
    <w:rsid w:val="00757386"/>
    <w:rsid w:val="00757D8B"/>
    <w:rsid w:val="00757EB0"/>
    <w:rsid w:val="0076067B"/>
    <w:rsid w:val="007611ED"/>
    <w:rsid w:val="0076265A"/>
    <w:rsid w:val="00762C0A"/>
    <w:rsid w:val="00762FC6"/>
    <w:rsid w:val="00763206"/>
    <w:rsid w:val="00763917"/>
    <w:rsid w:val="00763C7B"/>
    <w:rsid w:val="007645D0"/>
    <w:rsid w:val="00764B3C"/>
    <w:rsid w:val="00764D10"/>
    <w:rsid w:val="007653EC"/>
    <w:rsid w:val="00765587"/>
    <w:rsid w:val="0076581C"/>
    <w:rsid w:val="00765B7F"/>
    <w:rsid w:val="0076622B"/>
    <w:rsid w:val="00766F37"/>
    <w:rsid w:val="00767E0A"/>
    <w:rsid w:val="00768472"/>
    <w:rsid w:val="0077111E"/>
    <w:rsid w:val="007716EF"/>
    <w:rsid w:val="00771CDC"/>
    <w:rsid w:val="00772170"/>
    <w:rsid w:val="007722CB"/>
    <w:rsid w:val="00772CE2"/>
    <w:rsid w:val="00773484"/>
    <w:rsid w:val="00773A05"/>
    <w:rsid w:val="007755D0"/>
    <w:rsid w:val="00775CAB"/>
    <w:rsid w:val="007763A4"/>
    <w:rsid w:val="007764B2"/>
    <w:rsid w:val="00777091"/>
    <w:rsid w:val="00777B94"/>
    <w:rsid w:val="00777C0B"/>
    <w:rsid w:val="00777EEF"/>
    <w:rsid w:val="00780653"/>
    <w:rsid w:val="007810F1"/>
    <w:rsid w:val="007814E6"/>
    <w:rsid w:val="00781573"/>
    <w:rsid w:val="00781A60"/>
    <w:rsid w:val="00781E29"/>
    <w:rsid w:val="007820AE"/>
    <w:rsid w:val="00782FC7"/>
    <w:rsid w:val="00783218"/>
    <w:rsid w:val="007833EC"/>
    <w:rsid w:val="0078385D"/>
    <w:rsid w:val="0078400E"/>
    <w:rsid w:val="0078485F"/>
    <w:rsid w:val="00785152"/>
    <w:rsid w:val="007859B8"/>
    <w:rsid w:val="00785F79"/>
    <w:rsid w:val="007863D7"/>
    <w:rsid w:val="007864F7"/>
    <w:rsid w:val="00786AF0"/>
    <w:rsid w:val="0078702A"/>
    <w:rsid w:val="007871E1"/>
    <w:rsid w:val="00787388"/>
    <w:rsid w:val="00787455"/>
    <w:rsid w:val="00787621"/>
    <w:rsid w:val="00787ECE"/>
    <w:rsid w:val="00790685"/>
    <w:rsid w:val="00790AC9"/>
    <w:rsid w:val="00790E0D"/>
    <w:rsid w:val="0079147E"/>
    <w:rsid w:val="0079155F"/>
    <w:rsid w:val="0079193A"/>
    <w:rsid w:val="00791E0A"/>
    <w:rsid w:val="00791FE9"/>
    <w:rsid w:val="007922BB"/>
    <w:rsid w:val="00792911"/>
    <w:rsid w:val="00793A8C"/>
    <w:rsid w:val="00793D44"/>
    <w:rsid w:val="00793EB2"/>
    <w:rsid w:val="007958B1"/>
    <w:rsid w:val="00795F00"/>
    <w:rsid w:val="00796CE6"/>
    <w:rsid w:val="0079737F"/>
    <w:rsid w:val="00797717"/>
    <w:rsid w:val="0079780B"/>
    <w:rsid w:val="007979C2"/>
    <w:rsid w:val="00797BF0"/>
    <w:rsid w:val="007A14A8"/>
    <w:rsid w:val="007A17B4"/>
    <w:rsid w:val="007A27CC"/>
    <w:rsid w:val="007A2A54"/>
    <w:rsid w:val="007A2BF5"/>
    <w:rsid w:val="007A3060"/>
    <w:rsid w:val="007A359A"/>
    <w:rsid w:val="007A376B"/>
    <w:rsid w:val="007A3A8D"/>
    <w:rsid w:val="007A3CCA"/>
    <w:rsid w:val="007A4ECB"/>
    <w:rsid w:val="007A532F"/>
    <w:rsid w:val="007A57DB"/>
    <w:rsid w:val="007A58A9"/>
    <w:rsid w:val="007A6144"/>
    <w:rsid w:val="007A661A"/>
    <w:rsid w:val="007A6EAA"/>
    <w:rsid w:val="007A7BF0"/>
    <w:rsid w:val="007A7DFE"/>
    <w:rsid w:val="007A7F7E"/>
    <w:rsid w:val="007B02F6"/>
    <w:rsid w:val="007B1193"/>
    <w:rsid w:val="007B1CA9"/>
    <w:rsid w:val="007B201A"/>
    <w:rsid w:val="007B2232"/>
    <w:rsid w:val="007B2A27"/>
    <w:rsid w:val="007B3CEF"/>
    <w:rsid w:val="007B3F34"/>
    <w:rsid w:val="007B4EC7"/>
    <w:rsid w:val="007B59C2"/>
    <w:rsid w:val="007B5B35"/>
    <w:rsid w:val="007B6EBD"/>
    <w:rsid w:val="007B706D"/>
    <w:rsid w:val="007C07B4"/>
    <w:rsid w:val="007C1295"/>
    <w:rsid w:val="007C1A31"/>
    <w:rsid w:val="007C202E"/>
    <w:rsid w:val="007C265B"/>
    <w:rsid w:val="007C2844"/>
    <w:rsid w:val="007C2CB2"/>
    <w:rsid w:val="007C2D21"/>
    <w:rsid w:val="007C3100"/>
    <w:rsid w:val="007C41C5"/>
    <w:rsid w:val="007C4F6D"/>
    <w:rsid w:val="007C5991"/>
    <w:rsid w:val="007C610C"/>
    <w:rsid w:val="007C72B6"/>
    <w:rsid w:val="007C7504"/>
    <w:rsid w:val="007C7547"/>
    <w:rsid w:val="007D0553"/>
    <w:rsid w:val="007D0975"/>
    <w:rsid w:val="007D1F35"/>
    <w:rsid w:val="007D2D64"/>
    <w:rsid w:val="007D3600"/>
    <w:rsid w:val="007D3F4B"/>
    <w:rsid w:val="007D4137"/>
    <w:rsid w:val="007D44DF"/>
    <w:rsid w:val="007D49D2"/>
    <w:rsid w:val="007D4F56"/>
    <w:rsid w:val="007D573A"/>
    <w:rsid w:val="007D5791"/>
    <w:rsid w:val="007D65A0"/>
    <w:rsid w:val="007D6DE4"/>
    <w:rsid w:val="007D740C"/>
    <w:rsid w:val="007D7950"/>
    <w:rsid w:val="007D79A9"/>
    <w:rsid w:val="007E0010"/>
    <w:rsid w:val="007E0B58"/>
    <w:rsid w:val="007E206F"/>
    <w:rsid w:val="007E2405"/>
    <w:rsid w:val="007E2443"/>
    <w:rsid w:val="007E2D93"/>
    <w:rsid w:val="007E313E"/>
    <w:rsid w:val="007E34AE"/>
    <w:rsid w:val="007E35D5"/>
    <w:rsid w:val="007E36FD"/>
    <w:rsid w:val="007E3995"/>
    <w:rsid w:val="007E47BA"/>
    <w:rsid w:val="007E4877"/>
    <w:rsid w:val="007E530D"/>
    <w:rsid w:val="007E595C"/>
    <w:rsid w:val="007E5D61"/>
    <w:rsid w:val="007E6F83"/>
    <w:rsid w:val="007E7040"/>
    <w:rsid w:val="007E7396"/>
    <w:rsid w:val="007F0042"/>
    <w:rsid w:val="007F031D"/>
    <w:rsid w:val="007F091A"/>
    <w:rsid w:val="007F09BF"/>
    <w:rsid w:val="007F11A8"/>
    <w:rsid w:val="007F15CE"/>
    <w:rsid w:val="007F264F"/>
    <w:rsid w:val="007F2DF3"/>
    <w:rsid w:val="007F2FD0"/>
    <w:rsid w:val="007F3204"/>
    <w:rsid w:val="007F3704"/>
    <w:rsid w:val="007F3C55"/>
    <w:rsid w:val="007F51C5"/>
    <w:rsid w:val="007F5706"/>
    <w:rsid w:val="007F57F3"/>
    <w:rsid w:val="007F68AC"/>
    <w:rsid w:val="007F6EB6"/>
    <w:rsid w:val="007F749D"/>
    <w:rsid w:val="00800646"/>
    <w:rsid w:val="008006AF"/>
    <w:rsid w:val="00800F03"/>
    <w:rsid w:val="00800F16"/>
    <w:rsid w:val="00800FA1"/>
    <w:rsid w:val="00801178"/>
    <w:rsid w:val="008017F1"/>
    <w:rsid w:val="0080268E"/>
    <w:rsid w:val="00802881"/>
    <w:rsid w:val="00802B55"/>
    <w:rsid w:val="00803491"/>
    <w:rsid w:val="008035FA"/>
    <w:rsid w:val="00803687"/>
    <w:rsid w:val="00803A10"/>
    <w:rsid w:val="00803AA9"/>
    <w:rsid w:val="008048AB"/>
    <w:rsid w:val="008053EF"/>
    <w:rsid w:val="0080568D"/>
    <w:rsid w:val="008056C9"/>
    <w:rsid w:val="008057A2"/>
    <w:rsid w:val="00805A1B"/>
    <w:rsid w:val="00806360"/>
    <w:rsid w:val="00806C29"/>
    <w:rsid w:val="00806E02"/>
    <w:rsid w:val="00806ED7"/>
    <w:rsid w:val="00807C93"/>
    <w:rsid w:val="0080F46C"/>
    <w:rsid w:val="008102F0"/>
    <w:rsid w:val="008103B5"/>
    <w:rsid w:val="00810843"/>
    <w:rsid w:val="00810B7D"/>
    <w:rsid w:val="00811007"/>
    <w:rsid w:val="00812D87"/>
    <w:rsid w:val="008134FC"/>
    <w:rsid w:val="00813732"/>
    <w:rsid w:val="00813A59"/>
    <w:rsid w:val="00813C7B"/>
    <w:rsid w:val="00814086"/>
    <w:rsid w:val="00814D2F"/>
    <w:rsid w:val="00815890"/>
    <w:rsid w:val="00815A86"/>
    <w:rsid w:val="00815EA9"/>
    <w:rsid w:val="00816467"/>
    <w:rsid w:val="00816623"/>
    <w:rsid w:val="00816D10"/>
    <w:rsid w:val="00816DF1"/>
    <w:rsid w:val="008171B1"/>
    <w:rsid w:val="008177D8"/>
    <w:rsid w:val="008179FB"/>
    <w:rsid w:val="00817A9A"/>
    <w:rsid w:val="00817E68"/>
    <w:rsid w:val="0081A2C5"/>
    <w:rsid w:val="00820399"/>
    <w:rsid w:val="0082057E"/>
    <w:rsid w:val="008206F6"/>
    <w:rsid w:val="00820E75"/>
    <w:rsid w:val="00820F48"/>
    <w:rsid w:val="00821C15"/>
    <w:rsid w:val="00822072"/>
    <w:rsid w:val="00822166"/>
    <w:rsid w:val="0082253E"/>
    <w:rsid w:val="00822B10"/>
    <w:rsid w:val="00822C87"/>
    <w:rsid w:val="008233F4"/>
    <w:rsid w:val="0082397A"/>
    <w:rsid w:val="00823D9A"/>
    <w:rsid w:val="00824237"/>
    <w:rsid w:val="008242CC"/>
    <w:rsid w:val="00825B54"/>
    <w:rsid w:val="00825DA2"/>
    <w:rsid w:val="008265D3"/>
    <w:rsid w:val="0082737E"/>
    <w:rsid w:val="008277BA"/>
    <w:rsid w:val="008300A0"/>
    <w:rsid w:val="00830932"/>
    <w:rsid w:val="00831088"/>
    <w:rsid w:val="00831A68"/>
    <w:rsid w:val="008324CD"/>
    <w:rsid w:val="00832881"/>
    <w:rsid w:val="00832D97"/>
    <w:rsid w:val="00833548"/>
    <w:rsid w:val="00833D53"/>
    <w:rsid w:val="008341BE"/>
    <w:rsid w:val="008349B5"/>
    <w:rsid w:val="00835BC2"/>
    <w:rsid w:val="00836C3D"/>
    <w:rsid w:val="00836C7C"/>
    <w:rsid w:val="00836C9E"/>
    <w:rsid w:val="0083731B"/>
    <w:rsid w:val="00840124"/>
    <w:rsid w:val="008403D3"/>
    <w:rsid w:val="0084087B"/>
    <w:rsid w:val="00841130"/>
    <w:rsid w:val="00841595"/>
    <w:rsid w:val="00841CCF"/>
    <w:rsid w:val="00841FBB"/>
    <w:rsid w:val="00842A7F"/>
    <w:rsid w:val="00842B1E"/>
    <w:rsid w:val="00842DBF"/>
    <w:rsid w:val="00842E2B"/>
    <w:rsid w:val="008435CA"/>
    <w:rsid w:val="0084374D"/>
    <w:rsid w:val="008448C6"/>
    <w:rsid w:val="00844E21"/>
    <w:rsid w:val="00845121"/>
    <w:rsid w:val="008453AD"/>
    <w:rsid w:val="00845D2F"/>
    <w:rsid w:val="00846A5E"/>
    <w:rsid w:val="008471D2"/>
    <w:rsid w:val="00847C80"/>
    <w:rsid w:val="00852630"/>
    <w:rsid w:val="00852EA6"/>
    <w:rsid w:val="00855B24"/>
    <w:rsid w:val="00856455"/>
    <w:rsid w:val="00856A56"/>
    <w:rsid w:val="00857088"/>
    <w:rsid w:val="00857173"/>
    <w:rsid w:val="0085785F"/>
    <w:rsid w:val="00857D73"/>
    <w:rsid w:val="008601DD"/>
    <w:rsid w:val="00860239"/>
    <w:rsid w:val="00860A2A"/>
    <w:rsid w:val="008613C7"/>
    <w:rsid w:val="00861C60"/>
    <w:rsid w:val="0086245F"/>
    <w:rsid w:val="00862536"/>
    <w:rsid w:val="00863858"/>
    <w:rsid w:val="00863F08"/>
    <w:rsid w:val="00864B25"/>
    <w:rsid w:val="0086570B"/>
    <w:rsid w:val="008657F0"/>
    <w:rsid w:val="00865937"/>
    <w:rsid w:val="00866160"/>
    <w:rsid w:val="00866177"/>
    <w:rsid w:val="00866D89"/>
    <w:rsid w:val="008672A1"/>
    <w:rsid w:val="00870086"/>
    <w:rsid w:val="0087053E"/>
    <w:rsid w:val="00870601"/>
    <w:rsid w:val="00870E64"/>
    <w:rsid w:val="00871336"/>
    <w:rsid w:val="00872C3C"/>
    <w:rsid w:val="00872F12"/>
    <w:rsid w:val="00873A14"/>
    <w:rsid w:val="00873AC2"/>
    <w:rsid w:val="008745D7"/>
    <w:rsid w:val="00874918"/>
    <w:rsid w:val="0087503F"/>
    <w:rsid w:val="008754F1"/>
    <w:rsid w:val="00875906"/>
    <w:rsid w:val="00875A21"/>
    <w:rsid w:val="00875ADF"/>
    <w:rsid w:val="00876347"/>
    <w:rsid w:val="00876513"/>
    <w:rsid w:val="00876E1E"/>
    <w:rsid w:val="0087763C"/>
    <w:rsid w:val="00877DA4"/>
    <w:rsid w:val="00880316"/>
    <w:rsid w:val="00880A72"/>
    <w:rsid w:val="00880ABD"/>
    <w:rsid w:val="00880EEE"/>
    <w:rsid w:val="008814B8"/>
    <w:rsid w:val="0088225B"/>
    <w:rsid w:val="00882935"/>
    <w:rsid w:val="00882EB6"/>
    <w:rsid w:val="008832C4"/>
    <w:rsid w:val="00883D58"/>
    <w:rsid w:val="008840BB"/>
    <w:rsid w:val="008848CA"/>
    <w:rsid w:val="008850A5"/>
    <w:rsid w:val="008852D7"/>
    <w:rsid w:val="00886436"/>
    <w:rsid w:val="008867CC"/>
    <w:rsid w:val="00886ED4"/>
    <w:rsid w:val="008876B5"/>
    <w:rsid w:val="00887B40"/>
    <w:rsid w:val="00887FB0"/>
    <w:rsid w:val="0089081A"/>
    <w:rsid w:val="00891209"/>
    <w:rsid w:val="00892011"/>
    <w:rsid w:val="00892A44"/>
    <w:rsid w:val="00892B45"/>
    <w:rsid w:val="00892CCD"/>
    <w:rsid w:val="0089395F"/>
    <w:rsid w:val="0089499B"/>
    <w:rsid w:val="00895E7F"/>
    <w:rsid w:val="00895EDC"/>
    <w:rsid w:val="00896278"/>
    <w:rsid w:val="0089630D"/>
    <w:rsid w:val="00896409"/>
    <w:rsid w:val="008965D0"/>
    <w:rsid w:val="0089662D"/>
    <w:rsid w:val="008967ED"/>
    <w:rsid w:val="00896E82"/>
    <w:rsid w:val="0089767B"/>
    <w:rsid w:val="00897DCF"/>
    <w:rsid w:val="00897F4A"/>
    <w:rsid w:val="0089FC73"/>
    <w:rsid w:val="008A0214"/>
    <w:rsid w:val="008A0717"/>
    <w:rsid w:val="008A0786"/>
    <w:rsid w:val="008A10D0"/>
    <w:rsid w:val="008A3221"/>
    <w:rsid w:val="008A3A53"/>
    <w:rsid w:val="008A4E96"/>
    <w:rsid w:val="008A52AE"/>
    <w:rsid w:val="008A58C9"/>
    <w:rsid w:val="008A670B"/>
    <w:rsid w:val="008A687D"/>
    <w:rsid w:val="008A6984"/>
    <w:rsid w:val="008A7247"/>
    <w:rsid w:val="008A7BDA"/>
    <w:rsid w:val="008B04A4"/>
    <w:rsid w:val="008B0862"/>
    <w:rsid w:val="008B0AD5"/>
    <w:rsid w:val="008B10E1"/>
    <w:rsid w:val="008B170C"/>
    <w:rsid w:val="008B2134"/>
    <w:rsid w:val="008B23CF"/>
    <w:rsid w:val="008B247F"/>
    <w:rsid w:val="008B2655"/>
    <w:rsid w:val="008B2860"/>
    <w:rsid w:val="008B2B55"/>
    <w:rsid w:val="008B2BAA"/>
    <w:rsid w:val="008B3080"/>
    <w:rsid w:val="008B43A8"/>
    <w:rsid w:val="008B49D5"/>
    <w:rsid w:val="008B4A79"/>
    <w:rsid w:val="008B549C"/>
    <w:rsid w:val="008B5B6E"/>
    <w:rsid w:val="008B5E33"/>
    <w:rsid w:val="008B6638"/>
    <w:rsid w:val="008B6735"/>
    <w:rsid w:val="008B67C3"/>
    <w:rsid w:val="008B6B20"/>
    <w:rsid w:val="008B6C4E"/>
    <w:rsid w:val="008B784E"/>
    <w:rsid w:val="008B7B80"/>
    <w:rsid w:val="008C0432"/>
    <w:rsid w:val="008C0DBA"/>
    <w:rsid w:val="008C0DCF"/>
    <w:rsid w:val="008C0E06"/>
    <w:rsid w:val="008C135C"/>
    <w:rsid w:val="008C28BE"/>
    <w:rsid w:val="008C28DD"/>
    <w:rsid w:val="008C35FB"/>
    <w:rsid w:val="008C3CE7"/>
    <w:rsid w:val="008C3CF4"/>
    <w:rsid w:val="008C467A"/>
    <w:rsid w:val="008C46C9"/>
    <w:rsid w:val="008C47E3"/>
    <w:rsid w:val="008C49FF"/>
    <w:rsid w:val="008C4B26"/>
    <w:rsid w:val="008C5221"/>
    <w:rsid w:val="008C5477"/>
    <w:rsid w:val="008C5ED8"/>
    <w:rsid w:val="008C6390"/>
    <w:rsid w:val="008C67E0"/>
    <w:rsid w:val="008C6DDB"/>
    <w:rsid w:val="008C6F6C"/>
    <w:rsid w:val="008C7459"/>
    <w:rsid w:val="008C79C1"/>
    <w:rsid w:val="008D09B8"/>
    <w:rsid w:val="008D1652"/>
    <w:rsid w:val="008D1B5A"/>
    <w:rsid w:val="008D1EDF"/>
    <w:rsid w:val="008D1F91"/>
    <w:rsid w:val="008D21A1"/>
    <w:rsid w:val="008D21AD"/>
    <w:rsid w:val="008D2AA9"/>
    <w:rsid w:val="008D31E1"/>
    <w:rsid w:val="008D336F"/>
    <w:rsid w:val="008D3753"/>
    <w:rsid w:val="008D38DE"/>
    <w:rsid w:val="008D3EB3"/>
    <w:rsid w:val="008D400E"/>
    <w:rsid w:val="008D5A99"/>
    <w:rsid w:val="008D5ECF"/>
    <w:rsid w:val="008D6358"/>
    <w:rsid w:val="008D68AE"/>
    <w:rsid w:val="008D6D32"/>
    <w:rsid w:val="008D70C0"/>
    <w:rsid w:val="008D7CE6"/>
    <w:rsid w:val="008D7F4A"/>
    <w:rsid w:val="008E02C3"/>
    <w:rsid w:val="008E06D2"/>
    <w:rsid w:val="008E0743"/>
    <w:rsid w:val="008E0C80"/>
    <w:rsid w:val="008E154E"/>
    <w:rsid w:val="008E1558"/>
    <w:rsid w:val="008E19ED"/>
    <w:rsid w:val="008E216D"/>
    <w:rsid w:val="008E259C"/>
    <w:rsid w:val="008E2711"/>
    <w:rsid w:val="008E2E05"/>
    <w:rsid w:val="008E33BD"/>
    <w:rsid w:val="008E38F9"/>
    <w:rsid w:val="008E3F04"/>
    <w:rsid w:val="008E415A"/>
    <w:rsid w:val="008E41ED"/>
    <w:rsid w:val="008E59D3"/>
    <w:rsid w:val="008E6294"/>
    <w:rsid w:val="008E64DA"/>
    <w:rsid w:val="008E6569"/>
    <w:rsid w:val="008E666A"/>
    <w:rsid w:val="008E7BAD"/>
    <w:rsid w:val="008F0A98"/>
    <w:rsid w:val="008F1579"/>
    <w:rsid w:val="008F1857"/>
    <w:rsid w:val="008F1FE8"/>
    <w:rsid w:val="008F21CD"/>
    <w:rsid w:val="008F2B32"/>
    <w:rsid w:val="008F3073"/>
    <w:rsid w:val="008F3348"/>
    <w:rsid w:val="008F337B"/>
    <w:rsid w:val="008F339A"/>
    <w:rsid w:val="008F3470"/>
    <w:rsid w:val="008F45CA"/>
    <w:rsid w:val="008F4F2D"/>
    <w:rsid w:val="008F52F2"/>
    <w:rsid w:val="008F5929"/>
    <w:rsid w:val="008F6506"/>
    <w:rsid w:val="008F6864"/>
    <w:rsid w:val="008F6C6C"/>
    <w:rsid w:val="008F6D33"/>
    <w:rsid w:val="008F71CB"/>
    <w:rsid w:val="008F7B28"/>
    <w:rsid w:val="0090023B"/>
    <w:rsid w:val="00900354"/>
    <w:rsid w:val="00901097"/>
    <w:rsid w:val="00901E2E"/>
    <w:rsid w:val="00901FEC"/>
    <w:rsid w:val="00902585"/>
    <w:rsid w:val="00902CDF"/>
    <w:rsid w:val="00902EBD"/>
    <w:rsid w:val="009032E6"/>
    <w:rsid w:val="00903651"/>
    <w:rsid w:val="0090472C"/>
    <w:rsid w:val="00904A3A"/>
    <w:rsid w:val="00904B02"/>
    <w:rsid w:val="0090517A"/>
    <w:rsid w:val="009056F4"/>
    <w:rsid w:val="00905880"/>
    <w:rsid w:val="009058FE"/>
    <w:rsid w:val="00905AC1"/>
    <w:rsid w:val="00905C59"/>
    <w:rsid w:val="0090613E"/>
    <w:rsid w:val="009063BA"/>
    <w:rsid w:val="00906542"/>
    <w:rsid w:val="00906DA7"/>
    <w:rsid w:val="00906EAC"/>
    <w:rsid w:val="00906FF6"/>
    <w:rsid w:val="0090786C"/>
    <w:rsid w:val="009107BF"/>
    <w:rsid w:val="00911872"/>
    <w:rsid w:val="00912C1B"/>
    <w:rsid w:val="00912C5D"/>
    <w:rsid w:val="00913E05"/>
    <w:rsid w:val="009143B0"/>
    <w:rsid w:val="00914FAE"/>
    <w:rsid w:val="00916783"/>
    <w:rsid w:val="009168F9"/>
    <w:rsid w:val="00916B62"/>
    <w:rsid w:val="00916CFE"/>
    <w:rsid w:val="00916D23"/>
    <w:rsid w:val="009171BD"/>
    <w:rsid w:val="00917298"/>
    <w:rsid w:val="00920673"/>
    <w:rsid w:val="00920979"/>
    <w:rsid w:val="00920D51"/>
    <w:rsid w:val="00920EF0"/>
    <w:rsid w:val="00921824"/>
    <w:rsid w:val="00921FE9"/>
    <w:rsid w:val="009225CD"/>
    <w:rsid w:val="00922CFD"/>
    <w:rsid w:val="00923621"/>
    <w:rsid w:val="009239A3"/>
    <w:rsid w:val="00924823"/>
    <w:rsid w:val="00924834"/>
    <w:rsid w:val="009249D2"/>
    <w:rsid w:val="00925686"/>
    <w:rsid w:val="00926017"/>
    <w:rsid w:val="009268D1"/>
    <w:rsid w:val="00926994"/>
    <w:rsid w:val="00926BB0"/>
    <w:rsid w:val="00926EE0"/>
    <w:rsid w:val="00926F76"/>
    <w:rsid w:val="0092756D"/>
    <w:rsid w:val="009306A3"/>
    <w:rsid w:val="00930811"/>
    <w:rsid w:val="00930DBE"/>
    <w:rsid w:val="00930F9A"/>
    <w:rsid w:val="0093125F"/>
    <w:rsid w:val="00931647"/>
    <w:rsid w:val="009316BA"/>
    <w:rsid w:val="009317F0"/>
    <w:rsid w:val="00931865"/>
    <w:rsid w:val="00931999"/>
    <w:rsid w:val="00932EE7"/>
    <w:rsid w:val="00932F37"/>
    <w:rsid w:val="0093328D"/>
    <w:rsid w:val="0093358E"/>
    <w:rsid w:val="009335C5"/>
    <w:rsid w:val="00933661"/>
    <w:rsid w:val="0093398C"/>
    <w:rsid w:val="00933C39"/>
    <w:rsid w:val="00933F3C"/>
    <w:rsid w:val="0093583B"/>
    <w:rsid w:val="009368B1"/>
    <w:rsid w:val="0093747F"/>
    <w:rsid w:val="00937A13"/>
    <w:rsid w:val="0094014B"/>
    <w:rsid w:val="0094065D"/>
    <w:rsid w:val="00941C30"/>
    <w:rsid w:val="009423F8"/>
    <w:rsid w:val="00942698"/>
    <w:rsid w:val="00942920"/>
    <w:rsid w:val="00942A5B"/>
    <w:rsid w:val="00944353"/>
    <w:rsid w:val="00944699"/>
    <w:rsid w:val="00944AC8"/>
    <w:rsid w:val="00944C3F"/>
    <w:rsid w:val="00944CC3"/>
    <w:rsid w:val="00944CDE"/>
    <w:rsid w:val="00944E25"/>
    <w:rsid w:val="00944F8E"/>
    <w:rsid w:val="00944FDF"/>
    <w:rsid w:val="00945A8A"/>
    <w:rsid w:val="00945C0B"/>
    <w:rsid w:val="00945C99"/>
    <w:rsid w:val="00946506"/>
    <w:rsid w:val="009475FC"/>
    <w:rsid w:val="00947723"/>
    <w:rsid w:val="00947CAF"/>
    <w:rsid w:val="00947F8F"/>
    <w:rsid w:val="00950187"/>
    <w:rsid w:val="009504FA"/>
    <w:rsid w:val="0095060D"/>
    <w:rsid w:val="00950680"/>
    <w:rsid w:val="00951073"/>
    <w:rsid w:val="00951587"/>
    <w:rsid w:val="009517F3"/>
    <w:rsid w:val="00951BDC"/>
    <w:rsid w:val="00953137"/>
    <w:rsid w:val="00953322"/>
    <w:rsid w:val="00953607"/>
    <w:rsid w:val="009543E3"/>
    <w:rsid w:val="0095441F"/>
    <w:rsid w:val="00954B33"/>
    <w:rsid w:val="009551F8"/>
    <w:rsid w:val="0095568E"/>
    <w:rsid w:val="00956DC4"/>
    <w:rsid w:val="00957B17"/>
    <w:rsid w:val="00960305"/>
    <w:rsid w:val="00960462"/>
    <w:rsid w:val="009609E5"/>
    <w:rsid w:val="00961D73"/>
    <w:rsid w:val="00963525"/>
    <w:rsid w:val="00963839"/>
    <w:rsid w:val="009648B2"/>
    <w:rsid w:val="00964D87"/>
    <w:rsid w:val="009650A7"/>
    <w:rsid w:val="00966407"/>
    <w:rsid w:val="00966DFC"/>
    <w:rsid w:val="00967657"/>
    <w:rsid w:val="009704B0"/>
    <w:rsid w:val="0097061B"/>
    <w:rsid w:val="009706A9"/>
    <w:rsid w:val="00970BC6"/>
    <w:rsid w:val="0097131F"/>
    <w:rsid w:val="00971466"/>
    <w:rsid w:val="0097225F"/>
    <w:rsid w:val="009729AF"/>
    <w:rsid w:val="00972ABA"/>
    <w:rsid w:val="00972C31"/>
    <w:rsid w:val="00973C5F"/>
    <w:rsid w:val="00974C19"/>
    <w:rsid w:val="00974E77"/>
    <w:rsid w:val="009765F7"/>
    <w:rsid w:val="009775E8"/>
    <w:rsid w:val="00977BBA"/>
    <w:rsid w:val="00980EF8"/>
    <w:rsid w:val="00981051"/>
    <w:rsid w:val="00981391"/>
    <w:rsid w:val="009822D9"/>
    <w:rsid w:val="00982602"/>
    <w:rsid w:val="00983B35"/>
    <w:rsid w:val="00983F29"/>
    <w:rsid w:val="009844BE"/>
    <w:rsid w:val="00984674"/>
    <w:rsid w:val="00984D37"/>
    <w:rsid w:val="00984F81"/>
    <w:rsid w:val="0098521B"/>
    <w:rsid w:val="00985913"/>
    <w:rsid w:val="00985DB2"/>
    <w:rsid w:val="00986585"/>
    <w:rsid w:val="00986C70"/>
    <w:rsid w:val="00987351"/>
    <w:rsid w:val="009874F8"/>
    <w:rsid w:val="00987559"/>
    <w:rsid w:val="00987605"/>
    <w:rsid w:val="0099059E"/>
    <w:rsid w:val="009909C4"/>
    <w:rsid w:val="009909F3"/>
    <w:rsid w:val="00990D25"/>
    <w:rsid w:val="00990ED5"/>
    <w:rsid w:val="00991A43"/>
    <w:rsid w:val="0099292C"/>
    <w:rsid w:val="009930EB"/>
    <w:rsid w:val="009931F2"/>
    <w:rsid w:val="0099380C"/>
    <w:rsid w:val="00993F06"/>
    <w:rsid w:val="0099450E"/>
    <w:rsid w:val="0099470B"/>
    <w:rsid w:val="00994860"/>
    <w:rsid w:val="00994A4C"/>
    <w:rsid w:val="00994C6B"/>
    <w:rsid w:val="00994F4A"/>
    <w:rsid w:val="00995B0B"/>
    <w:rsid w:val="00995B73"/>
    <w:rsid w:val="00996302"/>
    <w:rsid w:val="00996344"/>
    <w:rsid w:val="009966D4"/>
    <w:rsid w:val="00996FBC"/>
    <w:rsid w:val="009973D3"/>
    <w:rsid w:val="00997A27"/>
    <w:rsid w:val="00997BD5"/>
    <w:rsid w:val="00997E84"/>
    <w:rsid w:val="009A0449"/>
    <w:rsid w:val="009A13A1"/>
    <w:rsid w:val="009A15DE"/>
    <w:rsid w:val="009A2983"/>
    <w:rsid w:val="009A29BF"/>
    <w:rsid w:val="009A2C3A"/>
    <w:rsid w:val="009A2CA7"/>
    <w:rsid w:val="009A30CC"/>
    <w:rsid w:val="009A30FC"/>
    <w:rsid w:val="009A37CE"/>
    <w:rsid w:val="009A3C72"/>
    <w:rsid w:val="009A4D0D"/>
    <w:rsid w:val="009A5546"/>
    <w:rsid w:val="009A5D78"/>
    <w:rsid w:val="009A62CC"/>
    <w:rsid w:val="009A63D4"/>
    <w:rsid w:val="009A67A5"/>
    <w:rsid w:val="009A68A9"/>
    <w:rsid w:val="009A7876"/>
    <w:rsid w:val="009A78CC"/>
    <w:rsid w:val="009A7A14"/>
    <w:rsid w:val="009A7B69"/>
    <w:rsid w:val="009B081A"/>
    <w:rsid w:val="009B1938"/>
    <w:rsid w:val="009B1A07"/>
    <w:rsid w:val="009B23AF"/>
    <w:rsid w:val="009B2D76"/>
    <w:rsid w:val="009B2FB0"/>
    <w:rsid w:val="009B3412"/>
    <w:rsid w:val="009B3621"/>
    <w:rsid w:val="009B383F"/>
    <w:rsid w:val="009B396E"/>
    <w:rsid w:val="009B4A04"/>
    <w:rsid w:val="009B546F"/>
    <w:rsid w:val="009B5636"/>
    <w:rsid w:val="009B5B3A"/>
    <w:rsid w:val="009B5D73"/>
    <w:rsid w:val="009B6295"/>
    <w:rsid w:val="009B6826"/>
    <w:rsid w:val="009B6954"/>
    <w:rsid w:val="009B6D43"/>
    <w:rsid w:val="009B7A3D"/>
    <w:rsid w:val="009B7C4F"/>
    <w:rsid w:val="009C0162"/>
    <w:rsid w:val="009C05AA"/>
    <w:rsid w:val="009C080A"/>
    <w:rsid w:val="009C0B70"/>
    <w:rsid w:val="009C1ADE"/>
    <w:rsid w:val="009C274E"/>
    <w:rsid w:val="009C2FC9"/>
    <w:rsid w:val="009C34D2"/>
    <w:rsid w:val="009C54BD"/>
    <w:rsid w:val="009C66D7"/>
    <w:rsid w:val="009C7662"/>
    <w:rsid w:val="009C7B28"/>
    <w:rsid w:val="009C7DE8"/>
    <w:rsid w:val="009C7EEC"/>
    <w:rsid w:val="009C7F3E"/>
    <w:rsid w:val="009D073E"/>
    <w:rsid w:val="009D0994"/>
    <w:rsid w:val="009D1191"/>
    <w:rsid w:val="009D1473"/>
    <w:rsid w:val="009D16EA"/>
    <w:rsid w:val="009D1AB0"/>
    <w:rsid w:val="009D1DD6"/>
    <w:rsid w:val="009D1F4C"/>
    <w:rsid w:val="009D2032"/>
    <w:rsid w:val="009D2108"/>
    <w:rsid w:val="009D27CA"/>
    <w:rsid w:val="009D28E4"/>
    <w:rsid w:val="009D3529"/>
    <w:rsid w:val="009D40A6"/>
    <w:rsid w:val="009D49FF"/>
    <w:rsid w:val="009D4B60"/>
    <w:rsid w:val="009D4CAF"/>
    <w:rsid w:val="009D4DC3"/>
    <w:rsid w:val="009D502E"/>
    <w:rsid w:val="009D56E5"/>
    <w:rsid w:val="009D5B31"/>
    <w:rsid w:val="009D61F2"/>
    <w:rsid w:val="009D62B0"/>
    <w:rsid w:val="009D68A9"/>
    <w:rsid w:val="009D6ADB"/>
    <w:rsid w:val="009D7597"/>
    <w:rsid w:val="009D76D9"/>
    <w:rsid w:val="009D7B60"/>
    <w:rsid w:val="009D7E76"/>
    <w:rsid w:val="009DB68E"/>
    <w:rsid w:val="009E052D"/>
    <w:rsid w:val="009E0F45"/>
    <w:rsid w:val="009E0FA4"/>
    <w:rsid w:val="009E13BD"/>
    <w:rsid w:val="009E13FF"/>
    <w:rsid w:val="009E1D3C"/>
    <w:rsid w:val="009E1FB3"/>
    <w:rsid w:val="009E1FDF"/>
    <w:rsid w:val="009E2692"/>
    <w:rsid w:val="009E334C"/>
    <w:rsid w:val="009E3742"/>
    <w:rsid w:val="009E4AD5"/>
    <w:rsid w:val="009E4F48"/>
    <w:rsid w:val="009E4FE4"/>
    <w:rsid w:val="009E51B3"/>
    <w:rsid w:val="009E59C4"/>
    <w:rsid w:val="009E6C83"/>
    <w:rsid w:val="009E7D6E"/>
    <w:rsid w:val="009F000F"/>
    <w:rsid w:val="009F078F"/>
    <w:rsid w:val="009F0805"/>
    <w:rsid w:val="009F090B"/>
    <w:rsid w:val="009F0ED0"/>
    <w:rsid w:val="009F133B"/>
    <w:rsid w:val="009F18DE"/>
    <w:rsid w:val="009F1C78"/>
    <w:rsid w:val="009F1EEB"/>
    <w:rsid w:val="009F2756"/>
    <w:rsid w:val="009F2F6F"/>
    <w:rsid w:val="009F31CC"/>
    <w:rsid w:val="009F32DC"/>
    <w:rsid w:val="009F37C3"/>
    <w:rsid w:val="009F3A45"/>
    <w:rsid w:val="009F3B62"/>
    <w:rsid w:val="009F503A"/>
    <w:rsid w:val="009F579A"/>
    <w:rsid w:val="009F5E00"/>
    <w:rsid w:val="009F618A"/>
    <w:rsid w:val="009F6C5F"/>
    <w:rsid w:val="009F707E"/>
    <w:rsid w:val="009F7493"/>
    <w:rsid w:val="009F7E91"/>
    <w:rsid w:val="00A00D33"/>
    <w:rsid w:val="00A00DA5"/>
    <w:rsid w:val="00A00F82"/>
    <w:rsid w:val="00A013D7"/>
    <w:rsid w:val="00A019D4"/>
    <w:rsid w:val="00A02C4B"/>
    <w:rsid w:val="00A03939"/>
    <w:rsid w:val="00A041A2"/>
    <w:rsid w:val="00A043A9"/>
    <w:rsid w:val="00A058C2"/>
    <w:rsid w:val="00A07F0F"/>
    <w:rsid w:val="00A07FDD"/>
    <w:rsid w:val="00A0DDA2"/>
    <w:rsid w:val="00A10285"/>
    <w:rsid w:val="00A10383"/>
    <w:rsid w:val="00A10796"/>
    <w:rsid w:val="00A10869"/>
    <w:rsid w:val="00A1094E"/>
    <w:rsid w:val="00A11479"/>
    <w:rsid w:val="00A114D1"/>
    <w:rsid w:val="00A119FD"/>
    <w:rsid w:val="00A11C69"/>
    <w:rsid w:val="00A11CD2"/>
    <w:rsid w:val="00A121CD"/>
    <w:rsid w:val="00A13174"/>
    <w:rsid w:val="00A131B4"/>
    <w:rsid w:val="00A13833"/>
    <w:rsid w:val="00A140AE"/>
    <w:rsid w:val="00A14311"/>
    <w:rsid w:val="00A14464"/>
    <w:rsid w:val="00A145FB"/>
    <w:rsid w:val="00A15C35"/>
    <w:rsid w:val="00A162AE"/>
    <w:rsid w:val="00A16798"/>
    <w:rsid w:val="00A170C1"/>
    <w:rsid w:val="00A172DD"/>
    <w:rsid w:val="00A177A8"/>
    <w:rsid w:val="00A17B87"/>
    <w:rsid w:val="00A2096D"/>
    <w:rsid w:val="00A213C8"/>
    <w:rsid w:val="00A215B4"/>
    <w:rsid w:val="00A21D8F"/>
    <w:rsid w:val="00A22137"/>
    <w:rsid w:val="00A227A8"/>
    <w:rsid w:val="00A22FFA"/>
    <w:rsid w:val="00A237CF"/>
    <w:rsid w:val="00A24B03"/>
    <w:rsid w:val="00A25383"/>
    <w:rsid w:val="00A25564"/>
    <w:rsid w:val="00A25833"/>
    <w:rsid w:val="00A25974"/>
    <w:rsid w:val="00A26628"/>
    <w:rsid w:val="00A26788"/>
    <w:rsid w:val="00A26F15"/>
    <w:rsid w:val="00A27503"/>
    <w:rsid w:val="00A2761F"/>
    <w:rsid w:val="00A28CB7"/>
    <w:rsid w:val="00A30981"/>
    <w:rsid w:val="00A309E8"/>
    <w:rsid w:val="00A3117B"/>
    <w:rsid w:val="00A318C9"/>
    <w:rsid w:val="00A31ED9"/>
    <w:rsid w:val="00A32412"/>
    <w:rsid w:val="00A3269D"/>
    <w:rsid w:val="00A32866"/>
    <w:rsid w:val="00A32E9A"/>
    <w:rsid w:val="00A3310B"/>
    <w:rsid w:val="00A338F0"/>
    <w:rsid w:val="00A3391C"/>
    <w:rsid w:val="00A33CCF"/>
    <w:rsid w:val="00A344BA"/>
    <w:rsid w:val="00A3487E"/>
    <w:rsid w:val="00A34A67"/>
    <w:rsid w:val="00A3516B"/>
    <w:rsid w:val="00A37135"/>
    <w:rsid w:val="00A403FE"/>
    <w:rsid w:val="00A4069E"/>
    <w:rsid w:val="00A40D78"/>
    <w:rsid w:val="00A411F3"/>
    <w:rsid w:val="00A420ED"/>
    <w:rsid w:val="00A422B2"/>
    <w:rsid w:val="00A43E4D"/>
    <w:rsid w:val="00A43FAC"/>
    <w:rsid w:val="00A445FD"/>
    <w:rsid w:val="00A44866"/>
    <w:rsid w:val="00A44932"/>
    <w:rsid w:val="00A46559"/>
    <w:rsid w:val="00A47936"/>
    <w:rsid w:val="00A47C87"/>
    <w:rsid w:val="00A50B0F"/>
    <w:rsid w:val="00A50B68"/>
    <w:rsid w:val="00A51138"/>
    <w:rsid w:val="00A51942"/>
    <w:rsid w:val="00A52513"/>
    <w:rsid w:val="00A52828"/>
    <w:rsid w:val="00A52C8C"/>
    <w:rsid w:val="00A53907"/>
    <w:rsid w:val="00A53FB5"/>
    <w:rsid w:val="00A54002"/>
    <w:rsid w:val="00A54FD0"/>
    <w:rsid w:val="00A55036"/>
    <w:rsid w:val="00A5534C"/>
    <w:rsid w:val="00A5581B"/>
    <w:rsid w:val="00A55CC9"/>
    <w:rsid w:val="00A55DFD"/>
    <w:rsid w:val="00A605C6"/>
    <w:rsid w:val="00A61145"/>
    <w:rsid w:val="00A616A5"/>
    <w:rsid w:val="00A617E4"/>
    <w:rsid w:val="00A61C35"/>
    <w:rsid w:val="00A624ED"/>
    <w:rsid w:val="00A62BA2"/>
    <w:rsid w:val="00A63186"/>
    <w:rsid w:val="00A633AB"/>
    <w:rsid w:val="00A63570"/>
    <w:rsid w:val="00A63EE5"/>
    <w:rsid w:val="00A654EE"/>
    <w:rsid w:val="00A6579B"/>
    <w:rsid w:val="00A65A60"/>
    <w:rsid w:val="00A661E7"/>
    <w:rsid w:val="00A66917"/>
    <w:rsid w:val="00A67FBD"/>
    <w:rsid w:val="00A70A3E"/>
    <w:rsid w:val="00A70B5F"/>
    <w:rsid w:val="00A70B92"/>
    <w:rsid w:val="00A71312"/>
    <w:rsid w:val="00A71531"/>
    <w:rsid w:val="00A71970"/>
    <w:rsid w:val="00A7262C"/>
    <w:rsid w:val="00A7282B"/>
    <w:rsid w:val="00A72C9A"/>
    <w:rsid w:val="00A7398E"/>
    <w:rsid w:val="00A7404F"/>
    <w:rsid w:val="00A74192"/>
    <w:rsid w:val="00A74C88"/>
    <w:rsid w:val="00A75069"/>
    <w:rsid w:val="00A7578D"/>
    <w:rsid w:val="00A75B08"/>
    <w:rsid w:val="00A761CE"/>
    <w:rsid w:val="00A76539"/>
    <w:rsid w:val="00A77020"/>
    <w:rsid w:val="00A778F2"/>
    <w:rsid w:val="00A80849"/>
    <w:rsid w:val="00A814BA"/>
    <w:rsid w:val="00A8163B"/>
    <w:rsid w:val="00A81728"/>
    <w:rsid w:val="00A81F98"/>
    <w:rsid w:val="00A826A0"/>
    <w:rsid w:val="00A8306F"/>
    <w:rsid w:val="00A831AD"/>
    <w:rsid w:val="00A835E1"/>
    <w:rsid w:val="00A836EF"/>
    <w:rsid w:val="00A83ED6"/>
    <w:rsid w:val="00A84A05"/>
    <w:rsid w:val="00A8606C"/>
    <w:rsid w:val="00A87154"/>
    <w:rsid w:val="00A87C18"/>
    <w:rsid w:val="00A90A65"/>
    <w:rsid w:val="00A91462"/>
    <w:rsid w:val="00A9193E"/>
    <w:rsid w:val="00A91EB9"/>
    <w:rsid w:val="00A92BD7"/>
    <w:rsid w:val="00A92DBB"/>
    <w:rsid w:val="00A93287"/>
    <w:rsid w:val="00A9340D"/>
    <w:rsid w:val="00A93DA2"/>
    <w:rsid w:val="00A93E41"/>
    <w:rsid w:val="00A94A2C"/>
    <w:rsid w:val="00A95BB6"/>
    <w:rsid w:val="00A96CB7"/>
    <w:rsid w:val="00A973DA"/>
    <w:rsid w:val="00A97C0A"/>
    <w:rsid w:val="00AA14E4"/>
    <w:rsid w:val="00AA152B"/>
    <w:rsid w:val="00AA20DD"/>
    <w:rsid w:val="00AA27BF"/>
    <w:rsid w:val="00AA2AAF"/>
    <w:rsid w:val="00AA303B"/>
    <w:rsid w:val="00AA3E8E"/>
    <w:rsid w:val="00AA3FF0"/>
    <w:rsid w:val="00AA4838"/>
    <w:rsid w:val="00AA4A0C"/>
    <w:rsid w:val="00AA51DF"/>
    <w:rsid w:val="00AA5429"/>
    <w:rsid w:val="00AA5619"/>
    <w:rsid w:val="00AA58A5"/>
    <w:rsid w:val="00AA6169"/>
    <w:rsid w:val="00AA6459"/>
    <w:rsid w:val="00AA71A4"/>
    <w:rsid w:val="00AA728B"/>
    <w:rsid w:val="00AA7508"/>
    <w:rsid w:val="00AA7AFB"/>
    <w:rsid w:val="00AA9919"/>
    <w:rsid w:val="00AB03E4"/>
    <w:rsid w:val="00AB0A49"/>
    <w:rsid w:val="00AB0E82"/>
    <w:rsid w:val="00AB1A77"/>
    <w:rsid w:val="00AB1C0A"/>
    <w:rsid w:val="00AB1CCD"/>
    <w:rsid w:val="00AB276E"/>
    <w:rsid w:val="00AB2856"/>
    <w:rsid w:val="00AB2B38"/>
    <w:rsid w:val="00AB30C8"/>
    <w:rsid w:val="00AB3276"/>
    <w:rsid w:val="00AB368D"/>
    <w:rsid w:val="00AB381B"/>
    <w:rsid w:val="00AB45E0"/>
    <w:rsid w:val="00AB46DF"/>
    <w:rsid w:val="00AB47DC"/>
    <w:rsid w:val="00AB5A16"/>
    <w:rsid w:val="00AB5C00"/>
    <w:rsid w:val="00AB5EFF"/>
    <w:rsid w:val="00AB649C"/>
    <w:rsid w:val="00AB76EE"/>
    <w:rsid w:val="00AC071B"/>
    <w:rsid w:val="00AC0B11"/>
    <w:rsid w:val="00AC0CA2"/>
    <w:rsid w:val="00AC154A"/>
    <w:rsid w:val="00AC1FCA"/>
    <w:rsid w:val="00AC2120"/>
    <w:rsid w:val="00AC233B"/>
    <w:rsid w:val="00AC3299"/>
    <w:rsid w:val="00AC3588"/>
    <w:rsid w:val="00AC3696"/>
    <w:rsid w:val="00AC3DC6"/>
    <w:rsid w:val="00AC3E8F"/>
    <w:rsid w:val="00AC40CE"/>
    <w:rsid w:val="00AC5789"/>
    <w:rsid w:val="00AC5867"/>
    <w:rsid w:val="00AC58E7"/>
    <w:rsid w:val="00AC595C"/>
    <w:rsid w:val="00AC5B82"/>
    <w:rsid w:val="00AC67DB"/>
    <w:rsid w:val="00AC7439"/>
    <w:rsid w:val="00AC748D"/>
    <w:rsid w:val="00AC7690"/>
    <w:rsid w:val="00AC7E22"/>
    <w:rsid w:val="00AD0140"/>
    <w:rsid w:val="00AD0561"/>
    <w:rsid w:val="00AD0B43"/>
    <w:rsid w:val="00AD12AD"/>
    <w:rsid w:val="00AD17D0"/>
    <w:rsid w:val="00AD1BEF"/>
    <w:rsid w:val="00AD1CC9"/>
    <w:rsid w:val="00AD1F8D"/>
    <w:rsid w:val="00AD201C"/>
    <w:rsid w:val="00AD274D"/>
    <w:rsid w:val="00AD3633"/>
    <w:rsid w:val="00AD38A7"/>
    <w:rsid w:val="00AD4567"/>
    <w:rsid w:val="00AD4BF7"/>
    <w:rsid w:val="00AD4CCE"/>
    <w:rsid w:val="00AD4F29"/>
    <w:rsid w:val="00AD5428"/>
    <w:rsid w:val="00AD5799"/>
    <w:rsid w:val="00AD6DAB"/>
    <w:rsid w:val="00AD7619"/>
    <w:rsid w:val="00AD7F43"/>
    <w:rsid w:val="00AE02C7"/>
    <w:rsid w:val="00AE0825"/>
    <w:rsid w:val="00AE0D0E"/>
    <w:rsid w:val="00AE1032"/>
    <w:rsid w:val="00AE119D"/>
    <w:rsid w:val="00AE1C62"/>
    <w:rsid w:val="00AE2BDC"/>
    <w:rsid w:val="00AE2E8A"/>
    <w:rsid w:val="00AE3525"/>
    <w:rsid w:val="00AE3A44"/>
    <w:rsid w:val="00AE3EE2"/>
    <w:rsid w:val="00AE4660"/>
    <w:rsid w:val="00AE4783"/>
    <w:rsid w:val="00AE57A1"/>
    <w:rsid w:val="00AE5A53"/>
    <w:rsid w:val="00AE68BB"/>
    <w:rsid w:val="00AE779C"/>
    <w:rsid w:val="00AE7855"/>
    <w:rsid w:val="00AF01C2"/>
    <w:rsid w:val="00AF0B11"/>
    <w:rsid w:val="00AF0FCC"/>
    <w:rsid w:val="00AF128A"/>
    <w:rsid w:val="00AF16C1"/>
    <w:rsid w:val="00AF1AAA"/>
    <w:rsid w:val="00AF2051"/>
    <w:rsid w:val="00AF206C"/>
    <w:rsid w:val="00AF27F7"/>
    <w:rsid w:val="00AF4C36"/>
    <w:rsid w:val="00AF5299"/>
    <w:rsid w:val="00AF61D6"/>
    <w:rsid w:val="00AF6522"/>
    <w:rsid w:val="00AF673A"/>
    <w:rsid w:val="00AF682C"/>
    <w:rsid w:val="00AF69B0"/>
    <w:rsid w:val="00AF7024"/>
    <w:rsid w:val="00AF7747"/>
    <w:rsid w:val="00AF7831"/>
    <w:rsid w:val="00B0021E"/>
    <w:rsid w:val="00B020C7"/>
    <w:rsid w:val="00B026F9"/>
    <w:rsid w:val="00B03220"/>
    <w:rsid w:val="00B04563"/>
    <w:rsid w:val="00B04CE5"/>
    <w:rsid w:val="00B0514E"/>
    <w:rsid w:val="00B054F8"/>
    <w:rsid w:val="00B05DC5"/>
    <w:rsid w:val="00B05F43"/>
    <w:rsid w:val="00B06499"/>
    <w:rsid w:val="00B064E6"/>
    <w:rsid w:val="00B07F9A"/>
    <w:rsid w:val="00B1064C"/>
    <w:rsid w:val="00B115EA"/>
    <w:rsid w:val="00B117F6"/>
    <w:rsid w:val="00B11C2E"/>
    <w:rsid w:val="00B121FD"/>
    <w:rsid w:val="00B12AA4"/>
    <w:rsid w:val="00B12F00"/>
    <w:rsid w:val="00B13473"/>
    <w:rsid w:val="00B135AD"/>
    <w:rsid w:val="00B138DA"/>
    <w:rsid w:val="00B14558"/>
    <w:rsid w:val="00B15C01"/>
    <w:rsid w:val="00B15D84"/>
    <w:rsid w:val="00B15E55"/>
    <w:rsid w:val="00B16F37"/>
    <w:rsid w:val="00B17A19"/>
    <w:rsid w:val="00B205C4"/>
    <w:rsid w:val="00B206E0"/>
    <w:rsid w:val="00B2175E"/>
    <w:rsid w:val="00B23D60"/>
    <w:rsid w:val="00B23F01"/>
    <w:rsid w:val="00B24027"/>
    <w:rsid w:val="00B25300"/>
    <w:rsid w:val="00B265B2"/>
    <w:rsid w:val="00B265C9"/>
    <w:rsid w:val="00B267CC"/>
    <w:rsid w:val="00B26B64"/>
    <w:rsid w:val="00B26E2D"/>
    <w:rsid w:val="00B271D4"/>
    <w:rsid w:val="00B27F30"/>
    <w:rsid w:val="00B304C0"/>
    <w:rsid w:val="00B311E4"/>
    <w:rsid w:val="00B31341"/>
    <w:rsid w:val="00B31CD9"/>
    <w:rsid w:val="00B321DD"/>
    <w:rsid w:val="00B324BC"/>
    <w:rsid w:val="00B3255C"/>
    <w:rsid w:val="00B328FF"/>
    <w:rsid w:val="00B32CBF"/>
    <w:rsid w:val="00B334B6"/>
    <w:rsid w:val="00B33CD2"/>
    <w:rsid w:val="00B340BC"/>
    <w:rsid w:val="00B346DC"/>
    <w:rsid w:val="00B34EEC"/>
    <w:rsid w:val="00B35674"/>
    <w:rsid w:val="00B35953"/>
    <w:rsid w:val="00B35C75"/>
    <w:rsid w:val="00B35D5F"/>
    <w:rsid w:val="00B3633C"/>
    <w:rsid w:val="00B363B5"/>
    <w:rsid w:val="00B3689E"/>
    <w:rsid w:val="00B368AC"/>
    <w:rsid w:val="00B36E29"/>
    <w:rsid w:val="00B3745B"/>
    <w:rsid w:val="00B37B17"/>
    <w:rsid w:val="00B40723"/>
    <w:rsid w:val="00B4155D"/>
    <w:rsid w:val="00B418A7"/>
    <w:rsid w:val="00B41A04"/>
    <w:rsid w:val="00B41EB2"/>
    <w:rsid w:val="00B424C7"/>
    <w:rsid w:val="00B42D7D"/>
    <w:rsid w:val="00B42E24"/>
    <w:rsid w:val="00B42E40"/>
    <w:rsid w:val="00B43959"/>
    <w:rsid w:val="00B4463E"/>
    <w:rsid w:val="00B44B43"/>
    <w:rsid w:val="00B45552"/>
    <w:rsid w:val="00B46483"/>
    <w:rsid w:val="00B46AB3"/>
    <w:rsid w:val="00B46B88"/>
    <w:rsid w:val="00B46FAB"/>
    <w:rsid w:val="00B4729C"/>
    <w:rsid w:val="00B47403"/>
    <w:rsid w:val="00B4763B"/>
    <w:rsid w:val="00B476C0"/>
    <w:rsid w:val="00B4773C"/>
    <w:rsid w:val="00B479F4"/>
    <w:rsid w:val="00B47BA0"/>
    <w:rsid w:val="00B47D47"/>
    <w:rsid w:val="00B47E1E"/>
    <w:rsid w:val="00B5017B"/>
    <w:rsid w:val="00B5032B"/>
    <w:rsid w:val="00B506E4"/>
    <w:rsid w:val="00B509C1"/>
    <w:rsid w:val="00B510B4"/>
    <w:rsid w:val="00B517E8"/>
    <w:rsid w:val="00B52095"/>
    <w:rsid w:val="00B53091"/>
    <w:rsid w:val="00B53139"/>
    <w:rsid w:val="00B5336B"/>
    <w:rsid w:val="00B537E0"/>
    <w:rsid w:val="00B54EF4"/>
    <w:rsid w:val="00B55072"/>
    <w:rsid w:val="00B55962"/>
    <w:rsid w:val="00B56191"/>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52AA"/>
    <w:rsid w:val="00B653E5"/>
    <w:rsid w:val="00B65FB7"/>
    <w:rsid w:val="00B6672F"/>
    <w:rsid w:val="00B67BC5"/>
    <w:rsid w:val="00B703E8"/>
    <w:rsid w:val="00B70A57"/>
    <w:rsid w:val="00B70C0B"/>
    <w:rsid w:val="00B70DC8"/>
    <w:rsid w:val="00B718EF"/>
    <w:rsid w:val="00B71A6E"/>
    <w:rsid w:val="00B720F5"/>
    <w:rsid w:val="00B721F9"/>
    <w:rsid w:val="00B728C4"/>
    <w:rsid w:val="00B73631"/>
    <w:rsid w:val="00B741C0"/>
    <w:rsid w:val="00B741C6"/>
    <w:rsid w:val="00B745B7"/>
    <w:rsid w:val="00B74A83"/>
    <w:rsid w:val="00B756E6"/>
    <w:rsid w:val="00B75872"/>
    <w:rsid w:val="00B75E2C"/>
    <w:rsid w:val="00B76AED"/>
    <w:rsid w:val="00B76B09"/>
    <w:rsid w:val="00B77230"/>
    <w:rsid w:val="00B772B7"/>
    <w:rsid w:val="00B7748A"/>
    <w:rsid w:val="00B77A5E"/>
    <w:rsid w:val="00B77C39"/>
    <w:rsid w:val="00B807E3"/>
    <w:rsid w:val="00B81863"/>
    <w:rsid w:val="00B81A00"/>
    <w:rsid w:val="00B81E94"/>
    <w:rsid w:val="00B82233"/>
    <w:rsid w:val="00B825A0"/>
    <w:rsid w:val="00B828D6"/>
    <w:rsid w:val="00B82907"/>
    <w:rsid w:val="00B83018"/>
    <w:rsid w:val="00B83267"/>
    <w:rsid w:val="00B83DF3"/>
    <w:rsid w:val="00B848B8"/>
    <w:rsid w:val="00B849AE"/>
    <w:rsid w:val="00B84B86"/>
    <w:rsid w:val="00B84CC2"/>
    <w:rsid w:val="00B8572D"/>
    <w:rsid w:val="00B85ED6"/>
    <w:rsid w:val="00B8672C"/>
    <w:rsid w:val="00B86795"/>
    <w:rsid w:val="00B87188"/>
    <w:rsid w:val="00B8761E"/>
    <w:rsid w:val="00B8777D"/>
    <w:rsid w:val="00B9087F"/>
    <w:rsid w:val="00B9088A"/>
    <w:rsid w:val="00B91132"/>
    <w:rsid w:val="00B9124A"/>
    <w:rsid w:val="00B913CD"/>
    <w:rsid w:val="00B91407"/>
    <w:rsid w:val="00B9168A"/>
    <w:rsid w:val="00B924EC"/>
    <w:rsid w:val="00B92518"/>
    <w:rsid w:val="00B925F0"/>
    <w:rsid w:val="00B92ABC"/>
    <w:rsid w:val="00B92EB2"/>
    <w:rsid w:val="00B92F76"/>
    <w:rsid w:val="00B939D2"/>
    <w:rsid w:val="00B939DD"/>
    <w:rsid w:val="00B93D18"/>
    <w:rsid w:val="00B93E23"/>
    <w:rsid w:val="00B941FC"/>
    <w:rsid w:val="00B94429"/>
    <w:rsid w:val="00B9471C"/>
    <w:rsid w:val="00B950B2"/>
    <w:rsid w:val="00B95618"/>
    <w:rsid w:val="00B9594B"/>
    <w:rsid w:val="00B95F1B"/>
    <w:rsid w:val="00BA0520"/>
    <w:rsid w:val="00BA083C"/>
    <w:rsid w:val="00BA161A"/>
    <w:rsid w:val="00BA18C0"/>
    <w:rsid w:val="00BA1DBF"/>
    <w:rsid w:val="00BA23C3"/>
    <w:rsid w:val="00BA4511"/>
    <w:rsid w:val="00BA4F83"/>
    <w:rsid w:val="00BA58DF"/>
    <w:rsid w:val="00BA5D74"/>
    <w:rsid w:val="00BA6006"/>
    <w:rsid w:val="00BA6346"/>
    <w:rsid w:val="00BA64CB"/>
    <w:rsid w:val="00BA6A12"/>
    <w:rsid w:val="00BA71BF"/>
    <w:rsid w:val="00BA787F"/>
    <w:rsid w:val="00BA7AAC"/>
    <w:rsid w:val="00BB01C3"/>
    <w:rsid w:val="00BB08CB"/>
    <w:rsid w:val="00BB0C28"/>
    <w:rsid w:val="00BB0F0E"/>
    <w:rsid w:val="00BB146A"/>
    <w:rsid w:val="00BB2B43"/>
    <w:rsid w:val="00BB32ED"/>
    <w:rsid w:val="00BB3498"/>
    <w:rsid w:val="00BB36DE"/>
    <w:rsid w:val="00BB3E86"/>
    <w:rsid w:val="00BB3FE4"/>
    <w:rsid w:val="00BB494B"/>
    <w:rsid w:val="00BB50A4"/>
    <w:rsid w:val="00BB5D5F"/>
    <w:rsid w:val="00BB7195"/>
    <w:rsid w:val="00BB790E"/>
    <w:rsid w:val="00BC05B0"/>
    <w:rsid w:val="00BC05C3"/>
    <w:rsid w:val="00BC180F"/>
    <w:rsid w:val="00BC1E35"/>
    <w:rsid w:val="00BC21C7"/>
    <w:rsid w:val="00BC241E"/>
    <w:rsid w:val="00BC2E8E"/>
    <w:rsid w:val="00BC3412"/>
    <w:rsid w:val="00BC4DBE"/>
    <w:rsid w:val="00BC63F4"/>
    <w:rsid w:val="00BC63FC"/>
    <w:rsid w:val="00BC6961"/>
    <w:rsid w:val="00BC7183"/>
    <w:rsid w:val="00BC74DE"/>
    <w:rsid w:val="00BC7A0E"/>
    <w:rsid w:val="00BD184B"/>
    <w:rsid w:val="00BD1CD3"/>
    <w:rsid w:val="00BD209D"/>
    <w:rsid w:val="00BD24B2"/>
    <w:rsid w:val="00BD2EDE"/>
    <w:rsid w:val="00BD3118"/>
    <w:rsid w:val="00BD3513"/>
    <w:rsid w:val="00BD3B51"/>
    <w:rsid w:val="00BD42E9"/>
    <w:rsid w:val="00BD4792"/>
    <w:rsid w:val="00BD4E67"/>
    <w:rsid w:val="00BD5030"/>
    <w:rsid w:val="00BD5713"/>
    <w:rsid w:val="00BD5817"/>
    <w:rsid w:val="00BD5925"/>
    <w:rsid w:val="00BD602B"/>
    <w:rsid w:val="00BD7263"/>
    <w:rsid w:val="00BD78D7"/>
    <w:rsid w:val="00BD7F9F"/>
    <w:rsid w:val="00BE07AC"/>
    <w:rsid w:val="00BE0C86"/>
    <w:rsid w:val="00BE1061"/>
    <w:rsid w:val="00BE1289"/>
    <w:rsid w:val="00BE2264"/>
    <w:rsid w:val="00BE3094"/>
    <w:rsid w:val="00BE37DC"/>
    <w:rsid w:val="00BE3B00"/>
    <w:rsid w:val="00BE3B3E"/>
    <w:rsid w:val="00BE41DC"/>
    <w:rsid w:val="00BE4863"/>
    <w:rsid w:val="00BE49AB"/>
    <w:rsid w:val="00BE5018"/>
    <w:rsid w:val="00BE507F"/>
    <w:rsid w:val="00BE543A"/>
    <w:rsid w:val="00BE58BB"/>
    <w:rsid w:val="00BE5966"/>
    <w:rsid w:val="00BE6B51"/>
    <w:rsid w:val="00BE75DD"/>
    <w:rsid w:val="00BE7EFB"/>
    <w:rsid w:val="00BF05A5"/>
    <w:rsid w:val="00BF1906"/>
    <w:rsid w:val="00BF1B97"/>
    <w:rsid w:val="00BF1C4E"/>
    <w:rsid w:val="00BF1DA4"/>
    <w:rsid w:val="00BF1DBC"/>
    <w:rsid w:val="00BF1FAE"/>
    <w:rsid w:val="00BF2B6C"/>
    <w:rsid w:val="00BF3192"/>
    <w:rsid w:val="00BF53FC"/>
    <w:rsid w:val="00BF556F"/>
    <w:rsid w:val="00BF5C20"/>
    <w:rsid w:val="00BF608C"/>
    <w:rsid w:val="00BF655D"/>
    <w:rsid w:val="00BF6ADF"/>
    <w:rsid w:val="00C00351"/>
    <w:rsid w:val="00C006D6"/>
    <w:rsid w:val="00C00D44"/>
    <w:rsid w:val="00C01060"/>
    <w:rsid w:val="00C0136B"/>
    <w:rsid w:val="00C01781"/>
    <w:rsid w:val="00C02059"/>
    <w:rsid w:val="00C028EB"/>
    <w:rsid w:val="00C02BA5"/>
    <w:rsid w:val="00C0348A"/>
    <w:rsid w:val="00C042D8"/>
    <w:rsid w:val="00C044BB"/>
    <w:rsid w:val="00C045DF"/>
    <w:rsid w:val="00C045E4"/>
    <w:rsid w:val="00C05306"/>
    <w:rsid w:val="00C055A1"/>
    <w:rsid w:val="00C05906"/>
    <w:rsid w:val="00C06A41"/>
    <w:rsid w:val="00C0702C"/>
    <w:rsid w:val="00C0750A"/>
    <w:rsid w:val="00C078FC"/>
    <w:rsid w:val="00C07ADD"/>
    <w:rsid w:val="00C07F02"/>
    <w:rsid w:val="00C10A70"/>
    <w:rsid w:val="00C112A7"/>
    <w:rsid w:val="00C11D64"/>
    <w:rsid w:val="00C120CE"/>
    <w:rsid w:val="00C126BB"/>
    <w:rsid w:val="00C127A3"/>
    <w:rsid w:val="00C127AC"/>
    <w:rsid w:val="00C1302F"/>
    <w:rsid w:val="00C13044"/>
    <w:rsid w:val="00C1307F"/>
    <w:rsid w:val="00C13A65"/>
    <w:rsid w:val="00C13CDF"/>
    <w:rsid w:val="00C1509B"/>
    <w:rsid w:val="00C156BF"/>
    <w:rsid w:val="00C15B03"/>
    <w:rsid w:val="00C16528"/>
    <w:rsid w:val="00C166F5"/>
    <w:rsid w:val="00C16D6D"/>
    <w:rsid w:val="00C17449"/>
    <w:rsid w:val="00C176EB"/>
    <w:rsid w:val="00C17A6B"/>
    <w:rsid w:val="00C20886"/>
    <w:rsid w:val="00C209DB"/>
    <w:rsid w:val="00C20E48"/>
    <w:rsid w:val="00C21470"/>
    <w:rsid w:val="00C21DEA"/>
    <w:rsid w:val="00C2330D"/>
    <w:rsid w:val="00C2368A"/>
    <w:rsid w:val="00C23A39"/>
    <w:rsid w:val="00C23B7C"/>
    <w:rsid w:val="00C23ECA"/>
    <w:rsid w:val="00C24245"/>
    <w:rsid w:val="00C2443C"/>
    <w:rsid w:val="00C25232"/>
    <w:rsid w:val="00C262A4"/>
    <w:rsid w:val="00C26540"/>
    <w:rsid w:val="00C2664A"/>
    <w:rsid w:val="00C266AF"/>
    <w:rsid w:val="00C26B21"/>
    <w:rsid w:val="00C27601"/>
    <w:rsid w:val="00C302BB"/>
    <w:rsid w:val="00C30D51"/>
    <w:rsid w:val="00C317F1"/>
    <w:rsid w:val="00C31C55"/>
    <w:rsid w:val="00C31EFB"/>
    <w:rsid w:val="00C324B0"/>
    <w:rsid w:val="00C333C6"/>
    <w:rsid w:val="00C34150"/>
    <w:rsid w:val="00C34497"/>
    <w:rsid w:val="00C34A08"/>
    <w:rsid w:val="00C353C6"/>
    <w:rsid w:val="00C35762"/>
    <w:rsid w:val="00C358C0"/>
    <w:rsid w:val="00C35EA7"/>
    <w:rsid w:val="00C364C5"/>
    <w:rsid w:val="00C36541"/>
    <w:rsid w:val="00C36606"/>
    <w:rsid w:val="00C37937"/>
    <w:rsid w:val="00C37B51"/>
    <w:rsid w:val="00C4024A"/>
    <w:rsid w:val="00C40617"/>
    <w:rsid w:val="00C40643"/>
    <w:rsid w:val="00C40835"/>
    <w:rsid w:val="00C413D4"/>
    <w:rsid w:val="00C41844"/>
    <w:rsid w:val="00C41F12"/>
    <w:rsid w:val="00C421E5"/>
    <w:rsid w:val="00C428F6"/>
    <w:rsid w:val="00C43767"/>
    <w:rsid w:val="00C4398D"/>
    <w:rsid w:val="00C44935"/>
    <w:rsid w:val="00C44979"/>
    <w:rsid w:val="00C44E5F"/>
    <w:rsid w:val="00C44F0F"/>
    <w:rsid w:val="00C457B7"/>
    <w:rsid w:val="00C45F27"/>
    <w:rsid w:val="00C46519"/>
    <w:rsid w:val="00C47424"/>
    <w:rsid w:val="00C47C61"/>
    <w:rsid w:val="00C50295"/>
    <w:rsid w:val="00C50298"/>
    <w:rsid w:val="00C50F53"/>
    <w:rsid w:val="00C50FDC"/>
    <w:rsid w:val="00C512FB"/>
    <w:rsid w:val="00C51DA1"/>
    <w:rsid w:val="00C5295F"/>
    <w:rsid w:val="00C52B71"/>
    <w:rsid w:val="00C53DC0"/>
    <w:rsid w:val="00C53FD7"/>
    <w:rsid w:val="00C53FE3"/>
    <w:rsid w:val="00C540C4"/>
    <w:rsid w:val="00C542D7"/>
    <w:rsid w:val="00C54534"/>
    <w:rsid w:val="00C551DC"/>
    <w:rsid w:val="00C554B2"/>
    <w:rsid w:val="00C55FFB"/>
    <w:rsid w:val="00C56B9A"/>
    <w:rsid w:val="00C57B5C"/>
    <w:rsid w:val="00C57CE8"/>
    <w:rsid w:val="00C6023D"/>
    <w:rsid w:val="00C60AD3"/>
    <w:rsid w:val="00C60D77"/>
    <w:rsid w:val="00C61087"/>
    <w:rsid w:val="00C61E86"/>
    <w:rsid w:val="00C62DAE"/>
    <w:rsid w:val="00C62F66"/>
    <w:rsid w:val="00C63A6F"/>
    <w:rsid w:val="00C643AC"/>
    <w:rsid w:val="00C647CD"/>
    <w:rsid w:val="00C65FF3"/>
    <w:rsid w:val="00C66094"/>
    <w:rsid w:val="00C6618F"/>
    <w:rsid w:val="00C66639"/>
    <w:rsid w:val="00C669FF"/>
    <w:rsid w:val="00C66F16"/>
    <w:rsid w:val="00C67C99"/>
    <w:rsid w:val="00C67F68"/>
    <w:rsid w:val="00C704DF"/>
    <w:rsid w:val="00C704FB"/>
    <w:rsid w:val="00C7067B"/>
    <w:rsid w:val="00C70E5F"/>
    <w:rsid w:val="00C71A97"/>
    <w:rsid w:val="00C71D9E"/>
    <w:rsid w:val="00C728F5"/>
    <w:rsid w:val="00C72B9B"/>
    <w:rsid w:val="00C73620"/>
    <w:rsid w:val="00C73C48"/>
    <w:rsid w:val="00C744BE"/>
    <w:rsid w:val="00C74947"/>
    <w:rsid w:val="00C75023"/>
    <w:rsid w:val="00C754C3"/>
    <w:rsid w:val="00C75856"/>
    <w:rsid w:val="00C75A2C"/>
    <w:rsid w:val="00C75A64"/>
    <w:rsid w:val="00C75AAC"/>
    <w:rsid w:val="00C75CB1"/>
    <w:rsid w:val="00C76656"/>
    <w:rsid w:val="00C76C17"/>
    <w:rsid w:val="00C7782F"/>
    <w:rsid w:val="00C77A26"/>
    <w:rsid w:val="00C77B84"/>
    <w:rsid w:val="00C77E27"/>
    <w:rsid w:val="00C804D9"/>
    <w:rsid w:val="00C80A90"/>
    <w:rsid w:val="00C81726"/>
    <w:rsid w:val="00C81F4C"/>
    <w:rsid w:val="00C82719"/>
    <w:rsid w:val="00C83452"/>
    <w:rsid w:val="00C83C55"/>
    <w:rsid w:val="00C84617"/>
    <w:rsid w:val="00C846FD"/>
    <w:rsid w:val="00C849C9"/>
    <w:rsid w:val="00C84AC0"/>
    <w:rsid w:val="00C85107"/>
    <w:rsid w:val="00C8568F"/>
    <w:rsid w:val="00C857BF"/>
    <w:rsid w:val="00C85831"/>
    <w:rsid w:val="00C85BBC"/>
    <w:rsid w:val="00C86B94"/>
    <w:rsid w:val="00C86D82"/>
    <w:rsid w:val="00C86E6F"/>
    <w:rsid w:val="00C86EC6"/>
    <w:rsid w:val="00C86F57"/>
    <w:rsid w:val="00C87047"/>
    <w:rsid w:val="00C8711F"/>
    <w:rsid w:val="00C8777E"/>
    <w:rsid w:val="00C87808"/>
    <w:rsid w:val="00C90817"/>
    <w:rsid w:val="00C9114B"/>
    <w:rsid w:val="00C918C5"/>
    <w:rsid w:val="00C9216A"/>
    <w:rsid w:val="00C923ED"/>
    <w:rsid w:val="00C9243C"/>
    <w:rsid w:val="00C934B5"/>
    <w:rsid w:val="00C93BF1"/>
    <w:rsid w:val="00C95D80"/>
    <w:rsid w:val="00C9623F"/>
    <w:rsid w:val="00C96BD9"/>
    <w:rsid w:val="00C971B1"/>
    <w:rsid w:val="00C97CC3"/>
    <w:rsid w:val="00C97FC7"/>
    <w:rsid w:val="00CA018B"/>
    <w:rsid w:val="00CA1663"/>
    <w:rsid w:val="00CA24D8"/>
    <w:rsid w:val="00CA2806"/>
    <w:rsid w:val="00CA2B63"/>
    <w:rsid w:val="00CA2C9F"/>
    <w:rsid w:val="00CA3782"/>
    <w:rsid w:val="00CA3B99"/>
    <w:rsid w:val="00CA41C2"/>
    <w:rsid w:val="00CA44D8"/>
    <w:rsid w:val="00CA50F9"/>
    <w:rsid w:val="00CA5287"/>
    <w:rsid w:val="00CA56B5"/>
    <w:rsid w:val="00CA5776"/>
    <w:rsid w:val="00CA6357"/>
    <w:rsid w:val="00CA64DC"/>
    <w:rsid w:val="00CA6638"/>
    <w:rsid w:val="00CA6C65"/>
    <w:rsid w:val="00CA6DF1"/>
    <w:rsid w:val="00CA75EB"/>
    <w:rsid w:val="00CB000E"/>
    <w:rsid w:val="00CB06C3"/>
    <w:rsid w:val="00CB11B8"/>
    <w:rsid w:val="00CB158E"/>
    <w:rsid w:val="00CB1656"/>
    <w:rsid w:val="00CB1B6E"/>
    <w:rsid w:val="00CB1DC4"/>
    <w:rsid w:val="00CB220F"/>
    <w:rsid w:val="00CB28EE"/>
    <w:rsid w:val="00CB2E81"/>
    <w:rsid w:val="00CB3044"/>
    <w:rsid w:val="00CB3C6D"/>
    <w:rsid w:val="00CB446A"/>
    <w:rsid w:val="00CB5900"/>
    <w:rsid w:val="00CB5CEC"/>
    <w:rsid w:val="00CB5E9E"/>
    <w:rsid w:val="00CB6355"/>
    <w:rsid w:val="00CB6710"/>
    <w:rsid w:val="00CB6F6D"/>
    <w:rsid w:val="00CB7CA6"/>
    <w:rsid w:val="00CB7E72"/>
    <w:rsid w:val="00CC005F"/>
    <w:rsid w:val="00CC02DC"/>
    <w:rsid w:val="00CC040A"/>
    <w:rsid w:val="00CC11E8"/>
    <w:rsid w:val="00CC1257"/>
    <w:rsid w:val="00CC12BB"/>
    <w:rsid w:val="00CC21F0"/>
    <w:rsid w:val="00CC230C"/>
    <w:rsid w:val="00CC255D"/>
    <w:rsid w:val="00CC2FA8"/>
    <w:rsid w:val="00CC3FEB"/>
    <w:rsid w:val="00CC409C"/>
    <w:rsid w:val="00CC44B0"/>
    <w:rsid w:val="00CC57A7"/>
    <w:rsid w:val="00CC6B7C"/>
    <w:rsid w:val="00CD087B"/>
    <w:rsid w:val="00CD131D"/>
    <w:rsid w:val="00CD1D4D"/>
    <w:rsid w:val="00CD1F13"/>
    <w:rsid w:val="00CD262C"/>
    <w:rsid w:val="00CD2DB8"/>
    <w:rsid w:val="00CD3171"/>
    <w:rsid w:val="00CD3254"/>
    <w:rsid w:val="00CD3E6C"/>
    <w:rsid w:val="00CD4BEE"/>
    <w:rsid w:val="00CD4CD3"/>
    <w:rsid w:val="00CD54F0"/>
    <w:rsid w:val="00CD5D9A"/>
    <w:rsid w:val="00CD6589"/>
    <w:rsid w:val="00CD6B31"/>
    <w:rsid w:val="00CD7071"/>
    <w:rsid w:val="00CD7E35"/>
    <w:rsid w:val="00CE05E0"/>
    <w:rsid w:val="00CE06AC"/>
    <w:rsid w:val="00CE0B57"/>
    <w:rsid w:val="00CE0D5E"/>
    <w:rsid w:val="00CE11D1"/>
    <w:rsid w:val="00CE14F4"/>
    <w:rsid w:val="00CE2B0B"/>
    <w:rsid w:val="00CE2E84"/>
    <w:rsid w:val="00CE3A07"/>
    <w:rsid w:val="00CE3FB9"/>
    <w:rsid w:val="00CE41F9"/>
    <w:rsid w:val="00CE4BBD"/>
    <w:rsid w:val="00CE52D2"/>
    <w:rsid w:val="00CE5EB5"/>
    <w:rsid w:val="00CE5F97"/>
    <w:rsid w:val="00CE62A6"/>
    <w:rsid w:val="00CE63AE"/>
    <w:rsid w:val="00CE734A"/>
    <w:rsid w:val="00CE735B"/>
    <w:rsid w:val="00CE7D8A"/>
    <w:rsid w:val="00CF00DE"/>
    <w:rsid w:val="00CF0C4D"/>
    <w:rsid w:val="00CF104A"/>
    <w:rsid w:val="00CF13F6"/>
    <w:rsid w:val="00CF1C02"/>
    <w:rsid w:val="00CF26A3"/>
    <w:rsid w:val="00CF2E4C"/>
    <w:rsid w:val="00CF310C"/>
    <w:rsid w:val="00CF5ED6"/>
    <w:rsid w:val="00CF756B"/>
    <w:rsid w:val="00CF7CC5"/>
    <w:rsid w:val="00D002A7"/>
    <w:rsid w:val="00D003AA"/>
    <w:rsid w:val="00D0059B"/>
    <w:rsid w:val="00D01973"/>
    <w:rsid w:val="00D01F74"/>
    <w:rsid w:val="00D0240D"/>
    <w:rsid w:val="00D028C1"/>
    <w:rsid w:val="00D02B93"/>
    <w:rsid w:val="00D030CB"/>
    <w:rsid w:val="00D03EC7"/>
    <w:rsid w:val="00D040DB"/>
    <w:rsid w:val="00D057C9"/>
    <w:rsid w:val="00D057FA"/>
    <w:rsid w:val="00D06928"/>
    <w:rsid w:val="00D07139"/>
    <w:rsid w:val="00D0714C"/>
    <w:rsid w:val="00D07D35"/>
    <w:rsid w:val="00D10AB6"/>
    <w:rsid w:val="00D12F39"/>
    <w:rsid w:val="00D13EC8"/>
    <w:rsid w:val="00D14E37"/>
    <w:rsid w:val="00D14EF1"/>
    <w:rsid w:val="00D151BE"/>
    <w:rsid w:val="00D154E0"/>
    <w:rsid w:val="00D17854"/>
    <w:rsid w:val="00D17C4E"/>
    <w:rsid w:val="00D20961"/>
    <w:rsid w:val="00D20C7E"/>
    <w:rsid w:val="00D2114C"/>
    <w:rsid w:val="00D21805"/>
    <w:rsid w:val="00D222BC"/>
    <w:rsid w:val="00D229B3"/>
    <w:rsid w:val="00D22FF8"/>
    <w:rsid w:val="00D234B2"/>
    <w:rsid w:val="00D23789"/>
    <w:rsid w:val="00D23A17"/>
    <w:rsid w:val="00D245DE"/>
    <w:rsid w:val="00D24EFF"/>
    <w:rsid w:val="00D26176"/>
    <w:rsid w:val="00D264C1"/>
    <w:rsid w:val="00D26CE8"/>
    <w:rsid w:val="00D26DD0"/>
    <w:rsid w:val="00D27B2E"/>
    <w:rsid w:val="00D30BEE"/>
    <w:rsid w:val="00D31960"/>
    <w:rsid w:val="00D319CD"/>
    <w:rsid w:val="00D31FEB"/>
    <w:rsid w:val="00D32529"/>
    <w:rsid w:val="00D32595"/>
    <w:rsid w:val="00D334FB"/>
    <w:rsid w:val="00D337C9"/>
    <w:rsid w:val="00D3488D"/>
    <w:rsid w:val="00D34FC1"/>
    <w:rsid w:val="00D354E8"/>
    <w:rsid w:val="00D3563F"/>
    <w:rsid w:val="00D35FDB"/>
    <w:rsid w:val="00D36660"/>
    <w:rsid w:val="00D36740"/>
    <w:rsid w:val="00D37156"/>
    <w:rsid w:val="00D37178"/>
    <w:rsid w:val="00D377B9"/>
    <w:rsid w:val="00D3799F"/>
    <w:rsid w:val="00D379AE"/>
    <w:rsid w:val="00D37FC6"/>
    <w:rsid w:val="00D3E467"/>
    <w:rsid w:val="00D40242"/>
    <w:rsid w:val="00D40416"/>
    <w:rsid w:val="00D4065E"/>
    <w:rsid w:val="00D40A81"/>
    <w:rsid w:val="00D41115"/>
    <w:rsid w:val="00D41545"/>
    <w:rsid w:val="00D41B45"/>
    <w:rsid w:val="00D41B46"/>
    <w:rsid w:val="00D422CE"/>
    <w:rsid w:val="00D42D76"/>
    <w:rsid w:val="00D42E36"/>
    <w:rsid w:val="00D43276"/>
    <w:rsid w:val="00D4332E"/>
    <w:rsid w:val="00D439FE"/>
    <w:rsid w:val="00D4412D"/>
    <w:rsid w:val="00D44E73"/>
    <w:rsid w:val="00D4518C"/>
    <w:rsid w:val="00D4526C"/>
    <w:rsid w:val="00D453DA"/>
    <w:rsid w:val="00D454FF"/>
    <w:rsid w:val="00D45545"/>
    <w:rsid w:val="00D4610B"/>
    <w:rsid w:val="00D46426"/>
    <w:rsid w:val="00D47541"/>
    <w:rsid w:val="00D47D17"/>
    <w:rsid w:val="00D47E8F"/>
    <w:rsid w:val="00D5099E"/>
    <w:rsid w:val="00D50FCB"/>
    <w:rsid w:val="00D51229"/>
    <w:rsid w:val="00D51494"/>
    <w:rsid w:val="00D518BE"/>
    <w:rsid w:val="00D52602"/>
    <w:rsid w:val="00D52792"/>
    <w:rsid w:val="00D52BFE"/>
    <w:rsid w:val="00D53497"/>
    <w:rsid w:val="00D5375C"/>
    <w:rsid w:val="00D537BD"/>
    <w:rsid w:val="00D53ACC"/>
    <w:rsid w:val="00D53DFB"/>
    <w:rsid w:val="00D544D2"/>
    <w:rsid w:val="00D5490E"/>
    <w:rsid w:val="00D54A3A"/>
    <w:rsid w:val="00D54E6F"/>
    <w:rsid w:val="00D5584E"/>
    <w:rsid w:val="00D55E0C"/>
    <w:rsid w:val="00D560C8"/>
    <w:rsid w:val="00D563D4"/>
    <w:rsid w:val="00D56652"/>
    <w:rsid w:val="00D5674B"/>
    <w:rsid w:val="00D5689F"/>
    <w:rsid w:val="00D56BBA"/>
    <w:rsid w:val="00D57889"/>
    <w:rsid w:val="00D57E96"/>
    <w:rsid w:val="00D60506"/>
    <w:rsid w:val="00D610C0"/>
    <w:rsid w:val="00D614BE"/>
    <w:rsid w:val="00D61B9B"/>
    <w:rsid w:val="00D61DFD"/>
    <w:rsid w:val="00D62982"/>
    <w:rsid w:val="00D62B7D"/>
    <w:rsid w:val="00D62C19"/>
    <w:rsid w:val="00D6311C"/>
    <w:rsid w:val="00D63E51"/>
    <w:rsid w:val="00D645C2"/>
    <w:rsid w:val="00D64601"/>
    <w:rsid w:val="00D647CB"/>
    <w:rsid w:val="00D65AD9"/>
    <w:rsid w:val="00D66DCD"/>
    <w:rsid w:val="00D67E80"/>
    <w:rsid w:val="00D71D56"/>
    <w:rsid w:val="00D722E5"/>
    <w:rsid w:val="00D72F06"/>
    <w:rsid w:val="00D730E0"/>
    <w:rsid w:val="00D7343B"/>
    <w:rsid w:val="00D745F9"/>
    <w:rsid w:val="00D747D7"/>
    <w:rsid w:val="00D74AD1"/>
    <w:rsid w:val="00D7580A"/>
    <w:rsid w:val="00D760DE"/>
    <w:rsid w:val="00D77D1C"/>
    <w:rsid w:val="00D77F6C"/>
    <w:rsid w:val="00D80249"/>
    <w:rsid w:val="00D8075B"/>
    <w:rsid w:val="00D80C71"/>
    <w:rsid w:val="00D81411"/>
    <w:rsid w:val="00D815BB"/>
    <w:rsid w:val="00D81B66"/>
    <w:rsid w:val="00D81CF5"/>
    <w:rsid w:val="00D81F9E"/>
    <w:rsid w:val="00D8201D"/>
    <w:rsid w:val="00D825D5"/>
    <w:rsid w:val="00D829E9"/>
    <w:rsid w:val="00D833E8"/>
    <w:rsid w:val="00D84754"/>
    <w:rsid w:val="00D84BC9"/>
    <w:rsid w:val="00D85135"/>
    <w:rsid w:val="00D852EE"/>
    <w:rsid w:val="00D85629"/>
    <w:rsid w:val="00D85CEF"/>
    <w:rsid w:val="00D86FCA"/>
    <w:rsid w:val="00D87424"/>
    <w:rsid w:val="00D90429"/>
    <w:rsid w:val="00D90934"/>
    <w:rsid w:val="00D90A47"/>
    <w:rsid w:val="00D90F41"/>
    <w:rsid w:val="00D911C9"/>
    <w:rsid w:val="00D912FF"/>
    <w:rsid w:val="00D91CD1"/>
    <w:rsid w:val="00D9219A"/>
    <w:rsid w:val="00D92451"/>
    <w:rsid w:val="00D93656"/>
    <w:rsid w:val="00D93FDF"/>
    <w:rsid w:val="00D94860"/>
    <w:rsid w:val="00D95450"/>
    <w:rsid w:val="00D95527"/>
    <w:rsid w:val="00D9587F"/>
    <w:rsid w:val="00D95C7E"/>
    <w:rsid w:val="00D9600B"/>
    <w:rsid w:val="00D97496"/>
    <w:rsid w:val="00D976EA"/>
    <w:rsid w:val="00D97822"/>
    <w:rsid w:val="00D979CF"/>
    <w:rsid w:val="00D97BF3"/>
    <w:rsid w:val="00DA05F1"/>
    <w:rsid w:val="00DA0689"/>
    <w:rsid w:val="00DA08E6"/>
    <w:rsid w:val="00DA10B5"/>
    <w:rsid w:val="00DA1259"/>
    <w:rsid w:val="00DA17E8"/>
    <w:rsid w:val="00DA1B8B"/>
    <w:rsid w:val="00DA3604"/>
    <w:rsid w:val="00DA3769"/>
    <w:rsid w:val="00DA3F2C"/>
    <w:rsid w:val="00DA4331"/>
    <w:rsid w:val="00DA4A8D"/>
    <w:rsid w:val="00DA4F7A"/>
    <w:rsid w:val="00DA57F3"/>
    <w:rsid w:val="00DA676E"/>
    <w:rsid w:val="00DA6886"/>
    <w:rsid w:val="00DA690F"/>
    <w:rsid w:val="00DA6DDE"/>
    <w:rsid w:val="00DA7092"/>
    <w:rsid w:val="00DA709C"/>
    <w:rsid w:val="00DA746F"/>
    <w:rsid w:val="00DA774E"/>
    <w:rsid w:val="00DA7C2F"/>
    <w:rsid w:val="00DA7C36"/>
    <w:rsid w:val="00DB040A"/>
    <w:rsid w:val="00DB0A3B"/>
    <w:rsid w:val="00DB16C8"/>
    <w:rsid w:val="00DB1D4E"/>
    <w:rsid w:val="00DB2109"/>
    <w:rsid w:val="00DB29B1"/>
    <w:rsid w:val="00DB33F9"/>
    <w:rsid w:val="00DB42F8"/>
    <w:rsid w:val="00DB5089"/>
    <w:rsid w:val="00DB5166"/>
    <w:rsid w:val="00DB5211"/>
    <w:rsid w:val="00DB5AE0"/>
    <w:rsid w:val="00DB620E"/>
    <w:rsid w:val="00DB63CE"/>
    <w:rsid w:val="00DB6732"/>
    <w:rsid w:val="00DB71A2"/>
    <w:rsid w:val="00DB7C1D"/>
    <w:rsid w:val="00DC093E"/>
    <w:rsid w:val="00DC1122"/>
    <w:rsid w:val="00DC1314"/>
    <w:rsid w:val="00DC14E1"/>
    <w:rsid w:val="00DC1697"/>
    <w:rsid w:val="00DC1BB0"/>
    <w:rsid w:val="00DC203F"/>
    <w:rsid w:val="00DC26BE"/>
    <w:rsid w:val="00DC27D9"/>
    <w:rsid w:val="00DC2AFF"/>
    <w:rsid w:val="00DC2E00"/>
    <w:rsid w:val="00DC3758"/>
    <w:rsid w:val="00DC4131"/>
    <w:rsid w:val="00DC4454"/>
    <w:rsid w:val="00DC44B1"/>
    <w:rsid w:val="00DC45DD"/>
    <w:rsid w:val="00DC4652"/>
    <w:rsid w:val="00DC4A23"/>
    <w:rsid w:val="00DC5606"/>
    <w:rsid w:val="00DC5654"/>
    <w:rsid w:val="00DC6D15"/>
    <w:rsid w:val="00DC6DDD"/>
    <w:rsid w:val="00DC6EEE"/>
    <w:rsid w:val="00DD00AA"/>
    <w:rsid w:val="00DD02C2"/>
    <w:rsid w:val="00DD02F6"/>
    <w:rsid w:val="00DD0369"/>
    <w:rsid w:val="00DD0563"/>
    <w:rsid w:val="00DD0D1E"/>
    <w:rsid w:val="00DD13C7"/>
    <w:rsid w:val="00DD304C"/>
    <w:rsid w:val="00DD38D6"/>
    <w:rsid w:val="00DD3944"/>
    <w:rsid w:val="00DD3FC1"/>
    <w:rsid w:val="00DD425D"/>
    <w:rsid w:val="00DD4D45"/>
    <w:rsid w:val="00DD4F18"/>
    <w:rsid w:val="00DD51BC"/>
    <w:rsid w:val="00DD5784"/>
    <w:rsid w:val="00DD6138"/>
    <w:rsid w:val="00DD61A1"/>
    <w:rsid w:val="00DD6509"/>
    <w:rsid w:val="00DD677C"/>
    <w:rsid w:val="00DD6B2A"/>
    <w:rsid w:val="00DD6DCA"/>
    <w:rsid w:val="00DD7445"/>
    <w:rsid w:val="00DD7939"/>
    <w:rsid w:val="00DE008B"/>
    <w:rsid w:val="00DE04AF"/>
    <w:rsid w:val="00DE0C0F"/>
    <w:rsid w:val="00DE137E"/>
    <w:rsid w:val="00DE1DB0"/>
    <w:rsid w:val="00DE1EEA"/>
    <w:rsid w:val="00DE3216"/>
    <w:rsid w:val="00DE3D89"/>
    <w:rsid w:val="00DE411A"/>
    <w:rsid w:val="00DE59D5"/>
    <w:rsid w:val="00DE5A00"/>
    <w:rsid w:val="00DE5DE7"/>
    <w:rsid w:val="00DE5EAF"/>
    <w:rsid w:val="00DE5EDE"/>
    <w:rsid w:val="00DE6771"/>
    <w:rsid w:val="00DE6F2D"/>
    <w:rsid w:val="00DE704E"/>
    <w:rsid w:val="00DE7272"/>
    <w:rsid w:val="00DE737E"/>
    <w:rsid w:val="00DE7E15"/>
    <w:rsid w:val="00DEF06F"/>
    <w:rsid w:val="00DF0C7D"/>
    <w:rsid w:val="00DF0F04"/>
    <w:rsid w:val="00DF10FD"/>
    <w:rsid w:val="00DF13B7"/>
    <w:rsid w:val="00DF1457"/>
    <w:rsid w:val="00DF150E"/>
    <w:rsid w:val="00DF29CE"/>
    <w:rsid w:val="00DF309F"/>
    <w:rsid w:val="00DF342C"/>
    <w:rsid w:val="00DF3493"/>
    <w:rsid w:val="00DF3496"/>
    <w:rsid w:val="00DF3937"/>
    <w:rsid w:val="00DF3CAB"/>
    <w:rsid w:val="00DF3EFC"/>
    <w:rsid w:val="00DF465B"/>
    <w:rsid w:val="00DF5434"/>
    <w:rsid w:val="00DF6B5D"/>
    <w:rsid w:val="00DF7193"/>
    <w:rsid w:val="00DF71F0"/>
    <w:rsid w:val="00DF7595"/>
    <w:rsid w:val="00DF7BA3"/>
    <w:rsid w:val="00E001A3"/>
    <w:rsid w:val="00E00A62"/>
    <w:rsid w:val="00E01191"/>
    <w:rsid w:val="00E0163F"/>
    <w:rsid w:val="00E019F3"/>
    <w:rsid w:val="00E01B93"/>
    <w:rsid w:val="00E01D6F"/>
    <w:rsid w:val="00E024E9"/>
    <w:rsid w:val="00E02C23"/>
    <w:rsid w:val="00E037CB"/>
    <w:rsid w:val="00E04751"/>
    <w:rsid w:val="00E047D7"/>
    <w:rsid w:val="00E04AF7"/>
    <w:rsid w:val="00E05039"/>
    <w:rsid w:val="00E0533D"/>
    <w:rsid w:val="00E0570A"/>
    <w:rsid w:val="00E05917"/>
    <w:rsid w:val="00E05EA8"/>
    <w:rsid w:val="00E06A98"/>
    <w:rsid w:val="00E07A46"/>
    <w:rsid w:val="00E07B32"/>
    <w:rsid w:val="00E11679"/>
    <w:rsid w:val="00E1232A"/>
    <w:rsid w:val="00E127A9"/>
    <w:rsid w:val="00E12AB4"/>
    <w:rsid w:val="00E12C7A"/>
    <w:rsid w:val="00E12DDB"/>
    <w:rsid w:val="00E1440C"/>
    <w:rsid w:val="00E1496B"/>
    <w:rsid w:val="00E14C7A"/>
    <w:rsid w:val="00E14FA2"/>
    <w:rsid w:val="00E15901"/>
    <w:rsid w:val="00E15A7A"/>
    <w:rsid w:val="00E15B89"/>
    <w:rsid w:val="00E1650C"/>
    <w:rsid w:val="00E17473"/>
    <w:rsid w:val="00E17548"/>
    <w:rsid w:val="00E17C6F"/>
    <w:rsid w:val="00E203B1"/>
    <w:rsid w:val="00E20725"/>
    <w:rsid w:val="00E209A2"/>
    <w:rsid w:val="00E20BB5"/>
    <w:rsid w:val="00E20C80"/>
    <w:rsid w:val="00E21109"/>
    <w:rsid w:val="00E215AC"/>
    <w:rsid w:val="00E21D2E"/>
    <w:rsid w:val="00E21FDF"/>
    <w:rsid w:val="00E22A77"/>
    <w:rsid w:val="00E22EDE"/>
    <w:rsid w:val="00E2367E"/>
    <w:rsid w:val="00E25FE9"/>
    <w:rsid w:val="00E2621C"/>
    <w:rsid w:val="00E26330"/>
    <w:rsid w:val="00E27FDF"/>
    <w:rsid w:val="00E2D5F4"/>
    <w:rsid w:val="00E3019A"/>
    <w:rsid w:val="00E30350"/>
    <w:rsid w:val="00E308F8"/>
    <w:rsid w:val="00E31577"/>
    <w:rsid w:val="00E316AC"/>
    <w:rsid w:val="00E31790"/>
    <w:rsid w:val="00E31AFA"/>
    <w:rsid w:val="00E3261E"/>
    <w:rsid w:val="00E3280D"/>
    <w:rsid w:val="00E32E34"/>
    <w:rsid w:val="00E33129"/>
    <w:rsid w:val="00E33945"/>
    <w:rsid w:val="00E33E40"/>
    <w:rsid w:val="00E345AB"/>
    <w:rsid w:val="00E34A1A"/>
    <w:rsid w:val="00E35C11"/>
    <w:rsid w:val="00E36E06"/>
    <w:rsid w:val="00E372E1"/>
    <w:rsid w:val="00E408B8"/>
    <w:rsid w:val="00E40DB4"/>
    <w:rsid w:val="00E412E0"/>
    <w:rsid w:val="00E415E6"/>
    <w:rsid w:val="00E4160C"/>
    <w:rsid w:val="00E418A4"/>
    <w:rsid w:val="00E41DAC"/>
    <w:rsid w:val="00E42E69"/>
    <w:rsid w:val="00E43C5F"/>
    <w:rsid w:val="00E4447C"/>
    <w:rsid w:val="00E446EF"/>
    <w:rsid w:val="00E44E4C"/>
    <w:rsid w:val="00E45988"/>
    <w:rsid w:val="00E45A28"/>
    <w:rsid w:val="00E45E23"/>
    <w:rsid w:val="00E46C35"/>
    <w:rsid w:val="00E4723B"/>
    <w:rsid w:val="00E4759B"/>
    <w:rsid w:val="00E47791"/>
    <w:rsid w:val="00E47A31"/>
    <w:rsid w:val="00E519E2"/>
    <w:rsid w:val="00E52280"/>
    <w:rsid w:val="00E5238F"/>
    <w:rsid w:val="00E52840"/>
    <w:rsid w:val="00E52A1C"/>
    <w:rsid w:val="00E52BC9"/>
    <w:rsid w:val="00E53AD7"/>
    <w:rsid w:val="00E5409A"/>
    <w:rsid w:val="00E54ACA"/>
    <w:rsid w:val="00E54B6A"/>
    <w:rsid w:val="00E54C6A"/>
    <w:rsid w:val="00E56595"/>
    <w:rsid w:val="00E56B3F"/>
    <w:rsid w:val="00E57987"/>
    <w:rsid w:val="00E57D4F"/>
    <w:rsid w:val="00E60676"/>
    <w:rsid w:val="00E613A3"/>
    <w:rsid w:val="00E61DC8"/>
    <w:rsid w:val="00E62303"/>
    <w:rsid w:val="00E623C2"/>
    <w:rsid w:val="00E628AF"/>
    <w:rsid w:val="00E6390C"/>
    <w:rsid w:val="00E639CA"/>
    <w:rsid w:val="00E648D4"/>
    <w:rsid w:val="00E64E03"/>
    <w:rsid w:val="00E65A59"/>
    <w:rsid w:val="00E65F70"/>
    <w:rsid w:val="00E66273"/>
    <w:rsid w:val="00E6656B"/>
    <w:rsid w:val="00E67F0E"/>
    <w:rsid w:val="00E701D4"/>
    <w:rsid w:val="00E70725"/>
    <w:rsid w:val="00E70920"/>
    <w:rsid w:val="00E71386"/>
    <w:rsid w:val="00E71642"/>
    <w:rsid w:val="00E71D30"/>
    <w:rsid w:val="00E72487"/>
    <w:rsid w:val="00E72A52"/>
    <w:rsid w:val="00E7352E"/>
    <w:rsid w:val="00E73814"/>
    <w:rsid w:val="00E73912"/>
    <w:rsid w:val="00E73927"/>
    <w:rsid w:val="00E7442E"/>
    <w:rsid w:val="00E74F57"/>
    <w:rsid w:val="00E75301"/>
    <w:rsid w:val="00E75ECC"/>
    <w:rsid w:val="00E760C7"/>
    <w:rsid w:val="00E76479"/>
    <w:rsid w:val="00E7647D"/>
    <w:rsid w:val="00E77091"/>
    <w:rsid w:val="00E770E6"/>
    <w:rsid w:val="00E773C5"/>
    <w:rsid w:val="00E80C90"/>
    <w:rsid w:val="00E811C2"/>
    <w:rsid w:val="00E81287"/>
    <w:rsid w:val="00E812A9"/>
    <w:rsid w:val="00E815A2"/>
    <w:rsid w:val="00E815BC"/>
    <w:rsid w:val="00E8224C"/>
    <w:rsid w:val="00E83269"/>
    <w:rsid w:val="00E83D5B"/>
    <w:rsid w:val="00E83F06"/>
    <w:rsid w:val="00E85D14"/>
    <w:rsid w:val="00E867FE"/>
    <w:rsid w:val="00E869ED"/>
    <w:rsid w:val="00E86E56"/>
    <w:rsid w:val="00E87322"/>
    <w:rsid w:val="00E9000D"/>
    <w:rsid w:val="00E900CB"/>
    <w:rsid w:val="00E907CE"/>
    <w:rsid w:val="00E911AF"/>
    <w:rsid w:val="00E9132A"/>
    <w:rsid w:val="00E913BE"/>
    <w:rsid w:val="00E9198B"/>
    <w:rsid w:val="00E91F41"/>
    <w:rsid w:val="00E9253C"/>
    <w:rsid w:val="00E927CB"/>
    <w:rsid w:val="00E9307C"/>
    <w:rsid w:val="00E938E9"/>
    <w:rsid w:val="00E93BAA"/>
    <w:rsid w:val="00E93E0E"/>
    <w:rsid w:val="00E94B99"/>
    <w:rsid w:val="00E95BA1"/>
    <w:rsid w:val="00E9661F"/>
    <w:rsid w:val="00E976D4"/>
    <w:rsid w:val="00E97AA2"/>
    <w:rsid w:val="00E97C62"/>
    <w:rsid w:val="00E97DC4"/>
    <w:rsid w:val="00EA063C"/>
    <w:rsid w:val="00EA0858"/>
    <w:rsid w:val="00EA0943"/>
    <w:rsid w:val="00EA118E"/>
    <w:rsid w:val="00EA1A89"/>
    <w:rsid w:val="00EA2288"/>
    <w:rsid w:val="00EA2E7B"/>
    <w:rsid w:val="00EA2F5A"/>
    <w:rsid w:val="00EA3043"/>
    <w:rsid w:val="00EA3AC9"/>
    <w:rsid w:val="00EA473B"/>
    <w:rsid w:val="00EA4C21"/>
    <w:rsid w:val="00EA6723"/>
    <w:rsid w:val="00EA76DA"/>
    <w:rsid w:val="00EA78D7"/>
    <w:rsid w:val="00EA7C69"/>
    <w:rsid w:val="00EA7D28"/>
    <w:rsid w:val="00EB0456"/>
    <w:rsid w:val="00EB0A50"/>
    <w:rsid w:val="00EB11DC"/>
    <w:rsid w:val="00EB12B8"/>
    <w:rsid w:val="00EB1BEB"/>
    <w:rsid w:val="00EB22F5"/>
    <w:rsid w:val="00EB23ED"/>
    <w:rsid w:val="00EB31F4"/>
    <w:rsid w:val="00EB3318"/>
    <w:rsid w:val="00EB36E6"/>
    <w:rsid w:val="00EB3FB6"/>
    <w:rsid w:val="00EB5280"/>
    <w:rsid w:val="00EB5B9B"/>
    <w:rsid w:val="00EB6F7A"/>
    <w:rsid w:val="00EB728D"/>
    <w:rsid w:val="00EB76B7"/>
    <w:rsid w:val="00EB7898"/>
    <w:rsid w:val="00EB7BAB"/>
    <w:rsid w:val="00EC0049"/>
    <w:rsid w:val="00EC0141"/>
    <w:rsid w:val="00EC0638"/>
    <w:rsid w:val="00EC0FBC"/>
    <w:rsid w:val="00EC1A78"/>
    <w:rsid w:val="00EC20CF"/>
    <w:rsid w:val="00EC21AF"/>
    <w:rsid w:val="00EC3124"/>
    <w:rsid w:val="00EC3171"/>
    <w:rsid w:val="00EC3327"/>
    <w:rsid w:val="00EC39A7"/>
    <w:rsid w:val="00EC3B85"/>
    <w:rsid w:val="00EC53E4"/>
    <w:rsid w:val="00EC670E"/>
    <w:rsid w:val="00EC68F3"/>
    <w:rsid w:val="00EC6A56"/>
    <w:rsid w:val="00EC6DF7"/>
    <w:rsid w:val="00EC7940"/>
    <w:rsid w:val="00ED0180"/>
    <w:rsid w:val="00ED0BF3"/>
    <w:rsid w:val="00ED0CFF"/>
    <w:rsid w:val="00ED1059"/>
    <w:rsid w:val="00ED114F"/>
    <w:rsid w:val="00ED16CF"/>
    <w:rsid w:val="00ED1F9F"/>
    <w:rsid w:val="00ED21D1"/>
    <w:rsid w:val="00ED23DE"/>
    <w:rsid w:val="00ED2833"/>
    <w:rsid w:val="00ED2A3B"/>
    <w:rsid w:val="00ED3342"/>
    <w:rsid w:val="00ED362B"/>
    <w:rsid w:val="00ED36A7"/>
    <w:rsid w:val="00ED38C7"/>
    <w:rsid w:val="00ED3974"/>
    <w:rsid w:val="00ED3E10"/>
    <w:rsid w:val="00ED48FB"/>
    <w:rsid w:val="00ED4B5B"/>
    <w:rsid w:val="00ED4E14"/>
    <w:rsid w:val="00ED4E22"/>
    <w:rsid w:val="00ED51DA"/>
    <w:rsid w:val="00ED546C"/>
    <w:rsid w:val="00ED5498"/>
    <w:rsid w:val="00ED54E7"/>
    <w:rsid w:val="00ED6053"/>
    <w:rsid w:val="00ED647F"/>
    <w:rsid w:val="00ED6D69"/>
    <w:rsid w:val="00ED6F9A"/>
    <w:rsid w:val="00ED7C5F"/>
    <w:rsid w:val="00EE0213"/>
    <w:rsid w:val="00EE099B"/>
    <w:rsid w:val="00EE0C98"/>
    <w:rsid w:val="00EE1650"/>
    <w:rsid w:val="00EE1C70"/>
    <w:rsid w:val="00EE1FD6"/>
    <w:rsid w:val="00EE27E1"/>
    <w:rsid w:val="00EE2DAD"/>
    <w:rsid w:val="00EE343A"/>
    <w:rsid w:val="00EE372B"/>
    <w:rsid w:val="00EE3C17"/>
    <w:rsid w:val="00EE3CD3"/>
    <w:rsid w:val="00EE48B1"/>
    <w:rsid w:val="00EE510D"/>
    <w:rsid w:val="00EE5157"/>
    <w:rsid w:val="00EE57E2"/>
    <w:rsid w:val="00EE5FE4"/>
    <w:rsid w:val="00EE68D4"/>
    <w:rsid w:val="00EE7491"/>
    <w:rsid w:val="00EE76AB"/>
    <w:rsid w:val="00EE7F06"/>
    <w:rsid w:val="00EF07DE"/>
    <w:rsid w:val="00EF0D9B"/>
    <w:rsid w:val="00EF1FB5"/>
    <w:rsid w:val="00EF21AD"/>
    <w:rsid w:val="00EF223D"/>
    <w:rsid w:val="00EF22E5"/>
    <w:rsid w:val="00EF2616"/>
    <w:rsid w:val="00EF2A36"/>
    <w:rsid w:val="00EF305A"/>
    <w:rsid w:val="00EF3A8E"/>
    <w:rsid w:val="00EF3B3A"/>
    <w:rsid w:val="00EF49B4"/>
    <w:rsid w:val="00EF543D"/>
    <w:rsid w:val="00EF6526"/>
    <w:rsid w:val="00EF70FE"/>
    <w:rsid w:val="00EF75E3"/>
    <w:rsid w:val="00EF7AE8"/>
    <w:rsid w:val="00EF7B41"/>
    <w:rsid w:val="00F000C6"/>
    <w:rsid w:val="00F00110"/>
    <w:rsid w:val="00F00E03"/>
    <w:rsid w:val="00F010D3"/>
    <w:rsid w:val="00F01B8E"/>
    <w:rsid w:val="00F01D57"/>
    <w:rsid w:val="00F01E2A"/>
    <w:rsid w:val="00F01FF8"/>
    <w:rsid w:val="00F02F67"/>
    <w:rsid w:val="00F0315A"/>
    <w:rsid w:val="00F03747"/>
    <w:rsid w:val="00F03818"/>
    <w:rsid w:val="00F04192"/>
    <w:rsid w:val="00F04A3C"/>
    <w:rsid w:val="00F04D73"/>
    <w:rsid w:val="00F06BF7"/>
    <w:rsid w:val="00F07775"/>
    <w:rsid w:val="00F07800"/>
    <w:rsid w:val="00F0791A"/>
    <w:rsid w:val="00F10801"/>
    <w:rsid w:val="00F10898"/>
    <w:rsid w:val="00F11584"/>
    <w:rsid w:val="00F11EE1"/>
    <w:rsid w:val="00F120F1"/>
    <w:rsid w:val="00F12224"/>
    <w:rsid w:val="00F122EF"/>
    <w:rsid w:val="00F13672"/>
    <w:rsid w:val="00F15105"/>
    <w:rsid w:val="00F1519B"/>
    <w:rsid w:val="00F153CE"/>
    <w:rsid w:val="00F157BD"/>
    <w:rsid w:val="00F15B22"/>
    <w:rsid w:val="00F1603B"/>
    <w:rsid w:val="00F1605F"/>
    <w:rsid w:val="00F16399"/>
    <w:rsid w:val="00F164B3"/>
    <w:rsid w:val="00F167ED"/>
    <w:rsid w:val="00F16DD8"/>
    <w:rsid w:val="00F1736E"/>
    <w:rsid w:val="00F175A1"/>
    <w:rsid w:val="00F17932"/>
    <w:rsid w:val="00F2075B"/>
    <w:rsid w:val="00F213E3"/>
    <w:rsid w:val="00F22649"/>
    <w:rsid w:val="00F22707"/>
    <w:rsid w:val="00F24054"/>
    <w:rsid w:val="00F24731"/>
    <w:rsid w:val="00F24775"/>
    <w:rsid w:val="00F25390"/>
    <w:rsid w:val="00F26EB8"/>
    <w:rsid w:val="00F30794"/>
    <w:rsid w:val="00F3122A"/>
    <w:rsid w:val="00F319E3"/>
    <w:rsid w:val="00F321FC"/>
    <w:rsid w:val="00F32CCE"/>
    <w:rsid w:val="00F34E53"/>
    <w:rsid w:val="00F3577D"/>
    <w:rsid w:val="00F35EB7"/>
    <w:rsid w:val="00F36A43"/>
    <w:rsid w:val="00F37C1C"/>
    <w:rsid w:val="00F37C5E"/>
    <w:rsid w:val="00F37D25"/>
    <w:rsid w:val="00F40562"/>
    <w:rsid w:val="00F41573"/>
    <w:rsid w:val="00F43A8C"/>
    <w:rsid w:val="00F43D08"/>
    <w:rsid w:val="00F442C8"/>
    <w:rsid w:val="00F44669"/>
    <w:rsid w:val="00F44814"/>
    <w:rsid w:val="00F44DB5"/>
    <w:rsid w:val="00F45126"/>
    <w:rsid w:val="00F457F8"/>
    <w:rsid w:val="00F45C5B"/>
    <w:rsid w:val="00F46708"/>
    <w:rsid w:val="00F47841"/>
    <w:rsid w:val="00F50572"/>
    <w:rsid w:val="00F505DD"/>
    <w:rsid w:val="00F51354"/>
    <w:rsid w:val="00F52350"/>
    <w:rsid w:val="00F5318C"/>
    <w:rsid w:val="00F531D2"/>
    <w:rsid w:val="00F53CAD"/>
    <w:rsid w:val="00F548D5"/>
    <w:rsid w:val="00F54AA2"/>
    <w:rsid w:val="00F54D6E"/>
    <w:rsid w:val="00F56269"/>
    <w:rsid w:val="00F572DD"/>
    <w:rsid w:val="00F57814"/>
    <w:rsid w:val="00F5791A"/>
    <w:rsid w:val="00F57AAC"/>
    <w:rsid w:val="00F57AEA"/>
    <w:rsid w:val="00F603F7"/>
    <w:rsid w:val="00F6099D"/>
    <w:rsid w:val="00F62129"/>
    <w:rsid w:val="00F62669"/>
    <w:rsid w:val="00F64143"/>
    <w:rsid w:val="00F64169"/>
    <w:rsid w:val="00F641E2"/>
    <w:rsid w:val="00F64BAC"/>
    <w:rsid w:val="00F651B7"/>
    <w:rsid w:val="00F6552A"/>
    <w:rsid w:val="00F656CA"/>
    <w:rsid w:val="00F65BF8"/>
    <w:rsid w:val="00F65DD7"/>
    <w:rsid w:val="00F663CF"/>
    <w:rsid w:val="00F6640E"/>
    <w:rsid w:val="00F66448"/>
    <w:rsid w:val="00F667E9"/>
    <w:rsid w:val="00F66C0C"/>
    <w:rsid w:val="00F66D12"/>
    <w:rsid w:val="00F67CE3"/>
    <w:rsid w:val="00F67D99"/>
    <w:rsid w:val="00F67EE4"/>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51E9"/>
    <w:rsid w:val="00F761B4"/>
    <w:rsid w:val="00F76665"/>
    <w:rsid w:val="00F76D1A"/>
    <w:rsid w:val="00F77068"/>
    <w:rsid w:val="00F7751D"/>
    <w:rsid w:val="00F8080A"/>
    <w:rsid w:val="00F81437"/>
    <w:rsid w:val="00F82024"/>
    <w:rsid w:val="00F82588"/>
    <w:rsid w:val="00F82E31"/>
    <w:rsid w:val="00F82E50"/>
    <w:rsid w:val="00F8311E"/>
    <w:rsid w:val="00F83377"/>
    <w:rsid w:val="00F83AB5"/>
    <w:rsid w:val="00F83D85"/>
    <w:rsid w:val="00F84074"/>
    <w:rsid w:val="00F84A15"/>
    <w:rsid w:val="00F84B4A"/>
    <w:rsid w:val="00F8627D"/>
    <w:rsid w:val="00F867B5"/>
    <w:rsid w:val="00F87393"/>
    <w:rsid w:val="00F87527"/>
    <w:rsid w:val="00F8762E"/>
    <w:rsid w:val="00F87BA0"/>
    <w:rsid w:val="00F87F20"/>
    <w:rsid w:val="00F8A7BE"/>
    <w:rsid w:val="00F91713"/>
    <w:rsid w:val="00F92890"/>
    <w:rsid w:val="00F930ED"/>
    <w:rsid w:val="00F93645"/>
    <w:rsid w:val="00F94C04"/>
    <w:rsid w:val="00F9538C"/>
    <w:rsid w:val="00F9567C"/>
    <w:rsid w:val="00F95F30"/>
    <w:rsid w:val="00F96021"/>
    <w:rsid w:val="00F962FF"/>
    <w:rsid w:val="00F96981"/>
    <w:rsid w:val="00F96A4D"/>
    <w:rsid w:val="00F97620"/>
    <w:rsid w:val="00F97834"/>
    <w:rsid w:val="00F9783B"/>
    <w:rsid w:val="00FA0264"/>
    <w:rsid w:val="00FA03AB"/>
    <w:rsid w:val="00FA144F"/>
    <w:rsid w:val="00FA149F"/>
    <w:rsid w:val="00FA17B6"/>
    <w:rsid w:val="00FA2548"/>
    <w:rsid w:val="00FA281E"/>
    <w:rsid w:val="00FA2847"/>
    <w:rsid w:val="00FA2AB7"/>
    <w:rsid w:val="00FA380C"/>
    <w:rsid w:val="00FA3A35"/>
    <w:rsid w:val="00FA3CAB"/>
    <w:rsid w:val="00FA4592"/>
    <w:rsid w:val="00FA4D65"/>
    <w:rsid w:val="00FA52B2"/>
    <w:rsid w:val="00FA5CF7"/>
    <w:rsid w:val="00FA7657"/>
    <w:rsid w:val="00FA7688"/>
    <w:rsid w:val="00FA7C4D"/>
    <w:rsid w:val="00FA7EDE"/>
    <w:rsid w:val="00FB06E8"/>
    <w:rsid w:val="00FB1092"/>
    <w:rsid w:val="00FB12A2"/>
    <w:rsid w:val="00FB148C"/>
    <w:rsid w:val="00FB20E3"/>
    <w:rsid w:val="00FB27C1"/>
    <w:rsid w:val="00FB27FB"/>
    <w:rsid w:val="00FB3171"/>
    <w:rsid w:val="00FB3482"/>
    <w:rsid w:val="00FB37B6"/>
    <w:rsid w:val="00FB3861"/>
    <w:rsid w:val="00FB39D7"/>
    <w:rsid w:val="00FB5CE7"/>
    <w:rsid w:val="00FB6378"/>
    <w:rsid w:val="00FB67F5"/>
    <w:rsid w:val="00FB7401"/>
    <w:rsid w:val="00FB7C1F"/>
    <w:rsid w:val="00FC109B"/>
    <w:rsid w:val="00FC180C"/>
    <w:rsid w:val="00FC1AEE"/>
    <w:rsid w:val="00FC2006"/>
    <w:rsid w:val="00FC2473"/>
    <w:rsid w:val="00FC2538"/>
    <w:rsid w:val="00FC278D"/>
    <w:rsid w:val="00FC2A54"/>
    <w:rsid w:val="00FC2FFC"/>
    <w:rsid w:val="00FC33A3"/>
    <w:rsid w:val="00FC39CC"/>
    <w:rsid w:val="00FC3F0C"/>
    <w:rsid w:val="00FC46D5"/>
    <w:rsid w:val="00FC477A"/>
    <w:rsid w:val="00FC5060"/>
    <w:rsid w:val="00FC51F3"/>
    <w:rsid w:val="00FC52DD"/>
    <w:rsid w:val="00FC562D"/>
    <w:rsid w:val="00FC5AF5"/>
    <w:rsid w:val="00FC5EC7"/>
    <w:rsid w:val="00FC76C3"/>
    <w:rsid w:val="00FC79D1"/>
    <w:rsid w:val="00FC7AC5"/>
    <w:rsid w:val="00FCFE53"/>
    <w:rsid w:val="00FD10F1"/>
    <w:rsid w:val="00FD1FAE"/>
    <w:rsid w:val="00FD2384"/>
    <w:rsid w:val="00FD273A"/>
    <w:rsid w:val="00FD3A6D"/>
    <w:rsid w:val="00FD458B"/>
    <w:rsid w:val="00FD4CC5"/>
    <w:rsid w:val="00FD513E"/>
    <w:rsid w:val="00FD582B"/>
    <w:rsid w:val="00FD5E06"/>
    <w:rsid w:val="00FD5E7D"/>
    <w:rsid w:val="00FD61C8"/>
    <w:rsid w:val="00FD69A3"/>
    <w:rsid w:val="00FD6F6D"/>
    <w:rsid w:val="00FD70F5"/>
    <w:rsid w:val="00FD77D2"/>
    <w:rsid w:val="00FE0B22"/>
    <w:rsid w:val="00FE0C1C"/>
    <w:rsid w:val="00FE0D5F"/>
    <w:rsid w:val="00FE0D6B"/>
    <w:rsid w:val="00FE0F98"/>
    <w:rsid w:val="00FE1779"/>
    <w:rsid w:val="00FE2388"/>
    <w:rsid w:val="00FE2538"/>
    <w:rsid w:val="00FE2563"/>
    <w:rsid w:val="00FE26E7"/>
    <w:rsid w:val="00FE2EE0"/>
    <w:rsid w:val="00FE3FFE"/>
    <w:rsid w:val="00FE4107"/>
    <w:rsid w:val="00FE411D"/>
    <w:rsid w:val="00FE49A0"/>
    <w:rsid w:val="00FE4B76"/>
    <w:rsid w:val="00FE5EFF"/>
    <w:rsid w:val="00FE6D4D"/>
    <w:rsid w:val="00FE72FF"/>
    <w:rsid w:val="00FE7774"/>
    <w:rsid w:val="00FE7C0D"/>
    <w:rsid w:val="00FE7CAE"/>
    <w:rsid w:val="00FE7E09"/>
    <w:rsid w:val="00FE7EEB"/>
    <w:rsid w:val="00FEDF88"/>
    <w:rsid w:val="00FF1B15"/>
    <w:rsid w:val="00FF2C9D"/>
    <w:rsid w:val="00FF3C72"/>
    <w:rsid w:val="00FF51B1"/>
    <w:rsid w:val="00FF5815"/>
    <w:rsid w:val="00FF6508"/>
    <w:rsid w:val="00FF6DE5"/>
    <w:rsid w:val="00FF763F"/>
    <w:rsid w:val="00FF7742"/>
    <w:rsid w:val="00FF7AF4"/>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9A2868"/>
  <w15:docId w15:val="{6487BF48-3A28-449B-B212-05E885A2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4E7"/>
    <w:pPr>
      <w:tabs>
        <w:tab w:val="left" w:pos="567"/>
        <w:tab w:val="left" w:pos="1134"/>
        <w:tab w:val="left" w:pos="1701"/>
        <w:tab w:val="left" w:pos="2268"/>
      </w:tabs>
      <w:spacing w:after="0" w:line="240" w:lineRule="auto"/>
      <w:jc w:val="both"/>
    </w:pPr>
    <w:rPr>
      <w:rFonts w:ascii="Times New Roman" w:eastAsia="SimSun" w:hAnsi="Times New Roman" w:cs="Times New Roman"/>
    </w:rPr>
  </w:style>
  <w:style w:type="paragraph" w:styleId="Heading1">
    <w:name w:val="heading 1"/>
    <w:basedOn w:val="Normal"/>
    <w:next w:val="Heading2"/>
    <w:link w:val="Heading1Char"/>
    <w:uiPriority w:val="9"/>
    <w:qFormat/>
    <w:rsid w:val="006814E7"/>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814E7"/>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814E7"/>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814E7"/>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814E7"/>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rsid w:val="006814E7"/>
    <w:pPr>
      <w:keepNext/>
      <w:keepLines/>
      <w:numPr>
        <w:ilvl w:val="5"/>
        <w:numId w:val="3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814E7"/>
    <w:pPr>
      <w:keepNext/>
      <w:keepLines/>
      <w:widowControl w:val="0"/>
      <w:numPr>
        <w:ilvl w:val="6"/>
        <w:numId w:val="3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814E7"/>
    <w:pPr>
      <w:keepNext/>
      <w:keepLines/>
      <w:widowControl w:val="0"/>
      <w:numPr>
        <w:ilvl w:val="7"/>
        <w:numId w:val="3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814E7"/>
    <w:pPr>
      <w:keepNext/>
      <w:widowControl w:val="0"/>
      <w:numPr>
        <w:ilvl w:val="8"/>
        <w:numId w:val="3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6814E7"/>
    <w:rPr>
      <w:vertAlign w:val="superscript"/>
      <w:lang w:val="fr-CA"/>
    </w:rPr>
  </w:style>
  <w:style w:type="paragraph" w:styleId="FootnoteText">
    <w:name w:val="footnote text"/>
    <w:basedOn w:val="Normal"/>
    <w:link w:val="FootnoteTextChar"/>
    <w:uiPriority w:val="99"/>
    <w:unhideWhenUsed/>
    <w:rsid w:val="006814E7"/>
    <w:pPr>
      <w:jc w:val="left"/>
    </w:pPr>
    <w:rPr>
      <w:sz w:val="18"/>
      <w:szCs w:val="20"/>
    </w:rPr>
  </w:style>
  <w:style w:type="character" w:customStyle="1" w:styleId="FootnoteTextChar">
    <w:name w:val="Footnote Text Char"/>
    <w:basedOn w:val="DefaultParagraphFont"/>
    <w:link w:val="FootnoteText"/>
    <w:uiPriority w:val="99"/>
    <w:rsid w:val="006814E7"/>
    <w:rPr>
      <w:rFonts w:ascii="Times New Roman" w:eastAsia="SimSun" w:hAnsi="Times New Roman" w:cs="Times New Roman"/>
      <w:sz w:val="18"/>
      <w:szCs w:val="20"/>
      <w:lang w:val="fr-CA"/>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Heading2"/>
    <w:uiPriority w:val="1"/>
    <w:qFormat/>
    <w:rsid w:val="519665D8"/>
  </w:style>
  <w:style w:type="character" w:customStyle="1" w:styleId="Para1Char">
    <w:name w:val="Para1 Char"/>
    <w:link w:val="Para1"/>
    <w:uiPriority w:val="1"/>
    <w:rsid w:val="519665D8"/>
    <w:rPr>
      <w:rFonts w:ascii="Times New Roman" w:eastAsia="SimSun" w:hAnsi="Times New Roman" w:cs="Times New Roman"/>
      <w:lang w:val="fr-CA"/>
    </w:rPr>
  </w:style>
  <w:style w:type="paragraph" w:customStyle="1" w:styleId="Item">
    <w:name w:val="Item"/>
    <w:basedOn w:val="Normal"/>
    <w:qFormat/>
    <w:rsid w:val="006814E7"/>
    <w:pPr>
      <w:suppressLineNumbers/>
      <w:suppressAutoHyphens/>
      <w:spacing w:before="240" w:after="120"/>
      <w:jc w:val="left"/>
    </w:pPr>
    <w:rPr>
      <w:rFonts w:eastAsia="Times New Roman"/>
      <w:b/>
      <w:iCs/>
      <w:snapToGrid w:val="0"/>
      <w:kern w:val="22"/>
      <w:sz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519665D8"/>
    <w:pPr>
      <w:spacing w:after="160"/>
      <w:jc w:val="left"/>
    </w:pPr>
    <w:rPr>
      <w:rFonts w:asciiTheme="minorHAnsi" w:eastAsiaTheme="minorEastAsia" w:hAnsiTheme="minorHAnsi" w:cstheme="minorBidi"/>
      <w:vertAlign w:val="superscript"/>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eastAsia="de-CH"/>
    </w:rPr>
  </w:style>
  <w:style w:type="character" w:customStyle="1" w:styleId="Heading2Char">
    <w:name w:val="Heading 2 Char"/>
    <w:basedOn w:val="DefaultParagraphFont"/>
    <w:link w:val="Heading2"/>
    <w:uiPriority w:val="9"/>
    <w:rsid w:val="006814E7"/>
    <w:rPr>
      <w:rFonts w:ascii="Times New Roman Bold" w:eastAsiaTheme="majorEastAsia" w:hAnsi="Times New Roman Bold" w:cstheme="majorBidi"/>
      <w:b/>
      <w:sz w:val="24"/>
      <w:szCs w:val="26"/>
      <w:lang w:val="fr-CA"/>
    </w:rPr>
  </w:style>
  <w:style w:type="paragraph" w:styleId="ListParagraph">
    <w:name w:val="List Paragraph"/>
    <w:basedOn w:val="Normal"/>
    <w:uiPriority w:val="34"/>
    <w:qFormat/>
    <w:rsid w:val="006814E7"/>
    <w:pPr>
      <w:ind w:left="720"/>
      <w:contextualSpacing/>
    </w:pPr>
  </w:style>
  <w:style w:type="paragraph" w:styleId="NormalWeb">
    <w:name w:val="Normal (Web)"/>
    <w:basedOn w:val="Normal"/>
    <w:uiPriority w:val="99"/>
    <w:semiHidden/>
    <w:unhideWhenUsed/>
    <w:rsid w:val="519665D8"/>
    <w:rPr>
      <w:rFonts w:ascii="Calibri" w:hAnsi="Calibri" w:cs="Calibri"/>
      <w:lang w:eastAsia="fr-FR"/>
    </w:rPr>
  </w:style>
  <w:style w:type="paragraph" w:styleId="BodyText">
    <w:name w:val="Body Text"/>
    <w:basedOn w:val="Normal"/>
    <w:link w:val="BodyTextChar"/>
    <w:uiPriority w:val="99"/>
    <w:unhideWhenUsed/>
    <w:rsid w:val="006814E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814E7"/>
    <w:rPr>
      <w:rFonts w:eastAsiaTheme="minorHAnsi"/>
      <w:kern w:val="2"/>
      <w:lang w:val="fr-CA"/>
      <w14:ligatures w14:val="standardContextual"/>
    </w:rPr>
  </w:style>
  <w:style w:type="character" w:styleId="CommentReference">
    <w:name w:val="annotation reference"/>
    <w:basedOn w:val="DefaultParagraphFont"/>
    <w:uiPriority w:val="99"/>
    <w:semiHidden/>
    <w:unhideWhenUsed/>
    <w:rsid w:val="006814E7"/>
    <w:rPr>
      <w:sz w:val="16"/>
      <w:szCs w:val="16"/>
      <w:lang w:val="fr-CA"/>
    </w:rPr>
  </w:style>
  <w:style w:type="paragraph" w:styleId="CommentText">
    <w:name w:val="annotation text"/>
    <w:basedOn w:val="Normal"/>
    <w:link w:val="CommentTextChar"/>
    <w:uiPriority w:val="99"/>
    <w:semiHidden/>
    <w:rsid w:val="006814E7"/>
    <w:rPr>
      <w:sz w:val="20"/>
      <w:szCs w:val="20"/>
    </w:rPr>
  </w:style>
  <w:style w:type="character" w:customStyle="1" w:styleId="CommentTextChar">
    <w:name w:val="Comment Text Char"/>
    <w:basedOn w:val="DefaultParagraphFont"/>
    <w:link w:val="CommentText"/>
    <w:uiPriority w:val="99"/>
    <w:semiHidden/>
    <w:rsid w:val="006814E7"/>
    <w:rPr>
      <w:rFonts w:ascii="Times New Roman" w:eastAsia="SimSun" w:hAnsi="Times New Roman" w:cs="Times New Roman"/>
      <w:sz w:val="20"/>
      <w:szCs w:val="20"/>
      <w:lang w:val="fr-CA"/>
    </w:rPr>
  </w:style>
  <w:style w:type="paragraph" w:styleId="BalloonText">
    <w:name w:val="Balloon Text"/>
    <w:basedOn w:val="Normal"/>
    <w:link w:val="BalloonTextChar"/>
    <w:uiPriority w:val="99"/>
    <w:semiHidden/>
    <w:unhideWhenUsed/>
    <w:rsid w:val="519665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519665D8"/>
    <w:rPr>
      <w:rFonts w:ascii="Lucida Grande" w:eastAsia="SimSun" w:hAnsi="Lucida Grande" w:cs="Lucida Grande"/>
      <w:sz w:val="18"/>
      <w:szCs w:val="18"/>
      <w:lang w:val="fr-CA"/>
    </w:rPr>
  </w:style>
  <w:style w:type="paragraph" w:styleId="NoSpacing">
    <w:name w:val="No Spacing"/>
    <w:link w:val="NoSpacingChar"/>
    <w:uiPriority w:val="1"/>
    <w:qFormat/>
    <w:rsid w:val="00E1232A"/>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E1232A"/>
    <w:rPr>
      <w:rFonts w:ascii="Calibri" w:eastAsia="Calibri" w:hAnsi="Calibri" w:cs="Times New Roman"/>
      <w:lang w:val="fr-CA"/>
    </w:rPr>
  </w:style>
  <w:style w:type="table" w:styleId="TableGrid">
    <w:name w:val="Table Grid"/>
    <w:basedOn w:val="TableNormal"/>
    <w:uiPriority w:val="39"/>
    <w:rsid w:val="004823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lang w:val="fr-CA"/>
    </w:rPr>
  </w:style>
  <w:style w:type="paragraph" w:styleId="Header">
    <w:name w:val="header"/>
    <w:basedOn w:val="Normal"/>
    <w:link w:val="HeaderChar"/>
    <w:rsid w:val="006814E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814E7"/>
    <w:rPr>
      <w:rFonts w:ascii="Times New Roman" w:eastAsia="SimSun" w:hAnsi="Times New Roman" w:cs="Times New Roman"/>
      <w:sz w:val="20"/>
      <w:lang w:val="fr-CA"/>
    </w:rPr>
  </w:style>
  <w:style w:type="paragraph" w:styleId="Footer">
    <w:name w:val="footer"/>
    <w:basedOn w:val="Normal"/>
    <w:link w:val="FooterChar"/>
    <w:uiPriority w:val="99"/>
    <w:rsid w:val="006814E7"/>
    <w:pPr>
      <w:tabs>
        <w:tab w:val="center" w:pos="4680"/>
        <w:tab w:val="right" w:pos="9360"/>
      </w:tabs>
    </w:pPr>
    <w:rPr>
      <w:sz w:val="20"/>
    </w:rPr>
  </w:style>
  <w:style w:type="character" w:customStyle="1" w:styleId="FooterChar">
    <w:name w:val="Footer Char"/>
    <w:basedOn w:val="DefaultParagraphFont"/>
    <w:link w:val="Footer"/>
    <w:uiPriority w:val="99"/>
    <w:rsid w:val="006814E7"/>
    <w:rPr>
      <w:rFonts w:ascii="Times New Roman" w:eastAsia="SimSun" w:hAnsi="Times New Roman" w:cs="Times New Roman"/>
      <w:sz w:val="20"/>
      <w:lang w:val="fr-CA"/>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CommentSubject">
    <w:name w:val="annotation subject"/>
    <w:basedOn w:val="CommentText"/>
    <w:next w:val="CommentText"/>
    <w:link w:val="CommentSubjectChar"/>
    <w:uiPriority w:val="99"/>
    <w:semiHidden/>
    <w:unhideWhenUsed/>
    <w:rsid w:val="006814E7"/>
    <w:rPr>
      <w:b/>
      <w:bCs/>
    </w:rPr>
  </w:style>
  <w:style w:type="character" w:customStyle="1" w:styleId="CommentSubjectChar">
    <w:name w:val="Comment Subject Char"/>
    <w:basedOn w:val="CommentTextChar"/>
    <w:link w:val="CommentSubject"/>
    <w:uiPriority w:val="99"/>
    <w:semiHidden/>
    <w:rsid w:val="006814E7"/>
    <w:rPr>
      <w:rFonts w:ascii="Times New Roman" w:eastAsia="SimSun" w:hAnsi="Times New Roman" w:cs="Times New Roman"/>
      <w:b/>
      <w:bCs/>
      <w:sz w:val="20"/>
      <w:szCs w:val="20"/>
      <w:lang w:val="fr-CA"/>
    </w:rPr>
  </w:style>
  <w:style w:type="paragraph" w:styleId="Revision">
    <w:name w:val="Revision"/>
    <w:hidden/>
    <w:uiPriority w:val="99"/>
    <w:semiHidden/>
    <w:rsid w:val="006814E7"/>
    <w:pPr>
      <w:spacing w:after="0" w:line="240" w:lineRule="auto"/>
    </w:pPr>
    <w:rPr>
      <w:rFonts w:ascii="Simplified Arabic" w:eastAsia="Times New Roman" w:hAnsi="Simplified Arabic" w:cs="Simplified Arabic"/>
      <w:noProof/>
      <w:sz w:val="24"/>
      <w:szCs w:val="24"/>
    </w:rPr>
  </w:style>
  <w:style w:type="character" w:styleId="Hyperlink">
    <w:name w:val="Hyperlink"/>
    <w:basedOn w:val="DefaultParagraphFont"/>
    <w:uiPriority w:val="99"/>
    <w:unhideWhenUsed/>
    <w:rsid w:val="006814E7"/>
    <w:rPr>
      <w:rFonts w:ascii="Times New Roman" w:hAnsi="Times New Roman"/>
      <w:color w:val="0563C1" w:themeColor="hyperlink"/>
      <w:u w:val="single"/>
      <w:lang w:val="fr-CA"/>
    </w:rPr>
  </w:style>
  <w:style w:type="character" w:styleId="FollowedHyperlink">
    <w:name w:val="FollowedHyperlink"/>
    <w:rsid w:val="00482395"/>
    <w:rPr>
      <w:color w:val="800080"/>
      <w:u w:val="single"/>
      <w:lang w:val="fr-CA"/>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lang w:val="fr-CA"/>
    </w:rPr>
  </w:style>
  <w:style w:type="paragraph" w:customStyle="1" w:styleId="Style1">
    <w:name w:val="Style1"/>
    <w:basedOn w:val="Heading2"/>
    <w:uiPriority w:val="1"/>
    <w:qFormat/>
    <w:rsid w:val="519665D8"/>
    <w:rPr>
      <w:i/>
      <w:iCs/>
    </w:rPr>
  </w:style>
  <w:style w:type="paragraph" w:styleId="PlainText">
    <w:name w:val="Plain Text"/>
    <w:basedOn w:val="Normal"/>
    <w:link w:val="PlainTextChar"/>
    <w:uiPriority w:val="99"/>
    <w:semiHidden/>
    <w:unhideWhenUsed/>
    <w:rsid w:val="519665D8"/>
    <w:rPr>
      <w:rFonts w:ascii="Calibri" w:eastAsiaTheme="minorEastAsia" w:hAnsi="Calibri" w:cs="Calibri"/>
    </w:rPr>
  </w:style>
  <w:style w:type="character" w:customStyle="1" w:styleId="PlainTextChar">
    <w:name w:val="Plain Text Char"/>
    <w:basedOn w:val="DefaultParagraphFont"/>
    <w:link w:val="PlainText"/>
    <w:uiPriority w:val="99"/>
    <w:semiHidden/>
    <w:rsid w:val="519665D8"/>
    <w:rPr>
      <w:rFonts w:ascii="Calibri" w:hAnsi="Calibri" w:cs="Calibri"/>
      <w:lang w:val="fr-CA"/>
    </w:rPr>
  </w:style>
  <w:style w:type="table" w:customStyle="1" w:styleId="TableGrid1">
    <w:name w:val="Table Grid1"/>
    <w:basedOn w:val="TableNormal"/>
    <w:next w:val="TableGrid"/>
    <w:uiPriority w:val="59"/>
    <w:rsid w:val="00836C3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14E7"/>
    <w:rPr>
      <w:rFonts w:ascii="Times New Roman" w:eastAsiaTheme="majorEastAsia" w:hAnsi="Times New Roman" w:cstheme="majorBidi"/>
      <w:b/>
      <w:bCs/>
      <w:kern w:val="2"/>
      <w:sz w:val="28"/>
      <w:szCs w:val="32"/>
      <w:lang w:val="fr-CA"/>
      <w14:ligatures w14:val="standardContextual"/>
    </w:rPr>
  </w:style>
  <w:style w:type="table" w:styleId="ListTable6Colorful">
    <w:name w:val="List Table 6 Colorful"/>
    <w:basedOn w:val="TableNormal"/>
    <w:uiPriority w:val="51"/>
    <w:rsid w:val="00D454FF"/>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uiPriority w:val="1"/>
    <w:qFormat/>
    <w:rsid w:val="519665D8"/>
    <w:rPr>
      <w:i/>
      <w:iCs/>
      <w:sz w:val="18"/>
      <w:szCs w:val="18"/>
    </w:rPr>
  </w:style>
  <w:style w:type="character" w:customStyle="1" w:styleId="Heading9Char">
    <w:name w:val="Heading 9 Char"/>
    <w:basedOn w:val="DefaultParagraphFont"/>
    <w:link w:val="Heading9"/>
    <w:rsid w:val="006814E7"/>
    <w:rPr>
      <w:rFonts w:ascii="Times New Roman" w:eastAsia="SimSun" w:hAnsi="Times New Roman" w:cs="Times New Roman"/>
      <w:snapToGrid w:val="0"/>
      <w:u w:val="single"/>
      <w:lang w:val="fr-CA"/>
    </w:rPr>
  </w:style>
  <w:style w:type="paragraph" w:styleId="BodyTextIndent">
    <w:name w:val="Body Text Indent"/>
    <w:basedOn w:val="Normal"/>
    <w:link w:val="BodyTextIndentChar"/>
    <w:uiPriority w:val="1"/>
    <w:rsid w:val="519665D8"/>
    <w:pPr>
      <w:ind w:left="1440" w:hanging="720"/>
      <w:jc w:val="left"/>
    </w:pPr>
  </w:style>
  <w:style w:type="character" w:customStyle="1" w:styleId="BodyTextIndentChar">
    <w:name w:val="Body Text Indent Char"/>
    <w:basedOn w:val="DefaultParagraphFont"/>
    <w:link w:val="BodyTextIndent"/>
    <w:uiPriority w:val="1"/>
    <w:rsid w:val="519665D8"/>
    <w:rPr>
      <w:rFonts w:ascii="Times New Roman" w:eastAsia="SimSun" w:hAnsi="Times New Roman" w:cs="Times New Roman"/>
      <w:lang w:val="fr-CA"/>
    </w:rPr>
  </w:style>
  <w:style w:type="paragraph" w:styleId="Caption">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SimSun" w:hAnsi="Times New Roman" w:cs="Times New Roman"/>
      <w:lang w:val="fr-CA"/>
    </w:rPr>
  </w:style>
  <w:style w:type="paragraph" w:customStyle="1" w:styleId="Cornernotation">
    <w:name w:val="Corner notation"/>
    <w:basedOn w:val="Normal"/>
    <w:rsid w:val="519665D8"/>
    <w:pPr>
      <w:ind w:left="170" w:right="3119" w:hanging="170"/>
      <w:jc w:val="left"/>
    </w:pPr>
  </w:style>
  <w:style w:type="character" w:styleId="EndnoteReference">
    <w:name w:val="endnote reference"/>
    <w:semiHidden/>
    <w:rsid w:val="00482395"/>
    <w:rPr>
      <w:vertAlign w:val="superscript"/>
      <w:lang w:val="fr-CA"/>
    </w:rPr>
  </w:style>
  <w:style w:type="paragraph" w:styleId="EndnoteText">
    <w:name w:val="endnote text"/>
    <w:basedOn w:val="Normal"/>
    <w:link w:val="EndnoteTextChar"/>
    <w:uiPriority w:val="1"/>
    <w:semiHidden/>
    <w:rsid w:val="519665D8"/>
    <w:pPr>
      <w:widowControl w:val="0"/>
    </w:pPr>
    <w:rPr>
      <w:rFonts w:ascii="Courier New" w:hAnsi="Courier New"/>
    </w:rPr>
  </w:style>
  <w:style w:type="character" w:customStyle="1" w:styleId="EndnoteTextChar">
    <w:name w:val="Endnote Text Char"/>
    <w:basedOn w:val="DefaultParagraphFont"/>
    <w:link w:val="EndnoteText"/>
    <w:uiPriority w:val="1"/>
    <w:semiHidden/>
    <w:rsid w:val="519665D8"/>
    <w:rPr>
      <w:rFonts w:ascii="Courier New" w:eastAsia="SimSun" w:hAnsi="Courier New" w:cs="Times New Roman"/>
      <w:lang w:val="fr-CA"/>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Heading1"/>
    <w:next w:val="Heading2"/>
    <w:uiPriority w:val="1"/>
    <w:rsid w:val="519665D8"/>
  </w:style>
  <w:style w:type="paragraph" w:customStyle="1" w:styleId="Heading1longmultiline">
    <w:name w:val="Heading 1 (long multiline)"/>
    <w:basedOn w:val="Heading1"/>
    <w:uiPriority w:val="1"/>
    <w:rsid w:val="519665D8"/>
    <w:pPr>
      <w:ind w:left="1843" w:hanging="1134"/>
    </w:pPr>
  </w:style>
  <w:style w:type="paragraph" w:customStyle="1" w:styleId="Heading1multiline">
    <w:name w:val="Heading 1 (multiline)"/>
    <w:basedOn w:val="Heading1"/>
    <w:uiPriority w:val="1"/>
    <w:rsid w:val="519665D8"/>
    <w:pPr>
      <w:ind w:left="1843" w:right="996"/>
    </w:pPr>
  </w:style>
  <w:style w:type="paragraph" w:customStyle="1" w:styleId="Heading2multiline">
    <w:name w:val="Heading 2 (multiline)"/>
    <w:basedOn w:val="Heading1"/>
    <w:next w:val="Normal"/>
    <w:uiPriority w:val="1"/>
    <w:rsid w:val="519665D8"/>
    <w:pPr>
      <w:spacing w:before="120"/>
      <w:ind w:left="1843" w:right="998"/>
    </w:pPr>
    <w:rPr>
      <w:i/>
      <w:iCs/>
      <w:caps/>
    </w:rPr>
  </w:style>
  <w:style w:type="paragraph" w:customStyle="1" w:styleId="Heading2longmultiline">
    <w:name w:val="Heading 2 (long multiline)"/>
    <w:basedOn w:val="Heading2multiline"/>
    <w:uiPriority w:val="1"/>
    <w:rsid w:val="519665D8"/>
    <w:pPr>
      <w:ind w:left="2127" w:hanging="1276"/>
    </w:pPr>
  </w:style>
  <w:style w:type="character" w:customStyle="1" w:styleId="Heading3Char">
    <w:name w:val="Heading 3 Char"/>
    <w:basedOn w:val="DefaultParagraphFont"/>
    <w:link w:val="Heading3"/>
    <w:uiPriority w:val="9"/>
    <w:rsid w:val="006814E7"/>
    <w:rPr>
      <w:rFonts w:ascii="Times New Roman" w:eastAsiaTheme="majorEastAsia" w:hAnsi="Times New Roman" w:cs="Times New Roman"/>
      <w:b/>
      <w:bCs/>
      <w:lang w:val="fr-CA"/>
    </w:rPr>
  </w:style>
  <w:style w:type="paragraph" w:customStyle="1" w:styleId="heading2notforTOC">
    <w:name w:val="heading 2 not for TOC"/>
    <w:basedOn w:val="Heading3"/>
    <w:uiPriority w:val="1"/>
    <w:rsid w:val="519665D8"/>
  </w:style>
  <w:style w:type="paragraph" w:customStyle="1" w:styleId="Heading3multiline">
    <w:name w:val="Heading 3 (multiline)"/>
    <w:basedOn w:val="Heading3"/>
    <w:next w:val="Normal"/>
    <w:uiPriority w:val="1"/>
    <w:rsid w:val="519665D8"/>
    <w:pPr>
      <w:ind w:left="1418" w:hanging="425"/>
    </w:pPr>
  </w:style>
  <w:style w:type="character" w:customStyle="1" w:styleId="Heading4Char">
    <w:name w:val="Heading 4 Char"/>
    <w:basedOn w:val="DefaultParagraphFont"/>
    <w:link w:val="Heading4"/>
    <w:uiPriority w:val="9"/>
    <w:rsid w:val="006814E7"/>
    <w:rPr>
      <w:rFonts w:ascii="Times New Roman" w:eastAsiaTheme="majorEastAsia" w:hAnsi="Times New Roman" w:cs="Times New Roman"/>
      <w:b/>
      <w:bCs/>
      <w:lang w:val="fr-CA"/>
    </w:rPr>
  </w:style>
  <w:style w:type="paragraph" w:customStyle="1" w:styleId="Heading4indent">
    <w:name w:val="Heading 4 indent"/>
    <w:basedOn w:val="Heading4"/>
    <w:uiPriority w:val="1"/>
    <w:rsid w:val="519665D8"/>
    <w:pPr>
      <w:ind w:left="720"/>
    </w:pPr>
  </w:style>
  <w:style w:type="character" w:customStyle="1" w:styleId="Heading5Char">
    <w:name w:val="Heading 5 Char"/>
    <w:basedOn w:val="DefaultParagraphFont"/>
    <w:link w:val="Heading5"/>
    <w:uiPriority w:val="9"/>
    <w:rsid w:val="006814E7"/>
    <w:rPr>
      <w:rFonts w:ascii="Times New Roman" w:eastAsiaTheme="majorEastAsia" w:hAnsi="Times New Roman" w:cs="Times New Roman"/>
      <w:i/>
      <w:iCs/>
      <w:lang w:val="fr-CA"/>
    </w:rPr>
  </w:style>
  <w:style w:type="character" w:customStyle="1" w:styleId="Heading6Char">
    <w:name w:val="Heading 6 Char"/>
    <w:basedOn w:val="DefaultParagraphFont"/>
    <w:link w:val="Heading6"/>
    <w:rsid w:val="006814E7"/>
    <w:rPr>
      <w:rFonts w:ascii="Times New Roman" w:eastAsia="SimSun" w:hAnsi="Times New Roman" w:cs="Times New Roman"/>
      <w:bCs/>
      <w:sz w:val="24"/>
      <w:lang w:val="fr-CA"/>
    </w:rPr>
  </w:style>
  <w:style w:type="character" w:customStyle="1" w:styleId="Heading7Char">
    <w:name w:val="Heading 7 Char"/>
    <w:basedOn w:val="DefaultParagraphFont"/>
    <w:link w:val="Heading7"/>
    <w:rsid w:val="006814E7"/>
    <w:rPr>
      <w:rFonts w:ascii="Times New Roman" w:eastAsia="SimSun" w:hAnsi="Times New Roman" w:cs="Times New Roman"/>
      <w:b/>
      <w:snapToGrid w:val="0"/>
      <w:u w:val="single"/>
      <w:lang w:val="fr-CA"/>
    </w:rPr>
  </w:style>
  <w:style w:type="character" w:customStyle="1" w:styleId="Heading8Char">
    <w:name w:val="Heading 8 Char"/>
    <w:basedOn w:val="DefaultParagraphFont"/>
    <w:link w:val="Heading8"/>
    <w:rsid w:val="006814E7"/>
    <w:rPr>
      <w:rFonts w:ascii="Times New Roman" w:eastAsia="SimSun" w:hAnsi="Times New Roman" w:cs="Times New Roman"/>
      <w:b/>
      <w:snapToGrid w:val="0"/>
      <w:u w:val="single"/>
      <w:lang w:val="fr-CA"/>
    </w:rPr>
  </w:style>
  <w:style w:type="paragraph" w:customStyle="1" w:styleId="meetingname">
    <w:name w:val="meeting name"/>
    <w:basedOn w:val="Normal"/>
    <w:uiPriority w:val="1"/>
    <w:qFormat/>
    <w:rsid w:val="519665D8"/>
    <w:pPr>
      <w:ind w:left="142" w:right="4218" w:hanging="142"/>
    </w:pPr>
    <w:rPr>
      <w:caps/>
    </w:rPr>
  </w:style>
  <w:style w:type="character" w:styleId="PageNumber">
    <w:name w:val="page number"/>
    <w:rsid w:val="00482395"/>
    <w:rPr>
      <w:rFonts w:ascii="Times New Roman" w:hAnsi="Times New Roman"/>
      <w:sz w:val="22"/>
      <w:lang w:val="fr-CA"/>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lang w:val="fr-CA"/>
    </w:rPr>
  </w:style>
  <w:style w:type="paragraph" w:styleId="Subtitle">
    <w:name w:val="Subtitle"/>
    <w:basedOn w:val="Normal"/>
    <w:next w:val="Normal"/>
    <w:link w:val="SubtitleChar"/>
    <w:uiPriority w:val="11"/>
    <w:qFormat/>
    <w:rsid w:val="519665D8"/>
    <w:rPr>
      <w:rFonts w:asciiTheme="majorHAnsi" w:eastAsiaTheme="majorEastAsia" w:hAnsiTheme="majorHAnsi" w:cstheme="majorBidi"/>
      <w:i/>
      <w:iCs/>
      <w:color w:val="4472C4" w:themeColor="accent1"/>
      <w:sz w:val="24"/>
      <w:szCs w:val="24"/>
    </w:rPr>
  </w:style>
  <w:style w:type="character" w:customStyle="1" w:styleId="SubtitleChar">
    <w:name w:val="Subtitle Char"/>
    <w:basedOn w:val="DefaultParagraphFont"/>
    <w:link w:val="Subtitle"/>
    <w:uiPriority w:val="11"/>
    <w:rsid w:val="519665D8"/>
    <w:rPr>
      <w:rFonts w:asciiTheme="majorHAnsi" w:eastAsiaTheme="majorEastAsia" w:hAnsiTheme="majorHAnsi" w:cstheme="majorBidi"/>
      <w:i/>
      <w:iCs/>
      <w:color w:val="4472C4" w:themeColor="accent1"/>
      <w:sz w:val="24"/>
      <w:szCs w:val="24"/>
      <w:lang w:val="fr-CA"/>
    </w:rPr>
  </w:style>
  <w:style w:type="paragraph" w:customStyle="1" w:styleId="tabletitle">
    <w:name w:val="table title"/>
    <w:basedOn w:val="Heading2"/>
    <w:uiPriority w:val="1"/>
    <w:qFormat/>
    <w:rsid w:val="519665D8"/>
    <w:rPr>
      <w:i/>
      <w:iCs/>
    </w:rPr>
  </w:style>
  <w:style w:type="paragraph" w:styleId="Title">
    <w:name w:val="Title"/>
    <w:basedOn w:val="Normal"/>
    <w:next w:val="Normal"/>
    <w:link w:val="TitleCh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itleChar">
    <w:name w:val="Title Char"/>
    <w:basedOn w:val="DefaultParagraphFont"/>
    <w:link w:val="Title"/>
    <w:uiPriority w:val="10"/>
    <w:rsid w:val="519665D8"/>
    <w:rPr>
      <w:rFonts w:asciiTheme="majorHAnsi" w:eastAsiaTheme="majorEastAsia" w:hAnsiTheme="majorHAnsi" w:cstheme="majorBidi"/>
      <w:color w:val="323E4F" w:themeColor="text2" w:themeShade="BF"/>
      <w:sz w:val="52"/>
      <w:szCs w:val="52"/>
      <w:lang w:val="fr-CA"/>
    </w:rPr>
  </w:style>
  <w:style w:type="paragraph" w:styleId="TOAHeading">
    <w:name w:val="toa heading"/>
    <w:basedOn w:val="Normal"/>
    <w:next w:val="Normal"/>
    <w:uiPriority w:val="1"/>
    <w:semiHidden/>
    <w:rsid w:val="519665D8"/>
    <w:rPr>
      <w:rFonts w:cs="Arial"/>
      <w:b/>
      <w:bCs/>
      <w:sz w:val="24"/>
      <w:szCs w:val="24"/>
    </w:rPr>
  </w:style>
  <w:style w:type="paragraph" w:styleId="TOC1">
    <w:name w:val="toc 1"/>
    <w:basedOn w:val="Normal"/>
    <w:next w:val="Normal"/>
    <w:uiPriority w:val="1"/>
    <w:semiHidden/>
    <w:rsid w:val="519665D8"/>
    <w:pPr>
      <w:ind w:left="720" w:hanging="720"/>
    </w:pPr>
    <w:rPr>
      <w:caps/>
    </w:rPr>
  </w:style>
  <w:style w:type="paragraph" w:styleId="TOC2">
    <w:name w:val="toc 2"/>
    <w:basedOn w:val="Normal"/>
    <w:next w:val="Normal"/>
    <w:uiPriority w:val="1"/>
    <w:semiHidden/>
    <w:rsid w:val="519665D8"/>
    <w:pPr>
      <w:tabs>
        <w:tab w:val="right" w:leader="dot" w:pos="9356"/>
      </w:tabs>
      <w:ind w:left="1440" w:hanging="720"/>
    </w:pPr>
    <w:rPr>
      <w:noProof/>
    </w:rPr>
  </w:style>
  <w:style w:type="paragraph" w:styleId="TOC3">
    <w:name w:val="toc 3"/>
    <w:basedOn w:val="Normal"/>
    <w:next w:val="Normal"/>
    <w:uiPriority w:val="1"/>
    <w:semiHidden/>
    <w:rsid w:val="519665D8"/>
    <w:pPr>
      <w:ind w:left="2160" w:hanging="720"/>
    </w:pPr>
  </w:style>
  <w:style w:type="paragraph" w:styleId="TOC4">
    <w:name w:val="toc 4"/>
    <w:basedOn w:val="Normal"/>
    <w:next w:val="Normal"/>
    <w:uiPriority w:val="1"/>
    <w:semiHidden/>
    <w:rsid w:val="519665D8"/>
    <w:pPr>
      <w:ind w:left="660"/>
      <w:jc w:val="left"/>
    </w:pPr>
  </w:style>
  <w:style w:type="paragraph" w:styleId="TOC5">
    <w:name w:val="toc 5"/>
    <w:basedOn w:val="Normal"/>
    <w:next w:val="Normal"/>
    <w:uiPriority w:val="1"/>
    <w:semiHidden/>
    <w:rsid w:val="519665D8"/>
    <w:pPr>
      <w:ind w:left="880"/>
      <w:jc w:val="left"/>
    </w:pPr>
  </w:style>
  <w:style w:type="paragraph" w:styleId="TOC6">
    <w:name w:val="toc 6"/>
    <w:basedOn w:val="Normal"/>
    <w:next w:val="Normal"/>
    <w:uiPriority w:val="1"/>
    <w:semiHidden/>
    <w:rsid w:val="519665D8"/>
    <w:pPr>
      <w:ind w:left="1100"/>
      <w:jc w:val="left"/>
    </w:pPr>
  </w:style>
  <w:style w:type="paragraph" w:styleId="TOC7">
    <w:name w:val="toc 7"/>
    <w:basedOn w:val="Normal"/>
    <w:next w:val="Normal"/>
    <w:uiPriority w:val="1"/>
    <w:semiHidden/>
    <w:rsid w:val="519665D8"/>
    <w:pPr>
      <w:ind w:left="1320"/>
      <w:jc w:val="left"/>
    </w:pPr>
  </w:style>
  <w:style w:type="paragraph" w:styleId="TOC8">
    <w:name w:val="toc 8"/>
    <w:basedOn w:val="Normal"/>
    <w:next w:val="Normal"/>
    <w:uiPriority w:val="1"/>
    <w:semiHidden/>
    <w:rsid w:val="519665D8"/>
    <w:pPr>
      <w:ind w:left="1540"/>
      <w:jc w:val="left"/>
    </w:pPr>
  </w:style>
  <w:style w:type="paragraph" w:styleId="TOC9">
    <w:name w:val="toc 9"/>
    <w:basedOn w:val="Normal"/>
    <w:next w:val="Normal"/>
    <w:uiPriority w:val="1"/>
    <w:semiHidden/>
    <w:rsid w:val="519665D8"/>
    <w:pPr>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lang w:val="fr-CA"/>
    </w:rPr>
  </w:style>
  <w:style w:type="character" w:styleId="Strong">
    <w:name w:val="Strong"/>
    <w:basedOn w:val="DefaultParagraphFont"/>
    <w:uiPriority w:val="22"/>
    <w:qFormat/>
    <w:rsid w:val="00006597"/>
    <w:rPr>
      <w:b/>
      <w:bCs/>
      <w:lang w:val="fr-CA"/>
    </w:rPr>
  </w:style>
  <w:style w:type="paragraph" w:customStyle="1" w:styleId="paragraph">
    <w:name w:val="paragraph"/>
    <w:basedOn w:val="Normal"/>
    <w:uiPriority w:val="1"/>
    <w:rsid w:val="00DF6B5D"/>
    <w:rPr>
      <w:szCs w:val="24"/>
    </w:rPr>
  </w:style>
  <w:style w:type="character" w:customStyle="1" w:styleId="eop">
    <w:name w:val="eop"/>
    <w:basedOn w:val="DefaultParagraphFont"/>
    <w:rsid w:val="00081DFD"/>
    <w:rPr>
      <w:lang w:val="fr-CA"/>
    </w:rPr>
  </w:style>
  <w:style w:type="character" w:customStyle="1" w:styleId="tabchar">
    <w:name w:val="tabchar"/>
    <w:basedOn w:val="DefaultParagraphFont"/>
    <w:rsid w:val="00081DFD"/>
    <w:rPr>
      <w:lang w:val="fr-CA"/>
    </w:rPr>
  </w:style>
  <w:style w:type="paragraph" w:styleId="Quote">
    <w:name w:val="Quote"/>
    <w:basedOn w:val="Normal"/>
    <w:next w:val="Normal"/>
    <w:link w:val="QuoteChar"/>
    <w:uiPriority w:val="29"/>
    <w:qFormat/>
    <w:rsid w:val="519665D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19665D8"/>
    <w:pPr>
      <w:spacing w:before="360" w:after="360"/>
      <w:ind w:left="864" w:right="864"/>
      <w:jc w:val="center"/>
    </w:pPr>
    <w:rPr>
      <w:i/>
      <w:iCs/>
      <w:color w:val="4472C4" w:themeColor="accent1"/>
    </w:rPr>
  </w:style>
  <w:style w:type="character" w:customStyle="1" w:styleId="QuoteChar">
    <w:name w:val="Quote Char"/>
    <w:basedOn w:val="DefaultParagraphFont"/>
    <w:link w:val="Quote"/>
    <w:uiPriority w:val="29"/>
    <w:rsid w:val="519665D8"/>
    <w:rPr>
      <w:rFonts w:ascii="Times New Roman" w:eastAsia="SimSun" w:hAnsi="Times New Roman" w:cs="Times New Roman"/>
      <w:i/>
      <w:iCs/>
      <w:color w:val="404040" w:themeColor="text1" w:themeTint="BF"/>
      <w:lang w:val="fr-CA"/>
    </w:rPr>
  </w:style>
  <w:style w:type="character" w:customStyle="1" w:styleId="IntenseQuoteChar">
    <w:name w:val="Intense Quote Char"/>
    <w:basedOn w:val="DefaultParagraphFont"/>
    <w:link w:val="IntenseQuote"/>
    <w:uiPriority w:val="30"/>
    <w:rsid w:val="519665D8"/>
    <w:rPr>
      <w:rFonts w:ascii="Times New Roman" w:eastAsia="SimSun" w:hAnsi="Times New Roman" w:cs="Times New Roman"/>
      <w:i/>
      <w:iCs/>
      <w:color w:val="4472C4" w:themeColor="accent1"/>
      <w:lang w:val="fr-CA"/>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rPr>
  </w:style>
  <w:style w:type="character" w:customStyle="1" w:styleId="mark478z0f6ec">
    <w:name w:val="mark478z0f6ec"/>
    <w:basedOn w:val="DefaultParagraphFont"/>
    <w:rsid w:val="00873AC2"/>
    <w:rPr>
      <w:lang w:val="fr-CA"/>
    </w:rPr>
  </w:style>
  <w:style w:type="character" w:customStyle="1" w:styleId="markrg7dsa8il">
    <w:name w:val="markrg7dsa8il"/>
    <w:basedOn w:val="DefaultParagraphFont"/>
    <w:rsid w:val="00873AC2"/>
    <w:rPr>
      <w:lang w:val="fr-CA"/>
    </w:rPr>
  </w:style>
  <w:style w:type="character" w:customStyle="1" w:styleId="mark6henrkujc">
    <w:name w:val="mark6henrkujc"/>
    <w:basedOn w:val="DefaultParagraphFont"/>
    <w:rsid w:val="00873AC2"/>
    <w:rPr>
      <w:lang w:val="fr-CA"/>
    </w:rPr>
  </w:style>
  <w:style w:type="paragraph" w:customStyle="1" w:styleId="Venuedate">
    <w:name w:val="Venue&amp;date"/>
    <w:basedOn w:val="Cornernotation"/>
    <w:qFormat/>
    <w:rsid w:val="002B757B"/>
    <w:rPr>
      <w:bCs/>
    </w:rPr>
  </w:style>
  <w:style w:type="paragraph" w:customStyle="1" w:styleId="Footnote">
    <w:name w:val="Footnote"/>
    <w:basedOn w:val="FootnoteText"/>
    <w:qFormat/>
    <w:rsid w:val="006814E7"/>
    <w:rPr>
      <w:szCs w:val="18"/>
    </w:rPr>
  </w:style>
  <w:style w:type="paragraph" w:customStyle="1" w:styleId="Cornernotation-Item">
    <w:name w:val="Corner notation - Item"/>
    <w:basedOn w:val="Venuedate"/>
    <w:qFormat/>
    <w:rsid w:val="002B757B"/>
    <w:rPr>
      <w:b/>
    </w:rPr>
  </w:style>
  <w:style w:type="paragraph" w:customStyle="1" w:styleId="DarkList-Accent31">
    <w:name w:val="Dark List - Accent 31"/>
    <w:hidden/>
    <w:uiPriority w:val="99"/>
    <w:semiHidden/>
    <w:rsid w:val="006814E7"/>
    <w:pPr>
      <w:spacing w:after="0" w:line="240" w:lineRule="auto"/>
    </w:pPr>
    <w:rPr>
      <w:rFonts w:ascii="Times New Roman" w:eastAsia="SimSun" w:hAnsi="Times New Roman" w:cs="Times New Roman"/>
      <w:lang w:eastAsia="en-GB"/>
    </w:rPr>
  </w:style>
  <w:style w:type="paragraph" w:customStyle="1" w:styleId="CBDNormalNoNumber">
    <w:name w:val="CBD_Normal_NoNumber"/>
    <w:basedOn w:val="CBDNormal"/>
    <w:qFormat/>
    <w:rsid w:val="006814E7"/>
    <w:pPr>
      <w:spacing w:after="120"/>
      <w:ind w:left="567"/>
    </w:pPr>
  </w:style>
  <w:style w:type="paragraph" w:customStyle="1" w:styleId="Annex">
    <w:name w:val="Annex"/>
    <w:basedOn w:val="Normal"/>
    <w:semiHidden/>
    <w:qFormat/>
    <w:rsid w:val="006814E7"/>
    <w:pPr>
      <w:spacing w:after="240"/>
    </w:pPr>
    <w:rPr>
      <w:b/>
      <w:sz w:val="28"/>
    </w:rPr>
  </w:style>
  <w:style w:type="paragraph" w:customStyle="1" w:styleId="ABSymbol">
    <w:name w:val="AB_Symbol"/>
    <w:basedOn w:val="Normal"/>
    <w:qFormat/>
    <w:rsid w:val="006814E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3516B"/>
    <w:pPr>
      <w:numPr>
        <w:numId w:val="85"/>
      </w:numPr>
      <w:tabs>
        <w:tab w:val="left" w:pos="3969"/>
      </w:tabs>
      <w:spacing w:before="120" w:after="120"/>
    </w:pPr>
  </w:style>
  <w:style w:type="paragraph" w:customStyle="1" w:styleId="AFCorNotNormal">
    <w:name w:val="AF_CorNotNormal"/>
    <w:basedOn w:val="Normal"/>
    <w:unhideWhenUsed/>
    <w:rsid w:val="006814E7"/>
  </w:style>
  <w:style w:type="paragraph" w:customStyle="1" w:styleId="AEDistrNormal">
    <w:name w:val="AE_DistrNormal"/>
    <w:basedOn w:val="Normal"/>
    <w:unhideWhenUsed/>
    <w:rsid w:val="006814E7"/>
    <w:pPr>
      <w:jc w:val="left"/>
    </w:pPr>
  </w:style>
  <w:style w:type="paragraph" w:customStyle="1" w:styleId="AASmallLogo">
    <w:name w:val="AA_SmallLogo"/>
    <w:basedOn w:val="AEDistrNormal"/>
    <w:unhideWhenUsed/>
    <w:rsid w:val="006814E7"/>
    <w:pPr>
      <w:spacing w:before="40"/>
    </w:pPr>
    <w:rPr>
      <w:sz w:val="4"/>
    </w:rPr>
  </w:style>
  <w:style w:type="paragraph" w:customStyle="1" w:styleId="ACLargeLogo">
    <w:name w:val="AC_LargeLogo"/>
    <w:basedOn w:val="AFCorNotNormal"/>
    <w:next w:val="AISpacer"/>
    <w:unhideWhenUsed/>
    <w:rsid w:val="006814E7"/>
    <w:pPr>
      <w:spacing w:before="120"/>
      <w:contextualSpacing/>
      <w:jc w:val="left"/>
    </w:pPr>
    <w:rPr>
      <w:sz w:val="8"/>
    </w:rPr>
  </w:style>
  <w:style w:type="paragraph" w:customStyle="1" w:styleId="CBDNormal">
    <w:name w:val="CBD_Normal"/>
    <w:unhideWhenUsed/>
    <w:qFormat/>
    <w:rsid w:val="006814E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rPr>
  </w:style>
  <w:style w:type="paragraph" w:styleId="List">
    <w:name w:val="List"/>
    <w:basedOn w:val="Normal"/>
    <w:semiHidden/>
    <w:rsid w:val="006814E7"/>
    <w:pPr>
      <w:contextualSpacing/>
    </w:pPr>
  </w:style>
  <w:style w:type="numbering" w:customStyle="1" w:styleId="ListCBD">
    <w:name w:val="ListCBD"/>
    <w:basedOn w:val="NoList"/>
    <w:uiPriority w:val="99"/>
    <w:rsid w:val="006814E7"/>
    <w:pPr>
      <w:numPr>
        <w:numId w:val="58"/>
      </w:numPr>
    </w:pPr>
  </w:style>
  <w:style w:type="numbering" w:customStyle="1" w:styleId="CBDHeadings">
    <w:name w:val="CBD_Headings"/>
    <w:basedOn w:val="ListCBD"/>
    <w:uiPriority w:val="99"/>
    <w:rsid w:val="006814E7"/>
    <w:pPr>
      <w:numPr>
        <w:numId w:val="76"/>
      </w:numPr>
    </w:pPr>
  </w:style>
  <w:style w:type="paragraph" w:customStyle="1" w:styleId="AISpacer">
    <w:name w:val="AI_Spacer"/>
    <w:next w:val="Normal"/>
    <w:unhideWhenUsed/>
    <w:qFormat/>
    <w:rsid w:val="006814E7"/>
    <w:pPr>
      <w:spacing w:after="0" w:line="240" w:lineRule="auto"/>
    </w:pPr>
    <w:rPr>
      <w:rFonts w:ascii="Times New Roman" w:eastAsia="SimSun" w:hAnsi="Times New Roman" w:cs="Times New Roman"/>
      <w:sz w:val="2"/>
    </w:rPr>
  </w:style>
  <w:style w:type="paragraph" w:customStyle="1" w:styleId="AEDistrNormal6pt">
    <w:name w:val="AE_DistrNormal6pt"/>
    <w:basedOn w:val="AEDistrNormal"/>
    <w:next w:val="AFCorNotNormal"/>
    <w:unhideWhenUsed/>
    <w:qFormat/>
    <w:rsid w:val="006814E7"/>
    <w:pPr>
      <w:spacing w:before="120"/>
    </w:pPr>
  </w:style>
  <w:style w:type="paragraph" w:customStyle="1" w:styleId="AFCorNotBold">
    <w:name w:val="AF_CorNotBold"/>
    <w:basedOn w:val="AFCorNotNormal"/>
    <w:next w:val="AFCorNotNormal"/>
    <w:unhideWhenUsed/>
    <w:qFormat/>
    <w:rsid w:val="006814E7"/>
    <w:rPr>
      <w:b/>
    </w:rPr>
  </w:style>
  <w:style w:type="paragraph" w:customStyle="1" w:styleId="AFCorNot12Bold">
    <w:name w:val="AF_CorNot12Bold"/>
    <w:basedOn w:val="AFCorNotNormal"/>
    <w:next w:val="AFCorNotNormal"/>
    <w:unhideWhenUsed/>
    <w:qFormat/>
    <w:rsid w:val="006814E7"/>
    <w:pPr>
      <w:jc w:val="left"/>
    </w:pPr>
    <w:rPr>
      <w:b/>
      <w:sz w:val="24"/>
    </w:rPr>
  </w:style>
  <w:style w:type="paragraph" w:customStyle="1" w:styleId="CBDAgendaItem">
    <w:name w:val="CBD_AgendaItem"/>
    <w:basedOn w:val="Normal"/>
    <w:qFormat/>
    <w:rsid w:val="006814E7"/>
    <w:pPr>
      <w:keepNext/>
      <w:keepLines/>
      <w:spacing w:before="240" w:after="120"/>
      <w:jc w:val="left"/>
    </w:pPr>
    <w:rPr>
      <w:b/>
      <w:sz w:val="24"/>
    </w:rPr>
  </w:style>
  <w:style w:type="paragraph" w:customStyle="1" w:styleId="CBDDesicionText">
    <w:name w:val="CBD_DesicionText"/>
    <w:basedOn w:val="CBDNormal"/>
    <w:qFormat/>
    <w:rsid w:val="006814E7"/>
    <w:pPr>
      <w:spacing w:after="120"/>
      <w:ind w:left="567"/>
    </w:pPr>
  </w:style>
  <w:style w:type="paragraph" w:customStyle="1" w:styleId="CBDDesicionAnnex">
    <w:name w:val="CBD_DesicionAnnex"/>
    <w:basedOn w:val="CBDNormal"/>
    <w:next w:val="CBDDesicionText"/>
    <w:qFormat/>
    <w:rsid w:val="006814E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814E7"/>
    <w:pPr>
      <w:keepNext/>
      <w:keepLines/>
      <w:spacing w:after="240"/>
      <w:jc w:val="left"/>
    </w:pPr>
    <w:rPr>
      <w:b/>
      <w:sz w:val="28"/>
      <w:lang w:bidi="ar-SY"/>
    </w:rPr>
  </w:style>
  <w:style w:type="paragraph" w:customStyle="1" w:styleId="CBDSubTitle">
    <w:name w:val="CBD_SubTitle"/>
    <w:basedOn w:val="CBDNormal"/>
    <w:qFormat/>
    <w:rsid w:val="006814E7"/>
    <w:pPr>
      <w:keepNext/>
      <w:keepLines/>
      <w:spacing w:before="240" w:after="240"/>
      <w:ind w:left="567"/>
      <w:jc w:val="left"/>
    </w:pPr>
    <w:rPr>
      <w:b/>
    </w:rPr>
  </w:style>
  <w:style w:type="paragraph" w:customStyle="1" w:styleId="CBDTitle">
    <w:name w:val="CBD_Title"/>
    <w:basedOn w:val="CBDNormal"/>
    <w:next w:val="CBDSubTitle"/>
    <w:qFormat/>
    <w:rsid w:val="006814E7"/>
    <w:pPr>
      <w:keepNext/>
      <w:keepLines/>
      <w:spacing w:before="240" w:after="240"/>
      <w:ind w:left="567"/>
      <w:jc w:val="left"/>
    </w:pPr>
    <w:rPr>
      <w:b/>
      <w:sz w:val="28"/>
    </w:rPr>
  </w:style>
  <w:style w:type="paragraph" w:customStyle="1" w:styleId="AENormal">
    <w:name w:val="AE_Normal"/>
    <w:basedOn w:val="Normal"/>
    <w:rsid w:val="006814E7"/>
  </w:style>
  <w:style w:type="paragraph" w:customStyle="1" w:styleId="CBDH1">
    <w:name w:val="CBD_H1"/>
    <w:basedOn w:val="CBDNormal"/>
    <w:qFormat/>
    <w:rsid w:val="006814E7"/>
    <w:pPr>
      <w:keepNext/>
      <w:keepLines/>
      <w:spacing w:before="240" w:after="120"/>
      <w:ind w:left="567" w:hanging="567"/>
      <w:jc w:val="left"/>
      <w:outlineLvl w:val="0"/>
    </w:pPr>
    <w:rPr>
      <w:b/>
      <w:sz w:val="28"/>
    </w:rPr>
  </w:style>
  <w:style w:type="paragraph" w:customStyle="1" w:styleId="CBDH2">
    <w:name w:val="CBD_H2"/>
    <w:basedOn w:val="CBDNormalNumber"/>
    <w:qFormat/>
    <w:rsid w:val="006814E7"/>
    <w:pPr>
      <w:keepNext/>
      <w:keepLines/>
      <w:ind w:hanging="567"/>
    </w:pPr>
    <w:rPr>
      <w:b/>
      <w:sz w:val="24"/>
    </w:rPr>
  </w:style>
  <w:style w:type="paragraph" w:customStyle="1" w:styleId="CBDFootnoteText">
    <w:name w:val="CBD_Footnote_Text"/>
    <w:basedOn w:val="CBDNormal"/>
    <w:qFormat/>
    <w:rsid w:val="006814E7"/>
    <w:pPr>
      <w:jc w:val="left"/>
    </w:pPr>
    <w:rPr>
      <w:sz w:val="18"/>
    </w:rPr>
  </w:style>
  <w:style w:type="paragraph" w:customStyle="1" w:styleId="CBDFooter">
    <w:name w:val="CBD_Footer"/>
    <w:basedOn w:val="CBDNormal"/>
    <w:qFormat/>
    <w:rsid w:val="006814E7"/>
    <w:rPr>
      <w:sz w:val="20"/>
    </w:rPr>
  </w:style>
  <w:style w:type="paragraph" w:customStyle="1" w:styleId="CBDHeader">
    <w:name w:val="CBD_Header"/>
    <w:basedOn w:val="CBDNormal"/>
    <w:next w:val="CBDFooter"/>
    <w:qFormat/>
    <w:rsid w:val="006814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814E7"/>
    <w:pPr>
      <w:keepNext/>
      <w:keepLines/>
      <w:spacing w:before="120" w:after="120"/>
      <w:ind w:left="567" w:hanging="567"/>
      <w:jc w:val="left"/>
    </w:pPr>
    <w:rPr>
      <w:b/>
    </w:rPr>
  </w:style>
  <w:style w:type="paragraph" w:customStyle="1" w:styleId="CBDH4">
    <w:name w:val="CBD_H4"/>
    <w:basedOn w:val="CBDNormal"/>
    <w:rsid w:val="006814E7"/>
    <w:pPr>
      <w:keepNext/>
      <w:keepLines/>
      <w:spacing w:before="120" w:after="120"/>
      <w:ind w:left="567" w:hanging="567"/>
      <w:jc w:val="left"/>
    </w:pPr>
    <w:rPr>
      <w:b/>
    </w:rPr>
  </w:style>
  <w:style w:type="paragraph" w:customStyle="1" w:styleId="CBDH5">
    <w:name w:val="CBD_H5"/>
    <w:basedOn w:val="CBDNormal"/>
    <w:qFormat/>
    <w:rsid w:val="006814E7"/>
    <w:pPr>
      <w:keepNext/>
      <w:keepLines/>
      <w:spacing w:before="120" w:after="120"/>
      <w:ind w:left="567" w:hanging="567"/>
      <w:jc w:val="left"/>
    </w:pPr>
    <w:rPr>
      <w:i/>
    </w:rPr>
  </w:style>
  <w:style w:type="paragraph" w:customStyle="1" w:styleId="CBDTableNormal">
    <w:name w:val="CBD_TableNormal"/>
    <w:basedOn w:val="CBDNormal"/>
    <w:qFormat/>
    <w:rsid w:val="006814E7"/>
    <w:pPr>
      <w:spacing w:before="40" w:after="80"/>
      <w:jc w:val="left"/>
    </w:pPr>
    <w:rPr>
      <w:sz w:val="20"/>
    </w:rPr>
  </w:style>
  <w:style w:type="paragraph" w:customStyle="1" w:styleId="CBDTableTitle">
    <w:name w:val="CBD_TableTitle"/>
    <w:basedOn w:val="CBDNormal"/>
    <w:qFormat/>
    <w:rsid w:val="006814E7"/>
    <w:pPr>
      <w:keepNext/>
      <w:keepLines/>
      <w:spacing w:before="120" w:after="60"/>
      <w:ind w:left="567"/>
      <w:jc w:val="left"/>
    </w:pPr>
    <w:rPr>
      <w:b/>
    </w:rPr>
  </w:style>
  <w:style w:type="paragraph" w:customStyle="1" w:styleId="CBDFigureTitle">
    <w:name w:val="CBD_FigureTitle"/>
    <w:basedOn w:val="CBDNormal"/>
    <w:next w:val="CBDNormalNoNumber"/>
    <w:qFormat/>
    <w:rsid w:val="006814E7"/>
    <w:pPr>
      <w:keepNext/>
      <w:keepLines/>
      <w:spacing w:before="120" w:after="60"/>
      <w:ind w:left="567"/>
      <w:jc w:val="left"/>
    </w:pPr>
    <w:rPr>
      <w:b/>
    </w:rPr>
  </w:style>
  <w:style w:type="paragraph" w:styleId="Bibliography">
    <w:name w:val="Bibliography"/>
    <w:basedOn w:val="Normal"/>
    <w:next w:val="Normal"/>
    <w:uiPriority w:val="37"/>
    <w:semiHidden/>
    <w:unhideWhenUsed/>
    <w:rsid w:val="006814E7"/>
  </w:style>
  <w:style w:type="paragraph" w:styleId="BlockText">
    <w:name w:val="Block Text"/>
    <w:basedOn w:val="Normal"/>
    <w:uiPriority w:val="99"/>
    <w:semiHidden/>
    <w:unhideWhenUsed/>
    <w:rsid w:val="006814E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6814E7"/>
    <w:pPr>
      <w:spacing w:after="120" w:line="480" w:lineRule="auto"/>
    </w:pPr>
  </w:style>
  <w:style w:type="character" w:customStyle="1" w:styleId="BodyText2Char">
    <w:name w:val="Body Text 2 Char"/>
    <w:basedOn w:val="DefaultParagraphFont"/>
    <w:link w:val="BodyText2"/>
    <w:uiPriority w:val="99"/>
    <w:semiHidden/>
    <w:rsid w:val="006814E7"/>
    <w:rPr>
      <w:rFonts w:ascii="Times New Roman" w:eastAsia="SimSun" w:hAnsi="Times New Roman" w:cs="Times New Roman"/>
      <w:lang w:val="fr-CA"/>
    </w:rPr>
  </w:style>
  <w:style w:type="paragraph" w:styleId="BodyText3">
    <w:name w:val="Body Text 3"/>
    <w:basedOn w:val="Normal"/>
    <w:link w:val="BodyText3Char"/>
    <w:uiPriority w:val="99"/>
    <w:semiHidden/>
    <w:unhideWhenUsed/>
    <w:rsid w:val="006814E7"/>
    <w:pPr>
      <w:spacing w:after="120"/>
    </w:pPr>
    <w:rPr>
      <w:sz w:val="16"/>
      <w:szCs w:val="16"/>
    </w:rPr>
  </w:style>
  <w:style w:type="character" w:customStyle="1" w:styleId="BodyText3Char">
    <w:name w:val="Body Text 3 Char"/>
    <w:basedOn w:val="DefaultParagraphFont"/>
    <w:link w:val="BodyText3"/>
    <w:uiPriority w:val="99"/>
    <w:semiHidden/>
    <w:rsid w:val="006814E7"/>
    <w:rPr>
      <w:rFonts w:ascii="Times New Roman" w:eastAsia="SimSun" w:hAnsi="Times New Roman" w:cs="Times New Roman"/>
      <w:sz w:val="16"/>
      <w:szCs w:val="16"/>
      <w:lang w:val="fr-CA"/>
    </w:rPr>
  </w:style>
  <w:style w:type="paragraph" w:styleId="BodyTextFirstIndent">
    <w:name w:val="Body Text First Indent"/>
    <w:basedOn w:val="BodyText"/>
    <w:link w:val="BodyTextFirstIndentChar"/>
    <w:uiPriority w:val="99"/>
    <w:semiHidden/>
    <w:unhideWhenUsed/>
    <w:rsid w:val="006814E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814E7"/>
    <w:rPr>
      <w:rFonts w:ascii="Times New Roman" w:eastAsia="SimSun" w:hAnsi="Times New Roman" w:cs="Times New Roman"/>
      <w:kern w:val="2"/>
      <w:lang w:val="fr-CA"/>
      <w14:ligatures w14:val="standardContextual"/>
    </w:rPr>
  </w:style>
  <w:style w:type="paragraph" w:styleId="BodyTextFirstIndent2">
    <w:name w:val="Body Text First Indent 2"/>
    <w:basedOn w:val="BodyTextIndent"/>
    <w:link w:val="BodyTextFirstIndent2Char"/>
    <w:uiPriority w:val="99"/>
    <w:semiHidden/>
    <w:unhideWhenUsed/>
    <w:rsid w:val="006814E7"/>
    <w:pPr>
      <w:ind w:left="360" w:firstLine="360"/>
      <w:jc w:val="both"/>
    </w:pPr>
  </w:style>
  <w:style w:type="character" w:customStyle="1" w:styleId="BodyTextFirstIndent2Char">
    <w:name w:val="Body Text First Indent 2 Char"/>
    <w:basedOn w:val="BodyTextIndentChar"/>
    <w:link w:val="BodyTextFirstIndent2"/>
    <w:uiPriority w:val="99"/>
    <w:semiHidden/>
    <w:rsid w:val="006814E7"/>
    <w:rPr>
      <w:rFonts w:ascii="Times New Roman" w:eastAsia="SimSun" w:hAnsi="Times New Roman" w:cs="Times New Roman"/>
      <w:lang w:val="fr-CA"/>
    </w:rPr>
  </w:style>
  <w:style w:type="paragraph" w:styleId="BodyTextIndent2">
    <w:name w:val="Body Text Indent 2"/>
    <w:basedOn w:val="Normal"/>
    <w:link w:val="BodyTextIndent2Char"/>
    <w:uiPriority w:val="99"/>
    <w:semiHidden/>
    <w:unhideWhenUsed/>
    <w:rsid w:val="006814E7"/>
    <w:pPr>
      <w:spacing w:after="120" w:line="480" w:lineRule="auto"/>
      <w:ind w:left="283"/>
    </w:pPr>
  </w:style>
  <w:style w:type="character" w:customStyle="1" w:styleId="BodyTextIndent2Char">
    <w:name w:val="Body Text Indent 2 Char"/>
    <w:basedOn w:val="DefaultParagraphFont"/>
    <w:link w:val="BodyTextIndent2"/>
    <w:uiPriority w:val="99"/>
    <w:semiHidden/>
    <w:rsid w:val="006814E7"/>
    <w:rPr>
      <w:rFonts w:ascii="Times New Roman" w:eastAsia="SimSun" w:hAnsi="Times New Roman" w:cs="Times New Roman"/>
      <w:lang w:val="fr-CA"/>
    </w:rPr>
  </w:style>
  <w:style w:type="paragraph" w:styleId="BodyTextIndent3">
    <w:name w:val="Body Text Indent 3"/>
    <w:basedOn w:val="Normal"/>
    <w:link w:val="BodyTextIndent3Char"/>
    <w:uiPriority w:val="99"/>
    <w:semiHidden/>
    <w:unhideWhenUsed/>
    <w:rsid w:val="006814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814E7"/>
    <w:rPr>
      <w:rFonts w:ascii="Times New Roman" w:eastAsia="SimSun" w:hAnsi="Times New Roman" w:cs="Times New Roman"/>
      <w:sz w:val="16"/>
      <w:szCs w:val="16"/>
      <w:lang w:val="fr-CA"/>
    </w:rPr>
  </w:style>
  <w:style w:type="character" w:styleId="BookTitle">
    <w:name w:val="Book Title"/>
    <w:basedOn w:val="DefaultParagraphFont"/>
    <w:uiPriority w:val="33"/>
    <w:qFormat/>
    <w:rsid w:val="006814E7"/>
    <w:rPr>
      <w:b/>
      <w:bCs/>
      <w:i/>
      <w:iCs/>
      <w:spacing w:val="5"/>
      <w:lang w:val="fr-CA"/>
    </w:rPr>
  </w:style>
  <w:style w:type="paragraph" w:styleId="Closing">
    <w:name w:val="Closing"/>
    <w:basedOn w:val="Normal"/>
    <w:link w:val="ClosingChar"/>
    <w:uiPriority w:val="99"/>
    <w:semiHidden/>
    <w:unhideWhenUsed/>
    <w:rsid w:val="006814E7"/>
    <w:pPr>
      <w:ind w:left="4252"/>
    </w:pPr>
  </w:style>
  <w:style w:type="character" w:customStyle="1" w:styleId="ClosingChar">
    <w:name w:val="Closing Char"/>
    <w:basedOn w:val="DefaultParagraphFont"/>
    <w:link w:val="Closing"/>
    <w:uiPriority w:val="99"/>
    <w:semiHidden/>
    <w:rsid w:val="006814E7"/>
    <w:rPr>
      <w:rFonts w:ascii="Times New Roman" w:eastAsia="SimSun" w:hAnsi="Times New Roman" w:cs="Times New Roman"/>
      <w:lang w:val="fr-CA"/>
    </w:rPr>
  </w:style>
  <w:style w:type="table" w:styleId="ColorfulGrid">
    <w:name w:val="Colorful Grid"/>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6814E7"/>
  </w:style>
  <w:style w:type="character" w:customStyle="1" w:styleId="DateChar">
    <w:name w:val="Date Char"/>
    <w:basedOn w:val="DefaultParagraphFont"/>
    <w:link w:val="Date"/>
    <w:uiPriority w:val="99"/>
    <w:semiHidden/>
    <w:rsid w:val="006814E7"/>
    <w:rPr>
      <w:rFonts w:ascii="Times New Roman" w:eastAsia="SimSun" w:hAnsi="Times New Roman" w:cs="Times New Roman"/>
      <w:lang w:val="fr-CA"/>
    </w:rPr>
  </w:style>
  <w:style w:type="paragraph" w:styleId="DocumentMap">
    <w:name w:val="Document Map"/>
    <w:basedOn w:val="Normal"/>
    <w:link w:val="DocumentMapChar"/>
    <w:uiPriority w:val="99"/>
    <w:semiHidden/>
    <w:unhideWhenUsed/>
    <w:rsid w:val="006814E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14E7"/>
    <w:rPr>
      <w:rFonts w:ascii="Segoe UI" w:eastAsia="SimSun" w:hAnsi="Segoe UI" w:cs="Segoe UI"/>
      <w:sz w:val="16"/>
      <w:szCs w:val="16"/>
      <w:lang w:val="fr-CA"/>
    </w:rPr>
  </w:style>
  <w:style w:type="paragraph" w:styleId="E-mailSignature">
    <w:name w:val="E-mail Signature"/>
    <w:basedOn w:val="Normal"/>
    <w:link w:val="E-mailSignatureChar"/>
    <w:uiPriority w:val="99"/>
    <w:semiHidden/>
    <w:unhideWhenUsed/>
    <w:rsid w:val="006814E7"/>
  </w:style>
  <w:style w:type="character" w:customStyle="1" w:styleId="E-mailSignatureChar">
    <w:name w:val="E-mail Signature Char"/>
    <w:basedOn w:val="DefaultParagraphFont"/>
    <w:link w:val="E-mailSignature"/>
    <w:uiPriority w:val="99"/>
    <w:semiHidden/>
    <w:rsid w:val="006814E7"/>
    <w:rPr>
      <w:rFonts w:ascii="Times New Roman" w:eastAsia="SimSun" w:hAnsi="Times New Roman" w:cs="Times New Roman"/>
      <w:lang w:val="fr-CA"/>
    </w:rPr>
  </w:style>
  <w:style w:type="character" w:styleId="Emphasis">
    <w:name w:val="Emphasis"/>
    <w:basedOn w:val="DefaultParagraphFont"/>
    <w:uiPriority w:val="20"/>
    <w:qFormat/>
    <w:rsid w:val="006814E7"/>
    <w:rPr>
      <w:i/>
      <w:iCs/>
      <w:lang w:val="fr-CA"/>
    </w:rPr>
  </w:style>
  <w:style w:type="paragraph" w:styleId="EnvelopeAddress">
    <w:name w:val="envelope address"/>
    <w:basedOn w:val="Normal"/>
    <w:uiPriority w:val="99"/>
    <w:semiHidden/>
    <w:unhideWhenUsed/>
    <w:rsid w:val="006814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814E7"/>
    <w:rPr>
      <w:rFonts w:asciiTheme="majorHAnsi" w:eastAsiaTheme="majorEastAsia" w:hAnsiTheme="majorHAnsi" w:cstheme="majorBidi"/>
      <w:sz w:val="20"/>
      <w:szCs w:val="20"/>
    </w:rPr>
  </w:style>
  <w:style w:type="table" w:styleId="GridTable1Light">
    <w:name w:val="Grid Table 1 Light"/>
    <w:basedOn w:val="TableNormal"/>
    <w:uiPriority w:val="46"/>
    <w:rsid w:val="006814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814E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814E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814E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814E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814E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814E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814E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814E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814E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814E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814E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814E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814E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6814E7"/>
    <w:rPr>
      <w:color w:val="2B579A"/>
      <w:shd w:val="clear" w:color="auto" w:fill="E1DFDD"/>
      <w:lang w:val="fr-CA"/>
    </w:rPr>
  </w:style>
  <w:style w:type="character" w:styleId="HTMLAcronym">
    <w:name w:val="HTML Acronym"/>
    <w:basedOn w:val="DefaultParagraphFont"/>
    <w:uiPriority w:val="99"/>
    <w:semiHidden/>
    <w:unhideWhenUsed/>
    <w:rsid w:val="006814E7"/>
    <w:rPr>
      <w:lang w:val="fr-CA"/>
    </w:rPr>
  </w:style>
  <w:style w:type="paragraph" w:styleId="HTMLAddress">
    <w:name w:val="HTML Address"/>
    <w:basedOn w:val="Normal"/>
    <w:link w:val="HTMLAddressChar"/>
    <w:uiPriority w:val="99"/>
    <w:semiHidden/>
    <w:unhideWhenUsed/>
    <w:rsid w:val="006814E7"/>
    <w:rPr>
      <w:i/>
      <w:iCs/>
    </w:rPr>
  </w:style>
  <w:style w:type="character" w:customStyle="1" w:styleId="HTMLAddressChar">
    <w:name w:val="HTML Address Char"/>
    <w:basedOn w:val="DefaultParagraphFont"/>
    <w:link w:val="HTMLAddress"/>
    <w:uiPriority w:val="99"/>
    <w:semiHidden/>
    <w:rsid w:val="006814E7"/>
    <w:rPr>
      <w:rFonts w:ascii="Times New Roman" w:eastAsia="SimSun" w:hAnsi="Times New Roman" w:cs="Times New Roman"/>
      <w:i/>
      <w:iCs/>
      <w:lang w:val="fr-CA"/>
    </w:rPr>
  </w:style>
  <w:style w:type="character" w:styleId="HTMLCite">
    <w:name w:val="HTML Cite"/>
    <w:basedOn w:val="DefaultParagraphFont"/>
    <w:uiPriority w:val="99"/>
    <w:semiHidden/>
    <w:unhideWhenUsed/>
    <w:rsid w:val="006814E7"/>
    <w:rPr>
      <w:i/>
      <w:iCs/>
      <w:lang w:val="fr-CA"/>
    </w:rPr>
  </w:style>
  <w:style w:type="character" w:styleId="HTMLCode">
    <w:name w:val="HTML Code"/>
    <w:basedOn w:val="DefaultParagraphFont"/>
    <w:uiPriority w:val="99"/>
    <w:semiHidden/>
    <w:unhideWhenUsed/>
    <w:rsid w:val="006814E7"/>
    <w:rPr>
      <w:rFonts w:ascii="Consolas" w:hAnsi="Consolas"/>
      <w:sz w:val="20"/>
      <w:szCs w:val="20"/>
      <w:lang w:val="fr-CA"/>
    </w:rPr>
  </w:style>
  <w:style w:type="character" w:styleId="HTMLDefinition">
    <w:name w:val="HTML Definition"/>
    <w:basedOn w:val="DefaultParagraphFont"/>
    <w:uiPriority w:val="99"/>
    <w:semiHidden/>
    <w:unhideWhenUsed/>
    <w:rsid w:val="006814E7"/>
    <w:rPr>
      <w:i/>
      <w:iCs/>
      <w:lang w:val="fr-CA"/>
    </w:rPr>
  </w:style>
  <w:style w:type="character" w:styleId="HTMLKeyboard">
    <w:name w:val="HTML Keyboard"/>
    <w:basedOn w:val="DefaultParagraphFont"/>
    <w:uiPriority w:val="99"/>
    <w:semiHidden/>
    <w:unhideWhenUsed/>
    <w:rsid w:val="006814E7"/>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6814E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14E7"/>
    <w:rPr>
      <w:rFonts w:ascii="Consolas" w:eastAsia="SimSun" w:hAnsi="Consolas" w:cs="Times New Roman"/>
      <w:sz w:val="20"/>
      <w:szCs w:val="20"/>
      <w:lang w:val="fr-CA"/>
    </w:rPr>
  </w:style>
  <w:style w:type="character" w:styleId="HTMLSample">
    <w:name w:val="HTML Sample"/>
    <w:basedOn w:val="DefaultParagraphFont"/>
    <w:uiPriority w:val="99"/>
    <w:semiHidden/>
    <w:unhideWhenUsed/>
    <w:rsid w:val="006814E7"/>
    <w:rPr>
      <w:rFonts w:ascii="Consolas" w:hAnsi="Consolas"/>
      <w:sz w:val="24"/>
      <w:szCs w:val="24"/>
      <w:lang w:val="fr-CA"/>
    </w:rPr>
  </w:style>
  <w:style w:type="character" w:styleId="HTMLTypewriter">
    <w:name w:val="HTML Typewriter"/>
    <w:basedOn w:val="DefaultParagraphFont"/>
    <w:uiPriority w:val="99"/>
    <w:semiHidden/>
    <w:unhideWhenUsed/>
    <w:rsid w:val="006814E7"/>
    <w:rPr>
      <w:rFonts w:ascii="Consolas" w:hAnsi="Consolas"/>
      <w:sz w:val="20"/>
      <w:szCs w:val="20"/>
      <w:lang w:val="fr-CA"/>
    </w:rPr>
  </w:style>
  <w:style w:type="character" w:styleId="HTMLVariable">
    <w:name w:val="HTML Variable"/>
    <w:basedOn w:val="DefaultParagraphFont"/>
    <w:uiPriority w:val="99"/>
    <w:semiHidden/>
    <w:unhideWhenUsed/>
    <w:rsid w:val="006814E7"/>
    <w:rPr>
      <w:i/>
      <w:iCs/>
      <w:lang w:val="fr-CA"/>
    </w:rPr>
  </w:style>
  <w:style w:type="paragraph" w:styleId="Index1">
    <w:name w:val="index 1"/>
    <w:basedOn w:val="Normal"/>
    <w:next w:val="Normal"/>
    <w:autoRedefine/>
    <w:uiPriority w:val="99"/>
    <w:semiHidden/>
    <w:unhideWhenUsed/>
    <w:rsid w:val="006814E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814E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814E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814E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814E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814E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814E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814E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814E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814E7"/>
    <w:rPr>
      <w:rFonts w:asciiTheme="majorHAnsi" w:eastAsiaTheme="majorEastAsia" w:hAnsiTheme="majorHAnsi" w:cstheme="majorBidi"/>
      <w:b/>
      <w:bCs/>
    </w:rPr>
  </w:style>
  <w:style w:type="character" w:styleId="IntenseEmphasis">
    <w:name w:val="Intense Emphasis"/>
    <w:basedOn w:val="DefaultParagraphFont"/>
    <w:uiPriority w:val="21"/>
    <w:qFormat/>
    <w:rsid w:val="006814E7"/>
    <w:rPr>
      <w:i/>
      <w:iCs/>
      <w:color w:val="4472C4" w:themeColor="accent1"/>
      <w:lang w:val="fr-CA"/>
    </w:rPr>
  </w:style>
  <w:style w:type="character" w:styleId="IntenseReference">
    <w:name w:val="Intense Reference"/>
    <w:basedOn w:val="DefaultParagraphFont"/>
    <w:uiPriority w:val="32"/>
    <w:qFormat/>
    <w:rsid w:val="006814E7"/>
    <w:rPr>
      <w:b/>
      <w:bCs/>
      <w:smallCaps/>
      <w:color w:val="4472C4" w:themeColor="accent1"/>
      <w:spacing w:val="5"/>
      <w:lang w:val="fr-CA"/>
    </w:rPr>
  </w:style>
  <w:style w:type="table" w:styleId="LightGrid">
    <w:name w:val="Light Grid"/>
    <w:basedOn w:val="TableNormal"/>
    <w:uiPriority w:val="62"/>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814E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814E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814E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814E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814E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814E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814E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814E7"/>
    <w:rPr>
      <w:lang w:val="fr-CA"/>
    </w:rPr>
  </w:style>
  <w:style w:type="paragraph" w:styleId="List2">
    <w:name w:val="List 2"/>
    <w:basedOn w:val="Normal"/>
    <w:uiPriority w:val="99"/>
    <w:semiHidden/>
    <w:unhideWhenUsed/>
    <w:rsid w:val="006814E7"/>
    <w:pPr>
      <w:ind w:left="566" w:hanging="283"/>
      <w:contextualSpacing/>
    </w:pPr>
  </w:style>
  <w:style w:type="paragraph" w:styleId="List3">
    <w:name w:val="List 3"/>
    <w:basedOn w:val="Normal"/>
    <w:uiPriority w:val="99"/>
    <w:semiHidden/>
    <w:unhideWhenUsed/>
    <w:rsid w:val="006814E7"/>
    <w:pPr>
      <w:ind w:left="849" w:hanging="283"/>
      <w:contextualSpacing/>
    </w:pPr>
  </w:style>
  <w:style w:type="paragraph" w:styleId="List4">
    <w:name w:val="List 4"/>
    <w:basedOn w:val="Normal"/>
    <w:uiPriority w:val="99"/>
    <w:semiHidden/>
    <w:unhideWhenUsed/>
    <w:rsid w:val="006814E7"/>
    <w:pPr>
      <w:ind w:left="1132" w:hanging="283"/>
      <w:contextualSpacing/>
    </w:pPr>
  </w:style>
  <w:style w:type="paragraph" w:styleId="List5">
    <w:name w:val="List 5"/>
    <w:basedOn w:val="Normal"/>
    <w:uiPriority w:val="99"/>
    <w:semiHidden/>
    <w:unhideWhenUsed/>
    <w:rsid w:val="006814E7"/>
    <w:pPr>
      <w:ind w:left="1415" w:hanging="283"/>
      <w:contextualSpacing/>
    </w:pPr>
  </w:style>
  <w:style w:type="paragraph" w:styleId="ListBullet">
    <w:name w:val="List Bullet"/>
    <w:basedOn w:val="Normal"/>
    <w:uiPriority w:val="99"/>
    <w:semiHidden/>
    <w:unhideWhenUsed/>
    <w:rsid w:val="006814E7"/>
    <w:pPr>
      <w:numPr>
        <w:numId w:val="38"/>
      </w:numPr>
      <w:contextualSpacing/>
    </w:pPr>
  </w:style>
  <w:style w:type="paragraph" w:styleId="ListBullet2">
    <w:name w:val="List Bullet 2"/>
    <w:basedOn w:val="Normal"/>
    <w:uiPriority w:val="99"/>
    <w:semiHidden/>
    <w:unhideWhenUsed/>
    <w:rsid w:val="006814E7"/>
    <w:pPr>
      <w:numPr>
        <w:numId w:val="39"/>
      </w:numPr>
      <w:contextualSpacing/>
    </w:pPr>
  </w:style>
  <w:style w:type="paragraph" w:styleId="ListBullet3">
    <w:name w:val="List Bullet 3"/>
    <w:basedOn w:val="Normal"/>
    <w:uiPriority w:val="99"/>
    <w:semiHidden/>
    <w:unhideWhenUsed/>
    <w:rsid w:val="006814E7"/>
    <w:pPr>
      <w:numPr>
        <w:numId w:val="40"/>
      </w:numPr>
      <w:contextualSpacing/>
    </w:pPr>
  </w:style>
  <w:style w:type="paragraph" w:styleId="ListBullet4">
    <w:name w:val="List Bullet 4"/>
    <w:basedOn w:val="Normal"/>
    <w:uiPriority w:val="99"/>
    <w:semiHidden/>
    <w:unhideWhenUsed/>
    <w:rsid w:val="006814E7"/>
    <w:pPr>
      <w:numPr>
        <w:numId w:val="41"/>
      </w:numPr>
      <w:contextualSpacing/>
    </w:pPr>
  </w:style>
  <w:style w:type="paragraph" w:styleId="ListBullet5">
    <w:name w:val="List Bullet 5"/>
    <w:basedOn w:val="Normal"/>
    <w:uiPriority w:val="99"/>
    <w:semiHidden/>
    <w:unhideWhenUsed/>
    <w:rsid w:val="006814E7"/>
    <w:pPr>
      <w:numPr>
        <w:numId w:val="42"/>
      </w:numPr>
      <w:contextualSpacing/>
    </w:pPr>
  </w:style>
  <w:style w:type="paragraph" w:styleId="ListContinue">
    <w:name w:val="List Continue"/>
    <w:basedOn w:val="Normal"/>
    <w:uiPriority w:val="99"/>
    <w:semiHidden/>
    <w:unhideWhenUsed/>
    <w:rsid w:val="006814E7"/>
    <w:pPr>
      <w:spacing w:after="120"/>
      <w:ind w:left="283"/>
      <w:contextualSpacing/>
    </w:pPr>
  </w:style>
  <w:style w:type="paragraph" w:styleId="ListContinue2">
    <w:name w:val="List Continue 2"/>
    <w:basedOn w:val="Normal"/>
    <w:uiPriority w:val="99"/>
    <w:semiHidden/>
    <w:unhideWhenUsed/>
    <w:rsid w:val="006814E7"/>
    <w:pPr>
      <w:spacing w:after="120"/>
      <w:ind w:left="566"/>
      <w:contextualSpacing/>
    </w:pPr>
  </w:style>
  <w:style w:type="paragraph" w:styleId="ListContinue3">
    <w:name w:val="List Continue 3"/>
    <w:basedOn w:val="Normal"/>
    <w:uiPriority w:val="99"/>
    <w:semiHidden/>
    <w:unhideWhenUsed/>
    <w:rsid w:val="006814E7"/>
    <w:pPr>
      <w:spacing w:after="120"/>
      <w:ind w:left="849"/>
      <w:contextualSpacing/>
    </w:pPr>
  </w:style>
  <w:style w:type="paragraph" w:styleId="ListContinue4">
    <w:name w:val="List Continue 4"/>
    <w:basedOn w:val="Normal"/>
    <w:uiPriority w:val="99"/>
    <w:semiHidden/>
    <w:unhideWhenUsed/>
    <w:rsid w:val="006814E7"/>
    <w:pPr>
      <w:spacing w:after="120"/>
      <w:ind w:left="1132"/>
      <w:contextualSpacing/>
    </w:pPr>
  </w:style>
  <w:style w:type="paragraph" w:styleId="ListContinue5">
    <w:name w:val="List Continue 5"/>
    <w:basedOn w:val="Normal"/>
    <w:uiPriority w:val="99"/>
    <w:semiHidden/>
    <w:unhideWhenUsed/>
    <w:rsid w:val="006814E7"/>
    <w:pPr>
      <w:spacing w:after="120"/>
      <w:ind w:left="1415"/>
      <w:contextualSpacing/>
    </w:pPr>
  </w:style>
  <w:style w:type="paragraph" w:styleId="ListNumber">
    <w:name w:val="List Number"/>
    <w:basedOn w:val="Normal"/>
    <w:uiPriority w:val="99"/>
    <w:semiHidden/>
    <w:unhideWhenUsed/>
    <w:rsid w:val="006814E7"/>
    <w:pPr>
      <w:numPr>
        <w:numId w:val="86"/>
      </w:numPr>
      <w:contextualSpacing/>
    </w:pPr>
  </w:style>
  <w:style w:type="paragraph" w:styleId="ListNumber2">
    <w:name w:val="List Number 2"/>
    <w:basedOn w:val="Normal"/>
    <w:uiPriority w:val="99"/>
    <w:semiHidden/>
    <w:unhideWhenUsed/>
    <w:rsid w:val="006814E7"/>
    <w:pPr>
      <w:numPr>
        <w:numId w:val="87"/>
      </w:numPr>
      <w:contextualSpacing/>
    </w:pPr>
  </w:style>
  <w:style w:type="paragraph" w:styleId="ListNumber3">
    <w:name w:val="List Number 3"/>
    <w:basedOn w:val="Normal"/>
    <w:uiPriority w:val="99"/>
    <w:semiHidden/>
    <w:unhideWhenUsed/>
    <w:rsid w:val="006814E7"/>
    <w:pPr>
      <w:numPr>
        <w:numId w:val="88"/>
      </w:numPr>
      <w:contextualSpacing/>
    </w:pPr>
  </w:style>
  <w:style w:type="paragraph" w:styleId="ListNumber4">
    <w:name w:val="List Number 4"/>
    <w:basedOn w:val="Normal"/>
    <w:uiPriority w:val="99"/>
    <w:semiHidden/>
    <w:unhideWhenUsed/>
    <w:rsid w:val="006814E7"/>
    <w:pPr>
      <w:numPr>
        <w:numId w:val="89"/>
      </w:numPr>
      <w:contextualSpacing/>
    </w:pPr>
  </w:style>
  <w:style w:type="paragraph" w:styleId="ListNumber5">
    <w:name w:val="List Number 5"/>
    <w:basedOn w:val="Normal"/>
    <w:uiPriority w:val="99"/>
    <w:semiHidden/>
    <w:unhideWhenUsed/>
    <w:rsid w:val="006814E7"/>
    <w:pPr>
      <w:numPr>
        <w:numId w:val="90"/>
      </w:numPr>
      <w:contextualSpacing/>
    </w:pPr>
  </w:style>
  <w:style w:type="table" w:styleId="ListTable1Light">
    <w:name w:val="List Table 1 Light"/>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814E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814E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814E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814E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814E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814E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814E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814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814E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814E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814E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814E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814E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814E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814E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814E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814E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814E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814E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814E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814E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814E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814E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814E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814E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814E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814E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814E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814E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6814E7"/>
    <w:rPr>
      <w:rFonts w:ascii="Consolas" w:eastAsia="SimSun" w:hAnsi="Consolas" w:cs="Times New Roman"/>
      <w:sz w:val="20"/>
      <w:szCs w:val="20"/>
      <w:lang w:val="fr-CA"/>
    </w:rPr>
  </w:style>
  <w:style w:type="table" w:styleId="MediumGrid1">
    <w:name w:val="Medium Grid 1"/>
    <w:basedOn w:val="TableNormal"/>
    <w:uiPriority w:val="67"/>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814E7"/>
    <w:rPr>
      <w:color w:val="2B579A"/>
      <w:shd w:val="clear" w:color="auto" w:fill="E1DFDD"/>
      <w:lang w:val="fr-CA"/>
    </w:rPr>
  </w:style>
  <w:style w:type="paragraph" w:styleId="MessageHeader">
    <w:name w:val="Message Header"/>
    <w:basedOn w:val="Normal"/>
    <w:link w:val="MessageHeaderChar"/>
    <w:uiPriority w:val="99"/>
    <w:semiHidden/>
    <w:unhideWhenUsed/>
    <w:rsid w:val="006814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814E7"/>
    <w:rPr>
      <w:rFonts w:asciiTheme="majorHAnsi" w:eastAsiaTheme="majorEastAsia" w:hAnsiTheme="majorHAnsi" w:cstheme="majorBidi"/>
      <w:sz w:val="24"/>
      <w:szCs w:val="24"/>
      <w:shd w:val="pct20" w:color="auto" w:fill="auto"/>
      <w:lang w:val="fr-CA"/>
    </w:rPr>
  </w:style>
  <w:style w:type="paragraph" w:styleId="NormalIndent">
    <w:name w:val="Normal Indent"/>
    <w:basedOn w:val="Normal"/>
    <w:uiPriority w:val="99"/>
    <w:semiHidden/>
    <w:unhideWhenUsed/>
    <w:rsid w:val="006814E7"/>
    <w:pPr>
      <w:ind w:left="720"/>
    </w:pPr>
  </w:style>
  <w:style w:type="paragraph" w:styleId="NoteHeading">
    <w:name w:val="Note Heading"/>
    <w:basedOn w:val="Normal"/>
    <w:next w:val="Normal"/>
    <w:link w:val="NoteHeadingChar"/>
    <w:uiPriority w:val="99"/>
    <w:semiHidden/>
    <w:unhideWhenUsed/>
    <w:rsid w:val="006814E7"/>
  </w:style>
  <w:style w:type="character" w:customStyle="1" w:styleId="NoteHeadingChar">
    <w:name w:val="Note Heading Char"/>
    <w:basedOn w:val="DefaultParagraphFont"/>
    <w:link w:val="NoteHeading"/>
    <w:uiPriority w:val="99"/>
    <w:semiHidden/>
    <w:rsid w:val="006814E7"/>
    <w:rPr>
      <w:rFonts w:ascii="Times New Roman" w:eastAsia="SimSun" w:hAnsi="Times New Roman" w:cs="Times New Roman"/>
      <w:lang w:val="fr-CA"/>
    </w:rPr>
  </w:style>
  <w:style w:type="table" w:styleId="PlainTable1">
    <w:name w:val="Plain Table 1"/>
    <w:basedOn w:val="TableNormal"/>
    <w:uiPriority w:val="41"/>
    <w:rsid w:val="006814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814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814E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814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814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814E7"/>
  </w:style>
  <w:style w:type="character" w:customStyle="1" w:styleId="SalutationChar">
    <w:name w:val="Salutation Char"/>
    <w:basedOn w:val="DefaultParagraphFont"/>
    <w:link w:val="Salutation"/>
    <w:uiPriority w:val="99"/>
    <w:semiHidden/>
    <w:rsid w:val="006814E7"/>
    <w:rPr>
      <w:rFonts w:ascii="Times New Roman" w:eastAsia="SimSun" w:hAnsi="Times New Roman" w:cs="Times New Roman"/>
      <w:lang w:val="fr-CA"/>
    </w:rPr>
  </w:style>
  <w:style w:type="paragraph" w:styleId="Signature">
    <w:name w:val="Signature"/>
    <w:basedOn w:val="Normal"/>
    <w:link w:val="SignatureChar"/>
    <w:uiPriority w:val="99"/>
    <w:semiHidden/>
    <w:unhideWhenUsed/>
    <w:rsid w:val="006814E7"/>
    <w:pPr>
      <w:ind w:left="4252"/>
    </w:pPr>
  </w:style>
  <w:style w:type="character" w:customStyle="1" w:styleId="SignatureChar">
    <w:name w:val="Signature Char"/>
    <w:basedOn w:val="DefaultParagraphFont"/>
    <w:link w:val="Signature"/>
    <w:uiPriority w:val="99"/>
    <w:semiHidden/>
    <w:rsid w:val="006814E7"/>
    <w:rPr>
      <w:rFonts w:ascii="Times New Roman" w:eastAsia="SimSun" w:hAnsi="Times New Roman" w:cs="Times New Roman"/>
      <w:lang w:val="fr-CA"/>
    </w:rPr>
  </w:style>
  <w:style w:type="character" w:styleId="SmartHyperlink">
    <w:name w:val="Smart Hyperlink"/>
    <w:basedOn w:val="DefaultParagraphFont"/>
    <w:uiPriority w:val="99"/>
    <w:semiHidden/>
    <w:unhideWhenUsed/>
    <w:rsid w:val="006814E7"/>
    <w:rPr>
      <w:u w:val="dotted"/>
      <w:lang w:val="fr-CA"/>
    </w:rPr>
  </w:style>
  <w:style w:type="character" w:styleId="SmartLink">
    <w:name w:val="Smart Link"/>
    <w:basedOn w:val="DefaultParagraphFont"/>
    <w:uiPriority w:val="99"/>
    <w:semiHidden/>
    <w:unhideWhenUsed/>
    <w:rsid w:val="006814E7"/>
    <w:rPr>
      <w:color w:val="0000FF"/>
      <w:u w:val="single"/>
      <w:shd w:val="clear" w:color="auto" w:fill="F3F2F1"/>
      <w:lang w:val="fr-CA"/>
    </w:rPr>
  </w:style>
  <w:style w:type="character" w:styleId="SubtleEmphasis">
    <w:name w:val="Subtle Emphasis"/>
    <w:basedOn w:val="DefaultParagraphFont"/>
    <w:uiPriority w:val="19"/>
    <w:qFormat/>
    <w:rsid w:val="006814E7"/>
    <w:rPr>
      <w:i/>
      <w:iCs/>
      <w:color w:val="404040" w:themeColor="text1" w:themeTint="BF"/>
      <w:lang w:val="fr-CA"/>
    </w:rPr>
  </w:style>
  <w:style w:type="character" w:styleId="SubtleReference">
    <w:name w:val="Subtle Reference"/>
    <w:basedOn w:val="DefaultParagraphFont"/>
    <w:uiPriority w:val="31"/>
    <w:qFormat/>
    <w:rsid w:val="006814E7"/>
    <w:rPr>
      <w:smallCaps/>
      <w:color w:val="5A5A5A" w:themeColor="text1" w:themeTint="A5"/>
      <w:lang w:val="fr-CA"/>
    </w:rPr>
  </w:style>
  <w:style w:type="table" w:styleId="Table3Deffects1">
    <w:name w:val="Table 3D effects 1"/>
    <w:basedOn w:val="TableNormal"/>
    <w:uiPriority w:val="99"/>
    <w:semiHidden/>
    <w:unhideWhenUsed/>
    <w:rsid w:val="006814E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814E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814E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814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814E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814E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814E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6814E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31631265">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8460155">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77126805">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formation/adm-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3.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customXml/itemProps4.xml><?xml version="1.0" encoding="utf-8"?>
<ds:datastoreItem xmlns:ds="http://schemas.openxmlformats.org/officeDocument/2006/customXml" ds:itemID="{956DAFB0-82CA-4C5A-99D7-F64F40158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4934</Words>
  <Characters>28125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REPORT OF THE EXECUTIVE SECRETARY ON THE INCOME AND BUDGET PERFORMANCE FOR THE CONVENTION ON BIOLOGICAL DIVERSITY, THE CARTAGENA PROTOCOL ON BIOSAFETY AND THE NAGOYA PROTOCOL ON ACCESS AND BENEFIT-SHARING FOR THE BIENNIUM 2019-2020, 2021 AND 2022</vt:lpstr>
    </vt:vector>
  </TitlesOfParts>
  <Company>SCBD</Company>
  <LinksUpToDate>false</LinksUpToDate>
  <CharactersWithSpaces>32994</CharactersWithSpaces>
  <SharedDoc>false</SharedDoc>
  <HLinks>
    <vt:vector size="6" baseType="variant">
      <vt:variant>
        <vt:i4>1179717</vt:i4>
      </vt:variant>
      <vt:variant>
        <vt:i4>0</vt:i4>
      </vt:variant>
      <vt:variant>
        <vt:i4>0</vt:i4>
      </vt:variant>
      <vt:variant>
        <vt:i4>5</vt:i4>
      </vt:variant>
      <vt:variant>
        <vt:lpwstr>https://www.cbd.int/information/adm-fin/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EXECUTIVE SECRETARY ON THE INCOME AND BUDGET PERFORMANCE FOR THE CONVENTION ON BIOLOGICAL DIVERSITY, THE CARTAGENA PROTOCOL ON BIOSAFETY AND THE NAGOYA PROTOCOL ON ACCESS AND BENEFIT-SHARING FOR THE BIENNIUM 2019-2020, 2021 AND 2022</dc:title>
  <dc:subject>CBD/COP/16/3</dc:subject>
  <dc:creator>COP 14</dc:creator>
  <cp:keywords>Conference of the Parties to the Convention on Biologial Diversity, fifteenth meeting</cp:keywords>
  <dc:description/>
  <cp:lastModifiedBy>Helene Turgeon</cp:lastModifiedBy>
  <cp:revision>9</cp:revision>
  <cp:lastPrinted>2024-10-06T20:12:00Z</cp:lastPrinted>
  <dcterms:created xsi:type="dcterms:W3CDTF">2024-10-07T18:58:00Z</dcterms:created>
  <dcterms:modified xsi:type="dcterms:W3CDTF">2024-10-10T14:12:00Z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