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16130863" w14:textId="77777777" w:rsidTr="008A1499">
        <w:trPr>
          <w:trHeight w:val="850"/>
        </w:trPr>
        <w:tc>
          <w:tcPr>
            <w:tcW w:w="975" w:type="dxa"/>
            <w:vAlign w:val="bottom"/>
          </w:tcPr>
          <w:p w14:paraId="6D4730B5" w14:textId="77777777" w:rsidR="008A1499" w:rsidRPr="003F1A75" w:rsidRDefault="008A1499" w:rsidP="008A1499">
            <w:pPr>
              <w:pStyle w:val="AASmallLogo"/>
            </w:pPr>
            <w:r>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5F2481CB" w14:textId="77777777" w:rsidR="008A1499" w:rsidRPr="003F1A75" w:rsidRDefault="008A1499" w:rsidP="008A1499">
            <w:pPr>
              <w:pStyle w:val="AASmallLogo"/>
            </w:pPr>
          </w:p>
        </w:tc>
        <w:tc>
          <w:tcPr>
            <w:tcW w:w="1434" w:type="dxa"/>
            <w:noWrap/>
            <w:vAlign w:val="bottom"/>
          </w:tcPr>
          <w:p w14:paraId="16943445" w14:textId="7792CB9F" w:rsidR="008A1499" w:rsidRPr="003F1A75" w:rsidRDefault="004D49B6" w:rsidP="008A1499">
            <w:pPr>
              <w:pStyle w:val="AASmallLogo"/>
            </w:pPr>
            <w:r w:rsidRPr="001C093A">
              <w:rPr>
                <w:noProof/>
                <w:lang w:val="fr-FR" w:eastAsia="fr-FR"/>
              </w:rPr>
              <w:drawing>
                <wp:anchor distT="0" distB="0" distL="114300" distR="114300" simplePos="0" relativeHeight="251659264" behindDoc="1" locked="0" layoutInCell="1" allowOverlap="1" wp14:anchorId="559A8CD2" wp14:editId="25192A15">
                  <wp:simplePos x="0" y="0"/>
                  <wp:positionH relativeFrom="column">
                    <wp:posOffset>-1270</wp:posOffset>
                  </wp:positionH>
                  <wp:positionV relativeFrom="paragraph">
                    <wp:posOffset>102235</wp:posOffset>
                  </wp:positionV>
                  <wp:extent cx="869923" cy="373712"/>
                  <wp:effectExtent l="19050" t="0" r="6377" b="0"/>
                  <wp:wrapNone/>
                  <wp:docPr id="2"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869923" cy="373712"/>
                          </a:xfrm>
                          <a:prstGeom prst="rect">
                            <a:avLst/>
                          </a:prstGeom>
                          <a:noFill/>
                          <a:ln w="9525">
                            <a:noFill/>
                            <a:miter lim="800000"/>
                            <a:headEnd/>
                            <a:tailEnd/>
                          </a:ln>
                        </pic:spPr>
                      </pic:pic>
                    </a:graphicData>
                  </a:graphic>
                </wp:anchor>
              </w:drawing>
            </w:r>
            <w:r w:rsidR="008A1499">
              <w:t xml:space="preserve"> </w:t>
            </w:r>
          </w:p>
          <w:p w14:paraId="4EA607A4" w14:textId="77777777" w:rsidR="008A1499" w:rsidRPr="003F1A75" w:rsidRDefault="008A1499" w:rsidP="008A1499">
            <w:pPr>
              <w:pStyle w:val="AASmallLogo"/>
            </w:pPr>
          </w:p>
        </w:tc>
        <w:tc>
          <w:tcPr>
            <w:tcW w:w="8073" w:type="dxa"/>
            <w:vAlign w:val="bottom"/>
          </w:tcPr>
          <w:p w14:paraId="528010D8" w14:textId="195E596A" w:rsidR="008A1499" w:rsidRPr="003F1A75" w:rsidRDefault="008A1499" w:rsidP="003F1A75">
            <w:pPr>
              <w:pStyle w:val="ABSymbol"/>
            </w:pPr>
            <w:r>
              <w:rPr>
                <w:sz w:val="40"/>
              </w:rPr>
              <w:t>CBD</w:t>
            </w:r>
            <w:r>
              <w:t>/SBSTTA/28/2/Add.2</w:t>
            </w:r>
          </w:p>
        </w:tc>
      </w:tr>
    </w:tbl>
    <w:p w14:paraId="7335703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D49B6" w14:paraId="6AEC7B9B" w14:textId="77777777" w:rsidTr="008A1499">
        <w:trPr>
          <w:trHeight w:val="1814"/>
        </w:trPr>
        <w:tc>
          <w:tcPr>
            <w:tcW w:w="7370" w:type="dxa"/>
          </w:tcPr>
          <w:p w14:paraId="641FCFCA" w14:textId="69695B28" w:rsidR="008A1499" w:rsidRPr="003F1A75" w:rsidRDefault="004D49B6" w:rsidP="008A1499">
            <w:pPr>
              <w:pStyle w:val="ACLargeLogo"/>
            </w:pPr>
            <w:r>
              <w:rPr>
                <w:noProof/>
                <w:lang w:val="fr-FR" w:eastAsia="fr-FR"/>
              </w:rPr>
              <w:drawing>
                <wp:inline distT="0" distB="0" distL="0" distR="0" wp14:anchorId="09DB05A5" wp14:editId="327444F0">
                  <wp:extent cx="2616200" cy="1089025"/>
                  <wp:effectExtent l="19050" t="0" r="0"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r w:rsidR="008A1499">
              <w:t xml:space="preserve"> </w:t>
            </w:r>
          </w:p>
          <w:p w14:paraId="33736D7F" w14:textId="77777777" w:rsidR="008A1499" w:rsidRPr="003F1A75" w:rsidRDefault="008A1499" w:rsidP="008A1499">
            <w:pPr>
              <w:pStyle w:val="ACLargeLogo"/>
            </w:pPr>
          </w:p>
        </w:tc>
        <w:tc>
          <w:tcPr>
            <w:tcW w:w="3112" w:type="dxa"/>
          </w:tcPr>
          <w:p w14:paraId="6E3C774D" w14:textId="77777777" w:rsidR="008A1499" w:rsidRPr="004D49B6" w:rsidRDefault="008A1499" w:rsidP="008A1499">
            <w:pPr>
              <w:pStyle w:val="AEDistrNormal"/>
              <w:rPr>
                <w:lang w:val="en-CA"/>
              </w:rPr>
            </w:pPr>
            <w:r w:rsidRPr="004D49B6">
              <w:rPr>
                <w:lang w:val="en-CA"/>
              </w:rPr>
              <w:t xml:space="preserve">Distr.: General </w:t>
            </w:r>
          </w:p>
          <w:p w14:paraId="20B9C0D5" w14:textId="4F5899CC" w:rsidR="008A1499" w:rsidRPr="004D49B6" w:rsidRDefault="00466327" w:rsidP="008A1499">
            <w:pPr>
              <w:pStyle w:val="AEDistrNormal"/>
              <w:rPr>
                <w:lang w:val="en-CA"/>
              </w:rPr>
            </w:pPr>
            <w:r w:rsidRPr="004D49B6">
              <w:rPr>
                <w:lang w:val="en-CA"/>
              </w:rPr>
              <w:t>4 May 2026</w:t>
            </w:r>
          </w:p>
          <w:p w14:paraId="15446450" w14:textId="77777777" w:rsidR="004D49B6" w:rsidRDefault="004D49B6" w:rsidP="004D49B6">
            <w:pPr>
              <w:pStyle w:val="AEDistrNormal"/>
              <w:rPr>
                <w:lang w:val="en-CA"/>
              </w:rPr>
            </w:pPr>
            <w:r w:rsidRPr="004D49B6">
              <w:rPr>
                <w:lang w:val="en-CA"/>
              </w:rPr>
              <w:t>Russian</w:t>
            </w:r>
          </w:p>
          <w:p w14:paraId="11276899" w14:textId="42CEDEC1" w:rsidR="008A1499" w:rsidRPr="004D49B6" w:rsidRDefault="004D49B6" w:rsidP="004D49B6">
            <w:pPr>
              <w:pStyle w:val="AEDistrNormal"/>
              <w:rPr>
                <w:lang w:val="en-US"/>
              </w:rPr>
            </w:pPr>
            <w:r w:rsidRPr="004D49B6">
              <w:rPr>
                <w:lang w:val="en-CA"/>
              </w:rPr>
              <w:t>Original: English</w:t>
            </w:r>
            <w:r w:rsidR="008A1499" w:rsidRPr="004D49B6">
              <w:rPr>
                <w:lang w:val="en-CA"/>
              </w:rPr>
              <w:t xml:space="preserve"> </w:t>
            </w:r>
          </w:p>
          <w:p w14:paraId="2FE4786B" w14:textId="77777777" w:rsidR="008A1499" w:rsidRPr="004D49B6" w:rsidRDefault="008A1499" w:rsidP="008A1499">
            <w:pPr>
              <w:pStyle w:val="AEDistrNormal6pt"/>
              <w:rPr>
                <w:lang w:val="en-CA"/>
              </w:rPr>
            </w:pPr>
          </w:p>
        </w:tc>
      </w:tr>
    </w:tbl>
    <w:p w14:paraId="0D4EE83E" w14:textId="77777777" w:rsidR="008A1499" w:rsidRPr="004D49B6" w:rsidRDefault="008A1499" w:rsidP="008A1499">
      <w:pPr>
        <w:pStyle w:val="AISpacer"/>
        <w:rPr>
          <w:lang w:val="en-CA"/>
        </w:rPr>
      </w:pPr>
    </w:p>
    <w:tbl>
      <w:tblPr>
        <w:tblW w:w="10341" w:type="dxa"/>
        <w:tblInd w:w="-283" w:type="dxa"/>
        <w:tblLayout w:type="fixed"/>
        <w:tblCellMar>
          <w:left w:w="283" w:type="dxa"/>
        </w:tblCellMar>
        <w:tblLook w:val="0000" w:firstRow="0" w:lastRow="0" w:firstColumn="0" w:lastColumn="0" w:noHBand="0" w:noVBand="0"/>
      </w:tblPr>
      <w:tblGrid>
        <w:gridCol w:w="5953"/>
        <w:gridCol w:w="4388"/>
      </w:tblGrid>
      <w:tr w:rsidR="008A1499" w:rsidRPr="00D967FE" w14:paraId="36E731C7" w14:textId="77777777" w:rsidTr="004D49B6">
        <w:trPr>
          <w:trHeight w:val="57"/>
        </w:trPr>
        <w:tc>
          <w:tcPr>
            <w:tcW w:w="5953" w:type="dxa"/>
          </w:tcPr>
          <w:p w14:paraId="27303A9D" w14:textId="77777777" w:rsidR="008A1499" w:rsidRPr="00D967FE" w:rsidRDefault="003D5A52" w:rsidP="008A1499">
            <w:pPr>
              <w:pStyle w:val="AFCorN12Bold"/>
            </w:pPr>
            <w:r>
              <w:t>Вспомогательный орган по научным, техническим и технологическим консультациям</w:t>
            </w:r>
          </w:p>
          <w:p w14:paraId="00455355" w14:textId="77777777" w:rsidR="008A1499" w:rsidRPr="00D967FE" w:rsidRDefault="003D5A52" w:rsidP="008A1499">
            <w:pPr>
              <w:pStyle w:val="AFCorNBold"/>
            </w:pPr>
            <w:r>
              <w:t xml:space="preserve">Двадцать восьмое совещание </w:t>
            </w:r>
          </w:p>
          <w:p w14:paraId="7E9AA37D" w14:textId="77777777" w:rsidR="008A1499" w:rsidRPr="00D967FE" w:rsidRDefault="003D5A52" w:rsidP="008A1499">
            <w:pPr>
              <w:pStyle w:val="AFCorNNormal"/>
            </w:pPr>
            <w:r>
              <w:t>Найроби, 27 июля – 1 августа 2026 года</w:t>
            </w:r>
          </w:p>
          <w:p w14:paraId="0D7EFAC9" w14:textId="77777777" w:rsidR="008A1499" w:rsidRPr="00D967FE" w:rsidRDefault="008A1499" w:rsidP="008A1499">
            <w:pPr>
              <w:pStyle w:val="AFCorNNormal"/>
            </w:pPr>
            <w:r>
              <w:t>Пункт 3 предварительной повестки дня</w:t>
            </w:r>
            <w:r>
              <w:rPr>
                <w:rStyle w:val="FootnoteReference"/>
              </w:rPr>
              <w:footnoteReference w:customMarkFollows="1" w:id="1"/>
              <w:t>*</w:t>
            </w:r>
            <w:r>
              <w:t xml:space="preserve"> </w:t>
            </w:r>
          </w:p>
          <w:p w14:paraId="5B67A2FF" w14:textId="77777777" w:rsidR="008A1499" w:rsidRPr="00D967FE" w:rsidRDefault="00326A1C" w:rsidP="00326A1C">
            <w:pPr>
              <w:pStyle w:val="AFCorNBold"/>
            </w:pPr>
            <w:r>
              <w:t>Планирование, мониторинг, отчетность и обзор</w:t>
            </w:r>
          </w:p>
        </w:tc>
        <w:tc>
          <w:tcPr>
            <w:tcW w:w="4388" w:type="dxa"/>
          </w:tcPr>
          <w:p w14:paraId="31E4F065" w14:textId="77777777" w:rsidR="008A1499" w:rsidRPr="00D967FE" w:rsidRDefault="008A1499" w:rsidP="008A1499">
            <w:pPr>
              <w:pStyle w:val="CBDNormal"/>
              <w:jc w:val="left"/>
            </w:pPr>
          </w:p>
        </w:tc>
      </w:tr>
    </w:tbl>
    <w:p w14:paraId="5E6D6606" w14:textId="0A22F7B0" w:rsidR="00C9161D" w:rsidRPr="00B35DEA" w:rsidRDefault="00B35DEA" w:rsidP="00A111D1">
      <w:pPr>
        <w:pStyle w:val="CBDTitle"/>
        <w:rPr>
          <w:caps/>
        </w:rPr>
      </w:pPr>
      <w:sdt>
        <w:sdtPr>
          <w:alias w:val="Название"/>
          <w:tag w:val=""/>
          <w:id w:val="772832786"/>
          <w:placeholder>
            <w:docPart w:val="A5E2F8FB98E3424B8155095AB8CBF3EE"/>
          </w:placeholder>
          <w:dataBinding w:prefixMappings="xmlns:ns0='http://purl.org/dc/elements/1.1/' xmlns:ns1='http://schemas.openxmlformats.org/package/2006/metadata/core-properties' " w:xpath="/ns1:coreProperties[1]/ns0:title[1]" w:storeItemID="{6C3C8BC8-F283-45AE-878A-BAB7291924A1}"/>
          <w:text/>
        </w:sdtPr>
        <w:sdtContent>
          <w:r>
            <w:t>М</w:t>
          </w:r>
          <w:r w:rsidRPr="00B35DEA">
            <w:t>еханизм мониторинга Куньминско-Монреальской глобальной рамочной программы в области биоразнообразия</w:t>
          </w:r>
        </w:sdtContent>
      </w:sdt>
    </w:p>
    <w:p w14:paraId="25EFE001" w14:textId="77777777" w:rsidR="00F6586C" w:rsidRPr="003F1A75" w:rsidRDefault="0030169D" w:rsidP="00A111D1">
      <w:pPr>
        <w:pStyle w:val="CBDSubTitle"/>
      </w:pPr>
      <w:r>
        <w:t>Записка секретариата</w:t>
      </w:r>
    </w:p>
    <w:p w14:paraId="7E714872" w14:textId="77777777" w:rsidR="00C9161D" w:rsidRPr="003F1A75" w:rsidRDefault="00A111D1" w:rsidP="00D05F98">
      <w:pPr>
        <w:pStyle w:val="CBDH1"/>
      </w:pPr>
      <w:r>
        <w:t>I.</w:t>
      </w:r>
      <w:r>
        <w:tab/>
        <w:t>Общая информация</w:t>
      </w:r>
    </w:p>
    <w:p w14:paraId="23A816FB" w14:textId="79DBCEDF" w:rsidR="003B7C3D" w:rsidRPr="00B277CD" w:rsidRDefault="00AC1799" w:rsidP="00BD76FF">
      <w:pPr>
        <w:pStyle w:val="CBDNormalNumber"/>
      </w:pPr>
      <w:r>
        <w:t>В</w:t>
      </w:r>
      <w:r w:rsidR="00F07CD6">
        <w:t xml:space="preserve"> своем решении </w:t>
      </w:r>
      <w:hyperlink r:id="rId15" w:history="1">
        <w:r w:rsidR="00F07CD6">
          <w:rPr>
            <w:rStyle w:val="Hyperlink"/>
          </w:rPr>
          <w:t>15/5</w:t>
        </w:r>
      </w:hyperlink>
      <w:r w:rsidR="00420950" w:rsidRPr="00420950">
        <w:t xml:space="preserve"> </w:t>
      </w:r>
      <w:r>
        <w:t>Конференция Сторон</w:t>
      </w:r>
      <w:r>
        <w:t xml:space="preserve"> </w:t>
      </w:r>
      <w:r w:rsidR="00F07CD6">
        <w:t>приняла механизм мониторинга Куньминско-Монреальской глобальной рамочной программы в области биоразнообразия. Механизм мониторинга состоит из основных, бинарных, компонентных и дополнительных индикаторов. В решении </w:t>
      </w:r>
      <w:hyperlink r:id="rId16" w:history="1">
        <w:r w:rsidR="00F07CD6">
          <w:rPr>
            <w:rStyle w:val="Hyperlink"/>
          </w:rPr>
          <w:t>15</w:t>
        </w:r>
        <w:r w:rsidR="00F07CD6">
          <w:rPr>
            <w:rStyle w:val="Hyperlink"/>
          </w:rPr>
          <w:t>/</w:t>
        </w:r>
        <w:r w:rsidR="00F07CD6">
          <w:rPr>
            <w:rStyle w:val="Hyperlink"/>
          </w:rPr>
          <w:t>6</w:t>
        </w:r>
      </w:hyperlink>
      <w:r w:rsidR="00420950" w:rsidRPr="00420950">
        <w:t xml:space="preserve"> </w:t>
      </w:r>
      <w:r w:rsidR="00F07CD6">
        <w:t xml:space="preserve">Сторонам было предложено использовать основные индикаторы, дополненные компонентными, дополнительными и национальными индикаторами, в соответствующих процессах национального планирования, включая национальные стратегии и планы действий по сохранению биоразнообразия, в соответствии с их национальными обстоятельствами, а также использовать основные индикаторы и ответы на бинарные вопросы в своих национальных докладах и в соответствующих случаях дополнять их факультативными компонентными, дополнительными и национальными индикаторами. </w:t>
      </w:r>
    </w:p>
    <w:p w14:paraId="6187C7E5" w14:textId="00B25983" w:rsidR="00A566A7" w:rsidRDefault="00E07176" w:rsidP="00BD76FF">
      <w:pPr>
        <w:pStyle w:val="CBDNormalNumber"/>
      </w:pPr>
      <w:r>
        <w:t>В решении </w:t>
      </w:r>
      <w:hyperlink r:id="rId17" w:history="1">
        <w:r>
          <w:rPr>
            <w:rStyle w:val="Hyperlink"/>
          </w:rPr>
          <w:t>16</w:t>
        </w:r>
        <w:r>
          <w:rPr>
            <w:rStyle w:val="Hyperlink"/>
          </w:rPr>
          <w:t>/</w:t>
        </w:r>
        <w:r>
          <w:rPr>
            <w:rStyle w:val="Hyperlink"/>
          </w:rPr>
          <w:t>31</w:t>
        </w:r>
      </w:hyperlink>
      <w:r w:rsidR="00420950" w:rsidRPr="00420950">
        <w:t xml:space="preserve"> </w:t>
      </w:r>
      <w:r>
        <w:t>Конференция Сторон одобрила изменения технического характера в основных и бинарных индикаторах механизма мониторинга и приветствовала руководство по механизму мониторинга, подготовленное</w:t>
      </w:r>
      <w:r w:rsidR="00B24CA1" w:rsidRPr="00B24CA1">
        <w:t xml:space="preserve"> </w:t>
      </w:r>
      <w:r>
        <w:t>Специальной группой технических экспертов по индикаторам для Куньминско-Монреальской глобальной рамочной программы в области биоразнообразия</w:t>
      </w:r>
      <w:r w:rsidR="003B7C3D" w:rsidRPr="00B277CD">
        <w:rPr>
          <w:vertAlign w:val="superscript"/>
        </w:rPr>
        <w:footnoteReference w:id="2"/>
      </w:r>
      <w:r w:rsidR="00420950" w:rsidRPr="00420950">
        <w:t>.</w:t>
      </w:r>
      <w:r>
        <w:t xml:space="preserve"> В решении </w:t>
      </w:r>
      <w:hyperlink r:id="rId18" w:history="1">
        <w:r>
          <w:rPr>
            <w:rStyle w:val="Hyperlink"/>
          </w:rPr>
          <w:t>16</w:t>
        </w:r>
        <w:r>
          <w:rPr>
            <w:rStyle w:val="Hyperlink"/>
          </w:rPr>
          <w:t>/</w:t>
        </w:r>
        <w:r>
          <w:rPr>
            <w:rStyle w:val="Hyperlink"/>
          </w:rPr>
          <w:t>32</w:t>
        </w:r>
      </w:hyperlink>
      <w:r w:rsidR="00420950" w:rsidRPr="00420950">
        <w:t xml:space="preserve"> </w:t>
      </w:r>
      <w:r>
        <w:t>Конференция Сторон одобрила изменения, внесенные в шаблон для седьмых и восьмых национальных докладов. В решении </w:t>
      </w:r>
      <w:hyperlink r:id="rId19" w:history="1">
        <w:r>
          <w:rPr>
            <w:rStyle w:val="Hyperlink"/>
          </w:rPr>
          <w:t>16/31</w:t>
        </w:r>
      </w:hyperlink>
      <w:r w:rsidR="00420950" w:rsidRPr="00420950">
        <w:t xml:space="preserve"> </w:t>
      </w:r>
      <w:r>
        <w:t>в ряде пунктов она поручила Исполнительному секретарю секретариата Конвенции, а также Вспомогательному органу оказывать дальнейшее содействие введению в действие механизма мониторинга, в том числе в следующих областях:</w:t>
      </w:r>
    </w:p>
    <w:p w14:paraId="289344F1" w14:textId="1045A93B" w:rsidR="00F24805" w:rsidRDefault="00E47FF3" w:rsidP="00FC1DD7">
      <w:pPr>
        <w:pStyle w:val="CBDNormalNumber"/>
        <w:numPr>
          <w:ilvl w:val="1"/>
          <w:numId w:val="9"/>
        </w:numPr>
      </w:pPr>
      <w:r>
        <w:t>анализ использования основных, бинарных, компонентных, дополнительных и национальных индикаторов в национальных докладах, а также рассмотрение потребностей Сторон в части применения механизма мониторинга;</w:t>
      </w:r>
    </w:p>
    <w:p w14:paraId="021479B6" w14:textId="2F83F4E3" w:rsidR="00BD76FF" w:rsidRDefault="00E47FF3" w:rsidP="00BD76FF">
      <w:pPr>
        <w:pStyle w:val="CBDNormalNumber"/>
        <w:numPr>
          <w:ilvl w:val="1"/>
          <w:numId w:val="9"/>
        </w:numPr>
      </w:pPr>
      <w:r>
        <w:t xml:space="preserve">дальнейшая разработка, рассмотрение и обновление механизма мониторинга и метаданных основных индикаторов, в том числе на основе представленных Сторонами и </w:t>
      </w:r>
      <w:r>
        <w:lastRenderedPageBreak/>
        <w:t xml:space="preserve">наблюдателями мнений относительно механизма мониторинга и метаданных основных индикаторов; </w:t>
      </w:r>
    </w:p>
    <w:p w14:paraId="7BAB060E" w14:textId="5B38F7B2" w:rsidR="00790C3F" w:rsidRDefault="00790C3F" w:rsidP="00BD76FF">
      <w:pPr>
        <w:pStyle w:val="CBDNormalNumber"/>
        <w:numPr>
          <w:ilvl w:val="1"/>
          <w:numId w:val="9"/>
        </w:numPr>
      </w:pPr>
      <w:r>
        <w:t>обмен информацией о механизме мониторинга и оказание поддержки в его использовании.</w:t>
      </w:r>
    </w:p>
    <w:p w14:paraId="5F13F0AF" w14:textId="4F2403FB" w:rsidR="00F24805" w:rsidRDefault="002E7ABC" w:rsidP="005732FC">
      <w:pPr>
        <w:pStyle w:val="CBDNormalNumber"/>
      </w:pPr>
      <w:r>
        <w:t xml:space="preserve">Поручения, касающиеся подпункта 2 (a), рассматриваются в документе CBD/SBSTTA/28/2 и в информационном документе. Поручения, касающиеся подпунктов 2 (b) и (c), рассматриваются в разделах II и III настоящего документа. Раздел IV содержит элементы, которые Вспомогательный орган, возможно, пожелает рассмотреть при разработке своей рекомендации по пункту 3 повестки дня. В приложении приведены индикаторы, которые можно было бы рассмотреть для включения в механизм мониторинга. </w:t>
      </w:r>
    </w:p>
    <w:p w14:paraId="3E855195" w14:textId="1AD0D2C1" w:rsidR="00E65C4A" w:rsidRDefault="00E65C4A" w:rsidP="002B70ED">
      <w:pPr>
        <w:pStyle w:val="CBDH1"/>
      </w:pPr>
      <w:r>
        <w:t>II.</w:t>
      </w:r>
      <w:r>
        <w:tab/>
        <w:t>Дальнейшая разработка, рассмотрение и обновление механизма мониторинга и метаданных его основных индикаторов</w:t>
      </w:r>
    </w:p>
    <w:p w14:paraId="734195E8" w14:textId="755A98FF" w:rsidR="00DB090E" w:rsidRDefault="6F83988D" w:rsidP="00AA408E">
      <w:pPr>
        <w:pStyle w:val="CBDNormalNumber"/>
      </w:pPr>
      <w:r>
        <w:t xml:space="preserve">В решении </w:t>
      </w:r>
      <w:hyperlink r:id="rId20" w:history="1">
        <w:r>
          <w:rPr>
            <w:rStyle w:val="Hyperlink"/>
          </w:rPr>
          <w:t>16/31</w:t>
        </w:r>
      </w:hyperlink>
      <w:r w:rsidR="00420950" w:rsidRPr="00420950">
        <w:t xml:space="preserve"> </w:t>
      </w:r>
      <w:r>
        <w:t xml:space="preserve">Вспомогательному органу было поручено Конференцией Сторон рассмотреть обновленные метаданные для основных индикаторов, а также список компонентных и дополнительных индикаторов, приведенный в решении </w:t>
      </w:r>
      <w:hyperlink r:id="rId21" w:history="1">
        <w:r>
          <w:rPr>
            <w:rStyle w:val="Hyperlink"/>
          </w:rPr>
          <w:t>1</w:t>
        </w:r>
        <w:r>
          <w:rPr>
            <w:rStyle w:val="Hyperlink"/>
          </w:rPr>
          <w:t>5</w:t>
        </w:r>
        <w:r>
          <w:rPr>
            <w:rStyle w:val="Hyperlink"/>
          </w:rPr>
          <w:t>/5</w:t>
        </w:r>
      </w:hyperlink>
      <w:r>
        <w:t>, которые отвечают критериям</w:t>
      </w:r>
      <w:r w:rsidR="00923520">
        <w:rPr>
          <w:rStyle w:val="FootnoteReference"/>
        </w:rPr>
        <w:footnoteReference w:id="3"/>
      </w:r>
      <w:r>
        <w:t xml:space="preserve"> включения в механизм мониторинга после принятия этого решения.</w:t>
      </w:r>
    </w:p>
    <w:p w14:paraId="209A548A" w14:textId="35B094CE" w:rsidR="006D2923" w:rsidRPr="00237F09" w:rsidRDefault="00237F09" w:rsidP="00237F09">
      <w:pPr>
        <w:pStyle w:val="CBDH2"/>
      </w:pPr>
      <w:r>
        <w:t>A.</w:t>
      </w:r>
      <w:r>
        <w:tab/>
        <w:t>Обновления механизма мониторинга</w:t>
      </w:r>
    </w:p>
    <w:p w14:paraId="67D02103" w14:textId="75AF8348" w:rsidR="00744996" w:rsidRDefault="000F6B0C" w:rsidP="00502D6B">
      <w:pPr>
        <w:pStyle w:val="CBDNormalNumber"/>
      </w:pPr>
      <w:r>
        <w:t xml:space="preserve">В решении </w:t>
      </w:r>
      <w:hyperlink r:id="rId22" w:history="1">
        <w:r>
          <w:rPr>
            <w:rStyle w:val="Hyperlink"/>
          </w:rPr>
          <w:t>16/31</w:t>
        </w:r>
      </w:hyperlink>
      <w:r w:rsidR="00420950" w:rsidRPr="00420950">
        <w:t xml:space="preserve"> </w:t>
      </w:r>
      <w:r>
        <w:t>Исполнительному секретарю было поручено обобщать представляемые материалы по дополнительным основным, компонентным и дополнительным индикаторам, отвечающим критериям включения в механизм мониторинга, в целях устранения пробелов в механизме мониторинга. Исполнительному секретарю было также поручено обобщать представляемые Сторонами материалы и соответствующую информацию в поддержку разработки методологии для дополнительных компонентных индикаторов для основных индикаторов 18.1 и 18.2</w:t>
      </w:r>
      <w:r w:rsidR="00420950" w:rsidRPr="00420950">
        <w:t>.</w:t>
      </w:r>
      <w:r>
        <w:t xml:space="preserve"> В связи с этими поручениями Исполнительный секретарь в трех уведомлениях предложил представить материалы по этим темам</w:t>
      </w:r>
      <w:r w:rsidR="00845F53">
        <w:rPr>
          <w:rStyle w:val="FootnoteReference"/>
        </w:rPr>
        <w:footnoteReference w:id="4"/>
      </w:r>
      <w:r>
        <w:t>. В представленных материалах было предложено более 100 изменений к механизму мониторинга. Основные направления представленных Сторонами и наблюдателями материалов можно сгруппировать по нескольким общим категориям, как указано в следующих пунктах.</w:t>
      </w:r>
    </w:p>
    <w:p w14:paraId="368F5C5D" w14:textId="35C8455E" w:rsidR="00744996" w:rsidRDefault="00CC59E3" w:rsidP="00F33E69">
      <w:pPr>
        <w:pStyle w:val="CBDNormalNumber"/>
      </w:pPr>
      <w:r>
        <w:rPr>
          <w:b/>
          <w:bCs/>
        </w:rPr>
        <w:t>Несогласие с изменением механизма мониторинга и включением новых индикаторов.</w:t>
      </w:r>
      <w:r>
        <w:t xml:space="preserve"> Несколько Сторон отметили, что на данном этапе в механизм мониторинга не следует вносить никаких изменений или следует вносить лишь минимальные изменения. Одной из причин, по их мнению, является то, что основные индикаторы являются важнейшим элементом шаблона для национального доклада, и внесение изменений на данном этапе может вызвать проблемы. Некоторые Стороны также отметили, что включение дополнительных индикаторов увеличит нагрузку на Стороны в плане представления отчетности и что корректировки механизма мониторинга следует рассматривать только после того, как Стороны приобретут больший опыт его использования в ходе подготовки своих седьмых и восьмых национальных докладов.</w:t>
      </w:r>
    </w:p>
    <w:p w14:paraId="34D72152" w14:textId="54501E3C" w:rsidR="00744996" w:rsidRDefault="00744996" w:rsidP="00F33E69">
      <w:pPr>
        <w:pStyle w:val="CBDNormalNumber"/>
      </w:pPr>
      <w:r>
        <w:rPr>
          <w:b/>
          <w:bCs/>
        </w:rPr>
        <w:t>Предложения по дополнительным основным, бинарным, компонентным и дополнительным индикаторам.</w:t>
      </w:r>
      <w:r>
        <w:rPr>
          <w:i/>
          <w:iCs/>
        </w:rPr>
        <w:t xml:space="preserve"> </w:t>
      </w:r>
      <w:r>
        <w:t xml:space="preserve">Были высказаны предложения по новым основным, бинарным, компонентным и дополнительным индикаторам, которые можно было бы включить в механизм мониторинга. Некоторые из предложений касались вопросов, уже в той или иной степени отраженных в механизме мониторинга, в то время как другие были связаны </w:t>
      </w:r>
      <w:r>
        <w:lastRenderedPageBreak/>
        <w:t xml:space="preserve">с предполагаемыми пробелами в механизме мониторинга. Уровень методологической готовности некоторых из предложенных индикаторов оставался неясным, а другие представляли собой возможные варианты разбивки существующих индикаторов в механизме мониторинга. Кроме того, были высказаны предложения об альтернативном представлении существующих индикаторов в механизме мониторинга. </w:t>
      </w:r>
    </w:p>
    <w:p w14:paraId="3C260FD8" w14:textId="5C16B04D" w:rsidR="00744996" w:rsidRPr="00783276" w:rsidRDefault="00277CE4" w:rsidP="00F33E69">
      <w:pPr>
        <w:pStyle w:val="CBDNormalNumber"/>
      </w:pPr>
      <w:r>
        <w:rPr>
          <w:b/>
          <w:bCs/>
        </w:rPr>
        <w:t>Повторное включение ранее исключенных индикаторов.</w:t>
      </w:r>
      <w:r>
        <w:t xml:space="preserve"> Прозвучали призывы к повторному включению индикаторов, которые были включены в механизм мониторинга при его принятии в решении </w:t>
      </w:r>
      <w:hyperlink r:id="rId23" w:history="1">
        <w:r>
          <w:rPr>
            <w:rStyle w:val="Hyperlink"/>
          </w:rPr>
          <w:t>15/5</w:t>
        </w:r>
      </w:hyperlink>
      <w:r>
        <w:t>, но впоследствии были исключены в решении </w:t>
      </w:r>
      <w:hyperlink r:id="rId24" w:history="1">
        <w:r>
          <w:rPr>
            <w:rStyle w:val="Hyperlink"/>
          </w:rPr>
          <w:t>16/31</w:t>
        </w:r>
      </w:hyperlink>
      <w:r w:rsidR="00420950" w:rsidRPr="00420950">
        <w:t xml:space="preserve"> </w:t>
      </w:r>
      <w:r>
        <w:t xml:space="preserve">при обновлении механизма мониторинга. Необходимо отметить, что эти индикаторы были исключены в основном на основе рекомендации Специальной группы технических экспертов по индикаторам для Куньминско-Монреальской глобальной рамочной программы в области биоразнообразия, созданной Конференцией Сторон в решении </w:t>
      </w:r>
      <w:hyperlink r:id="rId25" w:history="1">
        <w:r>
          <w:rPr>
            <w:rStyle w:val="Hyperlink"/>
          </w:rPr>
          <w:t>15/5</w:t>
        </w:r>
      </w:hyperlink>
      <w:r>
        <w:t xml:space="preserve"> для консультирования по вопросам дальнейшего введения в действие механизма мониторинга Куньминско-Монреальской глобальной рамочной программы в области биоразнообразия. Эта рекомендация, в свою очередь, была рассмотрена на 26-м совещании Вспомогательного органа</w:t>
      </w:r>
      <w:r w:rsidR="00744996" w:rsidRPr="00783276">
        <w:rPr>
          <w:rStyle w:val="FootnoteReference"/>
        </w:rPr>
        <w:footnoteReference w:id="5"/>
      </w:r>
      <w:r w:rsidR="00420950" w:rsidRPr="00420950">
        <w:t>.</w:t>
      </w:r>
      <w:r>
        <w:t xml:space="preserve"> </w:t>
      </w:r>
    </w:p>
    <w:p w14:paraId="1B3AAF22" w14:textId="71F64B02" w:rsidR="00744996" w:rsidRDefault="00744996" w:rsidP="00F33E69">
      <w:pPr>
        <w:pStyle w:val="CBDNormalNumber"/>
      </w:pPr>
      <w:r>
        <w:rPr>
          <w:b/>
          <w:bCs/>
        </w:rPr>
        <w:t>Согласование индикаторов, уже включенных в механизм мониторинга, с дополнительными или другими целями и задачами Куньминско-Монреальской глобальной рамочной программы в области биоразнообразия.</w:t>
      </w:r>
      <w:r>
        <w:t xml:space="preserve"> В ряде представленных материалов было предложено повторить индикаторы, уже включенные в механизм мониторинга, с тем чтобы подчеркнуть их актуальность для других целей и задач Куньминско-Монреальской глобальной рамочной программы в области биоразнообразия. Однако при подготовке механизма мониторинга было отмечено, что, по возможности, каждый индикатор должен фигурировать в нем только один раз и что некоторые индикаторы могут иметь отношение к нескольким целям и задачам.</w:t>
      </w:r>
    </w:p>
    <w:p w14:paraId="355D60C7" w14:textId="1B896B6D" w:rsidR="00744996" w:rsidRDefault="00744996" w:rsidP="00F33E69">
      <w:pPr>
        <w:pStyle w:val="CBDNormalNumber"/>
      </w:pPr>
      <w:r>
        <w:rPr>
          <w:b/>
          <w:bCs/>
        </w:rPr>
        <w:t>Включение дополнительной разбивки для существующих основных индикаторов.</w:t>
      </w:r>
      <w:r>
        <w:t xml:space="preserve"> Некоторые представившие материалы субъекты предложили включить дополнительные типы разбивки для основных индикаторов. Следует напомнить, что разбивка основных индикаторов Сторонами в их национальных докладах является факультативной. Кроме того, в пункте 14 решения </w:t>
      </w:r>
      <w:hyperlink r:id="rId26" w:history="1">
        <w:r>
          <w:rPr>
            <w:rStyle w:val="Hyperlink"/>
          </w:rPr>
          <w:t>16/31</w:t>
        </w:r>
      </w:hyperlink>
      <w:r w:rsidR="00420950" w:rsidRPr="00420950">
        <w:t xml:space="preserve"> </w:t>
      </w:r>
      <w:r>
        <w:t>Конференция Сторон настоятельно призвала Стороны и правительства других стран, в том числе местные и субнациональные органы власти, учитывать раздел C Куньминско-Монреальской глобальной рамочной программы в области биоразнообразия при применении механизма мониторинга, в том числе путем разбивки основных индикаторов по коренным народам и местным общинам, полу, возрасту, людям с инвалидностью и другим соответствующим группам, а также типам экосистем, по мере возможности.</w:t>
      </w:r>
    </w:p>
    <w:p w14:paraId="5A567953" w14:textId="19C32009" w:rsidR="00744996" w:rsidRDefault="00744996" w:rsidP="00F33E69">
      <w:pPr>
        <w:pStyle w:val="CBDNormalNumber"/>
      </w:pPr>
      <w:r>
        <w:rPr>
          <w:b/>
          <w:bCs/>
        </w:rPr>
        <w:t xml:space="preserve">Включение индикаторов, которые могут представлять собой варианты разбивки </w:t>
      </w:r>
      <w:r w:rsidR="00D6366C">
        <w:rPr>
          <w:b/>
          <w:bCs/>
        </w:rPr>
        <w:t>существующих</w:t>
      </w:r>
      <w:r>
        <w:rPr>
          <w:b/>
          <w:bCs/>
        </w:rPr>
        <w:t xml:space="preserve"> индикаторов в механизме мониторинга.</w:t>
      </w:r>
      <w:r>
        <w:t xml:space="preserve"> Некоторые представившие материалы субъекты предложили включить в качестве самостоятельных индикаторов варианты разбивки </w:t>
      </w:r>
      <w:r w:rsidR="001D0E53">
        <w:t>существующих</w:t>
      </w:r>
      <w:r>
        <w:t xml:space="preserve"> индикаторов в механизме мониторинга, например индикаторы, связанные с конкретными типами экосистем или группами видов. Необходимо отметить, что при разработке механизма мониторинга в него были включены индикаторы, имеющие максимально широкую применимость, и у Сторон есть возможность разбивать их в соответствии с их национальными условиями.</w:t>
      </w:r>
    </w:p>
    <w:p w14:paraId="4279467C" w14:textId="5ABAB0D4" w:rsidR="00744996" w:rsidRDefault="00744996" w:rsidP="00F33E69">
      <w:pPr>
        <w:pStyle w:val="CBDNormalNumber"/>
      </w:pPr>
      <w:r>
        <w:rPr>
          <w:b/>
          <w:bCs/>
        </w:rPr>
        <w:t>Индикаторы, находящиеся в процессе разработки, и вопросы, подлежащие мониторингу.</w:t>
      </w:r>
      <w:r>
        <w:t xml:space="preserve"> В ряде представленных материалов было указано на индикаторы, находящиеся в процессе разработки, которые можно было бы включить в механизм мониторинга. Некоторые представившие материалы субъекты предложили индикаторы, но не включили </w:t>
      </w:r>
      <w:r>
        <w:lastRenderedPageBreak/>
        <w:t>никакой информации о том, каким образом они соответствуют критериям, указанным в решении </w:t>
      </w:r>
      <w:hyperlink r:id="rId27" w:history="1">
        <w:r>
          <w:rPr>
            <w:rStyle w:val="Hyperlink"/>
          </w:rPr>
          <w:t>15/5</w:t>
        </w:r>
      </w:hyperlink>
      <w:r>
        <w:t>. Другие представившие материалы субъекты указали на конкретные вопросы, подлежащие мониторингу, но не определили конкретный индикатор.</w:t>
      </w:r>
    </w:p>
    <w:p w14:paraId="4191DB03" w14:textId="39A5AF88" w:rsidR="00744996" w:rsidRDefault="00744996" w:rsidP="00F33E69">
      <w:pPr>
        <w:pStyle w:val="CBDNormalNumber"/>
      </w:pPr>
      <w:r>
        <w:rPr>
          <w:b/>
          <w:bCs/>
        </w:rPr>
        <w:t>Изменение категории индикаторов.</w:t>
      </w:r>
      <w:r>
        <w:t xml:space="preserve"> Некоторые представившие материалы субъекты предложили внести изменения в категорию некоторых индикаторов в механизме мониторинга. Например, некоторые дополнительные индикаторы можно было бы перевести в категорию компонентных индикаторов, а некоторые компонентные индикаторы — сделать основными индикаторами. </w:t>
      </w:r>
    </w:p>
    <w:p w14:paraId="123EE806" w14:textId="3C3F84EB" w:rsidR="00F6488D" w:rsidRPr="00391347" w:rsidRDefault="0030190D" w:rsidP="007B0429">
      <w:pPr>
        <w:pStyle w:val="CBDNormalNumber"/>
      </w:pPr>
      <w:r>
        <w:t xml:space="preserve">С учетом поручений, содержащихся в решении </w:t>
      </w:r>
      <w:hyperlink r:id="rId28" w:history="1">
        <w:r>
          <w:rPr>
            <w:rStyle w:val="Hyperlink"/>
          </w:rPr>
          <w:t>16/31</w:t>
        </w:r>
      </w:hyperlink>
      <w:r>
        <w:t xml:space="preserve">, и критериев для индикаторов, изложенных в решении </w:t>
      </w:r>
      <w:hyperlink r:id="rId29" w:history="1">
        <w:r>
          <w:rPr>
            <w:rStyle w:val="Hyperlink"/>
          </w:rPr>
          <w:t>15/5</w:t>
        </w:r>
      </w:hyperlink>
      <w:r>
        <w:t xml:space="preserve">, секретариат выделил среди представленных материалов 12 индикаторов, которые можно было бы рассмотреть для включения в механизм мониторинга. С целью сведения к минимуму бремени отчетности на Стороны, принимая во внимание мнения, выраженные некоторыми Сторонами о том, чтобы свести изменения в механизме мониторинга к минимуму, и отмечая, что использование дополнительных индикаторов в национальных докладах является факультативным, Вспомогательный орган, возможно, пожелает рекомендовать Конференции Сторон рассмотреть вопрос о добавлении этих 12 индикаторов в механизм мониторинга в качестве дополнительных индикаторов при следующем обновлении механизма мониторинга. </w:t>
      </w:r>
    </w:p>
    <w:p w14:paraId="42AD7FC9" w14:textId="3181CEE9" w:rsidR="00F31CD4" w:rsidRDefault="007B0429" w:rsidP="00E71E6F">
      <w:pPr>
        <w:pStyle w:val="CBDNormalNumber"/>
      </w:pPr>
      <w:r>
        <w:t>В отношении задачи 18 Рамочной программы Стороны предложили шесть индикаторов, пять из которых соответствовали критериям для индикаторов, изложенным в решении </w:t>
      </w:r>
      <w:hyperlink r:id="rId30" w:history="1">
        <w:r>
          <w:rPr>
            <w:rStyle w:val="Hyperlink"/>
          </w:rPr>
          <w:t>15/5</w:t>
        </w:r>
      </w:hyperlink>
      <w:r>
        <w:t>, и могут быть рассмотрены для включения в механизм мониторинга. Учитывая, что в пункте 8 решения </w:t>
      </w:r>
      <w:hyperlink r:id="rId31" w:history="1">
        <w:r>
          <w:rPr>
            <w:rStyle w:val="Hyperlink"/>
          </w:rPr>
          <w:t>16/31</w:t>
        </w:r>
      </w:hyperlink>
      <w:r>
        <w:t xml:space="preserve"> Конференция Сторон постановила, что необходимо продолжать работу по разработке компонентных индикаторов в отношении субсидий, наносящих ущерб биоразнообразию, Вспомогательный орган, возможно, пожелает рекомендовать Конференции Сторон рассмотреть вопрос о включении этих пяти индикаторов в механизм мониторинга в качестве компонентных индикаторов при следующем обновлении механизма мониторинга. Кроме того, во всех своих представленных материалах по индикаторам для задачи 18 Стороны выделили замечания, проблемы и ограничения, связанные с соответствующими основными индикаторами. Эти замечания были рассмотрены в рамках обновления метаданных для основных индикаторов, описанного в подразделе II B настоящего документа.</w:t>
      </w:r>
    </w:p>
    <w:p w14:paraId="3E9221C0" w14:textId="7692AFBC" w:rsidR="009018AF" w:rsidRDefault="00426FAB" w:rsidP="00426FAB">
      <w:pPr>
        <w:pStyle w:val="CBDNormalNumber"/>
      </w:pPr>
      <w:r>
        <w:t>Что касается рассмотрения списка компонентных и дополнительных индикаторов, приведенных в решении </w:t>
      </w:r>
      <w:hyperlink r:id="rId32" w:history="1">
        <w:r>
          <w:rPr>
            <w:rStyle w:val="Hyperlink"/>
          </w:rPr>
          <w:t>15/5</w:t>
        </w:r>
      </w:hyperlink>
      <w:r>
        <w:t>, которые отвечают критериям включения в механизм мониторинга после принятия этого решения, то 71 компонентный и дополнительный индикатор механизма мониторинга, утвержденный в решении </w:t>
      </w:r>
      <w:hyperlink r:id="rId33" w:history="1">
        <w:r>
          <w:rPr>
            <w:rStyle w:val="Hyperlink"/>
          </w:rPr>
          <w:t>15/5</w:t>
        </w:r>
      </w:hyperlink>
      <w:r>
        <w:t>, был исключен из обновленного механизма мониторинга в решении </w:t>
      </w:r>
      <w:hyperlink r:id="rId34" w:history="1">
        <w:r>
          <w:rPr>
            <w:rStyle w:val="Hyperlink"/>
          </w:rPr>
          <w:t>16/31</w:t>
        </w:r>
      </w:hyperlink>
      <w:r>
        <w:t xml:space="preserve"> в связи с отсутствием доступной методологии. Секретариат рассмотрел эти индикаторы, и четыре из них в настоящее время отвечают критериям включения в механизм мониторинга и могут быть рассмотрены на предмет повторного включения при следующем обновлении механизма мониторинга</w:t>
      </w:r>
      <w:r w:rsidR="00F7177A">
        <w:rPr>
          <w:rStyle w:val="FootnoteReference"/>
        </w:rPr>
        <w:footnoteReference w:id="6"/>
      </w:r>
      <w:r w:rsidR="001D0E53" w:rsidRPr="001D0E53">
        <w:t>.</w:t>
      </w:r>
    </w:p>
    <w:p w14:paraId="38310411" w14:textId="6E767FC8" w:rsidR="009D626D" w:rsidRDefault="005B2476" w:rsidP="009D626D">
      <w:pPr>
        <w:pStyle w:val="CBDNormalNumber"/>
      </w:pPr>
      <w:r>
        <w:t>В приложении приводится список индикаторов, которые Вспомогательный орган, возможно, пожелает рекомендовать Конференции Сторон включить в механизм мониторинга. Эти индикаторы отвечают критериям, изложенным в решении </w:t>
      </w:r>
      <w:hyperlink r:id="rId35" w:history="1">
        <w:r>
          <w:rPr>
            <w:rStyle w:val="Hyperlink"/>
          </w:rPr>
          <w:t>15/5</w:t>
        </w:r>
      </w:hyperlink>
      <w:r>
        <w:t xml:space="preserve">, и могут способствовать устранению пробелов в механизме мониторинга. Преследуя логичность механизма мониторинга, предлагаемые обновления не включают никаких индикаторов, представляющих собой разбивку существующих индикаторов. Аналогичным образом предлагаемые обновления не включают никаких новых бинарных индикаторов. Бинарные индикаторы, согласованные Конференцией Сторон, рассчитываются на основе ответов на конкретные </w:t>
      </w:r>
      <w:r>
        <w:lastRenderedPageBreak/>
        <w:t xml:space="preserve">вопросы в шаблоне для национального доклада. Новые бинарные индикаторы должны быть отражены в шаблоне для восьмых национальных докладов, который, как ожидается, будет согласован на 18-м совещании Конференции Сторон. Изменения в соотнесении индикаторов с целями и задачами также не предлагались, учитывая, что Стороны уже обладают гибкостью в использовании основных индикаторов </w:t>
      </w:r>
      <w:r w:rsidR="00420950">
        <w:t>в механизме</w:t>
      </w:r>
      <w:r>
        <w:t xml:space="preserve"> мониторинга для отслеживания прогресса в достижении любых своих национальных задач в соответствии с национальными условиями. Кроме того, не было предложено проводить дополнительную разбивку существующих индикаторов в механизме мониторинга, учитывая, что использование разбивки Сторонами является факультативным и что в механизме мониторинга нет ничего, что препятствовало бы Сторонам в использовании дополнительных вариантов разбивки.</w:t>
      </w:r>
    </w:p>
    <w:p w14:paraId="7A5BE13B" w14:textId="63CE6305" w:rsidR="0056516F" w:rsidRPr="004F38EC" w:rsidRDefault="004F38EC" w:rsidP="004F38EC">
      <w:pPr>
        <w:pStyle w:val="CBDH2"/>
      </w:pPr>
      <w:r>
        <w:t>B.</w:t>
      </w:r>
      <w:r>
        <w:tab/>
        <w:t>Обновление метаданных</w:t>
      </w:r>
    </w:p>
    <w:p w14:paraId="3A879E15" w14:textId="7592DA6D" w:rsidR="00E522E2" w:rsidRPr="00783276" w:rsidRDefault="00371D7B" w:rsidP="00984D63">
      <w:pPr>
        <w:pStyle w:val="CBDNormalNumber"/>
      </w:pPr>
      <w:r>
        <w:t>В решении </w:t>
      </w:r>
      <w:hyperlink r:id="rId36" w:history="1">
        <w:r>
          <w:rPr>
            <w:rStyle w:val="Hyperlink"/>
          </w:rPr>
          <w:t>16/31</w:t>
        </w:r>
      </w:hyperlink>
      <w:r w:rsidR="00420950">
        <w:t xml:space="preserve"> </w:t>
      </w:r>
      <w:r>
        <w:t xml:space="preserve">Исполнительному секретарю было поручено сотрудничать с соответствующими организациями в дальнейшей разработке метаданных для основных индикаторов 1.1, 7.2 и 9.1 и организациями, перечисленными в таблице 1 приложения II к документу </w:t>
      </w:r>
      <w:hyperlink r:id="rId37" w:history="1">
        <w:r>
          <w:rPr>
            <w:rStyle w:val="Hyperlink"/>
          </w:rPr>
          <w:t>CBD/SBSTTA</w:t>
        </w:r>
        <w:r>
          <w:rPr>
            <w:rStyle w:val="Hyperlink"/>
          </w:rPr>
          <w:t>/</w:t>
        </w:r>
        <w:r>
          <w:rPr>
            <w:rStyle w:val="Hyperlink"/>
          </w:rPr>
          <w:t>26/2</w:t>
        </w:r>
      </w:hyperlink>
      <w:r>
        <w:t xml:space="preserve"> , и другими соответствующими организациями для обновления метаданных по другим основным индикаторам, в частности, по индикаторам, которые находятся на более ранних стадиях разработки, по мере необходимости. Исполнительному секретарю также было поручено обобщать представляемые Сторонами, а также коренными народами и местными общинами материалы о вкладе и соответствующую информацию в поддержку разработки методологии для основного индикатора 22.1</w:t>
      </w:r>
      <w:r w:rsidR="00776334" w:rsidRPr="00783276">
        <w:rPr>
          <w:rStyle w:val="FootnoteReference"/>
        </w:rPr>
        <w:footnoteReference w:id="7"/>
      </w:r>
      <w:r w:rsidR="00420950">
        <w:t>.</w:t>
      </w:r>
      <w:r>
        <w:t xml:space="preserve"> Кроме того, в ответ на уведомления №№ </w:t>
      </w:r>
      <w:hyperlink r:id="rId38" w:history="1">
        <w:r>
          <w:rPr>
            <w:rStyle w:val="Hyperlink"/>
          </w:rPr>
          <w:t>2025-044</w:t>
        </w:r>
      </w:hyperlink>
      <w:r>
        <w:t xml:space="preserve">, </w:t>
      </w:r>
      <w:hyperlink r:id="rId39" w:history="1">
        <w:r>
          <w:rPr>
            <w:rStyle w:val="Hyperlink"/>
          </w:rPr>
          <w:t>2025-045</w:t>
        </w:r>
      </w:hyperlink>
      <w:r>
        <w:t xml:space="preserve">, </w:t>
      </w:r>
      <w:hyperlink r:id="rId40" w:history="1">
        <w:r>
          <w:rPr>
            <w:rStyle w:val="Hyperlink"/>
          </w:rPr>
          <w:t>2025-046</w:t>
        </w:r>
      </w:hyperlink>
      <w:r>
        <w:t xml:space="preserve"> и </w:t>
      </w:r>
      <w:hyperlink r:id="rId41" w:history="1">
        <w:r>
          <w:rPr>
            <w:rStyle w:val="Hyperlink"/>
          </w:rPr>
          <w:t>2025-077</w:t>
        </w:r>
      </w:hyperlink>
      <w:r>
        <w:t xml:space="preserve">, Стороны и наблюдатели также представили предложения по обновлению метаданных для основных индикаторов. </w:t>
      </w:r>
    </w:p>
    <w:p w14:paraId="711B5FC5" w14:textId="78EFC9A5" w:rsidR="00B37035" w:rsidRDefault="0023633F" w:rsidP="0023633F">
      <w:pPr>
        <w:pStyle w:val="CBDNormalNumber"/>
      </w:pPr>
      <w:r>
        <w:t>В ответ на поручения, содержащиеся в решении </w:t>
      </w:r>
      <w:hyperlink r:id="rId42" w:history="1">
        <w:r>
          <w:rPr>
            <w:rStyle w:val="Hyperlink"/>
          </w:rPr>
          <w:t>16/31</w:t>
        </w:r>
      </w:hyperlink>
      <w:r>
        <w:t>, секретариат в сотрудничестве с соответствующими организациями и с учетом полученных материалов обновил метаданные для основных индикаторов. При обновлении метаданных секретариат учел исследование для определения возможностей для лучшего отслеживания различных источников финансирования в области биоразнообразия, которое было подготовлено в связи с поручением, содержащимся в подпункте 25 (b) решения </w:t>
      </w:r>
      <w:hyperlink r:id="rId43" w:history="1">
        <w:r>
          <w:rPr>
            <w:rStyle w:val="Hyperlink"/>
          </w:rPr>
          <w:t>16/</w:t>
        </w:r>
        <w:r>
          <w:rPr>
            <w:rStyle w:val="Hyperlink"/>
          </w:rPr>
          <w:t>3</w:t>
        </w:r>
        <w:r>
          <w:rPr>
            <w:rStyle w:val="Hyperlink"/>
          </w:rPr>
          <w:t>4</w:t>
        </w:r>
      </w:hyperlink>
      <w:r>
        <w:t>. Это исследование будет представлено в виде информационного документа.</w:t>
      </w:r>
    </w:p>
    <w:p w14:paraId="409566F0" w14:textId="44B025B7" w:rsidR="00B37035" w:rsidRDefault="0023633F" w:rsidP="00402C34">
      <w:pPr>
        <w:pStyle w:val="CBDNormalNumber"/>
      </w:pPr>
      <w:r>
        <w:t xml:space="preserve">Обновленные метаданные для основных индикаторов представлены в виде информационного документа. В этом документе, помимо обзора текущей методологической готовности основных индикаторов, также приводится краткое изложение обновлений, внесенных в метаданные после того, как Конференция Сторон на своем 16-м совещании приветствовала руководство по механизму мониторинга, включая метаданные, подготовленное Специальной группой технических экспертов по индикаторам для Куньминско-Монреальской глобальной рамочной программы в области биоразнообразия. </w:t>
      </w:r>
    </w:p>
    <w:p w14:paraId="6E9BC8A1" w14:textId="74B97870" w:rsidR="0023633F" w:rsidRDefault="00081197" w:rsidP="0023633F">
      <w:pPr>
        <w:pStyle w:val="CBDNormalNumber"/>
      </w:pPr>
      <w:r>
        <w:t>В ходе процесса обновления в 17 основных индикаторов были внесены незначительные изменения с целью повышения ясности текста, включения дополнительных ссылок и предоставления обновленной информации о данных и руководящих указаниях, доступных для расчета индикатора. Более существенные изменения были внесены в четыре индикатора с учетом прогресса, достигнутого в разработке соответствующих методологий. Шесть индикаторов остались без изменений, в некоторых случаях потому, что в настоящее время ни одна организация не занимается работой над индикатором. В методологии для бинарных индикаторов изменения не внесены, однако формулировка метаданных была обновлена с целью отражения формулировки, согласованной Конференцией Сторон в приложении III к решению </w:t>
      </w:r>
      <w:hyperlink r:id="rId44" w:history="1">
        <w:r>
          <w:rPr>
            <w:rStyle w:val="Hyperlink"/>
          </w:rPr>
          <w:t>16/31</w:t>
        </w:r>
      </w:hyperlink>
      <w:r>
        <w:t xml:space="preserve">. </w:t>
      </w:r>
    </w:p>
    <w:p w14:paraId="22F098CD" w14:textId="4FF72C01" w:rsidR="00EF26B1" w:rsidRDefault="00241442" w:rsidP="00EF26B1">
      <w:pPr>
        <w:pStyle w:val="CBDNormalNumber"/>
      </w:pPr>
      <w:r>
        <w:t>Текущее положение основных индикаторов, которым уделяется особое внимание в подпунктах 30 (a) и 30 (d) решения </w:t>
      </w:r>
      <w:hyperlink r:id="rId45" w:history="1">
        <w:r>
          <w:rPr>
            <w:rStyle w:val="Hyperlink"/>
          </w:rPr>
          <w:t>16/31</w:t>
        </w:r>
      </w:hyperlink>
      <w:r>
        <w:t>, описано в следующих пунктах.</w:t>
      </w:r>
    </w:p>
    <w:p w14:paraId="4E75529B" w14:textId="7DD4367B" w:rsidR="00EF26B1" w:rsidRDefault="00E5055A" w:rsidP="00F33E69">
      <w:pPr>
        <w:pStyle w:val="CBDNormalNumber"/>
      </w:pPr>
      <w:r>
        <w:rPr>
          <w:b/>
          <w:bCs/>
        </w:rPr>
        <w:lastRenderedPageBreak/>
        <w:t>Основной индикатор 1.1: доля наземных и морских районов, охваченных пространственным планированием с учетом биоразнообразия</w:t>
      </w:r>
      <w:r>
        <w:rPr>
          <w:i/>
          <w:iCs/>
        </w:rPr>
        <w:t>.</w:t>
      </w:r>
      <w:r>
        <w:t xml:space="preserve"> При подготовке своего руководства Специальная группа технических экспертов по индикаторам для Куньминско-Монреальской глобальной рамочной программы в области биоразнообразия отметила, что для обеспечения работоспособности данного индикатора требуется дальнейшая разработка его метаданных. В настоящее время ни одна организация не ведет активной работы над этим индикатором, и секретариат не смог найти потенциальных партнеров для участия в его разработке. Межправительственная научно-политическая платформа по биоразнообразию и экосистемным услугам проводит методологическую оценку комплексного пространственного планирования с учетом биоразнообразия и экологической связности, которая может предоставить информацию, имеющую отношение к дальнейшей разработке метаданных для данного индикатора. Уровень методологической готовности индикатора остается низким.</w:t>
      </w:r>
    </w:p>
    <w:p w14:paraId="1BAD6731" w14:textId="2DD555F2" w:rsidR="00EF26B1" w:rsidRDefault="00E5055A" w:rsidP="00F33E69">
      <w:pPr>
        <w:pStyle w:val="CBDNormalNumber"/>
      </w:pPr>
      <w:r>
        <w:rPr>
          <w:b/>
          <w:bCs/>
        </w:rPr>
        <w:t>Основной индикатор 7.2: концентрация пестицидов в окружающей среде и/или совокупный объем применяемых токсичных веществ</w:t>
      </w:r>
      <w:r>
        <w:rPr>
          <w:i/>
          <w:iCs/>
        </w:rPr>
        <w:t>.</w:t>
      </w:r>
      <w:r>
        <w:t xml:space="preserve"> В отношении задачи 7 Конференция Сторон согласовала два возможных основных индикатора. Индикатор концентрации пестицидов в окружающей среде в настоящее время не имеет метаданных; Специальная группа технических экспертов по индикаторам для Куньминско-Монреальской глобальной рамочной программы в области биоразнообразия рекомендовала использовать индикатор совокупного объема применяемых токсичных веществ, для которого она разработала метаданные. Продовольственная и сельскохозяйственная организация Объединенных Наций (ФАО) содействовала дальнейшей разработке индикатора совокупного объема применяемых токсичных веществ группой экспертов по вопросам токсичности для окружающей среды, пестицидам и оценке рисков, связанных с пестицидами, а также национальных и глобальных индикаторов загрязнения. На основе этой работы и с учетом представленных Сторонами материалов и мнений, высказанных в ходе 16-го совещания Конференции Сторон, были обновлены метаданные для индикатора совокупного объема применяемых токсичных веществ. Кроме того, ФАО проводит пилотную работу по использованию этого индикатора с участием нескольких Сторон.</w:t>
      </w:r>
    </w:p>
    <w:p w14:paraId="3D3BFDE7" w14:textId="0E5CB54E" w:rsidR="001A559C" w:rsidRDefault="00E5055A" w:rsidP="00F33E69">
      <w:pPr>
        <w:pStyle w:val="CBDNormalNumber"/>
      </w:pPr>
      <w:r>
        <w:rPr>
          <w:b/>
          <w:bCs/>
        </w:rPr>
        <w:t>Основной индикатор 9.1: выгоды от устойчивого использования диких видов</w:t>
      </w:r>
      <w:r>
        <w:t>. Специальная группа технических экспертов по индикаторам для Куньминско-Монреальской глобальной рамочной программы в области биоразнообразия не разработала и не выявила метаданные для этого основного индикатора и отметила, что для обеспечения его работоспособности необходимо провести дополнительную работу. В настоящее время ни одна организация не ведет активной работы над этим индикатором, и секретариат не смог найти потенциальных партнеров для участия в его разработке. Соответственно, обновления метаданных не производились. Уровень методологической готовности индикатора остается низким.</w:t>
      </w:r>
    </w:p>
    <w:p w14:paraId="7BD99CAE" w14:textId="3579FE8A" w:rsidR="004E211E" w:rsidRPr="007D3020" w:rsidRDefault="004E211E" w:rsidP="00F33E69">
      <w:pPr>
        <w:pStyle w:val="CBDNormalNumber"/>
      </w:pPr>
      <w:r>
        <w:rPr>
          <w:b/>
          <w:bCs/>
        </w:rPr>
        <w:t>Основной индикатор 22.1: изменение характера землепользования и землевладения на традиционных территориях коренных народов и местных общин</w:t>
      </w:r>
      <w:r>
        <w:t xml:space="preserve">. Во всех полученных материалах была выражена общая поддержка дальнейшей разработки этого индикатора. Во многих представленных материалах содержались предложения по конкретным уточнениям, призванным обеспечить техническую обоснованность индикатора, возможность его отражения в национальных докладах, а также его способность учитывать вопросы, связанные с правами человека, а также интересы коренных народов и местных общин. На основе представленных материалов и опираясь на предыдущую методологическую работу, проводившуюся под руководством ФАО, Международной земельной коалиции и Института мировых ресурсов, метаданные для данного индикатора были обновлены с целью повышения методологической ясности, укрепления эксплуатационной целесообразности на национальном уровне и более полного отражения разнообразия систем землевладения, источников данных и мониторинга реальной ситуации в разных странах. Кроме того, для </w:t>
      </w:r>
      <w:r>
        <w:lastRenderedPageBreak/>
        <w:t>большей ясности были обновлены описания ключевых терминов, а также структура и концепции, лежащие в основе методологии индикаторов. Аналогичным образом были дополнительно уточнены структура индикатора и порядок обработки источников данных. В целом метаданные были обновлены для решения повторяющихся проблем, которые поднимались в ходе процесса представления материалов, включая обеспечение того, чтобы метаданные лучше отражали признание обычных, родовых и духовных аспектов традиционных территорий, принципа свободного, предварительного и осознанного согласия, а также принципов управления данными коренных народов, включения более широкого признания систем мониторинга под руководством коренных народов и общин, а также концентрации большего внимания на аспекты, связанные с пресной водой, прибрежными и морскими районами, гендерную проблематику и вопросы участия. Эти изменения способствуют повышению методологической готовности и актуальности индикатора.</w:t>
      </w:r>
    </w:p>
    <w:p w14:paraId="6BDC4180" w14:textId="3EE388BA" w:rsidR="00C121AE" w:rsidRPr="00295233" w:rsidRDefault="00295233" w:rsidP="00E91AEC">
      <w:pPr>
        <w:pStyle w:val="CBDH1"/>
      </w:pPr>
      <w:r>
        <w:t>III.</w:t>
      </w:r>
      <w:r>
        <w:tab/>
        <w:t>Обмен информацией</w:t>
      </w:r>
    </w:p>
    <w:p w14:paraId="71B320B6" w14:textId="55489C17" w:rsidR="006347D6" w:rsidRDefault="00295233" w:rsidP="003E3E19">
      <w:pPr>
        <w:pStyle w:val="CBDNormalNumber"/>
      </w:pPr>
      <w:r>
        <w:t>В решении </w:t>
      </w:r>
      <w:hyperlink r:id="rId46" w:history="1">
        <w:r>
          <w:rPr>
            <w:rStyle w:val="Hyperlink"/>
          </w:rPr>
          <w:t>16/31</w:t>
        </w:r>
      </w:hyperlink>
      <w:r w:rsidR="00420950">
        <w:t xml:space="preserve"> </w:t>
      </w:r>
      <w:r>
        <w:t>Исполнительному секретарю было поручено поддерживать инклюзивные и коллективные процессы для содействия введению в действие механизма мониторинга, в том числе с привлечением, где это актуально,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 путем регулярного обмена со Сторонами обновленной информацией о применении механизма мониторинга, определения вариантов и потенциальных партнеров по сотрудничеству для устранения пробелов и содействия деятельности по созданию и развитию потенциала в области применения механизма мониторинга на национальном уровне. Исполнительному секретарю также было поручено обеспечить доступность руководства по механизму мониторинга. В том же решении Сторонам, правительствам других стран, наблюдателям и организациям было поручено оказывать поддержку в дальнейшем развитии, введении в действие или использовании механизма мониторинга, в том числе путем предоставления достаточных, своевременных и прогнозируемых финансовых ресурсов, обмена знаниями и информацией, создания и развития потенциала, научно-технического сотрудничества и передачи технологий, а также активизации международного сотрудничества.</w:t>
      </w:r>
    </w:p>
    <w:p w14:paraId="5574D10E" w14:textId="0341E697" w:rsidR="008E460C" w:rsidRDefault="00570F3E" w:rsidP="006347D6">
      <w:pPr>
        <w:pStyle w:val="CBDNormalNumber"/>
      </w:pPr>
      <w:r>
        <w:t>Исходя из решения </w:t>
      </w:r>
      <w:hyperlink r:id="rId47" w:history="1">
        <w:r>
          <w:rPr>
            <w:rStyle w:val="Hyperlink"/>
          </w:rPr>
          <w:t>16/31</w:t>
        </w:r>
      </w:hyperlink>
      <w:r>
        <w:t xml:space="preserve"> и в целях содействия дальнейшему введению в действие механизма мониторинга и его использованию Сторонами секретариат в сотрудничестве с различными партнерами:</w:t>
      </w:r>
    </w:p>
    <w:p w14:paraId="527963DB" w14:textId="7DD15948" w:rsidR="006347D6" w:rsidRDefault="002B10D4" w:rsidP="00181BEE">
      <w:pPr>
        <w:pStyle w:val="CBDNormalNumber"/>
        <w:numPr>
          <w:ilvl w:val="1"/>
          <w:numId w:val="9"/>
        </w:numPr>
      </w:pPr>
      <w:r>
        <w:t>провел девять региональных и субрегиональных диалогов на тему национальных стратегий и планов действий по сохранению биоразнообразия, в ходе которых были рассмотрены вопросы, связанные с представлением национальных докладов и механизмом мониторинга, а также состоялось обсуждение потребностей в области создания потенциала в связи с использованием механизма мониторинга, в частности в контексте подготовки седьмых национальных докладов</w:t>
      </w:r>
      <w:r w:rsidR="00686133">
        <w:rPr>
          <w:rStyle w:val="FootnoteReference"/>
        </w:rPr>
        <w:footnoteReference w:id="8"/>
      </w:r>
      <w:r w:rsidR="00420950">
        <w:t>;</w:t>
      </w:r>
    </w:p>
    <w:p w14:paraId="1EDE41D8" w14:textId="5A2719D2" w:rsidR="006347D6" w:rsidRDefault="00C62094" w:rsidP="006347D6">
      <w:pPr>
        <w:pStyle w:val="CBDNormalNumber"/>
        <w:numPr>
          <w:ilvl w:val="1"/>
          <w:numId w:val="9"/>
        </w:numPr>
      </w:pPr>
      <w:r>
        <w:t xml:space="preserve">провел ряд вебинаров для разных часовых поясов на тему шаблона для национальных докладов, механизма мониторинга и использования онлайнового инструмента отчетности; </w:t>
      </w:r>
    </w:p>
    <w:p w14:paraId="08E2234C" w14:textId="5A8519E9" w:rsidR="006347D6" w:rsidRDefault="00D019DD" w:rsidP="006347D6">
      <w:pPr>
        <w:pStyle w:val="CBDNormalNumber"/>
        <w:numPr>
          <w:ilvl w:val="1"/>
          <w:numId w:val="9"/>
        </w:numPr>
      </w:pPr>
      <w:r>
        <w:t>представлял механизм мониторинга на соответствующих совещаниях и содействовал применению взаимодополняющих подходов к мониторингу в рамках всей системы Организации Объединенных Наций;</w:t>
      </w:r>
    </w:p>
    <w:p w14:paraId="1E712DCC" w14:textId="62E39F14" w:rsidR="00887693" w:rsidRPr="005732FC" w:rsidRDefault="008278A8" w:rsidP="00F14563">
      <w:pPr>
        <w:pStyle w:val="CBDNormalNumber"/>
        <w:numPr>
          <w:ilvl w:val="1"/>
          <w:numId w:val="9"/>
        </w:numPr>
      </w:pPr>
      <w:r>
        <w:t xml:space="preserve">развивал или укреплял сотрудничество с организациями, поддерживающими разработку и введение в действие основных индикаторов, а также с организациями, </w:t>
      </w:r>
      <w:r>
        <w:lastRenderedPageBreak/>
        <w:t>оказывающими поддержку Сторонам в использовании механизма мониторинга и в разработке или укреплении их национальных систем мониторинга</w:t>
      </w:r>
      <w:r w:rsidR="008021CA">
        <w:rPr>
          <w:rStyle w:val="FootnoteReference"/>
        </w:rPr>
        <w:footnoteReference w:id="9"/>
      </w:r>
      <w:r w:rsidR="00420950">
        <w:t>;</w:t>
      </w:r>
    </w:p>
    <w:p w14:paraId="0614ABBC" w14:textId="0D9B4237" w:rsidR="006347D6" w:rsidRDefault="008021CA" w:rsidP="006347D6">
      <w:pPr>
        <w:pStyle w:val="CBDNormalNumber"/>
        <w:numPr>
          <w:ilvl w:val="1"/>
          <w:numId w:val="9"/>
        </w:numPr>
      </w:pPr>
      <w:r>
        <w:t>совместно с различными партнерами продолжал разработку метаданных для основных индикаторов и выявлял возможные варианты и подходы к устранению пробелов в механизме мониторинга;</w:t>
      </w:r>
    </w:p>
    <w:p w14:paraId="089070A9" w14:textId="7037EEAE" w:rsidR="00546AB6" w:rsidRDefault="00C3248F" w:rsidP="006347D6">
      <w:pPr>
        <w:pStyle w:val="CBDNormalNumber"/>
        <w:numPr>
          <w:ilvl w:val="1"/>
          <w:numId w:val="9"/>
        </w:numPr>
      </w:pPr>
      <w:r>
        <w:t>разработал и ввел в действие онлайновый инструмент отчетности, включая разработку шаблонов для представления информации об индикаторах, и сотрудничал с соответствующими партнерами, такими как ФАО и Всемирный центр мониторинга охраны природы Программы Организации Объединенных Наций по окружающей среде, с тем чтобы сделать информацию об индикаторах, содержащуюся в международных базах данных, доступной через онлайновый инструмент отчетности;</w:t>
      </w:r>
    </w:p>
    <w:p w14:paraId="398BAB5C" w14:textId="78F1EB0B" w:rsidR="00385805" w:rsidRDefault="00546AB6" w:rsidP="006347D6">
      <w:pPr>
        <w:pStyle w:val="CBDNormalNumber"/>
        <w:numPr>
          <w:ilvl w:val="1"/>
          <w:numId w:val="9"/>
        </w:numPr>
      </w:pPr>
      <w:r>
        <w:t xml:space="preserve">оказывал прямую поддержку Сторонам при поступлении соответствующих запросов в вопросах использования механизма мониторинга при подготовке их национальных докладов. </w:t>
      </w:r>
    </w:p>
    <w:p w14:paraId="4717336C" w14:textId="4920209E" w:rsidR="00173E7B" w:rsidRPr="00173E7B" w:rsidRDefault="00173E7B" w:rsidP="0022474B">
      <w:pPr>
        <w:pStyle w:val="CBDNormalNumber"/>
        <w:numPr>
          <w:ilvl w:val="0"/>
          <w:numId w:val="0"/>
        </w:numPr>
        <w:rPr>
          <w:b/>
          <w:sz w:val="28"/>
        </w:rPr>
      </w:pPr>
      <w:r>
        <w:rPr>
          <w:b/>
          <w:sz w:val="28"/>
        </w:rPr>
        <w:t>IV.</w:t>
      </w:r>
      <w:r>
        <w:rPr>
          <w:b/>
          <w:sz w:val="28"/>
        </w:rPr>
        <w:tab/>
        <w:t>Соображения, касающиеся возможных обновлений механизма мониторинга</w:t>
      </w:r>
    </w:p>
    <w:p w14:paraId="42AA9C41" w14:textId="12416F6C" w:rsidR="00173E7B" w:rsidRPr="00203C21" w:rsidRDefault="00173E7B" w:rsidP="00173E7B">
      <w:pPr>
        <w:pStyle w:val="CBDNormalNumber"/>
      </w:pPr>
      <w:r>
        <w:t>При принятии решения о необходимости обновления механизма мониторинга Вспомогательный орган, возможно, пожелает рассмотреть моменты, изложенные в следующих пунктах.</w:t>
      </w:r>
    </w:p>
    <w:p w14:paraId="6B011FF4" w14:textId="696439F8" w:rsidR="009B47AC" w:rsidRDefault="009B47AC" w:rsidP="00F33E69">
      <w:pPr>
        <w:pStyle w:val="CBDNormalNumber"/>
      </w:pPr>
      <w:r>
        <w:t>В ходе дальнейшей разработки основных, компонентных и дополнительных индикаторов необходимо учитывать нагрузку по представлению отчетности, а также технические и финансовые трудности, с которыми сталкиваются Стороны при использовании механизма мониторинга, в частности развивающиеся страны (решение </w:t>
      </w:r>
      <w:hyperlink r:id="rId48" w:history="1">
        <w:r>
          <w:rPr>
            <w:rStyle w:val="Hyperlink"/>
          </w:rPr>
          <w:t>16/31</w:t>
        </w:r>
      </w:hyperlink>
      <w:r>
        <w:t>, пункт 7). Судя по информации об индикаторах, содержащейся в национальных докладах, Стороны, по-видимому, сталкиваются с трудностями при использовании индикаторов, которые в настоящее время включены в механизм мониторинга. Тем не менее многие Стороны отметили в своих национальных докладах, что они активно работают над созданием или укреплением механизмов для более эффективного использования основных индикаторов, а некоторые Стороны планируют представить обновленную информацию в своих национальных докладах до 17-го совещания Конференции Сторон (подробнее по этому вопросу см. документ CBD/SBSTTA/28/2).</w:t>
      </w:r>
    </w:p>
    <w:p w14:paraId="1AF6A3E3" w14:textId="6EA7D9B9" w:rsidR="009B47AC" w:rsidRPr="00783276" w:rsidRDefault="009B47AC" w:rsidP="00F33E69">
      <w:pPr>
        <w:pStyle w:val="CBDNormalNumber"/>
      </w:pPr>
      <w:r>
        <w:t>Механизм мониторинга охватывает всю сферу действия Куньминско-Монреальской глобальной рамочной программы в области биоразнообразия (решение </w:t>
      </w:r>
      <w:hyperlink r:id="rId49" w:history="1">
        <w:r>
          <w:rPr>
            <w:rStyle w:val="Hyperlink"/>
          </w:rPr>
          <w:t>16/31</w:t>
        </w:r>
      </w:hyperlink>
      <w:r>
        <w:t>, пункт 6).</w:t>
      </w:r>
    </w:p>
    <w:p w14:paraId="18660AE7" w14:textId="5C75C168" w:rsidR="00391347" w:rsidRDefault="00391347" w:rsidP="00F33E69">
      <w:pPr>
        <w:pStyle w:val="CBDNormalNumber"/>
      </w:pPr>
      <w:r>
        <w:t>Основные индикаторы в механизме мониторинга включают небольшое число индикаторов, призванных отразить цели или задачи Куньминско-Монреальской глобальной рамочной программы в области биоразнообразия во всей их совокупности. Основные индикаторы могут не отражать все компоненты цели или задачи, могут быть дополнены при необходимости компонентными и дополнительными индикаторами для аналитических целей. Этот подход направлен на максимальное использование механизма мониторинга и сведение к минимуму бремени отчетности (решение </w:t>
      </w:r>
      <w:hyperlink r:id="rId50" w:history="1">
        <w:r>
          <w:rPr>
            <w:rStyle w:val="Hyperlink"/>
          </w:rPr>
          <w:t>15/5</w:t>
        </w:r>
      </w:hyperlink>
      <w:r>
        <w:t>, приложение I, пункт 5).</w:t>
      </w:r>
    </w:p>
    <w:p w14:paraId="0902892F" w14:textId="56C8A15F" w:rsidR="00203519" w:rsidRPr="00783276" w:rsidRDefault="009B47AC" w:rsidP="00F33E69">
      <w:pPr>
        <w:pStyle w:val="CBDNormalNumber"/>
      </w:pPr>
      <w:r>
        <w:lastRenderedPageBreak/>
        <w:t>Индикаторы в механизме мониторинга являются частью основных элементов шаблона для национальных докладов. Формат следующего раунда представления национальных докладов, который состоится в 2029 году, будет определен на 18-м совещании Конференции Сторон. Национальные доклады, включающие основные и, при необходимости, другие индикаторы, являются частью усовершенствованного комплексного подхода к планированию, мониторингу, отчетности и обзору, принятого Конференцией Сторон, и всем Сторонам было предложено использовать основные индикаторы и ответить на бинарные вопросы в своих национальных докладах и в соответствующих случаях дополнять их факультативными компонентными или дополнительными индикаторами и другими национальными индикаторами (решение </w:t>
      </w:r>
      <w:hyperlink r:id="rId51" w:history="1">
        <w:r>
          <w:rPr>
            <w:rStyle w:val="Hyperlink"/>
          </w:rPr>
          <w:t>15/6</w:t>
        </w:r>
      </w:hyperlink>
      <w:r>
        <w:t>, пункты 1 и 13).</w:t>
      </w:r>
    </w:p>
    <w:p w14:paraId="035C7146" w14:textId="5ABAAFBF" w:rsidR="00391347" w:rsidRDefault="00391347" w:rsidP="00F33E69">
      <w:pPr>
        <w:pStyle w:val="CBDNormalNumber"/>
      </w:pPr>
      <w:r>
        <w:t>Разбивка основных индикаторов и использование компонентных и дополнительных индикаторов, определенных в механизме мониторинга, в национальных докладах являются факультативным и зависят от национальных условий и приоритетов (решение </w:t>
      </w:r>
      <w:hyperlink r:id="rId52" w:history="1">
        <w:r>
          <w:rPr>
            <w:rStyle w:val="Hyperlink"/>
          </w:rPr>
          <w:t>16/31</w:t>
        </w:r>
      </w:hyperlink>
      <w:r>
        <w:t xml:space="preserve">, пункт 2). Добровольный характер разбивки обеспечивает Сторонам гибкость при представлении докладов, а также создает пространство для сбора полезной информации, связанной с процессами планирования, мониторинга, отчетности и обзора в рамках Конвенции. </w:t>
      </w:r>
    </w:p>
    <w:p w14:paraId="0E219E99" w14:textId="314EB021" w:rsidR="009172EE" w:rsidRPr="00783276" w:rsidRDefault="00403374" w:rsidP="00F33E69">
      <w:pPr>
        <w:pStyle w:val="CBDNormalNumber"/>
      </w:pPr>
      <w:r>
        <w:t>Межправительственная научно-политическая платформа по биоразнообразию и экосистемным услугам в настоящее время готовит методологическую оценку по вопросам мониторинга биоразнообразия и обеспечиваемого природой вклада на благо человека. Оценка, которая, как ожидается, будет рассмотрена в ходе 13-й сессии Пленума Платформы, которая состоится в 2027 году, вероятно, будет содержать информацию, имеющую отношение к дальнейшей разработке и введению в действие механизма мониторинга.</w:t>
      </w:r>
    </w:p>
    <w:p w14:paraId="64EE1516" w14:textId="55F0EA09" w:rsidR="00933EDE" w:rsidRDefault="00391347" w:rsidP="00C60B7F">
      <w:pPr>
        <w:pStyle w:val="CBDNormalNumber"/>
      </w:pPr>
      <w:r>
        <w:t xml:space="preserve">С учетом полученных материалов и изложенных выше элементов для рассмотрения Вспомогательный орган, возможно, пожелает рассмотреть вопрос о том, чтобы рекомендовать Конференции Сторон обновить механизм мониторинга на своем 18-м совещании и одновременно рассмотреть шаблон для восьмых национальных докладов. Таким образом, можно будет провести более подробный анализ использования основных индикаторов и рассмотреть информацию, полученную в результате оценки мониторинга, проведенной Межправительственной научно-политической платформой по биоразнообразию и экосистемным услугам. Для содействия рассмотрению вопроса об обновлении механизма мониторинга Вспомогательный орган, возможно, также пожелает рассмотреть вопрос о том, чтобы рекомендовать Конференции Сторон созвать группу экспертов для предоставления рекомендаций по данному вопросу. Такая группа могла бы способствовать тому, чтобы в ходе любого процесса обновления механизма мониторинга учитывался широкий спектр взглядов и опыта. В число приоритетных направлений работы группы могли бы войти: опыт использования механизма мониторинга, результаты глобального обзора коллективного прогресса в осуществлении Куньминско-Монреальской глобальной рамочной программы в области биоразнообразия, методологическое положение основных индикаторов и имеющихся метаданных, а также результаты оценки мониторинга, проведенной Межправительственной научно-политической </w:t>
      </w:r>
      <w:r w:rsidR="00056E68">
        <w:t>платформой</w:t>
      </w:r>
      <w:r>
        <w:t>.</w:t>
      </w:r>
    </w:p>
    <w:p w14:paraId="2BEC63E4" w14:textId="6E4B7E8E" w:rsidR="00BC1940" w:rsidRDefault="00BC1940" w:rsidP="00F33E69">
      <w:pPr>
        <w:pStyle w:val="Para1"/>
        <w:numPr>
          <w:ilvl w:val="0"/>
          <w:numId w:val="0"/>
        </w:numPr>
        <w:jc w:val="left"/>
      </w:pPr>
      <w:r>
        <w:br w:type="page"/>
      </w:r>
    </w:p>
    <w:p w14:paraId="0013D157" w14:textId="0C724201" w:rsidR="00D24E1F" w:rsidRPr="00AC3124" w:rsidRDefault="00D24E1F" w:rsidP="00AC3124">
      <w:pPr>
        <w:pStyle w:val="CBDTitle"/>
      </w:pPr>
      <w:r>
        <w:lastRenderedPageBreak/>
        <w:t>Приложение</w:t>
      </w:r>
    </w:p>
    <w:p w14:paraId="7FCF2D7F" w14:textId="46F50628" w:rsidR="003B7350" w:rsidRPr="00CE72A7" w:rsidRDefault="00017565" w:rsidP="00AC3124">
      <w:pPr>
        <w:pStyle w:val="CBDTitle"/>
      </w:pPr>
      <w:r>
        <w:t>Индикаторы, отвечающие критериям, изложенным в решении 15/5, и способствующие устранению пробелов в механизме мониторинга в случае их включения в качестве компонентных или дополнительных индикаторов</w:t>
      </w:r>
    </w:p>
    <w:tbl>
      <w:tblPr>
        <w:tblStyle w:val="TableGrid"/>
        <w:tblW w:w="4927" w:type="pct"/>
        <w:tblInd w:w="562" w:type="dxa"/>
        <w:tblBorders>
          <w:left w:val="none" w:sz="0" w:space="0" w:color="auto"/>
          <w:right w:val="none" w:sz="0" w:space="0" w:color="auto"/>
          <w:insideH w:val="none" w:sz="0" w:space="0" w:color="auto"/>
          <w:insideV w:val="none" w:sz="0" w:space="0" w:color="auto"/>
        </w:tblBorders>
        <w:shd w:val="clear" w:color="auto" w:fill="FFFFFF" w:themeFill="background1"/>
        <w:tblLayout w:type="fixed"/>
        <w:tblLook w:val="04A0" w:firstRow="1" w:lastRow="0" w:firstColumn="1" w:lastColumn="0" w:noHBand="0" w:noVBand="1"/>
      </w:tblPr>
      <w:tblGrid>
        <w:gridCol w:w="2048"/>
        <w:gridCol w:w="1784"/>
        <w:gridCol w:w="5391"/>
      </w:tblGrid>
      <w:tr w:rsidR="000158AC" w:rsidRPr="007A191A" w14:paraId="5B0BD900" w14:textId="07874400" w:rsidTr="00420950">
        <w:trPr>
          <w:trHeight w:val="220"/>
          <w:tblHeader/>
        </w:trPr>
        <w:tc>
          <w:tcPr>
            <w:tcW w:w="2048" w:type="dxa"/>
            <w:tcBorders>
              <w:top w:val="single" w:sz="4" w:space="0" w:color="auto"/>
              <w:bottom w:val="single" w:sz="4" w:space="0" w:color="auto"/>
            </w:tcBorders>
            <w:shd w:val="clear" w:color="auto" w:fill="FFFFFF" w:themeFill="background1"/>
            <w:vAlign w:val="bottom"/>
          </w:tcPr>
          <w:p w14:paraId="79EAD6F4" w14:textId="69A856CC" w:rsidR="000158AC" w:rsidRPr="00F33E69" w:rsidRDefault="000158AC" w:rsidP="002D00D2">
            <w:pPr>
              <w:spacing w:before="40" w:after="40"/>
              <w:ind w:right="-57"/>
              <w:jc w:val="left"/>
              <w:rPr>
                <w:rFonts w:asciiTheme="majorBidi" w:hAnsiTheme="majorBidi" w:cstheme="majorBidi"/>
                <w:i/>
                <w:sz w:val="20"/>
                <w:szCs w:val="20"/>
              </w:rPr>
            </w:pPr>
            <w:r>
              <w:rPr>
                <w:rFonts w:asciiTheme="majorBidi" w:hAnsiTheme="majorBidi"/>
                <w:i/>
                <w:sz w:val="20"/>
                <w:szCs w:val="20"/>
              </w:rPr>
              <w:t>Наиболее актуальная цель или задача</w:t>
            </w:r>
          </w:p>
        </w:tc>
        <w:tc>
          <w:tcPr>
            <w:tcW w:w="1784" w:type="dxa"/>
            <w:tcBorders>
              <w:top w:val="single" w:sz="4" w:space="0" w:color="auto"/>
              <w:bottom w:val="single" w:sz="4" w:space="0" w:color="auto"/>
            </w:tcBorders>
            <w:shd w:val="clear" w:color="auto" w:fill="FFFFFF" w:themeFill="background1"/>
            <w:vAlign w:val="bottom"/>
          </w:tcPr>
          <w:p w14:paraId="41454674" w14:textId="7A16C239" w:rsidR="000158AC" w:rsidRPr="00F33E69" w:rsidRDefault="00CE3728" w:rsidP="002D00D2">
            <w:pPr>
              <w:spacing w:before="40" w:after="40"/>
              <w:ind w:right="-57"/>
              <w:jc w:val="left"/>
              <w:rPr>
                <w:rFonts w:asciiTheme="majorBidi" w:hAnsiTheme="majorBidi" w:cstheme="majorBidi"/>
                <w:i/>
                <w:sz w:val="20"/>
                <w:szCs w:val="20"/>
              </w:rPr>
            </w:pPr>
            <w:r>
              <w:rPr>
                <w:rFonts w:asciiTheme="majorBidi" w:hAnsiTheme="majorBidi"/>
                <w:i/>
                <w:sz w:val="20"/>
                <w:szCs w:val="20"/>
              </w:rPr>
              <w:t>Тип индикатора</w:t>
            </w:r>
          </w:p>
        </w:tc>
        <w:tc>
          <w:tcPr>
            <w:tcW w:w="5391" w:type="dxa"/>
            <w:tcBorders>
              <w:top w:val="single" w:sz="4" w:space="0" w:color="auto"/>
              <w:bottom w:val="single" w:sz="4" w:space="0" w:color="auto"/>
            </w:tcBorders>
            <w:shd w:val="clear" w:color="auto" w:fill="FFFFFF" w:themeFill="background1"/>
            <w:vAlign w:val="bottom"/>
          </w:tcPr>
          <w:p w14:paraId="6B48599D" w14:textId="5625F70C" w:rsidR="000158AC" w:rsidRPr="00F33E69" w:rsidRDefault="00CE3728" w:rsidP="002D00D2">
            <w:pPr>
              <w:spacing w:before="40" w:after="40"/>
              <w:ind w:right="-57"/>
              <w:jc w:val="left"/>
              <w:rPr>
                <w:rFonts w:asciiTheme="majorBidi" w:hAnsiTheme="majorBidi" w:cstheme="majorBidi"/>
                <w:i/>
                <w:sz w:val="20"/>
                <w:szCs w:val="20"/>
              </w:rPr>
            </w:pPr>
            <w:r>
              <w:rPr>
                <w:rFonts w:asciiTheme="majorBidi" w:hAnsiTheme="majorBidi"/>
                <w:i/>
                <w:sz w:val="20"/>
                <w:szCs w:val="20"/>
              </w:rPr>
              <w:t>Индикатор</w:t>
            </w:r>
          </w:p>
        </w:tc>
      </w:tr>
      <w:tr w:rsidR="000158AC" w:rsidRPr="007A191A" w14:paraId="16F40799" w14:textId="4FE19C8C" w:rsidTr="00420950">
        <w:tc>
          <w:tcPr>
            <w:tcW w:w="2048" w:type="dxa"/>
            <w:tcBorders>
              <w:top w:val="single" w:sz="4" w:space="0" w:color="auto"/>
            </w:tcBorders>
            <w:shd w:val="clear" w:color="auto" w:fill="FFFFFF" w:themeFill="background1"/>
          </w:tcPr>
          <w:p w14:paraId="7090ABEA"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А</w:t>
            </w:r>
          </w:p>
        </w:tc>
        <w:tc>
          <w:tcPr>
            <w:tcW w:w="1784" w:type="dxa"/>
            <w:tcBorders>
              <w:top w:val="single" w:sz="4" w:space="0" w:color="auto"/>
            </w:tcBorders>
            <w:shd w:val="clear" w:color="auto" w:fill="FFFFFF" w:themeFill="background1"/>
          </w:tcPr>
          <w:p w14:paraId="792024D1" w14:textId="639A311A" w:rsidR="000158AC" w:rsidRPr="00F33E69" w:rsidRDefault="00A80E6A" w:rsidP="00AA0147">
            <w:pPr>
              <w:spacing w:before="40" w:after="40"/>
              <w:ind w:right="-57"/>
              <w:jc w:val="left"/>
              <w:rPr>
                <w:rFonts w:asciiTheme="majorBidi" w:hAnsiTheme="majorBidi" w:cstheme="majorBidi"/>
                <w:sz w:val="20"/>
                <w:szCs w:val="20"/>
              </w:rPr>
            </w:pPr>
            <w:r>
              <w:rPr>
                <w:rFonts w:asciiTheme="majorBidi" w:hAnsiTheme="majorBidi"/>
                <w:sz w:val="20"/>
                <w:szCs w:val="20"/>
              </w:rPr>
              <w:t>Дополнительный</w:t>
            </w:r>
          </w:p>
        </w:tc>
        <w:tc>
          <w:tcPr>
            <w:tcW w:w="5391" w:type="dxa"/>
            <w:tcBorders>
              <w:top w:val="single" w:sz="4" w:space="0" w:color="auto"/>
            </w:tcBorders>
            <w:shd w:val="clear" w:color="auto" w:fill="FFFFFF" w:themeFill="background1"/>
          </w:tcPr>
          <w:p w14:paraId="1D3F77B6" w14:textId="67550D0F" w:rsidR="000158AC" w:rsidRPr="00F33E69" w:rsidRDefault="000158AC" w:rsidP="00AA0147">
            <w:pPr>
              <w:spacing w:before="40" w:after="40"/>
              <w:ind w:right="-57"/>
              <w:jc w:val="left"/>
              <w:rPr>
                <w:rFonts w:asciiTheme="majorBidi" w:hAnsiTheme="majorBidi" w:cstheme="majorBidi"/>
                <w:sz w:val="20"/>
                <w:szCs w:val="20"/>
              </w:rPr>
            </w:pPr>
            <w:r>
              <w:rPr>
                <w:rFonts w:asciiTheme="majorBidi" w:hAnsiTheme="majorBidi"/>
                <w:sz w:val="20"/>
                <w:szCs w:val="20"/>
              </w:rPr>
              <w:t xml:space="preserve">Оценочная таблица генетического разнообразия диких видов </w:t>
            </w:r>
          </w:p>
        </w:tc>
      </w:tr>
      <w:tr w:rsidR="000158AC" w:rsidRPr="007A191A" w14:paraId="49878DF6" w14:textId="70B9FEC3" w:rsidTr="00420950">
        <w:tc>
          <w:tcPr>
            <w:tcW w:w="2048" w:type="dxa"/>
            <w:shd w:val="clear" w:color="auto" w:fill="FFFFFF" w:themeFill="background1"/>
          </w:tcPr>
          <w:p w14:paraId="531EA8BB" w14:textId="75EA85C6"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А</w:t>
            </w:r>
          </w:p>
        </w:tc>
        <w:tc>
          <w:tcPr>
            <w:tcW w:w="1784" w:type="dxa"/>
            <w:shd w:val="clear" w:color="auto" w:fill="FFFFFF" w:themeFill="background1"/>
          </w:tcPr>
          <w:p w14:paraId="5A3BF735" w14:textId="28733A3F" w:rsidR="000158AC" w:rsidRPr="00F33E69" w:rsidRDefault="00CE3728" w:rsidP="00AA0147">
            <w:pPr>
              <w:spacing w:before="40" w:after="40"/>
              <w:ind w:right="-57"/>
              <w:jc w:val="left"/>
              <w:rPr>
                <w:rFonts w:asciiTheme="majorBidi" w:hAnsiTheme="majorBidi" w:cstheme="majorBidi"/>
                <w:sz w:val="20"/>
                <w:szCs w:val="20"/>
              </w:rPr>
            </w:pPr>
            <w:r>
              <w:rPr>
                <w:rFonts w:asciiTheme="majorBidi" w:hAnsiTheme="majorBidi"/>
                <w:sz w:val="20"/>
                <w:szCs w:val="20"/>
              </w:rPr>
              <w:t>Дополнительный</w:t>
            </w:r>
          </w:p>
        </w:tc>
        <w:tc>
          <w:tcPr>
            <w:tcW w:w="5391" w:type="dxa"/>
            <w:shd w:val="clear" w:color="auto" w:fill="FFFFFF" w:themeFill="background1"/>
          </w:tcPr>
          <w:p w14:paraId="2A6F718F" w14:textId="51617C3D" w:rsidR="000158AC" w:rsidRPr="00F33E69" w:rsidRDefault="000158AC" w:rsidP="00AA0147">
            <w:pPr>
              <w:spacing w:before="40" w:after="40"/>
              <w:ind w:right="-57"/>
              <w:jc w:val="left"/>
              <w:rPr>
                <w:sz w:val="20"/>
                <w:szCs w:val="20"/>
              </w:rPr>
            </w:pPr>
            <w:r>
              <w:rPr>
                <w:sz w:val="20"/>
                <w:szCs w:val="20"/>
              </w:rPr>
              <w:t>Индекс дендритной связности</w:t>
            </w:r>
          </w:p>
        </w:tc>
      </w:tr>
      <w:tr w:rsidR="000158AC" w:rsidRPr="007A191A" w14:paraId="24F3001C" w14:textId="6C74E6C0" w:rsidTr="00420950">
        <w:tc>
          <w:tcPr>
            <w:tcW w:w="2048" w:type="dxa"/>
            <w:shd w:val="clear" w:color="auto" w:fill="FFFFFF" w:themeFill="background1"/>
          </w:tcPr>
          <w:p w14:paraId="2AD43ECB"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4</w:t>
            </w:r>
          </w:p>
        </w:tc>
        <w:tc>
          <w:tcPr>
            <w:tcW w:w="1784" w:type="dxa"/>
            <w:shd w:val="clear" w:color="auto" w:fill="FFFFFF" w:themeFill="background1"/>
          </w:tcPr>
          <w:p w14:paraId="75E6A050" w14:textId="75E4CF47"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Pr>
                <w:rFonts w:asciiTheme="majorBidi" w:hAnsiTheme="majorBidi"/>
                <w:sz w:val="20"/>
                <w:szCs w:val="20"/>
              </w:rPr>
              <w:t>Дополнительный</w:t>
            </w:r>
          </w:p>
        </w:tc>
        <w:tc>
          <w:tcPr>
            <w:tcW w:w="5391" w:type="dxa"/>
            <w:shd w:val="clear" w:color="auto" w:fill="FFFFFF" w:themeFill="background1"/>
          </w:tcPr>
          <w:p w14:paraId="5BC53395" w14:textId="50C32E83"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Pr>
                <w:rFonts w:asciiTheme="majorBidi" w:hAnsiTheme="majorBidi"/>
                <w:color w:val="000000"/>
                <w:sz w:val="20"/>
                <w:szCs w:val="20"/>
              </w:rPr>
              <w:t>Количество и перечень видов деревьев и других древесных растений, включенных в программы сохранения лесных генетических ресурсов in situ</w:t>
            </w:r>
          </w:p>
        </w:tc>
      </w:tr>
      <w:tr w:rsidR="000158AC" w:rsidRPr="007A191A" w14:paraId="20C8602D" w14:textId="4A3991A9" w:rsidTr="00420950">
        <w:tc>
          <w:tcPr>
            <w:tcW w:w="2048" w:type="dxa"/>
            <w:shd w:val="clear" w:color="auto" w:fill="FFFFFF" w:themeFill="background1"/>
          </w:tcPr>
          <w:p w14:paraId="1957EAD2"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4</w:t>
            </w:r>
          </w:p>
        </w:tc>
        <w:tc>
          <w:tcPr>
            <w:tcW w:w="1784" w:type="dxa"/>
            <w:shd w:val="clear" w:color="auto" w:fill="FFFFFF" w:themeFill="background1"/>
          </w:tcPr>
          <w:p w14:paraId="5CD83A0D" w14:textId="33F7376E" w:rsidR="000158AC" w:rsidRPr="00F33E69" w:rsidRDefault="00CE3728" w:rsidP="00AA0147">
            <w:pPr>
              <w:spacing w:before="40" w:after="40"/>
              <w:ind w:right="-57"/>
              <w:jc w:val="left"/>
              <w:rPr>
                <w:rFonts w:asciiTheme="majorBidi" w:hAnsiTheme="majorBidi" w:cstheme="majorBidi"/>
                <w:sz w:val="20"/>
                <w:szCs w:val="20"/>
              </w:rPr>
            </w:pPr>
            <w:r>
              <w:rPr>
                <w:rFonts w:asciiTheme="majorBidi" w:hAnsiTheme="majorBidi"/>
                <w:sz w:val="20"/>
                <w:szCs w:val="20"/>
              </w:rPr>
              <w:t>Дополнительный</w:t>
            </w:r>
          </w:p>
        </w:tc>
        <w:tc>
          <w:tcPr>
            <w:tcW w:w="5391" w:type="dxa"/>
            <w:shd w:val="clear" w:color="auto" w:fill="FFFFFF" w:themeFill="background1"/>
          </w:tcPr>
          <w:p w14:paraId="1D95E5B3" w14:textId="52C7EA2D" w:rsidR="000158AC" w:rsidRPr="00F33E69" w:rsidRDefault="000158AC" w:rsidP="00AA0147">
            <w:pPr>
              <w:spacing w:before="40" w:after="40"/>
              <w:ind w:right="-57"/>
              <w:jc w:val="left"/>
              <w:rPr>
                <w:rFonts w:asciiTheme="majorBidi" w:hAnsiTheme="majorBidi" w:cstheme="majorBidi"/>
                <w:sz w:val="20"/>
                <w:szCs w:val="20"/>
              </w:rPr>
            </w:pPr>
            <w:r>
              <w:rPr>
                <w:rFonts w:asciiTheme="majorBidi" w:hAnsiTheme="majorBidi"/>
                <w:sz w:val="20"/>
                <w:szCs w:val="20"/>
              </w:rPr>
              <w:t>Масштабы утраты разводимых видов аквакультуры</w:t>
            </w:r>
          </w:p>
        </w:tc>
      </w:tr>
      <w:tr w:rsidR="000158AC" w:rsidRPr="007A191A" w14:paraId="50288E50" w14:textId="24A94DCC" w:rsidTr="00420950">
        <w:tc>
          <w:tcPr>
            <w:tcW w:w="2048" w:type="dxa"/>
            <w:shd w:val="clear" w:color="auto" w:fill="FFFFFF" w:themeFill="background1"/>
          </w:tcPr>
          <w:p w14:paraId="421E69E0"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4</w:t>
            </w:r>
          </w:p>
        </w:tc>
        <w:tc>
          <w:tcPr>
            <w:tcW w:w="1784" w:type="dxa"/>
            <w:shd w:val="clear" w:color="auto" w:fill="FFFFFF" w:themeFill="background1"/>
          </w:tcPr>
          <w:p w14:paraId="13C35973" w14:textId="3DC651A1"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i/>
                <w:sz w:val="20"/>
                <w:szCs w:val="20"/>
                <w:vertAlign w:val="superscript"/>
              </w:rPr>
            </w:pPr>
            <w:r>
              <w:rPr>
                <w:rFonts w:asciiTheme="majorBidi" w:hAnsiTheme="majorBidi"/>
                <w:sz w:val="20"/>
                <w:szCs w:val="20"/>
              </w:rPr>
              <w:t>Дополнительный</w:t>
            </w:r>
          </w:p>
        </w:tc>
        <w:tc>
          <w:tcPr>
            <w:tcW w:w="5391" w:type="dxa"/>
            <w:shd w:val="clear" w:color="auto" w:fill="FFFFFF" w:themeFill="background1"/>
          </w:tcPr>
          <w:p w14:paraId="0E1A5524" w14:textId="5A6FB1F0"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Pr>
                <w:rFonts w:asciiTheme="majorBidi" w:hAnsiTheme="majorBidi"/>
                <w:color w:val="000000"/>
                <w:sz w:val="20"/>
                <w:szCs w:val="20"/>
              </w:rPr>
              <w:t>Численность популяций диких сородичей видов, разводимых в аквакультуре, в отношении которых применяются меры по сохранению</w:t>
            </w:r>
          </w:p>
        </w:tc>
      </w:tr>
      <w:tr w:rsidR="000158AC" w:rsidRPr="007A191A" w14:paraId="38198F88" w14:textId="1BF1F191" w:rsidTr="00420950">
        <w:trPr>
          <w:trHeight w:val="88"/>
        </w:trPr>
        <w:tc>
          <w:tcPr>
            <w:tcW w:w="2048" w:type="dxa"/>
            <w:shd w:val="clear" w:color="auto" w:fill="FFFFFF" w:themeFill="background1"/>
          </w:tcPr>
          <w:p w14:paraId="3EE8676F"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4</w:t>
            </w:r>
          </w:p>
        </w:tc>
        <w:tc>
          <w:tcPr>
            <w:tcW w:w="1784" w:type="dxa"/>
            <w:shd w:val="clear" w:color="auto" w:fill="FFFFFF" w:themeFill="background1"/>
          </w:tcPr>
          <w:p w14:paraId="23FD673B" w14:textId="29390BA5"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Pr>
                <w:rFonts w:asciiTheme="majorBidi" w:hAnsiTheme="majorBidi"/>
                <w:sz w:val="20"/>
                <w:szCs w:val="20"/>
              </w:rPr>
              <w:t>Дополнительный</w:t>
            </w:r>
          </w:p>
        </w:tc>
        <w:tc>
          <w:tcPr>
            <w:tcW w:w="5391" w:type="dxa"/>
            <w:shd w:val="clear" w:color="auto" w:fill="FFFFFF" w:themeFill="background1"/>
          </w:tcPr>
          <w:p w14:paraId="2BCCFB3A" w14:textId="0A0A2C1E"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Pr>
                <w:rFonts w:asciiTheme="majorBidi" w:hAnsiTheme="majorBidi"/>
                <w:color w:val="000000"/>
                <w:sz w:val="20"/>
                <w:szCs w:val="20"/>
              </w:rPr>
              <w:t>Масштабы сохранения ex situ важных разводимых видов водных генетических ресурсов</w:t>
            </w:r>
          </w:p>
        </w:tc>
      </w:tr>
      <w:tr w:rsidR="000158AC" w:rsidRPr="007A191A" w14:paraId="6D7C0EF4" w14:textId="2DD5EBB7" w:rsidTr="00420950">
        <w:tc>
          <w:tcPr>
            <w:tcW w:w="2048" w:type="dxa"/>
            <w:shd w:val="clear" w:color="auto" w:fill="FFFFFF" w:themeFill="background1"/>
          </w:tcPr>
          <w:p w14:paraId="7CFFA566"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4</w:t>
            </w:r>
          </w:p>
        </w:tc>
        <w:tc>
          <w:tcPr>
            <w:tcW w:w="1784" w:type="dxa"/>
            <w:shd w:val="clear" w:color="auto" w:fill="FFFFFF" w:themeFill="background1"/>
          </w:tcPr>
          <w:p w14:paraId="2543B623" w14:textId="4D973D38"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Pr>
                <w:rFonts w:asciiTheme="majorBidi" w:hAnsiTheme="majorBidi"/>
                <w:sz w:val="20"/>
                <w:szCs w:val="20"/>
              </w:rPr>
              <w:t>Дополнительный</w:t>
            </w:r>
          </w:p>
        </w:tc>
        <w:tc>
          <w:tcPr>
            <w:tcW w:w="5391" w:type="dxa"/>
            <w:shd w:val="clear" w:color="auto" w:fill="FFFFFF" w:themeFill="background1"/>
          </w:tcPr>
          <w:p w14:paraId="02C0A1A7" w14:textId="434B2BE7"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Pr>
                <w:rFonts w:asciiTheme="majorBidi" w:hAnsiTheme="majorBidi"/>
                <w:color w:val="000000"/>
                <w:sz w:val="20"/>
                <w:szCs w:val="20"/>
              </w:rPr>
              <w:t>Масштабы использования неместных видов в аквакультуре, представляющих угрозу для местного биоразнообразия</w:t>
            </w:r>
          </w:p>
        </w:tc>
      </w:tr>
      <w:tr w:rsidR="000158AC" w:rsidRPr="007A191A" w14:paraId="2AFB8A4E" w14:textId="5E134345" w:rsidTr="00420950">
        <w:trPr>
          <w:trHeight w:val="45"/>
        </w:trPr>
        <w:tc>
          <w:tcPr>
            <w:tcW w:w="2048" w:type="dxa"/>
            <w:shd w:val="clear" w:color="auto" w:fill="FFFFFF" w:themeFill="background1"/>
          </w:tcPr>
          <w:p w14:paraId="4B5687F9"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7</w:t>
            </w:r>
          </w:p>
        </w:tc>
        <w:tc>
          <w:tcPr>
            <w:tcW w:w="1784" w:type="dxa"/>
            <w:shd w:val="clear" w:color="auto" w:fill="FFFFFF" w:themeFill="background1"/>
          </w:tcPr>
          <w:p w14:paraId="51AB337F" w14:textId="52CC34C6" w:rsidR="000158AC" w:rsidRPr="00F33E69" w:rsidRDefault="00CE3728" w:rsidP="00AA0147">
            <w:pPr>
              <w:spacing w:before="40" w:after="40"/>
              <w:ind w:right="-57"/>
              <w:jc w:val="left"/>
              <w:rPr>
                <w:rFonts w:asciiTheme="majorBidi" w:hAnsiTheme="majorBidi" w:cstheme="majorBidi"/>
                <w:sz w:val="20"/>
                <w:szCs w:val="20"/>
                <w:vertAlign w:val="superscript"/>
              </w:rPr>
            </w:pPr>
            <w:r>
              <w:rPr>
                <w:rFonts w:asciiTheme="majorBidi" w:hAnsiTheme="majorBidi"/>
                <w:sz w:val="20"/>
                <w:szCs w:val="20"/>
              </w:rPr>
              <w:t>Дополнительный</w:t>
            </w:r>
          </w:p>
        </w:tc>
        <w:tc>
          <w:tcPr>
            <w:tcW w:w="5391" w:type="dxa"/>
            <w:shd w:val="clear" w:color="auto" w:fill="FFFFFF" w:themeFill="background1"/>
          </w:tcPr>
          <w:p w14:paraId="240883DD" w14:textId="66C97D8C" w:rsidR="000158AC" w:rsidRPr="00F33E69" w:rsidRDefault="000158AC" w:rsidP="00AA0147">
            <w:pPr>
              <w:spacing w:before="40" w:after="40"/>
              <w:ind w:right="-57"/>
              <w:jc w:val="left"/>
              <w:rPr>
                <w:rFonts w:asciiTheme="majorBidi" w:hAnsiTheme="majorBidi" w:cstheme="majorBidi"/>
                <w:color w:val="000000"/>
                <w:sz w:val="20"/>
                <w:szCs w:val="20"/>
              </w:rPr>
            </w:pPr>
            <w:r>
              <w:rPr>
                <w:rFonts w:asciiTheme="majorBidi" w:hAnsiTheme="majorBidi"/>
                <w:color w:val="000000"/>
                <w:sz w:val="20"/>
                <w:szCs w:val="20"/>
              </w:rPr>
              <w:t>Уровни и тенденции содержания ртути и соединений ртути в окружающей среде и организме человека, обусловленные антропогенными выбросами и высвобождениями</w:t>
            </w:r>
          </w:p>
        </w:tc>
      </w:tr>
      <w:tr w:rsidR="000158AC" w:rsidRPr="007A191A" w14:paraId="0C68AF2E" w14:textId="66A43841" w:rsidTr="00420950">
        <w:trPr>
          <w:trHeight w:val="186"/>
        </w:trPr>
        <w:tc>
          <w:tcPr>
            <w:tcW w:w="2048" w:type="dxa"/>
            <w:shd w:val="clear" w:color="auto" w:fill="FFFFFF" w:themeFill="background1"/>
          </w:tcPr>
          <w:p w14:paraId="029B96EE"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7</w:t>
            </w:r>
          </w:p>
        </w:tc>
        <w:tc>
          <w:tcPr>
            <w:tcW w:w="1784" w:type="dxa"/>
            <w:shd w:val="clear" w:color="auto" w:fill="FFFFFF" w:themeFill="background1"/>
          </w:tcPr>
          <w:p w14:paraId="7B60AFEA" w14:textId="0A4A897C"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sz w:val="20"/>
                <w:szCs w:val="20"/>
              </w:rPr>
            </w:pPr>
            <w:r>
              <w:rPr>
                <w:rFonts w:asciiTheme="majorBidi" w:hAnsiTheme="majorBidi"/>
                <w:sz w:val="20"/>
                <w:szCs w:val="20"/>
              </w:rPr>
              <w:t>Дополнительный</w:t>
            </w:r>
          </w:p>
        </w:tc>
        <w:tc>
          <w:tcPr>
            <w:tcW w:w="5391" w:type="dxa"/>
            <w:shd w:val="clear" w:color="auto" w:fill="FFFFFF" w:themeFill="background1"/>
          </w:tcPr>
          <w:p w14:paraId="450F0D0D" w14:textId="1716BC36" w:rsidR="000158AC" w:rsidRPr="00F33E69" w:rsidRDefault="000158AC"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Pr>
                <w:rFonts w:asciiTheme="majorBidi" w:hAnsiTheme="majorBidi"/>
                <w:color w:val="000000"/>
                <w:sz w:val="20"/>
                <w:szCs w:val="20"/>
              </w:rPr>
              <w:t xml:space="preserve">Индекс эвтрофикации пресных вод </w:t>
            </w:r>
          </w:p>
        </w:tc>
      </w:tr>
      <w:tr w:rsidR="000158AC" w:rsidRPr="007A191A" w14:paraId="67B72D87" w14:textId="3DE648F5" w:rsidTr="00420950">
        <w:trPr>
          <w:trHeight w:val="186"/>
        </w:trPr>
        <w:tc>
          <w:tcPr>
            <w:tcW w:w="2048" w:type="dxa"/>
            <w:shd w:val="clear" w:color="auto" w:fill="FFFFFF" w:themeFill="background1"/>
          </w:tcPr>
          <w:p w14:paraId="072C03E9" w14:textId="6FBB93B5"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11</w:t>
            </w:r>
          </w:p>
        </w:tc>
        <w:tc>
          <w:tcPr>
            <w:tcW w:w="1784" w:type="dxa"/>
            <w:shd w:val="clear" w:color="auto" w:fill="FFFFFF" w:themeFill="background1"/>
          </w:tcPr>
          <w:p w14:paraId="3E9EA89C" w14:textId="0E30FFD2" w:rsidR="000158AC" w:rsidRPr="00F33E69" w:rsidRDefault="00CE3728" w:rsidP="00F33E69">
            <w:pPr>
              <w:tabs>
                <w:tab w:val="clear" w:pos="567"/>
                <w:tab w:val="clear" w:pos="1134"/>
                <w:tab w:val="clear" w:pos="1701"/>
                <w:tab w:val="clear" w:pos="2268"/>
              </w:tabs>
              <w:spacing w:before="40" w:after="40"/>
              <w:jc w:val="left"/>
              <w:rPr>
                <w:rFonts w:asciiTheme="majorBidi" w:hAnsiTheme="majorBidi" w:cstheme="majorBidi"/>
                <w:color w:val="000000"/>
                <w:sz w:val="20"/>
                <w:szCs w:val="20"/>
              </w:rPr>
            </w:pPr>
            <w:r>
              <w:rPr>
                <w:rFonts w:asciiTheme="majorBidi" w:hAnsiTheme="majorBidi"/>
                <w:sz w:val="20"/>
                <w:szCs w:val="20"/>
              </w:rPr>
              <w:t>Дополнительный</w:t>
            </w:r>
          </w:p>
        </w:tc>
        <w:tc>
          <w:tcPr>
            <w:tcW w:w="5391" w:type="dxa"/>
            <w:shd w:val="clear" w:color="auto" w:fill="FFFFFF" w:themeFill="background1"/>
          </w:tcPr>
          <w:p w14:paraId="4689C727" w14:textId="363A589F" w:rsidR="000158AC" w:rsidRPr="00F33E69" w:rsidRDefault="000158AC" w:rsidP="00F33E69">
            <w:pPr>
              <w:tabs>
                <w:tab w:val="clear" w:pos="567"/>
                <w:tab w:val="clear" w:pos="1134"/>
                <w:tab w:val="clear" w:pos="1701"/>
                <w:tab w:val="clear" w:pos="2268"/>
              </w:tabs>
              <w:spacing w:before="40" w:after="40"/>
              <w:jc w:val="left"/>
              <w:rPr>
                <w:sz w:val="20"/>
                <w:szCs w:val="20"/>
              </w:rPr>
            </w:pPr>
            <w:r>
              <w:rPr>
                <w:sz w:val="20"/>
                <w:szCs w:val="20"/>
              </w:rPr>
              <w:t>Смертность от загрязнения воздуха в жилых помещениях и атмосферного воздуха</w:t>
            </w:r>
          </w:p>
        </w:tc>
      </w:tr>
      <w:tr w:rsidR="000158AC" w:rsidRPr="007A191A" w14:paraId="477BDB23" w14:textId="3F3E6E8C" w:rsidTr="00420950">
        <w:tc>
          <w:tcPr>
            <w:tcW w:w="2048" w:type="dxa"/>
            <w:shd w:val="clear" w:color="auto" w:fill="FFFFFF" w:themeFill="background1"/>
          </w:tcPr>
          <w:p w14:paraId="13AE829E" w14:textId="77777777" w:rsidR="000158AC" w:rsidRPr="00F33E69" w:rsidRDefault="000158AC" w:rsidP="00AA0147">
            <w:pPr>
              <w:spacing w:before="40" w:after="40"/>
              <w:ind w:right="-57"/>
              <w:jc w:val="center"/>
              <w:rPr>
                <w:rFonts w:asciiTheme="majorBidi" w:hAnsiTheme="majorBidi" w:cstheme="majorBidi"/>
                <w:sz w:val="20"/>
                <w:szCs w:val="20"/>
              </w:rPr>
            </w:pPr>
            <w:r>
              <w:rPr>
                <w:rFonts w:asciiTheme="majorBidi" w:hAnsiTheme="majorBidi"/>
                <w:sz w:val="20"/>
                <w:szCs w:val="20"/>
              </w:rPr>
              <w:t>16</w:t>
            </w:r>
          </w:p>
        </w:tc>
        <w:tc>
          <w:tcPr>
            <w:tcW w:w="1784" w:type="dxa"/>
            <w:shd w:val="clear" w:color="auto" w:fill="FFFFFF" w:themeFill="background1"/>
          </w:tcPr>
          <w:p w14:paraId="28D5AA16" w14:textId="2DE3AC34" w:rsidR="000158AC" w:rsidRPr="00F33E69" w:rsidRDefault="00CE3728" w:rsidP="00AA0147">
            <w:pPr>
              <w:spacing w:before="40" w:after="40"/>
              <w:ind w:right="-57"/>
              <w:jc w:val="left"/>
              <w:rPr>
                <w:rFonts w:asciiTheme="majorBidi" w:hAnsiTheme="majorBidi" w:cstheme="majorBidi"/>
                <w:i/>
                <w:sz w:val="20"/>
                <w:szCs w:val="20"/>
              </w:rPr>
            </w:pPr>
            <w:r>
              <w:rPr>
                <w:rFonts w:asciiTheme="majorBidi" w:hAnsiTheme="majorBidi"/>
                <w:sz w:val="20"/>
                <w:szCs w:val="20"/>
              </w:rPr>
              <w:t>Дополнительный</w:t>
            </w:r>
          </w:p>
        </w:tc>
        <w:tc>
          <w:tcPr>
            <w:tcW w:w="5391" w:type="dxa"/>
            <w:shd w:val="clear" w:color="auto" w:fill="FFFFFF" w:themeFill="background1"/>
          </w:tcPr>
          <w:p w14:paraId="5923CE85" w14:textId="3A8799A9" w:rsidR="000158AC" w:rsidRPr="00F33E69" w:rsidRDefault="000158AC" w:rsidP="00AA0147">
            <w:pPr>
              <w:spacing w:before="40" w:after="40"/>
              <w:ind w:right="-57"/>
              <w:jc w:val="left"/>
              <w:rPr>
                <w:rFonts w:asciiTheme="majorBidi" w:hAnsiTheme="majorBidi" w:cstheme="majorBidi"/>
                <w:sz w:val="20"/>
                <w:szCs w:val="20"/>
              </w:rPr>
            </w:pPr>
            <w:r>
              <w:rPr>
                <w:rFonts w:asciiTheme="majorBidi" w:hAnsiTheme="majorBidi"/>
                <w:sz w:val="20"/>
                <w:szCs w:val="20"/>
              </w:rPr>
              <w:t>Индикатор глобального экологического воздействия</w:t>
            </w:r>
            <w:r w:rsidR="004B2C69">
              <w:rPr>
                <w:rFonts w:asciiTheme="majorBidi" w:hAnsiTheme="majorBidi"/>
                <w:sz w:val="20"/>
                <w:szCs w:val="20"/>
              </w:rPr>
              <w:t xml:space="preserve"> </w:t>
            </w:r>
            <w:r>
              <w:rPr>
                <w:rFonts w:asciiTheme="majorBidi" w:hAnsiTheme="majorBidi"/>
                <w:sz w:val="20"/>
                <w:szCs w:val="20"/>
              </w:rPr>
              <w:t xml:space="preserve">потребления </w:t>
            </w:r>
          </w:p>
        </w:tc>
      </w:tr>
      <w:tr w:rsidR="00CE3728" w:rsidRPr="007A191A" w14:paraId="03C60F6A" w14:textId="27F90370" w:rsidTr="00420950">
        <w:tc>
          <w:tcPr>
            <w:tcW w:w="2048" w:type="dxa"/>
            <w:shd w:val="clear" w:color="auto" w:fill="FFFFFF" w:themeFill="background1"/>
          </w:tcPr>
          <w:p w14:paraId="7592A78D" w14:textId="77777777" w:rsidR="00CE3728" w:rsidRPr="00F33E69" w:rsidRDefault="00CE3728" w:rsidP="00CE3728">
            <w:pPr>
              <w:spacing w:before="40" w:after="40"/>
              <w:ind w:right="-57"/>
              <w:jc w:val="center"/>
              <w:rPr>
                <w:rFonts w:asciiTheme="majorBidi" w:hAnsiTheme="majorBidi" w:cstheme="majorBidi"/>
                <w:sz w:val="20"/>
                <w:szCs w:val="20"/>
              </w:rPr>
            </w:pPr>
            <w:r>
              <w:rPr>
                <w:rFonts w:asciiTheme="majorBidi" w:hAnsiTheme="majorBidi"/>
                <w:sz w:val="20"/>
                <w:szCs w:val="20"/>
              </w:rPr>
              <w:t>18</w:t>
            </w:r>
          </w:p>
        </w:tc>
        <w:tc>
          <w:tcPr>
            <w:tcW w:w="1784" w:type="dxa"/>
            <w:shd w:val="clear" w:color="auto" w:fill="FFFFFF" w:themeFill="background1"/>
          </w:tcPr>
          <w:p w14:paraId="1632C443" w14:textId="2427F72E" w:rsidR="00CE3728" w:rsidRPr="00F33E69" w:rsidRDefault="00CE3728" w:rsidP="00F33E69">
            <w:pPr>
              <w:pStyle w:val="CBDNormalNumber"/>
              <w:numPr>
                <w:ilvl w:val="0"/>
                <w:numId w:val="0"/>
              </w:numPr>
              <w:spacing w:before="40" w:after="40"/>
              <w:jc w:val="left"/>
              <w:rPr>
                <w:rFonts w:asciiTheme="majorBidi" w:hAnsiTheme="majorBidi" w:cstheme="majorBidi"/>
                <w:sz w:val="20"/>
                <w:szCs w:val="20"/>
              </w:rPr>
            </w:pPr>
            <w:r>
              <w:rPr>
                <w:rFonts w:asciiTheme="majorBidi" w:hAnsiTheme="majorBidi"/>
                <w:sz w:val="20"/>
                <w:szCs w:val="20"/>
              </w:rPr>
              <w:t xml:space="preserve">Компонентный </w:t>
            </w:r>
          </w:p>
        </w:tc>
        <w:tc>
          <w:tcPr>
            <w:tcW w:w="5391" w:type="dxa"/>
            <w:shd w:val="clear" w:color="auto" w:fill="FFFFFF" w:themeFill="background1"/>
          </w:tcPr>
          <w:p w14:paraId="1705B7BB" w14:textId="3EA4FF8F"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Pr>
                <w:rFonts w:asciiTheme="majorBidi" w:hAnsiTheme="majorBidi"/>
                <w:sz w:val="20"/>
                <w:szCs w:val="20"/>
              </w:rPr>
              <w:t>Денежная стоимость мер поддержки рыночных цен в сельском хозяйстве</w:t>
            </w:r>
          </w:p>
        </w:tc>
      </w:tr>
      <w:tr w:rsidR="00CE3728" w:rsidRPr="007A191A" w14:paraId="4290A63A" w14:textId="3158CE5F" w:rsidTr="00420950">
        <w:tc>
          <w:tcPr>
            <w:tcW w:w="2048" w:type="dxa"/>
            <w:shd w:val="clear" w:color="auto" w:fill="FFFFFF" w:themeFill="background1"/>
          </w:tcPr>
          <w:p w14:paraId="6049FBF2" w14:textId="77777777" w:rsidR="00CE3728" w:rsidRPr="00F33E69" w:rsidRDefault="00CE3728" w:rsidP="00CE3728">
            <w:pPr>
              <w:spacing w:before="40" w:after="40"/>
              <w:ind w:right="-57"/>
              <w:jc w:val="center"/>
              <w:rPr>
                <w:rFonts w:asciiTheme="majorBidi" w:hAnsiTheme="majorBidi" w:cstheme="majorBidi"/>
                <w:sz w:val="20"/>
                <w:szCs w:val="20"/>
              </w:rPr>
            </w:pPr>
            <w:r>
              <w:rPr>
                <w:rFonts w:asciiTheme="majorBidi" w:hAnsiTheme="majorBidi"/>
                <w:sz w:val="20"/>
                <w:szCs w:val="20"/>
              </w:rPr>
              <w:t>18</w:t>
            </w:r>
          </w:p>
        </w:tc>
        <w:tc>
          <w:tcPr>
            <w:tcW w:w="1784" w:type="dxa"/>
            <w:shd w:val="clear" w:color="auto" w:fill="FFFFFF" w:themeFill="background1"/>
          </w:tcPr>
          <w:p w14:paraId="115353B9" w14:textId="2C42780E" w:rsidR="00CE3728" w:rsidRPr="00F33E69" w:rsidRDefault="00CE3728" w:rsidP="00F33E69">
            <w:pPr>
              <w:pStyle w:val="CBDNormalNumber"/>
              <w:numPr>
                <w:ilvl w:val="0"/>
                <w:numId w:val="0"/>
              </w:numPr>
              <w:spacing w:before="40" w:after="40"/>
              <w:jc w:val="left"/>
              <w:rPr>
                <w:rFonts w:asciiTheme="majorBidi" w:hAnsiTheme="majorBidi" w:cstheme="majorBidi"/>
                <w:sz w:val="20"/>
                <w:szCs w:val="20"/>
              </w:rPr>
            </w:pPr>
            <w:r>
              <w:rPr>
                <w:rFonts w:asciiTheme="majorBidi" w:hAnsiTheme="majorBidi"/>
                <w:sz w:val="20"/>
                <w:szCs w:val="20"/>
              </w:rPr>
              <w:t>Компонентный</w:t>
            </w:r>
          </w:p>
        </w:tc>
        <w:tc>
          <w:tcPr>
            <w:tcW w:w="5391" w:type="dxa"/>
            <w:shd w:val="clear" w:color="auto" w:fill="FFFFFF" w:themeFill="background1"/>
          </w:tcPr>
          <w:p w14:paraId="36F1E60F" w14:textId="48E7440E"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Pr>
                <w:rFonts w:asciiTheme="majorBidi" w:hAnsiTheme="majorBidi"/>
                <w:sz w:val="20"/>
                <w:szCs w:val="20"/>
              </w:rPr>
              <w:t xml:space="preserve">Денежная стоимость неисключенных прямых выплат в сельском хозяйстве </w:t>
            </w:r>
          </w:p>
        </w:tc>
      </w:tr>
      <w:tr w:rsidR="00CE3728" w:rsidRPr="007A191A" w14:paraId="76448EFF" w14:textId="5AB0D866" w:rsidTr="00420950">
        <w:tc>
          <w:tcPr>
            <w:tcW w:w="2048" w:type="dxa"/>
            <w:shd w:val="clear" w:color="auto" w:fill="FFFFFF" w:themeFill="background1"/>
          </w:tcPr>
          <w:p w14:paraId="4245DC95" w14:textId="77777777" w:rsidR="00CE3728" w:rsidRPr="00F33E69" w:rsidRDefault="00CE3728" w:rsidP="00CE3728">
            <w:pPr>
              <w:spacing w:before="40" w:after="40"/>
              <w:ind w:right="-57"/>
              <w:jc w:val="center"/>
              <w:rPr>
                <w:rFonts w:asciiTheme="majorBidi" w:hAnsiTheme="majorBidi" w:cstheme="majorBidi"/>
                <w:sz w:val="20"/>
                <w:szCs w:val="20"/>
              </w:rPr>
            </w:pPr>
            <w:r>
              <w:rPr>
                <w:rFonts w:asciiTheme="majorBidi" w:hAnsiTheme="majorBidi"/>
                <w:sz w:val="20"/>
                <w:szCs w:val="20"/>
              </w:rPr>
              <w:t>18</w:t>
            </w:r>
          </w:p>
        </w:tc>
        <w:tc>
          <w:tcPr>
            <w:tcW w:w="1784" w:type="dxa"/>
            <w:shd w:val="clear" w:color="auto" w:fill="FFFFFF" w:themeFill="background1"/>
          </w:tcPr>
          <w:p w14:paraId="6E212575" w14:textId="2BB07F4D" w:rsidR="00CE3728" w:rsidRPr="00F33E69" w:rsidRDefault="00CE3728" w:rsidP="00F33E69">
            <w:pPr>
              <w:pStyle w:val="CBDNormalNumber"/>
              <w:numPr>
                <w:ilvl w:val="0"/>
                <w:numId w:val="0"/>
              </w:numPr>
              <w:spacing w:before="40" w:after="40"/>
              <w:jc w:val="left"/>
              <w:rPr>
                <w:rFonts w:asciiTheme="majorBidi" w:hAnsiTheme="majorBidi" w:cstheme="majorBidi"/>
                <w:sz w:val="20"/>
                <w:szCs w:val="20"/>
              </w:rPr>
            </w:pPr>
            <w:r>
              <w:rPr>
                <w:rFonts w:asciiTheme="majorBidi" w:hAnsiTheme="majorBidi"/>
                <w:sz w:val="20"/>
                <w:szCs w:val="20"/>
              </w:rPr>
              <w:t>Компонентный</w:t>
            </w:r>
          </w:p>
        </w:tc>
        <w:tc>
          <w:tcPr>
            <w:tcW w:w="5391" w:type="dxa"/>
            <w:shd w:val="clear" w:color="auto" w:fill="FFFFFF" w:themeFill="background1"/>
          </w:tcPr>
          <w:p w14:paraId="4D6AAF20" w14:textId="5EED3634"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Pr>
                <w:rFonts w:asciiTheme="majorBidi" w:hAnsiTheme="majorBidi"/>
                <w:sz w:val="20"/>
                <w:szCs w:val="20"/>
              </w:rPr>
              <w:t>Денежная стоимость прочей поддержки, ориентированной на конкретные продукты, в сельском хозяйстве</w:t>
            </w:r>
          </w:p>
        </w:tc>
      </w:tr>
      <w:tr w:rsidR="00CE3728" w:rsidRPr="007A191A" w14:paraId="30C146CE" w14:textId="0380C0D3" w:rsidTr="00420950">
        <w:tc>
          <w:tcPr>
            <w:tcW w:w="2048" w:type="dxa"/>
            <w:shd w:val="clear" w:color="auto" w:fill="FFFFFF" w:themeFill="background1"/>
          </w:tcPr>
          <w:p w14:paraId="3F2EB875" w14:textId="77777777" w:rsidR="00CE3728" w:rsidRPr="00F33E69" w:rsidRDefault="00CE3728" w:rsidP="00CE3728">
            <w:pPr>
              <w:spacing w:before="40" w:after="40"/>
              <w:ind w:right="-57"/>
              <w:jc w:val="center"/>
              <w:rPr>
                <w:rFonts w:asciiTheme="majorBidi" w:hAnsiTheme="majorBidi" w:cstheme="majorBidi"/>
                <w:sz w:val="20"/>
                <w:szCs w:val="20"/>
              </w:rPr>
            </w:pPr>
            <w:r>
              <w:rPr>
                <w:rFonts w:asciiTheme="majorBidi" w:hAnsiTheme="majorBidi"/>
                <w:sz w:val="20"/>
                <w:szCs w:val="20"/>
              </w:rPr>
              <w:t>18</w:t>
            </w:r>
          </w:p>
        </w:tc>
        <w:tc>
          <w:tcPr>
            <w:tcW w:w="1784" w:type="dxa"/>
            <w:shd w:val="clear" w:color="auto" w:fill="FFFFFF" w:themeFill="background1"/>
          </w:tcPr>
          <w:p w14:paraId="7E674906" w14:textId="6B02CE69" w:rsidR="00CE3728" w:rsidRPr="00F33E69" w:rsidRDefault="00CE3728" w:rsidP="00F33E69">
            <w:pPr>
              <w:pStyle w:val="CBDNormalNumber"/>
              <w:numPr>
                <w:ilvl w:val="0"/>
                <w:numId w:val="0"/>
              </w:numPr>
              <w:spacing w:before="40" w:after="40"/>
              <w:jc w:val="left"/>
              <w:rPr>
                <w:rFonts w:asciiTheme="majorBidi" w:hAnsiTheme="majorBidi" w:cstheme="majorBidi"/>
                <w:i/>
                <w:sz w:val="20"/>
                <w:szCs w:val="20"/>
                <w:vertAlign w:val="superscript"/>
              </w:rPr>
            </w:pPr>
            <w:r>
              <w:rPr>
                <w:rFonts w:asciiTheme="majorBidi" w:hAnsiTheme="majorBidi"/>
                <w:sz w:val="20"/>
                <w:szCs w:val="20"/>
              </w:rPr>
              <w:t>Компонентный</w:t>
            </w:r>
          </w:p>
        </w:tc>
        <w:tc>
          <w:tcPr>
            <w:tcW w:w="5391" w:type="dxa"/>
            <w:shd w:val="clear" w:color="auto" w:fill="FFFFFF" w:themeFill="background1"/>
          </w:tcPr>
          <w:p w14:paraId="7D720C48" w14:textId="0312C1CB"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Pr>
                <w:rFonts w:asciiTheme="majorBidi" w:hAnsiTheme="majorBidi"/>
                <w:sz w:val="20"/>
                <w:szCs w:val="20"/>
              </w:rPr>
              <w:t>Денежная стоимость эквивалентного показателя поддержки, ориентированной на конкретные продукты, в сельском хозяйстве</w:t>
            </w:r>
          </w:p>
        </w:tc>
      </w:tr>
      <w:tr w:rsidR="00CE3728" w:rsidRPr="007A191A" w14:paraId="24C64D90" w14:textId="6383EE6D" w:rsidTr="00420950">
        <w:tc>
          <w:tcPr>
            <w:tcW w:w="2048" w:type="dxa"/>
            <w:shd w:val="clear" w:color="auto" w:fill="FFFFFF" w:themeFill="background1"/>
          </w:tcPr>
          <w:p w14:paraId="01C610CD" w14:textId="77777777" w:rsidR="00CE3728" w:rsidRPr="00F33E69" w:rsidRDefault="00CE3728" w:rsidP="00CE3728">
            <w:pPr>
              <w:spacing w:before="40" w:after="40"/>
              <w:ind w:right="-57"/>
              <w:jc w:val="center"/>
              <w:rPr>
                <w:rFonts w:asciiTheme="majorBidi" w:hAnsiTheme="majorBidi" w:cstheme="majorBidi"/>
                <w:sz w:val="20"/>
                <w:szCs w:val="20"/>
              </w:rPr>
            </w:pPr>
            <w:r>
              <w:rPr>
                <w:rFonts w:asciiTheme="majorBidi" w:hAnsiTheme="majorBidi"/>
                <w:sz w:val="20"/>
                <w:szCs w:val="20"/>
              </w:rPr>
              <w:t>18</w:t>
            </w:r>
          </w:p>
        </w:tc>
        <w:tc>
          <w:tcPr>
            <w:tcW w:w="1784" w:type="dxa"/>
            <w:shd w:val="clear" w:color="auto" w:fill="FFFFFF" w:themeFill="background1"/>
          </w:tcPr>
          <w:p w14:paraId="267F3249" w14:textId="65B573ED" w:rsidR="00CE3728" w:rsidRPr="00F33E69" w:rsidRDefault="00CE3728" w:rsidP="00F33E69">
            <w:pPr>
              <w:pStyle w:val="CBDNormalNumber"/>
              <w:numPr>
                <w:ilvl w:val="0"/>
                <w:numId w:val="0"/>
              </w:numPr>
              <w:spacing w:before="40" w:after="40"/>
              <w:jc w:val="left"/>
              <w:rPr>
                <w:rFonts w:asciiTheme="majorBidi" w:hAnsiTheme="majorBidi" w:cstheme="majorBidi"/>
                <w:sz w:val="20"/>
                <w:szCs w:val="20"/>
              </w:rPr>
            </w:pPr>
            <w:r>
              <w:rPr>
                <w:rFonts w:asciiTheme="majorBidi" w:hAnsiTheme="majorBidi"/>
                <w:sz w:val="20"/>
                <w:szCs w:val="20"/>
              </w:rPr>
              <w:t>Компонентный</w:t>
            </w:r>
          </w:p>
        </w:tc>
        <w:tc>
          <w:tcPr>
            <w:tcW w:w="5391" w:type="dxa"/>
            <w:shd w:val="clear" w:color="auto" w:fill="FFFFFF" w:themeFill="background1"/>
          </w:tcPr>
          <w:p w14:paraId="575EC3DB" w14:textId="4DAEC526"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Pr>
                <w:rFonts w:asciiTheme="majorBidi" w:hAnsiTheme="majorBidi"/>
                <w:sz w:val="20"/>
                <w:szCs w:val="20"/>
              </w:rPr>
              <w:t xml:space="preserve">Денежная стоимость агрегированного показателя поддержки, не ориентированной на конкретные продукты, в сельском хозяйстве </w:t>
            </w:r>
          </w:p>
        </w:tc>
      </w:tr>
      <w:tr w:rsidR="00CE3728" w:rsidRPr="007A191A" w14:paraId="7015CB8A" w14:textId="529D291C" w:rsidTr="00420950">
        <w:tc>
          <w:tcPr>
            <w:tcW w:w="2048" w:type="dxa"/>
            <w:shd w:val="clear" w:color="auto" w:fill="FFFFFF" w:themeFill="background1"/>
          </w:tcPr>
          <w:p w14:paraId="0FCF9A71" w14:textId="015F226D" w:rsidR="00CE3728" w:rsidRPr="00F33E69" w:rsidRDefault="00CE3728" w:rsidP="00CE3728">
            <w:pPr>
              <w:spacing w:before="40" w:after="40"/>
              <w:ind w:right="-57"/>
              <w:jc w:val="center"/>
              <w:rPr>
                <w:rFonts w:asciiTheme="majorBidi" w:hAnsiTheme="majorBidi" w:cstheme="majorBidi"/>
                <w:sz w:val="20"/>
                <w:szCs w:val="20"/>
              </w:rPr>
            </w:pPr>
            <w:r>
              <w:rPr>
                <w:rFonts w:asciiTheme="majorBidi" w:hAnsiTheme="majorBidi"/>
                <w:sz w:val="20"/>
                <w:szCs w:val="20"/>
              </w:rPr>
              <w:t>19</w:t>
            </w:r>
          </w:p>
        </w:tc>
        <w:tc>
          <w:tcPr>
            <w:tcW w:w="1784" w:type="dxa"/>
            <w:shd w:val="clear" w:color="auto" w:fill="FFFFFF" w:themeFill="background1"/>
          </w:tcPr>
          <w:p w14:paraId="2A649786" w14:textId="70748947"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Pr>
                <w:rFonts w:asciiTheme="majorBidi" w:hAnsiTheme="majorBidi"/>
                <w:sz w:val="20"/>
                <w:szCs w:val="20"/>
              </w:rPr>
              <w:t>Дополнительный</w:t>
            </w:r>
          </w:p>
        </w:tc>
        <w:tc>
          <w:tcPr>
            <w:tcW w:w="5391" w:type="dxa"/>
            <w:shd w:val="clear" w:color="auto" w:fill="FFFFFF" w:themeFill="background1"/>
          </w:tcPr>
          <w:p w14:paraId="723EFEF2" w14:textId="0ABC9D6C" w:rsidR="00CE3728" w:rsidRPr="00F33E69" w:rsidRDefault="00CE3728" w:rsidP="00F33E69">
            <w:pPr>
              <w:pStyle w:val="CBDNormalNumber"/>
              <w:numPr>
                <w:ilvl w:val="0"/>
                <w:numId w:val="0"/>
              </w:numPr>
              <w:spacing w:before="40" w:after="40"/>
              <w:rPr>
                <w:rFonts w:asciiTheme="majorBidi" w:hAnsiTheme="majorBidi" w:cstheme="majorBidi"/>
                <w:sz w:val="20"/>
                <w:szCs w:val="20"/>
              </w:rPr>
            </w:pPr>
            <w:r>
              <w:rPr>
                <w:rFonts w:asciiTheme="majorBidi" w:hAnsiTheme="majorBidi"/>
                <w:sz w:val="20"/>
                <w:szCs w:val="20"/>
              </w:rPr>
              <w:t>Коэффициент инвестирования биоразнообразия</w:t>
            </w:r>
          </w:p>
        </w:tc>
      </w:tr>
    </w:tbl>
    <w:p w14:paraId="2CDF4D6F" w14:textId="77777777" w:rsidR="00A111D1" w:rsidRPr="003F1A75" w:rsidRDefault="00A111D1" w:rsidP="003D5A52">
      <w:pPr>
        <w:pStyle w:val="Para1"/>
        <w:numPr>
          <w:ilvl w:val="0"/>
          <w:numId w:val="0"/>
        </w:numPr>
        <w:ind w:left="567"/>
        <w:jc w:val="center"/>
      </w:pPr>
      <w:r>
        <w:t>__________</w:t>
      </w:r>
    </w:p>
    <w:sectPr w:rsidR="00A111D1" w:rsidRPr="003F1A75" w:rsidSect="00F33E69">
      <w:headerReference w:type="even" r:id="rId53"/>
      <w:headerReference w:type="default" r:id="rId54"/>
      <w:footerReference w:type="even" r:id="rId55"/>
      <w:footerReference w:type="default" r:id="rId5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FFB1A" w14:textId="77777777" w:rsidR="00666A47" w:rsidRPr="003F1A75" w:rsidRDefault="00666A47" w:rsidP="00CF1848">
      <w:r w:rsidRPr="003F1A75">
        <w:separator/>
      </w:r>
    </w:p>
  </w:endnote>
  <w:endnote w:type="continuationSeparator" w:id="0">
    <w:p w14:paraId="25549BAF" w14:textId="77777777" w:rsidR="00666A47" w:rsidRPr="003F1A75" w:rsidRDefault="00666A4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FC7E05F" w14:textId="77777777" w:rsidR="00D75CA6" w:rsidRPr="003F1A75" w:rsidRDefault="00D75CA6" w:rsidP="00D75CA6">
            <w:pPr>
              <w:pStyle w:val="Footer"/>
              <w:jc w:val="left"/>
            </w:pPr>
            <w:r w:rsidRPr="00F33E69">
              <w:rPr>
                <w:szCs w:val="20"/>
              </w:rPr>
              <w:fldChar w:fldCharType="begin"/>
            </w:r>
            <w:r w:rsidRPr="00F33E69">
              <w:rPr>
                <w:szCs w:val="20"/>
              </w:rPr>
              <w:instrText xml:space="preserve"> PAGE </w:instrText>
            </w:r>
            <w:r w:rsidRPr="00F33E69">
              <w:rPr>
                <w:szCs w:val="20"/>
              </w:rPr>
              <w:fldChar w:fldCharType="separate"/>
            </w:r>
            <w:r w:rsidRPr="00F33E69">
              <w:rPr>
                <w:szCs w:val="20"/>
              </w:rPr>
              <w:t>2</w:t>
            </w:r>
            <w:r w:rsidRPr="00F33E69">
              <w:rPr>
                <w:szCs w:val="20"/>
              </w:rPr>
              <w:fldChar w:fldCharType="end"/>
            </w:r>
            <w:r>
              <w:t>/</w:t>
            </w:r>
            <w:r w:rsidRPr="00F33E69">
              <w:rPr>
                <w:szCs w:val="20"/>
              </w:rPr>
              <w:fldChar w:fldCharType="begin"/>
            </w:r>
            <w:r w:rsidRPr="00F33E69">
              <w:rPr>
                <w:szCs w:val="20"/>
              </w:rPr>
              <w:instrText xml:space="preserve"> NUMPAGES  </w:instrText>
            </w:r>
            <w:r w:rsidRPr="00F33E69">
              <w:rPr>
                <w:szCs w:val="20"/>
              </w:rPr>
              <w:fldChar w:fldCharType="separate"/>
            </w:r>
            <w:r w:rsidRPr="00F33E69">
              <w:rPr>
                <w:szCs w:val="20"/>
              </w:rPr>
              <w:t>2</w:t>
            </w:r>
            <w:r w:rsidRPr="00F33E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ECEBD7E" w14:textId="77777777" w:rsidR="00D75CA6" w:rsidRPr="008416ED" w:rsidRDefault="00D75CA6" w:rsidP="00F33E69">
        <w:pPr>
          <w:pStyle w:val="Footer"/>
          <w:jc w:val="right"/>
        </w:pPr>
        <w:r w:rsidRPr="00F33E69">
          <w:rPr>
            <w:szCs w:val="20"/>
          </w:rPr>
          <w:fldChar w:fldCharType="begin"/>
        </w:r>
        <w:r w:rsidRPr="00F33E69">
          <w:rPr>
            <w:szCs w:val="20"/>
          </w:rPr>
          <w:instrText xml:space="preserve"> PAGE </w:instrText>
        </w:r>
        <w:r w:rsidRPr="00F33E69">
          <w:rPr>
            <w:szCs w:val="20"/>
          </w:rPr>
          <w:fldChar w:fldCharType="separate"/>
        </w:r>
        <w:r w:rsidRPr="00F33E69">
          <w:rPr>
            <w:szCs w:val="20"/>
          </w:rPr>
          <w:t>2</w:t>
        </w:r>
        <w:r w:rsidRPr="00F33E69">
          <w:rPr>
            <w:szCs w:val="20"/>
          </w:rPr>
          <w:fldChar w:fldCharType="end"/>
        </w:r>
        <w:r>
          <w:t>/</w:t>
        </w:r>
        <w:r w:rsidRPr="00F33E69">
          <w:rPr>
            <w:szCs w:val="20"/>
          </w:rPr>
          <w:fldChar w:fldCharType="begin"/>
        </w:r>
        <w:r w:rsidRPr="00F33E69">
          <w:rPr>
            <w:szCs w:val="20"/>
          </w:rPr>
          <w:instrText xml:space="preserve"> NUMPAGES  </w:instrText>
        </w:r>
        <w:r w:rsidRPr="00F33E69">
          <w:rPr>
            <w:szCs w:val="20"/>
          </w:rPr>
          <w:fldChar w:fldCharType="separate"/>
        </w:r>
        <w:r w:rsidRPr="00F33E69">
          <w:rPr>
            <w:szCs w:val="20"/>
          </w:rPr>
          <w:t>3</w:t>
        </w:r>
        <w:r w:rsidRPr="00F33E69">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D9CC4" w14:textId="77777777" w:rsidR="00666A47" w:rsidRPr="003F1A75" w:rsidRDefault="00666A47" w:rsidP="00CF1848">
      <w:r w:rsidRPr="003F1A75">
        <w:separator/>
      </w:r>
    </w:p>
  </w:footnote>
  <w:footnote w:type="continuationSeparator" w:id="0">
    <w:p w14:paraId="309F4C88" w14:textId="77777777" w:rsidR="00666A47" w:rsidRPr="003F1A75" w:rsidRDefault="00666A47" w:rsidP="00CF1848">
      <w:r w:rsidRPr="003F1A75">
        <w:continuationSeparator/>
      </w:r>
    </w:p>
  </w:footnote>
  <w:footnote w:id="1">
    <w:p w14:paraId="3E7AE39C" w14:textId="34871D4A" w:rsidR="008A1499" w:rsidRPr="00420950" w:rsidRDefault="008A1499">
      <w:pPr>
        <w:pStyle w:val="FootnoteText"/>
        <w:rPr>
          <w:lang w:val="en-CA"/>
        </w:rPr>
      </w:pPr>
      <w:r w:rsidRPr="00420950">
        <w:rPr>
          <w:rStyle w:val="FootnoteReference"/>
          <w:lang w:val="en-CA"/>
        </w:rPr>
        <w:t>*</w:t>
      </w:r>
      <w:r w:rsidRPr="00420950">
        <w:rPr>
          <w:lang w:val="en-CA"/>
        </w:rPr>
        <w:t xml:space="preserve"> </w:t>
      </w:r>
      <w:hyperlink r:id="rId1" w:history="1">
        <w:r w:rsidRPr="00420950">
          <w:rPr>
            <w:rStyle w:val="Hyperlink"/>
            <w:lang w:val="en-CA"/>
          </w:rPr>
          <w:t>CBD/SBS</w:t>
        </w:r>
        <w:r w:rsidRPr="00420950">
          <w:rPr>
            <w:rStyle w:val="Hyperlink"/>
            <w:lang w:val="en-CA"/>
          </w:rPr>
          <w:t>T</w:t>
        </w:r>
        <w:r w:rsidRPr="00420950">
          <w:rPr>
            <w:rStyle w:val="Hyperlink"/>
            <w:lang w:val="en-CA"/>
          </w:rPr>
          <w:t>TA/</w:t>
        </w:r>
        <w:r w:rsidRPr="00420950">
          <w:rPr>
            <w:rStyle w:val="Hyperlink"/>
            <w:lang w:val="en-CA"/>
          </w:rPr>
          <w:t>2</w:t>
        </w:r>
        <w:r w:rsidRPr="00420950">
          <w:rPr>
            <w:rStyle w:val="Hyperlink"/>
            <w:lang w:val="en-CA"/>
          </w:rPr>
          <w:t>8/1</w:t>
        </w:r>
      </w:hyperlink>
      <w:r w:rsidRPr="00420950">
        <w:rPr>
          <w:lang w:val="en-CA"/>
        </w:rPr>
        <w:t>.</w:t>
      </w:r>
    </w:p>
  </w:footnote>
  <w:footnote w:id="2">
    <w:p w14:paraId="76289173" w14:textId="687600DB" w:rsidR="003B7C3D" w:rsidRPr="00420950" w:rsidRDefault="003B7C3D" w:rsidP="003B7C3D">
      <w:pPr>
        <w:pStyle w:val="FootnoteText"/>
        <w:rPr>
          <w:lang w:val="en-CA"/>
        </w:rPr>
      </w:pPr>
      <w:r>
        <w:rPr>
          <w:rStyle w:val="FootnoteReference"/>
        </w:rPr>
        <w:footnoteRef/>
      </w:r>
      <w:r w:rsidRPr="00420950">
        <w:rPr>
          <w:lang w:val="en-CA"/>
        </w:rPr>
        <w:t xml:space="preserve"> </w:t>
      </w:r>
      <w:hyperlink r:id="rId2" w:history="1">
        <w:r w:rsidRPr="00420950">
          <w:rPr>
            <w:rStyle w:val="Hyperlink"/>
            <w:lang w:val="en-CA"/>
          </w:rPr>
          <w:t>CBD/COP/16/INF</w:t>
        </w:r>
        <w:r w:rsidRPr="00420950">
          <w:rPr>
            <w:rStyle w:val="Hyperlink"/>
            <w:lang w:val="en-CA"/>
          </w:rPr>
          <w:t>/</w:t>
        </w:r>
        <w:r w:rsidRPr="00420950">
          <w:rPr>
            <w:rStyle w:val="Hyperlink"/>
            <w:lang w:val="en-CA"/>
          </w:rPr>
          <w:t>3/Rev.1</w:t>
        </w:r>
      </w:hyperlink>
      <w:r w:rsidRPr="00420950">
        <w:rPr>
          <w:lang w:val="en-CA"/>
        </w:rPr>
        <w:t xml:space="preserve"> </w:t>
      </w:r>
      <w:r>
        <w:t>и</w:t>
      </w:r>
      <w:r w:rsidRPr="00420950">
        <w:rPr>
          <w:lang w:val="en-CA"/>
        </w:rPr>
        <w:t xml:space="preserve"> </w:t>
      </w:r>
      <w:hyperlink r:id="rId3" w:history="1">
        <w:r w:rsidRPr="00420950">
          <w:rPr>
            <w:rStyle w:val="Hyperlink"/>
            <w:lang w:val="en-CA"/>
          </w:rPr>
          <w:t>CBD/COP/16/INF/4</w:t>
        </w:r>
      </w:hyperlink>
      <w:r w:rsidRPr="00420950">
        <w:rPr>
          <w:lang w:val="en-CA"/>
        </w:rPr>
        <w:t>.</w:t>
      </w:r>
    </w:p>
  </w:footnote>
  <w:footnote w:id="3">
    <w:p w14:paraId="076EF3C3" w14:textId="76B4CA2B" w:rsidR="00923520" w:rsidRPr="00923520" w:rsidRDefault="00923520">
      <w:pPr>
        <w:pStyle w:val="FootnoteText"/>
      </w:pPr>
      <w:r>
        <w:rPr>
          <w:rStyle w:val="FootnoteReference"/>
        </w:rPr>
        <w:footnoteRef/>
      </w:r>
      <w:r>
        <w:t xml:space="preserve"> Эти критерии приведены в пункте 2 приложения к решению </w:t>
      </w:r>
      <w:hyperlink r:id="rId4" w:history="1">
        <w:r>
          <w:rPr>
            <w:rStyle w:val="Hyperlink"/>
          </w:rPr>
          <w:t>15</w:t>
        </w:r>
        <w:r>
          <w:rPr>
            <w:rStyle w:val="Hyperlink"/>
          </w:rPr>
          <w:t>/</w:t>
        </w:r>
        <w:r>
          <w:rPr>
            <w:rStyle w:val="Hyperlink"/>
          </w:rPr>
          <w:t>5</w:t>
        </w:r>
      </w:hyperlink>
      <w:r>
        <w:t>.</w:t>
      </w:r>
    </w:p>
  </w:footnote>
  <w:footnote w:id="4">
    <w:p w14:paraId="5B6D2F29" w14:textId="661D264B" w:rsidR="00845F53" w:rsidRDefault="00845F53">
      <w:pPr>
        <w:pStyle w:val="FootnoteText"/>
      </w:pPr>
      <w:r>
        <w:rPr>
          <w:rStyle w:val="FootnoteReference"/>
        </w:rPr>
        <w:footnoteRef/>
      </w:r>
      <w:r>
        <w:t xml:space="preserve"> </w:t>
      </w:r>
      <w:r w:rsidRPr="00845F53">
        <w:t xml:space="preserve">Представленные материалы доступны по ссылкам </w:t>
      </w:r>
      <w:hyperlink r:id="rId5" w:history="1">
        <w:r w:rsidRPr="00783276">
          <w:rPr>
            <w:rStyle w:val="Hyperlink"/>
            <w:lang w:val="en-CA"/>
          </w:rPr>
          <w:t>www</w:t>
        </w:r>
        <w:r w:rsidRPr="00845F53">
          <w:rPr>
            <w:rStyle w:val="Hyperlink"/>
          </w:rPr>
          <w:t>.</w:t>
        </w:r>
        <w:r w:rsidRPr="00783276">
          <w:rPr>
            <w:rStyle w:val="Hyperlink"/>
            <w:lang w:val="en-CA"/>
          </w:rPr>
          <w:t>cbd</w:t>
        </w:r>
        <w:r w:rsidRPr="00845F53">
          <w:rPr>
            <w:rStyle w:val="Hyperlink"/>
          </w:rPr>
          <w:t>.</w:t>
        </w:r>
        <w:r w:rsidRPr="00783276">
          <w:rPr>
            <w:rStyle w:val="Hyperlink"/>
            <w:lang w:val="en-CA"/>
          </w:rPr>
          <w:t>int</w:t>
        </w:r>
        <w:r w:rsidRPr="00845F53">
          <w:rPr>
            <w:rStyle w:val="Hyperlink"/>
          </w:rPr>
          <w:t>/</w:t>
        </w:r>
        <w:r w:rsidRPr="00783276">
          <w:rPr>
            <w:rStyle w:val="Hyperlink"/>
            <w:lang w:val="en-CA"/>
          </w:rPr>
          <w:t>notifications</w:t>
        </w:r>
        <w:r w:rsidRPr="00845F53">
          <w:rPr>
            <w:rStyle w:val="Hyperlink"/>
          </w:rPr>
          <w:t>/2025-044</w:t>
        </w:r>
      </w:hyperlink>
      <w:r w:rsidRPr="00783276">
        <w:t xml:space="preserve">, </w:t>
      </w:r>
      <w:hyperlink r:id="rId6" w:history="1">
        <w:r w:rsidRPr="00783276">
          <w:rPr>
            <w:rStyle w:val="Hyperlink"/>
          </w:rPr>
          <w:t>www.cbd.int/notifications/2025-045</w:t>
        </w:r>
      </w:hyperlink>
      <w:r w:rsidRPr="00783276">
        <w:t xml:space="preserve"> </w:t>
      </w:r>
      <w:r>
        <w:t>и</w:t>
      </w:r>
      <w:r w:rsidRPr="00783276">
        <w:t xml:space="preserve"> </w:t>
      </w:r>
      <w:hyperlink r:id="rId7" w:history="1">
        <w:r w:rsidRPr="00783276">
          <w:rPr>
            <w:rStyle w:val="Hyperlink"/>
          </w:rPr>
          <w:t>www.cbd.int/notifications/2025-077</w:t>
        </w:r>
      </w:hyperlink>
      <w:r w:rsidRPr="00845F53">
        <w:t>.</w:t>
      </w:r>
    </w:p>
  </w:footnote>
  <w:footnote w:id="5">
    <w:p w14:paraId="733D0EF6" w14:textId="420610A7" w:rsidR="00744996" w:rsidRPr="003A2EE4" w:rsidRDefault="00744996" w:rsidP="00744996">
      <w:pPr>
        <w:pStyle w:val="FootnoteText"/>
      </w:pPr>
      <w:r>
        <w:rPr>
          <w:rStyle w:val="FootnoteReference"/>
        </w:rPr>
        <w:footnoteRef/>
      </w:r>
      <w:r>
        <w:t xml:space="preserve"> Краткое изложение изменений, внесенных в механизм мониторинга в период между принятием решений </w:t>
      </w:r>
      <w:hyperlink r:id="rId8" w:history="1">
        <w:r>
          <w:rPr>
            <w:rStyle w:val="Hyperlink"/>
          </w:rPr>
          <w:t>1</w:t>
        </w:r>
        <w:r>
          <w:rPr>
            <w:rStyle w:val="Hyperlink"/>
          </w:rPr>
          <w:t>5</w:t>
        </w:r>
        <w:r>
          <w:rPr>
            <w:rStyle w:val="Hyperlink"/>
          </w:rPr>
          <w:t>/5</w:t>
        </w:r>
      </w:hyperlink>
      <w:r>
        <w:t xml:space="preserve"> и </w:t>
      </w:r>
      <w:hyperlink r:id="rId9" w:history="1">
        <w:r>
          <w:rPr>
            <w:rStyle w:val="Hyperlink"/>
          </w:rPr>
          <w:t>16</w:t>
        </w:r>
        <w:r>
          <w:rPr>
            <w:rStyle w:val="Hyperlink"/>
          </w:rPr>
          <w:t>/</w:t>
        </w:r>
        <w:r>
          <w:rPr>
            <w:rStyle w:val="Hyperlink"/>
          </w:rPr>
          <w:t>31</w:t>
        </w:r>
      </w:hyperlink>
      <w:r>
        <w:t xml:space="preserve">, включая обоснование этих изменений, приводится в документе </w:t>
      </w:r>
      <w:hyperlink r:id="rId10" w:history="1">
        <w:r>
          <w:rPr>
            <w:rStyle w:val="Hyperlink"/>
          </w:rPr>
          <w:t>CBD/COP/16/INF/5</w:t>
        </w:r>
      </w:hyperlink>
      <w:r>
        <w:t>.</w:t>
      </w:r>
    </w:p>
  </w:footnote>
  <w:footnote w:id="6">
    <w:p w14:paraId="5C07188E" w14:textId="55669436" w:rsidR="00F7177A" w:rsidRPr="00F7177A" w:rsidRDefault="00F7177A">
      <w:pPr>
        <w:pStyle w:val="FootnoteText"/>
      </w:pPr>
      <w:r>
        <w:rPr>
          <w:rStyle w:val="FootnoteReference"/>
        </w:rPr>
        <w:footnoteRef/>
      </w:r>
      <w:r>
        <w:t xml:space="preserve"> Два из этих индикаторов — оценочная таблица генетического</w:t>
      </w:r>
      <w:r w:rsidR="00420950">
        <w:t xml:space="preserve"> </w:t>
      </w:r>
      <w:r>
        <w:t>разнообразия диких видов и глобальное экологическое воздействие потребления — также были предложены одной из Сторон и рассмотрены в контексте, описанном в пункте 4 настоящего документа</w:t>
      </w:r>
      <w:r>
        <w:rPr>
          <w:rFonts w:asciiTheme="majorBidi" w:hAnsiTheme="majorBidi"/>
        </w:rPr>
        <w:t xml:space="preserve">. </w:t>
      </w:r>
    </w:p>
  </w:footnote>
  <w:footnote w:id="7">
    <w:p w14:paraId="022F5F4B" w14:textId="0A4FCAB8" w:rsidR="00776334" w:rsidRPr="00776334" w:rsidRDefault="00776334">
      <w:pPr>
        <w:pStyle w:val="FootnoteText"/>
      </w:pPr>
      <w:r>
        <w:rPr>
          <w:rStyle w:val="FootnoteReference"/>
        </w:rPr>
        <w:footnoteRef/>
      </w:r>
      <w:r>
        <w:t xml:space="preserve"> Представленные материалы доступны по ссылке </w:t>
      </w:r>
      <w:hyperlink r:id="rId11" w:history="1">
        <w:r>
          <w:rPr>
            <w:rStyle w:val="Hyperlink"/>
          </w:rPr>
          <w:t>www.cbd.int/notifications/2025-046</w:t>
        </w:r>
      </w:hyperlink>
      <w:r>
        <w:t xml:space="preserve">. </w:t>
      </w:r>
    </w:p>
  </w:footnote>
  <w:footnote w:id="8">
    <w:p w14:paraId="03CE0B80" w14:textId="277C1F45" w:rsidR="00686133" w:rsidRPr="00686133" w:rsidRDefault="00686133" w:rsidP="00015065">
      <w:pPr>
        <w:pStyle w:val="FootnoteText"/>
      </w:pPr>
      <w:r>
        <w:rPr>
          <w:rStyle w:val="FootnoteReference"/>
        </w:rPr>
        <w:footnoteRef/>
      </w:r>
      <w:r>
        <w:t xml:space="preserve"> Более подробную информацию о диалогах, включая резюме основных выводов, см. в документе </w:t>
      </w:r>
      <w:hyperlink r:id="rId12" w:history="1">
        <w:r>
          <w:rPr>
            <w:rStyle w:val="Hyperlink"/>
          </w:rPr>
          <w:t>CBD/SBI/6/INF/6</w:t>
        </w:r>
      </w:hyperlink>
      <w:r>
        <w:t>.</w:t>
      </w:r>
    </w:p>
  </w:footnote>
  <w:footnote w:id="9">
    <w:p w14:paraId="2658C117" w14:textId="7609132C" w:rsidR="008021CA" w:rsidRDefault="008021CA">
      <w:pPr>
        <w:pStyle w:val="FootnoteText"/>
      </w:pPr>
      <w:r>
        <w:rPr>
          <w:rStyle w:val="FootnoteReference"/>
        </w:rPr>
        <w:footnoteRef/>
      </w:r>
      <w:r>
        <w:t xml:space="preserve"> В число организаций, с которыми секретариат осуществлял сотрудничество, входили КПР, ФАО, Программа в поддержку лесных народов, Глобальный экологический фонд, Группа по наблюдению за Землей, Сеть наблюдения за биоразнообразием, учрежденная в рамках Группы по наблюдению за Землей, Международный форум коренных народов по биоразнообразию, Международный союз охраны природы, Организация экономического сотрудничества и развития, Программа развития Организации Объединенных Наций, Программа Организации Объединенных Наций по окружающей среде и Статистический отдел Организации Объединенных Наций. Секретариат также совместно со многими из этих партнеров организовывал параллельные мероприятия в рамках соответствующих совещаний.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23F7F" w14:textId="543E59AA" w:rsidR="00534681" w:rsidRPr="003F1A75" w:rsidRDefault="00000000" w:rsidP="007C4951">
    <w:pPr>
      <w:pStyle w:val="Header"/>
      <w:spacing w:after="240"/>
      <w:rPr>
        <w:szCs w:val="20"/>
      </w:rPr>
    </w:pPr>
    <w:sdt>
      <w:sdtPr>
        <w:rPr>
          <w:szCs w:val="20"/>
        </w:rPr>
        <w:alias w:val="Тема"/>
        <w:tag w:val=""/>
        <w:id w:val="-1885015078"/>
        <w:dataBinding w:prefixMappings="xmlns:ns0='http://purl.org/dc/elements/1.1/' xmlns:ns1='http://schemas.openxmlformats.org/package/2006/metadata/core-properties' " w:xpath="/ns1:coreProperties[1]/ns0:subject[1]" w:storeItemID="{6C3C8BC8-F283-45AE-878A-BAB7291924A1}"/>
        <w:text/>
      </w:sdtPr>
      <w:sdtContent>
        <w:r w:rsidR="00A449BC" w:rsidRPr="003F1A75">
          <w:rPr>
            <w:szCs w:val="20"/>
          </w:rPr>
          <w:t>CBD/</w:t>
        </w:r>
        <w:r w:rsidR="00A449BC">
          <w:rPr>
            <w:szCs w:val="20"/>
          </w:rPr>
          <w:t>SBSTTA/28/</w:t>
        </w:r>
        <w:r w:rsidR="00A449BC" w:rsidRPr="00B30D28">
          <w:rPr>
            <w:szCs w:val="20"/>
          </w:rPr>
          <w:t>2/Add.2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0BDBA" w14:textId="7702A0A7" w:rsidR="009505C9" w:rsidRPr="003F1A75" w:rsidRDefault="00000000" w:rsidP="007C4951">
    <w:pPr>
      <w:pStyle w:val="Header"/>
      <w:spacing w:after="240"/>
      <w:jc w:val="right"/>
    </w:pPr>
    <w:sdt>
      <w:sdtPr>
        <w:alias w:val="Тема"/>
        <w:tag w:val=""/>
        <w:id w:val="851227268"/>
        <w:dataBinding w:prefixMappings="xmlns:ns0='http://purl.org/dc/elements/1.1/' xmlns:ns1='http://schemas.openxmlformats.org/package/2006/metadata/core-properties' " w:xpath="/ns1:coreProperties[1]/ns0:subject[1]" w:storeItemID="{6C3C8BC8-F283-45AE-878A-BAB7291924A1}"/>
        <w:text/>
      </w:sdtPr>
      <w:sdtContent>
        <w:r w:rsidR="00A449BC">
          <w:t>CBD/SBSTTA/28/2/Add.2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4DE27C"/>
    <w:multiLevelType w:val="hybridMultilevel"/>
    <w:tmpl w:val="FFFFFFFF"/>
    <w:lvl w:ilvl="0" w:tplc="3C40F5F0">
      <w:start w:val="1"/>
      <w:numFmt w:val="bullet"/>
      <w:lvlText w:val="-"/>
      <w:lvlJc w:val="left"/>
      <w:pPr>
        <w:ind w:left="1494" w:hanging="360"/>
      </w:pPr>
      <w:rPr>
        <w:rFonts w:ascii="Aptos" w:hAnsi="Aptos" w:hint="default"/>
      </w:rPr>
    </w:lvl>
    <w:lvl w:ilvl="1" w:tplc="9B603F4E">
      <w:start w:val="1"/>
      <w:numFmt w:val="bullet"/>
      <w:lvlText w:val="o"/>
      <w:lvlJc w:val="left"/>
      <w:pPr>
        <w:ind w:left="2214" w:hanging="360"/>
      </w:pPr>
      <w:rPr>
        <w:rFonts w:ascii="Courier New" w:hAnsi="Courier New" w:hint="default"/>
      </w:rPr>
    </w:lvl>
    <w:lvl w:ilvl="2" w:tplc="126039B8">
      <w:start w:val="1"/>
      <w:numFmt w:val="bullet"/>
      <w:lvlText w:val=""/>
      <w:lvlJc w:val="left"/>
      <w:pPr>
        <w:ind w:left="2934" w:hanging="360"/>
      </w:pPr>
      <w:rPr>
        <w:rFonts w:ascii="Wingdings" w:hAnsi="Wingdings" w:hint="default"/>
      </w:rPr>
    </w:lvl>
    <w:lvl w:ilvl="3" w:tplc="9790EB8A">
      <w:start w:val="1"/>
      <w:numFmt w:val="bullet"/>
      <w:lvlText w:val=""/>
      <w:lvlJc w:val="left"/>
      <w:pPr>
        <w:ind w:left="3654" w:hanging="360"/>
      </w:pPr>
      <w:rPr>
        <w:rFonts w:ascii="Symbol" w:hAnsi="Symbol" w:hint="default"/>
      </w:rPr>
    </w:lvl>
    <w:lvl w:ilvl="4" w:tplc="AC769790">
      <w:start w:val="1"/>
      <w:numFmt w:val="bullet"/>
      <w:lvlText w:val="o"/>
      <w:lvlJc w:val="left"/>
      <w:pPr>
        <w:ind w:left="4374" w:hanging="360"/>
      </w:pPr>
      <w:rPr>
        <w:rFonts w:ascii="Courier New" w:hAnsi="Courier New" w:hint="default"/>
      </w:rPr>
    </w:lvl>
    <w:lvl w:ilvl="5" w:tplc="1E9453FC">
      <w:start w:val="1"/>
      <w:numFmt w:val="bullet"/>
      <w:lvlText w:val=""/>
      <w:lvlJc w:val="left"/>
      <w:pPr>
        <w:ind w:left="5094" w:hanging="360"/>
      </w:pPr>
      <w:rPr>
        <w:rFonts w:ascii="Wingdings" w:hAnsi="Wingdings" w:hint="default"/>
      </w:rPr>
    </w:lvl>
    <w:lvl w:ilvl="6" w:tplc="711CB976">
      <w:start w:val="1"/>
      <w:numFmt w:val="bullet"/>
      <w:lvlText w:val=""/>
      <w:lvlJc w:val="left"/>
      <w:pPr>
        <w:ind w:left="5814" w:hanging="360"/>
      </w:pPr>
      <w:rPr>
        <w:rFonts w:ascii="Symbol" w:hAnsi="Symbol" w:hint="default"/>
      </w:rPr>
    </w:lvl>
    <w:lvl w:ilvl="7" w:tplc="612C3348">
      <w:start w:val="1"/>
      <w:numFmt w:val="bullet"/>
      <w:lvlText w:val="o"/>
      <w:lvlJc w:val="left"/>
      <w:pPr>
        <w:ind w:left="6534" w:hanging="360"/>
      </w:pPr>
      <w:rPr>
        <w:rFonts w:ascii="Courier New" w:hAnsi="Courier New" w:hint="default"/>
      </w:rPr>
    </w:lvl>
    <w:lvl w:ilvl="8" w:tplc="B63A5684">
      <w:start w:val="1"/>
      <w:numFmt w:val="bullet"/>
      <w:lvlText w:val=""/>
      <w:lvlJc w:val="left"/>
      <w:pPr>
        <w:ind w:left="7254"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BD98BDC"/>
    <w:multiLevelType w:val="hybridMultilevel"/>
    <w:tmpl w:val="FFFFFFFF"/>
    <w:lvl w:ilvl="0" w:tplc="A0AA2D90">
      <w:start w:val="1"/>
      <w:numFmt w:val="bullet"/>
      <w:lvlText w:val="-"/>
      <w:lvlJc w:val="left"/>
      <w:pPr>
        <w:ind w:left="1494" w:hanging="360"/>
      </w:pPr>
      <w:rPr>
        <w:rFonts w:ascii="Aptos" w:hAnsi="Aptos" w:hint="default"/>
      </w:rPr>
    </w:lvl>
    <w:lvl w:ilvl="1" w:tplc="6D1C6A28">
      <w:start w:val="1"/>
      <w:numFmt w:val="bullet"/>
      <w:lvlText w:val="o"/>
      <w:lvlJc w:val="left"/>
      <w:pPr>
        <w:ind w:left="2214" w:hanging="360"/>
      </w:pPr>
      <w:rPr>
        <w:rFonts w:ascii="Courier New" w:hAnsi="Courier New" w:hint="default"/>
      </w:rPr>
    </w:lvl>
    <w:lvl w:ilvl="2" w:tplc="E1F27C2A">
      <w:start w:val="1"/>
      <w:numFmt w:val="bullet"/>
      <w:lvlText w:val=""/>
      <w:lvlJc w:val="left"/>
      <w:pPr>
        <w:ind w:left="2934" w:hanging="360"/>
      </w:pPr>
      <w:rPr>
        <w:rFonts w:ascii="Wingdings" w:hAnsi="Wingdings" w:hint="default"/>
      </w:rPr>
    </w:lvl>
    <w:lvl w:ilvl="3" w:tplc="B4CEE77E">
      <w:start w:val="1"/>
      <w:numFmt w:val="bullet"/>
      <w:lvlText w:val=""/>
      <w:lvlJc w:val="left"/>
      <w:pPr>
        <w:ind w:left="3654" w:hanging="360"/>
      </w:pPr>
      <w:rPr>
        <w:rFonts w:ascii="Symbol" w:hAnsi="Symbol" w:hint="default"/>
      </w:rPr>
    </w:lvl>
    <w:lvl w:ilvl="4" w:tplc="7BBC5AFE">
      <w:start w:val="1"/>
      <w:numFmt w:val="bullet"/>
      <w:lvlText w:val="o"/>
      <w:lvlJc w:val="left"/>
      <w:pPr>
        <w:ind w:left="4374" w:hanging="360"/>
      </w:pPr>
      <w:rPr>
        <w:rFonts w:ascii="Courier New" w:hAnsi="Courier New" w:hint="default"/>
      </w:rPr>
    </w:lvl>
    <w:lvl w:ilvl="5" w:tplc="23561EA2">
      <w:start w:val="1"/>
      <w:numFmt w:val="bullet"/>
      <w:lvlText w:val=""/>
      <w:lvlJc w:val="left"/>
      <w:pPr>
        <w:ind w:left="5094" w:hanging="360"/>
      </w:pPr>
      <w:rPr>
        <w:rFonts w:ascii="Wingdings" w:hAnsi="Wingdings" w:hint="default"/>
      </w:rPr>
    </w:lvl>
    <w:lvl w:ilvl="6" w:tplc="87A89B3E">
      <w:start w:val="1"/>
      <w:numFmt w:val="bullet"/>
      <w:lvlText w:val=""/>
      <w:lvlJc w:val="left"/>
      <w:pPr>
        <w:ind w:left="5814" w:hanging="360"/>
      </w:pPr>
      <w:rPr>
        <w:rFonts w:ascii="Symbol" w:hAnsi="Symbol" w:hint="default"/>
      </w:rPr>
    </w:lvl>
    <w:lvl w:ilvl="7" w:tplc="42786F62">
      <w:start w:val="1"/>
      <w:numFmt w:val="bullet"/>
      <w:lvlText w:val="o"/>
      <w:lvlJc w:val="left"/>
      <w:pPr>
        <w:ind w:left="6534" w:hanging="360"/>
      </w:pPr>
      <w:rPr>
        <w:rFonts w:ascii="Courier New" w:hAnsi="Courier New" w:hint="default"/>
      </w:rPr>
    </w:lvl>
    <w:lvl w:ilvl="8" w:tplc="9F0AB520">
      <w:start w:val="1"/>
      <w:numFmt w:val="bullet"/>
      <w:lvlText w:val=""/>
      <w:lvlJc w:val="left"/>
      <w:pPr>
        <w:ind w:left="725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05742668">
    <w:abstractNumId w:val="0"/>
  </w:num>
  <w:num w:numId="2" w16cid:durableId="2032294672">
    <w:abstractNumId w:val="5"/>
  </w:num>
  <w:num w:numId="3" w16cid:durableId="830828777">
    <w:abstractNumId w:val="3"/>
  </w:num>
  <w:num w:numId="4" w16cid:durableId="1858829">
    <w:abstractNumId w:val="1"/>
  </w:num>
  <w:num w:numId="5" w16cid:durableId="1333221471">
    <w:abstractNumId w:val="7"/>
  </w:num>
  <w:num w:numId="6" w16cid:durableId="1072390599">
    <w:abstractNumId w:val="8"/>
  </w:num>
  <w:num w:numId="7" w16cid:durableId="960385107">
    <w:abstractNumId w:val="2"/>
  </w:num>
  <w:num w:numId="8" w16cid:durableId="893932166">
    <w:abstractNumId w:val="6"/>
  </w:num>
  <w:num w:numId="9" w16cid:durableId="323945383">
    <w:abstractNumId w:val="4"/>
  </w:num>
  <w:num w:numId="10" w16cid:durableId="16808533">
    <w:abstractNumId w:val="4"/>
  </w:num>
  <w:num w:numId="11" w16cid:durableId="1660304522">
    <w:abstractNumId w:val="4"/>
  </w:num>
  <w:num w:numId="12" w16cid:durableId="2423007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61119">
    <w:abstractNumId w:val="4"/>
  </w:num>
  <w:num w:numId="14" w16cid:durableId="2131969170">
    <w:abstractNumId w:val="4"/>
  </w:num>
  <w:num w:numId="15" w16cid:durableId="1219512295">
    <w:abstractNumId w:val="4"/>
  </w:num>
  <w:num w:numId="16" w16cid:durableId="1895891772">
    <w:abstractNumId w:val="4"/>
  </w:num>
  <w:num w:numId="17" w16cid:durableId="1288389846">
    <w:abstractNumId w:val="4"/>
  </w:num>
  <w:num w:numId="18" w16cid:durableId="237521856">
    <w:abstractNumId w:val="4"/>
  </w:num>
  <w:num w:numId="19" w16cid:durableId="1039740148">
    <w:abstractNumId w:val="4"/>
  </w:num>
  <w:num w:numId="20" w16cid:durableId="126395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92513189">
    <w:abstractNumId w:val="4"/>
  </w:num>
  <w:num w:numId="22" w16cid:durableId="1804233463">
    <w:abstractNumId w:val="4"/>
  </w:num>
  <w:num w:numId="23" w16cid:durableId="1095975051">
    <w:abstractNumId w:val="4"/>
  </w:num>
  <w:num w:numId="24" w16cid:durableId="853494640">
    <w:abstractNumId w:val="4"/>
  </w:num>
  <w:num w:numId="25" w16cid:durableId="180169765">
    <w:abstractNumId w:val="4"/>
  </w:num>
  <w:num w:numId="26" w16cid:durableId="508447083">
    <w:abstractNumId w:val="4"/>
  </w:num>
  <w:num w:numId="27" w16cid:durableId="1233807731">
    <w:abstractNumId w:val="4"/>
  </w:num>
  <w:num w:numId="28" w16cid:durableId="1866093205">
    <w:abstractNumId w:val="4"/>
  </w:num>
  <w:num w:numId="29" w16cid:durableId="939531191">
    <w:abstractNumId w:val="4"/>
  </w:num>
  <w:num w:numId="30" w16cid:durableId="845092164">
    <w:abstractNumId w:val="4"/>
  </w:num>
  <w:num w:numId="31" w16cid:durableId="1961716352">
    <w:abstractNumId w:val="4"/>
  </w:num>
  <w:num w:numId="32" w16cid:durableId="1188179192">
    <w:abstractNumId w:val="4"/>
  </w:num>
  <w:num w:numId="33" w16cid:durableId="496268018">
    <w:abstractNumId w:val="4"/>
  </w:num>
  <w:num w:numId="34" w16cid:durableId="2110659341">
    <w:abstractNumId w:val="4"/>
  </w:num>
  <w:num w:numId="35" w16cid:durableId="460150763">
    <w:abstractNumId w:val="4"/>
  </w:num>
  <w:num w:numId="36" w16cid:durableId="1879931584">
    <w:abstractNumId w:val="4"/>
  </w:num>
  <w:num w:numId="37" w16cid:durableId="1029717014">
    <w:abstractNumId w:val="4"/>
  </w:num>
  <w:num w:numId="38" w16cid:durableId="660163424">
    <w:abstractNumId w:val="4"/>
  </w:num>
  <w:num w:numId="39" w16cid:durableId="693577245">
    <w:abstractNumId w:val="4"/>
  </w:num>
  <w:num w:numId="40" w16cid:durableId="499546560">
    <w:abstractNumId w:val="4"/>
  </w:num>
  <w:num w:numId="41" w16cid:durableId="395860196">
    <w:abstractNumId w:val="4"/>
  </w:num>
  <w:num w:numId="42" w16cid:durableId="611865756">
    <w:abstractNumId w:val="4"/>
  </w:num>
  <w:num w:numId="43" w16cid:durableId="11537636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20665167">
    <w:abstractNumId w:val="4"/>
  </w:num>
  <w:num w:numId="45" w16cid:durableId="652375888">
    <w:abstractNumId w:val="4"/>
  </w:num>
  <w:num w:numId="46" w16cid:durableId="745298498">
    <w:abstractNumId w:val="4"/>
  </w:num>
  <w:num w:numId="47" w16cid:durableId="72048951">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347"/>
    <w:rsid w:val="00002266"/>
    <w:rsid w:val="0000432A"/>
    <w:rsid w:val="000057CE"/>
    <w:rsid w:val="00006BC7"/>
    <w:rsid w:val="00010575"/>
    <w:rsid w:val="000136F9"/>
    <w:rsid w:val="00015065"/>
    <w:rsid w:val="00015150"/>
    <w:rsid w:val="000157D5"/>
    <w:rsid w:val="000158AC"/>
    <w:rsid w:val="00016649"/>
    <w:rsid w:val="00017565"/>
    <w:rsid w:val="00021064"/>
    <w:rsid w:val="000236D9"/>
    <w:rsid w:val="0002471A"/>
    <w:rsid w:val="00024D23"/>
    <w:rsid w:val="00024E36"/>
    <w:rsid w:val="00026770"/>
    <w:rsid w:val="000277CF"/>
    <w:rsid w:val="000307F0"/>
    <w:rsid w:val="00031215"/>
    <w:rsid w:val="000312AC"/>
    <w:rsid w:val="0003155F"/>
    <w:rsid w:val="00032A4E"/>
    <w:rsid w:val="00032D7C"/>
    <w:rsid w:val="00033383"/>
    <w:rsid w:val="00033D67"/>
    <w:rsid w:val="000350F2"/>
    <w:rsid w:val="00037EF9"/>
    <w:rsid w:val="00042BD6"/>
    <w:rsid w:val="00043A1F"/>
    <w:rsid w:val="000448F0"/>
    <w:rsid w:val="00045316"/>
    <w:rsid w:val="00047E1B"/>
    <w:rsid w:val="00051BC5"/>
    <w:rsid w:val="000523C1"/>
    <w:rsid w:val="00056E68"/>
    <w:rsid w:val="00057765"/>
    <w:rsid w:val="00060B86"/>
    <w:rsid w:val="00061348"/>
    <w:rsid w:val="0006345F"/>
    <w:rsid w:val="00064021"/>
    <w:rsid w:val="00065187"/>
    <w:rsid w:val="00065D1A"/>
    <w:rsid w:val="0007171B"/>
    <w:rsid w:val="00072C33"/>
    <w:rsid w:val="00072D65"/>
    <w:rsid w:val="000730F7"/>
    <w:rsid w:val="000761D1"/>
    <w:rsid w:val="00076451"/>
    <w:rsid w:val="00077409"/>
    <w:rsid w:val="0008013F"/>
    <w:rsid w:val="00081197"/>
    <w:rsid w:val="000818E4"/>
    <w:rsid w:val="000842B7"/>
    <w:rsid w:val="000854C6"/>
    <w:rsid w:val="00087306"/>
    <w:rsid w:val="00093243"/>
    <w:rsid w:val="00094F28"/>
    <w:rsid w:val="00095C89"/>
    <w:rsid w:val="000A06F6"/>
    <w:rsid w:val="000A1859"/>
    <w:rsid w:val="000A189C"/>
    <w:rsid w:val="000A1F0D"/>
    <w:rsid w:val="000A567A"/>
    <w:rsid w:val="000A606D"/>
    <w:rsid w:val="000A6793"/>
    <w:rsid w:val="000A75E1"/>
    <w:rsid w:val="000B137C"/>
    <w:rsid w:val="000B3359"/>
    <w:rsid w:val="000B60BB"/>
    <w:rsid w:val="000B7079"/>
    <w:rsid w:val="000C0873"/>
    <w:rsid w:val="000C4694"/>
    <w:rsid w:val="000C6356"/>
    <w:rsid w:val="000C68B6"/>
    <w:rsid w:val="000D0F68"/>
    <w:rsid w:val="000D1516"/>
    <w:rsid w:val="000D173B"/>
    <w:rsid w:val="000D1FBA"/>
    <w:rsid w:val="000D2A21"/>
    <w:rsid w:val="000D32AC"/>
    <w:rsid w:val="000D7B0B"/>
    <w:rsid w:val="000D7BA3"/>
    <w:rsid w:val="000E0D86"/>
    <w:rsid w:val="000E25CF"/>
    <w:rsid w:val="000E28F4"/>
    <w:rsid w:val="000E4B94"/>
    <w:rsid w:val="000E588B"/>
    <w:rsid w:val="000E673A"/>
    <w:rsid w:val="000E71FC"/>
    <w:rsid w:val="000E77D7"/>
    <w:rsid w:val="000F085D"/>
    <w:rsid w:val="000F2B6D"/>
    <w:rsid w:val="000F56A9"/>
    <w:rsid w:val="000F5EFF"/>
    <w:rsid w:val="000F6945"/>
    <w:rsid w:val="000F6B0C"/>
    <w:rsid w:val="000F74F5"/>
    <w:rsid w:val="000F78FC"/>
    <w:rsid w:val="00100009"/>
    <w:rsid w:val="001031DF"/>
    <w:rsid w:val="0010325E"/>
    <w:rsid w:val="001043F1"/>
    <w:rsid w:val="00105372"/>
    <w:rsid w:val="001054A6"/>
    <w:rsid w:val="001055B5"/>
    <w:rsid w:val="001075B4"/>
    <w:rsid w:val="001078A1"/>
    <w:rsid w:val="001104F4"/>
    <w:rsid w:val="00112D1C"/>
    <w:rsid w:val="001142E4"/>
    <w:rsid w:val="001144AC"/>
    <w:rsid w:val="00115EB1"/>
    <w:rsid w:val="00116587"/>
    <w:rsid w:val="00116705"/>
    <w:rsid w:val="00122E4D"/>
    <w:rsid w:val="00122E63"/>
    <w:rsid w:val="00124143"/>
    <w:rsid w:val="00125CC2"/>
    <w:rsid w:val="00126EF3"/>
    <w:rsid w:val="00127685"/>
    <w:rsid w:val="00127DF1"/>
    <w:rsid w:val="00130175"/>
    <w:rsid w:val="001312AD"/>
    <w:rsid w:val="00131E7A"/>
    <w:rsid w:val="00132DA4"/>
    <w:rsid w:val="001335CA"/>
    <w:rsid w:val="00134846"/>
    <w:rsid w:val="00134B61"/>
    <w:rsid w:val="00136A5C"/>
    <w:rsid w:val="00137553"/>
    <w:rsid w:val="00140087"/>
    <w:rsid w:val="00140357"/>
    <w:rsid w:val="0014080B"/>
    <w:rsid w:val="00140840"/>
    <w:rsid w:val="0014241C"/>
    <w:rsid w:val="00143D61"/>
    <w:rsid w:val="0014412D"/>
    <w:rsid w:val="00150AD6"/>
    <w:rsid w:val="0015275F"/>
    <w:rsid w:val="00160BD9"/>
    <w:rsid w:val="001640FC"/>
    <w:rsid w:val="001643A9"/>
    <w:rsid w:val="00167BF3"/>
    <w:rsid w:val="00171E4A"/>
    <w:rsid w:val="00172AF6"/>
    <w:rsid w:val="00173E7B"/>
    <w:rsid w:val="00174D7D"/>
    <w:rsid w:val="00175C26"/>
    <w:rsid w:val="00176CEE"/>
    <w:rsid w:val="00180C77"/>
    <w:rsid w:val="00181BEE"/>
    <w:rsid w:val="001838CF"/>
    <w:rsid w:val="00183B02"/>
    <w:rsid w:val="00186B51"/>
    <w:rsid w:val="00186DD8"/>
    <w:rsid w:val="00187875"/>
    <w:rsid w:val="001927CD"/>
    <w:rsid w:val="00194091"/>
    <w:rsid w:val="001946C9"/>
    <w:rsid w:val="00194744"/>
    <w:rsid w:val="001949AF"/>
    <w:rsid w:val="00194A02"/>
    <w:rsid w:val="001A2AD5"/>
    <w:rsid w:val="001A35EC"/>
    <w:rsid w:val="001A5146"/>
    <w:rsid w:val="001A559C"/>
    <w:rsid w:val="001A7683"/>
    <w:rsid w:val="001A7AE5"/>
    <w:rsid w:val="001B13FE"/>
    <w:rsid w:val="001B2289"/>
    <w:rsid w:val="001B3706"/>
    <w:rsid w:val="001B3BDE"/>
    <w:rsid w:val="001B4E01"/>
    <w:rsid w:val="001B7624"/>
    <w:rsid w:val="001C0871"/>
    <w:rsid w:val="001C204E"/>
    <w:rsid w:val="001D0247"/>
    <w:rsid w:val="001D0E53"/>
    <w:rsid w:val="001D1383"/>
    <w:rsid w:val="001D1388"/>
    <w:rsid w:val="001D20A1"/>
    <w:rsid w:val="001D2D77"/>
    <w:rsid w:val="001E11B7"/>
    <w:rsid w:val="001E2044"/>
    <w:rsid w:val="001E31D9"/>
    <w:rsid w:val="001E409C"/>
    <w:rsid w:val="001E45E7"/>
    <w:rsid w:val="001E67F1"/>
    <w:rsid w:val="001E7BDC"/>
    <w:rsid w:val="001F0708"/>
    <w:rsid w:val="001F2259"/>
    <w:rsid w:val="001F3162"/>
    <w:rsid w:val="001F361E"/>
    <w:rsid w:val="001F3A63"/>
    <w:rsid w:val="001F64E9"/>
    <w:rsid w:val="001F7A74"/>
    <w:rsid w:val="0020183A"/>
    <w:rsid w:val="00201DC7"/>
    <w:rsid w:val="0020345B"/>
    <w:rsid w:val="00203519"/>
    <w:rsid w:val="00203C21"/>
    <w:rsid w:val="00205943"/>
    <w:rsid w:val="00207528"/>
    <w:rsid w:val="002101BF"/>
    <w:rsid w:val="00211C9A"/>
    <w:rsid w:val="002143D9"/>
    <w:rsid w:val="00214537"/>
    <w:rsid w:val="0021614D"/>
    <w:rsid w:val="00217B0F"/>
    <w:rsid w:val="002214DA"/>
    <w:rsid w:val="002216F1"/>
    <w:rsid w:val="002218FF"/>
    <w:rsid w:val="0022215B"/>
    <w:rsid w:val="0022474B"/>
    <w:rsid w:val="002252BA"/>
    <w:rsid w:val="00225A74"/>
    <w:rsid w:val="00225AF1"/>
    <w:rsid w:val="00227D0F"/>
    <w:rsid w:val="00232BA6"/>
    <w:rsid w:val="002342EC"/>
    <w:rsid w:val="0023498C"/>
    <w:rsid w:val="002353AD"/>
    <w:rsid w:val="00235B74"/>
    <w:rsid w:val="00235BF9"/>
    <w:rsid w:val="0023633F"/>
    <w:rsid w:val="00237F09"/>
    <w:rsid w:val="00240CB8"/>
    <w:rsid w:val="00241442"/>
    <w:rsid w:val="002422E0"/>
    <w:rsid w:val="00243423"/>
    <w:rsid w:val="00244A6C"/>
    <w:rsid w:val="00255C84"/>
    <w:rsid w:val="00260CC8"/>
    <w:rsid w:val="002622B4"/>
    <w:rsid w:val="002657B4"/>
    <w:rsid w:val="002659DE"/>
    <w:rsid w:val="00266044"/>
    <w:rsid w:val="00267FCD"/>
    <w:rsid w:val="002725D5"/>
    <w:rsid w:val="00274868"/>
    <w:rsid w:val="00274DB7"/>
    <w:rsid w:val="00277CE4"/>
    <w:rsid w:val="00281158"/>
    <w:rsid w:val="00281D1E"/>
    <w:rsid w:val="0028320D"/>
    <w:rsid w:val="00283F5F"/>
    <w:rsid w:val="00284580"/>
    <w:rsid w:val="00284BED"/>
    <w:rsid w:val="00286675"/>
    <w:rsid w:val="00290926"/>
    <w:rsid w:val="002941FC"/>
    <w:rsid w:val="00295066"/>
    <w:rsid w:val="00295233"/>
    <w:rsid w:val="00295F1F"/>
    <w:rsid w:val="002963FF"/>
    <w:rsid w:val="00296778"/>
    <w:rsid w:val="00296CB9"/>
    <w:rsid w:val="002A338C"/>
    <w:rsid w:val="002A4B6E"/>
    <w:rsid w:val="002A4E9E"/>
    <w:rsid w:val="002A5A63"/>
    <w:rsid w:val="002A673C"/>
    <w:rsid w:val="002A6C41"/>
    <w:rsid w:val="002A6E6F"/>
    <w:rsid w:val="002A709B"/>
    <w:rsid w:val="002B10D4"/>
    <w:rsid w:val="002B129D"/>
    <w:rsid w:val="002B25C7"/>
    <w:rsid w:val="002B28F3"/>
    <w:rsid w:val="002B2953"/>
    <w:rsid w:val="002B70ED"/>
    <w:rsid w:val="002C2DFA"/>
    <w:rsid w:val="002C363A"/>
    <w:rsid w:val="002C3ADF"/>
    <w:rsid w:val="002C3C96"/>
    <w:rsid w:val="002C454F"/>
    <w:rsid w:val="002C4703"/>
    <w:rsid w:val="002C52D9"/>
    <w:rsid w:val="002C56B0"/>
    <w:rsid w:val="002C71BA"/>
    <w:rsid w:val="002C79A2"/>
    <w:rsid w:val="002D00D2"/>
    <w:rsid w:val="002D036F"/>
    <w:rsid w:val="002D39BE"/>
    <w:rsid w:val="002D4D3C"/>
    <w:rsid w:val="002D5379"/>
    <w:rsid w:val="002D7661"/>
    <w:rsid w:val="002D7A87"/>
    <w:rsid w:val="002E30A2"/>
    <w:rsid w:val="002E3CD0"/>
    <w:rsid w:val="002E77D5"/>
    <w:rsid w:val="002E7ABC"/>
    <w:rsid w:val="002E7CA4"/>
    <w:rsid w:val="002F1935"/>
    <w:rsid w:val="002F2BE2"/>
    <w:rsid w:val="002F35E4"/>
    <w:rsid w:val="002F3875"/>
    <w:rsid w:val="002F4A38"/>
    <w:rsid w:val="002F4A80"/>
    <w:rsid w:val="002F57D6"/>
    <w:rsid w:val="002F583A"/>
    <w:rsid w:val="002F6DD4"/>
    <w:rsid w:val="002F7D95"/>
    <w:rsid w:val="003008FE"/>
    <w:rsid w:val="0030169D"/>
    <w:rsid w:val="0030190D"/>
    <w:rsid w:val="00303047"/>
    <w:rsid w:val="0030606F"/>
    <w:rsid w:val="003060EB"/>
    <w:rsid w:val="003069DE"/>
    <w:rsid w:val="00310711"/>
    <w:rsid w:val="003111AF"/>
    <w:rsid w:val="003116E3"/>
    <w:rsid w:val="00314211"/>
    <w:rsid w:val="00314893"/>
    <w:rsid w:val="003153EB"/>
    <w:rsid w:val="0032034E"/>
    <w:rsid w:val="0032136E"/>
    <w:rsid w:val="003214E9"/>
    <w:rsid w:val="00321985"/>
    <w:rsid w:val="00323861"/>
    <w:rsid w:val="003251A9"/>
    <w:rsid w:val="003253D8"/>
    <w:rsid w:val="00326A1C"/>
    <w:rsid w:val="00326DEE"/>
    <w:rsid w:val="003279AE"/>
    <w:rsid w:val="00335D24"/>
    <w:rsid w:val="003372F1"/>
    <w:rsid w:val="0033755B"/>
    <w:rsid w:val="003418E4"/>
    <w:rsid w:val="00347127"/>
    <w:rsid w:val="00347800"/>
    <w:rsid w:val="003507D7"/>
    <w:rsid w:val="00351205"/>
    <w:rsid w:val="0035126C"/>
    <w:rsid w:val="00351361"/>
    <w:rsid w:val="00353E03"/>
    <w:rsid w:val="0035582D"/>
    <w:rsid w:val="00356823"/>
    <w:rsid w:val="00357515"/>
    <w:rsid w:val="0036044A"/>
    <w:rsid w:val="00361973"/>
    <w:rsid w:val="00362361"/>
    <w:rsid w:val="00363D15"/>
    <w:rsid w:val="003654C0"/>
    <w:rsid w:val="00365DD3"/>
    <w:rsid w:val="00367343"/>
    <w:rsid w:val="003706E2"/>
    <w:rsid w:val="00371D7B"/>
    <w:rsid w:val="00372F74"/>
    <w:rsid w:val="0038047C"/>
    <w:rsid w:val="00380650"/>
    <w:rsid w:val="00382E98"/>
    <w:rsid w:val="003833A8"/>
    <w:rsid w:val="00384380"/>
    <w:rsid w:val="00385805"/>
    <w:rsid w:val="00387138"/>
    <w:rsid w:val="00387C4F"/>
    <w:rsid w:val="00390ADB"/>
    <w:rsid w:val="00391347"/>
    <w:rsid w:val="00391C22"/>
    <w:rsid w:val="00393A24"/>
    <w:rsid w:val="003965C8"/>
    <w:rsid w:val="003A0250"/>
    <w:rsid w:val="003A0A69"/>
    <w:rsid w:val="003A0CEE"/>
    <w:rsid w:val="003A1EC8"/>
    <w:rsid w:val="003A2633"/>
    <w:rsid w:val="003A2731"/>
    <w:rsid w:val="003A31B5"/>
    <w:rsid w:val="003A4B9F"/>
    <w:rsid w:val="003A5A15"/>
    <w:rsid w:val="003B242B"/>
    <w:rsid w:val="003B7350"/>
    <w:rsid w:val="003B7C3D"/>
    <w:rsid w:val="003C1EBC"/>
    <w:rsid w:val="003C4F03"/>
    <w:rsid w:val="003C6310"/>
    <w:rsid w:val="003D42FB"/>
    <w:rsid w:val="003D5A52"/>
    <w:rsid w:val="003E0C05"/>
    <w:rsid w:val="003E2A68"/>
    <w:rsid w:val="003E3E19"/>
    <w:rsid w:val="003E5EA4"/>
    <w:rsid w:val="003F1A75"/>
    <w:rsid w:val="003F2EAE"/>
    <w:rsid w:val="003F3109"/>
    <w:rsid w:val="003F5AF0"/>
    <w:rsid w:val="003F7224"/>
    <w:rsid w:val="003F74F2"/>
    <w:rsid w:val="003F7592"/>
    <w:rsid w:val="0040054C"/>
    <w:rsid w:val="00400690"/>
    <w:rsid w:val="004009C7"/>
    <w:rsid w:val="004025FB"/>
    <w:rsid w:val="00402C34"/>
    <w:rsid w:val="00403374"/>
    <w:rsid w:val="004040C4"/>
    <w:rsid w:val="004049CF"/>
    <w:rsid w:val="00405C14"/>
    <w:rsid w:val="004061F3"/>
    <w:rsid w:val="004124CC"/>
    <w:rsid w:val="00416096"/>
    <w:rsid w:val="00417D09"/>
    <w:rsid w:val="00420950"/>
    <w:rsid w:val="00421985"/>
    <w:rsid w:val="00421C9F"/>
    <w:rsid w:val="00426FAB"/>
    <w:rsid w:val="004270B1"/>
    <w:rsid w:val="00427D21"/>
    <w:rsid w:val="00432584"/>
    <w:rsid w:val="004332C9"/>
    <w:rsid w:val="00434054"/>
    <w:rsid w:val="00435EFC"/>
    <w:rsid w:val="00436E49"/>
    <w:rsid w:val="004400B4"/>
    <w:rsid w:val="00444A96"/>
    <w:rsid w:val="004466DF"/>
    <w:rsid w:val="004468C0"/>
    <w:rsid w:val="00446BA3"/>
    <w:rsid w:val="00447F4A"/>
    <w:rsid w:val="00450C55"/>
    <w:rsid w:val="00452471"/>
    <w:rsid w:val="00453853"/>
    <w:rsid w:val="004539D3"/>
    <w:rsid w:val="004544F9"/>
    <w:rsid w:val="004554A7"/>
    <w:rsid w:val="0045646D"/>
    <w:rsid w:val="00456F67"/>
    <w:rsid w:val="004573E7"/>
    <w:rsid w:val="00460C30"/>
    <w:rsid w:val="00463AF0"/>
    <w:rsid w:val="004644C2"/>
    <w:rsid w:val="0046628A"/>
    <w:rsid w:val="00466327"/>
    <w:rsid w:val="004670D1"/>
    <w:rsid w:val="00467F9C"/>
    <w:rsid w:val="00471E95"/>
    <w:rsid w:val="00472CD8"/>
    <w:rsid w:val="004751C0"/>
    <w:rsid w:val="00475627"/>
    <w:rsid w:val="00480851"/>
    <w:rsid w:val="00481721"/>
    <w:rsid w:val="004830CF"/>
    <w:rsid w:val="0049011B"/>
    <w:rsid w:val="00490193"/>
    <w:rsid w:val="004910B2"/>
    <w:rsid w:val="00491E09"/>
    <w:rsid w:val="00493DED"/>
    <w:rsid w:val="00493E99"/>
    <w:rsid w:val="00494ABA"/>
    <w:rsid w:val="00494B17"/>
    <w:rsid w:val="004A05F7"/>
    <w:rsid w:val="004A3535"/>
    <w:rsid w:val="004A4459"/>
    <w:rsid w:val="004A7B0B"/>
    <w:rsid w:val="004B147D"/>
    <w:rsid w:val="004B2C69"/>
    <w:rsid w:val="004B3135"/>
    <w:rsid w:val="004B34BB"/>
    <w:rsid w:val="004C0CD9"/>
    <w:rsid w:val="004C1D13"/>
    <w:rsid w:val="004C2636"/>
    <w:rsid w:val="004D06BD"/>
    <w:rsid w:val="004D2C5C"/>
    <w:rsid w:val="004D3C8C"/>
    <w:rsid w:val="004D49B6"/>
    <w:rsid w:val="004D66EB"/>
    <w:rsid w:val="004D7C4B"/>
    <w:rsid w:val="004E211E"/>
    <w:rsid w:val="004E2889"/>
    <w:rsid w:val="004E3773"/>
    <w:rsid w:val="004E50DA"/>
    <w:rsid w:val="004E7256"/>
    <w:rsid w:val="004E742E"/>
    <w:rsid w:val="004E7AF2"/>
    <w:rsid w:val="004F0645"/>
    <w:rsid w:val="004F2B27"/>
    <w:rsid w:val="004F38EC"/>
    <w:rsid w:val="004F4270"/>
    <w:rsid w:val="004F6450"/>
    <w:rsid w:val="004F651A"/>
    <w:rsid w:val="004F6A7D"/>
    <w:rsid w:val="004F79FF"/>
    <w:rsid w:val="004F7B3B"/>
    <w:rsid w:val="00502D6B"/>
    <w:rsid w:val="00503A3B"/>
    <w:rsid w:val="00504791"/>
    <w:rsid w:val="00505B39"/>
    <w:rsid w:val="00506137"/>
    <w:rsid w:val="0051006C"/>
    <w:rsid w:val="005120BC"/>
    <w:rsid w:val="00512AEF"/>
    <w:rsid w:val="00512B1B"/>
    <w:rsid w:val="00515BE5"/>
    <w:rsid w:val="00516029"/>
    <w:rsid w:val="0052162C"/>
    <w:rsid w:val="00523971"/>
    <w:rsid w:val="005253AD"/>
    <w:rsid w:val="005262D6"/>
    <w:rsid w:val="00534681"/>
    <w:rsid w:val="0054022B"/>
    <w:rsid w:val="005407A1"/>
    <w:rsid w:val="005428FA"/>
    <w:rsid w:val="00543A45"/>
    <w:rsid w:val="00544838"/>
    <w:rsid w:val="00546AB6"/>
    <w:rsid w:val="0056068E"/>
    <w:rsid w:val="00563442"/>
    <w:rsid w:val="0056348E"/>
    <w:rsid w:val="0056379F"/>
    <w:rsid w:val="00563BD3"/>
    <w:rsid w:val="0056463F"/>
    <w:rsid w:val="0056516F"/>
    <w:rsid w:val="00565B42"/>
    <w:rsid w:val="005660B3"/>
    <w:rsid w:val="00567900"/>
    <w:rsid w:val="00567D34"/>
    <w:rsid w:val="00570F3E"/>
    <w:rsid w:val="005732FC"/>
    <w:rsid w:val="00573A32"/>
    <w:rsid w:val="00573F97"/>
    <w:rsid w:val="00574CDE"/>
    <w:rsid w:val="00575B5A"/>
    <w:rsid w:val="0057651E"/>
    <w:rsid w:val="005777F4"/>
    <w:rsid w:val="00580B22"/>
    <w:rsid w:val="005822EB"/>
    <w:rsid w:val="00582AA7"/>
    <w:rsid w:val="005839A3"/>
    <w:rsid w:val="00584E27"/>
    <w:rsid w:val="00590CCD"/>
    <w:rsid w:val="00593921"/>
    <w:rsid w:val="00595B55"/>
    <w:rsid w:val="00597A3E"/>
    <w:rsid w:val="00597A7F"/>
    <w:rsid w:val="00597B90"/>
    <w:rsid w:val="00597FE2"/>
    <w:rsid w:val="005A74AE"/>
    <w:rsid w:val="005B210A"/>
    <w:rsid w:val="005B2476"/>
    <w:rsid w:val="005B35E2"/>
    <w:rsid w:val="005B42C5"/>
    <w:rsid w:val="005B595E"/>
    <w:rsid w:val="005C0EA8"/>
    <w:rsid w:val="005C36B5"/>
    <w:rsid w:val="005C4044"/>
    <w:rsid w:val="005C4CE6"/>
    <w:rsid w:val="005D145A"/>
    <w:rsid w:val="005D25E2"/>
    <w:rsid w:val="005D29AF"/>
    <w:rsid w:val="005D5420"/>
    <w:rsid w:val="005D6231"/>
    <w:rsid w:val="005E10CB"/>
    <w:rsid w:val="005E442A"/>
    <w:rsid w:val="005E551D"/>
    <w:rsid w:val="005F2316"/>
    <w:rsid w:val="005F2A10"/>
    <w:rsid w:val="005F3549"/>
    <w:rsid w:val="00602275"/>
    <w:rsid w:val="0060352C"/>
    <w:rsid w:val="0060352D"/>
    <w:rsid w:val="00605E25"/>
    <w:rsid w:val="0060798A"/>
    <w:rsid w:val="006100EB"/>
    <w:rsid w:val="00611E07"/>
    <w:rsid w:val="006122BA"/>
    <w:rsid w:val="0061235B"/>
    <w:rsid w:val="006125AC"/>
    <w:rsid w:val="006149EE"/>
    <w:rsid w:val="00614AF1"/>
    <w:rsid w:val="00616CAE"/>
    <w:rsid w:val="006215D0"/>
    <w:rsid w:val="00621F40"/>
    <w:rsid w:val="00621FB3"/>
    <w:rsid w:val="0062214C"/>
    <w:rsid w:val="00622378"/>
    <w:rsid w:val="00631697"/>
    <w:rsid w:val="006325B0"/>
    <w:rsid w:val="006347D6"/>
    <w:rsid w:val="006349D9"/>
    <w:rsid w:val="00641F22"/>
    <w:rsid w:val="00642E2D"/>
    <w:rsid w:val="006436B3"/>
    <w:rsid w:val="00643AA3"/>
    <w:rsid w:val="0064421C"/>
    <w:rsid w:val="006478BF"/>
    <w:rsid w:val="00650493"/>
    <w:rsid w:val="006572EF"/>
    <w:rsid w:val="006602B4"/>
    <w:rsid w:val="00660335"/>
    <w:rsid w:val="00660792"/>
    <w:rsid w:val="00662E45"/>
    <w:rsid w:val="006645FB"/>
    <w:rsid w:val="006661E9"/>
    <w:rsid w:val="00666A47"/>
    <w:rsid w:val="00670022"/>
    <w:rsid w:val="00671A1A"/>
    <w:rsid w:val="006742FB"/>
    <w:rsid w:val="00675000"/>
    <w:rsid w:val="006750AD"/>
    <w:rsid w:val="00675814"/>
    <w:rsid w:val="00675951"/>
    <w:rsid w:val="0067677A"/>
    <w:rsid w:val="006770D9"/>
    <w:rsid w:val="00677176"/>
    <w:rsid w:val="00677665"/>
    <w:rsid w:val="00684217"/>
    <w:rsid w:val="00684556"/>
    <w:rsid w:val="00684940"/>
    <w:rsid w:val="00684ABE"/>
    <w:rsid w:val="00685060"/>
    <w:rsid w:val="00685B5A"/>
    <w:rsid w:val="00686133"/>
    <w:rsid w:val="0068683F"/>
    <w:rsid w:val="0068691E"/>
    <w:rsid w:val="00687042"/>
    <w:rsid w:val="006900E0"/>
    <w:rsid w:val="006904FB"/>
    <w:rsid w:val="006910A1"/>
    <w:rsid w:val="0069471B"/>
    <w:rsid w:val="006977CD"/>
    <w:rsid w:val="006A041D"/>
    <w:rsid w:val="006A410C"/>
    <w:rsid w:val="006A53A9"/>
    <w:rsid w:val="006A57AF"/>
    <w:rsid w:val="006A7155"/>
    <w:rsid w:val="006A73C1"/>
    <w:rsid w:val="006A749C"/>
    <w:rsid w:val="006A75D8"/>
    <w:rsid w:val="006B12A5"/>
    <w:rsid w:val="006B2290"/>
    <w:rsid w:val="006B68B4"/>
    <w:rsid w:val="006C1857"/>
    <w:rsid w:val="006C1B66"/>
    <w:rsid w:val="006C4109"/>
    <w:rsid w:val="006C42F2"/>
    <w:rsid w:val="006C50FD"/>
    <w:rsid w:val="006D0DB1"/>
    <w:rsid w:val="006D2315"/>
    <w:rsid w:val="006D2591"/>
    <w:rsid w:val="006D2923"/>
    <w:rsid w:val="006D4124"/>
    <w:rsid w:val="006E00DF"/>
    <w:rsid w:val="006E1585"/>
    <w:rsid w:val="006E27B8"/>
    <w:rsid w:val="006E2FFE"/>
    <w:rsid w:val="006E3A57"/>
    <w:rsid w:val="006E640C"/>
    <w:rsid w:val="006E6CB6"/>
    <w:rsid w:val="006E775B"/>
    <w:rsid w:val="006E77A6"/>
    <w:rsid w:val="006E77C1"/>
    <w:rsid w:val="006F0C0A"/>
    <w:rsid w:val="006F2613"/>
    <w:rsid w:val="006F2DCF"/>
    <w:rsid w:val="006F43DB"/>
    <w:rsid w:val="006F467C"/>
    <w:rsid w:val="007005F1"/>
    <w:rsid w:val="00700F0D"/>
    <w:rsid w:val="00701216"/>
    <w:rsid w:val="00702445"/>
    <w:rsid w:val="0070362D"/>
    <w:rsid w:val="00706B18"/>
    <w:rsid w:val="00710C51"/>
    <w:rsid w:val="00713E68"/>
    <w:rsid w:val="00714E0C"/>
    <w:rsid w:val="00717D88"/>
    <w:rsid w:val="00717DDA"/>
    <w:rsid w:val="00722367"/>
    <w:rsid w:val="007236AA"/>
    <w:rsid w:val="00724FEC"/>
    <w:rsid w:val="00726A43"/>
    <w:rsid w:val="007302B2"/>
    <w:rsid w:val="00732B0A"/>
    <w:rsid w:val="007347BF"/>
    <w:rsid w:val="00737493"/>
    <w:rsid w:val="007408CB"/>
    <w:rsid w:val="0074332C"/>
    <w:rsid w:val="00744996"/>
    <w:rsid w:val="007472A0"/>
    <w:rsid w:val="00750487"/>
    <w:rsid w:val="00752E69"/>
    <w:rsid w:val="00754CF4"/>
    <w:rsid w:val="007556FC"/>
    <w:rsid w:val="007557CD"/>
    <w:rsid w:val="00755E35"/>
    <w:rsid w:val="007562A9"/>
    <w:rsid w:val="0075792C"/>
    <w:rsid w:val="007601AF"/>
    <w:rsid w:val="00760751"/>
    <w:rsid w:val="00760799"/>
    <w:rsid w:val="00762D4E"/>
    <w:rsid w:val="00762FE0"/>
    <w:rsid w:val="007704FB"/>
    <w:rsid w:val="007729B7"/>
    <w:rsid w:val="00773159"/>
    <w:rsid w:val="007752F2"/>
    <w:rsid w:val="00776334"/>
    <w:rsid w:val="00776362"/>
    <w:rsid w:val="00776C08"/>
    <w:rsid w:val="00780256"/>
    <w:rsid w:val="00780BD8"/>
    <w:rsid w:val="00783210"/>
    <w:rsid w:val="00783276"/>
    <w:rsid w:val="00784DEB"/>
    <w:rsid w:val="00785698"/>
    <w:rsid w:val="00786056"/>
    <w:rsid w:val="0079005B"/>
    <w:rsid w:val="00790C3F"/>
    <w:rsid w:val="00791B4A"/>
    <w:rsid w:val="00793B2F"/>
    <w:rsid w:val="007942D3"/>
    <w:rsid w:val="007942FC"/>
    <w:rsid w:val="0079618B"/>
    <w:rsid w:val="00797216"/>
    <w:rsid w:val="007A191A"/>
    <w:rsid w:val="007A3BEB"/>
    <w:rsid w:val="007A6E70"/>
    <w:rsid w:val="007A71F9"/>
    <w:rsid w:val="007A76F0"/>
    <w:rsid w:val="007B0429"/>
    <w:rsid w:val="007B1551"/>
    <w:rsid w:val="007B2099"/>
    <w:rsid w:val="007B3833"/>
    <w:rsid w:val="007B56FD"/>
    <w:rsid w:val="007B57E8"/>
    <w:rsid w:val="007B6C09"/>
    <w:rsid w:val="007B75FE"/>
    <w:rsid w:val="007B7741"/>
    <w:rsid w:val="007C05D7"/>
    <w:rsid w:val="007C3A63"/>
    <w:rsid w:val="007C4951"/>
    <w:rsid w:val="007C5547"/>
    <w:rsid w:val="007D1C12"/>
    <w:rsid w:val="007D2942"/>
    <w:rsid w:val="007D3020"/>
    <w:rsid w:val="007D323C"/>
    <w:rsid w:val="007D5086"/>
    <w:rsid w:val="007D5D21"/>
    <w:rsid w:val="007D6E08"/>
    <w:rsid w:val="007E09DA"/>
    <w:rsid w:val="007E0F8A"/>
    <w:rsid w:val="007E40B5"/>
    <w:rsid w:val="007F00E8"/>
    <w:rsid w:val="007F0BD4"/>
    <w:rsid w:val="007F718D"/>
    <w:rsid w:val="00801FAD"/>
    <w:rsid w:val="008021CA"/>
    <w:rsid w:val="00803710"/>
    <w:rsid w:val="00807362"/>
    <w:rsid w:val="00810821"/>
    <w:rsid w:val="008108D4"/>
    <w:rsid w:val="008122E8"/>
    <w:rsid w:val="00814511"/>
    <w:rsid w:val="00814CA9"/>
    <w:rsid w:val="008178B6"/>
    <w:rsid w:val="00820309"/>
    <w:rsid w:val="0082135D"/>
    <w:rsid w:val="00823752"/>
    <w:rsid w:val="00823E5F"/>
    <w:rsid w:val="008241D5"/>
    <w:rsid w:val="00827883"/>
    <w:rsid w:val="008278A8"/>
    <w:rsid w:val="00827A8D"/>
    <w:rsid w:val="00830B1C"/>
    <w:rsid w:val="00830DA0"/>
    <w:rsid w:val="0083345A"/>
    <w:rsid w:val="00834292"/>
    <w:rsid w:val="0083564A"/>
    <w:rsid w:val="008374A9"/>
    <w:rsid w:val="008401DC"/>
    <w:rsid w:val="008416ED"/>
    <w:rsid w:val="00843C1B"/>
    <w:rsid w:val="008449A4"/>
    <w:rsid w:val="00845F53"/>
    <w:rsid w:val="008476BF"/>
    <w:rsid w:val="00847EA8"/>
    <w:rsid w:val="00850967"/>
    <w:rsid w:val="00851E26"/>
    <w:rsid w:val="0085218B"/>
    <w:rsid w:val="00853B4A"/>
    <w:rsid w:val="00856AD7"/>
    <w:rsid w:val="00860486"/>
    <w:rsid w:val="008609D7"/>
    <w:rsid w:val="00860CEB"/>
    <w:rsid w:val="0086132B"/>
    <w:rsid w:val="008621EE"/>
    <w:rsid w:val="008655C9"/>
    <w:rsid w:val="00865B74"/>
    <w:rsid w:val="00866063"/>
    <w:rsid w:val="00866A1C"/>
    <w:rsid w:val="00866AFD"/>
    <w:rsid w:val="008720F3"/>
    <w:rsid w:val="0087319E"/>
    <w:rsid w:val="00874CE6"/>
    <w:rsid w:val="00880B52"/>
    <w:rsid w:val="00881970"/>
    <w:rsid w:val="008828A7"/>
    <w:rsid w:val="00883B6C"/>
    <w:rsid w:val="008840CB"/>
    <w:rsid w:val="00887693"/>
    <w:rsid w:val="00892837"/>
    <w:rsid w:val="0089315C"/>
    <w:rsid w:val="0089338C"/>
    <w:rsid w:val="00893C09"/>
    <w:rsid w:val="008974F0"/>
    <w:rsid w:val="008A0991"/>
    <w:rsid w:val="008A1499"/>
    <w:rsid w:val="008A25BF"/>
    <w:rsid w:val="008A3D50"/>
    <w:rsid w:val="008A4A58"/>
    <w:rsid w:val="008A4D74"/>
    <w:rsid w:val="008A6118"/>
    <w:rsid w:val="008A64BE"/>
    <w:rsid w:val="008B012A"/>
    <w:rsid w:val="008B0872"/>
    <w:rsid w:val="008B10CF"/>
    <w:rsid w:val="008B305C"/>
    <w:rsid w:val="008B4034"/>
    <w:rsid w:val="008B4071"/>
    <w:rsid w:val="008B40D0"/>
    <w:rsid w:val="008B60D3"/>
    <w:rsid w:val="008B7E97"/>
    <w:rsid w:val="008C0784"/>
    <w:rsid w:val="008C3D8B"/>
    <w:rsid w:val="008C3F4C"/>
    <w:rsid w:val="008C74D7"/>
    <w:rsid w:val="008D05DD"/>
    <w:rsid w:val="008D12D0"/>
    <w:rsid w:val="008D139A"/>
    <w:rsid w:val="008D13D7"/>
    <w:rsid w:val="008D3FA2"/>
    <w:rsid w:val="008D46B9"/>
    <w:rsid w:val="008D581D"/>
    <w:rsid w:val="008D5FBC"/>
    <w:rsid w:val="008D6B43"/>
    <w:rsid w:val="008E4111"/>
    <w:rsid w:val="008E460C"/>
    <w:rsid w:val="008E5189"/>
    <w:rsid w:val="008E6E99"/>
    <w:rsid w:val="008EC74C"/>
    <w:rsid w:val="008F1589"/>
    <w:rsid w:val="008F1AC4"/>
    <w:rsid w:val="008F3E66"/>
    <w:rsid w:val="008F4239"/>
    <w:rsid w:val="008F5218"/>
    <w:rsid w:val="008F55F6"/>
    <w:rsid w:val="009018AF"/>
    <w:rsid w:val="009028F6"/>
    <w:rsid w:val="00904B23"/>
    <w:rsid w:val="00905F88"/>
    <w:rsid w:val="00906E17"/>
    <w:rsid w:val="0091053A"/>
    <w:rsid w:val="009107A5"/>
    <w:rsid w:val="00910A0A"/>
    <w:rsid w:val="00910EAF"/>
    <w:rsid w:val="00911095"/>
    <w:rsid w:val="00912654"/>
    <w:rsid w:val="00912A2D"/>
    <w:rsid w:val="00914BEA"/>
    <w:rsid w:val="00916DC6"/>
    <w:rsid w:val="00916F5F"/>
    <w:rsid w:val="009172EE"/>
    <w:rsid w:val="00921D92"/>
    <w:rsid w:val="00923186"/>
    <w:rsid w:val="009234F7"/>
    <w:rsid w:val="00923520"/>
    <w:rsid w:val="009237AD"/>
    <w:rsid w:val="00923D26"/>
    <w:rsid w:val="00926C73"/>
    <w:rsid w:val="00930A1F"/>
    <w:rsid w:val="00930BA1"/>
    <w:rsid w:val="00930BD1"/>
    <w:rsid w:val="00930C6F"/>
    <w:rsid w:val="009313B6"/>
    <w:rsid w:val="0093169E"/>
    <w:rsid w:val="00931E39"/>
    <w:rsid w:val="00932062"/>
    <w:rsid w:val="00932259"/>
    <w:rsid w:val="00933EDE"/>
    <w:rsid w:val="009347E4"/>
    <w:rsid w:val="0093516A"/>
    <w:rsid w:val="00937DB3"/>
    <w:rsid w:val="00937DC8"/>
    <w:rsid w:val="009404A1"/>
    <w:rsid w:val="00940FF0"/>
    <w:rsid w:val="009412A1"/>
    <w:rsid w:val="00944DB8"/>
    <w:rsid w:val="009505C9"/>
    <w:rsid w:val="00950752"/>
    <w:rsid w:val="009518B3"/>
    <w:rsid w:val="009522B4"/>
    <w:rsid w:val="0095591D"/>
    <w:rsid w:val="0095666A"/>
    <w:rsid w:val="0095723C"/>
    <w:rsid w:val="009601E3"/>
    <w:rsid w:val="00961CA8"/>
    <w:rsid w:val="00962D4A"/>
    <w:rsid w:val="0096607E"/>
    <w:rsid w:val="00966424"/>
    <w:rsid w:val="009717FA"/>
    <w:rsid w:val="0097244F"/>
    <w:rsid w:val="00976F48"/>
    <w:rsid w:val="00977637"/>
    <w:rsid w:val="0097768A"/>
    <w:rsid w:val="0098202E"/>
    <w:rsid w:val="00982639"/>
    <w:rsid w:val="00983EC9"/>
    <w:rsid w:val="009848BF"/>
    <w:rsid w:val="00984D63"/>
    <w:rsid w:val="009850CB"/>
    <w:rsid w:val="009852DA"/>
    <w:rsid w:val="00986072"/>
    <w:rsid w:val="009914B4"/>
    <w:rsid w:val="00993276"/>
    <w:rsid w:val="0099744E"/>
    <w:rsid w:val="009A0AD2"/>
    <w:rsid w:val="009A470F"/>
    <w:rsid w:val="009A59BA"/>
    <w:rsid w:val="009A79E5"/>
    <w:rsid w:val="009B10D7"/>
    <w:rsid w:val="009B47AC"/>
    <w:rsid w:val="009B598D"/>
    <w:rsid w:val="009B5B72"/>
    <w:rsid w:val="009B6599"/>
    <w:rsid w:val="009B7742"/>
    <w:rsid w:val="009B7BA1"/>
    <w:rsid w:val="009B7F03"/>
    <w:rsid w:val="009C0ACD"/>
    <w:rsid w:val="009C2DE6"/>
    <w:rsid w:val="009C402E"/>
    <w:rsid w:val="009C5204"/>
    <w:rsid w:val="009C5738"/>
    <w:rsid w:val="009C5903"/>
    <w:rsid w:val="009C649C"/>
    <w:rsid w:val="009C6ADC"/>
    <w:rsid w:val="009C6E3C"/>
    <w:rsid w:val="009D0F8A"/>
    <w:rsid w:val="009D111A"/>
    <w:rsid w:val="009D2081"/>
    <w:rsid w:val="009D21BA"/>
    <w:rsid w:val="009D2D97"/>
    <w:rsid w:val="009D31FE"/>
    <w:rsid w:val="009D55AF"/>
    <w:rsid w:val="009D626D"/>
    <w:rsid w:val="009D6B6D"/>
    <w:rsid w:val="009E29AD"/>
    <w:rsid w:val="009F24EE"/>
    <w:rsid w:val="00A035E1"/>
    <w:rsid w:val="00A05812"/>
    <w:rsid w:val="00A07E85"/>
    <w:rsid w:val="00A07FC6"/>
    <w:rsid w:val="00A111D1"/>
    <w:rsid w:val="00A11A8B"/>
    <w:rsid w:val="00A14ED7"/>
    <w:rsid w:val="00A2080D"/>
    <w:rsid w:val="00A20A35"/>
    <w:rsid w:val="00A233CC"/>
    <w:rsid w:val="00A2420E"/>
    <w:rsid w:val="00A27AD4"/>
    <w:rsid w:val="00A3016C"/>
    <w:rsid w:val="00A3194E"/>
    <w:rsid w:val="00A354D5"/>
    <w:rsid w:val="00A36D11"/>
    <w:rsid w:val="00A3732C"/>
    <w:rsid w:val="00A41833"/>
    <w:rsid w:val="00A4375F"/>
    <w:rsid w:val="00A449BC"/>
    <w:rsid w:val="00A47BEC"/>
    <w:rsid w:val="00A5453D"/>
    <w:rsid w:val="00A54C20"/>
    <w:rsid w:val="00A55AFF"/>
    <w:rsid w:val="00A56024"/>
    <w:rsid w:val="00A566A7"/>
    <w:rsid w:val="00A6016A"/>
    <w:rsid w:val="00A65158"/>
    <w:rsid w:val="00A6536E"/>
    <w:rsid w:val="00A66305"/>
    <w:rsid w:val="00A66585"/>
    <w:rsid w:val="00A66A2E"/>
    <w:rsid w:val="00A71468"/>
    <w:rsid w:val="00A72669"/>
    <w:rsid w:val="00A747C4"/>
    <w:rsid w:val="00A759DC"/>
    <w:rsid w:val="00A80E6A"/>
    <w:rsid w:val="00A82999"/>
    <w:rsid w:val="00A83E13"/>
    <w:rsid w:val="00A843CF"/>
    <w:rsid w:val="00A84E11"/>
    <w:rsid w:val="00A85D6E"/>
    <w:rsid w:val="00A861D5"/>
    <w:rsid w:val="00A86B62"/>
    <w:rsid w:val="00A9674B"/>
    <w:rsid w:val="00A96D5A"/>
    <w:rsid w:val="00A97708"/>
    <w:rsid w:val="00A97EBB"/>
    <w:rsid w:val="00AA0147"/>
    <w:rsid w:val="00AA30DD"/>
    <w:rsid w:val="00AA408E"/>
    <w:rsid w:val="00AA54EF"/>
    <w:rsid w:val="00AA6F92"/>
    <w:rsid w:val="00AB096C"/>
    <w:rsid w:val="00AB1265"/>
    <w:rsid w:val="00AB5F04"/>
    <w:rsid w:val="00AB6934"/>
    <w:rsid w:val="00AC013E"/>
    <w:rsid w:val="00AC1799"/>
    <w:rsid w:val="00AC2BFB"/>
    <w:rsid w:val="00AC3124"/>
    <w:rsid w:val="00AC4F37"/>
    <w:rsid w:val="00AD0704"/>
    <w:rsid w:val="00AD26C7"/>
    <w:rsid w:val="00AD3E54"/>
    <w:rsid w:val="00AD4A0C"/>
    <w:rsid w:val="00AD5AFC"/>
    <w:rsid w:val="00AE03B1"/>
    <w:rsid w:val="00AE07E3"/>
    <w:rsid w:val="00AE0CB9"/>
    <w:rsid w:val="00AE3B19"/>
    <w:rsid w:val="00AE42B5"/>
    <w:rsid w:val="00AE4454"/>
    <w:rsid w:val="00AE4768"/>
    <w:rsid w:val="00AE6661"/>
    <w:rsid w:val="00AE7215"/>
    <w:rsid w:val="00AF0857"/>
    <w:rsid w:val="00AF1AD5"/>
    <w:rsid w:val="00AF1B55"/>
    <w:rsid w:val="00AF3753"/>
    <w:rsid w:val="00AF42DE"/>
    <w:rsid w:val="00AF6560"/>
    <w:rsid w:val="00AF6F3E"/>
    <w:rsid w:val="00AF781B"/>
    <w:rsid w:val="00B008A0"/>
    <w:rsid w:val="00B0402E"/>
    <w:rsid w:val="00B04218"/>
    <w:rsid w:val="00B05C82"/>
    <w:rsid w:val="00B0646A"/>
    <w:rsid w:val="00B11278"/>
    <w:rsid w:val="00B12174"/>
    <w:rsid w:val="00B1219F"/>
    <w:rsid w:val="00B12782"/>
    <w:rsid w:val="00B14288"/>
    <w:rsid w:val="00B143E1"/>
    <w:rsid w:val="00B212B9"/>
    <w:rsid w:val="00B21DC3"/>
    <w:rsid w:val="00B24CA1"/>
    <w:rsid w:val="00B251E1"/>
    <w:rsid w:val="00B25FBE"/>
    <w:rsid w:val="00B26900"/>
    <w:rsid w:val="00B275D0"/>
    <w:rsid w:val="00B277CD"/>
    <w:rsid w:val="00B3369F"/>
    <w:rsid w:val="00B35DEA"/>
    <w:rsid w:val="00B37035"/>
    <w:rsid w:val="00B43DA9"/>
    <w:rsid w:val="00B51A06"/>
    <w:rsid w:val="00B51FC6"/>
    <w:rsid w:val="00B55CF8"/>
    <w:rsid w:val="00B57955"/>
    <w:rsid w:val="00B607ED"/>
    <w:rsid w:val="00B64C22"/>
    <w:rsid w:val="00B65248"/>
    <w:rsid w:val="00B732D2"/>
    <w:rsid w:val="00B7405E"/>
    <w:rsid w:val="00B74330"/>
    <w:rsid w:val="00B75553"/>
    <w:rsid w:val="00B8465B"/>
    <w:rsid w:val="00B85075"/>
    <w:rsid w:val="00B91F9A"/>
    <w:rsid w:val="00B94E6C"/>
    <w:rsid w:val="00BA16C6"/>
    <w:rsid w:val="00BA2186"/>
    <w:rsid w:val="00BA2B74"/>
    <w:rsid w:val="00BA3BF6"/>
    <w:rsid w:val="00BA46C9"/>
    <w:rsid w:val="00BA4879"/>
    <w:rsid w:val="00BA54F6"/>
    <w:rsid w:val="00BA5689"/>
    <w:rsid w:val="00BA6456"/>
    <w:rsid w:val="00BA7FEF"/>
    <w:rsid w:val="00BB0E97"/>
    <w:rsid w:val="00BB293A"/>
    <w:rsid w:val="00BB4606"/>
    <w:rsid w:val="00BB5B80"/>
    <w:rsid w:val="00BB7141"/>
    <w:rsid w:val="00BC1940"/>
    <w:rsid w:val="00BC360F"/>
    <w:rsid w:val="00BC722B"/>
    <w:rsid w:val="00BD0B3B"/>
    <w:rsid w:val="00BD19FB"/>
    <w:rsid w:val="00BD56BF"/>
    <w:rsid w:val="00BD6944"/>
    <w:rsid w:val="00BD6E90"/>
    <w:rsid w:val="00BD76FF"/>
    <w:rsid w:val="00BE20A5"/>
    <w:rsid w:val="00BE2494"/>
    <w:rsid w:val="00BE2B07"/>
    <w:rsid w:val="00BE3B9C"/>
    <w:rsid w:val="00BE6B79"/>
    <w:rsid w:val="00C01821"/>
    <w:rsid w:val="00C0404E"/>
    <w:rsid w:val="00C059BA"/>
    <w:rsid w:val="00C06502"/>
    <w:rsid w:val="00C0699C"/>
    <w:rsid w:val="00C121AE"/>
    <w:rsid w:val="00C14723"/>
    <w:rsid w:val="00C15891"/>
    <w:rsid w:val="00C17E9A"/>
    <w:rsid w:val="00C206F5"/>
    <w:rsid w:val="00C20AC1"/>
    <w:rsid w:val="00C23D2F"/>
    <w:rsid w:val="00C262F0"/>
    <w:rsid w:val="00C2785C"/>
    <w:rsid w:val="00C30093"/>
    <w:rsid w:val="00C316B7"/>
    <w:rsid w:val="00C3184E"/>
    <w:rsid w:val="00C3241D"/>
    <w:rsid w:val="00C3248F"/>
    <w:rsid w:val="00C35C9D"/>
    <w:rsid w:val="00C371C3"/>
    <w:rsid w:val="00C41740"/>
    <w:rsid w:val="00C443BD"/>
    <w:rsid w:val="00C451C5"/>
    <w:rsid w:val="00C47842"/>
    <w:rsid w:val="00C506A1"/>
    <w:rsid w:val="00C507D8"/>
    <w:rsid w:val="00C51498"/>
    <w:rsid w:val="00C544DB"/>
    <w:rsid w:val="00C55FCA"/>
    <w:rsid w:val="00C60B7F"/>
    <w:rsid w:val="00C61D20"/>
    <w:rsid w:val="00C62094"/>
    <w:rsid w:val="00C62595"/>
    <w:rsid w:val="00C64625"/>
    <w:rsid w:val="00C67541"/>
    <w:rsid w:val="00C70846"/>
    <w:rsid w:val="00C72B94"/>
    <w:rsid w:val="00C72F59"/>
    <w:rsid w:val="00C74F99"/>
    <w:rsid w:val="00C77F0F"/>
    <w:rsid w:val="00C831D3"/>
    <w:rsid w:val="00C839DF"/>
    <w:rsid w:val="00C86339"/>
    <w:rsid w:val="00C86D6B"/>
    <w:rsid w:val="00C90D1E"/>
    <w:rsid w:val="00C9113A"/>
    <w:rsid w:val="00C9161D"/>
    <w:rsid w:val="00C91AC7"/>
    <w:rsid w:val="00C93BEC"/>
    <w:rsid w:val="00C957DC"/>
    <w:rsid w:val="00CA09DC"/>
    <w:rsid w:val="00CA0C1D"/>
    <w:rsid w:val="00CA4878"/>
    <w:rsid w:val="00CA70FF"/>
    <w:rsid w:val="00CB19E5"/>
    <w:rsid w:val="00CB3322"/>
    <w:rsid w:val="00CB362D"/>
    <w:rsid w:val="00CB386F"/>
    <w:rsid w:val="00CB3C2C"/>
    <w:rsid w:val="00CB483D"/>
    <w:rsid w:val="00CB5424"/>
    <w:rsid w:val="00CB661D"/>
    <w:rsid w:val="00CC006B"/>
    <w:rsid w:val="00CC04D5"/>
    <w:rsid w:val="00CC2C5A"/>
    <w:rsid w:val="00CC535B"/>
    <w:rsid w:val="00CC564E"/>
    <w:rsid w:val="00CC59E3"/>
    <w:rsid w:val="00CC7687"/>
    <w:rsid w:val="00CD1907"/>
    <w:rsid w:val="00CD7AA0"/>
    <w:rsid w:val="00CE1294"/>
    <w:rsid w:val="00CE2032"/>
    <w:rsid w:val="00CE30FE"/>
    <w:rsid w:val="00CE3728"/>
    <w:rsid w:val="00CE390E"/>
    <w:rsid w:val="00CE4979"/>
    <w:rsid w:val="00CE5079"/>
    <w:rsid w:val="00CE5760"/>
    <w:rsid w:val="00CE5B37"/>
    <w:rsid w:val="00CE6280"/>
    <w:rsid w:val="00CE64CA"/>
    <w:rsid w:val="00CE72A7"/>
    <w:rsid w:val="00CF10F6"/>
    <w:rsid w:val="00CF16A0"/>
    <w:rsid w:val="00CF1848"/>
    <w:rsid w:val="00CF57C1"/>
    <w:rsid w:val="00CF7756"/>
    <w:rsid w:val="00CF7D3F"/>
    <w:rsid w:val="00D00383"/>
    <w:rsid w:val="00D00722"/>
    <w:rsid w:val="00D016F5"/>
    <w:rsid w:val="00D019DD"/>
    <w:rsid w:val="00D03063"/>
    <w:rsid w:val="00D0445B"/>
    <w:rsid w:val="00D0470F"/>
    <w:rsid w:val="00D05F98"/>
    <w:rsid w:val="00D0691E"/>
    <w:rsid w:val="00D12044"/>
    <w:rsid w:val="00D12774"/>
    <w:rsid w:val="00D12D19"/>
    <w:rsid w:val="00D135FC"/>
    <w:rsid w:val="00D1369E"/>
    <w:rsid w:val="00D13BDB"/>
    <w:rsid w:val="00D14930"/>
    <w:rsid w:val="00D1578F"/>
    <w:rsid w:val="00D1601D"/>
    <w:rsid w:val="00D1612F"/>
    <w:rsid w:val="00D170D9"/>
    <w:rsid w:val="00D17169"/>
    <w:rsid w:val="00D21E7B"/>
    <w:rsid w:val="00D23509"/>
    <w:rsid w:val="00D23A64"/>
    <w:rsid w:val="00D23EA6"/>
    <w:rsid w:val="00D24BCD"/>
    <w:rsid w:val="00D24E1F"/>
    <w:rsid w:val="00D265C5"/>
    <w:rsid w:val="00D302FD"/>
    <w:rsid w:val="00D3115B"/>
    <w:rsid w:val="00D32301"/>
    <w:rsid w:val="00D33EFC"/>
    <w:rsid w:val="00D3403D"/>
    <w:rsid w:val="00D34127"/>
    <w:rsid w:val="00D3431D"/>
    <w:rsid w:val="00D353D7"/>
    <w:rsid w:val="00D36CAF"/>
    <w:rsid w:val="00D376B1"/>
    <w:rsid w:val="00D37D84"/>
    <w:rsid w:val="00D404AF"/>
    <w:rsid w:val="00D40902"/>
    <w:rsid w:val="00D40DBC"/>
    <w:rsid w:val="00D41DE0"/>
    <w:rsid w:val="00D4589F"/>
    <w:rsid w:val="00D47274"/>
    <w:rsid w:val="00D61C85"/>
    <w:rsid w:val="00D61E14"/>
    <w:rsid w:val="00D62804"/>
    <w:rsid w:val="00D62DAF"/>
    <w:rsid w:val="00D6366C"/>
    <w:rsid w:val="00D656CE"/>
    <w:rsid w:val="00D6577B"/>
    <w:rsid w:val="00D66E29"/>
    <w:rsid w:val="00D71216"/>
    <w:rsid w:val="00D73F2E"/>
    <w:rsid w:val="00D75CA6"/>
    <w:rsid w:val="00D75E02"/>
    <w:rsid w:val="00D76A18"/>
    <w:rsid w:val="00D7701F"/>
    <w:rsid w:val="00D80849"/>
    <w:rsid w:val="00D8155A"/>
    <w:rsid w:val="00D81AC0"/>
    <w:rsid w:val="00D82483"/>
    <w:rsid w:val="00D82E5E"/>
    <w:rsid w:val="00D82E8F"/>
    <w:rsid w:val="00D83AEC"/>
    <w:rsid w:val="00D840F7"/>
    <w:rsid w:val="00D84A12"/>
    <w:rsid w:val="00D867D3"/>
    <w:rsid w:val="00D90671"/>
    <w:rsid w:val="00D90B3A"/>
    <w:rsid w:val="00D90E3A"/>
    <w:rsid w:val="00D9142D"/>
    <w:rsid w:val="00D920B6"/>
    <w:rsid w:val="00D946F6"/>
    <w:rsid w:val="00D952E9"/>
    <w:rsid w:val="00D95F6B"/>
    <w:rsid w:val="00D967FE"/>
    <w:rsid w:val="00DA03B9"/>
    <w:rsid w:val="00DA079E"/>
    <w:rsid w:val="00DA2C58"/>
    <w:rsid w:val="00DA2C6F"/>
    <w:rsid w:val="00DA681F"/>
    <w:rsid w:val="00DA719E"/>
    <w:rsid w:val="00DB090E"/>
    <w:rsid w:val="00DB18B1"/>
    <w:rsid w:val="00DB3C99"/>
    <w:rsid w:val="00DB4E0A"/>
    <w:rsid w:val="00DB5E0F"/>
    <w:rsid w:val="00DB6CD4"/>
    <w:rsid w:val="00DC2941"/>
    <w:rsid w:val="00DC5141"/>
    <w:rsid w:val="00DC73E6"/>
    <w:rsid w:val="00DD0427"/>
    <w:rsid w:val="00DD0EE3"/>
    <w:rsid w:val="00DD118C"/>
    <w:rsid w:val="00DD1535"/>
    <w:rsid w:val="00DD1569"/>
    <w:rsid w:val="00DD2334"/>
    <w:rsid w:val="00DD3203"/>
    <w:rsid w:val="00DD44A2"/>
    <w:rsid w:val="00DD5AFF"/>
    <w:rsid w:val="00DD5E3B"/>
    <w:rsid w:val="00DD67E7"/>
    <w:rsid w:val="00DD6B1E"/>
    <w:rsid w:val="00DE1D96"/>
    <w:rsid w:val="00DE44A6"/>
    <w:rsid w:val="00DE4F28"/>
    <w:rsid w:val="00DE6E2D"/>
    <w:rsid w:val="00DE765C"/>
    <w:rsid w:val="00DF05BA"/>
    <w:rsid w:val="00DF0783"/>
    <w:rsid w:val="00DF1288"/>
    <w:rsid w:val="00DF1FFF"/>
    <w:rsid w:val="00DF51B3"/>
    <w:rsid w:val="00DF6725"/>
    <w:rsid w:val="00DF6D0D"/>
    <w:rsid w:val="00E0064D"/>
    <w:rsid w:val="00E01722"/>
    <w:rsid w:val="00E026B9"/>
    <w:rsid w:val="00E03855"/>
    <w:rsid w:val="00E03A32"/>
    <w:rsid w:val="00E03FB5"/>
    <w:rsid w:val="00E04413"/>
    <w:rsid w:val="00E07176"/>
    <w:rsid w:val="00E12311"/>
    <w:rsid w:val="00E126A5"/>
    <w:rsid w:val="00E12D57"/>
    <w:rsid w:val="00E148F7"/>
    <w:rsid w:val="00E16383"/>
    <w:rsid w:val="00E224B8"/>
    <w:rsid w:val="00E241F9"/>
    <w:rsid w:val="00E25202"/>
    <w:rsid w:val="00E31455"/>
    <w:rsid w:val="00E31627"/>
    <w:rsid w:val="00E31C62"/>
    <w:rsid w:val="00E32897"/>
    <w:rsid w:val="00E34048"/>
    <w:rsid w:val="00E36404"/>
    <w:rsid w:val="00E367AA"/>
    <w:rsid w:val="00E46ED6"/>
    <w:rsid w:val="00E47CAF"/>
    <w:rsid w:val="00E47FF3"/>
    <w:rsid w:val="00E5055A"/>
    <w:rsid w:val="00E506D9"/>
    <w:rsid w:val="00E5213D"/>
    <w:rsid w:val="00E522E2"/>
    <w:rsid w:val="00E53429"/>
    <w:rsid w:val="00E560E7"/>
    <w:rsid w:val="00E6080A"/>
    <w:rsid w:val="00E61984"/>
    <w:rsid w:val="00E628B0"/>
    <w:rsid w:val="00E63E09"/>
    <w:rsid w:val="00E65349"/>
    <w:rsid w:val="00E65C4A"/>
    <w:rsid w:val="00E65FDE"/>
    <w:rsid w:val="00E66235"/>
    <w:rsid w:val="00E70B26"/>
    <w:rsid w:val="00E71E6F"/>
    <w:rsid w:val="00E74233"/>
    <w:rsid w:val="00E75963"/>
    <w:rsid w:val="00E76754"/>
    <w:rsid w:val="00E802C7"/>
    <w:rsid w:val="00E83C24"/>
    <w:rsid w:val="00E83CE8"/>
    <w:rsid w:val="00E87381"/>
    <w:rsid w:val="00E90209"/>
    <w:rsid w:val="00E91AEC"/>
    <w:rsid w:val="00E91E6A"/>
    <w:rsid w:val="00E9243F"/>
    <w:rsid w:val="00E929FC"/>
    <w:rsid w:val="00E9318D"/>
    <w:rsid w:val="00E93944"/>
    <w:rsid w:val="00E93F3E"/>
    <w:rsid w:val="00E967F4"/>
    <w:rsid w:val="00E971A4"/>
    <w:rsid w:val="00EA0446"/>
    <w:rsid w:val="00EA4CF0"/>
    <w:rsid w:val="00EB121A"/>
    <w:rsid w:val="00EB1C4D"/>
    <w:rsid w:val="00EB20CD"/>
    <w:rsid w:val="00EB36C1"/>
    <w:rsid w:val="00EB53C3"/>
    <w:rsid w:val="00EB5A48"/>
    <w:rsid w:val="00EC580F"/>
    <w:rsid w:val="00EC5B03"/>
    <w:rsid w:val="00EC7B2E"/>
    <w:rsid w:val="00EC7CF2"/>
    <w:rsid w:val="00ED0D5A"/>
    <w:rsid w:val="00ED1498"/>
    <w:rsid w:val="00ED281B"/>
    <w:rsid w:val="00ED43FF"/>
    <w:rsid w:val="00ED60C6"/>
    <w:rsid w:val="00EE1AE1"/>
    <w:rsid w:val="00EE5C06"/>
    <w:rsid w:val="00EE744D"/>
    <w:rsid w:val="00EF09F0"/>
    <w:rsid w:val="00EF0B36"/>
    <w:rsid w:val="00EF112B"/>
    <w:rsid w:val="00EF26B1"/>
    <w:rsid w:val="00EF359D"/>
    <w:rsid w:val="00EF3FB3"/>
    <w:rsid w:val="00EF555B"/>
    <w:rsid w:val="00EF5C44"/>
    <w:rsid w:val="00EF5FBF"/>
    <w:rsid w:val="00EF6174"/>
    <w:rsid w:val="00EF681F"/>
    <w:rsid w:val="00EF6821"/>
    <w:rsid w:val="00F03766"/>
    <w:rsid w:val="00F05BB8"/>
    <w:rsid w:val="00F063C2"/>
    <w:rsid w:val="00F06D41"/>
    <w:rsid w:val="00F07569"/>
    <w:rsid w:val="00F07CD6"/>
    <w:rsid w:val="00F11AC6"/>
    <w:rsid w:val="00F12111"/>
    <w:rsid w:val="00F12353"/>
    <w:rsid w:val="00F13396"/>
    <w:rsid w:val="00F14563"/>
    <w:rsid w:val="00F14D2A"/>
    <w:rsid w:val="00F15DD7"/>
    <w:rsid w:val="00F16100"/>
    <w:rsid w:val="00F24805"/>
    <w:rsid w:val="00F25215"/>
    <w:rsid w:val="00F255E5"/>
    <w:rsid w:val="00F2686E"/>
    <w:rsid w:val="00F30840"/>
    <w:rsid w:val="00F31CD4"/>
    <w:rsid w:val="00F31D06"/>
    <w:rsid w:val="00F32875"/>
    <w:rsid w:val="00F33E69"/>
    <w:rsid w:val="00F370C8"/>
    <w:rsid w:val="00F3762E"/>
    <w:rsid w:val="00F40368"/>
    <w:rsid w:val="00F410AB"/>
    <w:rsid w:val="00F43712"/>
    <w:rsid w:val="00F44160"/>
    <w:rsid w:val="00F4451E"/>
    <w:rsid w:val="00F45AF9"/>
    <w:rsid w:val="00F45BFA"/>
    <w:rsid w:val="00F47E3E"/>
    <w:rsid w:val="00F526BC"/>
    <w:rsid w:val="00F53075"/>
    <w:rsid w:val="00F53193"/>
    <w:rsid w:val="00F5357E"/>
    <w:rsid w:val="00F5525B"/>
    <w:rsid w:val="00F57920"/>
    <w:rsid w:val="00F6087D"/>
    <w:rsid w:val="00F614B2"/>
    <w:rsid w:val="00F62DBB"/>
    <w:rsid w:val="00F62EFE"/>
    <w:rsid w:val="00F63155"/>
    <w:rsid w:val="00F64236"/>
    <w:rsid w:val="00F645BC"/>
    <w:rsid w:val="00F6488D"/>
    <w:rsid w:val="00F6526D"/>
    <w:rsid w:val="00F6586C"/>
    <w:rsid w:val="00F679F7"/>
    <w:rsid w:val="00F7177A"/>
    <w:rsid w:val="00F71DAD"/>
    <w:rsid w:val="00F72A9E"/>
    <w:rsid w:val="00F73F26"/>
    <w:rsid w:val="00F747D6"/>
    <w:rsid w:val="00F75F41"/>
    <w:rsid w:val="00F76E80"/>
    <w:rsid w:val="00F81C79"/>
    <w:rsid w:val="00F8431C"/>
    <w:rsid w:val="00F8451E"/>
    <w:rsid w:val="00F8573E"/>
    <w:rsid w:val="00F9038B"/>
    <w:rsid w:val="00F90E80"/>
    <w:rsid w:val="00F92121"/>
    <w:rsid w:val="00F94774"/>
    <w:rsid w:val="00F948D8"/>
    <w:rsid w:val="00F9522A"/>
    <w:rsid w:val="00F9766D"/>
    <w:rsid w:val="00F97A19"/>
    <w:rsid w:val="00FA117D"/>
    <w:rsid w:val="00FA36B9"/>
    <w:rsid w:val="00FA49E6"/>
    <w:rsid w:val="00FA663B"/>
    <w:rsid w:val="00FB19B2"/>
    <w:rsid w:val="00FB67DE"/>
    <w:rsid w:val="00FB73C8"/>
    <w:rsid w:val="00FC1DD7"/>
    <w:rsid w:val="00FC53DB"/>
    <w:rsid w:val="00FC6EA8"/>
    <w:rsid w:val="00FD159E"/>
    <w:rsid w:val="00FD2E64"/>
    <w:rsid w:val="00FD3587"/>
    <w:rsid w:val="00FD3B82"/>
    <w:rsid w:val="00FD591E"/>
    <w:rsid w:val="00FE36CD"/>
    <w:rsid w:val="00FE432A"/>
    <w:rsid w:val="00FE4799"/>
    <w:rsid w:val="00FE7230"/>
    <w:rsid w:val="00FE72EF"/>
    <w:rsid w:val="00FF05A4"/>
    <w:rsid w:val="00FF1FD4"/>
    <w:rsid w:val="00FF1FF7"/>
    <w:rsid w:val="00FF2831"/>
    <w:rsid w:val="00FF45E4"/>
    <w:rsid w:val="01D3EBF1"/>
    <w:rsid w:val="02380551"/>
    <w:rsid w:val="027B8D6E"/>
    <w:rsid w:val="029FF2F5"/>
    <w:rsid w:val="02FA61D4"/>
    <w:rsid w:val="032ECFC6"/>
    <w:rsid w:val="03529F15"/>
    <w:rsid w:val="04EA7097"/>
    <w:rsid w:val="05B9F62C"/>
    <w:rsid w:val="06368C92"/>
    <w:rsid w:val="07933423"/>
    <w:rsid w:val="08C80521"/>
    <w:rsid w:val="08D9A2E1"/>
    <w:rsid w:val="096C30C2"/>
    <w:rsid w:val="0A1A1113"/>
    <w:rsid w:val="0A70F716"/>
    <w:rsid w:val="0AB5E8D9"/>
    <w:rsid w:val="0CF0E4E3"/>
    <w:rsid w:val="0D030E92"/>
    <w:rsid w:val="0D672833"/>
    <w:rsid w:val="0DBD481E"/>
    <w:rsid w:val="0DFEC7AC"/>
    <w:rsid w:val="0E3F1BBC"/>
    <w:rsid w:val="0E4F33E9"/>
    <w:rsid w:val="0EA0A63B"/>
    <w:rsid w:val="0EA82FFE"/>
    <w:rsid w:val="0F8D4CE8"/>
    <w:rsid w:val="10F59B55"/>
    <w:rsid w:val="11B9121E"/>
    <w:rsid w:val="11DB9A82"/>
    <w:rsid w:val="12375A4D"/>
    <w:rsid w:val="12768986"/>
    <w:rsid w:val="14A8ACE1"/>
    <w:rsid w:val="14BF0279"/>
    <w:rsid w:val="14F2757C"/>
    <w:rsid w:val="15B78DEC"/>
    <w:rsid w:val="15F5F554"/>
    <w:rsid w:val="16DFED3C"/>
    <w:rsid w:val="171E8EF1"/>
    <w:rsid w:val="17D68C87"/>
    <w:rsid w:val="17ED629E"/>
    <w:rsid w:val="17F15541"/>
    <w:rsid w:val="18F9771B"/>
    <w:rsid w:val="195B2ABD"/>
    <w:rsid w:val="196783C5"/>
    <w:rsid w:val="1A2F4D8F"/>
    <w:rsid w:val="1AE006AF"/>
    <w:rsid w:val="1AE76A76"/>
    <w:rsid w:val="1C00F86F"/>
    <w:rsid w:val="1C7649BE"/>
    <w:rsid w:val="1C960341"/>
    <w:rsid w:val="1CAC1E42"/>
    <w:rsid w:val="1CBBEBCF"/>
    <w:rsid w:val="1CEA1389"/>
    <w:rsid w:val="1DD57003"/>
    <w:rsid w:val="1EC8C0EF"/>
    <w:rsid w:val="1F08CD1B"/>
    <w:rsid w:val="1F8BAE8D"/>
    <w:rsid w:val="201B4FE1"/>
    <w:rsid w:val="203FEC9F"/>
    <w:rsid w:val="2076E9E3"/>
    <w:rsid w:val="20C8404B"/>
    <w:rsid w:val="213650A3"/>
    <w:rsid w:val="22347C74"/>
    <w:rsid w:val="223E9DFF"/>
    <w:rsid w:val="2262617A"/>
    <w:rsid w:val="236477C4"/>
    <w:rsid w:val="23A0EB11"/>
    <w:rsid w:val="23A54CFD"/>
    <w:rsid w:val="24000292"/>
    <w:rsid w:val="24032070"/>
    <w:rsid w:val="246F8D27"/>
    <w:rsid w:val="25111108"/>
    <w:rsid w:val="25134D57"/>
    <w:rsid w:val="255F6BA2"/>
    <w:rsid w:val="2726299D"/>
    <w:rsid w:val="274CDF9B"/>
    <w:rsid w:val="279E9BBC"/>
    <w:rsid w:val="288AEB80"/>
    <w:rsid w:val="29204467"/>
    <w:rsid w:val="2926A2B3"/>
    <w:rsid w:val="2A27B4CF"/>
    <w:rsid w:val="2C296FE6"/>
    <w:rsid w:val="2D0DFFC3"/>
    <w:rsid w:val="2DC8DD11"/>
    <w:rsid w:val="2E664DA4"/>
    <w:rsid w:val="2EE04701"/>
    <w:rsid w:val="307A6199"/>
    <w:rsid w:val="3134782D"/>
    <w:rsid w:val="315A8680"/>
    <w:rsid w:val="319B3667"/>
    <w:rsid w:val="31D02EDA"/>
    <w:rsid w:val="32471F29"/>
    <w:rsid w:val="32D4DC87"/>
    <w:rsid w:val="3390BA7C"/>
    <w:rsid w:val="33CBF85B"/>
    <w:rsid w:val="3449D5BF"/>
    <w:rsid w:val="34703B92"/>
    <w:rsid w:val="34DCBD56"/>
    <w:rsid w:val="3529A7D4"/>
    <w:rsid w:val="3687F7BA"/>
    <w:rsid w:val="36C9AC3C"/>
    <w:rsid w:val="39E38543"/>
    <w:rsid w:val="3A1F3EF3"/>
    <w:rsid w:val="3AE04339"/>
    <w:rsid w:val="3B065520"/>
    <w:rsid w:val="3CED4273"/>
    <w:rsid w:val="3DF3D886"/>
    <w:rsid w:val="3E078A9C"/>
    <w:rsid w:val="3E26E6CB"/>
    <w:rsid w:val="3E4C462C"/>
    <w:rsid w:val="3E5F7A86"/>
    <w:rsid w:val="3F290311"/>
    <w:rsid w:val="3FA2C0B7"/>
    <w:rsid w:val="40EA57F9"/>
    <w:rsid w:val="4127F422"/>
    <w:rsid w:val="41EDFA23"/>
    <w:rsid w:val="423B4CE8"/>
    <w:rsid w:val="42C6B680"/>
    <w:rsid w:val="436381D4"/>
    <w:rsid w:val="43826E2A"/>
    <w:rsid w:val="4384C370"/>
    <w:rsid w:val="4492329B"/>
    <w:rsid w:val="451466DB"/>
    <w:rsid w:val="4555801E"/>
    <w:rsid w:val="455C1BCF"/>
    <w:rsid w:val="457E287C"/>
    <w:rsid w:val="46EAFBEC"/>
    <w:rsid w:val="489D5797"/>
    <w:rsid w:val="48B9544F"/>
    <w:rsid w:val="4917BE70"/>
    <w:rsid w:val="4959A5CB"/>
    <w:rsid w:val="4A122530"/>
    <w:rsid w:val="4A345C7F"/>
    <w:rsid w:val="4A347D72"/>
    <w:rsid w:val="4A9FCA11"/>
    <w:rsid w:val="4B892F28"/>
    <w:rsid w:val="4B9BD4E5"/>
    <w:rsid w:val="4CCCD5E4"/>
    <w:rsid w:val="4CF4158E"/>
    <w:rsid w:val="4E0A63F7"/>
    <w:rsid w:val="4E51668A"/>
    <w:rsid w:val="4E5551DD"/>
    <w:rsid w:val="4EB121B0"/>
    <w:rsid w:val="500BEF72"/>
    <w:rsid w:val="5053F20C"/>
    <w:rsid w:val="5064FB24"/>
    <w:rsid w:val="51097F90"/>
    <w:rsid w:val="5122DB81"/>
    <w:rsid w:val="513692FE"/>
    <w:rsid w:val="52A1F6B0"/>
    <w:rsid w:val="52AF644A"/>
    <w:rsid w:val="52DA1C72"/>
    <w:rsid w:val="53227AA9"/>
    <w:rsid w:val="532BF464"/>
    <w:rsid w:val="53F937B5"/>
    <w:rsid w:val="54123AD4"/>
    <w:rsid w:val="548FA701"/>
    <w:rsid w:val="54A523D5"/>
    <w:rsid w:val="54D23B0B"/>
    <w:rsid w:val="550DA9D5"/>
    <w:rsid w:val="5637FB06"/>
    <w:rsid w:val="565B8FD3"/>
    <w:rsid w:val="566ADB16"/>
    <w:rsid w:val="5695534D"/>
    <w:rsid w:val="5698BF9A"/>
    <w:rsid w:val="56C5B251"/>
    <w:rsid w:val="56E04DEF"/>
    <w:rsid w:val="572B59BF"/>
    <w:rsid w:val="57AEF2CC"/>
    <w:rsid w:val="57D12E2D"/>
    <w:rsid w:val="58F9886C"/>
    <w:rsid w:val="590718A6"/>
    <w:rsid w:val="59276CA0"/>
    <w:rsid w:val="59A48C2A"/>
    <w:rsid w:val="59BEAEBD"/>
    <w:rsid w:val="5BBCC2F2"/>
    <w:rsid w:val="5BBE48F6"/>
    <w:rsid w:val="5BBF113C"/>
    <w:rsid w:val="5BD8265F"/>
    <w:rsid w:val="5C1FFEB2"/>
    <w:rsid w:val="5E7AA4A8"/>
    <w:rsid w:val="5E870347"/>
    <w:rsid w:val="5F80AA5B"/>
    <w:rsid w:val="6056954C"/>
    <w:rsid w:val="60B14319"/>
    <w:rsid w:val="611D060D"/>
    <w:rsid w:val="61BCC705"/>
    <w:rsid w:val="61E1C895"/>
    <w:rsid w:val="62B72A68"/>
    <w:rsid w:val="63057188"/>
    <w:rsid w:val="630BD375"/>
    <w:rsid w:val="63118363"/>
    <w:rsid w:val="63198F96"/>
    <w:rsid w:val="64CEC32F"/>
    <w:rsid w:val="64FD2791"/>
    <w:rsid w:val="653E116A"/>
    <w:rsid w:val="662279C3"/>
    <w:rsid w:val="663CA7B2"/>
    <w:rsid w:val="67B25591"/>
    <w:rsid w:val="683D9FA6"/>
    <w:rsid w:val="694BBB25"/>
    <w:rsid w:val="6A4A9475"/>
    <w:rsid w:val="6BD171E1"/>
    <w:rsid w:val="6BDA2C43"/>
    <w:rsid w:val="6C775FE8"/>
    <w:rsid w:val="6CE9B4F1"/>
    <w:rsid w:val="6D237BCA"/>
    <w:rsid w:val="6D2CB4D1"/>
    <w:rsid w:val="6D4C2DF5"/>
    <w:rsid w:val="6D534D64"/>
    <w:rsid w:val="6D59F675"/>
    <w:rsid w:val="6D781F8C"/>
    <w:rsid w:val="6DAE9EF0"/>
    <w:rsid w:val="6ED3D86F"/>
    <w:rsid w:val="6F3A30DB"/>
    <w:rsid w:val="6F6C8783"/>
    <w:rsid w:val="6F83988D"/>
    <w:rsid w:val="6FCD43D8"/>
    <w:rsid w:val="6FE306B0"/>
    <w:rsid w:val="704794ED"/>
    <w:rsid w:val="70607AEB"/>
    <w:rsid w:val="70A50204"/>
    <w:rsid w:val="70CE750C"/>
    <w:rsid w:val="70DDECD1"/>
    <w:rsid w:val="70ED099F"/>
    <w:rsid w:val="7114F2F2"/>
    <w:rsid w:val="713E0A5E"/>
    <w:rsid w:val="71DD0FB8"/>
    <w:rsid w:val="720C6764"/>
    <w:rsid w:val="72E29022"/>
    <w:rsid w:val="7311C59E"/>
    <w:rsid w:val="73C5B538"/>
    <w:rsid w:val="7463B449"/>
    <w:rsid w:val="74802E0C"/>
    <w:rsid w:val="74AE1936"/>
    <w:rsid w:val="756DBBC1"/>
    <w:rsid w:val="761B58F5"/>
    <w:rsid w:val="76FEBF4C"/>
    <w:rsid w:val="771B9890"/>
    <w:rsid w:val="77246686"/>
    <w:rsid w:val="77EC15FC"/>
    <w:rsid w:val="78BB70A0"/>
    <w:rsid w:val="7A20F81C"/>
    <w:rsid w:val="7A26DD4C"/>
    <w:rsid w:val="7B648E64"/>
    <w:rsid w:val="7B9DE5C8"/>
    <w:rsid w:val="7BEB365F"/>
    <w:rsid w:val="7C8B2365"/>
    <w:rsid w:val="7CAAB0EA"/>
    <w:rsid w:val="7CB711F8"/>
    <w:rsid w:val="7DAF4315"/>
    <w:rsid w:val="7F0383DD"/>
    <w:rsid w:val="7F31CA13"/>
    <w:rsid w:val="7F6A5D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C7A8A4"/>
  <w15:docId w15:val="{8489ECF4-0C6D-482B-B7A4-9DCA70036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ru-RU"/>
    </w:rPr>
  </w:style>
  <w:style w:type="character" w:styleId="PlaceholderText">
    <w:name w:val="Placeholder Text"/>
    <w:basedOn w:val="DefaultParagraphFont"/>
    <w:uiPriority w:val="99"/>
    <w:semiHidden/>
    <w:rsid w:val="00105372"/>
    <w:rPr>
      <w:color w:val="808080"/>
      <w:lang w:val="ru-RU"/>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ru-RU"/>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ru-RU"/>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BodyText">
    <w:name w:val="Body Text"/>
    <w:basedOn w:val="Normal"/>
    <w:link w:val="BodyTextChar"/>
    <w:unhideWhenUsed/>
    <w:qFormat/>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rsid w:val="003F1A75"/>
    <w:rPr>
      <w:rFonts w:eastAsiaTheme="minorHAnsi"/>
      <w:kern w:val="2"/>
      <w:sz w:val="22"/>
      <w:szCs w:val="22"/>
      <w:lang w:val="ru-RU"/>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ru-RU"/>
    </w:rPr>
  </w:style>
  <w:style w:type="character" w:styleId="CommentReference">
    <w:name w:val="annotation reference"/>
    <w:basedOn w:val="DefaultParagraphFont"/>
    <w:uiPriority w:val="99"/>
    <w:unhideWhenUsed/>
    <w:rsid w:val="003F1A75"/>
    <w:rPr>
      <w:sz w:val="16"/>
      <w:szCs w:val="16"/>
      <w:lang w:val="ru-RU"/>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ru-RU"/>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ru-RU"/>
    </w:rPr>
  </w:style>
  <w:style w:type="character" w:styleId="FollowedHyperlink">
    <w:name w:val="FollowedHyperlink"/>
    <w:rsid w:val="007E09DA"/>
    <w:rPr>
      <w:color w:val="800080"/>
      <w:u w:val="single"/>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ru-RU"/>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ru-RU"/>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ru-RU"/>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ru-RU"/>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ru-RU"/>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ru-RU"/>
    </w:rPr>
  </w:style>
  <w:style w:type="character" w:styleId="PageNumber">
    <w:name w:val="page number"/>
    <w:rsid w:val="007E09DA"/>
    <w:rPr>
      <w:rFonts w:ascii="Times New Roman" w:hAnsi="Times New Roman"/>
      <w:sz w:val="22"/>
      <w:lang w:val="ru-RU"/>
    </w:rPr>
  </w:style>
  <w:style w:type="paragraph" w:customStyle="1" w:styleId="Para1">
    <w:name w:val="Para1"/>
    <w:basedOn w:val="Normal"/>
    <w:link w:val="Para1Char"/>
    <w:rsid w:val="005B35E2"/>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9"/>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ru-RU"/>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7"/>
      </w:numPr>
    </w:pPr>
  </w:style>
  <w:style w:type="numbering" w:customStyle="1" w:styleId="CBDHeadings">
    <w:name w:val="CBD_Headings"/>
    <w:basedOn w:val="ListCBD"/>
    <w:uiPriority w:val="99"/>
    <w:rsid w:val="003F1A75"/>
    <w:pPr>
      <w:numPr>
        <w:numId w:val="8"/>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ru-RU"/>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ru-RU"/>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ru-RU"/>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ru-RU"/>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ru-RU"/>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ru-RU"/>
    </w:rPr>
  </w:style>
  <w:style w:type="character" w:styleId="BookTitle">
    <w:name w:val="Book Title"/>
    <w:basedOn w:val="DefaultParagraphFont"/>
    <w:uiPriority w:val="33"/>
    <w:qFormat/>
    <w:rsid w:val="00A111D1"/>
    <w:rPr>
      <w:b/>
      <w:bCs/>
      <w:i/>
      <w:iCs/>
      <w:spacing w:val="5"/>
      <w:lang w:val="ru-RU"/>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ru-RU"/>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ru-RU"/>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ru-RU"/>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ru-RU"/>
    </w:rPr>
  </w:style>
  <w:style w:type="character" w:styleId="Emphasis">
    <w:name w:val="Emphasis"/>
    <w:basedOn w:val="DefaultParagraphFont"/>
    <w:uiPriority w:val="20"/>
    <w:qFormat/>
    <w:rsid w:val="00A111D1"/>
    <w:rPr>
      <w:i/>
      <w:iCs/>
      <w:lang w:val="ru-RU"/>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ru-RU"/>
    </w:rPr>
  </w:style>
  <w:style w:type="character" w:styleId="HTMLAcronym">
    <w:name w:val="HTML Acronym"/>
    <w:basedOn w:val="DefaultParagraphFont"/>
    <w:uiPriority w:val="99"/>
    <w:semiHidden/>
    <w:unhideWhenUsed/>
    <w:rsid w:val="00A111D1"/>
    <w:rPr>
      <w:lang w:val="ru-RU"/>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ru-RU"/>
    </w:rPr>
  </w:style>
  <w:style w:type="character" w:styleId="HTMLCite">
    <w:name w:val="HTML Cite"/>
    <w:basedOn w:val="DefaultParagraphFont"/>
    <w:uiPriority w:val="99"/>
    <w:semiHidden/>
    <w:unhideWhenUsed/>
    <w:rsid w:val="00A111D1"/>
    <w:rPr>
      <w:i/>
      <w:iCs/>
      <w:lang w:val="ru-RU"/>
    </w:rPr>
  </w:style>
  <w:style w:type="character" w:styleId="HTMLCode">
    <w:name w:val="HTML Code"/>
    <w:basedOn w:val="DefaultParagraphFont"/>
    <w:uiPriority w:val="99"/>
    <w:semiHidden/>
    <w:unhideWhenUsed/>
    <w:rsid w:val="00A111D1"/>
    <w:rPr>
      <w:rFonts w:ascii="Consolas" w:hAnsi="Consolas"/>
      <w:sz w:val="20"/>
      <w:szCs w:val="20"/>
      <w:lang w:val="ru-RU"/>
    </w:rPr>
  </w:style>
  <w:style w:type="character" w:styleId="HTMLDefinition">
    <w:name w:val="HTML Definition"/>
    <w:basedOn w:val="DefaultParagraphFont"/>
    <w:uiPriority w:val="99"/>
    <w:semiHidden/>
    <w:unhideWhenUsed/>
    <w:rsid w:val="00A111D1"/>
    <w:rPr>
      <w:i/>
      <w:iCs/>
      <w:lang w:val="ru-RU"/>
    </w:rPr>
  </w:style>
  <w:style w:type="character" w:styleId="HTMLKeyboard">
    <w:name w:val="HTML Keyboard"/>
    <w:basedOn w:val="DefaultParagraphFont"/>
    <w:uiPriority w:val="99"/>
    <w:semiHidden/>
    <w:unhideWhenUsed/>
    <w:rsid w:val="00A111D1"/>
    <w:rPr>
      <w:rFonts w:ascii="Consolas" w:hAnsi="Consolas"/>
      <w:sz w:val="20"/>
      <w:szCs w:val="20"/>
      <w:lang w:val="ru-RU"/>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ru-RU"/>
    </w:rPr>
  </w:style>
  <w:style w:type="character" w:styleId="HTMLSample">
    <w:name w:val="HTML Sample"/>
    <w:basedOn w:val="DefaultParagraphFont"/>
    <w:uiPriority w:val="99"/>
    <w:semiHidden/>
    <w:unhideWhenUsed/>
    <w:rsid w:val="00A111D1"/>
    <w:rPr>
      <w:rFonts w:ascii="Consolas" w:hAnsi="Consolas"/>
      <w:sz w:val="24"/>
      <w:szCs w:val="24"/>
      <w:lang w:val="ru-RU"/>
    </w:rPr>
  </w:style>
  <w:style w:type="character" w:styleId="HTMLTypewriter">
    <w:name w:val="HTML Typewriter"/>
    <w:basedOn w:val="DefaultParagraphFont"/>
    <w:uiPriority w:val="99"/>
    <w:semiHidden/>
    <w:unhideWhenUsed/>
    <w:rsid w:val="00A111D1"/>
    <w:rPr>
      <w:rFonts w:ascii="Consolas" w:hAnsi="Consolas"/>
      <w:sz w:val="20"/>
      <w:szCs w:val="20"/>
      <w:lang w:val="ru-RU"/>
    </w:rPr>
  </w:style>
  <w:style w:type="character" w:styleId="HTMLVariable">
    <w:name w:val="HTML Variable"/>
    <w:basedOn w:val="DefaultParagraphFont"/>
    <w:uiPriority w:val="99"/>
    <w:semiHidden/>
    <w:unhideWhenUsed/>
    <w:rsid w:val="00A111D1"/>
    <w:rPr>
      <w:i/>
      <w:iCs/>
      <w:lang w:val="ru-RU"/>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ru-RU"/>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ru-RU"/>
    </w:rPr>
  </w:style>
  <w:style w:type="character" w:styleId="IntenseReference">
    <w:name w:val="Intense Reference"/>
    <w:basedOn w:val="DefaultParagraphFont"/>
    <w:uiPriority w:val="32"/>
    <w:qFormat/>
    <w:rsid w:val="00A111D1"/>
    <w:rPr>
      <w:b/>
      <w:bCs/>
      <w:smallCaps/>
      <w:color w:val="4F81BD" w:themeColor="accent1"/>
      <w:spacing w:val="5"/>
      <w:lang w:val="ru-RU"/>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ru-RU"/>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ru-RU"/>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ru-RU"/>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ru-RU"/>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ru-RU"/>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ru-RU"/>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ru-RU"/>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ru-RU"/>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ru-RU"/>
    </w:rPr>
  </w:style>
  <w:style w:type="character" w:styleId="SmartHyperlink">
    <w:name w:val="Smart Hyperlink"/>
    <w:basedOn w:val="DefaultParagraphFont"/>
    <w:uiPriority w:val="99"/>
    <w:semiHidden/>
    <w:unhideWhenUsed/>
    <w:rsid w:val="00A111D1"/>
    <w:rPr>
      <w:u w:val="dotted"/>
      <w:lang w:val="ru-RU"/>
    </w:rPr>
  </w:style>
  <w:style w:type="character" w:styleId="SmartLink">
    <w:name w:val="Smart Link"/>
    <w:basedOn w:val="DefaultParagraphFont"/>
    <w:uiPriority w:val="99"/>
    <w:semiHidden/>
    <w:unhideWhenUsed/>
    <w:rsid w:val="00A111D1"/>
    <w:rPr>
      <w:color w:val="0000FF"/>
      <w:u w:val="single"/>
      <w:shd w:val="clear" w:color="auto" w:fill="F3F2F1"/>
      <w:lang w:val="ru-RU"/>
    </w:rPr>
  </w:style>
  <w:style w:type="character" w:styleId="Strong">
    <w:name w:val="Strong"/>
    <w:basedOn w:val="DefaultParagraphFont"/>
    <w:uiPriority w:val="22"/>
    <w:qFormat/>
    <w:rsid w:val="00A111D1"/>
    <w:rPr>
      <w:b/>
      <w:bCs/>
      <w:lang w:val="ru-RU"/>
    </w:rPr>
  </w:style>
  <w:style w:type="character" w:styleId="SubtleEmphasis">
    <w:name w:val="Subtle Emphasis"/>
    <w:basedOn w:val="DefaultParagraphFont"/>
    <w:uiPriority w:val="19"/>
    <w:qFormat/>
    <w:rsid w:val="00A111D1"/>
    <w:rPr>
      <w:i/>
      <w:iCs/>
      <w:color w:val="404040" w:themeColor="text1" w:themeTint="BF"/>
      <w:lang w:val="ru-RU"/>
    </w:rPr>
  </w:style>
  <w:style w:type="character" w:styleId="SubtleReference">
    <w:name w:val="Subtle Reference"/>
    <w:basedOn w:val="DefaultParagraphFont"/>
    <w:uiPriority w:val="31"/>
    <w:qFormat/>
    <w:rsid w:val="00A111D1"/>
    <w:rPr>
      <w:smallCaps/>
      <w:color w:val="5A5A5A" w:themeColor="text1" w:themeTint="A5"/>
      <w:lang w:val="ru-RU"/>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ru-RU"/>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F07CD6"/>
    <w:rPr>
      <w:rFonts w:ascii="Times New Roman" w:eastAsia="SimSun" w:hAnsi="Times New Roman" w:cs="Times New Roman"/>
      <w:sz w:val="22"/>
      <w:szCs w:val="22"/>
      <w:lang w:val="ru-RU"/>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07CD6"/>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ompact">
    <w:name w:val="Compact"/>
    <w:basedOn w:val="BodyText"/>
    <w:qFormat/>
    <w:rsid w:val="000C6356"/>
    <w:pPr>
      <w:tabs>
        <w:tab w:val="clear" w:pos="567"/>
        <w:tab w:val="clear" w:pos="1134"/>
        <w:tab w:val="clear" w:pos="1701"/>
        <w:tab w:val="clear" w:pos="2268"/>
      </w:tabs>
      <w:spacing w:before="36" w:after="36" w:line="240" w:lineRule="auto"/>
    </w:pPr>
    <w:rPr>
      <w:kern w:val="0"/>
      <w:sz w:val="24"/>
      <w:szCs w:val="24"/>
      <w14:ligatures w14:val="none"/>
    </w:rPr>
  </w:style>
  <w:style w:type="paragraph" w:customStyle="1" w:styleId="pf0">
    <w:name w:val="pf0"/>
    <w:basedOn w:val="Normal"/>
    <w:rsid w:val="00CB3322"/>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character" w:customStyle="1" w:styleId="cf01">
    <w:name w:val="cf01"/>
    <w:basedOn w:val="DefaultParagraphFont"/>
    <w:rsid w:val="00CB332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6/cop-16-dec-32-ru.pdf" TargetMode="External"/><Relationship Id="rId26" Type="http://schemas.openxmlformats.org/officeDocument/2006/relationships/hyperlink" Target="https://www.cbd.int/doc/decisions/cop-16/cop-16-dec-31-ru.pdf" TargetMode="External"/><Relationship Id="rId39" Type="http://schemas.openxmlformats.org/officeDocument/2006/relationships/hyperlink" Target="https://www.cbd.int/notifications/2025-045" TargetMode="External"/><Relationship Id="rId21" Type="http://schemas.openxmlformats.org/officeDocument/2006/relationships/hyperlink" Target="https://www.cbd.int/doc/decisions/cop-15/cop-15-dec-05-ru.pdf" TargetMode="External"/><Relationship Id="rId34" Type="http://schemas.openxmlformats.org/officeDocument/2006/relationships/hyperlink" Target="https://www.cbd.int/doc/decisions/cop-16/cop-16-dec-31-ru.pdf" TargetMode="External"/><Relationship Id="rId42" Type="http://schemas.openxmlformats.org/officeDocument/2006/relationships/hyperlink" Target="https://www.cbd.int/doc/decisions/cop-16/cop-16-dec-31-ru.pdf" TargetMode="External"/><Relationship Id="rId47" Type="http://schemas.openxmlformats.org/officeDocument/2006/relationships/hyperlink" Target="https://www.cbd.int/doc/decisions/cop-16/cop-16-dec-31-ru.pdf" TargetMode="External"/><Relationship Id="rId50" Type="http://schemas.openxmlformats.org/officeDocument/2006/relationships/hyperlink" Target="https://www.cbd.int/doc/decisions/cop-15/cop-15-dec-05-ru.pdf" TargetMode="External"/><Relationship Id="rId55" Type="http://schemas.openxmlformats.org/officeDocument/2006/relationships/footer" Target="footer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5/cop-15-dec-06-ru.pdf" TargetMode="External"/><Relationship Id="rId29" Type="http://schemas.openxmlformats.org/officeDocument/2006/relationships/hyperlink" Target="https://www.cbd.int/doc/decisions/cop-15/cop-15-dec-05-ru.pdf" TargetMode="External"/><Relationship Id="rId11" Type="http://schemas.openxmlformats.org/officeDocument/2006/relationships/endnotes" Target="endnotes.xml"/><Relationship Id="rId24" Type="http://schemas.openxmlformats.org/officeDocument/2006/relationships/hyperlink" Target="https://www.cbd.int/doc/decisions/cop-16/cop-16-dec-31-ru.pdf" TargetMode="External"/><Relationship Id="rId32" Type="http://schemas.openxmlformats.org/officeDocument/2006/relationships/hyperlink" Target="https://www.cbd.int/doc/decisions/cop-15/cop-15-dec-05-ru.pdf" TargetMode="External"/><Relationship Id="rId37" Type="http://schemas.openxmlformats.org/officeDocument/2006/relationships/hyperlink" Target="https://www.cbd.int/doc/c/a23d/cfed/f8a399632ad93b0a422dbd1a/sbstta-26-02-ru.pdf" TargetMode="External"/><Relationship Id="rId40" Type="http://schemas.openxmlformats.org/officeDocument/2006/relationships/hyperlink" Target="https://www.cbd.int/notifications/2025-046" TargetMode="External"/><Relationship Id="rId45" Type="http://schemas.openxmlformats.org/officeDocument/2006/relationships/hyperlink" Target="https://www.cbd.int/doc/decisions/cop-16/cop-16-dec-31-ru.pdf" TargetMode="External"/><Relationship Id="rId53" Type="http://schemas.openxmlformats.org/officeDocument/2006/relationships/header" Target="header1.xml"/><Relationship Id="rId58" Type="http://schemas.openxmlformats.org/officeDocument/2006/relationships/glossaryDocument" Target="glossary/document.xml"/><Relationship Id="rId5" Type="http://schemas.openxmlformats.org/officeDocument/2006/relationships/customXml" Target="../customXml/item5.xml"/><Relationship Id="rId19" Type="http://schemas.openxmlformats.org/officeDocument/2006/relationships/hyperlink" Target="https://www.cbd.int/doc/decisions/cop-16/cop-16-dec-31-ru.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1-ru.pdf" TargetMode="External"/><Relationship Id="rId27" Type="http://schemas.openxmlformats.org/officeDocument/2006/relationships/hyperlink" Target="https://www.cbd.int/doc/decisions/cop-15/cop-15-dec-05-ru.pdf" TargetMode="External"/><Relationship Id="rId30" Type="http://schemas.openxmlformats.org/officeDocument/2006/relationships/hyperlink" Target="https://www.cbd.int/doc/decisions/cop-15/cop-15-dec-05-ru.pdf" TargetMode="External"/><Relationship Id="rId35" Type="http://schemas.openxmlformats.org/officeDocument/2006/relationships/hyperlink" Target="https://www.cbd.int/doc/decisions/cop-15/cop-15-dec-05-ru.pdf" TargetMode="External"/><Relationship Id="rId43" Type="http://schemas.openxmlformats.org/officeDocument/2006/relationships/hyperlink" Target="https://www.cbd.int/doc/decisions/cop-16/cop-16-dec-34-ru.pdf" TargetMode="External"/><Relationship Id="rId48" Type="http://schemas.openxmlformats.org/officeDocument/2006/relationships/hyperlink" Target="https://www.cbd.int/doc/decisions/cop-16/cop-16-dec-31-ru.pdf" TargetMode="External"/><Relationship Id="rId5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doc/decisions/cop-15/cop-15-dec-06-ru.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cop-16/cop-16-dec-31-ru.pdf" TargetMode="External"/><Relationship Id="rId25" Type="http://schemas.openxmlformats.org/officeDocument/2006/relationships/hyperlink" Target="https://www.cbd.int/doc/decisions/cop-15/cop-15-dec-05-ru.pdf" TargetMode="External"/><Relationship Id="rId33" Type="http://schemas.openxmlformats.org/officeDocument/2006/relationships/hyperlink" Target="https://www.cbd.int/doc/decisions/cop-15/cop-15-dec-05-ru.pdf" TargetMode="External"/><Relationship Id="rId38" Type="http://schemas.openxmlformats.org/officeDocument/2006/relationships/hyperlink" Target="https://www.cbd.int/notifications/2025-044" TargetMode="External"/><Relationship Id="rId46" Type="http://schemas.openxmlformats.org/officeDocument/2006/relationships/hyperlink" Target="https://www.cbd.int/doc/decisions/cop-16/cop-16-dec-31-ru.pdf" TargetMode="External"/><Relationship Id="rId59" Type="http://schemas.openxmlformats.org/officeDocument/2006/relationships/theme" Target="theme/theme1.xml"/><Relationship Id="rId20" Type="http://schemas.openxmlformats.org/officeDocument/2006/relationships/hyperlink" Target="https://www.cbd.int/doc/decisions/cop-16/cop-16-dec-31-ru.pdf" TargetMode="External"/><Relationship Id="rId41" Type="http://schemas.openxmlformats.org/officeDocument/2006/relationships/hyperlink" Target="https://www.cbd.int/notifications/2025-077" TargetMode="External"/><Relationship Id="rId54"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5/cop-15-dec-05-ru.pdf" TargetMode="External"/><Relationship Id="rId23" Type="http://schemas.openxmlformats.org/officeDocument/2006/relationships/hyperlink" Target="https://www.cbd.int/doc/decisions/cop-15/cop-15-dec-05-ru.pdf" TargetMode="External"/><Relationship Id="rId28" Type="http://schemas.openxmlformats.org/officeDocument/2006/relationships/hyperlink" Target="https://www.cbd.int/doc/decisions/cop-16/cop-16-dec-31-ru.pdf" TargetMode="External"/><Relationship Id="rId36" Type="http://schemas.openxmlformats.org/officeDocument/2006/relationships/hyperlink" Target="https://www.cbd.int/doc/decisions/cop-16/cop-16-dec-31-ru.pdf" TargetMode="External"/><Relationship Id="rId49" Type="http://schemas.openxmlformats.org/officeDocument/2006/relationships/hyperlink" Target="https://www.cbd.int/doc/decisions/cop-16/cop-16-dec-31-ru.pdf" TargetMode="External"/><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cbd.int/doc/decisions/cop-16/cop-16-dec-31-ru.pdf" TargetMode="External"/><Relationship Id="rId44" Type="http://schemas.openxmlformats.org/officeDocument/2006/relationships/hyperlink" Target="https://www.cbd.int/doc/decisions/cop-16/cop-16-dec-31-ru.pdf" TargetMode="External"/><Relationship Id="rId52" Type="http://schemas.openxmlformats.org/officeDocument/2006/relationships/hyperlink" Target="https://www.cbd.int/doc/decisions/cop-16/cop-16-dec-31-ru.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5/cop-15-dec-05-ru.pdf" TargetMode="External"/><Relationship Id="rId3" Type="http://schemas.openxmlformats.org/officeDocument/2006/relationships/hyperlink" Target="https://www.cbd.int/documents/CBD/COP/16/INF/4" TargetMode="External"/><Relationship Id="rId7" Type="http://schemas.openxmlformats.org/officeDocument/2006/relationships/hyperlink" Target="https://www.cbd.int/notifications/2025-077" TargetMode="External"/><Relationship Id="rId12" Type="http://schemas.openxmlformats.org/officeDocument/2006/relationships/hyperlink" Target="https://www.cbd.int/documents/CBD/SBI/6/INF/6" TargetMode="External"/><Relationship Id="rId2" Type="http://schemas.openxmlformats.org/officeDocument/2006/relationships/hyperlink" Target="https://www.cbd.int/documents/CBD/COP/16/INF/3/REV1" TargetMode="External"/><Relationship Id="rId1" Type="http://schemas.openxmlformats.org/officeDocument/2006/relationships/hyperlink" Target="https://www.cbd.int/doc/c/3ca9/62ac/3c7e5dbf869cdc5e8bdb6787/sbstta-28-01-ru.pdf" TargetMode="External"/><Relationship Id="rId6" Type="http://schemas.openxmlformats.org/officeDocument/2006/relationships/hyperlink" Target="https://www.cbd.int/notifications/2025-045" TargetMode="External"/><Relationship Id="rId11" Type="http://schemas.openxmlformats.org/officeDocument/2006/relationships/hyperlink" Target="https://www.cbd.int/notifications/2025-046" TargetMode="External"/><Relationship Id="rId5" Type="http://schemas.openxmlformats.org/officeDocument/2006/relationships/hyperlink" Target="https://www.cbd.int/notifications/2025-044" TargetMode="External"/><Relationship Id="rId10" Type="http://schemas.openxmlformats.org/officeDocument/2006/relationships/hyperlink" Target="https://www.cbd.int/documents/CBD/COP/16/INF/5" TargetMode="External"/><Relationship Id="rId4" Type="http://schemas.openxmlformats.org/officeDocument/2006/relationships/hyperlink" Target="https://www.cbd.int/doc/decisions/cop-15/cop-15-dec-05-ru.pdf" TargetMode="External"/><Relationship Id="rId9" Type="http://schemas.openxmlformats.org/officeDocument/2006/relationships/hyperlink" Target="https://www.cbd.int/doc/decisions/cop-16/cop-16-dec-31-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OneDrive%20-%20United%20Nations\Desktop\sbstta-28-item%20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5E2F8FB98E3424B8155095AB8CBF3EE"/>
        <w:category>
          <w:name w:val="General"/>
          <w:gallery w:val="placeholder"/>
        </w:category>
        <w:types>
          <w:type w:val="bbPlcHdr"/>
        </w:types>
        <w:behaviors>
          <w:behavior w:val="content"/>
        </w:behaviors>
        <w:guid w:val="{204A50A8-63A4-44A3-865F-76D12A77E946}"/>
      </w:docPartPr>
      <w:docPartBody>
        <w:p w:rsidR="00FE21F0" w:rsidRDefault="007F503C">
          <w:pPr>
            <w:pStyle w:val="A5E2F8FB98E3424B8155095AB8CBF3E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73"/>
    <w:rsid w:val="000136F9"/>
    <w:rsid w:val="00061348"/>
    <w:rsid w:val="000A1859"/>
    <w:rsid w:val="000F7559"/>
    <w:rsid w:val="00122E4D"/>
    <w:rsid w:val="00136A5C"/>
    <w:rsid w:val="00137553"/>
    <w:rsid w:val="00140357"/>
    <w:rsid w:val="00174D7D"/>
    <w:rsid w:val="001A42DC"/>
    <w:rsid w:val="001B5989"/>
    <w:rsid w:val="001C09AB"/>
    <w:rsid w:val="001C36E6"/>
    <w:rsid w:val="001D2D77"/>
    <w:rsid w:val="001E31AD"/>
    <w:rsid w:val="001E4BF1"/>
    <w:rsid w:val="001F3A63"/>
    <w:rsid w:val="002725D5"/>
    <w:rsid w:val="002D2C80"/>
    <w:rsid w:val="002D39BE"/>
    <w:rsid w:val="00346DAC"/>
    <w:rsid w:val="003A31B5"/>
    <w:rsid w:val="00405C14"/>
    <w:rsid w:val="00427147"/>
    <w:rsid w:val="0045646D"/>
    <w:rsid w:val="004A7B0B"/>
    <w:rsid w:val="005111A7"/>
    <w:rsid w:val="00522067"/>
    <w:rsid w:val="005318CE"/>
    <w:rsid w:val="0054659E"/>
    <w:rsid w:val="00556AEC"/>
    <w:rsid w:val="0056536F"/>
    <w:rsid w:val="0057651E"/>
    <w:rsid w:val="00584E27"/>
    <w:rsid w:val="005E17BD"/>
    <w:rsid w:val="005E5D2F"/>
    <w:rsid w:val="00624D91"/>
    <w:rsid w:val="00677CF2"/>
    <w:rsid w:val="006910A1"/>
    <w:rsid w:val="006D79A6"/>
    <w:rsid w:val="006E168F"/>
    <w:rsid w:val="006E62EA"/>
    <w:rsid w:val="00722902"/>
    <w:rsid w:val="00780256"/>
    <w:rsid w:val="00791B4A"/>
    <w:rsid w:val="007F503C"/>
    <w:rsid w:val="00827883"/>
    <w:rsid w:val="00830B1C"/>
    <w:rsid w:val="00881970"/>
    <w:rsid w:val="008B7DA3"/>
    <w:rsid w:val="008C147C"/>
    <w:rsid w:val="008E0645"/>
    <w:rsid w:val="008F18AE"/>
    <w:rsid w:val="00902FD5"/>
    <w:rsid w:val="00910EAF"/>
    <w:rsid w:val="00915651"/>
    <w:rsid w:val="00916DC6"/>
    <w:rsid w:val="00975DF3"/>
    <w:rsid w:val="00977637"/>
    <w:rsid w:val="009D03B0"/>
    <w:rsid w:val="009D0710"/>
    <w:rsid w:val="00A233CC"/>
    <w:rsid w:val="00A25BA1"/>
    <w:rsid w:val="00A85DC5"/>
    <w:rsid w:val="00AD00FD"/>
    <w:rsid w:val="00AD2C73"/>
    <w:rsid w:val="00AF6F3E"/>
    <w:rsid w:val="00B065E9"/>
    <w:rsid w:val="00B7405E"/>
    <w:rsid w:val="00B934A9"/>
    <w:rsid w:val="00BB7141"/>
    <w:rsid w:val="00C15891"/>
    <w:rsid w:val="00C32510"/>
    <w:rsid w:val="00C53CA3"/>
    <w:rsid w:val="00C5433D"/>
    <w:rsid w:val="00C67541"/>
    <w:rsid w:val="00C9113A"/>
    <w:rsid w:val="00CB661D"/>
    <w:rsid w:val="00CE390E"/>
    <w:rsid w:val="00D15CDA"/>
    <w:rsid w:val="00D353D7"/>
    <w:rsid w:val="00D90B3A"/>
    <w:rsid w:val="00DA681F"/>
    <w:rsid w:val="00DA719E"/>
    <w:rsid w:val="00DC2D95"/>
    <w:rsid w:val="00DD44A2"/>
    <w:rsid w:val="00E55DFC"/>
    <w:rsid w:val="00E91E59"/>
    <w:rsid w:val="00ED60C6"/>
    <w:rsid w:val="00F07569"/>
    <w:rsid w:val="00F255E5"/>
    <w:rsid w:val="00F802F6"/>
    <w:rsid w:val="00F90E80"/>
    <w:rsid w:val="00FB5EC0"/>
    <w:rsid w:val="00FE21F0"/>
    <w:rsid w:val="00FF05A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5E2F8FB98E3424B8155095AB8CBF3EE">
    <w:name w:val="A5E2F8FB98E3424B8155095AB8CBF3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D982E84-2247-470D-BAF3-858058ABC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sbstta-28-item 3.dotm</Template>
  <TotalTime>66</TotalTime>
  <Pages>10</Pages>
  <Words>5151</Words>
  <Characters>29365</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Monitoring framework for the Kunming-Montreal Global Biodiversity Framework</vt:lpstr>
    </vt:vector>
  </TitlesOfParts>
  <Company>SCBD</Company>
  <LinksUpToDate>false</LinksUpToDate>
  <CharactersWithSpaces>34448</CharactersWithSpaces>
  <SharedDoc>false</SharedDoc>
  <HLinks>
    <vt:vector size="282" baseType="variant">
      <vt:variant>
        <vt:i4>7209057</vt:i4>
      </vt:variant>
      <vt:variant>
        <vt:i4>105</vt:i4>
      </vt:variant>
      <vt:variant>
        <vt:i4>0</vt:i4>
      </vt:variant>
      <vt:variant>
        <vt:i4>5</vt:i4>
      </vt:variant>
      <vt:variant>
        <vt:lpwstr>https://www.cbd.int/decisions/cop/?m=cop-16</vt:lpwstr>
      </vt:variant>
      <vt:variant>
        <vt:lpwstr/>
      </vt:variant>
      <vt:variant>
        <vt:i4>7012401</vt:i4>
      </vt:variant>
      <vt:variant>
        <vt:i4>102</vt:i4>
      </vt:variant>
      <vt:variant>
        <vt:i4>0</vt:i4>
      </vt:variant>
      <vt:variant>
        <vt:i4>5</vt:i4>
      </vt:variant>
      <vt:variant>
        <vt:lpwstr>https://www.cbd.int/meetings/COP-15</vt:lpwstr>
      </vt:variant>
      <vt:variant>
        <vt:lpwstr/>
      </vt:variant>
      <vt:variant>
        <vt:i4>7012401</vt:i4>
      </vt:variant>
      <vt:variant>
        <vt:i4>99</vt:i4>
      </vt:variant>
      <vt:variant>
        <vt:i4>0</vt:i4>
      </vt:variant>
      <vt:variant>
        <vt:i4>5</vt:i4>
      </vt:variant>
      <vt:variant>
        <vt:lpwstr>https://www.cbd.int/meetings/COP-15</vt:lpwstr>
      </vt:variant>
      <vt:variant>
        <vt:lpwstr/>
      </vt:variant>
      <vt:variant>
        <vt:i4>7209057</vt:i4>
      </vt:variant>
      <vt:variant>
        <vt:i4>96</vt:i4>
      </vt:variant>
      <vt:variant>
        <vt:i4>0</vt:i4>
      </vt:variant>
      <vt:variant>
        <vt:i4>5</vt:i4>
      </vt:variant>
      <vt:variant>
        <vt:lpwstr>https://www.cbd.int/decisions/cop/?m=cop-16</vt:lpwstr>
      </vt:variant>
      <vt:variant>
        <vt:lpwstr/>
      </vt: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7209057</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4587591</vt:i4>
      </vt:variant>
      <vt:variant>
        <vt:i4>72</vt:i4>
      </vt:variant>
      <vt:variant>
        <vt:i4>0</vt:i4>
      </vt:variant>
      <vt:variant>
        <vt:i4>5</vt:i4>
      </vt:variant>
      <vt:variant>
        <vt:lpwstr>https://www.cbd.int/documents/CBD/SBSTTA/26/2</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7012401</vt:i4>
      </vt:variant>
      <vt:variant>
        <vt:i4>66</vt:i4>
      </vt:variant>
      <vt:variant>
        <vt:i4>0</vt:i4>
      </vt:variant>
      <vt:variant>
        <vt:i4>5</vt:i4>
      </vt:variant>
      <vt:variant>
        <vt:lpwstr>https://www.cbd.int/meetings/COP-15</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7012401</vt:i4>
      </vt:variant>
      <vt:variant>
        <vt:i4>60</vt:i4>
      </vt:variant>
      <vt:variant>
        <vt:i4>0</vt:i4>
      </vt:variant>
      <vt:variant>
        <vt:i4>5</vt:i4>
      </vt:variant>
      <vt:variant>
        <vt:lpwstr>https://www.cbd.int/meetings/COP-15</vt:lpwstr>
      </vt:variant>
      <vt:variant>
        <vt:lpwstr/>
      </vt:variant>
      <vt:variant>
        <vt:i4>7012401</vt:i4>
      </vt:variant>
      <vt:variant>
        <vt:i4>57</vt:i4>
      </vt:variant>
      <vt:variant>
        <vt:i4>0</vt:i4>
      </vt:variant>
      <vt:variant>
        <vt:i4>5</vt:i4>
      </vt:variant>
      <vt:variant>
        <vt:lpwstr>https://www.cbd.int/meetings/COP-15</vt:lpwstr>
      </vt:variant>
      <vt:variant>
        <vt:lpwstr/>
      </vt:variant>
      <vt:variant>
        <vt:i4>7209057</vt:i4>
      </vt:variant>
      <vt:variant>
        <vt:i4>54</vt:i4>
      </vt:variant>
      <vt:variant>
        <vt:i4>0</vt:i4>
      </vt:variant>
      <vt:variant>
        <vt:i4>5</vt:i4>
      </vt:variant>
      <vt:variant>
        <vt:lpwstr>https://www.cbd.int/decisions/cop/?m=cop-16</vt:lpwstr>
      </vt:variant>
      <vt:variant>
        <vt:lpwstr/>
      </vt:variant>
      <vt:variant>
        <vt:i4>7012401</vt:i4>
      </vt:variant>
      <vt:variant>
        <vt:i4>51</vt:i4>
      </vt:variant>
      <vt:variant>
        <vt:i4>0</vt:i4>
      </vt:variant>
      <vt:variant>
        <vt:i4>5</vt:i4>
      </vt:variant>
      <vt:variant>
        <vt:lpwstr>https://www.cbd.int/meetings/COP-15</vt:lpwstr>
      </vt:variant>
      <vt:variant>
        <vt:lpwstr/>
      </vt:variant>
      <vt:variant>
        <vt:i4>7012401</vt:i4>
      </vt:variant>
      <vt:variant>
        <vt:i4>48</vt:i4>
      </vt:variant>
      <vt:variant>
        <vt:i4>0</vt:i4>
      </vt:variant>
      <vt:variant>
        <vt:i4>5</vt:i4>
      </vt:variant>
      <vt:variant>
        <vt:lpwstr>https://www.cbd.int/meetings/COP-15</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7012401</vt:i4>
      </vt:variant>
      <vt:variant>
        <vt:i4>42</vt:i4>
      </vt:variant>
      <vt:variant>
        <vt:i4>0</vt:i4>
      </vt:variant>
      <vt:variant>
        <vt:i4>5</vt:i4>
      </vt:variant>
      <vt:variant>
        <vt:lpwstr>https://www.cbd.int/meetings/COP-15</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7012401</vt:i4>
      </vt:variant>
      <vt:variant>
        <vt:i4>24</vt:i4>
      </vt:variant>
      <vt:variant>
        <vt:i4>0</vt:i4>
      </vt:variant>
      <vt:variant>
        <vt:i4>5</vt:i4>
      </vt:variant>
      <vt:variant>
        <vt:lpwstr>https://www.cbd.int/meetings/COP-15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7012401</vt:i4>
      </vt:variant>
      <vt:variant>
        <vt:i4>18</vt:i4>
      </vt:variant>
      <vt:variant>
        <vt:i4>0</vt:i4>
      </vt:variant>
      <vt:variant>
        <vt:i4>5</vt:i4>
      </vt:variant>
      <vt:variant>
        <vt:lpwstr>https://www.cbd.int/meetings/COP-15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7012401</vt:i4>
      </vt:variant>
      <vt:variant>
        <vt:i4>3</vt:i4>
      </vt:variant>
      <vt:variant>
        <vt:i4>0</vt:i4>
      </vt:variant>
      <vt:variant>
        <vt:i4>5</vt:i4>
      </vt:variant>
      <vt:variant>
        <vt:lpwstr>https://www.cbd.int/meetings/COP-15</vt:lpwstr>
      </vt:variant>
      <vt:variant>
        <vt:lpwstr/>
      </vt:variant>
      <vt:variant>
        <vt:i4>7012401</vt:i4>
      </vt:variant>
      <vt:variant>
        <vt:i4>0</vt:i4>
      </vt:variant>
      <vt:variant>
        <vt:i4>0</vt:i4>
      </vt:variant>
      <vt:variant>
        <vt:i4>5</vt:i4>
      </vt:variant>
      <vt:variant>
        <vt:lpwstr>https://www.cbd.int/meetings/COP-15</vt:lpwstr>
      </vt:variant>
      <vt:variant>
        <vt:lpwstr/>
      </vt:variant>
      <vt:variant>
        <vt:i4>983049</vt:i4>
      </vt:variant>
      <vt:variant>
        <vt:i4>42</vt:i4>
      </vt:variant>
      <vt:variant>
        <vt:i4>0</vt:i4>
      </vt:variant>
      <vt:variant>
        <vt:i4>5</vt:i4>
      </vt:variant>
      <vt:variant>
        <vt:lpwstr>https://www.cbd.int/documents/CBD/SBI/6/INF/6</vt:lpwstr>
      </vt:variant>
      <vt:variant>
        <vt:lpwstr/>
      </vt:variant>
      <vt:variant>
        <vt:i4>6291508</vt:i4>
      </vt:variant>
      <vt:variant>
        <vt:i4>39</vt:i4>
      </vt:variant>
      <vt:variant>
        <vt:i4>0</vt:i4>
      </vt:variant>
      <vt:variant>
        <vt:i4>5</vt:i4>
      </vt:variant>
      <vt:variant>
        <vt:lpwstr>https://www.cbd.int/notifications/2025-046</vt:lpwstr>
      </vt:variant>
      <vt:variant>
        <vt:lpwstr/>
      </vt:variant>
      <vt:variant>
        <vt:i4>6291558</vt:i4>
      </vt:variant>
      <vt:variant>
        <vt:i4>27</vt:i4>
      </vt:variant>
      <vt:variant>
        <vt:i4>0</vt:i4>
      </vt:variant>
      <vt:variant>
        <vt:i4>5</vt:i4>
      </vt:variant>
      <vt:variant>
        <vt:lpwstr>https://www.cbd.int/documents/CBD/COP/16/INF/5</vt:lpwstr>
      </vt:variant>
      <vt:variant>
        <vt:lpwstr/>
      </vt:variant>
      <vt:variant>
        <vt:i4>7209057</vt:i4>
      </vt:variant>
      <vt:variant>
        <vt:i4>24</vt:i4>
      </vt:variant>
      <vt:variant>
        <vt:i4>0</vt:i4>
      </vt:variant>
      <vt:variant>
        <vt:i4>5</vt:i4>
      </vt:variant>
      <vt:variant>
        <vt:lpwstr>https://www.cbd.int/decisions/cop/?m=cop-16</vt:lpwstr>
      </vt:variant>
      <vt:variant>
        <vt:lpwstr/>
      </vt:variant>
      <vt:variant>
        <vt:i4>7012401</vt:i4>
      </vt:variant>
      <vt:variant>
        <vt:i4>21</vt:i4>
      </vt:variant>
      <vt:variant>
        <vt:i4>0</vt:i4>
      </vt:variant>
      <vt:variant>
        <vt:i4>5</vt:i4>
      </vt:variant>
      <vt:variant>
        <vt:lpwstr>https://www.cbd.int/meetings/COP-15</vt:lpwstr>
      </vt:variant>
      <vt:variant>
        <vt:lpwstr/>
      </vt:variant>
      <vt:variant>
        <vt:i4>6357047</vt:i4>
      </vt:variant>
      <vt:variant>
        <vt:i4>18</vt:i4>
      </vt:variant>
      <vt:variant>
        <vt:i4>0</vt:i4>
      </vt:variant>
      <vt:variant>
        <vt:i4>5</vt:i4>
      </vt:variant>
      <vt:variant>
        <vt:lpwstr>https://www.cbd.int/notifications/2025-077</vt:lpwstr>
      </vt:variant>
      <vt:variant>
        <vt:lpwstr/>
      </vt:variant>
      <vt:variant>
        <vt:i4>6488116</vt:i4>
      </vt:variant>
      <vt:variant>
        <vt:i4>15</vt:i4>
      </vt:variant>
      <vt:variant>
        <vt:i4>0</vt:i4>
      </vt:variant>
      <vt:variant>
        <vt:i4>5</vt:i4>
      </vt:variant>
      <vt:variant>
        <vt:lpwstr>https://www.cbd.int/notifications/2025-045</vt:lpwstr>
      </vt:variant>
      <vt:variant>
        <vt:lpwstr/>
      </vt:variant>
      <vt:variant>
        <vt:i4>6422580</vt:i4>
      </vt:variant>
      <vt:variant>
        <vt:i4>12</vt:i4>
      </vt:variant>
      <vt:variant>
        <vt:i4>0</vt:i4>
      </vt:variant>
      <vt:variant>
        <vt:i4>5</vt:i4>
      </vt:variant>
      <vt:variant>
        <vt:lpwstr>https://www.cbd.int/notifications/2025-044</vt:lpwstr>
      </vt:variant>
      <vt:variant>
        <vt:lpwstr/>
      </vt:variant>
      <vt:variant>
        <vt:i4>7012401</vt:i4>
      </vt:variant>
      <vt:variant>
        <vt:i4>9</vt:i4>
      </vt:variant>
      <vt:variant>
        <vt:i4>0</vt:i4>
      </vt:variant>
      <vt:variant>
        <vt:i4>5</vt:i4>
      </vt:variant>
      <vt:variant>
        <vt:lpwstr>https://www.cbd.int/meetings/COP-15</vt:lpwstr>
      </vt:variant>
      <vt:variant>
        <vt:lpwstr/>
      </vt:variant>
      <vt:variant>
        <vt:i4>6357094</vt:i4>
      </vt:variant>
      <vt:variant>
        <vt:i4>6</vt:i4>
      </vt:variant>
      <vt:variant>
        <vt:i4>0</vt:i4>
      </vt:variant>
      <vt:variant>
        <vt:i4>5</vt:i4>
      </vt:variant>
      <vt:variant>
        <vt:lpwstr>https://www.cbd.int/documents/CBD/COP/16/INF/4</vt:lpwstr>
      </vt:variant>
      <vt:variant>
        <vt:lpwstr/>
      </vt:variant>
      <vt:variant>
        <vt:i4>6422572</vt:i4>
      </vt:variant>
      <vt:variant>
        <vt:i4>3</vt:i4>
      </vt:variant>
      <vt:variant>
        <vt:i4>0</vt:i4>
      </vt:variant>
      <vt:variant>
        <vt:i4>5</vt:i4>
      </vt:variant>
      <vt:variant>
        <vt:lpwstr>https://www.cbd.int/documents/CBD/COP/16/INF/3/REV1</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2490412</vt:i4>
      </vt:variant>
      <vt:variant>
        <vt:i4>0</vt:i4>
      </vt:variant>
      <vt:variant>
        <vt:i4>0</vt:i4>
      </vt:variant>
      <vt:variant>
        <vt:i4>5</vt:i4>
      </vt:variant>
      <vt:variant>
        <vt:lpwstr>https://www.cdp.net/en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мониторинга Куньминско-Монреальской глобальной рамочной программы в области биоразнообразия</dc:title>
  <dc:subject>CBD/SBSTTA/28/2/Add.2</dc:subject>
  <dc:creator>Secretariat of the Convention on Biological Diversity</dc:creator>
  <cp:keywords>Convention on Biological Diversity</cp:keywords>
  <cp:lastModifiedBy>Olga K</cp:lastModifiedBy>
  <cp:revision>12</cp:revision>
  <cp:lastPrinted>2020-01-21T16:56:00Z</cp:lastPrinted>
  <dcterms:created xsi:type="dcterms:W3CDTF">2026-06-04T18:40:00Z</dcterms:created>
  <dcterms:modified xsi:type="dcterms:W3CDTF">2026-06-11T20:32:00Z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