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22A3B" w:rsidRPr="00B47649" w14:paraId="064BFA28" w14:textId="77777777" w:rsidTr="005C168A">
        <w:trPr>
          <w:trHeight w:val="844"/>
        </w:trPr>
        <w:tc>
          <w:tcPr>
            <w:tcW w:w="976" w:type="dxa"/>
            <w:tcBorders>
              <w:bottom w:val="single" w:sz="12" w:space="0" w:color="auto"/>
            </w:tcBorders>
          </w:tcPr>
          <w:p w14:paraId="1E3DABCC" w14:textId="77777777" w:rsidR="00E22A3B" w:rsidRPr="00B47649" w:rsidRDefault="00E22A3B" w:rsidP="00B47649">
            <w:pPr>
              <w:suppressLineNumbers/>
              <w:suppressAutoHyphens/>
              <w:rPr>
                <w:kern w:val="22"/>
                <w:lang w:val="en-GB"/>
              </w:rPr>
            </w:pPr>
            <w:bookmarkStart w:id="0" w:name="_Hlk519193753"/>
            <w:bookmarkStart w:id="1" w:name="Meeting"/>
            <w:r w:rsidRPr="00B47649">
              <w:rPr>
                <w:noProof/>
                <w:kern w:val="22"/>
                <w:lang w:val="en-GB"/>
              </w:rPr>
              <w:drawing>
                <wp:anchor distT="0" distB="0" distL="114300" distR="114300" simplePos="0" relativeHeight="251660288" behindDoc="0" locked="0" layoutInCell="1" allowOverlap="1" wp14:anchorId="2BC875FF" wp14:editId="44638A95">
                  <wp:simplePos x="0" y="0"/>
                  <wp:positionH relativeFrom="column">
                    <wp:posOffset>365</wp:posOffset>
                  </wp:positionH>
                  <wp:positionV relativeFrom="page">
                    <wp:posOffset>-122</wp:posOffset>
                  </wp:positionV>
                  <wp:extent cx="476250" cy="402590"/>
                  <wp:effectExtent l="0" t="0" r="0" b="0"/>
                  <wp:wrapNone/>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EF46BC7" w14:textId="77777777" w:rsidR="00E22A3B" w:rsidRPr="00B47649" w:rsidRDefault="00E22A3B" w:rsidP="00B47649">
            <w:pPr>
              <w:suppressLineNumbers/>
              <w:suppressAutoHyphens/>
              <w:rPr>
                <w:kern w:val="22"/>
                <w:lang w:val="en-GB"/>
              </w:rPr>
            </w:pPr>
            <w:r w:rsidRPr="00B47649">
              <w:rPr>
                <w:noProof/>
                <w:lang w:val="en-GB"/>
              </w:rPr>
              <w:drawing>
                <wp:anchor distT="0" distB="0" distL="114300" distR="114300" simplePos="0" relativeHeight="251659264" behindDoc="0" locked="0" layoutInCell="1" allowOverlap="1" wp14:anchorId="39C852E4" wp14:editId="5520C9B9">
                  <wp:simplePos x="0" y="0"/>
                  <wp:positionH relativeFrom="column">
                    <wp:posOffset>-121303</wp:posOffset>
                  </wp:positionH>
                  <wp:positionV relativeFrom="page">
                    <wp:posOffset>-77403</wp:posOffset>
                  </wp:positionV>
                  <wp:extent cx="941011" cy="59338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41D793C0" w14:textId="77777777" w:rsidR="00E22A3B" w:rsidRPr="00B47649" w:rsidRDefault="00E22A3B" w:rsidP="00B47649">
            <w:pPr>
              <w:suppressLineNumbers/>
              <w:suppressAutoHyphens/>
              <w:jc w:val="right"/>
              <w:rPr>
                <w:rFonts w:ascii="Arial" w:hAnsi="Arial" w:cs="Arial"/>
                <w:b/>
                <w:kern w:val="22"/>
                <w:sz w:val="32"/>
                <w:szCs w:val="32"/>
                <w:lang w:val="en-GB"/>
              </w:rPr>
            </w:pPr>
            <w:r w:rsidRPr="00B47649">
              <w:rPr>
                <w:rFonts w:ascii="Arial" w:hAnsi="Arial" w:cs="Arial"/>
                <w:b/>
                <w:kern w:val="22"/>
                <w:sz w:val="32"/>
                <w:szCs w:val="32"/>
                <w:lang w:val="en-GB"/>
              </w:rPr>
              <w:t>CBD</w:t>
            </w:r>
          </w:p>
        </w:tc>
      </w:tr>
      <w:tr w:rsidR="00422055" w:rsidRPr="00B47649" w14:paraId="2589A976" w14:textId="77777777" w:rsidTr="00253CF4">
        <w:tc>
          <w:tcPr>
            <w:tcW w:w="6117" w:type="dxa"/>
            <w:gridSpan w:val="2"/>
            <w:tcBorders>
              <w:top w:val="single" w:sz="12" w:space="0" w:color="auto"/>
              <w:bottom w:val="single" w:sz="36" w:space="0" w:color="auto"/>
            </w:tcBorders>
            <w:vAlign w:val="center"/>
          </w:tcPr>
          <w:p w14:paraId="0FB497C5" w14:textId="202C363E" w:rsidR="00422055" w:rsidRPr="00B47649" w:rsidRDefault="00422055" w:rsidP="00B47649">
            <w:pPr>
              <w:suppressLineNumbers/>
              <w:suppressAutoHyphens/>
              <w:kinsoku w:val="0"/>
              <w:overflowPunct w:val="0"/>
              <w:autoSpaceDE w:val="0"/>
              <w:autoSpaceDN w:val="0"/>
              <w:adjustRightInd w:val="0"/>
              <w:snapToGrid w:val="0"/>
              <w:jc w:val="both"/>
              <w:rPr>
                <w:rFonts w:eastAsiaTheme="minorEastAsia"/>
                <w:kern w:val="22"/>
                <w:sz w:val="22"/>
                <w:szCs w:val="22"/>
                <w:lang w:val="en-GB"/>
              </w:rPr>
            </w:pPr>
            <w:r w:rsidRPr="00B47649">
              <w:rPr>
                <w:rFonts w:eastAsiaTheme="minorEastAsia"/>
                <w:noProof/>
                <w:kern w:val="22"/>
                <w:sz w:val="22"/>
                <w:szCs w:val="22"/>
                <w:lang w:val="en-GB"/>
              </w:rPr>
              <w:drawing>
                <wp:inline distT="0" distB="0" distL="0" distR="0" wp14:anchorId="69605941" wp14:editId="304D022F">
                  <wp:extent cx="2876550" cy="1076325"/>
                  <wp:effectExtent l="0" t="0" r="0" b="9525"/>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E2F16F7" w14:textId="77777777" w:rsidR="00422055" w:rsidRPr="00FE1AA2"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en-GB"/>
              </w:rPr>
            </w:pPr>
            <w:r w:rsidRPr="00FE1AA2">
              <w:rPr>
                <w:rFonts w:eastAsiaTheme="minorEastAsia"/>
                <w:kern w:val="22"/>
                <w:sz w:val="22"/>
                <w:szCs w:val="22"/>
                <w:lang w:val="en-GB"/>
              </w:rPr>
              <w:t>Distr.</w:t>
            </w:r>
          </w:p>
          <w:p w14:paraId="0F90D6A1" w14:textId="77777777" w:rsidR="00422055" w:rsidRPr="00FE1AA2" w:rsidRDefault="00D834D3"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en-GB"/>
              </w:rPr>
            </w:pPr>
            <w:r w:rsidRPr="00FE1AA2">
              <w:rPr>
                <w:rFonts w:eastAsiaTheme="minorEastAsia"/>
                <w:kern w:val="22"/>
                <w:sz w:val="22"/>
                <w:szCs w:val="22"/>
                <w:lang w:val="en-GB"/>
              </w:rPr>
              <w:t>GENERAL</w:t>
            </w:r>
          </w:p>
          <w:p w14:paraId="42868A3F" w14:textId="77777777" w:rsidR="00422055" w:rsidRPr="00FE1AA2"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en-GB"/>
              </w:rPr>
            </w:pPr>
          </w:p>
          <w:sdt>
            <w:sdtPr>
              <w:rPr>
                <w:rFonts w:eastAsiaTheme="minorEastAsia"/>
                <w:kern w:val="22"/>
                <w:sz w:val="22"/>
                <w:szCs w:val="22"/>
                <w:lang w:val="en-GB"/>
              </w:rPr>
              <w:alias w:val="Subject"/>
              <w:tag w:val=""/>
              <w:id w:val="1951209993"/>
              <w:placeholder>
                <w:docPart w:val="012639082CAB4A229A6DD89611CA8122"/>
              </w:placeholder>
              <w:dataBinding w:prefixMappings="xmlns:ns0='http://purl.org/dc/elements/1.1/' xmlns:ns1='http://schemas.openxmlformats.org/package/2006/metadata/core-properties' " w:xpath="/ns1:coreProperties[1]/ns0:subject[1]" w:storeItemID="{6C3C8BC8-F283-45AE-878A-BAB7291924A1}"/>
              <w:text/>
            </w:sdtPr>
            <w:sdtEndPr/>
            <w:sdtContent>
              <w:p w14:paraId="3E726FB9" w14:textId="1BF27FCC" w:rsidR="00422055" w:rsidRPr="00FE1AA2" w:rsidRDefault="005B5354"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en-GB"/>
                  </w:rPr>
                </w:pPr>
                <w:r w:rsidRPr="00FE1AA2">
                  <w:rPr>
                    <w:rFonts w:eastAsiaTheme="minorEastAsia"/>
                    <w:kern w:val="22"/>
                    <w:sz w:val="22"/>
                    <w:szCs w:val="22"/>
                    <w:lang w:val="en-GB"/>
                  </w:rPr>
                  <w:t>CBD/SBI/3/1</w:t>
                </w:r>
                <w:r w:rsidR="00C863DD" w:rsidRPr="00FE1AA2">
                  <w:rPr>
                    <w:rFonts w:eastAsiaTheme="minorEastAsia"/>
                    <w:kern w:val="22"/>
                    <w:sz w:val="22"/>
                    <w:szCs w:val="22"/>
                    <w:lang w:val="en-GB"/>
                  </w:rPr>
                  <w:t>3</w:t>
                </w:r>
              </w:p>
            </w:sdtContent>
          </w:sdt>
          <w:p w14:paraId="4734E812" w14:textId="6D8ADA62" w:rsidR="00422055" w:rsidRPr="00FE1AA2" w:rsidRDefault="00EB6AEC"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en-GB"/>
              </w:rPr>
            </w:pPr>
            <w:r w:rsidRPr="00FE1AA2">
              <w:rPr>
                <w:rFonts w:eastAsiaTheme="minorEastAsia"/>
                <w:kern w:val="22"/>
                <w:sz w:val="22"/>
                <w:szCs w:val="22"/>
                <w:lang w:val="en-GB"/>
              </w:rPr>
              <w:t>31</w:t>
            </w:r>
            <w:r w:rsidR="000303EA" w:rsidRPr="00FE1AA2">
              <w:rPr>
                <w:rFonts w:eastAsiaTheme="minorEastAsia"/>
                <w:kern w:val="22"/>
                <w:sz w:val="22"/>
                <w:szCs w:val="22"/>
                <w:lang w:val="en-GB"/>
              </w:rPr>
              <w:t xml:space="preserve"> August</w:t>
            </w:r>
            <w:r w:rsidR="00416B10" w:rsidRPr="00FE1AA2">
              <w:rPr>
                <w:rFonts w:eastAsiaTheme="minorEastAsia"/>
                <w:kern w:val="22"/>
                <w:sz w:val="22"/>
                <w:szCs w:val="22"/>
                <w:lang w:val="en-GB"/>
              </w:rPr>
              <w:t xml:space="preserve"> 2020</w:t>
            </w:r>
          </w:p>
          <w:p w14:paraId="53B7C88A" w14:textId="77777777" w:rsidR="00422055" w:rsidRPr="00FE1AA2" w:rsidRDefault="00422055" w:rsidP="00FE1AA2">
            <w:pPr>
              <w:suppressLineNumbers/>
              <w:suppressAutoHyphens/>
              <w:kinsoku w:val="0"/>
              <w:overflowPunct w:val="0"/>
              <w:autoSpaceDE w:val="0"/>
              <w:autoSpaceDN w:val="0"/>
              <w:adjustRightInd w:val="0"/>
              <w:snapToGrid w:val="0"/>
              <w:rPr>
                <w:rFonts w:eastAsiaTheme="minorEastAsia"/>
                <w:kern w:val="22"/>
                <w:sz w:val="22"/>
                <w:szCs w:val="22"/>
                <w:lang w:val="en-GB"/>
              </w:rPr>
            </w:pPr>
          </w:p>
          <w:p w14:paraId="12DF8F50" w14:textId="02E8CE8D" w:rsidR="00422055" w:rsidRPr="00FE1AA2"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en-GB"/>
              </w:rPr>
            </w:pPr>
            <w:r w:rsidRPr="00FE1AA2">
              <w:rPr>
                <w:rFonts w:eastAsiaTheme="minorEastAsia"/>
                <w:kern w:val="22"/>
                <w:sz w:val="22"/>
                <w:szCs w:val="22"/>
                <w:lang w:val="en-GB"/>
              </w:rPr>
              <w:t>ORIGINAL: ENGLISH</w:t>
            </w:r>
          </w:p>
        </w:tc>
      </w:tr>
    </w:tbl>
    <w:bookmarkEnd w:id="0"/>
    <w:p w14:paraId="2D36CC97" w14:textId="77777777" w:rsidR="0042412C" w:rsidRPr="00B47649" w:rsidRDefault="00D12344" w:rsidP="00B47649">
      <w:pPr>
        <w:pStyle w:val="meetingname"/>
        <w:suppressLineNumbers/>
        <w:suppressAutoHyphens/>
        <w:kinsoku w:val="0"/>
        <w:overflowPunct w:val="0"/>
        <w:autoSpaceDE w:val="0"/>
        <w:autoSpaceDN w:val="0"/>
        <w:adjustRightInd w:val="0"/>
        <w:snapToGrid w:val="0"/>
        <w:ind w:right="4590"/>
        <w:jc w:val="both"/>
        <w:rPr>
          <w:kern w:val="22"/>
          <w:sz w:val="22"/>
          <w:lang w:val="en-GB"/>
        </w:rPr>
      </w:pPr>
      <w:sdt>
        <w:sdtPr>
          <w:rPr>
            <w:kern w:val="22"/>
            <w:sz w:val="22"/>
            <w:lang w:val="en-GB"/>
          </w:rPr>
          <w:alias w:val="Meeting"/>
          <w:tag w:val="Meeting"/>
          <w:id w:val="1412045910"/>
          <w:placeholder>
            <w:docPart w:val="C444DEE40D7C456B82AF1A09CD132ABF"/>
          </w:placeholder>
          <w:text/>
        </w:sdtPr>
        <w:sdtEndPr/>
        <w:sdtContent>
          <w:r w:rsidR="00F802A4" w:rsidRPr="00B47649">
            <w:rPr>
              <w:kern w:val="22"/>
              <w:sz w:val="22"/>
              <w:lang w:val="en-GB"/>
            </w:rPr>
            <w:t>SUBSIDIARY BODY ON IMPLEMENTATION</w:t>
          </w:r>
        </w:sdtContent>
      </w:sdt>
      <w:bookmarkEnd w:id="1"/>
    </w:p>
    <w:p w14:paraId="2A538397" w14:textId="77777777" w:rsidR="00F802A4" w:rsidRPr="00B47649" w:rsidRDefault="00416B10" w:rsidP="00B47649">
      <w:pPr>
        <w:suppressLineNumbers/>
        <w:suppressAutoHyphens/>
        <w:kinsoku w:val="0"/>
        <w:overflowPunct w:val="0"/>
        <w:autoSpaceDE w:val="0"/>
        <w:autoSpaceDN w:val="0"/>
        <w:adjustRightInd w:val="0"/>
        <w:snapToGrid w:val="0"/>
        <w:ind w:left="284" w:hanging="284"/>
        <w:jc w:val="both"/>
        <w:rPr>
          <w:snapToGrid w:val="0"/>
          <w:kern w:val="22"/>
          <w:sz w:val="22"/>
          <w:szCs w:val="22"/>
          <w:lang w:val="en-GB" w:eastAsia="nb-NO"/>
        </w:rPr>
      </w:pPr>
      <w:r w:rsidRPr="00B47649">
        <w:rPr>
          <w:snapToGrid w:val="0"/>
          <w:kern w:val="22"/>
          <w:sz w:val="22"/>
          <w:szCs w:val="22"/>
          <w:lang w:val="en-GB" w:eastAsia="nb-NO"/>
        </w:rPr>
        <w:t>Third</w:t>
      </w:r>
      <w:r w:rsidR="00F802A4" w:rsidRPr="00B47649">
        <w:rPr>
          <w:snapToGrid w:val="0"/>
          <w:kern w:val="22"/>
          <w:sz w:val="22"/>
          <w:szCs w:val="22"/>
          <w:lang w:val="en-GB" w:eastAsia="nb-NO"/>
        </w:rPr>
        <w:t xml:space="preserve"> meeting</w:t>
      </w:r>
    </w:p>
    <w:p w14:paraId="60EBFD50" w14:textId="773FC0E2" w:rsidR="00F802A4" w:rsidRPr="00B47649" w:rsidRDefault="002E2F6D" w:rsidP="00B47649">
      <w:pPr>
        <w:suppressLineNumbers/>
        <w:suppressAutoHyphens/>
        <w:kinsoku w:val="0"/>
        <w:overflowPunct w:val="0"/>
        <w:autoSpaceDE w:val="0"/>
        <w:autoSpaceDN w:val="0"/>
        <w:adjustRightInd w:val="0"/>
        <w:snapToGrid w:val="0"/>
        <w:ind w:left="284" w:hanging="284"/>
        <w:jc w:val="both"/>
        <w:rPr>
          <w:snapToGrid w:val="0"/>
          <w:kern w:val="22"/>
          <w:sz w:val="22"/>
          <w:szCs w:val="22"/>
          <w:lang w:val="en-GB" w:eastAsia="nb-NO"/>
        </w:rPr>
      </w:pPr>
      <w:r w:rsidRPr="00B47649">
        <w:rPr>
          <w:snapToGrid w:val="0"/>
          <w:kern w:val="22"/>
          <w:sz w:val="22"/>
          <w:szCs w:val="22"/>
          <w:lang w:val="en-GB" w:eastAsia="nb-NO"/>
        </w:rPr>
        <w:t>Venue and date</w:t>
      </w:r>
      <w:r w:rsidR="00343DC8">
        <w:rPr>
          <w:snapToGrid w:val="0"/>
          <w:kern w:val="22"/>
          <w:sz w:val="22"/>
          <w:szCs w:val="22"/>
          <w:lang w:val="en-GB" w:eastAsia="nb-NO"/>
        </w:rPr>
        <w:t>s</w:t>
      </w:r>
      <w:r w:rsidRPr="00B47649">
        <w:rPr>
          <w:snapToGrid w:val="0"/>
          <w:kern w:val="22"/>
          <w:sz w:val="22"/>
          <w:szCs w:val="22"/>
          <w:lang w:val="en-GB" w:eastAsia="nb-NO"/>
        </w:rPr>
        <w:t xml:space="preserve"> to be confirmed</w:t>
      </w:r>
    </w:p>
    <w:p w14:paraId="5861CE83" w14:textId="364376EF" w:rsidR="00C9161D" w:rsidRPr="00B47649" w:rsidRDefault="00EB6AEC" w:rsidP="00B47649">
      <w:pPr>
        <w:suppressLineNumbers/>
        <w:suppressAutoHyphens/>
        <w:kinsoku w:val="0"/>
        <w:overflowPunct w:val="0"/>
        <w:autoSpaceDE w:val="0"/>
        <w:autoSpaceDN w:val="0"/>
        <w:adjustRightInd w:val="0"/>
        <w:snapToGrid w:val="0"/>
        <w:jc w:val="both"/>
        <w:rPr>
          <w:kern w:val="22"/>
          <w:sz w:val="22"/>
          <w:szCs w:val="22"/>
          <w:lang w:val="en-GB"/>
        </w:rPr>
      </w:pPr>
      <w:r w:rsidRPr="00B47649">
        <w:rPr>
          <w:kern w:val="22"/>
          <w:sz w:val="22"/>
          <w:szCs w:val="22"/>
          <w:lang w:val="en-GB"/>
        </w:rPr>
        <w:t>I</w:t>
      </w:r>
      <w:r w:rsidR="0032332A" w:rsidRPr="00B47649">
        <w:rPr>
          <w:kern w:val="22"/>
          <w:sz w:val="22"/>
          <w:szCs w:val="22"/>
          <w:lang w:val="en-GB"/>
        </w:rPr>
        <w:t>tem 11</w:t>
      </w:r>
      <w:r w:rsidRPr="00B47649">
        <w:rPr>
          <w:kern w:val="22"/>
          <w:sz w:val="22"/>
          <w:szCs w:val="22"/>
          <w:lang w:val="en-GB"/>
        </w:rPr>
        <w:t xml:space="preserve"> of the provisional agenda</w:t>
      </w:r>
      <w:r w:rsidR="00461300" w:rsidRPr="00B47649">
        <w:rPr>
          <w:rStyle w:val="FootnoteReference"/>
          <w:kern w:val="22"/>
          <w:szCs w:val="22"/>
          <w:lang w:val="en-GB"/>
        </w:rPr>
        <w:footnoteReference w:customMarkFollows="1" w:id="1"/>
        <w:t>*</w:t>
      </w:r>
    </w:p>
    <w:sdt>
      <w:sdtPr>
        <w:rPr>
          <w:rFonts w:ascii="Times New Roman Bold" w:hAnsi="Times New Roman Bold"/>
          <w:caps/>
          <w:snapToGrid w:val="0"/>
          <w:kern w:val="22"/>
          <w:sz w:val="22"/>
          <w:szCs w:val="22"/>
          <w:lang w:val="en-GB"/>
        </w:rPr>
        <w:alias w:val="Title"/>
        <w:tag w:val=""/>
        <w:id w:val="-726689511"/>
        <w:placeholder>
          <w:docPart w:val="01EFFB0CDD8D468484E772FB032477F6"/>
        </w:placeholder>
        <w:dataBinding w:prefixMappings="xmlns:ns0='http://purl.org/dc/elements/1.1/' xmlns:ns1='http://schemas.openxmlformats.org/package/2006/metadata/core-properties' " w:xpath="/ns1:coreProperties[1]/ns0:title[1]" w:storeItemID="{6C3C8BC8-F283-45AE-878A-BAB7291924A1}"/>
        <w:text/>
      </w:sdtPr>
      <w:sdtEndPr/>
      <w:sdtContent>
        <w:p w14:paraId="4DFA2DE4" w14:textId="55367D59" w:rsidR="008E7244" w:rsidRPr="00B47649" w:rsidRDefault="00926715" w:rsidP="00B47649">
          <w:pPr>
            <w:pStyle w:val="Heading2"/>
            <w:suppressLineNumbers/>
            <w:tabs>
              <w:tab w:val="clear" w:pos="720"/>
            </w:tabs>
            <w:suppressAutoHyphens/>
            <w:spacing w:before="240"/>
            <w:rPr>
              <w:rFonts w:ascii="Times New Roman Bold" w:hAnsi="Times New Roman Bold"/>
              <w:caps/>
              <w:snapToGrid w:val="0"/>
              <w:kern w:val="22"/>
              <w:sz w:val="22"/>
              <w:szCs w:val="22"/>
              <w:lang w:val="en-GB"/>
            </w:rPr>
          </w:pPr>
          <w:r w:rsidRPr="00B47649">
            <w:rPr>
              <w:rFonts w:ascii="Times New Roman Bold" w:hAnsi="Times New Roman Bold"/>
              <w:caps/>
              <w:snapToGrid w:val="0"/>
              <w:kern w:val="22"/>
              <w:sz w:val="22"/>
              <w:szCs w:val="22"/>
              <w:lang w:val="en-GB"/>
            </w:rPr>
            <w:t>Mainstreaming of biodiversity within and across sectors and other strategic actions to enhance implementation</w:t>
          </w:r>
        </w:p>
      </w:sdtContent>
    </w:sdt>
    <w:p w14:paraId="3CD3BA41" w14:textId="262A60C0" w:rsidR="000477AE" w:rsidRPr="00B47649" w:rsidRDefault="008E7244" w:rsidP="00B47649">
      <w:pPr>
        <w:pStyle w:val="Heading2"/>
        <w:suppressLineNumbers/>
        <w:suppressAutoHyphens/>
        <w:rPr>
          <w:rFonts w:ascii="Times New Roman Bold" w:hAnsi="Times New Roman Bold"/>
          <w:caps/>
          <w:snapToGrid w:val="0"/>
          <w:kern w:val="22"/>
          <w:sz w:val="22"/>
          <w:szCs w:val="22"/>
          <w:lang w:val="en-GB"/>
        </w:rPr>
      </w:pPr>
      <w:r w:rsidRPr="00B47649">
        <w:rPr>
          <w:rFonts w:ascii="Times New Roman Bold" w:hAnsi="Times New Roman Bold"/>
          <w:caps/>
          <w:snapToGrid w:val="0"/>
          <w:kern w:val="22"/>
          <w:sz w:val="22"/>
          <w:szCs w:val="22"/>
          <w:lang w:val="en-GB"/>
        </w:rPr>
        <w:t>Long-</w:t>
      </w:r>
      <w:r w:rsidR="00861715" w:rsidRPr="00B47649">
        <w:rPr>
          <w:rFonts w:ascii="Times New Roman Bold" w:hAnsi="Times New Roman Bold"/>
          <w:caps/>
          <w:snapToGrid w:val="0"/>
          <w:kern w:val="22"/>
          <w:sz w:val="22"/>
          <w:szCs w:val="22"/>
          <w:lang w:val="en-GB"/>
        </w:rPr>
        <w:t>t</w:t>
      </w:r>
      <w:r w:rsidRPr="00B47649">
        <w:rPr>
          <w:rFonts w:ascii="Times New Roman Bold" w:hAnsi="Times New Roman Bold"/>
          <w:caps/>
          <w:snapToGrid w:val="0"/>
          <w:kern w:val="22"/>
          <w:sz w:val="22"/>
          <w:szCs w:val="22"/>
          <w:lang w:val="en-GB"/>
        </w:rPr>
        <w:t xml:space="preserve">erm </w:t>
      </w:r>
      <w:r w:rsidR="00861715" w:rsidRPr="00B47649">
        <w:rPr>
          <w:rFonts w:ascii="Times New Roman Bold" w:hAnsi="Times New Roman Bold"/>
          <w:caps/>
          <w:snapToGrid w:val="0"/>
          <w:kern w:val="22"/>
          <w:sz w:val="22"/>
          <w:szCs w:val="22"/>
          <w:lang w:val="en-GB"/>
        </w:rPr>
        <w:t>a</w:t>
      </w:r>
      <w:r w:rsidRPr="00B47649">
        <w:rPr>
          <w:rFonts w:ascii="Times New Roman Bold" w:hAnsi="Times New Roman Bold"/>
          <w:caps/>
          <w:snapToGrid w:val="0"/>
          <w:kern w:val="22"/>
          <w:sz w:val="22"/>
          <w:szCs w:val="22"/>
          <w:lang w:val="en-GB"/>
        </w:rPr>
        <w:t xml:space="preserve">pproach </w:t>
      </w:r>
      <w:r w:rsidR="000F5E99" w:rsidRPr="00B47649">
        <w:rPr>
          <w:rFonts w:ascii="Times New Roman Bold" w:hAnsi="Times New Roman Bold"/>
          <w:caps/>
          <w:snapToGrid w:val="0"/>
          <w:kern w:val="22"/>
          <w:sz w:val="22"/>
          <w:szCs w:val="22"/>
          <w:lang w:val="en-GB"/>
        </w:rPr>
        <w:t>t</w:t>
      </w:r>
      <w:r w:rsidRPr="00B47649">
        <w:rPr>
          <w:rFonts w:ascii="Times New Roman Bold" w:hAnsi="Times New Roman Bold"/>
          <w:caps/>
          <w:snapToGrid w:val="0"/>
          <w:kern w:val="22"/>
          <w:sz w:val="22"/>
          <w:szCs w:val="22"/>
          <w:lang w:val="en-GB"/>
        </w:rPr>
        <w:t xml:space="preserve">o </w:t>
      </w:r>
      <w:r w:rsidR="00861715" w:rsidRPr="00B47649">
        <w:rPr>
          <w:rFonts w:ascii="Times New Roman Bold" w:hAnsi="Times New Roman Bold"/>
          <w:caps/>
          <w:snapToGrid w:val="0"/>
          <w:kern w:val="22"/>
          <w:sz w:val="22"/>
          <w:szCs w:val="22"/>
          <w:lang w:val="en-GB"/>
        </w:rPr>
        <w:t>m</w:t>
      </w:r>
      <w:r w:rsidRPr="00B47649">
        <w:rPr>
          <w:rFonts w:ascii="Times New Roman Bold" w:hAnsi="Times New Roman Bold"/>
          <w:caps/>
          <w:snapToGrid w:val="0"/>
          <w:kern w:val="22"/>
          <w:sz w:val="22"/>
          <w:szCs w:val="22"/>
          <w:lang w:val="en-GB"/>
        </w:rPr>
        <w:t>ainstreaming</w:t>
      </w:r>
    </w:p>
    <w:p w14:paraId="22A5CAC7" w14:textId="3E135B0C" w:rsidR="006A0F17" w:rsidRPr="00B47649" w:rsidRDefault="000477AE" w:rsidP="00B47649">
      <w:pPr>
        <w:pStyle w:val="Heading1"/>
        <w:numPr>
          <w:ilvl w:val="0"/>
          <w:numId w:val="8"/>
        </w:numPr>
        <w:suppressLineNumbers/>
        <w:tabs>
          <w:tab w:val="clear" w:pos="720"/>
          <w:tab w:val="left" w:pos="426"/>
        </w:tabs>
        <w:suppressAutoHyphens/>
        <w:spacing w:before="120"/>
        <w:ind w:left="0" w:firstLine="0"/>
        <w:rPr>
          <w:kern w:val="22"/>
          <w:sz w:val="22"/>
          <w:szCs w:val="22"/>
          <w:lang w:val="en-GB"/>
        </w:rPr>
      </w:pPr>
      <w:r w:rsidRPr="00B47649">
        <w:rPr>
          <w:kern w:val="22"/>
          <w:sz w:val="22"/>
          <w:szCs w:val="22"/>
          <w:lang w:val="en-GB"/>
        </w:rPr>
        <w:t>Introduction</w:t>
      </w:r>
    </w:p>
    <w:p w14:paraId="77FCE20F" w14:textId="5AE583AB" w:rsidR="007D499E" w:rsidRPr="00B47649" w:rsidRDefault="00441736"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In decision </w:t>
      </w:r>
      <w:hyperlink r:id="rId15" w:history="1">
        <w:r w:rsidRPr="00B47649">
          <w:rPr>
            <w:rStyle w:val="Hyperlink"/>
            <w:kern w:val="22"/>
            <w:sz w:val="22"/>
            <w:szCs w:val="22"/>
            <w:lang w:val="en-GB"/>
          </w:rPr>
          <w:t>14/3</w:t>
        </w:r>
      </w:hyperlink>
      <w:r w:rsidRPr="00B47649">
        <w:rPr>
          <w:kern w:val="22"/>
          <w:sz w:val="22"/>
          <w:szCs w:val="22"/>
          <w:lang w:val="en-GB"/>
        </w:rPr>
        <w:t>, the Conference of the Parties at its fourteenth meeting decided to establish a long</w:t>
      </w:r>
      <w:r w:rsidR="00AC3AAD" w:rsidRPr="00B47649">
        <w:rPr>
          <w:kern w:val="22"/>
          <w:sz w:val="22"/>
          <w:szCs w:val="22"/>
          <w:lang w:val="en-GB"/>
        </w:rPr>
        <w:noBreakHyphen/>
      </w:r>
      <w:r w:rsidRPr="00B47649">
        <w:rPr>
          <w:kern w:val="22"/>
          <w:sz w:val="22"/>
          <w:szCs w:val="22"/>
          <w:lang w:val="en-GB"/>
        </w:rPr>
        <w:t>term strategic approach for mainstreaming biodiversity (para</w:t>
      </w:r>
      <w:r w:rsidR="005A6366" w:rsidRPr="00B47649">
        <w:rPr>
          <w:kern w:val="22"/>
          <w:sz w:val="22"/>
          <w:szCs w:val="22"/>
          <w:lang w:val="en-GB"/>
        </w:rPr>
        <w:t>.</w:t>
      </w:r>
      <w:r w:rsidRPr="00B47649">
        <w:rPr>
          <w:kern w:val="22"/>
          <w:sz w:val="22"/>
          <w:szCs w:val="22"/>
          <w:lang w:val="en-GB"/>
        </w:rPr>
        <w:t xml:space="preserve"> 17) and to establish an Informal Advisory Group on Mainstreaming of Biodiversity to advise the Executive Secretary and the Bureau on the further development of the proposal for a long-term approach, including </w:t>
      </w:r>
      <w:bookmarkStart w:id="2" w:name="_Hlk36042599"/>
      <w:r w:rsidRPr="00B47649">
        <w:rPr>
          <w:kern w:val="22"/>
          <w:sz w:val="22"/>
          <w:szCs w:val="22"/>
          <w:lang w:val="en-GB"/>
        </w:rPr>
        <w:t>on ways to integrate mainstreaming adequately into the post-2020 global biodiversity framework</w:t>
      </w:r>
      <w:bookmarkEnd w:id="2"/>
      <w:r w:rsidRPr="00B47649">
        <w:rPr>
          <w:kern w:val="22"/>
          <w:sz w:val="22"/>
          <w:szCs w:val="22"/>
          <w:lang w:val="en-GB"/>
        </w:rPr>
        <w:t>, to be submitted to the Subsidiary Body on Implementation for consideration at its third meeting (para</w:t>
      </w:r>
      <w:r w:rsidR="0084679D" w:rsidRPr="00B47649">
        <w:rPr>
          <w:kern w:val="22"/>
          <w:sz w:val="22"/>
          <w:szCs w:val="22"/>
          <w:lang w:val="en-GB"/>
        </w:rPr>
        <w:t>.</w:t>
      </w:r>
      <w:r w:rsidRPr="00B47649">
        <w:rPr>
          <w:kern w:val="22"/>
          <w:sz w:val="22"/>
          <w:szCs w:val="22"/>
          <w:lang w:val="en-GB"/>
        </w:rPr>
        <w:t xml:space="preserve"> 18). </w:t>
      </w:r>
      <w:r w:rsidR="004E0B9B" w:rsidRPr="00B47649">
        <w:rPr>
          <w:kern w:val="22"/>
          <w:sz w:val="22"/>
          <w:szCs w:val="22"/>
          <w:lang w:val="en-GB"/>
        </w:rPr>
        <w:t>In paragraph 19(</w:t>
      </w:r>
      <w:r w:rsidR="007D499E" w:rsidRPr="00B47649">
        <w:rPr>
          <w:kern w:val="22"/>
          <w:sz w:val="22"/>
          <w:szCs w:val="22"/>
          <w:lang w:val="en-GB"/>
        </w:rPr>
        <w:t>c</w:t>
      </w:r>
      <w:r w:rsidR="004E0B9B" w:rsidRPr="00B47649">
        <w:rPr>
          <w:kern w:val="22"/>
          <w:sz w:val="22"/>
          <w:szCs w:val="22"/>
          <w:lang w:val="en-GB"/>
        </w:rPr>
        <w:t xml:space="preserve">) of the decision, </w:t>
      </w:r>
      <w:r w:rsidR="002A724F" w:rsidRPr="00B47649">
        <w:rPr>
          <w:kern w:val="22"/>
          <w:sz w:val="22"/>
          <w:szCs w:val="22"/>
          <w:lang w:val="en-GB"/>
        </w:rPr>
        <w:t xml:space="preserve">the Conference of the Parties requested the Executive Secretary to </w:t>
      </w:r>
      <w:r w:rsidR="007D499E" w:rsidRPr="00B47649">
        <w:rPr>
          <w:kern w:val="22"/>
          <w:sz w:val="22"/>
          <w:szCs w:val="22"/>
          <w:lang w:val="en-GB"/>
        </w:rPr>
        <w:t>work with the Informal Advisory Group referred in the development of the long-term strategic approach to mainstreamin</w:t>
      </w:r>
      <w:r w:rsidR="006636D6" w:rsidRPr="00B47649">
        <w:rPr>
          <w:kern w:val="22"/>
          <w:sz w:val="22"/>
          <w:szCs w:val="22"/>
          <w:lang w:val="en-GB"/>
        </w:rPr>
        <w:t>g</w:t>
      </w:r>
      <w:r w:rsidR="007D499E" w:rsidRPr="00B47649">
        <w:rPr>
          <w:kern w:val="22"/>
          <w:sz w:val="22"/>
          <w:szCs w:val="22"/>
          <w:lang w:val="en-GB"/>
        </w:rPr>
        <w:t>.</w:t>
      </w:r>
    </w:p>
    <w:p w14:paraId="4DF50695" w14:textId="029F44EE" w:rsidR="007D499E" w:rsidRPr="00B47649" w:rsidRDefault="007D499E"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In paragraph 19(b) of decision 14/3, the Conference of the Parties requested the Executive Secretary to </w:t>
      </w:r>
      <w:r w:rsidR="004E0B9B" w:rsidRPr="00B47649">
        <w:rPr>
          <w:kern w:val="22"/>
          <w:sz w:val="22"/>
          <w:szCs w:val="22"/>
          <w:lang w:val="en-GB"/>
        </w:rPr>
        <w:t xml:space="preserve">ensure that discussions and inputs with respect to mainstreaming biodiversity </w:t>
      </w:r>
      <w:r w:rsidR="009A5385">
        <w:rPr>
          <w:kern w:val="22"/>
          <w:sz w:val="22"/>
          <w:szCs w:val="22"/>
          <w:lang w:val="en-GB"/>
        </w:rPr>
        <w:t>were</w:t>
      </w:r>
      <w:r w:rsidR="009A5385" w:rsidRPr="00B47649">
        <w:rPr>
          <w:kern w:val="22"/>
          <w:sz w:val="22"/>
          <w:szCs w:val="22"/>
          <w:lang w:val="en-GB"/>
        </w:rPr>
        <w:t xml:space="preserve"> </w:t>
      </w:r>
      <w:r w:rsidR="004E0B9B" w:rsidRPr="00B47649">
        <w:rPr>
          <w:kern w:val="22"/>
          <w:sz w:val="22"/>
          <w:szCs w:val="22"/>
          <w:lang w:val="en-GB"/>
        </w:rPr>
        <w:t>appropriately integrated in the development of the post-2020 global biodiversity framework</w:t>
      </w:r>
      <w:r w:rsidR="002A724F" w:rsidRPr="00B47649">
        <w:rPr>
          <w:kern w:val="22"/>
          <w:sz w:val="22"/>
          <w:szCs w:val="22"/>
          <w:lang w:val="en-GB"/>
        </w:rPr>
        <w:t>.</w:t>
      </w:r>
      <w:r w:rsidR="004E0B9B" w:rsidRPr="00B47649">
        <w:rPr>
          <w:kern w:val="22"/>
          <w:sz w:val="22"/>
          <w:szCs w:val="22"/>
          <w:lang w:val="en-GB"/>
        </w:rPr>
        <w:t xml:space="preserve"> </w:t>
      </w:r>
      <w:r w:rsidR="00C13D36" w:rsidRPr="00B47649">
        <w:rPr>
          <w:kern w:val="22"/>
          <w:sz w:val="22"/>
          <w:szCs w:val="22"/>
          <w:lang w:val="en-GB"/>
        </w:rPr>
        <w:t xml:space="preserve">Further, the </w:t>
      </w:r>
      <w:r w:rsidR="005B18D9" w:rsidRPr="00B47649">
        <w:rPr>
          <w:kern w:val="22"/>
          <w:sz w:val="22"/>
          <w:szCs w:val="22"/>
          <w:lang w:val="en-GB"/>
        </w:rPr>
        <w:t xml:space="preserve">Open-ended Working Group on the Post-2020 Global Biodiversity Framework </w:t>
      </w:r>
      <w:r w:rsidR="00C13D36" w:rsidRPr="00B47649">
        <w:rPr>
          <w:kern w:val="22"/>
          <w:sz w:val="22"/>
          <w:szCs w:val="22"/>
          <w:lang w:val="en-GB"/>
        </w:rPr>
        <w:t xml:space="preserve">at its first meeting invited the </w:t>
      </w:r>
      <w:r w:rsidR="00FC093C" w:rsidRPr="00B47649">
        <w:rPr>
          <w:kern w:val="22"/>
          <w:sz w:val="22"/>
          <w:szCs w:val="22"/>
          <w:lang w:val="en-GB"/>
        </w:rPr>
        <w:t>Informal Advisory Group</w:t>
      </w:r>
      <w:r w:rsidR="00FC093C" w:rsidRPr="00B47649" w:rsidDel="00FC093C">
        <w:rPr>
          <w:kern w:val="22"/>
          <w:sz w:val="22"/>
          <w:szCs w:val="22"/>
          <w:lang w:val="en-GB"/>
        </w:rPr>
        <w:t xml:space="preserve"> </w:t>
      </w:r>
      <w:r w:rsidR="00C13D36" w:rsidRPr="00B47649">
        <w:rPr>
          <w:kern w:val="22"/>
          <w:sz w:val="22"/>
          <w:szCs w:val="22"/>
          <w:lang w:val="en-GB"/>
        </w:rPr>
        <w:t xml:space="preserve">to include in its report to the Subsidiary Body on Implementation </w:t>
      </w:r>
      <w:r w:rsidR="00912F09">
        <w:rPr>
          <w:kern w:val="22"/>
          <w:sz w:val="22"/>
          <w:szCs w:val="22"/>
          <w:lang w:val="en-GB"/>
        </w:rPr>
        <w:t>at its</w:t>
      </w:r>
      <w:r w:rsidR="00912F09" w:rsidRPr="00B47649">
        <w:rPr>
          <w:kern w:val="22"/>
          <w:sz w:val="22"/>
          <w:szCs w:val="22"/>
          <w:lang w:val="en-GB"/>
        </w:rPr>
        <w:t xml:space="preserve"> third meeting </w:t>
      </w:r>
      <w:r w:rsidR="00C13D36" w:rsidRPr="00B47649">
        <w:rPr>
          <w:kern w:val="22"/>
          <w:sz w:val="22"/>
          <w:szCs w:val="22"/>
          <w:lang w:val="en-GB"/>
        </w:rPr>
        <w:t>concrete proposals as relevant.</w:t>
      </w:r>
      <w:r w:rsidR="00C13D36" w:rsidRPr="00B47649">
        <w:rPr>
          <w:rStyle w:val="FootnoteReference"/>
          <w:kern w:val="22"/>
          <w:szCs w:val="22"/>
          <w:lang w:val="en-GB"/>
        </w:rPr>
        <w:footnoteReference w:id="2"/>
      </w:r>
      <w:r w:rsidR="000303EA" w:rsidRPr="00B47649">
        <w:rPr>
          <w:kern w:val="22"/>
          <w:sz w:val="22"/>
          <w:szCs w:val="22"/>
          <w:lang w:val="en-GB"/>
        </w:rPr>
        <w:t xml:space="preserve"> </w:t>
      </w:r>
      <w:r w:rsidRPr="00B47649">
        <w:rPr>
          <w:kern w:val="22"/>
          <w:sz w:val="22"/>
          <w:szCs w:val="22"/>
          <w:lang w:val="en-GB"/>
        </w:rPr>
        <w:t>In the same decision, the Conference of the Parties also decided on a number of other operational activities to be undertaken by the Executive Secretary</w:t>
      </w:r>
      <w:r w:rsidR="000303EA" w:rsidRPr="00B47649">
        <w:rPr>
          <w:kern w:val="22"/>
          <w:sz w:val="22"/>
          <w:szCs w:val="22"/>
          <w:lang w:val="en-GB"/>
        </w:rPr>
        <w:t xml:space="preserve"> </w:t>
      </w:r>
      <w:r w:rsidR="00A700AC" w:rsidRPr="00B47649">
        <w:rPr>
          <w:kern w:val="22"/>
          <w:sz w:val="22"/>
          <w:szCs w:val="22"/>
          <w:lang w:val="en-GB"/>
        </w:rPr>
        <w:t>(para</w:t>
      </w:r>
      <w:r w:rsidR="00994D47" w:rsidRPr="00B47649">
        <w:rPr>
          <w:kern w:val="22"/>
          <w:sz w:val="22"/>
          <w:szCs w:val="22"/>
          <w:lang w:val="en-GB"/>
        </w:rPr>
        <w:t>.</w:t>
      </w:r>
      <w:r w:rsidR="00A700AC" w:rsidRPr="00B47649">
        <w:rPr>
          <w:kern w:val="22"/>
          <w:sz w:val="22"/>
          <w:szCs w:val="22"/>
          <w:lang w:val="en-GB"/>
        </w:rPr>
        <w:t xml:space="preserve"> 19(a), (d)–(</w:t>
      </w:r>
      <w:proofErr w:type="spellStart"/>
      <w:r w:rsidR="00A700AC" w:rsidRPr="00B47649">
        <w:rPr>
          <w:kern w:val="22"/>
          <w:sz w:val="22"/>
          <w:szCs w:val="22"/>
          <w:lang w:val="en-GB"/>
        </w:rPr>
        <w:t>i</w:t>
      </w:r>
      <w:proofErr w:type="spellEnd"/>
      <w:r w:rsidR="00A700AC" w:rsidRPr="00B47649">
        <w:rPr>
          <w:kern w:val="22"/>
          <w:sz w:val="22"/>
          <w:szCs w:val="22"/>
          <w:lang w:val="en-GB"/>
        </w:rPr>
        <w:t>)).</w:t>
      </w:r>
    </w:p>
    <w:p w14:paraId="78FC0667" w14:textId="4F3E8F48" w:rsidR="00DC1D12" w:rsidRPr="00B47649" w:rsidRDefault="007D499E"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P</w:t>
      </w:r>
      <w:r w:rsidR="00441736" w:rsidRPr="00B47649">
        <w:rPr>
          <w:kern w:val="22"/>
          <w:sz w:val="22"/>
          <w:szCs w:val="22"/>
          <w:lang w:val="en-GB"/>
        </w:rPr>
        <w:t>ursuant to these requests</w:t>
      </w:r>
      <w:r w:rsidR="00935EA0" w:rsidRPr="00B47649">
        <w:rPr>
          <w:kern w:val="22"/>
          <w:sz w:val="22"/>
          <w:szCs w:val="22"/>
          <w:lang w:val="en-GB"/>
        </w:rPr>
        <w:t>, t</w:t>
      </w:r>
      <w:r w:rsidR="008E0A0D" w:rsidRPr="00B47649">
        <w:rPr>
          <w:kern w:val="22"/>
          <w:sz w:val="22"/>
          <w:szCs w:val="22"/>
          <w:lang w:val="en-GB"/>
        </w:rPr>
        <w:t>h</w:t>
      </w:r>
      <w:r w:rsidR="005005A0" w:rsidRPr="00B47649">
        <w:rPr>
          <w:kern w:val="22"/>
          <w:sz w:val="22"/>
          <w:szCs w:val="22"/>
          <w:lang w:val="en-GB"/>
        </w:rPr>
        <w:t>e present</w:t>
      </w:r>
      <w:r w:rsidR="008E0A0D" w:rsidRPr="00B47649">
        <w:rPr>
          <w:kern w:val="22"/>
          <w:sz w:val="22"/>
          <w:szCs w:val="22"/>
          <w:lang w:val="en-GB"/>
        </w:rPr>
        <w:t xml:space="preserve"> document summarizes the </w:t>
      </w:r>
      <w:r w:rsidR="001E2126" w:rsidRPr="00B47649">
        <w:rPr>
          <w:kern w:val="22"/>
          <w:sz w:val="22"/>
          <w:szCs w:val="22"/>
          <w:lang w:val="en-GB"/>
        </w:rPr>
        <w:t>activities and outputs</w:t>
      </w:r>
      <w:r w:rsidR="008E0A0D" w:rsidRPr="00B47649">
        <w:rPr>
          <w:kern w:val="22"/>
          <w:sz w:val="22"/>
          <w:szCs w:val="22"/>
          <w:lang w:val="en-GB"/>
        </w:rPr>
        <w:t xml:space="preserve"> of the </w:t>
      </w:r>
      <w:r w:rsidR="00E31896" w:rsidRPr="00B47649">
        <w:rPr>
          <w:kern w:val="22"/>
          <w:sz w:val="22"/>
          <w:szCs w:val="22"/>
          <w:lang w:val="en-GB"/>
        </w:rPr>
        <w:t>Informal Advisory Group</w:t>
      </w:r>
      <w:r w:rsidR="00E31896" w:rsidRPr="00B47649" w:rsidDel="00E31896">
        <w:rPr>
          <w:kern w:val="22"/>
          <w:sz w:val="22"/>
          <w:szCs w:val="22"/>
          <w:lang w:val="en-GB"/>
        </w:rPr>
        <w:t xml:space="preserve"> </w:t>
      </w:r>
      <w:r w:rsidR="002F5D52" w:rsidRPr="00B47649">
        <w:rPr>
          <w:kern w:val="22"/>
          <w:sz w:val="22"/>
          <w:szCs w:val="22"/>
          <w:lang w:val="en-GB"/>
        </w:rPr>
        <w:t xml:space="preserve">and an additional network of experts </w:t>
      </w:r>
      <w:r w:rsidR="008E0A0D" w:rsidRPr="00B47649">
        <w:rPr>
          <w:kern w:val="22"/>
          <w:sz w:val="22"/>
          <w:szCs w:val="22"/>
          <w:lang w:val="en-GB"/>
        </w:rPr>
        <w:t>(</w:t>
      </w:r>
      <w:r w:rsidR="00240F54" w:rsidRPr="00B47649">
        <w:rPr>
          <w:kern w:val="22"/>
          <w:sz w:val="22"/>
          <w:szCs w:val="22"/>
          <w:lang w:val="en-GB"/>
        </w:rPr>
        <w:t xml:space="preserve">section </w:t>
      </w:r>
      <w:r w:rsidR="004F2737">
        <w:rPr>
          <w:kern w:val="22"/>
          <w:sz w:val="22"/>
          <w:szCs w:val="22"/>
          <w:lang w:val="en-GB"/>
        </w:rPr>
        <w:t>II</w:t>
      </w:r>
      <w:r w:rsidR="008E0A0D" w:rsidRPr="00B47649">
        <w:rPr>
          <w:kern w:val="22"/>
          <w:sz w:val="22"/>
          <w:szCs w:val="22"/>
          <w:lang w:val="en-GB"/>
        </w:rPr>
        <w:t xml:space="preserve">), </w:t>
      </w:r>
      <w:r w:rsidR="00D5747B" w:rsidRPr="00B47649">
        <w:rPr>
          <w:kern w:val="22"/>
          <w:sz w:val="22"/>
          <w:szCs w:val="22"/>
          <w:lang w:val="en-GB"/>
        </w:rPr>
        <w:t xml:space="preserve">explains the structure of the </w:t>
      </w:r>
      <w:r w:rsidR="00B303E3" w:rsidRPr="00B47649">
        <w:rPr>
          <w:kern w:val="22"/>
          <w:sz w:val="22"/>
          <w:szCs w:val="22"/>
          <w:lang w:val="en-GB"/>
        </w:rPr>
        <w:t xml:space="preserve">proposed </w:t>
      </w:r>
      <w:r w:rsidR="00D5747B" w:rsidRPr="00B47649">
        <w:rPr>
          <w:kern w:val="22"/>
          <w:sz w:val="22"/>
          <w:szCs w:val="22"/>
          <w:lang w:val="en-GB"/>
        </w:rPr>
        <w:t xml:space="preserve">long-term approach that resulted from the  work </w:t>
      </w:r>
      <w:r w:rsidR="00E31896" w:rsidRPr="00B47649">
        <w:rPr>
          <w:kern w:val="22"/>
          <w:sz w:val="22"/>
          <w:szCs w:val="22"/>
          <w:lang w:val="en-GB"/>
        </w:rPr>
        <w:t xml:space="preserve">of the Informal Advisory Group </w:t>
      </w:r>
      <w:r w:rsidR="00D5747B" w:rsidRPr="00B47649">
        <w:rPr>
          <w:kern w:val="22"/>
          <w:sz w:val="22"/>
          <w:szCs w:val="22"/>
          <w:lang w:val="en-GB"/>
        </w:rPr>
        <w:t>(</w:t>
      </w:r>
      <w:r w:rsidR="009A7982" w:rsidRPr="00B47649">
        <w:rPr>
          <w:kern w:val="22"/>
          <w:sz w:val="22"/>
          <w:szCs w:val="22"/>
          <w:lang w:val="en-GB"/>
        </w:rPr>
        <w:t xml:space="preserve">section </w:t>
      </w:r>
      <w:r w:rsidR="004F2737">
        <w:rPr>
          <w:kern w:val="22"/>
          <w:sz w:val="22"/>
          <w:szCs w:val="22"/>
          <w:lang w:val="en-GB"/>
        </w:rPr>
        <w:t>III</w:t>
      </w:r>
      <w:r w:rsidR="00D5747B" w:rsidRPr="00B47649">
        <w:rPr>
          <w:kern w:val="22"/>
          <w:sz w:val="22"/>
          <w:szCs w:val="22"/>
          <w:lang w:val="en-GB"/>
        </w:rPr>
        <w:t xml:space="preserve">), </w:t>
      </w:r>
      <w:r w:rsidR="00492086" w:rsidRPr="00B47649">
        <w:rPr>
          <w:kern w:val="22"/>
          <w:sz w:val="22"/>
          <w:szCs w:val="22"/>
          <w:lang w:val="en-GB"/>
        </w:rPr>
        <w:t>reports on progress on other elements under this agenda item</w:t>
      </w:r>
      <w:r w:rsidR="00E8002B" w:rsidRPr="00B47649">
        <w:rPr>
          <w:kern w:val="22"/>
          <w:sz w:val="22"/>
          <w:szCs w:val="22"/>
          <w:lang w:val="en-GB"/>
        </w:rPr>
        <w:t xml:space="preserve"> resulting from paragraphs 16, 18 and 19 </w:t>
      </w:r>
      <w:r w:rsidR="00F41FA2" w:rsidRPr="00B47649">
        <w:rPr>
          <w:kern w:val="22"/>
          <w:sz w:val="22"/>
          <w:szCs w:val="22"/>
          <w:lang w:val="en-GB"/>
        </w:rPr>
        <w:t xml:space="preserve">of decision 14/3 </w:t>
      </w:r>
      <w:r w:rsidR="00CE6E92" w:rsidRPr="00B47649">
        <w:rPr>
          <w:kern w:val="22"/>
          <w:sz w:val="22"/>
          <w:szCs w:val="22"/>
          <w:lang w:val="en-GB"/>
        </w:rPr>
        <w:t>(</w:t>
      </w:r>
      <w:r w:rsidR="00F41FA2" w:rsidRPr="00B47649">
        <w:rPr>
          <w:kern w:val="22"/>
          <w:sz w:val="22"/>
          <w:szCs w:val="22"/>
          <w:lang w:val="en-GB"/>
        </w:rPr>
        <w:t xml:space="preserve">section </w:t>
      </w:r>
      <w:r w:rsidR="004F2737">
        <w:rPr>
          <w:kern w:val="22"/>
          <w:sz w:val="22"/>
          <w:szCs w:val="22"/>
          <w:lang w:val="en-GB"/>
        </w:rPr>
        <w:t>IV</w:t>
      </w:r>
      <w:r w:rsidR="00CE6E92" w:rsidRPr="00B47649">
        <w:rPr>
          <w:kern w:val="22"/>
          <w:sz w:val="22"/>
          <w:szCs w:val="22"/>
          <w:lang w:val="en-GB"/>
        </w:rPr>
        <w:t xml:space="preserve">), </w:t>
      </w:r>
      <w:r w:rsidR="008F113D" w:rsidRPr="00B47649">
        <w:rPr>
          <w:kern w:val="22"/>
          <w:sz w:val="22"/>
          <w:szCs w:val="22"/>
          <w:lang w:val="en-GB"/>
        </w:rPr>
        <w:t xml:space="preserve">and provides </w:t>
      </w:r>
      <w:r w:rsidR="00C708E3" w:rsidRPr="00B47649">
        <w:rPr>
          <w:kern w:val="22"/>
          <w:sz w:val="22"/>
          <w:szCs w:val="22"/>
          <w:lang w:val="en-GB"/>
        </w:rPr>
        <w:t xml:space="preserve">draft text on a recommendation for </w:t>
      </w:r>
      <w:r w:rsidR="00441736" w:rsidRPr="00B47649">
        <w:rPr>
          <w:kern w:val="22"/>
          <w:sz w:val="22"/>
          <w:szCs w:val="22"/>
          <w:lang w:val="en-GB"/>
        </w:rPr>
        <w:t>consideration by the Subsidiary Body</w:t>
      </w:r>
      <w:r w:rsidR="006949B1" w:rsidRPr="00B47649">
        <w:rPr>
          <w:kern w:val="22"/>
          <w:sz w:val="22"/>
          <w:szCs w:val="22"/>
          <w:lang w:val="en-GB"/>
        </w:rPr>
        <w:t xml:space="preserve"> </w:t>
      </w:r>
      <w:r w:rsidR="00A700AC" w:rsidRPr="00B47649">
        <w:rPr>
          <w:kern w:val="22"/>
          <w:sz w:val="22"/>
          <w:szCs w:val="22"/>
          <w:lang w:val="en-GB"/>
        </w:rPr>
        <w:t xml:space="preserve">(section </w:t>
      </w:r>
      <w:r w:rsidR="004F2737">
        <w:rPr>
          <w:kern w:val="22"/>
          <w:sz w:val="22"/>
          <w:szCs w:val="22"/>
          <w:lang w:val="en-GB"/>
        </w:rPr>
        <w:t>V</w:t>
      </w:r>
      <w:r w:rsidR="00A700AC" w:rsidRPr="00B47649">
        <w:rPr>
          <w:kern w:val="22"/>
          <w:sz w:val="22"/>
          <w:szCs w:val="22"/>
          <w:lang w:val="en-GB"/>
        </w:rPr>
        <w:t>)</w:t>
      </w:r>
      <w:r w:rsidR="006949B1" w:rsidRPr="00B47649">
        <w:rPr>
          <w:kern w:val="22"/>
          <w:sz w:val="22"/>
          <w:szCs w:val="22"/>
          <w:lang w:val="en-GB"/>
        </w:rPr>
        <w:t>.</w:t>
      </w:r>
      <w:r w:rsidR="00C708E3" w:rsidRPr="00B47649">
        <w:rPr>
          <w:kern w:val="22"/>
          <w:sz w:val="22"/>
          <w:szCs w:val="22"/>
          <w:lang w:val="en-GB"/>
        </w:rPr>
        <w:t xml:space="preserve"> </w:t>
      </w:r>
      <w:r w:rsidR="00F41FA2" w:rsidRPr="00B47649">
        <w:rPr>
          <w:kern w:val="22"/>
          <w:sz w:val="22"/>
          <w:szCs w:val="22"/>
          <w:lang w:val="en-GB"/>
        </w:rPr>
        <w:t xml:space="preserve">The </w:t>
      </w:r>
      <w:r w:rsidR="00A12DB8" w:rsidRPr="00B47649">
        <w:rPr>
          <w:kern w:val="22"/>
          <w:sz w:val="22"/>
          <w:szCs w:val="22"/>
          <w:lang w:val="en-GB"/>
        </w:rPr>
        <w:t xml:space="preserve">proposed </w:t>
      </w:r>
      <w:r w:rsidR="002C427F" w:rsidRPr="00B47649">
        <w:rPr>
          <w:kern w:val="22"/>
          <w:sz w:val="22"/>
          <w:szCs w:val="22"/>
          <w:lang w:val="en-GB"/>
        </w:rPr>
        <w:t>l</w:t>
      </w:r>
      <w:r w:rsidR="00364AA4" w:rsidRPr="00B47649">
        <w:rPr>
          <w:kern w:val="22"/>
          <w:sz w:val="22"/>
          <w:szCs w:val="22"/>
          <w:lang w:val="en-GB"/>
        </w:rPr>
        <w:t>ong-</w:t>
      </w:r>
      <w:r w:rsidR="002C427F" w:rsidRPr="00B47649">
        <w:rPr>
          <w:kern w:val="22"/>
          <w:sz w:val="22"/>
          <w:szCs w:val="22"/>
          <w:lang w:val="en-GB"/>
        </w:rPr>
        <w:t>t</w:t>
      </w:r>
      <w:r w:rsidR="00364AA4" w:rsidRPr="00B47649">
        <w:rPr>
          <w:kern w:val="22"/>
          <w:sz w:val="22"/>
          <w:szCs w:val="22"/>
          <w:lang w:val="en-GB"/>
        </w:rPr>
        <w:t xml:space="preserve">erm </w:t>
      </w:r>
      <w:r w:rsidR="002C427F" w:rsidRPr="00B47649">
        <w:rPr>
          <w:kern w:val="22"/>
          <w:sz w:val="22"/>
          <w:szCs w:val="22"/>
          <w:lang w:val="en-GB"/>
        </w:rPr>
        <w:t>a</w:t>
      </w:r>
      <w:r w:rsidR="00364AA4" w:rsidRPr="00B47649">
        <w:rPr>
          <w:kern w:val="22"/>
          <w:sz w:val="22"/>
          <w:szCs w:val="22"/>
          <w:lang w:val="en-GB"/>
        </w:rPr>
        <w:t xml:space="preserve">pproach to </w:t>
      </w:r>
      <w:r w:rsidR="002C427F" w:rsidRPr="00B47649">
        <w:rPr>
          <w:kern w:val="22"/>
          <w:sz w:val="22"/>
          <w:szCs w:val="22"/>
          <w:lang w:val="en-GB"/>
        </w:rPr>
        <w:t>m</w:t>
      </w:r>
      <w:r w:rsidR="004670ED" w:rsidRPr="00B47649">
        <w:rPr>
          <w:kern w:val="22"/>
          <w:sz w:val="22"/>
          <w:szCs w:val="22"/>
          <w:lang w:val="en-GB"/>
        </w:rPr>
        <w:t>ainst</w:t>
      </w:r>
      <w:r w:rsidR="00364AA4" w:rsidRPr="00B47649">
        <w:rPr>
          <w:kern w:val="22"/>
          <w:sz w:val="22"/>
          <w:szCs w:val="22"/>
          <w:lang w:val="en-GB"/>
        </w:rPr>
        <w:t>reaming (LTAM)</w:t>
      </w:r>
      <w:r w:rsidR="00DC1D12" w:rsidRPr="00B47649">
        <w:rPr>
          <w:kern w:val="22"/>
          <w:sz w:val="22"/>
          <w:szCs w:val="22"/>
          <w:lang w:val="en-GB"/>
        </w:rPr>
        <w:t xml:space="preserve"> </w:t>
      </w:r>
      <w:r w:rsidR="00AE4794" w:rsidRPr="00B47649">
        <w:rPr>
          <w:kern w:val="22"/>
          <w:sz w:val="22"/>
          <w:szCs w:val="22"/>
          <w:lang w:val="en-GB"/>
        </w:rPr>
        <w:t>is</w:t>
      </w:r>
      <w:r w:rsidR="008E7244" w:rsidRPr="00B47649">
        <w:rPr>
          <w:kern w:val="22"/>
          <w:sz w:val="22"/>
          <w:szCs w:val="22"/>
          <w:lang w:val="en-GB"/>
        </w:rPr>
        <w:t xml:space="preserve"> shown in </w:t>
      </w:r>
      <w:r w:rsidR="006949B1" w:rsidRPr="00B47649">
        <w:rPr>
          <w:kern w:val="22"/>
          <w:sz w:val="22"/>
          <w:szCs w:val="22"/>
          <w:lang w:val="en-GB"/>
        </w:rPr>
        <w:t>a</w:t>
      </w:r>
      <w:r w:rsidR="008E7244" w:rsidRPr="00B47649">
        <w:rPr>
          <w:kern w:val="22"/>
          <w:sz w:val="22"/>
          <w:szCs w:val="22"/>
          <w:lang w:val="en-GB"/>
        </w:rPr>
        <w:t xml:space="preserve">nnex II, while </w:t>
      </w:r>
      <w:r w:rsidR="001C28B4" w:rsidRPr="00B47649">
        <w:rPr>
          <w:kern w:val="22"/>
          <w:sz w:val="22"/>
          <w:szCs w:val="22"/>
          <w:lang w:val="en-GB"/>
        </w:rPr>
        <w:t>a</w:t>
      </w:r>
      <w:r w:rsidR="008E7244" w:rsidRPr="00B47649">
        <w:rPr>
          <w:kern w:val="22"/>
          <w:sz w:val="22"/>
          <w:szCs w:val="22"/>
          <w:lang w:val="en-GB"/>
        </w:rPr>
        <w:t>nnex</w:t>
      </w:r>
      <w:r w:rsidR="001C28B4" w:rsidRPr="00B47649">
        <w:rPr>
          <w:kern w:val="22"/>
          <w:sz w:val="22"/>
          <w:szCs w:val="22"/>
          <w:lang w:val="en-GB"/>
        </w:rPr>
        <w:t> </w:t>
      </w:r>
      <w:r w:rsidR="008E7244" w:rsidRPr="00B47649">
        <w:rPr>
          <w:kern w:val="22"/>
          <w:sz w:val="22"/>
          <w:szCs w:val="22"/>
          <w:lang w:val="en-GB"/>
        </w:rPr>
        <w:t xml:space="preserve">I contains recommendations </w:t>
      </w:r>
      <w:r w:rsidR="00176CAF">
        <w:rPr>
          <w:kern w:val="22"/>
          <w:sz w:val="22"/>
          <w:szCs w:val="22"/>
          <w:lang w:val="en-GB"/>
        </w:rPr>
        <w:t>of</w:t>
      </w:r>
      <w:r w:rsidR="008E7244" w:rsidRPr="00B47649">
        <w:rPr>
          <w:kern w:val="22"/>
          <w:sz w:val="22"/>
          <w:szCs w:val="22"/>
          <w:lang w:val="en-GB"/>
        </w:rPr>
        <w:t xml:space="preserve"> the </w:t>
      </w:r>
      <w:r w:rsidR="00364AA4" w:rsidRPr="00B47649">
        <w:rPr>
          <w:kern w:val="22"/>
          <w:sz w:val="22"/>
          <w:szCs w:val="22"/>
          <w:lang w:val="en-GB"/>
        </w:rPr>
        <w:t xml:space="preserve">Informal Advisory </w:t>
      </w:r>
      <w:r w:rsidR="008E7244" w:rsidRPr="00B47649">
        <w:rPr>
          <w:kern w:val="22"/>
          <w:sz w:val="22"/>
          <w:szCs w:val="22"/>
          <w:lang w:val="en-GB"/>
        </w:rPr>
        <w:t xml:space="preserve">Group </w:t>
      </w:r>
      <w:r w:rsidR="00176CAF" w:rsidRPr="00B47649">
        <w:rPr>
          <w:kern w:val="22"/>
          <w:sz w:val="22"/>
          <w:szCs w:val="22"/>
          <w:lang w:val="en-GB"/>
        </w:rPr>
        <w:t xml:space="preserve">to Parties </w:t>
      </w:r>
      <w:r w:rsidR="008E7244" w:rsidRPr="00B47649">
        <w:rPr>
          <w:kern w:val="22"/>
          <w:sz w:val="22"/>
          <w:szCs w:val="22"/>
          <w:lang w:val="en-GB"/>
        </w:rPr>
        <w:t>on how to strengthen linkages between the post-2020 framework and this approach</w:t>
      </w:r>
      <w:r w:rsidR="006A67F4" w:rsidRPr="00B47649">
        <w:rPr>
          <w:kern w:val="22"/>
          <w:sz w:val="22"/>
          <w:szCs w:val="22"/>
          <w:lang w:val="en-GB"/>
        </w:rPr>
        <w:t xml:space="preserve">. </w:t>
      </w:r>
      <w:r w:rsidR="00441736" w:rsidRPr="00B47649">
        <w:rPr>
          <w:kern w:val="22"/>
          <w:sz w:val="22"/>
          <w:szCs w:val="22"/>
          <w:lang w:val="en-GB"/>
        </w:rPr>
        <w:t>Document CBD/SBI/3/13/Add.1 contains</w:t>
      </w:r>
      <w:r w:rsidR="00236BB9" w:rsidRPr="00B47649">
        <w:rPr>
          <w:kern w:val="22"/>
          <w:sz w:val="22"/>
          <w:szCs w:val="22"/>
          <w:lang w:val="en-GB"/>
        </w:rPr>
        <w:t xml:space="preserve"> a</w:t>
      </w:r>
      <w:r w:rsidR="00AE4794" w:rsidRPr="00B47649">
        <w:rPr>
          <w:kern w:val="22"/>
          <w:sz w:val="22"/>
          <w:szCs w:val="22"/>
          <w:lang w:val="en-GB"/>
        </w:rPr>
        <w:t xml:space="preserve"> </w:t>
      </w:r>
      <w:r w:rsidR="00A75EC2" w:rsidRPr="00B47649">
        <w:rPr>
          <w:kern w:val="22"/>
          <w:sz w:val="22"/>
          <w:szCs w:val="22"/>
          <w:lang w:val="en-GB"/>
        </w:rPr>
        <w:t xml:space="preserve">complementary </w:t>
      </w:r>
      <w:r w:rsidR="00954E9E" w:rsidRPr="00B47649">
        <w:rPr>
          <w:kern w:val="22"/>
          <w:sz w:val="22"/>
          <w:szCs w:val="22"/>
          <w:lang w:val="en-GB"/>
        </w:rPr>
        <w:t>a</w:t>
      </w:r>
      <w:r w:rsidR="00A75EC2" w:rsidRPr="00B47649">
        <w:rPr>
          <w:kern w:val="22"/>
          <w:sz w:val="22"/>
          <w:szCs w:val="22"/>
          <w:lang w:val="en-GB"/>
        </w:rPr>
        <w:t xml:space="preserve">ction </w:t>
      </w:r>
      <w:r w:rsidR="00954E9E" w:rsidRPr="00B47649">
        <w:rPr>
          <w:kern w:val="22"/>
          <w:sz w:val="22"/>
          <w:szCs w:val="22"/>
          <w:lang w:val="en-GB"/>
        </w:rPr>
        <w:t>p</w:t>
      </w:r>
      <w:r w:rsidR="00A75EC2" w:rsidRPr="00B47649">
        <w:rPr>
          <w:kern w:val="22"/>
          <w:sz w:val="22"/>
          <w:szCs w:val="22"/>
          <w:lang w:val="en-GB"/>
        </w:rPr>
        <w:t xml:space="preserve">lan, </w:t>
      </w:r>
      <w:r w:rsidR="00236BB9" w:rsidRPr="00B47649">
        <w:rPr>
          <w:kern w:val="22"/>
          <w:sz w:val="22"/>
          <w:szCs w:val="22"/>
          <w:lang w:val="en-GB"/>
        </w:rPr>
        <w:t xml:space="preserve">which </w:t>
      </w:r>
      <w:r w:rsidR="00441736" w:rsidRPr="00B47649">
        <w:rPr>
          <w:kern w:val="22"/>
          <w:sz w:val="22"/>
          <w:szCs w:val="22"/>
          <w:lang w:val="en-GB"/>
        </w:rPr>
        <w:t>provid</w:t>
      </w:r>
      <w:r w:rsidR="00236BB9" w:rsidRPr="00B47649">
        <w:rPr>
          <w:kern w:val="22"/>
          <w:sz w:val="22"/>
          <w:szCs w:val="22"/>
          <w:lang w:val="en-GB"/>
        </w:rPr>
        <w:t>es</w:t>
      </w:r>
      <w:r w:rsidR="00441736" w:rsidRPr="00B47649">
        <w:rPr>
          <w:kern w:val="22"/>
          <w:sz w:val="22"/>
          <w:szCs w:val="22"/>
          <w:lang w:val="en-GB"/>
        </w:rPr>
        <w:t xml:space="preserve"> an indicative</w:t>
      </w:r>
      <w:r w:rsidR="00A75EC2" w:rsidRPr="00B47649">
        <w:rPr>
          <w:kern w:val="22"/>
          <w:sz w:val="22"/>
          <w:szCs w:val="22"/>
          <w:lang w:val="en-GB"/>
        </w:rPr>
        <w:t xml:space="preserve"> catalogue of activities</w:t>
      </w:r>
      <w:r w:rsidR="00236BB9" w:rsidRPr="00B47649">
        <w:rPr>
          <w:kern w:val="22"/>
          <w:sz w:val="22"/>
          <w:szCs w:val="22"/>
          <w:lang w:val="en-GB"/>
        </w:rPr>
        <w:t>,</w:t>
      </w:r>
      <w:r w:rsidR="00A75EC2" w:rsidRPr="00B47649">
        <w:rPr>
          <w:kern w:val="22"/>
          <w:sz w:val="22"/>
          <w:szCs w:val="22"/>
          <w:lang w:val="en-GB"/>
        </w:rPr>
        <w:t xml:space="preserve"> developed by the </w:t>
      </w:r>
      <w:r w:rsidR="00954E9E" w:rsidRPr="00B47649">
        <w:rPr>
          <w:kern w:val="22"/>
          <w:sz w:val="22"/>
          <w:szCs w:val="22"/>
          <w:lang w:val="en-GB"/>
        </w:rPr>
        <w:t>Informal Advisory Group</w:t>
      </w:r>
      <w:r w:rsidR="00954E9E" w:rsidRPr="00B47649" w:rsidDel="00954E9E">
        <w:rPr>
          <w:kern w:val="22"/>
          <w:sz w:val="22"/>
          <w:szCs w:val="22"/>
          <w:lang w:val="en-GB"/>
        </w:rPr>
        <w:t xml:space="preserve"> </w:t>
      </w:r>
      <w:r w:rsidR="006C0F25" w:rsidRPr="00B47649">
        <w:rPr>
          <w:kern w:val="22"/>
          <w:sz w:val="22"/>
          <w:szCs w:val="22"/>
          <w:lang w:val="en-GB"/>
        </w:rPr>
        <w:t xml:space="preserve">under each of the </w:t>
      </w:r>
      <w:r w:rsidR="000B3FA3" w:rsidRPr="00B47649">
        <w:rPr>
          <w:kern w:val="22"/>
          <w:sz w:val="22"/>
          <w:szCs w:val="22"/>
          <w:lang w:val="en-GB"/>
        </w:rPr>
        <w:t>elements</w:t>
      </w:r>
      <w:r w:rsidR="006C0F25" w:rsidRPr="00B47649">
        <w:rPr>
          <w:kern w:val="22"/>
          <w:sz w:val="22"/>
          <w:szCs w:val="22"/>
          <w:lang w:val="en-GB"/>
        </w:rPr>
        <w:t xml:space="preserve"> of the </w:t>
      </w:r>
      <w:r w:rsidR="008956A7" w:rsidRPr="00B47649">
        <w:rPr>
          <w:kern w:val="22"/>
          <w:sz w:val="22"/>
          <w:szCs w:val="22"/>
          <w:lang w:val="en-GB"/>
        </w:rPr>
        <w:t>long-term</w:t>
      </w:r>
      <w:r w:rsidR="006C0F25" w:rsidRPr="00B47649">
        <w:rPr>
          <w:kern w:val="22"/>
          <w:sz w:val="22"/>
          <w:szCs w:val="22"/>
          <w:lang w:val="en-GB"/>
        </w:rPr>
        <w:t xml:space="preserve"> approach,</w:t>
      </w:r>
      <w:r w:rsidR="00A75EC2" w:rsidRPr="00B47649">
        <w:rPr>
          <w:kern w:val="22"/>
          <w:sz w:val="22"/>
          <w:szCs w:val="22"/>
          <w:lang w:val="en-GB"/>
        </w:rPr>
        <w:t xml:space="preserve"> </w:t>
      </w:r>
      <w:r w:rsidR="00441736" w:rsidRPr="00B47649">
        <w:rPr>
          <w:kern w:val="22"/>
          <w:sz w:val="22"/>
          <w:szCs w:val="22"/>
          <w:lang w:val="en-GB"/>
        </w:rPr>
        <w:t xml:space="preserve">as additional guidance </w:t>
      </w:r>
      <w:r w:rsidR="00B040F0" w:rsidRPr="00B47649">
        <w:rPr>
          <w:kern w:val="22"/>
          <w:sz w:val="22"/>
          <w:szCs w:val="22"/>
          <w:lang w:val="en-GB"/>
        </w:rPr>
        <w:t xml:space="preserve">for Parties and partners </w:t>
      </w:r>
      <w:r w:rsidR="00236BB9" w:rsidRPr="00B47649">
        <w:rPr>
          <w:kern w:val="22"/>
          <w:sz w:val="22"/>
          <w:szCs w:val="22"/>
          <w:lang w:val="en-GB"/>
        </w:rPr>
        <w:t xml:space="preserve">for implementation of </w:t>
      </w:r>
      <w:r w:rsidR="00441736" w:rsidRPr="00B47649">
        <w:rPr>
          <w:kern w:val="22"/>
          <w:sz w:val="22"/>
          <w:szCs w:val="22"/>
          <w:lang w:val="en-GB"/>
        </w:rPr>
        <w:t xml:space="preserve">the </w:t>
      </w:r>
      <w:r w:rsidR="00BA77FA" w:rsidRPr="00B47649">
        <w:rPr>
          <w:kern w:val="22"/>
          <w:sz w:val="22"/>
          <w:szCs w:val="22"/>
          <w:lang w:val="en-GB"/>
        </w:rPr>
        <w:t>long-term approach</w:t>
      </w:r>
      <w:r w:rsidR="00B62B2F" w:rsidRPr="00B47649">
        <w:rPr>
          <w:kern w:val="22"/>
          <w:sz w:val="22"/>
          <w:szCs w:val="22"/>
          <w:lang w:val="en-GB"/>
        </w:rPr>
        <w:t>.</w:t>
      </w:r>
    </w:p>
    <w:p w14:paraId="52B7A796" w14:textId="305207F1" w:rsidR="008F3AB0" w:rsidRPr="00B47649" w:rsidRDefault="00FF6347"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T</w:t>
      </w:r>
      <w:r w:rsidR="008F3AB0" w:rsidRPr="00B47649">
        <w:rPr>
          <w:kern w:val="22"/>
          <w:sz w:val="22"/>
          <w:szCs w:val="22"/>
          <w:lang w:val="en-GB"/>
        </w:rPr>
        <w:t>he Subsidiary Body on Implementation at its third meeting may wish to consider the information</w:t>
      </w:r>
      <w:r w:rsidR="009B7767" w:rsidRPr="00B47649">
        <w:rPr>
          <w:kern w:val="22"/>
          <w:sz w:val="22"/>
          <w:szCs w:val="22"/>
          <w:lang w:val="en-GB"/>
        </w:rPr>
        <w:t xml:space="preserve"> provided in this </w:t>
      </w:r>
      <w:r w:rsidR="00B741A5" w:rsidRPr="00B47649">
        <w:rPr>
          <w:kern w:val="22"/>
          <w:sz w:val="22"/>
          <w:szCs w:val="22"/>
          <w:lang w:val="en-GB"/>
        </w:rPr>
        <w:t>document</w:t>
      </w:r>
      <w:r w:rsidR="009B7767" w:rsidRPr="00B47649">
        <w:rPr>
          <w:kern w:val="22"/>
          <w:sz w:val="22"/>
          <w:szCs w:val="22"/>
          <w:lang w:val="en-GB"/>
        </w:rPr>
        <w:t xml:space="preserve"> and</w:t>
      </w:r>
      <w:r w:rsidRPr="00B47649">
        <w:rPr>
          <w:kern w:val="22"/>
          <w:sz w:val="22"/>
          <w:szCs w:val="22"/>
          <w:lang w:val="en-GB"/>
        </w:rPr>
        <w:t>, pursuant to decision 14/3</w:t>
      </w:r>
      <w:r w:rsidR="004B7D04">
        <w:rPr>
          <w:kern w:val="22"/>
          <w:sz w:val="22"/>
          <w:szCs w:val="22"/>
          <w:lang w:val="en-GB"/>
        </w:rPr>
        <w:t>,</w:t>
      </w:r>
      <w:r w:rsidR="00AE4171" w:rsidRPr="00AE4171">
        <w:rPr>
          <w:kern w:val="22"/>
          <w:sz w:val="22"/>
          <w:szCs w:val="22"/>
          <w:lang w:val="en-GB"/>
        </w:rPr>
        <w:t xml:space="preserve"> </w:t>
      </w:r>
      <w:r w:rsidR="00AE4171" w:rsidRPr="00B47649">
        <w:rPr>
          <w:kern w:val="22"/>
          <w:sz w:val="22"/>
          <w:szCs w:val="22"/>
          <w:lang w:val="en-GB"/>
        </w:rPr>
        <w:t>annex II</w:t>
      </w:r>
      <w:r w:rsidR="00AE4171">
        <w:rPr>
          <w:kern w:val="22"/>
          <w:sz w:val="22"/>
          <w:szCs w:val="22"/>
          <w:lang w:val="en-GB"/>
        </w:rPr>
        <w:t>,</w:t>
      </w:r>
      <w:r w:rsidR="00AE4171" w:rsidRPr="00AE4171">
        <w:rPr>
          <w:kern w:val="22"/>
          <w:sz w:val="22"/>
          <w:szCs w:val="22"/>
          <w:lang w:val="en-GB"/>
        </w:rPr>
        <w:t xml:space="preserve"> </w:t>
      </w:r>
      <w:r w:rsidR="00AE4171" w:rsidRPr="00B47649">
        <w:rPr>
          <w:kern w:val="22"/>
          <w:sz w:val="22"/>
          <w:szCs w:val="22"/>
          <w:lang w:val="en-GB"/>
        </w:rPr>
        <w:t>paragraph 6</w:t>
      </w:r>
      <w:r w:rsidRPr="00B47649">
        <w:rPr>
          <w:kern w:val="22"/>
          <w:sz w:val="22"/>
          <w:szCs w:val="22"/>
          <w:lang w:val="en-GB"/>
        </w:rPr>
        <w:t xml:space="preserve">, </w:t>
      </w:r>
      <w:r w:rsidR="008F3AB0" w:rsidRPr="00B47649">
        <w:rPr>
          <w:kern w:val="22"/>
          <w:sz w:val="22"/>
          <w:szCs w:val="22"/>
          <w:lang w:val="en-GB"/>
        </w:rPr>
        <w:t xml:space="preserve">review the mandate and </w:t>
      </w:r>
      <w:r w:rsidR="00364AA4" w:rsidRPr="00B47649">
        <w:rPr>
          <w:kern w:val="22"/>
          <w:sz w:val="22"/>
          <w:szCs w:val="22"/>
          <w:lang w:val="en-GB"/>
        </w:rPr>
        <w:t>c</w:t>
      </w:r>
      <w:r w:rsidR="008F3AB0" w:rsidRPr="00B47649">
        <w:rPr>
          <w:kern w:val="22"/>
          <w:sz w:val="22"/>
          <w:szCs w:val="22"/>
          <w:lang w:val="en-GB"/>
        </w:rPr>
        <w:t>omposition of the Informal Advisory Group.</w:t>
      </w:r>
    </w:p>
    <w:p w14:paraId="43C2FC43" w14:textId="76BCAA6E" w:rsidR="00BD0B7C" w:rsidRPr="00B47649" w:rsidRDefault="00342BEF" w:rsidP="00B47649">
      <w:pPr>
        <w:pStyle w:val="Heading1"/>
        <w:numPr>
          <w:ilvl w:val="0"/>
          <w:numId w:val="8"/>
        </w:numPr>
        <w:suppressLineNumbers/>
        <w:suppressAutoHyphens/>
        <w:ind w:left="1418" w:right="390" w:hanging="567"/>
        <w:jc w:val="left"/>
        <w:rPr>
          <w:kern w:val="22"/>
          <w:sz w:val="22"/>
          <w:szCs w:val="22"/>
          <w:lang w:val="en-GB"/>
        </w:rPr>
      </w:pPr>
      <w:r w:rsidRPr="00B47649">
        <w:rPr>
          <w:kern w:val="22"/>
          <w:sz w:val="22"/>
          <w:szCs w:val="22"/>
          <w:lang w:val="en-GB"/>
        </w:rPr>
        <w:lastRenderedPageBreak/>
        <w:t xml:space="preserve">Progress report on the </w:t>
      </w:r>
      <w:r w:rsidR="000C3031" w:rsidRPr="00B47649">
        <w:rPr>
          <w:kern w:val="22"/>
          <w:sz w:val="22"/>
          <w:szCs w:val="22"/>
          <w:lang w:val="en-GB"/>
        </w:rPr>
        <w:t xml:space="preserve">work of </w:t>
      </w:r>
      <w:r w:rsidR="00EF7334" w:rsidRPr="00B47649">
        <w:rPr>
          <w:kern w:val="22"/>
          <w:sz w:val="22"/>
          <w:szCs w:val="22"/>
          <w:lang w:val="en-GB"/>
        </w:rPr>
        <w:t xml:space="preserve">the informal advisory group on </w:t>
      </w:r>
      <w:r w:rsidR="00324A4C" w:rsidRPr="00B47649">
        <w:rPr>
          <w:kern w:val="22"/>
          <w:sz w:val="22"/>
          <w:szCs w:val="22"/>
          <w:lang w:val="en-GB"/>
        </w:rPr>
        <w:t>mainstreaming</w:t>
      </w:r>
    </w:p>
    <w:p w14:paraId="49EC5EDB" w14:textId="1B6BFD73" w:rsidR="00342BEF" w:rsidRPr="00B47649" w:rsidRDefault="006841C4" w:rsidP="00B47649">
      <w:pPr>
        <w:pStyle w:val="Para10"/>
        <w:suppressLineNumbers/>
        <w:tabs>
          <w:tab w:val="clear" w:pos="360"/>
        </w:tabs>
        <w:suppressAutoHyphens/>
        <w:jc w:val="both"/>
        <w:rPr>
          <w:kern w:val="22"/>
          <w:sz w:val="22"/>
          <w:szCs w:val="22"/>
          <w:lang w:val="en-GB"/>
        </w:rPr>
      </w:pPr>
      <w:r>
        <w:rPr>
          <w:kern w:val="22"/>
          <w:sz w:val="22"/>
          <w:szCs w:val="22"/>
          <w:lang w:val="en-GB"/>
        </w:rPr>
        <w:t>Pursuant to</w:t>
      </w:r>
      <w:r w:rsidR="00505245" w:rsidRPr="00B47649">
        <w:rPr>
          <w:kern w:val="22"/>
          <w:sz w:val="22"/>
          <w:szCs w:val="22"/>
          <w:lang w:val="en-GB"/>
        </w:rPr>
        <w:t xml:space="preserve"> decision 14/3</w:t>
      </w:r>
      <w:r w:rsidR="00547A6C">
        <w:rPr>
          <w:kern w:val="22"/>
          <w:sz w:val="22"/>
          <w:szCs w:val="22"/>
          <w:lang w:val="en-GB"/>
        </w:rPr>
        <w:t>,</w:t>
      </w:r>
      <w:r w:rsidR="00505245" w:rsidRPr="00B47649">
        <w:rPr>
          <w:kern w:val="22"/>
          <w:sz w:val="22"/>
          <w:szCs w:val="22"/>
          <w:lang w:val="en-GB"/>
        </w:rPr>
        <w:t xml:space="preserve"> </w:t>
      </w:r>
      <w:r w:rsidR="00547A6C" w:rsidRPr="00B47649">
        <w:rPr>
          <w:kern w:val="22"/>
          <w:sz w:val="22"/>
          <w:szCs w:val="22"/>
          <w:lang w:val="en-GB"/>
        </w:rPr>
        <w:t>paragraph 16</w:t>
      </w:r>
      <w:r w:rsidR="00547A6C">
        <w:rPr>
          <w:kern w:val="22"/>
          <w:sz w:val="22"/>
          <w:szCs w:val="22"/>
          <w:lang w:val="en-GB"/>
        </w:rPr>
        <w:t>,</w:t>
      </w:r>
      <w:r w:rsidR="00547A6C" w:rsidRPr="00B47649">
        <w:rPr>
          <w:kern w:val="22"/>
          <w:sz w:val="22"/>
          <w:szCs w:val="22"/>
          <w:lang w:val="en-GB"/>
        </w:rPr>
        <w:t xml:space="preserve"> </w:t>
      </w:r>
      <w:r w:rsidR="00505245" w:rsidRPr="00B47649">
        <w:rPr>
          <w:kern w:val="22"/>
          <w:sz w:val="22"/>
          <w:szCs w:val="22"/>
          <w:lang w:val="en-GB"/>
        </w:rPr>
        <w:t>and</w:t>
      </w:r>
      <w:r w:rsidR="002D55BF" w:rsidRPr="00B47649">
        <w:rPr>
          <w:kern w:val="22"/>
          <w:sz w:val="22"/>
          <w:szCs w:val="22"/>
          <w:lang w:val="en-GB"/>
        </w:rPr>
        <w:t xml:space="preserve"> its terms of reference, provided in </w:t>
      </w:r>
      <w:r w:rsidR="00D57CF7" w:rsidRPr="00B47649">
        <w:rPr>
          <w:kern w:val="22"/>
          <w:sz w:val="22"/>
          <w:szCs w:val="22"/>
          <w:lang w:val="en-GB"/>
        </w:rPr>
        <w:t>a</w:t>
      </w:r>
      <w:r w:rsidR="002D55BF" w:rsidRPr="00B47649">
        <w:rPr>
          <w:kern w:val="22"/>
          <w:sz w:val="22"/>
          <w:szCs w:val="22"/>
          <w:lang w:val="en-GB"/>
        </w:rPr>
        <w:t xml:space="preserve">nnex II </w:t>
      </w:r>
      <w:r w:rsidR="00D57CF7" w:rsidRPr="00B47649">
        <w:rPr>
          <w:kern w:val="22"/>
          <w:sz w:val="22"/>
          <w:szCs w:val="22"/>
          <w:lang w:val="en-GB"/>
        </w:rPr>
        <w:t xml:space="preserve">to </w:t>
      </w:r>
      <w:r w:rsidR="00505245" w:rsidRPr="00B47649">
        <w:rPr>
          <w:kern w:val="22"/>
          <w:sz w:val="22"/>
          <w:szCs w:val="22"/>
          <w:lang w:val="en-GB"/>
        </w:rPr>
        <w:t xml:space="preserve">the </w:t>
      </w:r>
      <w:r w:rsidR="002D55BF" w:rsidRPr="00B47649">
        <w:rPr>
          <w:kern w:val="22"/>
          <w:sz w:val="22"/>
          <w:szCs w:val="22"/>
          <w:lang w:val="en-GB"/>
        </w:rPr>
        <w:t>decision, t</w:t>
      </w:r>
      <w:r w:rsidR="003E6A56" w:rsidRPr="00B47649">
        <w:rPr>
          <w:kern w:val="22"/>
          <w:sz w:val="22"/>
          <w:szCs w:val="22"/>
          <w:lang w:val="en-GB"/>
        </w:rPr>
        <w:t xml:space="preserve">he </w:t>
      </w:r>
      <w:r w:rsidR="006F2A08" w:rsidRPr="00B47649">
        <w:rPr>
          <w:kern w:val="22"/>
          <w:sz w:val="22"/>
          <w:szCs w:val="22"/>
          <w:lang w:val="en-GB"/>
        </w:rPr>
        <w:t xml:space="preserve">Informal Advisory Group </w:t>
      </w:r>
      <w:r w:rsidR="003E6A56" w:rsidRPr="00B47649">
        <w:rPr>
          <w:kern w:val="22"/>
          <w:sz w:val="22"/>
          <w:szCs w:val="22"/>
          <w:lang w:val="en-GB"/>
        </w:rPr>
        <w:t xml:space="preserve">was </w:t>
      </w:r>
      <w:r w:rsidR="006F2A08" w:rsidRPr="00B47649">
        <w:rPr>
          <w:kern w:val="22"/>
          <w:sz w:val="22"/>
          <w:szCs w:val="22"/>
          <w:lang w:val="en-GB"/>
        </w:rPr>
        <w:t xml:space="preserve">established to </w:t>
      </w:r>
      <w:r w:rsidR="005C3368" w:rsidRPr="00B47649">
        <w:rPr>
          <w:kern w:val="22"/>
          <w:sz w:val="22"/>
          <w:szCs w:val="22"/>
          <w:lang w:val="en-GB"/>
        </w:rPr>
        <w:t xml:space="preserve">advise the Executive Secretary and the Bureau </w:t>
      </w:r>
      <w:r w:rsidR="00974EC7" w:rsidRPr="00B47649">
        <w:rPr>
          <w:kern w:val="22"/>
          <w:sz w:val="22"/>
          <w:szCs w:val="22"/>
          <w:lang w:val="en-GB"/>
        </w:rPr>
        <w:t xml:space="preserve">of the Conference of the Parties </w:t>
      </w:r>
      <w:r w:rsidR="005C3368" w:rsidRPr="00B47649">
        <w:rPr>
          <w:kern w:val="22"/>
          <w:sz w:val="22"/>
          <w:szCs w:val="22"/>
          <w:lang w:val="en-GB"/>
        </w:rPr>
        <w:t>on further development of the proposal for a long-term approach to mainstreaming biodiversity, including on ways to integrate mainstreaming adequately into the post-2020 global biodiversity framework, to be submitted to the Subsidiary Body on Implementation for consideration at its third meeting</w:t>
      </w:r>
      <w:r w:rsidR="00342BEF" w:rsidRPr="00B47649">
        <w:rPr>
          <w:kern w:val="22"/>
          <w:sz w:val="22"/>
          <w:szCs w:val="22"/>
          <w:lang w:val="en-GB"/>
        </w:rPr>
        <w:t>.</w:t>
      </w:r>
    </w:p>
    <w:p w14:paraId="61F50CF0" w14:textId="3CDC5AB6" w:rsidR="00170457" w:rsidRPr="00B47649" w:rsidRDefault="00160B57"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Further to</w:t>
      </w:r>
      <w:r w:rsidR="003661CF" w:rsidRPr="00B47649">
        <w:rPr>
          <w:kern w:val="22"/>
          <w:sz w:val="22"/>
          <w:szCs w:val="22"/>
          <w:lang w:val="en-GB"/>
        </w:rPr>
        <w:t xml:space="preserve"> </w:t>
      </w:r>
      <w:r w:rsidR="00D57CF7" w:rsidRPr="00B47649">
        <w:rPr>
          <w:kern w:val="22"/>
          <w:sz w:val="22"/>
          <w:szCs w:val="22"/>
          <w:lang w:val="en-GB"/>
        </w:rPr>
        <w:t>a</w:t>
      </w:r>
      <w:r w:rsidR="003661CF" w:rsidRPr="00B47649">
        <w:rPr>
          <w:kern w:val="22"/>
          <w:sz w:val="22"/>
          <w:szCs w:val="22"/>
          <w:lang w:val="en-GB"/>
        </w:rPr>
        <w:t xml:space="preserve">nnex II of decision 14/3, the </w:t>
      </w:r>
      <w:r w:rsidR="00D57CF7" w:rsidRPr="00B47649">
        <w:rPr>
          <w:kern w:val="22"/>
          <w:sz w:val="22"/>
          <w:szCs w:val="22"/>
          <w:lang w:val="en-GB"/>
        </w:rPr>
        <w:t xml:space="preserve">Informal Advisory Group </w:t>
      </w:r>
      <w:r w:rsidR="005972CA" w:rsidRPr="00B47649">
        <w:rPr>
          <w:kern w:val="22"/>
          <w:sz w:val="22"/>
          <w:szCs w:val="22"/>
          <w:lang w:val="en-GB"/>
        </w:rPr>
        <w:t xml:space="preserve">was </w:t>
      </w:r>
      <w:r w:rsidR="005128F8" w:rsidRPr="00B47649">
        <w:rPr>
          <w:kern w:val="22"/>
          <w:sz w:val="22"/>
          <w:szCs w:val="22"/>
          <w:lang w:val="en-GB"/>
        </w:rPr>
        <w:t xml:space="preserve">established </w:t>
      </w:r>
      <w:r w:rsidR="007D499E" w:rsidRPr="00B47649">
        <w:rPr>
          <w:kern w:val="22"/>
          <w:sz w:val="22"/>
          <w:szCs w:val="22"/>
          <w:lang w:val="en-GB"/>
        </w:rPr>
        <w:t>comprising</w:t>
      </w:r>
      <w:r w:rsidR="005128F8" w:rsidRPr="00B47649">
        <w:rPr>
          <w:kern w:val="22"/>
          <w:sz w:val="22"/>
          <w:szCs w:val="22"/>
          <w:lang w:val="en-GB"/>
        </w:rPr>
        <w:t xml:space="preserve"> </w:t>
      </w:r>
      <w:r w:rsidR="00034DF1" w:rsidRPr="00B47649">
        <w:rPr>
          <w:kern w:val="22"/>
          <w:sz w:val="22"/>
          <w:szCs w:val="22"/>
          <w:lang w:val="en-GB"/>
        </w:rPr>
        <w:t>15 government-nominated experts and 15 repre</w:t>
      </w:r>
      <w:r w:rsidR="006178B0" w:rsidRPr="00B47649">
        <w:rPr>
          <w:kern w:val="22"/>
          <w:sz w:val="22"/>
          <w:szCs w:val="22"/>
          <w:lang w:val="en-GB"/>
        </w:rPr>
        <w:t>s</w:t>
      </w:r>
      <w:r w:rsidR="00034DF1" w:rsidRPr="00B47649">
        <w:rPr>
          <w:kern w:val="22"/>
          <w:sz w:val="22"/>
          <w:szCs w:val="22"/>
          <w:lang w:val="en-GB"/>
        </w:rPr>
        <w:t xml:space="preserve">entatives of </w:t>
      </w:r>
      <w:r w:rsidR="006178B0" w:rsidRPr="00B47649">
        <w:rPr>
          <w:kern w:val="22"/>
          <w:sz w:val="22"/>
          <w:szCs w:val="22"/>
          <w:lang w:val="en-GB"/>
        </w:rPr>
        <w:t xml:space="preserve">relevant international </w:t>
      </w:r>
      <w:r w:rsidR="00034DF1" w:rsidRPr="00B47649">
        <w:rPr>
          <w:kern w:val="22"/>
          <w:sz w:val="22"/>
          <w:szCs w:val="22"/>
          <w:lang w:val="en-GB"/>
        </w:rPr>
        <w:t>organizations</w:t>
      </w:r>
      <w:r w:rsidR="006178B0" w:rsidRPr="00B47649">
        <w:rPr>
          <w:kern w:val="22"/>
          <w:sz w:val="22"/>
          <w:szCs w:val="22"/>
          <w:lang w:val="en-GB"/>
        </w:rPr>
        <w:t xml:space="preserve"> and initiat</w:t>
      </w:r>
      <w:r w:rsidR="00EC7916" w:rsidRPr="00B47649">
        <w:rPr>
          <w:kern w:val="22"/>
          <w:sz w:val="22"/>
          <w:szCs w:val="22"/>
          <w:lang w:val="en-GB"/>
        </w:rPr>
        <w:t>iv</w:t>
      </w:r>
      <w:r w:rsidR="006178B0" w:rsidRPr="00B47649">
        <w:rPr>
          <w:kern w:val="22"/>
          <w:sz w:val="22"/>
          <w:szCs w:val="22"/>
          <w:lang w:val="en-GB"/>
        </w:rPr>
        <w:t>es</w:t>
      </w:r>
      <w:r w:rsidR="00034DF1" w:rsidRPr="00B47649">
        <w:rPr>
          <w:kern w:val="22"/>
          <w:sz w:val="22"/>
          <w:szCs w:val="22"/>
          <w:lang w:val="en-GB"/>
        </w:rPr>
        <w:t xml:space="preserve">, selected </w:t>
      </w:r>
      <w:r w:rsidR="00D71D79" w:rsidRPr="00B47649">
        <w:rPr>
          <w:kern w:val="22"/>
          <w:sz w:val="22"/>
          <w:szCs w:val="22"/>
          <w:lang w:val="en-GB"/>
        </w:rPr>
        <w:t>on the basis</w:t>
      </w:r>
      <w:r w:rsidR="00EC7916" w:rsidRPr="00B47649">
        <w:rPr>
          <w:kern w:val="22"/>
          <w:sz w:val="22"/>
          <w:szCs w:val="22"/>
          <w:lang w:val="en-GB"/>
        </w:rPr>
        <w:t xml:space="preserve"> of their</w:t>
      </w:r>
      <w:r w:rsidR="00D71D79" w:rsidRPr="00B47649">
        <w:rPr>
          <w:kern w:val="22"/>
          <w:sz w:val="22"/>
          <w:szCs w:val="22"/>
          <w:lang w:val="en-GB"/>
        </w:rPr>
        <w:t xml:space="preserve"> </w:t>
      </w:r>
      <w:r w:rsidR="00EC7916" w:rsidRPr="00B47649">
        <w:rPr>
          <w:kern w:val="22"/>
          <w:sz w:val="22"/>
          <w:szCs w:val="22"/>
          <w:lang w:val="en-GB"/>
        </w:rPr>
        <w:t xml:space="preserve">competence in fields relevant to the mainstreaming of biodiversity, </w:t>
      </w:r>
      <w:r w:rsidR="002538B0" w:rsidRPr="00B47649">
        <w:rPr>
          <w:kern w:val="22"/>
          <w:sz w:val="22"/>
          <w:szCs w:val="22"/>
          <w:lang w:val="en-GB"/>
        </w:rPr>
        <w:t>with due regard to regional representation, gender balance and the special conditions of developing countries</w:t>
      </w:r>
      <w:r w:rsidR="00034DF1" w:rsidRPr="00B47649">
        <w:rPr>
          <w:kern w:val="22"/>
          <w:sz w:val="22"/>
          <w:szCs w:val="22"/>
          <w:lang w:val="en-GB"/>
        </w:rPr>
        <w:t>.</w:t>
      </w:r>
      <w:r w:rsidR="001B1914" w:rsidRPr="00B47649">
        <w:rPr>
          <w:rStyle w:val="FootnoteReference"/>
          <w:kern w:val="22"/>
          <w:szCs w:val="22"/>
          <w:lang w:val="en-GB"/>
        </w:rPr>
        <w:footnoteReference w:id="3"/>
      </w:r>
      <w:r w:rsidR="00C13D36" w:rsidRPr="00B47649">
        <w:rPr>
          <w:kern w:val="22"/>
          <w:sz w:val="22"/>
          <w:szCs w:val="22"/>
          <w:lang w:val="en-GB"/>
        </w:rPr>
        <w:t xml:space="preserve"> As explained further below, an extended open consultative network was also created.</w:t>
      </w:r>
    </w:p>
    <w:p w14:paraId="14406420" w14:textId="054076C1" w:rsidR="00861542" w:rsidRPr="00B47649" w:rsidRDefault="00A425DE"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The </w:t>
      </w:r>
      <w:r w:rsidR="006F3AE1" w:rsidRPr="00B47649">
        <w:rPr>
          <w:kern w:val="22"/>
          <w:sz w:val="22"/>
          <w:szCs w:val="22"/>
          <w:lang w:val="en-GB"/>
        </w:rPr>
        <w:t xml:space="preserve">Informal Advisory Group </w:t>
      </w:r>
      <w:r w:rsidR="001E2D30" w:rsidRPr="00B47649">
        <w:rPr>
          <w:kern w:val="22"/>
          <w:sz w:val="22"/>
          <w:szCs w:val="22"/>
          <w:lang w:val="en-GB"/>
        </w:rPr>
        <w:t>initiat</w:t>
      </w:r>
      <w:r w:rsidR="00533E80" w:rsidRPr="00B47649">
        <w:rPr>
          <w:kern w:val="22"/>
          <w:sz w:val="22"/>
          <w:szCs w:val="22"/>
          <w:lang w:val="en-GB"/>
        </w:rPr>
        <w:t xml:space="preserve">ed </w:t>
      </w:r>
      <w:r w:rsidR="001E2D30" w:rsidRPr="00B47649">
        <w:rPr>
          <w:kern w:val="22"/>
          <w:sz w:val="22"/>
          <w:szCs w:val="22"/>
          <w:lang w:val="en-GB"/>
        </w:rPr>
        <w:t xml:space="preserve">its work </w:t>
      </w:r>
      <w:r w:rsidRPr="00B47649">
        <w:rPr>
          <w:kern w:val="22"/>
          <w:sz w:val="22"/>
          <w:szCs w:val="22"/>
          <w:lang w:val="en-GB"/>
        </w:rPr>
        <w:t xml:space="preserve">in </w:t>
      </w:r>
      <w:r w:rsidR="00C66175" w:rsidRPr="00B47649">
        <w:rPr>
          <w:kern w:val="22"/>
          <w:sz w:val="22"/>
          <w:szCs w:val="22"/>
          <w:lang w:val="en-GB"/>
        </w:rPr>
        <w:t xml:space="preserve">June </w:t>
      </w:r>
      <w:r w:rsidRPr="00B47649">
        <w:rPr>
          <w:kern w:val="22"/>
          <w:sz w:val="22"/>
          <w:szCs w:val="22"/>
          <w:lang w:val="en-GB"/>
        </w:rPr>
        <w:t>2019.</w:t>
      </w:r>
      <w:r w:rsidR="00BB260E" w:rsidRPr="00B47649">
        <w:rPr>
          <w:kern w:val="22"/>
          <w:sz w:val="22"/>
          <w:szCs w:val="22"/>
          <w:lang w:val="en-GB"/>
        </w:rPr>
        <w:t xml:space="preserve"> The</w:t>
      </w:r>
      <w:r w:rsidR="00314544" w:rsidRPr="00B47649">
        <w:rPr>
          <w:kern w:val="22"/>
          <w:sz w:val="22"/>
          <w:szCs w:val="22"/>
          <w:lang w:val="en-GB"/>
        </w:rPr>
        <w:t xml:space="preserve"> </w:t>
      </w:r>
      <w:r w:rsidR="00F260F1" w:rsidRPr="00B47649">
        <w:rPr>
          <w:kern w:val="22"/>
          <w:sz w:val="22"/>
          <w:szCs w:val="22"/>
          <w:lang w:val="en-GB"/>
        </w:rPr>
        <w:t>work was undertaken</w:t>
      </w:r>
      <w:r w:rsidR="00314544" w:rsidRPr="00B47649">
        <w:rPr>
          <w:kern w:val="22"/>
          <w:sz w:val="22"/>
          <w:szCs w:val="22"/>
          <w:lang w:val="en-GB"/>
        </w:rPr>
        <w:t xml:space="preserve"> </w:t>
      </w:r>
      <w:r w:rsidR="00A16F33" w:rsidRPr="00B47649">
        <w:rPr>
          <w:kern w:val="22"/>
          <w:sz w:val="22"/>
          <w:szCs w:val="22"/>
          <w:lang w:val="en-GB"/>
        </w:rPr>
        <w:t xml:space="preserve">through webinars, surveys and teleconferences, </w:t>
      </w:r>
      <w:r w:rsidR="00314544" w:rsidRPr="00B47649">
        <w:rPr>
          <w:kern w:val="22"/>
          <w:sz w:val="22"/>
          <w:szCs w:val="22"/>
          <w:lang w:val="en-GB"/>
        </w:rPr>
        <w:t xml:space="preserve">with physical meetings of members of the </w:t>
      </w:r>
      <w:r w:rsidR="009B2B61" w:rsidRPr="00B47649">
        <w:rPr>
          <w:kern w:val="22"/>
          <w:sz w:val="22"/>
          <w:szCs w:val="22"/>
          <w:lang w:val="en-GB"/>
        </w:rPr>
        <w:t xml:space="preserve">Informal Advisory Group </w:t>
      </w:r>
      <w:r w:rsidR="00314544" w:rsidRPr="00B47649">
        <w:rPr>
          <w:kern w:val="22"/>
          <w:sz w:val="22"/>
          <w:szCs w:val="22"/>
          <w:lang w:val="en-GB"/>
        </w:rPr>
        <w:t xml:space="preserve">being held </w:t>
      </w:r>
      <w:r w:rsidR="00F10BCB">
        <w:rPr>
          <w:kern w:val="22"/>
          <w:sz w:val="22"/>
          <w:szCs w:val="22"/>
          <w:lang w:val="en-GB"/>
        </w:rPr>
        <w:t>in</w:t>
      </w:r>
      <w:r w:rsidR="00F10BCB" w:rsidRPr="00B47649">
        <w:rPr>
          <w:kern w:val="22"/>
          <w:sz w:val="22"/>
          <w:szCs w:val="22"/>
          <w:lang w:val="en-GB"/>
        </w:rPr>
        <w:t xml:space="preserve"> </w:t>
      </w:r>
      <w:r w:rsidR="00314544" w:rsidRPr="00B47649">
        <w:rPr>
          <w:kern w:val="22"/>
          <w:sz w:val="22"/>
          <w:szCs w:val="22"/>
          <w:lang w:val="en-GB"/>
        </w:rPr>
        <w:t>the mar</w:t>
      </w:r>
      <w:r w:rsidR="00861542" w:rsidRPr="00B47649">
        <w:rPr>
          <w:kern w:val="22"/>
          <w:sz w:val="22"/>
          <w:szCs w:val="22"/>
          <w:lang w:val="en-GB"/>
        </w:rPr>
        <w:t xml:space="preserve">gins of </w:t>
      </w:r>
      <w:r w:rsidR="00F10BCB">
        <w:rPr>
          <w:kern w:val="22"/>
          <w:sz w:val="22"/>
          <w:szCs w:val="22"/>
          <w:lang w:val="en-GB"/>
        </w:rPr>
        <w:t xml:space="preserve">the </w:t>
      </w:r>
      <w:r w:rsidR="007D499E" w:rsidRPr="00B47649">
        <w:rPr>
          <w:kern w:val="22"/>
          <w:sz w:val="22"/>
          <w:szCs w:val="22"/>
          <w:lang w:val="en-GB"/>
        </w:rPr>
        <w:t>first</w:t>
      </w:r>
      <w:r w:rsidR="003F3F0B" w:rsidRPr="00B47649">
        <w:rPr>
          <w:kern w:val="22"/>
          <w:sz w:val="22"/>
          <w:szCs w:val="22"/>
          <w:lang w:val="en-GB"/>
        </w:rPr>
        <w:t xml:space="preserve"> and second meetings of the </w:t>
      </w:r>
      <w:r w:rsidR="009A7982" w:rsidRPr="00B47649">
        <w:rPr>
          <w:kern w:val="22"/>
          <w:sz w:val="22"/>
          <w:szCs w:val="22"/>
          <w:lang w:val="en-GB"/>
        </w:rPr>
        <w:t xml:space="preserve">Open-Ended </w:t>
      </w:r>
      <w:r w:rsidR="007D499E" w:rsidRPr="00B47649">
        <w:rPr>
          <w:kern w:val="22"/>
          <w:sz w:val="22"/>
          <w:szCs w:val="22"/>
          <w:lang w:val="en-GB"/>
        </w:rPr>
        <w:t xml:space="preserve">Working Group on the </w:t>
      </w:r>
      <w:r w:rsidR="00F442AC" w:rsidRPr="00B47649">
        <w:rPr>
          <w:kern w:val="22"/>
          <w:sz w:val="22"/>
          <w:szCs w:val="22"/>
          <w:lang w:val="en-GB"/>
        </w:rPr>
        <w:t>P</w:t>
      </w:r>
      <w:r w:rsidR="007D499E" w:rsidRPr="00B47649">
        <w:rPr>
          <w:kern w:val="22"/>
          <w:sz w:val="22"/>
          <w:szCs w:val="22"/>
          <w:lang w:val="en-GB"/>
        </w:rPr>
        <w:t>ost-2020 Global Biodiversity Framework</w:t>
      </w:r>
      <w:r w:rsidR="00861542" w:rsidRPr="00B47649">
        <w:rPr>
          <w:kern w:val="22"/>
          <w:sz w:val="22"/>
          <w:szCs w:val="22"/>
          <w:lang w:val="en-GB"/>
        </w:rPr>
        <w:t xml:space="preserve">. The work </w:t>
      </w:r>
      <w:r w:rsidR="00434E66">
        <w:rPr>
          <w:kern w:val="22"/>
          <w:sz w:val="22"/>
          <w:szCs w:val="22"/>
          <w:lang w:val="en-GB"/>
        </w:rPr>
        <w:t>was carried out</w:t>
      </w:r>
      <w:r w:rsidR="00434E66" w:rsidRPr="00B47649">
        <w:rPr>
          <w:kern w:val="22"/>
          <w:sz w:val="22"/>
          <w:szCs w:val="22"/>
          <w:lang w:val="en-GB"/>
        </w:rPr>
        <w:t xml:space="preserve"> </w:t>
      </w:r>
      <w:r w:rsidR="00861542" w:rsidRPr="00B47649">
        <w:rPr>
          <w:kern w:val="22"/>
          <w:sz w:val="22"/>
          <w:szCs w:val="22"/>
          <w:lang w:val="en-GB"/>
        </w:rPr>
        <w:t>in the following phases</w:t>
      </w:r>
      <w:r w:rsidR="008027AF" w:rsidRPr="00B47649">
        <w:rPr>
          <w:kern w:val="22"/>
          <w:sz w:val="22"/>
          <w:szCs w:val="22"/>
          <w:lang w:val="en-GB"/>
        </w:rPr>
        <w:t>:</w:t>
      </w:r>
    </w:p>
    <w:p w14:paraId="66AB2739" w14:textId="6A6E1ACE" w:rsidR="00A425DE" w:rsidRPr="00B47649" w:rsidRDefault="00A425DE" w:rsidP="00B47649">
      <w:pPr>
        <w:pStyle w:val="Para10"/>
        <w:numPr>
          <w:ilvl w:val="0"/>
          <w:numId w:val="9"/>
        </w:numPr>
        <w:suppressLineNumbers/>
        <w:suppressAutoHyphens/>
        <w:ind w:firstLine="709"/>
        <w:jc w:val="both"/>
        <w:rPr>
          <w:kern w:val="22"/>
          <w:sz w:val="22"/>
          <w:szCs w:val="22"/>
          <w:lang w:val="en-GB"/>
        </w:rPr>
      </w:pPr>
      <w:r w:rsidRPr="00B47649">
        <w:rPr>
          <w:kern w:val="22"/>
          <w:sz w:val="22"/>
          <w:szCs w:val="22"/>
          <w:lang w:val="en-GB"/>
        </w:rPr>
        <w:t xml:space="preserve">Inception webinars were held </w:t>
      </w:r>
      <w:r w:rsidR="007902A8" w:rsidRPr="00B47649">
        <w:rPr>
          <w:kern w:val="22"/>
          <w:sz w:val="22"/>
          <w:szCs w:val="22"/>
          <w:lang w:val="en-GB"/>
        </w:rPr>
        <w:t>i</w:t>
      </w:r>
      <w:r w:rsidRPr="00B47649">
        <w:rPr>
          <w:kern w:val="22"/>
          <w:sz w:val="22"/>
          <w:szCs w:val="22"/>
          <w:lang w:val="en-GB"/>
        </w:rPr>
        <w:t>n June 2019</w:t>
      </w:r>
      <w:r w:rsidR="00861542" w:rsidRPr="00B47649">
        <w:rPr>
          <w:kern w:val="22"/>
          <w:sz w:val="22"/>
          <w:szCs w:val="22"/>
          <w:lang w:val="en-GB"/>
        </w:rPr>
        <w:t xml:space="preserve">, </w:t>
      </w:r>
      <w:r w:rsidRPr="00B47649">
        <w:rPr>
          <w:kern w:val="22"/>
          <w:sz w:val="22"/>
          <w:szCs w:val="22"/>
          <w:lang w:val="en-GB"/>
        </w:rPr>
        <w:t>revi</w:t>
      </w:r>
      <w:r w:rsidR="00861542" w:rsidRPr="00B47649">
        <w:rPr>
          <w:kern w:val="22"/>
          <w:sz w:val="22"/>
          <w:szCs w:val="22"/>
          <w:lang w:val="en-GB"/>
        </w:rPr>
        <w:t>ewing</w:t>
      </w:r>
      <w:r w:rsidR="002C07DC" w:rsidRPr="00B47649">
        <w:rPr>
          <w:kern w:val="22"/>
          <w:sz w:val="22"/>
          <w:szCs w:val="22"/>
          <w:lang w:val="en-GB"/>
        </w:rPr>
        <w:t xml:space="preserve"> </w:t>
      </w:r>
      <w:r w:rsidRPr="00B47649">
        <w:rPr>
          <w:kern w:val="22"/>
          <w:sz w:val="22"/>
          <w:szCs w:val="22"/>
          <w:lang w:val="en-GB"/>
        </w:rPr>
        <w:t>the goals, expected output</w:t>
      </w:r>
      <w:r w:rsidR="008027AF" w:rsidRPr="00B47649">
        <w:rPr>
          <w:kern w:val="22"/>
          <w:sz w:val="22"/>
          <w:szCs w:val="22"/>
          <w:lang w:val="en-GB"/>
        </w:rPr>
        <w:t xml:space="preserve">s, </w:t>
      </w:r>
      <w:r w:rsidR="004670ED" w:rsidRPr="00B47649">
        <w:rPr>
          <w:kern w:val="22"/>
          <w:sz w:val="22"/>
          <w:szCs w:val="22"/>
          <w:lang w:val="en-GB"/>
        </w:rPr>
        <w:t>work plan</w:t>
      </w:r>
      <w:r w:rsidR="002C07DC" w:rsidRPr="00B47649">
        <w:rPr>
          <w:kern w:val="22"/>
          <w:sz w:val="22"/>
          <w:szCs w:val="22"/>
          <w:lang w:val="en-GB"/>
        </w:rPr>
        <w:t xml:space="preserve"> and</w:t>
      </w:r>
      <w:r w:rsidRPr="00B47649">
        <w:rPr>
          <w:kern w:val="22"/>
          <w:sz w:val="22"/>
          <w:szCs w:val="22"/>
          <w:lang w:val="en-GB"/>
        </w:rPr>
        <w:t xml:space="preserve"> modus operandi</w:t>
      </w:r>
      <w:r w:rsidR="002C07DC" w:rsidRPr="00B47649">
        <w:rPr>
          <w:kern w:val="22"/>
          <w:sz w:val="22"/>
          <w:szCs w:val="22"/>
          <w:lang w:val="en-GB"/>
        </w:rPr>
        <w:t xml:space="preserve">, based on an overview </w:t>
      </w:r>
      <w:r w:rsidRPr="00B47649">
        <w:rPr>
          <w:kern w:val="22"/>
          <w:sz w:val="22"/>
          <w:szCs w:val="22"/>
          <w:lang w:val="en-GB"/>
        </w:rPr>
        <w:t>of existing mainstreaming approaches in the Convention and with selected partners</w:t>
      </w:r>
      <w:r w:rsidR="00A16F33" w:rsidRPr="00B47649">
        <w:rPr>
          <w:kern w:val="22"/>
          <w:sz w:val="22"/>
          <w:szCs w:val="22"/>
          <w:lang w:val="en-GB"/>
        </w:rPr>
        <w:t xml:space="preserve">, </w:t>
      </w:r>
      <w:r w:rsidR="00756EC2" w:rsidRPr="00B47649">
        <w:rPr>
          <w:kern w:val="22"/>
          <w:sz w:val="22"/>
          <w:szCs w:val="22"/>
          <w:lang w:val="en-GB"/>
        </w:rPr>
        <w:t xml:space="preserve">provided by the Secretariat. The </w:t>
      </w:r>
      <w:r w:rsidR="009B2B61" w:rsidRPr="00B47649">
        <w:rPr>
          <w:kern w:val="22"/>
          <w:sz w:val="22"/>
          <w:szCs w:val="22"/>
          <w:lang w:val="en-GB"/>
        </w:rPr>
        <w:t xml:space="preserve">Informal Advisory Group </w:t>
      </w:r>
      <w:r w:rsidR="00A16F33" w:rsidRPr="00B47649">
        <w:rPr>
          <w:kern w:val="22"/>
          <w:sz w:val="22"/>
          <w:szCs w:val="22"/>
          <w:lang w:val="en-GB"/>
        </w:rPr>
        <w:t>agree</w:t>
      </w:r>
      <w:r w:rsidR="00756EC2" w:rsidRPr="00B47649">
        <w:rPr>
          <w:kern w:val="22"/>
          <w:sz w:val="22"/>
          <w:szCs w:val="22"/>
          <w:lang w:val="en-GB"/>
        </w:rPr>
        <w:t>d</w:t>
      </w:r>
      <w:r w:rsidR="00A16F33" w:rsidRPr="00B47649">
        <w:rPr>
          <w:kern w:val="22"/>
          <w:sz w:val="22"/>
          <w:szCs w:val="22"/>
          <w:lang w:val="en-GB"/>
        </w:rPr>
        <w:t xml:space="preserve"> on</w:t>
      </w:r>
      <w:r w:rsidRPr="00B47649">
        <w:rPr>
          <w:kern w:val="22"/>
          <w:sz w:val="22"/>
          <w:szCs w:val="22"/>
          <w:lang w:val="en-GB"/>
        </w:rPr>
        <w:t xml:space="preserve"> </w:t>
      </w:r>
      <w:r w:rsidR="00A16F33" w:rsidRPr="00B47649">
        <w:rPr>
          <w:kern w:val="22"/>
          <w:sz w:val="22"/>
          <w:szCs w:val="22"/>
          <w:lang w:val="en-GB"/>
        </w:rPr>
        <w:t xml:space="preserve">a </w:t>
      </w:r>
      <w:r w:rsidR="004670ED" w:rsidRPr="00B47649">
        <w:rPr>
          <w:kern w:val="22"/>
          <w:sz w:val="22"/>
          <w:szCs w:val="22"/>
          <w:lang w:val="en-GB"/>
        </w:rPr>
        <w:t>work plan</w:t>
      </w:r>
      <w:r w:rsidR="00A16F33" w:rsidRPr="00B47649">
        <w:rPr>
          <w:kern w:val="22"/>
          <w:sz w:val="22"/>
          <w:szCs w:val="22"/>
          <w:lang w:val="en-GB"/>
        </w:rPr>
        <w:t xml:space="preserve"> and timeline</w:t>
      </w:r>
      <w:r w:rsidR="009B2B61" w:rsidRPr="00B47649">
        <w:rPr>
          <w:kern w:val="22"/>
          <w:sz w:val="22"/>
          <w:szCs w:val="22"/>
          <w:lang w:val="en-GB"/>
        </w:rPr>
        <w:t>;</w:t>
      </w:r>
    </w:p>
    <w:p w14:paraId="75CCB8A8" w14:textId="21F53D21" w:rsidR="00EC39BE" w:rsidRPr="00B47649" w:rsidRDefault="00641F2E" w:rsidP="00B47649">
      <w:pPr>
        <w:pStyle w:val="Para10"/>
        <w:numPr>
          <w:ilvl w:val="0"/>
          <w:numId w:val="9"/>
        </w:numPr>
        <w:suppressLineNumbers/>
        <w:suppressAutoHyphens/>
        <w:ind w:firstLine="709"/>
        <w:jc w:val="both"/>
        <w:rPr>
          <w:kern w:val="22"/>
          <w:sz w:val="22"/>
          <w:szCs w:val="22"/>
          <w:lang w:val="en-GB"/>
        </w:rPr>
      </w:pPr>
      <w:r w:rsidRPr="00B47649">
        <w:rPr>
          <w:kern w:val="22"/>
          <w:sz w:val="22"/>
          <w:szCs w:val="22"/>
          <w:lang w:val="en-GB"/>
        </w:rPr>
        <w:t>A survey was conducted between June and August 2019 by exchange of emails, “</w:t>
      </w:r>
      <w:proofErr w:type="spellStart"/>
      <w:r w:rsidRPr="00B47649">
        <w:rPr>
          <w:i/>
          <w:noProof/>
          <w:kern w:val="22"/>
          <w:sz w:val="22"/>
          <w:szCs w:val="22"/>
          <w:lang w:val="en-GB"/>
        </w:rPr>
        <w:t>surveymonkey</w:t>
      </w:r>
      <w:proofErr w:type="spellEnd"/>
      <w:r w:rsidRPr="00B47649">
        <w:rPr>
          <w:kern w:val="22"/>
          <w:sz w:val="22"/>
          <w:szCs w:val="22"/>
          <w:lang w:val="en-GB"/>
        </w:rPr>
        <w:t>”</w:t>
      </w:r>
      <w:r w:rsidR="006913FA" w:rsidRPr="00B47649">
        <w:rPr>
          <w:kern w:val="22"/>
          <w:sz w:val="22"/>
          <w:szCs w:val="22"/>
          <w:lang w:val="en-GB"/>
        </w:rPr>
        <w:t>,</w:t>
      </w:r>
      <w:r w:rsidRPr="00B47649">
        <w:rPr>
          <w:kern w:val="22"/>
          <w:sz w:val="22"/>
          <w:szCs w:val="22"/>
          <w:lang w:val="en-GB"/>
        </w:rPr>
        <w:t xml:space="preserve"> </w:t>
      </w:r>
      <w:r w:rsidR="00FC1B05" w:rsidRPr="00B47649">
        <w:rPr>
          <w:kern w:val="22"/>
          <w:sz w:val="22"/>
          <w:szCs w:val="22"/>
          <w:lang w:val="en-GB"/>
        </w:rPr>
        <w:t xml:space="preserve">as well as </w:t>
      </w:r>
      <w:r w:rsidRPr="00B47649">
        <w:rPr>
          <w:kern w:val="22"/>
          <w:sz w:val="22"/>
          <w:szCs w:val="22"/>
          <w:lang w:val="en-GB"/>
        </w:rPr>
        <w:t>an online forum</w:t>
      </w:r>
      <w:r w:rsidR="005955B5" w:rsidRPr="00B47649">
        <w:rPr>
          <w:kern w:val="22"/>
          <w:sz w:val="22"/>
          <w:szCs w:val="22"/>
          <w:lang w:val="en-GB"/>
        </w:rPr>
        <w:t>,</w:t>
      </w:r>
      <w:r w:rsidRPr="00B47649">
        <w:rPr>
          <w:kern w:val="22"/>
          <w:sz w:val="22"/>
          <w:szCs w:val="22"/>
          <w:lang w:val="en-GB"/>
        </w:rPr>
        <w:t xml:space="preserve"> focus</w:t>
      </w:r>
      <w:r w:rsidR="005955B5" w:rsidRPr="00B47649">
        <w:rPr>
          <w:kern w:val="22"/>
          <w:sz w:val="22"/>
          <w:szCs w:val="22"/>
          <w:lang w:val="en-GB"/>
        </w:rPr>
        <w:t xml:space="preserve">sing </w:t>
      </w:r>
      <w:r w:rsidRPr="00B47649">
        <w:rPr>
          <w:kern w:val="22"/>
          <w:sz w:val="22"/>
          <w:szCs w:val="22"/>
          <w:lang w:val="en-GB"/>
        </w:rPr>
        <w:t>on definitions, tools and practices in mainstreaming.</w:t>
      </w:r>
      <w:r w:rsidR="00F15C0C" w:rsidRPr="00B47649">
        <w:rPr>
          <w:kern w:val="22"/>
          <w:sz w:val="22"/>
          <w:szCs w:val="22"/>
          <w:lang w:val="en-GB"/>
        </w:rPr>
        <w:t xml:space="preserve"> As a spinoff of this work, a</w:t>
      </w:r>
      <w:r w:rsidR="003A6591" w:rsidRPr="00B47649">
        <w:rPr>
          <w:kern w:val="22"/>
          <w:sz w:val="22"/>
          <w:szCs w:val="22"/>
          <w:lang w:val="en-GB"/>
        </w:rPr>
        <w:t xml:space="preserve">n information note on biodiversity mainstreaming was prepared </w:t>
      </w:r>
      <w:r w:rsidR="007F5A3C" w:rsidRPr="00B47649">
        <w:rPr>
          <w:kern w:val="22"/>
          <w:sz w:val="22"/>
          <w:szCs w:val="22"/>
          <w:lang w:val="en-GB"/>
        </w:rPr>
        <w:t xml:space="preserve">for the </w:t>
      </w:r>
      <w:r w:rsidR="003A6591" w:rsidRPr="00B47649">
        <w:rPr>
          <w:kern w:val="22"/>
          <w:sz w:val="22"/>
          <w:szCs w:val="22"/>
          <w:lang w:val="en-GB"/>
        </w:rPr>
        <w:t>ninth Trondheim Conference on Biodiversity, held from 2 to 5 July 2019</w:t>
      </w:r>
      <w:r w:rsidR="009B2B61" w:rsidRPr="00B47649">
        <w:rPr>
          <w:kern w:val="22"/>
          <w:sz w:val="22"/>
          <w:szCs w:val="22"/>
          <w:lang w:val="en-GB"/>
        </w:rPr>
        <w:t>;</w:t>
      </w:r>
    </w:p>
    <w:p w14:paraId="534E3962" w14:textId="065357F8" w:rsidR="007F5A3C" w:rsidRPr="00B47649" w:rsidRDefault="00F63B6F" w:rsidP="00B47649">
      <w:pPr>
        <w:pStyle w:val="Para10"/>
        <w:numPr>
          <w:ilvl w:val="0"/>
          <w:numId w:val="9"/>
        </w:numPr>
        <w:suppressLineNumbers/>
        <w:suppressAutoHyphens/>
        <w:ind w:firstLine="709"/>
        <w:jc w:val="both"/>
        <w:rPr>
          <w:kern w:val="22"/>
          <w:sz w:val="22"/>
          <w:szCs w:val="22"/>
          <w:lang w:val="en-GB"/>
        </w:rPr>
      </w:pPr>
      <w:r w:rsidRPr="00B47649">
        <w:rPr>
          <w:kern w:val="22"/>
          <w:sz w:val="22"/>
          <w:szCs w:val="22"/>
          <w:lang w:val="en-GB"/>
        </w:rPr>
        <w:t xml:space="preserve">Based on a brainstorming meeting of the </w:t>
      </w:r>
      <w:r w:rsidR="00323113" w:rsidRPr="00B47649">
        <w:rPr>
          <w:kern w:val="22"/>
          <w:sz w:val="22"/>
          <w:szCs w:val="22"/>
          <w:lang w:val="en-GB"/>
        </w:rPr>
        <w:t xml:space="preserve">Informal Advisory Group </w:t>
      </w:r>
      <w:r w:rsidR="00E11EDA" w:rsidRPr="00B47649">
        <w:rPr>
          <w:kern w:val="22"/>
          <w:sz w:val="22"/>
          <w:szCs w:val="22"/>
          <w:lang w:val="en-GB"/>
        </w:rPr>
        <w:t>in</w:t>
      </w:r>
      <w:r w:rsidRPr="00B47649">
        <w:rPr>
          <w:kern w:val="22"/>
          <w:sz w:val="22"/>
          <w:szCs w:val="22"/>
          <w:lang w:val="en-GB"/>
        </w:rPr>
        <w:t xml:space="preserve"> the margins of </w:t>
      </w:r>
      <w:r w:rsidR="009E5069" w:rsidRPr="00B47649">
        <w:rPr>
          <w:kern w:val="22"/>
          <w:sz w:val="22"/>
          <w:szCs w:val="22"/>
          <w:lang w:val="en-GB"/>
        </w:rPr>
        <w:t xml:space="preserve">the </w:t>
      </w:r>
      <w:r w:rsidR="00F260F1" w:rsidRPr="00B47649">
        <w:rPr>
          <w:kern w:val="22"/>
          <w:sz w:val="22"/>
          <w:szCs w:val="22"/>
          <w:lang w:val="en-GB"/>
        </w:rPr>
        <w:t>first meeting of the</w:t>
      </w:r>
      <w:r w:rsidR="007D499E" w:rsidRPr="00B47649">
        <w:rPr>
          <w:kern w:val="22"/>
          <w:sz w:val="22"/>
          <w:szCs w:val="22"/>
          <w:lang w:val="en-GB"/>
        </w:rPr>
        <w:t xml:space="preserve"> Working Group on the </w:t>
      </w:r>
      <w:r w:rsidR="00E11EDA" w:rsidRPr="00B47649">
        <w:rPr>
          <w:kern w:val="22"/>
          <w:sz w:val="22"/>
          <w:szCs w:val="22"/>
          <w:lang w:val="en-GB"/>
        </w:rPr>
        <w:t>P</w:t>
      </w:r>
      <w:r w:rsidR="007D499E" w:rsidRPr="00B47649">
        <w:rPr>
          <w:kern w:val="22"/>
          <w:sz w:val="22"/>
          <w:szCs w:val="22"/>
          <w:lang w:val="en-GB"/>
        </w:rPr>
        <w:t>ost-2020 Global Biodiversity Framework</w:t>
      </w:r>
      <w:r w:rsidRPr="00B47649">
        <w:rPr>
          <w:kern w:val="22"/>
          <w:sz w:val="22"/>
          <w:szCs w:val="22"/>
          <w:lang w:val="en-GB"/>
        </w:rPr>
        <w:t xml:space="preserve">, a draft wireframe of the </w:t>
      </w:r>
      <w:r w:rsidR="004F20A0" w:rsidRPr="00B47649">
        <w:rPr>
          <w:kern w:val="22"/>
          <w:sz w:val="22"/>
          <w:szCs w:val="22"/>
          <w:lang w:val="en-GB"/>
        </w:rPr>
        <w:t xml:space="preserve">long-term approach </w:t>
      </w:r>
      <w:r w:rsidRPr="00B47649">
        <w:rPr>
          <w:kern w:val="22"/>
          <w:sz w:val="22"/>
          <w:szCs w:val="22"/>
          <w:lang w:val="en-GB"/>
        </w:rPr>
        <w:t xml:space="preserve">was prepared by the </w:t>
      </w:r>
      <w:r w:rsidR="00603C8E" w:rsidRPr="00B47649">
        <w:rPr>
          <w:kern w:val="22"/>
          <w:sz w:val="22"/>
          <w:szCs w:val="22"/>
          <w:lang w:val="en-GB"/>
        </w:rPr>
        <w:t>S</w:t>
      </w:r>
      <w:r w:rsidRPr="00B47649">
        <w:rPr>
          <w:kern w:val="22"/>
          <w:sz w:val="22"/>
          <w:szCs w:val="22"/>
          <w:lang w:val="en-GB"/>
        </w:rPr>
        <w:t>ecretariat</w:t>
      </w:r>
      <w:r w:rsidR="00080DB3" w:rsidRPr="00B47649">
        <w:rPr>
          <w:kern w:val="22"/>
          <w:sz w:val="22"/>
          <w:szCs w:val="22"/>
          <w:lang w:val="en-GB"/>
        </w:rPr>
        <w:t xml:space="preserve"> and revis</w:t>
      </w:r>
      <w:r w:rsidR="00977C3B" w:rsidRPr="00B47649">
        <w:rPr>
          <w:kern w:val="22"/>
          <w:sz w:val="22"/>
          <w:szCs w:val="22"/>
          <w:lang w:val="en-GB"/>
        </w:rPr>
        <w:t xml:space="preserve">ed and amended by </w:t>
      </w:r>
      <w:r w:rsidR="00080DB3" w:rsidRPr="00B47649">
        <w:rPr>
          <w:kern w:val="22"/>
          <w:sz w:val="22"/>
          <w:szCs w:val="22"/>
          <w:lang w:val="en-GB"/>
        </w:rPr>
        <w:t xml:space="preserve">the </w:t>
      </w:r>
      <w:r w:rsidR="009B2B61" w:rsidRPr="00B47649">
        <w:rPr>
          <w:kern w:val="22"/>
          <w:sz w:val="22"/>
          <w:szCs w:val="22"/>
          <w:lang w:val="en-GB"/>
        </w:rPr>
        <w:t xml:space="preserve">Informal Advisory Group </w:t>
      </w:r>
      <w:r w:rsidR="00080DB3" w:rsidRPr="00B47649">
        <w:rPr>
          <w:kern w:val="22"/>
          <w:sz w:val="22"/>
          <w:szCs w:val="22"/>
          <w:lang w:val="en-GB"/>
        </w:rPr>
        <w:t>in September 2019</w:t>
      </w:r>
      <w:r w:rsidR="00CF7980" w:rsidRPr="00B47649">
        <w:rPr>
          <w:kern w:val="22"/>
          <w:sz w:val="22"/>
          <w:szCs w:val="22"/>
          <w:lang w:val="en-GB"/>
        </w:rPr>
        <w:t xml:space="preserve">. </w:t>
      </w:r>
      <w:r w:rsidR="007D499E" w:rsidRPr="00B47649">
        <w:rPr>
          <w:kern w:val="22"/>
          <w:sz w:val="22"/>
          <w:szCs w:val="22"/>
          <w:lang w:val="en-GB"/>
        </w:rPr>
        <w:t>The Working Group</w:t>
      </w:r>
      <w:r w:rsidR="00CF7980" w:rsidRPr="00B47649">
        <w:rPr>
          <w:kern w:val="22"/>
          <w:sz w:val="22"/>
          <w:szCs w:val="22"/>
          <w:lang w:val="en-GB"/>
        </w:rPr>
        <w:t xml:space="preserve"> was also briefed </w:t>
      </w:r>
      <w:r w:rsidR="002036D2" w:rsidRPr="00B47649">
        <w:rPr>
          <w:kern w:val="22"/>
          <w:sz w:val="22"/>
          <w:szCs w:val="22"/>
          <w:lang w:val="en-GB"/>
        </w:rPr>
        <w:t>on the work progress</w:t>
      </w:r>
      <w:r w:rsidR="00323113" w:rsidRPr="00B47649">
        <w:rPr>
          <w:kern w:val="22"/>
          <w:sz w:val="22"/>
          <w:szCs w:val="22"/>
          <w:lang w:val="en-GB"/>
        </w:rPr>
        <w:t xml:space="preserve"> of the Informal Advisory Group</w:t>
      </w:r>
      <w:r w:rsidR="001832C6" w:rsidRPr="00B47649">
        <w:rPr>
          <w:kern w:val="22"/>
          <w:sz w:val="22"/>
          <w:szCs w:val="22"/>
          <w:lang w:val="en-GB"/>
        </w:rPr>
        <w:t>,</w:t>
      </w:r>
      <w:r w:rsidR="002036D2" w:rsidRPr="00B47649">
        <w:rPr>
          <w:kern w:val="22"/>
          <w:sz w:val="22"/>
          <w:szCs w:val="22"/>
          <w:lang w:val="en-GB"/>
        </w:rPr>
        <w:t xml:space="preserve"> </w:t>
      </w:r>
      <w:r w:rsidR="001832C6" w:rsidRPr="00B47649">
        <w:rPr>
          <w:kern w:val="22"/>
          <w:sz w:val="22"/>
          <w:szCs w:val="22"/>
          <w:lang w:val="en-GB"/>
        </w:rPr>
        <w:t xml:space="preserve">through </w:t>
      </w:r>
      <w:bookmarkStart w:id="3" w:name="_Hlk36034450"/>
      <w:r w:rsidR="001832C6" w:rsidRPr="00B47649">
        <w:rPr>
          <w:kern w:val="22"/>
          <w:sz w:val="22"/>
          <w:szCs w:val="22"/>
          <w:lang w:val="en-GB"/>
        </w:rPr>
        <w:t xml:space="preserve">CBD/WG2020/1/INF/2, and via an update </w:t>
      </w:r>
      <w:r w:rsidR="00AA49FE" w:rsidRPr="00B47649">
        <w:rPr>
          <w:kern w:val="22"/>
          <w:sz w:val="22"/>
          <w:szCs w:val="22"/>
          <w:lang w:val="en-GB"/>
        </w:rPr>
        <w:t xml:space="preserve">provide by </w:t>
      </w:r>
      <w:r w:rsidR="001832C6" w:rsidRPr="00B47649">
        <w:rPr>
          <w:kern w:val="22"/>
          <w:sz w:val="22"/>
          <w:szCs w:val="22"/>
          <w:lang w:val="en-GB"/>
        </w:rPr>
        <w:t>Ms</w:t>
      </w:r>
      <w:r w:rsidR="00766BA9" w:rsidRPr="00B47649">
        <w:rPr>
          <w:kern w:val="22"/>
          <w:sz w:val="22"/>
          <w:szCs w:val="22"/>
          <w:lang w:val="en-GB"/>
        </w:rPr>
        <w:t>.</w:t>
      </w:r>
      <w:r w:rsidR="001832C6" w:rsidRPr="00B47649">
        <w:rPr>
          <w:kern w:val="22"/>
          <w:sz w:val="22"/>
          <w:szCs w:val="22"/>
          <w:lang w:val="en-GB"/>
        </w:rPr>
        <w:t xml:space="preserve"> Theresa Lim of the Philippines</w:t>
      </w:r>
      <w:r w:rsidR="00984B89" w:rsidRPr="00B47649">
        <w:rPr>
          <w:kern w:val="22"/>
          <w:sz w:val="22"/>
          <w:szCs w:val="22"/>
          <w:lang w:val="en-GB"/>
        </w:rPr>
        <w:t>;</w:t>
      </w:r>
      <w:bookmarkEnd w:id="3"/>
    </w:p>
    <w:p w14:paraId="4766D4E4" w14:textId="1F1A2716" w:rsidR="00080DB3" w:rsidRPr="00B47649" w:rsidRDefault="00603C8E" w:rsidP="00B47649">
      <w:pPr>
        <w:pStyle w:val="Para10"/>
        <w:numPr>
          <w:ilvl w:val="0"/>
          <w:numId w:val="9"/>
        </w:numPr>
        <w:suppressLineNumbers/>
        <w:suppressAutoHyphens/>
        <w:ind w:firstLine="709"/>
        <w:jc w:val="both"/>
        <w:rPr>
          <w:kern w:val="22"/>
          <w:sz w:val="22"/>
          <w:szCs w:val="22"/>
          <w:lang w:val="en-GB"/>
        </w:rPr>
      </w:pPr>
      <w:r w:rsidRPr="00B47649">
        <w:rPr>
          <w:kern w:val="22"/>
          <w:sz w:val="22"/>
          <w:szCs w:val="22"/>
          <w:lang w:val="en-GB"/>
        </w:rPr>
        <w:t xml:space="preserve">Based on the wireframe, a zero draft </w:t>
      </w:r>
      <w:r w:rsidR="004F20A0" w:rsidRPr="00B47649">
        <w:rPr>
          <w:kern w:val="22"/>
          <w:sz w:val="22"/>
          <w:szCs w:val="22"/>
          <w:lang w:val="en-GB"/>
        </w:rPr>
        <w:t xml:space="preserve">long-term approach </w:t>
      </w:r>
      <w:r w:rsidRPr="00B47649">
        <w:rPr>
          <w:kern w:val="22"/>
          <w:sz w:val="22"/>
          <w:szCs w:val="22"/>
          <w:lang w:val="en-GB"/>
        </w:rPr>
        <w:t xml:space="preserve">was prepared by the Secretariat </w:t>
      </w:r>
      <w:r w:rsidR="00455A2C" w:rsidRPr="00B47649">
        <w:rPr>
          <w:kern w:val="22"/>
          <w:sz w:val="22"/>
          <w:szCs w:val="22"/>
          <w:lang w:val="en-GB"/>
        </w:rPr>
        <w:t xml:space="preserve">and circulated </w:t>
      </w:r>
      <w:r w:rsidR="008F3AB0" w:rsidRPr="00B47649">
        <w:rPr>
          <w:kern w:val="22"/>
          <w:sz w:val="22"/>
          <w:szCs w:val="22"/>
          <w:lang w:val="en-GB"/>
        </w:rPr>
        <w:t xml:space="preserve">to the </w:t>
      </w:r>
      <w:r w:rsidR="007B5E87" w:rsidRPr="00B47649">
        <w:rPr>
          <w:kern w:val="22"/>
          <w:sz w:val="22"/>
          <w:szCs w:val="22"/>
          <w:lang w:val="en-GB"/>
        </w:rPr>
        <w:t xml:space="preserve">Informal Advisory Group </w:t>
      </w:r>
      <w:r w:rsidR="00455A2C" w:rsidRPr="00B47649">
        <w:rPr>
          <w:kern w:val="22"/>
          <w:sz w:val="22"/>
          <w:szCs w:val="22"/>
          <w:lang w:val="en-GB"/>
        </w:rPr>
        <w:t xml:space="preserve">in October 2019. The draft went through two </w:t>
      </w:r>
      <w:r w:rsidR="007C4784" w:rsidRPr="00B47649">
        <w:rPr>
          <w:kern w:val="22"/>
          <w:sz w:val="22"/>
          <w:szCs w:val="22"/>
          <w:lang w:val="en-GB"/>
        </w:rPr>
        <w:t xml:space="preserve">subsequent </w:t>
      </w:r>
      <w:r w:rsidR="00455A2C" w:rsidRPr="00B47649">
        <w:rPr>
          <w:kern w:val="22"/>
          <w:sz w:val="22"/>
          <w:szCs w:val="22"/>
          <w:lang w:val="en-GB"/>
        </w:rPr>
        <w:t xml:space="preserve">iterations </w:t>
      </w:r>
      <w:r w:rsidR="00901410" w:rsidRPr="00B47649">
        <w:rPr>
          <w:kern w:val="22"/>
          <w:sz w:val="22"/>
          <w:szCs w:val="22"/>
          <w:lang w:val="en-GB"/>
        </w:rPr>
        <w:t>of review and amendments</w:t>
      </w:r>
      <w:r w:rsidR="000E17F8" w:rsidRPr="00B47649">
        <w:rPr>
          <w:kern w:val="22"/>
          <w:sz w:val="22"/>
          <w:szCs w:val="22"/>
          <w:lang w:val="en-GB"/>
        </w:rPr>
        <w:t>. A</w:t>
      </w:r>
      <w:r w:rsidR="00901410" w:rsidRPr="00B47649">
        <w:rPr>
          <w:kern w:val="22"/>
          <w:sz w:val="22"/>
          <w:szCs w:val="22"/>
          <w:lang w:val="en-GB"/>
        </w:rPr>
        <w:t xml:space="preserve"> broader network of partners </w:t>
      </w:r>
      <w:r w:rsidR="00CF7980" w:rsidRPr="00B47649">
        <w:rPr>
          <w:kern w:val="22"/>
          <w:sz w:val="22"/>
          <w:szCs w:val="22"/>
          <w:lang w:val="en-GB"/>
        </w:rPr>
        <w:t xml:space="preserve">(see below) </w:t>
      </w:r>
      <w:r w:rsidR="007659F2" w:rsidRPr="00B47649">
        <w:rPr>
          <w:kern w:val="22"/>
          <w:sz w:val="22"/>
          <w:szCs w:val="22"/>
          <w:lang w:val="en-GB"/>
        </w:rPr>
        <w:t xml:space="preserve">was also invited </w:t>
      </w:r>
      <w:r w:rsidR="00901410" w:rsidRPr="00B47649">
        <w:rPr>
          <w:kern w:val="22"/>
          <w:sz w:val="22"/>
          <w:szCs w:val="22"/>
          <w:lang w:val="en-GB"/>
        </w:rPr>
        <w:t>for comments and feedback</w:t>
      </w:r>
      <w:r w:rsidR="007C4784" w:rsidRPr="00B47649">
        <w:rPr>
          <w:kern w:val="22"/>
          <w:sz w:val="22"/>
          <w:szCs w:val="22"/>
          <w:lang w:val="en-GB"/>
        </w:rPr>
        <w:t xml:space="preserve">, </w:t>
      </w:r>
      <w:r w:rsidR="00310F67" w:rsidRPr="00B47649">
        <w:rPr>
          <w:kern w:val="22"/>
          <w:sz w:val="22"/>
          <w:szCs w:val="22"/>
          <w:lang w:val="en-GB"/>
        </w:rPr>
        <w:t xml:space="preserve">with </w:t>
      </w:r>
      <w:r w:rsidR="00D26775" w:rsidRPr="00B47649">
        <w:rPr>
          <w:kern w:val="22"/>
          <w:sz w:val="22"/>
          <w:szCs w:val="22"/>
          <w:lang w:val="en-GB"/>
        </w:rPr>
        <w:t xml:space="preserve">a total of </w:t>
      </w:r>
      <w:r w:rsidR="008F3AB0" w:rsidRPr="00B47649">
        <w:rPr>
          <w:kern w:val="22"/>
          <w:sz w:val="22"/>
          <w:szCs w:val="22"/>
          <w:lang w:val="en-GB"/>
        </w:rPr>
        <w:t>35</w:t>
      </w:r>
      <w:r w:rsidR="00310F67" w:rsidRPr="00B47649">
        <w:rPr>
          <w:kern w:val="22"/>
          <w:sz w:val="22"/>
          <w:szCs w:val="22"/>
          <w:lang w:val="en-GB"/>
        </w:rPr>
        <w:t xml:space="preserve"> responses received</w:t>
      </w:r>
      <w:r w:rsidR="00984B89" w:rsidRPr="00B47649">
        <w:rPr>
          <w:kern w:val="22"/>
          <w:sz w:val="22"/>
          <w:szCs w:val="22"/>
          <w:lang w:val="en-GB"/>
        </w:rPr>
        <w:t>;</w:t>
      </w:r>
    </w:p>
    <w:p w14:paraId="4AC5DBDF" w14:textId="00AC703A" w:rsidR="000E17F8" w:rsidRPr="00B47649" w:rsidRDefault="00AF63D2" w:rsidP="00B47649">
      <w:pPr>
        <w:pStyle w:val="Para10"/>
        <w:numPr>
          <w:ilvl w:val="0"/>
          <w:numId w:val="9"/>
        </w:numPr>
        <w:suppressLineNumbers/>
        <w:suppressAutoHyphens/>
        <w:ind w:firstLine="709"/>
        <w:jc w:val="both"/>
        <w:rPr>
          <w:kern w:val="22"/>
          <w:sz w:val="22"/>
          <w:szCs w:val="22"/>
          <w:lang w:val="en-GB"/>
        </w:rPr>
      </w:pPr>
      <w:r w:rsidRPr="00B47649">
        <w:rPr>
          <w:kern w:val="22"/>
          <w:sz w:val="22"/>
          <w:szCs w:val="22"/>
          <w:lang w:val="en-GB"/>
        </w:rPr>
        <w:t xml:space="preserve">A second progress report was provided to </w:t>
      </w:r>
      <w:r w:rsidR="00415D4F" w:rsidRPr="00B47649">
        <w:rPr>
          <w:kern w:val="22"/>
          <w:sz w:val="22"/>
          <w:szCs w:val="22"/>
          <w:lang w:val="en-GB"/>
        </w:rPr>
        <w:t>the</w:t>
      </w:r>
      <w:r w:rsidR="007D499E" w:rsidRPr="00B47649">
        <w:rPr>
          <w:kern w:val="22"/>
          <w:sz w:val="22"/>
          <w:szCs w:val="22"/>
          <w:lang w:val="en-GB"/>
        </w:rPr>
        <w:t xml:space="preserve"> Working Group on the </w:t>
      </w:r>
      <w:r w:rsidR="00E25DDD">
        <w:rPr>
          <w:kern w:val="22"/>
          <w:sz w:val="22"/>
          <w:szCs w:val="22"/>
          <w:lang w:val="en-GB"/>
        </w:rPr>
        <w:t>P</w:t>
      </w:r>
      <w:r w:rsidR="007D499E" w:rsidRPr="00B47649">
        <w:rPr>
          <w:kern w:val="22"/>
          <w:sz w:val="22"/>
          <w:szCs w:val="22"/>
          <w:lang w:val="en-GB"/>
        </w:rPr>
        <w:t>ost-202</w:t>
      </w:r>
      <w:r w:rsidR="00415D4F" w:rsidRPr="00B47649">
        <w:rPr>
          <w:kern w:val="22"/>
          <w:sz w:val="22"/>
          <w:szCs w:val="22"/>
          <w:lang w:val="en-GB"/>
        </w:rPr>
        <w:t>0 Global Biodiversity Framework</w:t>
      </w:r>
      <w:r w:rsidR="00121D61" w:rsidRPr="00B47649">
        <w:rPr>
          <w:kern w:val="22"/>
          <w:sz w:val="22"/>
          <w:szCs w:val="22"/>
          <w:lang w:val="en-GB"/>
        </w:rPr>
        <w:t xml:space="preserve"> at its second meeting</w:t>
      </w:r>
      <w:r w:rsidRPr="00B47649">
        <w:rPr>
          <w:kern w:val="22"/>
          <w:sz w:val="22"/>
          <w:szCs w:val="22"/>
          <w:lang w:val="en-GB"/>
        </w:rPr>
        <w:t xml:space="preserve">, in </w:t>
      </w:r>
      <w:r w:rsidR="00C52482">
        <w:rPr>
          <w:kern w:val="22"/>
          <w:sz w:val="22"/>
          <w:szCs w:val="22"/>
          <w:lang w:val="en-GB"/>
        </w:rPr>
        <w:t xml:space="preserve">the </w:t>
      </w:r>
      <w:r w:rsidRPr="00B47649">
        <w:rPr>
          <w:kern w:val="22"/>
          <w:sz w:val="22"/>
          <w:szCs w:val="22"/>
          <w:lang w:val="en-GB"/>
        </w:rPr>
        <w:t xml:space="preserve">form of </w:t>
      </w:r>
      <w:r w:rsidR="006F0C55" w:rsidRPr="00B47649">
        <w:rPr>
          <w:kern w:val="22"/>
          <w:sz w:val="22"/>
          <w:szCs w:val="22"/>
          <w:lang w:val="en-GB"/>
        </w:rPr>
        <w:t>a written report</w:t>
      </w:r>
      <w:r w:rsidR="000A2533" w:rsidRPr="00B47649">
        <w:rPr>
          <w:rStyle w:val="FootnoteReference"/>
          <w:kern w:val="22"/>
          <w:szCs w:val="22"/>
          <w:lang w:val="en-GB"/>
        </w:rPr>
        <w:footnoteReference w:id="4"/>
      </w:r>
      <w:r w:rsidR="006F0C55" w:rsidRPr="00B47649">
        <w:rPr>
          <w:kern w:val="22"/>
          <w:sz w:val="22"/>
          <w:szCs w:val="22"/>
          <w:lang w:val="en-GB"/>
        </w:rPr>
        <w:t xml:space="preserve"> </w:t>
      </w:r>
      <w:r w:rsidRPr="00B47649">
        <w:rPr>
          <w:kern w:val="22"/>
          <w:sz w:val="22"/>
          <w:szCs w:val="22"/>
          <w:lang w:val="en-GB"/>
        </w:rPr>
        <w:t xml:space="preserve">and via an update </w:t>
      </w:r>
      <w:r w:rsidR="00D26775" w:rsidRPr="00B47649">
        <w:rPr>
          <w:kern w:val="22"/>
          <w:sz w:val="22"/>
          <w:szCs w:val="22"/>
          <w:lang w:val="en-GB"/>
        </w:rPr>
        <w:t xml:space="preserve">provided by </w:t>
      </w:r>
      <w:r w:rsidRPr="00B47649">
        <w:rPr>
          <w:kern w:val="22"/>
          <w:sz w:val="22"/>
          <w:szCs w:val="22"/>
          <w:lang w:val="en-GB"/>
        </w:rPr>
        <w:t>Ms</w:t>
      </w:r>
      <w:r w:rsidR="00121D61" w:rsidRPr="00B47649">
        <w:rPr>
          <w:kern w:val="22"/>
          <w:sz w:val="22"/>
          <w:szCs w:val="22"/>
          <w:lang w:val="en-GB"/>
        </w:rPr>
        <w:t>.</w:t>
      </w:r>
      <w:r w:rsidRPr="00B47649">
        <w:rPr>
          <w:kern w:val="22"/>
          <w:sz w:val="22"/>
          <w:szCs w:val="22"/>
          <w:lang w:val="en-GB"/>
        </w:rPr>
        <w:t xml:space="preserve"> Theresa Lim.</w:t>
      </w:r>
      <w:r w:rsidR="003201AE" w:rsidRPr="00B47649">
        <w:rPr>
          <w:kern w:val="22"/>
          <w:sz w:val="22"/>
          <w:szCs w:val="22"/>
          <w:lang w:val="en-GB"/>
        </w:rPr>
        <w:t xml:space="preserve"> This </w:t>
      </w:r>
      <w:r w:rsidR="000A2533" w:rsidRPr="00B47649">
        <w:rPr>
          <w:kern w:val="22"/>
          <w:sz w:val="22"/>
          <w:szCs w:val="22"/>
          <w:lang w:val="en-GB"/>
        </w:rPr>
        <w:t>s</w:t>
      </w:r>
      <w:r w:rsidR="003201AE" w:rsidRPr="00B47649">
        <w:rPr>
          <w:kern w:val="22"/>
          <w:sz w:val="22"/>
          <w:szCs w:val="22"/>
          <w:lang w:val="en-GB"/>
        </w:rPr>
        <w:t>econd report also contained elements of advice on how to appropriately reflect m</w:t>
      </w:r>
      <w:r w:rsidR="000A2533" w:rsidRPr="00B47649">
        <w:rPr>
          <w:kern w:val="22"/>
          <w:sz w:val="22"/>
          <w:szCs w:val="22"/>
          <w:lang w:val="en-GB"/>
        </w:rPr>
        <w:t>a</w:t>
      </w:r>
      <w:r w:rsidR="003201AE" w:rsidRPr="00B47649">
        <w:rPr>
          <w:kern w:val="22"/>
          <w:sz w:val="22"/>
          <w:szCs w:val="22"/>
          <w:lang w:val="en-GB"/>
        </w:rPr>
        <w:t>instreaming in the post-2020 global biodiversity framew</w:t>
      </w:r>
      <w:r w:rsidR="000A2533" w:rsidRPr="00B47649">
        <w:rPr>
          <w:kern w:val="22"/>
          <w:sz w:val="22"/>
          <w:szCs w:val="22"/>
          <w:lang w:val="en-GB"/>
        </w:rPr>
        <w:t>ork.</w:t>
      </w:r>
      <w:r w:rsidR="009C323E" w:rsidRPr="00B47649">
        <w:rPr>
          <w:kern w:val="22"/>
          <w:sz w:val="22"/>
          <w:szCs w:val="22"/>
          <w:lang w:val="en-GB"/>
        </w:rPr>
        <w:t xml:space="preserve"> </w:t>
      </w:r>
      <w:r w:rsidR="00022331" w:rsidRPr="00B47649">
        <w:rPr>
          <w:kern w:val="22"/>
          <w:sz w:val="22"/>
          <w:szCs w:val="22"/>
          <w:lang w:val="en-GB"/>
        </w:rPr>
        <w:t>A</w:t>
      </w:r>
      <w:r w:rsidR="009C323E" w:rsidRPr="00B47649">
        <w:rPr>
          <w:kern w:val="22"/>
          <w:sz w:val="22"/>
          <w:szCs w:val="22"/>
          <w:lang w:val="en-GB"/>
        </w:rPr>
        <w:t xml:space="preserve">djustments were undertaken to reflect the deliberations at </w:t>
      </w:r>
      <w:r w:rsidR="007D499E" w:rsidRPr="00B47649">
        <w:rPr>
          <w:kern w:val="22"/>
          <w:sz w:val="22"/>
          <w:szCs w:val="22"/>
          <w:lang w:val="en-GB"/>
        </w:rPr>
        <w:t>the Working Group</w:t>
      </w:r>
      <w:r w:rsidR="009C323E" w:rsidRPr="00B47649">
        <w:rPr>
          <w:kern w:val="22"/>
          <w:sz w:val="22"/>
          <w:szCs w:val="22"/>
          <w:lang w:val="en-GB"/>
        </w:rPr>
        <w:t xml:space="preserve"> and </w:t>
      </w:r>
      <w:r w:rsidR="00022331" w:rsidRPr="00B47649">
        <w:rPr>
          <w:kern w:val="22"/>
          <w:sz w:val="22"/>
          <w:szCs w:val="22"/>
          <w:lang w:val="en-GB"/>
        </w:rPr>
        <w:t xml:space="preserve">revised versions </w:t>
      </w:r>
      <w:r w:rsidR="009C323E" w:rsidRPr="00B47649">
        <w:rPr>
          <w:kern w:val="22"/>
          <w:sz w:val="22"/>
          <w:szCs w:val="22"/>
          <w:lang w:val="en-GB"/>
        </w:rPr>
        <w:t xml:space="preserve">of the advice </w:t>
      </w:r>
      <w:r w:rsidR="00022331" w:rsidRPr="00B47649">
        <w:rPr>
          <w:kern w:val="22"/>
          <w:sz w:val="22"/>
          <w:szCs w:val="22"/>
          <w:lang w:val="en-GB"/>
        </w:rPr>
        <w:t xml:space="preserve">and the </w:t>
      </w:r>
      <w:r w:rsidR="004F20A0" w:rsidRPr="00B47649">
        <w:rPr>
          <w:kern w:val="22"/>
          <w:sz w:val="22"/>
          <w:szCs w:val="22"/>
          <w:lang w:val="en-GB"/>
        </w:rPr>
        <w:t xml:space="preserve">long-term approach </w:t>
      </w:r>
      <w:r w:rsidR="009C323E" w:rsidRPr="00B47649">
        <w:rPr>
          <w:kern w:val="22"/>
          <w:sz w:val="22"/>
          <w:szCs w:val="22"/>
          <w:lang w:val="en-GB"/>
        </w:rPr>
        <w:t>w</w:t>
      </w:r>
      <w:r w:rsidR="00022331" w:rsidRPr="00B47649">
        <w:rPr>
          <w:kern w:val="22"/>
          <w:sz w:val="22"/>
          <w:szCs w:val="22"/>
          <w:lang w:val="en-GB"/>
        </w:rPr>
        <w:t xml:space="preserve">ere further </w:t>
      </w:r>
      <w:r w:rsidR="009C323E" w:rsidRPr="00B47649">
        <w:rPr>
          <w:kern w:val="22"/>
          <w:sz w:val="22"/>
          <w:szCs w:val="22"/>
          <w:lang w:val="en-GB"/>
        </w:rPr>
        <w:t>review</w:t>
      </w:r>
      <w:r w:rsidR="00022331" w:rsidRPr="00B47649">
        <w:rPr>
          <w:kern w:val="22"/>
          <w:sz w:val="22"/>
          <w:szCs w:val="22"/>
          <w:lang w:val="en-GB"/>
        </w:rPr>
        <w:t>ed</w:t>
      </w:r>
      <w:r w:rsidR="009C323E" w:rsidRPr="00B47649">
        <w:rPr>
          <w:kern w:val="22"/>
          <w:sz w:val="22"/>
          <w:szCs w:val="22"/>
          <w:lang w:val="en-GB"/>
        </w:rPr>
        <w:t xml:space="preserve"> and approv</w:t>
      </w:r>
      <w:r w:rsidR="00022331" w:rsidRPr="00B47649">
        <w:rPr>
          <w:kern w:val="22"/>
          <w:sz w:val="22"/>
          <w:szCs w:val="22"/>
          <w:lang w:val="en-GB"/>
        </w:rPr>
        <w:t>ed</w:t>
      </w:r>
      <w:r w:rsidR="009C323E" w:rsidRPr="00B47649">
        <w:rPr>
          <w:kern w:val="22"/>
          <w:sz w:val="22"/>
          <w:szCs w:val="22"/>
          <w:lang w:val="en-GB"/>
        </w:rPr>
        <w:t xml:space="preserve"> by the </w:t>
      </w:r>
      <w:r w:rsidR="00984B89" w:rsidRPr="00B47649">
        <w:rPr>
          <w:kern w:val="22"/>
          <w:sz w:val="22"/>
          <w:szCs w:val="22"/>
          <w:lang w:val="en-GB"/>
        </w:rPr>
        <w:t xml:space="preserve">Informal Advisory Group </w:t>
      </w:r>
      <w:r w:rsidR="009C323E" w:rsidRPr="00B47649">
        <w:rPr>
          <w:kern w:val="22"/>
          <w:sz w:val="22"/>
          <w:szCs w:val="22"/>
          <w:lang w:val="en-GB"/>
        </w:rPr>
        <w:t xml:space="preserve">in April </w:t>
      </w:r>
      <w:r w:rsidR="00022331" w:rsidRPr="00B47649">
        <w:rPr>
          <w:kern w:val="22"/>
          <w:sz w:val="22"/>
          <w:szCs w:val="22"/>
          <w:lang w:val="en-GB"/>
        </w:rPr>
        <w:t xml:space="preserve">and July </w:t>
      </w:r>
      <w:r w:rsidR="009C323E" w:rsidRPr="00B47649">
        <w:rPr>
          <w:kern w:val="22"/>
          <w:sz w:val="22"/>
          <w:szCs w:val="22"/>
          <w:lang w:val="en-GB"/>
        </w:rPr>
        <w:t>2020.</w:t>
      </w:r>
    </w:p>
    <w:p w14:paraId="754EFC4B" w14:textId="6149A889" w:rsidR="00641F2E" w:rsidRPr="001F14EE" w:rsidRDefault="00641F2E" w:rsidP="00B47649">
      <w:pPr>
        <w:pStyle w:val="Para10"/>
        <w:suppressLineNumbers/>
        <w:tabs>
          <w:tab w:val="clear" w:pos="360"/>
        </w:tabs>
        <w:suppressAutoHyphens/>
        <w:jc w:val="both"/>
        <w:rPr>
          <w:kern w:val="22"/>
          <w:sz w:val="22"/>
          <w:szCs w:val="22"/>
          <w:lang w:val="en-GB"/>
        </w:rPr>
      </w:pPr>
      <w:r w:rsidRPr="001F14EE">
        <w:rPr>
          <w:kern w:val="22"/>
          <w:sz w:val="22"/>
          <w:szCs w:val="22"/>
          <w:lang w:val="en-GB"/>
        </w:rPr>
        <w:lastRenderedPageBreak/>
        <w:t xml:space="preserve">Building on the work of the </w:t>
      </w:r>
      <w:r w:rsidR="00323113" w:rsidRPr="001F14EE">
        <w:rPr>
          <w:kern w:val="22"/>
          <w:sz w:val="22"/>
          <w:szCs w:val="22"/>
          <w:lang w:val="en-GB"/>
        </w:rPr>
        <w:t>Informal Advisory Group</w:t>
      </w:r>
      <w:r w:rsidRPr="001F14EE">
        <w:rPr>
          <w:kern w:val="22"/>
          <w:sz w:val="22"/>
          <w:szCs w:val="22"/>
          <w:lang w:val="en-GB"/>
        </w:rPr>
        <w:t xml:space="preserve">, a </w:t>
      </w:r>
      <w:r w:rsidR="000F5E99" w:rsidRPr="001F14EE">
        <w:rPr>
          <w:kern w:val="22"/>
          <w:sz w:val="22"/>
          <w:szCs w:val="22"/>
          <w:lang w:val="en-GB"/>
        </w:rPr>
        <w:t xml:space="preserve">first outline of a </w:t>
      </w:r>
      <w:r w:rsidRPr="001F14EE">
        <w:rPr>
          <w:kern w:val="22"/>
          <w:sz w:val="22"/>
          <w:szCs w:val="22"/>
          <w:lang w:val="en-GB"/>
        </w:rPr>
        <w:t xml:space="preserve">website on mainstreaming has been developed by the Secretariat at </w:t>
      </w:r>
      <w:hyperlink r:id="rId16" w:history="1">
        <w:r w:rsidR="0055751F" w:rsidRPr="001F14EE">
          <w:rPr>
            <w:rStyle w:val="Hyperlink"/>
            <w:kern w:val="22"/>
            <w:sz w:val="22"/>
            <w:szCs w:val="22"/>
            <w:lang w:val="en-GB"/>
          </w:rPr>
          <w:t>https://www.cbd.int/mainstreaming/</w:t>
        </w:r>
      </w:hyperlink>
      <w:r w:rsidR="000F5E99" w:rsidRPr="001F14EE">
        <w:rPr>
          <w:kern w:val="22"/>
          <w:sz w:val="22"/>
          <w:szCs w:val="22"/>
          <w:lang w:val="en-GB"/>
        </w:rPr>
        <w:t xml:space="preserve"> and is open for comments from Parties.</w:t>
      </w:r>
    </w:p>
    <w:p w14:paraId="6AE3D8D2" w14:textId="6DBBD290" w:rsidR="0055476D" w:rsidRPr="001F14EE" w:rsidRDefault="001F14EE" w:rsidP="00B47649">
      <w:pPr>
        <w:pStyle w:val="Para10"/>
        <w:suppressLineNumbers/>
        <w:tabs>
          <w:tab w:val="clear" w:pos="360"/>
        </w:tabs>
        <w:suppressAutoHyphens/>
        <w:jc w:val="both"/>
        <w:rPr>
          <w:kern w:val="22"/>
          <w:sz w:val="22"/>
          <w:szCs w:val="22"/>
          <w:lang w:val="en-GB"/>
        </w:rPr>
      </w:pPr>
      <w:r w:rsidRPr="001F14EE">
        <w:rPr>
          <w:kern w:val="22"/>
          <w:sz w:val="22"/>
          <w:szCs w:val="22"/>
          <w:lang w:val="en-GB"/>
        </w:rPr>
        <w:t>Pursuant to</w:t>
      </w:r>
      <w:r w:rsidR="00A7238F" w:rsidRPr="001F14EE">
        <w:rPr>
          <w:kern w:val="22"/>
          <w:sz w:val="22"/>
          <w:szCs w:val="22"/>
          <w:lang w:val="en-GB"/>
        </w:rPr>
        <w:t xml:space="preserve"> decision 14/3</w:t>
      </w:r>
      <w:r w:rsidRPr="001F14EE">
        <w:rPr>
          <w:kern w:val="22"/>
          <w:sz w:val="22"/>
          <w:szCs w:val="22"/>
          <w:lang w:val="en-GB"/>
        </w:rPr>
        <w:t>, annex I, paragraph 3</w:t>
      </w:r>
      <w:r w:rsidR="00A7238F" w:rsidRPr="001F14EE">
        <w:rPr>
          <w:kern w:val="22"/>
          <w:sz w:val="22"/>
          <w:szCs w:val="22"/>
          <w:lang w:val="en-GB"/>
        </w:rPr>
        <w:t>, the Secretariat</w:t>
      </w:r>
      <w:r w:rsidR="004A35EC" w:rsidRPr="001F14EE">
        <w:rPr>
          <w:kern w:val="22"/>
          <w:sz w:val="22"/>
          <w:szCs w:val="22"/>
          <w:lang w:val="en-GB"/>
        </w:rPr>
        <w:t xml:space="preserve"> was to </w:t>
      </w:r>
      <w:r w:rsidR="00F260F1" w:rsidRPr="001F14EE">
        <w:rPr>
          <w:kern w:val="22"/>
          <w:sz w:val="22"/>
          <w:szCs w:val="22"/>
          <w:lang w:val="en-GB"/>
        </w:rPr>
        <w:t>support</w:t>
      </w:r>
      <w:r w:rsidR="0038651B" w:rsidRPr="001F14EE">
        <w:rPr>
          <w:kern w:val="22"/>
          <w:sz w:val="22"/>
          <w:szCs w:val="22"/>
          <w:lang w:val="en-GB"/>
        </w:rPr>
        <w:t xml:space="preserve"> technical and policy discussions as well as inputs from various stakeholders and partners</w:t>
      </w:r>
      <w:r w:rsidRPr="001F14EE">
        <w:rPr>
          <w:kern w:val="22"/>
          <w:sz w:val="22"/>
          <w:szCs w:val="22"/>
          <w:lang w:val="en-GB"/>
        </w:rPr>
        <w:t xml:space="preserve"> </w:t>
      </w:r>
      <w:r w:rsidR="0057252E" w:rsidRPr="001F14EE">
        <w:rPr>
          <w:kern w:val="22"/>
          <w:sz w:val="22"/>
          <w:szCs w:val="22"/>
          <w:lang w:val="en-GB"/>
        </w:rPr>
        <w:t>in order to develop the long-term approach</w:t>
      </w:r>
      <w:r w:rsidR="0038651B" w:rsidRPr="001F14EE">
        <w:rPr>
          <w:kern w:val="22"/>
          <w:sz w:val="22"/>
          <w:szCs w:val="22"/>
          <w:lang w:val="en-GB"/>
        </w:rPr>
        <w:t>.</w:t>
      </w:r>
      <w:r w:rsidR="002B5F16" w:rsidRPr="001F14EE">
        <w:rPr>
          <w:kern w:val="22"/>
          <w:sz w:val="22"/>
          <w:szCs w:val="22"/>
          <w:lang w:val="en-GB"/>
        </w:rPr>
        <w:t xml:space="preserve"> To this effect, the Secretariat established</w:t>
      </w:r>
      <w:r w:rsidR="008F3AB0" w:rsidRPr="001F14EE">
        <w:rPr>
          <w:kern w:val="22"/>
          <w:sz w:val="22"/>
          <w:szCs w:val="22"/>
          <w:lang w:val="en-GB"/>
        </w:rPr>
        <w:t xml:space="preserve">, simultaneously to the </w:t>
      </w:r>
      <w:r w:rsidR="00323113" w:rsidRPr="001F14EE">
        <w:rPr>
          <w:kern w:val="22"/>
          <w:sz w:val="22"/>
          <w:szCs w:val="22"/>
          <w:lang w:val="en-GB"/>
        </w:rPr>
        <w:t>Informal Advisory Group</w:t>
      </w:r>
      <w:r w:rsidR="008F3AB0" w:rsidRPr="001F14EE">
        <w:rPr>
          <w:kern w:val="22"/>
          <w:sz w:val="22"/>
          <w:szCs w:val="22"/>
          <w:lang w:val="en-GB"/>
        </w:rPr>
        <w:t>,</w:t>
      </w:r>
      <w:r w:rsidR="002B5F16" w:rsidRPr="001F14EE">
        <w:rPr>
          <w:kern w:val="22"/>
          <w:sz w:val="22"/>
          <w:szCs w:val="22"/>
          <w:lang w:val="en-GB"/>
        </w:rPr>
        <w:t xml:space="preserve"> </w:t>
      </w:r>
      <w:r w:rsidR="00AC2001" w:rsidRPr="001F14EE">
        <w:rPr>
          <w:kern w:val="22"/>
          <w:sz w:val="22"/>
          <w:szCs w:val="22"/>
          <w:lang w:val="en-GB"/>
        </w:rPr>
        <w:t>a</w:t>
      </w:r>
      <w:r w:rsidR="001E2D30" w:rsidRPr="001F14EE">
        <w:rPr>
          <w:kern w:val="22"/>
          <w:sz w:val="22"/>
          <w:szCs w:val="22"/>
          <w:lang w:val="en-GB"/>
        </w:rPr>
        <w:t xml:space="preserve">n extended </w:t>
      </w:r>
      <w:r w:rsidR="00AC2001" w:rsidRPr="001F14EE">
        <w:rPr>
          <w:kern w:val="22"/>
          <w:sz w:val="22"/>
          <w:szCs w:val="22"/>
          <w:lang w:val="en-GB"/>
        </w:rPr>
        <w:t xml:space="preserve">open </w:t>
      </w:r>
      <w:r w:rsidR="001E2D30" w:rsidRPr="001F14EE">
        <w:rPr>
          <w:kern w:val="22"/>
          <w:sz w:val="22"/>
          <w:szCs w:val="22"/>
          <w:lang w:val="en-GB"/>
        </w:rPr>
        <w:t xml:space="preserve">consultative network </w:t>
      </w:r>
      <w:r w:rsidR="00AC2001" w:rsidRPr="001F14EE">
        <w:rPr>
          <w:kern w:val="22"/>
          <w:sz w:val="22"/>
          <w:szCs w:val="22"/>
          <w:lang w:val="en-GB"/>
        </w:rPr>
        <w:t xml:space="preserve">of relevant </w:t>
      </w:r>
      <w:r w:rsidR="004247FA" w:rsidRPr="001F14EE">
        <w:rPr>
          <w:kern w:val="22"/>
          <w:sz w:val="22"/>
          <w:szCs w:val="22"/>
          <w:lang w:val="en-GB"/>
        </w:rPr>
        <w:t xml:space="preserve">38 </w:t>
      </w:r>
      <w:r w:rsidR="00AC2001" w:rsidRPr="001F14EE">
        <w:rPr>
          <w:kern w:val="22"/>
          <w:sz w:val="22"/>
          <w:szCs w:val="22"/>
          <w:lang w:val="en-GB"/>
        </w:rPr>
        <w:t>organizations and initiatives working on various elements of the biodiversity mainstreaming agenda</w:t>
      </w:r>
      <w:r w:rsidR="00123CB4" w:rsidRPr="001F14EE">
        <w:rPr>
          <w:kern w:val="22"/>
          <w:sz w:val="22"/>
          <w:szCs w:val="22"/>
          <w:lang w:val="en-GB"/>
        </w:rPr>
        <w:t>. In order</w:t>
      </w:r>
      <w:r w:rsidR="001E2D30" w:rsidRPr="001F14EE">
        <w:rPr>
          <w:kern w:val="22"/>
          <w:sz w:val="22"/>
          <w:szCs w:val="22"/>
          <w:lang w:val="en-GB"/>
        </w:rPr>
        <w:t xml:space="preserve"> to support the work of the </w:t>
      </w:r>
      <w:r w:rsidR="00323113" w:rsidRPr="001F14EE">
        <w:rPr>
          <w:kern w:val="22"/>
          <w:sz w:val="22"/>
          <w:szCs w:val="22"/>
          <w:lang w:val="en-GB"/>
        </w:rPr>
        <w:t>Informal Advisory Group</w:t>
      </w:r>
      <w:r w:rsidR="00123CB4" w:rsidRPr="001F14EE">
        <w:rPr>
          <w:kern w:val="22"/>
          <w:sz w:val="22"/>
          <w:szCs w:val="22"/>
          <w:lang w:val="en-GB"/>
        </w:rPr>
        <w:t>, this network</w:t>
      </w:r>
      <w:r w:rsidR="001E2D30" w:rsidRPr="001F14EE">
        <w:rPr>
          <w:kern w:val="22"/>
          <w:sz w:val="22"/>
          <w:szCs w:val="22"/>
          <w:lang w:val="en-GB"/>
        </w:rPr>
        <w:t xml:space="preserve"> has been regularly briefed on the group’s progress and invited to contribute points of view and suggestions</w:t>
      </w:r>
      <w:r w:rsidR="00B62D44" w:rsidRPr="001F14EE">
        <w:rPr>
          <w:kern w:val="22"/>
          <w:sz w:val="22"/>
          <w:szCs w:val="22"/>
          <w:lang w:val="en-GB"/>
        </w:rPr>
        <w:t xml:space="preserve"> along the stages summarized above</w:t>
      </w:r>
      <w:r w:rsidR="00861542" w:rsidRPr="001F14EE">
        <w:rPr>
          <w:kern w:val="22"/>
          <w:sz w:val="22"/>
          <w:szCs w:val="22"/>
          <w:lang w:val="en-GB"/>
        </w:rPr>
        <w:t>.</w:t>
      </w:r>
      <w:r w:rsidR="003A76ED" w:rsidRPr="001F14EE">
        <w:rPr>
          <w:kern w:val="22"/>
          <w:sz w:val="22"/>
          <w:szCs w:val="22"/>
          <w:lang w:val="en-GB"/>
        </w:rPr>
        <w:t xml:space="preserve"> In order to encourage active participation, and pursuant to requests expressed in </w:t>
      </w:r>
      <w:r w:rsidR="006559D3" w:rsidRPr="001F14EE">
        <w:rPr>
          <w:kern w:val="22"/>
          <w:sz w:val="22"/>
          <w:szCs w:val="22"/>
          <w:lang w:val="en-GB"/>
        </w:rPr>
        <w:t>decision 14/3</w:t>
      </w:r>
      <w:r w:rsidR="00D46BBF">
        <w:rPr>
          <w:kern w:val="22"/>
          <w:sz w:val="22"/>
          <w:szCs w:val="22"/>
          <w:lang w:val="en-GB"/>
        </w:rPr>
        <w:t>,</w:t>
      </w:r>
      <w:r w:rsidR="006559D3" w:rsidRPr="001F14EE">
        <w:rPr>
          <w:kern w:val="22"/>
          <w:sz w:val="22"/>
          <w:szCs w:val="22"/>
          <w:lang w:val="en-GB"/>
        </w:rPr>
        <w:t xml:space="preserve"> </w:t>
      </w:r>
      <w:r w:rsidR="00D46BBF" w:rsidRPr="001F14EE">
        <w:rPr>
          <w:kern w:val="22"/>
          <w:sz w:val="22"/>
          <w:szCs w:val="22"/>
          <w:lang w:val="en-GB"/>
        </w:rPr>
        <w:t>paragraph 19</w:t>
      </w:r>
      <w:r w:rsidR="00D46BBF">
        <w:rPr>
          <w:kern w:val="22"/>
          <w:sz w:val="22"/>
          <w:szCs w:val="22"/>
          <w:lang w:val="en-GB"/>
        </w:rPr>
        <w:t xml:space="preserve">, </w:t>
      </w:r>
      <w:r w:rsidR="006559D3" w:rsidRPr="001F14EE">
        <w:rPr>
          <w:kern w:val="22"/>
          <w:sz w:val="22"/>
          <w:szCs w:val="22"/>
          <w:lang w:val="en-GB"/>
        </w:rPr>
        <w:t xml:space="preserve">and </w:t>
      </w:r>
      <w:r w:rsidR="00D46BBF" w:rsidRPr="001F14EE">
        <w:rPr>
          <w:kern w:val="22"/>
          <w:sz w:val="22"/>
          <w:szCs w:val="22"/>
          <w:lang w:val="en-GB"/>
        </w:rPr>
        <w:t>annex I</w:t>
      </w:r>
      <w:r w:rsidR="00D46BBF">
        <w:rPr>
          <w:kern w:val="22"/>
          <w:sz w:val="22"/>
          <w:szCs w:val="22"/>
          <w:lang w:val="en-GB"/>
        </w:rPr>
        <w:t>,</w:t>
      </w:r>
      <w:r w:rsidR="00D46BBF" w:rsidRPr="001F14EE">
        <w:rPr>
          <w:kern w:val="22"/>
          <w:sz w:val="22"/>
          <w:szCs w:val="22"/>
          <w:lang w:val="en-GB"/>
        </w:rPr>
        <w:t xml:space="preserve"> </w:t>
      </w:r>
      <w:r w:rsidR="006559D3" w:rsidRPr="001F14EE">
        <w:rPr>
          <w:kern w:val="22"/>
          <w:sz w:val="22"/>
          <w:szCs w:val="22"/>
          <w:lang w:val="en-GB"/>
        </w:rPr>
        <w:t>paragraph 6</w:t>
      </w:r>
      <w:r w:rsidR="004F2737">
        <w:rPr>
          <w:kern w:val="22"/>
          <w:sz w:val="22"/>
          <w:szCs w:val="22"/>
          <w:lang w:val="en-GB"/>
        </w:rPr>
        <w:t>,</w:t>
      </w:r>
      <w:r w:rsidR="006559D3" w:rsidRPr="001F14EE">
        <w:rPr>
          <w:kern w:val="22"/>
          <w:sz w:val="22"/>
          <w:szCs w:val="22"/>
          <w:lang w:val="en-GB"/>
        </w:rPr>
        <w:t xml:space="preserve"> </w:t>
      </w:r>
      <w:r w:rsidR="00443963" w:rsidRPr="001F14EE">
        <w:rPr>
          <w:kern w:val="22"/>
          <w:sz w:val="22"/>
          <w:szCs w:val="22"/>
          <w:lang w:val="en-GB"/>
        </w:rPr>
        <w:t xml:space="preserve">to </w:t>
      </w:r>
      <w:r w:rsidR="006559D3" w:rsidRPr="001F14EE">
        <w:rPr>
          <w:kern w:val="22"/>
          <w:sz w:val="22"/>
          <w:szCs w:val="22"/>
          <w:lang w:val="en-GB"/>
        </w:rPr>
        <w:t>this decision, the Secretariat also liaised with a number of relevant international organizations and initiatives (see the next section for details).</w:t>
      </w:r>
      <w:r w:rsidR="008F3AB0" w:rsidRPr="001F14EE">
        <w:rPr>
          <w:kern w:val="22"/>
          <w:sz w:val="22"/>
          <w:szCs w:val="22"/>
          <w:lang w:val="en-GB"/>
        </w:rPr>
        <w:t xml:space="preserve"> Proposals received from the extended network and additional consultations were submitted to the </w:t>
      </w:r>
      <w:r w:rsidR="00323113" w:rsidRPr="001F14EE">
        <w:rPr>
          <w:kern w:val="22"/>
          <w:sz w:val="22"/>
          <w:szCs w:val="22"/>
          <w:lang w:val="en-GB"/>
        </w:rPr>
        <w:t xml:space="preserve">Informal Advisory Group </w:t>
      </w:r>
      <w:r w:rsidR="008F3AB0" w:rsidRPr="001F14EE">
        <w:rPr>
          <w:kern w:val="22"/>
          <w:sz w:val="22"/>
          <w:szCs w:val="22"/>
          <w:lang w:val="en-GB"/>
        </w:rPr>
        <w:t xml:space="preserve">for final agreement. </w:t>
      </w:r>
      <w:r w:rsidR="00987B90" w:rsidRPr="001F14EE">
        <w:rPr>
          <w:kern w:val="22"/>
          <w:sz w:val="22"/>
          <w:szCs w:val="22"/>
          <w:lang w:val="en-GB"/>
        </w:rPr>
        <w:t xml:space="preserve">In addition, cross-linkages to the work on resource mobilization, pursuant to decision </w:t>
      </w:r>
      <w:hyperlink r:id="rId17" w:history="1">
        <w:r w:rsidR="00987B90" w:rsidRPr="001F14EE">
          <w:rPr>
            <w:rStyle w:val="Hyperlink"/>
            <w:kern w:val="22"/>
            <w:sz w:val="22"/>
            <w:szCs w:val="22"/>
            <w:lang w:val="en-GB"/>
          </w:rPr>
          <w:t>14/22</w:t>
        </w:r>
      </w:hyperlink>
      <w:r w:rsidR="00987B90" w:rsidRPr="001F14EE">
        <w:rPr>
          <w:kern w:val="22"/>
          <w:sz w:val="22"/>
          <w:szCs w:val="22"/>
          <w:lang w:val="en-GB"/>
        </w:rPr>
        <w:t>, were also considered</w:t>
      </w:r>
      <w:r w:rsidR="0055476D" w:rsidRPr="001F14EE">
        <w:rPr>
          <w:kern w:val="22"/>
          <w:sz w:val="22"/>
          <w:szCs w:val="22"/>
          <w:lang w:val="en-GB"/>
        </w:rPr>
        <w:t>.</w:t>
      </w:r>
      <w:r w:rsidR="0055476D" w:rsidRPr="001F14EE">
        <w:rPr>
          <w:rStyle w:val="FootnoteReference"/>
          <w:kern w:val="22"/>
          <w:szCs w:val="22"/>
          <w:lang w:val="en-GB"/>
        </w:rPr>
        <w:footnoteReference w:id="5"/>
      </w:r>
    </w:p>
    <w:p w14:paraId="6D82C82F" w14:textId="060BBD0C" w:rsidR="000D4F03" w:rsidRPr="00B47649" w:rsidRDefault="000D4F03" w:rsidP="00B47649">
      <w:pPr>
        <w:pStyle w:val="Para10"/>
        <w:suppressLineNumbers/>
        <w:tabs>
          <w:tab w:val="clear" w:pos="360"/>
          <w:tab w:val="num" w:pos="0"/>
        </w:tabs>
        <w:suppressAutoHyphens/>
        <w:jc w:val="both"/>
        <w:rPr>
          <w:kern w:val="22"/>
          <w:sz w:val="22"/>
          <w:szCs w:val="22"/>
          <w:shd w:val="clear" w:color="auto" w:fill="FFFFFF"/>
          <w:lang w:val="en-GB"/>
        </w:rPr>
      </w:pPr>
      <w:r w:rsidRPr="00B47649">
        <w:rPr>
          <w:kern w:val="22"/>
          <w:sz w:val="22"/>
          <w:szCs w:val="22"/>
          <w:lang w:val="en-GB"/>
        </w:rPr>
        <w:t>Interest has increased significantly in the last months in the work area o</w:t>
      </w:r>
      <w:r w:rsidR="00E2719D" w:rsidRPr="00B47649">
        <w:rPr>
          <w:kern w:val="22"/>
          <w:sz w:val="22"/>
          <w:szCs w:val="22"/>
          <w:lang w:val="en-GB"/>
        </w:rPr>
        <w:t>f</w:t>
      </w:r>
      <w:r w:rsidRPr="00B47649">
        <w:rPr>
          <w:kern w:val="22"/>
          <w:sz w:val="22"/>
          <w:szCs w:val="22"/>
          <w:lang w:val="en-GB"/>
        </w:rPr>
        <w:t xml:space="preserve"> biodiversity and human health, as a critical component of the biodiversity mainstreaming agenda, and how it can contribute, for instance, to reduc</w:t>
      </w:r>
      <w:r w:rsidR="00152CB3" w:rsidRPr="00B47649">
        <w:rPr>
          <w:kern w:val="22"/>
          <w:sz w:val="22"/>
          <w:szCs w:val="22"/>
          <w:lang w:val="en-GB"/>
        </w:rPr>
        <w:t>ing</w:t>
      </w:r>
      <w:r w:rsidRPr="00B47649">
        <w:rPr>
          <w:kern w:val="22"/>
          <w:sz w:val="22"/>
          <w:szCs w:val="22"/>
          <w:lang w:val="en-GB"/>
        </w:rPr>
        <w:t xml:space="preserve"> the risk of zoonosis.</w:t>
      </w:r>
      <w:r w:rsidR="00B6202C" w:rsidRPr="00B47649">
        <w:rPr>
          <w:kern w:val="22"/>
          <w:sz w:val="22"/>
          <w:szCs w:val="22"/>
          <w:lang w:val="en-GB"/>
        </w:rPr>
        <w:t xml:space="preserve"> The </w:t>
      </w:r>
      <w:r w:rsidR="001C3123" w:rsidRPr="00B47649">
        <w:rPr>
          <w:kern w:val="22"/>
          <w:sz w:val="22"/>
          <w:szCs w:val="22"/>
          <w:lang w:val="en-GB"/>
        </w:rPr>
        <w:t>long-term approach</w:t>
      </w:r>
      <w:r w:rsidR="00B6202C" w:rsidRPr="00B47649">
        <w:rPr>
          <w:kern w:val="22"/>
          <w:sz w:val="22"/>
          <w:szCs w:val="22"/>
          <w:lang w:val="en-GB"/>
        </w:rPr>
        <w:t xml:space="preserve">, as a broad framework, provides avenues to further advance this work at all levels of governance, from global to regional and from national </w:t>
      </w:r>
      <w:r w:rsidR="00BA743B">
        <w:rPr>
          <w:kern w:val="22"/>
          <w:sz w:val="22"/>
          <w:szCs w:val="22"/>
          <w:lang w:val="en-GB"/>
        </w:rPr>
        <w:t>to</w:t>
      </w:r>
      <w:r w:rsidR="00BA743B" w:rsidRPr="00B47649">
        <w:rPr>
          <w:kern w:val="22"/>
          <w:sz w:val="22"/>
          <w:szCs w:val="22"/>
          <w:lang w:val="en-GB"/>
        </w:rPr>
        <w:t xml:space="preserve"> </w:t>
      </w:r>
      <w:r w:rsidR="00B6202C" w:rsidRPr="00B47649">
        <w:rPr>
          <w:kern w:val="22"/>
          <w:sz w:val="22"/>
          <w:szCs w:val="22"/>
          <w:lang w:val="en-GB"/>
        </w:rPr>
        <w:t xml:space="preserve">local levels, including through the prioritization of mainstreaming efforts in specific sectors, in accordance with specific circumstances and conditions. Cooperation with </w:t>
      </w:r>
      <w:r w:rsidR="00152CB3" w:rsidRPr="00B47649">
        <w:rPr>
          <w:kern w:val="22"/>
          <w:sz w:val="22"/>
          <w:szCs w:val="22"/>
          <w:lang w:val="en-GB"/>
        </w:rPr>
        <w:t xml:space="preserve">the World Health Organization </w:t>
      </w:r>
      <w:r w:rsidR="00B6202C" w:rsidRPr="00B47649">
        <w:rPr>
          <w:kern w:val="22"/>
          <w:sz w:val="22"/>
          <w:szCs w:val="22"/>
          <w:lang w:val="en-GB"/>
        </w:rPr>
        <w:t xml:space="preserve">and other relevant bodies is considered in section </w:t>
      </w:r>
      <w:r w:rsidR="00E937F4">
        <w:rPr>
          <w:kern w:val="22"/>
          <w:sz w:val="22"/>
          <w:szCs w:val="22"/>
          <w:lang w:val="en-GB"/>
        </w:rPr>
        <w:t>IV below</w:t>
      </w:r>
      <w:r w:rsidR="00B6202C" w:rsidRPr="00B47649">
        <w:rPr>
          <w:kern w:val="22"/>
          <w:sz w:val="22"/>
          <w:szCs w:val="22"/>
          <w:lang w:val="en-GB"/>
        </w:rPr>
        <w:t>.</w:t>
      </w:r>
    </w:p>
    <w:p w14:paraId="4091ED5D" w14:textId="0B6021CC" w:rsidR="000477AE" w:rsidRPr="001F14EE" w:rsidRDefault="001F14EE" w:rsidP="001F14EE">
      <w:pPr>
        <w:pStyle w:val="Heading1"/>
        <w:numPr>
          <w:ilvl w:val="0"/>
          <w:numId w:val="8"/>
        </w:numPr>
        <w:suppressLineNumbers/>
        <w:suppressAutoHyphens/>
        <w:spacing w:before="120"/>
        <w:ind w:left="1134" w:hanging="567"/>
        <w:jc w:val="left"/>
        <w:rPr>
          <w:rFonts w:ascii="Times New Roman Bold" w:hAnsi="Times New Roman Bold"/>
          <w:kern w:val="22"/>
          <w:sz w:val="22"/>
          <w:szCs w:val="22"/>
          <w:lang w:val="en-GB"/>
        </w:rPr>
      </w:pPr>
      <w:r w:rsidRPr="001F14EE">
        <w:rPr>
          <w:rFonts w:ascii="Times New Roman Bold" w:hAnsi="Times New Roman Bold"/>
          <w:kern w:val="22"/>
          <w:sz w:val="22"/>
          <w:szCs w:val="22"/>
          <w:lang w:val="en-GB"/>
        </w:rPr>
        <w:t>A</w:t>
      </w:r>
      <w:r w:rsidR="00D35A98" w:rsidRPr="001F14EE">
        <w:rPr>
          <w:rFonts w:ascii="Times New Roman Bold" w:hAnsi="Times New Roman Bold"/>
          <w:kern w:val="22"/>
          <w:sz w:val="22"/>
          <w:szCs w:val="22"/>
          <w:lang w:val="en-GB"/>
        </w:rPr>
        <w:t>rchitecture of the long-term approach and its interplay with the post-2020 g</w:t>
      </w:r>
      <w:r w:rsidR="00137F32" w:rsidRPr="001F14EE">
        <w:rPr>
          <w:rFonts w:ascii="Times New Roman Bold" w:hAnsi="Times New Roman Bold"/>
          <w:kern w:val="22"/>
          <w:sz w:val="22"/>
          <w:szCs w:val="22"/>
          <w:lang w:val="en-GB"/>
        </w:rPr>
        <w:t xml:space="preserve">lobal </w:t>
      </w:r>
      <w:r w:rsidR="00D35A98" w:rsidRPr="001F14EE">
        <w:rPr>
          <w:rFonts w:ascii="Times New Roman Bold" w:hAnsi="Times New Roman Bold"/>
          <w:kern w:val="22"/>
          <w:sz w:val="22"/>
          <w:szCs w:val="22"/>
          <w:lang w:val="en-GB"/>
        </w:rPr>
        <w:t>f</w:t>
      </w:r>
      <w:r w:rsidR="00137F32" w:rsidRPr="001F14EE">
        <w:rPr>
          <w:rFonts w:ascii="Times New Roman Bold" w:hAnsi="Times New Roman Bold"/>
          <w:kern w:val="22"/>
          <w:sz w:val="22"/>
          <w:szCs w:val="22"/>
          <w:lang w:val="en-GB"/>
        </w:rPr>
        <w:t>ramework</w:t>
      </w:r>
    </w:p>
    <w:p w14:paraId="0671D8FF" w14:textId="476251E7" w:rsidR="00342E1F" w:rsidRPr="00B47649" w:rsidRDefault="00220CE9"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The draft </w:t>
      </w:r>
      <w:r w:rsidR="0084064E" w:rsidRPr="00B47649">
        <w:rPr>
          <w:kern w:val="22"/>
          <w:sz w:val="22"/>
          <w:szCs w:val="22"/>
          <w:lang w:val="en-GB"/>
        </w:rPr>
        <w:t>l</w:t>
      </w:r>
      <w:r w:rsidRPr="00B47649">
        <w:rPr>
          <w:kern w:val="22"/>
          <w:sz w:val="22"/>
          <w:szCs w:val="22"/>
          <w:lang w:val="en-GB"/>
        </w:rPr>
        <w:t xml:space="preserve">ong-term </w:t>
      </w:r>
      <w:r w:rsidR="0084064E" w:rsidRPr="00B47649">
        <w:rPr>
          <w:kern w:val="22"/>
          <w:sz w:val="22"/>
          <w:szCs w:val="22"/>
          <w:lang w:val="en-GB"/>
        </w:rPr>
        <w:t>a</w:t>
      </w:r>
      <w:r w:rsidRPr="00B47649">
        <w:rPr>
          <w:kern w:val="22"/>
          <w:sz w:val="22"/>
          <w:szCs w:val="22"/>
          <w:lang w:val="en-GB"/>
        </w:rPr>
        <w:t xml:space="preserve">pproach to </w:t>
      </w:r>
      <w:r w:rsidR="0084064E" w:rsidRPr="00B47649">
        <w:rPr>
          <w:kern w:val="22"/>
          <w:sz w:val="22"/>
          <w:szCs w:val="22"/>
          <w:lang w:val="en-GB"/>
        </w:rPr>
        <w:t>m</w:t>
      </w:r>
      <w:r w:rsidRPr="00B47649">
        <w:rPr>
          <w:kern w:val="22"/>
          <w:sz w:val="22"/>
          <w:szCs w:val="22"/>
          <w:lang w:val="en-GB"/>
        </w:rPr>
        <w:t xml:space="preserve">ainstreaming </w:t>
      </w:r>
      <w:r w:rsidR="0084064E" w:rsidRPr="00B47649">
        <w:rPr>
          <w:kern w:val="22"/>
          <w:sz w:val="22"/>
          <w:szCs w:val="22"/>
          <w:lang w:val="en-GB"/>
        </w:rPr>
        <w:t>b</w:t>
      </w:r>
      <w:r w:rsidRPr="00B47649">
        <w:rPr>
          <w:kern w:val="22"/>
          <w:sz w:val="22"/>
          <w:szCs w:val="22"/>
          <w:lang w:val="en-GB"/>
        </w:rPr>
        <w:t xml:space="preserve">iodiversity, as presented in </w:t>
      </w:r>
      <w:r w:rsidR="003A1473" w:rsidRPr="00B47649">
        <w:rPr>
          <w:kern w:val="22"/>
          <w:sz w:val="22"/>
          <w:szCs w:val="22"/>
          <w:lang w:val="en-GB"/>
        </w:rPr>
        <w:t>a</w:t>
      </w:r>
      <w:r w:rsidRPr="00B47649">
        <w:rPr>
          <w:kern w:val="22"/>
          <w:sz w:val="22"/>
          <w:szCs w:val="22"/>
          <w:lang w:val="en-GB"/>
        </w:rPr>
        <w:t>nnex I</w:t>
      </w:r>
      <w:r w:rsidR="004132BF" w:rsidRPr="00B47649">
        <w:rPr>
          <w:kern w:val="22"/>
          <w:sz w:val="22"/>
          <w:szCs w:val="22"/>
          <w:lang w:val="en-GB"/>
        </w:rPr>
        <w:t>I</w:t>
      </w:r>
      <w:r w:rsidRPr="00B47649">
        <w:rPr>
          <w:kern w:val="22"/>
          <w:sz w:val="22"/>
          <w:szCs w:val="22"/>
          <w:lang w:val="en-GB"/>
        </w:rPr>
        <w:t xml:space="preserve">, consists of </w:t>
      </w:r>
      <w:bookmarkStart w:id="4" w:name="_Hlk34925594"/>
      <w:r w:rsidR="00C2311A" w:rsidRPr="00B47649">
        <w:rPr>
          <w:kern w:val="22"/>
          <w:sz w:val="22"/>
          <w:szCs w:val="22"/>
          <w:lang w:val="en-GB"/>
        </w:rPr>
        <w:t xml:space="preserve">16 </w:t>
      </w:r>
      <w:r w:rsidR="00EF334A" w:rsidRPr="00B47649">
        <w:rPr>
          <w:kern w:val="22"/>
          <w:sz w:val="22"/>
          <w:szCs w:val="22"/>
          <w:lang w:val="en-GB"/>
        </w:rPr>
        <w:t xml:space="preserve">headline </w:t>
      </w:r>
      <w:r w:rsidR="00C2311A" w:rsidRPr="00B47649">
        <w:rPr>
          <w:kern w:val="22"/>
          <w:sz w:val="22"/>
          <w:szCs w:val="22"/>
          <w:lang w:val="en-GB"/>
        </w:rPr>
        <w:t>actions in 5</w:t>
      </w:r>
      <w:r w:rsidRPr="00B47649">
        <w:rPr>
          <w:kern w:val="22"/>
          <w:sz w:val="22"/>
          <w:szCs w:val="22"/>
          <w:lang w:val="en-GB"/>
        </w:rPr>
        <w:t xml:space="preserve"> global </w:t>
      </w:r>
      <w:r w:rsidR="007A5425" w:rsidRPr="00B47649">
        <w:rPr>
          <w:kern w:val="22"/>
          <w:sz w:val="22"/>
          <w:szCs w:val="22"/>
          <w:lang w:val="en-GB"/>
        </w:rPr>
        <w:t xml:space="preserve">action areas, </w:t>
      </w:r>
      <w:r w:rsidRPr="00B47649">
        <w:rPr>
          <w:kern w:val="22"/>
          <w:sz w:val="22"/>
          <w:szCs w:val="22"/>
          <w:lang w:val="en-GB"/>
        </w:rPr>
        <w:t xml:space="preserve">grouped under three actor-oriented </w:t>
      </w:r>
      <w:r w:rsidR="002E1746" w:rsidRPr="00B47649">
        <w:rPr>
          <w:kern w:val="22"/>
          <w:sz w:val="22"/>
          <w:szCs w:val="22"/>
          <w:lang w:val="en-GB"/>
        </w:rPr>
        <w:t>s</w:t>
      </w:r>
      <w:r w:rsidRPr="00B47649">
        <w:rPr>
          <w:kern w:val="22"/>
          <w:sz w:val="22"/>
          <w:szCs w:val="22"/>
          <w:lang w:val="en-GB"/>
        </w:rPr>
        <w:t xml:space="preserve">trategy </w:t>
      </w:r>
      <w:r w:rsidR="002E1746" w:rsidRPr="00B47649">
        <w:rPr>
          <w:kern w:val="22"/>
          <w:sz w:val="22"/>
          <w:szCs w:val="22"/>
          <w:lang w:val="en-GB"/>
        </w:rPr>
        <w:t>a</w:t>
      </w:r>
      <w:r w:rsidRPr="00B47649">
        <w:rPr>
          <w:kern w:val="22"/>
          <w:sz w:val="22"/>
          <w:szCs w:val="22"/>
          <w:lang w:val="en-GB"/>
        </w:rPr>
        <w:t>reas</w:t>
      </w:r>
      <w:bookmarkEnd w:id="4"/>
      <w:r w:rsidR="000B3FA3" w:rsidRPr="00B47649">
        <w:rPr>
          <w:kern w:val="22"/>
          <w:sz w:val="22"/>
          <w:szCs w:val="22"/>
          <w:lang w:val="en-GB"/>
        </w:rPr>
        <w:t xml:space="preserve">. </w:t>
      </w:r>
      <w:r w:rsidR="00342E1F" w:rsidRPr="00B47649">
        <w:rPr>
          <w:kern w:val="22"/>
          <w:sz w:val="22"/>
          <w:szCs w:val="22"/>
          <w:lang w:val="en-GB"/>
        </w:rPr>
        <w:t xml:space="preserve">As indicated in the progress report of the </w:t>
      </w:r>
      <w:r w:rsidR="002E1746" w:rsidRPr="00B47649">
        <w:rPr>
          <w:kern w:val="22"/>
          <w:sz w:val="22"/>
          <w:szCs w:val="22"/>
          <w:lang w:val="en-GB"/>
        </w:rPr>
        <w:t>I</w:t>
      </w:r>
      <w:r w:rsidR="00342E1F" w:rsidRPr="00B47649">
        <w:rPr>
          <w:kern w:val="22"/>
          <w:sz w:val="22"/>
          <w:szCs w:val="22"/>
          <w:lang w:val="en-GB"/>
        </w:rPr>
        <w:t xml:space="preserve">nformal </w:t>
      </w:r>
      <w:r w:rsidR="002E1746" w:rsidRPr="00B47649">
        <w:rPr>
          <w:kern w:val="22"/>
          <w:sz w:val="22"/>
          <w:szCs w:val="22"/>
          <w:lang w:val="en-GB"/>
        </w:rPr>
        <w:t>A</w:t>
      </w:r>
      <w:r w:rsidR="00342E1F" w:rsidRPr="00B47649">
        <w:rPr>
          <w:kern w:val="22"/>
          <w:sz w:val="22"/>
          <w:szCs w:val="22"/>
          <w:lang w:val="en-GB"/>
        </w:rPr>
        <w:t xml:space="preserve">dvisory </w:t>
      </w:r>
      <w:r w:rsidR="002E1746" w:rsidRPr="00B47649">
        <w:rPr>
          <w:kern w:val="22"/>
          <w:sz w:val="22"/>
          <w:szCs w:val="22"/>
          <w:lang w:val="en-GB"/>
        </w:rPr>
        <w:t>G</w:t>
      </w:r>
      <w:r w:rsidR="00342E1F" w:rsidRPr="00B47649">
        <w:rPr>
          <w:kern w:val="22"/>
          <w:sz w:val="22"/>
          <w:szCs w:val="22"/>
          <w:lang w:val="en-GB"/>
        </w:rPr>
        <w:t>roup to the Open-ended Working Grou</w:t>
      </w:r>
      <w:r w:rsidR="007A7B6A" w:rsidRPr="00B47649">
        <w:rPr>
          <w:kern w:val="22"/>
          <w:sz w:val="22"/>
          <w:szCs w:val="22"/>
          <w:lang w:val="en-GB"/>
        </w:rPr>
        <w:t>p</w:t>
      </w:r>
      <w:r w:rsidR="00342E1F" w:rsidRPr="00B47649">
        <w:rPr>
          <w:kern w:val="22"/>
          <w:sz w:val="22"/>
          <w:szCs w:val="22"/>
          <w:lang w:val="en-GB"/>
        </w:rPr>
        <w:t xml:space="preserve"> at its second meeting, four of the </w:t>
      </w:r>
      <w:r w:rsidR="000B3FA3" w:rsidRPr="00B47649">
        <w:rPr>
          <w:kern w:val="22"/>
          <w:sz w:val="22"/>
          <w:szCs w:val="22"/>
          <w:lang w:val="en-GB"/>
        </w:rPr>
        <w:t>action areas</w:t>
      </w:r>
      <w:r w:rsidR="00342E1F" w:rsidRPr="00B47649">
        <w:rPr>
          <w:kern w:val="22"/>
          <w:sz w:val="22"/>
          <w:szCs w:val="22"/>
          <w:lang w:val="en-GB"/>
        </w:rPr>
        <w:t xml:space="preserve"> under the </w:t>
      </w:r>
      <w:r w:rsidR="00D42EBA" w:rsidRPr="00B47649">
        <w:rPr>
          <w:kern w:val="22"/>
          <w:sz w:val="22"/>
          <w:szCs w:val="22"/>
          <w:lang w:val="en-GB"/>
        </w:rPr>
        <w:t xml:space="preserve">draft </w:t>
      </w:r>
      <w:r w:rsidR="001C3123" w:rsidRPr="00B47649">
        <w:rPr>
          <w:kern w:val="22"/>
          <w:sz w:val="22"/>
          <w:szCs w:val="22"/>
          <w:lang w:val="en-GB"/>
        </w:rPr>
        <w:t xml:space="preserve">long-term approach </w:t>
      </w:r>
      <w:r w:rsidR="00D42EBA" w:rsidRPr="00B47649">
        <w:rPr>
          <w:kern w:val="22"/>
          <w:sz w:val="22"/>
          <w:szCs w:val="22"/>
          <w:lang w:val="en-GB"/>
        </w:rPr>
        <w:t xml:space="preserve">already informed the </w:t>
      </w:r>
      <w:r w:rsidR="00C2311A" w:rsidRPr="00B47649">
        <w:rPr>
          <w:kern w:val="22"/>
          <w:sz w:val="22"/>
          <w:szCs w:val="22"/>
          <w:lang w:val="en-GB"/>
        </w:rPr>
        <w:t>current</w:t>
      </w:r>
      <w:r w:rsidR="007A7B6A" w:rsidRPr="00B47649">
        <w:rPr>
          <w:kern w:val="22"/>
          <w:sz w:val="22"/>
          <w:szCs w:val="22"/>
          <w:lang w:val="en-GB"/>
        </w:rPr>
        <w:t xml:space="preserve"> draft post-2020 global biodiversity framework </w:t>
      </w:r>
      <w:r w:rsidR="00D42EBA" w:rsidRPr="00B47649">
        <w:rPr>
          <w:kern w:val="22"/>
          <w:sz w:val="22"/>
          <w:szCs w:val="22"/>
          <w:lang w:val="en-GB"/>
        </w:rPr>
        <w:t xml:space="preserve">and were reflected in </w:t>
      </w:r>
      <w:r w:rsidR="00342E1F" w:rsidRPr="00B47649">
        <w:rPr>
          <w:kern w:val="22"/>
          <w:sz w:val="22"/>
          <w:szCs w:val="22"/>
          <w:lang w:val="en-GB"/>
        </w:rPr>
        <w:t xml:space="preserve">similar action targets under </w:t>
      </w:r>
      <w:r w:rsidR="007A7B6A" w:rsidRPr="00B47649">
        <w:rPr>
          <w:kern w:val="22"/>
          <w:sz w:val="22"/>
          <w:szCs w:val="22"/>
          <w:lang w:val="en-GB"/>
        </w:rPr>
        <w:t>its</w:t>
      </w:r>
      <w:r w:rsidR="00342E1F" w:rsidRPr="00B47649">
        <w:rPr>
          <w:kern w:val="22"/>
          <w:sz w:val="22"/>
          <w:szCs w:val="22"/>
          <w:lang w:val="en-GB"/>
        </w:rPr>
        <w:t xml:space="preserve"> “</w:t>
      </w:r>
      <w:r w:rsidR="005762CD" w:rsidRPr="00B47649">
        <w:rPr>
          <w:kern w:val="22"/>
          <w:sz w:val="22"/>
          <w:szCs w:val="22"/>
          <w:lang w:val="en-GB"/>
        </w:rPr>
        <w:t>t</w:t>
      </w:r>
      <w:r w:rsidR="00342E1F" w:rsidRPr="00B47649">
        <w:rPr>
          <w:kern w:val="22"/>
          <w:sz w:val="22"/>
          <w:szCs w:val="22"/>
          <w:lang w:val="en-GB"/>
        </w:rPr>
        <w:t>oo</w:t>
      </w:r>
      <w:r w:rsidR="007A7B6A" w:rsidRPr="00B47649">
        <w:rPr>
          <w:kern w:val="22"/>
          <w:sz w:val="22"/>
          <w:szCs w:val="22"/>
          <w:lang w:val="en-GB"/>
        </w:rPr>
        <w:t>l</w:t>
      </w:r>
      <w:r w:rsidR="00342E1F" w:rsidRPr="00B47649">
        <w:rPr>
          <w:kern w:val="22"/>
          <w:sz w:val="22"/>
          <w:szCs w:val="22"/>
          <w:lang w:val="en-GB"/>
        </w:rPr>
        <w:t>s and solutions” section (namely, targets 1</w:t>
      </w:r>
      <w:r w:rsidR="00C2311A" w:rsidRPr="00B47649">
        <w:rPr>
          <w:kern w:val="22"/>
          <w:sz w:val="22"/>
          <w:szCs w:val="22"/>
          <w:lang w:val="en-GB"/>
        </w:rPr>
        <w:t>3</w:t>
      </w:r>
      <w:r w:rsidR="00342E1F" w:rsidRPr="00B47649">
        <w:rPr>
          <w:kern w:val="22"/>
          <w:sz w:val="22"/>
          <w:szCs w:val="22"/>
          <w:lang w:val="en-GB"/>
        </w:rPr>
        <w:t>, 1</w:t>
      </w:r>
      <w:r w:rsidR="00C2311A" w:rsidRPr="00B47649">
        <w:rPr>
          <w:kern w:val="22"/>
          <w:sz w:val="22"/>
          <w:szCs w:val="22"/>
          <w:lang w:val="en-GB"/>
        </w:rPr>
        <w:t>4</w:t>
      </w:r>
      <w:r w:rsidR="00342E1F" w:rsidRPr="00B47649">
        <w:rPr>
          <w:kern w:val="22"/>
          <w:sz w:val="22"/>
          <w:szCs w:val="22"/>
          <w:lang w:val="en-GB"/>
        </w:rPr>
        <w:t>, 1</w:t>
      </w:r>
      <w:r w:rsidR="00C2311A" w:rsidRPr="00B47649">
        <w:rPr>
          <w:kern w:val="22"/>
          <w:sz w:val="22"/>
          <w:szCs w:val="22"/>
          <w:lang w:val="en-GB"/>
        </w:rPr>
        <w:t>5</w:t>
      </w:r>
      <w:r w:rsidR="00342E1F" w:rsidRPr="00B47649">
        <w:rPr>
          <w:kern w:val="22"/>
          <w:sz w:val="22"/>
          <w:szCs w:val="22"/>
          <w:lang w:val="en-GB"/>
        </w:rPr>
        <w:t>, and 17</w:t>
      </w:r>
      <w:r w:rsidR="00C2311A" w:rsidRPr="00B47649">
        <w:rPr>
          <w:rStyle w:val="FootnoteReference"/>
          <w:kern w:val="22"/>
          <w:szCs w:val="22"/>
          <w:lang w:val="en-GB"/>
        </w:rPr>
        <w:footnoteReference w:id="6"/>
      </w:r>
      <w:r w:rsidR="00342E1F" w:rsidRPr="00B47649">
        <w:rPr>
          <w:kern w:val="22"/>
          <w:sz w:val="22"/>
          <w:szCs w:val="22"/>
          <w:lang w:val="en-GB"/>
        </w:rPr>
        <w:t>). Maintaining and further strengtheni</w:t>
      </w:r>
      <w:r w:rsidR="007A7B6A" w:rsidRPr="00B47649">
        <w:rPr>
          <w:kern w:val="22"/>
          <w:sz w:val="22"/>
          <w:szCs w:val="22"/>
          <w:lang w:val="en-GB"/>
        </w:rPr>
        <w:t>n</w:t>
      </w:r>
      <w:r w:rsidR="00342E1F" w:rsidRPr="00B47649">
        <w:rPr>
          <w:kern w:val="22"/>
          <w:sz w:val="22"/>
          <w:szCs w:val="22"/>
          <w:lang w:val="en-GB"/>
        </w:rPr>
        <w:t>g this alignment as both the post</w:t>
      </w:r>
      <w:r w:rsidR="005762CD" w:rsidRPr="00B47649">
        <w:rPr>
          <w:kern w:val="22"/>
          <w:sz w:val="22"/>
          <w:szCs w:val="22"/>
          <w:lang w:val="en-GB"/>
        </w:rPr>
        <w:noBreakHyphen/>
      </w:r>
      <w:r w:rsidR="00342E1F" w:rsidRPr="00B47649">
        <w:rPr>
          <w:kern w:val="22"/>
          <w:sz w:val="22"/>
          <w:szCs w:val="22"/>
          <w:lang w:val="en-GB"/>
        </w:rPr>
        <w:t xml:space="preserve">2020 </w:t>
      </w:r>
      <w:r w:rsidR="005762CD" w:rsidRPr="00B47649">
        <w:rPr>
          <w:kern w:val="22"/>
          <w:sz w:val="22"/>
          <w:szCs w:val="22"/>
          <w:lang w:val="en-GB"/>
        </w:rPr>
        <w:t xml:space="preserve">global biodiversity framework </w:t>
      </w:r>
      <w:r w:rsidR="00342E1F" w:rsidRPr="00B47649">
        <w:rPr>
          <w:kern w:val="22"/>
          <w:sz w:val="22"/>
          <w:szCs w:val="22"/>
          <w:lang w:val="en-GB"/>
        </w:rPr>
        <w:t xml:space="preserve">and the </w:t>
      </w:r>
      <w:r w:rsidR="001C3123" w:rsidRPr="00B47649">
        <w:rPr>
          <w:kern w:val="22"/>
          <w:sz w:val="22"/>
          <w:szCs w:val="22"/>
          <w:lang w:val="en-GB"/>
        </w:rPr>
        <w:t xml:space="preserve">draft long-term approach </w:t>
      </w:r>
      <w:r w:rsidR="00342E1F" w:rsidRPr="00B47649">
        <w:rPr>
          <w:kern w:val="22"/>
          <w:sz w:val="22"/>
          <w:szCs w:val="22"/>
          <w:lang w:val="en-GB"/>
        </w:rPr>
        <w:t xml:space="preserve">are further developed and finalized would be useful, </w:t>
      </w:r>
      <w:r w:rsidR="00E01187" w:rsidRPr="00B47649">
        <w:rPr>
          <w:kern w:val="22"/>
          <w:sz w:val="22"/>
          <w:szCs w:val="22"/>
          <w:lang w:val="en-GB"/>
        </w:rPr>
        <w:t xml:space="preserve">as the </w:t>
      </w:r>
      <w:r w:rsidR="001C3123" w:rsidRPr="00B47649">
        <w:rPr>
          <w:kern w:val="22"/>
          <w:sz w:val="22"/>
          <w:szCs w:val="22"/>
          <w:lang w:val="en-GB"/>
        </w:rPr>
        <w:t xml:space="preserve">draft long-term approach </w:t>
      </w:r>
      <w:r w:rsidR="007A7B6A" w:rsidRPr="00B47649">
        <w:rPr>
          <w:kern w:val="22"/>
          <w:sz w:val="22"/>
          <w:szCs w:val="22"/>
          <w:lang w:val="en-GB"/>
        </w:rPr>
        <w:t xml:space="preserve">provides further guidance on the </w:t>
      </w:r>
      <w:r w:rsidR="00342E1F" w:rsidRPr="00B47649">
        <w:rPr>
          <w:kern w:val="22"/>
          <w:sz w:val="22"/>
          <w:szCs w:val="22"/>
          <w:lang w:val="en-GB"/>
        </w:rPr>
        <w:t>implementation of the mainstreaming elements of the post</w:t>
      </w:r>
      <w:r w:rsidR="00F74E53" w:rsidRPr="00B47649">
        <w:rPr>
          <w:kern w:val="22"/>
          <w:sz w:val="22"/>
          <w:szCs w:val="22"/>
          <w:lang w:val="en-GB"/>
        </w:rPr>
        <w:noBreakHyphen/>
      </w:r>
      <w:r w:rsidR="00342E1F" w:rsidRPr="00B47649">
        <w:rPr>
          <w:kern w:val="22"/>
          <w:sz w:val="22"/>
          <w:szCs w:val="22"/>
          <w:lang w:val="en-GB"/>
        </w:rPr>
        <w:t xml:space="preserve">2020 </w:t>
      </w:r>
      <w:r w:rsidR="00F74E53" w:rsidRPr="00B47649">
        <w:rPr>
          <w:kern w:val="22"/>
          <w:sz w:val="22"/>
          <w:szCs w:val="22"/>
          <w:lang w:val="en-GB"/>
        </w:rPr>
        <w:t>global biodiversity framework</w:t>
      </w:r>
      <w:r w:rsidR="00E01187" w:rsidRPr="00B47649">
        <w:rPr>
          <w:kern w:val="22"/>
          <w:sz w:val="22"/>
          <w:szCs w:val="22"/>
          <w:lang w:val="en-GB"/>
        </w:rPr>
        <w:t>.</w:t>
      </w:r>
    </w:p>
    <w:p w14:paraId="1EE3E272" w14:textId="21ECE4E9" w:rsidR="001D39FA" w:rsidRPr="00B47649" w:rsidRDefault="00592102"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Under </w:t>
      </w:r>
      <w:r w:rsidR="00F37975" w:rsidRPr="00B47649">
        <w:rPr>
          <w:kern w:val="22"/>
          <w:sz w:val="22"/>
          <w:szCs w:val="22"/>
          <w:lang w:val="en-GB"/>
        </w:rPr>
        <w:t>the first a</w:t>
      </w:r>
      <w:r w:rsidRPr="00B47649">
        <w:rPr>
          <w:kern w:val="22"/>
          <w:sz w:val="22"/>
          <w:szCs w:val="22"/>
          <w:lang w:val="en-GB"/>
        </w:rPr>
        <w:t>rea</w:t>
      </w:r>
      <w:r w:rsidR="00F37975" w:rsidRPr="00B47649">
        <w:rPr>
          <w:kern w:val="22"/>
          <w:sz w:val="22"/>
          <w:szCs w:val="22"/>
          <w:lang w:val="en-GB"/>
        </w:rPr>
        <w:t xml:space="preserve">, the </w:t>
      </w:r>
      <w:r w:rsidR="001D39FA" w:rsidRPr="00B47649">
        <w:rPr>
          <w:kern w:val="22"/>
          <w:sz w:val="22"/>
          <w:szCs w:val="22"/>
          <w:lang w:val="en-GB"/>
        </w:rPr>
        <w:t xml:space="preserve">alignment of policies and </w:t>
      </w:r>
      <w:r w:rsidR="00F37975" w:rsidRPr="00B47649">
        <w:rPr>
          <w:kern w:val="22"/>
          <w:sz w:val="22"/>
          <w:szCs w:val="22"/>
          <w:lang w:val="en-GB"/>
        </w:rPr>
        <w:t xml:space="preserve">coordination of work between </w:t>
      </w:r>
      <w:r w:rsidRPr="00B47649">
        <w:rPr>
          <w:kern w:val="22"/>
          <w:sz w:val="22"/>
          <w:szCs w:val="22"/>
          <w:lang w:val="en-GB"/>
        </w:rPr>
        <w:t>m</w:t>
      </w:r>
      <w:r w:rsidR="00F37975" w:rsidRPr="00B47649">
        <w:rPr>
          <w:kern w:val="22"/>
          <w:sz w:val="22"/>
          <w:szCs w:val="22"/>
          <w:lang w:val="en-GB"/>
        </w:rPr>
        <w:t xml:space="preserve">inistries of </w:t>
      </w:r>
      <w:r w:rsidRPr="00B47649">
        <w:rPr>
          <w:kern w:val="22"/>
          <w:sz w:val="22"/>
          <w:szCs w:val="22"/>
          <w:lang w:val="en-GB"/>
        </w:rPr>
        <w:t>e</w:t>
      </w:r>
      <w:r w:rsidR="00F37975" w:rsidRPr="00B47649">
        <w:rPr>
          <w:kern w:val="22"/>
          <w:sz w:val="22"/>
          <w:szCs w:val="22"/>
          <w:lang w:val="en-GB"/>
        </w:rPr>
        <w:t>nvironment and economic areas and planning</w:t>
      </w:r>
      <w:r w:rsidR="002C6CC9" w:rsidRPr="00B47649">
        <w:rPr>
          <w:kern w:val="22"/>
          <w:sz w:val="22"/>
          <w:szCs w:val="22"/>
          <w:lang w:val="en-GB"/>
        </w:rPr>
        <w:t>, and vertically between national, subnational and local levels of government</w:t>
      </w:r>
      <w:r w:rsidR="007A7B6A" w:rsidRPr="00B47649">
        <w:rPr>
          <w:kern w:val="22"/>
          <w:sz w:val="22"/>
          <w:szCs w:val="22"/>
          <w:lang w:val="en-GB"/>
        </w:rPr>
        <w:t>,</w:t>
      </w:r>
      <w:r w:rsidR="00F37975" w:rsidRPr="00B47649">
        <w:rPr>
          <w:kern w:val="22"/>
          <w:sz w:val="22"/>
          <w:szCs w:val="22"/>
          <w:lang w:val="en-GB"/>
        </w:rPr>
        <w:t xml:space="preserve"> </w:t>
      </w:r>
      <w:r w:rsidR="003037AE" w:rsidRPr="00B47649">
        <w:rPr>
          <w:kern w:val="22"/>
          <w:sz w:val="22"/>
          <w:szCs w:val="22"/>
          <w:lang w:val="en-GB"/>
        </w:rPr>
        <w:t xml:space="preserve">was deemed </w:t>
      </w:r>
      <w:r w:rsidR="00F37975" w:rsidRPr="00B47649">
        <w:rPr>
          <w:kern w:val="22"/>
          <w:sz w:val="22"/>
          <w:szCs w:val="22"/>
          <w:lang w:val="en-GB"/>
        </w:rPr>
        <w:t xml:space="preserve">critical </w:t>
      </w:r>
      <w:r w:rsidR="0044549A" w:rsidRPr="00B47649">
        <w:rPr>
          <w:kern w:val="22"/>
          <w:sz w:val="22"/>
          <w:szCs w:val="22"/>
          <w:lang w:val="en-GB"/>
        </w:rPr>
        <w:t>for</w:t>
      </w:r>
      <w:r w:rsidR="00F37975" w:rsidRPr="00B47649">
        <w:rPr>
          <w:kern w:val="22"/>
          <w:sz w:val="22"/>
          <w:szCs w:val="22"/>
          <w:lang w:val="en-GB"/>
        </w:rPr>
        <w:t xml:space="preserve"> mainstreaming </w:t>
      </w:r>
      <w:r w:rsidR="0044549A" w:rsidRPr="00B47649">
        <w:rPr>
          <w:kern w:val="22"/>
          <w:sz w:val="22"/>
          <w:szCs w:val="22"/>
          <w:lang w:val="en-GB"/>
        </w:rPr>
        <w:t xml:space="preserve">biodiversity and </w:t>
      </w:r>
      <w:r w:rsidR="004C5051" w:rsidRPr="00B47649">
        <w:rPr>
          <w:kern w:val="22"/>
          <w:sz w:val="22"/>
          <w:szCs w:val="22"/>
          <w:lang w:val="en-GB"/>
        </w:rPr>
        <w:t xml:space="preserve">thus to </w:t>
      </w:r>
      <w:r w:rsidR="0044549A" w:rsidRPr="00B47649">
        <w:rPr>
          <w:kern w:val="22"/>
          <w:sz w:val="22"/>
          <w:szCs w:val="22"/>
          <w:lang w:val="en-GB"/>
        </w:rPr>
        <w:t xml:space="preserve">merit dedicated </w:t>
      </w:r>
      <w:r w:rsidR="007A7B6A" w:rsidRPr="00B47649">
        <w:rPr>
          <w:kern w:val="22"/>
          <w:sz w:val="22"/>
          <w:szCs w:val="22"/>
          <w:lang w:val="en-GB"/>
        </w:rPr>
        <w:t>actions</w:t>
      </w:r>
      <w:r w:rsidR="00F37975" w:rsidRPr="00B47649">
        <w:rPr>
          <w:kern w:val="22"/>
          <w:sz w:val="22"/>
          <w:szCs w:val="22"/>
          <w:lang w:val="en-GB"/>
        </w:rPr>
        <w:t xml:space="preserve"> </w:t>
      </w:r>
      <w:r w:rsidR="00560C79" w:rsidRPr="00B47649">
        <w:rPr>
          <w:kern w:val="22"/>
          <w:sz w:val="22"/>
          <w:szCs w:val="22"/>
          <w:lang w:val="en-GB"/>
        </w:rPr>
        <w:t>on integration across poli</w:t>
      </w:r>
      <w:r w:rsidR="003B1A6D">
        <w:rPr>
          <w:kern w:val="22"/>
          <w:sz w:val="22"/>
          <w:szCs w:val="22"/>
          <w:lang w:val="en-GB"/>
        </w:rPr>
        <w:t>ci</w:t>
      </w:r>
      <w:r w:rsidR="00560C79" w:rsidRPr="00B47649">
        <w:rPr>
          <w:kern w:val="22"/>
          <w:sz w:val="22"/>
          <w:szCs w:val="22"/>
          <w:lang w:val="en-GB"/>
        </w:rPr>
        <w:t>es and pl</w:t>
      </w:r>
      <w:r w:rsidR="009A538C" w:rsidRPr="00B47649">
        <w:rPr>
          <w:kern w:val="22"/>
          <w:sz w:val="22"/>
          <w:szCs w:val="22"/>
          <w:lang w:val="en-GB"/>
        </w:rPr>
        <w:t xml:space="preserve">anning processes, and </w:t>
      </w:r>
      <w:r w:rsidR="00F37975" w:rsidRPr="00B47649">
        <w:rPr>
          <w:kern w:val="22"/>
          <w:sz w:val="22"/>
          <w:szCs w:val="22"/>
          <w:lang w:val="en-GB"/>
        </w:rPr>
        <w:t>on fiscal, budgetary and financial mainstreaming</w:t>
      </w:r>
      <w:r w:rsidR="009A538C" w:rsidRPr="00B47649">
        <w:rPr>
          <w:kern w:val="22"/>
          <w:sz w:val="22"/>
          <w:szCs w:val="22"/>
          <w:lang w:val="en-GB"/>
        </w:rPr>
        <w:t>, including incentive alignment</w:t>
      </w:r>
      <w:r w:rsidR="001D39FA" w:rsidRPr="00B47649">
        <w:rPr>
          <w:kern w:val="22"/>
          <w:sz w:val="22"/>
          <w:szCs w:val="22"/>
          <w:lang w:val="en-GB"/>
        </w:rPr>
        <w:t xml:space="preserve"> to reward net positive impacts on biodiversity. Similarly, under the second area, embedding the value of nature into </w:t>
      </w:r>
      <w:r w:rsidR="003B1A6D">
        <w:rPr>
          <w:kern w:val="22"/>
          <w:sz w:val="22"/>
          <w:szCs w:val="22"/>
          <w:lang w:val="en-GB"/>
        </w:rPr>
        <w:t xml:space="preserve">the </w:t>
      </w:r>
      <w:r w:rsidR="001D39FA" w:rsidRPr="00B47649">
        <w:rPr>
          <w:kern w:val="22"/>
          <w:sz w:val="22"/>
          <w:szCs w:val="22"/>
          <w:lang w:val="en-GB"/>
        </w:rPr>
        <w:t>decision-making of business</w:t>
      </w:r>
      <w:r w:rsidR="007A7B6A" w:rsidRPr="00B47649">
        <w:rPr>
          <w:kern w:val="22"/>
          <w:sz w:val="22"/>
          <w:szCs w:val="22"/>
          <w:lang w:val="en-GB"/>
        </w:rPr>
        <w:t>es</w:t>
      </w:r>
      <w:r w:rsidR="001D39FA" w:rsidRPr="00B47649">
        <w:rPr>
          <w:kern w:val="22"/>
          <w:sz w:val="22"/>
          <w:szCs w:val="22"/>
          <w:lang w:val="en-GB"/>
        </w:rPr>
        <w:t xml:space="preserve"> was of crucial importance, as this </w:t>
      </w:r>
      <w:r w:rsidR="00D8154B">
        <w:rPr>
          <w:kern w:val="22"/>
          <w:sz w:val="22"/>
          <w:szCs w:val="22"/>
          <w:lang w:val="en-GB"/>
        </w:rPr>
        <w:t>would</w:t>
      </w:r>
      <w:r w:rsidR="00D8154B" w:rsidRPr="00B47649">
        <w:rPr>
          <w:kern w:val="22"/>
          <w:sz w:val="22"/>
          <w:szCs w:val="22"/>
          <w:lang w:val="en-GB"/>
        </w:rPr>
        <w:t xml:space="preserve"> </w:t>
      </w:r>
      <w:r w:rsidR="001D39FA" w:rsidRPr="00B47649">
        <w:rPr>
          <w:kern w:val="22"/>
          <w:sz w:val="22"/>
          <w:szCs w:val="22"/>
          <w:lang w:val="en-GB"/>
        </w:rPr>
        <w:t xml:space="preserve">enable </w:t>
      </w:r>
      <w:r w:rsidR="007A7B6A" w:rsidRPr="00B47649">
        <w:rPr>
          <w:kern w:val="22"/>
          <w:sz w:val="22"/>
          <w:szCs w:val="22"/>
          <w:lang w:val="en-GB"/>
        </w:rPr>
        <w:t xml:space="preserve">producers and </w:t>
      </w:r>
      <w:r w:rsidR="001D39FA" w:rsidRPr="00B47649">
        <w:rPr>
          <w:kern w:val="22"/>
          <w:sz w:val="22"/>
          <w:szCs w:val="22"/>
          <w:lang w:val="en-GB"/>
        </w:rPr>
        <w:t xml:space="preserve">consumers to implement solutions and buy products and services that are less detrimental to nature or even have a positive effect. Also, the finance sector (mixed public-private agencies as well as funds and equity managers, commercial banks and insurance companies) was deemed to merit a separate, dedicated </w:t>
      </w:r>
      <w:r w:rsidR="007A7B6A" w:rsidRPr="00B47649">
        <w:rPr>
          <w:kern w:val="22"/>
          <w:sz w:val="22"/>
          <w:szCs w:val="22"/>
          <w:lang w:val="en-GB"/>
        </w:rPr>
        <w:t>action</w:t>
      </w:r>
      <w:r w:rsidR="001D39FA" w:rsidRPr="00B47649">
        <w:rPr>
          <w:kern w:val="22"/>
          <w:sz w:val="22"/>
          <w:szCs w:val="22"/>
          <w:lang w:val="en-GB"/>
        </w:rPr>
        <w:t xml:space="preserve"> as this sector plays a critical “multiplier” role in achieving biodiversity mainstreaming across all sectors.</w:t>
      </w:r>
    </w:p>
    <w:p w14:paraId="4B5616D3" w14:textId="5946CDD1" w:rsidR="00C2311A" w:rsidRPr="00B47649" w:rsidRDefault="00C2311A"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lastRenderedPageBreak/>
        <w:t xml:space="preserve">The </w:t>
      </w:r>
      <w:r w:rsidR="00CD064D" w:rsidRPr="00B47649">
        <w:rPr>
          <w:kern w:val="22"/>
          <w:sz w:val="22"/>
          <w:szCs w:val="22"/>
          <w:lang w:val="en-GB"/>
        </w:rPr>
        <w:t>long-term approach to mainstreaming biodiversity</w:t>
      </w:r>
      <w:r w:rsidR="00CD064D" w:rsidRPr="00B47649" w:rsidDel="00CD064D">
        <w:rPr>
          <w:kern w:val="22"/>
          <w:sz w:val="22"/>
          <w:szCs w:val="22"/>
          <w:lang w:val="en-GB"/>
        </w:rPr>
        <w:t xml:space="preserve"> </w:t>
      </w:r>
      <w:r w:rsidRPr="00B47649">
        <w:rPr>
          <w:kern w:val="22"/>
          <w:sz w:val="22"/>
          <w:szCs w:val="22"/>
          <w:lang w:val="en-GB"/>
        </w:rPr>
        <w:t xml:space="preserve">is complemented by an Action Plan, provided in document CBD/SBI/3/13/Add.1, which follows the same structure and provides, under each </w:t>
      </w:r>
      <w:r w:rsidR="00EF334A" w:rsidRPr="00B47649">
        <w:rPr>
          <w:kern w:val="22"/>
          <w:sz w:val="22"/>
          <w:szCs w:val="22"/>
          <w:lang w:val="en-GB"/>
        </w:rPr>
        <w:t xml:space="preserve">headline </w:t>
      </w:r>
      <w:r w:rsidR="007A7B6A" w:rsidRPr="00B47649">
        <w:rPr>
          <w:kern w:val="22"/>
          <w:sz w:val="22"/>
          <w:szCs w:val="22"/>
          <w:lang w:val="en-GB"/>
        </w:rPr>
        <w:t>action</w:t>
      </w:r>
      <w:r w:rsidRPr="00B47649">
        <w:rPr>
          <w:kern w:val="22"/>
          <w:sz w:val="22"/>
          <w:szCs w:val="22"/>
          <w:lang w:val="en-GB"/>
        </w:rPr>
        <w:t xml:space="preserve">, an indicative catalogue of </w:t>
      </w:r>
      <w:r w:rsidR="007A7B6A" w:rsidRPr="00B47649">
        <w:rPr>
          <w:kern w:val="22"/>
          <w:sz w:val="22"/>
          <w:szCs w:val="22"/>
          <w:lang w:val="en-GB"/>
        </w:rPr>
        <w:t xml:space="preserve">detailed </w:t>
      </w:r>
      <w:r w:rsidRPr="00B47649">
        <w:rPr>
          <w:kern w:val="22"/>
          <w:sz w:val="22"/>
          <w:szCs w:val="22"/>
          <w:lang w:val="en-GB"/>
        </w:rPr>
        <w:t xml:space="preserve">actions, including possible milestones and indicators, relevant actors, and sources of additional information and guidance. </w:t>
      </w:r>
      <w:r w:rsidR="00EF334A" w:rsidRPr="00B47649">
        <w:rPr>
          <w:kern w:val="22"/>
          <w:sz w:val="22"/>
          <w:szCs w:val="22"/>
          <w:lang w:val="en-GB"/>
        </w:rPr>
        <w:t>Information document CBD/SBI/3/INF/</w:t>
      </w:r>
      <w:r w:rsidR="00504CD2" w:rsidRPr="00B47649">
        <w:rPr>
          <w:kern w:val="22"/>
          <w:sz w:val="22"/>
          <w:szCs w:val="22"/>
          <w:lang w:val="en-GB"/>
        </w:rPr>
        <w:t>1</w:t>
      </w:r>
      <w:r w:rsidR="0093576C" w:rsidRPr="00B47649">
        <w:rPr>
          <w:kern w:val="22"/>
          <w:sz w:val="22"/>
          <w:szCs w:val="22"/>
          <w:lang w:val="en-GB"/>
        </w:rPr>
        <w:t>1</w:t>
      </w:r>
      <w:r w:rsidR="00504CD2" w:rsidRPr="00B47649">
        <w:rPr>
          <w:kern w:val="22"/>
          <w:sz w:val="22"/>
          <w:szCs w:val="22"/>
          <w:lang w:val="en-GB"/>
        </w:rPr>
        <w:t xml:space="preserve"> </w:t>
      </w:r>
      <w:r w:rsidR="00EF334A" w:rsidRPr="00B47649">
        <w:rPr>
          <w:kern w:val="22"/>
          <w:sz w:val="22"/>
          <w:szCs w:val="22"/>
          <w:lang w:val="en-GB"/>
        </w:rPr>
        <w:t xml:space="preserve">offers a collection of references and key publications to support the development of action plans, provided by the </w:t>
      </w:r>
      <w:r w:rsidR="0059336B" w:rsidRPr="00B47649">
        <w:rPr>
          <w:kern w:val="22"/>
          <w:sz w:val="22"/>
          <w:szCs w:val="22"/>
          <w:lang w:val="en-GB"/>
        </w:rPr>
        <w:t xml:space="preserve">Informal Advisory Group </w:t>
      </w:r>
      <w:r w:rsidR="00EF334A" w:rsidRPr="00B47649">
        <w:rPr>
          <w:kern w:val="22"/>
          <w:sz w:val="22"/>
          <w:szCs w:val="22"/>
          <w:lang w:val="en-GB"/>
        </w:rPr>
        <w:t>and the extended network.</w:t>
      </w:r>
    </w:p>
    <w:p w14:paraId="3B5711EA" w14:textId="42054C06" w:rsidR="00B53FFB" w:rsidRPr="00B47649" w:rsidRDefault="00B53FFB" w:rsidP="00B47649">
      <w:pPr>
        <w:pStyle w:val="Para10"/>
        <w:suppressLineNumbers/>
        <w:tabs>
          <w:tab w:val="clear" w:pos="360"/>
          <w:tab w:val="num" w:pos="0"/>
        </w:tabs>
        <w:suppressAutoHyphens/>
        <w:jc w:val="both"/>
        <w:rPr>
          <w:kern w:val="22"/>
          <w:sz w:val="22"/>
          <w:szCs w:val="22"/>
          <w:lang w:val="en-GB"/>
        </w:rPr>
      </w:pPr>
      <w:r w:rsidRPr="00B47649">
        <w:rPr>
          <w:kern w:val="22"/>
          <w:sz w:val="22"/>
          <w:szCs w:val="22"/>
          <w:lang w:val="en-GB"/>
        </w:rPr>
        <w:t xml:space="preserve">There are interlinkages among the proposed </w:t>
      </w:r>
      <w:r w:rsidR="007A5425" w:rsidRPr="00B47649">
        <w:rPr>
          <w:kern w:val="22"/>
          <w:sz w:val="22"/>
          <w:szCs w:val="22"/>
          <w:lang w:val="en-GB"/>
        </w:rPr>
        <w:t>areas</w:t>
      </w:r>
      <w:r w:rsidRPr="00B47649">
        <w:rPr>
          <w:kern w:val="22"/>
          <w:sz w:val="22"/>
          <w:szCs w:val="22"/>
          <w:lang w:val="en-GB"/>
        </w:rPr>
        <w:t xml:space="preserve">. For instance, achieving sustainable consumption and lifestyles is, ultimately, based on the choices of individuals as consumers, and is thus addressed under </w:t>
      </w:r>
      <w:r w:rsidR="00216A73" w:rsidRPr="00B47649">
        <w:rPr>
          <w:kern w:val="22"/>
          <w:sz w:val="22"/>
          <w:szCs w:val="22"/>
          <w:lang w:val="en-GB"/>
        </w:rPr>
        <w:t>s</w:t>
      </w:r>
      <w:r w:rsidRPr="00B47649">
        <w:rPr>
          <w:kern w:val="22"/>
          <w:sz w:val="22"/>
          <w:szCs w:val="22"/>
          <w:lang w:val="en-GB"/>
        </w:rPr>
        <w:t xml:space="preserve">trategy </w:t>
      </w:r>
      <w:r w:rsidR="00216A73" w:rsidRPr="00B47649">
        <w:rPr>
          <w:kern w:val="22"/>
          <w:sz w:val="22"/>
          <w:szCs w:val="22"/>
          <w:lang w:val="en-GB"/>
        </w:rPr>
        <w:t>a</w:t>
      </w:r>
      <w:r w:rsidRPr="00B47649">
        <w:rPr>
          <w:kern w:val="22"/>
          <w:sz w:val="22"/>
          <w:szCs w:val="22"/>
          <w:lang w:val="en-GB"/>
        </w:rPr>
        <w:t xml:space="preserve">rea 3. However, businesses play a critical role in enabling sustainable consumer choices by providing sustainable products and services, while </w:t>
      </w:r>
      <w:r w:rsidR="002427E9" w:rsidRPr="00B47649">
        <w:rPr>
          <w:kern w:val="22"/>
          <w:sz w:val="22"/>
          <w:szCs w:val="22"/>
          <w:lang w:val="en-GB"/>
        </w:rPr>
        <w:t>G</w:t>
      </w:r>
      <w:r w:rsidRPr="00B47649">
        <w:rPr>
          <w:kern w:val="22"/>
          <w:sz w:val="22"/>
          <w:szCs w:val="22"/>
          <w:lang w:val="en-GB"/>
        </w:rPr>
        <w:t xml:space="preserve">overnments play a critical role in </w:t>
      </w:r>
      <w:r w:rsidR="006D5C3C" w:rsidRPr="00B47649">
        <w:rPr>
          <w:kern w:val="22"/>
          <w:sz w:val="22"/>
          <w:szCs w:val="22"/>
          <w:lang w:val="en-GB"/>
        </w:rPr>
        <w:t xml:space="preserve">overseeing and regulating business operations and </w:t>
      </w:r>
      <w:r w:rsidRPr="00B47649">
        <w:rPr>
          <w:kern w:val="22"/>
          <w:sz w:val="22"/>
          <w:szCs w:val="22"/>
          <w:lang w:val="en-GB"/>
        </w:rPr>
        <w:t xml:space="preserve">sponsoring sustainability education and awareness, in creating appropriate incentives and other elements of an enabling environment and, in some critical areas, in </w:t>
      </w:r>
      <w:r w:rsidR="00191E9D" w:rsidRPr="00B47649">
        <w:rPr>
          <w:kern w:val="22"/>
          <w:sz w:val="22"/>
          <w:szCs w:val="22"/>
          <w:lang w:val="en-GB"/>
        </w:rPr>
        <w:t>sustainably</w:t>
      </w:r>
      <w:r w:rsidR="00191E9D">
        <w:rPr>
          <w:kern w:val="22"/>
          <w:sz w:val="22"/>
          <w:szCs w:val="22"/>
          <w:lang w:val="en-GB"/>
        </w:rPr>
        <w:t xml:space="preserve"> </w:t>
      </w:r>
      <w:r w:rsidRPr="00B47649">
        <w:rPr>
          <w:kern w:val="22"/>
          <w:sz w:val="22"/>
          <w:szCs w:val="22"/>
          <w:lang w:val="en-GB"/>
        </w:rPr>
        <w:t xml:space="preserve">providing </w:t>
      </w:r>
      <w:r w:rsidR="00191E9D" w:rsidRPr="00B47649">
        <w:rPr>
          <w:kern w:val="22"/>
          <w:sz w:val="22"/>
          <w:szCs w:val="22"/>
          <w:lang w:val="en-GB"/>
        </w:rPr>
        <w:t xml:space="preserve">such </w:t>
      </w:r>
      <w:r w:rsidRPr="00B47649">
        <w:rPr>
          <w:kern w:val="22"/>
          <w:sz w:val="22"/>
          <w:szCs w:val="22"/>
          <w:lang w:val="en-GB"/>
        </w:rPr>
        <w:t>services as public transportation and other infrastructure</w:t>
      </w:r>
      <w:r w:rsidR="00CA5AD9" w:rsidRPr="00B47649">
        <w:rPr>
          <w:kern w:val="22"/>
          <w:sz w:val="22"/>
          <w:szCs w:val="22"/>
          <w:lang w:val="en-GB"/>
        </w:rPr>
        <w:t>s</w:t>
      </w:r>
      <w:r w:rsidRPr="00B47649">
        <w:rPr>
          <w:kern w:val="22"/>
          <w:sz w:val="22"/>
          <w:szCs w:val="22"/>
          <w:lang w:val="en-GB"/>
        </w:rPr>
        <w:t xml:space="preserve"> which enable more sustainable consumption and lifestyles.</w:t>
      </w:r>
    </w:p>
    <w:p w14:paraId="1D9A55D7" w14:textId="66C3C392" w:rsidR="005D469F" w:rsidRPr="00B47649" w:rsidRDefault="00FA1919"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The </w:t>
      </w:r>
      <w:r w:rsidR="00C80957" w:rsidRPr="00B47649">
        <w:rPr>
          <w:kern w:val="22"/>
          <w:sz w:val="22"/>
          <w:szCs w:val="22"/>
          <w:lang w:val="en-GB"/>
        </w:rPr>
        <w:t xml:space="preserve">long-term approach </w:t>
      </w:r>
      <w:r w:rsidRPr="00B47649">
        <w:rPr>
          <w:kern w:val="22"/>
          <w:sz w:val="22"/>
          <w:szCs w:val="22"/>
          <w:lang w:val="en-GB"/>
        </w:rPr>
        <w:t xml:space="preserve">does not explicitly single out economic sectors beyond </w:t>
      </w:r>
      <w:r w:rsidR="00C2311A" w:rsidRPr="00B47649">
        <w:rPr>
          <w:kern w:val="22"/>
          <w:sz w:val="22"/>
          <w:szCs w:val="22"/>
          <w:lang w:val="en-GB"/>
        </w:rPr>
        <w:t>finance</w:t>
      </w:r>
      <w:r w:rsidR="007A7B6A" w:rsidRPr="00B47649">
        <w:rPr>
          <w:kern w:val="22"/>
          <w:sz w:val="22"/>
          <w:szCs w:val="22"/>
          <w:lang w:val="en-GB"/>
        </w:rPr>
        <w:t>,</w:t>
      </w:r>
      <w:r w:rsidRPr="00B47649">
        <w:rPr>
          <w:kern w:val="22"/>
          <w:sz w:val="22"/>
          <w:szCs w:val="22"/>
          <w:lang w:val="en-GB"/>
        </w:rPr>
        <w:t xml:space="preserve"> which has </w:t>
      </w:r>
      <w:r w:rsidR="00B53FFB" w:rsidRPr="00B47649">
        <w:rPr>
          <w:kern w:val="22"/>
          <w:sz w:val="22"/>
          <w:szCs w:val="22"/>
          <w:lang w:val="en-GB"/>
        </w:rPr>
        <w:t xml:space="preserve">a dedicated </w:t>
      </w:r>
      <w:r w:rsidR="00275153">
        <w:rPr>
          <w:kern w:val="22"/>
          <w:sz w:val="22"/>
          <w:szCs w:val="22"/>
          <w:lang w:val="en-GB"/>
        </w:rPr>
        <w:t>function</w:t>
      </w:r>
      <w:r w:rsidR="00B53FFB" w:rsidRPr="00B47649">
        <w:rPr>
          <w:kern w:val="22"/>
          <w:sz w:val="22"/>
          <w:szCs w:val="22"/>
          <w:lang w:val="en-GB"/>
        </w:rPr>
        <w:t>, as all economic sectors rely on financial services</w:t>
      </w:r>
      <w:r w:rsidR="001D688F">
        <w:rPr>
          <w:kern w:val="22"/>
          <w:sz w:val="22"/>
          <w:szCs w:val="22"/>
          <w:lang w:val="en-GB"/>
        </w:rPr>
        <w:t>,</w:t>
      </w:r>
      <w:r w:rsidR="005F118E" w:rsidRPr="00B47649">
        <w:rPr>
          <w:kern w:val="22"/>
          <w:sz w:val="22"/>
          <w:szCs w:val="22"/>
          <w:lang w:val="en-GB"/>
        </w:rPr>
        <w:t xml:space="preserve"> and</w:t>
      </w:r>
      <w:r w:rsidR="00B53FFB" w:rsidRPr="00B47649">
        <w:rPr>
          <w:kern w:val="22"/>
          <w:sz w:val="22"/>
          <w:szCs w:val="22"/>
          <w:lang w:val="en-GB"/>
        </w:rPr>
        <w:t xml:space="preserve"> the financial sector </w:t>
      </w:r>
      <w:r w:rsidR="005F118E" w:rsidRPr="00B47649">
        <w:rPr>
          <w:kern w:val="22"/>
          <w:sz w:val="22"/>
          <w:szCs w:val="22"/>
          <w:lang w:val="en-GB"/>
        </w:rPr>
        <w:t xml:space="preserve">thus </w:t>
      </w:r>
      <w:r w:rsidR="00B53FFB" w:rsidRPr="00B47649">
        <w:rPr>
          <w:kern w:val="22"/>
          <w:sz w:val="22"/>
          <w:szCs w:val="22"/>
          <w:lang w:val="en-GB"/>
        </w:rPr>
        <w:t xml:space="preserve">has unique leverage. </w:t>
      </w:r>
      <w:r w:rsidR="00C2311A" w:rsidRPr="00B47649">
        <w:rPr>
          <w:kern w:val="22"/>
          <w:sz w:val="22"/>
          <w:szCs w:val="22"/>
          <w:lang w:val="en-GB"/>
        </w:rPr>
        <w:t xml:space="preserve">In developing their </w:t>
      </w:r>
      <w:r w:rsidR="00DF02E2" w:rsidRPr="00B47649">
        <w:rPr>
          <w:kern w:val="22"/>
          <w:sz w:val="22"/>
          <w:szCs w:val="22"/>
          <w:lang w:val="en-GB"/>
        </w:rPr>
        <w:t>concrete m</w:t>
      </w:r>
      <w:r w:rsidR="00C2311A" w:rsidRPr="00B47649">
        <w:rPr>
          <w:kern w:val="22"/>
          <w:sz w:val="22"/>
          <w:szCs w:val="22"/>
          <w:lang w:val="en-GB"/>
        </w:rPr>
        <w:t xml:space="preserve">ainstreaming </w:t>
      </w:r>
      <w:r w:rsidR="00DF02E2" w:rsidRPr="00B47649">
        <w:rPr>
          <w:kern w:val="22"/>
          <w:sz w:val="22"/>
          <w:szCs w:val="22"/>
          <w:lang w:val="en-GB"/>
        </w:rPr>
        <w:t>policies</w:t>
      </w:r>
      <w:r w:rsidR="00C2311A" w:rsidRPr="00B47649">
        <w:rPr>
          <w:kern w:val="22"/>
          <w:sz w:val="22"/>
          <w:szCs w:val="22"/>
          <w:lang w:val="en-GB"/>
        </w:rPr>
        <w:t xml:space="preserve">, Parties and other players </w:t>
      </w:r>
      <w:r w:rsidR="00DF02E2" w:rsidRPr="00B47649">
        <w:rPr>
          <w:kern w:val="22"/>
          <w:sz w:val="22"/>
          <w:szCs w:val="22"/>
          <w:lang w:val="en-GB"/>
        </w:rPr>
        <w:t>may wish to consider the sector-specific guidance already developed by the Conference of the Parties at its thirteenth and fourteenth meetings</w:t>
      </w:r>
      <w:r w:rsidR="00C2311A" w:rsidRPr="00B47649">
        <w:rPr>
          <w:kern w:val="22"/>
          <w:sz w:val="22"/>
          <w:szCs w:val="22"/>
          <w:lang w:val="en-GB"/>
        </w:rPr>
        <w:t xml:space="preserve">, which </w:t>
      </w:r>
      <w:r w:rsidR="0002602A" w:rsidRPr="00B47649">
        <w:rPr>
          <w:kern w:val="22"/>
          <w:sz w:val="22"/>
          <w:szCs w:val="22"/>
          <w:lang w:val="en-GB"/>
        </w:rPr>
        <w:t xml:space="preserve">reflect findings by </w:t>
      </w:r>
      <w:r w:rsidR="00331708" w:rsidRPr="00B47649">
        <w:rPr>
          <w:kern w:val="22"/>
          <w:sz w:val="22"/>
          <w:szCs w:val="22"/>
          <w:lang w:val="en-GB"/>
        </w:rPr>
        <w:t>the Intergovernmental Science-Policy Platform on Biodiversity and Ecosystem Services (</w:t>
      </w:r>
      <w:r w:rsidR="0002602A" w:rsidRPr="00B47649">
        <w:rPr>
          <w:kern w:val="22"/>
          <w:sz w:val="22"/>
          <w:szCs w:val="22"/>
          <w:lang w:val="en-GB"/>
        </w:rPr>
        <w:t>IPBES</w:t>
      </w:r>
      <w:r w:rsidR="00331708" w:rsidRPr="00B47649">
        <w:rPr>
          <w:kern w:val="22"/>
          <w:sz w:val="22"/>
          <w:szCs w:val="22"/>
          <w:lang w:val="en-GB"/>
        </w:rPr>
        <w:t>)</w:t>
      </w:r>
      <w:r w:rsidR="0002602A" w:rsidRPr="00B47649">
        <w:rPr>
          <w:kern w:val="22"/>
          <w:sz w:val="22"/>
          <w:szCs w:val="22"/>
          <w:lang w:val="en-GB"/>
        </w:rPr>
        <w:t xml:space="preserve"> and the World Economic Forum </w:t>
      </w:r>
      <w:r w:rsidR="0081096E" w:rsidRPr="00B47649">
        <w:rPr>
          <w:kern w:val="22"/>
          <w:sz w:val="22"/>
          <w:szCs w:val="22"/>
          <w:lang w:val="en-GB"/>
        </w:rPr>
        <w:t xml:space="preserve">(WEF) </w:t>
      </w:r>
      <w:r w:rsidR="0002602A" w:rsidRPr="00B47649">
        <w:rPr>
          <w:kern w:val="22"/>
          <w:sz w:val="22"/>
          <w:szCs w:val="22"/>
          <w:lang w:val="en-GB"/>
        </w:rPr>
        <w:t xml:space="preserve">on </w:t>
      </w:r>
      <w:r w:rsidR="0002602A" w:rsidRPr="00B47649">
        <w:rPr>
          <w:bCs/>
          <w:kern w:val="22"/>
          <w:sz w:val="22"/>
          <w:szCs w:val="22"/>
          <w:lang w:val="en-GB"/>
        </w:rPr>
        <w:t>those associated with the</w:t>
      </w:r>
      <w:r w:rsidR="00C2311A" w:rsidRPr="00B47649">
        <w:rPr>
          <w:bCs/>
          <w:kern w:val="22"/>
          <w:sz w:val="22"/>
          <w:szCs w:val="22"/>
          <w:lang w:val="en-GB"/>
        </w:rPr>
        <w:t xml:space="preserve"> top </w:t>
      </w:r>
      <w:r w:rsidR="00FC1EB4" w:rsidRPr="00B47649">
        <w:rPr>
          <w:bCs/>
          <w:kern w:val="22"/>
          <w:sz w:val="22"/>
          <w:szCs w:val="22"/>
          <w:lang w:val="en-GB"/>
        </w:rPr>
        <w:t>five</w:t>
      </w:r>
      <w:r w:rsidR="00C2311A" w:rsidRPr="00B47649">
        <w:rPr>
          <w:bCs/>
          <w:kern w:val="22"/>
          <w:sz w:val="22"/>
          <w:szCs w:val="22"/>
          <w:lang w:val="en-GB"/>
        </w:rPr>
        <w:t xml:space="preserve"> drivers of biodiversity loss</w:t>
      </w:r>
      <w:r w:rsidR="0002602A" w:rsidRPr="00B47649">
        <w:rPr>
          <w:kern w:val="22"/>
          <w:sz w:val="22"/>
          <w:szCs w:val="22"/>
          <w:lang w:val="en-GB"/>
        </w:rPr>
        <w:t xml:space="preserve"> </w:t>
      </w:r>
      <w:r w:rsidR="00C2311A" w:rsidRPr="00B47649">
        <w:rPr>
          <w:kern w:val="22"/>
          <w:sz w:val="22"/>
          <w:szCs w:val="22"/>
          <w:lang w:val="en-GB"/>
        </w:rPr>
        <w:t>(</w:t>
      </w:r>
      <w:r w:rsidR="0002602A" w:rsidRPr="00B47649">
        <w:rPr>
          <w:kern w:val="22"/>
          <w:sz w:val="22"/>
          <w:szCs w:val="22"/>
          <w:lang w:val="en-GB"/>
        </w:rPr>
        <w:t>changes in land and sea use</w:t>
      </w:r>
      <w:r w:rsidR="00C2311A" w:rsidRPr="00B47649">
        <w:rPr>
          <w:kern w:val="22"/>
          <w:sz w:val="22"/>
          <w:szCs w:val="22"/>
          <w:lang w:val="en-GB"/>
        </w:rPr>
        <w:t>; d</w:t>
      </w:r>
      <w:r w:rsidR="0002602A" w:rsidRPr="00B47649">
        <w:rPr>
          <w:kern w:val="22"/>
          <w:sz w:val="22"/>
          <w:szCs w:val="22"/>
          <w:lang w:val="en-GB"/>
        </w:rPr>
        <w:t>irect exploitation of organisms</w:t>
      </w:r>
      <w:r w:rsidR="00C2311A" w:rsidRPr="00B47649">
        <w:rPr>
          <w:kern w:val="22"/>
          <w:sz w:val="22"/>
          <w:szCs w:val="22"/>
          <w:lang w:val="en-GB"/>
        </w:rPr>
        <w:t xml:space="preserve">; </w:t>
      </w:r>
      <w:r w:rsidR="0002602A" w:rsidRPr="00B47649">
        <w:rPr>
          <w:kern w:val="22"/>
          <w:sz w:val="22"/>
          <w:szCs w:val="22"/>
          <w:lang w:val="en-GB"/>
        </w:rPr>
        <w:t>climate change; pollution; and invasive alien species</w:t>
      </w:r>
      <w:r w:rsidR="00C2311A" w:rsidRPr="00B47649">
        <w:rPr>
          <w:kern w:val="22"/>
          <w:sz w:val="22"/>
          <w:szCs w:val="22"/>
          <w:lang w:val="en-GB"/>
        </w:rPr>
        <w:t>)</w:t>
      </w:r>
      <w:r w:rsidR="0002602A" w:rsidRPr="00B47649">
        <w:rPr>
          <w:kern w:val="22"/>
          <w:sz w:val="22"/>
          <w:szCs w:val="22"/>
          <w:lang w:val="en-GB"/>
        </w:rPr>
        <w:t>, namely food, infrastructure and extractive industries</w:t>
      </w:r>
      <w:r w:rsidR="00C2311A" w:rsidRPr="00B47649">
        <w:rPr>
          <w:kern w:val="22"/>
          <w:sz w:val="22"/>
          <w:szCs w:val="22"/>
          <w:lang w:val="en-GB"/>
        </w:rPr>
        <w:t>.</w:t>
      </w:r>
      <w:r w:rsidR="00C2311A" w:rsidRPr="00B47649">
        <w:rPr>
          <w:color w:val="1F497D"/>
          <w:kern w:val="22"/>
          <w:sz w:val="22"/>
          <w:szCs w:val="22"/>
          <w:lang w:val="en-GB"/>
        </w:rPr>
        <w:t xml:space="preserve"> </w:t>
      </w:r>
      <w:r w:rsidR="005E7F9B" w:rsidRPr="00B47649">
        <w:rPr>
          <w:kern w:val="22"/>
          <w:sz w:val="22"/>
          <w:szCs w:val="22"/>
          <w:lang w:val="en-GB"/>
        </w:rPr>
        <w:t xml:space="preserve">In the process of developing the </w:t>
      </w:r>
      <w:r w:rsidR="00C80957" w:rsidRPr="00B47649">
        <w:rPr>
          <w:kern w:val="22"/>
          <w:sz w:val="22"/>
          <w:szCs w:val="22"/>
          <w:lang w:val="en-GB"/>
        </w:rPr>
        <w:t xml:space="preserve">long-term approach, </w:t>
      </w:r>
      <w:r w:rsidR="005E7F9B" w:rsidRPr="00B47649">
        <w:rPr>
          <w:kern w:val="22"/>
          <w:sz w:val="22"/>
          <w:szCs w:val="22"/>
          <w:lang w:val="en-GB"/>
        </w:rPr>
        <w:t xml:space="preserve">it was </w:t>
      </w:r>
      <w:r w:rsidR="0002602A" w:rsidRPr="00B47649">
        <w:rPr>
          <w:kern w:val="22"/>
          <w:sz w:val="22"/>
          <w:szCs w:val="22"/>
          <w:lang w:val="en-GB"/>
        </w:rPr>
        <w:t xml:space="preserve">also </w:t>
      </w:r>
      <w:r w:rsidR="005E7F9B" w:rsidRPr="00B47649">
        <w:rPr>
          <w:kern w:val="22"/>
          <w:sz w:val="22"/>
          <w:szCs w:val="22"/>
          <w:lang w:val="en-GB"/>
        </w:rPr>
        <w:t xml:space="preserve">noted that businesses themselves often self-align not on impacts but on function (food, beverages, nutrition, fibres, furniture, banking, insurance, construction, waste, mobility, commerce/trade, </w:t>
      </w:r>
      <w:r w:rsidR="004670ED" w:rsidRPr="00B47649">
        <w:rPr>
          <w:kern w:val="22"/>
          <w:sz w:val="22"/>
          <w:szCs w:val="22"/>
          <w:lang w:val="en-GB"/>
        </w:rPr>
        <w:t>and innovation</w:t>
      </w:r>
      <w:r w:rsidR="005E7F9B" w:rsidRPr="00B47649">
        <w:rPr>
          <w:kern w:val="22"/>
          <w:sz w:val="22"/>
          <w:szCs w:val="22"/>
          <w:lang w:val="en-GB"/>
        </w:rPr>
        <w:t>), mode of operation (extractives, retail or wholesale) or resources traded (</w:t>
      </w:r>
      <w:proofErr w:type="spellStart"/>
      <w:r w:rsidR="005E7F9B" w:rsidRPr="00B47649">
        <w:rPr>
          <w:kern w:val="22"/>
          <w:sz w:val="22"/>
          <w:szCs w:val="22"/>
          <w:lang w:val="en-GB"/>
        </w:rPr>
        <w:t>biotrade</w:t>
      </w:r>
      <w:proofErr w:type="spellEnd"/>
      <w:r w:rsidR="005E7F9B" w:rsidRPr="00B47649">
        <w:rPr>
          <w:kern w:val="22"/>
          <w:sz w:val="22"/>
          <w:szCs w:val="22"/>
          <w:lang w:val="en-GB"/>
        </w:rPr>
        <w:t xml:space="preserve">, commodities). Thus, the </w:t>
      </w:r>
      <w:r w:rsidR="00C80957" w:rsidRPr="00B47649">
        <w:rPr>
          <w:kern w:val="22"/>
          <w:sz w:val="22"/>
          <w:szCs w:val="22"/>
          <w:lang w:val="en-GB"/>
        </w:rPr>
        <w:t xml:space="preserve">long-term approach </w:t>
      </w:r>
      <w:r w:rsidR="00E46134" w:rsidRPr="00B47649">
        <w:rPr>
          <w:kern w:val="22"/>
          <w:sz w:val="22"/>
          <w:szCs w:val="22"/>
          <w:lang w:val="en-GB"/>
        </w:rPr>
        <w:t>action p</w:t>
      </w:r>
      <w:r w:rsidR="00E65A72" w:rsidRPr="00B47649">
        <w:rPr>
          <w:kern w:val="22"/>
          <w:sz w:val="22"/>
          <w:szCs w:val="22"/>
          <w:lang w:val="en-GB"/>
        </w:rPr>
        <w:t xml:space="preserve">lan </w:t>
      </w:r>
      <w:r w:rsidR="005E7F9B" w:rsidRPr="00B47649">
        <w:rPr>
          <w:kern w:val="22"/>
          <w:sz w:val="22"/>
          <w:szCs w:val="22"/>
          <w:lang w:val="en-GB"/>
        </w:rPr>
        <w:t xml:space="preserve">proposes </w:t>
      </w:r>
      <w:r w:rsidR="00C2311A" w:rsidRPr="00B47649">
        <w:rPr>
          <w:kern w:val="22"/>
          <w:sz w:val="22"/>
          <w:szCs w:val="22"/>
          <w:lang w:val="en-GB"/>
        </w:rPr>
        <w:t xml:space="preserve">that each player </w:t>
      </w:r>
      <w:r w:rsidR="005E7F9B" w:rsidRPr="00B47649">
        <w:rPr>
          <w:kern w:val="22"/>
          <w:sz w:val="22"/>
          <w:szCs w:val="22"/>
          <w:lang w:val="en-GB"/>
        </w:rPr>
        <w:t>prioritiz</w:t>
      </w:r>
      <w:r w:rsidR="00E46134" w:rsidRPr="00B47649">
        <w:rPr>
          <w:kern w:val="22"/>
          <w:sz w:val="22"/>
          <w:szCs w:val="22"/>
          <w:lang w:val="en-GB"/>
        </w:rPr>
        <w:t>e</w:t>
      </w:r>
      <w:r w:rsidR="005E7F9B" w:rsidRPr="00B47649">
        <w:rPr>
          <w:kern w:val="22"/>
          <w:sz w:val="22"/>
          <w:szCs w:val="22"/>
          <w:lang w:val="en-GB"/>
        </w:rPr>
        <w:t xml:space="preserve"> those </w:t>
      </w:r>
      <w:r w:rsidR="00E46134" w:rsidRPr="00B47649">
        <w:rPr>
          <w:kern w:val="22"/>
          <w:sz w:val="22"/>
          <w:szCs w:val="22"/>
          <w:lang w:val="en-GB"/>
        </w:rPr>
        <w:t xml:space="preserve">sectors </w:t>
      </w:r>
      <w:r w:rsidR="005E7F9B" w:rsidRPr="00B47649">
        <w:rPr>
          <w:kern w:val="22"/>
          <w:sz w:val="22"/>
          <w:szCs w:val="22"/>
          <w:lang w:val="en-GB"/>
        </w:rPr>
        <w:t>with the highest impact and opportunity for progress</w:t>
      </w:r>
      <w:r w:rsidR="00E46134" w:rsidRPr="00B47649">
        <w:rPr>
          <w:kern w:val="22"/>
          <w:sz w:val="22"/>
          <w:szCs w:val="22"/>
          <w:lang w:val="en-GB"/>
        </w:rPr>
        <w:t xml:space="preserve"> in a given national </w:t>
      </w:r>
      <w:r w:rsidR="00C2311A" w:rsidRPr="00B47649">
        <w:rPr>
          <w:kern w:val="22"/>
          <w:sz w:val="22"/>
          <w:szCs w:val="22"/>
          <w:lang w:val="en-GB"/>
        </w:rPr>
        <w:t xml:space="preserve">or thematic </w:t>
      </w:r>
      <w:r w:rsidR="00E46134" w:rsidRPr="00B47649">
        <w:rPr>
          <w:kern w:val="22"/>
          <w:sz w:val="22"/>
          <w:szCs w:val="22"/>
          <w:lang w:val="en-GB"/>
        </w:rPr>
        <w:t>context</w:t>
      </w:r>
      <w:r w:rsidR="00E65A72" w:rsidRPr="00B47649">
        <w:rPr>
          <w:kern w:val="22"/>
          <w:sz w:val="22"/>
          <w:szCs w:val="22"/>
          <w:lang w:val="en-GB"/>
        </w:rPr>
        <w:t xml:space="preserve">, </w:t>
      </w:r>
      <w:r w:rsidR="00B53FFB" w:rsidRPr="00B47649">
        <w:rPr>
          <w:kern w:val="22"/>
          <w:sz w:val="22"/>
          <w:szCs w:val="22"/>
          <w:lang w:val="en-GB"/>
        </w:rPr>
        <w:t xml:space="preserve">as a precondition for more targeted, and hence likely more effective, mainstreaming action in the coming decade. Some of the </w:t>
      </w:r>
      <w:r w:rsidR="00DF02E2" w:rsidRPr="00B47649">
        <w:rPr>
          <w:kern w:val="22"/>
          <w:sz w:val="22"/>
          <w:szCs w:val="22"/>
          <w:lang w:val="en-GB"/>
        </w:rPr>
        <w:t xml:space="preserve">post-2020 global biodiversity </w:t>
      </w:r>
      <w:r w:rsidR="00C2311A" w:rsidRPr="00B47649">
        <w:rPr>
          <w:kern w:val="22"/>
          <w:sz w:val="22"/>
          <w:szCs w:val="22"/>
          <w:lang w:val="en-GB"/>
        </w:rPr>
        <w:t xml:space="preserve">framework’s </w:t>
      </w:r>
      <w:r w:rsidR="00B53FFB" w:rsidRPr="00B47649">
        <w:rPr>
          <w:kern w:val="22"/>
          <w:sz w:val="22"/>
          <w:szCs w:val="22"/>
          <w:lang w:val="en-GB"/>
        </w:rPr>
        <w:t>action targets</w:t>
      </w:r>
      <w:r w:rsidR="00DF02E2" w:rsidRPr="00B47649">
        <w:rPr>
          <w:kern w:val="22"/>
          <w:sz w:val="22"/>
          <w:szCs w:val="22"/>
          <w:lang w:val="en-GB"/>
        </w:rPr>
        <w:t>, such as those</w:t>
      </w:r>
      <w:r w:rsidR="00B53FFB" w:rsidRPr="00B47649">
        <w:rPr>
          <w:kern w:val="22"/>
          <w:sz w:val="22"/>
          <w:szCs w:val="22"/>
          <w:lang w:val="en-GB"/>
        </w:rPr>
        <w:t xml:space="preserve"> on threats and people’s needs</w:t>
      </w:r>
      <w:r w:rsidR="00DF02E2" w:rsidRPr="00B47649">
        <w:rPr>
          <w:kern w:val="22"/>
          <w:sz w:val="22"/>
          <w:szCs w:val="22"/>
          <w:lang w:val="en-GB"/>
        </w:rPr>
        <w:t>,</w:t>
      </w:r>
      <w:r w:rsidR="00B53FFB" w:rsidRPr="00B47649">
        <w:rPr>
          <w:kern w:val="22"/>
          <w:sz w:val="22"/>
          <w:szCs w:val="22"/>
          <w:lang w:val="en-GB"/>
        </w:rPr>
        <w:t xml:space="preserve"> can provide useful pointers for such a prioritization exercise at </w:t>
      </w:r>
      <w:r w:rsidR="003F222F">
        <w:rPr>
          <w:kern w:val="22"/>
          <w:sz w:val="22"/>
          <w:szCs w:val="22"/>
          <w:lang w:val="en-GB"/>
        </w:rPr>
        <w:t xml:space="preserve">the </w:t>
      </w:r>
      <w:r w:rsidR="00B53FFB" w:rsidRPr="00B47649">
        <w:rPr>
          <w:kern w:val="22"/>
          <w:sz w:val="22"/>
          <w:szCs w:val="22"/>
          <w:lang w:val="en-GB"/>
        </w:rPr>
        <w:t>national level</w:t>
      </w:r>
      <w:r w:rsidR="00DF02E2" w:rsidRPr="00B47649">
        <w:rPr>
          <w:kern w:val="22"/>
          <w:sz w:val="22"/>
          <w:szCs w:val="22"/>
          <w:lang w:val="en-GB"/>
        </w:rPr>
        <w:t>. F</w:t>
      </w:r>
      <w:r w:rsidR="00B53FFB" w:rsidRPr="00B47649">
        <w:rPr>
          <w:kern w:val="22"/>
          <w:sz w:val="22"/>
          <w:szCs w:val="22"/>
          <w:lang w:val="en-GB"/>
        </w:rPr>
        <w:t>or instance, the references to agricultural and other managed ecosystems, to nature-based solutions contributing to clean water provision, or to the benefits of green spaces for health and well-being, especially for urban dwellers</w:t>
      </w:r>
      <w:r w:rsidR="00DF02E2" w:rsidRPr="00B47649">
        <w:rPr>
          <w:kern w:val="22"/>
          <w:sz w:val="22"/>
          <w:szCs w:val="22"/>
          <w:lang w:val="en-GB"/>
        </w:rPr>
        <w:t>, provide useful entry points for mainstreaming action</w:t>
      </w:r>
      <w:r w:rsidR="00B53FFB" w:rsidRPr="00B47649">
        <w:rPr>
          <w:kern w:val="22"/>
          <w:sz w:val="22"/>
          <w:szCs w:val="22"/>
          <w:lang w:val="en-GB"/>
        </w:rPr>
        <w:t>.</w:t>
      </w:r>
    </w:p>
    <w:p w14:paraId="7442ECA3" w14:textId="6A98E1D6" w:rsidR="005D469F" w:rsidRPr="00B47649" w:rsidRDefault="005D469F"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The </w:t>
      </w:r>
      <w:r w:rsidR="00C76325" w:rsidRPr="00B47649">
        <w:rPr>
          <w:kern w:val="22"/>
          <w:sz w:val="22"/>
          <w:szCs w:val="22"/>
          <w:lang w:val="en-GB"/>
        </w:rPr>
        <w:t xml:space="preserve">Informal Advisory Group </w:t>
      </w:r>
      <w:r w:rsidR="00DF02E2" w:rsidRPr="00B47649">
        <w:rPr>
          <w:kern w:val="22"/>
          <w:sz w:val="22"/>
          <w:szCs w:val="22"/>
          <w:lang w:val="en-GB"/>
        </w:rPr>
        <w:t xml:space="preserve">proposes the continuation of its work </w:t>
      </w:r>
      <w:r w:rsidRPr="00B47649">
        <w:rPr>
          <w:kern w:val="22"/>
          <w:sz w:val="22"/>
          <w:szCs w:val="22"/>
          <w:lang w:val="en-GB"/>
        </w:rPr>
        <w:t xml:space="preserve">to keep the </w:t>
      </w:r>
      <w:r w:rsidR="00C80957" w:rsidRPr="00B47649">
        <w:rPr>
          <w:kern w:val="22"/>
          <w:sz w:val="22"/>
          <w:szCs w:val="22"/>
          <w:lang w:val="en-GB"/>
        </w:rPr>
        <w:t xml:space="preserve">long-term approach </w:t>
      </w:r>
      <w:r w:rsidRPr="00B47649">
        <w:rPr>
          <w:kern w:val="22"/>
          <w:sz w:val="22"/>
          <w:szCs w:val="22"/>
          <w:lang w:val="en-GB"/>
        </w:rPr>
        <w:t xml:space="preserve">under review, coordinated with </w:t>
      </w:r>
      <w:r w:rsidR="00DF02E2" w:rsidRPr="00B47649">
        <w:rPr>
          <w:kern w:val="22"/>
          <w:sz w:val="22"/>
          <w:szCs w:val="22"/>
          <w:lang w:val="en-GB"/>
        </w:rPr>
        <w:t>and</w:t>
      </w:r>
      <w:r w:rsidRPr="00B47649">
        <w:rPr>
          <w:kern w:val="22"/>
          <w:sz w:val="22"/>
          <w:szCs w:val="22"/>
          <w:lang w:val="en-GB"/>
        </w:rPr>
        <w:t xml:space="preserve"> as part of the review mechanism for the post-2020 global framework. Th</w:t>
      </w:r>
      <w:r w:rsidR="00DF02E2" w:rsidRPr="00B47649">
        <w:rPr>
          <w:kern w:val="22"/>
          <w:sz w:val="22"/>
          <w:szCs w:val="22"/>
          <w:lang w:val="en-GB"/>
        </w:rPr>
        <w:t>e g</w:t>
      </w:r>
      <w:r w:rsidRPr="00B47649">
        <w:rPr>
          <w:kern w:val="22"/>
          <w:sz w:val="22"/>
          <w:szCs w:val="22"/>
          <w:lang w:val="en-GB"/>
        </w:rPr>
        <w:t xml:space="preserve">roup would build on the multi-stakeholder experience </w:t>
      </w:r>
      <w:r w:rsidR="00DF02E2" w:rsidRPr="00B47649">
        <w:rPr>
          <w:kern w:val="22"/>
          <w:sz w:val="22"/>
          <w:szCs w:val="22"/>
          <w:lang w:val="en-GB"/>
        </w:rPr>
        <w:t xml:space="preserve">brought together in </w:t>
      </w:r>
      <w:r w:rsidRPr="00B47649">
        <w:rPr>
          <w:kern w:val="22"/>
          <w:sz w:val="22"/>
          <w:szCs w:val="22"/>
          <w:lang w:val="en-GB"/>
        </w:rPr>
        <w:t xml:space="preserve">the </w:t>
      </w:r>
      <w:r w:rsidR="00DA16E4" w:rsidRPr="00B47649">
        <w:rPr>
          <w:kern w:val="22"/>
          <w:sz w:val="22"/>
          <w:szCs w:val="22"/>
          <w:lang w:val="en-GB"/>
        </w:rPr>
        <w:t xml:space="preserve">Informal Advisory Group </w:t>
      </w:r>
      <w:r w:rsidRPr="00B47649">
        <w:rPr>
          <w:kern w:val="22"/>
          <w:sz w:val="22"/>
          <w:szCs w:val="22"/>
          <w:lang w:val="en-GB"/>
        </w:rPr>
        <w:t xml:space="preserve">and its supportive extended network, </w:t>
      </w:r>
      <w:r w:rsidR="00DF02E2" w:rsidRPr="00B47649">
        <w:rPr>
          <w:kern w:val="22"/>
          <w:sz w:val="22"/>
          <w:szCs w:val="22"/>
          <w:lang w:val="en-GB"/>
        </w:rPr>
        <w:t>for instance</w:t>
      </w:r>
      <w:r w:rsidRPr="00B47649">
        <w:rPr>
          <w:kern w:val="22"/>
          <w:sz w:val="22"/>
          <w:szCs w:val="22"/>
          <w:lang w:val="en-GB"/>
        </w:rPr>
        <w:t xml:space="preserve"> the various experiences of </w:t>
      </w:r>
      <w:r w:rsidR="0086769B" w:rsidRPr="00B47649">
        <w:rPr>
          <w:kern w:val="22"/>
          <w:sz w:val="22"/>
          <w:szCs w:val="22"/>
          <w:lang w:val="en-GB"/>
        </w:rPr>
        <w:t>the International Union for Conservation of Nature (</w:t>
      </w:r>
      <w:r w:rsidRPr="00B47649">
        <w:rPr>
          <w:kern w:val="22"/>
          <w:sz w:val="22"/>
          <w:szCs w:val="22"/>
          <w:lang w:val="en-GB"/>
        </w:rPr>
        <w:t>IUCN</w:t>
      </w:r>
      <w:r w:rsidR="0086769B" w:rsidRPr="00B47649">
        <w:rPr>
          <w:kern w:val="22"/>
          <w:sz w:val="22"/>
          <w:szCs w:val="22"/>
          <w:lang w:val="en-GB"/>
        </w:rPr>
        <w:t>)</w:t>
      </w:r>
      <w:r w:rsidRPr="00B47649">
        <w:rPr>
          <w:kern w:val="22"/>
          <w:sz w:val="22"/>
          <w:szCs w:val="22"/>
          <w:lang w:val="en-GB"/>
        </w:rPr>
        <w:t xml:space="preserve">, the CBD Alliance, the ASEAN Centre for Biodiversity, </w:t>
      </w:r>
      <w:r w:rsidR="0086769B" w:rsidRPr="00B47649">
        <w:rPr>
          <w:kern w:val="22"/>
          <w:sz w:val="22"/>
          <w:szCs w:val="22"/>
          <w:lang w:val="en-GB"/>
        </w:rPr>
        <w:t>the Food and Agriculture Organization of the United Nations (</w:t>
      </w:r>
      <w:r w:rsidRPr="00B47649">
        <w:rPr>
          <w:kern w:val="22"/>
          <w:sz w:val="22"/>
          <w:szCs w:val="22"/>
          <w:lang w:val="en-GB"/>
        </w:rPr>
        <w:t>FAO</w:t>
      </w:r>
      <w:r w:rsidR="0086769B" w:rsidRPr="00B47649">
        <w:rPr>
          <w:kern w:val="22"/>
          <w:sz w:val="22"/>
          <w:szCs w:val="22"/>
          <w:lang w:val="en-GB"/>
        </w:rPr>
        <w:t>)</w:t>
      </w:r>
      <w:r w:rsidRPr="00B47649">
        <w:rPr>
          <w:kern w:val="22"/>
          <w:sz w:val="22"/>
          <w:szCs w:val="22"/>
          <w:lang w:val="en-GB"/>
        </w:rPr>
        <w:t>, the W</w:t>
      </w:r>
      <w:r w:rsidR="0081096E" w:rsidRPr="00B47649">
        <w:rPr>
          <w:kern w:val="22"/>
          <w:sz w:val="22"/>
          <w:szCs w:val="22"/>
          <w:lang w:val="en-GB"/>
        </w:rPr>
        <w:t>orld Business Forum on Sustainable Development and the Capitals Coalition. In addition, for instance</w:t>
      </w:r>
      <w:r w:rsidR="000B3FA3" w:rsidRPr="00B47649">
        <w:rPr>
          <w:kern w:val="22"/>
          <w:sz w:val="22"/>
          <w:szCs w:val="22"/>
          <w:lang w:val="en-GB"/>
        </w:rPr>
        <w:t xml:space="preserve">, the Global Partnership and the regular Business and Biodiversity Forum could </w:t>
      </w:r>
      <w:r w:rsidR="00CF2203" w:rsidRPr="00B47649">
        <w:rPr>
          <w:kern w:val="22"/>
          <w:sz w:val="22"/>
          <w:szCs w:val="22"/>
          <w:lang w:val="en-GB"/>
        </w:rPr>
        <w:t xml:space="preserve">serve as regular exchange </w:t>
      </w:r>
      <w:r w:rsidR="00EF334A" w:rsidRPr="00B47649">
        <w:rPr>
          <w:kern w:val="22"/>
          <w:sz w:val="22"/>
          <w:szCs w:val="22"/>
          <w:lang w:val="en-GB"/>
        </w:rPr>
        <w:t>platform</w:t>
      </w:r>
      <w:r w:rsidR="000F0169">
        <w:rPr>
          <w:kern w:val="22"/>
          <w:sz w:val="22"/>
          <w:szCs w:val="22"/>
          <w:lang w:val="en-GB"/>
        </w:rPr>
        <w:t>s</w:t>
      </w:r>
      <w:r w:rsidR="00EF334A" w:rsidRPr="00B47649">
        <w:rPr>
          <w:kern w:val="22"/>
          <w:sz w:val="22"/>
          <w:szCs w:val="22"/>
          <w:lang w:val="en-GB"/>
        </w:rPr>
        <w:t xml:space="preserve"> for </w:t>
      </w:r>
      <w:r w:rsidR="000B3FA3" w:rsidRPr="00B47649">
        <w:rPr>
          <w:kern w:val="22"/>
          <w:sz w:val="22"/>
          <w:szCs w:val="22"/>
          <w:lang w:val="en-GB"/>
        </w:rPr>
        <w:t xml:space="preserve">information on progress in implementing the business-related elements of the </w:t>
      </w:r>
      <w:r w:rsidR="00C80957" w:rsidRPr="00B47649">
        <w:rPr>
          <w:kern w:val="22"/>
          <w:sz w:val="22"/>
          <w:szCs w:val="22"/>
          <w:lang w:val="en-GB"/>
        </w:rPr>
        <w:t>long-term approach</w:t>
      </w:r>
      <w:r w:rsidR="00EF334A" w:rsidRPr="00B47649">
        <w:rPr>
          <w:kern w:val="22"/>
          <w:sz w:val="22"/>
          <w:szCs w:val="22"/>
          <w:lang w:val="en-GB"/>
        </w:rPr>
        <w:t xml:space="preserve">, and </w:t>
      </w:r>
      <w:r w:rsidR="000B3FA3" w:rsidRPr="00B47649">
        <w:rPr>
          <w:kern w:val="22"/>
          <w:sz w:val="22"/>
          <w:szCs w:val="22"/>
          <w:lang w:val="en-GB"/>
        </w:rPr>
        <w:t xml:space="preserve">to leverage possible </w:t>
      </w:r>
      <w:r w:rsidR="00EF334A" w:rsidRPr="00B47649">
        <w:rPr>
          <w:kern w:val="22"/>
          <w:sz w:val="22"/>
          <w:szCs w:val="22"/>
          <w:lang w:val="en-GB"/>
        </w:rPr>
        <w:t>commitments to the post</w:t>
      </w:r>
      <w:r w:rsidR="00A27EBC" w:rsidRPr="00B47649">
        <w:rPr>
          <w:kern w:val="22"/>
          <w:sz w:val="22"/>
          <w:szCs w:val="22"/>
          <w:lang w:val="en-GB"/>
        </w:rPr>
        <w:noBreakHyphen/>
      </w:r>
      <w:r w:rsidR="00EF334A" w:rsidRPr="00B47649">
        <w:rPr>
          <w:kern w:val="22"/>
          <w:sz w:val="22"/>
          <w:szCs w:val="22"/>
          <w:lang w:val="en-GB"/>
        </w:rPr>
        <w:t>2020 Action Agenda for Nature and People</w:t>
      </w:r>
      <w:r w:rsidR="00CF2203" w:rsidRPr="00B47649">
        <w:rPr>
          <w:kern w:val="22"/>
          <w:sz w:val="22"/>
          <w:szCs w:val="22"/>
          <w:lang w:val="en-GB"/>
        </w:rPr>
        <w:t>.</w:t>
      </w:r>
    </w:p>
    <w:p w14:paraId="24961124" w14:textId="061CAFA1" w:rsidR="00BB672E" w:rsidRPr="00B47649" w:rsidRDefault="001D0469"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In drafting the individual </w:t>
      </w:r>
      <w:r w:rsidR="00DF02E2" w:rsidRPr="00B47649">
        <w:rPr>
          <w:kern w:val="22"/>
          <w:sz w:val="22"/>
          <w:szCs w:val="22"/>
          <w:lang w:val="en-GB"/>
        </w:rPr>
        <w:t>elements</w:t>
      </w:r>
      <w:r w:rsidRPr="00B47649">
        <w:rPr>
          <w:kern w:val="22"/>
          <w:sz w:val="22"/>
          <w:szCs w:val="22"/>
          <w:lang w:val="en-GB"/>
        </w:rPr>
        <w:t xml:space="preserve"> of the LTAM, attention was given </w:t>
      </w:r>
      <w:r w:rsidR="000E25D2" w:rsidRPr="00B47649">
        <w:rPr>
          <w:kern w:val="22"/>
          <w:sz w:val="22"/>
          <w:szCs w:val="22"/>
          <w:lang w:val="en-GB"/>
        </w:rPr>
        <w:t xml:space="preserve">to relevant </w:t>
      </w:r>
      <w:r w:rsidR="002556B6" w:rsidRPr="00B47649">
        <w:rPr>
          <w:kern w:val="22"/>
          <w:sz w:val="22"/>
          <w:szCs w:val="22"/>
          <w:lang w:val="en-GB"/>
        </w:rPr>
        <w:t xml:space="preserve">targets of the Sustainable Development Goals </w:t>
      </w:r>
      <w:r w:rsidR="000E25D2" w:rsidRPr="00B47649">
        <w:rPr>
          <w:kern w:val="22"/>
          <w:sz w:val="22"/>
          <w:szCs w:val="22"/>
          <w:lang w:val="en-GB"/>
        </w:rPr>
        <w:t>with a view to enabl</w:t>
      </w:r>
      <w:r w:rsidR="00FE669D" w:rsidRPr="00B47649">
        <w:rPr>
          <w:kern w:val="22"/>
          <w:sz w:val="22"/>
          <w:szCs w:val="22"/>
          <w:lang w:val="en-GB"/>
        </w:rPr>
        <w:t>ing</w:t>
      </w:r>
      <w:r w:rsidR="000E25D2" w:rsidRPr="00B47649">
        <w:rPr>
          <w:kern w:val="22"/>
          <w:sz w:val="22"/>
          <w:szCs w:val="22"/>
          <w:lang w:val="en-GB"/>
        </w:rPr>
        <w:t xml:space="preserve"> synergies in implementation.</w:t>
      </w:r>
      <w:r w:rsidR="007A64CA" w:rsidRPr="00B47649" w:rsidDel="000E25D2">
        <w:rPr>
          <w:kern w:val="22"/>
          <w:sz w:val="22"/>
          <w:szCs w:val="22"/>
          <w:lang w:val="en-GB"/>
        </w:rPr>
        <w:t xml:space="preserve"> </w:t>
      </w:r>
      <w:r w:rsidR="00BB672E" w:rsidRPr="00B47649">
        <w:rPr>
          <w:kern w:val="22"/>
          <w:sz w:val="22"/>
          <w:szCs w:val="22"/>
          <w:lang w:val="en-GB"/>
        </w:rPr>
        <w:t xml:space="preserve">The long-term approach </w:t>
      </w:r>
      <w:r w:rsidR="00FE392C" w:rsidRPr="00B47649">
        <w:rPr>
          <w:kern w:val="22"/>
          <w:sz w:val="22"/>
          <w:szCs w:val="22"/>
          <w:lang w:val="en-GB"/>
        </w:rPr>
        <w:t xml:space="preserve">also </w:t>
      </w:r>
      <w:r w:rsidR="00BB672E" w:rsidRPr="00B47649">
        <w:rPr>
          <w:kern w:val="22"/>
          <w:sz w:val="22"/>
          <w:szCs w:val="22"/>
          <w:lang w:val="en-GB"/>
        </w:rPr>
        <w:t>builds on:</w:t>
      </w:r>
    </w:p>
    <w:p w14:paraId="2C1C6074" w14:textId="78D0CC95" w:rsidR="00BB672E" w:rsidRPr="00B47649" w:rsidRDefault="00AA356C" w:rsidP="00B47649">
      <w:pPr>
        <w:pStyle w:val="Para10"/>
        <w:numPr>
          <w:ilvl w:val="0"/>
          <w:numId w:val="10"/>
        </w:numPr>
        <w:suppressLineNumbers/>
        <w:tabs>
          <w:tab w:val="clear" w:pos="1080"/>
          <w:tab w:val="num" w:pos="1276"/>
        </w:tabs>
        <w:suppressAutoHyphens/>
        <w:ind w:left="0" w:firstLine="698"/>
        <w:jc w:val="both"/>
        <w:rPr>
          <w:kern w:val="22"/>
          <w:sz w:val="22"/>
          <w:szCs w:val="22"/>
          <w:lang w:val="en-GB"/>
        </w:rPr>
      </w:pPr>
      <w:r w:rsidRPr="00B47649">
        <w:rPr>
          <w:kern w:val="22"/>
          <w:sz w:val="22"/>
          <w:szCs w:val="22"/>
          <w:lang w:val="en-GB"/>
        </w:rPr>
        <w:t>T</w:t>
      </w:r>
      <w:r w:rsidR="00BB672E" w:rsidRPr="00B47649">
        <w:rPr>
          <w:kern w:val="22"/>
          <w:sz w:val="22"/>
          <w:szCs w:val="22"/>
          <w:lang w:val="en-GB"/>
        </w:rPr>
        <w:t xml:space="preserve">he urgent pressures and dependencies to achieve transformational change to counter the steep rate of loss of biodiversity and to “bend the curve” on indirect or underlying drivers of biodiversity in line with recommendations such as </w:t>
      </w:r>
      <w:r w:rsidR="00D1435A">
        <w:rPr>
          <w:kern w:val="22"/>
          <w:sz w:val="22"/>
          <w:szCs w:val="22"/>
          <w:lang w:val="en-GB"/>
        </w:rPr>
        <w:t xml:space="preserve">those </w:t>
      </w:r>
      <w:r w:rsidR="00BB672E" w:rsidRPr="00B47649">
        <w:rPr>
          <w:kern w:val="22"/>
          <w:sz w:val="22"/>
          <w:szCs w:val="22"/>
          <w:lang w:val="en-GB"/>
        </w:rPr>
        <w:t xml:space="preserve">from the </w:t>
      </w:r>
      <w:r w:rsidR="00BF6793" w:rsidRPr="002B4516">
        <w:rPr>
          <w:i/>
          <w:iCs/>
          <w:kern w:val="22"/>
          <w:sz w:val="22"/>
          <w:szCs w:val="22"/>
          <w:lang w:val="en-GB"/>
        </w:rPr>
        <w:t>Global Assessment Report on Biodiversity and Ecosystem Services</w:t>
      </w:r>
      <w:r w:rsidR="00BF6793" w:rsidRPr="00B47649">
        <w:rPr>
          <w:kern w:val="22"/>
          <w:sz w:val="22"/>
          <w:szCs w:val="22"/>
          <w:lang w:val="en-GB"/>
        </w:rPr>
        <w:t xml:space="preserve"> issued by the Intergovernmental Science-Policy Platform on Biodiversity and Ecosystem Services</w:t>
      </w:r>
      <w:r w:rsidR="00BB672E" w:rsidRPr="00B47649">
        <w:rPr>
          <w:kern w:val="22"/>
          <w:sz w:val="22"/>
          <w:szCs w:val="22"/>
          <w:lang w:val="en-GB"/>
        </w:rPr>
        <w:t>;</w:t>
      </w:r>
    </w:p>
    <w:p w14:paraId="57AD1BD4" w14:textId="1DC5E225" w:rsidR="00BB672E" w:rsidRPr="00B47649" w:rsidRDefault="00AA356C" w:rsidP="00B47649">
      <w:pPr>
        <w:pStyle w:val="Para10"/>
        <w:numPr>
          <w:ilvl w:val="0"/>
          <w:numId w:val="10"/>
        </w:numPr>
        <w:suppressLineNumbers/>
        <w:tabs>
          <w:tab w:val="clear" w:pos="1080"/>
          <w:tab w:val="num" w:pos="1276"/>
        </w:tabs>
        <w:suppressAutoHyphens/>
        <w:ind w:left="0" w:firstLine="698"/>
        <w:jc w:val="both"/>
        <w:rPr>
          <w:kern w:val="22"/>
          <w:sz w:val="22"/>
          <w:szCs w:val="22"/>
          <w:lang w:val="en-GB"/>
        </w:rPr>
      </w:pPr>
      <w:r w:rsidRPr="00B47649">
        <w:rPr>
          <w:kern w:val="22"/>
          <w:sz w:val="22"/>
          <w:szCs w:val="22"/>
          <w:lang w:val="en-GB"/>
        </w:rPr>
        <w:lastRenderedPageBreak/>
        <w:t>T</w:t>
      </w:r>
      <w:r w:rsidR="00BB672E" w:rsidRPr="00B47649">
        <w:rPr>
          <w:kern w:val="22"/>
          <w:sz w:val="22"/>
          <w:szCs w:val="22"/>
          <w:lang w:val="en-GB"/>
        </w:rPr>
        <w:t xml:space="preserve">he need for integration with processes </w:t>
      </w:r>
      <w:r w:rsidR="002B5D06" w:rsidRPr="00B47649">
        <w:rPr>
          <w:kern w:val="22"/>
          <w:sz w:val="22"/>
          <w:szCs w:val="22"/>
          <w:lang w:val="en-GB"/>
        </w:rPr>
        <w:t xml:space="preserve">under the Convention on Biological Diversity </w:t>
      </w:r>
      <w:r w:rsidR="00BB672E" w:rsidRPr="00B47649">
        <w:rPr>
          <w:kern w:val="22"/>
          <w:sz w:val="22"/>
          <w:szCs w:val="22"/>
          <w:lang w:val="en-GB"/>
        </w:rPr>
        <w:t>on capacity</w:t>
      </w:r>
      <w:r w:rsidRPr="00B47649">
        <w:rPr>
          <w:kern w:val="22"/>
          <w:sz w:val="22"/>
          <w:szCs w:val="22"/>
          <w:lang w:val="en-GB"/>
        </w:rPr>
        <w:t>-</w:t>
      </w:r>
      <w:r w:rsidR="00BB672E" w:rsidRPr="00B47649">
        <w:rPr>
          <w:kern w:val="22"/>
          <w:sz w:val="22"/>
          <w:szCs w:val="22"/>
          <w:lang w:val="en-GB"/>
        </w:rPr>
        <w:t xml:space="preserve">building, </w:t>
      </w:r>
      <w:r w:rsidR="00681557" w:rsidRPr="00B47649">
        <w:rPr>
          <w:kern w:val="22"/>
          <w:sz w:val="22"/>
          <w:szCs w:val="22"/>
          <w:lang w:val="en-GB"/>
        </w:rPr>
        <w:t>communication, education and public awareness</w:t>
      </w:r>
      <w:r w:rsidR="00BB672E" w:rsidRPr="00B47649">
        <w:rPr>
          <w:kern w:val="22"/>
          <w:sz w:val="22"/>
          <w:szCs w:val="22"/>
          <w:lang w:val="en-GB"/>
        </w:rPr>
        <w:t>, monitoring and indicators, and resource mobilization, to avoid duplication of existing structures and initiatives, and to build on thematic and cross</w:t>
      </w:r>
      <w:r w:rsidR="008D0296" w:rsidRPr="00B47649">
        <w:rPr>
          <w:kern w:val="22"/>
          <w:sz w:val="22"/>
          <w:szCs w:val="22"/>
          <w:lang w:val="en-GB"/>
        </w:rPr>
        <w:noBreakHyphen/>
      </w:r>
      <w:r w:rsidR="00BB672E" w:rsidRPr="00B47649">
        <w:rPr>
          <w:kern w:val="22"/>
          <w:sz w:val="22"/>
          <w:szCs w:val="22"/>
          <w:lang w:val="en-GB"/>
        </w:rPr>
        <w:t xml:space="preserve">cutting programmes of work and Aichi </w:t>
      </w:r>
      <w:r w:rsidR="008D0296" w:rsidRPr="00B47649">
        <w:rPr>
          <w:kern w:val="22"/>
          <w:sz w:val="22"/>
          <w:szCs w:val="22"/>
          <w:lang w:val="en-GB"/>
        </w:rPr>
        <w:t xml:space="preserve">Biodiversity </w:t>
      </w:r>
      <w:r w:rsidR="00BB672E" w:rsidRPr="00B47649">
        <w:rPr>
          <w:kern w:val="22"/>
          <w:sz w:val="22"/>
          <w:szCs w:val="22"/>
          <w:lang w:val="en-GB"/>
        </w:rPr>
        <w:t>Targets, as well as business and societal engagement;</w:t>
      </w:r>
    </w:p>
    <w:p w14:paraId="27117E1E" w14:textId="3F92BAA2" w:rsidR="00BB672E" w:rsidRPr="00B47649" w:rsidRDefault="00BB672E" w:rsidP="00B47649">
      <w:pPr>
        <w:pStyle w:val="Para10"/>
        <w:numPr>
          <w:ilvl w:val="0"/>
          <w:numId w:val="10"/>
        </w:numPr>
        <w:suppressLineNumbers/>
        <w:tabs>
          <w:tab w:val="clear" w:pos="1080"/>
          <w:tab w:val="num" w:pos="1276"/>
        </w:tabs>
        <w:suppressAutoHyphens/>
        <w:ind w:left="0" w:firstLine="698"/>
        <w:jc w:val="both"/>
        <w:rPr>
          <w:kern w:val="22"/>
          <w:sz w:val="22"/>
          <w:szCs w:val="22"/>
          <w:lang w:val="en-GB"/>
        </w:rPr>
      </w:pPr>
      <w:r w:rsidRPr="00B47649">
        <w:rPr>
          <w:kern w:val="22"/>
          <w:sz w:val="22"/>
          <w:szCs w:val="22"/>
          <w:lang w:val="en-GB"/>
        </w:rPr>
        <w:t xml:space="preserve">Related international environmental agreements and agendas of relevant organizations, such as the 2030 Agenda for Sustainable Development, the Rio </w:t>
      </w:r>
      <w:r w:rsidR="008A14FA" w:rsidRPr="00B47649">
        <w:rPr>
          <w:kern w:val="22"/>
          <w:sz w:val="22"/>
          <w:szCs w:val="22"/>
          <w:lang w:val="en-GB"/>
        </w:rPr>
        <w:t>c</w:t>
      </w:r>
      <w:r w:rsidRPr="00B47649">
        <w:rPr>
          <w:kern w:val="22"/>
          <w:sz w:val="22"/>
          <w:szCs w:val="22"/>
          <w:lang w:val="en-GB"/>
        </w:rPr>
        <w:t xml:space="preserve">onventions, the Sendai Framework for Disaster Risk Reduction, FAO and the experiences and good practices of global, regional and </w:t>
      </w:r>
      <w:proofErr w:type="spellStart"/>
      <w:r w:rsidRPr="00B47649">
        <w:rPr>
          <w:kern w:val="22"/>
          <w:sz w:val="22"/>
          <w:szCs w:val="22"/>
          <w:lang w:val="en-GB"/>
        </w:rPr>
        <w:t>subregional</w:t>
      </w:r>
      <w:proofErr w:type="spellEnd"/>
      <w:r w:rsidRPr="00B47649">
        <w:rPr>
          <w:kern w:val="22"/>
          <w:sz w:val="22"/>
          <w:szCs w:val="22"/>
          <w:lang w:val="en-GB"/>
        </w:rPr>
        <w:t xml:space="preserve"> organizations in implementing relevant global policies.</w:t>
      </w:r>
    </w:p>
    <w:p w14:paraId="6A046419" w14:textId="7ACF0077" w:rsidR="00482F38" w:rsidRPr="0093623A" w:rsidRDefault="0093623A" w:rsidP="00282276">
      <w:pPr>
        <w:pStyle w:val="Heading1"/>
        <w:numPr>
          <w:ilvl w:val="0"/>
          <w:numId w:val="8"/>
        </w:numPr>
        <w:suppressLineNumbers/>
        <w:tabs>
          <w:tab w:val="clear" w:pos="720"/>
        </w:tabs>
        <w:suppressAutoHyphens/>
        <w:spacing w:before="120"/>
        <w:ind w:left="1134" w:hanging="567"/>
        <w:jc w:val="left"/>
        <w:rPr>
          <w:rFonts w:ascii="Times New Roman Bold" w:hAnsi="Times New Roman Bold"/>
          <w:kern w:val="22"/>
          <w:sz w:val="22"/>
          <w:szCs w:val="22"/>
          <w:lang w:val="en-GB"/>
        </w:rPr>
      </w:pPr>
      <w:r w:rsidRPr="0093623A">
        <w:rPr>
          <w:rFonts w:ascii="Times New Roman Bold" w:hAnsi="Times New Roman Bold"/>
          <w:kern w:val="22"/>
          <w:sz w:val="22"/>
          <w:szCs w:val="22"/>
          <w:lang w:val="en-GB"/>
        </w:rPr>
        <w:t xml:space="preserve">Report </w:t>
      </w:r>
      <w:r w:rsidR="00A700AC" w:rsidRPr="0093623A">
        <w:rPr>
          <w:rFonts w:ascii="Times New Roman Bold" w:hAnsi="Times New Roman Bold"/>
          <w:kern w:val="22"/>
          <w:sz w:val="22"/>
          <w:szCs w:val="22"/>
          <w:lang w:val="en-GB"/>
        </w:rPr>
        <w:t xml:space="preserve">on </w:t>
      </w:r>
      <w:r w:rsidRPr="0093623A">
        <w:rPr>
          <w:rFonts w:ascii="Times New Roman Bold" w:hAnsi="Times New Roman Bold"/>
          <w:kern w:val="22"/>
          <w:sz w:val="22"/>
          <w:szCs w:val="22"/>
          <w:lang w:val="en-GB"/>
        </w:rPr>
        <w:t>additional activities on mainstreaming by the Secretariat</w:t>
      </w:r>
    </w:p>
    <w:p w14:paraId="65BC6E9F" w14:textId="17729AE6" w:rsidR="004B3207" w:rsidRPr="00B47649" w:rsidRDefault="00A700AC"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 xml:space="preserve">In </w:t>
      </w:r>
      <w:r w:rsidRPr="00B47649">
        <w:rPr>
          <w:kern w:val="22"/>
          <w:sz w:val="22"/>
          <w:szCs w:val="22"/>
          <w:lang w:val="en-GB"/>
        </w:rPr>
        <w:t>this section, updates are provided on action items and requests to the Executive Secretary contained in paragraphs 19(d)-(</w:t>
      </w:r>
      <w:proofErr w:type="spellStart"/>
      <w:r w:rsidRPr="00B47649">
        <w:rPr>
          <w:kern w:val="22"/>
          <w:sz w:val="22"/>
          <w:szCs w:val="22"/>
          <w:lang w:val="en-GB"/>
        </w:rPr>
        <w:t>i</w:t>
      </w:r>
      <w:proofErr w:type="spellEnd"/>
      <w:r w:rsidRPr="00B47649">
        <w:rPr>
          <w:kern w:val="22"/>
          <w:sz w:val="22"/>
          <w:szCs w:val="22"/>
          <w:lang w:val="en-GB"/>
        </w:rPr>
        <w:t>) of decision 14/3. Such updates were requested in paragraph 19(f) of the decision</w:t>
      </w:r>
      <w:r w:rsidR="00DD647C" w:rsidRPr="00B47649">
        <w:rPr>
          <w:iCs/>
          <w:kern w:val="22"/>
          <w:sz w:val="22"/>
          <w:szCs w:val="22"/>
          <w:lang w:val="en-GB"/>
        </w:rPr>
        <w:t>.</w:t>
      </w:r>
      <w:r w:rsidRPr="00B47649">
        <w:rPr>
          <w:kern w:val="22"/>
          <w:sz w:val="22"/>
          <w:szCs w:val="22"/>
          <w:lang w:val="en-GB"/>
        </w:rPr>
        <w:t xml:space="preserve"> In paragraph 19(a) of decision 14/3, the Executive Secretary was requested to undertake activities to support implementation of that decision and to continue to support efforts related to the mainstreaming of biodiversity as requested in prior decisions of the Conference of the Parties. Pertinent activities are captured in the following paragraphs.</w:t>
      </w:r>
    </w:p>
    <w:p w14:paraId="0CDFCC11" w14:textId="4750C6E6" w:rsidR="00DD647C" w:rsidRPr="00B47649" w:rsidRDefault="00DD647C"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 xml:space="preserve">In </w:t>
      </w:r>
      <w:r w:rsidRPr="00B47649">
        <w:rPr>
          <w:kern w:val="22"/>
          <w:sz w:val="22"/>
          <w:szCs w:val="22"/>
          <w:lang w:val="en-GB"/>
        </w:rPr>
        <w:t>paragraph</w:t>
      </w:r>
      <w:r w:rsidRPr="00B47649">
        <w:rPr>
          <w:iCs/>
          <w:kern w:val="22"/>
          <w:sz w:val="22"/>
          <w:szCs w:val="22"/>
          <w:lang w:val="en-GB"/>
        </w:rPr>
        <w:t xml:space="preserve"> 19(d)</w:t>
      </w:r>
      <w:r w:rsidR="004B3207" w:rsidRPr="00B47649">
        <w:rPr>
          <w:iCs/>
          <w:kern w:val="22"/>
          <w:sz w:val="22"/>
          <w:szCs w:val="22"/>
          <w:lang w:val="en-GB"/>
        </w:rPr>
        <w:t xml:space="preserve"> of decision 14/3</w:t>
      </w:r>
      <w:r w:rsidRPr="00B47649">
        <w:rPr>
          <w:iCs/>
          <w:kern w:val="22"/>
          <w:sz w:val="22"/>
          <w:szCs w:val="22"/>
          <w:lang w:val="en-GB"/>
        </w:rPr>
        <w:t>, the Executive Secretary was requested to undertake additional work to facilitate the disclosure and reporting of the impacts of businesses on biodiversity and their dependencies on biodiversity, working in collaboration with relevant organizations and initiatives, including to support the objectives listed in paragraph 16 of the decision</w:t>
      </w:r>
      <w:r w:rsidR="00A3717B" w:rsidRPr="00B47649">
        <w:rPr>
          <w:iCs/>
          <w:kern w:val="22"/>
          <w:sz w:val="22"/>
          <w:szCs w:val="22"/>
          <w:lang w:val="en-GB"/>
        </w:rPr>
        <w:t>, pertaining to the development and improvement of metrics, indicators, baselines and other tools to measure the biodiversity dependencies of businesses in these sectors and their impacts on biological diversity, in order to provide business managers and investors with trusted, credible and actionable information for improved decision-making and the promotion of environmental, social and governance investments</w:t>
      </w:r>
      <w:r w:rsidRPr="00B47649">
        <w:rPr>
          <w:iCs/>
          <w:kern w:val="22"/>
          <w:sz w:val="22"/>
          <w:szCs w:val="22"/>
          <w:lang w:val="en-GB"/>
        </w:rPr>
        <w:t xml:space="preserve">. In response, relevant work was carried out by </w:t>
      </w:r>
      <w:r w:rsidR="00180E84" w:rsidRPr="00B47649">
        <w:rPr>
          <w:iCs/>
          <w:kern w:val="22"/>
          <w:sz w:val="22"/>
          <w:szCs w:val="22"/>
          <w:lang w:val="en-GB"/>
        </w:rPr>
        <w:t>the United Nations Environment Programme World Conservation Monitoring Centre</w:t>
      </w:r>
      <w:r w:rsidR="00180E84" w:rsidRPr="00B47649" w:rsidDel="00180E84">
        <w:rPr>
          <w:iCs/>
          <w:kern w:val="22"/>
          <w:sz w:val="22"/>
          <w:szCs w:val="22"/>
          <w:lang w:val="en-GB"/>
        </w:rPr>
        <w:t xml:space="preserve"> </w:t>
      </w:r>
      <w:r w:rsidRPr="00B47649">
        <w:rPr>
          <w:iCs/>
          <w:kern w:val="22"/>
          <w:sz w:val="22"/>
          <w:szCs w:val="22"/>
          <w:lang w:val="en-GB"/>
        </w:rPr>
        <w:t xml:space="preserve">in collaboration with </w:t>
      </w:r>
      <w:r w:rsidR="00A3717B" w:rsidRPr="00B47649">
        <w:rPr>
          <w:iCs/>
          <w:kern w:val="22"/>
          <w:sz w:val="22"/>
          <w:szCs w:val="22"/>
          <w:lang w:val="en-GB"/>
        </w:rPr>
        <w:t xml:space="preserve">the Secretariat and </w:t>
      </w:r>
      <w:r w:rsidRPr="00B47649">
        <w:rPr>
          <w:iCs/>
          <w:kern w:val="22"/>
          <w:sz w:val="22"/>
          <w:szCs w:val="22"/>
          <w:lang w:val="en-GB"/>
        </w:rPr>
        <w:t xml:space="preserve">more than </w:t>
      </w:r>
      <w:r w:rsidR="008C0A8B" w:rsidRPr="00B47649">
        <w:rPr>
          <w:iCs/>
          <w:kern w:val="22"/>
          <w:sz w:val="22"/>
          <w:szCs w:val="22"/>
          <w:lang w:val="en-GB"/>
        </w:rPr>
        <w:t xml:space="preserve">20 </w:t>
      </w:r>
      <w:r w:rsidRPr="00B47649">
        <w:rPr>
          <w:iCs/>
          <w:kern w:val="22"/>
          <w:sz w:val="22"/>
          <w:szCs w:val="22"/>
          <w:lang w:val="en-GB"/>
        </w:rPr>
        <w:t>organization</w:t>
      </w:r>
      <w:r w:rsidR="00A3717B" w:rsidRPr="00B47649">
        <w:rPr>
          <w:iCs/>
          <w:kern w:val="22"/>
          <w:sz w:val="22"/>
          <w:szCs w:val="22"/>
          <w:lang w:val="en-GB"/>
        </w:rPr>
        <w:t>s</w:t>
      </w:r>
      <w:r w:rsidRPr="00B47649">
        <w:rPr>
          <w:iCs/>
          <w:kern w:val="22"/>
          <w:sz w:val="22"/>
          <w:szCs w:val="22"/>
          <w:lang w:val="en-GB"/>
        </w:rPr>
        <w:t xml:space="preserve"> and initiative</w:t>
      </w:r>
      <w:r w:rsidR="00A3717B" w:rsidRPr="00B47649">
        <w:rPr>
          <w:iCs/>
          <w:kern w:val="22"/>
          <w:sz w:val="22"/>
          <w:szCs w:val="22"/>
          <w:lang w:val="en-GB"/>
        </w:rPr>
        <w:t>s</w:t>
      </w:r>
      <w:r w:rsidRPr="00B47649">
        <w:rPr>
          <w:iCs/>
          <w:kern w:val="22"/>
          <w:sz w:val="22"/>
          <w:szCs w:val="22"/>
          <w:lang w:val="en-GB"/>
        </w:rPr>
        <w:t xml:space="preserve"> at developing biodiversity measurement approaches for business. The work included reviews </w:t>
      </w:r>
      <w:r w:rsidR="00424CEF" w:rsidRPr="00B47649">
        <w:rPr>
          <w:iCs/>
          <w:kern w:val="22"/>
          <w:sz w:val="22"/>
          <w:szCs w:val="22"/>
          <w:lang w:val="en-GB"/>
        </w:rPr>
        <w:t xml:space="preserve">of </w:t>
      </w:r>
      <w:r w:rsidRPr="00B47649">
        <w:rPr>
          <w:iCs/>
          <w:kern w:val="22"/>
          <w:sz w:val="22"/>
          <w:szCs w:val="22"/>
          <w:lang w:val="en-GB"/>
        </w:rPr>
        <w:t>drivers and current practice</w:t>
      </w:r>
      <w:r w:rsidR="00424CEF" w:rsidRPr="00B47649">
        <w:rPr>
          <w:iCs/>
          <w:kern w:val="22"/>
          <w:sz w:val="22"/>
          <w:szCs w:val="22"/>
          <w:lang w:val="en-GB"/>
        </w:rPr>
        <w:t>s</w:t>
      </w:r>
      <w:r w:rsidRPr="00B47649">
        <w:rPr>
          <w:iCs/>
          <w:kern w:val="22"/>
          <w:sz w:val="22"/>
          <w:szCs w:val="22"/>
          <w:lang w:val="en-GB"/>
        </w:rPr>
        <w:t xml:space="preserve"> around business measurement and disclosure on biodiversity and investigated the role of emerging biodiversity measurement approaches in future disclosure for informing global policy targets. The findings of the work will be </w:t>
      </w:r>
      <w:r w:rsidR="00A3717B" w:rsidRPr="00B47649">
        <w:rPr>
          <w:iCs/>
          <w:kern w:val="22"/>
          <w:sz w:val="22"/>
          <w:szCs w:val="22"/>
          <w:lang w:val="en-GB"/>
        </w:rPr>
        <w:t>summarized in a report for policymakers</w:t>
      </w:r>
      <w:r w:rsidR="002E29A2" w:rsidRPr="00B47649">
        <w:rPr>
          <w:iCs/>
          <w:kern w:val="22"/>
          <w:sz w:val="22"/>
          <w:szCs w:val="22"/>
          <w:lang w:val="en-GB"/>
        </w:rPr>
        <w:t xml:space="preserve">, which is planned to be launched </w:t>
      </w:r>
      <w:r w:rsidR="00C03EA4">
        <w:rPr>
          <w:iCs/>
          <w:kern w:val="22"/>
          <w:sz w:val="22"/>
          <w:szCs w:val="22"/>
          <w:lang w:val="en-GB"/>
        </w:rPr>
        <w:t>in</w:t>
      </w:r>
      <w:r w:rsidR="00C03EA4" w:rsidRPr="00B47649">
        <w:rPr>
          <w:iCs/>
          <w:kern w:val="22"/>
          <w:sz w:val="22"/>
          <w:szCs w:val="22"/>
          <w:lang w:val="en-GB"/>
        </w:rPr>
        <w:t xml:space="preserve"> </w:t>
      </w:r>
      <w:r w:rsidR="002E29A2" w:rsidRPr="00B47649">
        <w:rPr>
          <w:iCs/>
          <w:kern w:val="22"/>
          <w:sz w:val="22"/>
          <w:szCs w:val="22"/>
          <w:lang w:val="en-GB"/>
        </w:rPr>
        <w:t>time for the third meeting of the Subsidiary Body on Implementation</w:t>
      </w:r>
      <w:r w:rsidR="005B18D9" w:rsidRPr="00B47649">
        <w:rPr>
          <w:iCs/>
          <w:kern w:val="22"/>
          <w:sz w:val="22"/>
          <w:szCs w:val="22"/>
          <w:lang w:val="en-GB"/>
        </w:rPr>
        <w:t xml:space="preserve"> and will be made available as an information document for </w:t>
      </w:r>
      <w:r w:rsidR="005F41C9" w:rsidRPr="00B47649">
        <w:rPr>
          <w:iCs/>
          <w:kern w:val="22"/>
          <w:sz w:val="22"/>
          <w:szCs w:val="22"/>
          <w:lang w:val="en-GB"/>
        </w:rPr>
        <w:t>the third meeting of the Subsidiary Body</w:t>
      </w:r>
      <w:r w:rsidR="005B18D9" w:rsidRPr="00B47649">
        <w:rPr>
          <w:iCs/>
          <w:kern w:val="22"/>
          <w:sz w:val="22"/>
          <w:szCs w:val="22"/>
          <w:lang w:val="en-GB"/>
        </w:rPr>
        <w:t>.</w:t>
      </w:r>
    </w:p>
    <w:p w14:paraId="2ABB0736" w14:textId="72D9B27A" w:rsidR="00A30C1D" w:rsidRPr="00B47649" w:rsidRDefault="008B46F4" w:rsidP="00B47649">
      <w:pPr>
        <w:pStyle w:val="Para10"/>
        <w:suppressLineNumbers/>
        <w:tabs>
          <w:tab w:val="clear" w:pos="360"/>
        </w:tabs>
        <w:suppressAutoHyphens/>
        <w:jc w:val="both"/>
        <w:rPr>
          <w:iCs/>
          <w:kern w:val="22"/>
          <w:sz w:val="22"/>
          <w:szCs w:val="22"/>
          <w:lang w:val="en-GB"/>
        </w:rPr>
      </w:pPr>
      <w:bookmarkStart w:id="5" w:name="_Hlk37942400"/>
      <w:r w:rsidRPr="00B47649">
        <w:rPr>
          <w:iCs/>
          <w:kern w:val="22"/>
          <w:sz w:val="22"/>
          <w:szCs w:val="22"/>
          <w:lang w:val="en-GB"/>
        </w:rPr>
        <w:t>In paragraph 19(e)</w:t>
      </w:r>
      <w:r w:rsidR="004B3207" w:rsidRPr="00B47649">
        <w:rPr>
          <w:iCs/>
          <w:kern w:val="22"/>
          <w:sz w:val="22"/>
          <w:szCs w:val="22"/>
          <w:lang w:val="en-GB"/>
        </w:rPr>
        <w:t xml:space="preserve"> of decision 14/3</w:t>
      </w:r>
      <w:r w:rsidRPr="00B47649">
        <w:rPr>
          <w:iCs/>
          <w:kern w:val="22"/>
          <w:sz w:val="22"/>
          <w:szCs w:val="22"/>
          <w:lang w:val="en-GB"/>
        </w:rPr>
        <w:t xml:space="preserve">, the Executive Secretary was requested </w:t>
      </w:r>
      <w:bookmarkEnd w:id="5"/>
      <w:r w:rsidRPr="00B47649">
        <w:rPr>
          <w:iCs/>
          <w:kern w:val="22"/>
          <w:sz w:val="22"/>
          <w:szCs w:val="22"/>
          <w:lang w:val="en-GB"/>
        </w:rPr>
        <w:t xml:space="preserve">to undertake additional work to examine the role of indigenous peoples and local communities in mainstreaming biodiversity. </w:t>
      </w:r>
      <w:r w:rsidR="00BB5240" w:rsidRPr="00B47649">
        <w:rPr>
          <w:iCs/>
          <w:kern w:val="22"/>
          <w:sz w:val="22"/>
          <w:szCs w:val="22"/>
          <w:lang w:val="en-GB"/>
        </w:rPr>
        <w:t xml:space="preserve">Both the </w:t>
      </w:r>
      <w:r w:rsidR="0026216D" w:rsidRPr="00B47649">
        <w:rPr>
          <w:kern w:val="22"/>
          <w:sz w:val="22"/>
          <w:szCs w:val="22"/>
          <w:lang w:val="en-GB"/>
        </w:rPr>
        <w:t xml:space="preserve">Informal Advisory Group </w:t>
      </w:r>
      <w:r w:rsidR="00BB5240" w:rsidRPr="00B47649">
        <w:rPr>
          <w:iCs/>
          <w:kern w:val="22"/>
          <w:sz w:val="22"/>
          <w:szCs w:val="22"/>
          <w:lang w:val="en-GB"/>
        </w:rPr>
        <w:t xml:space="preserve">and the extended network of partners, by design, included representatives of indigenous peoples and local communities and other rights holders. </w:t>
      </w:r>
      <w:r w:rsidR="008D3AEE">
        <w:rPr>
          <w:iCs/>
          <w:kern w:val="22"/>
          <w:sz w:val="22"/>
          <w:szCs w:val="22"/>
          <w:lang w:val="en-GB"/>
        </w:rPr>
        <w:t>I</w:t>
      </w:r>
      <w:r w:rsidR="008D3AEE" w:rsidRPr="00B47649">
        <w:rPr>
          <w:iCs/>
          <w:kern w:val="22"/>
          <w:sz w:val="22"/>
          <w:szCs w:val="22"/>
          <w:lang w:val="en-GB"/>
        </w:rPr>
        <w:t xml:space="preserve">ndigenous peoples and local communities </w:t>
      </w:r>
      <w:r w:rsidR="00BB5240" w:rsidRPr="00B47649">
        <w:rPr>
          <w:iCs/>
          <w:kern w:val="22"/>
          <w:sz w:val="22"/>
          <w:szCs w:val="22"/>
          <w:lang w:val="en-GB"/>
        </w:rPr>
        <w:t xml:space="preserve">provide a substantial contribution through their </w:t>
      </w:r>
      <w:r w:rsidR="00E2576A" w:rsidRPr="00B47649">
        <w:rPr>
          <w:iCs/>
          <w:kern w:val="22"/>
          <w:sz w:val="22"/>
          <w:szCs w:val="22"/>
          <w:lang w:val="en-GB"/>
        </w:rPr>
        <w:t>t</w:t>
      </w:r>
      <w:r w:rsidR="00BB5240" w:rsidRPr="00B47649">
        <w:rPr>
          <w:iCs/>
          <w:kern w:val="22"/>
          <w:sz w:val="22"/>
          <w:szCs w:val="22"/>
          <w:lang w:val="en-GB"/>
        </w:rPr>
        <w:t xml:space="preserve">raditional </w:t>
      </w:r>
      <w:r w:rsidR="00E2576A" w:rsidRPr="00B47649">
        <w:rPr>
          <w:iCs/>
          <w:kern w:val="22"/>
          <w:sz w:val="22"/>
          <w:szCs w:val="22"/>
          <w:lang w:val="en-GB"/>
        </w:rPr>
        <w:t>k</w:t>
      </w:r>
      <w:r w:rsidR="00BB5240" w:rsidRPr="00B47649">
        <w:rPr>
          <w:iCs/>
          <w:kern w:val="22"/>
          <w:sz w:val="22"/>
          <w:szCs w:val="22"/>
          <w:lang w:val="en-GB"/>
        </w:rPr>
        <w:t xml:space="preserve">nowledge and </w:t>
      </w:r>
      <w:r w:rsidR="00E2576A" w:rsidRPr="00B47649">
        <w:rPr>
          <w:iCs/>
          <w:kern w:val="22"/>
          <w:sz w:val="22"/>
          <w:szCs w:val="22"/>
          <w:lang w:val="en-GB"/>
        </w:rPr>
        <w:t>c</w:t>
      </w:r>
      <w:r w:rsidR="00BB5240" w:rsidRPr="00B47649">
        <w:rPr>
          <w:iCs/>
          <w:kern w:val="22"/>
          <w:sz w:val="22"/>
          <w:szCs w:val="22"/>
          <w:lang w:val="en-GB"/>
        </w:rPr>
        <w:t xml:space="preserve">ustomary </w:t>
      </w:r>
      <w:r w:rsidR="00E2576A" w:rsidRPr="00B47649">
        <w:rPr>
          <w:iCs/>
          <w:kern w:val="22"/>
          <w:sz w:val="22"/>
          <w:szCs w:val="22"/>
          <w:lang w:val="en-GB"/>
        </w:rPr>
        <w:t>s</w:t>
      </w:r>
      <w:r w:rsidR="00BB5240" w:rsidRPr="00B47649">
        <w:rPr>
          <w:iCs/>
          <w:kern w:val="22"/>
          <w:sz w:val="22"/>
          <w:szCs w:val="22"/>
          <w:lang w:val="en-GB"/>
        </w:rPr>
        <w:t xml:space="preserve">ustainable </w:t>
      </w:r>
      <w:r w:rsidR="00E2576A" w:rsidRPr="00B47649">
        <w:rPr>
          <w:iCs/>
          <w:kern w:val="22"/>
          <w:sz w:val="22"/>
          <w:szCs w:val="22"/>
          <w:lang w:val="en-GB"/>
        </w:rPr>
        <w:t>u</w:t>
      </w:r>
      <w:r w:rsidR="00BB5240" w:rsidRPr="00B47649">
        <w:rPr>
          <w:iCs/>
          <w:kern w:val="22"/>
          <w:sz w:val="22"/>
          <w:szCs w:val="22"/>
          <w:lang w:val="en-GB"/>
        </w:rPr>
        <w:t>se</w:t>
      </w:r>
      <w:r w:rsidR="005B18D9" w:rsidRPr="00B47649">
        <w:rPr>
          <w:iCs/>
          <w:kern w:val="22"/>
          <w:sz w:val="22"/>
          <w:szCs w:val="22"/>
          <w:lang w:val="en-GB"/>
        </w:rPr>
        <w:t xml:space="preserve"> of biodiversity</w:t>
      </w:r>
      <w:r w:rsidR="00BB5240" w:rsidRPr="00B47649">
        <w:rPr>
          <w:iCs/>
          <w:kern w:val="22"/>
          <w:sz w:val="22"/>
          <w:szCs w:val="22"/>
          <w:lang w:val="en-GB"/>
        </w:rPr>
        <w:t>; for this reason, the Secretariat has discussed and collected input on mainstreaming from the members of the International Indigenous Forum on Biodiversity (IIFB) through two webinars in October and November 2019.</w:t>
      </w:r>
    </w:p>
    <w:p w14:paraId="57539F3F" w14:textId="5D35A3F9" w:rsidR="00EA30B0" w:rsidRPr="00B47649" w:rsidRDefault="00BB5240" w:rsidP="00B47649">
      <w:pPr>
        <w:pStyle w:val="Para10"/>
        <w:suppressLineNumbers/>
        <w:tabs>
          <w:tab w:val="clear" w:pos="360"/>
        </w:tabs>
        <w:suppressAutoHyphens/>
        <w:jc w:val="both"/>
        <w:rPr>
          <w:kern w:val="22"/>
          <w:sz w:val="22"/>
          <w:szCs w:val="22"/>
          <w:lang w:val="en-GB"/>
        </w:rPr>
      </w:pPr>
      <w:r w:rsidRPr="00B47649">
        <w:rPr>
          <w:iCs/>
          <w:kern w:val="22"/>
          <w:sz w:val="22"/>
          <w:szCs w:val="22"/>
          <w:lang w:val="en-GB"/>
        </w:rPr>
        <w:t xml:space="preserve">In </w:t>
      </w:r>
      <w:r w:rsidRPr="00B47649">
        <w:rPr>
          <w:kern w:val="22"/>
          <w:sz w:val="22"/>
          <w:szCs w:val="22"/>
          <w:lang w:val="en-GB"/>
        </w:rPr>
        <w:t>paragraph</w:t>
      </w:r>
      <w:r w:rsidRPr="00B47649">
        <w:rPr>
          <w:iCs/>
          <w:kern w:val="22"/>
          <w:sz w:val="22"/>
          <w:szCs w:val="22"/>
          <w:lang w:val="en-GB"/>
        </w:rPr>
        <w:t xml:space="preserve"> 19(g), the Executive Secretary was requested to continue organizing, in collaboration with relevant organizations and stakeholders, in conjunction with other capacity</w:t>
      </w:r>
      <w:r w:rsidR="00074C38" w:rsidRPr="00B47649">
        <w:rPr>
          <w:iCs/>
          <w:kern w:val="22"/>
          <w:sz w:val="22"/>
          <w:szCs w:val="22"/>
          <w:lang w:val="en-GB"/>
        </w:rPr>
        <w:t>-</w:t>
      </w:r>
      <w:r w:rsidRPr="00B47649">
        <w:rPr>
          <w:iCs/>
          <w:kern w:val="22"/>
          <w:sz w:val="22"/>
          <w:szCs w:val="22"/>
          <w:lang w:val="en-GB"/>
        </w:rPr>
        <w:t xml:space="preserve">building activities, forums for discussion and exchange of experiences with respect to mainstreaming of biodiversity in key sectors, including on a regional basis. Such exchange of </w:t>
      </w:r>
      <w:r w:rsidRPr="00B47649">
        <w:rPr>
          <w:kern w:val="22"/>
          <w:sz w:val="22"/>
          <w:szCs w:val="22"/>
          <w:lang w:val="en-GB"/>
        </w:rPr>
        <w:t xml:space="preserve">experiences was facilitated by the choice of experts and organizations composing the </w:t>
      </w:r>
      <w:r w:rsidR="00AC1DE4" w:rsidRPr="00B47649">
        <w:rPr>
          <w:kern w:val="22"/>
          <w:sz w:val="22"/>
          <w:szCs w:val="22"/>
          <w:lang w:val="en-GB"/>
        </w:rPr>
        <w:t xml:space="preserve">Informal Advisory Group </w:t>
      </w:r>
      <w:r w:rsidRPr="00B47649">
        <w:rPr>
          <w:kern w:val="22"/>
          <w:sz w:val="22"/>
          <w:szCs w:val="22"/>
          <w:lang w:val="en-GB"/>
        </w:rPr>
        <w:t xml:space="preserve">and the extended network. In parallel to the work of the group, the Secretariat liaised with a broader and open network of partners, including the World Bank, the International Petroleum Industry Environmental Conservation Association (IPIECA), and the International Council on Mining and Minerals (ICMM), also through the </w:t>
      </w:r>
      <w:r w:rsidRPr="00B47649">
        <w:rPr>
          <w:kern w:val="22"/>
          <w:sz w:val="22"/>
          <w:szCs w:val="22"/>
          <w:shd w:val="clear" w:color="auto" w:fill="FFFFFF"/>
          <w:lang w:val="en-GB"/>
        </w:rPr>
        <w:t xml:space="preserve">Cross-Sector Biodiversity Initiative of the </w:t>
      </w:r>
      <w:r w:rsidRPr="00B47649">
        <w:rPr>
          <w:rStyle w:val="Emphasis"/>
          <w:bCs/>
          <w:i w:val="0"/>
          <w:iCs w:val="0"/>
          <w:kern w:val="22"/>
          <w:sz w:val="22"/>
          <w:szCs w:val="22"/>
          <w:shd w:val="clear" w:color="auto" w:fill="FFFFFF"/>
          <w:lang w:val="en-GB"/>
        </w:rPr>
        <w:lastRenderedPageBreak/>
        <w:t>Equator Principles</w:t>
      </w:r>
      <w:r w:rsidRPr="00B47649">
        <w:rPr>
          <w:kern w:val="22"/>
          <w:sz w:val="22"/>
          <w:szCs w:val="22"/>
          <w:shd w:val="clear" w:color="auto" w:fill="FFFFFF"/>
          <w:lang w:val="en-GB"/>
        </w:rPr>
        <w:t xml:space="preserve"> Association, as well as, regarding </w:t>
      </w:r>
      <w:r w:rsidRPr="00B47649">
        <w:rPr>
          <w:kern w:val="22"/>
          <w:sz w:val="22"/>
          <w:szCs w:val="22"/>
          <w:lang w:val="en-GB"/>
        </w:rPr>
        <w:t>infrastructure and extractives, the Global Cement and Concrete Association (GCCA), as successor to the Concrete Sustainability Initiative.</w:t>
      </w:r>
    </w:p>
    <w:p w14:paraId="1D5D49D0" w14:textId="47977C81" w:rsidR="002820BC" w:rsidRPr="00B47649" w:rsidRDefault="00F6297E"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 xml:space="preserve">With </w:t>
      </w:r>
      <w:r w:rsidRPr="00B47649">
        <w:rPr>
          <w:kern w:val="22"/>
          <w:sz w:val="22"/>
          <w:szCs w:val="22"/>
          <w:lang w:val="en-GB"/>
        </w:rPr>
        <w:t>the</w:t>
      </w:r>
      <w:r w:rsidRPr="00B47649">
        <w:rPr>
          <w:iCs/>
          <w:kern w:val="22"/>
          <w:sz w:val="22"/>
          <w:szCs w:val="22"/>
          <w:lang w:val="en-GB"/>
        </w:rPr>
        <w:t xml:space="preserve"> support of </w:t>
      </w:r>
      <w:r w:rsidRPr="00B47649">
        <w:rPr>
          <w:kern w:val="22"/>
          <w:sz w:val="22"/>
          <w:szCs w:val="22"/>
          <w:lang w:val="en-GB"/>
        </w:rPr>
        <w:t>the</w:t>
      </w:r>
      <w:r w:rsidRPr="00B47649">
        <w:rPr>
          <w:iCs/>
          <w:kern w:val="22"/>
          <w:sz w:val="22"/>
          <w:szCs w:val="22"/>
          <w:lang w:val="en-GB"/>
        </w:rPr>
        <w:t xml:space="preserve"> J</w:t>
      </w:r>
      <w:r w:rsidR="001B713B" w:rsidRPr="00B47649">
        <w:rPr>
          <w:iCs/>
          <w:kern w:val="22"/>
          <w:sz w:val="22"/>
          <w:szCs w:val="22"/>
          <w:lang w:val="en-GB"/>
        </w:rPr>
        <w:t>apan Biodiversity Fund</w:t>
      </w:r>
      <w:r w:rsidRPr="00B47649">
        <w:rPr>
          <w:iCs/>
          <w:kern w:val="22"/>
          <w:sz w:val="22"/>
          <w:szCs w:val="22"/>
          <w:lang w:val="en-GB"/>
        </w:rPr>
        <w:t xml:space="preserve">, </w:t>
      </w:r>
      <w:r w:rsidR="00547641" w:rsidRPr="00B47649">
        <w:rPr>
          <w:iCs/>
          <w:kern w:val="22"/>
          <w:sz w:val="22"/>
          <w:szCs w:val="22"/>
          <w:lang w:val="en-GB"/>
        </w:rPr>
        <w:t xml:space="preserve">the Secretariat </w:t>
      </w:r>
      <w:r w:rsidR="00581D56" w:rsidRPr="00B47649">
        <w:rPr>
          <w:iCs/>
          <w:kern w:val="22"/>
          <w:sz w:val="22"/>
          <w:szCs w:val="22"/>
          <w:lang w:val="en-GB"/>
        </w:rPr>
        <w:t xml:space="preserve">implemented </w:t>
      </w:r>
      <w:r w:rsidRPr="00B47649">
        <w:rPr>
          <w:iCs/>
          <w:kern w:val="22"/>
          <w:sz w:val="22"/>
          <w:szCs w:val="22"/>
          <w:lang w:val="en-GB"/>
        </w:rPr>
        <w:t xml:space="preserve">a two-phased project </w:t>
      </w:r>
      <w:r w:rsidR="00581D56" w:rsidRPr="00B47649">
        <w:rPr>
          <w:iCs/>
          <w:kern w:val="22"/>
          <w:sz w:val="22"/>
          <w:szCs w:val="22"/>
          <w:lang w:val="en-GB"/>
        </w:rPr>
        <w:t>to support Parties in enhancing their efforts to</w:t>
      </w:r>
      <w:r w:rsidRPr="00B47649">
        <w:rPr>
          <w:iCs/>
          <w:kern w:val="22"/>
          <w:sz w:val="22"/>
          <w:szCs w:val="22"/>
          <w:lang w:val="en-GB"/>
        </w:rPr>
        <w:t xml:space="preserve"> mainstream biosafety</w:t>
      </w:r>
      <w:r w:rsidR="00FB7A7A" w:rsidRPr="00B47649">
        <w:rPr>
          <w:iCs/>
          <w:kern w:val="22"/>
          <w:sz w:val="22"/>
          <w:szCs w:val="22"/>
          <w:lang w:val="en-GB"/>
        </w:rPr>
        <w:t xml:space="preserve"> from</w:t>
      </w:r>
      <w:r w:rsidRPr="00B47649">
        <w:rPr>
          <w:iCs/>
          <w:kern w:val="22"/>
          <w:sz w:val="22"/>
          <w:szCs w:val="22"/>
          <w:lang w:val="en-GB"/>
        </w:rPr>
        <w:t xml:space="preserve"> 201</w:t>
      </w:r>
      <w:r w:rsidR="00FB7A7A" w:rsidRPr="00B47649">
        <w:rPr>
          <w:iCs/>
          <w:kern w:val="22"/>
          <w:sz w:val="22"/>
          <w:szCs w:val="22"/>
          <w:lang w:val="en-GB"/>
        </w:rPr>
        <w:t xml:space="preserve">5 to </w:t>
      </w:r>
      <w:r w:rsidRPr="00B47649">
        <w:rPr>
          <w:iCs/>
          <w:kern w:val="22"/>
          <w:sz w:val="22"/>
          <w:szCs w:val="22"/>
          <w:lang w:val="en-GB"/>
        </w:rPr>
        <w:t xml:space="preserve">2019. </w:t>
      </w:r>
      <w:r w:rsidR="00FB7A7A" w:rsidRPr="00B47649">
        <w:rPr>
          <w:iCs/>
          <w:kern w:val="22"/>
          <w:sz w:val="22"/>
          <w:szCs w:val="22"/>
          <w:lang w:val="en-GB"/>
        </w:rPr>
        <w:t>In this context,</w:t>
      </w:r>
      <w:r w:rsidRPr="00B47649">
        <w:rPr>
          <w:iCs/>
          <w:kern w:val="22"/>
          <w:sz w:val="22"/>
          <w:szCs w:val="22"/>
          <w:lang w:val="en-GB"/>
        </w:rPr>
        <w:t xml:space="preserve"> 20 Parties </w:t>
      </w:r>
      <w:r w:rsidR="00824BB1" w:rsidRPr="00B47649">
        <w:rPr>
          <w:iCs/>
          <w:kern w:val="22"/>
          <w:sz w:val="22"/>
          <w:szCs w:val="22"/>
          <w:lang w:val="en-GB"/>
        </w:rPr>
        <w:t xml:space="preserve">to the Cartagena Protocol carried out </w:t>
      </w:r>
      <w:r w:rsidRPr="00B47649">
        <w:rPr>
          <w:iCs/>
          <w:kern w:val="22"/>
          <w:sz w:val="22"/>
          <w:szCs w:val="22"/>
          <w:lang w:val="en-GB"/>
        </w:rPr>
        <w:t>national level activities</w:t>
      </w:r>
      <w:r w:rsidR="00DA15D9" w:rsidRPr="00B47649">
        <w:rPr>
          <w:iCs/>
          <w:kern w:val="22"/>
          <w:sz w:val="22"/>
          <w:szCs w:val="22"/>
          <w:lang w:val="en-GB"/>
        </w:rPr>
        <w:t xml:space="preserve"> and</w:t>
      </w:r>
      <w:r w:rsidRPr="00B47649">
        <w:rPr>
          <w:iCs/>
          <w:kern w:val="22"/>
          <w:sz w:val="22"/>
          <w:szCs w:val="22"/>
          <w:lang w:val="en-GB"/>
        </w:rPr>
        <w:t xml:space="preserve"> 30 Parties took </w:t>
      </w:r>
      <w:r w:rsidR="00824BB1" w:rsidRPr="00B47649">
        <w:rPr>
          <w:iCs/>
          <w:kern w:val="22"/>
          <w:sz w:val="22"/>
          <w:szCs w:val="22"/>
          <w:lang w:val="en-GB"/>
        </w:rPr>
        <w:t xml:space="preserve">part </w:t>
      </w:r>
      <w:r w:rsidRPr="00B47649">
        <w:rPr>
          <w:iCs/>
          <w:kern w:val="22"/>
          <w:sz w:val="22"/>
          <w:szCs w:val="22"/>
          <w:lang w:val="en-GB"/>
        </w:rPr>
        <w:t xml:space="preserve">in regional </w:t>
      </w:r>
      <w:r w:rsidR="00824BB1" w:rsidRPr="00B47649">
        <w:rPr>
          <w:iCs/>
          <w:kern w:val="22"/>
          <w:sz w:val="22"/>
          <w:szCs w:val="22"/>
          <w:lang w:val="en-GB"/>
        </w:rPr>
        <w:t xml:space="preserve">level </w:t>
      </w:r>
      <w:r w:rsidRPr="00B47649">
        <w:rPr>
          <w:iCs/>
          <w:kern w:val="22"/>
          <w:sz w:val="22"/>
          <w:szCs w:val="22"/>
          <w:lang w:val="en-GB"/>
        </w:rPr>
        <w:t>activities</w:t>
      </w:r>
      <w:r w:rsidR="0000328D" w:rsidRPr="00B47649">
        <w:rPr>
          <w:iCs/>
          <w:kern w:val="22"/>
          <w:sz w:val="22"/>
          <w:szCs w:val="22"/>
          <w:lang w:val="en-GB"/>
        </w:rPr>
        <w:t xml:space="preserve"> aimed at brin</w:t>
      </w:r>
      <w:r w:rsidR="00F254F7" w:rsidRPr="00B47649">
        <w:rPr>
          <w:iCs/>
          <w:kern w:val="22"/>
          <w:sz w:val="22"/>
          <w:szCs w:val="22"/>
          <w:lang w:val="en-GB"/>
        </w:rPr>
        <w:t>g</w:t>
      </w:r>
      <w:r w:rsidR="0000328D" w:rsidRPr="00B47649">
        <w:rPr>
          <w:iCs/>
          <w:kern w:val="22"/>
          <w:sz w:val="22"/>
          <w:szCs w:val="22"/>
          <w:lang w:val="en-GB"/>
        </w:rPr>
        <w:t xml:space="preserve">ing together stakeholders from various sectors to </w:t>
      </w:r>
      <w:r w:rsidR="00F254F7" w:rsidRPr="00B47649">
        <w:rPr>
          <w:iCs/>
          <w:kern w:val="22"/>
          <w:sz w:val="22"/>
          <w:szCs w:val="22"/>
          <w:lang w:val="en-GB"/>
        </w:rPr>
        <w:t>plan</w:t>
      </w:r>
      <w:r w:rsidR="001D4A0F" w:rsidRPr="00B47649">
        <w:rPr>
          <w:iCs/>
          <w:kern w:val="22"/>
          <w:sz w:val="22"/>
          <w:szCs w:val="22"/>
          <w:lang w:val="en-GB"/>
        </w:rPr>
        <w:t xml:space="preserve"> practical </w:t>
      </w:r>
      <w:r w:rsidR="00F254F7" w:rsidRPr="00B47649">
        <w:rPr>
          <w:iCs/>
          <w:kern w:val="22"/>
          <w:sz w:val="22"/>
          <w:szCs w:val="22"/>
          <w:lang w:val="en-GB"/>
        </w:rPr>
        <w:t>actions</w:t>
      </w:r>
      <w:r w:rsidR="001D4A0F" w:rsidRPr="00B47649">
        <w:rPr>
          <w:iCs/>
          <w:kern w:val="22"/>
          <w:sz w:val="22"/>
          <w:szCs w:val="22"/>
          <w:lang w:val="en-GB"/>
        </w:rPr>
        <w:t xml:space="preserve"> </w:t>
      </w:r>
      <w:r w:rsidR="00F254F7" w:rsidRPr="00B47649">
        <w:rPr>
          <w:iCs/>
          <w:kern w:val="22"/>
          <w:sz w:val="22"/>
          <w:szCs w:val="22"/>
          <w:lang w:val="en-GB"/>
        </w:rPr>
        <w:t xml:space="preserve">to </w:t>
      </w:r>
      <w:r w:rsidR="001D4A0F" w:rsidRPr="00B47649">
        <w:rPr>
          <w:iCs/>
          <w:kern w:val="22"/>
          <w:sz w:val="22"/>
          <w:szCs w:val="22"/>
          <w:lang w:val="en-GB"/>
        </w:rPr>
        <w:t>mainstream biosafety</w:t>
      </w:r>
      <w:r w:rsidR="005F2862" w:rsidRPr="00B47649">
        <w:rPr>
          <w:iCs/>
          <w:kern w:val="22"/>
          <w:sz w:val="22"/>
          <w:szCs w:val="22"/>
          <w:lang w:val="en-GB"/>
        </w:rPr>
        <w:t>, which resulted in the development of strategies to mainstreaming biosafety</w:t>
      </w:r>
      <w:r w:rsidR="00DA15D9" w:rsidRPr="00B47649">
        <w:rPr>
          <w:iCs/>
          <w:kern w:val="22"/>
          <w:sz w:val="22"/>
          <w:szCs w:val="22"/>
          <w:lang w:val="en-GB"/>
        </w:rPr>
        <w:t xml:space="preserve">. In addition, </w:t>
      </w:r>
      <w:r w:rsidRPr="00B47649">
        <w:rPr>
          <w:iCs/>
          <w:kern w:val="22"/>
          <w:sz w:val="22"/>
          <w:szCs w:val="22"/>
          <w:lang w:val="en-GB"/>
        </w:rPr>
        <w:t>a series of global e-learning materials were developed, showcasing practical ways of mainstreaming biosafety in policies, laws and institutions</w:t>
      </w:r>
      <w:r w:rsidR="00DA15D9" w:rsidRPr="00B47649">
        <w:rPr>
          <w:iCs/>
          <w:kern w:val="22"/>
          <w:sz w:val="22"/>
          <w:szCs w:val="22"/>
          <w:lang w:val="en-GB"/>
        </w:rPr>
        <w:t>, based on country</w:t>
      </w:r>
      <w:r w:rsidR="009E6202">
        <w:rPr>
          <w:iCs/>
          <w:kern w:val="22"/>
          <w:sz w:val="22"/>
          <w:szCs w:val="22"/>
          <w:lang w:val="en-GB"/>
        </w:rPr>
        <w:t xml:space="preserve"> </w:t>
      </w:r>
      <w:r w:rsidR="00DA15D9" w:rsidRPr="00B47649">
        <w:rPr>
          <w:iCs/>
          <w:kern w:val="22"/>
          <w:sz w:val="22"/>
          <w:szCs w:val="22"/>
          <w:lang w:val="en-GB"/>
        </w:rPr>
        <w:t>experience</w:t>
      </w:r>
      <w:r w:rsidR="00C752FE" w:rsidRPr="00B47649">
        <w:rPr>
          <w:iCs/>
          <w:kern w:val="22"/>
          <w:sz w:val="22"/>
          <w:szCs w:val="22"/>
          <w:lang w:val="en-GB"/>
        </w:rPr>
        <w:t>s</w:t>
      </w:r>
      <w:r w:rsidRPr="00B47649">
        <w:rPr>
          <w:iCs/>
          <w:kern w:val="22"/>
          <w:sz w:val="22"/>
          <w:szCs w:val="22"/>
          <w:lang w:val="en-GB"/>
        </w:rPr>
        <w:t>. The project was successful in bringing together stakeholders from different sectors</w:t>
      </w:r>
      <w:r w:rsidR="00170B25" w:rsidRPr="00B47649">
        <w:rPr>
          <w:iCs/>
          <w:kern w:val="22"/>
          <w:sz w:val="22"/>
          <w:szCs w:val="22"/>
          <w:lang w:val="en-GB"/>
        </w:rPr>
        <w:t>, including environment, agriculture and finance</w:t>
      </w:r>
      <w:r w:rsidR="008851D5">
        <w:rPr>
          <w:iCs/>
          <w:kern w:val="22"/>
          <w:sz w:val="22"/>
          <w:szCs w:val="22"/>
          <w:lang w:val="en-GB"/>
        </w:rPr>
        <w:t>,</w:t>
      </w:r>
      <w:r w:rsidR="00C752FE" w:rsidRPr="00B47649">
        <w:rPr>
          <w:iCs/>
          <w:kern w:val="22"/>
          <w:sz w:val="22"/>
          <w:szCs w:val="22"/>
          <w:lang w:val="en-GB"/>
        </w:rPr>
        <w:t xml:space="preserve"> and resulted in </w:t>
      </w:r>
      <w:r w:rsidR="006F27F0" w:rsidRPr="00B47649">
        <w:rPr>
          <w:iCs/>
          <w:kern w:val="22"/>
          <w:sz w:val="22"/>
          <w:szCs w:val="22"/>
          <w:lang w:val="en-GB"/>
        </w:rPr>
        <w:t>a number of important tangible results.</w:t>
      </w:r>
      <w:r w:rsidR="00C76BEA" w:rsidRPr="00B47649">
        <w:rPr>
          <w:iCs/>
          <w:kern w:val="22"/>
          <w:sz w:val="22"/>
          <w:szCs w:val="22"/>
          <w:lang w:val="en-GB"/>
        </w:rPr>
        <w:t xml:space="preserve"> The project was developed in response to </w:t>
      </w:r>
      <w:r w:rsidR="00BA0454" w:rsidRPr="00B47649">
        <w:rPr>
          <w:iCs/>
          <w:kern w:val="22"/>
          <w:sz w:val="22"/>
          <w:szCs w:val="22"/>
          <w:lang w:val="en-GB"/>
        </w:rPr>
        <w:t xml:space="preserve">and in line with </w:t>
      </w:r>
      <w:r w:rsidR="00C76BEA" w:rsidRPr="00B47649">
        <w:rPr>
          <w:iCs/>
          <w:kern w:val="22"/>
          <w:sz w:val="22"/>
          <w:szCs w:val="22"/>
          <w:lang w:val="en-GB"/>
        </w:rPr>
        <w:t xml:space="preserve">the Strategic Plan for the Cartagena Protocol </w:t>
      </w:r>
      <w:r w:rsidR="0017226B" w:rsidRPr="00B47649">
        <w:rPr>
          <w:iCs/>
          <w:kern w:val="22"/>
          <w:sz w:val="22"/>
          <w:szCs w:val="22"/>
          <w:lang w:val="en-GB"/>
        </w:rPr>
        <w:t>on Biosafety for the period 2011-2020 as well as decision</w:t>
      </w:r>
      <w:r w:rsidR="00BA0454" w:rsidRPr="00B47649">
        <w:rPr>
          <w:iCs/>
          <w:kern w:val="22"/>
          <w:sz w:val="22"/>
          <w:szCs w:val="22"/>
          <w:lang w:val="en-GB"/>
        </w:rPr>
        <w:t xml:space="preserve">s </w:t>
      </w:r>
      <w:hyperlink r:id="rId18" w:history="1">
        <w:r w:rsidR="00BA0454" w:rsidRPr="00B47649">
          <w:rPr>
            <w:rStyle w:val="Hyperlink"/>
            <w:iCs/>
            <w:kern w:val="22"/>
            <w:sz w:val="22"/>
            <w:szCs w:val="22"/>
            <w:lang w:val="en-GB"/>
          </w:rPr>
          <w:t>BS-VII/5</w:t>
        </w:r>
      </w:hyperlink>
      <w:r w:rsidR="001A2C15" w:rsidRPr="00B47649">
        <w:rPr>
          <w:iCs/>
          <w:kern w:val="22"/>
          <w:sz w:val="22"/>
          <w:szCs w:val="22"/>
          <w:lang w:val="en-GB"/>
        </w:rPr>
        <w:t xml:space="preserve"> and</w:t>
      </w:r>
      <w:r w:rsidR="00BA0454" w:rsidRPr="00B47649">
        <w:rPr>
          <w:iCs/>
          <w:kern w:val="22"/>
          <w:sz w:val="22"/>
          <w:szCs w:val="22"/>
          <w:lang w:val="en-GB"/>
        </w:rPr>
        <w:t xml:space="preserve"> </w:t>
      </w:r>
      <w:hyperlink r:id="rId19" w:history="1">
        <w:r w:rsidR="00BA0454" w:rsidRPr="00B47649">
          <w:rPr>
            <w:rStyle w:val="Hyperlink"/>
            <w:iCs/>
            <w:kern w:val="22"/>
            <w:sz w:val="22"/>
            <w:szCs w:val="22"/>
            <w:lang w:val="en-GB"/>
          </w:rPr>
          <w:t>CP-VIII/15</w:t>
        </w:r>
      </w:hyperlink>
      <w:r w:rsidR="001A2C15" w:rsidRPr="00B47649">
        <w:rPr>
          <w:iCs/>
          <w:kern w:val="22"/>
          <w:sz w:val="22"/>
          <w:szCs w:val="22"/>
          <w:lang w:val="en-GB"/>
        </w:rPr>
        <w:t>.</w:t>
      </w:r>
      <w:r w:rsidR="006F27F0" w:rsidRPr="00B47649">
        <w:rPr>
          <w:rStyle w:val="FootnoteReference"/>
          <w:rFonts w:asciiTheme="majorBidi" w:hAnsiTheme="majorBidi" w:cstheme="majorBidi"/>
          <w:kern w:val="22"/>
          <w:szCs w:val="22"/>
          <w:lang w:val="en-GB"/>
        </w:rPr>
        <w:footnoteReference w:id="7"/>
      </w:r>
    </w:p>
    <w:p w14:paraId="6FF4C1EA" w14:textId="3FC238A2" w:rsidR="00BB5240" w:rsidRPr="00B47649" w:rsidRDefault="00BB5240"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In addition, interest from relevant economic sectors and associated business-led initiatives is increasing the discussions on the post-2020 global biodiversity framework pr</w:t>
      </w:r>
      <w:r w:rsidR="003912C9" w:rsidRPr="00B47649">
        <w:rPr>
          <w:iCs/>
          <w:kern w:val="22"/>
          <w:sz w:val="22"/>
          <w:szCs w:val="22"/>
          <w:lang w:val="en-GB"/>
        </w:rPr>
        <w:t xml:space="preserve">ovided </w:t>
      </w:r>
      <w:r w:rsidRPr="00B47649">
        <w:rPr>
          <w:iCs/>
          <w:kern w:val="22"/>
          <w:sz w:val="22"/>
          <w:szCs w:val="22"/>
          <w:lang w:val="en-GB"/>
        </w:rPr>
        <w:t xml:space="preserve">opportunity for different </w:t>
      </w:r>
      <w:r w:rsidR="003912C9" w:rsidRPr="00B47649">
        <w:rPr>
          <w:iCs/>
          <w:kern w:val="22"/>
          <w:sz w:val="22"/>
          <w:szCs w:val="22"/>
          <w:lang w:val="en-GB"/>
        </w:rPr>
        <w:t>initiatives to join forces</w:t>
      </w:r>
      <w:r w:rsidRPr="00B47649">
        <w:rPr>
          <w:iCs/>
          <w:kern w:val="22"/>
          <w:sz w:val="22"/>
          <w:szCs w:val="22"/>
          <w:lang w:val="en-GB"/>
        </w:rPr>
        <w:t xml:space="preserve">. As a result, </w:t>
      </w:r>
      <w:r w:rsidR="003912C9" w:rsidRPr="00B47649">
        <w:rPr>
          <w:iCs/>
          <w:kern w:val="22"/>
          <w:sz w:val="22"/>
          <w:szCs w:val="22"/>
          <w:lang w:val="en-GB"/>
        </w:rPr>
        <w:t xml:space="preserve">several </w:t>
      </w:r>
      <w:r w:rsidRPr="00B47649">
        <w:rPr>
          <w:iCs/>
          <w:kern w:val="22"/>
          <w:sz w:val="22"/>
          <w:szCs w:val="22"/>
          <w:lang w:val="en-GB"/>
        </w:rPr>
        <w:t xml:space="preserve">collaborative platforms </w:t>
      </w:r>
      <w:r w:rsidR="003912C9" w:rsidRPr="00B47649">
        <w:rPr>
          <w:iCs/>
          <w:kern w:val="22"/>
          <w:sz w:val="22"/>
          <w:szCs w:val="22"/>
          <w:lang w:val="en-GB"/>
        </w:rPr>
        <w:t xml:space="preserve">were </w:t>
      </w:r>
      <w:r w:rsidRPr="00B47649">
        <w:rPr>
          <w:iCs/>
          <w:kern w:val="22"/>
          <w:sz w:val="22"/>
          <w:szCs w:val="22"/>
          <w:lang w:val="en-GB"/>
        </w:rPr>
        <w:t>created</w:t>
      </w:r>
      <w:r w:rsidR="003912C9" w:rsidRPr="00B47649">
        <w:rPr>
          <w:iCs/>
          <w:kern w:val="22"/>
          <w:sz w:val="22"/>
          <w:szCs w:val="22"/>
          <w:lang w:val="en-GB"/>
        </w:rPr>
        <w:t xml:space="preserve"> which could </w:t>
      </w:r>
      <w:r w:rsidRPr="00B47649">
        <w:rPr>
          <w:iCs/>
          <w:kern w:val="22"/>
          <w:sz w:val="22"/>
          <w:szCs w:val="22"/>
          <w:lang w:val="en-GB"/>
        </w:rPr>
        <w:t xml:space="preserve">play a significant role in </w:t>
      </w:r>
      <w:r w:rsidR="003912C9" w:rsidRPr="00B47649">
        <w:rPr>
          <w:iCs/>
          <w:kern w:val="22"/>
          <w:sz w:val="22"/>
          <w:szCs w:val="22"/>
          <w:lang w:val="en-GB"/>
        </w:rPr>
        <w:t xml:space="preserve">supporting </w:t>
      </w:r>
      <w:r w:rsidRPr="00B47649">
        <w:rPr>
          <w:iCs/>
          <w:kern w:val="22"/>
          <w:sz w:val="22"/>
          <w:szCs w:val="22"/>
          <w:lang w:val="en-GB"/>
        </w:rPr>
        <w:t xml:space="preserve">implementation of the </w:t>
      </w:r>
      <w:r w:rsidR="003912C9" w:rsidRPr="00B47649">
        <w:rPr>
          <w:iCs/>
          <w:kern w:val="22"/>
          <w:sz w:val="22"/>
          <w:szCs w:val="22"/>
          <w:lang w:val="en-GB"/>
        </w:rPr>
        <w:t xml:space="preserve">global biodiversity framework and its </w:t>
      </w:r>
      <w:r w:rsidRPr="00B47649">
        <w:rPr>
          <w:iCs/>
          <w:kern w:val="22"/>
          <w:sz w:val="22"/>
          <w:szCs w:val="22"/>
          <w:lang w:val="en-GB"/>
        </w:rPr>
        <w:t xml:space="preserve">mainstreaming </w:t>
      </w:r>
      <w:r w:rsidR="003912C9" w:rsidRPr="00B47649">
        <w:rPr>
          <w:iCs/>
          <w:kern w:val="22"/>
          <w:sz w:val="22"/>
          <w:szCs w:val="22"/>
          <w:lang w:val="en-GB"/>
        </w:rPr>
        <w:t>elements</w:t>
      </w:r>
      <w:r w:rsidRPr="00B47649">
        <w:rPr>
          <w:iCs/>
          <w:kern w:val="22"/>
          <w:sz w:val="22"/>
          <w:szCs w:val="22"/>
          <w:lang w:val="en-GB"/>
        </w:rPr>
        <w:t xml:space="preserve">. </w:t>
      </w:r>
      <w:r w:rsidR="00477E59" w:rsidRPr="00B47649">
        <w:rPr>
          <w:iCs/>
          <w:kern w:val="22"/>
          <w:sz w:val="22"/>
          <w:szCs w:val="22"/>
          <w:lang w:val="en-GB"/>
        </w:rPr>
        <w:t xml:space="preserve">For instance, </w:t>
      </w:r>
      <w:r w:rsidR="00290236" w:rsidRPr="00B47649">
        <w:rPr>
          <w:iCs/>
          <w:kern w:val="22"/>
          <w:sz w:val="22"/>
          <w:szCs w:val="22"/>
          <w:lang w:val="en-GB"/>
        </w:rPr>
        <w:t xml:space="preserve">WEF </w:t>
      </w:r>
      <w:r w:rsidR="00477E59" w:rsidRPr="00B47649">
        <w:rPr>
          <w:iCs/>
          <w:kern w:val="22"/>
          <w:sz w:val="22"/>
          <w:szCs w:val="22"/>
          <w:lang w:val="en-GB"/>
        </w:rPr>
        <w:t xml:space="preserve">has curated partnerships of relevance to the work </w:t>
      </w:r>
      <w:r w:rsidR="00620A56" w:rsidRPr="00B47649">
        <w:rPr>
          <w:iCs/>
          <w:kern w:val="22"/>
          <w:sz w:val="22"/>
          <w:szCs w:val="22"/>
          <w:lang w:val="en-GB"/>
        </w:rPr>
        <w:t xml:space="preserve">of the Convention on Biological Diversity </w:t>
      </w:r>
      <w:r w:rsidR="00477E59" w:rsidRPr="00B47649">
        <w:rPr>
          <w:iCs/>
          <w:kern w:val="22"/>
          <w:sz w:val="22"/>
          <w:szCs w:val="22"/>
          <w:lang w:val="en-GB"/>
        </w:rPr>
        <w:t xml:space="preserve">on mainstreaming, which are represented in the </w:t>
      </w:r>
      <w:r w:rsidR="00AC1DE4" w:rsidRPr="00B47649">
        <w:rPr>
          <w:kern w:val="22"/>
          <w:sz w:val="22"/>
          <w:szCs w:val="22"/>
          <w:lang w:val="en-GB"/>
        </w:rPr>
        <w:t xml:space="preserve">Informal Advisory Group </w:t>
      </w:r>
      <w:r w:rsidR="00477E59" w:rsidRPr="00B47649">
        <w:rPr>
          <w:iCs/>
          <w:kern w:val="22"/>
          <w:sz w:val="22"/>
          <w:szCs w:val="22"/>
          <w:lang w:val="en-GB"/>
        </w:rPr>
        <w:t xml:space="preserve">and the broader network of partners, such as the Food and Land Use Coalition and the Friends of Ocean Action network. The WEF and the World Business Council for Sustainable Development, </w:t>
      </w:r>
      <w:r w:rsidR="006D1717" w:rsidRPr="00B47649">
        <w:rPr>
          <w:iCs/>
          <w:kern w:val="22"/>
          <w:sz w:val="22"/>
          <w:szCs w:val="22"/>
          <w:lang w:val="en-GB"/>
        </w:rPr>
        <w:t>b</w:t>
      </w:r>
      <w:r w:rsidR="00A30C1D" w:rsidRPr="00B47649">
        <w:rPr>
          <w:iCs/>
          <w:kern w:val="22"/>
          <w:sz w:val="22"/>
          <w:szCs w:val="22"/>
          <w:lang w:val="en-GB"/>
        </w:rPr>
        <w:t>oth</w:t>
      </w:r>
      <w:r w:rsidR="00477E59" w:rsidRPr="00B47649">
        <w:rPr>
          <w:iCs/>
          <w:kern w:val="22"/>
          <w:sz w:val="22"/>
          <w:szCs w:val="22"/>
          <w:lang w:val="en-GB"/>
        </w:rPr>
        <w:t xml:space="preserve"> member</w:t>
      </w:r>
      <w:r w:rsidR="00A30C1D" w:rsidRPr="00B47649">
        <w:rPr>
          <w:iCs/>
          <w:kern w:val="22"/>
          <w:sz w:val="22"/>
          <w:szCs w:val="22"/>
          <w:lang w:val="en-GB"/>
        </w:rPr>
        <w:t>s</w:t>
      </w:r>
      <w:r w:rsidR="00477E59" w:rsidRPr="00B47649">
        <w:rPr>
          <w:iCs/>
          <w:kern w:val="22"/>
          <w:sz w:val="22"/>
          <w:szCs w:val="22"/>
          <w:lang w:val="en-GB"/>
        </w:rPr>
        <w:t xml:space="preserve"> of the </w:t>
      </w:r>
      <w:r w:rsidR="000953E3" w:rsidRPr="00B47649">
        <w:rPr>
          <w:iCs/>
          <w:kern w:val="22"/>
          <w:sz w:val="22"/>
          <w:szCs w:val="22"/>
          <w:lang w:val="en-GB"/>
        </w:rPr>
        <w:t>Informal Advisory Group</w:t>
      </w:r>
      <w:r w:rsidR="00477E59" w:rsidRPr="00B47649">
        <w:rPr>
          <w:iCs/>
          <w:kern w:val="22"/>
          <w:sz w:val="22"/>
          <w:szCs w:val="22"/>
          <w:lang w:val="en-GB"/>
        </w:rPr>
        <w:t xml:space="preserve">, have launched the Business for Nature initiative. </w:t>
      </w:r>
      <w:r w:rsidR="006D1717" w:rsidRPr="00B47649">
        <w:rPr>
          <w:iCs/>
          <w:kern w:val="22"/>
          <w:sz w:val="22"/>
          <w:szCs w:val="22"/>
          <w:lang w:val="en-GB"/>
        </w:rPr>
        <w:t xml:space="preserve">Other </w:t>
      </w:r>
      <w:r w:rsidR="00477E59" w:rsidRPr="00B47649">
        <w:rPr>
          <w:iCs/>
          <w:kern w:val="22"/>
          <w:sz w:val="22"/>
          <w:szCs w:val="22"/>
          <w:lang w:val="en-GB"/>
        </w:rPr>
        <w:t>WEF-related initiatives such as the One Planet Business for Biodiversity (OP2B) coalition as a unique international cross-sectorial, action-oriented business coalition are further evidence of the growing interest of biodiversity to businesses. These b</w:t>
      </w:r>
      <w:r w:rsidRPr="00B47649">
        <w:rPr>
          <w:iCs/>
          <w:kern w:val="22"/>
          <w:sz w:val="22"/>
          <w:szCs w:val="22"/>
          <w:lang w:val="en-GB"/>
        </w:rPr>
        <w:t>usiness</w:t>
      </w:r>
      <w:r w:rsidR="00477E59" w:rsidRPr="00B47649">
        <w:rPr>
          <w:iCs/>
          <w:kern w:val="22"/>
          <w:sz w:val="22"/>
          <w:szCs w:val="22"/>
          <w:lang w:val="en-GB"/>
        </w:rPr>
        <w:t>-</w:t>
      </w:r>
      <w:r w:rsidRPr="00B47649">
        <w:rPr>
          <w:iCs/>
          <w:kern w:val="22"/>
          <w:sz w:val="22"/>
          <w:szCs w:val="22"/>
          <w:lang w:val="en-GB"/>
        </w:rPr>
        <w:t>led initiatives</w:t>
      </w:r>
      <w:r w:rsidR="00477E59" w:rsidRPr="00B47649">
        <w:rPr>
          <w:iCs/>
          <w:kern w:val="22"/>
          <w:sz w:val="22"/>
          <w:szCs w:val="22"/>
          <w:lang w:val="en-GB"/>
        </w:rPr>
        <w:t xml:space="preserve">, including also </w:t>
      </w:r>
      <w:r w:rsidRPr="00B47649">
        <w:rPr>
          <w:iCs/>
          <w:kern w:val="22"/>
          <w:sz w:val="22"/>
          <w:szCs w:val="22"/>
          <w:lang w:val="en-GB"/>
        </w:rPr>
        <w:t xml:space="preserve">Act 4 Nature, </w:t>
      </w:r>
      <w:r w:rsidR="003912C9" w:rsidRPr="00B47649">
        <w:rPr>
          <w:iCs/>
          <w:kern w:val="22"/>
          <w:sz w:val="22"/>
          <w:szCs w:val="22"/>
          <w:lang w:val="en-GB"/>
        </w:rPr>
        <w:t>the (</w:t>
      </w:r>
      <w:r w:rsidRPr="00B47649">
        <w:rPr>
          <w:iCs/>
          <w:kern w:val="22"/>
          <w:sz w:val="22"/>
          <w:szCs w:val="22"/>
          <w:lang w:val="en-GB"/>
        </w:rPr>
        <w:t>Natural</w:t>
      </w:r>
      <w:r w:rsidR="003912C9" w:rsidRPr="00B47649">
        <w:rPr>
          <w:iCs/>
          <w:kern w:val="22"/>
          <w:sz w:val="22"/>
          <w:szCs w:val="22"/>
          <w:lang w:val="en-GB"/>
        </w:rPr>
        <w:t>)</w:t>
      </w:r>
      <w:r w:rsidRPr="00B47649">
        <w:rPr>
          <w:iCs/>
          <w:kern w:val="22"/>
          <w:sz w:val="22"/>
          <w:szCs w:val="22"/>
          <w:lang w:val="en-GB"/>
        </w:rPr>
        <w:t xml:space="preserve"> Capitals Coalition, </w:t>
      </w:r>
      <w:r w:rsidR="003912C9" w:rsidRPr="00B47649">
        <w:rPr>
          <w:iCs/>
          <w:kern w:val="22"/>
          <w:sz w:val="22"/>
          <w:szCs w:val="22"/>
          <w:lang w:val="en-GB"/>
        </w:rPr>
        <w:t xml:space="preserve">the </w:t>
      </w:r>
      <w:r w:rsidRPr="00B47649">
        <w:rPr>
          <w:iCs/>
          <w:kern w:val="22"/>
          <w:sz w:val="22"/>
          <w:szCs w:val="22"/>
          <w:lang w:val="en-GB"/>
        </w:rPr>
        <w:t xml:space="preserve">Food and Land </w:t>
      </w:r>
      <w:r w:rsidR="003912C9" w:rsidRPr="00B47649">
        <w:rPr>
          <w:iCs/>
          <w:kern w:val="22"/>
          <w:sz w:val="22"/>
          <w:szCs w:val="22"/>
          <w:lang w:val="en-GB"/>
        </w:rPr>
        <w:t xml:space="preserve">Use </w:t>
      </w:r>
      <w:r w:rsidRPr="00B47649">
        <w:rPr>
          <w:iCs/>
          <w:kern w:val="22"/>
          <w:sz w:val="22"/>
          <w:szCs w:val="22"/>
          <w:lang w:val="en-GB"/>
        </w:rPr>
        <w:t>Coalition, Cross Sector Biodiversity Initiative, OP2B, among many others</w:t>
      </w:r>
      <w:r w:rsidR="003912C9" w:rsidRPr="00B47649">
        <w:rPr>
          <w:iCs/>
          <w:kern w:val="22"/>
          <w:sz w:val="22"/>
          <w:szCs w:val="22"/>
          <w:lang w:val="en-GB"/>
        </w:rPr>
        <w:t>,</w:t>
      </w:r>
      <w:r w:rsidRPr="00B47649">
        <w:rPr>
          <w:iCs/>
          <w:kern w:val="22"/>
          <w:sz w:val="22"/>
          <w:szCs w:val="22"/>
          <w:lang w:val="en-GB"/>
        </w:rPr>
        <w:t xml:space="preserve"> have been contributing to harnessing corporate commitments and actions towards a more sustainable way of operating and the Secretariat will continue to </w:t>
      </w:r>
      <w:r w:rsidR="00EA2DBE" w:rsidRPr="00B47649">
        <w:rPr>
          <w:iCs/>
          <w:kern w:val="22"/>
          <w:sz w:val="22"/>
          <w:szCs w:val="22"/>
          <w:lang w:val="en-GB"/>
        </w:rPr>
        <w:t>invite</w:t>
      </w:r>
      <w:r w:rsidRPr="00B47649">
        <w:rPr>
          <w:iCs/>
          <w:kern w:val="22"/>
          <w:sz w:val="22"/>
          <w:szCs w:val="22"/>
          <w:lang w:val="en-GB"/>
        </w:rPr>
        <w:t xml:space="preserve"> these actors</w:t>
      </w:r>
      <w:r w:rsidR="00EA2DBE" w:rsidRPr="00B47649">
        <w:rPr>
          <w:iCs/>
          <w:kern w:val="22"/>
          <w:sz w:val="22"/>
          <w:szCs w:val="22"/>
          <w:lang w:val="en-GB"/>
        </w:rPr>
        <w:t xml:space="preserve"> to engage in the </w:t>
      </w:r>
      <w:r w:rsidR="001250F9" w:rsidRPr="00B47649">
        <w:rPr>
          <w:kern w:val="22"/>
          <w:sz w:val="22"/>
          <w:szCs w:val="22"/>
          <w:lang w:val="en-GB"/>
        </w:rPr>
        <w:t>long-term approach to mainstreaming biodiversity</w:t>
      </w:r>
      <w:r w:rsidR="00004CAE" w:rsidRPr="00B47649">
        <w:rPr>
          <w:iCs/>
          <w:kern w:val="22"/>
          <w:sz w:val="22"/>
          <w:szCs w:val="22"/>
          <w:lang w:val="en-GB"/>
        </w:rPr>
        <w:t>,</w:t>
      </w:r>
      <w:r w:rsidR="00EA2DBE" w:rsidRPr="00B47649">
        <w:rPr>
          <w:iCs/>
          <w:kern w:val="22"/>
          <w:sz w:val="22"/>
          <w:szCs w:val="22"/>
          <w:lang w:val="en-GB"/>
        </w:rPr>
        <w:t xml:space="preserve"> while</w:t>
      </w:r>
      <w:r w:rsidR="006D5C3C" w:rsidRPr="00B47649">
        <w:rPr>
          <w:iCs/>
          <w:kern w:val="22"/>
          <w:sz w:val="22"/>
          <w:szCs w:val="22"/>
          <w:lang w:val="en-GB"/>
        </w:rPr>
        <w:t xml:space="preserve"> </w:t>
      </w:r>
      <w:r w:rsidR="00004CAE" w:rsidRPr="00B47649">
        <w:rPr>
          <w:iCs/>
          <w:kern w:val="22"/>
          <w:sz w:val="22"/>
          <w:szCs w:val="22"/>
          <w:lang w:val="en-GB"/>
        </w:rPr>
        <w:t xml:space="preserve">also </w:t>
      </w:r>
      <w:r w:rsidR="00EA2DBE" w:rsidRPr="00B47649">
        <w:rPr>
          <w:iCs/>
          <w:kern w:val="22"/>
          <w:sz w:val="22"/>
          <w:szCs w:val="22"/>
          <w:lang w:val="en-GB"/>
        </w:rPr>
        <w:t>encouraging</w:t>
      </w:r>
      <w:r w:rsidR="006D5C3C" w:rsidRPr="00B47649">
        <w:rPr>
          <w:iCs/>
          <w:kern w:val="22"/>
          <w:sz w:val="22"/>
          <w:szCs w:val="22"/>
          <w:lang w:val="en-GB"/>
        </w:rPr>
        <w:t xml:space="preserve"> wider civil society participation.</w:t>
      </w:r>
    </w:p>
    <w:p w14:paraId="77E6CEA9" w14:textId="786B49F7" w:rsidR="00477E59" w:rsidRPr="00B47649" w:rsidRDefault="00477E59"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Specifically with regard to the finance sector, the Secretariat is currently benefiting from support by</w:t>
      </w:r>
      <w:r w:rsidR="004670ED" w:rsidRPr="00B47649">
        <w:rPr>
          <w:iCs/>
          <w:kern w:val="22"/>
          <w:sz w:val="22"/>
          <w:szCs w:val="22"/>
          <w:lang w:val="en-GB"/>
        </w:rPr>
        <w:t xml:space="preserve"> the</w:t>
      </w:r>
      <w:r w:rsidRPr="00B47649">
        <w:rPr>
          <w:iCs/>
          <w:kern w:val="22"/>
          <w:sz w:val="22"/>
          <w:szCs w:val="22"/>
          <w:lang w:val="en-GB"/>
        </w:rPr>
        <w:t xml:space="preserve"> </w:t>
      </w:r>
      <w:proofErr w:type="spellStart"/>
      <w:r w:rsidRPr="00343DC8">
        <w:rPr>
          <w:i/>
          <w:iCs/>
          <w:kern w:val="22"/>
          <w:sz w:val="22"/>
          <w:szCs w:val="22"/>
        </w:rPr>
        <w:t>Agence</w:t>
      </w:r>
      <w:proofErr w:type="spellEnd"/>
      <w:r w:rsidRPr="00343DC8">
        <w:rPr>
          <w:i/>
          <w:iCs/>
          <w:kern w:val="22"/>
          <w:sz w:val="22"/>
          <w:szCs w:val="22"/>
        </w:rPr>
        <w:t xml:space="preserve"> </w:t>
      </w:r>
      <w:proofErr w:type="spellStart"/>
      <w:r w:rsidRPr="00343DC8">
        <w:rPr>
          <w:i/>
          <w:iCs/>
          <w:kern w:val="22"/>
          <w:sz w:val="22"/>
          <w:szCs w:val="22"/>
        </w:rPr>
        <w:t>Fran</w:t>
      </w:r>
      <w:r w:rsidR="00314C4F" w:rsidRPr="00343DC8">
        <w:rPr>
          <w:i/>
          <w:iCs/>
          <w:kern w:val="22"/>
          <w:sz w:val="22"/>
          <w:szCs w:val="22"/>
        </w:rPr>
        <w:t>ç</w:t>
      </w:r>
      <w:r w:rsidRPr="00343DC8">
        <w:rPr>
          <w:i/>
          <w:iCs/>
          <w:kern w:val="22"/>
          <w:sz w:val="22"/>
          <w:szCs w:val="22"/>
        </w:rPr>
        <w:t>aise</w:t>
      </w:r>
      <w:proofErr w:type="spellEnd"/>
      <w:r w:rsidRPr="00343DC8">
        <w:rPr>
          <w:i/>
          <w:iCs/>
          <w:kern w:val="22"/>
          <w:sz w:val="22"/>
          <w:szCs w:val="22"/>
        </w:rPr>
        <w:t xml:space="preserve"> de </w:t>
      </w:r>
      <w:proofErr w:type="spellStart"/>
      <w:r w:rsidRPr="00343DC8">
        <w:rPr>
          <w:i/>
          <w:iCs/>
          <w:kern w:val="22"/>
          <w:sz w:val="22"/>
          <w:szCs w:val="22"/>
        </w:rPr>
        <w:t>D</w:t>
      </w:r>
      <w:r w:rsidR="00314C4F" w:rsidRPr="00343DC8">
        <w:rPr>
          <w:i/>
          <w:iCs/>
          <w:kern w:val="22"/>
          <w:sz w:val="22"/>
          <w:szCs w:val="22"/>
        </w:rPr>
        <w:t>é</w:t>
      </w:r>
      <w:r w:rsidRPr="00343DC8">
        <w:rPr>
          <w:i/>
          <w:iCs/>
          <w:kern w:val="22"/>
          <w:sz w:val="22"/>
          <w:szCs w:val="22"/>
        </w:rPr>
        <w:t>veloppement</w:t>
      </w:r>
      <w:proofErr w:type="spellEnd"/>
      <w:r w:rsidRPr="00B47649">
        <w:rPr>
          <w:iCs/>
          <w:kern w:val="22"/>
          <w:sz w:val="22"/>
          <w:szCs w:val="22"/>
          <w:lang w:val="en-GB"/>
        </w:rPr>
        <w:t xml:space="preserve">, in </w:t>
      </w:r>
      <w:r w:rsidR="00887FFE">
        <w:rPr>
          <w:iCs/>
          <w:kern w:val="22"/>
          <w:sz w:val="22"/>
          <w:szCs w:val="22"/>
          <w:lang w:val="en-GB"/>
        </w:rPr>
        <w:t xml:space="preserve">the </w:t>
      </w:r>
      <w:r w:rsidRPr="00B47649">
        <w:rPr>
          <w:iCs/>
          <w:kern w:val="22"/>
          <w:sz w:val="22"/>
          <w:szCs w:val="22"/>
          <w:lang w:val="en-GB"/>
        </w:rPr>
        <w:t>form of a two-year non-reimbursable loan of an expert on mission to support the Convention in building or strengthening collaboration with the finance sector in its various components, such as multilateral and bilateral development banks, regional and national development banks, national public finance, central banks and regulators, investment funds and pension funds, insurance, as well as guarantee and reinsurance corporations, with a view to integrat</w:t>
      </w:r>
      <w:r w:rsidR="008A61D9" w:rsidRPr="00B47649">
        <w:rPr>
          <w:iCs/>
          <w:kern w:val="22"/>
          <w:sz w:val="22"/>
          <w:szCs w:val="22"/>
          <w:lang w:val="en-GB"/>
        </w:rPr>
        <w:t>ing</w:t>
      </w:r>
      <w:r w:rsidRPr="00B47649">
        <w:rPr>
          <w:iCs/>
          <w:kern w:val="22"/>
          <w:sz w:val="22"/>
          <w:szCs w:val="22"/>
          <w:lang w:val="en-GB"/>
        </w:rPr>
        <w:t xml:space="preserve"> biodiversity risks in their overall risk approach (to reduce risks on biodiversity caused by the financed assets and/or to reduce risks related to biodiversity dependency in their portfolios) and to increase the investments dedicated to biodiversity and/or to other economic sectors with biodiversity co-benefits.</w:t>
      </w:r>
    </w:p>
    <w:p w14:paraId="4006DCDD" w14:textId="1926F8F9" w:rsidR="0039090B" w:rsidRPr="00B47649" w:rsidRDefault="00BB5240"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The Secretariat has continued to support the Global Partnership for Business and Biodiversity</w:t>
      </w:r>
      <w:r w:rsidR="009A7982" w:rsidRPr="00B47649">
        <w:rPr>
          <w:rStyle w:val="FootnoteReference"/>
          <w:iCs/>
          <w:kern w:val="22"/>
          <w:szCs w:val="22"/>
          <w:lang w:val="en-GB"/>
        </w:rPr>
        <w:footnoteReference w:id="8"/>
      </w:r>
      <w:r w:rsidRPr="00B47649">
        <w:rPr>
          <w:iCs/>
          <w:kern w:val="22"/>
          <w:sz w:val="22"/>
          <w:szCs w:val="22"/>
          <w:lang w:val="en-GB"/>
        </w:rPr>
        <w:t xml:space="preserve"> by providing a platform for national and regional initiatives to share relevant information, concrete cases, tools and mechanisms to address the challenges and solutions that can help different sectors to contribute to more sustainable practices across different sectors.</w:t>
      </w:r>
      <w:r w:rsidR="003912C9" w:rsidRPr="00B47649">
        <w:rPr>
          <w:rStyle w:val="FootnoteReference"/>
          <w:iCs/>
          <w:kern w:val="22"/>
          <w:szCs w:val="22"/>
          <w:lang w:val="en-GB"/>
        </w:rPr>
        <w:footnoteReference w:id="9"/>
      </w:r>
      <w:r w:rsidRPr="00B47649">
        <w:rPr>
          <w:iCs/>
          <w:kern w:val="22"/>
          <w:sz w:val="22"/>
          <w:szCs w:val="22"/>
          <w:lang w:val="en-GB"/>
        </w:rPr>
        <w:t xml:space="preserve"> The Platform and its members are represented in the </w:t>
      </w:r>
      <w:r w:rsidR="00F1495C" w:rsidRPr="00B47649">
        <w:rPr>
          <w:iCs/>
          <w:kern w:val="22"/>
          <w:sz w:val="22"/>
          <w:szCs w:val="22"/>
          <w:lang w:val="en-GB"/>
        </w:rPr>
        <w:t xml:space="preserve">Informal Advisory Group </w:t>
      </w:r>
      <w:r w:rsidRPr="00B47649">
        <w:rPr>
          <w:iCs/>
          <w:kern w:val="22"/>
          <w:sz w:val="22"/>
          <w:szCs w:val="22"/>
          <w:lang w:val="en-GB"/>
        </w:rPr>
        <w:t>and its extended network.</w:t>
      </w:r>
      <w:r w:rsidR="00EA2DBE" w:rsidRPr="00B47649">
        <w:rPr>
          <w:iCs/>
          <w:kern w:val="22"/>
          <w:sz w:val="22"/>
          <w:szCs w:val="22"/>
          <w:lang w:val="en-GB"/>
        </w:rPr>
        <w:t xml:space="preserve"> The Secretariat will also continue to cooperate with civil society and rightsholders to strengthen their engagement and representation in the </w:t>
      </w:r>
      <w:r w:rsidR="0055271A" w:rsidRPr="00B47649">
        <w:rPr>
          <w:kern w:val="22"/>
          <w:sz w:val="22"/>
          <w:szCs w:val="22"/>
          <w:lang w:val="en-GB"/>
        </w:rPr>
        <w:t xml:space="preserve">long-term approach </w:t>
      </w:r>
      <w:r w:rsidR="00EA2DBE" w:rsidRPr="00B47649">
        <w:rPr>
          <w:iCs/>
          <w:kern w:val="22"/>
          <w:sz w:val="22"/>
          <w:szCs w:val="22"/>
          <w:lang w:val="en-GB"/>
        </w:rPr>
        <w:t>and associated review bodies.</w:t>
      </w:r>
    </w:p>
    <w:p w14:paraId="2B03BBC3" w14:textId="43E299A8" w:rsidR="00004CAE" w:rsidRPr="00BB35FD" w:rsidRDefault="005B18D9" w:rsidP="00B47649">
      <w:pPr>
        <w:pStyle w:val="Para10"/>
        <w:suppressLineNumbers/>
        <w:tabs>
          <w:tab w:val="clear" w:pos="360"/>
        </w:tabs>
        <w:suppressAutoHyphens/>
        <w:jc w:val="both"/>
        <w:rPr>
          <w:rFonts w:eastAsiaTheme="minorHAnsi"/>
          <w:kern w:val="22"/>
          <w:sz w:val="22"/>
          <w:szCs w:val="22"/>
          <w:lang w:val="en-GB"/>
        </w:rPr>
      </w:pPr>
      <w:r w:rsidRPr="00BB35FD">
        <w:rPr>
          <w:iCs/>
          <w:kern w:val="22"/>
          <w:sz w:val="22"/>
          <w:szCs w:val="22"/>
          <w:lang w:val="en-GB"/>
        </w:rPr>
        <w:lastRenderedPageBreak/>
        <w:t xml:space="preserve">FAO </w:t>
      </w:r>
      <w:r w:rsidRPr="00BB35FD">
        <w:rPr>
          <w:rFonts w:eastAsiaTheme="minorHAnsi"/>
          <w:kern w:val="22"/>
          <w:sz w:val="22"/>
          <w:szCs w:val="22"/>
          <w:lang w:val="en-GB"/>
        </w:rPr>
        <w:t xml:space="preserve">co-organized with the Secretariat of the </w:t>
      </w:r>
      <w:r w:rsidR="00C748BF" w:rsidRPr="00BB35FD">
        <w:rPr>
          <w:rFonts w:eastAsiaTheme="minorHAnsi"/>
          <w:kern w:val="22"/>
          <w:sz w:val="22"/>
          <w:szCs w:val="22"/>
          <w:lang w:val="en-GB"/>
        </w:rPr>
        <w:t>Convention</w:t>
      </w:r>
      <w:r w:rsidR="00A231F9" w:rsidRPr="00BB35FD">
        <w:rPr>
          <w:rFonts w:eastAsiaTheme="minorHAnsi"/>
          <w:kern w:val="22"/>
          <w:sz w:val="22"/>
          <w:szCs w:val="22"/>
          <w:lang w:val="en-GB"/>
        </w:rPr>
        <w:t xml:space="preserve"> on Biological Diversity</w:t>
      </w:r>
      <w:r w:rsidRPr="00BB35FD">
        <w:rPr>
          <w:rFonts w:eastAsiaTheme="minorHAnsi"/>
          <w:kern w:val="22"/>
          <w:sz w:val="22"/>
          <w:szCs w:val="22"/>
          <w:lang w:val="en-GB"/>
        </w:rPr>
        <w:t xml:space="preserve"> a series of global</w:t>
      </w:r>
      <w:r w:rsidRPr="00BB35FD">
        <w:rPr>
          <w:rStyle w:val="FootnoteReference"/>
          <w:rFonts w:eastAsiaTheme="minorHAnsi"/>
          <w:kern w:val="22"/>
          <w:szCs w:val="22"/>
          <w:lang w:val="en-GB"/>
        </w:rPr>
        <w:footnoteReference w:id="10"/>
      </w:r>
      <w:r w:rsidRPr="00BB35FD">
        <w:rPr>
          <w:rFonts w:eastAsiaTheme="minorHAnsi"/>
          <w:kern w:val="22"/>
          <w:sz w:val="22"/>
          <w:szCs w:val="22"/>
          <w:lang w:val="en-GB"/>
        </w:rPr>
        <w:t xml:space="preserve"> and regional multi-stakeholder dialogues and consultations: for </w:t>
      </w:r>
      <w:r w:rsidRPr="00BB35FD">
        <w:rPr>
          <w:kern w:val="22"/>
          <w:sz w:val="22"/>
          <w:szCs w:val="22"/>
          <w:lang w:val="en-GB"/>
        </w:rPr>
        <w:t>Latin America and the Caribbean</w:t>
      </w:r>
      <w:r w:rsidR="00830033" w:rsidRPr="00BB35FD">
        <w:rPr>
          <w:kern w:val="22"/>
          <w:sz w:val="22"/>
          <w:szCs w:val="22"/>
          <w:lang w:val="en-GB"/>
        </w:rPr>
        <w:t>,</w:t>
      </w:r>
      <w:r w:rsidRPr="00BB35FD">
        <w:rPr>
          <w:rStyle w:val="FootnoteReference"/>
          <w:kern w:val="22"/>
          <w:szCs w:val="22"/>
          <w:lang w:val="en-GB"/>
        </w:rPr>
        <w:footnoteReference w:id="11"/>
      </w:r>
      <w:r w:rsidRPr="00BB35FD">
        <w:rPr>
          <w:kern w:val="22"/>
          <w:sz w:val="22"/>
          <w:szCs w:val="22"/>
          <w:lang w:val="en-GB"/>
        </w:rPr>
        <w:t xml:space="preserve"> Asia and the Pacific</w:t>
      </w:r>
      <w:r w:rsidR="00830033" w:rsidRPr="00BB35FD">
        <w:rPr>
          <w:kern w:val="22"/>
          <w:sz w:val="22"/>
          <w:szCs w:val="22"/>
          <w:lang w:val="en-GB"/>
        </w:rPr>
        <w:t>,</w:t>
      </w:r>
      <w:r w:rsidRPr="00BB35FD">
        <w:rPr>
          <w:rStyle w:val="FootnoteReference"/>
          <w:kern w:val="22"/>
          <w:szCs w:val="22"/>
          <w:lang w:val="en-GB"/>
        </w:rPr>
        <w:footnoteReference w:id="12"/>
      </w:r>
      <w:r w:rsidRPr="00BB35FD">
        <w:rPr>
          <w:kern w:val="22"/>
          <w:sz w:val="22"/>
          <w:szCs w:val="22"/>
          <w:lang w:val="en-GB"/>
        </w:rPr>
        <w:t xml:space="preserve"> Africa</w:t>
      </w:r>
      <w:r w:rsidR="00830033" w:rsidRPr="00BB35FD">
        <w:rPr>
          <w:kern w:val="22"/>
          <w:sz w:val="22"/>
          <w:szCs w:val="22"/>
          <w:lang w:val="en-GB"/>
        </w:rPr>
        <w:t>,</w:t>
      </w:r>
      <w:r w:rsidRPr="00BB35FD">
        <w:rPr>
          <w:rStyle w:val="FootnoteReference"/>
          <w:kern w:val="22"/>
          <w:szCs w:val="22"/>
          <w:lang w:val="en-GB"/>
        </w:rPr>
        <w:footnoteReference w:id="13"/>
      </w:r>
      <w:r w:rsidRPr="00BB35FD">
        <w:rPr>
          <w:kern w:val="22"/>
          <w:sz w:val="22"/>
          <w:szCs w:val="22"/>
          <w:lang w:val="en-GB"/>
        </w:rPr>
        <w:t xml:space="preserve"> and </w:t>
      </w:r>
      <w:r w:rsidR="00476285" w:rsidRPr="00BB35FD">
        <w:rPr>
          <w:kern w:val="22"/>
          <w:sz w:val="22"/>
          <w:szCs w:val="22"/>
          <w:lang w:val="en-GB"/>
        </w:rPr>
        <w:t xml:space="preserve">the </w:t>
      </w:r>
      <w:r w:rsidRPr="00BB35FD">
        <w:rPr>
          <w:kern w:val="22"/>
          <w:sz w:val="22"/>
          <w:szCs w:val="22"/>
          <w:lang w:val="en-GB"/>
        </w:rPr>
        <w:t>Near</w:t>
      </w:r>
      <w:r w:rsidR="00476285" w:rsidRPr="00BB35FD">
        <w:rPr>
          <w:kern w:val="22"/>
          <w:sz w:val="22"/>
          <w:szCs w:val="22"/>
          <w:lang w:val="en-GB"/>
        </w:rPr>
        <w:t xml:space="preserve"> </w:t>
      </w:r>
      <w:r w:rsidRPr="00BB35FD">
        <w:rPr>
          <w:kern w:val="22"/>
          <w:sz w:val="22"/>
          <w:szCs w:val="22"/>
          <w:lang w:val="en-GB"/>
        </w:rPr>
        <w:t>East and North Africa</w:t>
      </w:r>
      <w:r w:rsidRPr="00BB35FD">
        <w:rPr>
          <w:rStyle w:val="FootnoteReference"/>
          <w:kern w:val="22"/>
          <w:szCs w:val="22"/>
          <w:lang w:val="en-GB"/>
        </w:rPr>
        <w:footnoteReference w:id="14"/>
      </w:r>
      <w:r w:rsidRPr="00BB35FD">
        <w:rPr>
          <w:kern w:val="22"/>
          <w:sz w:val="22"/>
          <w:szCs w:val="22"/>
          <w:lang w:val="en-GB"/>
        </w:rPr>
        <w:t xml:space="preserve"> </w:t>
      </w:r>
      <w:r w:rsidRPr="00BB35FD">
        <w:rPr>
          <w:rFonts w:eastAsiaTheme="minorHAnsi"/>
          <w:kern w:val="22"/>
          <w:sz w:val="22"/>
          <w:szCs w:val="22"/>
          <w:lang w:val="en-GB"/>
        </w:rPr>
        <w:t>(see also CBD/COP/14/INF/1), and is currently working on the follow-up to these meetings.</w:t>
      </w:r>
      <w:r w:rsidRPr="00BB35FD">
        <w:rPr>
          <w:kern w:val="22"/>
          <w:sz w:val="22"/>
          <w:szCs w:val="22"/>
          <w:lang w:val="en-GB"/>
        </w:rPr>
        <w:t xml:space="preserve"> The FAO </w:t>
      </w:r>
      <w:r w:rsidRPr="00BB35FD">
        <w:rPr>
          <w:iCs/>
          <w:kern w:val="22"/>
          <w:sz w:val="22"/>
          <w:szCs w:val="22"/>
          <w:lang w:val="en-GB"/>
        </w:rPr>
        <w:t xml:space="preserve">Council </w:t>
      </w:r>
      <w:r w:rsidRPr="00BB35FD">
        <w:rPr>
          <w:rFonts w:eastAsiaTheme="minorHAnsi"/>
          <w:kern w:val="22"/>
          <w:sz w:val="22"/>
          <w:szCs w:val="22"/>
          <w:lang w:val="en-GB"/>
        </w:rPr>
        <w:t>adopted the FAO Strategy on Mainstreaming Biodiversity across Agricultural Sectors in 2019</w:t>
      </w:r>
      <w:r w:rsidR="007A3457" w:rsidRPr="00BB35FD">
        <w:rPr>
          <w:rFonts w:eastAsiaTheme="minorHAnsi"/>
          <w:kern w:val="22"/>
          <w:sz w:val="22"/>
          <w:szCs w:val="22"/>
          <w:lang w:val="en-GB"/>
        </w:rPr>
        <w:t>,</w:t>
      </w:r>
      <w:r w:rsidRPr="00BB35FD">
        <w:rPr>
          <w:rStyle w:val="FootnoteReference"/>
          <w:rFonts w:eastAsiaTheme="minorHAnsi"/>
          <w:kern w:val="22"/>
          <w:szCs w:val="22"/>
          <w:lang w:val="en-GB"/>
        </w:rPr>
        <w:footnoteReference w:id="15"/>
      </w:r>
      <w:r w:rsidRPr="00BB35FD">
        <w:rPr>
          <w:rFonts w:eastAsiaTheme="minorHAnsi"/>
          <w:kern w:val="22"/>
          <w:sz w:val="22"/>
          <w:szCs w:val="22"/>
          <w:lang w:val="en-GB"/>
        </w:rPr>
        <w:t xml:space="preserve"> and the action plan for the implementation of the Strategy </w:t>
      </w:r>
      <w:r w:rsidRPr="00BB35FD">
        <w:rPr>
          <w:iCs/>
          <w:kern w:val="22"/>
          <w:sz w:val="22"/>
          <w:szCs w:val="22"/>
          <w:lang w:val="en-GB"/>
        </w:rPr>
        <w:t>is under preparation</w:t>
      </w:r>
      <w:r w:rsidRPr="00BB35FD">
        <w:rPr>
          <w:rFonts w:eastAsiaTheme="minorHAnsi"/>
          <w:kern w:val="22"/>
          <w:sz w:val="22"/>
          <w:szCs w:val="22"/>
          <w:vertAlign w:val="superscript"/>
          <w:lang w:val="en-GB"/>
        </w:rPr>
        <w:footnoteReference w:id="16"/>
      </w:r>
      <w:r w:rsidRPr="00BB35FD">
        <w:rPr>
          <w:rFonts w:eastAsiaTheme="minorHAnsi"/>
          <w:kern w:val="22"/>
          <w:sz w:val="22"/>
          <w:szCs w:val="22"/>
          <w:lang w:val="en-GB"/>
        </w:rPr>
        <w:t xml:space="preserve"> (see </w:t>
      </w:r>
      <w:r w:rsidRPr="00BB35FD">
        <w:rPr>
          <w:rStyle w:val="ng-binding"/>
          <w:kern w:val="22"/>
          <w:sz w:val="22"/>
          <w:szCs w:val="22"/>
          <w:lang w:val="en-GB"/>
        </w:rPr>
        <w:t>CBD/SBSTTA/24/INF/14</w:t>
      </w:r>
      <w:r w:rsidR="007B360E" w:rsidRPr="00BB35FD">
        <w:rPr>
          <w:rStyle w:val="ng-binding"/>
          <w:kern w:val="22"/>
          <w:sz w:val="22"/>
          <w:szCs w:val="22"/>
          <w:lang w:val="en-GB"/>
        </w:rPr>
        <w:t xml:space="preserve"> and </w:t>
      </w:r>
      <w:r w:rsidRPr="00BB35FD">
        <w:rPr>
          <w:rStyle w:val="ng-binding"/>
          <w:kern w:val="22"/>
          <w:sz w:val="22"/>
          <w:szCs w:val="22"/>
          <w:lang w:val="en-GB"/>
        </w:rPr>
        <w:t>CBD/SBI/3/INF/6</w:t>
      </w:r>
      <w:r w:rsidRPr="00BB35FD">
        <w:rPr>
          <w:rFonts w:eastAsiaTheme="minorHAnsi"/>
          <w:kern w:val="22"/>
          <w:sz w:val="22"/>
          <w:szCs w:val="22"/>
          <w:lang w:val="en-GB"/>
        </w:rPr>
        <w:t>).</w:t>
      </w:r>
    </w:p>
    <w:p w14:paraId="0EEC2D82" w14:textId="5AE2462F" w:rsidR="00322B9D" w:rsidRPr="00B47649" w:rsidRDefault="00322B9D"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 xml:space="preserve">On the tourism sector, </w:t>
      </w:r>
      <w:r w:rsidRPr="00B47649">
        <w:rPr>
          <w:kern w:val="22"/>
          <w:sz w:val="22"/>
          <w:szCs w:val="22"/>
          <w:lang w:val="en-GB"/>
        </w:rPr>
        <w:t>the</w:t>
      </w:r>
      <w:r w:rsidRPr="00B47649">
        <w:rPr>
          <w:iCs/>
          <w:kern w:val="22"/>
          <w:sz w:val="22"/>
          <w:szCs w:val="22"/>
          <w:lang w:val="en-GB"/>
        </w:rPr>
        <w:t xml:space="preserve"> Secretariat has been working with the World Tourism Organi</w:t>
      </w:r>
      <w:r w:rsidR="00004CAE" w:rsidRPr="00B47649">
        <w:rPr>
          <w:iCs/>
          <w:kern w:val="22"/>
          <w:sz w:val="22"/>
          <w:szCs w:val="22"/>
          <w:lang w:val="en-GB"/>
        </w:rPr>
        <w:t>z</w:t>
      </w:r>
      <w:r w:rsidRPr="00B47649">
        <w:rPr>
          <w:iCs/>
          <w:kern w:val="22"/>
          <w:sz w:val="22"/>
          <w:szCs w:val="22"/>
          <w:lang w:val="en-GB"/>
        </w:rPr>
        <w:t>ation (UNWTO), the tourism coalition in the Friends of the Ocean Action</w:t>
      </w:r>
      <w:r w:rsidR="00B33848" w:rsidRPr="00B47649">
        <w:rPr>
          <w:iCs/>
          <w:kern w:val="22"/>
          <w:sz w:val="22"/>
          <w:szCs w:val="22"/>
          <w:lang w:val="en-GB"/>
        </w:rPr>
        <w:t xml:space="preserve"> led by the World Resources Institute</w:t>
      </w:r>
      <w:r w:rsidRPr="00B47649">
        <w:rPr>
          <w:iCs/>
          <w:kern w:val="22"/>
          <w:sz w:val="22"/>
          <w:szCs w:val="22"/>
          <w:lang w:val="en-GB"/>
        </w:rPr>
        <w:t xml:space="preserve">, and the expert networks </w:t>
      </w:r>
      <w:proofErr w:type="spellStart"/>
      <w:r w:rsidRPr="00B47649">
        <w:rPr>
          <w:iCs/>
          <w:kern w:val="22"/>
          <w:sz w:val="22"/>
          <w:szCs w:val="22"/>
          <w:lang w:val="en-GB"/>
        </w:rPr>
        <w:t>EcoTrans</w:t>
      </w:r>
      <w:proofErr w:type="spellEnd"/>
      <w:r w:rsidRPr="00B47649">
        <w:rPr>
          <w:iCs/>
          <w:kern w:val="22"/>
          <w:sz w:val="22"/>
          <w:szCs w:val="22"/>
          <w:lang w:val="en-GB"/>
        </w:rPr>
        <w:t xml:space="preserve"> and Linking Tourism &amp; Biodiversity, to call for significant engagements from the sector to the targets of the </w:t>
      </w:r>
      <w:r w:rsidR="0082464C" w:rsidRPr="00B47649">
        <w:rPr>
          <w:iCs/>
          <w:kern w:val="22"/>
          <w:sz w:val="22"/>
          <w:szCs w:val="22"/>
          <w:lang w:val="en-GB"/>
        </w:rPr>
        <w:t xml:space="preserve">global biodiversity framework </w:t>
      </w:r>
      <w:r w:rsidRPr="00B47649">
        <w:rPr>
          <w:iCs/>
          <w:kern w:val="22"/>
          <w:sz w:val="22"/>
          <w:szCs w:val="22"/>
          <w:lang w:val="en-GB"/>
        </w:rPr>
        <w:t xml:space="preserve">and the </w:t>
      </w:r>
      <w:r w:rsidR="0055271A" w:rsidRPr="00B47649">
        <w:rPr>
          <w:kern w:val="22"/>
          <w:sz w:val="22"/>
          <w:szCs w:val="22"/>
          <w:lang w:val="en-GB"/>
        </w:rPr>
        <w:t>long-term approach</w:t>
      </w:r>
      <w:r w:rsidRPr="00B47649">
        <w:rPr>
          <w:iCs/>
          <w:kern w:val="22"/>
          <w:sz w:val="22"/>
          <w:szCs w:val="22"/>
          <w:lang w:val="en-GB"/>
        </w:rPr>
        <w:t>.</w:t>
      </w:r>
    </w:p>
    <w:p w14:paraId="0DF9A8F9" w14:textId="1FF76F5F" w:rsidR="00D1359F" w:rsidRPr="00B47649" w:rsidRDefault="00B643B5"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 xml:space="preserve">The Secretariat coordinated with the </w:t>
      </w:r>
      <w:r w:rsidR="00702EAC">
        <w:rPr>
          <w:iCs/>
          <w:kern w:val="22"/>
          <w:sz w:val="22"/>
          <w:szCs w:val="22"/>
          <w:lang w:val="en-GB"/>
        </w:rPr>
        <w:t>a</w:t>
      </w:r>
      <w:r w:rsidRPr="00B47649">
        <w:rPr>
          <w:iCs/>
          <w:kern w:val="22"/>
          <w:sz w:val="22"/>
          <w:szCs w:val="22"/>
          <w:lang w:val="en-GB"/>
        </w:rPr>
        <w:t xml:space="preserve">dvisory </w:t>
      </w:r>
      <w:r w:rsidR="00702EAC">
        <w:rPr>
          <w:iCs/>
          <w:kern w:val="22"/>
          <w:sz w:val="22"/>
          <w:szCs w:val="22"/>
          <w:lang w:val="en-GB"/>
        </w:rPr>
        <w:t>c</w:t>
      </w:r>
      <w:r w:rsidRPr="00B47649">
        <w:rPr>
          <w:iCs/>
          <w:kern w:val="22"/>
          <w:sz w:val="22"/>
          <w:szCs w:val="22"/>
          <w:lang w:val="en-GB"/>
        </w:rPr>
        <w:t xml:space="preserve">ommittees in the Global Partnership on Local and Subnational Action on </w:t>
      </w:r>
      <w:r w:rsidRPr="00B47649">
        <w:rPr>
          <w:kern w:val="22"/>
          <w:sz w:val="22"/>
          <w:szCs w:val="22"/>
          <w:lang w:val="en-GB"/>
        </w:rPr>
        <w:t>Biodiversity</w:t>
      </w:r>
      <w:r w:rsidRPr="00B47649">
        <w:rPr>
          <w:iCs/>
          <w:kern w:val="22"/>
          <w:sz w:val="22"/>
          <w:szCs w:val="22"/>
          <w:lang w:val="en-GB"/>
        </w:rPr>
        <w:t xml:space="preserve"> for cities and for subnational governments</w:t>
      </w:r>
      <w:r w:rsidR="00D02E26" w:rsidRPr="00B47649">
        <w:rPr>
          <w:iCs/>
          <w:kern w:val="22"/>
          <w:sz w:val="22"/>
          <w:szCs w:val="22"/>
          <w:lang w:val="en-GB"/>
        </w:rPr>
        <w:t xml:space="preserve"> under the Convention</w:t>
      </w:r>
      <w:r w:rsidRPr="00B47649">
        <w:rPr>
          <w:iCs/>
          <w:kern w:val="22"/>
          <w:sz w:val="22"/>
          <w:szCs w:val="22"/>
          <w:lang w:val="en-GB"/>
        </w:rPr>
        <w:t xml:space="preserve">, respectively ICLEI-Local Governments for Sustainability and the Network of Regions for Sustainable Development, Regions4. These and other key players, such as the Group of Leading Subnational Governments for the Aichi Biodiversity Targets and the </w:t>
      </w:r>
      <w:r w:rsidR="00DB60D8">
        <w:rPr>
          <w:iCs/>
          <w:kern w:val="22"/>
          <w:sz w:val="22"/>
          <w:szCs w:val="22"/>
          <w:lang w:val="en-GB"/>
        </w:rPr>
        <w:t>European Union’s</w:t>
      </w:r>
      <w:r w:rsidR="00DB60D8" w:rsidRPr="00B47649">
        <w:rPr>
          <w:iCs/>
          <w:kern w:val="22"/>
          <w:sz w:val="22"/>
          <w:szCs w:val="22"/>
          <w:lang w:val="en-GB"/>
        </w:rPr>
        <w:t xml:space="preserve"> </w:t>
      </w:r>
      <w:r w:rsidRPr="00B47649">
        <w:rPr>
          <w:iCs/>
          <w:kern w:val="22"/>
          <w:sz w:val="22"/>
          <w:szCs w:val="22"/>
          <w:lang w:val="en-GB"/>
        </w:rPr>
        <w:t xml:space="preserve">Committee of the Regions have provided statements and input to the </w:t>
      </w:r>
      <w:r w:rsidR="0055271A" w:rsidRPr="00B47649">
        <w:rPr>
          <w:kern w:val="22"/>
          <w:sz w:val="22"/>
          <w:szCs w:val="22"/>
          <w:lang w:val="en-GB"/>
        </w:rPr>
        <w:t>long-term</w:t>
      </w:r>
      <w:r w:rsidRPr="00B47649">
        <w:rPr>
          <w:iCs/>
          <w:kern w:val="22"/>
          <w:sz w:val="22"/>
          <w:szCs w:val="22"/>
          <w:lang w:val="en-GB"/>
        </w:rPr>
        <w:t xml:space="preserve">, </w:t>
      </w:r>
      <w:r w:rsidR="00D1359F" w:rsidRPr="00B47649">
        <w:rPr>
          <w:iCs/>
          <w:kern w:val="22"/>
          <w:sz w:val="22"/>
          <w:szCs w:val="22"/>
          <w:lang w:val="en-GB"/>
        </w:rPr>
        <w:t xml:space="preserve">emphasizing the importance of vertical integration and the role and contributions of all levels of subnational government in intensified mainstreaming action. </w:t>
      </w:r>
    </w:p>
    <w:p w14:paraId="7E7DF2AB" w14:textId="7EF3B1E2" w:rsidR="00322B9D" w:rsidRPr="00B47649" w:rsidRDefault="00322B9D"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 xml:space="preserve">As for regional organizations, the Secretariat has been consulting on mainstreaming with the ASEAN </w:t>
      </w:r>
      <w:proofErr w:type="spellStart"/>
      <w:r w:rsidRPr="00B47649">
        <w:rPr>
          <w:iCs/>
          <w:kern w:val="22"/>
          <w:sz w:val="22"/>
          <w:szCs w:val="22"/>
          <w:lang w:val="en-GB"/>
        </w:rPr>
        <w:t>Center</w:t>
      </w:r>
      <w:proofErr w:type="spellEnd"/>
      <w:r w:rsidRPr="00B47649">
        <w:rPr>
          <w:iCs/>
          <w:kern w:val="22"/>
          <w:sz w:val="22"/>
          <w:szCs w:val="22"/>
          <w:lang w:val="en-GB"/>
        </w:rPr>
        <w:t xml:space="preserve"> for Biodiversity, the </w:t>
      </w:r>
      <w:r w:rsidRPr="00B47649">
        <w:rPr>
          <w:kern w:val="22"/>
          <w:sz w:val="22"/>
          <w:szCs w:val="22"/>
          <w:lang w:val="en-GB"/>
        </w:rPr>
        <w:t>Secretariat</w:t>
      </w:r>
      <w:r w:rsidRPr="00B47649">
        <w:rPr>
          <w:iCs/>
          <w:kern w:val="22"/>
          <w:sz w:val="22"/>
          <w:szCs w:val="22"/>
          <w:lang w:val="en-GB"/>
        </w:rPr>
        <w:t xml:space="preserve"> for the Pacific Regional Environment Programme (SPREP), and the CARICOM Secretariat, among others, as well as regional offices and representati</w:t>
      </w:r>
      <w:r w:rsidR="00C164F0">
        <w:rPr>
          <w:iCs/>
          <w:kern w:val="22"/>
          <w:sz w:val="22"/>
          <w:szCs w:val="22"/>
          <w:lang w:val="en-GB"/>
        </w:rPr>
        <w:t>ve offices</w:t>
      </w:r>
      <w:r w:rsidRPr="00B47649">
        <w:rPr>
          <w:iCs/>
          <w:kern w:val="22"/>
          <w:sz w:val="22"/>
          <w:szCs w:val="22"/>
          <w:lang w:val="en-GB"/>
        </w:rPr>
        <w:t xml:space="preserve"> of U</w:t>
      </w:r>
      <w:r w:rsidR="009F124E" w:rsidRPr="00B47649">
        <w:rPr>
          <w:iCs/>
          <w:kern w:val="22"/>
          <w:sz w:val="22"/>
          <w:szCs w:val="22"/>
          <w:lang w:val="en-GB"/>
        </w:rPr>
        <w:t xml:space="preserve">nited </w:t>
      </w:r>
      <w:r w:rsidRPr="00B47649">
        <w:rPr>
          <w:iCs/>
          <w:kern w:val="22"/>
          <w:sz w:val="22"/>
          <w:szCs w:val="22"/>
          <w:lang w:val="en-GB"/>
        </w:rPr>
        <w:t>N</w:t>
      </w:r>
      <w:r w:rsidR="009F124E" w:rsidRPr="00B47649">
        <w:rPr>
          <w:iCs/>
          <w:kern w:val="22"/>
          <w:sz w:val="22"/>
          <w:szCs w:val="22"/>
          <w:lang w:val="en-GB"/>
        </w:rPr>
        <w:t>ations</w:t>
      </w:r>
      <w:r w:rsidRPr="00B47649">
        <w:rPr>
          <w:iCs/>
          <w:kern w:val="22"/>
          <w:sz w:val="22"/>
          <w:szCs w:val="22"/>
          <w:lang w:val="en-GB"/>
        </w:rPr>
        <w:t xml:space="preserve"> agencies and </w:t>
      </w:r>
      <w:proofErr w:type="spellStart"/>
      <w:r w:rsidRPr="00B47649">
        <w:rPr>
          <w:iCs/>
          <w:kern w:val="22"/>
          <w:sz w:val="22"/>
          <w:szCs w:val="22"/>
          <w:lang w:val="en-GB"/>
        </w:rPr>
        <w:t>subregional</w:t>
      </w:r>
      <w:proofErr w:type="spellEnd"/>
      <w:r w:rsidRPr="00B47649">
        <w:rPr>
          <w:iCs/>
          <w:kern w:val="22"/>
          <w:sz w:val="22"/>
          <w:szCs w:val="22"/>
          <w:lang w:val="en-GB"/>
        </w:rPr>
        <w:t xml:space="preserve"> bodies</w:t>
      </w:r>
      <w:r w:rsidR="00C164F0">
        <w:rPr>
          <w:iCs/>
          <w:kern w:val="22"/>
          <w:sz w:val="22"/>
          <w:szCs w:val="22"/>
          <w:lang w:val="en-GB"/>
        </w:rPr>
        <w:t>,</w:t>
      </w:r>
      <w:r w:rsidRPr="00B47649">
        <w:rPr>
          <w:iCs/>
          <w:kern w:val="22"/>
          <w:sz w:val="22"/>
          <w:szCs w:val="22"/>
          <w:lang w:val="en-GB"/>
        </w:rPr>
        <w:t xml:space="preserve"> such as the </w:t>
      </w:r>
      <w:r w:rsidR="00FD04A3">
        <w:rPr>
          <w:iCs/>
          <w:kern w:val="22"/>
          <w:sz w:val="22"/>
          <w:szCs w:val="22"/>
          <w:lang w:val="en-GB"/>
        </w:rPr>
        <w:t>European Union’s</w:t>
      </w:r>
      <w:r w:rsidR="00FD04A3" w:rsidRPr="00B47649">
        <w:rPr>
          <w:iCs/>
          <w:kern w:val="22"/>
          <w:sz w:val="22"/>
          <w:szCs w:val="22"/>
          <w:lang w:val="en-GB"/>
        </w:rPr>
        <w:t xml:space="preserve"> </w:t>
      </w:r>
      <w:r w:rsidRPr="00B47649">
        <w:rPr>
          <w:iCs/>
          <w:kern w:val="22"/>
          <w:sz w:val="22"/>
          <w:szCs w:val="22"/>
          <w:lang w:val="en-GB"/>
        </w:rPr>
        <w:t>Business and Biodiversity Platform and its Committee of the Regions.</w:t>
      </w:r>
    </w:p>
    <w:p w14:paraId="5831FD1B" w14:textId="1907576C" w:rsidR="00BB5240" w:rsidRPr="00B47649" w:rsidRDefault="003B2C2A"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 xml:space="preserve">In paragraph 19(h) of </w:t>
      </w:r>
      <w:r w:rsidRPr="00B47649">
        <w:rPr>
          <w:kern w:val="22"/>
          <w:sz w:val="22"/>
          <w:szCs w:val="22"/>
          <w:lang w:val="en-GB"/>
        </w:rPr>
        <w:t>decision</w:t>
      </w:r>
      <w:r w:rsidRPr="00B47649">
        <w:rPr>
          <w:iCs/>
          <w:kern w:val="22"/>
          <w:sz w:val="22"/>
          <w:szCs w:val="22"/>
          <w:lang w:val="en-GB"/>
        </w:rPr>
        <w:t xml:space="preserve"> 14/3, the Executive Secretary was requested to develop cooperation and partnerships with the secretariats of relevant multilateral agreements and international organizations as regards the mainstreaming of biodiversity. </w:t>
      </w:r>
      <w:r w:rsidR="00B643B5" w:rsidRPr="00B47649">
        <w:rPr>
          <w:iCs/>
          <w:kern w:val="22"/>
          <w:sz w:val="22"/>
          <w:szCs w:val="22"/>
          <w:lang w:val="en-GB"/>
        </w:rPr>
        <w:t xml:space="preserve">While collaboration with international organizations is covered by the previous paragraphs, the Secretariat’s cooperation with the </w:t>
      </w:r>
      <w:r w:rsidR="003B1397" w:rsidRPr="00B47649">
        <w:rPr>
          <w:iCs/>
          <w:kern w:val="22"/>
          <w:sz w:val="22"/>
          <w:szCs w:val="22"/>
          <w:lang w:val="en-GB"/>
        </w:rPr>
        <w:t xml:space="preserve">United Nations Framework Convention </w:t>
      </w:r>
      <w:r w:rsidR="009E6E0F" w:rsidRPr="00B47649">
        <w:rPr>
          <w:iCs/>
          <w:kern w:val="22"/>
          <w:sz w:val="22"/>
          <w:szCs w:val="22"/>
          <w:lang w:val="en-GB"/>
        </w:rPr>
        <w:t>on Climate Change (</w:t>
      </w:r>
      <w:r w:rsidR="00B643B5" w:rsidRPr="00B47649">
        <w:rPr>
          <w:iCs/>
          <w:kern w:val="22"/>
          <w:sz w:val="22"/>
          <w:szCs w:val="22"/>
          <w:lang w:val="en-GB"/>
        </w:rPr>
        <w:t>UNFCCC</w:t>
      </w:r>
      <w:r w:rsidR="009E6E0F" w:rsidRPr="00B47649">
        <w:rPr>
          <w:iCs/>
          <w:kern w:val="22"/>
          <w:sz w:val="22"/>
          <w:szCs w:val="22"/>
          <w:lang w:val="en-GB"/>
        </w:rPr>
        <w:t>)</w:t>
      </w:r>
      <w:r w:rsidR="00B643B5" w:rsidRPr="00B47649">
        <w:rPr>
          <w:iCs/>
          <w:kern w:val="22"/>
          <w:sz w:val="22"/>
          <w:szCs w:val="22"/>
          <w:lang w:val="en-GB"/>
        </w:rPr>
        <w:t xml:space="preserve"> mostly addresses the linkages between biodiversity and climate change; through </w:t>
      </w:r>
      <w:r w:rsidR="009E6E0F" w:rsidRPr="00B47649">
        <w:rPr>
          <w:iCs/>
          <w:kern w:val="22"/>
          <w:sz w:val="22"/>
          <w:szCs w:val="22"/>
          <w:lang w:val="en-GB"/>
        </w:rPr>
        <w:t>the United Nations Environment Programme (</w:t>
      </w:r>
      <w:r w:rsidR="00B643B5" w:rsidRPr="00B47649">
        <w:rPr>
          <w:iCs/>
          <w:kern w:val="22"/>
          <w:sz w:val="22"/>
          <w:szCs w:val="22"/>
          <w:lang w:val="en-GB"/>
        </w:rPr>
        <w:t>UNEP</w:t>
      </w:r>
      <w:r w:rsidR="009E6E0F" w:rsidRPr="00B47649">
        <w:rPr>
          <w:iCs/>
          <w:kern w:val="22"/>
          <w:sz w:val="22"/>
          <w:szCs w:val="22"/>
          <w:lang w:val="en-GB"/>
        </w:rPr>
        <w:t>)</w:t>
      </w:r>
      <w:r w:rsidR="00B643B5" w:rsidRPr="00B47649">
        <w:rPr>
          <w:iCs/>
          <w:kern w:val="22"/>
          <w:sz w:val="22"/>
          <w:szCs w:val="22"/>
          <w:lang w:val="en-GB"/>
        </w:rPr>
        <w:t xml:space="preserve"> and the Biodiversity Liaison Group of Conventions, there is collaboration on synergies for the post-2020 process. In addition, work under the U</w:t>
      </w:r>
      <w:r w:rsidR="00592A12" w:rsidRPr="00B47649">
        <w:rPr>
          <w:iCs/>
          <w:kern w:val="22"/>
          <w:sz w:val="22"/>
          <w:szCs w:val="22"/>
          <w:lang w:val="en-GB"/>
        </w:rPr>
        <w:t xml:space="preserve">nited </w:t>
      </w:r>
      <w:r w:rsidR="00B643B5" w:rsidRPr="00B47649">
        <w:rPr>
          <w:iCs/>
          <w:kern w:val="22"/>
          <w:sz w:val="22"/>
          <w:szCs w:val="22"/>
          <w:lang w:val="en-GB"/>
        </w:rPr>
        <w:t>N</w:t>
      </w:r>
      <w:r w:rsidR="00592A12" w:rsidRPr="00B47649">
        <w:rPr>
          <w:iCs/>
          <w:kern w:val="22"/>
          <w:sz w:val="22"/>
          <w:szCs w:val="22"/>
          <w:lang w:val="en-GB"/>
        </w:rPr>
        <w:t>ations</w:t>
      </w:r>
      <w:r w:rsidR="00B643B5" w:rsidRPr="00B47649">
        <w:rPr>
          <w:iCs/>
          <w:kern w:val="22"/>
          <w:sz w:val="22"/>
          <w:szCs w:val="22"/>
          <w:lang w:val="en-GB"/>
        </w:rPr>
        <w:t xml:space="preserve"> Environment Management Group may also become relevant, building on its current engagement to support </w:t>
      </w:r>
      <w:r w:rsidR="00CF0996">
        <w:rPr>
          <w:iCs/>
          <w:kern w:val="22"/>
          <w:sz w:val="22"/>
          <w:szCs w:val="22"/>
          <w:lang w:val="en-GB"/>
        </w:rPr>
        <w:t xml:space="preserve">the </w:t>
      </w:r>
      <w:r w:rsidR="00B643B5" w:rsidRPr="00B47649">
        <w:rPr>
          <w:iCs/>
          <w:kern w:val="22"/>
          <w:sz w:val="22"/>
          <w:szCs w:val="22"/>
          <w:lang w:val="en-GB"/>
        </w:rPr>
        <w:t xml:space="preserve">implementation of the 2011-2020 Strategic Plan and </w:t>
      </w:r>
      <w:r w:rsidR="006C3BE5" w:rsidRPr="00B47649">
        <w:rPr>
          <w:iCs/>
          <w:kern w:val="22"/>
          <w:sz w:val="22"/>
          <w:szCs w:val="22"/>
          <w:lang w:val="en-GB"/>
        </w:rPr>
        <w:t>its facilitation of consultations among members</w:t>
      </w:r>
      <w:r w:rsidR="00F10CD2" w:rsidRPr="00F10CD2">
        <w:rPr>
          <w:iCs/>
          <w:kern w:val="22"/>
          <w:sz w:val="22"/>
          <w:szCs w:val="22"/>
          <w:lang w:val="en-GB"/>
        </w:rPr>
        <w:t xml:space="preserve"> </w:t>
      </w:r>
      <w:r w:rsidR="00F10CD2">
        <w:rPr>
          <w:iCs/>
          <w:kern w:val="22"/>
          <w:sz w:val="22"/>
          <w:szCs w:val="22"/>
          <w:lang w:val="en-GB"/>
        </w:rPr>
        <w:t xml:space="preserve">of </w:t>
      </w:r>
      <w:r w:rsidR="00F10CD2" w:rsidRPr="00B47649">
        <w:rPr>
          <w:iCs/>
          <w:kern w:val="22"/>
          <w:sz w:val="22"/>
          <w:szCs w:val="22"/>
          <w:lang w:val="en-GB"/>
        </w:rPr>
        <w:t>the Environment Management Group</w:t>
      </w:r>
      <w:r w:rsidR="006C3BE5" w:rsidRPr="00B47649">
        <w:rPr>
          <w:iCs/>
          <w:kern w:val="22"/>
          <w:sz w:val="22"/>
          <w:szCs w:val="22"/>
          <w:lang w:val="en-GB"/>
        </w:rPr>
        <w:t xml:space="preserve"> on </w:t>
      </w:r>
      <w:r w:rsidR="00B643B5" w:rsidRPr="00B47649">
        <w:rPr>
          <w:iCs/>
          <w:kern w:val="22"/>
          <w:sz w:val="22"/>
          <w:szCs w:val="22"/>
          <w:lang w:val="en-GB"/>
        </w:rPr>
        <w:t>the development of the post-2020 global biodiversity framework.</w:t>
      </w:r>
    </w:p>
    <w:p w14:paraId="6E2E95BB" w14:textId="5DD90B98" w:rsidR="00B6202C" w:rsidRPr="00B47649" w:rsidRDefault="00B6202C"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Pursuant to </w:t>
      </w:r>
      <w:r w:rsidR="002E29A2" w:rsidRPr="00B47649">
        <w:rPr>
          <w:kern w:val="22"/>
          <w:sz w:val="22"/>
          <w:szCs w:val="22"/>
          <w:lang w:val="en-GB"/>
        </w:rPr>
        <w:t>d</w:t>
      </w:r>
      <w:r w:rsidRPr="00B47649">
        <w:rPr>
          <w:kern w:val="22"/>
          <w:sz w:val="22"/>
          <w:szCs w:val="22"/>
          <w:lang w:val="en-GB"/>
        </w:rPr>
        <w:t>ecisions of the Confer</w:t>
      </w:r>
      <w:r w:rsidR="002E29A2" w:rsidRPr="00B47649">
        <w:rPr>
          <w:kern w:val="22"/>
          <w:sz w:val="22"/>
          <w:szCs w:val="22"/>
          <w:lang w:val="en-GB"/>
        </w:rPr>
        <w:t>e</w:t>
      </w:r>
      <w:r w:rsidRPr="00B47649">
        <w:rPr>
          <w:kern w:val="22"/>
          <w:sz w:val="22"/>
          <w:szCs w:val="22"/>
          <w:lang w:val="en-GB"/>
        </w:rPr>
        <w:t>nce of the Parties</w:t>
      </w:r>
      <w:r w:rsidR="002E29A2" w:rsidRPr="00B47649">
        <w:rPr>
          <w:kern w:val="22"/>
          <w:sz w:val="22"/>
          <w:szCs w:val="22"/>
          <w:lang w:val="en-GB"/>
        </w:rPr>
        <w:t>,</w:t>
      </w:r>
      <w:r w:rsidRPr="00B47649">
        <w:rPr>
          <w:kern w:val="22"/>
          <w:sz w:val="22"/>
          <w:szCs w:val="22"/>
          <w:lang w:val="en-GB"/>
        </w:rPr>
        <w:t xml:space="preserve"> the Secretariat has a joint work programme with </w:t>
      </w:r>
      <w:r w:rsidR="00E6746C" w:rsidRPr="00B47649">
        <w:rPr>
          <w:kern w:val="22"/>
          <w:sz w:val="22"/>
          <w:szCs w:val="22"/>
          <w:lang w:val="en-GB"/>
        </w:rPr>
        <w:t>the World Health Organization (</w:t>
      </w:r>
      <w:r w:rsidRPr="00B47649">
        <w:rPr>
          <w:kern w:val="22"/>
          <w:sz w:val="22"/>
          <w:szCs w:val="22"/>
          <w:lang w:val="en-GB"/>
        </w:rPr>
        <w:t>WHO</w:t>
      </w:r>
      <w:r w:rsidR="00E6746C" w:rsidRPr="00B47649">
        <w:rPr>
          <w:kern w:val="22"/>
          <w:sz w:val="22"/>
          <w:szCs w:val="22"/>
          <w:lang w:val="en-GB"/>
        </w:rPr>
        <w:t>)</w:t>
      </w:r>
      <w:r w:rsidRPr="00B47649">
        <w:rPr>
          <w:kern w:val="22"/>
          <w:sz w:val="22"/>
          <w:szCs w:val="22"/>
          <w:lang w:val="en-GB"/>
        </w:rPr>
        <w:t xml:space="preserve"> on the interlinkages between biodiversity and </w:t>
      </w:r>
      <w:r w:rsidR="002E29A2" w:rsidRPr="00B47649">
        <w:rPr>
          <w:kern w:val="22"/>
          <w:sz w:val="22"/>
          <w:szCs w:val="22"/>
          <w:lang w:val="en-GB"/>
        </w:rPr>
        <w:t>h</w:t>
      </w:r>
      <w:r w:rsidRPr="00B47649">
        <w:rPr>
          <w:kern w:val="22"/>
          <w:sz w:val="22"/>
          <w:szCs w:val="22"/>
          <w:lang w:val="en-GB"/>
        </w:rPr>
        <w:t>ealth. In t</w:t>
      </w:r>
      <w:r w:rsidR="002E29A2" w:rsidRPr="00B47649">
        <w:rPr>
          <w:kern w:val="22"/>
          <w:sz w:val="22"/>
          <w:szCs w:val="22"/>
          <w:lang w:val="en-GB"/>
        </w:rPr>
        <w:t>h</w:t>
      </w:r>
      <w:r w:rsidRPr="00B47649">
        <w:rPr>
          <w:kern w:val="22"/>
          <w:sz w:val="22"/>
          <w:szCs w:val="22"/>
          <w:lang w:val="en-GB"/>
        </w:rPr>
        <w:t>is context</w:t>
      </w:r>
      <w:r w:rsidR="002E29A2" w:rsidRPr="00B47649">
        <w:rPr>
          <w:kern w:val="22"/>
          <w:sz w:val="22"/>
          <w:szCs w:val="22"/>
          <w:lang w:val="en-GB"/>
        </w:rPr>
        <w:t>,</w:t>
      </w:r>
      <w:r w:rsidRPr="00B47649">
        <w:rPr>
          <w:kern w:val="22"/>
          <w:sz w:val="22"/>
          <w:szCs w:val="22"/>
          <w:lang w:val="en-GB"/>
        </w:rPr>
        <w:t xml:space="preserve"> the second meeting of the inter-agency lia</w:t>
      </w:r>
      <w:r w:rsidR="002E29A2" w:rsidRPr="00B47649">
        <w:rPr>
          <w:kern w:val="22"/>
          <w:sz w:val="22"/>
          <w:szCs w:val="22"/>
          <w:lang w:val="en-GB"/>
        </w:rPr>
        <w:t>i</w:t>
      </w:r>
      <w:r w:rsidRPr="00B47649">
        <w:rPr>
          <w:kern w:val="22"/>
          <w:sz w:val="22"/>
          <w:szCs w:val="22"/>
          <w:lang w:val="en-GB"/>
        </w:rPr>
        <w:t xml:space="preserve">son group on biodiversity and health co-convened by </w:t>
      </w:r>
      <w:r w:rsidR="00A52026" w:rsidRPr="00B47649">
        <w:rPr>
          <w:kern w:val="22"/>
          <w:sz w:val="22"/>
          <w:szCs w:val="22"/>
          <w:lang w:val="en-GB"/>
        </w:rPr>
        <w:t xml:space="preserve">the Convention on Biological Diversity </w:t>
      </w:r>
      <w:r w:rsidRPr="00B47649">
        <w:rPr>
          <w:kern w:val="22"/>
          <w:sz w:val="22"/>
          <w:szCs w:val="22"/>
          <w:lang w:val="en-GB"/>
        </w:rPr>
        <w:t xml:space="preserve">and WHO was held </w:t>
      </w:r>
      <w:r w:rsidR="00A52026" w:rsidRPr="00B47649">
        <w:rPr>
          <w:kern w:val="22"/>
          <w:sz w:val="22"/>
          <w:szCs w:val="22"/>
          <w:lang w:val="en-GB"/>
        </w:rPr>
        <w:t xml:space="preserve">from </w:t>
      </w:r>
      <w:r w:rsidRPr="00B47649">
        <w:rPr>
          <w:kern w:val="22"/>
          <w:sz w:val="22"/>
          <w:szCs w:val="22"/>
          <w:lang w:val="en-GB"/>
        </w:rPr>
        <w:t>4</w:t>
      </w:r>
      <w:r w:rsidR="00A52026" w:rsidRPr="00B47649">
        <w:rPr>
          <w:kern w:val="22"/>
          <w:sz w:val="22"/>
          <w:szCs w:val="22"/>
          <w:lang w:val="en-GB"/>
        </w:rPr>
        <w:t xml:space="preserve"> to </w:t>
      </w:r>
      <w:r w:rsidRPr="00B47649">
        <w:rPr>
          <w:kern w:val="22"/>
          <w:sz w:val="22"/>
          <w:szCs w:val="22"/>
          <w:lang w:val="en-GB"/>
        </w:rPr>
        <w:t xml:space="preserve">6 May 2020. This issue will be addressed by </w:t>
      </w:r>
      <w:r w:rsidR="00A52026" w:rsidRPr="00B47649">
        <w:rPr>
          <w:kern w:val="22"/>
          <w:sz w:val="22"/>
          <w:szCs w:val="22"/>
          <w:lang w:val="en-GB"/>
        </w:rPr>
        <w:t>the Subsidiary Body on Scientific, Technical and Technological Advice at its twenty-fourth meeting</w:t>
      </w:r>
      <w:r w:rsidRPr="00B47649">
        <w:rPr>
          <w:kern w:val="22"/>
          <w:sz w:val="22"/>
          <w:szCs w:val="22"/>
          <w:lang w:val="en-GB"/>
        </w:rPr>
        <w:t>.</w:t>
      </w:r>
    </w:p>
    <w:p w14:paraId="31C44722" w14:textId="5B405FA2" w:rsidR="004B3207" w:rsidRPr="00B47649" w:rsidRDefault="004B3207"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In paragraph 19(</w:t>
      </w:r>
      <w:proofErr w:type="spellStart"/>
      <w:r w:rsidRPr="00B47649">
        <w:rPr>
          <w:iCs/>
          <w:kern w:val="22"/>
          <w:sz w:val="22"/>
          <w:szCs w:val="22"/>
          <w:lang w:val="en-GB"/>
        </w:rPr>
        <w:t>i</w:t>
      </w:r>
      <w:proofErr w:type="spellEnd"/>
      <w:r w:rsidRPr="00B47649">
        <w:rPr>
          <w:iCs/>
          <w:kern w:val="22"/>
          <w:sz w:val="22"/>
          <w:szCs w:val="22"/>
          <w:lang w:val="en-GB"/>
        </w:rPr>
        <w:t xml:space="preserve">) of </w:t>
      </w:r>
      <w:r w:rsidRPr="00B47649">
        <w:rPr>
          <w:kern w:val="22"/>
          <w:sz w:val="22"/>
          <w:szCs w:val="22"/>
          <w:lang w:val="en-GB"/>
        </w:rPr>
        <w:t>decision</w:t>
      </w:r>
      <w:r w:rsidRPr="00B47649">
        <w:rPr>
          <w:iCs/>
          <w:kern w:val="22"/>
          <w:sz w:val="22"/>
          <w:szCs w:val="22"/>
          <w:lang w:val="en-GB"/>
        </w:rPr>
        <w:t xml:space="preserve"> 14/3, the Executive Secretary was requested to continue to develop, in collaboration with the Biodiversity Indicators Partnership and other partnerships and stakeholders, as appropriate, metrics for measuring mainstreaming success which will provide a basis for adequately </w:t>
      </w:r>
      <w:r w:rsidRPr="00B47649">
        <w:rPr>
          <w:iCs/>
          <w:kern w:val="22"/>
          <w:sz w:val="22"/>
          <w:szCs w:val="22"/>
          <w:lang w:val="en-GB"/>
        </w:rPr>
        <w:lastRenderedPageBreak/>
        <w:t xml:space="preserve">integrating biodiversity mainstreaming in the post-2020 global biodiversity framework. In addition to the work on business metrics, the Executive Secretary continued to liaise with relevant organizations and processes that are pertinent to the proposed goals of the LTAM, such as with the </w:t>
      </w:r>
      <w:r w:rsidR="00E81D81" w:rsidRPr="00B47649">
        <w:rPr>
          <w:iCs/>
          <w:kern w:val="22"/>
          <w:sz w:val="22"/>
          <w:szCs w:val="22"/>
          <w:lang w:val="en-GB"/>
        </w:rPr>
        <w:t xml:space="preserve">Organisation </w:t>
      </w:r>
      <w:r w:rsidR="0038095D" w:rsidRPr="00B47649">
        <w:rPr>
          <w:iCs/>
          <w:kern w:val="22"/>
          <w:sz w:val="22"/>
          <w:szCs w:val="22"/>
          <w:lang w:val="en-GB"/>
        </w:rPr>
        <w:t>for Economic Co-operation and Development (</w:t>
      </w:r>
      <w:r w:rsidRPr="00B47649">
        <w:rPr>
          <w:iCs/>
          <w:kern w:val="22"/>
          <w:sz w:val="22"/>
          <w:szCs w:val="22"/>
          <w:lang w:val="en-GB"/>
        </w:rPr>
        <w:t>OECD</w:t>
      </w:r>
      <w:r w:rsidR="0038095D" w:rsidRPr="00B47649">
        <w:rPr>
          <w:iCs/>
          <w:kern w:val="22"/>
          <w:sz w:val="22"/>
          <w:szCs w:val="22"/>
          <w:lang w:val="en-GB"/>
        </w:rPr>
        <w:t>)</w:t>
      </w:r>
      <w:r w:rsidRPr="00B47649">
        <w:rPr>
          <w:iCs/>
          <w:kern w:val="22"/>
          <w:sz w:val="22"/>
          <w:szCs w:val="22"/>
          <w:lang w:val="en-GB"/>
        </w:rPr>
        <w:t xml:space="preserve"> on indicator for harmful and positive incentives, or with the United Nations Committee of Experts on Environmental Economic Accounting (UNCEEA), regarding ecosystem accounting as a key mainstreaming tool. Together with the United Nations Environment Programme, the Convention Secretariat is co-custodian o</w:t>
      </w:r>
      <w:r w:rsidR="00CE1B74" w:rsidRPr="00B47649">
        <w:rPr>
          <w:iCs/>
          <w:kern w:val="22"/>
          <w:sz w:val="22"/>
          <w:szCs w:val="22"/>
          <w:lang w:val="en-GB"/>
        </w:rPr>
        <w:t>f</w:t>
      </w:r>
      <w:r w:rsidRPr="00B47649">
        <w:rPr>
          <w:iCs/>
          <w:kern w:val="22"/>
          <w:sz w:val="22"/>
          <w:szCs w:val="22"/>
          <w:lang w:val="en-GB"/>
        </w:rPr>
        <w:t xml:space="preserve"> the indicator for SDG </w:t>
      </w:r>
      <w:r w:rsidR="00E5081B" w:rsidRPr="00B47649">
        <w:rPr>
          <w:iCs/>
          <w:kern w:val="22"/>
          <w:sz w:val="22"/>
          <w:szCs w:val="22"/>
          <w:lang w:val="en-GB"/>
        </w:rPr>
        <w:t>T</w:t>
      </w:r>
      <w:r w:rsidRPr="00B47649">
        <w:rPr>
          <w:iCs/>
          <w:kern w:val="22"/>
          <w:sz w:val="22"/>
          <w:szCs w:val="22"/>
          <w:lang w:val="en-GB"/>
        </w:rPr>
        <w:t xml:space="preserve">arget </w:t>
      </w:r>
      <w:r w:rsidR="00CE1B74" w:rsidRPr="00B47649">
        <w:rPr>
          <w:iCs/>
          <w:kern w:val="22"/>
          <w:sz w:val="22"/>
          <w:szCs w:val="22"/>
          <w:lang w:val="en-GB"/>
        </w:rPr>
        <w:t>15.9 (which</w:t>
      </w:r>
      <w:r w:rsidR="0067001D">
        <w:rPr>
          <w:iCs/>
          <w:kern w:val="22"/>
          <w:sz w:val="22"/>
          <w:szCs w:val="22"/>
          <w:lang w:val="en-GB"/>
        </w:rPr>
        <w:t>,</w:t>
      </w:r>
      <w:r w:rsidR="00CE1B74" w:rsidRPr="00B47649">
        <w:rPr>
          <w:iCs/>
          <w:kern w:val="22"/>
          <w:sz w:val="22"/>
          <w:szCs w:val="22"/>
          <w:lang w:val="en-GB"/>
        </w:rPr>
        <w:t xml:space="preserve"> in turn</w:t>
      </w:r>
      <w:r w:rsidR="0067001D">
        <w:rPr>
          <w:iCs/>
          <w:kern w:val="22"/>
          <w:sz w:val="22"/>
          <w:szCs w:val="22"/>
          <w:lang w:val="en-GB"/>
        </w:rPr>
        <w:t>,</w:t>
      </w:r>
      <w:r w:rsidR="00CE1B74" w:rsidRPr="00B47649">
        <w:rPr>
          <w:iCs/>
          <w:kern w:val="22"/>
          <w:sz w:val="22"/>
          <w:szCs w:val="22"/>
          <w:lang w:val="en-GB"/>
        </w:rPr>
        <w:t xml:space="preserve"> was inspired by Achi Biodiversity Target 2) and contributed to its further development and its upgrading by the Inter-Agency Task Force on SDG Indicators). Target 15.9 is proposed as </w:t>
      </w:r>
      <w:r w:rsidR="006C3BE5" w:rsidRPr="00B47649">
        <w:rPr>
          <w:iCs/>
          <w:kern w:val="22"/>
          <w:sz w:val="22"/>
          <w:szCs w:val="22"/>
          <w:lang w:val="en-GB"/>
        </w:rPr>
        <w:t>action area</w:t>
      </w:r>
      <w:r w:rsidR="00CE1B74" w:rsidRPr="00B47649">
        <w:rPr>
          <w:iCs/>
          <w:kern w:val="22"/>
          <w:sz w:val="22"/>
          <w:szCs w:val="22"/>
          <w:lang w:val="en-GB"/>
        </w:rPr>
        <w:t xml:space="preserve"> 1 of the </w:t>
      </w:r>
      <w:r w:rsidR="004629D1" w:rsidRPr="00B47649">
        <w:rPr>
          <w:kern w:val="22"/>
          <w:sz w:val="22"/>
          <w:szCs w:val="22"/>
          <w:lang w:val="en-GB"/>
        </w:rPr>
        <w:t>long-term approach</w:t>
      </w:r>
      <w:r w:rsidR="00CE1B74" w:rsidRPr="00B47649">
        <w:rPr>
          <w:iCs/>
          <w:kern w:val="22"/>
          <w:sz w:val="22"/>
          <w:szCs w:val="22"/>
          <w:lang w:val="en-GB"/>
        </w:rPr>
        <w:t>.</w:t>
      </w:r>
      <w:r w:rsidR="00C429EC" w:rsidRPr="00B47649">
        <w:rPr>
          <w:rStyle w:val="FootnoteReference"/>
          <w:iCs/>
          <w:kern w:val="22"/>
          <w:szCs w:val="22"/>
          <w:lang w:val="en-GB"/>
        </w:rPr>
        <w:footnoteReference w:id="17"/>
      </w:r>
    </w:p>
    <w:p w14:paraId="054B462B" w14:textId="32C860D8" w:rsidR="00FE163E" w:rsidRPr="00B47649" w:rsidRDefault="00B643B5"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In conclusion, it is expected that implementation of </w:t>
      </w:r>
      <w:r w:rsidR="00FE163E" w:rsidRPr="00B47649">
        <w:rPr>
          <w:kern w:val="22"/>
          <w:sz w:val="22"/>
          <w:szCs w:val="22"/>
          <w:lang w:val="en-GB"/>
        </w:rPr>
        <w:t xml:space="preserve">the </w:t>
      </w:r>
      <w:r w:rsidR="004629D1" w:rsidRPr="00B47649">
        <w:rPr>
          <w:kern w:val="22"/>
          <w:sz w:val="22"/>
          <w:szCs w:val="22"/>
          <w:lang w:val="en-GB"/>
        </w:rPr>
        <w:t xml:space="preserve">long-term approach </w:t>
      </w:r>
      <w:r w:rsidRPr="00B47649">
        <w:rPr>
          <w:kern w:val="22"/>
          <w:sz w:val="22"/>
          <w:szCs w:val="22"/>
          <w:lang w:val="en-GB"/>
        </w:rPr>
        <w:t xml:space="preserve">and the associated action plan can benefit from strengthening </w:t>
      </w:r>
      <w:r w:rsidR="00EA30B0" w:rsidRPr="00B47649">
        <w:rPr>
          <w:kern w:val="22"/>
          <w:sz w:val="22"/>
          <w:szCs w:val="22"/>
          <w:lang w:val="en-GB"/>
        </w:rPr>
        <w:t xml:space="preserve">existing mechanisms </w:t>
      </w:r>
      <w:r w:rsidR="008E3C31" w:rsidRPr="00B47649">
        <w:rPr>
          <w:kern w:val="22"/>
          <w:sz w:val="22"/>
          <w:szCs w:val="22"/>
          <w:lang w:val="en-GB"/>
        </w:rPr>
        <w:t xml:space="preserve">under the Convention </w:t>
      </w:r>
      <w:r w:rsidR="002939E5" w:rsidRPr="00B47649">
        <w:rPr>
          <w:kern w:val="22"/>
          <w:sz w:val="22"/>
          <w:szCs w:val="22"/>
          <w:lang w:val="en-GB"/>
        </w:rPr>
        <w:t xml:space="preserve">to support </w:t>
      </w:r>
      <w:r w:rsidR="00EA30B0" w:rsidRPr="00B47649">
        <w:rPr>
          <w:kern w:val="22"/>
          <w:sz w:val="22"/>
          <w:szCs w:val="22"/>
          <w:lang w:val="en-GB"/>
        </w:rPr>
        <w:t>mainstreaming</w:t>
      </w:r>
      <w:r w:rsidR="002939E5" w:rsidRPr="00B47649">
        <w:rPr>
          <w:kern w:val="22"/>
          <w:sz w:val="22"/>
          <w:szCs w:val="22"/>
          <w:lang w:val="en-GB"/>
        </w:rPr>
        <w:t xml:space="preserve"> efforts</w:t>
      </w:r>
      <w:r w:rsidR="00FE163E" w:rsidRPr="00B47649">
        <w:rPr>
          <w:kern w:val="22"/>
          <w:sz w:val="22"/>
          <w:szCs w:val="22"/>
          <w:lang w:val="en-GB"/>
        </w:rPr>
        <w:t xml:space="preserve">. </w:t>
      </w:r>
      <w:r w:rsidRPr="00B47649">
        <w:rPr>
          <w:kern w:val="22"/>
          <w:sz w:val="22"/>
          <w:szCs w:val="22"/>
          <w:lang w:val="en-GB"/>
        </w:rPr>
        <w:t>Specifically, i</w:t>
      </w:r>
      <w:r w:rsidR="00FE163E" w:rsidRPr="00B47649">
        <w:rPr>
          <w:kern w:val="22"/>
          <w:sz w:val="22"/>
          <w:szCs w:val="22"/>
          <w:lang w:val="en-GB"/>
        </w:rPr>
        <w:t xml:space="preserve">t is envisaged that strengthening </w:t>
      </w:r>
      <w:r w:rsidRPr="00B47649">
        <w:rPr>
          <w:kern w:val="22"/>
          <w:sz w:val="22"/>
          <w:szCs w:val="22"/>
          <w:lang w:val="en-GB"/>
        </w:rPr>
        <w:t>and broadening national and regional partnerships for business and biodiversity, as well as the associated</w:t>
      </w:r>
      <w:r w:rsidR="00FE163E" w:rsidRPr="00B47649">
        <w:rPr>
          <w:kern w:val="22"/>
          <w:sz w:val="22"/>
          <w:szCs w:val="22"/>
          <w:lang w:val="en-GB"/>
        </w:rPr>
        <w:t xml:space="preserve"> Global Partnership on Business and Biodiversity, </w:t>
      </w:r>
      <w:r w:rsidRPr="00B47649">
        <w:rPr>
          <w:kern w:val="22"/>
          <w:sz w:val="22"/>
          <w:szCs w:val="22"/>
          <w:lang w:val="en-GB"/>
        </w:rPr>
        <w:t xml:space="preserve">as an umbrella for exchanging experiences and good practices, </w:t>
      </w:r>
      <w:r w:rsidR="00FE163E" w:rsidRPr="00B47649">
        <w:rPr>
          <w:kern w:val="22"/>
          <w:sz w:val="22"/>
          <w:szCs w:val="22"/>
          <w:lang w:val="en-GB"/>
        </w:rPr>
        <w:t xml:space="preserve">as well as the secondment of a finance expert to the Secretariat of the </w:t>
      </w:r>
      <w:r w:rsidR="00506A3D" w:rsidRPr="00B47649">
        <w:rPr>
          <w:kern w:val="22"/>
          <w:sz w:val="22"/>
          <w:szCs w:val="22"/>
          <w:lang w:val="en-GB"/>
        </w:rPr>
        <w:t>Convention</w:t>
      </w:r>
      <w:r w:rsidR="00FE163E" w:rsidRPr="00B47649">
        <w:rPr>
          <w:kern w:val="22"/>
          <w:sz w:val="22"/>
          <w:szCs w:val="22"/>
          <w:lang w:val="en-GB"/>
        </w:rPr>
        <w:t xml:space="preserve">, </w:t>
      </w:r>
      <w:r w:rsidRPr="00B47649">
        <w:rPr>
          <w:kern w:val="22"/>
          <w:sz w:val="22"/>
          <w:szCs w:val="22"/>
          <w:lang w:val="en-GB"/>
        </w:rPr>
        <w:t>together with further intensified collaboration</w:t>
      </w:r>
      <w:r w:rsidR="00FE163E" w:rsidRPr="00B47649">
        <w:rPr>
          <w:kern w:val="22"/>
          <w:sz w:val="22"/>
          <w:szCs w:val="22"/>
          <w:lang w:val="en-GB"/>
        </w:rPr>
        <w:t xml:space="preserve"> with relevant </w:t>
      </w:r>
      <w:r w:rsidRPr="00B47649">
        <w:rPr>
          <w:kern w:val="22"/>
          <w:sz w:val="22"/>
          <w:szCs w:val="22"/>
          <w:lang w:val="en-GB"/>
        </w:rPr>
        <w:t xml:space="preserve">organizations and </w:t>
      </w:r>
      <w:r w:rsidR="00FE163E" w:rsidRPr="00B47649">
        <w:rPr>
          <w:kern w:val="22"/>
          <w:sz w:val="22"/>
          <w:szCs w:val="22"/>
          <w:lang w:val="en-GB"/>
        </w:rPr>
        <w:t>initiatives</w:t>
      </w:r>
      <w:r w:rsidRPr="00B47649">
        <w:rPr>
          <w:kern w:val="22"/>
          <w:sz w:val="22"/>
          <w:szCs w:val="22"/>
          <w:lang w:val="en-GB"/>
        </w:rPr>
        <w:t>, as outline</w:t>
      </w:r>
      <w:r w:rsidR="002A2484" w:rsidRPr="00B47649">
        <w:rPr>
          <w:kern w:val="22"/>
          <w:sz w:val="22"/>
          <w:szCs w:val="22"/>
          <w:lang w:val="en-GB"/>
        </w:rPr>
        <w:t>d</w:t>
      </w:r>
      <w:r w:rsidRPr="00B47649">
        <w:rPr>
          <w:kern w:val="22"/>
          <w:sz w:val="22"/>
          <w:szCs w:val="22"/>
          <w:lang w:val="en-GB"/>
        </w:rPr>
        <w:t xml:space="preserve"> above</w:t>
      </w:r>
      <w:r w:rsidR="002E29A2" w:rsidRPr="00B47649">
        <w:rPr>
          <w:kern w:val="22"/>
          <w:sz w:val="22"/>
          <w:szCs w:val="22"/>
          <w:lang w:val="en-GB"/>
        </w:rPr>
        <w:t>,</w:t>
      </w:r>
      <w:r w:rsidRPr="00B47649">
        <w:rPr>
          <w:kern w:val="22"/>
          <w:sz w:val="22"/>
          <w:szCs w:val="22"/>
          <w:lang w:val="en-GB"/>
        </w:rPr>
        <w:t xml:space="preserve"> can </w:t>
      </w:r>
      <w:r w:rsidR="00FE163E" w:rsidRPr="00B47649">
        <w:rPr>
          <w:kern w:val="22"/>
          <w:sz w:val="22"/>
          <w:szCs w:val="22"/>
          <w:lang w:val="en-GB"/>
        </w:rPr>
        <w:t>result</w:t>
      </w:r>
      <w:r w:rsidR="00A01085" w:rsidRPr="00B47649">
        <w:rPr>
          <w:kern w:val="22"/>
          <w:sz w:val="22"/>
          <w:szCs w:val="22"/>
          <w:lang w:val="en-GB"/>
        </w:rPr>
        <w:t xml:space="preserve"> </w:t>
      </w:r>
      <w:r w:rsidR="00FE163E" w:rsidRPr="00B47649">
        <w:rPr>
          <w:kern w:val="22"/>
          <w:sz w:val="22"/>
          <w:szCs w:val="22"/>
          <w:lang w:val="en-GB"/>
        </w:rPr>
        <w:t>in</w:t>
      </w:r>
      <w:r w:rsidR="002A2484" w:rsidRPr="00B47649">
        <w:rPr>
          <w:kern w:val="22"/>
          <w:sz w:val="22"/>
          <w:szCs w:val="22"/>
          <w:lang w:val="en-GB"/>
        </w:rPr>
        <w:t xml:space="preserve"> the further engagement, for implementing the post-2020 global biodiversity framework, of b</w:t>
      </w:r>
      <w:r w:rsidR="00EA30B0" w:rsidRPr="00B47649">
        <w:rPr>
          <w:kern w:val="22"/>
          <w:sz w:val="22"/>
          <w:szCs w:val="22"/>
          <w:lang w:val="en-GB"/>
        </w:rPr>
        <w:t>usinesses and their associat</w:t>
      </w:r>
      <w:r w:rsidR="00FE163E" w:rsidRPr="00B47649">
        <w:rPr>
          <w:kern w:val="22"/>
          <w:sz w:val="22"/>
          <w:szCs w:val="22"/>
          <w:lang w:val="en-GB"/>
        </w:rPr>
        <w:t>ion</w:t>
      </w:r>
      <w:r w:rsidR="002E29A2" w:rsidRPr="00B47649">
        <w:rPr>
          <w:kern w:val="22"/>
          <w:sz w:val="22"/>
          <w:szCs w:val="22"/>
          <w:lang w:val="en-GB"/>
        </w:rPr>
        <w:t>s</w:t>
      </w:r>
      <w:r w:rsidR="00FE163E" w:rsidRPr="00B47649">
        <w:rPr>
          <w:kern w:val="22"/>
          <w:sz w:val="22"/>
          <w:szCs w:val="22"/>
          <w:lang w:val="en-GB"/>
        </w:rPr>
        <w:t xml:space="preserve"> and networks </w:t>
      </w:r>
      <w:r w:rsidR="002A2484" w:rsidRPr="00B47649">
        <w:rPr>
          <w:kern w:val="22"/>
          <w:sz w:val="22"/>
          <w:szCs w:val="22"/>
          <w:lang w:val="en-GB"/>
        </w:rPr>
        <w:t xml:space="preserve">at regional and national levels and in economic sectors, including of the finance sector, based on improved </w:t>
      </w:r>
      <w:r w:rsidR="00FE163E" w:rsidRPr="00B47649">
        <w:rPr>
          <w:kern w:val="22"/>
          <w:sz w:val="22"/>
          <w:szCs w:val="22"/>
          <w:lang w:val="en-GB"/>
        </w:rPr>
        <w:t>align</w:t>
      </w:r>
      <w:r w:rsidR="002A2484" w:rsidRPr="00B47649">
        <w:rPr>
          <w:kern w:val="22"/>
          <w:sz w:val="22"/>
          <w:szCs w:val="22"/>
          <w:lang w:val="en-GB"/>
        </w:rPr>
        <w:t xml:space="preserve">ment and coherence of approaches to </w:t>
      </w:r>
      <w:r w:rsidR="00A01085" w:rsidRPr="00B47649">
        <w:rPr>
          <w:kern w:val="22"/>
          <w:sz w:val="22"/>
          <w:szCs w:val="22"/>
          <w:lang w:val="en-GB"/>
        </w:rPr>
        <w:t>biodiversity</w:t>
      </w:r>
      <w:r w:rsidR="002A2484" w:rsidRPr="00B47649">
        <w:rPr>
          <w:kern w:val="22"/>
          <w:sz w:val="22"/>
          <w:szCs w:val="22"/>
          <w:lang w:val="en-GB"/>
        </w:rPr>
        <w:t xml:space="preserve">. In addition, it is also expected that the </w:t>
      </w:r>
      <w:r w:rsidR="004629D1" w:rsidRPr="00B47649">
        <w:rPr>
          <w:kern w:val="22"/>
          <w:sz w:val="22"/>
          <w:szCs w:val="22"/>
          <w:lang w:val="en-GB"/>
        </w:rPr>
        <w:t>long-term approach to mainstreaming biodiversity</w:t>
      </w:r>
      <w:r w:rsidR="004629D1" w:rsidRPr="00B47649" w:rsidDel="004629D1">
        <w:rPr>
          <w:kern w:val="22"/>
          <w:sz w:val="22"/>
          <w:szCs w:val="22"/>
          <w:lang w:val="en-GB"/>
        </w:rPr>
        <w:t xml:space="preserve"> </w:t>
      </w:r>
      <w:r w:rsidR="002A2484" w:rsidRPr="00B47649">
        <w:rPr>
          <w:kern w:val="22"/>
          <w:sz w:val="22"/>
          <w:szCs w:val="22"/>
          <w:lang w:val="en-GB"/>
        </w:rPr>
        <w:t>can contribute to better alignment of relevant United Nations organizations and other relevant international organizations, as well as the Convention Secretariat, in supporting mainstreaming action.</w:t>
      </w:r>
    </w:p>
    <w:p w14:paraId="66633205" w14:textId="2C06F516" w:rsidR="000477AE" w:rsidRPr="00735E68" w:rsidRDefault="00735E68" w:rsidP="00735E68">
      <w:pPr>
        <w:pStyle w:val="Heading1"/>
        <w:numPr>
          <w:ilvl w:val="0"/>
          <w:numId w:val="8"/>
        </w:numPr>
        <w:suppressLineNumbers/>
        <w:tabs>
          <w:tab w:val="clear" w:pos="720"/>
          <w:tab w:val="left" w:pos="426"/>
        </w:tabs>
        <w:suppressAutoHyphens/>
        <w:spacing w:before="120"/>
        <w:ind w:left="0" w:firstLine="0"/>
        <w:rPr>
          <w:rFonts w:ascii="Times New Roman Bold" w:hAnsi="Times New Roman Bold"/>
          <w:kern w:val="22"/>
          <w:sz w:val="22"/>
          <w:szCs w:val="22"/>
          <w:lang w:val="en-GB"/>
        </w:rPr>
      </w:pPr>
      <w:r w:rsidRPr="00735E68">
        <w:rPr>
          <w:rFonts w:ascii="Times New Roman Bold" w:hAnsi="Times New Roman Bold"/>
          <w:kern w:val="22"/>
          <w:sz w:val="22"/>
          <w:szCs w:val="22"/>
          <w:lang w:val="en-GB"/>
        </w:rPr>
        <w:t xml:space="preserve">Suggested elements of a </w:t>
      </w:r>
      <w:r w:rsidR="000477AE" w:rsidRPr="00735E68">
        <w:rPr>
          <w:rFonts w:ascii="Times New Roman Bold" w:hAnsi="Times New Roman Bold"/>
          <w:kern w:val="22"/>
          <w:sz w:val="22"/>
          <w:szCs w:val="22"/>
          <w:lang w:val="en-GB"/>
        </w:rPr>
        <w:t>draft recommendation</w:t>
      </w:r>
    </w:p>
    <w:p w14:paraId="00CD8510" w14:textId="1DF17514" w:rsidR="00A72767" w:rsidRDefault="00A72767" w:rsidP="00E220AF">
      <w:pPr>
        <w:pStyle w:val="Para10"/>
        <w:suppressLineNumbers/>
        <w:tabs>
          <w:tab w:val="clear" w:pos="360"/>
        </w:tabs>
        <w:suppressAutoHyphens/>
        <w:jc w:val="both"/>
        <w:rPr>
          <w:iCs/>
          <w:kern w:val="22"/>
          <w:sz w:val="22"/>
          <w:szCs w:val="22"/>
          <w:lang w:val="en-GB"/>
        </w:rPr>
      </w:pPr>
      <w:r>
        <w:rPr>
          <w:iCs/>
          <w:kern w:val="22"/>
          <w:sz w:val="22"/>
          <w:szCs w:val="22"/>
          <w:lang w:val="en-GB"/>
        </w:rPr>
        <w:t xml:space="preserve">The </w:t>
      </w:r>
      <w:r w:rsidRPr="00E220AF">
        <w:rPr>
          <w:kern w:val="22"/>
          <w:sz w:val="22"/>
          <w:szCs w:val="22"/>
          <w:lang w:val="en-GB"/>
        </w:rPr>
        <w:t>Subsidiary</w:t>
      </w:r>
      <w:r>
        <w:rPr>
          <w:iCs/>
          <w:kern w:val="22"/>
          <w:sz w:val="22"/>
          <w:szCs w:val="22"/>
          <w:lang w:val="en-GB"/>
        </w:rPr>
        <w:t xml:space="preserve"> Body may wish to adopt a decision along the following lines:</w:t>
      </w:r>
    </w:p>
    <w:p w14:paraId="19300546" w14:textId="4C381443" w:rsidR="00461A4B" w:rsidRPr="00B47649" w:rsidRDefault="00461A4B" w:rsidP="00B47649">
      <w:pPr>
        <w:pStyle w:val="Para10"/>
        <w:numPr>
          <w:ilvl w:val="0"/>
          <w:numId w:val="0"/>
        </w:numPr>
        <w:suppressLineNumbers/>
        <w:suppressAutoHyphens/>
        <w:kinsoku w:val="0"/>
        <w:overflowPunct w:val="0"/>
        <w:autoSpaceDE w:val="0"/>
        <w:autoSpaceDN w:val="0"/>
        <w:adjustRightInd w:val="0"/>
        <w:snapToGrid w:val="0"/>
        <w:ind w:firstLine="720"/>
        <w:jc w:val="both"/>
        <w:rPr>
          <w:iCs/>
          <w:kern w:val="22"/>
          <w:sz w:val="22"/>
          <w:szCs w:val="22"/>
          <w:lang w:val="en-GB"/>
        </w:rPr>
      </w:pPr>
      <w:r w:rsidRPr="00E220AF">
        <w:rPr>
          <w:i/>
          <w:kern w:val="22"/>
          <w:sz w:val="22"/>
          <w:szCs w:val="22"/>
          <w:lang w:val="en-GB"/>
        </w:rPr>
        <w:t>The Subsidiary Body on Implementation</w:t>
      </w:r>
      <w:r w:rsidRPr="00B47649">
        <w:rPr>
          <w:iCs/>
          <w:kern w:val="22"/>
          <w:sz w:val="22"/>
          <w:szCs w:val="22"/>
          <w:lang w:val="en-GB"/>
        </w:rPr>
        <w:t>,</w:t>
      </w:r>
    </w:p>
    <w:p w14:paraId="31C6D745" w14:textId="4AA36CAD" w:rsidR="00225E3C" w:rsidRPr="00B47649" w:rsidRDefault="00225E3C" w:rsidP="00E220AF">
      <w:pPr>
        <w:pStyle w:val="StylePara1Kernat11pt"/>
        <w:suppressLineNumbers/>
        <w:suppressAutoHyphens/>
        <w:kinsoku w:val="0"/>
        <w:overflowPunct w:val="0"/>
        <w:autoSpaceDE w:val="0"/>
        <w:autoSpaceDN w:val="0"/>
        <w:adjustRightInd w:val="0"/>
        <w:snapToGrid w:val="0"/>
        <w:ind w:firstLine="720"/>
        <w:jc w:val="both"/>
        <w:rPr>
          <w:i/>
          <w:sz w:val="22"/>
          <w:szCs w:val="22"/>
          <w:lang w:val="en-GB"/>
        </w:rPr>
      </w:pPr>
      <w:r w:rsidRPr="00B47649">
        <w:rPr>
          <w:i/>
          <w:sz w:val="22"/>
          <w:szCs w:val="22"/>
          <w:lang w:val="en-GB"/>
        </w:rPr>
        <w:t xml:space="preserve">Recalling </w:t>
      </w:r>
      <w:r w:rsidRPr="00B47649">
        <w:rPr>
          <w:iCs/>
          <w:sz w:val="22"/>
          <w:szCs w:val="22"/>
          <w:lang w:val="en-GB"/>
        </w:rPr>
        <w:t>the decision of the Conference of the Parties at its fourteenth meeting to establish a long-term strategic approach to biodiversity mainstreaming, to develop it further with the support of an informal advisory group, and to consider its advice on ways to integrate biodiversity mainstreaming adequately into the post-2020 global biodiversity framework</w:t>
      </w:r>
      <w:r w:rsidR="006D1717" w:rsidRPr="00B47649">
        <w:rPr>
          <w:iCs/>
          <w:sz w:val="22"/>
          <w:szCs w:val="22"/>
          <w:lang w:val="en-GB"/>
        </w:rPr>
        <w:t>,</w:t>
      </w:r>
      <w:r w:rsidR="004D66DC" w:rsidRPr="00B47649">
        <w:rPr>
          <w:rStyle w:val="FootnoteReference"/>
          <w:iCs/>
          <w:szCs w:val="22"/>
          <w:lang w:val="en-GB"/>
        </w:rPr>
        <w:footnoteReference w:id="18"/>
      </w:r>
    </w:p>
    <w:p w14:paraId="7E6B9480" w14:textId="02E89FCF" w:rsidR="002256C4" w:rsidRPr="00B47649" w:rsidRDefault="00FF47CA" w:rsidP="00E220AF">
      <w:pPr>
        <w:pStyle w:val="StylePara1Kernat11pt"/>
        <w:suppressLineNumbers/>
        <w:suppressAutoHyphens/>
        <w:kinsoku w:val="0"/>
        <w:overflowPunct w:val="0"/>
        <w:autoSpaceDE w:val="0"/>
        <w:autoSpaceDN w:val="0"/>
        <w:adjustRightInd w:val="0"/>
        <w:snapToGrid w:val="0"/>
        <w:ind w:firstLine="720"/>
        <w:jc w:val="both"/>
        <w:rPr>
          <w:i/>
          <w:snapToGrid/>
          <w:sz w:val="22"/>
          <w:szCs w:val="22"/>
          <w:lang w:val="en-GB"/>
        </w:rPr>
      </w:pPr>
      <w:r w:rsidRPr="00B47649">
        <w:rPr>
          <w:i/>
          <w:sz w:val="22"/>
          <w:szCs w:val="22"/>
          <w:lang w:val="en-GB"/>
        </w:rPr>
        <w:t>Welcoming with appreciation</w:t>
      </w:r>
      <w:r w:rsidRPr="00B47649">
        <w:rPr>
          <w:sz w:val="22"/>
          <w:szCs w:val="22"/>
          <w:lang w:val="en-GB"/>
        </w:rPr>
        <w:t xml:space="preserve"> the work of the Informal Advisory Group on Mainstreaming Biodiversity established pursuant to decision 14/3</w:t>
      </w:r>
      <w:r w:rsidR="00517686" w:rsidRPr="00B47649">
        <w:rPr>
          <w:sz w:val="22"/>
          <w:szCs w:val="22"/>
          <w:lang w:val="en-GB"/>
        </w:rPr>
        <w:t xml:space="preserve">, </w:t>
      </w:r>
      <w:r w:rsidRPr="00B47649">
        <w:rPr>
          <w:sz w:val="22"/>
          <w:szCs w:val="22"/>
          <w:lang w:val="en-GB"/>
        </w:rPr>
        <w:t xml:space="preserve">as </w:t>
      </w:r>
      <w:r w:rsidRPr="00B47649">
        <w:rPr>
          <w:iCs/>
          <w:sz w:val="22"/>
          <w:szCs w:val="22"/>
          <w:lang w:val="en-GB"/>
        </w:rPr>
        <w:t>reflected in the progress report of the Executive Secretary submitted to the Subsidiary Body of Implementation at its third meeting</w:t>
      </w:r>
      <w:r w:rsidR="00406908" w:rsidRPr="00B47649">
        <w:rPr>
          <w:iCs/>
          <w:sz w:val="22"/>
          <w:szCs w:val="22"/>
          <w:lang w:val="en-GB"/>
        </w:rPr>
        <w:t>,</w:t>
      </w:r>
      <w:r w:rsidRPr="00B47649">
        <w:rPr>
          <w:rStyle w:val="FootnoteReference"/>
          <w:iCs/>
          <w:szCs w:val="22"/>
          <w:lang w:val="en-GB"/>
        </w:rPr>
        <w:footnoteReference w:id="19"/>
      </w:r>
    </w:p>
    <w:p w14:paraId="49C5251B" w14:textId="5B065697" w:rsidR="00AB506E" w:rsidRPr="00B47649" w:rsidRDefault="008817FF" w:rsidP="004F46EA">
      <w:pPr>
        <w:pStyle w:val="StylePara1Kernat11pt"/>
        <w:numPr>
          <w:ilvl w:val="0"/>
          <w:numId w:val="7"/>
        </w:numPr>
        <w:suppressLineNumbers/>
        <w:suppressAutoHyphens/>
        <w:kinsoku w:val="0"/>
        <w:overflowPunct w:val="0"/>
        <w:autoSpaceDE w:val="0"/>
        <w:autoSpaceDN w:val="0"/>
        <w:adjustRightInd w:val="0"/>
        <w:snapToGrid w:val="0"/>
        <w:ind w:left="0" w:firstLine="720"/>
        <w:jc w:val="both"/>
        <w:rPr>
          <w:i/>
          <w:sz w:val="22"/>
          <w:szCs w:val="22"/>
          <w:lang w:val="en-GB"/>
        </w:rPr>
      </w:pPr>
      <w:r w:rsidRPr="00B47649">
        <w:rPr>
          <w:i/>
          <w:sz w:val="22"/>
          <w:szCs w:val="22"/>
          <w:lang w:val="en-GB"/>
        </w:rPr>
        <w:t xml:space="preserve">Invites </w:t>
      </w:r>
      <w:r w:rsidRPr="00B47649">
        <w:rPr>
          <w:iCs/>
          <w:sz w:val="22"/>
          <w:szCs w:val="22"/>
          <w:lang w:val="en-GB"/>
        </w:rPr>
        <w:t xml:space="preserve">the </w:t>
      </w:r>
      <w:r w:rsidR="00406908" w:rsidRPr="00B47649">
        <w:rPr>
          <w:iCs/>
          <w:sz w:val="22"/>
          <w:szCs w:val="22"/>
          <w:lang w:val="en-GB"/>
        </w:rPr>
        <w:t>C</w:t>
      </w:r>
      <w:r w:rsidRPr="00B47649">
        <w:rPr>
          <w:iCs/>
          <w:sz w:val="22"/>
          <w:szCs w:val="22"/>
          <w:lang w:val="en-GB"/>
        </w:rPr>
        <w:t>o-</w:t>
      </w:r>
      <w:r w:rsidR="00406908" w:rsidRPr="00B47649">
        <w:rPr>
          <w:iCs/>
          <w:sz w:val="22"/>
          <w:szCs w:val="22"/>
          <w:lang w:val="en-GB"/>
        </w:rPr>
        <w:t>C</w:t>
      </w:r>
      <w:r w:rsidRPr="00B47649">
        <w:rPr>
          <w:iCs/>
          <w:sz w:val="22"/>
          <w:szCs w:val="22"/>
          <w:lang w:val="en-GB"/>
        </w:rPr>
        <w:t>hairs of the O</w:t>
      </w:r>
      <w:r w:rsidR="00E778B5" w:rsidRPr="00B47649">
        <w:rPr>
          <w:iCs/>
          <w:sz w:val="22"/>
          <w:szCs w:val="22"/>
          <w:lang w:val="en-GB"/>
        </w:rPr>
        <w:t>p</w:t>
      </w:r>
      <w:r w:rsidRPr="00B47649">
        <w:rPr>
          <w:iCs/>
          <w:sz w:val="22"/>
          <w:szCs w:val="22"/>
          <w:lang w:val="en-GB"/>
        </w:rPr>
        <w:t xml:space="preserve">en-ended Working Group on the </w:t>
      </w:r>
      <w:r w:rsidR="003D24A0" w:rsidRPr="00B47649">
        <w:rPr>
          <w:iCs/>
          <w:sz w:val="22"/>
          <w:szCs w:val="22"/>
          <w:lang w:val="en-GB"/>
        </w:rPr>
        <w:t>P</w:t>
      </w:r>
      <w:r w:rsidRPr="00B47649">
        <w:rPr>
          <w:iCs/>
          <w:sz w:val="22"/>
          <w:szCs w:val="22"/>
          <w:lang w:val="en-GB"/>
        </w:rPr>
        <w:t>ost-2020 Global Biodiversi</w:t>
      </w:r>
      <w:r w:rsidR="00633F30" w:rsidRPr="00B47649">
        <w:rPr>
          <w:iCs/>
          <w:sz w:val="22"/>
          <w:szCs w:val="22"/>
          <w:lang w:val="en-GB"/>
        </w:rPr>
        <w:t xml:space="preserve">ty Framework </w:t>
      </w:r>
      <w:r w:rsidR="00E778B5" w:rsidRPr="00B47649">
        <w:rPr>
          <w:iCs/>
          <w:sz w:val="22"/>
          <w:szCs w:val="22"/>
          <w:lang w:val="en-GB"/>
        </w:rPr>
        <w:t xml:space="preserve">and the Open-ended Working Group at its third meeting </w:t>
      </w:r>
      <w:r w:rsidR="00B64C97" w:rsidRPr="00B47649">
        <w:rPr>
          <w:iCs/>
          <w:sz w:val="22"/>
          <w:szCs w:val="22"/>
          <w:lang w:val="en-GB"/>
        </w:rPr>
        <w:t xml:space="preserve">to take the </w:t>
      </w:r>
      <w:r w:rsidR="00B6202C" w:rsidRPr="00B47649">
        <w:rPr>
          <w:iCs/>
          <w:sz w:val="22"/>
          <w:szCs w:val="22"/>
          <w:lang w:val="en-GB"/>
        </w:rPr>
        <w:t xml:space="preserve">advice </w:t>
      </w:r>
      <w:r w:rsidR="00071DB0" w:rsidRPr="00B47649">
        <w:rPr>
          <w:iCs/>
          <w:sz w:val="22"/>
          <w:szCs w:val="22"/>
          <w:lang w:val="en-GB"/>
        </w:rPr>
        <w:t xml:space="preserve">of the Informal Advisory Group on Mainstreaming Biodiversity on ways to integrate biodiversity mainstreaming </w:t>
      </w:r>
      <w:r w:rsidR="00D3761B" w:rsidRPr="00B47649">
        <w:rPr>
          <w:iCs/>
          <w:sz w:val="22"/>
          <w:szCs w:val="22"/>
          <w:lang w:val="en-GB"/>
        </w:rPr>
        <w:t>into consideration in the further development of the post-2020 global biodiversity framework</w:t>
      </w:r>
      <w:r w:rsidR="00AB506E" w:rsidRPr="00B47649">
        <w:rPr>
          <w:iCs/>
          <w:sz w:val="22"/>
          <w:szCs w:val="22"/>
          <w:lang w:val="en-GB"/>
        </w:rPr>
        <w:t>,</w:t>
      </w:r>
      <w:r w:rsidR="007C0CB0" w:rsidRPr="007C0CB0">
        <w:rPr>
          <w:iCs/>
          <w:sz w:val="22"/>
          <w:szCs w:val="22"/>
          <w:lang w:val="en-GB"/>
        </w:rPr>
        <w:t xml:space="preserve"> </w:t>
      </w:r>
      <w:r w:rsidR="007C0CB0" w:rsidRPr="00B47649">
        <w:rPr>
          <w:iCs/>
          <w:sz w:val="22"/>
          <w:szCs w:val="22"/>
          <w:lang w:val="en-GB"/>
        </w:rPr>
        <w:t>as expressed in annex I to the present draft recommendation</w:t>
      </w:r>
      <w:r w:rsidR="00E137A7">
        <w:rPr>
          <w:iCs/>
          <w:sz w:val="22"/>
          <w:szCs w:val="22"/>
          <w:lang w:val="en-GB"/>
        </w:rPr>
        <w:t>;</w:t>
      </w:r>
    </w:p>
    <w:p w14:paraId="280842D4" w14:textId="0AEED2B8" w:rsidR="00BB4CEF" w:rsidRPr="00B47649" w:rsidRDefault="00BB4CEF" w:rsidP="004F46EA">
      <w:pPr>
        <w:pStyle w:val="StylePara1Kernat11pt"/>
        <w:numPr>
          <w:ilvl w:val="0"/>
          <w:numId w:val="7"/>
        </w:numPr>
        <w:suppressLineNumbers/>
        <w:suppressAutoHyphens/>
        <w:kinsoku w:val="0"/>
        <w:overflowPunct w:val="0"/>
        <w:autoSpaceDE w:val="0"/>
        <w:autoSpaceDN w:val="0"/>
        <w:adjustRightInd w:val="0"/>
        <w:snapToGrid w:val="0"/>
        <w:ind w:left="0" w:firstLine="720"/>
        <w:jc w:val="both"/>
        <w:rPr>
          <w:i/>
          <w:iCs/>
          <w:sz w:val="22"/>
          <w:szCs w:val="22"/>
          <w:lang w:val="en-GB"/>
        </w:rPr>
      </w:pPr>
      <w:r w:rsidRPr="00B47649">
        <w:rPr>
          <w:i/>
          <w:sz w:val="22"/>
          <w:szCs w:val="22"/>
          <w:lang w:val="en-GB"/>
        </w:rPr>
        <w:t>Recommends</w:t>
      </w:r>
      <w:r w:rsidRPr="00B47649">
        <w:rPr>
          <w:sz w:val="22"/>
          <w:szCs w:val="22"/>
          <w:lang w:val="en-GB"/>
        </w:rPr>
        <w:t xml:space="preserve"> that the Conference of the Parties at its fifteenth meeting adopt a decision along the following lines</w:t>
      </w:r>
      <w:r w:rsidR="00EF7B47" w:rsidRPr="00B47649">
        <w:rPr>
          <w:sz w:val="22"/>
          <w:szCs w:val="22"/>
          <w:lang w:val="en-GB"/>
        </w:rPr>
        <w:t>:</w:t>
      </w:r>
    </w:p>
    <w:p w14:paraId="5A743EA5" w14:textId="07168F93" w:rsidR="00461A4B" w:rsidRPr="00B47649" w:rsidRDefault="00B6202C" w:rsidP="00A359AF">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en-GB"/>
        </w:rPr>
      </w:pPr>
      <w:r w:rsidRPr="00B47649">
        <w:rPr>
          <w:i/>
          <w:iCs/>
          <w:sz w:val="22"/>
          <w:szCs w:val="22"/>
          <w:lang w:val="en-GB"/>
        </w:rPr>
        <w:t>The</w:t>
      </w:r>
      <w:r w:rsidR="00461A4B" w:rsidRPr="00B47649">
        <w:rPr>
          <w:i/>
          <w:iCs/>
          <w:sz w:val="22"/>
          <w:szCs w:val="22"/>
          <w:lang w:val="en-GB"/>
        </w:rPr>
        <w:t xml:space="preserve"> Conference of the Parties</w:t>
      </w:r>
      <w:r w:rsidR="003E345E" w:rsidRPr="000655BF">
        <w:rPr>
          <w:sz w:val="22"/>
          <w:szCs w:val="22"/>
          <w:lang w:val="en-GB"/>
        </w:rPr>
        <w:t>,</w:t>
      </w:r>
    </w:p>
    <w:p w14:paraId="7CCC9A85" w14:textId="078EACC2" w:rsidR="00225E3C" w:rsidRPr="00B47649" w:rsidRDefault="00225E3C"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en-GB"/>
        </w:rPr>
      </w:pPr>
      <w:r w:rsidRPr="00B47649">
        <w:rPr>
          <w:i/>
          <w:sz w:val="22"/>
          <w:szCs w:val="22"/>
          <w:lang w:val="en-GB"/>
        </w:rPr>
        <w:t xml:space="preserve">Reiterating </w:t>
      </w:r>
      <w:r w:rsidRPr="00B47649">
        <w:rPr>
          <w:iCs/>
          <w:sz w:val="22"/>
          <w:szCs w:val="22"/>
          <w:lang w:val="en-GB"/>
        </w:rPr>
        <w:t xml:space="preserve">the critical importance of mainstreaming biodiversity </w:t>
      </w:r>
      <w:r w:rsidR="00D1359F" w:rsidRPr="00B47649">
        <w:rPr>
          <w:iCs/>
          <w:sz w:val="22"/>
          <w:szCs w:val="22"/>
          <w:lang w:val="en-GB"/>
        </w:rPr>
        <w:t xml:space="preserve">across all levels of government, </w:t>
      </w:r>
      <w:r w:rsidRPr="00B47649">
        <w:rPr>
          <w:iCs/>
          <w:sz w:val="22"/>
          <w:szCs w:val="22"/>
          <w:lang w:val="en-GB"/>
        </w:rPr>
        <w:t xml:space="preserve">within </w:t>
      </w:r>
      <w:r w:rsidR="00EA2DBE" w:rsidRPr="00B47649">
        <w:rPr>
          <w:iCs/>
          <w:sz w:val="22"/>
          <w:szCs w:val="22"/>
          <w:lang w:val="en-GB"/>
        </w:rPr>
        <w:t xml:space="preserve">all sectors of society </w:t>
      </w:r>
      <w:r w:rsidRPr="00B47649">
        <w:rPr>
          <w:iCs/>
          <w:sz w:val="22"/>
          <w:szCs w:val="22"/>
          <w:lang w:val="en-GB"/>
        </w:rPr>
        <w:t xml:space="preserve">and across economic sectors for achieving the objectives of the Convention, and the </w:t>
      </w:r>
      <w:r w:rsidR="003B3465" w:rsidRPr="00B47649">
        <w:rPr>
          <w:iCs/>
          <w:sz w:val="22"/>
          <w:szCs w:val="22"/>
          <w:lang w:val="en-GB"/>
        </w:rPr>
        <w:t xml:space="preserve">urgent </w:t>
      </w:r>
      <w:r w:rsidRPr="00B47649">
        <w:rPr>
          <w:iCs/>
          <w:sz w:val="22"/>
          <w:szCs w:val="22"/>
          <w:lang w:val="en-GB"/>
        </w:rPr>
        <w:t xml:space="preserve">need to integrate biodiversity mainstreaming adequately in the </w:t>
      </w:r>
      <w:r w:rsidR="00B6202C" w:rsidRPr="00B47649">
        <w:rPr>
          <w:iCs/>
          <w:sz w:val="22"/>
          <w:szCs w:val="22"/>
          <w:lang w:val="en-GB"/>
        </w:rPr>
        <w:t xml:space="preserve">implementation of the </w:t>
      </w:r>
      <w:r w:rsidRPr="00B47649">
        <w:rPr>
          <w:iCs/>
          <w:sz w:val="22"/>
          <w:szCs w:val="22"/>
          <w:lang w:val="en-GB"/>
        </w:rPr>
        <w:t>post-2020 global biodiversity framework</w:t>
      </w:r>
      <w:r w:rsidR="00F43D72" w:rsidRPr="00B47649">
        <w:rPr>
          <w:iCs/>
          <w:sz w:val="22"/>
          <w:szCs w:val="22"/>
          <w:lang w:val="en-GB"/>
        </w:rPr>
        <w:t>,</w:t>
      </w:r>
    </w:p>
    <w:p w14:paraId="1BC1B0FF" w14:textId="0786445B" w:rsidR="000C7397" w:rsidRPr="00B47649" w:rsidRDefault="000C7397"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en-GB"/>
        </w:rPr>
      </w:pPr>
      <w:r w:rsidRPr="00B47649">
        <w:rPr>
          <w:i/>
          <w:sz w:val="22"/>
          <w:szCs w:val="22"/>
          <w:lang w:val="en-GB"/>
        </w:rPr>
        <w:lastRenderedPageBreak/>
        <w:t>Emphasizing</w:t>
      </w:r>
      <w:r w:rsidRPr="00B47649">
        <w:rPr>
          <w:iCs/>
          <w:sz w:val="22"/>
          <w:szCs w:val="22"/>
          <w:lang w:val="en-GB"/>
        </w:rPr>
        <w:t xml:space="preserve"> the </w:t>
      </w:r>
      <w:r w:rsidR="00682010" w:rsidRPr="00B47649">
        <w:rPr>
          <w:iCs/>
          <w:sz w:val="22"/>
          <w:szCs w:val="22"/>
          <w:lang w:val="en-GB"/>
        </w:rPr>
        <w:t xml:space="preserve">importance of </w:t>
      </w:r>
      <w:r w:rsidRPr="00B47649">
        <w:rPr>
          <w:iCs/>
          <w:sz w:val="22"/>
          <w:szCs w:val="22"/>
          <w:lang w:val="en-GB"/>
        </w:rPr>
        <w:t>intensified mainstreaming action to achieve the transformational change needed for a</w:t>
      </w:r>
      <w:r w:rsidR="00682010" w:rsidRPr="00B47649">
        <w:rPr>
          <w:iCs/>
          <w:sz w:val="22"/>
          <w:szCs w:val="22"/>
          <w:lang w:val="en-GB"/>
        </w:rPr>
        <w:t>ttaining</w:t>
      </w:r>
      <w:r w:rsidRPr="00B47649">
        <w:rPr>
          <w:iCs/>
          <w:sz w:val="22"/>
          <w:szCs w:val="22"/>
          <w:lang w:val="en-GB"/>
        </w:rPr>
        <w:t xml:space="preserve"> the 2050 vision</w:t>
      </w:r>
      <w:r w:rsidR="00F43D72" w:rsidRPr="00B47649">
        <w:rPr>
          <w:iCs/>
          <w:sz w:val="22"/>
          <w:szCs w:val="22"/>
          <w:lang w:val="en-GB"/>
        </w:rPr>
        <w:t>,</w:t>
      </w:r>
    </w:p>
    <w:p w14:paraId="614D3080" w14:textId="4BD2452F" w:rsidR="0070142E" w:rsidRPr="00B47649" w:rsidRDefault="0070142E"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en-GB"/>
        </w:rPr>
      </w:pPr>
      <w:r w:rsidRPr="00B47649">
        <w:rPr>
          <w:i/>
          <w:sz w:val="22"/>
          <w:szCs w:val="22"/>
          <w:lang w:val="en-GB"/>
        </w:rPr>
        <w:t>Also reiterating</w:t>
      </w:r>
      <w:r w:rsidRPr="00B47649">
        <w:rPr>
          <w:iCs/>
          <w:sz w:val="22"/>
          <w:szCs w:val="22"/>
          <w:lang w:val="en-GB"/>
        </w:rPr>
        <w:t xml:space="preserve"> the role and importance of a long-term strategic approach to biodiversity mainstreaming, as a key component of taking effective action against biodiversity decline, at all levels, in the next decade</w:t>
      </w:r>
      <w:r w:rsidR="004B1CC1" w:rsidRPr="00B47649">
        <w:rPr>
          <w:iCs/>
          <w:sz w:val="22"/>
          <w:szCs w:val="22"/>
          <w:lang w:val="en-GB"/>
        </w:rPr>
        <w:t>;</w:t>
      </w:r>
    </w:p>
    <w:p w14:paraId="49E65BA5" w14:textId="2D181DC7" w:rsidR="00505E8A" w:rsidRPr="00B47649" w:rsidRDefault="00EF7B47"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z w:val="22"/>
          <w:szCs w:val="22"/>
          <w:lang w:val="en-GB"/>
        </w:rPr>
        <w:t>1.</w:t>
      </w:r>
      <w:r w:rsidRPr="00B47649">
        <w:rPr>
          <w:iCs/>
          <w:sz w:val="22"/>
          <w:szCs w:val="22"/>
          <w:lang w:val="en-GB"/>
        </w:rPr>
        <w:tab/>
      </w:r>
      <w:r w:rsidRPr="00B47649">
        <w:rPr>
          <w:i/>
          <w:sz w:val="22"/>
          <w:szCs w:val="22"/>
          <w:lang w:val="en-GB"/>
        </w:rPr>
        <w:t>Welcomes</w:t>
      </w:r>
      <w:r w:rsidRPr="00B47649">
        <w:rPr>
          <w:iCs/>
          <w:sz w:val="22"/>
          <w:szCs w:val="22"/>
          <w:lang w:val="en-GB"/>
        </w:rPr>
        <w:t xml:space="preserve"> the work of the Informal Advisory Group on Biodiversity Mainstreaming</w:t>
      </w:r>
      <w:r w:rsidR="00F65AAE" w:rsidRPr="00B47649">
        <w:rPr>
          <w:iCs/>
          <w:sz w:val="22"/>
          <w:szCs w:val="22"/>
          <w:lang w:val="en-GB"/>
        </w:rPr>
        <w:t xml:space="preserve"> as reflected in the progress report of the Executive Secretary</w:t>
      </w:r>
      <w:r w:rsidR="0014619D" w:rsidRPr="00B47649">
        <w:rPr>
          <w:iCs/>
          <w:sz w:val="22"/>
          <w:szCs w:val="22"/>
          <w:lang w:val="en-GB"/>
        </w:rPr>
        <w:t xml:space="preserve"> to the Subsidiary Body on Implementation at its third meeting</w:t>
      </w:r>
      <w:r w:rsidR="0005080F" w:rsidRPr="00B47649">
        <w:rPr>
          <w:iCs/>
          <w:sz w:val="22"/>
          <w:szCs w:val="22"/>
          <w:lang w:val="en-GB"/>
        </w:rPr>
        <w:t>;</w:t>
      </w:r>
    </w:p>
    <w:p w14:paraId="0F567460" w14:textId="56437FF6" w:rsidR="00505E8A" w:rsidRPr="00B47649" w:rsidRDefault="00505E8A"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2.</w:t>
      </w:r>
      <w:r w:rsidRPr="00B47649">
        <w:rPr>
          <w:iCs/>
          <w:snapToGrid/>
          <w:sz w:val="22"/>
          <w:szCs w:val="22"/>
          <w:lang w:val="en-GB"/>
        </w:rPr>
        <w:tab/>
      </w:r>
      <w:r w:rsidRPr="00B47649">
        <w:rPr>
          <w:i/>
          <w:snapToGrid/>
          <w:sz w:val="22"/>
          <w:szCs w:val="22"/>
          <w:lang w:val="en-GB"/>
        </w:rPr>
        <w:t xml:space="preserve">Adopts </w:t>
      </w:r>
      <w:r w:rsidRPr="00B47649">
        <w:rPr>
          <w:iCs/>
          <w:snapToGrid/>
          <w:sz w:val="22"/>
          <w:szCs w:val="22"/>
          <w:lang w:val="en-GB"/>
        </w:rPr>
        <w:t xml:space="preserve">the </w:t>
      </w:r>
      <w:r w:rsidR="00455D1A" w:rsidRPr="00B47649">
        <w:rPr>
          <w:iCs/>
          <w:snapToGrid/>
          <w:sz w:val="22"/>
          <w:szCs w:val="22"/>
          <w:lang w:val="en-GB"/>
        </w:rPr>
        <w:t>l</w:t>
      </w:r>
      <w:r w:rsidRPr="00B47649">
        <w:rPr>
          <w:iCs/>
          <w:snapToGrid/>
          <w:sz w:val="22"/>
          <w:szCs w:val="22"/>
          <w:lang w:val="en-GB"/>
        </w:rPr>
        <w:t xml:space="preserve">ong-term </w:t>
      </w:r>
      <w:r w:rsidR="00455D1A" w:rsidRPr="00B47649">
        <w:rPr>
          <w:iCs/>
          <w:snapToGrid/>
          <w:sz w:val="22"/>
          <w:szCs w:val="22"/>
          <w:lang w:val="en-GB"/>
        </w:rPr>
        <w:t>a</w:t>
      </w:r>
      <w:r w:rsidRPr="00B47649">
        <w:rPr>
          <w:iCs/>
          <w:snapToGrid/>
          <w:sz w:val="22"/>
          <w:szCs w:val="22"/>
          <w:lang w:val="en-GB"/>
        </w:rPr>
        <w:t xml:space="preserve">pproach to </w:t>
      </w:r>
      <w:r w:rsidR="00455D1A" w:rsidRPr="00B47649">
        <w:rPr>
          <w:iCs/>
          <w:snapToGrid/>
          <w:sz w:val="22"/>
          <w:szCs w:val="22"/>
          <w:lang w:val="en-GB"/>
        </w:rPr>
        <w:t>b</w:t>
      </w:r>
      <w:r w:rsidRPr="00B47649">
        <w:rPr>
          <w:iCs/>
          <w:snapToGrid/>
          <w:sz w:val="22"/>
          <w:szCs w:val="22"/>
          <w:lang w:val="en-GB"/>
        </w:rPr>
        <w:t xml:space="preserve">iodiversity </w:t>
      </w:r>
      <w:r w:rsidR="00455D1A" w:rsidRPr="00B47649">
        <w:rPr>
          <w:iCs/>
          <w:snapToGrid/>
          <w:sz w:val="22"/>
          <w:szCs w:val="22"/>
          <w:lang w:val="en-GB"/>
        </w:rPr>
        <w:t>m</w:t>
      </w:r>
      <w:r w:rsidRPr="00B47649">
        <w:rPr>
          <w:iCs/>
          <w:snapToGrid/>
          <w:sz w:val="22"/>
          <w:szCs w:val="22"/>
          <w:lang w:val="en-GB"/>
        </w:rPr>
        <w:t xml:space="preserve">ainstreaming provided in </w:t>
      </w:r>
      <w:r w:rsidR="008E2313" w:rsidRPr="00B47649">
        <w:rPr>
          <w:iCs/>
          <w:snapToGrid/>
          <w:sz w:val="22"/>
          <w:szCs w:val="22"/>
          <w:lang w:val="en-GB"/>
        </w:rPr>
        <w:t>a</w:t>
      </w:r>
      <w:r w:rsidRPr="00B47649">
        <w:rPr>
          <w:iCs/>
          <w:snapToGrid/>
          <w:sz w:val="22"/>
          <w:szCs w:val="22"/>
          <w:lang w:val="en-GB"/>
        </w:rPr>
        <w:t>nnex</w:t>
      </w:r>
      <w:r w:rsidR="00455D1A" w:rsidRPr="00B47649">
        <w:rPr>
          <w:iCs/>
          <w:snapToGrid/>
          <w:sz w:val="22"/>
          <w:szCs w:val="22"/>
          <w:lang w:val="en-GB"/>
        </w:rPr>
        <w:t> </w:t>
      </w:r>
      <w:r w:rsidRPr="00B47649">
        <w:rPr>
          <w:iCs/>
          <w:snapToGrid/>
          <w:sz w:val="22"/>
          <w:szCs w:val="22"/>
          <w:lang w:val="en-GB"/>
        </w:rPr>
        <w:t>II</w:t>
      </w:r>
      <w:r w:rsidR="004829EA" w:rsidRPr="00B47649">
        <w:rPr>
          <w:iCs/>
          <w:snapToGrid/>
          <w:sz w:val="22"/>
          <w:szCs w:val="22"/>
          <w:lang w:val="en-GB"/>
        </w:rPr>
        <w:t xml:space="preserve"> </w:t>
      </w:r>
      <w:r w:rsidR="008E2313" w:rsidRPr="00B47649">
        <w:rPr>
          <w:iCs/>
          <w:snapToGrid/>
          <w:sz w:val="22"/>
          <w:szCs w:val="22"/>
          <w:lang w:val="en-GB"/>
        </w:rPr>
        <w:t xml:space="preserve">to </w:t>
      </w:r>
      <w:r w:rsidR="004829EA" w:rsidRPr="00B47649">
        <w:rPr>
          <w:iCs/>
          <w:snapToGrid/>
          <w:sz w:val="22"/>
          <w:szCs w:val="22"/>
          <w:lang w:val="en-GB"/>
        </w:rPr>
        <w:t xml:space="preserve">the present </w:t>
      </w:r>
      <w:r w:rsidR="004B1CC1" w:rsidRPr="00B47649">
        <w:rPr>
          <w:iCs/>
          <w:snapToGrid/>
          <w:sz w:val="22"/>
          <w:szCs w:val="22"/>
          <w:lang w:val="en-GB"/>
        </w:rPr>
        <w:t>decision</w:t>
      </w:r>
      <w:r w:rsidR="00024EE7" w:rsidRPr="00B47649">
        <w:rPr>
          <w:iCs/>
          <w:snapToGrid/>
          <w:sz w:val="22"/>
          <w:szCs w:val="22"/>
          <w:lang w:val="en-GB"/>
        </w:rPr>
        <w:t>;</w:t>
      </w:r>
    </w:p>
    <w:p w14:paraId="5ECF275D" w14:textId="2C21ACEB" w:rsidR="00925EF2" w:rsidRPr="00B47649" w:rsidRDefault="00925EF2"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3.</w:t>
      </w:r>
      <w:r w:rsidRPr="00B47649">
        <w:rPr>
          <w:iCs/>
          <w:snapToGrid/>
          <w:sz w:val="22"/>
          <w:szCs w:val="22"/>
          <w:lang w:val="en-GB"/>
        </w:rPr>
        <w:tab/>
      </w:r>
      <w:r w:rsidRPr="00B47649">
        <w:rPr>
          <w:i/>
          <w:snapToGrid/>
          <w:sz w:val="22"/>
          <w:szCs w:val="22"/>
          <w:lang w:val="en-GB"/>
        </w:rPr>
        <w:t>Invites</w:t>
      </w:r>
      <w:r w:rsidRPr="00B47649">
        <w:rPr>
          <w:iCs/>
          <w:snapToGrid/>
          <w:sz w:val="22"/>
          <w:szCs w:val="22"/>
          <w:lang w:val="en-GB"/>
        </w:rPr>
        <w:t xml:space="preserve"> Parties and other </w:t>
      </w:r>
      <w:r w:rsidR="00455D1A" w:rsidRPr="00B47649">
        <w:rPr>
          <w:iCs/>
          <w:snapToGrid/>
          <w:sz w:val="22"/>
          <w:szCs w:val="22"/>
          <w:lang w:val="en-GB"/>
        </w:rPr>
        <w:t>G</w:t>
      </w:r>
      <w:r w:rsidRPr="00B47649">
        <w:rPr>
          <w:iCs/>
          <w:snapToGrid/>
          <w:sz w:val="22"/>
          <w:szCs w:val="22"/>
          <w:lang w:val="en-GB"/>
        </w:rPr>
        <w:t xml:space="preserve">overnments, </w:t>
      </w:r>
      <w:r w:rsidR="00996163" w:rsidRPr="00B47649">
        <w:rPr>
          <w:iCs/>
          <w:snapToGrid/>
          <w:sz w:val="22"/>
          <w:szCs w:val="22"/>
          <w:lang w:val="en-GB"/>
        </w:rPr>
        <w:t xml:space="preserve">at all levels, </w:t>
      </w:r>
      <w:r w:rsidR="007375AF">
        <w:rPr>
          <w:iCs/>
          <w:snapToGrid/>
          <w:sz w:val="22"/>
          <w:szCs w:val="22"/>
          <w:lang w:val="en-GB"/>
        </w:rPr>
        <w:t>a</w:t>
      </w:r>
      <w:r w:rsidR="00E00B29">
        <w:rPr>
          <w:iCs/>
          <w:snapToGrid/>
          <w:sz w:val="22"/>
          <w:szCs w:val="22"/>
          <w:lang w:val="en-GB"/>
        </w:rPr>
        <w:t>s well as</w:t>
      </w:r>
      <w:r w:rsidR="007375AF">
        <w:rPr>
          <w:iCs/>
          <w:snapToGrid/>
          <w:sz w:val="22"/>
          <w:szCs w:val="22"/>
          <w:lang w:val="en-GB"/>
        </w:rPr>
        <w:t xml:space="preserve"> </w:t>
      </w:r>
      <w:r w:rsidR="00CC1ABE" w:rsidRPr="00B47649">
        <w:rPr>
          <w:iCs/>
          <w:snapToGrid/>
          <w:sz w:val="22"/>
          <w:szCs w:val="22"/>
          <w:lang w:val="en-GB"/>
        </w:rPr>
        <w:t>businesses, civil society, indigenous peoples and local communities, and relevant stak</w:t>
      </w:r>
      <w:r w:rsidR="00030971" w:rsidRPr="00B47649">
        <w:rPr>
          <w:iCs/>
          <w:snapToGrid/>
          <w:sz w:val="22"/>
          <w:szCs w:val="22"/>
          <w:lang w:val="en-GB"/>
        </w:rPr>
        <w:t>eholders to us</w:t>
      </w:r>
      <w:r w:rsidR="00B7612D" w:rsidRPr="00B47649">
        <w:rPr>
          <w:iCs/>
          <w:snapToGrid/>
          <w:sz w:val="22"/>
          <w:szCs w:val="22"/>
          <w:lang w:val="en-GB"/>
        </w:rPr>
        <w:t>e</w:t>
      </w:r>
      <w:r w:rsidR="00030971" w:rsidRPr="00B47649">
        <w:rPr>
          <w:iCs/>
          <w:snapToGrid/>
          <w:sz w:val="22"/>
          <w:szCs w:val="22"/>
          <w:lang w:val="en-GB"/>
        </w:rPr>
        <w:t xml:space="preserve"> the </w:t>
      </w:r>
      <w:r w:rsidR="00027107" w:rsidRPr="00B47649">
        <w:rPr>
          <w:iCs/>
          <w:snapToGrid/>
          <w:sz w:val="22"/>
          <w:szCs w:val="22"/>
          <w:lang w:val="en-GB"/>
        </w:rPr>
        <w:t>l</w:t>
      </w:r>
      <w:r w:rsidR="00030971" w:rsidRPr="00B47649">
        <w:rPr>
          <w:iCs/>
          <w:snapToGrid/>
          <w:sz w:val="22"/>
          <w:szCs w:val="22"/>
          <w:lang w:val="en-GB"/>
        </w:rPr>
        <w:t xml:space="preserve">ong-term </w:t>
      </w:r>
      <w:r w:rsidR="00027107" w:rsidRPr="00B47649">
        <w:rPr>
          <w:iCs/>
          <w:snapToGrid/>
          <w:sz w:val="22"/>
          <w:szCs w:val="22"/>
          <w:lang w:val="en-GB"/>
        </w:rPr>
        <w:t>a</w:t>
      </w:r>
      <w:r w:rsidR="00030971" w:rsidRPr="00B47649">
        <w:rPr>
          <w:iCs/>
          <w:snapToGrid/>
          <w:sz w:val="22"/>
          <w:szCs w:val="22"/>
          <w:lang w:val="en-GB"/>
        </w:rPr>
        <w:t xml:space="preserve">pproach to </w:t>
      </w:r>
      <w:r w:rsidR="00483636" w:rsidRPr="00B47649">
        <w:rPr>
          <w:iCs/>
          <w:snapToGrid/>
          <w:sz w:val="22"/>
          <w:szCs w:val="22"/>
          <w:lang w:val="en-GB"/>
        </w:rPr>
        <w:t xml:space="preserve">mainstreaming </w:t>
      </w:r>
      <w:r w:rsidR="00966203" w:rsidRPr="00B47649">
        <w:rPr>
          <w:iCs/>
          <w:snapToGrid/>
          <w:sz w:val="22"/>
          <w:szCs w:val="22"/>
          <w:lang w:val="en-GB"/>
        </w:rPr>
        <w:t>b</w:t>
      </w:r>
      <w:r w:rsidR="00030971" w:rsidRPr="00B47649">
        <w:rPr>
          <w:iCs/>
          <w:snapToGrid/>
          <w:sz w:val="22"/>
          <w:szCs w:val="22"/>
          <w:lang w:val="en-GB"/>
        </w:rPr>
        <w:t xml:space="preserve">iodiversity </w:t>
      </w:r>
      <w:r w:rsidR="005B7E27" w:rsidRPr="00B47649">
        <w:rPr>
          <w:iCs/>
          <w:snapToGrid/>
          <w:sz w:val="22"/>
          <w:szCs w:val="22"/>
          <w:lang w:val="en-GB"/>
        </w:rPr>
        <w:t xml:space="preserve">as further guidance in implementing </w:t>
      </w:r>
      <w:r w:rsidR="00204E0A" w:rsidRPr="00B47649">
        <w:rPr>
          <w:iCs/>
          <w:snapToGrid/>
          <w:sz w:val="22"/>
          <w:szCs w:val="22"/>
          <w:lang w:val="en-GB"/>
        </w:rPr>
        <w:t xml:space="preserve">the elements of the post-2020 </w:t>
      </w:r>
      <w:r w:rsidR="00966203" w:rsidRPr="00B47649">
        <w:rPr>
          <w:iCs/>
          <w:snapToGrid/>
          <w:sz w:val="22"/>
          <w:szCs w:val="22"/>
          <w:lang w:val="en-GB"/>
        </w:rPr>
        <w:t>g</w:t>
      </w:r>
      <w:r w:rsidR="00204E0A" w:rsidRPr="00B47649">
        <w:rPr>
          <w:iCs/>
          <w:snapToGrid/>
          <w:sz w:val="22"/>
          <w:szCs w:val="22"/>
          <w:lang w:val="en-GB"/>
        </w:rPr>
        <w:t xml:space="preserve">lobal </w:t>
      </w:r>
      <w:r w:rsidR="00966203" w:rsidRPr="00B47649">
        <w:rPr>
          <w:iCs/>
          <w:snapToGrid/>
          <w:sz w:val="22"/>
          <w:szCs w:val="22"/>
          <w:lang w:val="en-GB"/>
        </w:rPr>
        <w:t>b</w:t>
      </w:r>
      <w:r w:rsidR="00204E0A" w:rsidRPr="00B47649">
        <w:rPr>
          <w:iCs/>
          <w:snapToGrid/>
          <w:sz w:val="22"/>
          <w:szCs w:val="22"/>
          <w:lang w:val="en-GB"/>
        </w:rPr>
        <w:t xml:space="preserve">iodiversity </w:t>
      </w:r>
      <w:r w:rsidR="00966203" w:rsidRPr="00B47649">
        <w:rPr>
          <w:iCs/>
          <w:snapToGrid/>
          <w:sz w:val="22"/>
          <w:szCs w:val="22"/>
          <w:lang w:val="en-GB"/>
        </w:rPr>
        <w:t>f</w:t>
      </w:r>
      <w:r w:rsidR="00204E0A" w:rsidRPr="00B47649">
        <w:rPr>
          <w:iCs/>
          <w:snapToGrid/>
          <w:sz w:val="22"/>
          <w:szCs w:val="22"/>
          <w:lang w:val="en-GB"/>
        </w:rPr>
        <w:t xml:space="preserve">ramework related </w:t>
      </w:r>
      <w:r w:rsidR="002515B0" w:rsidRPr="00B47649">
        <w:rPr>
          <w:iCs/>
          <w:snapToGrid/>
          <w:sz w:val="22"/>
          <w:szCs w:val="22"/>
          <w:lang w:val="en-GB"/>
        </w:rPr>
        <w:t>to</w:t>
      </w:r>
      <w:r w:rsidR="00204E0A" w:rsidRPr="00B47649">
        <w:rPr>
          <w:iCs/>
          <w:snapToGrid/>
          <w:sz w:val="22"/>
          <w:szCs w:val="22"/>
          <w:lang w:val="en-GB"/>
        </w:rPr>
        <w:t xml:space="preserve"> biodiversity mainstreaming</w:t>
      </w:r>
      <w:r w:rsidR="008E4C77" w:rsidRPr="00B47649">
        <w:rPr>
          <w:iCs/>
          <w:snapToGrid/>
          <w:sz w:val="22"/>
          <w:szCs w:val="22"/>
          <w:lang w:val="en-GB"/>
        </w:rPr>
        <w:t>;</w:t>
      </w:r>
    </w:p>
    <w:p w14:paraId="566DBB0D" w14:textId="4C036919" w:rsidR="00225E3C" w:rsidRPr="00B47649" w:rsidRDefault="00B7612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4.</w:t>
      </w:r>
      <w:r w:rsidRPr="00B47649">
        <w:rPr>
          <w:iCs/>
          <w:snapToGrid/>
          <w:sz w:val="22"/>
          <w:szCs w:val="22"/>
          <w:lang w:val="en-GB"/>
        </w:rPr>
        <w:tab/>
      </w:r>
      <w:r w:rsidR="00073CB9" w:rsidRPr="00B47649">
        <w:rPr>
          <w:i/>
          <w:snapToGrid/>
          <w:sz w:val="22"/>
          <w:szCs w:val="22"/>
          <w:lang w:val="en-GB"/>
        </w:rPr>
        <w:t xml:space="preserve">Welcomes </w:t>
      </w:r>
      <w:r w:rsidR="00073CB9" w:rsidRPr="00B47649">
        <w:rPr>
          <w:iCs/>
          <w:snapToGrid/>
          <w:sz w:val="22"/>
          <w:szCs w:val="22"/>
          <w:lang w:val="en-GB"/>
        </w:rPr>
        <w:t>the</w:t>
      </w:r>
      <w:r w:rsidRPr="00B47649">
        <w:rPr>
          <w:iCs/>
          <w:snapToGrid/>
          <w:sz w:val="22"/>
          <w:szCs w:val="22"/>
          <w:lang w:val="en-GB"/>
        </w:rPr>
        <w:t xml:space="preserve"> </w:t>
      </w:r>
      <w:r w:rsidR="009E2B7C" w:rsidRPr="00B47649">
        <w:rPr>
          <w:iCs/>
          <w:snapToGrid/>
          <w:sz w:val="22"/>
          <w:szCs w:val="22"/>
          <w:lang w:val="en-GB"/>
        </w:rPr>
        <w:t>a</w:t>
      </w:r>
      <w:r w:rsidRPr="00B47649">
        <w:rPr>
          <w:iCs/>
          <w:snapToGrid/>
          <w:sz w:val="22"/>
          <w:szCs w:val="22"/>
          <w:lang w:val="en-GB"/>
        </w:rPr>
        <w:t xml:space="preserve">ction </w:t>
      </w:r>
      <w:r w:rsidR="009E2B7C" w:rsidRPr="00B47649">
        <w:rPr>
          <w:iCs/>
          <w:snapToGrid/>
          <w:sz w:val="22"/>
          <w:szCs w:val="22"/>
          <w:lang w:val="en-GB"/>
        </w:rPr>
        <w:t>p</w:t>
      </w:r>
      <w:r w:rsidRPr="00B47649">
        <w:rPr>
          <w:iCs/>
          <w:snapToGrid/>
          <w:sz w:val="22"/>
          <w:szCs w:val="22"/>
          <w:lang w:val="en-GB"/>
        </w:rPr>
        <w:t xml:space="preserve">lan of the </w:t>
      </w:r>
      <w:r w:rsidR="009E2B7C" w:rsidRPr="00B47649">
        <w:rPr>
          <w:iCs/>
          <w:snapToGrid/>
          <w:sz w:val="22"/>
          <w:szCs w:val="22"/>
          <w:lang w:val="en-GB"/>
        </w:rPr>
        <w:t>l</w:t>
      </w:r>
      <w:r w:rsidRPr="00B47649">
        <w:rPr>
          <w:iCs/>
          <w:snapToGrid/>
          <w:sz w:val="22"/>
          <w:szCs w:val="22"/>
          <w:lang w:val="en-GB"/>
        </w:rPr>
        <w:t xml:space="preserve">ong-term </w:t>
      </w:r>
      <w:r w:rsidR="00774B58" w:rsidRPr="00B47649">
        <w:rPr>
          <w:iCs/>
          <w:snapToGrid/>
          <w:sz w:val="22"/>
          <w:szCs w:val="22"/>
          <w:lang w:val="en-GB"/>
        </w:rPr>
        <w:t>a</w:t>
      </w:r>
      <w:r w:rsidRPr="00B47649">
        <w:rPr>
          <w:iCs/>
          <w:snapToGrid/>
          <w:sz w:val="22"/>
          <w:szCs w:val="22"/>
          <w:lang w:val="en-GB"/>
        </w:rPr>
        <w:t xml:space="preserve">pproach </w:t>
      </w:r>
      <w:r w:rsidR="008E3C67" w:rsidRPr="00B47649">
        <w:rPr>
          <w:iCs/>
          <w:snapToGrid/>
          <w:sz w:val="22"/>
          <w:szCs w:val="22"/>
          <w:lang w:val="en-GB"/>
        </w:rPr>
        <w:t xml:space="preserve">to </w:t>
      </w:r>
      <w:r w:rsidR="00483636" w:rsidRPr="00B47649">
        <w:rPr>
          <w:iCs/>
          <w:snapToGrid/>
          <w:sz w:val="22"/>
          <w:szCs w:val="22"/>
          <w:lang w:val="en-GB"/>
        </w:rPr>
        <w:t xml:space="preserve">mainstreaming </w:t>
      </w:r>
      <w:r w:rsidR="00774B58" w:rsidRPr="00B47649">
        <w:rPr>
          <w:iCs/>
          <w:snapToGrid/>
          <w:sz w:val="22"/>
          <w:szCs w:val="22"/>
          <w:lang w:val="en-GB"/>
        </w:rPr>
        <w:t>b</w:t>
      </w:r>
      <w:r w:rsidR="008E3C67" w:rsidRPr="00B47649">
        <w:rPr>
          <w:iCs/>
          <w:snapToGrid/>
          <w:sz w:val="22"/>
          <w:szCs w:val="22"/>
          <w:lang w:val="en-GB"/>
        </w:rPr>
        <w:t>iodiversity,</w:t>
      </w:r>
      <w:r w:rsidR="009050FD">
        <w:rPr>
          <w:rStyle w:val="FootnoteReference"/>
          <w:iCs/>
          <w:snapToGrid/>
          <w:szCs w:val="22"/>
          <w:lang w:val="en-GB"/>
        </w:rPr>
        <w:footnoteReference w:id="20"/>
      </w:r>
      <w:r w:rsidR="008E3C67" w:rsidRPr="00B47649">
        <w:rPr>
          <w:iCs/>
          <w:snapToGrid/>
          <w:sz w:val="22"/>
          <w:szCs w:val="22"/>
          <w:lang w:val="en-GB"/>
        </w:rPr>
        <w:t xml:space="preserve"> </w:t>
      </w:r>
      <w:r w:rsidR="00225E3C" w:rsidRPr="00B47649">
        <w:rPr>
          <w:iCs/>
          <w:snapToGrid/>
          <w:sz w:val="22"/>
          <w:szCs w:val="22"/>
          <w:lang w:val="en-GB"/>
        </w:rPr>
        <w:t xml:space="preserve">and </w:t>
      </w:r>
      <w:r w:rsidR="00225E3C" w:rsidRPr="00B47649">
        <w:rPr>
          <w:i/>
          <w:iCs/>
          <w:snapToGrid/>
          <w:sz w:val="22"/>
          <w:szCs w:val="22"/>
          <w:lang w:val="en-GB"/>
        </w:rPr>
        <w:t>i</w:t>
      </w:r>
      <w:r w:rsidR="00073CB9" w:rsidRPr="00B47649">
        <w:rPr>
          <w:i/>
          <w:snapToGrid/>
          <w:sz w:val="22"/>
          <w:szCs w:val="22"/>
          <w:lang w:val="en-GB"/>
        </w:rPr>
        <w:t>nvites</w:t>
      </w:r>
      <w:r w:rsidR="00073CB9" w:rsidRPr="00B47649">
        <w:rPr>
          <w:iCs/>
          <w:snapToGrid/>
          <w:sz w:val="22"/>
          <w:szCs w:val="22"/>
          <w:lang w:val="en-GB"/>
        </w:rPr>
        <w:t xml:space="preserve"> Parties and other </w:t>
      </w:r>
      <w:r w:rsidR="00774B58" w:rsidRPr="00B47649">
        <w:rPr>
          <w:iCs/>
          <w:snapToGrid/>
          <w:sz w:val="22"/>
          <w:szCs w:val="22"/>
          <w:lang w:val="en-GB"/>
        </w:rPr>
        <w:t>G</w:t>
      </w:r>
      <w:r w:rsidR="00073CB9" w:rsidRPr="00B47649">
        <w:rPr>
          <w:iCs/>
          <w:snapToGrid/>
          <w:sz w:val="22"/>
          <w:szCs w:val="22"/>
          <w:lang w:val="en-GB"/>
        </w:rPr>
        <w:t xml:space="preserve">overnments, </w:t>
      </w:r>
      <w:r w:rsidR="00996163" w:rsidRPr="00B47649">
        <w:rPr>
          <w:iCs/>
          <w:snapToGrid/>
          <w:sz w:val="22"/>
          <w:szCs w:val="22"/>
          <w:lang w:val="en-GB"/>
        </w:rPr>
        <w:t xml:space="preserve">at all levels, </w:t>
      </w:r>
      <w:r w:rsidR="00AA4D76">
        <w:rPr>
          <w:iCs/>
          <w:snapToGrid/>
          <w:sz w:val="22"/>
          <w:szCs w:val="22"/>
          <w:lang w:val="en-GB"/>
        </w:rPr>
        <w:t xml:space="preserve">as well as </w:t>
      </w:r>
      <w:r w:rsidR="00073CB9" w:rsidRPr="00B47649">
        <w:rPr>
          <w:iCs/>
          <w:snapToGrid/>
          <w:sz w:val="22"/>
          <w:szCs w:val="22"/>
          <w:lang w:val="en-GB"/>
        </w:rPr>
        <w:t xml:space="preserve">businesses, civil society, indigenous peoples and local communities, and relevant stakeholders to </w:t>
      </w:r>
      <w:r w:rsidR="00EA340B" w:rsidRPr="00B47649">
        <w:rPr>
          <w:iCs/>
          <w:snapToGrid/>
          <w:sz w:val="22"/>
          <w:szCs w:val="22"/>
          <w:lang w:val="en-GB"/>
        </w:rPr>
        <w:t>tak</w:t>
      </w:r>
      <w:r w:rsidR="00A00C4C" w:rsidRPr="00B47649">
        <w:rPr>
          <w:iCs/>
          <w:snapToGrid/>
          <w:sz w:val="22"/>
          <w:szCs w:val="22"/>
          <w:lang w:val="en-GB"/>
        </w:rPr>
        <w:t>e</w:t>
      </w:r>
      <w:r w:rsidR="00EA340B" w:rsidRPr="00B47649">
        <w:rPr>
          <w:iCs/>
          <w:snapToGrid/>
          <w:sz w:val="22"/>
          <w:szCs w:val="22"/>
          <w:lang w:val="en-GB"/>
        </w:rPr>
        <w:t xml:space="preserve"> into account </w:t>
      </w:r>
      <w:r w:rsidR="00262407" w:rsidRPr="00B47649">
        <w:rPr>
          <w:iCs/>
          <w:snapToGrid/>
          <w:sz w:val="22"/>
          <w:szCs w:val="22"/>
          <w:lang w:val="en-GB"/>
        </w:rPr>
        <w:t>the</w:t>
      </w:r>
      <w:r w:rsidR="00D04041" w:rsidRPr="00B47649">
        <w:rPr>
          <w:iCs/>
          <w:snapToGrid/>
          <w:sz w:val="22"/>
          <w:szCs w:val="22"/>
          <w:lang w:val="en-GB"/>
        </w:rPr>
        <w:t xml:space="preserve"> catalogue of possible </w:t>
      </w:r>
      <w:r w:rsidR="00B11C85" w:rsidRPr="00B47649">
        <w:rPr>
          <w:iCs/>
          <w:snapToGrid/>
          <w:sz w:val="22"/>
          <w:szCs w:val="22"/>
          <w:lang w:val="en-GB"/>
        </w:rPr>
        <w:t xml:space="preserve">mainstreaming </w:t>
      </w:r>
      <w:r w:rsidR="00D04041" w:rsidRPr="00B47649">
        <w:rPr>
          <w:iCs/>
          <w:snapToGrid/>
          <w:sz w:val="22"/>
          <w:szCs w:val="22"/>
          <w:lang w:val="en-GB"/>
        </w:rPr>
        <w:t>action</w:t>
      </w:r>
      <w:r w:rsidR="00CC3196" w:rsidRPr="00B47649">
        <w:rPr>
          <w:iCs/>
          <w:snapToGrid/>
          <w:sz w:val="22"/>
          <w:szCs w:val="22"/>
          <w:lang w:val="en-GB"/>
        </w:rPr>
        <w:t>s</w:t>
      </w:r>
      <w:r w:rsidR="00B11C85" w:rsidRPr="00B47649">
        <w:rPr>
          <w:iCs/>
          <w:snapToGrid/>
          <w:sz w:val="22"/>
          <w:szCs w:val="22"/>
          <w:lang w:val="en-GB"/>
        </w:rPr>
        <w:t xml:space="preserve"> to be taken at all levels and across </w:t>
      </w:r>
      <w:r w:rsidR="006006EC" w:rsidRPr="00B47649">
        <w:rPr>
          <w:iCs/>
          <w:snapToGrid/>
          <w:sz w:val="22"/>
          <w:szCs w:val="22"/>
          <w:lang w:val="en-GB"/>
        </w:rPr>
        <w:t>G</w:t>
      </w:r>
      <w:r w:rsidR="00B11C85" w:rsidRPr="00B47649">
        <w:rPr>
          <w:iCs/>
          <w:snapToGrid/>
          <w:sz w:val="22"/>
          <w:szCs w:val="22"/>
          <w:lang w:val="en-GB"/>
        </w:rPr>
        <w:t>overnments, economic sectors and society</w:t>
      </w:r>
      <w:r w:rsidR="002D6E78" w:rsidRPr="00B47649">
        <w:rPr>
          <w:iCs/>
          <w:snapToGrid/>
          <w:sz w:val="22"/>
          <w:szCs w:val="22"/>
          <w:lang w:val="en-GB"/>
        </w:rPr>
        <w:t>;</w:t>
      </w:r>
    </w:p>
    <w:p w14:paraId="041FB81D" w14:textId="1270E96D" w:rsidR="00BD3B5C" w:rsidRPr="00B47649" w:rsidRDefault="00BD3B5C"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5.</w:t>
      </w:r>
      <w:r w:rsidRPr="00B47649">
        <w:rPr>
          <w:iCs/>
          <w:snapToGrid/>
          <w:sz w:val="22"/>
          <w:szCs w:val="22"/>
          <w:lang w:val="en-GB"/>
        </w:rPr>
        <w:tab/>
      </w:r>
      <w:r w:rsidRPr="00B47649">
        <w:rPr>
          <w:i/>
          <w:snapToGrid/>
          <w:sz w:val="22"/>
          <w:szCs w:val="22"/>
          <w:lang w:val="en-GB"/>
        </w:rPr>
        <w:t>Invites</w:t>
      </w:r>
      <w:r w:rsidRPr="00B47649">
        <w:rPr>
          <w:iCs/>
          <w:snapToGrid/>
          <w:sz w:val="22"/>
          <w:szCs w:val="22"/>
          <w:lang w:val="en-GB"/>
        </w:rPr>
        <w:t xml:space="preserve"> Parties and other </w:t>
      </w:r>
      <w:r w:rsidR="00FD5083" w:rsidRPr="00B47649">
        <w:rPr>
          <w:iCs/>
          <w:snapToGrid/>
          <w:sz w:val="22"/>
          <w:szCs w:val="22"/>
          <w:lang w:val="en-GB"/>
        </w:rPr>
        <w:t>G</w:t>
      </w:r>
      <w:r w:rsidRPr="00B47649">
        <w:rPr>
          <w:iCs/>
          <w:snapToGrid/>
          <w:sz w:val="22"/>
          <w:szCs w:val="22"/>
          <w:lang w:val="en-GB"/>
        </w:rPr>
        <w:t>overnments</w:t>
      </w:r>
      <w:r w:rsidR="0014619D" w:rsidRPr="00B47649">
        <w:rPr>
          <w:iCs/>
          <w:snapToGrid/>
          <w:sz w:val="22"/>
          <w:szCs w:val="22"/>
          <w:lang w:val="en-GB"/>
        </w:rPr>
        <w:t xml:space="preserve">, international organizations and initiatives, indigenous peoples and local communities, business and civil society organizations, as </w:t>
      </w:r>
      <w:r w:rsidR="0081096E" w:rsidRPr="00B47649">
        <w:rPr>
          <w:iCs/>
          <w:snapToGrid/>
          <w:sz w:val="22"/>
          <w:szCs w:val="22"/>
          <w:lang w:val="en-GB"/>
        </w:rPr>
        <w:t>well as other stake</w:t>
      </w:r>
      <w:r w:rsidR="0014619D" w:rsidRPr="00B47649">
        <w:rPr>
          <w:iCs/>
          <w:snapToGrid/>
          <w:sz w:val="22"/>
          <w:szCs w:val="22"/>
          <w:lang w:val="en-GB"/>
        </w:rPr>
        <w:t>holders,</w:t>
      </w:r>
      <w:r w:rsidRPr="00B47649">
        <w:rPr>
          <w:iCs/>
          <w:snapToGrid/>
          <w:sz w:val="22"/>
          <w:szCs w:val="22"/>
          <w:lang w:val="en-GB"/>
        </w:rPr>
        <w:t xml:space="preserve"> to report their good practices, lessons learned, and other relevant experiences in implementing the </w:t>
      </w:r>
      <w:r w:rsidR="00FD5083" w:rsidRPr="00B47649">
        <w:rPr>
          <w:iCs/>
          <w:snapToGrid/>
          <w:sz w:val="22"/>
          <w:szCs w:val="22"/>
          <w:lang w:val="en-GB"/>
        </w:rPr>
        <w:t>l</w:t>
      </w:r>
      <w:r w:rsidRPr="00B47649">
        <w:rPr>
          <w:iCs/>
          <w:snapToGrid/>
          <w:sz w:val="22"/>
          <w:szCs w:val="22"/>
          <w:lang w:val="en-GB"/>
        </w:rPr>
        <w:t xml:space="preserve">ong-term </w:t>
      </w:r>
      <w:r w:rsidR="00FD5083" w:rsidRPr="00B47649">
        <w:rPr>
          <w:iCs/>
          <w:snapToGrid/>
          <w:sz w:val="22"/>
          <w:szCs w:val="22"/>
          <w:lang w:val="en-GB"/>
        </w:rPr>
        <w:t>s</w:t>
      </w:r>
      <w:r w:rsidRPr="00B47649">
        <w:rPr>
          <w:iCs/>
          <w:snapToGrid/>
          <w:sz w:val="22"/>
          <w:szCs w:val="22"/>
          <w:lang w:val="en-GB"/>
        </w:rPr>
        <w:t xml:space="preserve">trategic </w:t>
      </w:r>
      <w:r w:rsidR="00FD5083" w:rsidRPr="00B47649">
        <w:rPr>
          <w:iCs/>
          <w:snapToGrid/>
          <w:sz w:val="22"/>
          <w:szCs w:val="22"/>
          <w:lang w:val="en-GB"/>
        </w:rPr>
        <w:t>a</w:t>
      </w:r>
      <w:r w:rsidRPr="00B47649">
        <w:rPr>
          <w:iCs/>
          <w:snapToGrid/>
          <w:sz w:val="22"/>
          <w:szCs w:val="22"/>
          <w:lang w:val="en-GB"/>
        </w:rPr>
        <w:t xml:space="preserve">pproach and its </w:t>
      </w:r>
      <w:r w:rsidR="00FD5083" w:rsidRPr="00B47649">
        <w:rPr>
          <w:iCs/>
          <w:snapToGrid/>
          <w:sz w:val="22"/>
          <w:szCs w:val="22"/>
          <w:lang w:val="en-GB"/>
        </w:rPr>
        <w:t>a</w:t>
      </w:r>
      <w:r w:rsidRPr="00B47649">
        <w:rPr>
          <w:iCs/>
          <w:snapToGrid/>
          <w:sz w:val="22"/>
          <w:szCs w:val="22"/>
          <w:lang w:val="en-GB"/>
        </w:rPr>
        <w:t xml:space="preserve">ction </w:t>
      </w:r>
      <w:r w:rsidR="00FD5083" w:rsidRPr="00B47649">
        <w:rPr>
          <w:iCs/>
          <w:snapToGrid/>
          <w:sz w:val="22"/>
          <w:szCs w:val="22"/>
          <w:lang w:val="en-GB"/>
        </w:rPr>
        <w:t>p</w:t>
      </w:r>
      <w:r w:rsidRPr="00B47649">
        <w:rPr>
          <w:iCs/>
          <w:snapToGrid/>
          <w:sz w:val="22"/>
          <w:szCs w:val="22"/>
          <w:lang w:val="en-GB"/>
        </w:rPr>
        <w:t>lan, as part of their national reports;</w:t>
      </w:r>
    </w:p>
    <w:p w14:paraId="7EF5AE55" w14:textId="7A04364E" w:rsidR="00024EE7" w:rsidRPr="00B47649" w:rsidRDefault="00024EE7"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6.</w:t>
      </w:r>
      <w:r w:rsidRPr="00B47649">
        <w:rPr>
          <w:iCs/>
          <w:snapToGrid/>
          <w:sz w:val="22"/>
          <w:szCs w:val="22"/>
          <w:lang w:val="en-GB"/>
        </w:rPr>
        <w:tab/>
      </w:r>
      <w:r w:rsidRPr="00B47649">
        <w:rPr>
          <w:i/>
          <w:snapToGrid/>
          <w:sz w:val="22"/>
          <w:szCs w:val="22"/>
          <w:lang w:val="en-GB"/>
        </w:rPr>
        <w:t>Invites</w:t>
      </w:r>
      <w:r w:rsidRPr="00B47649">
        <w:rPr>
          <w:iCs/>
          <w:snapToGrid/>
          <w:sz w:val="22"/>
          <w:szCs w:val="22"/>
          <w:lang w:val="en-GB"/>
        </w:rPr>
        <w:t xml:space="preserve"> the Informal Advisory Group, established </w:t>
      </w:r>
      <w:r w:rsidR="0014619D" w:rsidRPr="00B47649">
        <w:rPr>
          <w:iCs/>
          <w:snapToGrid/>
          <w:sz w:val="22"/>
          <w:szCs w:val="22"/>
          <w:lang w:val="en-GB"/>
        </w:rPr>
        <w:t xml:space="preserve">with terms of reference </w:t>
      </w:r>
      <w:r w:rsidRPr="00B47649">
        <w:rPr>
          <w:iCs/>
          <w:snapToGrid/>
          <w:sz w:val="22"/>
          <w:szCs w:val="22"/>
          <w:lang w:val="en-GB"/>
        </w:rPr>
        <w:t>as per decision 14/3, to continue its work</w:t>
      </w:r>
      <w:r w:rsidR="00A00C4C" w:rsidRPr="00B47649">
        <w:rPr>
          <w:iCs/>
          <w:snapToGrid/>
          <w:sz w:val="22"/>
          <w:szCs w:val="22"/>
          <w:lang w:val="en-GB"/>
        </w:rPr>
        <w:t>,</w:t>
      </w:r>
      <w:r w:rsidRPr="00B47649">
        <w:rPr>
          <w:iCs/>
          <w:snapToGrid/>
          <w:sz w:val="22"/>
          <w:szCs w:val="22"/>
          <w:lang w:val="en-GB"/>
        </w:rPr>
        <w:t xml:space="preserve"> engaging with a broader network of partner organizations and initiatives, with a view to</w:t>
      </w:r>
      <w:r w:rsidR="00EA340B" w:rsidRPr="00B47649">
        <w:rPr>
          <w:iCs/>
          <w:snapToGrid/>
          <w:sz w:val="22"/>
          <w:szCs w:val="22"/>
          <w:lang w:val="en-GB"/>
        </w:rPr>
        <w:t xml:space="preserve"> </w:t>
      </w:r>
      <w:r w:rsidRPr="00B47649">
        <w:rPr>
          <w:iCs/>
          <w:snapToGrid/>
          <w:sz w:val="22"/>
          <w:szCs w:val="22"/>
          <w:lang w:val="en-GB"/>
        </w:rPr>
        <w:t>keep</w:t>
      </w:r>
      <w:r w:rsidR="002529B5" w:rsidRPr="00B47649">
        <w:rPr>
          <w:iCs/>
          <w:snapToGrid/>
          <w:sz w:val="22"/>
          <w:szCs w:val="22"/>
          <w:lang w:val="en-GB"/>
        </w:rPr>
        <w:t>ing</w:t>
      </w:r>
      <w:r w:rsidRPr="00B47649">
        <w:rPr>
          <w:iCs/>
          <w:snapToGrid/>
          <w:sz w:val="22"/>
          <w:szCs w:val="22"/>
          <w:lang w:val="en-GB"/>
        </w:rPr>
        <w:t xml:space="preserve"> implementation of the </w:t>
      </w:r>
      <w:r w:rsidR="007E3962" w:rsidRPr="00B47649">
        <w:rPr>
          <w:iCs/>
          <w:sz w:val="22"/>
          <w:szCs w:val="22"/>
          <w:lang w:val="en-GB"/>
        </w:rPr>
        <w:t>long-term strategic approach to biodiversity mainstreaming</w:t>
      </w:r>
      <w:r w:rsidR="002529B5" w:rsidRPr="00B47649">
        <w:rPr>
          <w:iCs/>
          <w:snapToGrid/>
          <w:sz w:val="22"/>
          <w:szCs w:val="22"/>
          <w:lang w:val="en-GB"/>
        </w:rPr>
        <w:t xml:space="preserve"> </w:t>
      </w:r>
      <w:r w:rsidRPr="00B47649">
        <w:rPr>
          <w:iCs/>
          <w:snapToGrid/>
          <w:sz w:val="22"/>
          <w:szCs w:val="22"/>
          <w:lang w:val="en-GB"/>
        </w:rPr>
        <w:t>under review</w:t>
      </w:r>
      <w:r w:rsidR="00EA340B" w:rsidRPr="00B47649">
        <w:rPr>
          <w:iCs/>
          <w:snapToGrid/>
          <w:sz w:val="22"/>
          <w:szCs w:val="22"/>
          <w:lang w:val="en-GB"/>
        </w:rPr>
        <w:t>,</w:t>
      </w:r>
      <w:r w:rsidRPr="00B47649">
        <w:rPr>
          <w:iCs/>
          <w:snapToGrid/>
          <w:sz w:val="22"/>
          <w:szCs w:val="22"/>
          <w:lang w:val="en-GB"/>
        </w:rPr>
        <w:t xml:space="preserve"> </w:t>
      </w:r>
      <w:r w:rsidR="0014619D" w:rsidRPr="00B47649">
        <w:rPr>
          <w:iCs/>
          <w:snapToGrid/>
          <w:sz w:val="22"/>
          <w:szCs w:val="22"/>
          <w:lang w:val="en-GB"/>
        </w:rPr>
        <w:t>consistent with</w:t>
      </w:r>
      <w:r w:rsidR="00517686" w:rsidRPr="00B47649">
        <w:rPr>
          <w:iCs/>
          <w:snapToGrid/>
          <w:sz w:val="22"/>
          <w:szCs w:val="22"/>
          <w:lang w:val="en-GB"/>
        </w:rPr>
        <w:t xml:space="preserve"> the arrangements in place for reporting, monitoring and review of the post 2020 global biodiversity framework, </w:t>
      </w:r>
      <w:r w:rsidRPr="00B47649">
        <w:rPr>
          <w:iCs/>
          <w:snapToGrid/>
          <w:sz w:val="22"/>
          <w:szCs w:val="22"/>
          <w:lang w:val="en-GB"/>
        </w:rPr>
        <w:t xml:space="preserve">by exchanging </w:t>
      </w:r>
      <w:r w:rsidR="00EA340B" w:rsidRPr="00B47649">
        <w:rPr>
          <w:iCs/>
          <w:snapToGrid/>
          <w:sz w:val="22"/>
          <w:szCs w:val="22"/>
          <w:lang w:val="en-GB"/>
        </w:rPr>
        <w:t xml:space="preserve">and analysing </w:t>
      </w:r>
      <w:r w:rsidRPr="00B47649">
        <w:rPr>
          <w:iCs/>
          <w:snapToGrid/>
          <w:sz w:val="22"/>
          <w:szCs w:val="22"/>
          <w:lang w:val="en-GB"/>
        </w:rPr>
        <w:t xml:space="preserve">case studies, good practices and lessons learned, including </w:t>
      </w:r>
      <w:r w:rsidR="00EA340B" w:rsidRPr="00B47649">
        <w:rPr>
          <w:iCs/>
          <w:snapToGrid/>
          <w:sz w:val="22"/>
          <w:szCs w:val="22"/>
          <w:lang w:val="en-GB"/>
        </w:rPr>
        <w:t>on (but not limited to) (</w:t>
      </w:r>
      <w:r w:rsidR="00B03883" w:rsidRPr="00B47649">
        <w:rPr>
          <w:iCs/>
          <w:snapToGrid/>
          <w:sz w:val="22"/>
          <w:szCs w:val="22"/>
          <w:lang w:val="en-GB"/>
        </w:rPr>
        <w:t>a</w:t>
      </w:r>
      <w:r w:rsidR="00EA340B" w:rsidRPr="00B47649">
        <w:rPr>
          <w:iCs/>
          <w:snapToGrid/>
          <w:sz w:val="22"/>
          <w:szCs w:val="22"/>
          <w:lang w:val="en-GB"/>
        </w:rPr>
        <w:t>) mainstreaming action in</w:t>
      </w:r>
      <w:r w:rsidR="00EA340B" w:rsidRPr="00B47649">
        <w:rPr>
          <w:lang w:val="en-GB"/>
        </w:rPr>
        <w:t xml:space="preserve"> </w:t>
      </w:r>
      <w:r w:rsidR="00EA340B" w:rsidRPr="00B47649">
        <w:rPr>
          <w:iCs/>
          <w:snapToGrid/>
          <w:sz w:val="22"/>
          <w:szCs w:val="22"/>
          <w:lang w:val="en-GB"/>
        </w:rPr>
        <w:t>sectors with most significant impacts on, and dependencies from, biodiversity, and (</w:t>
      </w:r>
      <w:r w:rsidR="00B03883" w:rsidRPr="00B47649">
        <w:rPr>
          <w:iCs/>
          <w:snapToGrid/>
          <w:sz w:val="22"/>
          <w:szCs w:val="22"/>
          <w:lang w:val="en-GB"/>
        </w:rPr>
        <w:t>b</w:t>
      </w:r>
      <w:r w:rsidR="00EA340B" w:rsidRPr="00B47649">
        <w:rPr>
          <w:iCs/>
          <w:snapToGrid/>
          <w:sz w:val="22"/>
          <w:szCs w:val="22"/>
          <w:lang w:val="en-GB"/>
        </w:rPr>
        <w:t xml:space="preserve">) on ways and means to strengthen social engagement and the representation and capacity of civil society in implementing mainstreaming action, and to report on its work to the Subsidiary Body on Implementation </w:t>
      </w:r>
      <w:r w:rsidR="00517686" w:rsidRPr="00B47649">
        <w:rPr>
          <w:iCs/>
          <w:snapToGrid/>
          <w:sz w:val="22"/>
          <w:szCs w:val="22"/>
          <w:lang w:val="en-GB"/>
        </w:rPr>
        <w:t>at its fourth meeting;</w:t>
      </w:r>
    </w:p>
    <w:p w14:paraId="3FEBC33A" w14:textId="2BA66309" w:rsidR="0014619D" w:rsidRPr="00B47649"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7.</w:t>
      </w:r>
      <w:r w:rsidRPr="00B47649">
        <w:rPr>
          <w:iCs/>
          <w:snapToGrid/>
          <w:sz w:val="22"/>
          <w:szCs w:val="22"/>
          <w:lang w:val="en-GB"/>
        </w:rPr>
        <w:tab/>
      </w:r>
      <w:r w:rsidRPr="00B47649">
        <w:rPr>
          <w:i/>
          <w:snapToGrid/>
          <w:sz w:val="22"/>
          <w:szCs w:val="22"/>
          <w:lang w:val="en-GB"/>
        </w:rPr>
        <w:t>Invites</w:t>
      </w:r>
      <w:r w:rsidRPr="00B47649">
        <w:rPr>
          <w:iCs/>
          <w:snapToGrid/>
          <w:sz w:val="22"/>
          <w:szCs w:val="22"/>
          <w:lang w:val="en-GB"/>
        </w:rPr>
        <w:t xml:space="preserve"> develop</w:t>
      </w:r>
      <w:r w:rsidR="004C7B97" w:rsidRPr="00B47649">
        <w:rPr>
          <w:iCs/>
          <w:snapToGrid/>
          <w:sz w:val="22"/>
          <w:szCs w:val="22"/>
          <w:lang w:val="en-GB"/>
        </w:rPr>
        <w:t>ed</w:t>
      </w:r>
      <w:r w:rsidRPr="00B47649">
        <w:rPr>
          <w:iCs/>
          <w:snapToGrid/>
          <w:sz w:val="22"/>
          <w:szCs w:val="22"/>
          <w:lang w:val="en-GB"/>
        </w:rPr>
        <w:t xml:space="preserve"> country Parties as well as relevant organizations and initiatives, to consider providing financial support to the work of the Informal </w:t>
      </w:r>
      <w:r w:rsidR="004C7B97" w:rsidRPr="00B47649">
        <w:rPr>
          <w:iCs/>
          <w:snapToGrid/>
          <w:sz w:val="22"/>
          <w:szCs w:val="22"/>
          <w:lang w:val="en-GB"/>
        </w:rPr>
        <w:t>A</w:t>
      </w:r>
      <w:r w:rsidRPr="00B47649">
        <w:rPr>
          <w:iCs/>
          <w:snapToGrid/>
          <w:sz w:val="22"/>
          <w:szCs w:val="22"/>
          <w:lang w:val="en-GB"/>
        </w:rPr>
        <w:t>dvisory Group;</w:t>
      </w:r>
    </w:p>
    <w:p w14:paraId="416B338F" w14:textId="323D7A02" w:rsidR="00517686" w:rsidRPr="00B47649"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8</w:t>
      </w:r>
      <w:r w:rsidR="00517686" w:rsidRPr="00B47649">
        <w:rPr>
          <w:iCs/>
          <w:snapToGrid/>
          <w:sz w:val="22"/>
          <w:szCs w:val="22"/>
          <w:lang w:val="en-GB"/>
        </w:rPr>
        <w:t>.</w:t>
      </w:r>
      <w:r w:rsidR="00517686" w:rsidRPr="00B47649">
        <w:rPr>
          <w:iCs/>
          <w:snapToGrid/>
          <w:sz w:val="22"/>
          <w:szCs w:val="22"/>
          <w:lang w:val="en-GB"/>
        </w:rPr>
        <w:tab/>
      </w:r>
      <w:r w:rsidR="00517686" w:rsidRPr="00B47649">
        <w:rPr>
          <w:i/>
          <w:snapToGrid/>
          <w:sz w:val="22"/>
          <w:szCs w:val="22"/>
          <w:lang w:val="en-GB"/>
        </w:rPr>
        <w:t>Requests</w:t>
      </w:r>
      <w:r w:rsidR="00517686" w:rsidRPr="00B47649">
        <w:rPr>
          <w:iCs/>
          <w:snapToGrid/>
          <w:sz w:val="22"/>
          <w:szCs w:val="22"/>
          <w:lang w:val="en-GB"/>
        </w:rPr>
        <w:t xml:space="preserve"> the Subsidiary Body on Implementation at its fourth meeting to consider the report of the Informal Advisory Group and to develop recommendations for consideration of the Conference of the Parties at its sixteenth meeting;</w:t>
      </w:r>
    </w:p>
    <w:p w14:paraId="79445539" w14:textId="124A02C1" w:rsidR="00E50A46" w:rsidRPr="00B47649"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9</w:t>
      </w:r>
      <w:r w:rsidR="00E50A46" w:rsidRPr="00B47649">
        <w:rPr>
          <w:iCs/>
          <w:snapToGrid/>
          <w:sz w:val="22"/>
          <w:szCs w:val="22"/>
          <w:lang w:val="en-GB"/>
        </w:rPr>
        <w:t>.</w:t>
      </w:r>
      <w:r w:rsidR="00E50A46" w:rsidRPr="00B47649">
        <w:rPr>
          <w:iCs/>
          <w:snapToGrid/>
          <w:sz w:val="22"/>
          <w:szCs w:val="22"/>
          <w:lang w:val="en-GB"/>
        </w:rPr>
        <w:tab/>
      </w:r>
      <w:r w:rsidR="00024B3F" w:rsidRPr="00B47649">
        <w:rPr>
          <w:i/>
          <w:snapToGrid/>
          <w:sz w:val="22"/>
          <w:szCs w:val="22"/>
          <w:lang w:val="en-GB"/>
        </w:rPr>
        <w:t>Also r</w:t>
      </w:r>
      <w:r w:rsidR="00E50A46" w:rsidRPr="00B47649">
        <w:rPr>
          <w:i/>
          <w:snapToGrid/>
          <w:sz w:val="22"/>
          <w:szCs w:val="22"/>
          <w:lang w:val="en-GB"/>
        </w:rPr>
        <w:t>equests</w:t>
      </w:r>
      <w:r w:rsidR="00E50A46" w:rsidRPr="00B47649">
        <w:rPr>
          <w:iCs/>
          <w:snapToGrid/>
          <w:sz w:val="22"/>
          <w:szCs w:val="22"/>
          <w:lang w:val="en-GB"/>
        </w:rPr>
        <w:t xml:space="preserve"> the Subsidiary Body on Implementation</w:t>
      </w:r>
      <w:r w:rsidR="00DE2CDA" w:rsidRPr="00B47649">
        <w:rPr>
          <w:iCs/>
          <w:snapToGrid/>
          <w:sz w:val="22"/>
          <w:szCs w:val="22"/>
          <w:lang w:val="en-GB"/>
        </w:rPr>
        <w:t xml:space="preserve">, subject to </w:t>
      </w:r>
      <w:r w:rsidR="00DE2CDA" w:rsidRPr="00B47649">
        <w:rPr>
          <w:sz w:val="22"/>
          <w:szCs w:val="22"/>
          <w:lang w:val="en-GB"/>
        </w:rPr>
        <w:t>the arrangements in place for reporting, monitoring and review of the post</w:t>
      </w:r>
      <w:r w:rsidR="001E4C1B" w:rsidRPr="00B47649">
        <w:rPr>
          <w:sz w:val="22"/>
          <w:szCs w:val="22"/>
          <w:lang w:val="en-GB"/>
        </w:rPr>
        <w:t>-</w:t>
      </w:r>
      <w:r w:rsidR="00DE2CDA" w:rsidRPr="00B47649">
        <w:rPr>
          <w:sz w:val="22"/>
          <w:szCs w:val="22"/>
          <w:lang w:val="en-GB"/>
        </w:rPr>
        <w:t xml:space="preserve">2020 global biodiversity framework, </w:t>
      </w:r>
      <w:r w:rsidR="00E50A46" w:rsidRPr="00B47649">
        <w:rPr>
          <w:iCs/>
          <w:snapToGrid/>
          <w:sz w:val="22"/>
          <w:szCs w:val="22"/>
          <w:lang w:val="en-GB"/>
        </w:rPr>
        <w:t xml:space="preserve">to undertake </w:t>
      </w:r>
      <w:r w:rsidR="00DE2CDA" w:rsidRPr="00B47649">
        <w:rPr>
          <w:iCs/>
          <w:snapToGrid/>
          <w:sz w:val="22"/>
          <w:szCs w:val="22"/>
          <w:lang w:val="en-GB"/>
        </w:rPr>
        <w:t xml:space="preserve">at a meeting in 2024 or 2025, </w:t>
      </w:r>
      <w:r w:rsidR="00E50A46" w:rsidRPr="00B47649">
        <w:rPr>
          <w:iCs/>
          <w:snapToGrid/>
          <w:sz w:val="22"/>
          <w:szCs w:val="22"/>
          <w:lang w:val="en-GB"/>
        </w:rPr>
        <w:t xml:space="preserve">a mid-term review of the </w:t>
      </w:r>
      <w:r w:rsidR="001E4C1B" w:rsidRPr="00B47649">
        <w:rPr>
          <w:iCs/>
          <w:snapToGrid/>
          <w:sz w:val="22"/>
          <w:szCs w:val="22"/>
          <w:lang w:val="en-GB"/>
        </w:rPr>
        <w:t>l</w:t>
      </w:r>
      <w:r w:rsidR="00E50A46" w:rsidRPr="00B47649">
        <w:rPr>
          <w:iCs/>
          <w:snapToGrid/>
          <w:sz w:val="22"/>
          <w:szCs w:val="22"/>
          <w:lang w:val="en-GB"/>
        </w:rPr>
        <w:t xml:space="preserve">ong-term </w:t>
      </w:r>
      <w:r w:rsidR="001E4C1B" w:rsidRPr="00B47649">
        <w:rPr>
          <w:iCs/>
          <w:snapToGrid/>
          <w:sz w:val="22"/>
          <w:szCs w:val="22"/>
          <w:lang w:val="en-GB"/>
        </w:rPr>
        <w:t>s</w:t>
      </w:r>
      <w:r w:rsidR="00E50A46" w:rsidRPr="00B47649">
        <w:rPr>
          <w:iCs/>
          <w:snapToGrid/>
          <w:sz w:val="22"/>
          <w:szCs w:val="22"/>
          <w:lang w:val="en-GB"/>
        </w:rPr>
        <w:t xml:space="preserve">trategic </w:t>
      </w:r>
      <w:r w:rsidR="001E4C1B" w:rsidRPr="00B47649">
        <w:rPr>
          <w:iCs/>
          <w:snapToGrid/>
          <w:sz w:val="22"/>
          <w:szCs w:val="22"/>
          <w:lang w:val="en-GB"/>
        </w:rPr>
        <w:t>a</w:t>
      </w:r>
      <w:r w:rsidR="00E50A46" w:rsidRPr="00B47649">
        <w:rPr>
          <w:iCs/>
          <w:snapToGrid/>
          <w:sz w:val="22"/>
          <w:szCs w:val="22"/>
          <w:lang w:val="en-GB"/>
        </w:rPr>
        <w:t>pproach, reviewing progress made, challenges encountered, and lessons learned, and identifying any need for further action, for consideration by the Conference of the Parties at its seventeenth meeting;</w:t>
      </w:r>
    </w:p>
    <w:p w14:paraId="723A62D5" w14:textId="27FE1EAA" w:rsidR="002D6E78" w:rsidRPr="00B47649"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10</w:t>
      </w:r>
      <w:r w:rsidR="002D6E78" w:rsidRPr="00B47649">
        <w:rPr>
          <w:iCs/>
          <w:snapToGrid/>
          <w:sz w:val="22"/>
          <w:szCs w:val="22"/>
          <w:lang w:val="en-GB"/>
        </w:rPr>
        <w:t>.</w:t>
      </w:r>
      <w:r w:rsidR="002D6E78" w:rsidRPr="00B47649">
        <w:rPr>
          <w:iCs/>
          <w:snapToGrid/>
          <w:sz w:val="22"/>
          <w:szCs w:val="22"/>
          <w:lang w:val="en-GB"/>
        </w:rPr>
        <w:tab/>
      </w:r>
      <w:r w:rsidR="002D6E78" w:rsidRPr="00B47649">
        <w:rPr>
          <w:i/>
          <w:snapToGrid/>
          <w:sz w:val="22"/>
          <w:szCs w:val="22"/>
          <w:lang w:val="en-GB"/>
        </w:rPr>
        <w:t>Encourages</w:t>
      </w:r>
      <w:r w:rsidR="002D6E78" w:rsidRPr="00B47649">
        <w:rPr>
          <w:iCs/>
          <w:snapToGrid/>
          <w:sz w:val="22"/>
          <w:szCs w:val="22"/>
          <w:lang w:val="en-GB"/>
        </w:rPr>
        <w:t xml:space="preserve"> Parties and other </w:t>
      </w:r>
      <w:r w:rsidR="00BD46EE" w:rsidRPr="00B47649">
        <w:rPr>
          <w:iCs/>
          <w:snapToGrid/>
          <w:sz w:val="22"/>
          <w:szCs w:val="22"/>
          <w:lang w:val="en-GB"/>
        </w:rPr>
        <w:t>G</w:t>
      </w:r>
      <w:r w:rsidR="002D6E78" w:rsidRPr="00B47649">
        <w:rPr>
          <w:iCs/>
          <w:snapToGrid/>
          <w:sz w:val="22"/>
          <w:szCs w:val="22"/>
          <w:lang w:val="en-GB"/>
        </w:rPr>
        <w:t xml:space="preserve">overnments, in collaboration with business and civil society organizations, </w:t>
      </w:r>
      <w:r w:rsidR="00516DED" w:rsidRPr="00B47649">
        <w:rPr>
          <w:iCs/>
          <w:snapToGrid/>
          <w:sz w:val="22"/>
          <w:szCs w:val="22"/>
          <w:lang w:val="en-GB"/>
        </w:rPr>
        <w:t xml:space="preserve">to </w:t>
      </w:r>
      <w:r w:rsidR="002D6E78" w:rsidRPr="00B47649">
        <w:rPr>
          <w:iCs/>
          <w:snapToGrid/>
          <w:sz w:val="22"/>
          <w:szCs w:val="22"/>
          <w:lang w:val="en-GB"/>
        </w:rPr>
        <w:t>establish, or further strengthen, national</w:t>
      </w:r>
      <w:r w:rsidR="003C4392" w:rsidRPr="00B47649">
        <w:rPr>
          <w:iCs/>
          <w:snapToGrid/>
          <w:sz w:val="22"/>
          <w:szCs w:val="22"/>
          <w:lang w:val="en-GB"/>
        </w:rPr>
        <w:t xml:space="preserve">, subnational, regional or global </w:t>
      </w:r>
      <w:r w:rsidR="002D6E78" w:rsidRPr="00B47649">
        <w:rPr>
          <w:iCs/>
          <w:snapToGrid/>
          <w:sz w:val="22"/>
          <w:szCs w:val="22"/>
          <w:lang w:val="en-GB"/>
        </w:rPr>
        <w:lastRenderedPageBreak/>
        <w:t xml:space="preserve">business and biodiversity partnerships as institutional partners for the implementation of the </w:t>
      </w:r>
      <w:r w:rsidR="007610CB" w:rsidRPr="00B47649">
        <w:rPr>
          <w:iCs/>
          <w:snapToGrid/>
          <w:sz w:val="22"/>
          <w:szCs w:val="22"/>
          <w:lang w:val="en-GB"/>
        </w:rPr>
        <w:t>long-term strategic approach</w:t>
      </w:r>
      <w:r w:rsidR="007610CB" w:rsidRPr="00B47649" w:rsidDel="007610CB">
        <w:rPr>
          <w:iCs/>
          <w:snapToGrid/>
          <w:sz w:val="22"/>
          <w:szCs w:val="22"/>
          <w:lang w:val="en-GB"/>
        </w:rPr>
        <w:t xml:space="preserve"> </w:t>
      </w:r>
      <w:r w:rsidR="002D6E78" w:rsidRPr="00B47649">
        <w:rPr>
          <w:iCs/>
          <w:snapToGrid/>
          <w:sz w:val="22"/>
          <w:szCs w:val="22"/>
          <w:lang w:val="en-GB"/>
        </w:rPr>
        <w:t>through nation</w:t>
      </w:r>
      <w:r w:rsidR="00071DB0" w:rsidRPr="00B47649">
        <w:rPr>
          <w:iCs/>
          <w:snapToGrid/>
          <w:sz w:val="22"/>
          <w:szCs w:val="22"/>
          <w:lang w:val="en-GB"/>
        </w:rPr>
        <w:t>al</w:t>
      </w:r>
      <w:r w:rsidR="002D6E78" w:rsidRPr="00B47649">
        <w:rPr>
          <w:iCs/>
          <w:snapToGrid/>
          <w:sz w:val="22"/>
          <w:szCs w:val="22"/>
          <w:lang w:val="en-GB"/>
        </w:rPr>
        <w:t xml:space="preserve"> action</w:t>
      </w:r>
      <w:r w:rsidR="00775140" w:rsidRPr="00B47649">
        <w:rPr>
          <w:iCs/>
          <w:snapToGrid/>
          <w:sz w:val="22"/>
          <w:szCs w:val="22"/>
          <w:lang w:val="en-GB"/>
        </w:rPr>
        <w:t>, building on the experience of the Global Partnership on Business and Biodiversity and the Global Business Forum on Biodiversity and associated instruments</w:t>
      </w:r>
      <w:r w:rsidR="002D6E78" w:rsidRPr="00B47649">
        <w:rPr>
          <w:iCs/>
          <w:snapToGrid/>
          <w:sz w:val="22"/>
          <w:szCs w:val="22"/>
          <w:lang w:val="en-GB"/>
        </w:rPr>
        <w:t>;</w:t>
      </w:r>
    </w:p>
    <w:p w14:paraId="130A2130" w14:textId="5AF180F4" w:rsidR="008C0FC6" w:rsidRPr="00B47649" w:rsidRDefault="00517686" w:rsidP="00A359AF">
      <w:pPr>
        <w:pStyle w:val="StylePara1Kernat11pt"/>
        <w:suppressLineNumbers/>
        <w:suppressAutoHyphens/>
        <w:kinsoku w:val="0"/>
        <w:overflowPunct w:val="0"/>
        <w:autoSpaceDE w:val="0"/>
        <w:autoSpaceDN w:val="0"/>
        <w:adjustRightInd w:val="0"/>
        <w:snapToGrid w:val="0"/>
        <w:ind w:left="720" w:firstLine="720"/>
        <w:jc w:val="both"/>
        <w:rPr>
          <w:sz w:val="22"/>
          <w:szCs w:val="22"/>
          <w:lang w:val="en-GB"/>
        </w:rPr>
      </w:pPr>
      <w:r w:rsidRPr="00B47649">
        <w:rPr>
          <w:iCs/>
          <w:snapToGrid/>
          <w:sz w:val="22"/>
          <w:szCs w:val="22"/>
          <w:lang w:val="en-GB"/>
        </w:rPr>
        <w:t>1</w:t>
      </w:r>
      <w:r w:rsidR="0014619D" w:rsidRPr="00B47649">
        <w:rPr>
          <w:iCs/>
          <w:snapToGrid/>
          <w:sz w:val="22"/>
          <w:szCs w:val="22"/>
          <w:lang w:val="en-GB"/>
        </w:rPr>
        <w:t>1</w:t>
      </w:r>
      <w:r w:rsidR="00225E3C" w:rsidRPr="00B47649">
        <w:rPr>
          <w:iCs/>
          <w:snapToGrid/>
          <w:sz w:val="22"/>
          <w:szCs w:val="22"/>
          <w:lang w:val="en-GB"/>
        </w:rPr>
        <w:t>.</w:t>
      </w:r>
      <w:r w:rsidR="00225E3C" w:rsidRPr="00B47649">
        <w:rPr>
          <w:iCs/>
          <w:snapToGrid/>
          <w:sz w:val="22"/>
          <w:szCs w:val="22"/>
          <w:lang w:val="en-GB"/>
        </w:rPr>
        <w:tab/>
      </w:r>
      <w:r w:rsidR="006C3BE5" w:rsidRPr="00B47649">
        <w:rPr>
          <w:i/>
          <w:sz w:val="22"/>
          <w:szCs w:val="22"/>
          <w:lang w:val="en-GB"/>
        </w:rPr>
        <w:t xml:space="preserve">Takes note with appreciation </w:t>
      </w:r>
      <w:r w:rsidR="006C3BE5" w:rsidRPr="00B47649">
        <w:rPr>
          <w:iCs/>
          <w:sz w:val="22"/>
          <w:szCs w:val="22"/>
          <w:lang w:val="en-GB"/>
        </w:rPr>
        <w:t xml:space="preserve">of the biodiversity mainstreaming strategy the Food and Agriculture Organization of the United Nations, and </w:t>
      </w:r>
      <w:r w:rsidR="006C3BE5" w:rsidRPr="00B47649">
        <w:rPr>
          <w:i/>
          <w:sz w:val="22"/>
          <w:szCs w:val="22"/>
          <w:lang w:val="en-GB"/>
        </w:rPr>
        <w:t>invites</w:t>
      </w:r>
      <w:r w:rsidR="006C3BE5" w:rsidRPr="00B47649">
        <w:rPr>
          <w:sz w:val="22"/>
          <w:szCs w:val="22"/>
          <w:lang w:val="en-GB"/>
        </w:rPr>
        <w:t xml:space="preserve"> relevant international organizations and initiatives, as well as global and regional multilateral development banks, to develop their mainstreaming strategies and plans, and/or to strengthen their implementation of </w:t>
      </w:r>
      <w:r w:rsidR="006C3BE5" w:rsidRPr="00B47649">
        <w:rPr>
          <w:sz w:val="22"/>
          <w:lang w:val="en-GB"/>
        </w:rPr>
        <w:t>e</w:t>
      </w:r>
      <w:r w:rsidR="006C3BE5" w:rsidRPr="00B47649">
        <w:rPr>
          <w:sz w:val="22"/>
          <w:szCs w:val="22"/>
          <w:lang w:val="en-GB"/>
        </w:rPr>
        <w:t xml:space="preserve">xisting ones, building on the </w:t>
      </w:r>
      <w:r w:rsidR="00CA6DCF" w:rsidRPr="00B47649">
        <w:rPr>
          <w:iCs/>
          <w:snapToGrid/>
          <w:sz w:val="22"/>
          <w:szCs w:val="22"/>
          <w:lang w:val="en-GB"/>
        </w:rPr>
        <w:t>long-term strategic approach</w:t>
      </w:r>
      <w:r w:rsidR="00CA6DCF" w:rsidRPr="00B47649" w:rsidDel="00CA6DCF">
        <w:rPr>
          <w:sz w:val="22"/>
          <w:szCs w:val="22"/>
          <w:lang w:val="en-GB"/>
        </w:rPr>
        <w:t xml:space="preserve"> </w:t>
      </w:r>
      <w:r w:rsidR="006C3BE5" w:rsidRPr="00B47649">
        <w:rPr>
          <w:sz w:val="22"/>
          <w:szCs w:val="22"/>
          <w:lang w:val="en-GB"/>
        </w:rPr>
        <w:t xml:space="preserve">and taking into account its </w:t>
      </w:r>
      <w:r w:rsidR="007F54A6" w:rsidRPr="00B47649">
        <w:rPr>
          <w:sz w:val="22"/>
          <w:szCs w:val="22"/>
          <w:lang w:val="en-GB"/>
        </w:rPr>
        <w:t>a</w:t>
      </w:r>
      <w:r w:rsidR="006C3BE5" w:rsidRPr="00B47649">
        <w:rPr>
          <w:sz w:val="22"/>
          <w:szCs w:val="22"/>
          <w:lang w:val="en-GB"/>
        </w:rPr>
        <w:t xml:space="preserve">ction </w:t>
      </w:r>
      <w:r w:rsidR="007F54A6" w:rsidRPr="00B47649">
        <w:rPr>
          <w:sz w:val="22"/>
          <w:szCs w:val="22"/>
          <w:lang w:val="en-GB"/>
        </w:rPr>
        <w:t>p</w:t>
      </w:r>
      <w:r w:rsidR="006C3BE5" w:rsidRPr="00B47649">
        <w:rPr>
          <w:sz w:val="22"/>
          <w:szCs w:val="22"/>
          <w:lang w:val="en-GB"/>
        </w:rPr>
        <w:t>lan;</w:t>
      </w:r>
    </w:p>
    <w:p w14:paraId="27A6AB42" w14:textId="07F73F50" w:rsidR="00421264" w:rsidRPr="00B47649" w:rsidRDefault="007610CB" w:rsidP="00A359AF">
      <w:pPr>
        <w:pStyle w:val="StylePara1Kernat11pt"/>
        <w:suppressLineNumbers/>
        <w:suppressAutoHyphens/>
        <w:kinsoku w:val="0"/>
        <w:overflowPunct w:val="0"/>
        <w:autoSpaceDE w:val="0"/>
        <w:autoSpaceDN w:val="0"/>
        <w:adjustRightInd w:val="0"/>
        <w:snapToGrid w:val="0"/>
        <w:ind w:left="720" w:firstLine="720"/>
        <w:jc w:val="both"/>
        <w:rPr>
          <w:snapToGrid/>
          <w:sz w:val="22"/>
          <w:szCs w:val="22"/>
          <w:lang w:val="en-GB"/>
        </w:rPr>
      </w:pPr>
      <w:r w:rsidRPr="00B47649">
        <w:rPr>
          <w:sz w:val="22"/>
          <w:szCs w:val="22"/>
          <w:lang w:val="en-GB"/>
        </w:rPr>
        <w:t>12</w:t>
      </w:r>
      <w:r w:rsidR="00563AE3" w:rsidRPr="00B47649">
        <w:rPr>
          <w:sz w:val="22"/>
          <w:szCs w:val="22"/>
          <w:lang w:val="en-GB"/>
        </w:rPr>
        <w:t>.</w:t>
      </w:r>
      <w:r w:rsidR="00563AE3" w:rsidRPr="00B47649">
        <w:rPr>
          <w:sz w:val="22"/>
          <w:szCs w:val="22"/>
          <w:lang w:val="en-GB"/>
        </w:rPr>
        <w:tab/>
      </w:r>
      <w:r w:rsidR="00B91C09" w:rsidRPr="00B47649">
        <w:rPr>
          <w:i/>
          <w:iCs/>
          <w:sz w:val="22"/>
          <w:szCs w:val="22"/>
          <w:lang w:val="en-GB"/>
        </w:rPr>
        <w:t>Welcomes</w:t>
      </w:r>
      <w:r w:rsidR="00563AE3" w:rsidRPr="00B47649">
        <w:rPr>
          <w:i/>
          <w:iCs/>
          <w:sz w:val="22"/>
          <w:szCs w:val="22"/>
          <w:lang w:val="en-GB"/>
        </w:rPr>
        <w:t xml:space="preserve"> </w:t>
      </w:r>
      <w:r w:rsidR="00563AE3" w:rsidRPr="00B47649">
        <w:rPr>
          <w:sz w:val="22"/>
          <w:szCs w:val="22"/>
          <w:lang w:val="en-GB"/>
        </w:rPr>
        <w:t>the work carried out on mainstreaming under the Cartagena Protocol and</w:t>
      </w:r>
      <w:r w:rsidR="00807133" w:rsidRPr="00B47649">
        <w:rPr>
          <w:sz w:val="22"/>
          <w:szCs w:val="22"/>
          <w:lang w:val="en-GB"/>
        </w:rPr>
        <w:t xml:space="preserve"> the support provided in this regard by the Japan Biodiversity Fund</w:t>
      </w:r>
      <w:r w:rsidR="004A20E5" w:rsidRPr="00B47649">
        <w:rPr>
          <w:sz w:val="22"/>
          <w:szCs w:val="22"/>
          <w:lang w:val="en-GB"/>
        </w:rPr>
        <w:t xml:space="preserve">, </w:t>
      </w:r>
      <w:r w:rsidR="00807133" w:rsidRPr="00B47649">
        <w:rPr>
          <w:i/>
          <w:iCs/>
          <w:sz w:val="22"/>
          <w:szCs w:val="22"/>
          <w:lang w:val="en-GB"/>
        </w:rPr>
        <w:t xml:space="preserve">encourages </w:t>
      </w:r>
      <w:r w:rsidR="00807133" w:rsidRPr="00B47649">
        <w:rPr>
          <w:sz w:val="22"/>
          <w:szCs w:val="22"/>
          <w:lang w:val="en-GB"/>
        </w:rPr>
        <w:t xml:space="preserve">Parties </w:t>
      </w:r>
      <w:r w:rsidR="004A20E5" w:rsidRPr="00B47649">
        <w:rPr>
          <w:sz w:val="22"/>
          <w:szCs w:val="22"/>
          <w:lang w:val="en-GB"/>
        </w:rPr>
        <w:t>and other stakeholders to step up their mainstreaming efforts</w:t>
      </w:r>
      <w:r w:rsidR="00B91C09" w:rsidRPr="00B47649">
        <w:rPr>
          <w:sz w:val="22"/>
          <w:szCs w:val="22"/>
          <w:lang w:val="en-GB"/>
        </w:rPr>
        <w:t>,</w:t>
      </w:r>
      <w:r w:rsidR="00C82117" w:rsidRPr="00B47649">
        <w:rPr>
          <w:sz w:val="22"/>
          <w:szCs w:val="22"/>
          <w:lang w:val="en-GB"/>
        </w:rPr>
        <w:t xml:space="preserve"> building on the </w:t>
      </w:r>
      <w:r w:rsidR="00CA6DCF" w:rsidRPr="00B47649">
        <w:rPr>
          <w:iCs/>
          <w:snapToGrid/>
          <w:sz w:val="22"/>
          <w:szCs w:val="22"/>
          <w:lang w:val="en-GB"/>
        </w:rPr>
        <w:t>long-term strategic approach</w:t>
      </w:r>
      <w:r w:rsidR="00CA6DCF" w:rsidRPr="00B47649" w:rsidDel="00CA6DCF">
        <w:rPr>
          <w:sz w:val="22"/>
          <w:szCs w:val="22"/>
          <w:lang w:val="en-GB"/>
        </w:rPr>
        <w:t xml:space="preserve"> </w:t>
      </w:r>
      <w:r w:rsidR="004A20E5" w:rsidRPr="00B47649">
        <w:rPr>
          <w:sz w:val="22"/>
          <w:szCs w:val="22"/>
          <w:lang w:val="en-GB"/>
        </w:rPr>
        <w:t xml:space="preserve">and </w:t>
      </w:r>
      <w:r w:rsidR="00C61A5E" w:rsidRPr="00B47649">
        <w:rPr>
          <w:i/>
          <w:iCs/>
          <w:sz w:val="22"/>
          <w:szCs w:val="22"/>
          <w:lang w:val="en-GB"/>
        </w:rPr>
        <w:t xml:space="preserve">invites </w:t>
      </w:r>
      <w:r w:rsidR="00C61A5E" w:rsidRPr="00B47649">
        <w:rPr>
          <w:sz w:val="22"/>
          <w:szCs w:val="22"/>
          <w:lang w:val="en-GB"/>
        </w:rPr>
        <w:t xml:space="preserve">donors to support </w:t>
      </w:r>
      <w:r w:rsidR="004A20E5" w:rsidRPr="00B47649">
        <w:rPr>
          <w:sz w:val="22"/>
          <w:szCs w:val="22"/>
          <w:lang w:val="en-GB"/>
        </w:rPr>
        <w:t xml:space="preserve">such </w:t>
      </w:r>
      <w:r w:rsidR="00C61A5E" w:rsidRPr="00B47649">
        <w:rPr>
          <w:sz w:val="22"/>
          <w:szCs w:val="22"/>
          <w:lang w:val="en-GB"/>
        </w:rPr>
        <w:t>activities</w:t>
      </w:r>
      <w:r w:rsidR="00807133" w:rsidRPr="00B47649">
        <w:rPr>
          <w:sz w:val="22"/>
          <w:szCs w:val="22"/>
          <w:lang w:val="en-GB"/>
        </w:rPr>
        <w:t>;</w:t>
      </w:r>
    </w:p>
    <w:p w14:paraId="10149822" w14:textId="7939AF8F" w:rsidR="00461A4B" w:rsidRPr="00B47649" w:rsidRDefault="00517686" w:rsidP="00A359AF">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en-GB"/>
        </w:rPr>
      </w:pPr>
      <w:r w:rsidRPr="00477B9B">
        <w:rPr>
          <w:iCs/>
          <w:sz w:val="22"/>
          <w:szCs w:val="22"/>
          <w:lang w:val="en-GB"/>
        </w:rPr>
        <w:t>1</w:t>
      </w:r>
      <w:r w:rsidR="007610CB" w:rsidRPr="00477B9B">
        <w:rPr>
          <w:iCs/>
          <w:sz w:val="22"/>
          <w:szCs w:val="22"/>
          <w:lang w:val="en-GB"/>
        </w:rPr>
        <w:t>3</w:t>
      </w:r>
      <w:r w:rsidR="00461A4B" w:rsidRPr="00477B9B">
        <w:rPr>
          <w:iCs/>
          <w:sz w:val="22"/>
          <w:szCs w:val="22"/>
          <w:lang w:val="en-GB"/>
        </w:rPr>
        <w:t>.</w:t>
      </w:r>
      <w:r w:rsidR="00461A4B" w:rsidRPr="00477B9B">
        <w:rPr>
          <w:i/>
          <w:iCs/>
          <w:sz w:val="22"/>
          <w:szCs w:val="22"/>
          <w:lang w:val="en-GB"/>
        </w:rPr>
        <w:tab/>
      </w:r>
      <w:r w:rsidR="00461A4B" w:rsidRPr="00B47649">
        <w:rPr>
          <w:i/>
          <w:iCs/>
          <w:sz w:val="22"/>
          <w:szCs w:val="22"/>
          <w:lang w:val="en-GB"/>
        </w:rPr>
        <w:t xml:space="preserve">Requests </w:t>
      </w:r>
      <w:r w:rsidR="00461A4B" w:rsidRPr="00B47649">
        <w:rPr>
          <w:sz w:val="22"/>
          <w:szCs w:val="22"/>
          <w:lang w:val="en-GB"/>
        </w:rPr>
        <w:t xml:space="preserve">the </w:t>
      </w:r>
      <w:r w:rsidR="00D7719D" w:rsidRPr="00B47649">
        <w:rPr>
          <w:sz w:val="22"/>
          <w:szCs w:val="22"/>
          <w:lang w:val="en-GB"/>
        </w:rPr>
        <w:t xml:space="preserve">Global Environment Facility </w:t>
      </w:r>
      <w:r w:rsidR="00461A4B" w:rsidRPr="00B47649">
        <w:rPr>
          <w:sz w:val="22"/>
          <w:szCs w:val="22"/>
          <w:lang w:val="en-GB"/>
        </w:rPr>
        <w:t>to</w:t>
      </w:r>
      <w:r w:rsidR="008E4C77" w:rsidRPr="00B47649">
        <w:rPr>
          <w:i/>
          <w:iCs/>
          <w:sz w:val="22"/>
          <w:szCs w:val="22"/>
          <w:lang w:val="en-GB"/>
        </w:rPr>
        <w:t xml:space="preserve"> </w:t>
      </w:r>
      <w:r w:rsidR="008E4C77" w:rsidRPr="00B47649">
        <w:rPr>
          <w:iCs/>
          <w:sz w:val="22"/>
          <w:szCs w:val="22"/>
          <w:lang w:val="en-GB"/>
        </w:rPr>
        <w:t xml:space="preserve">strengthen mainstreaming in its future programming and assist Parties </w:t>
      </w:r>
      <w:r w:rsidR="00323394">
        <w:rPr>
          <w:iCs/>
          <w:sz w:val="22"/>
          <w:szCs w:val="22"/>
          <w:lang w:val="en-GB"/>
        </w:rPr>
        <w:t>in</w:t>
      </w:r>
      <w:r w:rsidR="00323394" w:rsidRPr="00B47649">
        <w:rPr>
          <w:iCs/>
          <w:sz w:val="22"/>
          <w:szCs w:val="22"/>
          <w:lang w:val="en-GB"/>
        </w:rPr>
        <w:t xml:space="preserve"> </w:t>
      </w:r>
      <w:r w:rsidR="008E4C77" w:rsidRPr="00B47649">
        <w:rPr>
          <w:iCs/>
          <w:sz w:val="22"/>
          <w:szCs w:val="22"/>
          <w:lang w:val="en-GB"/>
        </w:rPr>
        <w:t>develop</w:t>
      </w:r>
      <w:r w:rsidR="00323394">
        <w:rPr>
          <w:iCs/>
          <w:sz w:val="22"/>
          <w:szCs w:val="22"/>
          <w:lang w:val="en-GB"/>
        </w:rPr>
        <w:t>ing</w:t>
      </w:r>
      <w:r w:rsidR="008E4C77" w:rsidRPr="00B47649">
        <w:rPr>
          <w:iCs/>
          <w:sz w:val="22"/>
          <w:szCs w:val="22"/>
          <w:lang w:val="en-GB"/>
        </w:rPr>
        <w:t xml:space="preserve"> and implement</w:t>
      </w:r>
      <w:r w:rsidR="00323394">
        <w:rPr>
          <w:iCs/>
          <w:sz w:val="22"/>
          <w:szCs w:val="22"/>
          <w:lang w:val="en-GB"/>
        </w:rPr>
        <w:t>ing</w:t>
      </w:r>
      <w:r w:rsidR="008E4C77" w:rsidRPr="00B47649">
        <w:rPr>
          <w:iCs/>
          <w:sz w:val="22"/>
          <w:szCs w:val="22"/>
          <w:lang w:val="en-GB"/>
        </w:rPr>
        <w:t xml:space="preserve"> their mainstreaming action</w:t>
      </w:r>
      <w:r w:rsidR="00516DED" w:rsidRPr="00B47649">
        <w:rPr>
          <w:iCs/>
          <w:sz w:val="22"/>
          <w:szCs w:val="22"/>
          <w:lang w:val="en-GB"/>
        </w:rPr>
        <w:t>s</w:t>
      </w:r>
      <w:r w:rsidR="008E4C77" w:rsidRPr="00B47649">
        <w:rPr>
          <w:iCs/>
          <w:sz w:val="22"/>
          <w:szCs w:val="22"/>
          <w:lang w:val="en-GB"/>
        </w:rPr>
        <w:t xml:space="preserve"> building on the </w:t>
      </w:r>
      <w:r w:rsidR="007D36B7" w:rsidRPr="00B47649">
        <w:rPr>
          <w:iCs/>
          <w:sz w:val="22"/>
          <w:szCs w:val="22"/>
          <w:lang w:val="en-GB"/>
        </w:rPr>
        <w:t xml:space="preserve">long-term strategic approach to </w:t>
      </w:r>
      <w:r w:rsidR="00D61794" w:rsidRPr="00B47649">
        <w:rPr>
          <w:iCs/>
          <w:sz w:val="22"/>
          <w:szCs w:val="22"/>
          <w:lang w:val="en-GB"/>
        </w:rPr>
        <w:t xml:space="preserve">mainstreaming </w:t>
      </w:r>
      <w:r w:rsidR="007D36B7" w:rsidRPr="00B47649">
        <w:rPr>
          <w:iCs/>
          <w:sz w:val="22"/>
          <w:szCs w:val="22"/>
          <w:lang w:val="en-GB"/>
        </w:rPr>
        <w:t>biodiversity</w:t>
      </w:r>
      <w:r w:rsidR="008E4C77" w:rsidRPr="00B47649">
        <w:rPr>
          <w:iCs/>
          <w:sz w:val="22"/>
          <w:szCs w:val="22"/>
          <w:lang w:val="en-GB"/>
        </w:rPr>
        <w:t>;</w:t>
      </w:r>
    </w:p>
    <w:p w14:paraId="73CEF36D" w14:textId="2325369F" w:rsidR="007B7047" w:rsidRPr="00B47649" w:rsidRDefault="00E50A46" w:rsidP="00A359AF">
      <w:pPr>
        <w:pStyle w:val="StylePara1Kernat11pt"/>
        <w:suppressLineNumbers/>
        <w:suppressAutoHyphens/>
        <w:kinsoku w:val="0"/>
        <w:overflowPunct w:val="0"/>
        <w:autoSpaceDE w:val="0"/>
        <w:autoSpaceDN w:val="0"/>
        <w:adjustRightInd w:val="0"/>
        <w:snapToGrid w:val="0"/>
        <w:ind w:left="720" w:firstLine="720"/>
        <w:jc w:val="both"/>
        <w:rPr>
          <w:sz w:val="22"/>
          <w:szCs w:val="22"/>
          <w:lang w:val="en-GB"/>
        </w:rPr>
      </w:pPr>
      <w:r w:rsidRPr="00B47649">
        <w:rPr>
          <w:iCs/>
          <w:sz w:val="22"/>
          <w:szCs w:val="22"/>
          <w:lang w:val="en-GB"/>
        </w:rPr>
        <w:t>1</w:t>
      </w:r>
      <w:r w:rsidR="007610CB" w:rsidRPr="00B47649">
        <w:rPr>
          <w:iCs/>
          <w:sz w:val="22"/>
          <w:szCs w:val="22"/>
          <w:lang w:val="en-GB"/>
        </w:rPr>
        <w:t>4</w:t>
      </w:r>
      <w:r w:rsidR="00461A4B" w:rsidRPr="00B47649">
        <w:rPr>
          <w:iCs/>
          <w:sz w:val="22"/>
          <w:szCs w:val="22"/>
          <w:lang w:val="en-GB"/>
        </w:rPr>
        <w:t>.</w:t>
      </w:r>
      <w:r w:rsidR="00461A4B" w:rsidRPr="00B47649">
        <w:rPr>
          <w:iCs/>
          <w:sz w:val="22"/>
          <w:szCs w:val="22"/>
          <w:lang w:val="en-GB"/>
        </w:rPr>
        <w:tab/>
      </w:r>
      <w:r w:rsidR="007B7047" w:rsidRPr="00B47649">
        <w:rPr>
          <w:i/>
          <w:iCs/>
          <w:sz w:val="22"/>
          <w:szCs w:val="22"/>
          <w:lang w:val="en-GB"/>
        </w:rPr>
        <w:t>Takes note</w:t>
      </w:r>
      <w:r w:rsidR="007B7047" w:rsidRPr="00B47649">
        <w:rPr>
          <w:sz w:val="22"/>
          <w:szCs w:val="22"/>
          <w:lang w:val="en-GB"/>
        </w:rPr>
        <w:t xml:space="preserve"> of the interim report prepared by the United Nations Environment Programme World Conservation Monitoring Centre on building a</w:t>
      </w:r>
      <w:r w:rsidR="00516DED" w:rsidRPr="00B47649">
        <w:rPr>
          <w:sz w:val="22"/>
          <w:szCs w:val="22"/>
          <w:lang w:val="en-GB"/>
        </w:rPr>
        <w:t xml:space="preserve"> </w:t>
      </w:r>
      <w:r w:rsidR="007B7047" w:rsidRPr="00B47649">
        <w:rPr>
          <w:sz w:val="22"/>
          <w:szCs w:val="22"/>
          <w:lang w:val="en-GB"/>
        </w:rPr>
        <w:t>common view among key stakeholders on the measurement, monitoring and disclosure of corporate impacts and dependenc</w:t>
      </w:r>
      <w:r w:rsidR="00516DED" w:rsidRPr="00B47649">
        <w:rPr>
          <w:sz w:val="22"/>
          <w:szCs w:val="22"/>
          <w:lang w:val="en-GB"/>
        </w:rPr>
        <w:t>i</w:t>
      </w:r>
      <w:r w:rsidR="007B7047" w:rsidRPr="00B47649">
        <w:rPr>
          <w:sz w:val="22"/>
          <w:szCs w:val="22"/>
          <w:lang w:val="en-GB"/>
        </w:rPr>
        <w:t>e</w:t>
      </w:r>
      <w:r w:rsidR="00516DED" w:rsidRPr="00B47649">
        <w:rPr>
          <w:sz w:val="22"/>
          <w:szCs w:val="22"/>
          <w:lang w:val="en-GB"/>
        </w:rPr>
        <w:t>s</w:t>
      </w:r>
      <w:r w:rsidR="007B7047" w:rsidRPr="00B47649">
        <w:rPr>
          <w:sz w:val="22"/>
          <w:szCs w:val="22"/>
          <w:lang w:val="en-GB"/>
        </w:rPr>
        <w:t xml:space="preserve"> on biodiversity</w:t>
      </w:r>
      <w:r w:rsidR="00516DED" w:rsidRPr="00B47649">
        <w:rPr>
          <w:sz w:val="22"/>
          <w:szCs w:val="22"/>
          <w:lang w:val="en-GB"/>
        </w:rPr>
        <w:t>;</w:t>
      </w:r>
    </w:p>
    <w:p w14:paraId="1163DC60" w14:textId="2E5BE2B4" w:rsidR="00225E3C" w:rsidRPr="00B47649" w:rsidRDefault="0031183D" w:rsidP="00A359AF">
      <w:pPr>
        <w:pStyle w:val="xmsolistparagraph"/>
        <w:suppressLineNumbers/>
        <w:suppressAutoHyphens/>
        <w:spacing w:before="120" w:after="120"/>
        <w:ind w:left="720" w:firstLine="720"/>
        <w:jc w:val="both"/>
        <w:rPr>
          <w:rFonts w:eastAsia="Times New Roman"/>
          <w:kern w:val="22"/>
          <w:sz w:val="22"/>
          <w:szCs w:val="22"/>
          <w:lang w:val="en-GB"/>
        </w:rPr>
      </w:pPr>
      <w:r w:rsidRPr="00B47649">
        <w:rPr>
          <w:rFonts w:eastAsia="Times New Roman"/>
          <w:kern w:val="22"/>
          <w:sz w:val="22"/>
          <w:szCs w:val="22"/>
          <w:lang w:val="en-GB"/>
        </w:rPr>
        <w:t>1</w:t>
      </w:r>
      <w:r w:rsidR="007610CB" w:rsidRPr="00B47649">
        <w:rPr>
          <w:rFonts w:eastAsia="Times New Roman"/>
          <w:kern w:val="22"/>
          <w:sz w:val="22"/>
          <w:szCs w:val="22"/>
          <w:lang w:val="en-GB"/>
        </w:rPr>
        <w:t>5</w:t>
      </w:r>
      <w:r w:rsidRPr="00B47649">
        <w:rPr>
          <w:rFonts w:eastAsia="Times New Roman"/>
          <w:kern w:val="22"/>
          <w:sz w:val="22"/>
          <w:szCs w:val="22"/>
          <w:lang w:val="en-GB"/>
        </w:rPr>
        <w:t>.</w:t>
      </w:r>
      <w:r w:rsidR="006C3BE5" w:rsidRPr="00B47649">
        <w:rPr>
          <w:rFonts w:eastAsia="Times New Roman"/>
          <w:kern w:val="22"/>
          <w:sz w:val="22"/>
          <w:szCs w:val="22"/>
          <w:lang w:val="en-GB"/>
        </w:rPr>
        <w:tab/>
      </w:r>
      <w:r w:rsidR="007B7047" w:rsidRPr="00B47649">
        <w:rPr>
          <w:rFonts w:eastAsia="Times New Roman"/>
          <w:i/>
          <w:iCs/>
          <w:kern w:val="22"/>
          <w:sz w:val="22"/>
          <w:szCs w:val="22"/>
          <w:lang w:val="en-GB"/>
        </w:rPr>
        <w:t>Invites</w:t>
      </w:r>
      <w:r w:rsidR="007B7047" w:rsidRPr="00B47649">
        <w:rPr>
          <w:rFonts w:eastAsia="Times New Roman"/>
          <w:kern w:val="22"/>
          <w:sz w:val="22"/>
          <w:szCs w:val="22"/>
          <w:lang w:val="en-GB"/>
        </w:rPr>
        <w:t xml:space="preserve"> </w:t>
      </w:r>
      <w:r w:rsidR="00F27861" w:rsidRPr="00B47649">
        <w:rPr>
          <w:kern w:val="22"/>
          <w:sz w:val="22"/>
          <w:szCs w:val="22"/>
          <w:lang w:val="en-GB"/>
        </w:rPr>
        <w:t>the United Nations Environment Programme World Conservation Monitoring Centre</w:t>
      </w:r>
      <w:r w:rsidR="00F27861" w:rsidRPr="00B47649" w:rsidDel="00F27861">
        <w:rPr>
          <w:rFonts w:eastAsia="Times New Roman"/>
          <w:kern w:val="22"/>
          <w:sz w:val="22"/>
          <w:szCs w:val="22"/>
          <w:lang w:val="en-GB"/>
        </w:rPr>
        <w:t xml:space="preserve"> </w:t>
      </w:r>
      <w:r w:rsidR="007B7047" w:rsidRPr="00B47649">
        <w:rPr>
          <w:rFonts w:eastAsia="Times New Roman"/>
          <w:kern w:val="22"/>
          <w:sz w:val="22"/>
          <w:szCs w:val="22"/>
          <w:lang w:val="en-GB"/>
        </w:rPr>
        <w:t xml:space="preserve">and collaborating institutions to continue the work with a view to agreeing </w:t>
      </w:r>
      <w:r w:rsidR="00071DB0" w:rsidRPr="00B47649">
        <w:rPr>
          <w:rFonts w:eastAsia="Times New Roman"/>
          <w:kern w:val="22"/>
          <w:sz w:val="22"/>
          <w:szCs w:val="22"/>
          <w:lang w:val="en-GB"/>
        </w:rPr>
        <w:t xml:space="preserve">on </w:t>
      </w:r>
      <w:r w:rsidR="007B7047" w:rsidRPr="00B47649">
        <w:rPr>
          <w:rFonts w:eastAsia="Times New Roman"/>
          <w:kern w:val="22"/>
          <w:sz w:val="22"/>
          <w:szCs w:val="22"/>
          <w:lang w:val="en-GB"/>
        </w:rPr>
        <w:t>a comparable set of biodiversity</w:t>
      </w:r>
      <w:r w:rsidR="00C94815">
        <w:rPr>
          <w:rFonts w:eastAsia="Times New Roman"/>
          <w:kern w:val="22"/>
          <w:sz w:val="22"/>
          <w:szCs w:val="22"/>
          <w:lang w:val="en-GB"/>
        </w:rPr>
        <w:t>-</w:t>
      </w:r>
      <w:r w:rsidR="007B7047" w:rsidRPr="00B47649">
        <w:rPr>
          <w:rFonts w:eastAsia="Times New Roman"/>
          <w:kern w:val="22"/>
          <w:sz w:val="22"/>
          <w:szCs w:val="22"/>
          <w:lang w:val="en-GB"/>
        </w:rPr>
        <w:t>related measurements for businesses which can be</w:t>
      </w:r>
      <w:r w:rsidR="00FB5D90">
        <w:rPr>
          <w:rFonts w:eastAsia="Times New Roman"/>
          <w:kern w:val="22"/>
          <w:sz w:val="22"/>
          <w:szCs w:val="22"/>
          <w:lang w:val="en-GB"/>
        </w:rPr>
        <w:t xml:space="preserve"> </w:t>
      </w:r>
      <w:r w:rsidR="007B7047" w:rsidRPr="00B47649">
        <w:rPr>
          <w:rFonts w:eastAsia="Times New Roman"/>
          <w:kern w:val="22"/>
          <w:sz w:val="22"/>
          <w:szCs w:val="22"/>
          <w:lang w:val="en-GB"/>
        </w:rPr>
        <w:t>integrated into corporate disclosure and reporting</w:t>
      </w:r>
      <w:r w:rsidR="00516DED" w:rsidRPr="00B47649">
        <w:rPr>
          <w:rFonts w:eastAsia="Times New Roman"/>
          <w:kern w:val="22"/>
          <w:sz w:val="22"/>
          <w:szCs w:val="22"/>
          <w:lang w:val="en-GB"/>
        </w:rPr>
        <w:t>;</w:t>
      </w:r>
    </w:p>
    <w:p w14:paraId="604962C8" w14:textId="1614D88D" w:rsidR="007B7047" w:rsidRPr="00B47649" w:rsidRDefault="007610CB" w:rsidP="00A359AF">
      <w:pPr>
        <w:pStyle w:val="xmsolistparagraph"/>
        <w:suppressLineNumbers/>
        <w:suppressAutoHyphens/>
        <w:spacing w:before="120" w:after="120"/>
        <w:ind w:left="720" w:firstLine="720"/>
        <w:jc w:val="both"/>
        <w:rPr>
          <w:rFonts w:eastAsia="Times New Roman"/>
          <w:kern w:val="22"/>
          <w:sz w:val="22"/>
          <w:szCs w:val="22"/>
          <w:lang w:val="en-GB"/>
        </w:rPr>
      </w:pPr>
      <w:r w:rsidRPr="00B47649">
        <w:rPr>
          <w:kern w:val="22"/>
          <w:sz w:val="22"/>
          <w:szCs w:val="22"/>
          <w:lang w:val="en-GB"/>
        </w:rPr>
        <w:t>16.</w:t>
      </w:r>
      <w:r w:rsidRPr="00B47649">
        <w:rPr>
          <w:i/>
          <w:iCs/>
          <w:kern w:val="22"/>
          <w:sz w:val="22"/>
          <w:szCs w:val="22"/>
          <w:lang w:val="en-GB"/>
        </w:rPr>
        <w:tab/>
      </w:r>
      <w:r w:rsidR="007B7047" w:rsidRPr="00B47649">
        <w:rPr>
          <w:i/>
          <w:iCs/>
          <w:kern w:val="22"/>
          <w:sz w:val="22"/>
          <w:szCs w:val="22"/>
          <w:lang w:val="en-GB"/>
        </w:rPr>
        <w:t>Invites</w:t>
      </w:r>
      <w:r w:rsidR="007B7047" w:rsidRPr="00B47649">
        <w:rPr>
          <w:kern w:val="22"/>
          <w:sz w:val="22"/>
          <w:szCs w:val="22"/>
          <w:lang w:val="en-GB"/>
        </w:rPr>
        <w:t xml:space="preserve"> </w:t>
      </w:r>
      <w:r w:rsidR="007B7047" w:rsidRPr="00B47649">
        <w:rPr>
          <w:rFonts w:eastAsia="Times New Roman"/>
          <w:kern w:val="22"/>
          <w:sz w:val="22"/>
          <w:szCs w:val="22"/>
          <w:lang w:val="en-GB"/>
        </w:rPr>
        <w:t>international</w:t>
      </w:r>
      <w:r w:rsidR="007B7047" w:rsidRPr="00B47649">
        <w:rPr>
          <w:kern w:val="22"/>
          <w:sz w:val="22"/>
          <w:szCs w:val="22"/>
          <w:lang w:val="en-GB"/>
        </w:rPr>
        <w:t xml:space="preserve"> funding and development organizations to further support the work to develop the capacity of business managers and financial institutions to measure the biodiversity impacts and dependencies</w:t>
      </w:r>
      <w:r w:rsidR="006C3BE5" w:rsidRPr="00B47649">
        <w:rPr>
          <w:kern w:val="22"/>
          <w:sz w:val="22"/>
          <w:szCs w:val="22"/>
          <w:lang w:val="en-GB"/>
        </w:rPr>
        <w:t xml:space="preserve"> of their economic actions</w:t>
      </w:r>
      <w:r w:rsidR="00071DB0" w:rsidRPr="00B47649">
        <w:rPr>
          <w:kern w:val="22"/>
          <w:sz w:val="22"/>
          <w:szCs w:val="22"/>
          <w:lang w:val="en-GB"/>
        </w:rPr>
        <w:t>,</w:t>
      </w:r>
      <w:r w:rsidR="007B7047" w:rsidRPr="00B47649">
        <w:rPr>
          <w:kern w:val="22"/>
          <w:sz w:val="22"/>
          <w:szCs w:val="22"/>
          <w:lang w:val="en-GB"/>
        </w:rPr>
        <w:t xml:space="preserve"> and </w:t>
      </w:r>
      <w:r w:rsidR="00071DB0" w:rsidRPr="00B47649">
        <w:rPr>
          <w:kern w:val="22"/>
          <w:sz w:val="22"/>
          <w:szCs w:val="22"/>
          <w:lang w:val="en-GB"/>
        </w:rPr>
        <w:t xml:space="preserve">to </w:t>
      </w:r>
      <w:r w:rsidR="007B7047" w:rsidRPr="00B47649">
        <w:rPr>
          <w:kern w:val="22"/>
          <w:sz w:val="22"/>
          <w:szCs w:val="22"/>
          <w:lang w:val="en-GB"/>
        </w:rPr>
        <w:t xml:space="preserve">provide </w:t>
      </w:r>
      <w:r w:rsidR="000E34FB" w:rsidRPr="00B47649">
        <w:rPr>
          <w:kern w:val="22"/>
          <w:sz w:val="22"/>
          <w:szCs w:val="22"/>
          <w:lang w:val="en-GB"/>
        </w:rPr>
        <w:t>verifiable</w:t>
      </w:r>
      <w:r w:rsidR="007B7047" w:rsidRPr="00B47649">
        <w:rPr>
          <w:kern w:val="22"/>
          <w:sz w:val="22"/>
          <w:szCs w:val="22"/>
          <w:lang w:val="en-GB"/>
        </w:rPr>
        <w:t xml:space="preserve"> and actionable information for improved decision-making and the promotion of environmental, social and governance </w:t>
      </w:r>
      <w:r w:rsidR="00F970AA" w:rsidRPr="00B47649">
        <w:rPr>
          <w:kern w:val="22"/>
          <w:sz w:val="22"/>
          <w:szCs w:val="22"/>
          <w:lang w:val="en-GB"/>
        </w:rPr>
        <w:t>standards</w:t>
      </w:r>
      <w:r w:rsidR="00516DED" w:rsidRPr="00B47649">
        <w:rPr>
          <w:kern w:val="22"/>
          <w:sz w:val="22"/>
          <w:szCs w:val="22"/>
          <w:lang w:val="en-GB"/>
        </w:rPr>
        <w:t>;</w:t>
      </w:r>
    </w:p>
    <w:p w14:paraId="3678CAE7" w14:textId="38C465CD" w:rsidR="008E4C77" w:rsidRPr="00B47649" w:rsidRDefault="00CA6DCF" w:rsidP="00A359AF">
      <w:pPr>
        <w:pStyle w:val="xmsolistparagraph"/>
        <w:suppressLineNumbers/>
        <w:suppressAutoHyphens/>
        <w:spacing w:before="120" w:after="120"/>
        <w:ind w:left="720" w:firstLine="720"/>
        <w:jc w:val="both"/>
        <w:rPr>
          <w:iCs/>
          <w:kern w:val="22"/>
          <w:sz w:val="22"/>
          <w:szCs w:val="22"/>
          <w:lang w:val="en-GB"/>
        </w:rPr>
      </w:pPr>
      <w:r w:rsidRPr="00B47649">
        <w:rPr>
          <w:iCs/>
          <w:kern w:val="22"/>
          <w:sz w:val="22"/>
          <w:szCs w:val="22"/>
          <w:lang w:val="en-GB"/>
        </w:rPr>
        <w:t>17.</w:t>
      </w:r>
      <w:r w:rsidRPr="00B47649">
        <w:rPr>
          <w:i/>
          <w:kern w:val="22"/>
          <w:sz w:val="22"/>
          <w:szCs w:val="22"/>
          <w:lang w:val="en-GB"/>
        </w:rPr>
        <w:tab/>
      </w:r>
      <w:r w:rsidR="008E4C77" w:rsidRPr="00B47649">
        <w:rPr>
          <w:i/>
          <w:kern w:val="22"/>
          <w:sz w:val="22"/>
          <w:szCs w:val="22"/>
          <w:lang w:val="en-GB"/>
        </w:rPr>
        <w:t>Requests</w:t>
      </w:r>
      <w:r w:rsidR="008E4C77" w:rsidRPr="00B47649">
        <w:rPr>
          <w:iCs/>
          <w:kern w:val="22"/>
          <w:sz w:val="22"/>
          <w:szCs w:val="22"/>
          <w:lang w:val="en-GB"/>
        </w:rPr>
        <w:t xml:space="preserve"> the </w:t>
      </w:r>
      <w:r w:rsidR="008E4C77" w:rsidRPr="00B47649">
        <w:rPr>
          <w:rFonts w:eastAsia="Times New Roman"/>
          <w:kern w:val="22"/>
          <w:sz w:val="22"/>
          <w:szCs w:val="22"/>
          <w:lang w:val="en-GB"/>
        </w:rPr>
        <w:t>E</w:t>
      </w:r>
      <w:r w:rsidR="00071DB0" w:rsidRPr="00B47649">
        <w:rPr>
          <w:rFonts w:eastAsia="Times New Roman"/>
          <w:kern w:val="22"/>
          <w:sz w:val="22"/>
          <w:szCs w:val="22"/>
          <w:lang w:val="en-GB"/>
        </w:rPr>
        <w:t>xecutive</w:t>
      </w:r>
      <w:r w:rsidR="00071DB0" w:rsidRPr="00B47649">
        <w:rPr>
          <w:iCs/>
          <w:kern w:val="22"/>
          <w:sz w:val="22"/>
          <w:szCs w:val="22"/>
          <w:lang w:val="en-GB"/>
        </w:rPr>
        <w:t xml:space="preserve"> </w:t>
      </w:r>
      <w:r w:rsidR="008E4C77" w:rsidRPr="00B47649">
        <w:rPr>
          <w:iCs/>
          <w:kern w:val="22"/>
          <w:sz w:val="22"/>
          <w:szCs w:val="22"/>
          <w:lang w:val="en-GB"/>
        </w:rPr>
        <w:t>S</w:t>
      </w:r>
      <w:r w:rsidR="00071DB0" w:rsidRPr="00B47649">
        <w:rPr>
          <w:iCs/>
          <w:kern w:val="22"/>
          <w:sz w:val="22"/>
          <w:szCs w:val="22"/>
          <w:lang w:val="en-GB"/>
        </w:rPr>
        <w:t>ecretary</w:t>
      </w:r>
      <w:r w:rsidR="008E4C77" w:rsidRPr="00B47649">
        <w:rPr>
          <w:iCs/>
          <w:kern w:val="22"/>
          <w:sz w:val="22"/>
          <w:szCs w:val="22"/>
          <w:lang w:val="en-GB"/>
        </w:rPr>
        <w:t xml:space="preserve">, </w:t>
      </w:r>
      <w:r w:rsidR="00071DB0" w:rsidRPr="00B47649">
        <w:rPr>
          <w:iCs/>
          <w:kern w:val="22"/>
          <w:sz w:val="22"/>
          <w:szCs w:val="22"/>
          <w:lang w:val="en-GB"/>
        </w:rPr>
        <w:t xml:space="preserve">subject to the </w:t>
      </w:r>
      <w:r w:rsidR="008E4C77" w:rsidRPr="00B47649">
        <w:rPr>
          <w:iCs/>
          <w:kern w:val="22"/>
          <w:sz w:val="22"/>
          <w:szCs w:val="22"/>
          <w:lang w:val="en-GB"/>
        </w:rPr>
        <w:t>availability of resources:</w:t>
      </w:r>
    </w:p>
    <w:p w14:paraId="189683A2" w14:textId="61823560" w:rsidR="00517686" w:rsidRPr="00B47649"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color w:val="000000" w:themeColor="text1"/>
          <w:sz w:val="22"/>
          <w:szCs w:val="22"/>
          <w:lang w:val="en-GB"/>
        </w:rPr>
      </w:pPr>
      <w:r w:rsidRPr="00B47649">
        <w:rPr>
          <w:color w:val="000000" w:themeColor="text1"/>
          <w:sz w:val="22"/>
          <w:szCs w:val="22"/>
          <w:lang w:val="en-GB"/>
        </w:rPr>
        <w:t>To c</w:t>
      </w:r>
      <w:r w:rsidR="00517686" w:rsidRPr="00B47649">
        <w:rPr>
          <w:color w:val="000000" w:themeColor="text1"/>
          <w:sz w:val="22"/>
          <w:szCs w:val="22"/>
          <w:lang w:val="en-GB"/>
        </w:rPr>
        <w:t>ontinue to support the work of the Informal Advisory Group as per paragraph 6 above;</w:t>
      </w:r>
    </w:p>
    <w:p w14:paraId="530CD7CF" w14:textId="42766978" w:rsidR="008E4C77" w:rsidRPr="00B47649"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color w:val="000000" w:themeColor="text1"/>
          <w:sz w:val="22"/>
          <w:szCs w:val="22"/>
          <w:lang w:val="en-GB"/>
        </w:rPr>
      </w:pPr>
      <w:r w:rsidRPr="00B47649">
        <w:rPr>
          <w:sz w:val="22"/>
          <w:szCs w:val="22"/>
          <w:lang w:val="en-GB"/>
        </w:rPr>
        <w:t>To c</w:t>
      </w:r>
      <w:r w:rsidR="008E4C77" w:rsidRPr="00B47649">
        <w:rPr>
          <w:sz w:val="22"/>
          <w:szCs w:val="22"/>
          <w:lang w:val="en-GB"/>
        </w:rPr>
        <w:t xml:space="preserve">ontinue to coordinate with </w:t>
      </w:r>
      <w:r w:rsidR="003B4422" w:rsidRPr="00B47649">
        <w:rPr>
          <w:sz w:val="22"/>
          <w:szCs w:val="22"/>
          <w:lang w:val="en-GB"/>
        </w:rPr>
        <w:t xml:space="preserve">relevant </w:t>
      </w:r>
      <w:r w:rsidR="00E014D0">
        <w:rPr>
          <w:sz w:val="22"/>
          <w:szCs w:val="22"/>
          <w:lang w:val="en-GB"/>
        </w:rPr>
        <w:t>c</w:t>
      </w:r>
      <w:r w:rsidR="003B4422" w:rsidRPr="00B47649">
        <w:rPr>
          <w:sz w:val="22"/>
          <w:szCs w:val="22"/>
          <w:lang w:val="en-GB"/>
        </w:rPr>
        <w:t>onvention</w:t>
      </w:r>
      <w:r w:rsidR="004B1CC1" w:rsidRPr="00B47649">
        <w:rPr>
          <w:sz w:val="22"/>
          <w:szCs w:val="22"/>
          <w:lang w:val="en-GB"/>
        </w:rPr>
        <w:t>s</w:t>
      </w:r>
      <w:r w:rsidR="003B4422" w:rsidRPr="00B47649">
        <w:rPr>
          <w:sz w:val="22"/>
          <w:szCs w:val="22"/>
          <w:lang w:val="en-GB"/>
        </w:rPr>
        <w:t xml:space="preserve"> and United Nations </w:t>
      </w:r>
      <w:r w:rsidR="004B1CC1" w:rsidRPr="00B47649">
        <w:rPr>
          <w:sz w:val="22"/>
          <w:szCs w:val="22"/>
          <w:lang w:val="en-GB"/>
        </w:rPr>
        <w:t>organi</w:t>
      </w:r>
      <w:r w:rsidRPr="00B47649">
        <w:rPr>
          <w:sz w:val="22"/>
          <w:szCs w:val="22"/>
          <w:lang w:val="en-GB"/>
        </w:rPr>
        <w:t>z</w:t>
      </w:r>
      <w:r w:rsidR="004B1CC1" w:rsidRPr="00B47649">
        <w:rPr>
          <w:sz w:val="22"/>
          <w:szCs w:val="22"/>
          <w:lang w:val="en-GB"/>
        </w:rPr>
        <w:t xml:space="preserve">ations and </w:t>
      </w:r>
      <w:r w:rsidR="008E4C77" w:rsidRPr="00B47649">
        <w:rPr>
          <w:sz w:val="22"/>
          <w:szCs w:val="22"/>
          <w:lang w:val="en-GB"/>
        </w:rPr>
        <w:t xml:space="preserve">processes, and to </w:t>
      </w:r>
      <w:r w:rsidR="008E4C77" w:rsidRPr="00B47649">
        <w:rPr>
          <w:color w:val="000000" w:themeColor="text1"/>
          <w:sz w:val="22"/>
          <w:szCs w:val="22"/>
          <w:lang w:val="en-GB"/>
        </w:rPr>
        <w:t xml:space="preserve">continue organizing, in collaboration with relevant global, regional, and thematic organizations and </w:t>
      </w:r>
      <w:r w:rsidR="004B1CC1" w:rsidRPr="00B47649">
        <w:rPr>
          <w:color w:val="000000" w:themeColor="text1"/>
          <w:sz w:val="22"/>
          <w:szCs w:val="22"/>
          <w:lang w:val="en-GB"/>
        </w:rPr>
        <w:t xml:space="preserve">other </w:t>
      </w:r>
      <w:r w:rsidR="008E4C77" w:rsidRPr="00B47649">
        <w:rPr>
          <w:color w:val="000000" w:themeColor="text1"/>
          <w:sz w:val="22"/>
          <w:szCs w:val="22"/>
          <w:lang w:val="en-GB"/>
        </w:rPr>
        <w:t>stakeholders, and in conjunction with other capacity</w:t>
      </w:r>
      <w:r w:rsidR="000D1116" w:rsidRPr="00B47649">
        <w:rPr>
          <w:color w:val="000000" w:themeColor="text1"/>
          <w:sz w:val="22"/>
          <w:szCs w:val="22"/>
          <w:lang w:val="en-GB"/>
        </w:rPr>
        <w:noBreakHyphen/>
      </w:r>
      <w:r w:rsidR="008E4C77" w:rsidRPr="00B47649">
        <w:rPr>
          <w:color w:val="000000" w:themeColor="text1"/>
          <w:sz w:val="22"/>
          <w:szCs w:val="22"/>
          <w:lang w:val="en-GB"/>
        </w:rPr>
        <w:t xml:space="preserve">building activities, </w:t>
      </w:r>
      <w:r w:rsidR="00275777" w:rsidRPr="00B47649">
        <w:rPr>
          <w:color w:val="000000" w:themeColor="text1"/>
          <w:sz w:val="22"/>
          <w:szCs w:val="22"/>
          <w:lang w:val="en-GB"/>
        </w:rPr>
        <w:t xml:space="preserve">workshops and </w:t>
      </w:r>
      <w:r w:rsidR="008E4C77" w:rsidRPr="00B47649">
        <w:rPr>
          <w:color w:val="000000" w:themeColor="text1"/>
          <w:sz w:val="22"/>
          <w:szCs w:val="22"/>
          <w:lang w:val="en-GB"/>
        </w:rPr>
        <w:t>forums for discussion and exchange of experiences with respect to mainstreaming of biodiversity in key sectors</w:t>
      </w:r>
      <w:r w:rsidR="00071DB0" w:rsidRPr="00B47649">
        <w:rPr>
          <w:color w:val="000000" w:themeColor="text1"/>
          <w:sz w:val="22"/>
          <w:szCs w:val="22"/>
          <w:lang w:val="en-GB"/>
        </w:rPr>
        <w:t xml:space="preserve">, further to decision </w:t>
      </w:r>
      <w:r w:rsidR="008E4C77" w:rsidRPr="00B47649">
        <w:rPr>
          <w:color w:val="000000" w:themeColor="text1"/>
          <w:sz w:val="22"/>
          <w:szCs w:val="22"/>
          <w:lang w:val="en-GB"/>
        </w:rPr>
        <w:t>14/3</w:t>
      </w:r>
      <w:r w:rsidR="00666867">
        <w:rPr>
          <w:color w:val="000000" w:themeColor="text1"/>
          <w:sz w:val="22"/>
          <w:szCs w:val="22"/>
          <w:lang w:val="en-GB"/>
        </w:rPr>
        <w:t>,</w:t>
      </w:r>
      <w:r w:rsidR="00666867" w:rsidRPr="00666867">
        <w:rPr>
          <w:color w:val="000000" w:themeColor="text1"/>
          <w:sz w:val="22"/>
          <w:szCs w:val="22"/>
          <w:lang w:val="en-GB"/>
        </w:rPr>
        <w:t xml:space="preserve"> </w:t>
      </w:r>
      <w:r w:rsidR="00666867" w:rsidRPr="00B47649">
        <w:rPr>
          <w:color w:val="000000" w:themeColor="text1"/>
          <w:sz w:val="22"/>
          <w:szCs w:val="22"/>
          <w:lang w:val="en-GB"/>
        </w:rPr>
        <w:t>paragraph 19(g)</w:t>
      </w:r>
      <w:r w:rsidR="00071DB0" w:rsidRPr="00B47649">
        <w:rPr>
          <w:color w:val="000000" w:themeColor="text1"/>
          <w:sz w:val="22"/>
          <w:szCs w:val="22"/>
          <w:lang w:val="en-GB"/>
        </w:rPr>
        <w:t>;</w:t>
      </w:r>
    </w:p>
    <w:p w14:paraId="2EBFFC83" w14:textId="0D13A358" w:rsidR="008E4C77" w:rsidRPr="00B47649"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lang w:val="en-GB"/>
        </w:rPr>
      </w:pPr>
      <w:r w:rsidRPr="00B47649">
        <w:rPr>
          <w:iCs/>
          <w:sz w:val="22"/>
          <w:szCs w:val="22"/>
          <w:lang w:val="en-GB"/>
        </w:rPr>
        <w:t>To c</w:t>
      </w:r>
      <w:r w:rsidR="00071DB0" w:rsidRPr="00B47649">
        <w:rPr>
          <w:iCs/>
          <w:sz w:val="22"/>
          <w:szCs w:val="22"/>
          <w:lang w:val="en-GB"/>
        </w:rPr>
        <w:t xml:space="preserve">ollaborate with the Secretariat of </w:t>
      </w:r>
      <w:r w:rsidR="008E4C77" w:rsidRPr="00B47649">
        <w:rPr>
          <w:iCs/>
          <w:sz w:val="22"/>
          <w:szCs w:val="22"/>
          <w:lang w:val="en-GB"/>
        </w:rPr>
        <w:t xml:space="preserve">other Rio and </w:t>
      </w:r>
      <w:r w:rsidR="00071DB0" w:rsidRPr="00B47649">
        <w:rPr>
          <w:iCs/>
          <w:sz w:val="22"/>
          <w:szCs w:val="22"/>
          <w:lang w:val="en-GB"/>
        </w:rPr>
        <w:t xml:space="preserve">biodiversity-related </w:t>
      </w:r>
      <w:r w:rsidR="003B0E0C" w:rsidRPr="00B47649">
        <w:rPr>
          <w:iCs/>
          <w:sz w:val="22"/>
          <w:szCs w:val="22"/>
          <w:lang w:val="en-GB"/>
        </w:rPr>
        <w:t>c</w:t>
      </w:r>
      <w:r w:rsidR="008E4C77" w:rsidRPr="00B47649">
        <w:rPr>
          <w:iCs/>
          <w:sz w:val="22"/>
          <w:szCs w:val="22"/>
          <w:lang w:val="en-GB"/>
        </w:rPr>
        <w:t xml:space="preserve">onventions to optimize synergies </w:t>
      </w:r>
      <w:r w:rsidR="004B1CC1" w:rsidRPr="00B47649">
        <w:rPr>
          <w:iCs/>
          <w:sz w:val="22"/>
          <w:szCs w:val="22"/>
          <w:lang w:val="en-GB"/>
        </w:rPr>
        <w:t>among</w:t>
      </w:r>
      <w:r w:rsidR="008E4C77" w:rsidRPr="00B47649">
        <w:rPr>
          <w:iCs/>
          <w:sz w:val="22"/>
          <w:szCs w:val="22"/>
          <w:lang w:val="en-GB"/>
        </w:rPr>
        <w:t xml:space="preserve"> similar initiatives related to mainstreaming and multi-stakeholder cooperation</w:t>
      </w:r>
      <w:r w:rsidR="003B0E0C" w:rsidRPr="00B47649">
        <w:rPr>
          <w:iCs/>
          <w:sz w:val="22"/>
          <w:szCs w:val="22"/>
          <w:lang w:val="en-GB"/>
        </w:rPr>
        <w:t>;</w:t>
      </w:r>
    </w:p>
    <w:p w14:paraId="1477197B" w14:textId="2D2A0B61" w:rsidR="00117469" w:rsidRPr="00B47649"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lang w:val="en-GB"/>
        </w:rPr>
      </w:pPr>
      <w:r w:rsidRPr="00B47649">
        <w:rPr>
          <w:iCs/>
          <w:sz w:val="22"/>
          <w:szCs w:val="22"/>
          <w:lang w:val="en-GB"/>
        </w:rPr>
        <w:t>To c</w:t>
      </w:r>
      <w:r w:rsidR="00117469" w:rsidRPr="00B47649">
        <w:rPr>
          <w:iCs/>
          <w:sz w:val="22"/>
          <w:szCs w:val="22"/>
          <w:lang w:val="en-GB"/>
        </w:rPr>
        <w:t>ontinue to promote and collaborate in the work on business metrics for corporate biodiversity impacts and dependencies;</w:t>
      </w:r>
    </w:p>
    <w:p w14:paraId="54616CD7" w14:textId="378C0552" w:rsidR="00275777" w:rsidRPr="00B47649"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lang w:val="en-GB"/>
        </w:rPr>
      </w:pPr>
      <w:r w:rsidRPr="00B47649">
        <w:rPr>
          <w:sz w:val="22"/>
          <w:szCs w:val="22"/>
          <w:lang w:val="en-GB"/>
        </w:rPr>
        <w:t>To c</w:t>
      </w:r>
      <w:r w:rsidR="00071DB0" w:rsidRPr="00B47649">
        <w:rPr>
          <w:sz w:val="22"/>
          <w:szCs w:val="22"/>
          <w:lang w:val="en-GB"/>
        </w:rPr>
        <w:t>ontinue to promote</w:t>
      </w:r>
      <w:r w:rsidR="00D44642" w:rsidRPr="00B47649">
        <w:rPr>
          <w:sz w:val="22"/>
          <w:szCs w:val="22"/>
          <w:lang w:val="en-GB"/>
        </w:rPr>
        <w:t>, expand</w:t>
      </w:r>
      <w:r w:rsidR="00071DB0" w:rsidRPr="00B47649">
        <w:rPr>
          <w:sz w:val="22"/>
          <w:szCs w:val="22"/>
          <w:lang w:val="en-GB"/>
        </w:rPr>
        <w:t xml:space="preserve"> and provide support to the Global Partnership on Business and Biodiversity and its national and regional partnerships, with a view to scal</w:t>
      </w:r>
      <w:r w:rsidR="00844B59" w:rsidRPr="00B47649">
        <w:rPr>
          <w:sz w:val="22"/>
          <w:szCs w:val="22"/>
          <w:lang w:val="en-GB"/>
        </w:rPr>
        <w:t>ing</w:t>
      </w:r>
      <w:r w:rsidR="00071DB0" w:rsidRPr="00B47649">
        <w:rPr>
          <w:sz w:val="22"/>
          <w:szCs w:val="22"/>
          <w:lang w:val="en-GB"/>
        </w:rPr>
        <w:t xml:space="preserve"> </w:t>
      </w:r>
      <w:r w:rsidR="00C15CCD" w:rsidRPr="00B47649">
        <w:rPr>
          <w:sz w:val="22"/>
          <w:szCs w:val="22"/>
          <w:lang w:val="en-GB"/>
        </w:rPr>
        <w:t xml:space="preserve">up </w:t>
      </w:r>
      <w:r w:rsidR="00071DB0" w:rsidRPr="00B47649">
        <w:rPr>
          <w:sz w:val="22"/>
          <w:szCs w:val="22"/>
          <w:lang w:val="en-GB"/>
        </w:rPr>
        <w:t>these partnership</w:t>
      </w:r>
      <w:r w:rsidR="00C15CCD" w:rsidRPr="00B47649">
        <w:rPr>
          <w:sz w:val="22"/>
          <w:szCs w:val="22"/>
          <w:lang w:val="en-GB"/>
        </w:rPr>
        <w:t>s</w:t>
      </w:r>
      <w:r w:rsidR="005232ED" w:rsidRPr="00B47649">
        <w:rPr>
          <w:sz w:val="22"/>
          <w:szCs w:val="22"/>
          <w:lang w:val="en-GB"/>
        </w:rPr>
        <w:t xml:space="preserve">, to </w:t>
      </w:r>
      <w:r w:rsidR="00071DB0" w:rsidRPr="00B47649">
        <w:rPr>
          <w:sz w:val="22"/>
          <w:szCs w:val="22"/>
          <w:lang w:val="en-GB"/>
        </w:rPr>
        <w:t>further enhance their effectiveness</w:t>
      </w:r>
      <w:r w:rsidR="005232ED" w:rsidRPr="00B47649">
        <w:rPr>
          <w:sz w:val="22"/>
          <w:szCs w:val="22"/>
          <w:lang w:val="en-GB"/>
        </w:rPr>
        <w:t xml:space="preserve"> as a mechanism to engage businesses and exchange pertinent experiences and good practices, including through the Global Forum on Business and Biodiversity</w:t>
      </w:r>
      <w:r w:rsidR="00775140" w:rsidRPr="00B47649">
        <w:rPr>
          <w:sz w:val="22"/>
          <w:szCs w:val="22"/>
          <w:lang w:val="en-GB"/>
        </w:rPr>
        <w:t xml:space="preserve"> as a multi-stakeholder platform for </w:t>
      </w:r>
      <w:r w:rsidR="00C15CCD" w:rsidRPr="00B47649">
        <w:rPr>
          <w:sz w:val="22"/>
          <w:szCs w:val="22"/>
          <w:lang w:val="en-GB"/>
        </w:rPr>
        <w:t xml:space="preserve">exchanges at all levels of governance and with </w:t>
      </w:r>
      <w:r w:rsidR="00C15CCD" w:rsidRPr="00B47649">
        <w:rPr>
          <w:sz w:val="22"/>
          <w:szCs w:val="22"/>
          <w:lang w:val="en-GB"/>
        </w:rPr>
        <w:lastRenderedPageBreak/>
        <w:t>relevant players</w:t>
      </w:r>
      <w:r w:rsidR="00775140" w:rsidRPr="00B47649">
        <w:rPr>
          <w:sz w:val="22"/>
          <w:szCs w:val="22"/>
          <w:lang w:val="en-GB"/>
        </w:rPr>
        <w:t xml:space="preserve">, </w:t>
      </w:r>
      <w:r w:rsidR="00C15CCD" w:rsidRPr="00B47649">
        <w:rPr>
          <w:sz w:val="22"/>
          <w:szCs w:val="22"/>
          <w:lang w:val="en-GB"/>
        </w:rPr>
        <w:t xml:space="preserve">also to </w:t>
      </w:r>
      <w:r w:rsidR="00775140" w:rsidRPr="00B47649">
        <w:rPr>
          <w:sz w:val="22"/>
          <w:szCs w:val="22"/>
          <w:lang w:val="en-GB"/>
        </w:rPr>
        <w:t xml:space="preserve">identify </w:t>
      </w:r>
      <w:r w:rsidR="00C15CCD" w:rsidRPr="00B47649">
        <w:rPr>
          <w:sz w:val="22"/>
          <w:szCs w:val="22"/>
          <w:lang w:val="en-GB"/>
        </w:rPr>
        <w:t xml:space="preserve">gaps, opportunities, challenges and </w:t>
      </w:r>
      <w:r w:rsidR="00775140" w:rsidRPr="00B47649">
        <w:rPr>
          <w:sz w:val="22"/>
          <w:szCs w:val="22"/>
          <w:lang w:val="en-GB"/>
        </w:rPr>
        <w:t>lessons learned</w:t>
      </w:r>
      <w:r w:rsidR="00C15CCD" w:rsidRPr="00B47649">
        <w:rPr>
          <w:sz w:val="22"/>
          <w:szCs w:val="22"/>
          <w:lang w:val="en-GB"/>
        </w:rPr>
        <w:t xml:space="preserve"> in mainstreaming;</w:t>
      </w:r>
    </w:p>
    <w:p w14:paraId="1646FF0A" w14:textId="2803587A" w:rsidR="008E4C77" w:rsidRPr="00B47649" w:rsidRDefault="00C56F8F"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lang w:val="en-GB"/>
        </w:rPr>
      </w:pPr>
      <w:r w:rsidRPr="00B47649">
        <w:rPr>
          <w:sz w:val="22"/>
          <w:szCs w:val="22"/>
          <w:lang w:val="en-GB"/>
        </w:rPr>
        <w:t>To m</w:t>
      </w:r>
      <w:r w:rsidR="00275777" w:rsidRPr="00B47649">
        <w:rPr>
          <w:sz w:val="22"/>
          <w:szCs w:val="22"/>
          <w:lang w:val="en-GB"/>
        </w:rPr>
        <w:t xml:space="preserve">onitor and analyse progress in implementing the </w:t>
      </w:r>
      <w:r w:rsidRPr="00B47649">
        <w:rPr>
          <w:iCs/>
          <w:snapToGrid/>
          <w:sz w:val="22"/>
          <w:szCs w:val="22"/>
          <w:lang w:val="en-GB"/>
        </w:rPr>
        <w:t>long-term strategic approach</w:t>
      </w:r>
      <w:r w:rsidRPr="00B47649" w:rsidDel="00C56F8F">
        <w:rPr>
          <w:sz w:val="22"/>
          <w:szCs w:val="22"/>
          <w:lang w:val="en-GB"/>
        </w:rPr>
        <w:t xml:space="preserve"> </w:t>
      </w:r>
      <w:r w:rsidR="00275777" w:rsidRPr="00B47649">
        <w:rPr>
          <w:sz w:val="22"/>
          <w:szCs w:val="22"/>
          <w:lang w:val="en-GB"/>
        </w:rPr>
        <w:t xml:space="preserve">and its </w:t>
      </w:r>
      <w:r w:rsidRPr="00B47649">
        <w:rPr>
          <w:sz w:val="22"/>
          <w:szCs w:val="22"/>
          <w:lang w:val="en-GB"/>
        </w:rPr>
        <w:t>a</w:t>
      </w:r>
      <w:r w:rsidR="00275777" w:rsidRPr="00B47649">
        <w:rPr>
          <w:sz w:val="22"/>
          <w:szCs w:val="22"/>
          <w:lang w:val="en-GB"/>
        </w:rPr>
        <w:t xml:space="preserve">ction </w:t>
      </w:r>
      <w:r w:rsidRPr="00B47649">
        <w:rPr>
          <w:sz w:val="22"/>
          <w:szCs w:val="22"/>
          <w:lang w:val="en-GB"/>
        </w:rPr>
        <w:t>p</w:t>
      </w:r>
      <w:r w:rsidR="00275777" w:rsidRPr="00B47649">
        <w:rPr>
          <w:sz w:val="22"/>
          <w:szCs w:val="22"/>
          <w:lang w:val="en-GB"/>
        </w:rPr>
        <w:t>lan, based on national reports provided by Parties and relevant experiences by relevant international organizations and initiatives;</w:t>
      </w:r>
    </w:p>
    <w:p w14:paraId="0C43731E" w14:textId="5E4B099A" w:rsidR="00E21033" w:rsidRPr="00B47649" w:rsidRDefault="00C56F8F"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lang w:val="en-GB"/>
        </w:rPr>
      </w:pPr>
      <w:r w:rsidRPr="00B47649">
        <w:rPr>
          <w:sz w:val="22"/>
          <w:szCs w:val="22"/>
          <w:lang w:val="en-GB"/>
        </w:rPr>
        <w:t>To p</w:t>
      </w:r>
      <w:r w:rsidR="00817AEF" w:rsidRPr="00B47649">
        <w:rPr>
          <w:sz w:val="22"/>
          <w:szCs w:val="22"/>
          <w:lang w:val="en-GB"/>
        </w:rPr>
        <w:t xml:space="preserve">rovide a progress </w:t>
      </w:r>
      <w:r w:rsidR="008E4C77" w:rsidRPr="00B47649">
        <w:rPr>
          <w:sz w:val="22"/>
          <w:szCs w:val="22"/>
          <w:lang w:val="en-GB"/>
        </w:rPr>
        <w:t>report on these activities</w:t>
      </w:r>
      <w:r w:rsidR="00817AEF" w:rsidRPr="00B47649">
        <w:rPr>
          <w:sz w:val="22"/>
          <w:szCs w:val="22"/>
          <w:lang w:val="en-GB"/>
        </w:rPr>
        <w:t xml:space="preserve">, as well as </w:t>
      </w:r>
      <w:r w:rsidR="00682010" w:rsidRPr="00B47649">
        <w:rPr>
          <w:sz w:val="22"/>
          <w:szCs w:val="22"/>
          <w:lang w:val="en-GB"/>
        </w:rPr>
        <w:t xml:space="preserve">on </w:t>
      </w:r>
      <w:r w:rsidR="00275777" w:rsidRPr="00B47649">
        <w:rPr>
          <w:sz w:val="22"/>
          <w:szCs w:val="22"/>
          <w:lang w:val="en-GB"/>
        </w:rPr>
        <w:t xml:space="preserve">any </w:t>
      </w:r>
      <w:r w:rsidR="00817AEF" w:rsidRPr="00B47649">
        <w:rPr>
          <w:sz w:val="22"/>
          <w:szCs w:val="22"/>
          <w:lang w:val="en-GB"/>
        </w:rPr>
        <w:t>other pertinent development</w:t>
      </w:r>
      <w:r w:rsidR="00275777" w:rsidRPr="00B47649">
        <w:rPr>
          <w:sz w:val="22"/>
          <w:szCs w:val="22"/>
          <w:lang w:val="en-GB"/>
        </w:rPr>
        <w:t>s,</w:t>
      </w:r>
      <w:r w:rsidR="00817AEF" w:rsidRPr="00B47649">
        <w:rPr>
          <w:sz w:val="22"/>
          <w:szCs w:val="22"/>
          <w:lang w:val="en-GB"/>
        </w:rPr>
        <w:t xml:space="preserve"> </w:t>
      </w:r>
      <w:r w:rsidR="00682010" w:rsidRPr="00B47649">
        <w:rPr>
          <w:sz w:val="22"/>
          <w:szCs w:val="22"/>
          <w:lang w:val="en-GB"/>
        </w:rPr>
        <w:t xml:space="preserve">and including proposals for undertaking the mid-term review of </w:t>
      </w:r>
      <w:r w:rsidR="00CE1D5B" w:rsidRPr="00B47649">
        <w:rPr>
          <w:iCs/>
          <w:snapToGrid/>
          <w:sz w:val="22"/>
          <w:szCs w:val="22"/>
          <w:lang w:val="en-GB"/>
        </w:rPr>
        <w:t>the long-term strategic approach</w:t>
      </w:r>
      <w:r w:rsidR="00682010" w:rsidRPr="00B47649">
        <w:rPr>
          <w:sz w:val="22"/>
          <w:szCs w:val="22"/>
          <w:lang w:val="en-GB"/>
        </w:rPr>
        <w:t xml:space="preserve">, </w:t>
      </w:r>
      <w:r w:rsidR="00DE2CDA" w:rsidRPr="00B47649">
        <w:rPr>
          <w:sz w:val="22"/>
          <w:szCs w:val="22"/>
          <w:lang w:val="en-GB"/>
        </w:rPr>
        <w:t>consistent with the arrangements in place for reporting, monitoring and review of the post</w:t>
      </w:r>
      <w:r w:rsidR="00CE1D5B" w:rsidRPr="00B47649">
        <w:rPr>
          <w:sz w:val="22"/>
          <w:szCs w:val="22"/>
          <w:lang w:val="en-GB"/>
        </w:rPr>
        <w:noBreakHyphen/>
      </w:r>
      <w:r w:rsidR="00DE2CDA" w:rsidRPr="00B47649">
        <w:rPr>
          <w:sz w:val="22"/>
          <w:szCs w:val="22"/>
          <w:lang w:val="en-GB"/>
        </w:rPr>
        <w:t xml:space="preserve">2020 global biodiversity framework, </w:t>
      </w:r>
      <w:r w:rsidR="00B6202C" w:rsidRPr="00B47649">
        <w:rPr>
          <w:sz w:val="22"/>
          <w:szCs w:val="22"/>
          <w:lang w:val="en-GB"/>
        </w:rPr>
        <w:t>for consideration by</w:t>
      </w:r>
      <w:r w:rsidR="00B6202C" w:rsidRPr="00B47649" w:rsidDel="00B6202C">
        <w:rPr>
          <w:sz w:val="22"/>
          <w:szCs w:val="22"/>
          <w:lang w:val="en-GB"/>
        </w:rPr>
        <w:t xml:space="preserve"> </w:t>
      </w:r>
      <w:r w:rsidR="00817AEF" w:rsidRPr="00B47649">
        <w:rPr>
          <w:sz w:val="22"/>
          <w:szCs w:val="22"/>
          <w:lang w:val="en-GB"/>
        </w:rPr>
        <w:t>the Subsidiary Body on Implementation at its fourth meeting</w:t>
      </w:r>
      <w:r w:rsidR="00CE1D5B" w:rsidRPr="00B47649">
        <w:rPr>
          <w:sz w:val="22"/>
          <w:szCs w:val="22"/>
          <w:lang w:val="en-GB"/>
        </w:rPr>
        <w:t>.</w:t>
      </w:r>
    </w:p>
    <w:p w14:paraId="75E0C9BA" w14:textId="333800B2" w:rsidR="00A714E6" w:rsidRPr="00921D2F" w:rsidRDefault="00A714E6" w:rsidP="00921D2F">
      <w:pPr>
        <w:keepNext/>
        <w:suppressLineNumbers/>
        <w:suppressAutoHyphens/>
        <w:kinsoku w:val="0"/>
        <w:overflowPunct w:val="0"/>
        <w:autoSpaceDE w:val="0"/>
        <w:autoSpaceDN w:val="0"/>
        <w:adjustRightInd w:val="0"/>
        <w:snapToGrid w:val="0"/>
        <w:spacing w:before="120" w:after="120"/>
        <w:jc w:val="center"/>
        <w:rPr>
          <w:i/>
          <w:snapToGrid w:val="0"/>
          <w:kern w:val="22"/>
          <w:sz w:val="22"/>
          <w:szCs w:val="22"/>
          <w:lang w:val="en-GB"/>
        </w:rPr>
      </w:pPr>
      <w:r w:rsidRPr="00921D2F">
        <w:rPr>
          <w:i/>
          <w:snapToGrid w:val="0"/>
          <w:kern w:val="22"/>
          <w:sz w:val="22"/>
          <w:szCs w:val="22"/>
          <w:lang w:val="en-GB"/>
        </w:rPr>
        <w:t>Annex I</w:t>
      </w:r>
    </w:p>
    <w:p w14:paraId="067F7EF0" w14:textId="7FBC40DE" w:rsidR="008C6CB4" w:rsidRPr="00921D2F" w:rsidRDefault="00CA18B1" w:rsidP="00921D2F">
      <w:pPr>
        <w:pStyle w:val="Heading1"/>
        <w:suppressLineNumbers/>
        <w:tabs>
          <w:tab w:val="clear" w:pos="720"/>
        </w:tabs>
        <w:suppressAutoHyphens/>
        <w:spacing w:before="120"/>
        <w:rPr>
          <w:snapToGrid w:val="0"/>
          <w:kern w:val="22"/>
          <w:sz w:val="22"/>
          <w:szCs w:val="22"/>
          <w:lang w:val="en-GB"/>
        </w:rPr>
      </w:pPr>
      <w:r w:rsidRPr="00921D2F">
        <w:rPr>
          <w:snapToGrid w:val="0"/>
          <w:kern w:val="22"/>
          <w:sz w:val="22"/>
          <w:szCs w:val="22"/>
          <w:lang w:val="en-GB"/>
        </w:rPr>
        <w:t xml:space="preserve">Advice </w:t>
      </w:r>
      <w:r w:rsidR="009064DF" w:rsidRPr="00921D2F">
        <w:rPr>
          <w:snapToGrid w:val="0"/>
          <w:kern w:val="22"/>
          <w:sz w:val="22"/>
          <w:szCs w:val="22"/>
          <w:lang w:val="en-GB"/>
        </w:rPr>
        <w:t>on ways to integrate mainstreaming adequately into the post</w:t>
      </w:r>
      <w:r w:rsidR="00CE1D5B" w:rsidRPr="00921D2F">
        <w:rPr>
          <w:snapToGrid w:val="0"/>
          <w:kern w:val="22"/>
          <w:sz w:val="22"/>
          <w:szCs w:val="22"/>
          <w:lang w:val="en-GB"/>
        </w:rPr>
        <w:noBreakHyphen/>
      </w:r>
      <w:r w:rsidR="009064DF" w:rsidRPr="00921D2F">
        <w:rPr>
          <w:snapToGrid w:val="0"/>
          <w:kern w:val="22"/>
          <w:sz w:val="22"/>
          <w:szCs w:val="22"/>
          <w:lang w:val="en-GB"/>
        </w:rPr>
        <w:t>2020 global biodiversity framework</w:t>
      </w:r>
    </w:p>
    <w:p w14:paraId="2A323A39" w14:textId="245FAB1C" w:rsidR="00F41390" w:rsidRPr="00B47649" w:rsidRDefault="00DA1DED" w:rsidP="00B47649">
      <w:pPr>
        <w:pStyle w:val="Para10"/>
        <w:numPr>
          <w:ilvl w:val="0"/>
          <w:numId w:val="6"/>
        </w:numPr>
        <w:suppressLineNumbers/>
        <w:tabs>
          <w:tab w:val="clear" w:pos="360"/>
        </w:tabs>
        <w:suppressAutoHyphens/>
        <w:jc w:val="both"/>
        <w:rPr>
          <w:kern w:val="22"/>
          <w:sz w:val="22"/>
          <w:szCs w:val="22"/>
          <w:lang w:val="en-GB"/>
        </w:rPr>
      </w:pPr>
      <w:r w:rsidRPr="00B47649">
        <w:rPr>
          <w:kern w:val="22"/>
          <w:sz w:val="22"/>
          <w:szCs w:val="22"/>
          <w:lang w:val="en-GB"/>
        </w:rPr>
        <w:t xml:space="preserve">As indicated in the progress report of the </w:t>
      </w:r>
      <w:r w:rsidR="00A461A4" w:rsidRPr="00B47649">
        <w:rPr>
          <w:kern w:val="22"/>
          <w:sz w:val="22"/>
          <w:szCs w:val="22"/>
          <w:lang w:val="en-GB"/>
        </w:rPr>
        <w:t>I</w:t>
      </w:r>
      <w:r w:rsidRPr="00B47649">
        <w:rPr>
          <w:kern w:val="22"/>
          <w:sz w:val="22"/>
          <w:szCs w:val="22"/>
          <w:lang w:val="en-GB"/>
        </w:rPr>
        <w:t xml:space="preserve">nformal </w:t>
      </w:r>
      <w:r w:rsidR="00A461A4" w:rsidRPr="00B47649">
        <w:rPr>
          <w:kern w:val="22"/>
          <w:sz w:val="22"/>
          <w:szCs w:val="22"/>
          <w:lang w:val="en-GB"/>
        </w:rPr>
        <w:t>A</w:t>
      </w:r>
      <w:r w:rsidRPr="00B47649">
        <w:rPr>
          <w:kern w:val="22"/>
          <w:sz w:val="22"/>
          <w:szCs w:val="22"/>
          <w:lang w:val="en-GB"/>
        </w:rPr>
        <w:t xml:space="preserve">dvisory </w:t>
      </w:r>
      <w:r w:rsidR="00A461A4" w:rsidRPr="00B47649">
        <w:rPr>
          <w:kern w:val="22"/>
          <w:sz w:val="22"/>
          <w:szCs w:val="22"/>
          <w:lang w:val="en-GB"/>
        </w:rPr>
        <w:t>G</w:t>
      </w:r>
      <w:r w:rsidRPr="00B47649">
        <w:rPr>
          <w:kern w:val="22"/>
          <w:sz w:val="22"/>
          <w:szCs w:val="22"/>
          <w:lang w:val="en-GB"/>
        </w:rPr>
        <w:t xml:space="preserve">roup on </w:t>
      </w:r>
      <w:r w:rsidR="00A461A4" w:rsidRPr="00B47649">
        <w:rPr>
          <w:kern w:val="22"/>
          <w:sz w:val="22"/>
          <w:szCs w:val="22"/>
          <w:lang w:val="en-GB"/>
        </w:rPr>
        <w:t>B</w:t>
      </w:r>
      <w:r w:rsidRPr="00B47649">
        <w:rPr>
          <w:kern w:val="22"/>
          <w:sz w:val="22"/>
          <w:szCs w:val="22"/>
          <w:lang w:val="en-GB"/>
        </w:rPr>
        <w:t xml:space="preserve">iodiversity </w:t>
      </w:r>
      <w:r w:rsidR="00A461A4" w:rsidRPr="00B47649">
        <w:rPr>
          <w:kern w:val="22"/>
          <w:sz w:val="22"/>
          <w:szCs w:val="22"/>
          <w:lang w:val="en-GB"/>
        </w:rPr>
        <w:t>M</w:t>
      </w:r>
      <w:r w:rsidRPr="00B47649">
        <w:rPr>
          <w:kern w:val="22"/>
          <w:sz w:val="22"/>
          <w:szCs w:val="22"/>
          <w:lang w:val="en-GB"/>
        </w:rPr>
        <w:t xml:space="preserve">ainstreaming to the Open-ended Working Group at its second meeting, </w:t>
      </w:r>
      <w:r w:rsidR="00A461A4" w:rsidRPr="00B47649">
        <w:rPr>
          <w:kern w:val="22"/>
          <w:sz w:val="22"/>
          <w:szCs w:val="22"/>
          <w:lang w:val="en-GB"/>
        </w:rPr>
        <w:t xml:space="preserve">the </w:t>
      </w:r>
      <w:r w:rsidR="007C07EF" w:rsidRPr="00B47649">
        <w:rPr>
          <w:kern w:val="22"/>
          <w:sz w:val="22"/>
          <w:szCs w:val="22"/>
          <w:lang w:val="en-GB"/>
        </w:rPr>
        <w:t xml:space="preserve">emerging post-2020 </w:t>
      </w:r>
      <w:r w:rsidR="00CD26EB" w:rsidRPr="00B47649">
        <w:rPr>
          <w:kern w:val="22"/>
          <w:sz w:val="22"/>
          <w:szCs w:val="22"/>
          <w:lang w:val="en-GB"/>
        </w:rPr>
        <w:t>g</w:t>
      </w:r>
      <w:r w:rsidR="007C07EF" w:rsidRPr="00B47649">
        <w:rPr>
          <w:kern w:val="22"/>
          <w:sz w:val="22"/>
          <w:szCs w:val="22"/>
          <w:lang w:val="en-GB"/>
        </w:rPr>
        <w:t xml:space="preserve">lobal </w:t>
      </w:r>
      <w:r w:rsidR="00CD26EB" w:rsidRPr="00B47649">
        <w:rPr>
          <w:kern w:val="22"/>
          <w:sz w:val="22"/>
          <w:szCs w:val="22"/>
          <w:lang w:val="en-GB"/>
        </w:rPr>
        <w:t>b</w:t>
      </w:r>
      <w:r w:rsidR="007C07EF" w:rsidRPr="00B47649">
        <w:rPr>
          <w:kern w:val="22"/>
          <w:sz w:val="22"/>
          <w:szCs w:val="22"/>
          <w:lang w:val="en-GB"/>
        </w:rPr>
        <w:t xml:space="preserve">iodiversity </w:t>
      </w:r>
      <w:r w:rsidR="00CD26EB" w:rsidRPr="00B47649">
        <w:rPr>
          <w:kern w:val="22"/>
          <w:sz w:val="22"/>
          <w:szCs w:val="22"/>
          <w:lang w:val="en-GB"/>
        </w:rPr>
        <w:t>f</w:t>
      </w:r>
      <w:r w:rsidR="007C07EF" w:rsidRPr="00B47649">
        <w:rPr>
          <w:kern w:val="22"/>
          <w:sz w:val="22"/>
          <w:szCs w:val="22"/>
          <w:lang w:val="en-GB"/>
        </w:rPr>
        <w:t>ramework</w:t>
      </w:r>
      <w:r w:rsidR="0017597E" w:rsidRPr="00B47649">
        <w:rPr>
          <w:kern w:val="22"/>
          <w:sz w:val="22"/>
          <w:szCs w:val="22"/>
          <w:lang w:val="en-GB"/>
        </w:rPr>
        <w:t xml:space="preserve"> </w:t>
      </w:r>
      <w:r w:rsidR="007C07EF" w:rsidRPr="00B47649">
        <w:rPr>
          <w:kern w:val="22"/>
          <w:sz w:val="22"/>
          <w:szCs w:val="22"/>
          <w:lang w:val="en-GB"/>
        </w:rPr>
        <w:t xml:space="preserve">and the draft </w:t>
      </w:r>
      <w:r w:rsidR="00CC1591" w:rsidRPr="00B47649">
        <w:rPr>
          <w:kern w:val="22"/>
          <w:sz w:val="22"/>
          <w:szCs w:val="22"/>
          <w:lang w:val="en-GB"/>
        </w:rPr>
        <w:t>l</w:t>
      </w:r>
      <w:r w:rsidR="00333C8B" w:rsidRPr="00B47649">
        <w:rPr>
          <w:kern w:val="22"/>
          <w:sz w:val="22"/>
          <w:szCs w:val="22"/>
          <w:lang w:val="en-GB"/>
        </w:rPr>
        <w:t xml:space="preserve">ong-term </w:t>
      </w:r>
      <w:r w:rsidR="00CC1591" w:rsidRPr="00B47649">
        <w:rPr>
          <w:kern w:val="22"/>
          <w:sz w:val="22"/>
          <w:szCs w:val="22"/>
          <w:lang w:val="en-GB"/>
        </w:rPr>
        <w:t>s</w:t>
      </w:r>
      <w:r w:rsidR="00333C8B" w:rsidRPr="00B47649">
        <w:rPr>
          <w:kern w:val="22"/>
          <w:sz w:val="22"/>
          <w:szCs w:val="22"/>
          <w:lang w:val="en-GB"/>
        </w:rPr>
        <w:t xml:space="preserve">trategic </w:t>
      </w:r>
      <w:r w:rsidR="00CC1591" w:rsidRPr="00B47649">
        <w:rPr>
          <w:kern w:val="22"/>
          <w:sz w:val="22"/>
          <w:szCs w:val="22"/>
          <w:lang w:val="en-GB"/>
        </w:rPr>
        <w:t>a</w:t>
      </w:r>
      <w:r w:rsidR="00333C8B" w:rsidRPr="00B47649">
        <w:rPr>
          <w:kern w:val="22"/>
          <w:sz w:val="22"/>
          <w:szCs w:val="22"/>
          <w:lang w:val="en-GB"/>
        </w:rPr>
        <w:t xml:space="preserve">pproach </w:t>
      </w:r>
      <w:r w:rsidR="00C2370E" w:rsidRPr="00B47649">
        <w:rPr>
          <w:kern w:val="22"/>
          <w:sz w:val="22"/>
          <w:szCs w:val="22"/>
          <w:lang w:val="en-GB"/>
        </w:rPr>
        <w:t xml:space="preserve">to </w:t>
      </w:r>
      <w:r w:rsidR="00CC1591" w:rsidRPr="00B47649">
        <w:rPr>
          <w:kern w:val="22"/>
          <w:sz w:val="22"/>
          <w:szCs w:val="22"/>
          <w:lang w:val="en-GB"/>
        </w:rPr>
        <w:t>m</w:t>
      </w:r>
      <w:r w:rsidR="00333C8B" w:rsidRPr="00B47649">
        <w:rPr>
          <w:kern w:val="22"/>
          <w:sz w:val="22"/>
          <w:szCs w:val="22"/>
          <w:lang w:val="en-GB"/>
        </w:rPr>
        <w:t>ainstrea</w:t>
      </w:r>
      <w:r w:rsidR="00C2370E" w:rsidRPr="00B47649">
        <w:rPr>
          <w:kern w:val="22"/>
          <w:sz w:val="22"/>
          <w:szCs w:val="22"/>
          <w:lang w:val="en-GB"/>
        </w:rPr>
        <w:t>m</w:t>
      </w:r>
      <w:r w:rsidR="00CD26EB" w:rsidRPr="00B47649">
        <w:rPr>
          <w:kern w:val="22"/>
          <w:sz w:val="22"/>
          <w:szCs w:val="22"/>
          <w:lang w:val="en-GB"/>
        </w:rPr>
        <w:t>ing</w:t>
      </w:r>
      <w:r w:rsidR="00333C8B" w:rsidRPr="00B47649">
        <w:rPr>
          <w:kern w:val="22"/>
          <w:sz w:val="22"/>
          <w:szCs w:val="22"/>
          <w:lang w:val="en-GB"/>
        </w:rPr>
        <w:t xml:space="preserve"> </w:t>
      </w:r>
      <w:r w:rsidR="00CC1591" w:rsidRPr="00B47649">
        <w:rPr>
          <w:kern w:val="22"/>
          <w:sz w:val="22"/>
          <w:szCs w:val="22"/>
          <w:lang w:val="en-GB"/>
        </w:rPr>
        <w:t>b</w:t>
      </w:r>
      <w:r w:rsidR="00333C8B" w:rsidRPr="00B47649">
        <w:rPr>
          <w:kern w:val="22"/>
          <w:sz w:val="22"/>
          <w:szCs w:val="22"/>
          <w:lang w:val="en-GB"/>
        </w:rPr>
        <w:t xml:space="preserve">iodiversity </w:t>
      </w:r>
      <w:r w:rsidR="0017597E" w:rsidRPr="00B47649">
        <w:rPr>
          <w:kern w:val="22"/>
          <w:sz w:val="22"/>
          <w:szCs w:val="22"/>
          <w:lang w:val="en-GB"/>
        </w:rPr>
        <w:t xml:space="preserve">(LTAM) </w:t>
      </w:r>
      <w:r w:rsidR="00333C8B" w:rsidRPr="00B47649">
        <w:rPr>
          <w:kern w:val="22"/>
          <w:sz w:val="22"/>
          <w:szCs w:val="22"/>
          <w:lang w:val="en-GB"/>
        </w:rPr>
        <w:t>are already broadly aligned</w:t>
      </w:r>
      <w:r w:rsidR="00F41390" w:rsidRPr="00B47649">
        <w:rPr>
          <w:kern w:val="22"/>
          <w:sz w:val="22"/>
          <w:szCs w:val="22"/>
          <w:lang w:val="en-GB"/>
        </w:rPr>
        <w:t>:</w:t>
      </w:r>
    </w:p>
    <w:p w14:paraId="2AC38670" w14:textId="089769E5" w:rsidR="00177B65" w:rsidRPr="00B47649" w:rsidRDefault="00177B65" w:rsidP="00B47649">
      <w:pPr>
        <w:pStyle w:val="Para10"/>
        <w:numPr>
          <w:ilvl w:val="0"/>
          <w:numId w:val="12"/>
        </w:numPr>
        <w:suppressLineNumbers/>
        <w:tabs>
          <w:tab w:val="clear" w:pos="1080"/>
        </w:tabs>
        <w:suppressAutoHyphens/>
        <w:ind w:left="0" w:firstLine="709"/>
        <w:jc w:val="both"/>
        <w:rPr>
          <w:kern w:val="22"/>
          <w:sz w:val="22"/>
          <w:szCs w:val="22"/>
          <w:lang w:val="en-GB"/>
        </w:rPr>
      </w:pPr>
      <w:r w:rsidRPr="00B47649">
        <w:rPr>
          <w:kern w:val="22"/>
          <w:sz w:val="22"/>
          <w:szCs w:val="22"/>
          <w:lang w:val="en-GB"/>
        </w:rPr>
        <w:t xml:space="preserve">The theory of change outlined in the zero draft </w:t>
      </w:r>
      <w:r w:rsidR="00243660" w:rsidRPr="00B47649">
        <w:rPr>
          <w:kern w:val="22"/>
          <w:sz w:val="22"/>
          <w:szCs w:val="22"/>
          <w:lang w:val="en-GB"/>
        </w:rPr>
        <w:t xml:space="preserve">of the global biodiversity framework </w:t>
      </w:r>
      <w:r w:rsidRPr="00B47649">
        <w:rPr>
          <w:kern w:val="22"/>
          <w:sz w:val="22"/>
          <w:szCs w:val="22"/>
          <w:lang w:val="en-GB"/>
        </w:rPr>
        <w:t xml:space="preserve">also underpins the draft </w:t>
      </w:r>
      <w:r w:rsidR="00243660" w:rsidRPr="00B47649">
        <w:rPr>
          <w:iCs/>
          <w:snapToGrid/>
          <w:kern w:val="22"/>
          <w:sz w:val="22"/>
          <w:szCs w:val="22"/>
          <w:lang w:val="en-GB"/>
        </w:rPr>
        <w:t>long-term strategic approach</w:t>
      </w:r>
      <w:r w:rsidR="00BC550B" w:rsidRPr="00B47649">
        <w:rPr>
          <w:kern w:val="22"/>
          <w:sz w:val="22"/>
          <w:szCs w:val="22"/>
          <w:lang w:val="en-GB"/>
        </w:rPr>
        <w:t>;</w:t>
      </w:r>
    </w:p>
    <w:p w14:paraId="2A093BB3" w14:textId="51EEF12D" w:rsidR="00177B65" w:rsidRPr="00B47649" w:rsidRDefault="00177B65" w:rsidP="00B47649">
      <w:pPr>
        <w:pStyle w:val="Para10"/>
        <w:numPr>
          <w:ilvl w:val="0"/>
          <w:numId w:val="12"/>
        </w:numPr>
        <w:suppressLineNumbers/>
        <w:tabs>
          <w:tab w:val="clear" w:pos="1080"/>
        </w:tabs>
        <w:suppressAutoHyphens/>
        <w:ind w:left="0" w:firstLine="709"/>
        <w:jc w:val="both"/>
        <w:rPr>
          <w:kern w:val="22"/>
          <w:sz w:val="22"/>
          <w:szCs w:val="22"/>
          <w:lang w:val="en-GB"/>
        </w:rPr>
      </w:pPr>
      <w:r w:rsidRPr="00B47649">
        <w:rPr>
          <w:kern w:val="22"/>
          <w:sz w:val="22"/>
          <w:szCs w:val="22"/>
          <w:lang w:val="en-GB"/>
        </w:rPr>
        <w:t xml:space="preserve">Under “Reducing threats”, target </w:t>
      </w:r>
      <w:r w:rsidR="00FF47CA" w:rsidRPr="00B47649">
        <w:rPr>
          <w:kern w:val="22"/>
          <w:sz w:val="22"/>
          <w:szCs w:val="22"/>
          <w:lang w:val="en-GB"/>
        </w:rPr>
        <w:t>6</w:t>
      </w:r>
      <w:r w:rsidR="00FF47CA" w:rsidRPr="00B47649">
        <w:rPr>
          <w:rStyle w:val="FootnoteReference"/>
          <w:kern w:val="22"/>
          <w:szCs w:val="22"/>
          <w:lang w:val="en-GB"/>
        </w:rPr>
        <w:footnoteReference w:id="21"/>
      </w:r>
      <w:r w:rsidRPr="00B47649">
        <w:rPr>
          <w:kern w:val="22"/>
          <w:sz w:val="22"/>
          <w:szCs w:val="22"/>
          <w:lang w:val="en-GB"/>
        </w:rPr>
        <w:t xml:space="preserve"> on pollution, a direct consequence of unsustainable production processes, </w:t>
      </w:r>
      <w:r w:rsidR="00CD26EB" w:rsidRPr="00B47649">
        <w:rPr>
          <w:kern w:val="22"/>
          <w:sz w:val="22"/>
          <w:szCs w:val="22"/>
          <w:lang w:val="en-GB"/>
        </w:rPr>
        <w:t xml:space="preserve">target </w:t>
      </w:r>
      <w:r w:rsidR="00FF47CA" w:rsidRPr="00B47649">
        <w:rPr>
          <w:kern w:val="22"/>
          <w:sz w:val="22"/>
          <w:szCs w:val="22"/>
          <w:lang w:val="en-GB"/>
        </w:rPr>
        <w:t>4</w:t>
      </w:r>
      <w:r w:rsidRPr="00B47649">
        <w:rPr>
          <w:kern w:val="22"/>
          <w:sz w:val="22"/>
          <w:szCs w:val="22"/>
          <w:lang w:val="en-GB"/>
        </w:rPr>
        <w:t xml:space="preserve"> on management of wild species</w:t>
      </w:r>
      <w:r w:rsidR="004E5B15" w:rsidRPr="00B47649">
        <w:rPr>
          <w:kern w:val="22"/>
          <w:sz w:val="22"/>
          <w:szCs w:val="22"/>
          <w:lang w:val="en-GB"/>
        </w:rPr>
        <w:t>,</w:t>
      </w:r>
      <w:r w:rsidRPr="00B47649">
        <w:rPr>
          <w:kern w:val="22"/>
          <w:sz w:val="22"/>
          <w:szCs w:val="22"/>
          <w:lang w:val="en-GB"/>
        </w:rPr>
        <w:t xml:space="preserve"> linked to economic cycles</w:t>
      </w:r>
      <w:r w:rsidR="004E5B15" w:rsidRPr="00B47649">
        <w:rPr>
          <w:kern w:val="22"/>
          <w:sz w:val="22"/>
          <w:szCs w:val="22"/>
          <w:lang w:val="en-GB"/>
        </w:rPr>
        <w:t>,</w:t>
      </w:r>
      <w:r w:rsidRPr="00B47649">
        <w:rPr>
          <w:kern w:val="22"/>
          <w:sz w:val="22"/>
          <w:szCs w:val="22"/>
          <w:lang w:val="en-GB"/>
        </w:rPr>
        <w:t xml:space="preserve"> and </w:t>
      </w:r>
      <w:r w:rsidR="00CD26EB" w:rsidRPr="00B47649">
        <w:rPr>
          <w:kern w:val="22"/>
          <w:sz w:val="22"/>
          <w:szCs w:val="22"/>
          <w:lang w:val="en-GB"/>
        </w:rPr>
        <w:t xml:space="preserve">target </w:t>
      </w:r>
      <w:r w:rsidR="00FF47CA" w:rsidRPr="00B47649">
        <w:rPr>
          <w:kern w:val="22"/>
          <w:sz w:val="22"/>
          <w:szCs w:val="22"/>
          <w:lang w:val="en-GB"/>
        </w:rPr>
        <w:t>7</w:t>
      </w:r>
      <w:r w:rsidRPr="00B47649">
        <w:rPr>
          <w:kern w:val="22"/>
          <w:sz w:val="22"/>
          <w:szCs w:val="22"/>
          <w:lang w:val="en-GB"/>
        </w:rPr>
        <w:t xml:space="preserve"> on nature-based solutions to climate change</w:t>
      </w:r>
      <w:r w:rsidR="004E5B15" w:rsidRPr="00B47649">
        <w:rPr>
          <w:kern w:val="22"/>
          <w:sz w:val="22"/>
          <w:szCs w:val="22"/>
          <w:lang w:val="en-GB"/>
        </w:rPr>
        <w:t>,</w:t>
      </w:r>
      <w:r w:rsidRPr="00B47649">
        <w:rPr>
          <w:kern w:val="22"/>
          <w:sz w:val="22"/>
          <w:szCs w:val="22"/>
          <w:lang w:val="en-GB"/>
        </w:rPr>
        <w:t xml:space="preserve"> provide important entry points for mainstreaming action;</w:t>
      </w:r>
    </w:p>
    <w:p w14:paraId="3F4400AB" w14:textId="2B01DF05" w:rsidR="00177B65" w:rsidRPr="00B47649" w:rsidRDefault="00177B65" w:rsidP="00B47649">
      <w:pPr>
        <w:pStyle w:val="Para10"/>
        <w:numPr>
          <w:ilvl w:val="0"/>
          <w:numId w:val="12"/>
        </w:numPr>
        <w:suppressLineNumbers/>
        <w:tabs>
          <w:tab w:val="clear" w:pos="1080"/>
        </w:tabs>
        <w:suppressAutoHyphens/>
        <w:ind w:left="0" w:firstLine="709"/>
        <w:jc w:val="both"/>
        <w:rPr>
          <w:kern w:val="22"/>
          <w:sz w:val="22"/>
          <w:szCs w:val="22"/>
          <w:lang w:val="en-GB"/>
        </w:rPr>
      </w:pPr>
      <w:r w:rsidRPr="00B47649">
        <w:rPr>
          <w:kern w:val="22"/>
          <w:sz w:val="22"/>
          <w:szCs w:val="22"/>
          <w:lang w:val="en-GB"/>
        </w:rPr>
        <w:t xml:space="preserve">Under “Meeting needs”, targets </w:t>
      </w:r>
      <w:r w:rsidR="00BC550B" w:rsidRPr="00B47649">
        <w:rPr>
          <w:kern w:val="22"/>
          <w:sz w:val="22"/>
          <w:szCs w:val="22"/>
          <w:lang w:val="en-GB"/>
        </w:rPr>
        <w:t>9</w:t>
      </w:r>
      <w:r w:rsidRPr="00B47649">
        <w:rPr>
          <w:kern w:val="22"/>
          <w:sz w:val="22"/>
          <w:szCs w:val="22"/>
          <w:lang w:val="en-GB"/>
        </w:rPr>
        <w:t xml:space="preserve"> (managed ecosystems, agriculture) and </w:t>
      </w:r>
      <w:r w:rsidR="00F24727" w:rsidRPr="00B47649">
        <w:rPr>
          <w:kern w:val="22"/>
          <w:sz w:val="22"/>
          <w:szCs w:val="22"/>
          <w:lang w:val="en-GB"/>
        </w:rPr>
        <w:t xml:space="preserve">target </w:t>
      </w:r>
      <w:r w:rsidR="00BC550B" w:rsidRPr="00B47649">
        <w:rPr>
          <w:kern w:val="22"/>
          <w:sz w:val="22"/>
          <w:szCs w:val="22"/>
          <w:lang w:val="en-GB"/>
        </w:rPr>
        <w:t>11</w:t>
      </w:r>
      <w:r w:rsidRPr="00B47649">
        <w:rPr>
          <w:kern w:val="22"/>
          <w:sz w:val="22"/>
          <w:szCs w:val="22"/>
          <w:lang w:val="en-GB"/>
        </w:rPr>
        <w:t xml:space="preserve"> (access to green infrastructure particularly in cities) also provide important entry points. Target </w:t>
      </w:r>
      <w:r w:rsidR="00BC550B" w:rsidRPr="00B47649">
        <w:rPr>
          <w:kern w:val="22"/>
          <w:sz w:val="22"/>
          <w:szCs w:val="22"/>
          <w:lang w:val="en-GB"/>
        </w:rPr>
        <w:t>8</w:t>
      </w:r>
      <w:r w:rsidRPr="00B47649">
        <w:rPr>
          <w:kern w:val="22"/>
          <w:sz w:val="22"/>
          <w:szCs w:val="22"/>
          <w:lang w:val="en-GB"/>
        </w:rPr>
        <w:t>, on sustainable food systems and nutrition security via agrobiodiversity, could arguably be presented as the most critical goal of mainstreaming</w:t>
      </w:r>
      <w:r w:rsidR="00526E41" w:rsidRPr="00B47649">
        <w:rPr>
          <w:kern w:val="22"/>
          <w:sz w:val="22"/>
          <w:szCs w:val="22"/>
          <w:lang w:val="en-GB"/>
        </w:rPr>
        <w:t xml:space="preserve"> biodiversity into the agricultural sector</w:t>
      </w:r>
      <w:r w:rsidRPr="00B47649">
        <w:rPr>
          <w:kern w:val="22"/>
          <w:sz w:val="22"/>
          <w:szCs w:val="22"/>
          <w:lang w:val="en-GB"/>
        </w:rPr>
        <w:t>;</w:t>
      </w:r>
    </w:p>
    <w:p w14:paraId="2EDA7444" w14:textId="64BABA93" w:rsidR="00177B65" w:rsidRPr="00B47649" w:rsidRDefault="00177B65" w:rsidP="00B47649">
      <w:pPr>
        <w:pStyle w:val="Para10"/>
        <w:numPr>
          <w:ilvl w:val="0"/>
          <w:numId w:val="12"/>
        </w:numPr>
        <w:suppressLineNumbers/>
        <w:tabs>
          <w:tab w:val="clear" w:pos="1080"/>
        </w:tabs>
        <w:suppressAutoHyphens/>
        <w:ind w:left="0" w:firstLine="709"/>
        <w:jc w:val="both"/>
        <w:rPr>
          <w:kern w:val="22"/>
          <w:sz w:val="22"/>
          <w:szCs w:val="22"/>
          <w:lang w:val="en-GB"/>
        </w:rPr>
      </w:pPr>
      <w:r w:rsidRPr="00B47649">
        <w:rPr>
          <w:rFonts w:eastAsia="Calibri"/>
          <w:kern w:val="22"/>
          <w:sz w:val="22"/>
          <w:szCs w:val="22"/>
          <w:lang w:val="en-GB"/>
        </w:rPr>
        <w:t xml:space="preserve">Both the draft </w:t>
      </w:r>
      <w:r w:rsidR="00F24727" w:rsidRPr="00B47649">
        <w:rPr>
          <w:rFonts w:eastAsia="Calibri"/>
          <w:kern w:val="22"/>
          <w:sz w:val="22"/>
          <w:szCs w:val="22"/>
          <w:lang w:val="en-GB"/>
        </w:rPr>
        <w:t xml:space="preserve">global biodiversity framework </w:t>
      </w:r>
      <w:r w:rsidRPr="00B47649">
        <w:rPr>
          <w:rFonts w:eastAsia="Calibri"/>
          <w:kern w:val="22"/>
          <w:sz w:val="22"/>
          <w:szCs w:val="22"/>
          <w:lang w:val="en-GB"/>
        </w:rPr>
        <w:t xml:space="preserve">as well as the draft </w:t>
      </w:r>
      <w:r w:rsidR="00F24727" w:rsidRPr="00B47649">
        <w:rPr>
          <w:kern w:val="22"/>
          <w:sz w:val="22"/>
          <w:szCs w:val="22"/>
          <w:lang w:val="en-GB"/>
        </w:rPr>
        <w:t xml:space="preserve">long-term strategic approach to mainstreaming biodiversity </w:t>
      </w:r>
      <w:r w:rsidRPr="00B47649">
        <w:rPr>
          <w:rFonts w:eastAsia="Calibri"/>
          <w:kern w:val="22"/>
          <w:sz w:val="22"/>
          <w:szCs w:val="22"/>
          <w:lang w:val="en-GB"/>
        </w:rPr>
        <w:t>mention the contributions of local and subnational governments;</w:t>
      </w:r>
    </w:p>
    <w:p w14:paraId="0DAB2DDF" w14:textId="5E26CB66" w:rsidR="00177B65" w:rsidRPr="00B47649" w:rsidRDefault="00177B65" w:rsidP="00B47649">
      <w:pPr>
        <w:pStyle w:val="Para10"/>
        <w:numPr>
          <w:ilvl w:val="0"/>
          <w:numId w:val="12"/>
        </w:numPr>
        <w:suppressLineNumbers/>
        <w:tabs>
          <w:tab w:val="clear" w:pos="1080"/>
        </w:tabs>
        <w:suppressAutoHyphens/>
        <w:ind w:left="0" w:firstLine="709"/>
        <w:jc w:val="both"/>
        <w:rPr>
          <w:kern w:val="22"/>
          <w:sz w:val="22"/>
          <w:szCs w:val="22"/>
          <w:lang w:val="en-GB"/>
        </w:rPr>
      </w:pPr>
      <w:r w:rsidRPr="00B47649">
        <w:rPr>
          <w:kern w:val="22"/>
          <w:sz w:val="22"/>
          <w:szCs w:val="22"/>
          <w:lang w:val="en-GB"/>
        </w:rPr>
        <w:t xml:space="preserve">Under “Tools and Solutions”, four targets of the draft </w:t>
      </w:r>
      <w:r w:rsidR="00C9006F" w:rsidRPr="00B47649">
        <w:rPr>
          <w:kern w:val="22"/>
          <w:sz w:val="22"/>
          <w:szCs w:val="22"/>
          <w:lang w:val="en-GB"/>
        </w:rPr>
        <w:t xml:space="preserve">global biodiversity framework </w:t>
      </w:r>
      <w:r w:rsidRPr="00B47649">
        <w:rPr>
          <w:kern w:val="22"/>
          <w:sz w:val="22"/>
          <w:szCs w:val="22"/>
          <w:lang w:val="en-GB"/>
        </w:rPr>
        <w:t>(13 on integrating biodiversity values, 14 on sustainability of economic sectors and businesses, 1</w:t>
      </w:r>
      <w:r w:rsidR="00BC550B" w:rsidRPr="00B47649">
        <w:rPr>
          <w:kern w:val="22"/>
          <w:sz w:val="22"/>
          <w:szCs w:val="22"/>
          <w:lang w:val="en-GB"/>
        </w:rPr>
        <w:t>5</w:t>
      </w:r>
      <w:r w:rsidRPr="00B47649">
        <w:rPr>
          <w:kern w:val="22"/>
          <w:sz w:val="22"/>
          <w:szCs w:val="22"/>
          <w:lang w:val="en-GB"/>
        </w:rPr>
        <w:t xml:space="preserve"> on sustainable consumption and lifestyles</w:t>
      </w:r>
      <w:r w:rsidR="00BC550B" w:rsidRPr="00B47649">
        <w:rPr>
          <w:kern w:val="22"/>
          <w:sz w:val="22"/>
          <w:szCs w:val="22"/>
          <w:lang w:val="en-GB"/>
        </w:rPr>
        <w:t xml:space="preserve"> and 17 on incentives</w:t>
      </w:r>
      <w:r w:rsidRPr="00B47649">
        <w:rPr>
          <w:kern w:val="22"/>
          <w:sz w:val="22"/>
          <w:szCs w:val="22"/>
          <w:lang w:val="en-GB"/>
        </w:rPr>
        <w:t xml:space="preserve">) reflect already </w:t>
      </w:r>
      <w:r w:rsidR="00D64963" w:rsidRPr="00B47649">
        <w:rPr>
          <w:kern w:val="22"/>
          <w:sz w:val="22"/>
          <w:szCs w:val="22"/>
          <w:lang w:val="en-GB"/>
        </w:rPr>
        <w:t xml:space="preserve">closely </w:t>
      </w:r>
      <w:r w:rsidRPr="00B47649">
        <w:rPr>
          <w:kern w:val="22"/>
          <w:sz w:val="22"/>
          <w:szCs w:val="22"/>
          <w:lang w:val="en-GB"/>
        </w:rPr>
        <w:t xml:space="preserve">four of the five </w:t>
      </w:r>
      <w:r w:rsidR="00B5218C" w:rsidRPr="00B47649">
        <w:rPr>
          <w:kern w:val="22"/>
          <w:sz w:val="22"/>
          <w:szCs w:val="22"/>
          <w:lang w:val="en-GB"/>
        </w:rPr>
        <w:t>action areas</w:t>
      </w:r>
      <w:r w:rsidRPr="00B47649">
        <w:rPr>
          <w:kern w:val="22"/>
          <w:sz w:val="22"/>
          <w:szCs w:val="22"/>
          <w:lang w:val="en-GB"/>
        </w:rPr>
        <w:t xml:space="preserve"> of the </w:t>
      </w:r>
      <w:r w:rsidR="00C9006F" w:rsidRPr="00B47649">
        <w:rPr>
          <w:kern w:val="22"/>
          <w:sz w:val="22"/>
          <w:szCs w:val="22"/>
          <w:lang w:val="en-GB"/>
        </w:rPr>
        <w:t>long-term strategic approach to mainstreaming biodiversity</w:t>
      </w:r>
      <w:r w:rsidRPr="00B47649">
        <w:rPr>
          <w:kern w:val="22"/>
          <w:sz w:val="22"/>
          <w:szCs w:val="22"/>
          <w:lang w:val="en-GB"/>
        </w:rPr>
        <w:t>.</w:t>
      </w:r>
    </w:p>
    <w:p w14:paraId="1B8388E8" w14:textId="783F2235" w:rsidR="008C6CB4" w:rsidRPr="00B47649" w:rsidRDefault="008C6CB4" w:rsidP="00B47649">
      <w:pPr>
        <w:pStyle w:val="Para10"/>
        <w:numPr>
          <w:ilvl w:val="0"/>
          <w:numId w:val="6"/>
        </w:numPr>
        <w:suppressLineNumbers/>
        <w:tabs>
          <w:tab w:val="clear" w:pos="360"/>
        </w:tabs>
        <w:suppressAutoHyphens/>
        <w:jc w:val="both"/>
        <w:rPr>
          <w:kern w:val="22"/>
          <w:sz w:val="22"/>
          <w:szCs w:val="22"/>
          <w:lang w:val="en-GB"/>
        </w:rPr>
      </w:pPr>
      <w:r w:rsidRPr="00B47649">
        <w:rPr>
          <w:iCs/>
          <w:kern w:val="22"/>
          <w:sz w:val="22"/>
          <w:szCs w:val="22"/>
          <w:lang w:val="en-GB"/>
        </w:rPr>
        <w:t xml:space="preserve">Maintaining and further strengthening this alignment as both the post-2020 </w:t>
      </w:r>
      <w:r w:rsidR="009312C9" w:rsidRPr="00B47649">
        <w:rPr>
          <w:iCs/>
          <w:kern w:val="22"/>
          <w:sz w:val="22"/>
          <w:szCs w:val="22"/>
          <w:lang w:val="en-GB"/>
        </w:rPr>
        <w:t xml:space="preserve">global biodiversity framework </w:t>
      </w:r>
      <w:r w:rsidRPr="00B47649">
        <w:rPr>
          <w:iCs/>
          <w:kern w:val="22"/>
          <w:sz w:val="22"/>
          <w:szCs w:val="22"/>
          <w:lang w:val="en-GB"/>
        </w:rPr>
        <w:t xml:space="preserve">and the </w:t>
      </w:r>
      <w:r w:rsidR="009312C9" w:rsidRPr="00B47649">
        <w:rPr>
          <w:kern w:val="22"/>
          <w:sz w:val="22"/>
          <w:szCs w:val="22"/>
          <w:lang w:val="en-GB"/>
        </w:rPr>
        <w:t xml:space="preserve">long-term strategic approach to mainstreaming biodiversity </w:t>
      </w:r>
      <w:r w:rsidRPr="00B47649">
        <w:rPr>
          <w:iCs/>
          <w:kern w:val="22"/>
          <w:sz w:val="22"/>
          <w:szCs w:val="22"/>
          <w:lang w:val="en-GB"/>
        </w:rPr>
        <w:t>are further developed and finalized would be useful for the following reasons:</w:t>
      </w:r>
    </w:p>
    <w:p w14:paraId="2B04E3EA" w14:textId="7014C5DE" w:rsidR="00163DFD" w:rsidRPr="00B47649" w:rsidRDefault="00163DFD" w:rsidP="00B47649">
      <w:pPr>
        <w:pStyle w:val="Para10"/>
        <w:numPr>
          <w:ilvl w:val="0"/>
          <w:numId w:val="13"/>
        </w:numPr>
        <w:suppressLineNumbers/>
        <w:suppressAutoHyphens/>
        <w:kinsoku w:val="0"/>
        <w:overflowPunct w:val="0"/>
        <w:autoSpaceDE w:val="0"/>
        <w:autoSpaceDN w:val="0"/>
        <w:adjustRightInd w:val="0"/>
        <w:snapToGrid w:val="0"/>
        <w:ind w:firstLine="709"/>
        <w:jc w:val="both"/>
        <w:rPr>
          <w:iCs/>
          <w:kern w:val="22"/>
          <w:sz w:val="22"/>
          <w:szCs w:val="22"/>
          <w:lang w:val="en-GB"/>
        </w:rPr>
      </w:pPr>
      <w:r w:rsidRPr="00B47649">
        <w:rPr>
          <w:iCs/>
          <w:kern w:val="22"/>
          <w:sz w:val="22"/>
          <w:szCs w:val="22"/>
          <w:lang w:val="en-GB"/>
        </w:rPr>
        <w:t xml:space="preserve">The </w:t>
      </w:r>
      <w:r w:rsidR="009312C9" w:rsidRPr="00B47649">
        <w:rPr>
          <w:kern w:val="22"/>
          <w:sz w:val="22"/>
          <w:szCs w:val="22"/>
          <w:lang w:val="en-GB"/>
        </w:rPr>
        <w:t xml:space="preserve">long-term strategic approach to mainstreaming biodiversity </w:t>
      </w:r>
      <w:r w:rsidRPr="00B47649">
        <w:rPr>
          <w:iCs/>
          <w:kern w:val="22"/>
          <w:sz w:val="22"/>
          <w:szCs w:val="22"/>
          <w:lang w:val="en-GB"/>
        </w:rPr>
        <w:t xml:space="preserve">could then be clearly understood as complementary guidance to support implementation of the mainstreaming elements of the post-2020 </w:t>
      </w:r>
      <w:r w:rsidR="009312C9" w:rsidRPr="00B47649">
        <w:rPr>
          <w:iCs/>
          <w:kern w:val="22"/>
          <w:sz w:val="22"/>
          <w:szCs w:val="22"/>
          <w:lang w:val="en-GB"/>
        </w:rPr>
        <w:t>global biodiversity framework</w:t>
      </w:r>
      <w:r w:rsidRPr="00B47649">
        <w:rPr>
          <w:iCs/>
          <w:kern w:val="22"/>
          <w:sz w:val="22"/>
          <w:szCs w:val="22"/>
          <w:lang w:val="en-GB"/>
        </w:rPr>
        <w:t>, and</w:t>
      </w:r>
      <w:r w:rsidR="00C71E73">
        <w:rPr>
          <w:iCs/>
          <w:kern w:val="22"/>
          <w:sz w:val="22"/>
          <w:szCs w:val="22"/>
          <w:lang w:val="en-GB"/>
        </w:rPr>
        <w:t>,</w:t>
      </w:r>
      <w:r w:rsidRPr="00B47649">
        <w:rPr>
          <w:iCs/>
          <w:kern w:val="22"/>
          <w:sz w:val="22"/>
          <w:szCs w:val="22"/>
          <w:lang w:val="en-GB"/>
        </w:rPr>
        <w:t xml:space="preserve"> in particular</w:t>
      </w:r>
      <w:r w:rsidR="00C71E73">
        <w:rPr>
          <w:iCs/>
          <w:kern w:val="22"/>
          <w:sz w:val="22"/>
          <w:szCs w:val="22"/>
          <w:lang w:val="en-GB"/>
        </w:rPr>
        <w:t>,</w:t>
      </w:r>
      <w:r w:rsidRPr="00B47649">
        <w:rPr>
          <w:iCs/>
          <w:kern w:val="22"/>
          <w:sz w:val="22"/>
          <w:szCs w:val="22"/>
          <w:lang w:val="en-GB"/>
        </w:rPr>
        <w:t xml:space="preserve"> the relevant action targets, but also other possible elements</w:t>
      </w:r>
      <w:r w:rsidR="00945435" w:rsidRPr="00B47649">
        <w:rPr>
          <w:iCs/>
          <w:kern w:val="22"/>
          <w:sz w:val="22"/>
          <w:szCs w:val="22"/>
          <w:lang w:val="en-GB"/>
        </w:rPr>
        <w:t>, as</w:t>
      </w:r>
      <w:r w:rsidRPr="00B47649">
        <w:rPr>
          <w:iCs/>
          <w:kern w:val="22"/>
          <w:sz w:val="22"/>
          <w:szCs w:val="22"/>
          <w:lang w:val="en-GB"/>
        </w:rPr>
        <w:t xml:space="preserve"> </w:t>
      </w:r>
      <w:r w:rsidR="00D64963" w:rsidRPr="00B47649">
        <w:rPr>
          <w:iCs/>
          <w:kern w:val="22"/>
          <w:sz w:val="22"/>
          <w:szCs w:val="22"/>
          <w:lang w:val="en-GB"/>
        </w:rPr>
        <w:t>mentioned above</w:t>
      </w:r>
      <w:r w:rsidRPr="00B47649">
        <w:rPr>
          <w:iCs/>
          <w:kern w:val="22"/>
          <w:sz w:val="22"/>
          <w:szCs w:val="22"/>
          <w:lang w:val="en-GB"/>
        </w:rPr>
        <w:t>;</w:t>
      </w:r>
    </w:p>
    <w:p w14:paraId="75A8443F" w14:textId="5270E4EA" w:rsidR="00163DFD" w:rsidRPr="00B47649" w:rsidRDefault="00163DFD" w:rsidP="00B47649">
      <w:pPr>
        <w:pStyle w:val="Para10"/>
        <w:numPr>
          <w:ilvl w:val="0"/>
          <w:numId w:val="13"/>
        </w:numPr>
        <w:suppressLineNumbers/>
        <w:suppressAutoHyphens/>
        <w:kinsoku w:val="0"/>
        <w:overflowPunct w:val="0"/>
        <w:autoSpaceDE w:val="0"/>
        <w:autoSpaceDN w:val="0"/>
        <w:adjustRightInd w:val="0"/>
        <w:snapToGrid w:val="0"/>
        <w:ind w:firstLine="709"/>
        <w:jc w:val="both"/>
        <w:rPr>
          <w:iCs/>
          <w:kern w:val="22"/>
          <w:sz w:val="22"/>
          <w:szCs w:val="22"/>
          <w:lang w:val="en-GB"/>
        </w:rPr>
      </w:pPr>
      <w:r w:rsidRPr="00B47649">
        <w:rPr>
          <w:iCs/>
          <w:kern w:val="22"/>
          <w:sz w:val="22"/>
          <w:szCs w:val="22"/>
          <w:lang w:val="en-GB"/>
        </w:rPr>
        <w:t xml:space="preserve">At the same time, this interaction would enable the post-2020 </w:t>
      </w:r>
      <w:r w:rsidR="00C14324" w:rsidRPr="00B47649">
        <w:rPr>
          <w:iCs/>
          <w:kern w:val="22"/>
          <w:sz w:val="22"/>
          <w:szCs w:val="22"/>
          <w:lang w:val="en-GB"/>
        </w:rPr>
        <w:t xml:space="preserve">global biodiversity framework </w:t>
      </w:r>
      <w:r w:rsidRPr="00B47649">
        <w:rPr>
          <w:iCs/>
          <w:kern w:val="22"/>
          <w:sz w:val="22"/>
          <w:szCs w:val="22"/>
          <w:lang w:val="en-GB"/>
        </w:rPr>
        <w:t xml:space="preserve">to stay at strategic level, with a relatively coarse granularity, as further operational guidance would be provided by the </w:t>
      </w:r>
      <w:r w:rsidR="00C14324" w:rsidRPr="00B47649">
        <w:rPr>
          <w:kern w:val="22"/>
          <w:sz w:val="22"/>
          <w:szCs w:val="22"/>
          <w:lang w:val="en-GB"/>
        </w:rPr>
        <w:t xml:space="preserve">long-term strategic approach to mainstreaming biodiversity </w:t>
      </w:r>
      <w:r w:rsidRPr="00B47649">
        <w:rPr>
          <w:iCs/>
          <w:kern w:val="22"/>
          <w:sz w:val="22"/>
          <w:szCs w:val="22"/>
          <w:lang w:val="en-GB"/>
        </w:rPr>
        <w:t xml:space="preserve">and its </w:t>
      </w:r>
      <w:r w:rsidR="00C14324" w:rsidRPr="00B47649">
        <w:rPr>
          <w:iCs/>
          <w:kern w:val="22"/>
          <w:sz w:val="22"/>
          <w:szCs w:val="22"/>
          <w:lang w:val="en-GB"/>
        </w:rPr>
        <w:t>a</w:t>
      </w:r>
      <w:r w:rsidRPr="00B47649">
        <w:rPr>
          <w:iCs/>
          <w:kern w:val="22"/>
          <w:sz w:val="22"/>
          <w:szCs w:val="22"/>
          <w:lang w:val="en-GB"/>
        </w:rPr>
        <w:t xml:space="preserve">ction </w:t>
      </w:r>
      <w:r w:rsidR="00C14324" w:rsidRPr="00B47649">
        <w:rPr>
          <w:iCs/>
          <w:kern w:val="22"/>
          <w:sz w:val="22"/>
          <w:szCs w:val="22"/>
          <w:lang w:val="en-GB"/>
        </w:rPr>
        <w:t>p</w:t>
      </w:r>
      <w:r w:rsidRPr="00B47649">
        <w:rPr>
          <w:iCs/>
          <w:kern w:val="22"/>
          <w:sz w:val="22"/>
          <w:szCs w:val="22"/>
          <w:lang w:val="en-GB"/>
        </w:rPr>
        <w:t>lan.</w:t>
      </w:r>
    </w:p>
    <w:p w14:paraId="16FE2417" w14:textId="77777777" w:rsidR="005C7248" w:rsidRPr="00B47649" w:rsidRDefault="00BB4AB3" w:rsidP="00B47649">
      <w:pPr>
        <w:pStyle w:val="Para10"/>
        <w:numPr>
          <w:ilvl w:val="0"/>
          <w:numId w:val="6"/>
        </w:numPr>
        <w:suppressLineNumbers/>
        <w:tabs>
          <w:tab w:val="clear" w:pos="360"/>
        </w:tabs>
        <w:suppressAutoHyphens/>
        <w:jc w:val="both"/>
        <w:rPr>
          <w:kern w:val="22"/>
          <w:sz w:val="22"/>
          <w:szCs w:val="22"/>
          <w:lang w:val="en-GB"/>
        </w:rPr>
      </w:pPr>
      <w:r w:rsidRPr="00B47649">
        <w:rPr>
          <w:iCs/>
          <w:kern w:val="22"/>
          <w:sz w:val="22"/>
          <w:szCs w:val="22"/>
          <w:lang w:val="en-GB"/>
        </w:rPr>
        <w:t>Maintaining and further strengthening this alignment could be undertaken</w:t>
      </w:r>
      <w:r w:rsidR="005C7248" w:rsidRPr="00B47649">
        <w:rPr>
          <w:iCs/>
          <w:kern w:val="22"/>
          <w:sz w:val="22"/>
          <w:szCs w:val="22"/>
          <w:lang w:val="en-GB"/>
        </w:rPr>
        <w:t xml:space="preserve"> by:</w:t>
      </w:r>
    </w:p>
    <w:p w14:paraId="75D82E05" w14:textId="1FCC8607" w:rsidR="00E5510E" w:rsidRPr="00B47649" w:rsidRDefault="00F81A5C" w:rsidP="00B47649">
      <w:pPr>
        <w:pStyle w:val="Para10"/>
        <w:numPr>
          <w:ilvl w:val="1"/>
          <w:numId w:val="14"/>
        </w:numPr>
        <w:suppressLineNumbers/>
        <w:suppressAutoHyphens/>
        <w:jc w:val="both"/>
        <w:rPr>
          <w:kern w:val="22"/>
          <w:sz w:val="22"/>
          <w:szCs w:val="22"/>
          <w:lang w:val="en-GB"/>
        </w:rPr>
      </w:pPr>
      <w:r w:rsidRPr="00B47649">
        <w:rPr>
          <w:iCs/>
          <w:kern w:val="22"/>
          <w:sz w:val="22"/>
          <w:szCs w:val="22"/>
          <w:lang w:val="en-GB"/>
        </w:rPr>
        <w:lastRenderedPageBreak/>
        <w:t>U</w:t>
      </w:r>
      <w:r w:rsidR="00BB4AB3" w:rsidRPr="00B47649">
        <w:rPr>
          <w:iCs/>
          <w:kern w:val="22"/>
          <w:sz w:val="22"/>
          <w:szCs w:val="22"/>
          <w:lang w:val="en-GB"/>
        </w:rPr>
        <w:t xml:space="preserve">sing </w:t>
      </w:r>
      <w:r w:rsidR="00F27DE6" w:rsidRPr="00B47649">
        <w:rPr>
          <w:iCs/>
          <w:kern w:val="22"/>
          <w:sz w:val="22"/>
          <w:szCs w:val="22"/>
          <w:lang w:val="en-GB"/>
        </w:rPr>
        <w:t xml:space="preserve">consistent </w:t>
      </w:r>
      <w:r w:rsidR="00BB4AB3" w:rsidRPr="00B47649">
        <w:rPr>
          <w:iCs/>
          <w:kern w:val="22"/>
          <w:sz w:val="22"/>
          <w:szCs w:val="22"/>
          <w:lang w:val="en-GB"/>
        </w:rPr>
        <w:t xml:space="preserve">language for the </w:t>
      </w:r>
      <w:r w:rsidR="00F27DE6" w:rsidRPr="00B47649">
        <w:rPr>
          <w:iCs/>
          <w:kern w:val="22"/>
          <w:sz w:val="22"/>
          <w:szCs w:val="22"/>
          <w:lang w:val="en-GB"/>
        </w:rPr>
        <w:t xml:space="preserve">actions and action areas </w:t>
      </w:r>
      <w:r w:rsidR="00956C61">
        <w:rPr>
          <w:iCs/>
          <w:kern w:val="22"/>
          <w:sz w:val="22"/>
          <w:szCs w:val="22"/>
          <w:lang w:val="en-GB"/>
        </w:rPr>
        <w:t xml:space="preserve">of the </w:t>
      </w:r>
      <w:r w:rsidR="00956C61" w:rsidRPr="00B47649">
        <w:rPr>
          <w:kern w:val="22"/>
          <w:sz w:val="22"/>
          <w:szCs w:val="22"/>
          <w:lang w:val="en-GB"/>
        </w:rPr>
        <w:t>long-term strategic approach to mainstreaming biodiversity</w:t>
      </w:r>
      <w:r w:rsidR="00956C61" w:rsidRPr="00B47649" w:rsidDel="00F81A5C">
        <w:rPr>
          <w:iCs/>
          <w:kern w:val="22"/>
          <w:sz w:val="22"/>
          <w:szCs w:val="22"/>
          <w:lang w:val="en-GB"/>
        </w:rPr>
        <w:t xml:space="preserve"> </w:t>
      </w:r>
      <w:r w:rsidR="00BB4AB3" w:rsidRPr="00B47649">
        <w:rPr>
          <w:iCs/>
          <w:kern w:val="22"/>
          <w:sz w:val="22"/>
          <w:szCs w:val="22"/>
          <w:lang w:val="en-GB"/>
        </w:rPr>
        <w:t xml:space="preserve">and </w:t>
      </w:r>
      <w:r w:rsidR="00F27DE6" w:rsidRPr="00B47649">
        <w:rPr>
          <w:iCs/>
          <w:kern w:val="22"/>
          <w:sz w:val="22"/>
          <w:szCs w:val="22"/>
          <w:lang w:val="en-GB"/>
        </w:rPr>
        <w:t>the related</w:t>
      </w:r>
      <w:r w:rsidR="00BB4AB3" w:rsidRPr="00B47649">
        <w:rPr>
          <w:iCs/>
          <w:kern w:val="22"/>
          <w:sz w:val="22"/>
          <w:szCs w:val="22"/>
          <w:lang w:val="en-GB"/>
        </w:rPr>
        <w:t xml:space="preserve"> target</w:t>
      </w:r>
      <w:r w:rsidR="00EB3065" w:rsidRPr="00B47649">
        <w:rPr>
          <w:iCs/>
          <w:kern w:val="22"/>
          <w:sz w:val="22"/>
          <w:szCs w:val="22"/>
          <w:lang w:val="en-GB"/>
        </w:rPr>
        <w:t>s</w:t>
      </w:r>
      <w:r w:rsidR="00BB4AB3" w:rsidRPr="00B47649">
        <w:rPr>
          <w:iCs/>
          <w:kern w:val="22"/>
          <w:sz w:val="22"/>
          <w:szCs w:val="22"/>
          <w:lang w:val="en-GB"/>
        </w:rPr>
        <w:t xml:space="preserve"> in the post-2020 </w:t>
      </w:r>
      <w:r w:rsidR="001D30C9" w:rsidRPr="00B47649">
        <w:rPr>
          <w:iCs/>
          <w:kern w:val="22"/>
          <w:sz w:val="22"/>
          <w:szCs w:val="22"/>
          <w:lang w:val="en-GB"/>
        </w:rPr>
        <w:t>global biodiversity framework</w:t>
      </w:r>
      <w:r w:rsidR="00BB4AB3" w:rsidRPr="00B47649">
        <w:rPr>
          <w:iCs/>
          <w:kern w:val="22"/>
          <w:sz w:val="22"/>
          <w:szCs w:val="22"/>
          <w:lang w:val="en-GB"/>
        </w:rPr>
        <w:t>,</w:t>
      </w:r>
      <w:r w:rsidR="00E5510E" w:rsidRPr="00B47649">
        <w:rPr>
          <w:iCs/>
          <w:kern w:val="22"/>
          <w:sz w:val="22"/>
          <w:szCs w:val="22"/>
          <w:lang w:val="en-GB"/>
        </w:rPr>
        <w:t xml:space="preserve"> under the </w:t>
      </w:r>
      <w:r w:rsidR="001E28D0">
        <w:rPr>
          <w:iCs/>
          <w:kern w:val="22"/>
          <w:sz w:val="22"/>
          <w:szCs w:val="22"/>
          <w:lang w:val="en-GB"/>
        </w:rPr>
        <w:t>“</w:t>
      </w:r>
      <w:r w:rsidR="00E5510E" w:rsidRPr="00B47649">
        <w:rPr>
          <w:iCs/>
          <w:kern w:val="22"/>
          <w:sz w:val="22"/>
          <w:szCs w:val="22"/>
          <w:lang w:val="en-GB"/>
        </w:rPr>
        <w:t>tools and solutions</w:t>
      </w:r>
      <w:r w:rsidR="001E28D0">
        <w:rPr>
          <w:iCs/>
          <w:kern w:val="22"/>
          <w:sz w:val="22"/>
          <w:szCs w:val="22"/>
          <w:lang w:val="en-GB"/>
        </w:rPr>
        <w:t>”</w:t>
      </w:r>
      <w:r w:rsidR="00E5510E" w:rsidRPr="00B47649">
        <w:rPr>
          <w:iCs/>
          <w:kern w:val="22"/>
          <w:sz w:val="22"/>
          <w:szCs w:val="22"/>
          <w:lang w:val="en-GB"/>
        </w:rPr>
        <w:t xml:space="preserve"> section;</w:t>
      </w:r>
    </w:p>
    <w:p w14:paraId="7244FD6A" w14:textId="043E8819" w:rsidR="00A06A4D" w:rsidRPr="00B47649" w:rsidRDefault="00F81A5C" w:rsidP="00B47649">
      <w:pPr>
        <w:pStyle w:val="Para10"/>
        <w:numPr>
          <w:ilvl w:val="1"/>
          <w:numId w:val="14"/>
        </w:numPr>
        <w:suppressLineNumbers/>
        <w:suppressAutoHyphens/>
        <w:jc w:val="both"/>
        <w:rPr>
          <w:kern w:val="22"/>
          <w:sz w:val="22"/>
          <w:szCs w:val="22"/>
          <w:lang w:val="en-GB"/>
        </w:rPr>
      </w:pPr>
      <w:r w:rsidRPr="00B47649">
        <w:rPr>
          <w:iCs/>
          <w:kern w:val="22"/>
          <w:sz w:val="22"/>
          <w:szCs w:val="22"/>
          <w:lang w:val="en-GB"/>
        </w:rPr>
        <w:t>B</w:t>
      </w:r>
      <w:r w:rsidR="00BB4AB3" w:rsidRPr="00B47649">
        <w:rPr>
          <w:iCs/>
          <w:kern w:val="22"/>
          <w:sz w:val="22"/>
          <w:szCs w:val="22"/>
          <w:lang w:val="en-GB"/>
        </w:rPr>
        <w:t xml:space="preserve">y grouping the relevant </w:t>
      </w:r>
      <w:r w:rsidR="00945435" w:rsidRPr="00B47649">
        <w:rPr>
          <w:iCs/>
          <w:kern w:val="22"/>
          <w:sz w:val="22"/>
          <w:szCs w:val="22"/>
          <w:lang w:val="en-GB"/>
        </w:rPr>
        <w:t>“</w:t>
      </w:r>
      <w:r w:rsidR="00217C9C" w:rsidRPr="00B47649">
        <w:rPr>
          <w:iCs/>
          <w:kern w:val="22"/>
          <w:sz w:val="22"/>
          <w:szCs w:val="22"/>
          <w:lang w:val="en-GB"/>
        </w:rPr>
        <w:t>t</w:t>
      </w:r>
      <w:r w:rsidR="00945435" w:rsidRPr="00B47649">
        <w:rPr>
          <w:iCs/>
          <w:kern w:val="22"/>
          <w:sz w:val="22"/>
          <w:szCs w:val="22"/>
          <w:lang w:val="en-GB"/>
        </w:rPr>
        <w:t xml:space="preserve">ools and solutions” </w:t>
      </w:r>
      <w:r w:rsidR="00BB4AB3" w:rsidRPr="00B47649">
        <w:rPr>
          <w:iCs/>
          <w:kern w:val="22"/>
          <w:sz w:val="22"/>
          <w:szCs w:val="22"/>
          <w:lang w:val="en-GB"/>
        </w:rPr>
        <w:t xml:space="preserve">targets together, in </w:t>
      </w:r>
      <w:r w:rsidR="001D30C9" w:rsidRPr="00B47649">
        <w:rPr>
          <w:iCs/>
          <w:kern w:val="22"/>
          <w:sz w:val="22"/>
          <w:szCs w:val="22"/>
          <w:lang w:val="en-GB"/>
        </w:rPr>
        <w:t xml:space="preserve">the </w:t>
      </w:r>
      <w:r w:rsidR="00BB4AB3" w:rsidRPr="00B47649">
        <w:rPr>
          <w:iCs/>
          <w:kern w:val="22"/>
          <w:sz w:val="22"/>
          <w:szCs w:val="22"/>
          <w:lang w:val="en-GB"/>
        </w:rPr>
        <w:t>light of their close connection and interplay</w:t>
      </w:r>
      <w:r w:rsidR="00E5510E" w:rsidRPr="00B47649">
        <w:rPr>
          <w:iCs/>
          <w:kern w:val="22"/>
          <w:sz w:val="22"/>
          <w:szCs w:val="22"/>
          <w:lang w:val="en-GB"/>
        </w:rPr>
        <w:t>;</w:t>
      </w:r>
    </w:p>
    <w:p w14:paraId="52FF92ED" w14:textId="17355057" w:rsidR="00A341E2" w:rsidRPr="00B47649" w:rsidRDefault="00836CCE" w:rsidP="00B47649">
      <w:pPr>
        <w:pStyle w:val="Para10"/>
        <w:numPr>
          <w:ilvl w:val="1"/>
          <w:numId w:val="14"/>
        </w:numPr>
        <w:suppressLineNumbers/>
        <w:suppressAutoHyphens/>
        <w:jc w:val="both"/>
        <w:rPr>
          <w:kern w:val="22"/>
          <w:sz w:val="22"/>
          <w:szCs w:val="22"/>
          <w:lang w:val="en-GB"/>
        </w:rPr>
      </w:pPr>
      <w:r w:rsidRPr="00B47649">
        <w:rPr>
          <w:kern w:val="22"/>
          <w:sz w:val="22"/>
          <w:szCs w:val="22"/>
          <w:lang w:val="en-GB"/>
        </w:rPr>
        <w:t>F</w:t>
      </w:r>
      <w:r w:rsidR="00E5510E" w:rsidRPr="00B47649">
        <w:rPr>
          <w:kern w:val="22"/>
          <w:sz w:val="22"/>
          <w:szCs w:val="22"/>
          <w:lang w:val="en-GB"/>
        </w:rPr>
        <w:t xml:space="preserve">urther </w:t>
      </w:r>
      <w:r w:rsidR="00930014" w:rsidRPr="00B47649">
        <w:rPr>
          <w:kern w:val="22"/>
          <w:sz w:val="22"/>
          <w:szCs w:val="22"/>
          <w:lang w:val="en-GB"/>
        </w:rPr>
        <w:t xml:space="preserve">highlighting and strengthening the </w:t>
      </w:r>
      <w:r w:rsidR="00E5510E" w:rsidRPr="00B47649">
        <w:rPr>
          <w:kern w:val="22"/>
          <w:sz w:val="22"/>
          <w:szCs w:val="22"/>
          <w:lang w:val="en-GB"/>
        </w:rPr>
        <w:t xml:space="preserve">overarching and cross-cutting nature of the mainstreaming agenda in further iterations of the </w:t>
      </w:r>
      <w:r w:rsidR="001D30C9" w:rsidRPr="00B47649">
        <w:rPr>
          <w:kern w:val="22"/>
          <w:sz w:val="22"/>
          <w:szCs w:val="22"/>
          <w:lang w:val="en-GB"/>
        </w:rPr>
        <w:t>global biodiversity framework</w:t>
      </w:r>
      <w:r w:rsidR="003C4392" w:rsidRPr="00B47649">
        <w:rPr>
          <w:kern w:val="22"/>
          <w:sz w:val="22"/>
          <w:szCs w:val="22"/>
          <w:lang w:val="en-GB"/>
        </w:rPr>
        <w:t>.</w:t>
      </w:r>
    </w:p>
    <w:p w14:paraId="32A06EFC" w14:textId="77777777" w:rsidR="00836CCE" w:rsidRPr="00B47649" w:rsidRDefault="00836CCE" w:rsidP="00B47649">
      <w:pPr>
        <w:pStyle w:val="Para10"/>
        <w:numPr>
          <w:ilvl w:val="0"/>
          <w:numId w:val="0"/>
        </w:numPr>
        <w:suppressLineNumbers/>
        <w:suppressAutoHyphens/>
        <w:jc w:val="both"/>
        <w:rPr>
          <w:kern w:val="22"/>
          <w:sz w:val="22"/>
          <w:szCs w:val="22"/>
          <w:lang w:val="en-GB"/>
        </w:rPr>
      </w:pPr>
    </w:p>
    <w:p w14:paraId="12C765CF" w14:textId="5F296B20" w:rsidR="00836CCE" w:rsidRPr="00B47649" w:rsidRDefault="00836CCE" w:rsidP="00B47649">
      <w:pPr>
        <w:pStyle w:val="Para10"/>
        <w:numPr>
          <w:ilvl w:val="0"/>
          <w:numId w:val="14"/>
        </w:numPr>
        <w:suppressLineNumbers/>
        <w:suppressAutoHyphens/>
        <w:jc w:val="both"/>
        <w:rPr>
          <w:kern w:val="22"/>
          <w:sz w:val="22"/>
          <w:szCs w:val="22"/>
          <w:lang w:val="en-GB"/>
        </w:rPr>
        <w:sectPr w:rsidR="00836CCE" w:rsidRPr="00B47649" w:rsidSect="008E1B24">
          <w:headerReference w:type="even" r:id="rId20"/>
          <w:headerReference w:type="default" r:id="rId21"/>
          <w:footerReference w:type="even" r:id="rId22"/>
          <w:footerReference w:type="default" r:id="rId23"/>
          <w:footerReference w:type="first" r:id="rId24"/>
          <w:type w:val="continuous"/>
          <w:pgSz w:w="12240" w:h="15840"/>
          <w:pgMar w:top="567" w:right="1389" w:bottom="1134" w:left="1389" w:header="461" w:footer="720" w:gutter="0"/>
          <w:cols w:space="708"/>
          <w:titlePg/>
          <w:docGrid w:linePitch="360"/>
        </w:sectPr>
      </w:pPr>
    </w:p>
    <w:p w14:paraId="73B99E33" w14:textId="6D586346" w:rsidR="008C6CB4" w:rsidRPr="00B47649" w:rsidRDefault="008270EE" w:rsidP="00B47649">
      <w:pPr>
        <w:suppressLineNumbers/>
        <w:suppressAutoHyphens/>
        <w:kinsoku w:val="0"/>
        <w:overflowPunct w:val="0"/>
        <w:autoSpaceDE w:val="0"/>
        <w:autoSpaceDN w:val="0"/>
        <w:adjustRightInd w:val="0"/>
        <w:snapToGrid w:val="0"/>
        <w:jc w:val="center"/>
        <w:rPr>
          <w:i/>
          <w:snapToGrid w:val="0"/>
          <w:kern w:val="22"/>
          <w:sz w:val="22"/>
          <w:szCs w:val="22"/>
          <w:lang w:val="en-GB"/>
        </w:rPr>
      </w:pPr>
      <w:r w:rsidRPr="00B47649">
        <w:rPr>
          <w:i/>
          <w:snapToGrid w:val="0"/>
          <w:kern w:val="22"/>
          <w:sz w:val="22"/>
          <w:szCs w:val="22"/>
          <w:lang w:val="en-GB"/>
        </w:rPr>
        <w:lastRenderedPageBreak/>
        <w:t>Annex II</w:t>
      </w:r>
    </w:p>
    <w:p w14:paraId="4BA7CA66" w14:textId="42AF6672" w:rsidR="00A714E6" w:rsidRPr="00B47649" w:rsidRDefault="00A714E6" w:rsidP="006D433D">
      <w:pPr>
        <w:pStyle w:val="HEADINGNOTFORTOC"/>
        <w:suppressLineNumbers/>
        <w:tabs>
          <w:tab w:val="clear" w:pos="720"/>
        </w:tabs>
        <w:suppressAutoHyphens/>
        <w:kinsoku w:val="0"/>
        <w:overflowPunct w:val="0"/>
        <w:autoSpaceDE w:val="0"/>
        <w:autoSpaceDN w:val="0"/>
        <w:adjustRightInd w:val="0"/>
        <w:snapToGrid w:val="0"/>
        <w:spacing w:before="120"/>
        <w:rPr>
          <w:snapToGrid w:val="0"/>
          <w:kern w:val="22"/>
          <w:sz w:val="22"/>
          <w:szCs w:val="22"/>
          <w:lang w:val="en-GB"/>
        </w:rPr>
      </w:pPr>
      <w:r w:rsidRPr="00B47649">
        <w:rPr>
          <w:snapToGrid w:val="0"/>
          <w:kern w:val="22"/>
          <w:sz w:val="22"/>
          <w:szCs w:val="22"/>
          <w:lang w:val="en-GB"/>
        </w:rPr>
        <w:t>Long-Term Strategic Approach to Mainstreaming Biodiversity</w:t>
      </w:r>
    </w:p>
    <w:p w14:paraId="69992CB0" w14:textId="6A193505" w:rsidR="00187D47" w:rsidRPr="00B47649" w:rsidRDefault="00A01EF2" w:rsidP="006D433D">
      <w:pPr>
        <w:pStyle w:val="Heading2"/>
        <w:suppressLineNumbers/>
        <w:tabs>
          <w:tab w:val="clear" w:pos="720"/>
        </w:tabs>
        <w:suppressAutoHyphens/>
        <w:jc w:val="both"/>
        <w:rPr>
          <w:rFonts w:eastAsia="Calibri"/>
          <w:kern w:val="22"/>
          <w:sz w:val="22"/>
          <w:szCs w:val="22"/>
          <w:lang w:val="en-GB"/>
        </w:rPr>
      </w:pPr>
      <w:r w:rsidRPr="00B47649">
        <w:rPr>
          <w:rFonts w:eastAsia="Calibri"/>
          <w:kern w:val="22"/>
          <w:sz w:val="22"/>
          <w:szCs w:val="22"/>
          <w:lang w:val="en-GB"/>
        </w:rPr>
        <w:t>Introduction</w:t>
      </w:r>
    </w:p>
    <w:p w14:paraId="3EBB2D58" w14:textId="304B484E" w:rsidR="00AF0426" w:rsidRPr="00B47649" w:rsidRDefault="00A01EF2" w:rsidP="00B47649">
      <w:pPr>
        <w:pStyle w:val="NormalWeb"/>
        <w:suppressLineNumbers/>
        <w:suppressAutoHyphens/>
        <w:spacing w:before="0" w:beforeAutospacing="0" w:after="200" w:afterAutospacing="0"/>
        <w:jc w:val="both"/>
        <w:rPr>
          <w:rFonts w:eastAsia="Calibri"/>
          <w:kern w:val="22"/>
          <w:sz w:val="22"/>
          <w:szCs w:val="22"/>
          <w:lang w:val="en-GB"/>
        </w:rPr>
      </w:pPr>
      <w:r w:rsidRPr="00B47649">
        <w:rPr>
          <w:rFonts w:eastAsia="Calibri"/>
          <w:kern w:val="22"/>
          <w:sz w:val="22"/>
          <w:szCs w:val="22"/>
          <w:lang w:val="en-GB" w:eastAsia="en-US"/>
        </w:rPr>
        <w:t>1.</w:t>
      </w:r>
      <w:r w:rsidRPr="00B47649">
        <w:rPr>
          <w:rFonts w:eastAsia="Calibri"/>
          <w:kern w:val="22"/>
          <w:sz w:val="22"/>
          <w:szCs w:val="22"/>
          <w:lang w:val="en-GB" w:eastAsia="en-US"/>
        </w:rPr>
        <w:tab/>
      </w:r>
      <w:r w:rsidR="00AF0426" w:rsidRPr="00B47649">
        <w:rPr>
          <w:rFonts w:eastAsia="Calibri"/>
          <w:kern w:val="22"/>
          <w:sz w:val="22"/>
          <w:szCs w:val="22"/>
          <w:lang w:val="en-GB" w:eastAsia="en-US"/>
        </w:rPr>
        <w:t>Despite the progress already made in the last decade, biodiversity decline and ecosystem degradation continue largely unabated and increasingly threaten sustainable development and human well</w:t>
      </w:r>
      <w:r w:rsidR="00060A7E" w:rsidRPr="00B47649">
        <w:rPr>
          <w:rFonts w:eastAsia="Calibri"/>
          <w:kern w:val="22"/>
          <w:sz w:val="22"/>
          <w:szCs w:val="22"/>
          <w:lang w:val="en-GB" w:eastAsia="en-US"/>
        </w:rPr>
        <w:t>-</w:t>
      </w:r>
      <w:r w:rsidR="00AF0426" w:rsidRPr="00B47649">
        <w:rPr>
          <w:rFonts w:eastAsia="Calibri"/>
          <w:kern w:val="22"/>
          <w:sz w:val="22"/>
          <w:szCs w:val="22"/>
          <w:lang w:val="en-GB" w:eastAsia="en-US"/>
        </w:rPr>
        <w:t xml:space="preserve">being. Profound changes are required to transform the mechanisms that steer development as well as business and investment decisions in order to integrate biodiversity into development, climate change </w:t>
      </w:r>
      <w:r w:rsidR="003074AC" w:rsidRPr="00B47649">
        <w:rPr>
          <w:rFonts w:eastAsia="Calibri"/>
          <w:kern w:val="22"/>
          <w:sz w:val="22"/>
          <w:szCs w:val="22"/>
          <w:lang w:val="en-GB" w:eastAsia="en-US"/>
        </w:rPr>
        <w:t xml:space="preserve">mitigation and adaptation </w:t>
      </w:r>
      <w:r w:rsidR="00AF0426" w:rsidRPr="00B47649">
        <w:rPr>
          <w:rFonts w:eastAsia="Calibri"/>
          <w:kern w:val="22"/>
          <w:sz w:val="22"/>
          <w:szCs w:val="22"/>
          <w:lang w:val="en-GB" w:eastAsia="en-US"/>
        </w:rPr>
        <w:t>and economic sectors and strive towards net positive impacts on ecosystems and species. To achieve this, the multi-faceted values of nature need to be reflected in all decision-making and actions across society, including in all areas and levels of government, in the private sector (business and finance), and across society. The Intergovernmental Science-Policy Platform on Biodiversity and Ecosystem Services (IPBES), in its Global Assessment Report on Biodiversity and Ecosystem Services, states:</w:t>
      </w:r>
    </w:p>
    <w:p w14:paraId="2DC75253" w14:textId="17ADABBC" w:rsidR="00AF0426" w:rsidRPr="00B47649" w:rsidRDefault="00AF0426" w:rsidP="00B02C11">
      <w:pPr>
        <w:suppressLineNumbers/>
        <w:suppressAutoHyphens/>
        <w:spacing w:after="120"/>
        <w:ind w:left="720" w:right="284"/>
        <w:jc w:val="both"/>
        <w:rPr>
          <w:i/>
          <w:kern w:val="22"/>
          <w:sz w:val="22"/>
          <w:szCs w:val="22"/>
          <w:lang w:val="en-GB"/>
        </w:rPr>
      </w:pPr>
      <w:r w:rsidRPr="00B47649">
        <w:rPr>
          <w:i/>
          <w:kern w:val="22"/>
          <w:sz w:val="22"/>
          <w:szCs w:val="22"/>
          <w:lang w:val="en-GB"/>
        </w:rPr>
        <w:t>Goals for conserving and sustainably using nature and achieving sustainability cannot be met by current trajectories, and goals for 2030 and beyond may only be achieved through transformative changes across economic, social, political and technological factors.</w:t>
      </w:r>
      <w:bookmarkStart w:id="6" w:name="_Ref50553352"/>
      <w:r w:rsidR="003C2F74" w:rsidRPr="00B02C11">
        <w:rPr>
          <w:rStyle w:val="FootnoteReference"/>
          <w:iCs/>
          <w:kern w:val="22"/>
          <w:szCs w:val="22"/>
          <w:lang w:val="en-GB"/>
        </w:rPr>
        <w:footnoteReference w:id="22"/>
      </w:r>
      <w:bookmarkEnd w:id="6"/>
    </w:p>
    <w:p w14:paraId="52AE0D52" w14:textId="2EE715DD" w:rsidR="00AF0426" w:rsidRPr="00B47649" w:rsidRDefault="00AF0426" w:rsidP="00B02C11">
      <w:pPr>
        <w:suppressLineNumbers/>
        <w:suppressAutoHyphens/>
        <w:spacing w:after="120"/>
        <w:ind w:left="720" w:right="284"/>
        <w:jc w:val="both"/>
        <w:rPr>
          <w:kern w:val="22"/>
          <w:sz w:val="22"/>
          <w:szCs w:val="22"/>
          <w:lang w:val="en-GB"/>
        </w:rPr>
      </w:pPr>
      <w:r w:rsidRPr="00B47649">
        <w:rPr>
          <w:kern w:val="22"/>
          <w:sz w:val="22"/>
          <w:szCs w:val="22"/>
          <w:lang w:val="en-GB"/>
        </w:rPr>
        <w:t>[W]</w:t>
      </w:r>
      <w:r w:rsidRPr="00B47649">
        <w:rPr>
          <w:i/>
          <w:kern w:val="22"/>
          <w:sz w:val="22"/>
          <w:szCs w:val="22"/>
          <w:lang w:val="en-GB"/>
        </w:rPr>
        <w:t>e must raise the level of ambition and political will for mainstreaming the conservation and sustainable use of biodiversity, and the fair and equitable sharing of benefits arising from the use of genetic resources.</w:t>
      </w:r>
      <w:r w:rsidR="008865DC" w:rsidRPr="00B02C11">
        <w:rPr>
          <w:iCs/>
          <w:kern w:val="22"/>
          <w:sz w:val="22"/>
          <w:szCs w:val="22"/>
          <w:vertAlign w:val="superscript"/>
          <w:lang w:val="en-GB"/>
        </w:rPr>
        <w:fldChar w:fldCharType="begin"/>
      </w:r>
      <w:r w:rsidR="008865DC" w:rsidRPr="00B02C11">
        <w:rPr>
          <w:iCs/>
          <w:kern w:val="22"/>
          <w:sz w:val="22"/>
          <w:szCs w:val="22"/>
          <w:vertAlign w:val="superscript"/>
          <w:lang w:val="en-GB"/>
        </w:rPr>
        <w:instrText xml:space="preserve"> NOTEREF _Ref50553352 \h  \* MERGEFORMAT </w:instrText>
      </w:r>
      <w:r w:rsidR="008865DC" w:rsidRPr="00B02C11">
        <w:rPr>
          <w:iCs/>
          <w:kern w:val="22"/>
          <w:sz w:val="22"/>
          <w:szCs w:val="22"/>
          <w:vertAlign w:val="superscript"/>
          <w:lang w:val="en-GB"/>
        </w:rPr>
      </w:r>
      <w:r w:rsidR="008865DC" w:rsidRPr="00B02C11">
        <w:rPr>
          <w:iCs/>
          <w:kern w:val="22"/>
          <w:sz w:val="22"/>
          <w:szCs w:val="22"/>
          <w:vertAlign w:val="superscript"/>
          <w:lang w:val="en-GB"/>
        </w:rPr>
        <w:fldChar w:fldCharType="separate"/>
      </w:r>
      <w:r w:rsidR="0009142F">
        <w:rPr>
          <w:rStyle w:val="FootnoteReference"/>
          <w:iCs/>
          <w:kern w:val="22"/>
          <w:szCs w:val="22"/>
          <w:lang w:val="en-GB"/>
        </w:rPr>
        <w:footnoteReference w:id="23"/>
      </w:r>
      <w:r w:rsidR="008865DC" w:rsidRPr="00B02C11">
        <w:rPr>
          <w:iCs/>
          <w:kern w:val="22"/>
          <w:sz w:val="22"/>
          <w:szCs w:val="22"/>
          <w:vertAlign w:val="superscript"/>
          <w:lang w:val="en-GB"/>
        </w:rPr>
        <w:fldChar w:fldCharType="end"/>
      </w:r>
    </w:p>
    <w:p w14:paraId="374E69AE" w14:textId="723E8185" w:rsidR="00514957" w:rsidRPr="00B47649" w:rsidRDefault="009D7CB7" w:rsidP="00B47649">
      <w:pPr>
        <w:pStyle w:val="NormalWeb"/>
        <w:suppressLineNumbers/>
        <w:suppressAutoHyphens/>
        <w:spacing w:before="0" w:beforeAutospacing="0" w:after="200" w:afterAutospacing="0"/>
        <w:jc w:val="both"/>
        <w:rPr>
          <w:rFonts w:eastAsia="Calibri"/>
          <w:kern w:val="22"/>
          <w:sz w:val="22"/>
          <w:szCs w:val="22"/>
          <w:lang w:val="en-GB"/>
        </w:rPr>
      </w:pPr>
      <w:r>
        <w:rPr>
          <w:rFonts w:eastAsia="Calibri"/>
          <w:kern w:val="22"/>
          <w:sz w:val="22"/>
          <w:szCs w:val="22"/>
          <w:lang w:val="en-GB"/>
        </w:rPr>
        <w:t>2</w:t>
      </w:r>
      <w:r w:rsidR="00F81998" w:rsidRPr="00B47649">
        <w:rPr>
          <w:rFonts w:eastAsia="Calibri"/>
          <w:kern w:val="22"/>
          <w:sz w:val="22"/>
          <w:szCs w:val="22"/>
          <w:lang w:val="en-GB"/>
        </w:rPr>
        <w:t>.</w:t>
      </w:r>
      <w:r w:rsidR="00F81998" w:rsidRPr="00B47649">
        <w:rPr>
          <w:rFonts w:eastAsia="Calibri"/>
          <w:kern w:val="22"/>
          <w:sz w:val="22"/>
          <w:szCs w:val="22"/>
          <w:lang w:val="en-GB"/>
        </w:rPr>
        <w:tab/>
      </w:r>
      <w:r w:rsidR="00A00C4C" w:rsidRPr="00B47649">
        <w:rPr>
          <w:rFonts w:eastAsia="Calibri"/>
          <w:kern w:val="22"/>
          <w:sz w:val="22"/>
          <w:szCs w:val="22"/>
          <w:lang w:val="en-GB"/>
        </w:rPr>
        <w:t xml:space="preserve">Past </w:t>
      </w:r>
      <w:r w:rsidR="00BE659F" w:rsidRPr="00B47649">
        <w:rPr>
          <w:rFonts w:eastAsia="Calibri"/>
          <w:kern w:val="22"/>
          <w:sz w:val="22"/>
          <w:szCs w:val="22"/>
          <w:lang w:val="en-GB" w:eastAsia="en-US"/>
        </w:rPr>
        <w:t xml:space="preserve">decisions </w:t>
      </w:r>
      <w:r w:rsidR="00082381" w:rsidRPr="00B47649">
        <w:rPr>
          <w:rFonts w:eastAsia="Calibri"/>
          <w:kern w:val="22"/>
          <w:sz w:val="22"/>
          <w:szCs w:val="22"/>
          <w:lang w:val="en-GB" w:eastAsia="en-US"/>
        </w:rPr>
        <w:t xml:space="preserve">of the Convention on Biological Diversity </w:t>
      </w:r>
      <w:r w:rsidR="00BE659F" w:rsidRPr="00B47649">
        <w:rPr>
          <w:rFonts w:eastAsia="Calibri"/>
          <w:kern w:val="22"/>
          <w:sz w:val="22"/>
          <w:szCs w:val="22"/>
          <w:lang w:val="en-GB" w:eastAsia="en-US"/>
        </w:rPr>
        <w:t>on biodiversity mainstreaming (XIII/3 and 14/3) already highlighted the importance of mainstreaming biodiversity into economic sectors and transversally across all levels of government</w:t>
      </w:r>
      <w:r w:rsidR="00A00C4C" w:rsidRPr="00B47649">
        <w:rPr>
          <w:rFonts w:eastAsia="Calibri"/>
          <w:kern w:val="22"/>
          <w:sz w:val="22"/>
          <w:szCs w:val="22"/>
          <w:lang w:val="en-GB" w:eastAsia="en-US"/>
        </w:rPr>
        <w:t xml:space="preserve">. The present </w:t>
      </w:r>
      <w:r w:rsidR="00514957" w:rsidRPr="00B47649">
        <w:rPr>
          <w:rFonts w:eastAsia="Calibri"/>
          <w:kern w:val="22"/>
          <w:sz w:val="22"/>
          <w:szCs w:val="22"/>
          <w:lang w:val="en-GB"/>
        </w:rPr>
        <w:t>long-term strategic approach for mainstreaming biodiversity</w:t>
      </w:r>
      <w:r w:rsidR="00A00C4C" w:rsidRPr="00B47649">
        <w:rPr>
          <w:rFonts w:eastAsia="Calibri"/>
          <w:kern w:val="22"/>
          <w:sz w:val="22"/>
          <w:szCs w:val="22"/>
          <w:lang w:val="en-GB"/>
        </w:rPr>
        <w:t xml:space="preserve"> </w:t>
      </w:r>
      <w:r w:rsidR="00514957" w:rsidRPr="00B47649">
        <w:rPr>
          <w:rFonts w:eastAsia="Calibri"/>
          <w:kern w:val="22"/>
          <w:sz w:val="22"/>
          <w:szCs w:val="22"/>
          <w:lang w:val="en-GB"/>
        </w:rPr>
        <w:t>establish</w:t>
      </w:r>
      <w:r w:rsidR="00A00C4C" w:rsidRPr="00B47649">
        <w:rPr>
          <w:rFonts w:eastAsia="Calibri"/>
          <w:kern w:val="22"/>
          <w:sz w:val="22"/>
          <w:szCs w:val="22"/>
          <w:lang w:val="en-GB"/>
        </w:rPr>
        <w:t>es</w:t>
      </w:r>
      <w:r w:rsidR="00514957" w:rsidRPr="00B47649">
        <w:rPr>
          <w:rFonts w:eastAsia="Calibri"/>
          <w:kern w:val="22"/>
          <w:sz w:val="22"/>
          <w:szCs w:val="22"/>
          <w:lang w:val="en-GB"/>
        </w:rPr>
        <w:t xml:space="preserve"> priorities for action, based on scientific evidence of likely impacts and benefits in accordance with the national capacities and circumstances of Parties</w:t>
      </w:r>
      <w:r w:rsidR="00A00C4C" w:rsidRPr="00B47649">
        <w:rPr>
          <w:rFonts w:eastAsia="Calibri"/>
          <w:kern w:val="22"/>
          <w:sz w:val="22"/>
          <w:szCs w:val="22"/>
          <w:lang w:val="en-GB"/>
        </w:rPr>
        <w:t xml:space="preserve">. It </w:t>
      </w:r>
      <w:r w:rsidR="00514957" w:rsidRPr="00B47649">
        <w:rPr>
          <w:rFonts w:eastAsia="Calibri"/>
          <w:kern w:val="22"/>
          <w:sz w:val="22"/>
          <w:szCs w:val="22"/>
          <w:lang w:val="en-GB"/>
        </w:rPr>
        <w:t>identif</w:t>
      </w:r>
      <w:r w:rsidR="003074AC" w:rsidRPr="00B47649">
        <w:rPr>
          <w:rFonts w:eastAsia="Calibri"/>
          <w:kern w:val="22"/>
          <w:sz w:val="22"/>
          <w:szCs w:val="22"/>
          <w:lang w:val="en-GB"/>
        </w:rPr>
        <w:t>ies</w:t>
      </w:r>
      <w:r w:rsidR="00514957" w:rsidRPr="00B47649">
        <w:rPr>
          <w:rFonts w:eastAsia="Calibri"/>
          <w:kern w:val="22"/>
          <w:sz w:val="22"/>
          <w:szCs w:val="22"/>
          <w:lang w:val="en-GB"/>
        </w:rPr>
        <w:t xml:space="preserve"> key actors that need to be engaged in implementing such actions and appropriate mechanisms to do so.</w:t>
      </w:r>
    </w:p>
    <w:p w14:paraId="385A3473" w14:textId="62FBBB08" w:rsidR="00514957" w:rsidRPr="00B47649" w:rsidRDefault="009D7CB7" w:rsidP="00B47649">
      <w:pPr>
        <w:pStyle w:val="NormalWeb"/>
        <w:suppressLineNumbers/>
        <w:suppressAutoHyphens/>
        <w:spacing w:before="0" w:beforeAutospacing="0" w:after="200" w:afterAutospacing="0"/>
        <w:jc w:val="both"/>
        <w:rPr>
          <w:rFonts w:eastAsia="Calibri"/>
          <w:kern w:val="22"/>
          <w:sz w:val="22"/>
          <w:szCs w:val="22"/>
          <w:lang w:val="en-GB" w:eastAsia="en-US"/>
        </w:rPr>
      </w:pPr>
      <w:r>
        <w:rPr>
          <w:rFonts w:eastAsia="Calibri"/>
          <w:kern w:val="22"/>
          <w:sz w:val="22"/>
          <w:szCs w:val="22"/>
          <w:lang w:val="en-GB" w:eastAsia="en-US"/>
        </w:rPr>
        <w:t>3</w:t>
      </w:r>
      <w:r w:rsidR="0013590A" w:rsidRPr="00B47649">
        <w:rPr>
          <w:rFonts w:eastAsia="Calibri"/>
          <w:kern w:val="22"/>
          <w:sz w:val="22"/>
          <w:szCs w:val="22"/>
          <w:lang w:val="en-GB" w:eastAsia="en-US"/>
        </w:rPr>
        <w:t>.</w:t>
      </w:r>
      <w:r w:rsidR="0013590A" w:rsidRPr="00B47649">
        <w:rPr>
          <w:rFonts w:eastAsia="Calibri"/>
          <w:kern w:val="22"/>
          <w:sz w:val="22"/>
          <w:szCs w:val="22"/>
          <w:lang w:val="en-GB" w:eastAsia="en-US"/>
        </w:rPr>
        <w:tab/>
      </w:r>
      <w:r w:rsidR="00621237" w:rsidRPr="00B47649">
        <w:rPr>
          <w:rFonts w:eastAsia="Calibri"/>
          <w:kern w:val="22"/>
          <w:sz w:val="22"/>
          <w:szCs w:val="22"/>
          <w:lang w:val="en-GB" w:eastAsia="en-US"/>
        </w:rPr>
        <w:t>The long-term approach should be kept under review by the Conference of the Parties and be flexible enough to respond to relevant changes</w:t>
      </w:r>
      <w:r w:rsidR="0013590A" w:rsidRPr="00B47649">
        <w:rPr>
          <w:rFonts w:eastAsia="Calibri"/>
          <w:kern w:val="22"/>
          <w:sz w:val="22"/>
          <w:szCs w:val="22"/>
          <w:lang w:val="en-GB" w:eastAsia="en-US"/>
        </w:rPr>
        <w:t>.</w:t>
      </w:r>
    </w:p>
    <w:p w14:paraId="6FC6826F" w14:textId="6E431B83" w:rsidR="00BD2E37" w:rsidRPr="00B47649" w:rsidRDefault="009D7CB7" w:rsidP="00B47649">
      <w:pPr>
        <w:pStyle w:val="ListParagraph"/>
        <w:suppressLineNumbers/>
        <w:suppressAutoHyphens/>
        <w:spacing w:after="120"/>
        <w:ind w:left="0"/>
        <w:contextualSpacing w:val="0"/>
        <w:jc w:val="both"/>
        <w:rPr>
          <w:b/>
          <w:i/>
          <w:kern w:val="22"/>
          <w:sz w:val="22"/>
          <w:szCs w:val="22"/>
          <w:lang w:val="en-GB"/>
        </w:rPr>
      </w:pPr>
      <w:r>
        <w:rPr>
          <w:bCs/>
          <w:kern w:val="22"/>
          <w:sz w:val="22"/>
          <w:szCs w:val="22"/>
          <w:lang w:val="en-GB"/>
        </w:rPr>
        <w:t>4</w:t>
      </w:r>
      <w:r w:rsidR="00A01EF2" w:rsidRPr="00B47649">
        <w:rPr>
          <w:bCs/>
          <w:kern w:val="22"/>
          <w:sz w:val="22"/>
          <w:szCs w:val="22"/>
          <w:lang w:val="en-GB"/>
        </w:rPr>
        <w:t>.</w:t>
      </w:r>
      <w:r w:rsidR="00A01EF2" w:rsidRPr="00B47649">
        <w:rPr>
          <w:b/>
          <w:kern w:val="22"/>
          <w:sz w:val="22"/>
          <w:szCs w:val="22"/>
          <w:lang w:val="en-GB"/>
        </w:rPr>
        <w:tab/>
      </w:r>
      <w:r w:rsidR="00BD2E37" w:rsidRPr="00A00CE1">
        <w:rPr>
          <w:bCs/>
          <w:kern w:val="22"/>
          <w:sz w:val="22"/>
          <w:szCs w:val="22"/>
          <w:lang w:val="en-GB"/>
        </w:rPr>
        <w:t xml:space="preserve">In </w:t>
      </w:r>
      <w:r w:rsidR="00BD2E37" w:rsidRPr="00A00CE1">
        <w:rPr>
          <w:bCs/>
          <w:i/>
          <w:iCs/>
          <w:kern w:val="22"/>
          <w:sz w:val="22"/>
          <w:szCs w:val="22"/>
          <w:lang w:val="en-GB"/>
        </w:rPr>
        <w:t>establishing priorities for action</w:t>
      </w:r>
      <w:r w:rsidR="00BD2E37" w:rsidRPr="00B47649">
        <w:rPr>
          <w:bCs/>
          <w:kern w:val="22"/>
          <w:sz w:val="22"/>
          <w:szCs w:val="22"/>
          <w:lang w:val="en-GB"/>
        </w:rPr>
        <w:t xml:space="preserve">, the </w:t>
      </w:r>
      <w:r w:rsidR="00310E5A" w:rsidRPr="00B47649">
        <w:rPr>
          <w:rFonts w:eastAsia="Calibri"/>
          <w:kern w:val="22"/>
          <w:sz w:val="22"/>
          <w:szCs w:val="22"/>
          <w:lang w:val="en-GB"/>
        </w:rPr>
        <w:t xml:space="preserve">long-term approach </w:t>
      </w:r>
      <w:r w:rsidR="00FC0B34" w:rsidRPr="00B47649">
        <w:rPr>
          <w:bCs/>
          <w:kern w:val="22"/>
          <w:sz w:val="22"/>
          <w:szCs w:val="22"/>
          <w:lang w:val="en-GB"/>
        </w:rPr>
        <w:t xml:space="preserve">and its </w:t>
      </w:r>
      <w:r w:rsidR="00A00C4C" w:rsidRPr="00B47649">
        <w:rPr>
          <w:bCs/>
          <w:kern w:val="22"/>
          <w:sz w:val="22"/>
          <w:szCs w:val="22"/>
          <w:lang w:val="en-GB"/>
        </w:rPr>
        <w:t xml:space="preserve">associated </w:t>
      </w:r>
      <w:r w:rsidR="00FC0B34" w:rsidRPr="00B47649">
        <w:rPr>
          <w:bCs/>
          <w:kern w:val="22"/>
          <w:sz w:val="22"/>
          <w:szCs w:val="22"/>
          <w:lang w:val="en-GB"/>
        </w:rPr>
        <w:t xml:space="preserve">action plan </w:t>
      </w:r>
      <w:r w:rsidR="00BD2E37" w:rsidRPr="00B47649">
        <w:rPr>
          <w:bCs/>
          <w:kern w:val="22"/>
          <w:sz w:val="22"/>
          <w:szCs w:val="22"/>
          <w:lang w:val="en-GB"/>
        </w:rPr>
        <w:t>wi</w:t>
      </w:r>
      <w:r w:rsidR="00D25CA6" w:rsidRPr="00B47649">
        <w:rPr>
          <w:bCs/>
          <w:kern w:val="22"/>
          <w:sz w:val="22"/>
          <w:szCs w:val="22"/>
          <w:lang w:val="en-GB"/>
        </w:rPr>
        <w:t>ll:</w:t>
      </w:r>
    </w:p>
    <w:p w14:paraId="2D86DB67" w14:textId="5E7D9B1D" w:rsidR="00BD2E37" w:rsidRPr="00B47649" w:rsidRDefault="00BD2E37" w:rsidP="00DD0E8D">
      <w:pPr>
        <w:pStyle w:val="ListParagraph"/>
        <w:numPr>
          <w:ilvl w:val="0"/>
          <w:numId w:val="15"/>
        </w:numPr>
        <w:suppressLineNumbers/>
        <w:suppressAutoHyphens/>
        <w:spacing w:after="120"/>
        <w:ind w:left="0" w:firstLine="720"/>
        <w:contextualSpacing w:val="0"/>
        <w:jc w:val="both"/>
        <w:rPr>
          <w:kern w:val="22"/>
          <w:sz w:val="22"/>
          <w:szCs w:val="22"/>
          <w:lang w:val="en-GB"/>
        </w:rPr>
      </w:pPr>
      <w:r w:rsidRPr="00B47649">
        <w:rPr>
          <w:kern w:val="22"/>
          <w:sz w:val="22"/>
          <w:szCs w:val="22"/>
          <w:lang w:val="en-GB"/>
        </w:rPr>
        <w:t xml:space="preserve">Address the pressures on biodiversity and the indirect or underlying drivers of biodiversity decline, in line with recommendations such as </w:t>
      </w:r>
      <w:r w:rsidR="00BC67FF">
        <w:rPr>
          <w:kern w:val="22"/>
          <w:sz w:val="22"/>
          <w:szCs w:val="22"/>
          <w:lang w:val="en-GB"/>
        </w:rPr>
        <w:t xml:space="preserve">those </w:t>
      </w:r>
      <w:r w:rsidRPr="00B47649">
        <w:rPr>
          <w:kern w:val="22"/>
          <w:sz w:val="22"/>
          <w:szCs w:val="22"/>
          <w:lang w:val="en-GB"/>
        </w:rPr>
        <w:t xml:space="preserve">from the </w:t>
      </w:r>
      <w:r w:rsidR="00564D97" w:rsidRPr="00B47649">
        <w:rPr>
          <w:i/>
          <w:kern w:val="22"/>
          <w:sz w:val="22"/>
          <w:szCs w:val="22"/>
          <w:lang w:val="en-GB"/>
        </w:rPr>
        <w:t>Global Assessment Report on Biodiversity and Ecosystem Services</w:t>
      </w:r>
      <w:r w:rsidR="00564D97" w:rsidRPr="00B47649">
        <w:rPr>
          <w:kern w:val="22"/>
          <w:sz w:val="22"/>
          <w:szCs w:val="22"/>
          <w:lang w:val="en-GB"/>
        </w:rPr>
        <w:t xml:space="preserve"> issued by the Intergovernmental Science-Policy Platform on Biodiversity and Ecosystem Services</w:t>
      </w:r>
      <w:r w:rsidR="00564D97" w:rsidRPr="00B47649" w:rsidDel="00564D97">
        <w:rPr>
          <w:kern w:val="22"/>
          <w:sz w:val="22"/>
          <w:szCs w:val="22"/>
          <w:lang w:val="en-GB"/>
        </w:rPr>
        <w:t xml:space="preserve"> </w:t>
      </w:r>
      <w:r w:rsidR="00F97234" w:rsidRPr="00B47649">
        <w:rPr>
          <w:kern w:val="22"/>
          <w:sz w:val="22"/>
          <w:szCs w:val="22"/>
          <w:lang w:val="en-GB"/>
        </w:rPr>
        <w:t xml:space="preserve">(IPBES) </w:t>
      </w:r>
      <w:r w:rsidRPr="00B47649">
        <w:rPr>
          <w:kern w:val="22"/>
          <w:sz w:val="22"/>
          <w:szCs w:val="22"/>
          <w:lang w:val="en-GB"/>
        </w:rPr>
        <w:t xml:space="preserve">and from </w:t>
      </w:r>
      <w:r w:rsidR="00332379" w:rsidRPr="00B47649">
        <w:rPr>
          <w:kern w:val="22"/>
          <w:sz w:val="22"/>
          <w:szCs w:val="22"/>
          <w:lang w:val="en-GB"/>
        </w:rPr>
        <w:t xml:space="preserve">the fifth edition of the </w:t>
      </w:r>
      <w:r w:rsidR="00332379" w:rsidRPr="00B47649">
        <w:rPr>
          <w:i/>
          <w:iCs/>
          <w:kern w:val="22"/>
          <w:sz w:val="22"/>
          <w:szCs w:val="22"/>
          <w:lang w:val="en-GB"/>
        </w:rPr>
        <w:t>Global Biodiversity Outlook</w:t>
      </w:r>
      <w:r w:rsidRPr="00B47649">
        <w:rPr>
          <w:kern w:val="22"/>
          <w:sz w:val="22"/>
          <w:szCs w:val="22"/>
          <w:lang w:val="en-GB"/>
        </w:rPr>
        <w:t>;</w:t>
      </w:r>
    </w:p>
    <w:p w14:paraId="299BDAA8" w14:textId="05F77DD4" w:rsidR="00BD2E37" w:rsidRPr="00B47649" w:rsidRDefault="00BD2E37" w:rsidP="00DD0E8D">
      <w:pPr>
        <w:pStyle w:val="ListParagraph"/>
        <w:numPr>
          <w:ilvl w:val="0"/>
          <w:numId w:val="15"/>
        </w:numPr>
        <w:suppressLineNumbers/>
        <w:suppressAutoHyphens/>
        <w:spacing w:after="120"/>
        <w:ind w:left="0" w:firstLine="720"/>
        <w:contextualSpacing w:val="0"/>
        <w:jc w:val="both"/>
        <w:rPr>
          <w:kern w:val="22"/>
          <w:sz w:val="22"/>
          <w:szCs w:val="22"/>
          <w:lang w:val="en-GB"/>
        </w:rPr>
      </w:pPr>
      <w:r w:rsidRPr="00B47649">
        <w:rPr>
          <w:kern w:val="22"/>
          <w:sz w:val="22"/>
          <w:szCs w:val="22"/>
          <w:lang w:val="en-GB"/>
        </w:rPr>
        <w:t>Not duplicate but build</w:t>
      </w:r>
      <w:r w:rsidR="00A00C4C" w:rsidRPr="00B47649">
        <w:rPr>
          <w:kern w:val="22"/>
          <w:sz w:val="22"/>
          <w:szCs w:val="22"/>
          <w:lang w:val="en-GB"/>
        </w:rPr>
        <w:t xml:space="preserve"> </w:t>
      </w:r>
      <w:r w:rsidRPr="00B47649">
        <w:rPr>
          <w:kern w:val="22"/>
          <w:sz w:val="22"/>
          <w:szCs w:val="22"/>
          <w:lang w:val="en-GB"/>
        </w:rPr>
        <w:t>on previous decisions of the Conference of the Parties relevant to mainstreaming, such as the existing thematic and cross-cutting programmes of work, as well as past decisions on mainstreaming, incentive measures, impact assessments, business engagement</w:t>
      </w:r>
      <w:r w:rsidR="00EF333B" w:rsidRPr="00B47649">
        <w:rPr>
          <w:kern w:val="22"/>
          <w:sz w:val="22"/>
          <w:szCs w:val="22"/>
          <w:lang w:val="en-GB"/>
        </w:rPr>
        <w:t>;</w:t>
      </w:r>
    </w:p>
    <w:p w14:paraId="5B202982" w14:textId="141C289F" w:rsidR="00BD2E37" w:rsidRPr="00B47649" w:rsidRDefault="00BD2E37" w:rsidP="00DD0E8D">
      <w:pPr>
        <w:pStyle w:val="ListParagraph"/>
        <w:numPr>
          <w:ilvl w:val="0"/>
          <w:numId w:val="15"/>
        </w:numPr>
        <w:suppressLineNumbers/>
        <w:suppressAutoHyphens/>
        <w:spacing w:after="120"/>
        <w:ind w:left="0" w:firstLine="720"/>
        <w:contextualSpacing w:val="0"/>
        <w:jc w:val="both"/>
        <w:rPr>
          <w:kern w:val="22"/>
          <w:sz w:val="22"/>
          <w:szCs w:val="22"/>
          <w:lang w:val="en-GB"/>
        </w:rPr>
      </w:pPr>
      <w:r w:rsidRPr="00B47649">
        <w:rPr>
          <w:kern w:val="22"/>
          <w:sz w:val="22"/>
          <w:szCs w:val="22"/>
          <w:lang w:val="en-GB"/>
        </w:rPr>
        <w:t>Cross-reference in particular the resource mobilization component of the post-2020 global biodiversity framework, with a view to (</w:t>
      </w:r>
      <w:proofErr w:type="spellStart"/>
      <w:r w:rsidRPr="00B47649">
        <w:rPr>
          <w:kern w:val="22"/>
          <w:sz w:val="22"/>
          <w:szCs w:val="22"/>
          <w:lang w:val="en-GB"/>
        </w:rPr>
        <w:t>i</w:t>
      </w:r>
      <w:proofErr w:type="spellEnd"/>
      <w:r w:rsidRPr="00B47649">
        <w:rPr>
          <w:kern w:val="22"/>
          <w:sz w:val="22"/>
          <w:szCs w:val="22"/>
          <w:lang w:val="en-GB"/>
        </w:rPr>
        <w:t>) facilitat</w:t>
      </w:r>
      <w:r w:rsidR="00030551" w:rsidRPr="00B47649">
        <w:rPr>
          <w:kern w:val="22"/>
          <w:sz w:val="22"/>
          <w:szCs w:val="22"/>
          <w:lang w:val="en-GB"/>
        </w:rPr>
        <w:t>ing</w:t>
      </w:r>
      <w:r w:rsidRPr="00B47649">
        <w:rPr>
          <w:kern w:val="22"/>
          <w:sz w:val="22"/>
          <w:szCs w:val="22"/>
          <w:lang w:val="en-GB"/>
        </w:rPr>
        <w:t xml:space="preserve"> resource mobilization through mainstreaming action and (ii) generat</w:t>
      </w:r>
      <w:r w:rsidR="00C62F5F" w:rsidRPr="00B47649">
        <w:rPr>
          <w:kern w:val="22"/>
          <w:sz w:val="22"/>
          <w:szCs w:val="22"/>
          <w:lang w:val="en-GB"/>
        </w:rPr>
        <w:t>ing</w:t>
      </w:r>
      <w:r w:rsidRPr="00B47649">
        <w:rPr>
          <w:kern w:val="22"/>
          <w:sz w:val="22"/>
          <w:szCs w:val="22"/>
          <w:lang w:val="en-GB"/>
        </w:rPr>
        <w:t xml:space="preserve"> and leverag</w:t>
      </w:r>
      <w:r w:rsidR="00C62F5F" w:rsidRPr="00B47649">
        <w:rPr>
          <w:kern w:val="22"/>
          <w:sz w:val="22"/>
          <w:szCs w:val="22"/>
          <w:lang w:val="en-GB"/>
        </w:rPr>
        <w:t>ing</w:t>
      </w:r>
      <w:r w:rsidRPr="00B47649">
        <w:rPr>
          <w:kern w:val="22"/>
          <w:sz w:val="22"/>
          <w:szCs w:val="22"/>
          <w:lang w:val="en-GB"/>
        </w:rPr>
        <w:t xml:space="preserve"> resources needed for mainstreaming action;</w:t>
      </w:r>
    </w:p>
    <w:p w14:paraId="7BE54F31" w14:textId="493B89F8" w:rsidR="00BD2E37" w:rsidRPr="00B47649" w:rsidRDefault="00BD2E37" w:rsidP="00DD0E8D">
      <w:pPr>
        <w:pStyle w:val="ListParagraph"/>
        <w:numPr>
          <w:ilvl w:val="0"/>
          <w:numId w:val="15"/>
        </w:numPr>
        <w:suppressLineNumbers/>
        <w:suppressAutoHyphens/>
        <w:spacing w:after="120"/>
        <w:ind w:left="0" w:firstLine="720"/>
        <w:contextualSpacing w:val="0"/>
        <w:jc w:val="both"/>
        <w:rPr>
          <w:kern w:val="22"/>
          <w:sz w:val="22"/>
          <w:szCs w:val="22"/>
          <w:lang w:val="en-GB"/>
        </w:rPr>
      </w:pPr>
      <w:r w:rsidRPr="00B47649">
        <w:rPr>
          <w:kern w:val="22"/>
          <w:sz w:val="22"/>
          <w:szCs w:val="22"/>
          <w:lang w:val="en-GB"/>
        </w:rPr>
        <w:t>Support and build on existing international environmental agreements and approaches, such as the 2030 Agenda for Sustainable Development or the Sendai Framework for Disaster Risk Reduction</w:t>
      </w:r>
      <w:r w:rsidR="009316FA">
        <w:rPr>
          <w:kern w:val="22"/>
          <w:sz w:val="22"/>
          <w:szCs w:val="22"/>
          <w:lang w:val="en-GB"/>
        </w:rPr>
        <w:t xml:space="preserve"> (</w:t>
      </w:r>
      <w:r w:rsidR="009316FA" w:rsidRPr="009316FA">
        <w:rPr>
          <w:kern w:val="22"/>
          <w:sz w:val="22"/>
          <w:szCs w:val="22"/>
          <w:lang w:val="en-GB"/>
        </w:rPr>
        <w:t>2015</w:t>
      </w:r>
      <w:r w:rsidR="001206D2">
        <w:rPr>
          <w:kern w:val="22"/>
          <w:sz w:val="22"/>
          <w:szCs w:val="22"/>
          <w:lang w:val="en-GB"/>
        </w:rPr>
        <w:t>-</w:t>
      </w:r>
      <w:r w:rsidR="009316FA" w:rsidRPr="009316FA">
        <w:rPr>
          <w:kern w:val="22"/>
          <w:sz w:val="22"/>
          <w:szCs w:val="22"/>
          <w:lang w:val="en-GB"/>
        </w:rPr>
        <w:t>2030</w:t>
      </w:r>
      <w:r w:rsidR="009316FA">
        <w:rPr>
          <w:kern w:val="22"/>
          <w:sz w:val="22"/>
          <w:szCs w:val="22"/>
          <w:lang w:val="en-GB"/>
        </w:rPr>
        <w:t>)</w:t>
      </w:r>
      <w:r w:rsidRPr="00B47649">
        <w:rPr>
          <w:kern w:val="22"/>
          <w:sz w:val="22"/>
          <w:szCs w:val="22"/>
          <w:lang w:val="en-GB"/>
        </w:rPr>
        <w:t>, and the experiences and good practices in implementing these other global policies.</w:t>
      </w:r>
    </w:p>
    <w:p w14:paraId="04CD414B" w14:textId="02A2EBC3" w:rsidR="00AF0426" w:rsidRPr="00B47649" w:rsidRDefault="009D7CB7" w:rsidP="00B47649">
      <w:pPr>
        <w:pStyle w:val="ListParagraph"/>
        <w:suppressLineNumbers/>
        <w:suppressAutoHyphens/>
        <w:spacing w:after="120"/>
        <w:ind w:left="0"/>
        <w:contextualSpacing w:val="0"/>
        <w:jc w:val="both"/>
        <w:rPr>
          <w:rFonts w:eastAsia="Calibri"/>
          <w:kern w:val="22"/>
          <w:sz w:val="22"/>
          <w:szCs w:val="22"/>
          <w:lang w:val="en-GB"/>
        </w:rPr>
      </w:pPr>
      <w:r>
        <w:rPr>
          <w:bCs/>
          <w:kern w:val="22"/>
          <w:sz w:val="22"/>
          <w:szCs w:val="22"/>
          <w:lang w:val="en-GB"/>
        </w:rPr>
        <w:t>5</w:t>
      </w:r>
      <w:r w:rsidR="00D25CA6" w:rsidRPr="00B47649">
        <w:rPr>
          <w:bCs/>
          <w:kern w:val="22"/>
          <w:sz w:val="22"/>
          <w:szCs w:val="22"/>
          <w:lang w:val="en-GB"/>
        </w:rPr>
        <w:t>.</w:t>
      </w:r>
      <w:r w:rsidR="00D25CA6" w:rsidRPr="00B47649">
        <w:rPr>
          <w:bCs/>
          <w:kern w:val="22"/>
          <w:sz w:val="22"/>
          <w:szCs w:val="22"/>
          <w:lang w:val="en-GB"/>
        </w:rPr>
        <w:tab/>
      </w:r>
      <w:r w:rsidR="00AF0426" w:rsidRPr="00B47649">
        <w:rPr>
          <w:rFonts w:eastAsia="Calibri"/>
          <w:kern w:val="22"/>
          <w:sz w:val="22"/>
          <w:szCs w:val="22"/>
          <w:lang w:val="en-GB"/>
        </w:rPr>
        <w:t xml:space="preserve">In </w:t>
      </w:r>
      <w:r w:rsidR="00AF0426" w:rsidRPr="00466583">
        <w:rPr>
          <w:rFonts w:eastAsia="Calibri"/>
          <w:i/>
          <w:iCs/>
          <w:kern w:val="22"/>
          <w:sz w:val="22"/>
          <w:szCs w:val="22"/>
          <w:lang w:val="en-GB"/>
        </w:rPr>
        <w:t>facilitating monitoring and assessment</w:t>
      </w:r>
      <w:r w:rsidR="00AF0426" w:rsidRPr="00B47649">
        <w:rPr>
          <w:rFonts w:eastAsia="Calibri"/>
          <w:kern w:val="22"/>
          <w:sz w:val="22"/>
          <w:szCs w:val="22"/>
          <w:lang w:val="en-GB"/>
        </w:rPr>
        <w:t xml:space="preserve">, the </w:t>
      </w:r>
      <w:r w:rsidR="00C62F5F" w:rsidRPr="00B47649">
        <w:rPr>
          <w:rFonts w:eastAsia="Calibri"/>
          <w:kern w:val="22"/>
          <w:sz w:val="22"/>
          <w:szCs w:val="22"/>
          <w:lang w:val="en-GB"/>
        </w:rPr>
        <w:t xml:space="preserve">long-term approach </w:t>
      </w:r>
      <w:r w:rsidR="001543A4" w:rsidRPr="00B47649">
        <w:rPr>
          <w:rFonts w:eastAsia="Calibri"/>
          <w:kern w:val="22"/>
          <w:sz w:val="22"/>
          <w:szCs w:val="22"/>
          <w:lang w:val="en-GB"/>
        </w:rPr>
        <w:t xml:space="preserve">and its action plan </w:t>
      </w:r>
      <w:r w:rsidR="00AF0426" w:rsidRPr="00B47649">
        <w:rPr>
          <w:rFonts w:eastAsia="Calibri"/>
          <w:kern w:val="22"/>
          <w:sz w:val="22"/>
          <w:szCs w:val="22"/>
          <w:lang w:val="en-GB"/>
        </w:rPr>
        <w:t>will:</w:t>
      </w:r>
    </w:p>
    <w:p w14:paraId="514E9EF4" w14:textId="16AE67C6" w:rsidR="00AF0426" w:rsidRPr="00B47649" w:rsidRDefault="00AF0426" w:rsidP="00F417F1">
      <w:pPr>
        <w:pStyle w:val="ListParagraph"/>
        <w:numPr>
          <w:ilvl w:val="0"/>
          <w:numId w:val="16"/>
        </w:numPr>
        <w:suppressLineNumbers/>
        <w:suppressAutoHyphens/>
        <w:spacing w:after="120"/>
        <w:ind w:left="0" w:firstLine="720"/>
        <w:contextualSpacing w:val="0"/>
        <w:jc w:val="both"/>
        <w:rPr>
          <w:kern w:val="22"/>
          <w:sz w:val="22"/>
          <w:szCs w:val="22"/>
          <w:lang w:val="en-GB"/>
        </w:rPr>
      </w:pPr>
      <w:r w:rsidRPr="00B47649">
        <w:rPr>
          <w:kern w:val="22"/>
          <w:sz w:val="22"/>
          <w:szCs w:val="22"/>
          <w:lang w:val="en-GB"/>
        </w:rPr>
        <w:lastRenderedPageBreak/>
        <w:t>Provide a flexible and robust framework to support and facilitate definition and implementation of national priority mainstreaming actions and associated SMART targets, milestones and indicators;</w:t>
      </w:r>
    </w:p>
    <w:p w14:paraId="5034E622" w14:textId="51332FDF" w:rsidR="00AF0426" w:rsidRPr="00B47649" w:rsidRDefault="00AF0426" w:rsidP="00F417F1">
      <w:pPr>
        <w:pStyle w:val="ListParagraph"/>
        <w:numPr>
          <w:ilvl w:val="0"/>
          <w:numId w:val="16"/>
        </w:numPr>
        <w:suppressLineNumbers/>
        <w:suppressAutoHyphens/>
        <w:spacing w:after="120"/>
        <w:ind w:left="0" w:firstLine="720"/>
        <w:contextualSpacing w:val="0"/>
        <w:jc w:val="both"/>
        <w:rPr>
          <w:kern w:val="22"/>
          <w:sz w:val="22"/>
          <w:szCs w:val="22"/>
          <w:lang w:val="en-GB"/>
        </w:rPr>
      </w:pPr>
      <w:r w:rsidRPr="00B47649">
        <w:rPr>
          <w:kern w:val="22"/>
          <w:sz w:val="22"/>
          <w:szCs w:val="22"/>
          <w:lang w:val="en-GB"/>
        </w:rPr>
        <w:t xml:space="preserve">Provide </w:t>
      </w:r>
      <w:r w:rsidR="00AF7B99" w:rsidRPr="00B47649">
        <w:rPr>
          <w:kern w:val="22"/>
          <w:sz w:val="22"/>
          <w:szCs w:val="22"/>
          <w:lang w:val="en-GB"/>
        </w:rPr>
        <w:t xml:space="preserve">suggested </w:t>
      </w:r>
      <w:r w:rsidRPr="00B47649">
        <w:rPr>
          <w:kern w:val="22"/>
          <w:sz w:val="22"/>
          <w:szCs w:val="22"/>
          <w:lang w:val="en-GB"/>
        </w:rPr>
        <w:t>milestones</w:t>
      </w:r>
      <w:r w:rsidR="00DA2972" w:rsidRPr="00B47649">
        <w:rPr>
          <w:kern w:val="22"/>
          <w:sz w:val="22"/>
          <w:szCs w:val="22"/>
          <w:lang w:val="en-GB"/>
        </w:rPr>
        <w:t xml:space="preserve"> </w:t>
      </w:r>
      <w:r w:rsidRPr="00B47649">
        <w:rPr>
          <w:kern w:val="22"/>
          <w:sz w:val="22"/>
          <w:szCs w:val="22"/>
          <w:lang w:val="en-GB"/>
        </w:rPr>
        <w:t>in order to enable monitoring of progress towards outcomes and impacts.</w:t>
      </w:r>
    </w:p>
    <w:p w14:paraId="3D7996DA" w14:textId="3F3B4A3A" w:rsidR="00AF0426" w:rsidRPr="00B47649" w:rsidRDefault="009D7CB7" w:rsidP="0023093B">
      <w:pPr>
        <w:suppressLineNumbers/>
        <w:pBdr>
          <w:top w:val="nil"/>
          <w:left w:val="nil"/>
          <w:bottom w:val="nil"/>
          <w:right w:val="nil"/>
          <w:between w:val="nil"/>
        </w:pBdr>
        <w:suppressAutoHyphens/>
        <w:spacing w:after="200"/>
        <w:jc w:val="both"/>
        <w:rPr>
          <w:kern w:val="22"/>
          <w:sz w:val="22"/>
          <w:szCs w:val="22"/>
          <w:lang w:val="en-GB"/>
        </w:rPr>
      </w:pPr>
      <w:r>
        <w:rPr>
          <w:kern w:val="22"/>
          <w:sz w:val="22"/>
          <w:szCs w:val="22"/>
          <w:lang w:val="en-GB"/>
        </w:rPr>
        <w:t>6</w:t>
      </w:r>
      <w:r w:rsidR="00126F3F" w:rsidRPr="00B47649">
        <w:rPr>
          <w:kern w:val="22"/>
          <w:sz w:val="22"/>
          <w:szCs w:val="22"/>
          <w:lang w:val="en-GB"/>
        </w:rPr>
        <w:t>.</w:t>
      </w:r>
      <w:r w:rsidR="00126F3F" w:rsidRPr="00B47649">
        <w:rPr>
          <w:kern w:val="22"/>
          <w:sz w:val="22"/>
          <w:szCs w:val="22"/>
          <w:lang w:val="en-GB"/>
        </w:rPr>
        <w:tab/>
      </w:r>
      <w:r w:rsidR="00AF0426" w:rsidRPr="00B47649">
        <w:rPr>
          <w:kern w:val="22"/>
          <w:sz w:val="22"/>
          <w:szCs w:val="22"/>
          <w:lang w:val="en-GB"/>
        </w:rPr>
        <w:t xml:space="preserve">In order to facilitate </w:t>
      </w:r>
      <w:r w:rsidR="0023093B">
        <w:rPr>
          <w:kern w:val="22"/>
          <w:sz w:val="22"/>
          <w:szCs w:val="22"/>
          <w:lang w:val="en-GB"/>
        </w:rPr>
        <w:t xml:space="preserve">the </w:t>
      </w:r>
      <w:r w:rsidR="00AF0426" w:rsidRPr="00B47649">
        <w:rPr>
          <w:kern w:val="22"/>
          <w:sz w:val="22"/>
          <w:szCs w:val="22"/>
          <w:lang w:val="en-GB"/>
        </w:rPr>
        <w:t xml:space="preserve">design and implementation of national priority mainstreaming actions, the </w:t>
      </w:r>
      <w:r w:rsidR="004C6A26" w:rsidRPr="00B47649">
        <w:rPr>
          <w:color w:val="000000"/>
          <w:kern w:val="22"/>
          <w:sz w:val="22"/>
          <w:szCs w:val="22"/>
          <w:lang w:val="en-GB"/>
        </w:rPr>
        <w:t>accompanying action plan will also reference useful mainstreaming guidance, tools, and good practice cases.</w:t>
      </w:r>
    </w:p>
    <w:p w14:paraId="3E7079BA" w14:textId="043047CE" w:rsidR="00126F3F" w:rsidRPr="00B47649" w:rsidRDefault="00EF72D7" w:rsidP="00B47649">
      <w:pPr>
        <w:pStyle w:val="Heading2"/>
        <w:suppressLineNumbers/>
        <w:suppressAutoHyphens/>
        <w:spacing w:after="240"/>
        <w:jc w:val="both"/>
        <w:rPr>
          <w:kern w:val="22"/>
          <w:sz w:val="22"/>
          <w:szCs w:val="22"/>
          <w:lang w:val="en-GB"/>
        </w:rPr>
      </w:pPr>
      <w:r w:rsidRPr="00B47649">
        <w:rPr>
          <w:kern w:val="22"/>
          <w:sz w:val="22"/>
          <w:szCs w:val="22"/>
          <w:lang w:val="en-GB"/>
        </w:rPr>
        <w:t xml:space="preserve">Strategy and action areas and proposed </w:t>
      </w:r>
      <w:r w:rsidR="00EF334A" w:rsidRPr="00B47649">
        <w:rPr>
          <w:kern w:val="22"/>
          <w:sz w:val="22"/>
          <w:szCs w:val="22"/>
          <w:lang w:val="en-GB"/>
        </w:rPr>
        <w:t xml:space="preserve">headline </w:t>
      </w:r>
      <w:r w:rsidRPr="00B47649">
        <w:rPr>
          <w:kern w:val="22"/>
          <w:sz w:val="22"/>
          <w:szCs w:val="22"/>
          <w:lang w:val="en-GB"/>
        </w:rPr>
        <w:t>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F0426" w:rsidRPr="00B47649" w14:paraId="67CD7345" w14:textId="77777777" w:rsidTr="000E724D">
        <w:tc>
          <w:tcPr>
            <w:tcW w:w="9350" w:type="dxa"/>
            <w:shd w:val="clear" w:color="auto" w:fill="D6E3BC"/>
          </w:tcPr>
          <w:p w14:paraId="30B340E6" w14:textId="705B5284" w:rsidR="00AF0426" w:rsidRPr="00B47649" w:rsidRDefault="00AF0426" w:rsidP="00B47649">
            <w:pPr>
              <w:suppressLineNumbers/>
              <w:suppressAutoHyphens/>
              <w:jc w:val="both"/>
              <w:rPr>
                <w:b/>
                <w:kern w:val="22"/>
                <w:sz w:val="22"/>
                <w:szCs w:val="22"/>
                <w:lang w:val="en-GB"/>
              </w:rPr>
            </w:pPr>
            <w:r w:rsidRPr="00B47649">
              <w:rPr>
                <w:b/>
                <w:kern w:val="22"/>
                <w:sz w:val="22"/>
                <w:szCs w:val="22"/>
                <w:lang w:val="en-GB"/>
              </w:rPr>
              <w:t xml:space="preserve">Strategy </w:t>
            </w:r>
            <w:r w:rsidR="00D1410D" w:rsidRPr="00B47649">
              <w:rPr>
                <w:b/>
                <w:kern w:val="22"/>
                <w:sz w:val="22"/>
                <w:szCs w:val="22"/>
                <w:lang w:val="en-GB"/>
              </w:rPr>
              <w:t>a</w:t>
            </w:r>
            <w:r w:rsidRPr="00B47649">
              <w:rPr>
                <w:b/>
                <w:kern w:val="22"/>
                <w:sz w:val="22"/>
                <w:szCs w:val="22"/>
                <w:lang w:val="en-GB"/>
              </w:rPr>
              <w:t>rea I: Mainstreaming biodiversity</w:t>
            </w:r>
            <w:r w:rsidR="009A7982" w:rsidRPr="00B47649">
              <w:rPr>
                <w:b/>
                <w:kern w:val="22"/>
                <w:sz w:val="22"/>
                <w:szCs w:val="22"/>
                <w:lang w:val="en-GB"/>
              </w:rPr>
              <w:t xml:space="preserve"> </w:t>
            </w:r>
            <w:r w:rsidRPr="00B47649">
              <w:rPr>
                <w:b/>
                <w:kern w:val="22"/>
                <w:sz w:val="22"/>
                <w:szCs w:val="22"/>
                <w:lang w:val="en-GB"/>
              </w:rPr>
              <w:t>across government and its policies</w:t>
            </w:r>
          </w:p>
        </w:tc>
      </w:tr>
      <w:tr w:rsidR="00AF0426" w:rsidRPr="00B47649" w14:paraId="13EB8D06" w14:textId="77777777" w:rsidTr="00253CF4">
        <w:tc>
          <w:tcPr>
            <w:tcW w:w="9350" w:type="dxa"/>
            <w:shd w:val="clear" w:color="auto" w:fill="D9D9D9"/>
          </w:tcPr>
          <w:p w14:paraId="4FCC155A" w14:textId="58E2D083" w:rsidR="00AF0426" w:rsidRPr="00B47649" w:rsidRDefault="00F614F7" w:rsidP="00B47649">
            <w:pPr>
              <w:suppressLineNumbers/>
              <w:suppressAutoHyphens/>
              <w:spacing w:after="120"/>
              <w:jc w:val="both"/>
              <w:rPr>
                <w:b/>
                <w:kern w:val="22"/>
                <w:sz w:val="22"/>
                <w:szCs w:val="22"/>
                <w:lang w:val="en-GB"/>
              </w:rPr>
            </w:pPr>
            <w:r w:rsidRPr="00B47649">
              <w:rPr>
                <w:b/>
                <w:kern w:val="22"/>
                <w:sz w:val="22"/>
                <w:szCs w:val="22"/>
                <w:lang w:val="en-GB"/>
              </w:rPr>
              <w:t xml:space="preserve">Action </w:t>
            </w:r>
            <w:r w:rsidR="00AF2E42" w:rsidRPr="00B47649">
              <w:rPr>
                <w:b/>
                <w:kern w:val="22"/>
                <w:sz w:val="22"/>
                <w:szCs w:val="22"/>
                <w:lang w:val="en-GB"/>
              </w:rPr>
              <w:t>a</w:t>
            </w:r>
            <w:r w:rsidRPr="00B47649">
              <w:rPr>
                <w:b/>
                <w:kern w:val="22"/>
                <w:sz w:val="22"/>
                <w:szCs w:val="22"/>
                <w:lang w:val="en-GB"/>
              </w:rPr>
              <w:t>rea 1</w:t>
            </w:r>
            <w:r w:rsidR="00AF0426" w:rsidRPr="00B47649">
              <w:rPr>
                <w:b/>
                <w:kern w:val="22"/>
                <w:sz w:val="22"/>
                <w:szCs w:val="22"/>
                <w:lang w:val="en-GB"/>
              </w:rPr>
              <w:t xml:space="preserve">:  </w:t>
            </w:r>
            <w:r w:rsidR="00EB7778" w:rsidRPr="00B47649">
              <w:rPr>
                <w:b/>
                <w:kern w:val="22"/>
                <w:sz w:val="22"/>
                <w:szCs w:val="22"/>
                <w:lang w:val="en-GB"/>
              </w:rPr>
              <w:t>Fully i</w:t>
            </w:r>
            <w:r w:rsidR="00AF0426" w:rsidRPr="00B47649">
              <w:rPr>
                <w:b/>
                <w:kern w:val="22"/>
                <w:sz w:val="22"/>
                <w:szCs w:val="22"/>
                <w:lang w:val="en-GB"/>
              </w:rPr>
              <w:t>ntegrate ecosystem and biodiversity values</w:t>
            </w:r>
            <w:r w:rsidR="00AF0426" w:rsidRPr="00B47649">
              <w:rPr>
                <w:rStyle w:val="FootnoteReference"/>
                <w:rFonts w:eastAsiaTheme="majorEastAsia"/>
                <w:b/>
                <w:kern w:val="22"/>
                <w:szCs w:val="22"/>
                <w:lang w:val="en-GB"/>
              </w:rPr>
              <w:footnoteReference w:id="24"/>
            </w:r>
            <w:r w:rsidR="00AF0426" w:rsidRPr="00B47649">
              <w:rPr>
                <w:b/>
                <w:kern w:val="22"/>
                <w:sz w:val="22"/>
                <w:szCs w:val="22"/>
                <w:lang w:val="en-GB"/>
              </w:rPr>
              <w:t xml:space="preserve"> into national and local planning, development processes, poverty re</w:t>
            </w:r>
            <w:r w:rsidR="0041110F" w:rsidRPr="00B47649">
              <w:rPr>
                <w:b/>
                <w:kern w:val="22"/>
                <w:sz w:val="22"/>
                <w:szCs w:val="22"/>
                <w:lang w:val="en-GB"/>
              </w:rPr>
              <w:t>duction strategies and accounts</w:t>
            </w:r>
            <w:r w:rsidR="00D03A4D" w:rsidRPr="00B47649">
              <w:rPr>
                <w:b/>
                <w:kern w:val="22"/>
                <w:sz w:val="22"/>
                <w:szCs w:val="22"/>
                <w:lang w:val="en-GB"/>
              </w:rPr>
              <w:t>,</w:t>
            </w:r>
            <w:r w:rsidR="00AF0426" w:rsidRPr="00B47649">
              <w:rPr>
                <w:rStyle w:val="FootnoteReference"/>
                <w:rFonts w:eastAsiaTheme="majorEastAsia"/>
                <w:b/>
                <w:kern w:val="22"/>
                <w:szCs w:val="22"/>
                <w:lang w:val="en-GB"/>
              </w:rPr>
              <w:footnoteReference w:id="25"/>
            </w:r>
            <w:r w:rsidR="0041110F" w:rsidRPr="00B47649">
              <w:rPr>
                <w:b/>
                <w:kern w:val="22"/>
                <w:sz w:val="22"/>
                <w:szCs w:val="22"/>
                <w:lang w:val="en-GB"/>
              </w:rPr>
              <w:t xml:space="preserve"> integrating spatial planning and applying the principles of the </w:t>
            </w:r>
            <w:r w:rsidR="00E51DBE" w:rsidRPr="00B47649">
              <w:rPr>
                <w:b/>
                <w:kern w:val="22"/>
                <w:sz w:val="22"/>
                <w:szCs w:val="22"/>
                <w:lang w:val="en-GB"/>
              </w:rPr>
              <w:t>e</w:t>
            </w:r>
            <w:r w:rsidR="0041110F" w:rsidRPr="00B47649">
              <w:rPr>
                <w:b/>
                <w:kern w:val="22"/>
                <w:sz w:val="22"/>
                <w:szCs w:val="22"/>
                <w:lang w:val="en-GB"/>
              </w:rPr>
              <w:t xml:space="preserve">cosystem </w:t>
            </w:r>
            <w:r w:rsidR="00E51DBE" w:rsidRPr="00B47649">
              <w:rPr>
                <w:b/>
                <w:kern w:val="22"/>
                <w:sz w:val="22"/>
                <w:szCs w:val="22"/>
                <w:lang w:val="en-GB"/>
              </w:rPr>
              <w:t>a</w:t>
            </w:r>
            <w:r w:rsidR="0041110F" w:rsidRPr="00B47649">
              <w:rPr>
                <w:b/>
                <w:kern w:val="22"/>
                <w:sz w:val="22"/>
                <w:szCs w:val="22"/>
                <w:lang w:val="en-GB"/>
              </w:rPr>
              <w:t>pproach</w:t>
            </w:r>
            <w:r w:rsidR="00E51DBE" w:rsidRPr="00B47649">
              <w:rPr>
                <w:b/>
                <w:kern w:val="22"/>
                <w:sz w:val="22"/>
                <w:szCs w:val="22"/>
                <w:lang w:val="en-GB"/>
              </w:rPr>
              <w:t>.</w:t>
            </w:r>
            <w:r w:rsidR="0041110F" w:rsidRPr="00B47649">
              <w:rPr>
                <w:rStyle w:val="FootnoteReference"/>
                <w:b/>
                <w:kern w:val="22"/>
                <w:szCs w:val="22"/>
                <w:lang w:val="en-GB"/>
              </w:rPr>
              <w:footnoteReference w:id="26"/>
            </w:r>
          </w:p>
          <w:p w14:paraId="635BFE20" w14:textId="10660763" w:rsidR="00AF0426" w:rsidRPr="00B47649" w:rsidRDefault="00AF0426" w:rsidP="00B47649">
            <w:pPr>
              <w:suppressLineNumbers/>
              <w:suppressAutoHyphens/>
              <w:spacing w:after="120"/>
              <w:jc w:val="both"/>
              <w:rPr>
                <w:kern w:val="22"/>
                <w:sz w:val="22"/>
                <w:szCs w:val="22"/>
                <w:lang w:val="en-GB"/>
              </w:rPr>
            </w:pPr>
            <w:r w:rsidRPr="00B47649">
              <w:rPr>
                <w:kern w:val="22"/>
                <w:sz w:val="22"/>
                <w:szCs w:val="22"/>
                <w:lang w:val="en-GB"/>
              </w:rPr>
              <w:t xml:space="preserve">Indicators </w:t>
            </w:r>
            <w:r w:rsidR="00805A70">
              <w:rPr>
                <w:kern w:val="22"/>
                <w:sz w:val="22"/>
                <w:szCs w:val="22"/>
                <w:lang w:val="en-GB"/>
              </w:rPr>
              <w:t>of</w:t>
            </w:r>
            <w:r w:rsidR="00805A70" w:rsidRPr="00B47649">
              <w:rPr>
                <w:kern w:val="22"/>
                <w:sz w:val="22"/>
                <w:szCs w:val="22"/>
                <w:lang w:val="en-GB"/>
              </w:rPr>
              <w:t xml:space="preserve"> </w:t>
            </w:r>
            <w:r w:rsidRPr="00B47649">
              <w:rPr>
                <w:kern w:val="22"/>
                <w:sz w:val="22"/>
                <w:szCs w:val="22"/>
                <w:lang w:val="en-GB"/>
              </w:rPr>
              <w:t>success:</w:t>
            </w:r>
            <w:r w:rsidRPr="00B47649">
              <w:rPr>
                <w:rStyle w:val="FootnoteReference"/>
                <w:rFonts w:eastAsiaTheme="majorEastAsia"/>
                <w:kern w:val="22"/>
                <w:szCs w:val="22"/>
                <w:lang w:val="en-GB"/>
              </w:rPr>
              <w:footnoteReference w:id="27"/>
            </w:r>
          </w:p>
          <w:p w14:paraId="5B31090F" w14:textId="0CC3FA43" w:rsidR="00AF0426" w:rsidRPr="00B47649" w:rsidRDefault="00AF0426" w:rsidP="00B47649">
            <w:pPr>
              <w:numPr>
                <w:ilvl w:val="0"/>
                <w:numId w:val="17"/>
              </w:numPr>
              <w:suppressLineNumbers/>
              <w:suppressAutoHyphens/>
              <w:spacing w:after="120"/>
              <w:jc w:val="both"/>
              <w:rPr>
                <w:kern w:val="22"/>
                <w:sz w:val="22"/>
                <w:szCs w:val="22"/>
                <w:lang w:val="en-GB"/>
              </w:rPr>
            </w:pPr>
            <w:r w:rsidRPr="00B47649">
              <w:rPr>
                <w:kern w:val="22"/>
                <w:sz w:val="22"/>
                <w:szCs w:val="22"/>
                <w:lang w:val="en-GB"/>
              </w:rPr>
              <w:t xml:space="preserve">Number of countries that have established national targets in accordance with the </w:t>
            </w:r>
            <w:r w:rsidR="00E72A3B" w:rsidRPr="00B47649">
              <w:rPr>
                <w:kern w:val="22"/>
                <w:sz w:val="22"/>
                <w:szCs w:val="22"/>
                <w:lang w:val="en-GB"/>
              </w:rPr>
              <w:t xml:space="preserve">above </w:t>
            </w:r>
            <w:r w:rsidRPr="00B47649">
              <w:rPr>
                <w:kern w:val="22"/>
                <w:sz w:val="22"/>
                <w:szCs w:val="22"/>
                <w:lang w:val="en-GB"/>
              </w:rPr>
              <w:t xml:space="preserve">goal in their </w:t>
            </w:r>
            <w:r w:rsidR="00E51DBE" w:rsidRPr="00B47649">
              <w:rPr>
                <w:kern w:val="22"/>
                <w:sz w:val="22"/>
                <w:szCs w:val="22"/>
                <w:lang w:val="en-GB"/>
              </w:rPr>
              <w:t>n</w:t>
            </w:r>
            <w:r w:rsidRPr="00B47649">
              <w:rPr>
                <w:kern w:val="22"/>
                <w:sz w:val="22"/>
                <w:szCs w:val="22"/>
                <w:lang w:val="en-GB"/>
              </w:rPr>
              <w:t xml:space="preserve">ational </w:t>
            </w:r>
            <w:r w:rsidR="00E51DBE" w:rsidRPr="00B47649">
              <w:rPr>
                <w:kern w:val="22"/>
                <w:sz w:val="22"/>
                <w:szCs w:val="22"/>
                <w:lang w:val="en-GB"/>
              </w:rPr>
              <w:t>b</w:t>
            </w:r>
            <w:r w:rsidRPr="00B47649">
              <w:rPr>
                <w:kern w:val="22"/>
                <w:sz w:val="22"/>
                <w:szCs w:val="22"/>
                <w:lang w:val="en-GB"/>
              </w:rPr>
              <w:t xml:space="preserve">iodiversity </w:t>
            </w:r>
            <w:r w:rsidR="00E51DBE" w:rsidRPr="00B47649">
              <w:rPr>
                <w:kern w:val="22"/>
                <w:sz w:val="22"/>
                <w:szCs w:val="22"/>
                <w:lang w:val="en-GB"/>
              </w:rPr>
              <w:t>s</w:t>
            </w:r>
            <w:r w:rsidRPr="00B47649">
              <w:rPr>
                <w:kern w:val="22"/>
                <w:sz w:val="22"/>
                <w:szCs w:val="22"/>
                <w:lang w:val="en-GB"/>
              </w:rPr>
              <w:t xml:space="preserve">trategy and </w:t>
            </w:r>
            <w:r w:rsidR="00E51DBE" w:rsidRPr="00B47649">
              <w:rPr>
                <w:kern w:val="22"/>
                <w:sz w:val="22"/>
                <w:szCs w:val="22"/>
                <w:lang w:val="en-GB"/>
              </w:rPr>
              <w:t>a</w:t>
            </w:r>
            <w:r w:rsidRPr="00B47649">
              <w:rPr>
                <w:kern w:val="22"/>
                <w:sz w:val="22"/>
                <w:szCs w:val="22"/>
                <w:lang w:val="en-GB"/>
              </w:rPr>
              <w:t xml:space="preserve">ction </w:t>
            </w:r>
            <w:r w:rsidR="00E51DBE" w:rsidRPr="00B47649">
              <w:rPr>
                <w:kern w:val="22"/>
                <w:sz w:val="22"/>
                <w:szCs w:val="22"/>
                <w:lang w:val="en-GB"/>
              </w:rPr>
              <w:t>p</w:t>
            </w:r>
            <w:r w:rsidRPr="00B47649">
              <w:rPr>
                <w:kern w:val="22"/>
                <w:sz w:val="22"/>
                <w:szCs w:val="22"/>
                <w:lang w:val="en-GB"/>
              </w:rPr>
              <w:t>lan (NBSAP) and the progress reported towards these targets</w:t>
            </w:r>
            <w:r w:rsidR="00E51DBE" w:rsidRPr="00B47649">
              <w:rPr>
                <w:kern w:val="22"/>
                <w:sz w:val="22"/>
                <w:szCs w:val="22"/>
                <w:lang w:val="en-GB"/>
              </w:rPr>
              <w:t>;</w:t>
            </w:r>
          </w:p>
          <w:p w14:paraId="033572D3" w14:textId="55649D87" w:rsidR="00AF0426" w:rsidRPr="00B47649" w:rsidRDefault="00AF0426" w:rsidP="00B47649">
            <w:pPr>
              <w:numPr>
                <w:ilvl w:val="0"/>
                <w:numId w:val="17"/>
              </w:numPr>
              <w:suppressLineNumbers/>
              <w:suppressAutoHyphens/>
              <w:spacing w:after="120"/>
              <w:jc w:val="both"/>
              <w:rPr>
                <w:kern w:val="22"/>
                <w:sz w:val="22"/>
                <w:szCs w:val="22"/>
                <w:lang w:val="en-GB"/>
              </w:rPr>
            </w:pPr>
            <w:r w:rsidRPr="00B47649">
              <w:rPr>
                <w:kern w:val="22"/>
                <w:sz w:val="22"/>
                <w:szCs w:val="22"/>
                <w:lang w:val="en-GB"/>
              </w:rPr>
              <w:t>Number of countries that have integrated biodiversity impacts and dependency measurement and values into national accounting and reporting systems, defined as implementation of the System of Environmental-Economic Accounting (SEEA)</w:t>
            </w:r>
            <w:r w:rsidR="00E51DBE" w:rsidRPr="00B47649">
              <w:rPr>
                <w:kern w:val="22"/>
                <w:sz w:val="22"/>
                <w:szCs w:val="22"/>
                <w:lang w:val="en-GB"/>
              </w:rPr>
              <w:t>;</w:t>
            </w:r>
          </w:p>
          <w:p w14:paraId="24C985D7" w14:textId="1DFAAAB7" w:rsidR="003C4392" w:rsidRPr="00B47649" w:rsidRDefault="003C4392" w:rsidP="00B47649">
            <w:pPr>
              <w:numPr>
                <w:ilvl w:val="0"/>
                <w:numId w:val="17"/>
              </w:numPr>
              <w:suppressLineNumbers/>
              <w:suppressAutoHyphens/>
              <w:spacing w:after="120"/>
              <w:jc w:val="both"/>
              <w:rPr>
                <w:kern w:val="22"/>
                <w:sz w:val="22"/>
                <w:szCs w:val="22"/>
                <w:lang w:val="en-GB"/>
              </w:rPr>
            </w:pPr>
            <w:r w:rsidRPr="00B47649">
              <w:rPr>
                <w:kern w:val="22"/>
                <w:sz w:val="22"/>
                <w:szCs w:val="22"/>
                <w:lang w:val="en-GB"/>
              </w:rPr>
              <w:t xml:space="preserve">Number of countries that have </w:t>
            </w:r>
            <w:r w:rsidR="00A00C4C" w:rsidRPr="00B47649">
              <w:rPr>
                <w:kern w:val="22"/>
                <w:sz w:val="22"/>
                <w:szCs w:val="22"/>
                <w:lang w:val="en-GB"/>
              </w:rPr>
              <w:t xml:space="preserve">included </w:t>
            </w:r>
            <w:r w:rsidRPr="00B47649">
              <w:rPr>
                <w:kern w:val="22"/>
                <w:sz w:val="22"/>
                <w:szCs w:val="22"/>
                <w:lang w:val="en-GB"/>
              </w:rPr>
              <w:t xml:space="preserve">biodiversity targets within key policy documents, such as </w:t>
            </w:r>
            <w:r w:rsidR="0012028D" w:rsidRPr="00B47649">
              <w:rPr>
                <w:kern w:val="22"/>
                <w:sz w:val="22"/>
                <w:szCs w:val="22"/>
                <w:lang w:val="en-GB"/>
              </w:rPr>
              <w:t>n</w:t>
            </w:r>
            <w:r w:rsidRPr="00B47649">
              <w:rPr>
                <w:kern w:val="22"/>
                <w:sz w:val="22"/>
                <w:szCs w:val="22"/>
                <w:lang w:val="en-GB"/>
              </w:rPr>
              <w:t xml:space="preserve">ational </w:t>
            </w:r>
            <w:r w:rsidR="0012028D" w:rsidRPr="00B47649">
              <w:rPr>
                <w:kern w:val="22"/>
                <w:sz w:val="22"/>
                <w:szCs w:val="22"/>
                <w:lang w:val="en-GB"/>
              </w:rPr>
              <w:t>a</w:t>
            </w:r>
            <w:r w:rsidRPr="00B47649">
              <w:rPr>
                <w:kern w:val="22"/>
                <w:sz w:val="22"/>
                <w:szCs w:val="22"/>
                <w:lang w:val="en-GB"/>
              </w:rPr>
              <w:t xml:space="preserve">ction </w:t>
            </w:r>
            <w:r w:rsidR="0012028D" w:rsidRPr="00B47649">
              <w:rPr>
                <w:kern w:val="22"/>
                <w:sz w:val="22"/>
                <w:szCs w:val="22"/>
                <w:lang w:val="en-GB"/>
              </w:rPr>
              <w:t>p</w:t>
            </w:r>
            <w:r w:rsidRPr="00B47649">
              <w:rPr>
                <w:kern w:val="22"/>
                <w:sz w:val="22"/>
                <w:szCs w:val="22"/>
                <w:lang w:val="en-GB"/>
              </w:rPr>
              <w:t xml:space="preserve">lans to address </w:t>
            </w:r>
            <w:r w:rsidR="0012028D" w:rsidRPr="00B47649">
              <w:rPr>
                <w:kern w:val="22"/>
                <w:sz w:val="22"/>
                <w:szCs w:val="22"/>
                <w:lang w:val="en-GB"/>
              </w:rPr>
              <w:t>c</w:t>
            </w:r>
            <w:r w:rsidRPr="00B47649">
              <w:rPr>
                <w:kern w:val="22"/>
                <w:sz w:val="22"/>
                <w:szCs w:val="22"/>
                <w:lang w:val="en-GB"/>
              </w:rPr>
              <w:t xml:space="preserve">limate </w:t>
            </w:r>
            <w:r w:rsidR="0012028D" w:rsidRPr="00B47649">
              <w:rPr>
                <w:kern w:val="22"/>
                <w:sz w:val="22"/>
                <w:szCs w:val="22"/>
                <w:lang w:val="en-GB"/>
              </w:rPr>
              <w:t>c</w:t>
            </w:r>
            <w:r w:rsidRPr="00B47649">
              <w:rPr>
                <w:kern w:val="22"/>
                <w:sz w:val="22"/>
                <w:szCs w:val="22"/>
                <w:lang w:val="en-GB"/>
              </w:rPr>
              <w:t xml:space="preserve">hange </w:t>
            </w:r>
            <w:r w:rsidR="001152D1">
              <w:rPr>
                <w:kern w:val="22"/>
                <w:sz w:val="22"/>
                <w:szCs w:val="22"/>
                <w:lang w:val="en-GB"/>
              </w:rPr>
              <w:t xml:space="preserve">and </w:t>
            </w:r>
            <w:r w:rsidR="0012028D" w:rsidRPr="00B47649">
              <w:rPr>
                <w:kern w:val="22"/>
                <w:sz w:val="22"/>
                <w:szCs w:val="22"/>
                <w:lang w:val="en-GB"/>
              </w:rPr>
              <w:t>n</w:t>
            </w:r>
            <w:r w:rsidRPr="00B47649">
              <w:rPr>
                <w:kern w:val="22"/>
                <w:sz w:val="22"/>
                <w:szCs w:val="22"/>
                <w:lang w:val="en-GB"/>
              </w:rPr>
              <w:t xml:space="preserve">ational </w:t>
            </w:r>
            <w:r w:rsidR="0012028D" w:rsidRPr="00B47649">
              <w:rPr>
                <w:kern w:val="22"/>
                <w:sz w:val="22"/>
                <w:szCs w:val="22"/>
                <w:lang w:val="en-GB"/>
              </w:rPr>
              <w:t>d</w:t>
            </w:r>
            <w:r w:rsidRPr="00B47649">
              <w:rPr>
                <w:kern w:val="22"/>
                <w:sz w:val="22"/>
                <w:szCs w:val="22"/>
                <w:lang w:val="en-GB"/>
              </w:rPr>
              <w:t xml:space="preserve">evelopments </w:t>
            </w:r>
            <w:r w:rsidR="0012028D" w:rsidRPr="00B47649">
              <w:rPr>
                <w:kern w:val="22"/>
                <w:sz w:val="22"/>
                <w:szCs w:val="22"/>
                <w:lang w:val="en-GB"/>
              </w:rPr>
              <w:t>p</w:t>
            </w:r>
            <w:r w:rsidRPr="00B47649">
              <w:rPr>
                <w:kern w:val="22"/>
                <w:sz w:val="22"/>
                <w:szCs w:val="22"/>
                <w:lang w:val="en-GB"/>
              </w:rPr>
              <w:t>lans, as well as the progress reported towards these targets.</w:t>
            </w:r>
          </w:p>
          <w:p w14:paraId="3482AB1F" w14:textId="5D26205F" w:rsidR="00AF0426" w:rsidRPr="00B47649" w:rsidRDefault="00AF0426" w:rsidP="00B47649">
            <w:pPr>
              <w:pStyle w:val="ListParagraph"/>
              <w:suppressLineNumbers/>
              <w:suppressAutoHyphens/>
              <w:spacing w:after="120"/>
              <w:ind w:left="0"/>
              <w:contextualSpacing w:val="0"/>
              <w:jc w:val="both"/>
              <w:rPr>
                <w:kern w:val="22"/>
                <w:sz w:val="22"/>
                <w:szCs w:val="22"/>
                <w:lang w:val="en-GB"/>
              </w:rPr>
            </w:pPr>
            <w:r w:rsidRPr="00B47649">
              <w:rPr>
                <w:b/>
                <w:bCs/>
                <w:kern w:val="22"/>
                <w:sz w:val="22"/>
                <w:szCs w:val="22"/>
                <w:lang w:val="en-GB"/>
              </w:rPr>
              <w:t>Rationale:</w:t>
            </w:r>
            <w:r w:rsidRPr="00B47649">
              <w:rPr>
                <w:kern w:val="22"/>
                <w:sz w:val="22"/>
                <w:szCs w:val="22"/>
                <w:lang w:val="en-GB"/>
              </w:rPr>
              <w:t xml:space="preserve"> Mainstreaming across governments and its policies will ensure that biological diversity is considered in all relevant policy areas of governments at all levels, in particular with regard to policies related to finance, economics and trade, planning, development, poverty alleviation, reducing inequality and food </w:t>
            </w:r>
            <w:r w:rsidR="007B3AAD" w:rsidRPr="00B47649">
              <w:rPr>
                <w:kern w:val="22"/>
                <w:sz w:val="22"/>
                <w:szCs w:val="22"/>
                <w:lang w:val="en-GB"/>
              </w:rPr>
              <w:t xml:space="preserve">and water </w:t>
            </w:r>
            <w:r w:rsidRPr="00B47649">
              <w:rPr>
                <w:kern w:val="22"/>
                <w:sz w:val="22"/>
                <w:szCs w:val="22"/>
                <w:lang w:val="en-GB"/>
              </w:rPr>
              <w:t xml:space="preserve">security, </w:t>
            </w:r>
            <w:r w:rsidR="00012D3B" w:rsidRPr="00B47649">
              <w:rPr>
                <w:kern w:val="22"/>
                <w:sz w:val="22"/>
                <w:szCs w:val="22"/>
                <w:lang w:val="en-GB"/>
              </w:rPr>
              <w:t xml:space="preserve">promoting an integrated approach to </w:t>
            </w:r>
            <w:r w:rsidR="00275777" w:rsidRPr="00B47649">
              <w:rPr>
                <w:kern w:val="22"/>
                <w:sz w:val="22"/>
                <w:szCs w:val="22"/>
                <w:lang w:val="en-GB"/>
              </w:rPr>
              <w:t xml:space="preserve">health, </w:t>
            </w:r>
            <w:r w:rsidRPr="00B47649">
              <w:rPr>
                <w:kern w:val="22"/>
                <w:sz w:val="22"/>
                <w:szCs w:val="22"/>
                <w:lang w:val="en-GB"/>
              </w:rPr>
              <w:t xml:space="preserve">research and innovation, scientific and technological cooperation, development cooperation, climate change and desertification, as well as policies related to key economic sectors, in particular those that relate to the IPBES </w:t>
            </w:r>
            <w:r w:rsidR="003D0A88" w:rsidRPr="00B47649">
              <w:rPr>
                <w:kern w:val="22"/>
                <w:sz w:val="22"/>
                <w:szCs w:val="22"/>
                <w:lang w:val="en-GB"/>
              </w:rPr>
              <w:t>approach for sustainability, possible actions and pathways</w:t>
            </w:r>
            <w:r w:rsidR="00D434FB" w:rsidRPr="00B47649">
              <w:rPr>
                <w:kern w:val="22"/>
                <w:sz w:val="22"/>
                <w:szCs w:val="22"/>
                <w:lang w:val="en-GB"/>
              </w:rPr>
              <w:t>,</w:t>
            </w:r>
            <w:r w:rsidR="003D0A88" w:rsidRPr="00B47649">
              <w:rPr>
                <w:rStyle w:val="FootnoteReference"/>
                <w:kern w:val="22"/>
                <w:szCs w:val="22"/>
                <w:lang w:val="en-GB"/>
              </w:rPr>
              <w:footnoteReference w:id="28"/>
            </w:r>
            <w:r w:rsidR="003D0A88" w:rsidRPr="00B47649">
              <w:rPr>
                <w:kern w:val="22"/>
                <w:sz w:val="22"/>
                <w:szCs w:val="22"/>
                <w:lang w:val="en-GB"/>
              </w:rPr>
              <w:t xml:space="preserve"> and </w:t>
            </w:r>
            <w:r w:rsidRPr="00B47649">
              <w:rPr>
                <w:kern w:val="22"/>
                <w:sz w:val="22"/>
                <w:szCs w:val="22"/>
                <w:lang w:val="en-GB"/>
              </w:rPr>
              <w:t>nexus areas</w:t>
            </w:r>
            <w:r w:rsidR="00D434FB" w:rsidRPr="00B47649">
              <w:rPr>
                <w:kern w:val="22"/>
                <w:sz w:val="22"/>
                <w:szCs w:val="22"/>
                <w:lang w:val="en-GB"/>
              </w:rPr>
              <w:t>.</w:t>
            </w:r>
            <w:r w:rsidR="003D0A88" w:rsidRPr="00B47649">
              <w:rPr>
                <w:rStyle w:val="FootnoteReference"/>
                <w:kern w:val="22"/>
                <w:szCs w:val="22"/>
                <w:lang w:val="en-GB"/>
              </w:rPr>
              <w:footnoteReference w:id="29"/>
            </w:r>
          </w:p>
        </w:tc>
      </w:tr>
      <w:tr w:rsidR="00AF0426" w:rsidRPr="00B47649" w14:paraId="31AF0A84" w14:textId="77777777" w:rsidTr="00253CF4">
        <w:tc>
          <w:tcPr>
            <w:tcW w:w="9350" w:type="dxa"/>
            <w:shd w:val="clear" w:color="auto" w:fill="FFFFFF"/>
            <w:vAlign w:val="center"/>
          </w:tcPr>
          <w:p w14:paraId="4E8DD19B" w14:textId="0B9F62B9"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1.1: </w:t>
            </w:r>
            <w:r w:rsidRPr="00B47649">
              <w:rPr>
                <w:b/>
                <w:iCs/>
                <w:kern w:val="22"/>
                <w:sz w:val="22"/>
                <w:szCs w:val="22"/>
                <w:lang w:val="en-GB"/>
              </w:rPr>
              <w:t>G</w:t>
            </w:r>
            <w:r w:rsidR="00AF0426" w:rsidRPr="00B47649">
              <w:rPr>
                <w:b/>
                <w:iCs/>
                <w:kern w:val="22"/>
                <w:sz w:val="22"/>
                <w:szCs w:val="22"/>
                <w:lang w:val="en-GB"/>
              </w:rPr>
              <w:t xml:space="preserve">overnments </w:t>
            </w:r>
            <w:r w:rsidR="00996CF7" w:rsidRPr="00B47649">
              <w:rPr>
                <w:b/>
                <w:iCs/>
                <w:kern w:val="22"/>
                <w:sz w:val="22"/>
                <w:szCs w:val="22"/>
                <w:lang w:val="en-GB"/>
              </w:rPr>
              <w:t xml:space="preserve">at all levels </w:t>
            </w:r>
            <w:r w:rsidR="00EB7778" w:rsidRPr="00B47649">
              <w:rPr>
                <w:b/>
                <w:iCs/>
                <w:kern w:val="22"/>
                <w:sz w:val="22"/>
                <w:szCs w:val="22"/>
                <w:lang w:val="en-GB"/>
              </w:rPr>
              <w:t xml:space="preserve">systematically </w:t>
            </w:r>
            <w:r w:rsidR="00AF0426" w:rsidRPr="00B47649">
              <w:rPr>
                <w:b/>
                <w:iCs/>
                <w:kern w:val="22"/>
                <w:sz w:val="22"/>
                <w:szCs w:val="22"/>
                <w:lang w:val="en-GB"/>
              </w:rPr>
              <w:t xml:space="preserve">apply strengthened </w:t>
            </w:r>
            <w:r w:rsidR="003074AC" w:rsidRPr="00B47649">
              <w:rPr>
                <w:b/>
                <w:iCs/>
                <w:kern w:val="22"/>
                <w:sz w:val="22"/>
                <w:szCs w:val="22"/>
                <w:lang w:val="en-GB"/>
              </w:rPr>
              <w:t xml:space="preserve">biodiversity </w:t>
            </w:r>
            <w:r w:rsidR="00AF0426" w:rsidRPr="00B47649">
              <w:rPr>
                <w:b/>
                <w:iCs/>
                <w:kern w:val="22"/>
                <w:sz w:val="22"/>
                <w:szCs w:val="22"/>
                <w:lang w:val="en-GB"/>
              </w:rPr>
              <w:t>assessment, valuation, and accounting tools and methodologies</w:t>
            </w:r>
            <w:r w:rsidR="002E426D" w:rsidRPr="00B47649">
              <w:rPr>
                <w:b/>
                <w:iCs/>
                <w:kern w:val="22"/>
                <w:sz w:val="22"/>
                <w:szCs w:val="22"/>
                <w:lang w:val="en-GB"/>
              </w:rPr>
              <w:t xml:space="preserve"> for biodiversity mainstreaming</w:t>
            </w:r>
            <w:r w:rsidR="00AF0426" w:rsidRPr="00B47649">
              <w:rPr>
                <w:b/>
                <w:iCs/>
                <w:kern w:val="22"/>
                <w:sz w:val="22"/>
                <w:szCs w:val="22"/>
                <w:lang w:val="en-GB"/>
              </w:rPr>
              <w:t>, and use results to inform decision-making.</w:t>
            </w:r>
          </w:p>
        </w:tc>
      </w:tr>
      <w:tr w:rsidR="00AF0426" w:rsidRPr="00B47649" w14:paraId="7DD1360A" w14:textId="77777777" w:rsidTr="00253CF4">
        <w:tc>
          <w:tcPr>
            <w:tcW w:w="9350" w:type="dxa"/>
            <w:shd w:val="clear" w:color="auto" w:fill="FFFFFF"/>
          </w:tcPr>
          <w:p w14:paraId="23333050" w14:textId="251FE5B3"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1.2: </w:t>
            </w:r>
            <w:r w:rsidR="003543C1" w:rsidRPr="00B47649">
              <w:rPr>
                <w:b/>
                <w:iCs/>
                <w:kern w:val="22"/>
                <w:sz w:val="22"/>
                <w:szCs w:val="22"/>
                <w:lang w:val="en-GB"/>
              </w:rPr>
              <w:t>G</w:t>
            </w:r>
            <w:r w:rsidR="00AF0426" w:rsidRPr="00B47649">
              <w:rPr>
                <w:b/>
                <w:iCs/>
                <w:kern w:val="22"/>
                <w:sz w:val="22"/>
                <w:szCs w:val="22"/>
                <w:lang w:val="en-GB"/>
              </w:rPr>
              <w:t xml:space="preserve">overnments </w:t>
            </w:r>
            <w:r w:rsidRPr="00B47649">
              <w:rPr>
                <w:b/>
                <w:iCs/>
                <w:kern w:val="22"/>
                <w:sz w:val="22"/>
                <w:szCs w:val="22"/>
                <w:lang w:val="en-GB"/>
              </w:rPr>
              <w:t>enhance</w:t>
            </w:r>
            <w:r w:rsidR="00B62ADE" w:rsidRPr="00B47649">
              <w:rPr>
                <w:b/>
                <w:iCs/>
                <w:kern w:val="22"/>
                <w:sz w:val="22"/>
                <w:szCs w:val="22"/>
                <w:lang w:val="en-GB"/>
              </w:rPr>
              <w:t xml:space="preserve"> </w:t>
            </w:r>
            <w:r w:rsidR="00AF0426" w:rsidRPr="00B47649">
              <w:rPr>
                <w:b/>
                <w:iCs/>
                <w:kern w:val="22"/>
                <w:sz w:val="22"/>
                <w:szCs w:val="22"/>
                <w:lang w:val="en-GB"/>
              </w:rPr>
              <w:t xml:space="preserve">policy coherence by establishing effective structures and processes for </w:t>
            </w:r>
            <w:proofErr w:type="spellStart"/>
            <w:r w:rsidR="00AF0426" w:rsidRPr="00B47649">
              <w:rPr>
                <w:b/>
                <w:iCs/>
                <w:kern w:val="22"/>
                <w:sz w:val="22"/>
                <w:szCs w:val="22"/>
                <w:lang w:val="en-GB"/>
              </w:rPr>
              <w:t>interministerial</w:t>
            </w:r>
            <w:proofErr w:type="spellEnd"/>
            <w:r w:rsidR="00AF0426" w:rsidRPr="00B47649">
              <w:rPr>
                <w:b/>
                <w:iCs/>
                <w:kern w:val="22"/>
                <w:sz w:val="22"/>
                <w:szCs w:val="22"/>
                <w:lang w:val="en-GB"/>
              </w:rPr>
              <w:t xml:space="preserve"> and cross</w:t>
            </w:r>
            <w:r w:rsidR="00A53276" w:rsidRPr="00B47649">
              <w:rPr>
                <w:b/>
                <w:iCs/>
                <w:kern w:val="22"/>
                <w:sz w:val="22"/>
                <w:szCs w:val="22"/>
                <w:lang w:val="en-GB"/>
              </w:rPr>
              <w:t>-</w:t>
            </w:r>
            <w:r w:rsidR="00AF0426" w:rsidRPr="00B47649">
              <w:rPr>
                <w:b/>
                <w:iCs/>
                <w:kern w:val="22"/>
                <w:sz w:val="22"/>
                <w:szCs w:val="22"/>
                <w:lang w:val="en-GB"/>
              </w:rPr>
              <w:t xml:space="preserve">sectoral collaboration and for coordination of programmes and policies </w:t>
            </w:r>
            <w:r w:rsidR="002E426D" w:rsidRPr="00B47649">
              <w:rPr>
                <w:b/>
                <w:iCs/>
                <w:kern w:val="22"/>
                <w:sz w:val="22"/>
                <w:szCs w:val="22"/>
                <w:lang w:val="en-GB"/>
              </w:rPr>
              <w:t xml:space="preserve">related to biodiversity </w:t>
            </w:r>
            <w:r w:rsidR="00AF0426" w:rsidRPr="00B47649">
              <w:rPr>
                <w:b/>
                <w:iCs/>
                <w:kern w:val="22"/>
                <w:sz w:val="22"/>
                <w:szCs w:val="22"/>
                <w:lang w:val="en-GB"/>
              </w:rPr>
              <w:t>among national, subnational and local governments.</w:t>
            </w:r>
          </w:p>
        </w:tc>
      </w:tr>
      <w:tr w:rsidR="00AF0426" w:rsidRPr="00B47649" w14:paraId="1DF3B1EC" w14:textId="77777777" w:rsidTr="00253CF4">
        <w:trPr>
          <w:trHeight w:val="1005"/>
        </w:trPr>
        <w:tc>
          <w:tcPr>
            <w:tcW w:w="9350" w:type="dxa"/>
            <w:shd w:val="clear" w:color="auto" w:fill="FFFFFF"/>
          </w:tcPr>
          <w:p w14:paraId="5E131AB0" w14:textId="53BBD8D8"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lastRenderedPageBreak/>
              <w:t xml:space="preserve">Action </w:t>
            </w:r>
            <w:r w:rsidR="00AF0426" w:rsidRPr="00B47649">
              <w:rPr>
                <w:b/>
                <w:iCs/>
                <w:kern w:val="22"/>
                <w:sz w:val="22"/>
                <w:szCs w:val="22"/>
                <w:lang w:val="en-GB"/>
              </w:rPr>
              <w:t xml:space="preserve">1.3: </w:t>
            </w:r>
            <w:r w:rsidR="003543C1" w:rsidRPr="00B47649">
              <w:rPr>
                <w:b/>
                <w:iCs/>
                <w:kern w:val="22"/>
                <w:sz w:val="22"/>
                <w:szCs w:val="22"/>
                <w:lang w:val="en-GB"/>
              </w:rPr>
              <w:t>G</w:t>
            </w:r>
            <w:r w:rsidR="00AF0426" w:rsidRPr="00B47649">
              <w:rPr>
                <w:b/>
                <w:iCs/>
                <w:kern w:val="22"/>
                <w:sz w:val="22"/>
                <w:szCs w:val="22"/>
                <w:lang w:val="en-GB"/>
              </w:rPr>
              <w:t xml:space="preserve">overnments </w:t>
            </w:r>
            <w:r w:rsidR="00996CF7" w:rsidRPr="00B47649">
              <w:rPr>
                <w:b/>
                <w:iCs/>
                <w:kern w:val="22"/>
                <w:sz w:val="22"/>
                <w:szCs w:val="22"/>
                <w:lang w:val="en-GB"/>
              </w:rPr>
              <w:t xml:space="preserve">at all levels </w:t>
            </w:r>
            <w:r w:rsidRPr="00B47649">
              <w:rPr>
                <w:b/>
                <w:iCs/>
                <w:kern w:val="22"/>
                <w:sz w:val="22"/>
                <w:szCs w:val="22"/>
                <w:lang w:val="en-GB"/>
              </w:rPr>
              <w:t>implement</w:t>
            </w:r>
            <w:r w:rsidR="00AF0426" w:rsidRPr="00B47649">
              <w:rPr>
                <w:b/>
                <w:iCs/>
                <w:kern w:val="22"/>
                <w:sz w:val="22"/>
                <w:szCs w:val="22"/>
                <w:lang w:val="en-GB"/>
              </w:rPr>
              <w:t xml:space="preserve"> integrated </w:t>
            </w:r>
            <w:r w:rsidR="00FB4BEA" w:rsidRPr="00B47649">
              <w:rPr>
                <w:b/>
                <w:iCs/>
                <w:kern w:val="22"/>
                <w:sz w:val="22"/>
                <w:szCs w:val="22"/>
                <w:lang w:val="en-GB"/>
              </w:rPr>
              <w:t xml:space="preserve">spatial planning and </w:t>
            </w:r>
            <w:r w:rsidR="00AF0426" w:rsidRPr="00B47649">
              <w:rPr>
                <w:b/>
                <w:iCs/>
                <w:kern w:val="22"/>
                <w:sz w:val="22"/>
                <w:szCs w:val="22"/>
                <w:lang w:val="en-GB"/>
              </w:rPr>
              <w:t xml:space="preserve">management for </w:t>
            </w:r>
            <w:r w:rsidR="00AF0426" w:rsidRPr="00B47649">
              <w:rPr>
                <w:b/>
                <w:bCs/>
                <w:iCs/>
                <w:color w:val="000000"/>
                <w:kern w:val="22"/>
                <w:sz w:val="22"/>
                <w:szCs w:val="22"/>
                <w:lang w:val="en-GB"/>
              </w:rPr>
              <w:t xml:space="preserve">decreasing negative and increasing positive </w:t>
            </w:r>
            <w:r w:rsidR="00AF0426" w:rsidRPr="00B47649">
              <w:rPr>
                <w:b/>
                <w:iCs/>
                <w:kern w:val="22"/>
                <w:sz w:val="22"/>
                <w:szCs w:val="22"/>
                <w:lang w:val="en-GB"/>
              </w:rPr>
              <w:t>impacts on b</w:t>
            </w:r>
            <w:r w:rsidR="00146B37" w:rsidRPr="00B47649">
              <w:rPr>
                <w:b/>
                <w:iCs/>
                <w:kern w:val="22"/>
                <w:sz w:val="22"/>
                <w:szCs w:val="22"/>
                <w:lang w:val="en-GB"/>
              </w:rPr>
              <w:t xml:space="preserve">iodiversity at landscape, </w:t>
            </w:r>
            <w:r w:rsidR="00AF0426" w:rsidRPr="00B47649">
              <w:rPr>
                <w:b/>
                <w:iCs/>
                <w:kern w:val="22"/>
                <w:sz w:val="22"/>
                <w:szCs w:val="22"/>
                <w:lang w:val="en-GB"/>
              </w:rPr>
              <w:t xml:space="preserve">seascape </w:t>
            </w:r>
            <w:r w:rsidR="00146B37" w:rsidRPr="00B47649">
              <w:rPr>
                <w:b/>
                <w:iCs/>
                <w:kern w:val="22"/>
                <w:sz w:val="22"/>
                <w:szCs w:val="22"/>
                <w:lang w:val="en-GB"/>
              </w:rPr>
              <w:t xml:space="preserve">and urban </w:t>
            </w:r>
            <w:r w:rsidR="00AF0426" w:rsidRPr="00B47649">
              <w:rPr>
                <w:b/>
                <w:iCs/>
                <w:kern w:val="22"/>
                <w:sz w:val="22"/>
                <w:szCs w:val="22"/>
                <w:lang w:val="en-GB"/>
              </w:rPr>
              <w:t xml:space="preserve">levels, including, as appropriate, </w:t>
            </w:r>
            <w:r w:rsidR="009F7D24" w:rsidRPr="00B47649">
              <w:rPr>
                <w:b/>
                <w:iCs/>
                <w:kern w:val="22"/>
                <w:sz w:val="22"/>
                <w:szCs w:val="22"/>
                <w:lang w:val="en-GB"/>
              </w:rPr>
              <w:t xml:space="preserve">through </w:t>
            </w:r>
            <w:r w:rsidR="00AF0426" w:rsidRPr="00B47649">
              <w:rPr>
                <w:b/>
                <w:iCs/>
                <w:kern w:val="22"/>
                <w:sz w:val="22"/>
                <w:szCs w:val="22"/>
                <w:lang w:val="en-GB"/>
              </w:rPr>
              <w:t>voluntary or regulatory plans, and innovative policies and programmes related to economic sectors affecting biodiversity loss, respecting the mitigation hierarchy and striving towards net positive impacts.</w:t>
            </w:r>
          </w:p>
        </w:tc>
      </w:tr>
      <w:tr w:rsidR="00AF0426" w:rsidRPr="00B47649" w14:paraId="4E75116D" w14:textId="77777777" w:rsidTr="00253CF4">
        <w:tc>
          <w:tcPr>
            <w:tcW w:w="9350" w:type="dxa"/>
            <w:shd w:val="clear" w:color="auto" w:fill="D9D9D9"/>
          </w:tcPr>
          <w:p w14:paraId="28FD785D" w14:textId="1157E0CD" w:rsidR="00AF0426" w:rsidRPr="00B47649" w:rsidRDefault="00F614F7" w:rsidP="00B47649">
            <w:pPr>
              <w:suppressLineNumbers/>
              <w:suppressAutoHyphens/>
              <w:spacing w:before="120" w:after="120"/>
              <w:jc w:val="both"/>
              <w:rPr>
                <w:b/>
                <w:kern w:val="22"/>
                <w:sz w:val="22"/>
                <w:szCs w:val="22"/>
                <w:lang w:val="en-GB"/>
              </w:rPr>
            </w:pPr>
            <w:r w:rsidRPr="00B47649">
              <w:rPr>
                <w:b/>
                <w:kern w:val="22"/>
                <w:sz w:val="22"/>
                <w:szCs w:val="22"/>
                <w:lang w:val="en-GB"/>
              </w:rPr>
              <w:t xml:space="preserve">Action </w:t>
            </w:r>
            <w:r w:rsidR="00986D9E" w:rsidRPr="00B47649">
              <w:rPr>
                <w:b/>
                <w:kern w:val="22"/>
                <w:sz w:val="22"/>
                <w:szCs w:val="22"/>
                <w:lang w:val="en-GB"/>
              </w:rPr>
              <w:t>a</w:t>
            </w:r>
            <w:r w:rsidRPr="00B47649">
              <w:rPr>
                <w:b/>
                <w:kern w:val="22"/>
                <w:sz w:val="22"/>
                <w:szCs w:val="22"/>
                <w:lang w:val="en-GB"/>
              </w:rPr>
              <w:t xml:space="preserve">rea </w:t>
            </w:r>
            <w:r w:rsidR="00AF0426" w:rsidRPr="00B47649">
              <w:rPr>
                <w:b/>
                <w:kern w:val="22"/>
                <w:sz w:val="22"/>
                <w:szCs w:val="22"/>
                <w:lang w:val="en-GB"/>
              </w:rPr>
              <w:t xml:space="preserve">2. </w:t>
            </w:r>
            <w:r w:rsidRPr="00B47649">
              <w:rPr>
                <w:b/>
                <w:kern w:val="22"/>
                <w:sz w:val="22"/>
                <w:szCs w:val="22"/>
                <w:lang w:val="en-GB"/>
              </w:rPr>
              <w:t>Mainstream biodiversity</w:t>
            </w:r>
            <w:r w:rsidR="00AF0426" w:rsidRPr="00B47649">
              <w:rPr>
                <w:b/>
                <w:kern w:val="22"/>
                <w:sz w:val="22"/>
                <w:szCs w:val="22"/>
                <w:lang w:val="en-GB"/>
              </w:rPr>
              <w:t xml:space="preserve"> in fiscal, budgetary and financial </w:t>
            </w:r>
            <w:r w:rsidRPr="00B47649">
              <w:rPr>
                <w:b/>
                <w:kern w:val="22"/>
                <w:sz w:val="22"/>
                <w:szCs w:val="22"/>
                <w:lang w:val="en-GB"/>
              </w:rPr>
              <w:t>instruments</w:t>
            </w:r>
            <w:r w:rsidR="00AF0426" w:rsidRPr="00B47649">
              <w:rPr>
                <w:b/>
                <w:kern w:val="22"/>
                <w:sz w:val="22"/>
                <w:szCs w:val="22"/>
                <w:lang w:val="en-GB"/>
              </w:rPr>
              <w:t xml:space="preserve">, in particular by eliminating, phasing out or reforming incentives, including subsidies harmful to biodiversity in key economic sectors, </w:t>
            </w:r>
            <w:r w:rsidR="009B464E" w:rsidRPr="00B47649">
              <w:rPr>
                <w:b/>
                <w:kern w:val="22"/>
                <w:sz w:val="22"/>
                <w:szCs w:val="22"/>
                <w:lang w:val="en-GB"/>
              </w:rPr>
              <w:t xml:space="preserve">by applying innovative technologies, </w:t>
            </w:r>
            <w:r w:rsidR="00AF0426" w:rsidRPr="00B47649">
              <w:rPr>
                <w:b/>
                <w:kern w:val="22"/>
                <w:sz w:val="22"/>
                <w:szCs w:val="22"/>
                <w:lang w:val="en-GB"/>
              </w:rPr>
              <w:t>and by developing and applying positive incentives for the conservation</w:t>
            </w:r>
            <w:r w:rsidR="00FB4BEA" w:rsidRPr="00B47649">
              <w:rPr>
                <w:b/>
                <w:kern w:val="22"/>
                <w:sz w:val="22"/>
                <w:szCs w:val="22"/>
                <w:lang w:val="en-GB"/>
              </w:rPr>
              <w:t>, restoration</w:t>
            </w:r>
            <w:r w:rsidR="00AF0426" w:rsidRPr="00B47649">
              <w:rPr>
                <w:b/>
                <w:kern w:val="22"/>
                <w:sz w:val="22"/>
                <w:szCs w:val="22"/>
                <w:lang w:val="en-GB"/>
              </w:rPr>
              <w:t xml:space="preserve"> and sustainable use of biodiversity, consistent and in harmony with the Convention and other relevant international obligations, taking into account national socioeconomic conditions.</w:t>
            </w:r>
          </w:p>
          <w:p w14:paraId="4199BF1D" w14:textId="09B6A0C6" w:rsidR="00AF0426" w:rsidRPr="00B47649" w:rsidRDefault="00AF0426" w:rsidP="00B47649">
            <w:pPr>
              <w:suppressLineNumbers/>
              <w:suppressAutoHyphens/>
              <w:spacing w:after="120"/>
              <w:jc w:val="both"/>
              <w:rPr>
                <w:kern w:val="22"/>
                <w:sz w:val="22"/>
                <w:szCs w:val="22"/>
                <w:lang w:val="en-GB"/>
              </w:rPr>
            </w:pPr>
            <w:r w:rsidRPr="00B47649">
              <w:rPr>
                <w:kern w:val="22"/>
                <w:sz w:val="22"/>
                <w:szCs w:val="22"/>
                <w:lang w:val="en-GB"/>
              </w:rPr>
              <w:t xml:space="preserve">Indicators </w:t>
            </w:r>
            <w:r w:rsidR="002B478B">
              <w:rPr>
                <w:kern w:val="22"/>
                <w:sz w:val="22"/>
                <w:szCs w:val="22"/>
                <w:lang w:val="en-GB"/>
              </w:rPr>
              <w:t>o</w:t>
            </w:r>
            <w:r w:rsidRPr="00B47649">
              <w:rPr>
                <w:kern w:val="22"/>
                <w:sz w:val="22"/>
                <w:szCs w:val="22"/>
                <w:lang w:val="en-GB"/>
              </w:rPr>
              <w:t>f success:</w:t>
            </w:r>
            <w:r w:rsidRPr="00B47649">
              <w:rPr>
                <w:rStyle w:val="FootnoteReference"/>
                <w:rFonts w:eastAsiaTheme="majorEastAsia"/>
                <w:kern w:val="22"/>
                <w:szCs w:val="22"/>
                <w:lang w:val="en-GB"/>
              </w:rPr>
              <w:footnoteReference w:id="30"/>
            </w:r>
          </w:p>
          <w:p w14:paraId="4245996C" w14:textId="62E42F7D" w:rsidR="00AF0426" w:rsidRPr="00B47649" w:rsidRDefault="00AF0426" w:rsidP="00B47649">
            <w:pPr>
              <w:numPr>
                <w:ilvl w:val="0"/>
                <w:numId w:val="18"/>
              </w:numPr>
              <w:suppressLineNumbers/>
              <w:suppressAutoHyphens/>
              <w:spacing w:after="120"/>
              <w:jc w:val="both"/>
              <w:rPr>
                <w:kern w:val="22"/>
                <w:sz w:val="22"/>
                <w:szCs w:val="22"/>
                <w:lang w:val="en-GB"/>
              </w:rPr>
            </w:pPr>
            <w:r w:rsidRPr="00B47649">
              <w:rPr>
                <w:kern w:val="22"/>
                <w:sz w:val="22"/>
                <w:szCs w:val="22"/>
                <w:lang w:val="en-GB"/>
              </w:rPr>
              <w:t>Trends in potentially harmful elements of government support to agriculture (OECD producer support estimates) and in potentially harmful elements of government support to fisheries (OECD fisheries support estimates, under development)</w:t>
            </w:r>
            <w:r w:rsidR="00762F2F" w:rsidRPr="00B47649">
              <w:rPr>
                <w:kern w:val="22"/>
                <w:sz w:val="22"/>
                <w:szCs w:val="22"/>
                <w:lang w:val="en-GB"/>
              </w:rPr>
              <w:t>;</w:t>
            </w:r>
          </w:p>
          <w:p w14:paraId="378C4CEA" w14:textId="171BD618" w:rsidR="002E426D" w:rsidRPr="00B47649" w:rsidRDefault="00AF0426" w:rsidP="00B47649">
            <w:pPr>
              <w:numPr>
                <w:ilvl w:val="0"/>
                <w:numId w:val="18"/>
              </w:numPr>
              <w:suppressLineNumbers/>
              <w:suppressAutoHyphens/>
              <w:spacing w:after="120"/>
              <w:jc w:val="both"/>
              <w:rPr>
                <w:kern w:val="22"/>
                <w:sz w:val="22"/>
                <w:szCs w:val="22"/>
                <w:lang w:val="en-GB"/>
              </w:rPr>
            </w:pPr>
            <w:r w:rsidRPr="00B47649">
              <w:rPr>
                <w:kern w:val="22"/>
                <w:sz w:val="22"/>
                <w:szCs w:val="22"/>
                <w:lang w:val="en-GB"/>
              </w:rPr>
              <w:t>Number of countries with national instruments on biodiversity-relevant taxes, charges and fees; on payments for ecosystem services</w:t>
            </w:r>
            <w:r w:rsidR="005C43FE">
              <w:rPr>
                <w:kern w:val="22"/>
                <w:sz w:val="22"/>
                <w:szCs w:val="22"/>
                <w:lang w:val="en-GB"/>
              </w:rPr>
              <w:t>,</w:t>
            </w:r>
            <w:r w:rsidRPr="00B47649">
              <w:rPr>
                <w:kern w:val="22"/>
                <w:sz w:val="22"/>
                <w:szCs w:val="22"/>
                <w:lang w:val="en-GB"/>
              </w:rPr>
              <w:t xml:space="preserve"> including REDD</w:t>
            </w:r>
            <w:r w:rsidR="002628BF" w:rsidRPr="00B47649">
              <w:rPr>
                <w:kern w:val="22"/>
                <w:sz w:val="22"/>
                <w:szCs w:val="22"/>
                <w:lang w:val="en-GB"/>
              </w:rPr>
              <w:t>+</w:t>
            </w:r>
            <w:r w:rsidRPr="00B47649">
              <w:rPr>
                <w:kern w:val="22"/>
                <w:sz w:val="22"/>
                <w:szCs w:val="22"/>
                <w:lang w:val="en-GB"/>
              </w:rPr>
              <w:t xml:space="preserve"> schemes; and on biodiversity relevant tradable permit schemes (OECD PINE database, further extensions under</w:t>
            </w:r>
            <w:r w:rsidR="002B478B">
              <w:rPr>
                <w:kern w:val="22"/>
                <w:sz w:val="22"/>
                <w:szCs w:val="22"/>
                <w:lang w:val="en-GB"/>
              </w:rPr>
              <w:t xml:space="preserve"> </w:t>
            </w:r>
            <w:r w:rsidRPr="00B47649">
              <w:rPr>
                <w:kern w:val="22"/>
                <w:sz w:val="22"/>
                <w:szCs w:val="22"/>
                <w:lang w:val="en-GB"/>
              </w:rPr>
              <w:t>way).</w:t>
            </w:r>
          </w:p>
          <w:p w14:paraId="53390B58" w14:textId="42557365" w:rsidR="00AF0426" w:rsidRPr="00B47649" w:rsidRDefault="00AF0426" w:rsidP="00B47649">
            <w:pPr>
              <w:suppressLineNumbers/>
              <w:suppressAutoHyphens/>
              <w:spacing w:after="120"/>
              <w:jc w:val="both"/>
              <w:rPr>
                <w:kern w:val="22"/>
                <w:sz w:val="22"/>
                <w:szCs w:val="22"/>
                <w:lang w:val="en-GB"/>
              </w:rPr>
            </w:pPr>
            <w:r w:rsidRPr="00B47649">
              <w:rPr>
                <w:b/>
                <w:bCs/>
                <w:kern w:val="22"/>
                <w:sz w:val="22"/>
                <w:szCs w:val="22"/>
                <w:lang w:val="en-GB"/>
              </w:rPr>
              <w:t>Rationale:</w:t>
            </w:r>
            <w:r w:rsidRPr="00B47649">
              <w:rPr>
                <w:kern w:val="22"/>
                <w:sz w:val="22"/>
                <w:szCs w:val="22"/>
                <w:lang w:val="en-GB"/>
              </w:rPr>
              <w:t xml:space="preserve"> Fiscal tools and positive incentive measures can attribute the true costs of biodiversity</w:t>
            </w:r>
            <w:r w:rsidR="002628BF" w:rsidRPr="00B47649">
              <w:rPr>
                <w:kern w:val="22"/>
                <w:sz w:val="22"/>
                <w:szCs w:val="22"/>
                <w:lang w:val="en-GB"/>
              </w:rPr>
              <w:noBreakHyphen/>
            </w:r>
            <w:r w:rsidRPr="00B47649">
              <w:rPr>
                <w:kern w:val="22"/>
                <w:sz w:val="22"/>
                <w:szCs w:val="22"/>
                <w:lang w:val="en-GB"/>
              </w:rPr>
              <w:t xml:space="preserve">harmful activities and reward activities that are biodiversity-friendly. Ending or reforming incentives, including subsidies, that are harmful to biodiversity is a critical component of incentive alignment and thus a key plank in biodiversity mainstreaming and achieving </w:t>
            </w:r>
            <w:r w:rsidR="000F60A4">
              <w:rPr>
                <w:kern w:val="22"/>
                <w:sz w:val="22"/>
                <w:szCs w:val="22"/>
                <w:lang w:val="en-GB"/>
              </w:rPr>
              <w:t xml:space="preserve">the goals of </w:t>
            </w:r>
            <w:r w:rsidRPr="00B47649">
              <w:rPr>
                <w:kern w:val="22"/>
                <w:sz w:val="22"/>
                <w:szCs w:val="22"/>
                <w:lang w:val="en-GB"/>
              </w:rPr>
              <w:t>the post-2020 global biodiversity framework. Removing biodiversity-harmful subsidies can also liberate scarce financial resources. This target would not imply a need for developing countries to remove subsidies that are necessary for poverty reduction programmes. Current negotiations under the Doha Trade Round aim to clarify and improve World Trade Organization (WTO) disciplines on fisheries and in trade-distorting agricultural subsidies</w:t>
            </w:r>
            <w:r w:rsidR="009C5A09">
              <w:rPr>
                <w:kern w:val="22"/>
                <w:sz w:val="22"/>
                <w:szCs w:val="22"/>
                <w:lang w:val="en-GB"/>
              </w:rPr>
              <w:t>,</w:t>
            </w:r>
            <w:r w:rsidRPr="00B47649">
              <w:rPr>
                <w:kern w:val="22"/>
                <w:sz w:val="22"/>
                <w:szCs w:val="22"/>
                <w:lang w:val="en-GB"/>
              </w:rPr>
              <w:t xml:space="preserve"> and these negotiations have the potential to generate synergies with this target, in addition to countries or regional groups taking their own initiatives to phase out and/or reform environmentally harmful subsidies. A more effective use of strategic environmental assessment could be one mechanism to help avoid harmful incentives emanating from new, proposed policies.</w:t>
            </w:r>
          </w:p>
        </w:tc>
      </w:tr>
      <w:tr w:rsidR="00AF0426" w:rsidRPr="00B47649" w14:paraId="01BE5421" w14:textId="77777777" w:rsidTr="00253CF4">
        <w:tc>
          <w:tcPr>
            <w:tcW w:w="9350" w:type="dxa"/>
            <w:shd w:val="clear" w:color="auto" w:fill="FFFFFF"/>
          </w:tcPr>
          <w:p w14:paraId="7C2A6700" w14:textId="7332EDDB" w:rsidR="006E7B9B"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2.1:</w:t>
            </w:r>
            <w:r w:rsidR="006E7B9B" w:rsidRPr="00B47649">
              <w:rPr>
                <w:b/>
                <w:iCs/>
                <w:kern w:val="22"/>
                <w:sz w:val="22"/>
                <w:szCs w:val="22"/>
                <w:lang w:val="en-GB"/>
              </w:rPr>
              <w:t xml:space="preserve"> </w:t>
            </w:r>
            <w:r w:rsidR="003543C1" w:rsidRPr="00B47649">
              <w:rPr>
                <w:b/>
                <w:iCs/>
                <w:kern w:val="22"/>
                <w:sz w:val="22"/>
                <w:szCs w:val="22"/>
                <w:lang w:val="en-GB"/>
              </w:rPr>
              <w:t>P</w:t>
            </w:r>
            <w:r w:rsidR="00993CFA" w:rsidRPr="00B47649">
              <w:rPr>
                <w:b/>
                <w:iCs/>
                <w:kern w:val="22"/>
                <w:sz w:val="22"/>
                <w:szCs w:val="22"/>
                <w:lang w:val="en-GB"/>
              </w:rPr>
              <w:t>rohibit, in key economic sectors</w:t>
            </w:r>
            <w:r w:rsidR="003C4392" w:rsidRPr="00B47649">
              <w:rPr>
                <w:b/>
                <w:iCs/>
                <w:kern w:val="22"/>
                <w:sz w:val="22"/>
                <w:szCs w:val="22"/>
                <w:lang w:val="en-GB"/>
              </w:rPr>
              <w:t>,</w:t>
            </w:r>
            <w:r w:rsidR="00993CFA" w:rsidRPr="00B47649">
              <w:rPr>
                <w:b/>
                <w:iCs/>
                <w:kern w:val="22"/>
                <w:sz w:val="22"/>
                <w:szCs w:val="22"/>
                <w:lang w:val="en-GB"/>
              </w:rPr>
              <w:t xml:space="preserve"> forms of incentives, including subsidies</w:t>
            </w:r>
            <w:r w:rsidR="006E2A79">
              <w:rPr>
                <w:b/>
                <w:iCs/>
                <w:kern w:val="22"/>
                <w:sz w:val="22"/>
                <w:szCs w:val="22"/>
                <w:lang w:val="en-GB"/>
              </w:rPr>
              <w:t>,</w:t>
            </w:r>
            <w:r w:rsidR="003C4392" w:rsidRPr="00B47649">
              <w:rPr>
                <w:b/>
                <w:iCs/>
                <w:kern w:val="22"/>
                <w:sz w:val="22"/>
                <w:szCs w:val="22"/>
                <w:lang w:val="en-GB"/>
              </w:rPr>
              <w:t xml:space="preserve"> </w:t>
            </w:r>
            <w:r w:rsidR="00993CFA" w:rsidRPr="00B47649">
              <w:rPr>
                <w:b/>
                <w:iCs/>
                <w:kern w:val="22"/>
                <w:sz w:val="22"/>
                <w:szCs w:val="22"/>
                <w:lang w:val="en-GB"/>
              </w:rPr>
              <w:t>that are harmful for biodiversity, including by redirecting them to biodiversity</w:t>
            </w:r>
            <w:r w:rsidR="006E2A79">
              <w:rPr>
                <w:b/>
                <w:iCs/>
                <w:kern w:val="22"/>
                <w:sz w:val="22"/>
                <w:szCs w:val="22"/>
                <w:lang w:val="en-GB"/>
              </w:rPr>
              <w:t>-</w:t>
            </w:r>
            <w:r w:rsidR="00993CFA" w:rsidRPr="00B47649">
              <w:rPr>
                <w:b/>
                <w:iCs/>
                <w:kern w:val="22"/>
                <w:sz w:val="22"/>
                <w:szCs w:val="22"/>
                <w:lang w:val="en-GB"/>
              </w:rPr>
              <w:t>positive a</w:t>
            </w:r>
            <w:r w:rsidR="003C4392" w:rsidRPr="00B47649">
              <w:rPr>
                <w:b/>
                <w:iCs/>
                <w:kern w:val="22"/>
                <w:sz w:val="22"/>
                <w:szCs w:val="22"/>
                <w:lang w:val="en-GB"/>
              </w:rPr>
              <w:t>ctivities</w:t>
            </w:r>
            <w:r w:rsidR="00993CFA" w:rsidRPr="00B47649">
              <w:rPr>
                <w:b/>
                <w:iCs/>
                <w:kern w:val="22"/>
                <w:sz w:val="22"/>
                <w:szCs w:val="22"/>
                <w:lang w:val="en-GB"/>
              </w:rPr>
              <w:t>, eliminate subsidies that contribute to illegal biodiversity-harmful activities, and refrain from introducing new such subsidies, taking into account national socioeconomic conditions, and consistent and in harmony with the Convention and other international obligations.</w:t>
            </w:r>
          </w:p>
        </w:tc>
      </w:tr>
      <w:tr w:rsidR="00AF0426" w:rsidRPr="00B47649" w14:paraId="1C939641" w14:textId="77777777" w:rsidTr="00253CF4">
        <w:tc>
          <w:tcPr>
            <w:tcW w:w="9350" w:type="dxa"/>
            <w:shd w:val="clear" w:color="auto" w:fill="FFFFFF"/>
          </w:tcPr>
          <w:p w14:paraId="7DAE2377" w14:textId="3E449030"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2.2: </w:t>
            </w:r>
            <w:r w:rsidR="003543C1" w:rsidRPr="00B47649">
              <w:rPr>
                <w:b/>
                <w:iCs/>
                <w:kern w:val="22"/>
                <w:sz w:val="22"/>
                <w:szCs w:val="22"/>
                <w:lang w:val="en-GB"/>
              </w:rPr>
              <w:t>D</w:t>
            </w:r>
            <w:r w:rsidRPr="00B47649">
              <w:rPr>
                <w:b/>
                <w:iCs/>
                <w:kern w:val="22"/>
                <w:sz w:val="22"/>
                <w:szCs w:val="22"/>
                <w:lang w:val="en-GB"/>
              </w:rPr>
              <w:t>evelop</w:t>
            </w:r>
            <w:r w:rsidR="00D60721" w:rsidRPr="00B47649">
              <w:rPr>
                <w:b/>
                <w:iCs/>
                <w:kern w:val="22"/>
                <w:sz w:val="22"/>
                <w:szCs w:val="22"/>
                <w:lang w:val="en-GB"/>
              </w:rPr>
              <w:t>, strengthen</w:t>
            </w:r>
            <w:r w:rsidRPr="00B47649">
              <w:rPr>
                <w:b/>
                <w:iCs/>
                <w:kern w:val="22"/>
                <w:sz w:val="22"/>
                <w:szCs w:val="22"/>
                <w:lang w:val="en-GB"/>
              </w:rPr>
              <w:t xml:space="preserve"> and apply </w:t>
            </w:r>
            <w:r w:rsidR="00AF0426" w:rsidRPr="00B47649">
              <w:rPr>
                <w:b/>
                <w:iCs/>
                <w:kern w:val="22"/>
                <w:sz w:val="22"/>
                <w:szCs w:val="22"/>
                <w:lang w:val="en-GB"/>
              </w:rPr>
              <w:t>positive incentives for the conservation</w:t>
            </w:r>
            <w:r w:rsidR="00FB4BEA" w:rsidRPr="00B47649">
              <w:rPr>
                <w:b/>
                <w:iCs/>
                <w:kern w:val="22"/>
                <w:sz w:val="22"/>
                <w:szCs w:val="22"/>
                <w:lang w:val="en-GB"/>
              </w:rPr>
              <w:t>, restoration</w:t>
            </w:r>
            <w:r w:rsidR="00AF0426" w:rsidRPr="00B47649">
              <w:rPr>
                <w:b/>
                <w:iCs/>
                <w:kern w:val="22"/>
                <w:sz w:val="22"/>
                <w:szCs w:val="22"/>
                <w:lang w:val="en-GB"/>
              </w:rPr>
              <w:t xml:space="preserve"> and sustainable use of biodiversity, consistent and in harmony with the Convention and other relevant international obligations.</w:t>
            </w:r>
          </w:p>
        </w:tc>
      </w:tr>
      <w:tr w:rsidR="00DA65C0" w:rsidRPr="00B47649" w14:paraId="0E4E98F9" w14:textId="77777777" w:rsidTr="00253CF4">
        <w:tc>
          <w:tcPr>
            <w:tcW w:w="9350" w:type="dxa"/>
            <w:shd w:val="clear" w:color="auto" w:fill="FFFFFF"/>
          </w:tcPr>
          <w:p w14:paraId="41B9C1DA" w14:textId="246E67BF" w:rsidR="00DA65C0" w:rsidRPr="00B47649" w:rsidRDefault="007F1B27" w:rsidP="00B47649">
            <w:pPr>
              <w:suppressLineNumbers/>
              <w:suppressAutoHyphens/>
              <w:spacing w:before="120" w:after="120"/>
              <w:jc w:val="both"/>
              <w:rPr>
                <w:b/>
                <w:iCs/>
                <w:kern w:val="22"/>
                <w:sz w:val="22"/>
                <w:szCs w:val="22"/>
                <w:lang w:val="en-GB"/>
              </w:rPr>
            </w:pPr>
            <w:r w:rsidRPr="00B47649">
              <w:rPr>
                <w:b/>
                <w:iCs/>
                <w:kern w:val="22"/>
                <w:sz w:val="22"/>
                <w:szCs w:val="22"/>
                <w:lang w:val="en-GB"/>
              </w:rPr>
              <w:t>Action 2.3:</w:t>
            </w:r>
            <w:r w:rsidR="00B93B26" w:rsidRPr="00B47649">
              <w:rPr>
                <w:b/>
                <w:iCs/>
                <w:kern w:val="22"/>
                <w:sz w:val="22"/>
                <w:szCs w:val="22"/>
                <w:lang w:val="en-GB"/>
              </w:rPr>
              <w:t xml:space="preserve"> Apply innovative digital technologies for mainstreaming biodiversity into planning, development, finance and business, in a way that protects privacy while providing citizens, the private sector and </w:t>
            </w:r>
            <w:r w:rsidR="00951B40" w:rsidRPr="00B47649">
              <w:rPr>
                <w:b/>
                <w:iCs/>
                <w:kern w:val="22"/>
                <w:sz w:val="22"/>
                <w:szCs w:val="22"/>
                <w:lang w:val="en-GB"/>
              </w:rPr>
              <w:t>G</w:t>
            </w:r>
            <w:r w:rsidR="00B93B26" w:rsidRPr="00B47649">
              <w:rPr>
                <w:b/>
                <w:iCs/>
                <w:kern w:val="22"/>
                <w:sz w:val="22"/>
                <w:szCs w:val="22"/>
                <w:lang w:val="en-GB"/>
              </w:rPr>
              <w:t>overnments with access to data and information for better decision</w:t>
            </w:r>
            <w:r w:rsidR="00951B40" w:rsidRPr="00B47649">
              <w:rPr>
                <w:b/>
                <w:iCs/>
                <w:kern w:val="22"/>
                <w:sz w:val="22"/>
                <w:szCs w:val="22"/>
                <w:lang w:val="en-GB"/>
              </w:rPr>
              <w:t>-</w:t>
            </w:r>
            <w:r w:rsidR="00B93B26" w:rsidRPr="00B47649">
              <w:rPr>
                <w:b/>
                <w:iCs/>
                <w:kern w:val="22"/>
                <w:sz w:val="22"/>
                <w:szCs w:val="22"/>
                <w:lang w:val="en-GB"/>
              </w:rPr>
              <w:t>making related to mainstreaming.</w:t>
            </w:r>
          </w:p>
        </w:tc>
      </w:tr>
      <w:tr w:rsidR="00AF0426" w:rsidRPr="00B47649" w14:paraId="17AA4AE0" w14:textId="77777777" w:rsidTr="00253CF4">
        <w:tc>
          <w:tcPr>
            <w:tcW w:w="9350" w:type="dxa"/>
            <w:shd w:val="clear" w:color="auto" w:fill="D6E3BC"/>
          </w:tcPr>
          <w:p w14:paraId="64F7F621" w14:textId="1546C8B9" w:rsidR="00AF0426" w:rsidRPr="00B47649" w:rsidRDefault="00AF0426" w:rsidP="00B47649">
            <w:pPr>
              <w:suppressLineNumbers/>
              <w:suppressAutoHyphens/>
              <w:jc w:val="both"/>
              <w:rPr>
                <w:b/>
                <w:kern w:val="22"/>
                <w:sz w:val="22"/>
                <w:szCs w:val="22"/>
                <w:lang w:val="en-GB"/>
              </w:rPr>
            </w:pPr>
            <w:r w:rsidRPr="00B47649">
              <w:rPr>
                <w:b/>
                <w:kern w:val="22"/>
                <w:sz w:val="22"/>
                <w:szCs w:val="22"/>
                <w:lang w:val="en-GB"/>
              </w:rPr>
              <w:t xml:space="preserve">Strategy </w:t>
            </w:r>
            <w:r w:rsidR="00730534" w:rsidRPr="00B47649">
              <w:rPr>
                <w:b/>
                <w:kern w:val="22"/>
                <w:sz w:val="22"/>
                <w:szCs w:val="22"/>
                <w:lang w:val="en-GB"/>
              </w:rPr>
              <w:t>a</w:t>
            </w:r>
            <w:r w:rsidRPr="00B47649">
              <w:rPr>
                <w:b/>
                <w:kern w:val="22"/>
                <w:sz w:val="22"/>
                <w:szCs w:val="22"/>
                <w:lang w:val="en-GB"/>
              </w:rPr>
              <w:t>rea II: Integrate nature and biodiversity into business models, operations and practices of key economic sectors, including the financial sector</w:t>
            </w:r>
          </w:p>
        </w:tc>
      </w:tr>
      <w:tr w:rsidR="00AF0426" w:rsidRPr="00B47649" w14:paraId="071099A0" w14:textId="77777777" w:rsidTr="00253CF4">
        <w:tc>
          <w:tcPr>
            <w:tcW w:w="9350" w:type="dxa"/>
            <w:shd w:val="clear" w:color="auto" w:fill="D9D9D9"/>
          </w:tcPr>
          <w:p w14:paraId="7B0722A7" w14:textId="35D53898" w:rsidR="00AF0426" w:rsidRPr="00B47649" w:rsidRDefault="00F614F7" w:rsidP="00B47649">
            <w:pPr>
              <w:suppressLineNumbers/>
              <w:suppressAutoHyphens/>
              <w:spacing w:before="120" w:after="120"/>
              <w:jc w:val="both"/>
              <w:rPr>
                <w:b/>
                <w:bCs/>
                <w:color w:val="000000"/>
                <w:kern w:val="22"/>
                <w:sz w:val="22"/>
                <w:szCs w:val="22"/>
                <w:lang w:val="en-GB" w:eastAsia="pt-BR"/>
              </w:rPr>
            </w:pPr>
            <w:r w:rsidRPr="00B47649">
              <w:rPr>
                <w:b/>
                <w:kern w:val="22"/>
                <w:sz w:val="22"/>
                <w:szCs w:val="22"/>
                <w:lang w:val="en-GB"/>
              </w:rPr>
              <w:lastRenderedPageBreak/>
              <w:t>Action area 3</w:t>
            </w:r>
            <w:r w:rsidR="00AF0426" w:rsidRPr="00B47649">
              <w:rPr>
                <w:kern w:val="22"/>
                <w:sz w:val="22"/>
                <w:szCs w:val="22"/>
                <w:lang w:val="en-GB"/>
              </w:rPr>
              <w:t xml:space="preserve">: </w:t>
            </w:r>
            <w:r w:rsidR="00C04785" w:rsidRPr="00B47649">
              <w:rPr>
                <w:b/>
                <w:bCs/>
                <w:color w:val="000000"/>
                <w:kern w:val="22"/>
                <w:sz w:val="22"/>
                <w:szCs w:val="22"/>
                <w:lang w:val="en-GB"/>
              </w:rPr>
              <w:t>B</w:t>
            </w:r>
            <w:r w:rsidR="00AF0426" w:rsidRPr="00B47649">
              <w:rPr>
                <w:b/>
                <w:bCs/>
                <w:color w:val="000000"/>
                <w:kern w:val="22"/>
                <w:sz w:val="22"/>
                <w:szCs w:val="22"/>
                <w:lang w:val="en-GB"/>
              </w:rPr>
              <w:t xml:space="preserve">usinesses in </w:t>
            </w:r>
            <w:r w:rsidR="00BF6E22" w:rsidRPr="00B47649">
              <w:rPr>
                <w:b/>
                <w:bCs/>
                <w:color w:val="000000"/>
                <w:kern w:val="22"/>
                <w:sz w:val="22"/>
                <w:szCs w:val="22"/>
                <w:lang w:val="en-GB"/>
              </w:rPr>
              <w:t xml:space="preserve">all </w:t>
            </w:r>
            <w:r w:rsidR="00AF0426" w:rsidRPr="00B47649">
              <w:rPr>
                <w:b/>
                <w:bCs/>
                <w:color w:val="000000"/>
                <w:kern w:val="22"/>
                <w:sz w:val="22"/>
                <w:szCs w:val="22"/>
                <w:lang w:val="en-GB"/>
              </w:rPr>
              <w:t>relevant economic sectors and at all levels</w:t>
            </w:r>
            <w:r w:rsidR="005219C0" w:rsidRPr="00B47649">
              <w:rPr>
                <w:b/>
                <w:bCs/>
                <w:color w:val="000000"/>
                <w:kern w:val="22"/>
                <w:sz w:val="22"/>
                <w:szCs w:val="22"/>
                <w:lang w:val="en-GB"/>
              </w:rPr>
              <w:t>,</w:t>
            </w:r>
            <w:r w:rsidR="00AF0426" w:rsidRPr="00B47649">
              <w:rPr>
                <w:b/>
                <w:bCs/>
                <w:color w:val="000000"/>
                <w:kern w:val="22"/>
                <w:sz w:val="22"/>
                <w:szCs w:val="22"/>
                <w:lang w:val="en-GB"/>
              </w:rPr>
              <w:t xml:space="preserve"> and especially large and transnational companies</w:t>
            </w:r>
            <w:r w:rsidR="00C86779" w:rsidRPr="00B47649">
              <w:rPr>
                <w:b/>
                <w:bCs/>
                <w:color w:val="000000"/>
                <w:kern w:val="22"/>
                <w:sz w:val="22"/>
                <w:szCs w:val="22"/>
                <w:lang w:val="en-GB"/>
              </w:rPr>
              <w:t xml:space="preserve"> and those with the </w:t>
            </w:r>
            <w:r w:rsidR="00C86779" w:rsidRPr="00B47649">
              <w:rPr>
                <w:b/>
                <w:kern w:val="22"/>
                <w:sz w:val="22"/>
                <w:szCs w:val="22"/>
                <w:lang w:val="en-GB"/>
              </w:rPr>
              <w:t>most significant impacts on biodiversity</w:t>
            </w:r>
            <w:r w:rsidR="00AF0426" w:rsidRPr="00B47649">
              <w:rPr>
                <w:b/>
                <w:bCs/>
                <w:color w:val="000000"/>
                <w:kern w:val="22"/>
                <w:sz w:val="22"/>
                <w:szCs w:val="22"/>
                <w:lang w:val="en-GB"/>
              </w:rPr>
              <w:t xml:space="preserve">, </w:t>
            </w:r>
            <w:r w:rsidR="005219C0" w:rsidRPr="00B47649">
              <w:rPr>
                <w:b/>
                <w:bCs/>
                <w:color w:val="000000"/>
                <w:kern w:val="22"/>
                <w:sz w:val="22"/>
                <w:szCs w:val="22"/>
                <w:lang w:val="en-GB"/>
              </w:rPr>
              <w:t xml:space="preserve">actively </w:t>
            </w:r>
            <w:r w:rsidR="00AF0426" w:rsidRPr="00B47649">
              <w:rPr>
                <w:b/>
                <w:bCs/>
                <w:color w:val="000000"/>
                <w:kern w:val="22"/>
                <w:sz w:val="22"/>
                <w:szCs w:val="22"/>
                <w:lang w:val="en-GB"/>
              </w:rPr>
              <w:t>transitio</w:t>
            </w:r>
            <w:r w:rsidR="00C04785" w:rsidRPr="00B47649">
              <w:rPr>
                <w:b/>
                <w:bCs/>
                <w:color w:val="000000"/>
                <w:kern w:val="22"/>
                <w:sz w:val="22"/>
                <w:szCs w:val="22"/>
                <w:lang w:val="en-GB"/>
              </w:rPr>
              <w:t>n</w:t>
            </w:r>
            <w:r w:rsidR="00AF0426" w:rsidRPr="00B47649">
              <w:rPr>
                <w:b/>
                <w:bCs/>
                <w:color w:val="000000"/>
                <w:kern w:val="22"/>
                <w:sz w:val="22"/>
                <w:szCs w:val="22"/>
                <w:lang w:val="en-GB"/>
              </w:rPr>
              <w:t xml:space="preserve"> towards sustainable </w:t>
            </w:r>
            <w:r w:rsidR="005219C0" w:rsidRPr="00B47649">
              <w:rPr>
                <w:b/>
                <w:bCs/>
                <w:color w:val="000000"/>
                <w:kern w:val="22"/>
                <w:sz w:val="22"/>
                <w:szCs w:val="22"/>
                <w:lang w:val="en-GB"/>
              </w:rPr>
              <w:t xml:space="preserve">technologies and </w:t>
            </w:r>
            <w:r w:rsidR="00AF0426" w:rsidRPr="00B47649">
              <w:rPr>
                <w:b/>
                <w:bCs/>
                <w:color w:val="000000"/>
                <w:kern w:val="22"/>
                <w:sz w:val="22"/>
                <w:szCs w:val="22"/>
                <w:lang w:val="en-GB"/>
              </w:rPr>
              <w:t>practices, including along their supply</w:t>
            </w:r>
            <w:r w:rsidR="00A34824" w:rsidRPr="00B47649">
              <w:rPr>
                <w:b/>
                <w:bCs/>
                <w:color w:val="000000"/>
                <w:kern w:val="22"/>
                <w:sz w:val="22"/>
                <w:szCs w:val="22"/>
                <w:lang w:val="en-GB"/>
              </w:rPr>
              <w:t>, trade and value</w:t>
            </w:r>
            <w:r w:rsidR="00AF0426" w:rsidRPr="00B47649">
              <w:rPr>
                <w:b/>
                <w:bCs/>
                <w:color w:val="000000"/>
                <w:kern w:val="22"/>
                <w:sz w:val="22"/>
                <w:szCs w:val="22"/>
                <w:lang w:val="en-GB"/>
              </w:rPr>
              <w:t xml:space="preserve"> chains, demonstrating decreasing negative and increasingly net positive impacts on ecosystems</w:t>
            </w:r>
            <w:r w:rsidR="00BF6E22" w:rsidRPr="00B47649">
              <w:rPr>
                <w:b/>
                <w:bCs/>
                <w:color w:val="000000"/>
                <w:kern w:val="22"/>
                <w:sz w:val="22"/>
                <w:szCs w:val="22"/>
                <w:lang w:val="en-GB"/>
              </w:rPr>
              <w:t xml:space="preserve"> and their services to people</w:t>
            </w:r>
            <w:r w:rsidR="00AF0426" w:rsidRPr="00B47649">
              <w:rPr>
                <w:b/>
                <w:bCs/>
                <w:color w:val="000000"/>
                <w:kern w:val="22"/>
                <w:sz w:val="22"/>
                <w:szCs w:val="22"/>
                <w:lang w:val="en-GB"/>
              </w:rPr>
              <w:t>, biodiversity and human</w:t>
            </w:r>
            <w:r w:rsidR="002E426D" w:rsidRPr="00B47649">
              <w:rPr>
                <w:b/>
                <w:bCs/>
                <w:color w:val="000000"/>
                <w:kern w:val="22"/>
                <w:sz w:val="22"/>
                <w:szCs w:val="22"/>
                <w:lang w:val="en-GB"/>
              </w:rPr>
              <w:t xml:space="preserve"> well-being and </w:t>
            </w:r>
            <w:r w:rsidR="00AF0426" w:rsidRPr="00B47649">
              <w:rPr>
                <w:b/>
                <w:bCs/>
                <w:color w:val="000000"/>
                <w:kern w:val="22"/>
                <w:sz w:val="22"/>
                <w:szCs w:val="22"/>
                <w:lang w:val="en-GB"/>
              </w:rPr>
              <w:t xml:space="preserve"> health. </w:t>
            </w:r>
          </w:p>
          <w:p w14:paraId="5BC9521C" w14:textId="26A3748D" w:rsidR="00AF0426" w:rsidRPr="00B47649" w:rsidRDefault="00AF0426" w:rsidP="00B47649">
            <w:pPr>
              <w:suppressLineNumbers/>
              <w:suppressAutoHyphens/>
              <w:spacing w:after="120"/>
              <w:jc w:val="both"/>
              <w:rPr>
                <w:kern w:val="22"/>
                <w:sz w:val="22"/>
                <w:szCs w:val="22"/>
                <w:lang w:val="en-GB"/>
              </w:rPr>
            </w:pPr>
            <w:r w:rsidRPr="00B47649">
              <w:rPr>
                <w:kern w:val="22"/>
                <w:sz w:val="22"/>
                <w:szCs w:val="22"/>
                <w:lang w:val="en-GB"/>
              </w:rPr>
              <w:t xml:space="preserve">Indicator </w:t>
            </w:r>
            <w:r w:rsidR="00DB1968">
              <w:rPr>
                <w:kern w:val="22"/>
                <w:sz w:val="22"/>
                <w:szCs w:val="22"/>
                <w:lang w:val="en-GB"/>
              </w:rPr>
              <w:t>o</w:t>
            </w:r>
            <w:r w:rsidRPr="00B47649">
              <w:rPr>
                <w:kern w:val="22"/>
                <w:sz w:val="22"/>
                <w:szCs w:val="22"/>
                <w:lang w:val="en-GB"/>
              </w:rPr>
              <w:t>f success:</w:t>
            </w:r>
          </w:p>
          <w:p w14:paraId="555FD64F" w14:textId="0D2582B5" w:rsidR="00AF0426" w:rsidRPr="00B47649" w:rsidRDefault="00AF0426" w:rsidP="00B47649">
            <w:pPr>
              <w:numPr>
                <w:ilvl w:val="0"/>
                <w:numId w:val="19"/>
              </w:numPr>
              <w:suppressLineNumbers/>
              <w:suppressAutoHyphens/>
              <w:spacing w:after="120"/>
              <w:jc w:val="both"/>
              <w:rPr>
                <w:kern w:val="22"/>
                <w:sz w:val="22"/>
                <w:szCs w:val="22"/>
                <w:lang w:val="en-GB"/>
              </w:rPr>
            </w:pPr>
            <w:r w:rsidRPr="00B47649">
              <w:rPr>
                <w:kern w:val="22"/>
                <w:sz w:val="22"/>
                <w:szCs w:val="22"/>
                <w:lang w:val="en-GB"/>
              </w:rPr>
              <w:t>Number of companies integrating the value of nature into decision-making</w:t>
            </w:r>
            <w:r w:rsidRPr="00B47649">
              <w:rPr>
                <w:rStyle w:val="FootnoteReference"/>
                <w:rFonts w:eastAsiaTheme="majorEastAsia"/>
                <w:kern w:val="22"/>
                <w:szCs w:val="22"/>
                <w:lang w:val="en-GB"/>
              </w:rPr>
              <w:footnoteReference w:id="31"/>
            </w:r>
            <w:r w:rsidR="00E4631E" w:rsidRPr="00B47649">
              <w:rPr>
                <w:kern w:val="22"/>
                <w:sz w:val="22"/>
                <w:szCs w:val="22"/>
                <w:lang w:val="en-GB"/>
              </w:rPr>
              <w:t xml:space="preserve"> or making net positive impact commitments, or the volume or percentage of their investments;</w:t>
            </w:r>
          </w:p>
          <w:p w14:paraId="58AD823E" w14:textId="001AEEE0" w:rsidR="00AF0426" w:rsidRPr="00B47649" w:rsidRDefault="00AF0426" w:rsidP="00B47649">
            <w:pPr>
              <w:numPr>
                <w:ilvl w:val="0"/>
                <w:numId w:val="19"/>
              </w:numPr>
              <w:suppressLineNumbers/>
              <w:suppressAutoHyphens/>
              <w:spacing w:after="120"/>
              <w:jc w:val="both"/>
              <w:rPr>
                <w:kern w:val="22"/>
                <w:sz w:val="22"/>
                <w:szCs w:val="22"/>
                <w:lang w:val="en-GB"/>
              </w:rPr>
            </w:pPr>
            <w:r w:rsidRPr="00B47649">
              <w:rPr>
                <w:kern w:val="22"/>
                <w:sz w:val="22"/>
                <w:szCs w:val="22"/>
                <w:lang w:val="en-GB"/>
              </w:rPr>
              <w:t xml:space="preserve">Number of companies publishing their biodiversity dependencies and net impacts in </w:t>
            </w:r>
            <w:r w:rsidR="003C4392" w:rsidRPr="00B47649">
              <w:rPr>
                <w:kern w:val="22"/>
                <w:sz w:val="22"/>
                <w:szCs w:val="22"/>
                <w:lang w:val="en-GB"/>
              </w:rPr>
              <w:t>corporate</w:t>
            </w:r>
            <w:r w:rsidRPr="00B47649">
              <w:rPr>
                <w:kern w:val="22"/>
                <w:sz w:val="22"/>
                <w:szCs w:val="22"/>
                <w:lang w:val="en-GB"/>
              </w:rPr>
              <w:t xml:space="preserve"> reports</w:t>
            </w:r>
            <w:r w:rsidR="001D0503" w:rsidRPr="00B47649">
              <w:rPr>
                <w:kern w:val="22"/>
                <w:sz w:val="22"/>
                <w:szCs w:val="22"/>
                <w:lang w:val="en-GB"/>
              </w:rPr>
              <w:t>;</w:t>
            </w:r>
            <w:r w:rsidRPr="00B47649">
              <w:rPr>
                <w:kern w:val="22"/>
                <w:sz w:val="22"/>
                <w:szCs w:val="22"/>
                <w:vertAlign w:val="superscript"/>
                <w:lang w:val="en-GB"/>
              </w:rPr>
              <w:footnoteReference w:id="32"/>
            </w:r>
          </w:p>
          <w:p w14:paraId="136A73CC" w14:textId="73141C70" w:rsidR="00AF0426" w:rsidRPr="00B47649" w:rsidRDefault="00AF0426" w:rsidP="00B47649">
            <w:pPr>
              <w:numPr>
                <w:ilvl w:val="0"/>
                <w:numId w:val="19"/>
              </w:numPr>
              <w:suppressLineNumbers/>
              <w:suppressAutoHyphens/>
              <w:spacing w:after="120"/>
              <w:jc w:val="both"/>
              <w:rPr>
                <w:b/>
                <w:kern w:val="22"/>
                <w:sz w:val="22"/>
                <w:szCs w:val="22"/>
                <w:lang w:val="en-GB"/>
              </w:rPr>
            </w:pPr>
            <w:r w:rsidRPr="00B47649">
              <w:rPr>
                <w:kern w:val="22"/>
                <w:sz w:val="22"/>
                <w:szCs w:val="22"/>
                <w:lang w:val="en-GB"/>
              </w:rPr>
              <w:t xml:space="preserve">Number of companies which demonstrate, in their </w:t>
            </w:r>
            <w:r w:rsidR="003C4392" w:rsidRPr="00B47649">
              <w:rPr>
                <w:kern w:val="22"/>
                <w:sz w:val="22"/>
                <w:szCs w:val="22"/>
                <w:lang w:val="en-GB"/>
              </w:rPr>
              <w:t>corporate</w:t>
            </w:r>
            <w:r w:rsidRPr="00B47649">
              <w:rPr>
                <w:kern w:val="22"/>
                <w:sz w:val="22"/>
                <w:szCs w:val="22"/>
                <w:lang w:val="en-GB"/>
              </w:rPr>
              <w:t xml:space="preserve"> reports, their net </w:t>
            </w:r>
            <w:r w:rsidR="005219C0" w:rsidRPr="00B47649">
              <w:rPr>
                <w:kern w:val="22"/>
                <w:sz w:val="22"/>
                <w:szCs w:val="22"/>
                <w:lang w:val="en-GB"/>
              </w:rPr>
              <w:t xml:space="preserve">positive </w:t>
            </w:r>
            <w:r w:rsidRPr="00B47649">
              <w:rPr>
                <w:kern w:val="22"/>
                <w:sz w:val="22"/>
                <w:szCs w:val="22"/>
                <w:lang w:val="en-GB"/>
              </w:rPr>
              <w:t>impacts and contributions to ecosystems, species and human health</w:t>
            </w:r>
            <w:r w:rsidR="001D0503" w:rsidRPr="00B47649">
              <w:rPr>
                <w:kern w:val="22"/>
                <w:sz w:val="22"/>
                <w:szCs w:val="22"/>
                <w:lang w:val="en-GB"/>
              </w:rPr>
              <w:t>;</w:t>
            </w:r>
          </w:p>
          <w:p w14:paraId="2ACE9FEE" w14:textId="6593E7DA" w:rsidR="00A97DCE" w:rsidRPr="00B47649" w:rsidRDefault="00A97DCE" w:rsidP="00B47649">
            <w:pPr>
              <w:numPr>
                <w:ilvl w:val="0"/>
                <w:numId w:val="19"/>
              </w:numPr>
              <w:suppressLineNumbers/>
              <w:suppressAutoHyphens/>
              <w:spacing w:after="160"/>
              <w:rPr>
                <w:kern w:val="22"/>
                <w:sz w:val="22"/>
                <w:szCs w:val="22"/>
                <w:lang w:val="en-GB"/>
              </w:rPr>
            </w:pPr>
            <w:r w:rsidRPr="00B47649">
              <w:rPr>
                <w:kern w:val="22"/>
                <w:sz w:val="22"/>
                <w:szCs w:val="22"/>
                <w:lang w:val="en-GB"/>
              </w:rPr>
              <w:t xml:space="preserve">Area of </w:t>
            </w:r>
            <w:r w:rsidR="00C86779" w:rsidRPr="00B47649">
              <w:rPr>
                <w:kern w:val="22"/>
                <w:sz w:val="22"/>
                <w:szCs w:val="22"/>
                <w:lang w:val="en-GB"/>
              </w:rPr>
              <w:t>natural habitats lost/restore</w:t>
            </w:r>
            <w:r w:rsidRPr="00B47649">
              <w:rPr>
                <w:kern w:val="22"/>
                <w:sz w:val="22"/>
                <w:szCs w:val="22"/>
                <w:lang w:val="en-GB"/>
              </w:rPr>
              <w:t>d by private sector activities</w:t>
            </w:r>
            <w:r w:rsidR="001D0503" w:rsidRPr="00B47649">
              <w:rPr>
                <w:kern w:val="22"/>
                <w:sz w:val="22"/>
                <w:szCs w:val="22"/>
                <w:lang w:val="en-GB"/>
              </w:rPr>
              <w:t>.</w:t>
            </w:r>
          </w:p>
          <w:p w14:paraId="75E90278" w14:textId="54EC58B2" w:rsidR="00AF0426" w:rsidRPr="00B47649" w:rsidRDefault="00AF0426" w:rsidP="00B47649">
            <w:pPr>
              <w:suppressLineNumbers/>
              <w:suppressAutoHyphens/>
              <w:spacing w:after="120"/>
              <w:jc w:val="both"/>
              <w:rPr>
                <w:b/>
                <w:kern w:val="22"/>
                <w:sz w:val="22"/>
                <w:szCs w:val="22"/>
                <w:lang w:val="en-GB"/>
              </w:rPr>
            </w:pPr>
            <w:r w:rsidRPr="00B47649">
              <w:rPr>
                <w:b/>
                <w:kern w:val="22"/>
                <w:sz w:val="22"/>
                <w:szCs w:val="22"/>
                <w:lang w:val="en-GB"/>
              </w:rPr>
              <w:t xml:space="preserve">Rationale: </w:t>
            </w:r>
            <w:r w:rsidRPr="00B47649">
              <w:rPr>
                <w:bCs/>
                <w:kern w:val="22"/>
                <w:sz w:val="22"/>
                <w:szCs w:val="22"/>
                <w:lang w:val="en-GB"/>
              </w:rPr>
              <w:t>Integrating biological diversity</w:t>
            </w:r>
            <w:r w:rsidR="008D131C" w:rsidRPr="00B47649">
              <w:rPr>
                <w:bCs/>
                <w:kern w:val="22"/>
                <w:sz w:val="22"/>
                <w:szCs w:val="22"/>
                <w:lang w:val="en-GB"/>
              </w:rPr>
              <w:t xml:space="preserve">, ecosystems and their values </w:t>
            </w:r>
            <w:r w:rsidRPr="00B47649">
              <w:rPr>
                <w:bCs/>
                <w:kern w:val="22"/>
                <w:sz w:val="22"/>
                <w:szCs w:val="22"/>
                <w:lang w:val="en-GB"/>
              </w:rPr>
              <w:t xml:space="preserve">into economic sectors enables achieving necessary changes in production and consumption, such as incorporating natural solutions to production chains, and reducing resource waste at all levels of production and consumption. Such transformative actions can be induced through </w:t>
            </w:r>
            <w:r w:rsidR="003C4392" w:rsidRPr="00B47649">
              <w:rPr>
                <w:bCs/>
                <w:kern w:val="22"/>
                <w:sz w:val="22"/>
                <w:szCs w:val="22"/>
                <w:lang w:val="en-GB"/>
              </w:rPr>
              <w:t xml:space="preserve">financial and </w:t>
            </w:r>
            <w:r w:rsidRPr="00B47649">
              <w:rPr>
                <w:bCs/>
                <w:kern w:val="22"/>
                <w:sz w:val="22"/>
                <w:szCs w:val="22"/>
                <w:lang w:val="en-GB"/>
              </w:rPr>
              <w:t xml:space="preserve">sectorial policies but can also be encouraged by engaging relevant businesses and their associations. </w:t>
            </w:r>
            <w:r w:rsidR="00022331" w:rsidRPr="00B47649">
              <w:rPr>
                <w:bCs/>
                <w:kern w:val="22"/>
                <w:sz w:val="22"/>
                <w:szCs w:val="22"/>
                <w:lang w:val="en-GB"/>
              </w:rPr>
              <w:t>B</w:t>
            </w:r>
            <w:r w:rsidRPr="00B47649">
              <w:rPr>
                <w:bCs/>
                <w:kern w:val="22"/>
                <w:sz w:val="22"/>
                <w:szCs w:val="22"/>
                <w:lang w:val="en-GB"/>
              </w:rPr>
              <w:t xml:space="preserve">usinesses can </w:t>
            </w:r>
            <w:r w:rsidR="00A97DCE" w:rsidRPr="00B47649">
              <w:rPr>
                <w:kern w:val="22"/>
                <w:sz w:val="22"/>
                <w:szCs w:val="22"/>
                <w:lang w:val="en-GB"/>
              </w:rPr>
              <w:t xml:space="preserve">ensure that the values, dependencies and impacts on biodiversity throughout their supply chains are accounted for according to international standards and </w:t>
            </w:r>
            <w:r w:rsidRPr="00B47649">
              <w:rPr>
                <w:bCs/>
                <w:kern w:val="22"/>
                <w:sz w:val="22"/>
                <w:szCs w:val="22"/>
                <w:lang w:val="en-GB"/>
              </w:rPr>
              <w:t xml:space="preserve">be partners in the design and implementation of positive incentive measures for biodiversity, </w:t>
            </w:r>
            <w:r w:rsidR="007B3AAD" w:rsidRPr="00B47649">
              <w:rPr>
                <w:bCs/>
                <w:kern w:val="22"/>
                <w:sz w:val="22"/>
                <w:szCs w:val="22"/>
                <w:lang w:val="en-GB"/>
              </w:rPr>
              <w:t>using</w:t>
            </w:r>
            <w:r w:rsidRPr="00B47649">
              <w:rPr>
                <w:bCs/>
                <w:kern w:val="22"/>
                <w:sz w:val="22"/>
                <w:szCs w:val="22"/>
                <w:lang w:val="en-GB"/>
              </w:rPr>
              <w:t xml:space="preserve"> science-based </w:t>
            </w:r>
            <w:r w:rsidR="000E602A" w:rsidRPr="00B47649">
              <w:rPr>
                <w:bCs/>
                <w:kern w:val="22"/>
                <w:sz w:val="22"/>
                <w:szCs w:val="22"/>
                <w:lang w:val="en-GB"/>
              </w:rPr>
              <w:t xml:space="preserve">and verifiable </w:t>
            </w:r>
            <w:r w:rsidRPr="00B47649">
              <w:rPr>
                <w:bCs/>
                <w:kern w:val="22"/>
                <w:sz w:val="22"/>
                <w:szCs w:val="22"/>
                <w:lang w:val="en-GB"/>
              </w:rPr>
              <w:t xml:space="preserve">information on biodiversity in consumer and producer decisions, consistent and in harmony with the Convention and other relevant international obligations, for example through </w:t>
            </w:r>
            <w:r w:rsidR="007B3AAD" w:rsidRPr="00B47649">
              <w:rPr>
                <w:bCs/>
                <w:kern w:val="22"/>
                <w:sz w:val="22"/>
                <w:szCs w:val="22"/>
                <w:lang w:val="en-GB"/>
              </w:rPr>
              <w:t xml:space="preserve">the application of the mitigation hierarchy, </w:t>
            </w:r>
            <w:r w:rsidR="003C4392" w:rsidRPr="00B47649">
              <w:rPr>
                <w:bCs/>
                <w:kern w:val="22"/>
                <w:sz w:val="22"/>
                <w:szCs w:val="22"/>
                <w:lang w:val="en-GB"/>
              </w:rPr>
              <w:t xml:space="preserve">certification, </w:t>
            </w:r>
            <w:r w:rsidRPr="00B47649">
              <w:rPr>
                <w:bCs/>
                <w:kern w:val="22"/>
                <w:sz w:val="22"/>
                <w:szCs w:val="22"/>
                <w:lang w:val="en-GB"/>
              </w:rPr>
              <w:t xml:space="preserve">eco-labelling </w:t>
            </w:r>
            <w:r w:rsidR="003C4392" w:rsidRPr="00B47649">
              <w:rPr>
                <w:bCs/>
                <w:kern w:val="22"/>
                <w:sz w:val="22"/>
                <w:szCs w:val="22"/>
                <w:lang w:val="en-GB"/>
              </w:rPr>
              <w:t>or B2B standards</w:t>
            </w:r>
            <w:r w:rsidR="00F6067F">
              <w:rPr>
                <w:bCs/>
                <w:kern w:val="22"/>
                <w:sz w:val="22"/>
                <w:szCs w:val="22"/>
                <w:lang w:val="en-GB"/>
              </w:rPr>
              <w:t>,</w:t>
            </w:r>
            <w:r w:rsidR="003C4392" w:rsidRPr="00B47649">
              <w:rPr>
                <w:bCs/>
                <w:kern w:val="22"/>
                <w:sz w:val="22"/>
                <w:szCs w:val="22"/>
                <w:lang w:val="en-GB"/>
              </w:rPr>
              <w:t xml:space="preserve"> </w:t>
            </w:r>
            <w:r w:rsidRPr="00B47649">
              <w:rPr>
                <w:bCs/>
                <w:kern w:val="22"/>
                <w:sz w:val="22"/>
                <w:szCs w:val="22"/>
                <w:lang w:val="en-GB"/>
              </w:rPr>
              <w:t>as appropriate</w:t>
            </w:r>
            <w:r w:rsidR="00A97DCE" w:rsidRPr="00B47649">
              <w:rPr>
                <w:bCs/>
                <w:kern w:val="22"/>
                <w:sz w:val="22"/>
                <w:szCs w:val="22"/>
                <w:lang w:val="en-GB"/>
              </w:rPr>
              <w:t>.</w:t>
            </w:r>
          </w:p>
        </w:tc>
      </w:tr>
      <w:tr w:rsidR="00AF0426" w:rsidRPr="00B47649" w14:paraId="5FF63F07" w14:textId="77777777" w:rsidTr="00253CF4">
        <w:tc>
          <w:tcPr>
            <w:tcW w:w="9350" w:type="dxa"/>
            <w:shd w:val="clear" w:color="auto" w:fill="FFFFFF"/>
          </w:tcPr>
          <w:p w14:paraId="22E2557C" w14:textId="090F0ECA" w:rsidR="00B32595"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3.1: </w:t>
            </w:r>
            <w:r w:rsidR="00996CF7" w:rsidRPr="00B47649">
              <w:rPr>
                <w:b/>
                <w:iCs/>
                <w:kern w:val="22"/>
                <w:sz w:val="22"/>
                <w:szCs w:val="22"/>
                <w:lang w:val="en-GB"/>
              </w:rPr>
              <w:t>B</w:t>
            </w:r>
            <w:r w:rsidR="00AF0426" w:rsidRPr="00B47649">
              <w:rPr>
                <w:b/>
                <w:iCs/>
                <w:kern w:val="22"/>
                <w:sz w:val="22"/>
                <w:szCs w:val="22"/>
                <w:lang w:val="en-GB"/>
              </w:rPr>
              <w:t xml:space="preserve">usinesses apply an agreed set of biodiversity metrics, </w:t>
            </w:r>
            <w:r w:rsidR="00B32595" w:rsidRPr="00B47649">
              <w:rPr>
                <w:b/>
                <w:iCs/>
                <w:kern w:val="22"/>
                <w:sz w:val="22"/>
                <w:szCs w:val="22"/>
                <w:lang w:val="en-GB"/>
              </w:rPr>
              <w:t xml:space="preserve">ecosystem accounts, and </w:t>
            </w:r>
            <w:r w:rsidR="00AF0426" w:rsidRPr="00B47649">
              <w:rPr>
                <w:b/>
                <w:iCs/>
                <w:kern w:val="22"/>
                <w:sz w:val="22"/>
                <w:szCs w:val="22"/>
                <w:lang w:val="en-GB"/>
              </w:rPr>
              <w:t xml:space="preserve">reporting and disclosure standards, based on </w:t>
            </w:r>
            <w:r w:rsidR="00C63223" w:rsidRPr="00B47649">
              <w:rPr>
                <w:b/>
                <w:iCs/>
                <w:kern w:val="22"/>
                <w:sz w:val="22"/>
                <w:szCs w:val="22"/>
                <w:lang w:val="en-GB"/>
              </w:rPr>
              <w:t xml:space="preserve">dependencies and </w:t>
            </w:r>
            <w:r w:rsidR="00AF0426" w:rsidRPr="00B47649">
              <w:rPr>
                <w:b/>
                <w:iCs/>
                <w:kern w:val="22"/>
                <w:sz w:val="22"/>
                <w:szCs w:val="22"/>
                <w:lang w:val="en-GB"/>
              </w:rPr>
              <w:t>net impact measurement</w:t>
            </w:r>
            <w:r w:rsidR="00B32595" w:rsidRPr="00B47649">
              <w:rPr>
                <w:b/>
                <w:iCs/>
                <w:kern w:val="22"/>
                <w:sz w:val="22"/>
                <w:szCs w:val="22"/>
                <w:lang w:val="en-GB"/>
              </w:rPr>
              <w:t xml:space="preserve">, </w:t>
            </w:r>
            <w:r w:rsidR="000E602A" w:rsidRPr="00B47649">
              <w:rPr>
                <w:b/>
                <w:iCs/>
                <w:kern w:val="22"/>
                <w:sz w:val="22"/>
                <w:szCs w:val="22"/>
                <w:lang w:val="en-GB"/>
              </w:rPr>
              <w:t>integra</w:t>
            </w:r>
            <w:r w:rsidR="00AF0426" w:rsidRPr="00B47649">
              <w:rPr>
                <w:b/>
                <w:iCs/>
                <w:kern w:val="22"/>
                <w:sz w:val="22"/>
                <w:szCs w:val="22"/>
                <w:lang w:val="en-GB"/>
              </w:rPr>
              <w:t>ting the values of biodiversity</w:t>
            </w:r>
            <w:r w:rsidR="00AF0426" w:rsidRPr="00B47649">
              <w:rPr>
                <w:rStyle w:val="FootnoteReference"/>
                <w:rFonts w:eastAsiaTheme="majorEastAsia"/>
                <w:b/>
                <w:iCs/>
                <w:kern w:val="22"/>
                <w:szCs w:val="22"/>
                <w:lang w:val="en-GB"/>
              </w:rPr>
              <w:footnoteReference w:id="33"/>
            </w:r>
            <w:r w:rsidR="00A87374" w:rsidRPr="00B47649">
              <w:rPr>
                <w:b/>
                <w:iCs/>
                <w:kern w:val="22"/>
                <w:sz w:val="22"/>
                <w:szCs w:val="22"/>
                <w:lang w:val="en-GB"/>
              </w:rPr>
              <w:t xml:space="preserve"> and their</w:t>
            </w:r>
            <w:r w:rsidR="00AF0426" w:rsidRPr="00B47649">
              <w:rPr>
                <w:b/>
                <w:iCs/>
                <w:kern w:val="22"/>
                <w:sz w:val="22"/>
                <w:szCs w:val="22"/>
                <w:lang w:val="en-GB"/>
              </w:rPr>
              <w:t xml:space="preserve"> role in business models</w:t>
            </w:r>
            <w:r w:rsidR="00B32595" w:rsidRPr="00B47649">
              <w:rPr>
                <w:b/>
                <w:iCs/>
                <w:kern w:val="22"/>
                <w:sz w:val="22"/>
                <w:szCs w:val="22"/>
                <w:lang w:val="en-GB"/>
              </w:rPr>
              <w:t xml:space="preserve"> and ensuring that the values, dependencies and impacts on biodiversity throughout their supply chains are accounted for according to international  generally accepted principles and codes of conduct.</w:t>
            </w:r>
          </w:p>
        </w:tc>
      </w:tr>
      <w:tr w:rsidR="00AF0426" w:rsidRPr="00B47649" w14:paraId="24ADCBB5" w14:textId="77777777" w:rsidTr="00253CF4">
        <w:tc>
          <w:tcPr>
            <w:tcW w:w="9350" w:type="dxa"/>
            <w:shd w:val="clear" w:color="auto" w:fill="FFFFFF"/>
          </w:tcPr>
          <w:p w14:paraId="04DCC63D" w14:textId="21B70AAA"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3.2: </w:t>
            </w:r>
            <w:r w:rsidR="00996CF7" w:rsidRPr="00B47649">
              <w:rPr>
                <w:b/>
                <w:iCs/>
                <w:kern w:val="22"/>
                <w:sz w:val="22"/>
                <w:szCs w:val="22"/>
                <w:lang w:val="en-GB"/>
              </w:rPr>
              <w:t>B</w:t>
            </w:r>
            <w:r w:rsidR="00A87374" w:rsidRPr="00B47649">
              <w:rPr>
                <w:b/>
                <w:iCs/>
                <w:kern w:val="22"/>
                <w:sz w:val="22"/>
                <w:szCs w:val="22"/>
                <w:lang w:val="en-GB"/>
              </w:rPr>
              <w:t>usinesses at all levels transitio</w:t>
            </w:r>
            <w:r w:rsidR="00C04785" w:rsidRPr="00B47649">
              <w:rPr>
                <w:b/>
                <w:iCs/>
                <w:kern w:val="22"/>
                <w:sz w:val="22"/>
                <w:szCs w:val="22"/>
                <w:lang w:val="en-GB"/>
              </w:rPr>
              <w:t>n</w:t>
            </w:r>
            <w:r w:rsidR="00A87374" w:rsidRPr="00B47649">
              <w:rPr>
                <w:b/>
                <w:iCs/>
                <w:kern w:val="22"/>
                <w:sz w:val="22"/>
                <w:szCs w:val="22"/>
                <w:lang w:val="en-GB"/>
              </w:rPr>
              <w:t xml:space="preserve"> to sustainable production practices</w:t>
            </w:r>
            <w:r w:rsidR="00C04785" w:rsidRPr="00B47649">
              <w:rPr>
                <w:b/>
                <w:iCs/>
                <w:kern w:val="22"/>
                <w:sz w:val="22"/>
                <w:szCs w:val="22"/>
                <w:lang w:val="en-GB"/>
              </w:rPr>
              <w:t xml:space="preserve">, </w:t>
            </w:r>
            <w:r w:rsidR="00A87374" w:rsidRPr="00B47649">
              <w:rPr>
                <w:b/>
                <w:iCs/>
                <w:kern w:val="22"/>
                <w:sz w:val="22"/>
                <w:szCs w:val="22"/>
                <w:lang w:val="en-GB"/>
              </w:rPr>
              <w:t>maximizing net</w:t>
            </w:r>
            <w:r w:rsidR="000D47F3" w:rsidRPr="00B47649">
              <w:rPr>
                <w:b/>
                <w:iCs/>
                <w:kern w:val="22"/>
                <w:sz w:val="22"/>
                <w:szCs w:val="22"/>
                <w:lang w:val="en-GB"/>
              </w:rPr>
              <w:t xml:space="preserve"> positive impacts on nature, </w:t>
            </w:r>
            <w:r w:rsidR="00A87374" w:rsidRPr="00B47649">
              <w:rPr>
                <w:b/>
                <w:iCs/>
                <w:kern w:val="22"/>
                <w:sz w:val="22"/>
                <w:szCs w:val="22"/>
                <w:lang w:val="en-GB"/>
              </w:rPr>
              <w:t>biodiversity</w:t>
            </w:r>
            <w:r w:rsidR="000D47F3" w:rsidRPr="00B47649">
              <w:rPr>
                <w:b/>
                <w:iCs/>
                <w:kern w:val="22"/>
                <w:sz w:val="22"/>
                <w:szCs w:val="22"/>
                <w:lang w:val="en-GB"/>
              </w:rPr>
              <w:t xml:space="preserve"> </w:t>
            </w:r>
            <w:r w:rsidR="003C4392" w:rsidRPr="00B47649">
              <w:rPr>
                <w:b/>
                <w:iCs/>
                <w:kern w:val="22"/>
                <w:sz w:val="22"/>
                <w:szCs w:val="22"/>
                <w:lang w:val="en-GB"/>
              </w:rPr>
              <w:t>and human health</w:t>
            </w:r>
            <w:r w:rsidR="00A87374" w:rsidRPr="00B47649">
              <w:rPr>
                <w:b/>
                <w:iCs/>
                <w:kern w:val="22"/>
                <w:sz w:val="22"/>
                <w:szCs w:val="22"/>
                <w:lang w:val="en-GB"/>
              </w:rPr>
              <w:t xml:space="preserve">, </w:t>
            </w:r>
            <w:r w:rsidR="007B3AAD" w:rsidRPr="00B47649">
              <w:rPr>
                <w:b/>
                <w:iCs/>
                <w:kern w:val="22"/>
                <w:sz w:val="22"/>
                <w:szCs w:val="22"/>
                <w:lang w:val="en-GB"/>
              </w:rPr>
              <w:t>applying the mitigation h</w:t>
            </w:r>
            <w:r w:rsidR="00022331" w:rsidRPr="00B47649">
              <w:rPr>
                <w:b/>
                <w:iCs/>
                <w:kern w:val="22"/>
                <w:sz w:val="22"/>
                <w:szCs w:val="22"/>
                <w:lang w:val="en-GB"/>
              </w:rPr>
              <w:t>i</w:t>
            </w:r>
            <w:r w:rsidR="007B3AAD" w:rsidRPr="00B47649">
              <w:rPr>
                <w:b/>
                <w:iCs/>
                <w:kern w:val="22"/>
                <w:sz w:val="22"/>
                <w:szCs w:val="22"/>
                <w:lang w:val="en-GB"/>
              </w:rPr>
              <w:t xml:space="preserve">erarchy, </w:t>
            </w:r>
            <w:r w:rsidR="00A87374" w:rsidRPr="00B47649">
              <w:rPr>
                <w:b/>
                <w:iCs/>
                <w:kern w:val="22"/>
                <w:sz w:val="22"/>
                <w:szCs w:val="22"/>
                <w:lang w:val="en-GB"/>
              </w:rPr>
              <w:t xml:space="preserve">while managing dependencies and </w:t>
            </w:r>
            <w:r w:rsidR="000E602A" w:rsidRPr="00B47649">
              <w:rPr>
                <w:b/>
                <w:iCs/>
                <w:kern w:val="22"/>
                <w:sz w:val="22"/>
                <w:szCs w:val="22"/>
                <w:lang w:val="en-GB"/>
              </w:rPr>
              <w:t xml:space="preserve">avoiding </w:t>
            </w:r>
            <w:r w:rsidR="007B3AAD" w:rsidRPr="00B47649">
              <w:rPr>
                <w:b/>
                <w:iCs/>
                <w:kern w:val="22"/>
                <w:sz w:val="22"/>
                <w:szCs w:val="22"/>
                <w:lang w:val="en-GB"/>
              </w:rPr>
              <w:t xml:space="preserve">or </w:t>
            </w:r>
            <w:r w:rsidR="00A87374" w:rsidRPr="00B47649">
              <w:rPr>
                <w:b/>
                <w:iCs/>
                <w:kern w:val="22"/>
                <w:sz w:val="22"/>
                <w:szCs w:val="22"/>
                <w:lang w:val="en-GB"/>
              </w:rPr>
              <w:t>minimizing negative impacts, over-exploitation and pollution, including in business models and through voluntary standards</w:t>
            </w:r>
            <w:r w:rsidR="00D540E9" w:rsidRPr="00B47649">
              <w:rPr>
                <w:b/>
                <w:iCs/>
                <w:kern w:val="22"/>
                <w:sz w:val="22"/>
                <w:szCs w:val="22"/>
                <w:lang w:val="en-GB"/>
              </w:rPr>
              <w:t xml:space="preserve">, </w:t>
            </w:r>
            <w:r w:rsidR="0041110F" w:rsidRPr="00B47649">
              <w:rPr>
                <w:b/>
                <w:iCs/>
                <w:kern w:val="22"/>
                <w:sz w:val="22"/>
                <w:szCs w:val="22"/>
                <w:lang w:val="en-GB"/>
              </w:rPr>
              <w:t xml:space="preserve">labelling and sustainability certification, </w:t>
            </w:r>
            <w:r w:rsidR="00D540E9" w:rsidRPr="00B47649">
              <w:rPr>
                <w:b/>
                <w:iCs/>
                <w:kern w:val="22"/>
                <w:sz w:val="22"/>
                <w:szCs w:val="22"/>
                <w:lang w:val="en-GB"/>
              </w:rPr>
              <w:t>and provide verifiable evidence of change</w:t>
            </w:r>
            <w:r w:rsidR="00856F57">
              <w:rPr>
                <w:b/>
                <w:iCs/>
                <w:kern w:val="22"/>
                <w:sz w:val="22"/>
                <w:szCs w:val="22"/>
                <w:lang w:val="en-GB"/>
              </w:rPr>
              <w:t>,</w:t>
            </w:r>
            <w:r w:rsidR="0041110F" w:rsidRPr="00B47649">
              <w:rPr>
                <w:b/>
                <w:iCs/>
                <w:kern w:val="22"/>
                <w:sz w:val="22"/>
                <w:szCs w:val="22"/>
                <w:lang w:val="en-GB"/>
              </w:rPr>
              <w:t xml:space="preserve"> such as traceability of biodiversity impacts and transparency in supply chains and ingredients.</w:t>
            </w:r>
          </w:p>
        </w:tc>
      </w:tr>
      <w:tr w:rsidR="00AF0426" w:rsidRPr="00B47649" w14:paraId="751291FF" w14:textId="77777777" w:rsidTr="00253CF4">
        <w:tc>
          <w:tcPr>
            <w:tcW w:w="9350" w:type="dxa"/>
            <w:shd w:val="clear" w:color="auto" w:fill="FFFFFF"/>
          </w:tcPr>
          <w:p w14:paraId="3A6CA569" w14:textId="4BE97F76"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3.3: </w:t>
            </w:r>
            <w:r w:rsidR="00996CF7" w:rsidRPr="00B47649">
              <w:rPr>
                <w:b/>
                <w:iCs/>
                <w:kern w:val="22"/>
                <w:sz w:val="22"/>
                <w:szCs w:val="22"/>
                <w:lang w:val="en-GB"/>
              </w:rPr>
              <w:t>G</w:t>
            </w:r>
            <w:r w:rsidR="00D60E2A" w:rsidRPr="00B47649">
              <w:rPr>
                <w:b/>
                <w:iCs/>
                <w:kern w:val="22"/>
                <w:sz w:val="22"/>
                <w:szCs w:val="22"/>
                <w:lang w:val="en-GB"/>
              </w:rPr>
              <w:t>overnments</w:t>
            </w:r>
            <w:r w:rsidR="00996CF7" w:rsidRPr="00B47649">
              <w:rPr>
                <w:b/>
                <w:iCs/>
                <w:kern w:val="22"/>
                <w:sz w:val="22"/>
                <w:szCs w:val="22"/>
                <w:lang w:val="en-GB"/>
              </w:rPr>
              <w:t xml:space="preserve"> at all levels</w:t>
            </w:r>
            <w:r w:rsidR="00D60E2A" w:rsidRPr="00B47649">
              <w:rPr>
                <w:b/>
                <w:iCs/>
                <w:kern w:val="22"/>
                <w:sz w:val="22"/>
                <w:szCs w:val="22"/>
                <w:lang w:val="en-GB"/>
              </w:rPr>
              <w:t xml:space="preserve">, </w:t>
            </w:r>
            <w:r w:rsidR="00D540E9" w:rsidRPr="00B47649">
              <w:rPr>
                <w:b/>
                <w:iCs/>
                <w:kern w:val="22"/>
                <w:sz w:val="22"/>
                <w:szCs w:val="22"/>
                <w:lang w:val="en-GB"/>
              </w:rPr>
              <w:t xml:space="preserve">rightsholders, </w:t>
            </w:r>
            <w:r w:rsidR="00D60E2A" w:rsidRPr="00B47649">
              <w:rPr>
                <w:b/>
                <w:iCs/>
                <w:kern w:val="22"/>
                <w:sz w:val="22"/>
                <w:szCs w:val="22"/>
                <w:lang w:val="en-GB"/>
              </w:rPr>
              <w:t>the private sector and civil society collaborate to establish and strengthen mechanisms to encourage and promote business commitments to biodiversity and partnerships which enable collaboration and communication at all levels.</w:t>
            </w:r>
          </w:p>
        </w:tc>
      </w:tr>
      <w:tr w:rsidR="00AF0426" w:rsidRPr="00B47649" w14:paraId="688392AE" w14:textId="77777777" w:rsidTr="00253CF4">
        <w:tc>
          <w:tcPr>
            <w:tcW w:w="9350" w:type="dxa"/>
            <w:shd w:val="clear" w:color="auto" w:fill="D9D9D9" w:themeFill="background1" w:themeFillShade="D9"/>
          </w:tcPr>
          <w:p w14:paraId="6477D035" w14:textId="374479BB" w:rsidR="00AF0426" w:rsidRPr="00B47649" w:rsidRDefault="00F614F7" w:rsidP="00B47649">
            <w:pPr>
              <w:suppressLineNumbers/>
              <w:suppressAutoHyphens/>
              <w:spacing w:before="120" w:after="120"/>
              <w:jc w:val="both"/>
              <w:rPr>
                <w:b/>
                <w:bCs/>
                <w:color w:val="000000"/>
                <w:kern w:val="22"/>
                <w:sz w:val="22"/>
                <w:szCs w:val="22"/>
                <w:lang w:val="en-GB"/>
              </w:rPr>
            </w:pPr>
            <w:r w:rsidRPr="00B47649">
              <w:rPr>
                <w:b/>
                <w:kern w:val="22"/>
                <w:sz w:val="22"/>
                <w:szCs w:val="22"/>
                <w:lang w:val="en-GB"/>
              </w:rPr>
              <w:t xml:space="preserve">Action </w:t>
            </w:r>
            <w:r w:rsidR="00AE722C" w:rsidRPr="00B47649">
              <w:rPr>
                <w:b/>
                <w:kern w:val="22"/>
                <w:sz w:val="22"/>
                <w:szCs w:val="22"/>
                <w:lang w:val="en-GB"/>
              </w:rPr>
              <w:t>a</w:t>
            </w:r>
            <w:r w:rsidRPr="00B47649">
              <w:rPr>
                <w:b/>
                <w:kern w:val="22"/>
                <w:sz w:val="22"/>
                <w:szCs w:val="22"/>
                <w:lang w:val="en-GB"/>
              </w:rPr>
              <w:t>rea 4</w:t>
            </w:r>
            <w:r w:rsidR="00AF0426" w:rsidRPr="00B47649">
              <w:rPr>
                <w:kern w:val="22"/>
                <w:sz w:val="22"/>
                <w:szCs w:val="22"/>
                <w:lang w:val="en-GB"/>
              </w:rPr>
              <w:t xml:space="preserve">: </w:t>
            </w:r>
            <w:r w:rsidR="00E94735" w:rsidRPr="00B47649">
              <w:rPr>
                <w:b/>
                <w:bCs/>
                <w:color w:val="000000"/>
                <w:kern w:val="22"/>
                <w:sz w:val="22"/>
                <w:szCs w:val="22"/>
                <w:lang w:val="en-GB"/>
              </w:rPr>
              <w:t>F</w:t>
            </w:r>
            <w:r w:rsidR="00AF0426" w:rsidRPr="00B47649">
              <w:rPr>
                <w:b/>
                <w:bCs/>
                <w:color w:val="000000"/>
                <w:kern w:val="22"/>
                <w:sz w:val="22"/>
                <w:szCs w:val="22"/>
                <w:lang w:val="en-GB"/>
              </w:rPr>
              <w:t>inancial institutions at all levels appl</w:t>
            </w:r>
            <w:r w:rsidR="00C04785" w:rsidRPr="00B47649">
              <w:rPr>
                <w:b/>
                <w:bCs/>
                <w:color w:val="000000"/>
                <w:kern w:val="22"/>
                <w:sz w:val="22"/>
                <w:szCs w:val="22"/>
                <w:lang w:val="en-GB"/>
              </w:rPr>
              <w:t>y</w:t>
            </w:r>
            <w:r w:rsidR="00AF0426" w:rsidRPr="00B47649">
              <w:rPr>
                <w:b/>
                <w:bCs/>
                <w:color w:val="000000"/>
                <w:kern w:val="22"/>
                <w:sz w:val="22"/>
                <w:szCs w:val="22"/>
                <w:lang w:val="en-GB"/>
              </w:rPr>
              <w:t xml:space="preserve"> biodiversity risk assessment policies and processes, having developed tools for biodiversity financing</w:t>
            </w:r>
            <w:r w:rsidRPr="00B47649">
              <w:rPr>
                <w:b/>
                <w:bCs/>
                <w:color w:val="000000"/>
                <w:kern w:val="22"/>
                <w:sz w:val="22"/>
                <w:szCs w:val="22"/>
                <w:lang w:val="en-GB"/>
              </w:rPr>
              <w:t xml:space="preserve"> to</w:t>
            </w:r>
            <w:r w:rsidR="00AF0426" w:rsidRPr="00B47649">
              <w:rPr>
                <w:b/>
                <w:bCs/>
                <w:color w:val="000000"/>
                <w:kern w:val="22"/>
                <w:sz w:val="22"/>
                <w:szCs w:val="22"/>
                <w:lang w:val="en-GB"/>
              </w:rPr>
              <w:t xml:space="preserve"> demonstrat</w:t>
            </w:r>
            <w:r w:rsidRPr="00B47649">
              <w:rPr>
                <w:b/>
                <w:bCs/>
                <w:color w:val="000000"/>
                <w:kern w:val="22"/>
                <w:sz w:val="22"/>
                <w:szCs w:val="22"/>
                <w:lang w:val="en-GB"/>
              </w:rPr>
              <w:t>e</w:t>
            </w:r>
            <w:r w:rsidR="00AF0426" w:rsidRPr="00B47649">
              <w:rPr>
                <w:b/>
                <w:bCs/>
                <w:color w:val="000000"/>
                <w:kern w:val="22"/>
                <w:sz w:val="22"/>
                <w:szCs w:val="22"/>
                <w:lang w:val="en-GB"/>
              </w:rPr>
              <w:t xml:space="preserve"> decreasing negative </w:t>
            </w:r>
            <w:r w:rsidR="00AF0426" w:rsidRPr="00B47649">
              <w:rPr>
                <w:b/>
                <w:bCs/>
                <w:color w:val="000000"/>
                <w:kern w:val="22"/>
                <w:sz w:val="22"/>
                <w:szCs w:val="22"/>
                <w:lang w:val="en-GB"/>
              </w:rPr>
              <w:lastRenderedPageBreak/>
              <w:t>impacts on ecosystems and biodiversity in their portfolios and increasing amount</w:t>
            </w:r>
            <w:r w:rsidR="000B628D" w:rsidRPr="00B47649">
              <w:rPr>
                <w:b/>
                <w:bCs/>
                <w:color w:val="000000"/>
                <w:kern w:val="22"/>
                <w:sz w:val="22"/>
                <w:szCs w:val="22"/>
                <w:lang w:val="en-GB"/>
              </w:rPr>
              <w:t>s</w:t>
            </w:r>
            <w:r w:rsidR="00AF0426" w:rsidRPr="00B47649">
              <w:rPr>
                <w:b/>
                <w:bCs/>
                <w:color w:val="000000"/>
                <w:kern w:val="22"/>
                <w:sz w:val="22"/>
                <w:szCs w:val="22"/>
                <w:lang w:val="en-GB"/>
              </w:rPr>
              <w:t xml:space="preserve"> of dedicated finance.</w:t>
            </w:r>
          </w:p>
          <w:p w14:paraId="637B62BC" w14:textId="4412D7A5" w:rsidR="00AF0426" w:rsidRPr="00B47649" w:rsidRDefault="00AF0426" w:rsidP="00B47649">
            <w:pPr>
              <w:suppressLineNumbers/>
              <w:suppressAutoHyphens/>
              <w:spacing w:after="120"/>
              <w:jc w:val="both"/>
              <w:rPr>
                <w:kern w:val="22"/>
                <w:sz w:val="22"/>
                <w:szCs w:val="22"/>
                <w:lang w:val="en-GB"/>
              </w:rPr>
            </w:pPr>
            <w:r w:rsidRPr="00B47649">
              <w:rPr>
                <w:kern w:val="22"/>
                <w:sz w:val="22"/>
                <w:szCs w:val="22"/>
                <w:lang w:val="en-GB"/>
              </w:rPr>
              <w:t xml:space="preserve">Indicators </w:t>
            </w:r>
            <w:r w:rsidR="007F265A">
              <w:rPr>
                <w:kern w:val="22"/>
                <w:sz w:val="22"/>
                <w:szCs w:val="22"/>
                <w:lang w:val="en-GB"/>
              </w:rPr>
              <w:t>o</w:t>
            </w:r>
            <w:r w:rsidRPr="00B47649">
              <w:rPr>
                <w:kern w:val="22"/>
                <w:sz w:val="22"/>
                <w:szCs w:val="22"/>
                <w:lang w:val="en-GB"/>
              </w:rPr>
              <w:t>f success:</w:t>
            </w:r>
          </w:p>
          <w:p w14:paraId="0F87AC34" w14:textId="3928CC30" w:rsidR="00AF0426" w:rsidRPr="00B47649" w:rsidRDefault="00AF0426" w:rsidP="00B47649">
            <w:pPr>
              <w:numPr>
                <w:ilvl w:val="0"/>
                <w:numId w:val="20"/>
              </w:numPr>
              <w:suppressLineNumbers/>
              <w:suppressAutoHyphens/>
              <w:spacing w:after="120"/>
              <w:jc w:val="both"/>
              <w:rPr>
                <w:kern w:val="22"/>
                <w:sz w:val="22"/>
                <w:szCs w:val="22"/>
                <w:lang w:val="en-GB"/>
              </w:rPr>
            </w:pPr>
            <w:r w:rsidRPr="00B47649">
              <w:rPr>
                <w:kern w:val="22"/>
                <w:sz w:val="22"/>
                <w:szCs w:val="22"/>
                <w:lang w:val="en-GB"/>
              </w:rPr>
              <w:t>Number of financial institutions integrating the biodiversity risks and opportunities into decision-making</w:t>
            </w:r>
            <w:r w:rsidR="008062E9" w:rsidRPr="00B47649">
              <w:rPr>
                <w:kern w:val="22"/>
                <w:sz w:val="22"/>
                <w:szCs w:val="22"/>
                <w:lang w:val="en-GB"/>
              </w:rPr>
              <w:t>;</w:t>
            </w:r>
            <w:r w:rsidRPr="00B47649">
              <w:rPr>
                <w:rStyle w:val="FootnoteReference"/>
                <w:rFonts w:eastAsiaTheme="majorEastAsia"/>
                <w:kern w:val="22"/>
                <w:szCs w:val="22"/>
                <w:lang w:val="en-GB"/>
              </w:rPr>
              <w:footnoteReference w:id="34"/>
            </w:r>
          </w:p>
          <w:p w14:paraId="62E5FB90" w14:textId="6D2E1345" w:rsidR="00AF0426" w:rsidRPr="00B47649" w:rsidRDefault="00AF0426" w:rsidP="00B47649">
            <w:pPr>
              <w:numPr>
                <w:ilvl w:val="0"/>
                <w:numId w:val="20"/>
              </w:numPr>
              <w:suppressLineNumbers/>
              <w:suppressAutoHyphens/>
              <w:spacing w:after="120"/>
              <w:jc w:val="both"/>
              <w:rPr>
                <w:kern w:val="22"/>
                <w:sz w:val="22"/>
                <w:szCs w:val="22"/>
                <w:lang w:val="en-GB"/>
              </w:rPr>
            </w:pPr>
            <w:r w:rsidRPr="00B47649">
              <w:rPr>
                <w:kern w:val="22"/>
                <w:sz w:val="22"/>
                <w:szCs w:val="22"/>
                <w:lang w:val="en-GB"/>
              </w:rPr>
              <w:t xml:space="preserve">Number of financial institutions publishing </w:t>
            </w:r>
            <w:r w:rsidR="00D540E9" w:rsidRPr="00B47649">
              <w:rPr>
                <w:kern w:val="22"/>
                <w:sz w:val="22"/>
                <w:szCs w:val="22"/>
                <w:lang w:val="en-GB"/>
              </w:rPr>
              <w:t xml:space="preserve">verifiable </w:t>
            </w:r>
            <w:r w:rsidRPr="00B47649">
              <w:rPr>
                <w:kern w:val="22"/>
                <w:sz w:val="22"/>
                <w:szCs w:val="22"/>
                <w:lang w:val="en-GB"/>
              </w:rPr>
              <w:t>sustainability reports</w:t>
            </w:r>
            <w:r w:rsidR="008062E9" w:rsidRPr="00B47649">
              <w:rPr>
                <w:kern w:val="22"/>
                <w:sz w:val="22"/>
                <w:szCs w:val="22"/>
                <w:lang w:val="en-GB"/>
              </w:rPr>
              <w:t>;</w:t>
            </w:r>
            <w:r w:rsidRPr="00B47649">
              <w:rPr>
                <w:kern w:val="22"/>
                <w:sz w:val="22"/>
                <w:szCs w:val="22"/>
                <w:vertAlign w:val="superscript"/>
                <w:lang w:val="en-GB"/>
              </w:rPr>
              <w:footnoteReference w:id="35"/>
            </w:r>
          </w:p>
          <w:p w14:paraId="2BF0B7C1" w14:textId="3B0A65A6" w:rsidR="00AF0426" w:rsidRPr="00B47649" w:rsidRDefault="00AF0426" w:rsidP="00B47649">
            <w:pPr>
              <w:numPr>
                <w:ilvl w:val="0"/>
                <w:numId w:val="20"/>
              </w:numPr>
              <w:suppressLineNumbers/>
              <w:suppressAutoHyphens/>
              <w:spacing w:after="120"/>
              <w:jc w:val="both"/>
              <w:rPr>
                <w:b/>
                <w:i/>
                <w:kern w:val="22"/>
                <w:sz w:val="22"/>
                <w:szCs w:val="22"/>
                <w:lang w:val="en-GB"/>
              </w:rPr>
            </w:pPr>
            <w:r w:rsidRPr="00B47649">
              <w:rPr>
                <w:kern w:val="22"/>
                <w:sz w:val="22"/>
                <w:szCs w:val="22"/>
                <w:lang w:val="en-GB"/>
              </w:rPr>
              <w:t xml:space="preserve">Number of financial institutions which demonstrate, in their sustainability reports, significantly improving their impacts and </w:t>
            </w:r>
            <w:r w:rsidR="00D540E9" w:rsidRPr="00B47649">
              <w:rPr>
                <w:kern w:val="22"/>
                <w:sz w:val="22"/>
                <w:szCs w:val="22"/>
                <w:lang w:val="en-GB"/>
              </w:rPr>
              <w:t>contributions to</w:t>
            </w:r>
            <w:r w:rsidRPr="00B47649">
              <w:rPr>
                <w:kern w:val="22"/>
                <w:sz w:val="22"/>
                <w:szCs w:val="22"/>
                <w:lang w:val="en-GB"/>
              </w:rPr>
              <w:t xml:space="preserve"> ecosystems, biodiversity and human health in their portfolios.</w:t>
            </w:r>
          </w:p>
          <w:p w14:paraId="4CC624EE" w14:textId="10DE781C" w:rsidR="00AF0426" w:rsidRPr="00B47649" w:rsidRDefault="00AF0426" w:rsidP="00B47649">
            <w:pPr>
              <w:suppressLineNumbers/>
              <w:suppressAutoHyphens/>
              <w:spacing w:after="120"/>
              <w:jc w:val="both"/>
              <w:rPr>
                <w:bCs/>
                <w:iCs/>
                <w:kern w:val="22"/>
                <w:sz w:val="22"/>
                <w:szCs w:val="22"/>
                <w:lang w:val="en-GB"/>
              </w:rPr>
            </w:pPr>
            <w:r w:rsidRPr="00B47649">
              <w:rPr>
                <w:b/>
                <w:iCs/>
                <w:kern w:val="22"/>
                <w:sz w:val="22"/>
                <w:szCs w:val="22"/>
                <w:lang w:val="en-GB"/>
              </w:rPr>
              <w:t xml:space="preserve">Rationale: </w:t>
            </w:r>
            <w:r w:rsidRPr="00B47649">
              <w:rPr>
                <w:bCs/>
                <w:iCs/>
                <w:kern w:val="22"/>
                <w:sz w:val="22"/>
                <w:szCs w:val="22"/>
                <w:lang w:val="en-GB"/>
              </w:rPr>
              <w:t xml:space="preserve">Financial flows need to be consistent with a pathway towards living in harmony with nature and redirected towards achieving the nature ambition. Public and private finance should be aligned more effectively and the focus in the global framework should broaden from </w:t>
            </w:r>
            <w:r w:rsidR="009050F4">
              <w:rPr>
                <w:bCs/>
                <w:iCs/>
                <w:kern w:val="22"/>
                <w:sz w:val="22"/>
                <w:szCs w:val="22"/>
                <w:lang w:val="en-GB"/>
              </w:rPr>
              <w:t>“</w:t>
            </w:r>
            <w:r w:rsidRPr="00B47649">
              <w:rPr>
                <w:bCs/>
                <w:iCs/>
                <w:kern w:val="22"/>
                <w:sz w:val="22"/>
                <w:szCs w:val="22"/>
                <w:lang w:val="en-GB"/>
              </w:rPr>
              <w:t>also financing green projects</w:t>
            </w:r>
            <w:r w:rsidR="009050F4">
              <w:rPr>
                <w:bCs/>
                <w:iCs/>
                <w:kern w:val="22"/>
                <w:sz w:val="22"/>
                <w:szCs w:val="22"/>
                <w:lang w:val="en-GB"/>
              </w:rPr>
              <w:t>”</w:t>
            </w:r>
            <w:r w:rsidRPr="00B47649">
              <w:rPr>
                <w:bCs/>
                <w:iCs/>
                <w:kern w:val="22"/>
                <w:sz w:val="22"/>
                <w:szCs w:val="22"/>
                <w:lang w:val="en-GB"/>
              </w:rPr>
              <w:t xml:space="preserve"> to </w:t>
            </w:r>
            <w:r w:rsidR="009050F4">
              <w:rPr>
                <w:bCs/>
                <w:iCs/>
                <w:kern w:val="22"/>
                <w:sz w:val="22"/>
                <w:szCs w:val="22"/>
                <w:lang w:val="en-GB"/>
              </w:rPr>
              <w:t>“</w:t>
            </w:r>
            <w:r w:rsidRPr="00B47649">
              <w:rPr>
                <w:bCs/>
                <w:iCs/>
                <w:kern w:val="22"/>
                <w:sz w:val="22"/>
                <w:szCs w:val="22"/>
                <w:lang w:val="en-GB"/>
              </w:rPr>
              <w:t>greening the financial system as a whole</w:t>
            </w:r>
            <w:r w:rsidR="009050F4">
              <w:rPr>
                <w:bCs/>
                <w:iCs/>
                <w:kern w:val="22"/>
                <w:sz w:val="22"/>
                <w:szCs w:val="22"/>
                <w:lang w:val="en-GB"/>
              </w:rPr>
              <w:t>”</w:t>
            </w:r>
            <w:r w:rsidRPr="00B47649">
              <w:rPr>
                <w:bCs/>
                <w:iCs/>
                <w:kern w:val="22"/>
                <w:sz w:val="22"/>
                <w:szCs w:val="22"/>
                <w:lang w:val="en-GB"/>
              </w:rPr>
              <w:t>.</w:t>
            </w:r>
          </w:p>
        </w:tc>
      </w:tr>
      <w:tr w:rsidR="00AF0426" w:rsidRPr="00B47649" w14:paraId="6069F488" w14:textId="77777777" w:rsidTr="00253CF4">
        <w:tc>
          <w:tcPr>
            <w:tcW w:w="9350" w:type="dxa"/>
            <w:shd w:val="clear" w:color="auto" w:fill="FFFFFF" w:themeFill="background1"/>
          </w:tcPr>
          <w:p w14:paraId="1A9EFD59" w14:textId="440D31A2"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lastRenderedPageBreak/>
              <w:t xml:space="preserve">Action </w:t>
            </w:r>
            <w:r w:rsidR="00AF0426" w:rsidRPr="00B47649">
              <w:rPr>
                <w:b/>
                <w:iCs/>
                <w:kern w:val="22"/>
                <w:sz w:val="22"/>
                <w:szCs w:val="22"/>
                <w:lang w:val="en-GB"/>
              </w:rPr>
              <w:t xml:space="preserve">4.1: </w:t>
            </w:r>
            <w:r w:rsidR="00996CF7" w:rsidRPr="00B47649">
              <w:rPr>
                <w:b/>
                <w:iCs/>
                <w:kern w:val="22"/>
                <w:sz w:val="22"/>
                <w:szCs w:val="22"/>
                <w:lang w:val="en-GB"/>
              </w:rPr>
              <w:t>F</w:t>
            </w:r>
            <w:r w:rsidR="00AF0426" w:rsidRPr="00B47649">
              <w:rPr>
                <w:b/>
                <w:iCs/>
                <w:kern w:val="22"/>
                <w:sz w:val="22"/>
                <w:szCs w:val="22"/>
                <w:lang w:val="en-GB"/>
              </w:rPr>
              <w:t xml:space="preserve">inancial institutions at all levels apply </w:t>
            </w:r>
            <w:r w:rsidR="00C63223" w:rsidRPr="00B47649">
              <w:rPr>
                <w:b/>
                <w:iCs/>
                <w:kern w:val="22"/>
                <w:sz w:val="22"/>
                <w:szCs w:val="22"/>
                <w:lang w:val="en-GB"/>
              </w:rPr>
              <w:t xml:space="preserve">and engage with their clients on an agreed </w:t>
            </w:r>
            <w:r w:rsidR="008317F5" w:rsidRPr="00B47649">
              <w:rPr>
                <w:b/>
                <w:iCs/>
                <w:kern w:val="22"/>
                <w:sz w:val="22"/>
                <w:szCs w:val="22"/>
                <w:lang w:val="en-GB"/>
              </w:rPr>
              <w:t xml:space="preserve">and verifiable </w:t>
            </w:r>
            <w:r w:rsidR="00C63223" w:rsidRPr="00B47649">
              <w:rPr>
                <w:b/>
                <w:iCs/>
                <w:kern w:val="22"/>
                <w:sz w:val="22"/>
                <w:szCs w:val="22"/>
                <w:lang w:val="en-GB"/>
              </w:rPr>
              <w:t>set of biodiversity metrics, reporting and disclosure standards, based on dependencies and n</w:t>
            </w:r>
            <w:r w:rsidR="008317F5" w:rsidRPr="00B47649">
              <w:rPr>
                <w:b/>
                <w:iCs/>
                <w:kern w:val="22"/>
                <w:sz w:val="22"/>
                <w:szCs w:val="22"/>
                <w:lang w:val="en-GB"/>
              </w:rPr>
              <w:t>et impact measurement and integrating</w:t>
            </w:r>
            <w:r w:rsidR="00C63223" w:rsidRPr="00B47649">
              <w:rPr>
                <w:b/>
                <w:iCs/>
                <w:kern w:val="22"/>
                <w:sz w:val="22"/>
                <w:szCs w:val="22"/>
                <w:lang w:val="en-GB"/>
              </w:rPr>
              <w:t xml:space="preserve"> the values of biodiversity in investment portfolios and lending decisions.</w:t>
            </w:r>
          </w:p>
        </w:tc>
      </w:tr>
      <w:tr w:rsidR="00AF0426" w:rsidRPr="00B47649" w14:paraId="5D0B87E3" w14:textId="77777777" w:rsidTr="00253CF4">
        <w:tc>
          <w:tcPr>
            <w:tcW w:w="9350" w:type="dxa"/>
            <w:shd w:val="clear" w:color="auto" w:fill="FFFFFF" w:themeFill="background1"/>
          </w:tcPr>
          <w:p w14:paraId="5BD6DDE5" w14:textId="35766AC4"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4.2: </w:t>
            </w:r>
            <w:r w:rsidR="00996CF7" w:rsidRPr="00B47649">
              <w:rPr>
                <w:b/>
                <w:iCs/>
                <w:kern w:val="22"/>
                <w:sz w:val="22"/>
                <w:szCs w:val="22"/>
                <w:lang w:val="en-GB"/>
              </w:rPr>
              <w:t>F</w:t>
            </w:r>
            <w:r w:rsidR="00AF0426" w:rsidRPr="00B47649">
              <w:rPr>
                <w:b/>
                <w:iCs/>
                <w:kern w:val="22"/>
                <w:sz w:val="22"/>
                <w:szCs w:val="22"/>
                <w:lang w:val="en-GB"/>
              </w:rPr>
              <w:t xml:space="preserve">inancial institutions at all levels incorporate biodiversity loss in their risk analyses and have increasing net positive impacts on biodiversity, including by financing activities </w:t>
            </w:r>
            <w:r w:rsidR="008317F5" w:rsidRPr="00B47649">
              <w:rPr>
                <w:b/>
                <w:iCs/>
                <w:kern w:val="22"/>
                <w:sz w:val="22"/>
                <w:szCs w:val="22"/>
                <w:lang w:val="en-GB"/>
              </w:rPr>
              <w:t>that can verifiably demonstrate</w:t>
            </w:r>
            <w:r w:rsidR="00AF0426" w:rsidRPr="00B47649">
              <w:rPr>
                <w:b/>
                <w:iCs/>
                <w:kern w:val="22"/>
                <w:sz w:val="22"/>
                <w:szCs w:val="22"/>
                <w:lang w:val="en-GB"/>
              </w:rPr>
              <w:t xml:space="preserve"> biodiversity benefits or co-benefits.</w:t>
            </w:r>
          </w:p>
        </w:tc>
      </w:tr>
      <w:tr w:rsidR="00AF0426" w:rsidRPr="00B47649" w14:paraId="39582C2E" w14:textId="77777777" w:rsidTr="00253CF4">
        <w:tc>
          <w:tcPr>
            <w:tcW w:w="9350" w:type="dxa"/>
            <w:shd w:val="clear" w:color="auto" w:fill="FFFFFF" w:themeFill="background1"/>
          </w:tcPr>
          <w:p w14:paraId="1E68E64F" w14:textId="41B27B7A"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4.3: </w:t>
            </w:r>
            <w:r w:rsidR="00996CF7" w:rsidRPr="00B47649">
              <w:rPr>
                <w:b/>
                <w:iCs/>
                <w:kern w:val="22"/>
                <w:sz w:val="22"/>
                <w:szCs w:val="22"/>
                <w:lang w:val="en-GB"/>
              </w:rPr>
              <w:t>F</w:t>
            </w:r>
            <w:r w:rsidRPr="00B47649">
              <w:rPr>
                <w:b/>
                <w:iCs/>
                <w:kern w:val="22"/>
                <w:sz w:val="22"/>
                <w:szCs w:val="22"/>
                <w:lang w:val="en-GB"/>
              </w:rPr>
              <w:t>inancial institutions apply</w:t>
            </w:r>
            <w:r w:rsidR="00C63223" w:rsidRPr="00B47649">
              <w:rPr>
                <w:b/>
                <w:iCs/>
                <w:kern w:val="22"/>
                <w:sz w:val="22"/>
                <w:szCs w:val="22"/>
                <w:lang w:val="en-GB"/>
              </w:rPr>
              <w:t xml:space="preserve">, and promote the use of, </w:t>
            </w:r>
            <w:r w:rsidR="00AF0426" w:rsidRPr="00B47649">
              <w:rPr>
                <w:b/>
                <w:iCs/>
                <w:kern w:val="22"/>
                <w:sz w:val="22"/>
                <w:szCs w:val="22"/>
                <w:lang w:val="en-GB"/>
              </w:rPr>
              <w:t>tools such as green investments, impact loans, blended finance and parametri</w:t>
            </w:r>
            <w:r w:rsidR="008317F5" w:rsidRPr="00B47649">
              <w:rPr>
                <w:b/>
                <w:iCs/>
                <w:kern w:val="22"/>
                <w:sz w:val="22"/>
                <w:szCs w:val="22"/>
                <w:lang w:val="en-GB"/>
              </w:rPr>
              <w:t>c</w:t>
            </w:r>
            <w:r w:rsidR="00AF0426" w:rsidRPr="00B47649">
              <w:rPr>
                <w:b/>
                <w:iCs/>
                <w:kern w:val="22"/>
                <w:sz w:val="22"/>
                <w:szCs w:val="22"/>
                <w:lang w:val="en-GB"/>
              </w:rPr>
              <w:t xml:space="preserve"> insurance</w:t>
            </w:r>
            <w:r w:rsidR="00C63223" w:rsidRPr="00B47649">
              <w:rPr>
                <w:b/>
                <w:iCs/>
                <w:kern w:val="22"/>
                <w:sz w:val="22"/>
                <w:szCs w:val="22"/>
                <w:lang w:val="en-GB"/>
              </w:rPr>
              <w:t>.</w:t>
            </w:r>
          </w:p>
        </w:tc>
      </w:tr>
      <w:tr w:rsidR="00AF0426" w:rsidRPr="00B47649" w14:paraId="53DC3203" w14:textId="77777777" w:rsidTr="00253CF4">
        <w:tc>
          <w:tcPr>
            <w:tcW w:w="9350" w:type="dxa"/>
            <w:shd w:val="clear" w:color="auto" w:fill="FFFFFF" w:themeFill="background1"/>
          </w:tcPr>
          <w:p w14:paraId="06A3C57E" w14:textId="309CC362"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4.4: </w:t>
            </w:r>
            <w:r w:rsidR="00996CF7" w:rsidRPr="00B47649">
              <w:rPr>
                <w:b/>
                <w:iCs/>
                <w:kern w:val="22"/>
                <w:sz w:val="22"/>
                <w:szCs w:val="22"/>
                <w:lang w:val="en-GB"/>
              </w:rPr>
              <w:t>P</w:t>
            </w:r>
            <w:r w:rsidR="00AF0426" w:rsidRPr="00B47649">
              <w:rPr>
                <w:b/>
                <w:iCs/>
                <w:kern w:val="22"/>
                <w:sz w:val="22"/>
                <w:szCs w:val="22"/>
                <w:lang w:val="en-GB"/>
              </w:rPr>
              <w:t>artnerships are established or strengthened with a view to promot</w:t>
            </w:r>
            <w:r w:rsidR="00EA7F12" w:rsidRPr="00B47649">
              <w:rPr>
                <w:b/>
                <w:iCs/>
                <w:kern w:val="22"/>
                <w:sz w:val="22"/>
                <w:szCs w:val="22"/>
                <w:lang w:val="en-GB"/>
              </w:rPr>
              <w:t>ing</w:t>
            </w:r>
            <w:r w:rsidR="00AF0426" w:rsidRPr="00B47649">
              <w:rPr>
                <w:b/>
                <w:iCs/>
                <w:kern w:val="22"/>
                <w:sz w:val="22"/>
                <w:szCs w:val="22"/>
                <w:lang w:val="en-GB"/>
              </w:rPr>
              <w:t xml:space="preserve"> financial institutions’ commitments to biodiversity and collaboration and communication at all levels.</w:t>
            </w:r>
          </w:p>
        </w:tc>
      </w:tr>
      <w:tr w:rsidR="00AF0426" w:rsidRPr="00B47649" w14:paraId="20DAC5F6" w14:textId="77777777" w:rsidTr="00253CF4">
        <w:tc>
          <w:tcPr>
            <w:tcW w:w="9350" w:type="dxa"/>
            <w:shd w:val="clear" w:color="auto" w:fill="D6E3BC"/>
          </w:tcPr>
          <w:p w14:paraId="4177829E" w14:textId="090049F7" w:rsidR="00AF0426" w:rsidRPr="00B47649" w:rsidRDefault="00AF0426" w:rsidP="00B47649">
            <w:pPr>
              <w:suppressLineNumbers/>
              <w:suppressAutoHyphens/>
              <w:spacing w:before="120" w:after="120"/>
              <w:jc w:val="both"/>
              <w:rPr>
                <w:b/>
                <w:kern w:val="22"/>
                <w:sz w:val="22"/>
                <w:szCs w:val="22"/>
                <w:lang w:val="en-GB"/>
              </w:rPr>
            </w:pPr>
            <w:r w:rsidRPr="00B47649">
              <w:rPr>
                <w:b/>
                <w:kern w:val="22"/>
                <w:sz w:val="22"/>
                <w:szCs w:val="22"/>
                <w:lang w:val="en-GB"/>
              </w:rPr>
              <w:t xml:space="preserve">Strategy </w:t>
            </w:r>
            <w:r w:rsidR="008E4C4A" w:rsidRPr="00B47649">
              <w:rPr>
                <w:b/>
                <w:kern w:val="22"/>
                <w:sz w:val="22"/>
                <w:szCs w:val="22"/>
                <w:lang w:val="en-GB"/>
              </w:rPr>
              <w:t>a</w:t>
            </w:r>
            <w:r w:rsidRPr="00B47649">
              <w:rPr>
                <w:b/>
                <w:kern w:val="22"/>
                <w:sz w:val="22"/>
                <w:szCs w:val="22"/>
                <w:lang w:val="en-GB"/>
              </w:rPr>
              <w:t>rea III: Mainstreaming biodiversity across society</w:t>
            </w:r>
          </w:p>
        </w:tc>
      </w:tr>
      <w:tr w:rsidR="00AF0426" w:rsidRPr="00B47649" w14:paraId="68FDC0EE" w14:textId="77777777" w:rsidTr="00253CF4">
        <w:tc>
          <w:tcPr>
            <w:tcW w:w="9350" w:type="dxa"/>
            <w:shd w:val="clear" w:color="auto" w:fill="D9D9D9"/>
          </w:tcPr>
          <w:p w14:paraId="03E92AB0" w14:textId="1D1E9B66" w:rsidR="00AF0426" w:rsidRPr="00B47649" w:rsidRDefault="00F614F7" w:rsidP="00B47649">
            <w:pPr>
              <w:suppressLineNumbers/>
              <w:suppressAutoHyphens/>
              <w:spacing w:before="120" w:after="120"/>
              <w:jc w:val="both"/>
              <w:rPr>
                <w:b/>
                <w:kern w:val="22"/>
                <w:sz w:val="22"/>
                <w:szCs w:val="22"/>
                <w:lang w:val="en-GB"/>
              </w:rPr>
            </w:pPr>
            <w:r w:rsidRPr="00B47649">
              <w:rPr>
                <w:b/>
                <w:kern w:val="22"/>
                <w:sz w:val="22"/>
                <w:szCs w:val="22"/>
                <w:lang w:val="en-GB"/>
              </w:rPr>
              <w:t xml:space="preserve">Action </w:t>
            </w:r>
            <w:r w:rsidR="00986D9E" w:rsidRPr="00B47649">
              <w:rPr>
                <w:b/>
                <w:kern w:val="22"/>
                <w:sz w:val="22"/>
                <w:szCs w:val="22"/>
                <w:lang w:val="en-GB"/>
              </w:rPr>
              <w:t>a</w:t>
            </w:r>
            <w:r w:rsidRPr="00B47649">
              <w:rPr>
                <w:b/>
                <w:kern w:val="22"/>
                <w:sz w:val="22"/>
                <w:szCs w:val="22"/>
                <w:lang w:val="en-GB"/>
              </w:rPr>
              <w:t>rea 5</w:t>
            </w:r>
            <w:r w:rsidR="00AF0426" w:rsidRPr="00B47649">
              <w:rPr>
                <w:b/>
                <w:kern w:val="22"/>
                <w:sz w:val="22"/>
                <w:szCs w:val="22"/>
                <w:lang w:val="en-GB"/>
              </w:rPr>
              <w:t xml:space="preserve">: </w:t>
            </w:r>
            <w:r w:rsidR="00E94735" w:rsidRPr="00B47649">
              <w:rPr>
                <w:b/>
                <w:kern w:val="22"/>
                <w:sz w:val="22"/>
                <w:szCs w:val="22"/>
                <w:lang w:val="en-GB"/>
              </w:rPr>
              <w:t>P</w:t>
            </w:r>
            <w:r w:rsidR="00AF0426" w:rsidRPr="00B47649">
              <w:rPr>
                <w:b/>
                <w:kern w:val="22"/>
                <w:sz w:val="22"/>
                <w:szCs w:val="22"/>
                <w:lang w:val="en-GB"/>
              </w:rPr>
              <w:t>eople everywhere have relevant information, awareness and capacities for sustainable development and lifestyles that are in harmony with nature, reflecting the values</w:t>
            </w:r>
            <w:r w:rsidR="00AF0426" w:rsidRPr="00B47649">
              <w:rPr>
                <w:kern w:val="22"/>
                <w:sz w:val="22"/>
                <w:szCs w:val="22"/>
                <w:vertAlign w:val="superscript"/>
                <w:lang w:val="en-GB"/>
              </w:rPr>
              <w:footnoteReference w:id="36"/>
            </w:r>
            <w:r w:rsidR="00AF0426" w:rsidRPr="00B47649">
              <w:rPr>
                <w:b/>
                <w:kern w:val="22"/>
                <w:sz w:val="22"/>
                <w:szCs w:val="22"/>
                <w:lang w:val="en-GB"/>
              </w:rPr>
              <w:t xml:space="preserve"> of biodiversity</w:t>
            </w:r>
            <w:r w:rsidR="00AF0426" w:rsidRPr="00B47649">
              <w:rPr>
                <w:kern w:val="22"/>
                <w:sz w:val="22"/>
                <w:szCs w:val="22"/>
                <w:vertAlign w:val="superscript"/>
                <w:lang w:val="en-GB"/>
              </w:rPr>
              <w:footnoteReference w:id="37"/>
            </w:r>
            <w:r w:rsidR="005770FC" w:rsidRPr="00B47649">
              <w:rPr>
                <w:b/>
                <w:kern w:val="22"/>
                <w:sz w:val="22"/>
                <w:szCs w:val="22"/>
                <w:lang w:val="en-GB"/>
              </w:rPr>
              <w:t xml:space="preserve"> and their central role in people’s lives and livelihoods</w:t>
            </w:r>
            <w:r w:rsidR="00AF0426" w:rsidRPr="00B47649">
              <w:rPr>
                <w:b/>
                <w:kern w:val="22"/>
                <w:sz w:val="22"/>
                <w:szCs w:val="22"/>
                <w:lang w:val="en-GB"/>
              </w:rPr>
              <w:t>, and</w:t>
            </w:r>
            <w:r w:rsidR="004023E7" w:rsidRPr="00B47649">
              <w:rPr>
                <w:b/>
                <w:kern w:val="22"/>
                <w:sz w:val="22"/>
                <w:szCs w:val="22"/>
                <w:lang w:val="en-GB"/>
              </w:rPr>
              <w:t xml:space="preserve"> </w:t>
            </w:r>
            <w:r w:rsidRPr="00B47649">
              <w:rPr>
                <w:b/>
                <w:kern w:val="22"/>
                <w:sz w:val="22"/>
                <w:szCs w:val="22"/>
                <w:lang w:val="en-GB"/>
              </w:rPr>
              <w:t>take</w:t>
            </w:r>
            <w:r w:rsidR="00AF0426" w:rsidRPr="00B47649">
              <w:rPr>
                <w:b/>
                <w:kern w:val="22"/>
                <w:sz w:val="22"/>
                <w:szCs w:val="22"/>
                <w:lang w:val="en-GB"/>
              </w:rPr>
              <w:t xml:space="preserve"> </w:t>
            </w:r>
            <w:r w:rsidR="005770FC" w:rsidRPr="00B47649">
              <w:rPr>
                <w:b/>
                <w:kern w:val="22"/>
                <w:sz w:val="22"/>
                <w:szCs w:val="22"/>
                <w:lang w:val="en-GB"/>
              </w:rPr>
              <w:t xml:space="preserve">gender-specific </w:t>
            </w:r>
            <w:r w:rsidR="00AF0426" w:rsidRPr="00B47649">
              <w:rPr>
                <w:b/>
                <w:kern w:val="22"/>
                <w:sz w:val="22"/>
                <w:szCs w:val="22"/>
                <w:lang w:val="en-GB"/>
              </w:rPr>
              <w:t>measurable steps towards sustainable consumption and lifestyles, taking into account individual and national socioeconomic conditions.</w:t>
            </w:r>
          </w:p>
          <w:p w14:paraId="23175DE2" w14:textId="3A96FF20" w:rsidR="00AF0426" w:rsidRPr="00B47649" w:rsidRDefault="00AF0426" w:rsidP="00D47CC6">
            <w:pPr>
              <w:keepNext/>
              <w:suppressLineNumbers/>
              <w:suppressAutoHyphens/>
              <w:spacing w:after="120"/>
              <w:jc w:val="both"/>
              <w:rPr>
                <w:kern w:val="22"/>
                <w:sz w:val="22"/>
                <w:szCs w:val="22"/>
                <w:lang w:val="en-GB"/>
              </w:rPr>
            </w:pPr>
            <w:r w:rsidRPr="00B47649">
              <w:rPr>
                <w:kern w:val="22"/>
                <w:sz w:val="22"/>
                <w:szCs w:val="22"/>
                <w:lang w:val="en-GB"/>
              </w:rPr>
              <w:t>Indicator</w:t>
            </w:r>
            <w:r w:rsidR="004C4F3F">
              <w:rPr>
                <w:kern w:val="22"/>
                <w:sz w:val="22"/>
                <w:szCs w:val="22"/>
                <w:lang w:val="en-GB"/>
              </w:rPr>
              <w:t>s</w:t>
            </w:r>
            <w:r w:rsidRPr="00B47649">
              <w:rPr>
                <w:kern w:val="22"/>
                <w:sz w:val="22"/>
                <w:szCs w:val="22"/>
                <w:lang w:val="en-GB"/>
              </w:rPr>
              <w:t xml:space="preserve"> </w:t>
            </w:r>
            <w:r w:rsidR="004C4F3F">
              <w:rPr>
                <w:kern w:val="22"/>
                <w:sz w:val="22"/>
                <w:szCs w:val="22"/>
                <w:lang w:val="en-GB"/>
              </w:rPr>
              <w:t>o</w:t>
            </w:r>
            <w:r w:rsidRPr="00B47649">
              <w:rPr>
                <w:kern w:val="22"/>
                <w:sz w:val="22"/>
                <w:szCs w:val="22"/>
                <w:lang w:val="en-GB"/>
              </w:rPr>
              <w:t>f success:</w:t>
            </w:r>
          </w:p>
          <w:p w14:paraId="52796691" w14:textId="4DC63B93" w:rsidR="00AF0426" w:rsidRPr="00B47649" w:rsidRDefault="00AF0426" w:rsidP="00B47649">
            <w:pPr>
              <w:numPr>
                <w:ilvl w:val="0"/>
                <w:numId w:val="21"/>
              </w:numPr>
              <w:suppressLineNumbers/>
              <w:suppressAutoHyphens/>
              <w:spacing w:after="120"/>
              <w:jc w:val="both"/>
              <w:rPr>
                <w:kern w:val="22"/>
                <w:sz w:val="22"/>
                <w:szCs w:val="22"/>
                <w:lang w:val="en-GB"/>
              </w:rPr>
            </w:pPr>
            <w:r w:rsidRPr="00B47649">
              <w:rPr>
                <w:kern w:val="22"/>
                <w:sz w:val="22"/>
                <w:szCs w:val="22"/>
                <w:lang w:val="en-GB"/>
              </w:rPr>
              <w:t>Extent to which (</w:t>
            </w:r>
            <w:proofErr w:type="spellStart"/>
            <w:r w:rsidRPr="00B47649">
              <w:rPr>
                <w:kern w:val="22"/>
                <w:sz w:val="22"/>
                <w:szCs w:val="22"/>
                <w:lang w:val="en-GB"/>
              </w:rPr>
              <w:t>i</w:t>
            </w:r>
            <w:proofErr w:type="spellEnd"/>
            <w:r w:rsidRPr="00B47649">
              <w:rPr>
                <w:kern w:val="22"/>
                <w:sz w:val="22"/>
                <w:szCs w:val="22"/>
                <w:lang w:val="en-GB"/>
              </w:rPr>
              <w:t>) human rights are respected</w:t>
            </w:r>
            <w:r w:rsidR="009A05BB" w:rsidRPr="00B47649">
              <w:rPr>
                <w:kern w:val="22"/>
                <w:sz w:val="22"/>
                <w:szCs w:val="22"/>
                <w:lang w:val="en-GB"/>
              </w:rPr>
              <w:t xml:space="preserve"> in environmental policy</w:t>
            </w:r>
            <w:r w:rsidRPr="00B47649">
              <w:rPr>
                <w:kern w:val="22"/>
                <w:sz w:val="22"/>
                <w:szCs w:val="22"/>
                <w:lang w:val="en-GB"/>
              </w:rPr>
              <w:t xml:space="preserve">; (ii) global citizenship </w:t>
            </w:r>
            <w:r w:rsidR="009A05BB" w:rsidRPr="00B47649">
              <w:rPr>
                <w:kern w:val="22"/>
                <w:sz w:val="22"/>
                <w:szCs w:val="22"/>
                <w:lang w:val="en-GB"/>
              </w:rPr>
              <w:t xml:space="preserve">and environmental </w:t>
            </w:r>
            <w:r w:rsidRPr="00B47649">
              <w:rPr>
                <w:kern w:val="22"/>
                <w:sz w:val="22"/>
                <w:szCs w:val="22"/>
                <w:lang w:val="en-GB"/>
              </w:rPr>
              <w:t>education and (iii) education for sustainable development are mainstreamed in (a) national education policies; (b) curricula; (c) teacher education; and (d) student assessment</w:t>
            </w:r>
            <w:r w:rsidR="000A3853" w:rsidRPr="00B47649">
              <w:rPr>
                <w:kern w:val="22"/>
                <w:sz w:val="22"/>
                <w:szCs w:val="22"/>
                <w:lang w:val="en-GB"/>
              </w:rPr>
              <w:t>;</w:t>
            </w:r>
            <w:r w:rsidRPr="00B47649">
              <w:rPr>
                <w:kern w:val="22"/>
                <w:sz w:val="22"/>
                <w:szCs w:val="22"/>
                <w:vertAlign w:val="superscript"/>
                <w:lang w:val="en-GB"/>
              </w:rPr>
              <w:footnoteReference w:id="38"/>
            </w:r>
          </w:p>
          <w:p w14:paraId="16609CC0" w14:textId="06495A6F" w:rsidR="00AF0426" w:rsidRPr="00B47649" w:rsidRDefault="00AF0426" w:rsidP="00B47649">
            <w:pPr>
              <w:numPr>
                <w:ilvl w:val="0"/>
                <w:numId w:val="21"/>
              </w:numPr>
              <w:suppressLineNumbers/>
              <w:suppressAutoHyphens/>
              <w:spacing w:after="120"/>
              <w:jc w:val="both"/>
              <w:rPr>
                <w:kern w:val="22"/>
                <w:sz w:val="22"/>
                <w:szCs w:val="22"/>
                <w:lang w:val="en-GB"/>
              </w:rPr>
            </w:pPr>
            <w:r w:rsidRPr="00B47649">
              <w:rPr>
                <w:kern w:val="22"/>
                <w:sz w:val="22"/>
                <w:szCs w:val="22"/>
                <w:lang w:val="en-GB"/>
              </w:rPr>
              <w:lastRenderedPageBreak/>
              <w:t>Indicators for measuring global awareness of biodiversity (such as UEBT’s barometer)</w:t>
            </w:r>
            <w:r w:rsidR="000A3853" w:rsidRPr="00B47649">
              <w:rPr>
                <w:kern w:val="22"/>
                <w:sz w:val="22"/>
                <w:szCs w:val="22"/>
                <w:lang w:val="en-GB"/>
              </w:rPr>
              <w:t>.</w:t>
            </w:r>
            <w:r w:rsidRPr="00B47649">
              <w:rPr>
                <w:kern w:val="22"/>
                <w:sz w:val="22"/>
                <w:szCs w:val="22"/>
                <w:vertAlign w:val="superscript"/>
                <w:lang w:val="en-GB"/>
              </w:rPr>
              <w:footnoteReference w:id="39"/>
            </w:r>
          </w:p>
          <w:p w14:paraId="136A1D96" w14:textId="167D281E" w:rsidR="00AF0426" w:rsidRPr="00B47649" w:rsidRDefault="00AF0426" w:rsidP="00B47649">
            <w:pPr>
              <w:suppressLineNumbers/>
              <w:suppressAutoHyphens/>
              <w:spacing w:after="120"/>
              <w:jc w:val="both"/>
              <w:rPr>
                <w:b/>
                <w:kern w:val="22"/>
                <w:sz w:val="22"/>
                <w:szCs w:val="22"/>
                <w:lang w:val="en-GB"/>
              </w:rPr>
            </w:pPr>
            <w:r w:rsidRPr="00B47649">
              <w:rPr>
                <w:b/>
                <w:kern w:val="22"/>
                <w:sz w:val="22"/>
                <w:szCs w:val="22"/>
                <w:lang w:val="en-GB"/>
              </w:rPr>
              <w:t xml:space="preserve">Rationale: </w:t>
            </w:r>
            <w:r w:rsidRPr="00B47649">
              <w:rPr>
                <w:bCs/>
                <w:kern w:val="22"/>
                <w:sz w:val="22"/>
                <w:szCs w:val="22"/>
                <w:lang w:val="en-GB"/>
              </w:rPr>
              <w:t xml:space="preserve">Mainstreaming across society relates to the </w:t>
            </w:r>
            <w:r w:rsidR="005770FC" w:rsidRPr="00B47649">
              <w:rPr>
                <w:bCs/>
                <w:kern w:val="22"/>
                <w:sz w:val="22"/>
                <w:szCs w:val="22"/>
                <w:lang w:val="en-GB"/>
              </w:rPr>
              <w:t xml:space="preserve">gendered </w:t>
            </w:r>
            <w:r w:rsidRPr="00B47649">
              <w:rPr>
                <w:bCs/>
                <w:kern w:val="22"/>
                <w:sz w:val="22"/>
                <w:szCs w:val="22"/>
                <w:lang w:val="en-GB"/>
              </w:rPr>
              <w:t>impacts (positive and negative) which individuals and groups have on biodiversity, to the social and cultural benefits which ecosystems and biodiversity provide, as well as the spiritual and intrinsic values of biodiversity, which is of particular importance to indigenous peoples and local communities</w:t>
            </w:r>
            <w:r w:rsidR="005770FC" w:rsidRPr="00B47649">
              <w:rPr>
                <w:bCs/>
                <w:kern w:val="22"/>
                <w:sz w:val="22"/>
                <w:szCs w:val="22"/>
                <w:lang w:val="en-GB"/>
              </w:rPr>
              <w:t xml:space="preserve"> central to decisions taken about biodiversity, especially in their lands and territories</w:t>
            </w:r>
            <w:r w:rsidRPr="00B47649">
              <w:rPr>
                <w:bCs/>
                <w:kern w:val="22"/>
                <w:sz w:val="22"/>
                <w:szCs w:val="22"/>
                <w:lang w:val="en-GB"/>
              </w:rPr>
              <w:t>. It also relates to the steps that can be taken, individually and collectively, to conserve and sustainably use biodiversity, for instance by adopting or strengthening sustainable lifestyles and consumption patterns</w:t>
            </w:r>
            <w:r w:rsidR="00B32595" w:rsidRPr="00B47649">
              <w:rPr>
                <w:bCs/>
                <w:kern w:val="22"/>
                <w:sz w:val="22"/>
                <w:szCs w:val="22"/>
                <w:lang w:val="en-GB"/>
              </w:rPr>
              <w:t xml:space="preserve"> that reduce ecological footprints</w:t>
            </w:r>
            <w:r w:rsidRPr="00B47649">
              <w:rPr>
                <w:bCs/>
                <w:kern w:val="22"/>
                <w:sz w:val="22"/>
                <w:szCs w:val="22"/>
                <w:lang w:val="en-GB"/>
              </w:rPr>
              <w:t xml:space="preserve">. Mainstreaming can be achieved for instance through identifying </w:t>
            </w:r>
            <w:r w:rsidR="005770FC" w:rsidRPr="00B47649">
              <w:rPr>
                <w:bCs/>
                <w:kern w:val="22"/>
                <w:sz w:val="22"/>
                <w:szCs w:val="22"/>
                <w:lang w:val="en-GB"/>
              </w:rPr>
              <w:t xml:space="preserve">gender-specific </w:t>
            </w:r>
            <w:r w:rsidRPr="00B47649">
              <w:rPr>
                <w:bCs/>
                <w:kern w:val="22"/>
                <w:sz w:val="22"/>
                <w:szCs w:val="22"/>
                <w:lang w:val="en-GB"/>
              </w:rPr>
              <w:t>needs for and creating access to training, education and capacity</w:t>
            </w:r>
            <w:r w:rsidR="00124400" w:rsidRPr="00B47649">
              <w:rPr>
                <w:bCs/>
                <w:kern w:val="22"/>
                <w:sz w:val="22"/>
                <w:szCs w:val="22"/>
                <w:lang w:val="en-GB"/>
              </w:rPr>
              <w:t>-</w:t>
            </w:r>
            <w:r w:rsidRPr="00B47649">
              <w:rPr>
                <w:bCs/>
                <w:kern w:val="22"/>
                <w:sz w:val="22"/>
                <w:szCs w:val="22"/>
                <w:lang w:val="en-GB"/>
              </w:rPr>
              <w:t>building on biological diversity</w:t>
            </w:r>
            <w:r w:rsidR="007E35C8" w:rsidRPr="00B47649">
              <w:rPr>
                <w:bCs/>
                <w:kern w:val="22"/>
                <w:sz w:val="22"/>
                <w:szCs w:val="22"/>
                <w:lang w:val="en-GB"/>
              </w:rPr>
              <w:t xml:space="preserve"> to support participatory, inclusive and equitable decision-making processes</w:t>
            </w:r>
            <w:r w:rsidRPr="00B47649">
              <w:rPr>
                <w:bCs/>
                <w:kern w:val="22"/>
                <w:sz w:val="22"/>
                <w:szCs w:val="22"/>
                <w:lang w:val="en-GB"/>
              </w:rPr>
              <w:t>, the strengthening of traditional knowledge systems, creating access to health education and the impacts of environmental stressors and benefits to health, and making use of evidence</w:t>
            </w:r>
            <w:r w:rsidR="00342EF5" w:rsidRPr="00B47649">
              <w:rPr>
                <w:bCs/>
                <w:kern w:val="22"/>
                <w:sz w:val="22"/>
                <w:szCs w:val="22"/>
                <w:lang w:val="en-GB"/>
              </w:rPr>
              <w:noBreakHyphen/>
            </w:r>
            <w:r w:rsidRPr="00B47649">
              <w:rPr>
                <w:bCs/>
                <w:kern w:val="22"/>
                <w:sz w:val="22"/>
                <w:szCs w:val="22"/>
                <w:lang w:val="en-GB"/>
              </w:rPr>
              <w:t>based communication tools for public awareness.</w:t>
            </w:r>
          </w:p>
        </w:tc>
      </w:tr>
      <w:tr w:rsidR="00AF0426" w:rsidRPr="00B47649" w14:paraId="3ABB510D" w14:textId="77777777" w:rsidTr="00253CF4">
        <w:tc>
          <w:tcPr>
            <w:tcW w:w="9350" w:type="dxa"/>
            <w:shd w:val="clear" w:color="auto" w:fill="FFFFFF"/>
          </w:tcPr>
          <w:p w14:paraId="69DF6890" w14:textId="26A8C28A"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lastRenderedPageBreak/>
              <w:t xml:space="preserve">Action </w:t>
            </w:r>
            <w:r w:rsidR="00AF0426" w:rsidRPr="00B47649">
              <w:rPr>
                <w:b/>
                <w:iCs/>
                <w:kern w:val="22"/>
                <w:sz w:val="22"/>
                <w:szCs w:val="22"/>
                <w:lang w:val="en-GB"/>
              </w:rPr>
              <w:t xml:space="preserve">5.1: </w:t>
            </w:r>
            <w:r w:rsidRPr="00B47649">
              <w:rPr>
                <w:b/>
                <w:iCs/>
                <w:kern w:val="22"/>
                <w:sz w:val="22"/>
                <w:szCs w:val="22"/>
                <w:lang w:val="en-GB"/>
              </w:rPr>
              <w:t>Educational insti</w:t>
            </w:r>
            <w:r w:rsidR="00D60721" w:rsidRPr="00B47649">
              <w:rPr>
                <w:b/>
                <w:iCs/>
                <w:kern w:val="22"/>
                <w:sz w:val="22"/>
                <w:szCs w:val="22"/>
                <w:lang w:val="en-GB"/>
              </w:rPr>
              <w:t>tu</w:t>
            </w:r>
            <w:r w:rsidRPr="00B47649">
              <w:rPr>
                <w:b/>
                <w:iCs/>
                <w:kern w:val="22"/>
                <w:sz w:val="22"/>
                <w:szCs w:val="22"/>
                <w:lang w:val="en-GB"/>
              </w:rPr>
              <w:t>tions and other relevant bo</w:t>
            </w:r>
            <w:r w:rsidR="00D60721" w:rsidRPr="00B47649">
              <w:rPr>
                <w:b/>
                <w:iCs/>
                <w:kern w:val="22"/>
                <w:sz w:val="22"/>
                <w:szCs w:val="22"/>
                <w:lang w:val="en-GB"/>
              </w:rPr>
              <w:t>di</w:t>
            </w:r>
            <w:r w:rsidRPr="00B47649">
              <w:rPr>
                <w:b/>
                <w:iCs/>
                <w:kern w:val="22"/>
                <w:sz w:val="22"/>
                <w:szCs w:val="22"/>
                <w:lang w:val="en-GB"/>
              </w:rPr>
              <w:t>es reflect</w:t>
            </w:r>
            <w:r w:rsidR="00AF0426" w:rsidRPr="00B47649">
              <w:rPr>
                <w:b/>
                <w:iCs/>
                <w:kern w:val="22"/>
                <w:sz w:val="22"/>
                <w:szCs w:val="22"/>
                <w:lang w:val="en-GB"/>
              </w:rPr>
              <w:t xml:space="preserve"> the </w:t>
            </w:r>
            <w:r w:rsidR="005770FC" w:rsidRPr="00B47649">
              <w:rPr>
                <w:b/>
                <w:iCs/>
                <w:kern w:val="22"/>
                <w:sz w:val="22"/>
                <w:szCs w:val="22"/>
                <w:lang w:val="en-GB"/>
              </w:rPr>
              <w:t xml:space="preserve">gendered </w:t>
            </w:r>
            <w:r w:rsidR="00AF0426" w:rsidRPr="00B47649">
              <w:rPr>
                <w:b/>
                <w:iCs/>
                <w:kern w:val="22"/>
                <w:sz w:val="22"/>
                <w:szCs w:val="22"/>
                <w:lang w:val="en-GB"/>
              </w:rPr>
              <w:t>social, cultural, intrinsic, and traditional values of nature and biodiversity in formal and informal education systems, including technical and university training,</w:t>
            </w:r>
            <w:r w:rsidRPr="00B47649">
              <w:rPr>
                <w:b/>
                <w:iCs/>
                <w:kern w:val="22"/>
                <w:sz w:val="22"/>
                <w:szCs w:val="22"/>
                <w:lang w:val="en-GB"/>
              </w:rPr>
              <w:t xml:space="preserve"> to</w:t>
            </w:r>
            <w:r w:rsidR="00AF0426" w:rsidRPr="00B47649">
              <w:rPr>
                <w:b/>
                <w:iCs/>
                <w:kern w:val="22"/>
                <w:sz w:val="22"/>
                <w:szCs w:val="22"/>
                <w:lang w:val="en-GB"/>
              </w:rPr>
              <w:t xml:space="preserve"> </w:t>
            </w:r>
            <w:r w:rsidRPr="00B47649">
              <w:rPr>
                <w:b/>
                <w:iCs/>
                <w:kern w:val="22"/>
                <w:sz w:val="22"/>
                <w:szCs w:val="22"/>
                <w:lang w:val="en-GB"/>
              </w:rPr>
              <w:t xml:space="preserve">promote understanding and </w:t>
            </w:r>
            <w:r w:rsidR="00AF0426" w:rsidRPr="00B47649">
              <w:rPr>
                <w:b/>
                <w:iCs/>
                <w:kern w:val="22"/>
                <w:sz w:val="22"/>
                <w:szCs w:val="22"/>
                <w:lang w:val="en-GB"/>
              </w:rPr>
              <w:t>provid</w:t>
            </w:r>
            <w:r w:rsidRPr="00B47649">
              <w:rPr>
                <w:b/>
                <w:iCs/>
                <w:kern w:val="22"/>
                <w:sz w:val="22"/>
                <w:szCs w:val="22"/>
                <w:lang w:val="en-GB"/>
              </w:rPr>
              <w:t>e</w:t>
            </w:r>
            <w:r w:rsidR="00AF0426" w:rsidRPr="00B47649">
              <w:rPr>
                <w:b/>
                <w:iCs/>
                <w:kern w:val="22"/>
                <w:sz w:val="22"/>
                <w:szCs w:val="22"/>
                <w:lang w:val="en-GB"/>
              </w:rPr>
              <w:t xml:space="preserve"> </w:t>
            </w:r>
            <w:r w:rsidR="005770FC" w:rsidRPr="00B47649">
              <w:rPr>
                <w:b/>
                <w:iCs/>
                <w:kern w:val="22"/>
                <w:sz w:val="22"/>
                <w:szCs w:val="22"/>
                <w:lang w:val="en-GB"/>
              </w:rPr>
              <w:t xml:space="preserve">gender-specific </w:t>
            </w:r>
            <w:r w:rsidR="00AF0426" w:rsidRPr="00B47649">
              <w:rPr>
                <w:b/>
                <w:iCs/>
                <w:kern w:val="22"/>
                <w:sz w:val="22"/>
                <w:szCs w:val="22"/>
                <w:lang w:val="en-GB"/>
              </w:rPr>
              <w:t xml:space="preserve">guidance on sustainable consumption and lifestyles and the role of biodiversity in achieving </w:t>
            </w:r>
            <w:r w:rsidR="005770FC" w:rsidRPr="00B47649">
              <w:rPr>
                <w:b/>
                <w:iCs/>
                <w:kern w:val="22"/>
                <w:sz w:val="22"/>
                <w:szCs w:val="22"/>
                <w:lang w:val="en-GB"/>
              </w:rPr>
              <w:t>them</w:t>
            </w:r>
            <w:r w:rsidR="009C7D1F" w:rsidRPr="00B47649">
              <w:rPr>
                <w:b/>
                <w:iCs/>
                <w:kern w:val="22"/>
                <w:sz w:val="22"/>
                <w:szCs w:val="22"/>
                <w:lang w:val="en-GB"/>
              </w:rPr>
              <w:t>.</w:t>
            </w:r>
          </w:p>
        </w:tc>
      </w:tr>
      <w:tr w:rsidR="00AF0426" w:rsidRPr="00B47649" w14:paraId="78A45B3D" w14:textId="77777777" w:rsidTr="00253CF4">
        <w:tc>
          <w:tcPr>
            <w:tcW w:w="9350" w:type="dxa"/>
            <w:shd w:val="clear" w:color="auto" w:fill="FFFFFF"/>
          </w:tcPr>
          <w:p w14:paraId="3F21396A" w14:textId="64ACA562" w:rsidR="00F260F1" w:rsidRPr="00B47649" w:rsidRDefault="00F614F7" w:rsidP="00B47649">
            <w:pPr>
              <w:suppressLineNumbers/>
              <w:suppressAutoHyphens/>
              <w:rPr>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5.2: </w:t>
            </w:r>
            <w:r w:rsidRPr="00B47649">
              <w:rPr>
                <w:b/>
                <w:iCs/>
                <w:kern w:val="22"/>
                <w:sz w:val="22"/>
                <w:szCs w:val="22"/>
                <w:lang w:val="en-GB"/>
              </w:rPr>
              <w:t>Govern</w:t>
            </w:r>
            <w:r w:rsidR="00D60721" w:rsidRPr="00B47649">
              <w:rPr>
                <w:b/>
                <w:iCs/>
                <w:kern w:val="22"/>
                <w:sz w:val="22"/>
                <w:szCs w:val="22"/>
                <w:lang w:val="en-GB"/>
              </w:rPr>
              <w:t>ments</w:t>
            </w:r>
            <w:r w:rsidRPr="00B47649">
              <w:rPr>
                <w:b/>
                <w:iCs/>
                <w:kern w:val="22"/>
                <w:sz w:val="22"/>
                <w:szCs w:val="22"/>
                <w:lang w:val="en-GB"/>
              </w:rPr>
              <w:t xml:space="preserve"> </w:t>
            </w:r>
            <w:r w:rsidR="00996CF7" w:rsidRPr="00B47649">
              <w:rPr>
                <w:b/>
                <w:iCs/>
                <w:kern w:val="22"/>
                <w:sz w:val="22"/>
                <w:szCs w:val="22"/>
                <w:lang w:val="en-GB"/>
              </w:rPr>
              <w:t xml:space="preserve">at all levels </w:t>
            </w:r>
            <w:r w:rsidR="009C7D1F" w:rsidRPr="00B47649">
              <w:rPr>
                <w:b/>
                <w:iCs/>
                <w:kern w:val="22"/>
                <w:sz w:val="22"/>
                <w:szCs w:val="22"/>
                <w:lang w:val="en-GB"/>
              </w:rPr>
              <w:t>ensure the equitable and fair use of</w:t>
            </w:r>
            <w:r w:rsidR="00F260F1" w:rsidRPr="00B47649">
              <w:rPr>
                <w:b/>
                <w:iCs/>
                <w:kern w:val="22"/>
                <w:sz w:val="22"/>
                <w:szCs w:val="22"/>
                <w:lang w:val="en-GB"/>
              </w:rPr>
              <w:t xml:space="preserve"> </w:t>
            </w:r>
            <w:r w:rsidR="009C7D1F" w:rsidRPr="00B47649">
              <w:rPr>
                <w:b/>
                <w:iCs/>
                <w:kern w:val="22"/>
                <w:sz w:val="22"/>
                <w:szCs w:val="22"/>
                <w:lang w:val="en-GB"/>
              </w:rPr>
              <w:t xml:space="preserve">the knowledge, innovations, </w:t>
            </w:r>
            <w:r w:rsidR="00F260F1" w:rsidRPr="00B47649">
              <w:rPr>
                <w:b/>
                <w:iCs/>
                <w:kern w:val="22"/>
                <w:sz w:val="22"/>
                <w:szCs w:val="22"/>
                <w:lang w:val="en-GB"/>
              </w:rPr>
              <w:t>practices, institutions and values of indigenous peoples and local communities</w:t>
            </w:r>
            <w:r w:rsidR="009C7D1F" w:rsidRPr="00B47649">
              <w:rPr>
                <w:b/>
                <w:iCs/>
                <w:kern w:val="22"/>
                <w:sz w:val="22"/>
                <w:szCs w:val="22"/>
                <w:lang w:val="en-GB"/>
              </w:rPr>
              <w:t xml:space="preserve"> in mainstreaming, and </w:t>
            </w:r>
            <w:r w:rsidR="00F260F1" w:rsidRPr="00B47649">
              <w:rPr>
                <w:b/>
                <w:iCs/>
                <w:kern w:val="22"/>
                <w:sz w:val="22"/>
                <w:szCs w:val="22"/>
                <w:lang w:val="en-GB"/>
              </w:rPr>
              <w:t>the application of free, prior and informed consent in accordance with national legislation</w:t>
            </w:r>
            <w:r w:rsidR="009C7D1F" w:rsidRPr="00B47649">
              <w:rPr>
                <w:b/>
                <w:iCs/>
                <w:kern w:val="22"/>
                <w:sz w:val="22"/>
                <w:szCs w:val="22"/>
                <w:lang w:val="en-GB"/>
              </w:rPr>
              <w:t>, and</w:t>
            </w:r>
            <w:r w:rsidR="00F260F1" w:rsidRPr="00B47649">
              <w:rPr>
                <w:b/>
                <w:iCs/>
                <w:kern w:val="22"/>
                <w:sz w:val="22"/>
                <w:szCs w:val="22"/>
                <w:lang w:val="en-GB"/>
              </w:rPr>
              <w:t xml:space="preserve"> </w:t>
            </w:r>
            <w:r w:rsidRPr="00B47649">
              <w:rPr>
                <w:b/>
                <w:iCs/>
                <w:kern w:val="22"/>
                <w:sz w:val="22"/>
                <w:szCs w:val="22"/>
                <w:lang w:val="en-GB"/>
              </w:rPr>
              <w:t xml:space="preserve">engage, </w:t>
            </w:r>
            <w:r w:rsidR="005770FC" w:rsidRPr="00B47649">
              <w:rPr>
                <w:b/>
                <w:iCs/>
                <w:kern w:val="22"/>
                <w:sz w:val="22"/>
                <w:szCs w:val="22"/>
                <w:lang w:val="en-GB"/>
              </w:rPr>
              <w:t xml:space="preserve">incentivize, </w:t>
            </w:r>
            <w:r w:rsidRPr="00B47649">
              <w:rPr>
                <w:b/>
                <w:iCs/>
                <w:kern w:val="22"/>
                <w:sz w:val="22"/>
                <w:szCs w:val="22"/>
                <w:lang w:val="en-GB"/>
              </w:rPr>
              <w:t xml:space="preserve">enable and empower </w:t>
            </w:r>
            <w:r w:rsidR="00AF0426" w:rsidRPr="00B47649">
              <w:rPr>
                <w:b/>
                <w:iCs/>
                <w:kern w:val="22"/>
                <w:sz w:val="22"/>
                <w:szCs w:val="22"/>
                <w:lang w:val="en-GB"/>
              </w:rPr>
              <w:t>rights- and stakeholders</w:t>
            </w:r>
            <w:r w:rsidR="00E53E97">
              <w:rPr>
                <w:b/>
                <w:iCs/>
                <w:kern w:val="22"/>
                <w:sz w:val="22"/>
                <w:szCs w:val="22"/>
                <w:lang w:val="en-GB"/>
              </w:rPr>
              <w:t>,</w:t>
            </w:r>
            <w:r w:rsidR="00AF0426" w:rsidRPr="00B47649">
              <w:rPr>
                <w:b/>
                <w:iCs/>
                <w:kern w:val="22"/>
                <w:sz w:val="22"/>
                <w:szCs w:val="22"/>
                <w:lang w:val="en-GB"/>
              </w:rPr>
              <w:t xml:space="preserve"> such as women, youth, and indigenous peoples and local communities</w:t>
            </w:r>
            <w:r w:rsidR="00E53E97">
              <w:rPr>
                <w:b/>
                <w:iCs/>
                <w:kern w:val="22"/>
                <w:sz w:val="22"/>
                <w:szCs w:val="22"/>
                <w:lang w:val="en-GB"/>
              </w:rPr>
              <w:t>,</w:t>
            </w:r>
            <w:r w:rsidR="00AF0426" w:rsidRPr="00B47649">
              <w:rPr>
                <w:b/>
                <w:iCs/>
                <w:kern w:val="22"/>
                <w:sz w:val="22"/>
                <w:szCs w:val="22"/>
                <w:lang w:val="en-GB"/>
              </w:rPr>
              <w:t xml:space="preserve"> to participat</w:t>
            </w:r>
            <w:r w:rsidR="005770FC" w:rsidRPr="00B47649">
              <w:rPr>
                <w:b/>
                <w:iCs/>
                <w:kern w:val="22"/>
                <w:sz w:val="22"/>
                <w:szCs w:val="22"/>
                <w:lang w:val="en-GB"/>
              </w:rPr>
              <w:t>e fully, equitably and effectively</w:t>
            </w:r>
            <w:r w:rsidR="005770FC" w:rsidRPr="00B47649">
              <w:rPr>
                <w:rStyle w:val="FootnoteReference"/>
                <w:b/>
                <w:iCs/>
                <w:kern w:val="22"/>
                <w:szCs w:val="22"/>
                <w:lang w:val="en-GB"/>
              </w:rPr>
              <w:footnoteReference w:id="40"/>
            </w:r>
            <w:r w:rsidR="00AF0426" w:rsidRPr="00B47649">
              <w:rPr>
                <w:b/>
                <w:iCs/>
                <w:kern w:val="22"/>
                <w:sz w:val="22"/>
                <w:szCs w:val="22"/>
                <w:lang w:val="en-GB"/>
              </w:rPr>
              <w:t xml:space="preserve"> in decision</w:t>
            </w:r>
            <w:r w:rsidR="00EE51AE" w:rsidRPr="00B47649">
              <w:rPr>
                <w:b/>
                <w:iCs/>
                <w:kern w:val="22"/>
                <w:sz w:val="22"/>
                <w:szCs w:val="22"/>
                <w:lang w:val="en-GB"/>
              </w:rPr>
              <w:t>-</w:t>
            </w:r>
            <w:r w:rsidR="00AF0426" w:rsidRPr="00B47649">
              <w:rPr>
                <w:b/>
                <w:iCs/>
                <w:kern w:val="22"/>
                <w:sz w:val="22"/>
                <w:szCs w:val="22"/>
                <w:lang w:val="en-GB"/>
              </w:rPr>
              <w:t>making related to mainstreaming of biodiversity</w:t>
            </w:r>
            <w:r w:rsidR="005219C0" w:rsidRPr="00B47649">
              <w:rPr>
                <w:b/>
                <w:iCs/>
                <w:kern w:val="22"/>
                <w:sz w:val="22"/>
                <w:szCs w:val="22"/>
                <w:lang w:val="en-GB"/>
              </w:rPr>
              <w:t>.</w:t>
            </w:r>
          </w:p>
        </w:tc>
      </w:tr>
      <w:tr w:rsidR="00AF0426" w:rsidRPr="00B47649" w14:paraId="31E33B15" w14:textId="77777777" w:rsidTr="00253CF4">
        <w:tc>
          <w:tcPr>
            <w:tcW w:w="9350" w:type="dxa"/>
            <w:shd w:val="clear" w:color="auto" w:fill="FFFFFF"/>
          </w:tcPr>
          <w:p w14:paraId="544D3B27" w14:textId="4788A965"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5.3: </w:t>
            </w:r>
            <w:r w:rsidR="00996CF7" w:rsidRPr="00B47649">
              <w:rPr>
                <w:b/>
                <w:iCs/>
                <w:kern w:val="22"/>
                <w:sz w:val="22"/>
                <w:szCs w:val="22"/>
                <w:lang w:val="en-GB"/>
              </w:rPr>
              <w:t>P</w:t>
            </w:r>
            <w:r w:rsidR="00AF0426" w:rsidRPr="00B47649">
              <w:rPr>
                <w:b/>
                <w:iCs/>
                <w:kern w:val="22"/>
                <w:sz w:val="22"/>
                <w:szCs w:val="22"/>
                <w:lang w:val="en-GB"/>
              </w:rPr>
              <w:t xml:space="preserve">eople everywhere, in accordance with their </w:t>
            </w:r>
            <w:r w:rsidR="005770FC" w:rsidRPr="00B47649">
              <w:rPr>
                <w:b/>
                <w:iCs/>
                <w:kern w:val="22"/>
                <w:sz w:val="22"/>
                <w:szCs w:val="22"/>
                <w:lang w:val="en-GB"/>
              </w:rPr>
              <w:t xml:space="preserve">gendered </w:t>
            </w:r>
            <w:r w:rsidR="00AF0426" w:rsidRPr="00B47649">
              <w:rPr>
                <w:b/>
                <w:iCs/>
                <w:kern w:val="22"/>
                <w:sz w:val="22"/>
                <w:szCs w:val="22"/>
                <w:lang w:val="en-GB"/>
              </w:rPr>
              <w:t xml:space="preserve">sociocultural and socioeconomic conditions, and with </w:t>
            </w:r>
            <w:r w:rsidR="00F64C0E">
              <w:rPr>
                <w:b/>
                <w:iCs/>
                <w:kern w:val="22"/>
                <w:sz w:val="22"/>
                <w:szCs w:val="22"/>
                <w:lang w:val="en-GB"/>
              </w:rPr>
              <w:t xml:space="preserve">the </w:t>
            </w:r>
            <w:r w:rsidR="00AF0426" w:rsidRPr="00B47649">
              <w:rPr>
                <w:b/>
                <w:iCs/>
                <w:kern w:val="22"/>
                <w:sz w:val="22"/>
                <w:szCs w:val="22"/>
                <w:lang w:val="en-GB"/>
              </w:rPr>
              <w:t xml:space="preserve">support of organized civil society, </w:t>
            </w:r>
            <w:r w:rsidRPr="00B47649">
              <w:rPr>
                <w:b/>
                <w:iCs/>
                <w:kern w:val="22"/>
                <w:sz w:val="22"/>
                <w:szCs w:val="22"/>
                <w:lang w:val="en-GB"/>
              </w:rPr>
              <w:t>take</w:t>
            </w:r>
            <w:r w:rsidR="00AF0426" w:rsidRPr="00B47649">
              <w:rPr>
                <w:b/>
                <w:iCs/>
                <w:kern w:val="22"/>
                <w:sz w:val="22"/>
                <w:szCs w:val="22"/>
                <w:lang w:val="en-GB"/>
              </w:rPr>
              <w:t xml:space="preserve"> concrete and measurable steps to adop</w:t>
            </w:r>
            <w:r w:rsidR="005770FC" w:rsidRPr="00B47649">
              <w:rPr>
                <w:b/>
                <w:iCs/>
                <w:kern w:val="22"/>
                <w:sz w:val="22"/>
                <w:szCs w:val="22"/>
                <w:lang w:val="en-GB"/>
              </w:rPr>
              <w:t>t</w:t>
            </w:r>
            <w:r w:rsidR="00AF0426" w:rsidRPr="00B47649">
              <w:rPr>
                <w:b/>
                <w:iCs/>
                <w:kern w:val="22"/>
                <w:sz w:val="22"/>
                <w:szCs w:val="22"/>
                <w:lang w:val="en-GB"/>
              </w:rPr>
              <w:t xml:space="preserve"> sustainable consumption and lifestyles</w:t>
            </w:r>
            <w:r w:rsidR="00B32595" w:rsidRPr="00B47649">
              <w:rPr>
                <w:b/>
                <w:iCs/>
                <w:kern w:val="22"/>
                <w:sz w:val="22"/>
                <w:szCs w:val="22"/>
                <w:lang w:val="en-GB"/>
              </w:rPr>
              <w:t xml:space="preserve"> and reduce their ecological footprint</w:t>
            </w:r>
            <w:r w:rsidR="00146B37" w:rsidRPr="00B47649">
              <w:rPr>
                <w:b/>
                <w:iCs/>
                <w:kern w:val="22"/>
                <w:sz w:val="22"/>
                <w:szCs w:val="22"/>
                <w:lang w:val="en-GB"/>
              </w:rPr>
              <w:t>, through sustainable consumption and procurement, choosing sustainable transportation, pursuing a healthy and sustainable diet, and giving preference to green jobs and business opportunities</w:t>
            </w:r>
            <w:r w:rsidR="000E7181">
              <w:rPr>
                <w:b/>
                <w:iCs/>
                <w:kern w:val="22"/>
                <w:sz w:val="22"/>
                <w:szCs w:val="22"/>
                <w:lang w:val="en-GB"/>
              </w:rPr>
              <w:t>,</w:t>
            </w:r>
            <w:r w:rsidR="00146B37" w:rsidRPr="00B47649">
              <w:rPr>
                <w:b/>
                <w:iCs/>
                <w:kern w:val="22"/>
                <w:sz w:val="22"/>
                <w:szCs w:val="22"/>
                <w:lang w:val="en-GB"/>
              </w:rPr>
              <w:t xml:space="preserve"> among others.</w:t>
            </w:r>
          </w:p>
        </w:tc>
      </w:tr>
    </w:tbl>
    <w:p w14:paraId="46A3F469" w14:textId="571A4BCD" w:rsidR="00146B37" w:rsidRPr="000E7181" w:rsidRDefault="007F0217" w:rsidP="00B47649">
      <w:pPr>
        <w:pStyle w:val="Para10"/>
        <w:numPr>
          <w:ilvl w:val="0"/>
          <w:numId w:val="0"/>
        </w:numPr>
        <w:suppressLineNumbers/>
        <w:suppressAutoHyphens/>
        <w:kinsoku w:val="0"/>
        <w:overflowPunct w:val="0"/>
        <w:autoSpaceDE w:val="0"/>
        <w:autoSpaceDN w:val="0"/>
        <w:adjustRightInd w:val="0"/>
        <w:snapToGrid w:val="0"/>
        <w:spacing w:before="0" w:after="0"/>
        <w:jc w:val="center"/>
        <w:rPr>
          <w:bCs/>
          <w:kern w:val="22"/>
          <w:sz w:val="22"/>
          <w:szCs w:val="22"/>
          <w:lang w:val="en-GB"/>
        </w:rPr>
      </w:pPr>
      <w:r w:rsidRPr="000E7181">
        <w:rPr>
          <w:bCs/>
          <w:kern w:val="22"/>
          <w:sz w:val="22"/>
          <w:szCs w:val="22"/>
          <w:lang w:val="en-GB"/>
        </w:rPr>
        <w:t>__________</w:t>
      </w:r>
    </w:p>
    <w:sectPr w:rsidR="00146B37" w:rsidRPr="000E7181" w:rsidSect="00EF6F28">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A773D" w14:textId="77777777" w:rsidR="00D12344" w:rsidRDefault="00D12344" w:rsidP="00CF1848">
      <w:r>
        <w:separator/>
      </w:r>
    </w:p>
  </w:endnote>
  <w:endnote w:type="continuationSeparator" w:id="0">
    <w:p w14:paraId="4AD9A8D0" w14:textId="77777777" w:rsidR="00D12344" w:rsidRDefault="00D1234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043E" w14:textId="77777777" w:rsidR="00555B5D" w:rsidRPr="0018734D" w:rsidRDefault="00555B5D" w:rsidP="00957C46">
    <w:pPr>
      <w:pStyle w:val="Footer"/>
      <w:tabs>
        <w:tab w:val="clear" w:pos="4320"/>
        <w:tab w:val="clear" w:pos="8640"/>
      </w:tabs>
      <w:kinsoku w:val="0"/>
      <w:overflowPunct w:val="0"/>
      <w:autoSpaceDE w:val="0"/>
      <w:autoSpaceDN w:val="0"/>
      <w:ind w:firstLine="0"/>
      <w:rPr>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DD86" w14:textId="77777777" w:rsidR="00555B5D" w:rsidRPr="0018734D" w:rsidRDefault="00555B5D" w:rsidP="007C011A">
    <w:pPr>
      <w:pStyle w:val="Footer"/>
      <w:tabs>
        <w:tab w:val="clear" w:pos="4320"/>
        <w:tab w:val="clear" w:pos="8640"/>
      </w:tabs>
      <w:kinsoku w:val="0"/>
      <w:overflowPunct w:val="0"/>
      <w:autoSpaceDE w:val="0"/>
      <w:autoSpaceDN w:val="0"/>
      <w:ind w:firstLine="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1EA5" w14:textId="77777777" w:rsidR="00555B5D" w:rsidRPr="0018734D" w:rsidRDefault="00555B5D" w:rsidP="0018734D">
    <w:pPr>
      <w:pStyle w:val="Footer"/>
      <w:tabs>
        <w:tab w:val="clear" w:pos="4320"/>
        <w:tab w:val="clear" w:pos="8640"/>
      </w:tabs>
      <w:ind w:firstLine="0"/>
      <w:jc w:val="left"/>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6E7BB" w14:textId="77777777" w:rsidR="00D12344" w:rsidRDefault="00D12344" w:rsidP="00CF1848">
      <w:r>
        <w:separator/>
      </w:r>
    </w:p>
  </w:footnote>
  <w:footnote w:type="continuationSeparator" w:id="0">
    <w:p w14:paraId="4234B927" w14:textId="77777777" w:rsidR="00D12344" w:rsidRDefault="00D12344" w:rsidP="00CF1848">
      <w:r>
        <w:continuationSeparator/>
      </w:r>
    </w:p>
  </w:footnote>
  <w:footnote w:id="1">
    <w:p w14:paraId="71C2EC49" w14:textId="7F7043A7" w:rsidR="00461300" w:rsidRPr="00637FC9" w:rsidRDefault="00461300"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t>*</w:t>
      </w:r>
      <w:r w:rsidRPr="00637FC9">
        <w:rPr>
          <w:kern w:val="22"/>
          <w:szCs w:val="18"/>
          <w:lang w:val="en-GB"/>
        </w:rPr>
        <w:t xml:space="preserve"> CBD/SBI/3/1.</w:t>
      </w:r>
    </w:p>
  </w:footnote>
  <w:footnote w:id="2">
    <w:p w14:paraId="75C39F84" w14:textId="51C7A3B6"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CBD/WG2020/1/5, para</w:t>
      </w:r>
      <w:r w:rsidR="00F3032D">
        <w:rPr>
          <w:kern w:val="22"/>
          <w:szCs w:val="18"/>
          <w:lang w:val="en-GB"/>
        </w:rPr>
        <w:t>.</w:t>
      </w:r>
      <w:r w:rsidRPr="00637FC9">
        <w:rPr>
          <w:kern w:val="22"/>
          <w:szCs w:val="18"/>
          <w:lang w:val="en-GB"/>
        </w:rPr>
        <w:t xml:space="preserve"> 7(c).</w:t>
      </w:r>
    </w:p>
  </w:footnote>
  <w:footnote w:id="3">
    <w:p w14:paraId="17211EFF" w14:textId="17A9DF08"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Nominations were invited by and the composition of the </w:t>
      </w:r>
      <w:r w:rsidR="00E932AB" w:rsidRPr="00637FC9">
        <w:rPr>
          <w:kern w:val="22"/>
          <w:szCs w:val="18"/>
          <w:lang w:val="en-GB"/>
        </w:rPr>
        <w:t xml:space="preserve">Informal Advisory Group </w:t>
      </w:r>
      <w:r w:rsidRPr="00637FC9">
        <w:rPr>
          <w:kern w:val="22"/>
          <w:szCs w:val="18"/>
          <w:lang w:val="en-GB"/>
        </w:rPr>
        <w:t xml:space="preserve">was shared through notification </w:t>
      </w:r>
      <w:r w:rsidRPr="00637FC9">
        <w:rPr>
          <w:kern w:val="22"/>
          <w:szCs w:val="18"/>
          <w:shd w:val="clear" w:color="auto" w:fill="FFFFFF"/>
          <w:lang w:val="en-GB"/>
        </w:rPr>
        <w:t>2019-045 on 13 May 2019. For a list of the members of the I</w:t>
      </w:r>
      <w:r w:rsidR="00B47507" w:rsidRPr="00637FC9">
        <w:rPr>
          <w:kern w:val="22"/>
          <w:szCs w:val="18"/>
          <w:shd w:val="clear" w:color="auto" w:fill="FFFFFF"/>
          <w:lang w:val="en-GB"/>
        </w:rPr>
        <w:t xml:space="preserve">nformal </w:t>
      </w:r>
      <w:r w:rsidRPr="00637FC9">
        <w:rPr>
          <w:kern w:val="22"/>
          <w:szCs w:val="18"/>
          <w:shd w:val="clear" w:color="auto" w:fill="FFFFFF"/>
          <w:lang w:val="en-GB"/>
        </w:rPr>
        <w:t>A</w:t>
      </w:r>
      <w:r w:rsidR="00B47507" w:rsidRPr="00637FC9">
        <w:rPr>
          <w:kern w:val="22"/>
          <w:szCs w:val="18"/>
          <w:shd w:val="clear" w:color="auto" w:fill="FFFFFF"/>
          <w:lang w:val="en-GB"/>
        </w:rPr>
        <w:t xml:space="preserve">dvisory </w:t>
      </w:r>
      <w:r w:rsidRPr="00637FC9">
        <w:rPr>
          <w:kern w:val="22"/>
          <w:szCs w:val="18"/>
          <w:shd w:val="clear" w:color="auto" w:fill="FFFFFF"/>
          <w:lang w:val="en-GB"/>
        </w:rPr>
        <w:t>G</w:t>
      </w:r>
      <w:r w:rsidR="00B47507" w:rsidRPr="00637FC9">
        <w:rPr>
          <w:kern w:val="22"/>
          <w:szCs w:val="18"/>
          <w:shd w:val="clear" w:color="auto" w:fill="FFFFFF"/>
          <w:lang w:val="en-GB"/>
        </w:rPr>
        <w:t>roup</w:t>
      </w:r>
      <w:r w:rsidRPr="00637FC9">
        <w:rPr>
          <w:kern w:val="22"/>
          <w:szCs w:val="18"/>
          <w:shd w:val="clear" w:color="auto" w:fill="FFFFFF"/>
          <w:lang w:val="en-GB"/>
        </w:rPr>
        <w:t xml:space="preserve"> and the extended network, see </w:t>
      </w:r>
      <w:hyperlink r:id="rId1" w:history="1">
        <w:r w:rsidRPr="00637FC9">
          <w:rPr>
            <w:rStyle w:val="Hyperlink"/>
            <w:rFonts w:eastAsiaTheme="majorEastAsia"/>
            <w:kern w:val="22"/>
            <w:szCs w:val="18"/>
            <w:lang w:val="en-GB"/>
          </w:rPr>
          <w:t>https://www.cbd.int/mainstreaming/doc/IAG-ECN-Members-2019-07.pdf</w:t>
        </w:r>
      </w:hyperlink>
      <w:r w:rsidRPr="00637FC9">
        <w:rPr>
          <w:kern w:val="22"/>
          <w:szCs w:val="18"/>
          <w:lang w:val="en-GB"/>
        </w:rPr>
        <w:t>.</w:t>
      </w:r>
    </w:p>
  </w:footnote>
  <w:footnote w:id="4">
    <w:p w14:paraId="7116058B" w14:textId="6ADDE303"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w:t>
      </w:r>
      <w:hyperlink r:id="rId2" w:history="1">
        <w:r w:rsidRPr="00637FC9">
          <w:rPr>
            <w:rStyle w:val="Hyperlink"/>
            <w:kern w:val="22"/>
            <w:szCs w:val="18"/>
            <w:lang w:val="en-GB"/>
          </w:rPr>
          <w:t>https://www.cbd.int/doc/c/ef76/8279/9e6afdae557407bcc891a789/wg2020-02-mainstreaming-en.docx</w:t>
        </w:r>
      </w:hyperlink>
    </w:p>
  </w:footnote>
  <w:footnote w:id="5">
    <w:p w14:paraId="49232728" w14:textId="2649992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See CBD/SBI/3/5 and Add.3.</w:t>
      </w:r>
    </w:p>
  </w:footnote>
  <w:footnote w:id="6">
    <w:p w14:paraId="2CE990CD" w14:textId="6BED645F"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All </w:t>
      </w:r>
      <w:r w:rsidR="0092086E" w:rsidRPr="00637FC9">
        <w:rPr>
          <w:kern w:val="22"/>
          <w:szCs w:val="18"/>
          <w:lang w:val="en-GB"/>
        </w:rPr>
        <w:t xml:space="preserve">global biodiversity framework </w:t>
      </w:r>
      <w:r w:rsidRPr="00637FC9">
        <w:rPr>
          <w:kern w:val="22"/>
          <w:szCs w:val="18"/>
          <w:lang w:val="en-GB"/>
        </w:rPr>
        <w:t>target numbers will refer to those in the peer review</w:t>
      </w:r>
      <w:r w:rsidR="005375AC" w:rsidRPr="00637FC9">
        <w:rPr>
          <w:kern w:val="22"/>
          <w:szCs w:val="18"/>
          <w:lang w:val="en-GB"/>
        </w:rPr>
        <w:t>ed</w:t>
      </w:r>
      <w:r w:rsidRPr="00637FC9">
        <w:rPr>
          <w:kern w:val="22"/>
          <w:szCs w:val="18"/>
          <w:lang w:val="en-GB"/>
        </w:rPr>
        <w:t xml:space="preserve"> document on the post-2020 monitoring framework</w:t>
      </w:r>
      <w:r w:rsidR="005375AC" w:rsidRPr="00637FC9">
        <w:rPr>
          <w:kern w:val="22"/>
          <w:szCs w:val="18"/>
          <w:lang w:val="en-GB"/>
        </w:rPr>
        <w:t xml:space="preserve"> prepared for the twenty-fourth meeting of the Subsidiary Body on Scientific, Technical and Technological Advice</w:t>
      </w:r>
      <w:r w:rsidRPr="00637FC9">
        <w:rPr>
          <w:kern w:val="22"/>
          <w:szCs w:val="18"/>
          <w:lang w:val="en-GB"/>
        </w:rPr>
        <w:t xml:space="preserve"> </w:t>
      </w:r>
      <w:r w:rsidR="00493417" w:rsidRPr="00637FC9">
        <w:rPr>
          <w:kern w:val="22"/>
          <w:szCs w:val="18"/>
          <w:lang w:val="en-GB"/>
        </w:rPr>
        <w:t>(</w:t>
      </w:r>
      <w:hyperlink r:id="rId3" w:history="1">
        <w:r w:rsidR="00493417" w:rsidRPr="00637FC9">
          <w:rPr>
            <w:rStyle w:val="Hyperlink"/>
            <w:kern w:val="22"/>
            <w:szCs w:val="18"/>
            <w:lang w:val="en-GB"/>
          </w:rPr>
          <w:t>https://www.cbd.int/sbstta/sbstta-24/post2020-monitoring-en.pdf</w:t>
        </w:r>
      </w:hyperlink>
      <w:r w:rsidR="00493417" w:rsidRPr="00637FC9">
        <w:rPr>
          <w:rStyle w:val="Hyperlink"/>
          <w:kern w:val="22"/>
          <w:szCs w:val="18"/>
          <w:lang w:val="en-GB"/>
        </w:rPr>
        <w:t>).</w:t>
      </w:r>
    </w:p>
  </w:footnote>
  <w:footnote w:id="7">
    <w:p w14:paraId="4381A1BE" w14:textId="1B8C5863" w:rsidR="006F27F0" w:rsidRPr="00637FC9" w:rsidRDefault="006F27F0" w:rsidP="00637FC9">
      <w:pPr>
        <w:pStyle w:val="FootnoteText"/>
        <w:keepLines w:val="0"/>
        <w:suppressLineNumbers/>
        <w:suppressAutoHyphens/>
        <w:ind w:firstLine="0"/>
        <w:rPr>
          <w:spacing w:val="-4"/>
          <w:kern w:val="22"/>
          <w:szCs w:val="18"/>
          <w:lang w:val="en-GB"/>
        </w:rPr>
      </w:pPr>
      <w:r w:rsidRPr="00637FC9">
        <w:rPr>
          <w:rStyle w:val="FootnoteReference"/>
          <w:spacing w:val="-4"/>
          <w:kern w:val="22"/>
          <w:sz w:val="18"/>
          <w:szCs w:val="18"/>
          <w:lang w:val="en-GB"/>
        </w:rPr>
        <w:footnoteRef/>
      </w:r>
      <w:r w:rsidRPr="00637FC9">
        <w:rPr>
          <w:spacing w:val="-4"/>
          <w:kern w:val="22"/>
          <w:szCs w:val="18"/>
          <w:lang w:val="en-GB"/>
        </w:rPr>
        <w:t xml:space="preserve"> </w:t>
      </w:r>
      <w:r w:rsidR="001A2C15" w:rsidRPr="00637FC9">
        <w:rPr>
          <w:spacing w:val="-4"/>
          <w:kern w:val="22"/>
          <w:szCs w:val="18"/>
          <w:lang w:val="en-GB"/>
        </w:rPr>
        <w:t xml:space="preserve">More information on mainstreaming biosafety and the project activities is available at: </w:t>
      </w:r>
      <w:hyperlink r:id="rId4" w:history="1">
        <w:r w:rsidR="002D7EE6" w:rsidRPr="00637FC9">
          <w:rPr>
            <w:rStyle w:val="Hyperlink"/>
            <w:spacing w:val="-4"/>
            <w:kern w:val="22"/>
            <w:szCs w:val="18"/>
            <w:lang w:val="en-GB"/>
          </w:rPr>
          <w:t>http://bch.cbd.int/protocol/issues/mainstreaming/</w:t>
        </w:r>
      </w:hyperlink>
    </w:p>
  </w:footnote>
  <w:footnote w:id="8">
    <w:p w14:paraId="5D1C63F8" w14:textId="78958B79" w:rsidR="00555B5D" w:rsidRPr="00637FC9" w:rsidRDefault="00555B5D" w:rsidP="00637FC9">
      <w:pPr>
        <w:pStyle w:val="FootnoteText"/>
        <w:keepLines w:val="0"/>
        <w:suppressLineNumbers/>
        <w:suppressAutoHyphens/>
        <w:ind w:firstLine="0"/>
        <w:rPr>
          <w:spacing w:val="-4"/>
          <w:kern w:val="22"/>
          <w:szCs w:val="18"/>
          <w:lang w:val="en-GB"/>
        </w:rPr>
      </w:pPr>
      <w:r w:rsidRPr="00637FC9">
        <w:rPr>
          <w:rStyle w:val="FootnoteReference"/>
          <w:spacing w:val="-4"/>
          <w:kern w:val="22"/>
          <w:sz w:val="18"/>
          <w:szCs w:val="18"/>
          <w:lang w:val="en-GB"/>
        </w:rPr>
        <w:footnoteRef/>
      </w:r>
      <w:r w:rsidRPr="00637FC9">
        <w:rPr>
          <w:spacing w:val="-4"/>
          <w:kern w:val="22"/>
          <w:szCs w:val="18"/>
          <w:lang w:val="en-GB"/>
        </w:rPr>
        <w:t xml:space="preserve"> </w:t>
      </w:r>
      <w:r w:rsidRPr="00637FC9">
        <w:rPr>
          <w:color w:val="212529"/>
          <w:spacing w:val="-4"/>
          <w:kern w:val="22"/>
          <w:szCs w:val="18"/>
          <w:shd w:val="clear" w:color="auto" w:fill="FFFFFF"/>
          <w:lang w:val="en-GB"/>
        </w:rPr>
        <w:t xml:space="preserve">Established further to the business engagement </w:t>
      </w:r>
      <w:hyperlink r:id="rId5" w:history="1">
        <w:r w:rsidR="007F7CFE" w:rsidRPr="00637FC9">
          <w:rPr>
            <w:rStyle w:val="Hyperlink"/>
            <w:color w:val="0079C0"/>
            <w:spacing w:val="-4"/>
            <w:kern w:val="22"/>
            <w:szCs w:val="18"/>
            <w:shd w:val="clear" w:color="auto" w:fill="FFFFFF"/>
            <w:lang w:val="en-GB"/>
          </w:rPr>
          <w:t>d</w:t>
        </w:r>
        <w:r w:rsidRPr="00637FC9">
          <w:rPr>
            <w:rStyle w:val="Hyperlink"/>
            <w:color w:val="0079C0"/>
            <w:spacing w:val="-4"/>
            <w:kern w:val="22"/>
            <w:szCs w:val="18"/>
            <w:shd w:val="clear" w:color="auto" w:fill="FFFFFF"/>
            <w:lang w:val="en-GB"/>
          </w:rPr>
          <w:t>ecision X/21</w:t>
        </w:r>
        <w:r w:rsidR="00055729" w:rsidRPr="00637FC9">
          <w:rPr>
            <w:rStyle w:val="Hyperlink"/>
            <w:color w:val="0079C0"/>
            <w:spacing w:val="-4"/>
            <w:kern w:val="22"/>
            <w:szCs w:val="18"/>
            <w:shd w:val="clear" w:color="auto" w:fill="FFFFFF"/>
            <w:lang w:val="en-GB"/>
          </w:rPr>
          <w:t>, para</w:t>
        </w:r>
        <w:r w:rsidR="007F7CFE" w:rsidRPr="00637FC9">
          <w:rPr>
            <w:rStyle w:val="Hyperlink"/>
            <w:color w:val="0079C0"/>
            <w:spacing w:val="-4"/>
            <w:kern w:val="22"/>
            <w:szCs w:val="18"/>
            <w:shd w:val="clear" w:color="auto" w:fill="FFFFFF"/>
            <w:lang w:val="en-GB"/>
          </w:rPr>
          <w:t>graphs</w:t>
        </w:r>
        <w:r w:rsidR="00055729" w:rsidRPr="00637FC9">
          <w:rPr>
            <w:rStyle w:val="Hyperlink"/>
            <w:color w:val="0079C0"/>
            <w:spacing w:val="-4"/>
            <w:kern w:val="22"/>
            <w:szCs w:val="18"/>
            <w:shd w:val="clear" w:color="auto" w:fill="FFFFFF"/>
            <w:lang w:val="en-GB"/>
          </w:rPr>
          <w:t xml:space="preserve"> </w:t>
        </w:r>
        <w:r w:rsidRPr="00637FC9">
          <w:rPr>
            <w:rStyle w:val="Hyperlink"/>
            <w:color w:val="0079C0"/>
            <w:spacing w:val="-4"/>
            <w:kern w:val="22"/>
            <w:szCs w:val="18"/>
            <w:shd w:val="clear" w:color="auto" w:fill="FFFFFF"/>
            <w:lang w:val="en-GB"/>
          </w:rPr>
          <w:t>1</w:t>
        </w:r>
        <w:r w:rsidR="00F2733D" w:rsidRPr="00637FC9">
          <w:rPr>
            <w:rStyle w:val="Hyperlink"/>
            <w:color w:val="0079C0"/>
            <w:spacing w:val="-4"/>
            <w:kern w:val="22"/>
            <w:szCs w:val="18"/>
            <w:shd w:val="clear" w:color="auto" w:fill="FFFFFF"/>
            <w:lang w:val="en-GB"/>
          </w:rPr>
          <w:t>(</w:t>
        </w:r>
        <w:r w:rsidRPr="00637FC9">
          <w:rPr>
            <w:rStyle w:val="Hyperlink"/>
            <w:color w:val="0079C0"/>
            <w:spacing w:val="-4"/>
            <w:kern w:val="22"/>
            <w:szCs w:val="18"/>
            <w:shd w:val="clear" w:color="auto" w:fill="FFFFFF"/>
            <w:lang w:val="en-GB"/>
          </w:rPr>
          <w:t>d</w:t>
        </w:r>
        <w:r w:rsidR="00F2733D" w:rsidRPr="00637FC9">
          <w:rPr>
            <w:rStyle w:val="Hyperlink"/>
            <w:color w:val="0079C0"/>
            <w:spacing w:val="-4"/>
            <w:kern w:val="22"/>
            <w:szCs w:val="18"/>
            <w:shd w:val="clear" w:color="auto" w:fill="FFFFFF"/>
            <w:lang w:val="en-GB"/>
          </w:rPr>
          <w:t>)</w:t>
        </w:r>
        <w:r w:rsidRPr="00637FC9">
          <w:rPr>
            <w:rStyle w:val="Hyperlink"/>
            <w:color w:val="0079C0"/>
            <w:spacing w:val="-4"/>
            <w:kern w:val="22"/>
            <w:szCs w:val="18"/>
            <w:shd w:val="clear" w:color="auto" w:fill="FFFFFF"/>
            <w:lang w:val="en-GB"/>
          </w:rPr>
          <w:t xml:space="preserve"> and 3</w:t>
        </w:r>
        <w:r w:rsidR="00F2733D" w:rsidRPr="00637FC9">
          <w:rPr>
            <w:rStyle w:val="Hyperlink"/>
            <w:color w:val="0079C0"/>
            <w:spacing w:val="-4"/>
            <w:kern w:val="22"/>
            <w:szCs w:val="18"/>
            <w:shd w:val="clear" w:color="auto" w:fill="FFFFFF"/>
            <w:lang w:val="en-GB"/>
          </w:rPr>
          <w:t>(</w:t>
        </w:r>
        <w:r w:rsidRPr="00637FC9">
          <w:rPr>
            <w:rStyle w:val="Hyperlink"/>
            <w:color w:val="0079C0"/>
            <w:spacing w:val="-4"/>
            <w:kern w:val="22"/>
            <w:szCs w:val="18"/>
            <w:shd w:val="clear" w:color="auto" w:fill="FFFFFF"/>
            <w:lang w:val="en-GB"/>
          </w:rPr>
          <w:t>a</w:t>
        </w:r>
        <w:r w:rsidR="00F2733D" w:rsidRPr="00637FC9">
          <w:rPr>
            <w:rStyle w:val="Hyperlink"/>
            <w:color w:val="0079C0"/>
            <w:spacing w:val="-4"/>
            <w:kern w:val="22"/>
            <w:szCs w:val="18"/>
            <w:shd w:val="clear" w:color="auto" w:fill="FFFFFF"/>
            <w:lang w:val="en-GB"/>
          </w:rPr>
          <w:t>)</w:t>
        </w:r>
        <w:r w:rsidRPr="00637FC9">
          <w:rPr>
            <w:rStyle w:val="Hyperlink"/>
            <w:color w:val="0079C0"/>
            <w:spacing w:val="-4"/>
            <w:kern w:val="22"/>
            <w:szCs w:val="18"/>
            <w:shd w:val="clear" w:color="auto" w:fill="FFFFFF"/>
            <w:lang w:val="en-GB"/>
          </w:rPr>
          <w:t>)</w:t>
        </w:r>
      </w:hyperlink>
      <w:r w:rsidRPr="00637FC9">
        <w:rPr>
          <w:color w:val="212529"/>
          <w:spacing w:val="-4"/>
          <w:kern w:val="22"/>
          <w:szCs w:val="18"/>
          <w:shd w:val="clear" w:color="auto" w:fill="FFFFFF"/>
          <w:lang w:val="en-GB"/>
        </w:rPr>
        <w:t> and</w:t>
      </w:r>
      <w:hyperlink r:id="rId6" w:history="1">
        <w:r w:rsidR="007F7CFE" w:rsidRPr="00637FC9">
          <w:rPr>
            <w:rStyle w:val="Hyperlink"/>
            <w:color w:val="0079C0"/>
            <w:spacing w:val="-4"/>
            <w:kern w:val="22"/>
            <w:szCs w:val="18"/>
            <w:shd w:val="clear" w:color="auto" w:fill="FFFFFF"/>
            <w:lang w:val="en-GB"/>
          </w:rPr>
          <w:t xml:space="preserve"> d</w:t>
        </w:r>
        <w:r w:rsidRPr="00637FC9">
          <w:rPr>
            <w:rStyle w:val="Hyperlink"/>
            <w:color w:val="0079C0"/>
            <w:spacing w:val="-4"/>
            <w:kern w:val="22"/>
            <w:szCs w:val="18"/>
            <w:shd w:val="clear" w:color="auto" w:fill="FFFFFF"/>
            <w:lang w:val="en-GB"/>
          </w:rPr>
          <w:t>ecision XI/7</w:t>
        </w:r>
        <w:r w:rsidR="007F7CFE" w:rsidRPr="00637FC9">
          <w:rPr>
            <w:rStyle w:val="Hyperlink"/>
            <w:color w:val="0079C0"/>
            <w:spacing w:val="-4"/>
            <w:kern w:val="22"/>
            <w:szCs w:val="18"/>
            <w:shd w:val="clear" w:color="auto" w:fill="FFFFFF"/>
            <w:lang w:val="en-GB"/>
          </w:rPr>
          <w:t xml:space="preserve">, paragraphs </w:t>
        </w:r>
        <w:r w:rsidRPr="00637FC9">
          <w:rPr>
            <w:rStyle w:val="Hyperlink"/>
            <w:color w:val="0079C0"/>
            <w:spacing w:val="-4"/>
            <w:kern w:val="22"/>
            <w:szCs w:val="18"/>
            <w:shd w:val="clear" w:color="auto" w:fill="FFFFFF"/>
            <w:lang w:val="en-GB"/>
          </w:rPr>
          <w:t>1 and 5</w:t>
        </w:r>
        <w:r w:rsidR="007F7CFE" w:rsidRPr="00637FC9">
          <w:rPr>
            <w:rStyle w:val="Hyperlink"/>
            <w:color w:val="0079C0"/>
            <w:spacing w:val="-4"/>
            <w:kern w:val="22"/>
            <w:szCs w:val="18"/>
            <w:shd w:val="clear" w:color="auto" w:fill="FFFFFF"/>
            <w:lang w:val="en-GB"/>
          </w:rPr>
          <w:t>(</w:t>
        </w:r>
        <w:r w:rsidRPr="00637FC9">
          <w:rPr>
            <w:rStyle w:val="Hyperlink"/>
            <w:color w:val="0079C0"/>
            <w:spacing w:val="-4"/>
            <w:kern w:val="22"/>
            <w:szCs w:val="18"/>
            <w:shd w:val="clear" w:color="auto" w:fill="FFFFFF"/>
            <w:lang w:val="en-GB"/>
          </w:rPr>
          <w:t>a</w:t>
        </w:r>
        <w:r w:rsidR="007F7CFE" w:rsidRPr="00637FC9">
          <w:rPr>
            <w:rStyle w:val="Hyperlink"/>
            <w:color w:val="0079C0"/>
            <w:spacing w:val="-4"/>
            <w:kern w:val="22"/>
            <w:szCs w:val="18"/>
            <w:shd w:val="clear" w:color="auto" w:fill="FFFFFF"/>
            <w:lang w:val="en-GB"/>
          </w:rPr>
          <w:t>)</w:t>
        </w:r>
        <w:r w:rsidRPr="00637FC9">
          <w:rPr>
            <w:rStyle w:val="Hyperlink"/>
            <w:color w:val="0079C0"/>
            <w:spacing w:val="-4"/>
            <w:kern w:val="22"/>
            <w:szCs w:val="18"/>
            <w:shd w:val="clear" w:color="auto" w:fill="FFFFFF"/>
            <w:lang w:val="en-GB"/>
          </w:rPr>
          <w:t>)</w:t>
        </w:r>
      </w:hyperlink>
      <w:r w:rsidRPr="00637FC9">
        <w:rPr>
          <w:spacing w:val="-4"/>
          <w:kern w:val="22"/>
          <w:szCs w:val="18"/>
          <w:lang w:val="en-GB"/>
        </w:rPr>
        <w:t>.</w:t>
      </w:r>
    </w:p>
  </w:footnote>
  <w:footnote w:id="9">
    <w:p w14:paraId="33DD7A54" w14:textId="269DE37C"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See </w:t>
      </w:r>
      <w:hyperlink r:id="rId7" w:history="1">
        <w:r w:rsidRPr="00637FC9">
          <w:rPr>
            <w:rStyle w:val="Hyperlink"/>
            <w:kern w:val="22"/>
            <w:szCs w:val="18"/>
            <w:lang w:val="en-GB"/>
          </w:rPr>
          <w:t>https://www.cbd.int/business/</w:t>
        </w:r>
      </w:hyperlink>
      <w:r w:rsidRPr="00637FC9">
        <w:rPr>
          <w:kern w:val="22"/>
          <w:szCs w:val="18"/>
          <w:lang w:val="en-GB"/>
        </w:rPr>
        <w:t xml:space="preserve"> for detailed information.</w:t>
      </w:r>
    </w:p>
  </w:footnote>
  <w:footnote w:id="10">
    <w:p w14:paraId="11EE5180" w14:textId="00DEE942" w:rsidR="005B18D9" w:rsidRPr="00637FC9" w:rsidRDefault="005B18D9"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CBD/COP</w:t>
      </w:r>
      <w:r w:rsidR="00AA356C" w:rsidRPr="00637FC9">
        <w:rPr>
          <w:kern w:val="22"/>
          <w:szCs w:val="18"/>
          <w:lang w:val="en-GB"/>
        </w:rPr>
        <w:t>/</w:t>
      </w:r>
      <w:r w:rsidRPr="00637FC9">
        <w:rPr>
          <w:kern w:val="22"/>
          <w:szCs w:val="18"/>
          <w:lang w:val="en-GB"/>
        </w:rPr>
        <w:t xml:space="preserve">14/INF/1; </w:t>
      </w:r>
      <w:hyperlink r:id="rId8" w:history="1">
        <w:r w:rsidRPr="00637FC9">
          <w:rPr>
            <w:rStyle w:val="Hyperlink"/>
            <w:kern w:val="22"/>
            <w:szCs w:val="18"/>
            <w:lang w:val="en-GB"/>
          </w:rPr>
          <w:t>http://www.fao.org/about/meetings/multi-stakeholder-dialogue-on-biodiversity/en/</w:t>
        </w:r>
      </w:hyperlink>
    </w:p>
  </w:footnote>
  <w:footnote w:id="11">
    <w:p w14:paraId="7EB94C0D" w14:textId="77777777" w:rsidR="005B18D9" w:rsidRPr="00637FC9" w:rsidRDefault="005B18D9"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w:t>
      </w:r>
      <w:hyperlink r:id="rId9" w:history="1">
        <w:r w:rsidRPr="00637FC9">
          <w:rPr>
            <w:rStyle w:val="Hyperlink"/>
            <w:kern w:val="22"/>
            <w:szCs w:val="18"/>
            <w:lang w:val="en-GB"/>
          </w:rPr>
          <w:t>http://www.fao.org/americas/eventos/ver/en/c/1156040/</w:t>
        </w:r>
      </w:hyperlink>
    </w:p>
  </w:footnote>
  <w:footnote w:id="12">
    <w:p w14:paraId="25A7838A" w14:textId="77777777" w:rsidR="005B18D9" w:rsidRPr="00637FC9" w:rsidRDefault="005B18D9"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w:t>
      </w:r>
      <w:hyperlink r:id="rId10" w:history="1">
        <w:r w:rsidRPr="00637FC9">
          <w:rPr>
            <w:rStyle w:val="Hyperlink"/>
            <w:kern w:val="22"/>
            <w:szCs w:val="18"/>
            <w:lang w:val="en-GB"/>
          </w:rPr>
          <w:t>http://www.fao.org/asiapacific/events/detail-events/en/c/1604/</w:t>
        </w:r>
      </w:hyperlink>
    </w:p>
  </w:footnote>
  <w:footnote w:id="13">
    <w:p w14:paraId="266DFF81" w14:textId="77777777" w:rsidR="005B18D9" w:rsidRPr="00637FC9" w:rsidRDefault="005B18D9"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w:t>
      </w:r>
      <w:hyperlink r:id="rId11" w:history="1">
        <w:r w:rsidRPr="00637FC9">
          <w:rPr>
            <w:rStyle w:val="Hyperlink"/>
            <w:kern w:val="22"/>
            <w:szCs w:val="18"/>
            <w:lang w:val="en-GB"/>
          </w:rPr>
          <w:t>http://www.fao.org/africa/news/detail-news/en/c/1249491/</w:t>
        </w:r>
      </w:hyperlink>
    </w:p>
  </w:footnote>
  <w:footnote w:id="14">
    <w:p w14:paraId="64EFBE72" w14:textId="77777777" w:rsidR="005B18D9" w:rsidRPr="00637FC9" w:rsidRDefault="005B18D9"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w:t>
      </w:r>
      <w:hyperlink r:id="rId12" w:history="1">
        <w:r w:rsidRPr="00637FC9">
          <w:rPr>
            <w:rStyle w:val="Hyperlink"/>
            <w:kern w:val="22"/>
            <w:szCs w:val="18"/>
            <w:lang w:val="en-GB"/>
          </w:rPr>
          <w:t>http://www.fao.org/neareast/news/view/en/c/1244948/</w:t>
        </w:r>
      </w:hyperlink>
    </w:p>
  </w:footnote>
  <w:footnote w:id="15">
    <w:p w14:paraId="5C69F94C" w14:textId="77777777" w:rsidR="005B18D9" w:rsidRPr="00637FC9" w:rsidRDefault="005B18D9"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CL 163/11 Rev.1; CL 163/REP, paragraph 10 g</w:t>
      </w:r>
    </w:p>
  </w:footnote>
  <w:footnote w:id="16">
    <w:p w14:paraId="688DC94D" w14:textId="77777777" w:rsidR="005B18D9" w:rsidRPr="00637FC9" w:rsidRDefault="005B18D9" w:rsidP="00637FC9">
      <w:pPr>
        <w:pStyle w:val="FootnoteText"/>
        <w:keepLines w:val="0"/>
        <w:suppressLineNumbers/>
        <w:shd w:val="clear" w:color="auto" w:fill="FFFFFF" w:themeFill="background1"/>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PC 128/9</w:t>
      </w:r>
    </w:p>
  </w:footnote>
  <w:footnote w:id="17">
    <w:p w14:paraId="607F8E38" w14:textId="38FBDB03" w:rsidR="00C429EC" w:rsidRPr="00637FC9" w:rsidRDefault="00C429EC"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See annex II and the additional information provided therein.</w:t>
      </w:r>
    </w:p>
  </w:footnote>
  <w:footnote w:id="18">
    <w:p w14:paraId="7A8D0A07" w14:textId="08343BCA" w:rsidR="004D66DC" w:rsidRPr="00637FC9" w:rsidRDefault="004D66DC"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w:t>
      </w:r>
      <w:r w:rsidR="00D7098F" w:rsidRPr="00637FC9">
        <w:rPr>
          <w:kern w:val="22"/>
          <w:szCs w:val="18"/>
          <w:lang w:val="en-GB"/>
        </w:rPr>
        <w:t>Decision 14/3.</w:t>
      </w:r>
    </w:p>
  </w:footnote>
  <w:footnote w:id="19">
    <w:p w14:paraId="57AB41A7" w14:textId="7777777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CBD/SBI/3/13.</w:t>
      </w:r>
    </w:p>
  </w:footnote>
  <w:footnote w:id="20">
    <w:p w14:paraId="5204F760" w14:textId="44643DB7" w:rsidR="009050FD" w:rsidRPr="009050FD" w:rsidRDefault="009050FD" w:rsidP="009050FD">
      <w:pPr>
        <w:pStyle w:val="FootnoteText"/>
        <w:suppressLineNumbers/>
        <w:suppressAutoHyphens/>
        <w:rPr>
          <w:kern w:val="18"/>
          <w:szCs w:val="18"/>
          <w:lang w:val="en-GB"/>
        </w:rPr>
      </w:pPr>
      <w:r w:rsidRPr="009050FD">
        <w:rPr>
          <w:rStyle w:val="FootnoteReference"/>
          <w:kern w:val="18"/>
          <w:sz w:val="18"/>
          <w:szCs w:val="18"/>
          <w:lang w:val="en-GB"/>
        </w:rPr>
        <w:footnoteRef/>
      </w:r>
      <w:r w:rsidRPr="009050FD">
        <w:rPr>
          <w:kern w:val="18"/>
          <w:szCs w:val="18"/>
          <w:lang w:val="en-GB"/>
        </w:rPr>
        <w:t xml:space="preserve"> CBD/SBI/3/13/Add.1</w:t>
      </w:r>
      <w:r w:rsidR="008C3436">
        <w:rPr>
          <w:kern w:val="18"/>
          <w:szCs w:val="18"/>
          <w:lang w:val="en-GB"/>
        </w:rPr>
        <w:t>.</w:t>
      </w:r>
    </w:p>
  </w:footnote>
  <w:footnote w:id="21">
    <w:p w14:paraId="5AC97392" w14:textId="6CC22CBE" w:rsidR="00555B5D" w:rsidRPr="00637FC9" w:rsidRDefault="00555B5D" w:rsidP="00637FC9">
      <w:pPr>
        <w:suppressLineNumbers/>
        <w:suppressAutoHyphens/>
        <w:spacing w:after="60"/>
        <w:rPr>
          <w:kern w:val="22"/>
          <w:sz w:val="18"/>
          <w:szCs w:val="18"/>
          <w:lang w:val="en-GB"/>
        </w:rPr>
      </w:pPr>
      <w:r w:rsidRPr="00637FC9">
        <w:rPr>
          <w:rStyle w:val="FootnoteReference"/>
          <w:kern w:val="22"/>
          <w:sz w:val="18"/>
          <w:szCs w:val="18"/>
          <w:lang w:val="en-GB"/>
        </w:rPr>
        <w:footnoteRef/>
      </w:r>
      <w:r w:rsidRPr="00637FC9">
        <w:rPr>
          <w:kern w:val="22"/>
          <w:sz w:val="18"/>
          <w:szCs w:val="18"/>
          <w:lang w:val="en-GB"/>
        </w:rPr>
        <w:t xml:space="preserve"> All </w:t>
      </w:r>
      <w:r w:rsidR="00446D50" w:rsidRPr="00637FC9">
        <w:rPr>
          <w:kern w:val="22"/>
          <w:sz w:val="18"/>
          <w:szCs w:val="18"/>
          <w:lang w:val="en-GB"/>
        </w:rPr>
        <w:t xml:space="preserve">global biodiversity framework </w:t>
      </w:r>
      <w:r w:rsidRPr="00637FC9">
        <w:rPr>
          <w:kern w:val="22"/>
          <w:sz w:val="18"/>
          <w:szCs w:val="18"/>
          <w:lang w:val="en-GB"/>
        </w:rPr>
        <w:t>target numbers will refer to those in</w:t>
      </w:r>
      <w:r w:rsidR="003074AC" w:rsidRPr="00637FC9">
        <w:rPr>
          <w:kern w:val="22"/>
          <w:sz w:val="18"/>
          <w:szCs w:val="18"/>
          <w:lang w:val="en-GB"/>
        </w:rPr>
        <w:t xml:space="preserve"> </w:t>
      </w:r>
      <w:r w:rsidR="005105BA">
        <w:rPr>
          <w:kern w:val="22"/>
          <w:sz w:val="18"/>
          <w:szCs w:val="18"/>
          <w:lang w:val="en-GB"/>
        </w:rPr>
        <w:t xml:space="preserve">the </w:t>
      </w:r>
      <w:r w:rsidR="003074AC" w:rsidRPr="00637FC9">
        <w:rPr>
          <w:kern w:val="22"/>
          <w:sz w:val="18"/>
          <w:szCs w:val="18"/>
          <w:lang w:val="en-GB"/>
        </w:rPr>
        <w:t>“</w:t>
      </w:r>
      <w:r w:rsidR="00D60A0C">
        <w:rPr>
          <w:kern w:val="22"/>
          <w:sz w:val="18"/>
          <w:szCs w:val="18"/>
          <w:lang w:val="en-GB"/>
        </w:rPr>
        <w:t>u</w:t>
      </w:r>
      <w:r w:rsidR="003074AC" w:rsidRPr="00637FC9">
        <w:rPr>
          <w:kern w:val="22"/>
          <w:sz w:val="18"/>
          <w:szCs w:val="18"/>
          <w:lang w:val="en-GB"/>
        </w:rPr>
        <w:t xml:space="preserve">pdate of the </w:t>
      </w:r>
      <w:r w:rsidR="00D60A0C">
        <w:rPr>
          <w:kern w:val="22"/>
          <w:sz w:val="18"/>
          <w:szCs w:val="18"/>
          <w:lang w:val="en-GB"/>
        </w:rPr>
        <w:t>z</w:t>
      </w:r>
      <w:r w:rsidR="003074AC" w:rsidRPr="00637FC9">
        <w:rPr>
          <w:kern w:val="22"/>
          <w:sz w:val="18"/>
          <w:szCs w:val="18"/>
          <w:lang w:val="en-GB"/>
        </w:rPr>
        <w:t xml:space="preserve">ero </w:t>
      </w:r>
      <w:r w:rsidR="00F81A5C" w:rsidRPr="00637FC9">
        <w:rPr>
          <w:kern w:val="22"/>
          <w:sz w:val="18"/>
          <w:szCs w:val="18"/>
          <w:lang w:val="en-GB"/>
        </w:rPr>
        <w:t>d</w:t>
      </w:r>
      <w:r w:rsidR="003074AC" w:rsidRPr="00637FC9">
        <w:rPr>
          <w:kern w:val="22"/>
          <w:sz w:val="18"/>
          <w:szCs w:val="18"/>
          <w:lang w:val="en-GB"/>
        </w:rPr>
        <w:t xml:space="preserve">raft of the </w:t>
      </w:r>
      <w:r w:rsidR="00F81A5C" w:rsidRPr="00637FC9">
        <w:rPr>
          <w:kern w:val="22"/>
          <w:sz w:val="18"/>
          <w:szCs w:val="18"/>
          <w:lang w:val="en-GB"/>
        </w:rPr>
        <w:t>p</w:t>
      </w:r>
      <w:r w:rsidR="003074AC" w:rsidRPr="00637FC9">
        <w:rPr>
          <w:kern w:val="22"/>
          <w:sz w:val="18"/>
          <w:szCs w:val="18"/>
          <w:lang w:val="en-GB"/>
        </w:rPr>
        <w:t xml:space="preserve">ost-2020 </w:t>
      </w:r>
      <w:r w:rsidR="00F81A5C" w:rsidRPr="00637FC9">
        <w:rPr>
          <w:kern w:val="22"/>
          <w:sz w:val="18"/>
          <w:szCs w:val="18"/>
          <w:lang w:val="en-GB"/>
        </w:rPr>
        <w:t>g</w:t>
      </w:r>
      <w:r w:rsidR="003074AC" w:rsidRPr="00637FC9">
        <w:rPr>
          <w:kern w:val="22"/>
          <w:sz w:val="18"/>
          <w:szCs w:val="18"/>
          <w:lang w:val="en-GB"/>
        </w:rPr>
        <w:t xml:space="preserve">lobal </w:t>
      </w:r>
      <w:r w:rsidR="00F81A5C" w:rsidRPr="00637FC9">
        <w:rPr>
          <w:kern w:val="22"/>
          <w:sz w:val="18"/>
          <w:szCs w:val="18"/>
          <w:lang w:val="en-GB"/>
        </w:rPr>
        <w:t>b</w:t>
      </w:r>
      <w:r w:rsidR="003074AC" w:rsidRPr="00637FC9">
        <w:rPr>
          <w:kern w:val="22"/>
          <w:sz w:val="18"/>
          <w:szCs w:val="18"/>
          <w:lang w:val="en-GB"/>
        </w:rPr>
        <w:t>iodiversity</w:t>
      </w:r>
      <w:r w:rsidR="00F81A5C" w:rsidRPr="00637FC9">
        <w:rPr>
          <w:kern w:val="22"/>
          <w:sz w:val="18"/>
          <w:szCs w:val="18"/>
          <w:lang w:val="en-GB"/>
        </w:rPr>
        <w:t xml:space="preserve"> f</w:t>
      </w:r>
      <w:r w:rsidR="003074AC" w:rsidRPr="00637FC9">
        <w:rPr>
          <w:kern w:val="22"/>
          <w:sz w:val="18"/>
          <w:szCs w:val="18"/>
          <w:lang w:val="en-GB"/>
        </w:rPr>
        <w:t>ramework”</w:t>
      </w:r>
      <w:r w:rsidR="005105BA">
        <w:rPr>
          <w:kern w:val="22"/>
          <w:sz w:val="18"/>
          <w:szCs w:val="18"/>
          <w:lang w:val="en-GB"/>
        </w:rPr>
        <w:t xml:space="preserve"> (</w:t>
      </w:r>
      <w:hyperlink r:id="rId13" w:history="1">
        <w:r w:rsidR="005105BA" w:rsidRPr="00637FC9">
          <w:rPr>
            <w:rStyle w:val="Hyperlink"/>
            <w:kern w:val="22"/>
            <w:szCs w:val="18"/>
            <w:lang w:val="en-GB"/>
          </w:rPr>
          <w:t>CBD/POST2020/PREP/2/1</w:t>
        </w:r>
      </w:hyperlink>
      <w:r w:rsidR="005105BA">
        <w:rPr>
          <w:kern w:val="22"/>
          <w:sz w:val="18"/>
          <w:szCs w:val="18"/>
          <w:lang w:val="en-GB"/>
        </w:rPr>
        <w:t>)</w:t>
      </w:r>
      <w:r w:rsidR="003074AC" w:rsidRPr="00637FC9">
        <w:rPr>
          <w:kern w:val="22"/>
          <w:sz w:val="18"/>
          <w:szCs w:val="18"/>
          <w:lang w:val="en-GB"/>
        </w:rPr>
        <w:t>.</w:t>
      </w:r>
    </w:p>
  </w:footnote>
  <w:footnote w:id="22">
    <w:p w14:paraId="7A121E14" w14:textId="375D0764" w:rsidR="003C2F74" w:rsidRPr="00637FC9" w:rsidRDefault="003C2F74"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w:t>
      </w:r>
      <w:hyperlink r:id="rId14" w:history="1">
        <w:r w:rsidR="00077419" w:rsidRPr="00C04A2C">
          <w:rPr>
            <w:rStyle w:val="Hyperlink"/>
            <w:kern w:val="22"/>
            <w:szCs w:val="18"/>
            <w:lang w:val="en-GB"/>
          </w:rPr>
          <w:t>https://ipbes.net/sites/default/files/2020-02/ipbes_global_assessment_report_summary_for_policymakers_en.pdf</w:t>
        </w:r>
      </w:hyperlink>
      <w:r w:rsidRPr="00637FC9">
        <w:rPr>
          <w:kern w:val="22"/>
          <w:szCs w:val="18"/>
          <w:lang w:val="en-GB"/>
        </w:rPr>
        <w:t>.</w:t>
      </w:r>
    </w:p>
  </w:footnote>
  <w:footnote w:id="23">
    <w:p w14:paraId="215ED1D9" w14:textId="4355A4FE" w:rsidR="0009142F" w:rsidRPr="0009142F" w:rsidRDefault="0009142F" w:rsidP="0009142F">
      <w:pPr>
        <w:pStyle w:val="FootnoteText"/>
        <w:ind w:firstLine="0"/>
        <w:rPr>
          <w:lang w:val="en-US"/>
        </w:rPr>
      </w:pPr>
      <w:r>
        <w:rPr>
          <w:rStyle w:val="FootnoteReference"/>
        </w:rPr>
        <w:footnoteRef/>
      </w:r>
      <w:r>
        <w:t xml:space="preserve"> </w:t>
      </w:r>
      <w:hyperlink r:id="rId15" w:history="1">
        <w:r w:rsidR="00292DAF" w:rsidRPr="00C37A0D">
          <w:rPr>
            <w:rStyle w:val="Hyperlink"/>
          </w:rPr>
          <w:t>Cancun Declaration on Mainstreaming the Conservation and Sustainable Use of Biodiversity for Well-Being (CBD/COP/13/24)</w:t>
        </w:r>
      </w:hyperlink>
      <w:r w:rsidR="00C37A0D">
        <w:t>.</w:t>
      </w:r>
      <w:bookmarkStart w:id="7" w:name="_GoBack"/>
      <w:bookmarkEnd w:id="7"/>
    </w:p>
  </w:footnote>
  <w:footnote w:id="24">
    <w:p w14:paraId="10F1B39D" w14:textId="7777777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See decision X/3, paragraph 9(b)(ii): the intrinsic, ecological, genetic, social economic, scientific, educational, cultural, recreational and aesthetic values of biological diversity and its components.</w:t>
      </w:r>
    </w:p>
  </w:footnote>
  <w:footnote w:id="25">
    <w:p w14:paraId="23845931" w14:textId="7777777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SDG Target 15.9, with an updated timeline (2030 instead of 2020).</w:t>
      </w:r>
    </w:p>
  </w:footnote>
  <w:footnote w:id="26">
    <w:p w14:paraId="47869601" w14:textId="49CE2D68" w:rsidR="0041110F" w:rsidRPr="00637FC9" w:rsidRDefault="0041110F"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See decision V/6, </w:t>
      </w:r>
      <w:hyperlink r:id="rId16" w:history="1">
        <w:r w:rsidRPr="00637FC9">
          <w:rPr>
            <w:rStyle w:val="Hyperlink"/>
            <w:kern w:val="22"/>
            <w:szCs w:val="18"/>
            <w:lang w:val="en-GB"/>
          </w:rPr>
          <w:t>https://www.cbd.int/ecosystem/</w:t>
        </w:r>
      </w:hyperlink>
      <w:r w:rsidRPr="00637FC9">
        <w:rPr>
          <w:kern w:val="22"/>
          <w:szCs w:val="18"/>
          <w:lang w:val="en-GB"/>
        </w:rPr>
        <w:t>.</w:t>
      </w:r>
    </w:p>
  </w:footnote>
  <w:footnote w:id="27">
    <w:p w14:paraId="275E6766" w14:textId="7777777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They correspond to the indicators for SDG target 15.9, with suitably updated wording, as recently adopted and upgraded (from tier III to tier II) by the Inter-Agency Expert Group on SDG indicators.</w:t>
      </w:r>
    </w:p>
  </w:footnote>
  <w:footnote w:id="28">
    <w:p w14:paraId="258A9BD0" w14:textId="35DACAA5" w:rsidR="003D0A88" w:rsidRPr="00637FC9" w:rsidRDefault="003D0A88"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IPBES Global Assessment Summary for Policymakers, pages 44-47, </w:t>
      </w:r>
      <w:hyperlink r:id="rId17" w:history="1">
        <w:r w:rsidRPr="00637FC9">
          <w:rPr>
            <w:rStyle w:val="Hyperlink"/>
            <w:kern w:val="22"/>
            <w:szCs w:val="18"/>
            <w:lang w:val="en-GB"/>
          </w:rPr>
          <w:t>https://ipbes.net/sites/default/files/2020-02/ipbes_global_assessment_report_summary_for_policymakers_en.pdf</w:t>
        </w:r>
      </w:hyperlink>
    </w:p>
  </w:footnote>
  <w:footnote w:id="29">
    <w:p w14:paraId="6A7C234E" w14:textId="71488BAA" w:rsidR="003D0A88" w:rsidRPr="00637FC9" w:rsidRDefault="003D0A88"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w:t>
      </w:r>
      <w:hyperlink r:id="rId18" w:history="1">
        <w:r w:rsidRPr="00637FC9">
          <w:rPr>
            <w:rStyle w:val="Hyperlink"/>
            <w:kern w:val="22"/>
            <w:szCs w:val="18"/>
            <w:lang w:val="en-GB"/>
          </w:rPr>
          <w:t>https://ipbes.net/nexus/scoping-document</w:t>
        </w:r>
      </w:hyperlink>
    </w:p>
  </w:footnote>
  <w:footnote w:id="30">
    <w:p w14:paraId="6BB1692D" w14:textId="703B6E68"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From decision XIII/28, </w:t>
      </w:r>
      <w:r w:rsidR="00951B40" w:rsidRPr="00637FC9">
        <w:rPr>
          <w:kern w:val="22"/>
          <w:szCs w:val="18"/>
          <w:lang w:val="en-GB"/>
        </w:rPr>
        <w:t>a</w:t>
      </w:r>
      <w:r w:rsidRPr="00637FC9">
        <w:rPr>
          <w:kern w:val="22"/>
          <w:szCs w:val="18"/>
          <w:lang w:val="en-GB"/>
        </w:rPr>
        <w:t>nnex.</w:t>
      </w:r>
    </w:p>
  </w:footnote>
  <w:footnote w:id="31">
    <w:p w14:paraId="3E135840" w14:textId="7777777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SDG indicators 12.6.1</w:t>
      </w:r>
    </w:p>
  </w:footnote>
  <w:footnote w:id="32">
    <w:p w14:paraId="072D65B9" w14:textId="66A36202" w:rsidR="00555B5D" w:rsidRPr="00637FC9" w:rsidRDefault="00555B5D" w:rsidP="00637FC9">
      <w:pPr>
        <w:pStyle w:val="FootnoteText"/>
        <w:keepLines w:val="0"/>
        <w:suppressLineNumbers/>
        <w:tabs>
          <w:tab w:val="left" w:pos="2378"/>
        </w:tab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SDG indicators 12.6.1</w:t>
      </w:r>
    </w:p>
  </w:footnote>
  <w:footnote w:id="33">
    <w:p w14:paraId="73A40ED8" w14:textId="7777777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See decision X/3, paragraph 9(b)(ii): the intrinsic, ecological, genetic, social economic, scientific, educational, cultural, recreational and aesthetic values of biological diversity and its components.</w:t>
      </w:r>
    </w:p>
  </w:footnote>
  <w:footnote w:id="34">
    <w:p w14:paraId="11B527EE" w14:textId="33076F83"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w:t>
      </w:r>
      <w:r w:rsidR="008E4C4A" w:rsidRPr="00637FC9">
        <w:rPr>
          <w:kern w:val="22"/>
          <w:szCs w:val="18"/>
          <w:lang w:val="en-GB"/>
        </w:rPr>
        <w:t>S</w:t>
      </w:r>
      <w:r w:rsidRPr="00637FC9">
        <w:rPr>
          <w:kern w:val="22"/>
          <w:szCs w:val="18"/>
          <w:lang w:val="en-GB"/>
        </w:rPr>
        <w:t>imilar to SDG indicator 12.6.1</w:t>
      </w:r>
      <w:r w:rsidR="000A3853" w:rsidRPr="00637FC9">
        <w:rPr>
          <w:kern w:val="22"/>
          <w:szCs w:val="18"/>
          <w:lang w:val="en-GB"/>
        </w:rPr>
        <w:t>.</w:t>
      </w:r>
    </w:p>
  </w:footnote>
  <w:footnote w:id="35">
    <w:p w14:paraId="6DC97FF1" w14:textId="0862B7EE"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Similar to SDG indicator 12.6.1</w:t>
      </w:r>
      <w:r w:rsidR="000A3853" w:rsidRPr="00637FC9">
        <w:rPr>
          <w:kern w:val="22"/>
          <w:szCs w:val="18"/>
          <w:lang w:val="en-GB"/>
        </w:rPr>
        <w:t>.</w:t>
      </w:r>
    </w:p>
  </w:footnote>
  <w:footnote w:id="36">
    <w:p w14:paraId="663E4060" w14:textId="259C332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The intrinsic, ecological, genetic, social economic, scientific, educational, cultural, recreational and aesthetic values of biological diversity and its components; see decision X/9, paragraph 9(b)(ii)</w:t>
      </w:r>
      <w:r w:rsidR="000A3853" w:rsidRPr="00637FC9">
        <w:rPr>
          <w:kern w:val="22"/>
          <w:szCs w:val="18"/>
          <w:lang w:val="en-GB"/>
        </w:rPr>
        <w:t>.</w:t>
      </w:r>
    </w:p>
  </w:footnote>
  <w:footnote w:id="37">
    <w:p w14:paraId="7D389E94" w14:textId="7463345C"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SDG 12.8, with amendment to reflect </w:t>
      </w:r>
      <w:r w:rsidR="00D47CC6">
        <w:rPr>
          <w:kern w:val="22"/>
          <w:szCs w:val="18"/>
          <w:lang w:val="en-GB"/>
        </w:rPr>
        <w:t xml:space="preserve">the role of </w:t>
      </w:r>
      <w:r w:rsidRPr="00637FC9">
        <w:rPr>
          <w:kern w:val="22"/>
          <w:szCs w:val="18"/>
          <w:lang w:val="en-GB"/>
        </w:rPr>
        <w:t>biodiversity values and actions taken</w:t>
      </w:r>
      <w:r w:rsidR="000A3853" w:rsidRPr="00637FC9">
        <w:rPr>
          <w:kern w:val="22"/>
          <w:szCs w:val="18"/>
          <w:lang w:val="en-GB"/>
        </w:rPr>
        <w:t>.</w:t>
      </w:r>
    </w:p>
  </w:footnote>
  <w:footnote w:id="38">
    <w:p w14:paraId="00288FB4" w14:textId="73AEAD80"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SDG indicator 12.8.1 with some amendments.</w:t>
      </w:r>
    </w:p>
  </w:footnote>
  <w:footnote w:id="39">
    <w:p w14:paraId="2F1D8A4A" w14:textId="7777777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w:t>
      </w:r>
      <w:hyperlink r:id="rId19" w:anchor="uebt-biodiversity-barometer-2018" w:history="1">
        <w:r w:rsidRPr="00637FC9">
          <w:rPr>
            <w:rStyle w:val="Hyperlink"/>
            <w:kern w:val="22"/>
            <w:szCs w:val="18"/>
            <w:lang w:val="en-GB"/>
          </w:rPr>
          <w:t>http://www.biodivers</w:t>
        </w:r>
        <w:r w:rsidRPr="00637FC9">
          <w:rPr>
            <w:rStyle w:val="Hyperlink"/>
            <w:kern w:val="22"/>
            <w:szCs w:val="18"/>
            <w:u w:val="none"/>
            <w:lang w:val="en-GB"/>
          </w:rPr>
          <w:t>ityb</w:t>
        </w:r>
        <w:r w:rsidRPr="00637FC9">
          <w:rPr>
            <w:rStyle w:val="Hyperlink"/>
            <w:kern w:val="22"/>
            <w:szCs w:val="18"/>
            <w:lang w:val="en-GB"/>
          </w:rPr>
          <w:t>arometer.org/#uebt-biodiversity-barometer-2018</w:t>
        </w:r>
      </w:hyperlink>
      <w:r w:rsidRPr="00637FC9">
        <w:rPr>
          <w:kern w:val="22"/>
          <w:szCs w:val="18"/>
          <w:lang w:val="en-GB"/>
        </w:rPr>
        <w:t xml:space="preserve">  </w:t>
      </w:r>
    </w:p>
  </w:footnote>
  <w:footnote w:id="40">
    <w:p w14:paraId="26B01885" w14:textId="55DA75A2" w:rsidR="00555B5D" w:rsidRPr="00637FC9" w:rsidRDefault="00555B5D" w:rsidP="00637FC9">
      <w:pPr>
        <w:pStyle w:val="CommentText"/>
        <w:suppressLineNumbers/>
        <w:suppressAutoHyphens/>
        <w:spacing w:after="60" w:line="240" w:lineRule="auto"/>
        <w:rPr>
          <w:kern w:val="22"/>
          <w:sz w:val="18"/>
          <w:szCs w:val="18"/>
          <w:lang w:val="en-GB"/>
        </w:rPr>
      </w:pPr>
      <w:r w:rsidRPr="00637FC9">
        <w:rPr>
          <w:rStyle w:val="FootnoteReference"/>
          <w:kern w:val="22"/>
          <w:sz w:val="18"/>
          <w:szCs w:val="18"/>
          <w:lang w:val="en-GB"/>
        </w:rPr>
        <w:footnoteRef/>
      </w:r>
      <w:r w:rsidRPr="00637FC9">
        <w:rPr>
          <w:kern w:val="22"/>
          <w:sz w:val="18"/>
          <w:szCs w:val="18"/>
          <w:lang w:val="en-GB"/>
        </w:rPr>
        <w:t xml:space="preserve"> </w:t>
      </w:r>
      <w:r w:rsidRPr="00637FC9">
        <w:rPr>
          <w:rStyle w:val="hgkelc"/>
          <w:bCs/>
          <w:kern w:val="22"/>
          <w:sz w:val="18"/>
          <w:szCs w:val="18"/>
          <w:lang w:val="en-GB"/>
        </w:rPr>
        <w:t>Participation</w:t>
      </w:r>
      <w:r w:rsidRPr="00637FC9">
        <w:rPr>
          <w:rStyle w:val="hgkelc"/>
          <w:kern w:val="22"/>
          <w:sz w:val="18"/>
          <w:szCs w:val="18"/>
          <w:lang w:val="en-GB"/>
        </w:rPr>
        <w:t xml:space="preserve"> means the involvement of intended beneficiaries in the planning, design, implementation and subsequent maintenance of the development intervention. It means that people are mobilized, manage resources and make decisions that affect their lives'; </w:t>
      </w:r>
      <w:hyperlink r:id="rId20" w:history="1">
        <w:r w:rsidR="00F91936" w:rsidRPr="00C04A2C">
          <w:rPr>
            <w:rStyle w:val="Hyperlink"/>
            <w:kern w:val="22"/>
            <w:szCs w:val="18"/>
            <w:lang w:val="en-GB"/>
          </w:rPr>
          <w:t>https://www.socialcapitalresearch.com/designing-social-capital-sensitive-participation-methodologies/definition-participation/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660C1BD8" w14:textId="2DB3C44D" w:rsidR="00555B5D" w:rsidRPr="0018734D" w:rsidRDefault="00555B5D" w:rsidP="007C011A">
        <w:pPr>
          <w:pStyle w:val="Header"/>
          <w:tabs>
            <w:tab w:val="clear" w:pos="4320"/>
            <w:tab w:val="clear" w:pos="8640"/>
          </w:tabs>
          <w:kinsoku w:val="0"/>
          <w:overflowPunct w:val="0"/>
          <w:autoSpaceDE w:val="0"/>
          <w:autoSpaceDN w:val="0"/>
          <w:rPr>
            <w:noProof/>
            <w:kern w:val="22"/>
            <w:sz w:val="22"/>
            <w:szCs w:val="22"/>
            <w:lang w:val="en-GB"/>
          </w:rPr>
        </w:pPr>
        <w:r w:rsidRPr="0018734D">
          <w:rPr>
            <w:noProof/>
            <w:kern w:val="22"/>
            <w:sz w:val="22"/>
            <w:szCs w:val="22"/>
            <w:lang w:val="en-GB"/>
          </w:rPr>
          <w:t>CBD/SBI/3/13</w:t>
        </w:r>
      </w:p>
    </w:sdtContent>
  </w:sdt>
  <w:p w14:paraId="79951671" w14:textId="77777777" w:rsidR="00555B5D" w:rsidRPr="0018734D" w:rsidRDefault="00555B5D" w:rsidP="007C011A">
    <w:pPr>
      <w:pStyle w:val="Header"/>
      <w:tabs>
        <w:tab w:val="clear" w:pos="4320"/>
        <w:tab w:val="clear" w:pos="8640"/>
      </w:tabs>
      <w:kinsoku w:val="0"/>
      <w:overflowPunct w:val="0"/>
      <w:autoSpaceDE w:val="0"/>
      <w:autoSpaceDN w:val="0"/>
      <w:rPr>
        <w:noProof/>
        <w:kern w:val="22"/>
        <w:sz w:val="22"/>
        <w:szCs w:val="22"/>
        <w:lang w:val="en-GB"/>
      </w:rPr>
    </w:pPr>
    <w:r w:rsidRPr="0018734D">
      <w:rPr>
        <w:noProof/>
        <w:kern w:val="22"/>
        <w:sz w:val="22"/>
        <w:szCs w:val="22"/>
        <w:lang w:val="en-GB"/>
      </w:rPr>
      <w:t xml:space="preserve">Page </w:t>
    </w:r>
    <w:r w:rsidRPr="0018734D">
      <w:rPr>
        <w:noProof/>
        <w:kern w:val="22"/>
        <w:sz w:val="22"/>
        <w:szCs w:val="22"/>
        <w:lang w:val="en-GB"/>
      </w:rPr>
      <w:fldChar w:fldCharType="begin"/>
    </w:r>
    <w:r w:rsidRPr="0018734D">
      <w:rPr>
        <w:noProof/>
        <w:kern w:val="22"/>
        <w:sz w:val="22"/>
        <w:szCs w:val="22"/>
        <w:lang w:val="en-GB"/>
      </w:rPr>
      <w:instrText xml:space="preserve"> PAGE   \* MERGEFORMAT </w:instrText>
    </w:r>
    <w:r w:rsidRPr="0018734D">
      <w:rPr>
        <w:noProof/>
        <w:kern w:val="22"/>
        <w:sz w:val="22"/>
        <w:szCs w:val="22"/>
        <w:lang w:val="en-GB"/>
      </w:rPr>
      <w:fldChar w:fldCharType="separate"/>
    </w:r>
    <w:r w:rsidR="0032332A" w:rsidRPr="0018734D">
      <w:rPr>
        <w:noProof/>
        <w:kern w:val="22"/>
        <w:sz w:val="22"/>
        <w:szCs w:val="22"/>
        <w:lang w:val="en-GB"/>
      </w:rPr>
      <w:t>16</w:t>
    </w:r>
    <w:r w:rsidRPr="0018734D">
      <w:rPr>
        <w:noProof/>
        <w:kern w:val="22"/>
        <w:sz w:val="22"/>
        <w:szCs w:val="22"/>
        <w:lang w:val="en-GB"/>
      </w:rPr>
      <w:fldChar w:fldCharType="end"/>
    </w:r>
  </w:p>
  <w:p w14:paraId="678AD93F" w14:textId="77777777" w:rsidR="00555B5D" w:rsidRPr="0018734D" w:rsidRDefault="00555B5D" w:rsidP="007C011A">
    <w:pPr>
      <w:pStyle w:val="Header"/>
      <w:tabs>
        <w:tab w:val="clear" w:pos="4320"/>
        <w:tab w:val="clear" w:pos="8640"/>
      </w:tabs>
      <w:kinsoku w:val="0"/>
      <w:overflowPunct w:val="0"/>
      <w:autoSpaceDE w:val="0"/>
      <w:autoSpaceDN w:val="0"/>
      <w:rPr>
        <w:noProof/>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78206119" w14:textId="76585229" w:rsidR="00555B5D" w:rsidRPr="0018734D" w:rsidRDefault="00555B5D" w:rsidP="008C239F">
        <w:pPr>
          <w:pStyle w:val="Header"/>
          <w:tabs>
            <w:tab w:val="clear" w:pos="4320"/>
            <w:tab w:val="clear" w:pos="8640"/>
          </w:tabs>
          <w:kinsoku w:val="0"/>
          <w:overflowPunct w:val="0"/>
          <w:autoSpaceDE w:val="0"/>
          <w:autoSpaceDN w:val="0"/>
          <w:jc w:val="right"/>
          <w:rPr>
            <w:noProof/>
            <w:kern w:val="22"/>
            <w:sz w:val="22"/>
            <w:szCs w:val="22"/>
            <w:lang w:val="en-GB"/>
          </w:rPr>
        </w:pPr>
        <w:r w:rsidRPr="0018734D">
          <w:rPr>
            <w:noProof/>
            <w:kern w:val="22"/>
            <w:sz w:val="22"/>
            <w:szCs w:val="22"/>
            <w:lang w:val="en-GB"/>
          </w:rPr>
          <w:t>CBD/SBI/3/13</w:t>
        </w:r>
      </w:p>
    </w:sdtContent>
  </w:sdt>
  <w:p w14:paraId="0D39FFBC" w14:textId="77777777" w:rsidR="00555B5D" w:rsidRPr="0018734D" w:rsidRDefault="00555B5D" w:rsidP="008C239F">
    <w:pPr>
      <w:pStyle w:val="Header"/>
      <w:tabs>
        <w:tab w:val="clear" w:pos="4320"/>
        <w:tab w:val="clear" w:pos="8640"/>
      </w:tabs>
      <w:kinsoku w:val="0"/>
      <w:overflowPunct w:val="0"/>
      <w:autoSpaceDE w:val="0"/>
      <w:autoSpaceDN w:val="0"/>
      <w:jc w:val="right"/>
      <w:rPr>
        <w:noProof/>
        <w:kern w:val="22"/>
        <w:sz w:val="22"/>
        <w:szCs w:val="22"/>
        <w:lang w:val="en-GB"/>
      </w:rPr>
    </w:pPr>
    <w:r w:rsidRPr="0018734D">
      <w:rPr>
        <w:noProof/>
        <w:kern w:val="22"/>
        <w:sz w:val="22"/>
        <w:szCs w:val="22"/>
        <w:lang w:val="en-GB"/>
      </w:rPr>
      <w:t xml:space="preserve">Page </w:t>
    </w:r>
    <w:r w:rsidRPr="0018734D">
      <w:rPr>
        <w:noProof/>
        <w:kern w:val="22"/>
        <w:sz w:val="22"/>
        <w:szCs w:val="22"/>
        <w:lang w:val="en-GB"/>
      </w:rPr>
      <w:fldChar w:fldCharType="begin"/>
    </w:r>
    <w:r w:rsidRPr="0018734D">
      <w:rPr>
        <w:noProof/>
        <w:kern w:val="22"/>
        <w:sz w:val="22"/>
        <w:szCs w:val="22"/>
        <w:lang w:val="en-GB"/>
      </w:rPr>
      <w:instrText xml:space="preserve"> PAGE   \* MERGEFORMAT </w:instrText>
    </w:r>
    <w:r w:rsidRPr="0018734D">
      <w:rPr>
        <w:noProof/>
        <w:kern w:val="22"/>
        <w:sz w:val="22"/>
        <w:szCs w:val="22"/>
        <w:lang w:val="en-GB"/>
      </w:rPr>
      <w:fldChar w:fldCharType="separate"/>
    </w:r>
    <w:r w:rsidR="0032332A" w:rsidRPr="0018734D">
      <w:rPr>
        <w:noProof/>
        <w:kern w:val="22"/>
        <w:sz w:val="22"/>
        <w:szCs w:val="22"/>
        <w:lang w:val="en-GB"/>
      </w:rPr>
      <w:t>17</w:t>
    </w:r>
    <w:r w:rsidRPr="0018734D">
      <w:rPr>
        <w:noProof/>
        <w:kern w:val="22"/>
        <w:sz w:val="22"/>
        <w:szCs w:val="22"/>
        <w:lang w:val="en-GB"/>
      </w:rPr>
      <w:fldChar w:fldCharType="end"/>
    </w:r>
  </w:p>
  <w:p w14:paraId="05148852" w14:textId="77777777" w:rsidR="00555B5D" w:rsidRPr="0018734D" w:rsidRDefault="00555B5D" w:rsidP="008C239F">
    <w:pPr>
      <w:pStyle w:val="Header"/>
      <w:tabs>
        <w:tab w:val="clear" w:pos="4320"/>
        <w:tab w:val="clear" w:pos="8640"/>
      </w:tabs>
      <w:kinsoku w:val="0"/>
      <w:overflowPunct w:val="0"/>
      <w:autoSpaceDE w:val="0"/>
      <w:autoSpaceDN w:val="0"/>
      <w:jc w:val="right"/>
      <w:rPr>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807"/>
    <w:multiLevelType w:val="hybridMultilevel"/>
    <w:tmpl w:val="E13C3578"/>
    <w:lvl w:ilvl="0" w:tplc="C99280F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B045BA"/>
    <w:multiLevelType w:val="hybridMultilevel"/>
    <w:tmpl w:val="4EA0DE3E"/>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5F06FE0"/>
    <w:multiLevelType w:val="multilevel"/>
    <w:tmpl w:val="84B2466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0165948"/>
    <w:multiLevelType w:val="hybridMultilevel"/>
    <w:tmpl w:val="ED5201FA"/>
    <w:lvl w:ilvl="0" w:tplc="4A168ECC">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10ECF"/>
    <w:multiLevelType w:val="hybridMultilevel"/>
    <w:tmpl w:val="EB501578"/>
    <w:lvl w:ilvl="0" w:tplc="E214DC66">
      <w:start w:val="1"/>
      <w:numFmt w:val="lowerLetter"/>
      <w:lvlText w:val="(%1)"/>
      <w:lvlJc w:val="left"/>
      <w:pPr>
        <w:ind w:left="1080" w:hanging="360"/>
      </w:pPr>
      <w:rPr>
        <w:rFonts w:hint="default"/>
        <w:b w:val="0"/>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4E208A"/>
    <w:multiLevelType w:val="multilevel"/>
    <w:tmpl w:val="2F8A08D6"/>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0701FE"/>
    <w:multiLevelType w:val="hybridMultilevel"/>
    <w:tmpl w:val="BFDC0EB6"/>
    <w:lvl w:ilvl="0" w:tplc="D92C3096">
      <w:start w:val="1"/>
      <w:numFmt w:val="lowerLetter"/>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7E1A3E"/>
    <w:multiLevelType w:val="multilevel"/>
    <w:tmpl w:val="FA46DA6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C386E70"/>
    <w:multiLevelType w:val="hybridMultilevel"/>
    <w:tmpl w:val="1C0E9296"/>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58DD"/>
    <w:multiLevelType w:val="multilevel"/>
    <w:tmpl w:val="C7B4C7CE"/>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7BB06317"/>
    <w:multiLevelType w:val="multilevel"/>
    <w:tmpl w:val="4F6E98D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 w15:restartNumberingAfterBreak="0">
    <w:nsid w:val="7E5E2CFC"/>
    <w:multiLevelType w:val="hybridMultilevel"/>
    <w:tmpl w:val="D74E870A"/>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15"/>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7"/>
  </w:num>
  <w:num w:numId="10">
    <w:abstractNumId w:val="16"/>
  </w:num>
  <w:num w:numId="11">
    <w:abstractNumId w:val="18"/>
  </w:num>
  <w:num w:numId="12">
    <w:abstractNumId w:val="9"/>
  </w:num>
  <w:num w:numId="13">
    <w:abstractNumId w:val="5"/>
  </w:num>
  <w:num w:numId="14">
    <w:abstractNumId w:val="13"/>
  </w:num>
  <w:num w:numId="15">
    <w:abstractNumId w:val="1"/>
  </w:num>
  <w:num w:numId="16">
    <w:abstractNumId w:val="12"/>
  </w:num>
  <w:num w:numId="17">
    <w:abstractNumId w:val="14"/>
  </w:num>
  <w:num w:numId="18">
    <w:abstractNumId w:val="19"/>
  </w:num>
  <w:num w:numId="19">
    <w:abstractNumId w:val="7"/>
  </w:num>
  <w:num w:numId="20">
    <w:abstractNumId w:val="11"/>
  </w:num>
  <w:num w:numId="21">
    <w:abstractNumId w:val="2"/>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oNotTrackFormatting/>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4"/>
    <w:rsid w:val="00000614"/>
    <w:rsid w:val="000008A5"/>
    <w:rsid w:val="0000251C"/>
    <w:rsid w:val="000030A9"/>
    <w:rsid w:val="0000328D"/>
    <w:rsid w:val="00004CAE"/>
    <w:rsid w:val="00006644"/>
    <w:rsid w:val="00006B8C"/>
    <w:rsid w:val="00010BBD"/>
    <w:rsid w:val="00012D3B"/>
    <w:rsid w:val="00014E96"/>
    <w:rsid w:val="00015C9A"/>
    <w:rsid w:val="00017462"/>
    <w:rsid w:val="00017A4F"/>
    <w:rsid w:val="00022331"/>
    <w:rsid w:val="00022EC8"/>
    <w:rsid w:val="00024B3F"/>
    <w:rsid w:val="00024EE7"/>
    <w:rsid w:val="00025538"/>
    <w:rsid w:val="00025E6A"/>
    <w:rsid w:val="0002602A"/>
    <w:rsid w:val="00027107"/>
    <w:rsid w:val="000303EA"/>
    <w:rsid w:val="00030551"/>
    <w:rsid w:val="00030971"/>
    <w:rsid w:val="00033B75"/>
    <w:rsid w:val="000346BF"/>
    <w:rsid w:val="00034DF1"/>
    <w:rsid w:val="00035FBC"/>
    <w:rsid w:val="00036201"/>
    <w:rsid w:val="000372BC"/>
    <w:rsid w:val="00037858"/>
    <w:rsid w:val="00037FA8"/>
    <w:rsid w:val="00042375"/>
    <w:rsid w:val="00042F66"/>
    <w:rsid w:val="00043BC4"/>
    <w:rsid w:val="000448E6"/>
    <w:rsid w:val="00044E46"/>
    <w:rsid w:val="00045252"/>
    <w:rsid w:val="0004573D"/>
    <w:rsid w:val="0004591C"/>
    <w:rsid w:val="00045C53"/>
    <w:rsid w:val="000465B0"/>
    <w:rsid w:val="00047612"/>
    <w:rsid w:val="000477AE"/>
    <w:rsid w:val="00047A85"/>
    <w:rsid w:val="00047DAF"/>
    <w:rsid w:val="0005080F"/>
    <w:rsid w:val="00051D1E"/>
    <w:rsid w:val="0005295D"/>
    <w:rsid w:val="00052AE8"/>
    <w:rsid w:val="000537FA"/>
    <w:rsid w:val="000550EE"/>
    <w:rsid w:val="00055729"/>
    <w:rsid w:val="00060A7E"/>
    <w:rsid w:val="000655BF"/>
    <w:rsid w:val="00065660"/>
    <w:rsid w:val="00071DB0"/>
    <w:rsid w:val="000720BC"/>
    <w:rsid w:val="000727D0"/>
    <w:rsid w:val="000729D3"/>
    <w:rsid w:val="000737FB"/>
    <w:rsid w:val="0007390F"/>
    <w:rsid w:val="00073CB9"/>
    <w:rsid w:val="00074C38"/>
    <w:rsid w:val="00074DF9"/>
    <w:rsid w:val="00077419"/>
    <w:rsid w:val="00080DB3"/>
    <w:rsid w:val="00081FB9"/>
    <w:rsid w:val="00082381"/>
    <w:rsid w:val="00082C15"/>
    <w:rsid w:val="00082E8A"/>
    <w:rsid w:val="000840B9"/>
    <w:rsid w:val="0008464E"/>
    <w:rsid w:val="000850B3"/>
    <w:rsid w:val="00086F52"/>
    <w:rsid w:val="00087319"/>
    <w:rsid w:val="00087A6D"/>
    <w:rsid w:val="0009142F"/>
    <w:rsid w:val="00093D2C"/>
    <w:rsid w:val="000953E3"/>
    <w:rsid w:val="00095571"/>
    <w:rsid w:val="0009614D"/>
    <w:rsid w:val="00096986"/>
    <w:rsid w:val="000A2533"/>
    <w:rsid w:val="000A255F"/>
    <w:rsid w:val="000A3853"/>
    <w:rsid w:val="000A5839"/>
    <w:rsid w:val="000A61C0"/>
    <w:rsid w:val="000A682B"/>
    <w:rsid w:val="000A7D30"/>
    <w:rsid w:val="000B07C2"/>
    <w:rsid w:val="000B0925"/>
    <w:rsid w:val="000B315A"/>
    <w:rsid w:val="000B3FA3"/>
    <w:rsid w:val="000B5C37"/>
    <w:rsid w:val="000B628D"/>
    <w:rsid w:val="000B7824"/>
    <w:rsid w:val="000C06BC"/>
    <w:rsid w:val="000C1344"/>
    <w:rsid w:val="000C1B66"/>
    <w:rsid w:val="000C1FD6"/>
    <w:rsid w:val="000C2048"/>
    <w:rsid w:val="000C214F"/>
    <w:rsid w:val="000C3031"/>
    <w:rsid w:val="000C42AA"/>
    <w:rsid w:val="000C47CD"/>
    <w:rsid w:val="000C7397"/>
    <w:rsid w:val="000D1116"/>
    <w:rsid w:val="000D47F3"/>
    <w:rsid w:val="000D4F03"/>
    <w:rsid w:val="000D7607"/>
    <w:rsid w:val="000D7C64"/>
    <w:rsid w:val="000E0BD1"/>
    <w:rsid w:val="000E17F8"/>
    <w:rsid w:val="000E2432"/>
    <w:rsid w:val="000E25D2"/>
    <w:rsid w:val="000E34FB"/>
    <w:rsid w:val="000E4B1C"/>
    <w:rsid w:val="000E54E0"/>
    <w:rsid w:val="000E5710"/>
    <w:rsid w:val="000E57BD"/>
    <w:rsid w:val="000E602A"/>
    <w:rsid w:val="000E6117"/>
    <w:rsid w:val="000E673A"/>
    <w:rsid w:val="000E6990"/>
    <w:rsid w:val="000E7181"/>
    <w:rsid w:val="000E724D"/>
    <w:rsid w:val="000E7DD0"/>
    <w:rsid w:val="000F0169"/>
    <w:rsid w:val="000F1783"/>
    <w:rsid w:val="000F2AA9"/>
    <w:rsid w:val="000F3FC0"/>
    <w:rsid w:val="000F4100"/>
    <w:rsid w:val="000F5E99"/>
    <w:rsid w:val="000F60A4"/>
    <w:rsid w:val="000F74F5"/>
    <w:rsid w:val="000F7B7B"/>
    <w:rsid w:val="00101AD5"/>
    <w:rsid w:val="00102A2B"/>
    <w:rsid w:val="0010499A"/>
    <w:rsid w:val="00105372"/>
    <w:rsid w:val="0010575A"/>
    <w:rsid w:val="00106449"/>
    <w:rsid w:val="00106568"/>
    <w:rsid w:val="00107C06"/>
    <w:rsid w:val="00110CFD"/>
    <w:rsid w:val="00111F23"/>
    <w:rsid w:val="00112BDD"/>
    <w:rsid w:val="00113587"/>
    <w:rsid w:val="001152D1"/>
    <w:rsid w:val="00115E88"/>
    <w:rsid w:val="00116252"/>
    <w:rsid w:val="00116C49"/>
    <w:rsid w:val="00116D09"/>
    <w:rsid w:val="00117469"/>
    <w:rsid w:val="0012028D"/>
    <w:rsid w:val="001206D2"/>
    <w:rsid w:val="00121D61"/>
    <w:rsid w:val="00122A28"/>
    <w:rsid w:val="00123CB4"/>
    <w:rsid w:val="00124400"/>
    <w:rsid w:val="0012440C"/>
    <w:rsid w:val="00124508"/>
    <w:rsid w:val="00124914"/>
    <w:rsid w:val="001250F9"/>
    <w:rsid w:val="001253B1"/>
    <w:rsid w:val="00126218"/>
    <w:rsid w:val="00126F3F"/>
    <w:rsid w:val="0012770D"/>
    <w:rsid w:val="0013044D"/>
    <w:rsid w:val="00130870"/>
    <w:rsid w:val="00131A08"/>
    <w:rsid w:val="00131E7A"/>
    <w:rsid w:val="0013580E"/>
    <w:rsid w:val="0013590A"/>
    <w:rsid w:val="00135D30"/>
    <w:rsid w:val="0013639E"/>
    <w:rsid w:val="00137F32"/>
    <w:rsid w:val="00141189"/>
    <w:rsid w:val="0014619D"/>
    <w:rsid w:val="00146B37"/>
    <w:rsid w:val="001472FD"/>
    <w:rsid w:val="00151BA7"/>
    <w:rsid w:val="0015211F"/>
    <w:rsid w:val="00152B33"/>
    <w:rsid w:val="00152B91"/>
    <w:rsid w:val="00152CB3"/>
    <w:rsid w:val="00153553"/>
    <w:rsid w:val="001535B7"/>
    <w:rsid w:val="001543A4"/>
    <w:rsid w:val="00154722"/>
    <w:rsid w:val="0015485B"/>
    <w:rsid w:val="00154EC3"/>
    <w:rsid w:val="00157998"/>
    <w:rsid w:val="00160B57"/>
    <w:rsid w:val="00161599"/>
    <w:rsid w:val="001627A7"/>
    <w:rsid w:val="00163DFD"/>
    <w:rsid w:val="00163EE0"/>
    <w:rsid w:val="00164830"/>
    <w:rsid w:val="001653CC"/>
    <w:rsid w:val="0016601D"/>
    <w:rsid w:val="00170457"/>
    <w:rsid w:val="00170B25"/>
    <w:rsid w:val="00171387"/>
    <w:rsid w:val="0017226B"/>
    <w:rsid w:val="00172AF6"/>
    <w:rsid w:val="00173992"/>
    <w:rsid w:val="001743C2"/>
    <w:rsid w:val="00174803"/>
    <w:rsid w:val="001750F2"/>
    <w:rsid w:val="0017597E"/>
    <w:rsid w:val="00175DAA"/>
    <w:rsid w:val="00175F03"/>
    <w:rsid w:val="00176648"/>
    <w:rsid w:val="00176CAF"/>
    <w:rsid w:val="00176CEE"/>
    <w:rsid w:val="00177B65"/>
    <w:rsid w:val="00177DD3"/>
    <w:rsid w:val="0018043A"/>
    <w:rsid w:val="001804CB"/>
    <w:rsid w:val="00180E84"/>
    <w:rsid w:val="00181B29"/>
    <w:rsid w:val="0018203D"/>
    <w:rsid w:val="0018299F"/>
    <w:rsid w:val="001832C6"/>
    <w:rsid w:val="001833B7"/>
    <w:rsid w:val="0018601C"/>
    <w:rsid w:val="0018734D"/>
    <w:rsid w:val="00187943"/>
    <w:rsid w:val="001879DA"/>
    <w:rsid w:val="00187D47"/>
    <w:rsid w:val="00191E9D"/>
    <w:rsid w:val="0019259C"/>
    <w:rsid w:val="001925F8"/>
    <w:rsid w:val="00192B24"/>
    <w:rsid w:val="00192C94"/>
    <w:rsid w:val="00194501"/>
    <w:rsid w:val="00195613"/>
    <w:rsid w:val="00197E9E"/>
    <w:rsid w:val="001A054F"/>
    <w:rsid w:val="001A0D0B"/>
    <w:rsid w:val="001A0F1A"/>
    <w:rsid w:val="001A2C15"/>
    <w:rsid w:val="001A62B4"/>
    <w:rsid w:val="001A6E16"/>
    <w:rsid w:val="001A703B"/>
    <w:rsid w:val="001A7813"/>
    <w:rsid w:val="001B0428"/>
    <w:rsid w:val="001B1048"/>
    <w:rsid w:val="001B137B"/>
    <w:rsid w:val="001B1914"/>
    <w:rsid w:val="001B37B2"/>
    <w:rsid w:val="001B532D"/>
    <w:rsid w:val="001B6F90"/>
    <w:rsid w:val="001B713B"/>
    <w:rsid w:val="001C10C7"/>
    <w:rsid w:val="001C1DFB"/>
    <w:rsid w:val="001C28B4"/>
    <w:rsid w:val="001C3123"/>
    <w:rsid w:val="001C6CDE"/>
    <w:rsid w:val="001C743A"/>
    <w:rsid w:val="001D0469"/>
    <w:rsid w:val="001D0503"/>
    <w:rsid w:val="001D0527"/>
    <w:rsid w:val="001D0AD2"/>
    <w:rsid w:val="001D30C9"/>
    <w:rsid w:val="001D39FA"/>
    <w:rsid w:val="001D42EA"/>
    <w:rsid w:val="001D44EF"/>
    <w:rsid w:val="001D4A0F"/>
    <w:rsid w:val="001D580A"/>
    <w:rsid w:val="001D5A6D"/>
    <w:rsid w:val="001D65AC"/>
    <w:rsid w:val="001D688F"/>
    <w:rsid w:val="001D7571"/>
    <w:rsid w:val="001E0375"/>
    <w:rsid w:val="001E06DE"/>
    <w:rsid w:val="001E1A40"/>
    <w:rsid w:val="001E2126"/>
    <w:rsid w:val="001E28D0"/>
    <w:rsid w:val="001E2D30"/>
    <w:rsid w:val="001E366E"/>
    <w:rsid w:val="001E4C1B"/>
    <w:rsid w:val="001E5691"/>
    <w:rsid w:val="001E70C9"/>
    <w:rsid w:val="001E749F"/>
    <w:rsid w:val="001F059F"/>
    <w:rsid w:val="001F09B0"/>
    <w:rsid w:val="001F14EE"/>
    <w:rsid w:val="001F2187"/>
    <w:rsid w:val="001F4447"/>
    <w:rsid w:val="001F4A0D"/>
    <w:rsid w:val="001F5BC5"/>
    <w:rsid w:val="00201E1B"/>
    <w:rsid w:val="002036D2"/>
    <w:rsid w:val="00203856"/>
    <w:rsid w:val="00204113"/>
    <w:rsid w:val="00204E0A"/>
    <w:rsid w:val="0020669E"/>
    <w:rsid w:val="00206700"/>
    <w:rsid w:val="0021080F"/>
    <w:rsid w:val="0021156B"/>
    <w:rsid w:val="002147CE"/>
    <w:rsid w:val="00214DBD"/>
    <w:rsid w:val="00214EC0"/>
    <w:rsid w:val="0021636A"/>
    <w:rsid w:val="00216A73"/>
    <w:rsid w:val="00217C9C"/>
    <w:rsid w:val="00220057"/>
    <w:rsid w:val="00220973"/>
    <w:rsid w:val="0022097A"/>
    <w:rsid w:val="00220CE9"/>
    <w:rsid w:val="00221CEF"/>
    <w:rsid w:val="00221D51"/>
    <w:rsid w:val="0022328D"/>
    <w:rsid w:val="00225437"/>
    <w:rsid w:val="002256C4"/>
    <w:rsid w:val="00225843"/>
    <w:rsid w:val="00225E3C"/>
    <w:rsid w:val="0023093B"/>
    <w:rsid w:val="00231112"/>
    <w:rsid w:val="0023535D"/>
    <w:rsid w:val="0023620F"/>
    <w:rsid w:val="002368E2"/>
    <w:rsid w:val="00236BB9"/>
    <w:rsid w:val="002370A2"/>
    <w:rsid w:val="00237CF7"/>
    <w:rsid w:val="00240F54"/>
    <w:rsid w:val="00241283"/>
    <w:rsid w:val="002417AB"/>
    <w:rsid w:val="002427E9"/>
    <w:rsid w:val="00243660"/>
    <w:rsid w:val="00246B2F"/>
    <w:rsid w:val="00247CB4"/>
    <w:rsid w:val="002515B0"/>
    <w:rsid w:val="002529B5"/>
    <w:rsid w:val="002538B0"/>
    <w:rsid w:val="00253CF4"/>
    <w:rsid w:val="00254838"/>
    <w:rsid w:val="0025534E"/>
    <w:rsid w:val="0025556A"/>
    <w:rsid w:val="002556B6"/>
    <w:rsid w:val="00256A23"/>
    <w:rsid w:val="00260E9B"/>
    <w:rsid w:val="002613F2"/>
    <w:rsid w:val="00261C1C"/>
    <w:rsid w:val="00261F79"/>
    <w:rsid w:val="0026216D"/>
    <w:rsid w:val="00262407"/>
    <w:rsid w:val="002628BF"/>
    <w:rsid w:val="00262A2B"/>
    <w:rsid w:val="00262DCC"/>
    <w:rsid w:val="00263BD7"/>
    <w:rsid w:val="00265D3F"/>
    <w:rsid w:val="00267FFC"/>
    <w:rsid w:val="0027104D"/>
    <w:rsid w:val="002716BF"/>
    <w:rsid w:val="00274699"/>
    <w:rsid w:val="00274BCB"/>
    <w:rsid w:val="00275153"/>
    <w:rsid w:val="00275777"/>
    <w:rsid w:val="0027621C"/>
    <w:rsid w:val="00277FBB"/>
    <w:rsid w:val="00280754"/>
    <w:rsid w:val="00281395"/>
    <w:rsid w:val="002820BC"/>
    <w:rsid w:val="00282276"/>
    <w:rsid w:val="002826DA"/>
    <w:rsid w:val="00282B38"/>
    <w:rsid w:val="0028336A"/>
    <w:rsid w:val="00283ED1"/>
    <w:rsid w:val="00284D12"/>
    <w:rsid w:val="00287AD8"/>
    <w:rsid w:val="00290236"/>
    <w:rsid w:val="00291D31"/>
    <w:rsid w:val="00291E70"/>
    <w:rsid w:val="00292B48"/>
    <w:rsid w:val="00292DAF"/>
    <w:rsid w:val="00292EBF"/>
    <w:rsid w:val="00292F54"/>
    <w:rsid w:val="002939E5"/>
    <w:rsid w:val="0029421A"/>
    <w:rsid w:val="00294CCA"/>
    <w:rsid w:val="002A2484"/>
    <w:rsid w:val="002A39DB"/>
    <w:rsid w:val="002A472D"/>
    <w:rsid w:val="002A6402"/>
    <w:rsid w:val="002A724F"/>
    <w:rsid w:val="002B020E"/>
    <w:rsid w:val="002B181F"/>
    <w:rsid w:val="002B3785"/>
    <w:rsid w:val="002B3D48"/>
    <w:rsid w:val="002B4516"/>
    <w:rsid w:val="002B478B"/>
    <w:rsid w:val="002B4CF3"/>
    <w:rsid w:val="002B544B"/>
    <w:rsid w:val="002B5832"/>
    <w:rsid w:val="002B5A1C"/>
    <w:rsid w:val="002B5D06"/>
    <w:rsid w:val="002B5F16"/>
    <w:rsid w:val="002B5F71"/>
    <w:rsid w:val="002B7CB6"/>
    <w:rsid w:val="002C07DC"/>
    <w:rsid w:val="002C1659"/>
    <w:rsid w:val="002C2ADE"/>
    <w:rsid w:val="002C427F"/>
    <w:rsid w:val="002C5F9D"/>
    <w:rsid w:val="002C6CC9"/>
    <w:rsid w:val="002C6FF3"/>
    <w:rsid w:val="002C7B1E"/>
    <w:rsid w:val="002D083F"/>
    <w:rsid w:val="002D2823"/>
    <w:rsid w:val="002D5469"/>
    <w:rsid w:val="002D55BF"/>
    <w:rsid w:val="002D585C"/>
    <w:rsid w:val="002D6E78"/>
    <w:rsid w:val="002D7EE6"/>
    <w:rsid w:val="002E0620"/>
    <w:rsid w:val="002E1746"/>
    <w:rsid w:val="002E29A2"/>
    <w:rsid w:val="002E2F6D"/>
    <w:rsid w:val="002E2FC1"/>
    <w:rsid w:val="002E426D"/>
    <w:rsid w:val="002E667B"/>
    <w:rsid w:val="002E7FA4"/>
    <w:rsid w:val="002F0F40"/>
    <w:rsid w:val="002F4156"/>
    <w:rsid w:val="002F5D52"/>
    <w:rsid w:val="00300995"/>
    <w:rsid w:val="003037AE"/>
    <w:rsid w:val="00305540"/>
    <w:rsid w:val="003074AC"/>
    <w:rsid w:val="003108D9"/>
    <w:rsid w:val="00310E5A"/>
    <w:rsid w:val="00310F67"/>
    <w:rsid w:val="0031183D"/>
    <w:rsid w:val="00312047"/>
    <w:rsid w:val="0031235D"/>
    <w:rsid w:val="00313510"/>
    <w:rsid w:val="003136FA"/>
    <w:rsid w:val="003143B1"/>
    <w:rsid w:val="00314544"/>
    <w:rsid w:val="00314C4F"/>
    <w:rsid w:val="00316882"/>
    <w:rsid w:val="00317095"/>
    <w:rsid w:val="003200E6"/>
    <w:rsid w:val="003201AE"/>
    <w:rsid w:val="00320BE6"/>
    <w:rsid w:val="00322B9D"/>
    <w:rsid w:val="00322C75"/>
    <w:rsid w:val="00323113"/>
    <w:rsid w:val="0032332A"/>
    <w:rsid w:val="00323394"/>
    <w:rsid w:val="003235D7"/>
    <w:rsid w:val="00324A4C"/>
    <w:rsid w:val="00326169"/>
    <w:rsid w:val="00326F5E"/>
    <w:rsid w:val="0033067B"/>
    <w:rsid w:val="0033069E"/>
    <w:rsid w:val="00330807"/>
    <w:rsid w:val="00331708"/>
    <w:rsid w:val="00331C35"/>
    <w:rsid w:val="00332379"/>
    <w:rsid w:val="003325A5"/>
    <w:rsid w:val="00333219"/>
    <w:rsid w:val="00333C8B"/>
    <w:rsid w:val="0033519A"/>
    <w:rsid w:val="00337676"/>
    <w:rsid w:val="00337BD3"/>
    <w:rsid w:val="00337ED7"/>
    <w:rsid w:val="003419CC"/>
    <w:rsid w:val="00342652"/>
    <w:rsid w:val="00342BEF"/>
    <w:rsid w:val="00342E1F"/>
    <w:rsid w:val="00342EF5"/>
    <w:rsid w:val="00343DC8"/>
    <w:rsid w:val="00344617"/>
    <w:rsid w:val="003461C9"/>
    <w:rsid w:val="00346A82"/>
    <w:rsid w:val="0034720F"/>
    <w:rsid w:val="00351C1C"/>
    <w:rsid w:val="00351E89"/>
    <w:rsid w:val="003540FE"/>
    <w:rsid w:val="003543C1"/>
    <w:rsid w:val="00362557"/>
    <w:rsid w:val="003628D0"/>
    <w:rsid w:val="00362F83"/>
    <w:rsid w:val="00363077"/>
    <w:rsid w:val="00364AA4"/>
    <w:rsid w:val="00365263"/>
    <w:rsid w:val="003661CF"/>
    <w:rsid w:val="003725F4"/>
    <w:rsid w:val="00372E7B"/>
    <w:rsid w:val="00372F74"/>
    <w:rsid w:val="00374CDF"/>
    <w:rsid w:val="0037583B"/>
    <w:rsid w:val="00375CBD"/>
    <w:rsid w:val="003803C8"/>
    <w:rsid w:val="003803D4"/>
    <w:rsid w:val="003808C8"/>
    <w:rsid w:val="0038095D"/>
    <w:rsid w:val="0038651B"/>
    <w:rsid w:val="00386B89"/>
    <w:rsid w:val="00387060"/>
    <w:rsid w:val="00387091"/>
    <w:rsid w:val="003902BB"/>
    <w:rsid w:val="0039090B"/>
    <w:rsid w:val="003912C9"/>
    <w:rsid w:val="00392DF0"/>
    <w:rsid w:val="00393D19"/>
    <w:rsid w:val="00394C99"/>
    <w:rsid w:val="0039576A"/>
    <w:rsid w:val="00395AC6"/>
    <w:rsid w:val="003972D2"/>
    <w:rsid w:val="003A0027"/>
    <w:rsid w:val="003A118F"/>
    <w:rsid w:val="003A1473"/>
    <w:rsid w:val="003A16DA"/>
    <w:rsid w:val="003A1EE7"/>
    <w:rsid w:val="003A473C"/>
    <w:rsid w:val="003A4C2A"/>
    <w:rsid w:val="003A4CD3"/>
    <w:rsid w:val="003A5735"/>
    <w:rsid w:val="003A5B03"/>
    <w:rsid w:val="003A6591"/>
    <w:rsid w:val="003A7281"/>
    <w:rsid w:val="003A76ED"/>
    <w:rsid w:val="003A7E34"/>
    <w:rsid w:val="003B0E0C"/>
    <w:rsid w:val="003B0E3E"/>
    <w:rsid w:val="003B1397"/>
    <w:rsid w:val="003B1A6D"/>
    <w:rsid w:val="003B2C2A"/>
    <w:rsid w:val="003B3465"/>
    <w:rsid w:val="003B4422"/>
    <w:rsid w:val="003B5CE2"/>
    <w:rsid w:val="003B6473"/>
    <w:rsid w:val="003B7375"/>
    <w:rsid w:val="003C07E7"/>
    <w:rsid w:val="003C18EE"/>
    <w:rsid w:val="003C1AB3"/>
    <w:rsid w:val="003C2264"/>
    <w:rsid w:val="003C2F74"/>
    <w:rsid w:val="003C36F6"/>
    <w:rsid w:val="003C3A7F"/>
    <w:rsid w:val="003C4392"/>
    <w:rsid w:val="003C4602"/>
    <w:rsid w:val="003C4684"/>
    <w:rsid w:val="003C485C"/>
    <w:rsid w:val="003C4D5F"/>
    <w:rsid w:val="003C5E53"/>
    <w:rsid w:val="003C6509"/>
    <w:rsid w:val="003C7211"/>
    <w:rsid w:val="003C7889"/>
    <w:rsid w:val="003D0A88"/>
    <w:rsid w:val="003D16CA"/>
    <w:rsid w:val="003D202B"/>
    <w:rsid w:val="003D224A"/>
    <w:rsid w:val="003D24A0"/>
    <w:rsid w:val="003D3925"/>
    <w:rsid w:val="003D5863"/>
    <w:rsid w:val="003D58D1"/>
    <w:rsid w:val="003E02FB"/>
    <w:rsid w:val="003E079A"/>
    <w:rsid w:val="003E08F9"/>
    <w:rsid w:val="003E1AA4"/>
    <w:rsid w:val="003E1B23"/>
    <w:rsid w:val="003E2547"/>
    <w:rsid w:val="003E2A3E"/>
    <w:rsid w:val="003E2E92"/>
    <w:rsid w:val="003E345E"/>
    <w:rsid w:val="003E3A68"/>
    <w:rsid w:val="003E4285"/>
    <w:rsid w:val="003E460C"/>
    <w:rsid w:val="003E4896"/>
    <w:rsid w:val="003E566E"/>
    <w:rsid w:val="003E6A56"/>
    <w:rsid w:val="003F222F"/>
    <w:rsid w:val="003F24E7"/>
    <w:rsid w:val="003F3100"/>
    <w:rsid w:val="003F3F0B"/>
    <w:rsid w:val="003F52CA"/>
    <w:rsid w:val="003F637F"/>
    <w:rsid w:val="003F70CE"/>
    <w:rsid w:val="003F7224"/>
    <w:rsid w:val="003F736E"/>
    <w:rsid w:val="003F73DD"/>
    <w:rsid w:val="003F7C65"/>
    <w:rsid w:val="004003AA"/>
    <w:rsid w:val="00401108"/>
    <w:rsid w:val="00401D8E"/>
    <w:rsid w:val="004023E7"/>
    <w:rsid w:val="00402628"/>
    <w:rsid w:val="00404666"/>
    <w:rsid w:val="004050B2"/>
    <w:rsid w:val="00405146"/>
    <w:rsid w:val="0040646F"/>
    <w:rsid w:val="00406908"/>
    <w:rsid w:val="0041084B"/>
    <w:rsid w:val="0041110F"/>
    <w:rsid w:val="00411391"/>
    <w:rsid w:val="00411B0D"/>
    <w:rsid w:val="004132BF"/>
    <w:rsid w:val="00413451"/>
    <w:rsid w:val="00413B98"/>
    <w:rsid w:val="0041482E"/>
    <w:rsid w:val="00415D4F"/>
    <w:rsid w:val="00416B10"/>
    <w:rsid w:val="004209A9"/>
    <w:rsid w:val="00421264"/>
    <w:rsid w:val="004215AE"/>
    <w:rsid w:val="00422055"/>
    <w:rsid w:val="00422108"/>
    <w:rsid w:val="00423030"/>
    <w:rsid w:val="0042412C"/>
    <w:rsid w:val="00424518"/>
    <w:rsid w:val="004247FA"/>
    <w:rsid w:val="00424CEF"/>
    <w:rsid w:val="004250D0"/>
    <w:rsid w:val="00425B5B"/>
    <w:rsid w:val="0042663B"/>
    <w:rsid w:val="004269AF"/>
    <w:rsid w:val="00427685"/>
    <w:rsid w:val="00427776"/>
    <w:rsid w:val="00427D21"/>
    <w:rsid w:val="00432359"/>
    <w:rsid w:val="00434E66"/>
    <w:rsid w:val="004370F6"/>
    <w:rsid w:val="00441736"/>
    <w:rsid w:val="00442504"/>
    <w:rsid w:val="00443963"/>
    <w:rsid w:val="0044408A"/>
    <w:rsid w:val="00444406"/>
    <w:rsid w:val="00444DB9"/>
    <w:rsid w:val="0044549A"/>
    <w:rsid w:val="004457BE"/>
    <w:rsid w:val="00446BAA"/>
    <w:rsid w:val="00446D50"/>
    <w:rsid w:val="00447354"/>
    <w:rsid w:val="00447FAE"/>
    <w:rsid w:val="00450DA6"/>
    <w:rsid w:val="00451222"/>
    <w:rsid w:val="00452634"/>
    <w:rsid w:val="00452A18"/>
    <w:rsid w:val="004535FE"/>
    <w:rsid w:val="004557E5"/>
    <w:rsid w:val="00455A2C"/>
    <w:rsid w:val="00455CD7"/>
    <w:rsid w:val="00455D1A"/>
    <w:rsid w:val="00456ACE"/>
    <w:rsid w:val="004570D1"/>
    <w:rsid w:val="00457714"/>
    <w:rsid w:val="00461005"/>
    <w:rsid w:val="00461300"/>
    <w:rsid w:val="00461A4B"/>
    <w:rsid w:val="004629D1"/>
    <w:rsid w:val="004644C2"/>
    <w:rsid w:val="00464A70"/>
    <w:rsid w:val="00465F93"/>
    <w:rsid w:val="00466583"/>
    <w:rsid w:val="004670ED"/>
    <w:rsid w:val="00467669"/>
    <w:rsid w:val="00467F9C"/>
    <w:rsid w:val="00475B9A"/>
    <w:rsid w:val="00476285"/>
    <w:rsid w:val="00477B9B"/>
    <w:rsid w:val="00477E59"/>
    <w:rsid w:val="004807BD"/>
    <w:rsid w:val="00480C3C"/>
    <w:rsid w:val="00482513"/>
    <w:rsid w:val="0048289D"/>
    <w:rsid w:val="004829EA"/>
    <w:rsid w:val="00482B58"/>
    <w:rsid w:val="00482F38"/>
    <w:rsid w:val="0048329D"/>
    <w:rsid w:val="00483636"/>
    <w:rsid w:val="004837A6"/>
    <w:rsid w:val="00484EBE"/>
    <w:rsid w:val="00485085"/>
    <w:rsid w:val="004908B6"/>
    <w:rsid w:val="00490A3E"/>
    <w:rsid w:val="00492086"/>
    <w:rsid w:val="004922F4"/>
    <w:rsid w:val="00492D22"/>
    <w:rsid w:val="00493417"/>
    <w:rsid w:val="00493F2D"/>
    <w:rsid w:val="004A0AF6"/>
    <w:rsid w:val="004A20E5"/>
    <w:rsid w:val="004A2B12"/>
    <w:rsid w:val="004A2CBD"/>
    <w:rsid w:val="004A35EC"/>
    <w:rsid w:val="004A3842"/>
    <w:rsid w:val="004A41D1"/>
    <w:rsid w:val="004A4B7C"/>
    <w:rsid w:val="004A4C61"/>
    <w:rsid w:val="004A62C1"/>
    <w:rsid w:val="004B1BAB"/>
    <w:rsid w:val="004B1CC1"/>
    <w:rsid w:val="004B2616"/>
    <w:rsid w:val="004B3201"/>
    <w:rsid w:val="004B3207"/>
    <w:rsid w:val="004B5879"/>
    <w:rsid w:val="004B7279"/>
    <w:rsid w:val="004B7D04"/>
    <w:rsid w:val="004C01AB"/>
    <w:rsid w:val="004C09D4"/>
    <w:rsid w:val="004C09F8"/>
    <w:rsid w:val="004C0A16"/>
    <w:rsid w:val="004C23B1"/>
    <w:rsid w:val="004C23F7"/>
    <w:rsid w:val="004C3016"/>
    <w:rsid w:val="004C33FA"/>
    <w:rsid w:val="004C4E9B"/>
    <w:rsid w:val="004C4F3F"/>
    <w:rsid w:val="004C5051"/>
    <w:rsid w:val="004C684F"/>
    <w:rsid w:val="004C6A26"/>
    <w:rsid w:val="004C70E9"/>
    <w:rsid w:val="004C7B97"/>
    <w:rsid w:val="004C7D36"/>
    <w:rsid w:val="004D0E77"/>
    <w:rsid w:val="004D4C06"/>
    <w:rsid w:val="004D5191"/>
    <w:rsid w:val="004D66DC"/>
    <w:rsid w:val="004D76EB"/>
    <w:rsid w:val="004E0B9B"/>
    <w:rsid w:val="004E0FD7"/>
    <w:rsid w:val="004E16E0"/>
    <w:rsid w:val="004E2A17"/>
    <w:rsid w:val="004E3D79"/>
    <w:rsid w:val="004E3DA7"/>
    <w:rsid w:val="004E5B15"/>
    <w:rsid w:val="004F132D"/>
    <w:rsid w:val="004F1C4B"/>
    <w:rsid w:val="004F20A0"/>
    <w:rsid w:val="004F24B0"/>
    <w:rsid w:val="004F2737"/>
    <w:rsid w:val="004F42B4"/>
    <w:rsid w:val="004F46EA"/>
    <w:rsid w:val="004F4F84"/>
    <w:rsid w:val="004F51A7"/>
    <w:rsid w:val="004F5332"/>
    <w:rsid w:val="004F5C2C"/>
    <w:rsid w:val="005005A0"/>
    <w:rsid w:val="00503DCC"/>
    <w:rsid w:val="00504CD2"/>
    <w:rsid w:val="00505245"/>
    <w:rsid w:val="00505C43"/>
    <w:rsid w:val="00505E8A"/>
    <w:rsid w:val="00506A3D"/>
    <w:rsid w:val="00506F7E"/>
    <w:rsid w:val="005105BA"/>
    <w:rsid w:val="005128F8"/>
    <w:rsid w:val="005136F1"/>
    <w:rsid w:val="00513B70"/>
    <w:rsid w:val="0051404F"/>
    <w:rsid w:val="00514957"/>
    <w:rsid w:val="00515210"/>
    <w:rsid w:val="00516638"/>
    <w:rsid w:val="00516DED"/>
    <w:rsid w:val="00517686"/>
    <w:rsid w:val="005219C0"/>
    <w:rsid w:val="00521FC9"/>
    <w:rsid w:val="005232ED"/>
    <w:rsid w:val="005244B5"/>
    <w:rsid w:val="00524A99"/>
    <w:rsid w:val="005259CC"/>
    <w:rsid w:val="00526E41"/>
    <w:rsid w:val="00531CBA"/>
    <w:rsid w:val="00533A09"/>
    <w:rsid w:val="00533D52"/>
    <w:rsid w:val="00533E80"/>
    <w:rsid w:val="0053449A"/>
    <w:rsid w:val="00534681"/>
    <w:rsid w:val="005375AC"/>
    <w:rsid w:val="00541522"/>
    <w:rsid w:val="005423EE"/>
    <w:rsid w:val="00542EA1"/>
    <w:rsid w:val="00544AED"/>
    <w:rsid w:val="00545770"/>
    <w:rsid w:val="0054636C"/>
    <w:rsid w:val="00547641"/>
    <w:rsid w:val="00547A6C"/>
    <w:rsid w:val="00547D15"/>
    <w:rsid w:val="005509D1"/>
    <w:rsid w:val="00550F42"/>
    <w:rsid w:val="0055271A"/>
    <w:rsid w:val="00552987"/>
    <w:rsid w:val="00552AFE"/>
    <w:rsid w:val="005532C5"/>
    <w:rsid w:val="0055476D"/>
    <w:rsid w:val="005552CC"/>
    <w:rsid w:val="00555B5D"/>
    <w:rsid w:val="00555D6C"/>
    <w:rsid w:val="0055711A"/>
    <w:rsid w:val="0055751F"/>
    <w:rsid w:val="00557AF3"/>
    <w:rsid w:val="005603EF"/>
    <w:rsid w:val="00560699"/>
    <w:rsid w:val="00560C79"/>
    <w:rsid w:val="00560F27"/>
    <w:rsid w:val="00563841"/>
    <w:rsid w:val="00563AE3"/>
    <w:rsid w:val="0056443A"/>
    <w:rsid w:val="00564D97"/>
    <w:rsid w:val="00565773"/>
    <w:rsid w:val="005659D8"/>
    <w:rsid w:val="00566A60"/>
    <w:rsid w:val="00567FF7"/>
    <w:rsid w:val="00570DB4"/>
    <w:rsid w:val="0057252E"/>
    <w:rsid w:val="00573A73"/>
    <w:rsid w:val="00574489"/>
    <w:rsid w:val="00574DED"/>
    <w:rsid w:val="00574FEC"/>
    <w:rsid w:val="005762CD"/>
    <w:rsid w:val="005770FC"/>
    <w:rsid w:val="00581D56"/>
    <w:rsid w:val="0058279E"/>
    <w:rsid w:val="00583BB9"/>
    <w:rsid w:val="00586755"/>
    <w:rsid w:val="00591066"/>
    <w:rsid w:val="00592102"/>
    <w:rsid w:val="00592A12"/>
    <w:rsid w:val="0059336B"/>
    <w:rsid w:val="00594FA9"/>
    <w:rsid w:val="005955B5"/>
    <w:rsid w:val="00597162"/>
    <w:rsid w:val="005972CA"/>
    <w:rsid w:val="005A0470"/>
    <w:rsid w:val="005A1576"/>
    <w:rsid w:val="005A15B6"/>
    <w:rsid w:val="005A28EA"/>
    <w:rsid w:val="005A48AE"/>
    <w:rsid w:val="005A53A6"/>
    <w:rsid w:val="005A5CA9"/>
    <w:rsid w:val="005A5F84"/>
    <w:rsid w:val="005A6366"/>
    <w:rsid w:val="005A67A6"/>
    <w:rsid w:val="005A73FC"/>
    <w:rsid w:val="005B0DC5"/>
    <w:rsid w:val="005B134B"/>
    <w:rsid w:val="005B18D9"/>
    <w:rsid w:val="005B2E3D"/>
    <w:rsid w:val="005B3004"/>
    <w:rsid w:val="005B40E6"/>
    <w:rsid w:val="005B5354"/>
    <w:rsid w:val="005B5F6B"/>
    <w:rsid w:val="005B7065"/>
    <w:rsid w:val="005B7E27"/>
    <w:rsid w:val="005C3368"/>
    <w:rsid w:val="005C43FE"/>
    <w:rsid w:val="005C4FA9"/>
    <w:rsid w:val="005C5ECC"/>
    <w:rsid w:val="005C5F15"/>
    <w:rsid w:val="005C6D38"/>
    <w:rsid w:val="005C7248"/>
    <w:rsid w:val="005C7466"/>
    <w:rsid w:val="005D0A38"/>
    <w:rsid w:val="005D1582"/>
    <w:rsid w:val="005D192C"/>
    <w:rsid w:val="005D3137"/>
    <w:rsid w:val="005D3697"/>
    <w:rsid w:val="005D3EC9"/>
    <w:rsid w:val="005D469F"/>
    <w:rsid w:val="005D58C0"/>
    <w:rsid w:val="005D6688"/>
    <w:rsid w:val="005D6963"/>
    <w:rsid w:val="005D6A62"/>
    <w:rsid w:val="005D6CFF"/>
    <w:rsid w:val="005D75A3"/>
    <w:rsid w:val="005D7715"/>
    <w:rsid w:val="005D7B26"/>
    <w:rsid w:val="005E01F4"/>
    <w:rsid w:val="005E0426"/>
    <w:rsid w:val="005E1A92"/>
    <w:rsid w:val="005E1E53"/>
    <w:rsid w:val="005E21AF"/>
    <w:rsid w:val="005E2595"/>
    <w:rsid w:val="005E25FF"/>
    <w:rsid w:val="005E4264"/>
    <w:rsid w:val="005E5AE8"/>
    <w:rsid w:val="005E7F9B"/>
    <w:rsid w:val="005F0064"/>
    <w:rsid w:val="005F08AF"/>
    <w:rsid w:val="005F1137"/>
    <w:rsid w:val="005F118E"/>
    <w:rsid w:val="005F1CC5"/>
    <w:rsid w:val="005F2279"/>
    <w:rsid w:val="005F2862"/>
    <w:rsid w:val="005F41C9"/>
    <w:rsid w:val="006006EC"/>
    <w:rsid w:val="00601584"/>
    <w:rsid w:val="0060185B"/>
    <w:rsid w:val="00602689"/>
    <w:rsid w:val="0060364C"/>
    <w:rsid w:val="00603C8E"/>
    <w:rsid w:val="00603F0E"/>
    <w:rsid w:val="00604D5C"/>
    <w:rsid w:val="0060663C"/>
    <w:rsid w:val="00607554"/>
    <w:rsid w:val="006078F8"/>
    <w:rsid w:val="0061002A"/>
    <w:rsid w:val="0061168E"/>
    <w:rsid w:val="006122BA"/>
    <w:rsid w:val="0061330D"/>
    <w:rsid w:val="00614E76"/>
    <w:rsid w:val="00614F6F"/>
    <w:rsid w:val="006178B0"/>
    <w:rsid w:val="00617A9F"/>
    <w:rsid w:val="00617D21"/>
    <w:rsid w:val="006209C5"/>
    <w:rsid w:val="00620A56"/>
    <w:rsid w:val="00621237"/>
    <w:rsid w:val="006233CB"/>
    <w:rsid w:val="0062367E"/>
    <w:rsid w:val="006268F8"/>
    <w:rsid w:val="006269F2"/>
    <w:rsid w:val="0062795D"/>
    <w:rsid w:val="00630160"/>
    <w:rsid w:val="00630EF4"/>
    <w:rsid w:val="00630F79"/>
    <w:rsid w:val="00631190"/>
    <w:rsid w:val="00631D51"/>
    <w:rsid w:val="00632838"/>
    <w:rsid w:val="00633F30"/>
    <w:rsid w:val="00637D11"/>
    <w:rsid w:val="00637DD2"/>
    <w:rsid w:val="00637E11"/>
    <w:rsid w:val="00637FC9"/>
    <w:rsid w:val="00641F2E"/>
    <w:rsid w:val="00643D97"/>
    <w:rsid w:val="00644BF5"/>
    <w:rsid w:val="00645E4B"/>
    <w:rsid w:val="006462E7"/>
    <w:rsid w:val="00646371"/>
    <w:rsid w:val="00651078"/>
    <w:rsid w:val="006515EF"/>
    <w:rsid w:val="00651B99"/>
    <w:rsid w:val="00651C9A"/>
    <w:rsid w:val="00652EAA"/>
    <w:rsid w:val="00652F17"/>
    <w:rsid w:val="0065362E"/>
    <w:rsid w:val="00653C7C"/>
    <w:rsid w:val="00653E60"/>
    <w:rsid w:val="006545D2"/>
    <w:rsid w:val="006557FB"/>
    <w:rsid w:val="006559D3"/>
    <w:rsid w:val="00655A83"/>
    <w:rsid w:val="00656C65"/>
    <w:rsid w:val="00660C80"/>
    <w:rsid w:val="0066244F"/>
    <w:rsid w:val="00663279"/>
    <w:rsid w:val="006636D6"/>
    <w:rsid w:val="00665D44"/>
    <w:rsid w:val="00665DB1"/>
    <w:rsid w:val="00665FF8"/>
    <w:rsid w:val="00666867"/>
    <w:rsid w:val="00667813"/>
    <w:rsid w:val="00667BAD"/>
    <w:rsid w:val="0067001D"/>
    <w:rsid w:val="0067039F"/>
    <w:rsid w:val="006760BC"/>
    <w:rsid w:val="00680F67"/>
    <w:rsid w:val="00681557"/>
    <w:rsid w:val="00682010"/>
    <w:rsid w:val="00682384"/>
    <w:rsid w:val="0068347F"/>
    <w:rsid w:val="006841C4"/>
    <w:rsid w:val="006855C6"/>
    <w:rsid w:val="00686827"/>
    <w:rsid w:val="006913FA"/>
    <w:rsid w:val="00691B02"/>
    <w:rsid w:val="00693474"/>
    <w:rsid w:val="006949B1"/>
    <w:rsid w:val="00697AF6"/>
    <w:rsid w:val="006A0340"/>
    <w:rsid w:val="006A0F17"/>
    <w:rsid w:val="006A0F7C"/>
    <w:rsid w:val="006A1CF5"/>
    <w:rsid w:val="006A2383"/>
    <w:rsid w:val="006A526F"/>
    <w:rsid w:val="006A5C74"/>
    <w:rsid w:val="006A5EE1"/>
    <w:rsid w:val="006A67F4"/>
    <w:rsid w:val="006B03B4"/>
    <w:rsid w:val="006B0866"/>
    <w:rsid w:val="006B0F49"/>
    <w:rsid w:val="006B1B56"/>
    <w:rsid w:val="006B2290"/>
    <w:rsid w:val="006B3B26"/>
    <w:rsid w:val="006B3D47"/>
    <w:rsid w:val="006B3FBC"/>
    <w:rsid w:val="006B4CC0"/>
    <w:rsid w:val="006B5BB2"/>
    <w:rsid w:val="006C0497"/>
    <w:rsid w:val="006C0E70"/>
    <w:rsid w:val="006C0F25"/>
    <w:rsid w:val="006C3BE5"/>
    <w:rsid w:val="006C3E01"/>
    <w:rsid w:val="006C53BB"/>
    <w:rsid w:val="006C5FF5"/>
    <w:rsid w:val="006D06CC"/>
    <w:rsid w:val="006D1717"/>
    <w:rsid w:val="006D433D"/>
    <w:rsid w:val="006D5C3C"/>
    <w:rsid w:val="006D6426"/>
    <w:rsid w:val="006E082F"/>
    <w:rsid w:val="006E1DAC"/>
    <w:rsid w:val="006E233B"/>
    <w:rsid w:val="006E2A79"/>
    <w:rsid w:val="006E47D9"/>
    <w:rsid w:val="006E5DCD"/>
    <w:rsid w:val="006E7002"/>
    <w:rsid w:val="006E7679"/>
    <w:rsid w:val="006E7B9B"/>
    <w:rsid w:val="006E7C98"/>
    <w:rsid w:val="006F0C55"/>
    <w:rsid w:val="006F1D9C"/>
    <w:rsid w:val="006F27F0"/>
    <w:rsid w:val="006F2A08"/>
    <w:rsid w:val="006F2DFA"/>
    <w:rsid w:val="006F3AE1"/>
    <w:rsid w:val="006F4DC4"/>
    <w:rsid w:val="006F6F80"/>
    <w:rsid w:val="00700646"/>
    <w:rsid w:val="0070142E"/>
    <w:rsid w:val="00702EAC"/>
    <w:rsid w:val="00702F4E"/>
    <w:rsid w:val="00707C23"/>
    <w:rsid w:val="00712250"/>
    <w:rsid w:val="007143CE"/>
    <w:rsid w:val="00714781"/>
    <w:rsid w:val="007162C9"/>
    <w:rsid w:val="00716632"/>
    <w:rsid w:val="00717D88"/>
    <w:rsid w:val="007220F5"/>
    <w:rsid w:val="00722590"/>
    <w:rsid w:val="0072464B"/>
    <w:rsid w:val="007248A3"/>
    <w:rsid w:val="007249F2"/>
    <w:rsid w:val="00724A3C"/>
    <w:rsid w:val="0072638E"/>
    <w:rsid w:val="0072671B"/>
    <w:rsid w:val="0072732C"/>
    <w:rsid w:val="00727C36"/>
    <w:rsid w:val="00730534"/>
    <w:rsid w:val="00730BA6"/>
    <w:rsid w:val="00731FE5"/>
    <w:rsid w:val="0073347B"/>
    <w:rsid w:val="007336F0"/>
    <w:rsid w:val="00734B96"/>
    <w:rsid w:val="00735320"/>
    <w:rsid w:val="00735E68"/>
    <w:rsid w:val="007375AF"/>
    <w:rsid w:val="00740A51"/>
    <w:rsid w:val="00740C24"/>
    <w:rsid w:val="007428E3"/>
    <w:rsid w:val="00742C0E"/>
    <w:rsid w:val="00743527"/>
    <w:rsid w:val="00743E3D"/>
    <w:rsid w:val="00745642"/>
    <w:rsid w:val="00745CD4"/>
    <w:rsid w:val="007470E6"/>
    <w:rsid w:val="00752864"/>
    <w:rsid w:val="00754398"/>
    <w:rsid w:val="00754A18"/>
    <w:rsid w:val="007552D0"/>
    <w:rsid w:val="007558AC"/>
    <w:rsid w:val="00756398"/>
    <w:rsid w:val="00756913"/>
    <w:rsid w:val="00756EC2"/>
    <w:rsid w:val="00757655"/>
    <w:rsid w:val="00760D74"/>
    <w:rsid w:val="007610CB"/>
    <w:rsid w:val="0076111D"/>
    <w:rsid w:val="00762F2F"/>
    <w:rsid w:val="00764268"/>
    <w:rsid w:val="007645EC"/>
    <w:rsid w:val="00764D74"/>
    <w:rsid w:val="007651A5"/>
    <w:rsid w:val="007659F2"/>
    <w:rsid w:val="007666F4"/>
    <w:rsid w:val="00766BA9"/>
    <w:rsid w:val="007679D4"/>
    <w:rsid w:val="00770E60"/>
    <w:rsid w:val="00772EE3"/>
    <w:rsid w:val="00774B58"/>
    <w:rsid w:val="00775140"/>
    <w:rsid w:val="00782AB2"/>
    <w:rsid w:val="00782EE1"/>
    <w:rsid w:val="00784ED1"/>
    <w:rsid w:val="00787BB9"/>
    <w:rsid w:val="007902A8"/>
    <w:rsid w:val="00790A9C"/>
    <w:rsid w:val="00790D3C"/>
    <w:rsid w:val="00791959"/>
    <w:rsid w:val="007942D3"/>
    <w:rsid w:val="00796E51"/>
    <w:rsid w:val="00797FAF"/>
    <w:rsid w:val="00797FBE"/>
    <w:rsid w:val="007A0D45"/>
    <w:rsid w:val="007A15F0"/>
    <w:rsid w:val="007A246E"/>
    <w:rsid w:val="007A27C2"/>
    <w:rsid w:val="007A3457"/>
    <w:rsid w:val="007A3536"/>
    <w:rsid w:val="007A434D"/>
    <w:rsid w:val="007A4472"/>
    <w:rsid w:val="007A497E"/>
    <w:rsid w:val="007A4F52"/>
    <w:rsid w:val="007A5425"/>
    <w:rsid w:val="007A64CA"/>
    <w:rsid w:val="007A6C4F"/>
    <w:rsid w:val="007A7B6A"/>
    <w:rsid w:val="007A7C39"/>
    <w:rsid w:val="007B0387"/>
    <w:rsid w:val="007B1238"/>
    <w:rsid w:val="007B360E"/>
    <w:rsid w:val="007B3AAD"/>
    <w:rsid w:val="007B585E"/>
    <w:rsid w:val="007B5E87"/>
    <w:rsid w:val="007B6C09"/>
    <w:rsid w:val="007B6EAC"/>
    <w:rsid w:val="007B7047"/>
    <w:rsid w:val="007B760E"/>
    <w:rsid w:val="007C011A"/>
    <w:rsid w:val="007C07EF"/>
    <w:rsid w:val="007C0CB0"/>
    <w:rsid w:val="007C11F4"/>
    <w:rsid w:val="007C1818"/>
    <w:rsid w:val="007C1DA1"/>
    <w:rsid w:val="007C2B08"/>
    <w:rsid w:val="007C3145"/>
    <w:rsid w:val="007C474B"/>
    <w:rsid w:val="007C4784"/>
    <w:rsid w:val="007C65EB"/>
    <w:rsid w:val="007D36B7"/>
    <w:rsid w:val="007D48D2"/>
    <w:rsid w:val="007D499E"/>
    <w:rsid w:val="007D4BF6"/>
    <w:rsid w:val="007D528F"/>
    <w:rsid w:val="007D6CFA"/>
    <w:rsid w:val="007D771A"/>
    <w:rsid w:val="007D77CC"/>
    <w:rsid w:val="007D7EE6"/>
    <w:rsid w:val="007E09DA"/>
    <w:rsid w:val="007E0E5F"/>
    <w:rsid w:val="007E1A52"/>
    <w:rsid w:val="007E35C8"/>
    <w:rsid w:val="007E3962"/>
    <w:rsid w:val="007E3C18"/>
    <w:rsid w:val="007E4999"/>
    <w:rsid w:val="007E53C0"/>
    <w:rsid w:val="007E5788"/>
    <w:rsid w:val="007E5962"/>
    <w:rsid w:val="007E649C"/>
    <w:rsid w:val="007E7B33"/>
    <w:rsid w:val="007F0217"/>
    <w:rsid w:val="007F105C"/>
    <w:rsid w:val="007F1B27"/>
    <w:rsid w:val="007F265A"/>
    <w:rsid w:val="007F2FB6"/>
    <w:rsid w:val="007F4996"/>
    <w:rsid w:val="007F4CA0"/>
    <w:rsid w:val="007F54A6"/>
    <w:rsid w:val="007F5A3C"/>
    <w:rsid w:val="007F5D43"/>
    <w:rsid w:val="007F5DEA"/>
    <w:rsid w:val="007F7482"/>
    <w:rsid w:val="007F7CFE"/>
    <w:rsid w:val="007F7E6D"/>
    <w:rsid w:val="008017C7"/>
    <w:rsid w:val="00801CD6"/>
    <w:rsid w:val="008027AF"/>
    <w:rsid w:val="00803B39"/>
    <w:rsid w:val="00805A70"/>
    <w:rsid w:val="008062E9"/>
    <w:rsid w:val="00807133"/>
    <w:rsid w:val="00807AEA"/>
    <w:rsid w:val="0081096E"/>
    <w:rsid w:val="00814813"/>
    <w:rsid w:val="00815AA6"/>
    <w:rsid w:val="008166D9"/>
    <w:rsid w:val="008178B6"/>
    <w:rsid w:val="00817AEF"/>
    <w:rsid w:val="00823FB7"/>
    <w:rsid w:val="0082464C"/>
    <w:rsid w:val="00824BB1"/>
    <w:rsid w:val="008265F3"/>
    <w:rsid w:val="00826B57"/>
    <w:rsid w:val="008270EE"/>
    <w:rsid w:val="00827638"/>
    <w:rsid w:val="00830033"/>
    <w:rsid w:val="0083064B"/>
    <w:rsid w:val="008309C8"/>
    <w:rsid w:val="008316FE"/>
    <w:rsid w:val="00831730"/>
    <w:rsid w:val="008317F5"/>
    <w:rsid w:val="00832A1F"/>
    <w:rsid w:val="0083389B"/>
    <w:rsid w:val="00835EB9"/>
    <w:rsid w:val="00836CCE"/>
    <w:rsid w:val="008402B3"/>
    <w:rsid w:val="0084064E"/>
    <w:rsid w:val="00840BB6"/>
    <w:rsid w:val="00842C2D"/>
    <w:rsid w:val="00844B59"/>
    <w:rsid w:val="00845084"/>
    <w:rsid w:val="00845923"/>
    <w:rsid w:val="00846779"/>
    <w:rsid w:val="0084679D"/>
    <w:rsid w:val="00846B8D"/>
    <w:rsid w:val="008479DA"/>
    <w:rsid w:val="008518BB"/>
    <w:rsid w:val="00852185"/>
    <w:rsid w:val="008541C2"/>
    <w:rsid w:val="00854C26"/>
    <w:rsid w:val="00855091"/>
    <w:rsid w:val="00855696"/>
    <w:rsid w:val="00856F57"/>
    <w:rsid w:val="00861542"/>
    <w:rsid w:val="00861715"/>
    <w:rsid w:val="00861E9A"/>
    <w:rsid w:val="00861F68"/>
    <w:rsid w:val="00861FB8"/>
    <w:rsid w:val="008645BE"/>
    <w:rsid w:val="00865B74"/>
    <w:rsid w:val="0086769B"/>
    <w:rsid w:val="008704E9"/>
    <w:rsid w:val="00870788"/>
    <w:rsid w:val="008750DF"/>
    <w:rsid w:val="00875304"/>
    <w:rsid w:val="00875890"/>
    <w:rsid w:val="008801B5"/>
    <w:rsid w:val="008817FF"/>
    <w:rsid w:val="00882ACC"/>
    <w:rsid w:val="008836DD"/>
    <w:rsid w:val="00883748"/>
    <w:rsid w:val="008851D5"/>
    <w:rsid w:val="008865DC"/>
    <w:rsid w:val="00887211"/>
    <w:rsid w:val="00887FFE"/>
    <w:rsid w:val="008907E0"/>
    <w:rsid w:val="00891E81"/>
    <w:rsid w:val="008936C8"/>
    <w:rsid w:val="00893DF9"/>
    <w:rsid w:val="00894879"/>
    <w:rsid w:val="008954C1"/>
    <w:rsid w:val="008956A7"/>
    <w:rsid w:val="008972BB"/>
    <w:rsid w:val="008974F2"/>
    <w:rsid w:val="00897B0D"/>
    <w:rsid w:val="00897E9F"/>
    <w:rsid w:val="008A0E3B"/>
    <w:rsid w:val="008A14FA"/>
    <w:rsid w:val="008A35F2"/>
    <w:rsid w:val="008A44A8"/>
    <w:rsid w:val="008A45F7"/>
    <w:rsid w:val="008A61D9"/>
    <w:rsid w:val="008A66F4"/>
    <w:rsid w:val="008A6AF1"/>
    <w:rsid w:val="008A6D1C"/>
    <w:rsid w:val="008A71F8"/>
    <w:rsid w:val="008A79CB"/>
    <w:rsid w:val="008B0A94"/>
    <w:rsid w:val="008B46F4"/>
    <w:rsid w:val="008B652E"/>
    <w:rsid w:val="008B6EA8"/>
    <w:rsid w:val="008C014F"/>
    <w:rsid w:val="008C0A8B"/>
    <w:rsid w:val="008C0FC6"/>
    <w:rsid w:val="008C1FFC"/>
    <w:rsid w:val="008C239F"/>
    <w:rsid w:val="008C2FD2"/>
    <w:rsid w:val="008C3198"/>
    <w:rsid w:val="008C3436"/>
    <w:rsid w:val="008C4A22"/>
    <w:rsid w:val="008C6CB4"/>
    <w:rsid w:val="008C7411"/>
    <w:rsid w:val="008D0296"/>
    <w:rsid w:val="008D131C"/>
    <w:rsid w:val="008D311C"/>
    <w:rsid w:val="008D3AEE"/>
    <w:rsid w:val="008D4B09"/>
    <w:rsid w:val="008D7ABD"/>
    <w:rsid w:val="008E0A0D"/>
    <w:rsid w:val="008E1A4D"/>
    <w:rsid w:val="008E1B24"/>
    <w:rsid w:val="008E2313"/>
    <w:rsid w:val="008E2C38"/>
    <w:rsid w:val="008E3C31"/>
    <w:rsid w:val="008E3C67"/>
    <w:rsid w:val="008E3EFB"/>
    <w:rsid w:val="008E4450"/>
    <w:rsid w:val="008E4C4A"/>
    <w:rsid w:val="008E4C77"/>
    <w:rsid w:val="008E50A0"/>
    <w:rsid w:val="008E54D8"/>
    <w:rsid w:val="008E7244"/>
    <w:rsid w:val="008F01BB"/>
    <w:rsid w:val="008F06BE"/>
    <w:rsid w:val="008F10A2"/>
    <w:rsid w:val="008F10B0"/>
    <w:rsid w:val="008F113D"/>
    <w:rsid w:val="008F1667"/>
    <w:rsid w:val="008F3956"/>
    <w:rsid w:val="008F3AB0"/>
    <w:rsid w:val="008F523C"/>
    <w:rsid w:val="008F6281"/>
    <w:rsid w:val="008F7C9D"/>
    <w:rsid w:val="00901410"/>
    <w:rsid w:val="00902081"/>
    <w:rsid w:val="009035CB"/>
    <w:rsid w:val="00903F95"/>
    <w:rsid w:val="009046EF"/>
    <w:rsid w:val="00904E76"/>
    <w:rsid w:val="009050F4"/>
    <w:rsid w:val="009050FD"/>
    <w:rsid w:val="009064DF"/>
    <w:rsid w:val="00906E47"/>
    <w:rsid w:val="0090703E"/>
    <w:rsid w:val="00911A7D"/>
    <w:rsid w:val="00912F09"/>
    <w:rsid w:val="00912F92"/>
    <w:rsid w:val="0091343C"/>
    <w:rsid w:val="00914858"/>
    <w:rsid w:val="009157B8"/>
    <w:rsid w:val="0092086E"/>
    <w:rsid w:val="0092088F"/>
    <w:rsid w:val="00920A25"/>
    <w:rsid w:val="00921D2F"/>
    <w:rsid w:val="009224A8"/>
    <w:rsid w:val="009224D8"/>
    <w:rsid w:val="00922F61"/>
    <w:rsid w:val="00925324"/>
    <w:rsid w:val="00925EF2"/>
    <w:rsid w:val="00926715"/>
    <w:rsid w:val="009271EB"/>
    <w:rsid w:val="00930014"/>
    <w:rsid w:val="00930679"/>
    <w:rsid w:val="00930BA1"/>
    <w:rsid w:val="009312C9"/>
    <w:rsid w:val="0093169E"/>
    <w:rsid w:val="009316FA"/>
    <w:rsid w:val="00932534"/>
    <w:rsid w:val="00935007"/>
    <w:rsid w:val="0093576C"/>
    <w:rsid w:val="00935EA0"/>
    <w:rsid w:val="009360D1"/>
    <w:rsid w:val="0093623A"/>
    <w:rsid w:val="00937AEC"/>
    <w:rsid w:val="0094068E"/>
    <w:rsid w:val="00942FDC"/>
    <w:rsid w:val="00943D8C"/>
    <w:rsid w:val="00945435"/>
    <w:rsid w:val="0094597B"/>
    <w:rsid w:val="00947F3F"/>
    <w:rsid w:val="00950520"/>
    <w:rsid w:val="009505C9"/>
    <w:rsid w:val="00951535"/>
    <w:rsid w:val="00951B40"/>
    <w:rsid w:val="009535B8"/>
    <w:rsid w:val="00954B99"/>
    <w:rsid w:val="00954E9E"/>
    <w:rsid w:val="00955A87"/>
    <w:rsid w:val="00956C61"/>
    <w:rsid w:val="0095709F"/>
    <w:rsid w:val="00957C46"/>
    <w:rsid w:val="00960073"/>
    <w:rsid w:val="00961398"/>
    <w:rsid w:val="00962543"/>
    <w:rsid w:val="009650F9"/>
    <w:rsid w:val="00966203"/>
    <w:rsid w:val="0097091F"/>
    <w:rsid w:val="00970EFB"/>
    <w:rsid w:val="00971880"/>
    <w:rsid w:val="009718A8"/>
    <w:rsid w:val="00971CB8"/>
    <w:rsid w:val="00972A68"/>
    <w:rsid w:val="009749E1"/>
    <w:rsid w:val="00974EC7"/>
    <w:rsid w:val="0097572C"/>
    <w:rsid w:val="00975B8C"/>
    <w:rsid w:val="0097600A"/>
    <w:rsid w:val="00977C3B"/>
    <w:rsid w:val="00981465"/>
    <w:rsid w:val="00984B89"/>
    <w:rsid w:val="009853B0"/>
    <w:rsid w:val="00986008"/>
    <w:rsid w:val="00986D9E"/>
    <w:rsid w:val="00987B46"/>
    <w:rsid w:val="00987B90"/>
    <w:rsid w:val="00987F23"/>
    <w:rsid w:val="009933CF"/>
    <w:rsid w:val="00993CFA"/>
    <w:rsid w:val="00993FDA"/>
    <w:rsid w:val="0099413D"/>
    <w:rsid w:val="00994D47"/>
    <w:rsid w:val="00995BBD"/>
    <w:rsid w:val="00996163"/>
    <w:rsid w:val="0099625C"/>
    <w:rsid w:val="00996CF7"/>
    <w:rsid w:val="009A05BB"/>
    <w:rsid w:val="009A1728"/>
    <w:rsid w:val="009A22C4"/>
    <w:rsid w:val="009A5385"/>
    <w:rsid w:val="009A538C"/>
    <w:rsid w:val="009A5BA2"/>
    <w:rsid w:val="009A70F7"/>
    <w:rsid w:val="009A7982"/>
    <w:rsid w:val="009A7D9C"/>
    <w:rsid w:val="009B2B61"/>
    <w:rsid w:val="009B3745"/>
    <w:rsid w:val="009B464E"/>
    <w:rsid w:val="009B4974"/>
    <w:rsid w:val="009B7767"/>
    <w:rsid w:val="009B7A63"/>
    <w:rsid w:val="009C0F85"/>
    <w:rsid w:val="009C1693"/>
    <w:rsid w:val="009C200D"/>
    <w:rsid w:val="009C323E"/>
    <w:rsid w:val="009C4022"/>
    <w:rsid w:val="009C4075"/>
    <w:rsid w:val="009C5926"/>
    <w:rsid w:val="009C5A09"/>
    <w:rsid w:val="009C77D6"/>
    <w:rsid w:val="009C7A35"/>
    <w:rsid w:val="009C7D1F"/>
    <w:rsid w:val="009D1657"/>
    <w:rsid w:val="009D1B98"/>
    <w:rsid w:val="009D7248"/>
    <w:rsid w:val="009D7CB7"/>
    <w:rsid w:val="009E2A2E"/>
    <w:rsid w:val="009E2B7C"/>
    <w:rsid w:val="009E5069"/>
    <w:rsid w:val="009E57BC"/>
    <w:rsid w:val="009E5A36"/>
    <w:rsid w:val="009E6202"/>
    <w:rsid w:val="009E6E0F"/>
    <w:rsid w:val="009E773A"/>
    <w:rsid w:val="009F0411"/>
    <w:rsid w:val="009F124E"/>
    <w:rsid w:val="009F53DA"/>
    <w:rsid w:val="009F69E1"/>
    <w:rsid w:val="009F7459"/>
    <w:rsid w:val="009F7D24"/>
    <w:rsid w:val="00A00C4C"/>
    <w:rsid w:val="00A00CE1"/>
    <w:rsid w:val="00A01085"/>
    <w:rsid w:val="00A012D3"/>
    <w:rsid w:val="00A01EF2"/>
    <w:rsid w:val="00A0282C"/>
    <w:rsid w:val="00A0287E"/>
    <w:rsid w:val="00A046BA"/>
    <w:rsid w:val="00A04D44"/>
    <w:rsid w:val="00A05BE9"/>
    <w:rsid w:val="00A06A4D"/>
    <w:rsid w:val="00A06BCD"/>
    <w:rsid w:val="00A0707C"/>
    <w:rsid w:val="00A10289"/>
    <w:rsid w:val="00A11218"/>
    <w:rsid w:val="00A1257A"/>
    <w:rsid w:val="00A12DB8"/>
    <w:rsid w:val="00A12EC8"/>
    <w:rsid w:val="00A13981"/>
    <w:rsid w:val="00A14212"/>
    <w:rsid w:val="00A144C4"/>
    <w:rsid w:val="00A16F33"/>
    <w:rsid w:val="00A17A07"/>
    <w:rsid w:val="00A200A8"/>
    <w:rsid w:val="00A212EC"/>
    <w:rsid w:val="00A215B7"/>
    <w:rsid w:val="00A21D6B"/>
    <w:rsid w:val="00A222EA"/>
    <w:rsid w:val="00A23195"/>
    <w:rsid w:val="00A231F9"/>
    <w:rsid w:val="00A249BB"/>
    <w:rsid w:val="00A26CEB"/>
    <w:rsid w:val="00A27EBC"/>
    <w:rsid w:val="00A3031E"/>
    <w:rsid w:val="00A306C1"/>
    <w:rsid w:val="00A30C1D"/>
    <w:rsid w:val="00A31149"/>
    <w:rsid w:val="00A318EE"/>
    <w:rsid w:val="00A31B24"/>
    <w:rsid w:val="00A341E2"/>
    <w:rsid w:val="00A34824"/>
    <w:rsid w:val="00A359AF"/>
    <w:rsid w:val="00A36608"/>
    <w:rsid w:val="00A3717B"/>
    <w:rsid w:val="00A4215F"/>
    <w:rsid w:val="00A42352"/>
    <w:rsid w:val="00A4244A"/>
    <w:rsid w:val="00A425DE"/>
    <w:rsid w:val="00A42BEE"/>
    <w:rsid w:val="00A43D1F"/>
    <w:rsid w:val="00A44D15"/>
    <w:rsid w:val="00A452D1"/>
    <w:rsid w:val="00A45338"/>
    <w:rsid w:val="00A45517"/>
    <w:rsid w:val="00A45D0F"/>
    <w:rsid w:val="00A45E47"/>
    <w:rsid w:val="00A45E8D"/>
    <w:rsid w:val="00A461A4"/>
    <w:rsid w:val="00A4620A"/>
    <w:rsid w:val="00A46C0B"/>
    <w:rsid w:val="00A51E75"/>
    <w:rsid w:val="00A51F5E"/>
    <w:rsid w:val="00A52026"/>
    <w:rsid w:val="00A53276"/>
    <w:rsid w:val="00A53475"/>
    <w:rsid w:val="00A54213"/>
    <w:rsid w:val="00A55236"/>
    <w:rsid w:val="00A56145"/>
    <w:rsid w:val="00A60994"/>
    <w:rsid w:val="00A60ADE"/>
    <w:rsid w:val="00A63DF5"/>
    <w:rsid w:val="00A6596F"/>
    <w:rsid w:val="00A65A46"/>
    <w:rsid w:val="00A666E4"/>
    <w:rsid w:val="00A66F75"/>
    <w:rsid w:val="00A700AC"/>
    <w:rsid w:val="00A70A94"/>
    <w:rsid w:val="00A714E6"/>
    <w:rsid w:val="00A7234F"/>
    <w:rsid w:val="00A7238F"/>
    <w:rsid w:val="00A72767"/>
    <w:rsid w:val="00A75B6E"/>
    <w:rsid w:val="00A75EC2"/>
    <w:rsid w:val="00A773DF"/>
    <w:rsid w:val="00A7781B"/>
    <w:rsid w:val="00A81749"/>
    <w:rsid w:val="00A81CBC"/>
    <w:rsid w:val="00A82EAA"/>
    <w:rsid w:val="00A8592C"/>
    <w:rsid w:val="00A8592F"/>
    <w:rsid w:val="00A860C0"/>
    <w:rsid w:val="00A87374"/>
    <w:rsid w:val="00A875EA"/>
    <w:rsid w:val="00A94D36"/>
    <w:rsid w:val="00A94FA2"/>
    <w:rsid w:val="00A96037"/>
    <w:rsid w:val="00A962E6"/>
    <w:rsid w:val="00A96965"/>
    <w:rsid w:val="00A96EF0"/>
    <w:rsid w:val="00A97DCE"/>
    <w:rsid w:val="00AA0D7A"/>
    <w:rsid w:val="00AA0F24"/>
    <w:rsid w:val="00AA356C"/>
    <w:rsid w:val="00AA45C5"/>
    <w:rsid w:val="00AA49FE"/>
    <w:rsid w:val="00AA4D76"/>
    <w:rsid w:val="00AA70D7"/>
    <w:rsid w:val="00AA7548"/>
    <w:rsid w:val="00AA75CA"/>
    <w:rsid w:val="00AB1C3C"/>
    <w:rsid w:val="00AB4906"/>
    <w:rsid w:val="00AB506E"/>
    <w:rsid w:val="00AB52C0"/>
    <w:rsid w:val="00AB5661"/>
    <w:rsid w:val="00AB5E49"/>
    <w:rsid w:val="00AC01B4"/>
    <w:rsid w:val="00AC10C3"/>
    <w:rsid w:val="00AC1245"/>
    <w:rsid w:val="00AC1DE4"/>
    <w:rsid w:val="00AC1EFB"/>
    <w:rsid w:val="00AC2001"/>
    <w:rsid w:val="00AC2403"/>
    <w:rsid w:val="00AC39AA"/>
    <w:rsid w:val="00AC3AAD"/>
    <w:rsid w:val="00AC4A8D"/>
    <w:rsid w:val="00AC4A96"/>
    <w:rsid w:val="00AC50B4"/>
    <w:rsid w:val="00AC5279"/>
    <w:rsid w:val="00AC744C"/>
    <w:rsid w:val="00AD0806"/>
    <w:rsid w:val="00AD4E91"/>
    <w:rsid w:val="00AD5AE9"/>
    <w:rsid w:val="00AE276C"/>
    <w:rsid w:val="00AE4171"/>
    <w:rsid w:val="00AE42D3"/>
    <w:rsid w:val="00AE4794"/>
    <w:rsid w:val="00AE60A6"/>
    <w:rsid w:val="00AE6C78"/>
    <w:rsid w:val="00AE6E57"/>
    <w:rsid w:val="00AE722C"/>
    <w:rsid w:val="00AF0426"/>
    <w:rsid w:val="00AF0F45"/>
    <w:rsid w:val="00AF2E42"/>
    <w:rsid w:val="00AF338B"/>
    <w:rsid w:val="00AF5747"/>
    <w:rsid w:val="00AF5972"/>
    <w:rsid w:val="00AF63D2"/>
    <w:rsid w:val="00AF7123"/>
    <w:rsid w:val="00AF7959"/>
    <w:rsid w:val="00AF7B99"/>
    <w:rsid w:val="00B00C97"/>
    <w:rsid w:val="00B017C7"/>
    <w:rsid w:val="00B02C11"/>
    <w:rsid w:val="00B03450"/>
    <w:rsid w:val="00B03883"/>
    <w:rsid w:val="00B040F0"/>
    <w:rsid w:val="00B060CC"/>
    <w:rsid w:val="00B077AA"/>
    <w:rsid w:val="00B10957"/>
    <w:rsid w:val="00B111C3"/>
    <w:rsid w:val="00B1138D"/>
    <w:rsid w:val="00B115BD"/>
    <w:rsid w:val="00B11C85"/>
    <w:rsid w:val="00B11DE3"/>
    <w:rsid w:val="00B12261"/>
    <w:rsid w:val="00B12941"/>
    <w:rsid w:val="00B12AFF"/>
    <w:rsid w:val="00B13E8F"/>
    <w:rsid w:val="00B15ACF"/>
    <w:rsid w:val="00B15CEA"/>
    <w:rsid w:val="00B16276"/>
    <w:rsid w:val="00B205BE"/>
    <w:rsid w:val="00B23199"/>
    <w:rsid w:val="00B27A6A"/>
    <w:rsid w:val="00B303E3"/>
    <w:rsid w:val="00B30C09"/>
    <w:rsid w:val="00B32595"/>
    <w:rsid w:val="00B32E9D"/>
    <w:rsid w:val="00B32ED6"/>
    <w:rsid w:val="00B3369F"/>
    <w:rsid w:val="00B33848"/>
    <w:rsid w:val="00B33914"/>
    <w:rsid w:val="00B33CB0"/>
    <w:rsid w:val="00B34175"/>
    <w:rsid w:val="00B35508"/>
    <w:rsid w:val="00B35B08"/>
    <w:rsid w:val="00B37212"/>
    <w:rsid w:val="00B417E4"/>
    <w:rsid w:val="00B4346D"/>
    <w:rsid w:val="00B46162"/>
    <w:rsid w:val="00B47507"/>
    <w:rsid w:val="00B47649"/>
    <w:rsid w:val="00B47CE4"/>
    <w:rsid w:val="00B50C7E"/>
    <w:rsid w:val="00B513F1"/>
    <w:rsid w:val="00B5218C"/>
    <w:rsid w:val="00B53FFB"/>
    <w:rsid w:val="00B546DD"/>
    <w:rsid w:val="00B54C5C"/>
    <w:rsid w:val="00B55560"/>
    <w:rsid w:val="00B565BE"/>
    <w:rsid w:val="00B6202C"/>
    <w:rsid w:val="00B62ADE"/>
    <w:rsid w:val="00B62B2F"/>
    <w:rsid w:val="00B62D44"/>
    <w:rsid w:val="00B643A3"/>
    <w:rsid w:val="00B643B5"/>
    <w:rsid w:val="00B64A96"/>
    <w:rsid w:val="00B64C97"/>
    <w:rsid w:val="00B6615A"/>
    <w:rsid w:val="00B67044"/>
    <w:rsid w:val="00B673BD"/>
    <w:rsid w:val="00B70E1B"/>
    <w:rsid w:val="00B72DBD"/>
    <w:rsid w:val="00B741A5"/>
    <w:rsid w:val="00B74CFC"/>
    <w:rsid w:val="00B7509A"/>
    <w:rsid w:val="00B760FF"/>
    <w:rsid w:val="00B7612D"/>
    <w:rsid w:val="00B77EAC"/>
    <w:rsid w:val="00B80C14"/>
    <w:rsid w:val="00B81383"/>
    <w:rsid w:val="00B8218D"/>
    <w:rsid w:val="00B844FD"/>
    <w:rsid w:val="00B85723"/>
    <w:rsid w:val="00B85755"/>
    <w:rsid w:val="00B8681E"/>
    <w:rsid w:val="00B86AEF"/>
    <w:rsid w:val="00B91C09"/>
    <w:rsid w:val="00B91CA6"/>
    <w:rsid w:val="00B92EE1"/>
    <w:rsid w:val="00B933BD"/>
    <w:rsid w:val="00B93B26"/>
    <w:rsid w:val="00B951E8"/>
    <w:rsid w:val="00B95707"/>
    <w:rsid w:val="00B9793D"/>
    <w:rsid w:val="00B97CB2"/>
    <w:rsid w:val="00BA0365"/>
    <w:rsid w:val="00BA0451"/>
    <w:rsid w:val="00BA0454"/>
    <w:rsid w:val="00BA0634"/>
    <w:rsid w:val="00BA09BD"/>
    <w:rsid w:val="00BA0DBA"/>
    <w:rsid w:val="00BA32B8"/>
    <w:rsid w:val="00BA5934"/>
    <w:rsid w:val="00BA609B"/>
    <w:rsid w:val="00BA743B"/>
    <w:rsid w:val="00BA77FA"/>
    <w:rsid w:val="00BA7DC2"/>
    <w:rsid w:val="00BB0226"/>
    <w:rsid w:val="00BB151B"/>
    <w:rsid w:val="00BB17B0"/>
    <w:rsid w:val="00BB260E"/>
    <w:rsid w:val="00BB27CB"/>
    <w:rsid w:val="00BB2938"/>
    <w:rsid w:val="00BB35FD"/>
    <w:rsid w:val="00BB4AB3"/>
    <w:rsid w:val="00BB4CEF"/>
    <w:rsid w:val="00BB5240"/>
    <w:rsid w:val="00BB6277"/>
    <w:rsid w:val="00BB66D9"/>
    <w:rsid w:val="00BB672E"/>
    <w:rsid w:val="00BB7773"/>
    <w:rsid w:val="00BB7F62"/>
    <w:rsid w:val="00BC0A79"/>
    <w:rsid w:val="00BC489D"/>
    <w:rsid w:val="00BC550B"/>
    <w:rsid w:val="00BC5E2D"/>
    <w:rsid w:val="00BC67FF"/>
    <w:rsid w:val="00BD041F"/>
    <w:rsid w:val="00BD0694"/>
    <w:rsid w:val="00BD0B7C"/>
    <w:rsid w:val="00BD2E37"/>
    <w:rsid w:val="00BD3217"/>
    <w:rsid w:val="00BD36FD"/>
    <w:rsid w:val="00BD3859"/>
    <w:rsid w:val="00BD3B5C"/>
    <w:rsid w:val="00BD46EE"/>
    <w:rsid w:val="00BD592A"/>
    <w:rsid w:val="00BD59AF"/>
    <w:rsid w:val="00BD7678"/>
    <w:rsid w:val="00BD7E86"/>
    <w:rsid w:val="00BE1A4C"/>
    <w:rsid w:val="00BE21C4"/>
    <w:rsid w:val="00BE2E9E"/>
    <w:rsid w:val="00BE36D8"/>
    <w:rsid w:val="00BE3C50"/>
    <w:rsid w:val="00BE400B"/>
    <w:rsid w:val="00BE5B87"/>
    <w:rsid w:val="00BE5F28"/>
    <w:rsid w:val="00BE659F"/>
    <w:rsid w:val="00BF0B00"/>
    <w:rsid w:val="00BF19FD"/>
    <w:rsid w:val="00BF22D3"/>
    <w:rsid w:val="00BF2802"/>
    <w:rsid w:val="00BF2999"/>
    <w:rsid w:val="00BF2A98"/>
    <w:rsid w:val="00BF62ED"/>
    <w:rsid w:val="00BF634C"/>
    <w:rsid w:val="00BF6793"/>
    <w:rsid w:val="00BF6E22"/>
    <w:rsid w:val="00BF7017"/>
    <w:rsid w:val="00C01A83"/>
    <w:rsid w:val="00C01AEA"/>
    <w:rsid w:val="00C037EC"/>
    <w:rsid w:val="00C03EA4"/>
    <w:rsid w:val="00C044C0"/>
    <w:rsid w:val="00C04785"/>
    <w:rsid w:val="00C05146"/>
    <w:rsid w:val="00C052A6"/>
    <w:rsid w:val="00C05429"/>
    <w:rsid w:val="00C07E49"/>
    <w:rsid w:val="00C10CF0"/>
    <w:rsid w:val="00C10E2B"/>
    <w:rsid w:val="00C1172B"/>
    <w:rsid w:val="00C1222F"/>
    <w:rsid w:val="00C1376D"/>
    <w:rsid w:val="00C13D36"/>
    <w:rsid w:val="00C14324"/>
    <w:rsid w:val="00C1467A"/>
    <w:rsid w:val="00C14878"/>
    <w:rsid w:val="00C15CCD"/>
    <w:rsid w:val="00C164F0"/>
    <w:rsid w:val="00C220A0"/>
    <w:rsid w:val="00C2241A"/>
    <w:rsid w:val="00C22444"/>
    <w:rsid w:val="00C2311A"/>
    <w:rsid w:val="00C2370E"/>
    <w:rsid w:val="00C244ED"/>
    <w:rsid w:val="00C26851"/>
    <w:rsid w:val="00C3020C"/>
    <w:rsid w:val="00C30573"/>
    <w:rsid w:val="00C30A6A"/>
    <w:rsid w:val="00C31914"/>
    <w:rsid w:val="00C32AD6"/>
    <w:rsid w:val="00C32F48"/>
    <w:rsid w:val="00C34F82"/>
    <w:rsid w:val="00C351F1"/>
    <w:rsid w:val="00C37A0D"/>
    <w:rsid w:val="00C37B9A"/>
    <w:rsid w:val="00C40633"/>
    <w:rsid w:val="00C40960"/>
    <w:rsid w:val="00C41D85"/>
    <w:rsid w:val="00C429EC"/>
    <w:rsid w:val="00C44011"/>
    <w:rsid w:val="00C441B5"/>
    <w:rsid w:val="00C45B34"/>
    <w:rsid w:val="00C465CF"/>
    <w:rsid w:val="00C4710D"/>
    <w:rsid w:val="00C50071"/>
    <w:rsid w:val="00C50A82"/>
    <w:rsid w:val="00C52482"/>
    <w:rsid w:val="00C52C7B"/>
    <w:rsid w:val="00C54BB8"/>
    <w:rsid w:val="00C552CD"/>
    <w:rsid w:val="00C55858"/>
    <w:rsid w:val="00C56A40"/>
    <w:rsid w:val="00C56F8F"/>
    <w:rsid w:val="00C56FD5"/>
    <w:rsid w:val="00C57E89"/>
    <w:rsid w:val="00C609B8"/>
    <w:rsid w:val="00C61A5E"/>
    <w:rsid w:val="00C62F5F"/>
    <w:rsid w:val="00C63223"/>
    <w:rsid w:val="00C63991"/>
    <w:rsid w:val="00C63AD5"/>
    <w:rsid w:val="00C66175"/>
    <w:rsid w:val="00C708E3"/>
    <w:rsid w:val="00C710AD"/>
    <w:rsid w:val="00C71237"/>
    <w:rsid w:val="00C71E73"/>
    <w:rsid w:val="00C72056"/>
    <w:rsid w:val="00C73F43"/>
    <w:rsid w:val="00C748BF"/>
    <w:rsid w:val="00C752FE"/>
    <w:rsid w:val="00C76325"/>
    <w:rsid w:val="00C76505"/>
    <w:rsid w:val="00C76BEA"/>
    <w:rsid w:val="00C772AD"/>
    <w:rsid w:val="00C777B6"/>
    <w:rsid w:val="00C77B48"/>
    <w:rsid w:val="00C8016E"/>
    <w:rsid w:val="00C80957"/>
    <w:rsid w:val="00C82117"/>
    <w:rsid w:val="00C83B94"/>
    <w:rsid w:val="00C849C2"/>
    <w:rsid w:val="00C852AD"/>
    <w:rsid w:val="00C85554"/>
    <w:rsid w:val="00C863DD"/>
    <w:rsid w:val="00C86779"/>
    <w:rsid w:val="00C878D1"/>
    <w:rsid w:val="00C9006F"/>
    <w:rsid w:val="00C9161D"/>
    <w:rsid w:val="00C9211D"/>
    <w:rsid w:val="00C92D01"/>
    <w:rsid w:val="00C943FD"/>
    <w:rsid w:val="00C94815"/>
    <w:rsid w:val="00C94C14"/>
    <w:rsid w:val="00C94D0A"/>
    <w:rsid w:val="00C95AD4"/>
    <w:rsid w:val="00C95DF4"/>
    <w:rsid w:val="00CA0BB8"/>
    <w:rsid w:val="00CA0F06"/>
    <w:rsid w:val="00CA11B5"/>
    <w:rsid w:val="00CA18B1"/>
    <w:rsid w:val="00CA1B6F"/>
    <w:rsid w:val="00CA2D1F"/>
    <w:rsid w:val="00CA325D"/>
    <w:rsid w:val="00CA376A"/>
    <w:rsid w:val="00CA37D2"/>
    <w:rsid w:val="00CA39FC"/>
    <w:rsid w:val="00CA558B"/>
    <w:rsid w:val="00CA5AD9"/>
    <w:rsid w:val="00CA6DCF"/>
    <w:rsid w:val="00CB0793"/>
    <w:rsid w:val="00CB12AA"/>
    <w:rsid w:val="00CB191F"/>
    <w:rsid w:val="00CB3E1C"/>
    <w:rsid w:val="00CB5525"/>
    <w:rsid w:val="00CB62F6"/>
    <w:rsid w:val="00CB76A2"/>
    <w:rsid w:val="00CC05CF"/>
    <w:rsid w:val="00CC07B4"/>
    <w:rsid w:val="00CC0C6A"/>
    <w:rsid w:val="00CC1591"/>
    <w:rsid w:val="00CC1ABE"/>
    <w:rsid w:val="00CC20C6"/>
    <w:rsid w:val="00CC2355"/>
    <w:rsid w:val="00CC3196"/>
    <w:rsid w:val="00CC3A33"/>
    <w:rsid w:val="00CC5AAF"/>
    <w:rsid w:val="00CC75B1"/>
    <w:rsid w:val="00CD064D"/>
    <w:rsid w:val="00CD26EB"/>
    <w:rsid w:val="00CD3C56"/>
    <w:rsid w:val="00CD3D86"/>
    <w:rsid w:val="00CD41A7"/>
    <w:rsid w:val="00CD55C7"/>
    <w:rsid w:val="00CD712A"/>
    <w:rsid w:val="00CE0A5B"/>
    <w:rsid w:val="00CE1517"/>
    <w:rsid w:val="00CE1B74"/>
    <w:rsid w:val="00CE1D5B"/>
    <w:rsid w:val="00CE2034"/>
    <w:rsid w:val="00CE2A36"/>
    <w:rsid w:val="00CE4A9D"/>
    <w:rsid w:val="00CE4B9A"/>
    <w:rsid w:val="00CE4DC4"/>
    <w:rsid w:val="00CE548D"/>
    <w:rsid w:val="00CE5613"/>
    <w:rsid w:val="00CE5D16"/>
    <w:rsid w:val="00CE6280"/>
    <w:rsid w:val="00CE6E92"/>
    <w:rsid w:val="00CE7D74"/>
    <w:rsid w:val="00CE7D8F"/>
    <w:rsid w:val="00CE7E9A"/>
    <w:rsid w:val="00CF0996"/>
    <w:rsid w:val="00CF14CE"/>
    <w:rsid w:val="00CF1682"/>
    <w:rsid w:val="00CF1848"/>
    <w:rsid w:val="00CF2203"/>
    <w:rsid w:val="00CF38F5"/>
    <w:rsid w:val="00CF5AD9"/>
    <w:rsid w:val="00CF5DD0"/>
    <w:rsid w:val="00CF7980"/>
    <w:rsid w:val="00CF7C49"/>
    <w:rsid w:val="00D00544"/>
    <w:rsid w:val="00D0066B"/>
    <w:rsid w:val="00D014C7"/>
    <w:rsid w:val="00D02E26"/>
    <w:rsid w:val="00D03A4D"/>
    <w:rsid w:val="00D03F3A"/>
    <w:rsid w:val="00D04041"/>
    <w:rsid w:val="00D102A5"/>
    <w:rsid w:val="00D10788"/>
    <w:rsid w:val="00D12044"/>
    <w:rsid w:val="00D12344"/>
    <w:rsid w:val="00D12D69"/>
    <w:rsid w:val="00D13287"/>
    <w:rsid w:val="00D1359F"/>
    <w:rsid w:val="00D1410D"/>
    <w:rsid w:val="00D1435A"/>
    <w:rsid w:val="00D15931"/>
    <w:rsid w:val="00D16CE1"/>
    <w:rsid w:val="00D16EE5"/>
    <w:rsid w:val="00D17B2F"/>
    <w:rsid w:val="00D203FF"/>
    <w:rsid w:val="00D204E7"/>
    <w:rsid w:val="00D21057"/>
    <w:rsid w:val="00D21A70"/>
    <w:rsid w:val="00D230B1"/>
    <w:rsid w:val="00D23437"/>
    <w:rsid w:val="00D23556"/>
    <w:rsid w:val="00D2579D"/>
    <w:rsid w:val="00D259E2"/>
    <w:rsid w:val="00D25CA6"/>
    <w:rsid w:val="00D26775"/>
    <w:rsid w:val="00D31542"/>
    <w:rsid w:val="00D32464"/>
    <w:rsid w:val="00D330BA"/>
    <w:rsid w:val="00D337E1"/>
    <w:rsid w:val="00D34A55"/>
    <w:rsid w:val="00D35A98"/>
    <w:rsid w:val="00D36A0F"/>
    <w:rsid w:val="00D3761B"/>
    <w:rsid w:val="00D40926"/>
    <w:rsid w:val="00D4119B"/>
    <w:rsid w:val="00D42CC5"/>
    <w:rsid w:val="00D42EBA"/>
    <w:rsid w:val="00D42F82"/>
    <w:rsid w:val="00D434FB"/>
    <w:rsid w:val="00D44642"/>
    <w:rsid w:val="00D4502F"/>
    <w:rsid w:val="00D45665"/>
    <w:rsid w:val="00D45B1F"/>
    <w:rsid w:val="00D45C28"/>
    <w:rsid w:val="00D46960"/>
    <w:rsid w:val="00D46BBF"/>
    <w:rsid w:val="00D47CC6"/>
    <w:rsid w:val="00D47E4D"/>
    <w:rsid w:val="00D50039"/>
    <w:rsid w:val="00D503E6"/>
    <w:rsid w:val="00D51B4C"/>
    <w:rsid w:val="00D540E9"/>
    <w:rsid w:val="00D55AB0"/>
    <w:rsid w:val="00D5747B"/>
    <w:rsid w:val="00D5780C"/>
    <w:rsid w:val="00D57CF7"/>
    <w:rsid w:val="00D60721"/>
    <w:rsid w:val="00D60A0C"/>
    <w:rsid w:val="00D60E2A"/>
    <w:rsid w:val="00D61794"/>
    <w:rsid w:val="00D64963"/>
    <w:rsid w:val="00D65C86"/>
    <w:rsid w:val="00D65F48"/>
    <w:rsid w:val="00D672BF"/>
    <w:rsid w:val="00D7098F"/>
    <w:rsid w:val="00D712E9"/>
    <w:rsid w:val="00D7171E"/>
    <w:rsid w:val="00D71C60"/>
    <w:rsid w:val="00D71D79"/>
    <w:rsid w:val="00D72760"/>
    <w:rsid w:val="00D74F0E"/>
    <w:rsid w:val="00D75281"/>
    <w:rsid w:val="00D75F16"/>
    <w:rsid w:val="00D76486"/>
    <w:rsid w:val="00D76557"/>
    <w:rsid w:val="00D76A18"/>
    <w:rsid w:val="00D7719D"/>
    <w:rsid w:val="00D77E42"/>
    <w:rsid w:val="00D802FD"/>
    <w:rsid w:val="00D806DA"/>
    <w:rsid w:val="00D81266"/>
    <w:rsid w:val="00D8154B"/>
    <w:rsid w:val="00D81EE4"/>
    <w:rsid w:val="00D825AA"/>
    <w:rsid w:val="00D83201"/>
    <w:rsid w:val="00D834D3"/>
    <w:rsid w:val="00D851BE"/>
    <w:rsid w:val="00D8686C"/>
    <w:rsid w:val="00D869FE"/>
    <w:rsid w:val="00D93615"/>
    <w:rsid w:val="00D95721"/>
    <w:rsid w:val="00D9725A"/>
    <w:rsid w:val="00DA00BC"/>
    <w:rsid w:val="00DA15D9"/>
    <w:rsid w:val="00DA16E4"/>
    <w:rsid w:val="00DA1DED"/>
    <w:rsid w:val="00DA1E58"/>
    <w:rsid w:val="00DA2972"/>
    <w:rsid w:val="00DA403D"/>
    <w:rsid w:val="00DA4B50"/>
    <w:rsid w:val="00DA4FAF"/>
    <w:rsid w:val="00DA5D7F"/>
    <w:rsid w:val="00DA65C0"/>
    <w:rsid w:val="00DA671A"/>
    <w:rsid w:val="00DA674A"/>
    <w:rsid w:val="00DA7398"/>
    <w:rsid w:val="00DB11A8"/>
    <w:rsid w:val="00DB1457"/>
    <w:rsid w:val="00DB1480"/>
    <w:rsid w:val="00DB1968"/>
    <w:rsid w:val="00DB1DBD"/>
    <w:rsid w:val="00DB59B6"/>
    <w:rsid w:val="00DB60D8"/>
    <w:rsid w:val="00DB6A4A"/>
    <w:rsid w:val="00DB7760"/>
    <w:rsid w:val="00DC11E8"/>
    <w:rsid w:val="00DC1D12"/>
    <w:rsid w:val="00DC259D"/>
    <w:rsid w:val="00DC3D19"/>
    <w:rsid w:val="00DC5A09"/>
    <w:rsid w:val="00DC5B23"/>
    <w:rsid w:val="00DC630E"/>
    <w:rsid w:val="00DC66B1"/>
    <w:rsid w:val="00DC6BAB"/>
    <w:rsid w:val="00DC6C2A"/>
    <w:rsid w:val="00DC708A"/>
    <w:rsid w:val="00DD0750"/>
    <w:rsid w:val="00DD0BCB"/>
    <w:rsid w:val="00DD0E8D"/>
    <w:rsid w:val="00DD118C"/>
    <w:rsid w:val="00DD152A"/>
    <w:rsid w:val="00DD1839"/>
    <w:rsid w:val="00DD31B1"/>
    <w:rsid w:val="00DD3D24"/>
    <w:rsid w:val="00DD4017"/>
    <w:rsid w:val="00DD621D"/>
    <w:rsid w:val="00DD647C"/>
    <w:rsid w:val="00DD7A91"/>
    <w:rsid w:val="00DE01F7"/>
    <w:rsid w:val="00DE182A"/>
    <w:rsid w:val="00DE2742"/>
    <w:rsid w:val="00DE2963"/>
    <w:rsid w:val="00DE2A74"/>
    <w:rsid w:val="00DE2CDA"/>
    <w:rsid w:val="00DE30CD"/>
    <w:rsid w:val="00DE3629"/>
    <w:rsid w:val="00DE421F"/>
    <w:rsid w:val="00DE547E"/>
    <w:rsid w:val="00DE65B0"/>
    <w:rsid w:val="00DE7320"/>
    <w:rsid w:val="00DE76CC"/>
    <w:rsid w:val="00DE7AF0"/>
    <w:rsid w:val="00DF02E2"/>
    <w:rsid w:val="00DF0BA7"/>
    <w:rsid w:val="00DF1FF7"/>
    <w:rsid w:val="00DF468F"/>
    <w:rsid w:val="00DF54AF"/>
    <w:rsid w:val="00DF61B5"/>
    <w:rsid w:val="00DF7057"/>
    <w:rsid w:val="00E00476"/>
    <w:rsid w:val="00E00B29"/>
    <w:rsid w:val="00E01187"/>
    <w:rsid w:val="00E014D0"/>
    <w:rsid w:val="00E01777"/>
    <w:rsid w:val="00E03245"/>
    <w:rsid w:val="00E034FA"/>
    <w:rsid w:val="00E0377B"/>
    <w:rsid w:val="00E03C26"/>
    <w:rsid w:val="00E06331"/>
    <w:rsid w:val="00E06DEF"/>
    <w:rsid w:val="00E1009D"/>
    <w:rsid w:val="00E10185"/>
    <w:rsid w:val="00E11EDA"/>
    <w:rsid w:val="00E12452"/>
    <w:rsid w:val="00E12CA1"/>
    <w:rsid w:val="00E137A7"/>
    <w:rsid w:val="00E148F9"/>
    <w:rsid w:val="00E159FA"/>
    <w:rsid w:val="00E20D7C"/>
    <w:rsid w:val="00E21033"/>
    <w:rsid w:val="00E220AF"/>
    <w:rsid w:val="00E22A3B"/>
    <w:rsid w:val="00E23F8C"/>
    <w:rsid w:val="00E2551E"/>
    <w:rsid w:val="00E2576A"/>
    <w:rsid w:val="00E25DDD"/>
    <w:rsid w:val="00E2635D"/>
    <w:rsid w:val="00E2719D"/>
    <w:rsid w:val="00E306EC"/>
    <w:rsid w:val="00E3080E"/>
    <w:rsid w:val="00E30F1F"/>
    <w:rsid w:val="00E31896"/>
    <w:rsid w:val="00E31898"/>
    <w:rsid w:val="00E3269F"/>
    <w:rsid w:val="00E3313D"/>
    <w:rsid w:val="00E3321F"/>
    <w:rsid w:val="00E348C7"/>
    <w:rsid w:val="00E34B96"/>
    <w:rsid w:val="00E36270"/>
    <w:rsid w:val="00E36285"/>
    <w:rsid w:val="00E36AC5"/>
    <w:rsid w:val="00E42976"/>
    <w:rsid w:val="00E438CD"/>
    <w:rsid w:val="00E44FDC"/>
    <w:rsid w:val="00E46134"/>
    <w:rsid w:val="00E4631E"/>
    <w:rsid w:val="00E47C89"/>
    <w:rsid w:val="00E5081B"/>
    <w:rsid w:val="00E50A46"/>
    <w:rsid w:val="00E51BD6"/>
    <w:rsid w:val="00E51DBE"/>
    <w:rsid w:val="00E536EC"/>
    <w:rsid w:val="00E53E97"/>
    <w:rsid w:val="00E546B1"/>
    <w:rsid w:val="00E550A5"/>
    <w:rsid w:val="00E5510E"/>
    <w:rsid w:val="00E5655C"/>
    <w:rsid w:val="00E57F12"/>
    <w:rsid w:val="00E60C92"/>
    <w:rsid w:val="00E62277"/>
    <w:rsid w:val="00E65A72"/>
    <w:rsid w:val="00E66235"/>
    <w:rsid w:val="00E66546"/>
    <w:rsid w:val="00E6746C"/>
    <w:rsid w:val="00E72A3B"/>
    <w:rsid w:val="00E72EA2"/>
    <w:rsid w:val="00E73346"/>
    <w:rsid w:val="00E7364C"/>
    <w:rsid w:val="00E74860"/>
    <w:rsid w:val="00E74DBD"/>
    <w:rsid w:val="00E76BEB"/>
    <w:rsid w:val="00E771FA"/>
    <w:rsid w:val="00E773D5"/>
    <w:rsid w:val="00E776EA"/>
    <w:rsid w:val="00E778B5"/>
    <w:rsid w:val="00E8002B"/>
    <w:rsid w:val="00E8139D"/>
    <w:rsid w:val="00E81D81"/>
    <w:rsid w:val="00E82E3C"/>
    <w:rsid w:val="00E83C24"/>
    <w:rsid w:val="00E84E67"/>
    <w:rsid w:val="00E8564B"/>
    <w:rsid w:val="00E86160"/>
    <w:rsid w:val="00E86CB0"/>
    <w:rsid w:val="00E91FEB"/>
    <w:rsid w:val="00E9273B"/>
    <w:rsid w:val="00E92BE0"/>
    <w:rsid w:val="00E92EA8"/>
    <w:rsid w:val="00E9318D"/>
    <w:rsid w:val="00E932AB"/>
    <w:rsid w:val="00E937DE"/>
    <w:rsid w:val="00E937F4"/>
    <w:rsid w:val="00E94735"/>
    <w:rsid w:val="00E96946"/>
    <w:rsid w:val="00E97B07"/>
    <w:rsid w:val="00EA027C"/>
    <w:rsid w:val="00EA046D"/>
    <w:rsid w:val="00EA2DBE"/>
    <w:rsid w:val="00EA30B0"/>
    <w:rsid w:val="00EA3256"/>
    <w:rsid w:val="00EA340B"/>
    <w:rsid w:val="00EA4E73"/>
    <w:rsid w:val="00EA4F24"/>
    <w:rsid w:val="00EA5423"/>
    <w:rsid w:val="00EA609E"/>
    <w:rsid w:val="00EA703C"/>
    <w:rsid w:val="00EA7DA1"/>
    <w:rsid w:val="00EA7F12"/>
    <w:rsid w:val="00EB003A"/>
    <w:rsid w:val="00EB2C08"/>
    <w:rsid w:val="00EB3065"/>
    <w:rsid w:val="00EB3131"/>
    <w:rsid w:val="00EB5831"/>
    <w:rsid w:val="00EB5EA7"/>
    <w:rsid w:val="00EB6AEC"/>
    <w:rsid w:val="00EB6E59"/>
    <w:rsid w:val="00EB7778"/>
    <w:rsid w:val="00EB7F48"/>
    <w:rsid w:val="00EC39BE"/>
    <w:rsid w:val="00EC7508"/>
    <w:rsid w:val="00EC7916"/>
    <w:rsid w:val="00EC7D05"/>
    <w:rsid w:val="00ED0B4E"/>
    <w:rsid w:val="00ED2029"/>
    <w:rsid w:val="00ED29D2"/>
    <w:rsid w:val="00ED2DD0"/>
    <w:rsid w:val="00EE2046"/>
    <w:rsid w:val="00EE399A"/>
    <w:rsid w:val="00EE419E"/>
    <w:rsid w:val="00EE47FE"/>
    <w:rsid w:val="00EE51AE"/>
    <w:rsid w:val="00EE54EB"/>
    <w:rsid w:val="00EE6B53"/>
    <w:rsid w:val="00EE797C"/>
    <w:rsid w:val="00EE7BF2"/>
    <w:rsid w:val="00EE7C04"/>
    <w:rsid w:val="00EF01B2"/>
    <w:rsid w:val="00EF076F"/>
    <w:rsid w:val="00EF2988"/>
    <w:rsid w:val="00EF333B"/>
    <w:rsid w:val="00EF334A"/>
    <w:rsid w:val="00EF6F28"/>
    <w:rsid w:val="00EF72D7"/>
    <w:rsid w:val="00EF7334"/>
    <w:rsid w:val="00EF7B47"/>
    <w:rsid w:val="00EF7F85"/>
    <w:rsid w:val="00F014E6"/>
    <w:rsid w:val="00F01705"/>
    <w:rsid w:val="00F0299F"/>
    <w:rsid w:val="00F02A91"/>
    <w:rsid w:val="00F02E59"/>
    <w:rsid w:val="00F04E56"/>
    <w:rsid w:val="00F05D54"/>
    <w:rsid w:val="00F06366"/>
    <w:rsid w:val="00F0663B"/>
    <w:rsid w:val="00F06DA0"/>
    <w:rsid w:val="00F06F0F"/>
    <w:rsid w:val="00F10BCB"/>
    <w:rsid w:val="00F10CD2"/>
    <w:rsid w:val="00F111AB"/>
    <w:rsid w:val="00F1212D"/>
    <w:rsid w:val="00F12825"/>
    <w:rsid w:val="00F13DBE"/>
    <w:rsid w:val="00F1495C"/>
    <w:rsid w:val="00F15C0C"/>
    <w:rsid w:val="00F15D7C"/>
    <w:rsid w:val="00F2017C"/>
    <w:rsid w:val="00F2160B"/>
    <w:rsid w:val="00F21AC4"/>
    <w:rsid w:val="00F22AE0"/>
    <w:rsid w:val="00F22EAC"/>
    <w:rsid w:val="00F24727"/>
    <w:rsid w:val="00F254F7"/>
    <w:rsid w:val="00F260F1"/>
    <w:rsid w:val="00F26C3B"/>
    <w:rsid w:val="00F2733D"/>
    <w:rsid w:val="00F27861"/>
    <w:rsid w:val="00F27DE6"/>
    <w:rsid w:val="00F30272"/>
    <w:rsid w:val="00F3032D"/>
    <w:rsid w:val="00F30441"/>
    <w:rsid w:val="00F32AA2"/>
    <w:rsid w:val="00F330B4"/>
    <w:rsid w:val="00F33816"/>
    <w:rsid w:val="00F350EA"/>
    <w:rsid w:val="00F359DC"/>
    <w:rsid w:val="00F37975"/>
    <w:rsid w:val="00F37B9A"/>
    <w:rsid w:val="00F40BE8"/>
    <w:rsid w:val="00F41167"/>
    <w:rsid w:val="00F41390"/>
    <w:rsid w:val="00F41599"/>
    <w:rsid w:val="00F417F1"/>
    <w:rsid w:val="00F41FA2"/>
    <w:rsid w:val="00F42C69"/>
    <w:rsid w:val="00F43048"/>
    <w:rsid w:val="00F435A1"/>
    <w:rsid w:val="00F43D72"/>
    <w:rsid w:val="00F43D7C"/>
    <w:rsid w:val="00F442AC"/>
    <w:rsid w:val="00F455FB"/>
    <w:rsid w:val="00F457F0"/>
    <w:rsid w:val="00F45C5D"/>
    <w:rsid w:val="00F50FF9"/>
    <w:rsid w:val="00F511F4"/>
    <w:rsid w:val="00F537D4"/>
    <w:rsid w:val="00F53D43"/>
    <w:rsid w:val="00F57C0A"/>
    <w:rsid w:val="00F6067F"/>
    <w:rsid w:val="00F60CCC"/>
    <w:rsid w:val="00F60D52"/>
    <w:rsid w:val="00F614F7"/>
    <w:rsid w:val="00F62111"/>
    <w:rsid w:val="00F625D4"/>
    <w:rsid w:val="00F6297E"/>
    <w:rsid w:val="00F639D9"/>
    <w:rsid w:val="00F63B6F"/>
    <w:rsid w:val="00F64C0E"/>
    <w:rsid w:val="00F651D0"/>
    <w:rsid w:val="00F65453"/>
    <w:rsid w:val="00F65AAE"/>
    <w:rsid w:val="00F669C1"/>
    <w:rsid w:val="00F67A40"/>
    <w:rsid w:val="00F700C6"/>
    <w:rsid w:val="00F7145E"/>
    <w:rsid w:val="00F73584"/>
    <w:rsid w:val="00F746D4"/>
    <w:rsid w:val="00F74E53"/>
    <w:rsid w:val="00F76E1C"/>
    <w:rsid w:val="00F7725F"/>
    <w:rsid w:val="00F802A4"/>
    <w:rsid w:val="00F8161A"/>
    <w:rsid w:val="00F81998"/>
    <w:rsid w:val="00F81A5C"/>
    <w:rsid w:val="00F82450"/>
    <w:rsid w:val="00F834B4"/>
    <w:rsid w:val="00F84495"/>
    <w:rsid w:val="00F84D13"/>
    <w:rsid w:val="00F85A26"/>
    <w:rsid w:val="00F91936"/>
    <w:rsid w:val="00F93666"/>
    <w:rsid w:val="00F93C48"/>
    <w:rsid w:val="00F94774"/>
    <w:rsid w:val="00F958A3"/>
    <w:rsid w:val="00F95AAB"/>
    <w:rsid w:val="00F95C4E"/>
    <w:rsid w:val="00F96723"/>
    <w:rsid w:val="00F970AA"/>
    <w:rsid w:val="00F97234"/>
    <w:rsid w:val="00FA0AAB"/>
    <w:rsid w:val="00FA1919"/>
    <w:rsid w:val="00FA2016"/>
    <w:rsid w:val="00FA2CC0"/>
    <w:rsid w:val="00FA2E1A"/>
    <w:rsid w:val="00FA425D"/>
    <w:rsid w:val="00FA5622"/>
    <w:rsid w:val="00FA6DAA"/>
    <w:rsid w:val="00FB0AAB"/>
    <w:rsid w:val="00FB4423"/>
    <w:rsid w:val="00FB4BEA"/>
    <w:rsid w:val="00FB59B5"/>
    <w:rsid w:val="00FB5D90"/>
    <w:rsid w:val="00FB6ADB"/>
    <w:rsid w:val="00FB7A7A"/>
    <w:rsid w:val="00FB7C00"/>
    <w:rsid w:val="00FC087A"/>
    <w:rsid w:val="00FC093C"/>
    <w:rsid w:val="00FC0B34"/>
    <w:rsid w:val="00FC1B05"/>
    <w:rsid w:val="00FC1EB4"/>
    <w:rsid w:val="00FC3ACC"/>
    <w:rsid w:val="00FC53DB"/>
    <w:rsid w:val="00FC56EC"/>
    <w:rsid w:val="00FC63F0"/>
    <w:rsid w:val="00FC71BB"/>
    <w:rsid w:val="00FD04A3"/>
    <w:rsid w:val="00FD07B3"/>
    <w:rsid w:val="00FD10F7"/>
    <w:rsid w:val="00FD3456"/>
    <w:rsid w:val="00FD4911"/>
    <w:rsid w:val="00FD5083"/>
    <w:rsid w:val="00FD56AA"/>
    <w:rsid w:val="00FD6428"/>
    <w:rsid w:val="00FD7242"/>
    <w:rsid w:val="00FE10B9"/>
    <w:rsid w:val="00FE163E"/>
    <w:rsid w:val="00FE1AA2"/>
    <w:rsid w:val="00FE287B"/>
    <w:rsid w:val="00FE2BF5"/>
    <w:rsid w:val="00FE392C"/>
    <w:rsid w:val="00FE4582"/>
    <w:rsid w:val="00FE54C4"/>
    <w:rsid w:val="00FE669D"/>
    <w:rsid w:val="00FE7AC1"/>
    <w:rsid w:val="00FF2065"/>
    <w:rsid w:val="00FF242F"/>
    <w:rsid w:val="00FF2431"/>
    <w:rsid w:val="00FF35C5"/>
    <w:rsid w:val="00FF398B"/>
    <w:rsid w:val="00FF3BE3"/>
    <w:rsid w:val="00FF47CA"/>
    <w:rsid w:val="00FF6347"/>
    <w:rsid w:val="00FF64DA"/>
    <w:rsid w:val="00FF6ED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7634D"/>
  <w15:docId w15:val="{206637A0-18C3-4D7F-9BAF-2D6BF2FB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9E"/>
    <w:rPr>
      <w:rFonts w:ascii="Times New Roman" w:eastAsia="Times New Roman" w:hAnsi="Times New Roman" w:cs="Times New Roman"/>
      <w:lang w:val="en-CA"/>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Cs w:val="18"/>
      <w:lang w:val="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0"/>
    <w:rsid w:val="00A700AC"/>
    <w:pPr>
      <w:numPr>
        <w:numId w:val="0"/>
      </w:numPr>
    </w:pPr>
    <w:rPr>
      <w:rFonts w:asciiTheme="majorBidi" w:hAnsiTheme="majorBidi"/>
    </w:rPr>
  </w:style>
  <w:style w:type="character" w:customStyle="1" w:styleId="ListParagraphChar">
    <w:name w:val="List Paragraph Char"/>
    <w:basedOn w:val="DefaultParagraphFont"/>
    <w:link w:val="ListParagraph"/>
    <w:uiPriority w:val="34"/>
    <w:qFormat/>
    <w:locked/>
    <w:rsid w:val="00A714E6"/>
    <w:rPr>
      <w:rFonts w:ascii="Times New Roman" w:eastAsia="Times New Roman" w:hAnsi="Times New Roman" w:cs="Times New Roman"/>
      <w:sz w:val="22"/>
      <w:lang w:val="en-GB"/>
    </w:rPr>
  </w:style>
  <w:style w:type="character" w:customStyle="1" w:styleId="StylePatternClearGray-15Kernat11pt">
    <w:name w:val="Style Pattern: Clear (Gray-15%) Kern at 11 pt"/>
    <w:rsid w:val="00A714E6"/>
    <w:rPr>
      <w:kern w:val="22"/>
      <w:bdr w:val="none" w:sz="0" w:space="0" w:color="auto"/>
      <w:shd w:val="clear" w:color="auto" w:fill="auto"/>
    </w:rPr>
  </w:style>
  <w:style w:type="paragraph" w:customStyle="1" w:styleId="Para1">
    <w:name w:val="Para 1"/>
    <w:basedOn w:val="BodyText"/>
    <w:rsid w:val="00A714E6"/>
    <w:pPr>
      <w:numPr>
        <w:numId w:val="5"/>
      </w:numPr>
    </w:pPr>
    <w:rPr>
      <w:rFonts w:eastAsia="MS Mincho" w:cs="Angsana New"/>
      <w:bCs/>
      <w:iCs w:val="0"/>
      <w:szCs w:val="22"/>
    </w:rPr>
  </w:style>
  <w:style w:type="paragraph" w:customStyle="1" w:styleId="StylePara1Kernat11pt">
    <w:name w:val="Style Para1 + Kern at 11 pt"/>
    <w:basedOn w:val="Para10"/>
    <w:rsid w:val="00A714E6"/>
    <w:pPr>
      <w:numPr>
        <w:numId w:val="0"/>
      </w:numPr>
    </w:pPr>
    <w:rPr>
      <w:kern w:val="22"/>
    </w:rPr>
  </w:style>
  <w:style w:type="paragraph" w:styleId="CommentSubject">
    <w:name w:val="annotation subject"/>
    <w:basedOn w:val="CommentText"/>
    <w:next w:val="CommentText"/>
    <w:link w:val="CommentSubjectChar"/>
    <w:uiPriority w:val="99"/>
    <w:semiHidden/>
    <w:unhideWhenUsed/>
    <w:rsid w:val="002E667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67B"/>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650F9"/>
    <w:pPr>
      <w:spacing w:before="100" w:beforeAutospacing="1" w:after="100" w:afterAutospacing="1"/>
    </w:pPr>
    <w:rPr>
      <w:lang w:val="es-MX" w:eastAsia="es-MX"/>
    </w:rPr>
  </w:style>
  <w:style w:type="paragraph" w:styleId="Revision">
    <w:name w:val="Revision"/>
    <w:hidden/>
    <w:uiPriority w:val="99"/>
    <w:semiHidden/>
    <w:rsid w:val="00047612"/>
    <w:rPr>
      <w:rFonts w:ascii="Times New Roman" w:eastAsia="Times New Roman" w:hAnsi="Times New Roman" w:cs="Times New Roman"/>
      <w:sz w:val="22"/>
      <w:lang w:val="en-GB"/>
    </w:rPr>
  </w:style>
  <w:style w:type="character" w:styleId="Strong">
    <w:name w:val="Strong"/>
    <w:basedOn w:val="DefaultParagraphFont"/>
    <w:uiPriority w:val="22"/>
    <w:qFormat/>
    <w:rsid w:val="00A425DE"/>
    <w:rPr>
      <w:b/>
      <w:bCs/>
    </w:rPr>
  </w:style>
  <w:style w:type="character" w:customStyle="1" w:styleId="UnresolvedMention1">
    <w:name w:val="Unresolved Mention1"/>
    <w:basedOn w:val="DefaultParagraphFont"/>
    <w:uiPriority w:val="99"/>
    <w:semiHidden/>
    <w:unhideWhenUsed/>
    <w:rsid w:val="00C83B94"/>
    <w:rPr>
      <w:color w:val="605E5C"/>
      <w:shd w:val="clear" w:color="auto" w:fill="E1DFDD"/>
    </w:rPr>
  </w:style>
  <w:style w:type="paragraph" w:customStyle="1" w:styleId="xmsolistparagraph">
    <w:name w:val="x_msolistparagraph"/>
    <w:basedOn w:val="Normal"/>
    <w:rsid w:val="007B7047"/>
    <w:rPr>
      <w:rFonts w:eastAsiaTheme="minorHAnsi"/>
      <w:lang w:val="en-US"/>
    </w:rPr>
  </w:style>
  <w:style w:type="character" w:styleId="Emphasis">
    <w:name w:val="Emphasis"/>
    <w:basedOn w:val="DefaultParagraphFont"/>
    <w:uiPriority w:val="20"/>
    <w:qFormat/>
    <w:rsid w:val="00BD0694"/>
    <w:rPr>
      <w:i/>
      <w:iCs/>
    </w:rPr>
  </w:style>
  <w:style w:type="paragraph" w:customStyle="1" w:styleId="bodytext0">
    <w:name w:val="bodytext"/>
    <w:basedOn w:val="Normal"/>
    <w:rsid w:val="008E54D8"/>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3912C9"/>
    <w:rPr>
      <w:color w:val="605E5C"/>
      <w:shd w:val="clear" w:color="auto" w:fill="E1DFDD"/>
    </w:rPr>
  </w:style>
  <w:style w:type="character" w:customStyle="1" w:styleId="hgkelc">
    <w:name w:val="hgkelc"/>
    <w:basedOn w:val="DefaultParagraphFont"/>
    <w:rsid w:val="005770FC"/>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372E7B"/>
    <w:pPr>
      <w:spacing w:after="160" w:line="240" w:lineRule="exact"/>
      <w:jc w:val="both"/>
    </w:pPr>
    <w:rPr>
      <w:rFonts w:asciiTheme="minorHAnsi" w:eastAsiaTheme="minorEastAsia" w:hAnsiTheme="minorHAnsi" w:cstheme="minorBidi"/>
      <w:sz w:val="22"/>
      <w:vertAlign w:val="superscript"/>
      <w:lang w:val="fr-CA"/>
    </w:rPr>
  </w:style>
  <w:style w:type="character" w:customStyle="1" w:styleId="ng-binding">
    <w:name w:val="ng-binding"/>
    <w:basedOn w:val="DefaultParagraphFont"/>
    <w:rsid w:val="005B18D9"/>
  </w:style>
  <w:style w:type="character" w:styleId="UnresolvedMention">
    <w:name w:val="Unresolved Mention"/>
    <w:basedOn w:val="DefaultParagraphFont"/>
    <w:uiPriority w:val="99"/>
    <w:semiHidden/>
    <w:unhideWhenUsed/>
    <w:rsid w:val="00FB6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3809">
      <w:bodyDiv w:val="1"/>
      <w:marLeft w:val="0"/>
      <w:marRight w:val="0"/>
      <w:marTop w:val="0"/>
      <w:marBottom w:val="0"/>
      <w:divBdr>
        <w:top w:val="none" w:sz="0" w:space="0" w:color="auto"/>
        <w:left w:val="none" w:sz="0" w:space="0" w:color="auto"/>
        <w:bottom w:val="none" w:sz="0" w:space="0" w:color="auto"/>
        <w:right w:val="none" w:sz="0" w:space="0" w:color="auto"/>
      </w:divBdr>
    </w:div>
    <w:div w:id="234631255">
      <w:bodyDiv w:val="1"/>
      <w:marLeft w:val="0"/>
      <w:marRight w:val="0"/>
      <w:marTop w:val="0"/>
      <w:marBottom w:val="0"/>
      <w:divBdr>
        <w:top w:val="none" w:sz="0" w:space="0" w:color="auto"/>
        <w:left w:val="none" w:sz="0" w:space="0" w:color="auto"/>
        <w:bottom w:val="none" w:sz="0" w:space="0" w:color="auto"/>
        <w:right w:val="none" w:sz="0" w:space="0" w:color="auto"/>
      </w:divBdr>
    </w:div>
    <w:div w:id="248348098">
      <w:bodyDiv w:val="1"/>
      <w:marLeft w:val="0"/>
      <w:marRight w:val="0"/>
      <w:marTop w:val="0"/>
      <w:marBottom w:val="0"/>
      <w:divBdr>
        <w:top w:val="none" w:sz="0" w:space="0" w:color="auto"/>
        <w:left w:val="none" w:sz="0" w:space="0" w:color="auto"/>
        <w:bottom w:val="none" w:sz="0" w:space="0" w:color="auto"/>
        <w:right w:val="none" w:sz="0" w:space="0" w:color="auto"/>
      </w:divBdr>
    </w:div>
    <w:div w:id="313991371">
      <w:bodyDiv w:val="1"/>
      <w:marLeft w:val="0"/>
      <w:marRight w:val="0"/>
      <w:marTop w:val="0"/>
      <w:marBottom w:val="0"/>
      <w:divBdr>
        <w:top w:val="none" w:sz="0" w:space="0" w:color="auto"/>
        <w:left w:val="none" w:sz="0" w:space="0" w:color="auto"/>
        <w:bottom w:val="none" w:sz="0" w:space="0" w:color="auto"/>
        <w:right w:val="none" w:sz="0" w:space="0" w:color="auto"/>
      </w:divBdr>
    </w:div>
    <w:div w:id="58610939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6561152">
      <w:bodyDiv w:val="1"/>
      <w:marLeft w:val="0"/>
      <w:marRight w:val="0"/>
      <w:marTop w:val="0"/>
      <w:marBottom w:val="0"/>
      <w:divBdr>
        <w:top w:val="none" w:sz="0" w:space="0" w:color="auto"/>
        <w:left w:val="none" w:sz="0" w:space="0" w:color="auto"/>
        <w:bottom w:val="none" w:sz="0" w:space="0" w:color="auto"/>
        <w:right w:val="none" w:sz="0" w:space="0" w:color="auto"/>
      </w:divBdr>
    </w:div>
    <w:div w:id="773016124">
      <w:bodyDiv w:val="1"/>
      <w:marLeft w:val="0"/>
      <w:marRight w:val="0"/>
      <w:marTop w:val="0"/>
      <w:marBottom w:val="0"/>
      <w:divBdr>
        <w:top w:val="none" w:sz="0" w:space="0" w:color="auto"/>
        <w:left w:val="none" w:sz="0" w:space="0" w:color="auto"/>
        <w:bottom w:val="none" w:sz="0" w:space="0" w:color="auto"/>
        <w:right w:val="none" w:sz="0" w:space="0" w:color="auto"/>
      </w:divBdr>
    </w:div>
    <w:div w:id="873932618">
      <w:bodyDiv w:val="1"/>
      <w:marLeft w:val="0"/>
      <w:marRight w:val="0"/>
      <w:marTop w:val="0"/>
      <w:marBottom w:val="0"/>
      <w:divBdr>
        <w:top w:val="none" w:sz="0" w:space="0" w:color="auto"/>
        <w:left w:val="none" w:sz="0" w:space="0" w:color="auto"/>
        <w:bottom w:val="none" w:sz="0" w:space="0" w:color="auto"/>
        <w:right w:val="none" w:sz="0" w:space="0" w:color="auto"/>
      </w:divBdr>
    </w:div>
    <w:div w:id="874658605">
      <w:bodyDiv w:val="1"/>
      <w:marLeft w:val="0"/>
      <w:marRight w:val="0"/>
      <w:marTop w:val="0"/>
      <w:marBottom w:val="0"/>
      <w:divBdr>
        <w:top w:val="none" w:sz="0" w:space="0" w:color="auto"/>
        <w:left w:val="none" w:sz="0" w:space="0" w:color="auto"/>
        <w:bottom w:val="none" w:sz="0" w:space="0" w:color="auto"/>
        <w:right w:val="none" w:sz="0" w:space="0" w:color="auto"/>
      </w:divBdr>
    </w:div>
    <w:div w:id="892040950">
      <w:bodyDiv w:val="1"/>
      <w:marLeft w:val="0"/>
      <w:marRight w:val="0"/>
      <w:marTop w:val="0"/>
      <w:marBottom w:val="0"/>
      <w:divBdr>
        <w:top w:val="none" w:sz="0" w:space="0" w:color="auto"/>
        <w:left w:val="none" w:sz="0" w:space="0" w:color="auto"/>
        <w:bottom w:val="none" w:sz="0" w:space="0" w:color="auto"/>
        <w:right w:val="none" w:sz="0" w:space="0" w:color="auto"/>
      </w:divBdr>
    </w:div>
    <w:div w:id="1006592806">
      <w:bodyDiv w:val="1"/>
      <w:marLeft w:val="0"/>
      <w:marRight w:val="0"/>
      <w:marTop w:val="0"/>
      <w:marBottom w:val="0"/>
      <w:divBdr>
        <w:top w:val="none" w:sz="0" w:space="0" w:color="auto"/>
        <w:left w:val="none" w:sz="0" w:space="0" w:color="auto"/>
        <w:bottom w:val="none" w:sz="0" w:space="0" w:color="auto"/>
        <w:right w:val="none" w:sz="0" w:space="0" w:color="auto"/>
      </w:divBdr>
    </w:div>
    <w:div w:id="1022970875">
      <w:bodyDiv w:val="1"/>
      <w:marLeft w:val="0"/>
      <w:marRight w:val="0"/>
      <w:marTop w:val="0"/>
      <w:marBottom w:val="0"/>
      <w:divBdr>
        <w:top w:val="none" w:sz="0" w:space="0" w:color="auto"/>
        <w:left w:val="none" w:sz="0" w:space="0" w:color="auto"/>
        <w:bottom w:val="none" w:sz="0" w:space="0" w:color="auto"/>
        <w:right w:val="none" w:sz="0" w:space="0" w:color="auto"/>
      </w:divBdr>
    </w:div>
    <w:div w:id="1086153199">
      <w:bodyDiv w:val="1"/>
      <w:marLeft w:val="0"/>
      <w:marRight w:val="0"/>
      <w:marTop w:val="0"/>
      <w:marBottom w:val="0"/>
      <w:divBdr>
        <w:top w:val="none" w:sz="0" w:space="0" w:color="auto"/>
        <w:left w:val="none" w:sz="0" w:space="0" w:color="auto"/>
        <w:bottom w:val="none" w:sz="0" w:space="0" w:color="auto"/>
        <w:right w:val="none" w:sz="0" w:space="0" w:color="auto"/>
      </w:divBdr>
    </w:div>
    <w:div w:id="1203443141">
      <w:bodyDiv w:val="1"/>
      <w:marLeft w:val="0"/>
      <w:marRight w:val="0"/>
      <w:marTop w:val="0"/>
      <w:marBottom w:val="0"/>
      <w:divBdr>
        <w:top w:val="none" w:sz="0" w:space="0" w:color="auto"/>
        <w:left w:val="none" w:sz="0" w:space="0" w:color="auto"/>
        <w:bottom w:val="none" w:sz="0" w:space="0" w:color="auto"/>
        <w:right w:val="none" w:sz="0" w:space="0" w:color="auto"/>
      </w:divBdr>
    </w:div>
    <w:div w:id="1292441768">
      <w:bodyDiv w:val="1"/>
      <w:marLeft w:val="0"/>
      <w:marRight w:val="0"/>
      <w:marTop w:val="0"/>
      <w:marBottom w:val="0"/>
      <w:divBdr>
        <w:top w:val="none" w:sz="0" w:space="0" w:color="auto"/>
        <w:left w:val="none" w:sz="0" w:space="0" w:color="auto"/>
        <w:bottom w:val="none" w:sz="0" w:space="0" w:color="auto"/>
        <w:right w:val="none" w:sz="0" w:space="0" w:color="auto"/>
      </w:divBdr>
    </w:div>
    <w:div w:id="1869828056">
      <w:bodyDiv w:val="1"/>
      <w:marLeft w:val="0"/>
      <w:marRight w:val="0"/>
      <w:marTop w:val="0"/>
      <w:marBottom w:val="0"/>
      <w:divBdr>
        <w:top w:val="none" w:sz="0" w:space="0" w:color="auto"/>
        <w:left w:val="none" w:sz="0" w:space="0" w:color="auto"/>
        <w:bottom w:val="none" w:sz="0" w:space="0" w:color="auto"/>
        <w:right w:val="none" w:sz="0" w:space="0" w:color="auto"/>
      </w:divBdr>
    </w:div>
    <w:div w:id="2089766683">
      <w:bodyDiv w:val="1"/>
      <w:marLeft w:val="0"/>
      <w:marRight w:val="0"/>
      <w:marTop w:val="0"/>
      <w:marBottom w:val="0"/>
      <w:divBdr>
        <w:top w:val="none" w:sz="0" w:space="0" w:color="auto"/>
        <w:left w:val="none" w:sz="0" w:space="0" w:color="auto"/>
        <w:bottom w:val="none" w:sz="0" w:space="0" w:color="auto"/>
        <w:right w:val="none" w:sz="0" w:space="0" w:color="auto"/>
      </w:divBdr>
      <w:divsChild>
        <w:div w:id="1348678877">
          <w:marLeft w:val="0"/>
          <w:marRight w:val="0"/>
          <w:marTop w:val="0"/>
          <w:marBottom w:val="0"/>
          <w:divBdr>
            <w:top w:val="none" w:sz="0" w:space="0" w:color="auto"/>
            <w:left w:val="none" w:sz="0" w:space="0" w:color="auto"/>
            <w:bottom w:val="none" w:sz="0" w:space="0" w:color="auto"/>
            <w:right w:val="none" w:sz="0" w:space="0" w:color="auto"/>
          </w:divBdr>
          <w:divsChild>
            <w:div w:id="725907396">
              <w:marLeft w:val="0"/>
              <w:marRight w:val="0"/>
              <w:marTop w:val="0"/>
              <w:marBottom w:val="0"/>
              <w:divBdr>
                <w:top w:val="none" w:sz="0" w:space="0" w:color="auto"/>
                <w:left w:val="none" w:sz="0" w:space="0" w:color="auto"/>
                <w:bottom w:val="none" w:sz="0" w:space="0" w:color="auto"/>
                <w:right w:val="none" w:sz="0" w:space="0" w:color="auto"/>
              </w:divBdr>
              <w:divsChild>
                <w:div w:id="1432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mop-07/mop-07-dec-05-en.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22-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mainstream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bd.int/doc/decisions/cop-14/cop-14-dec-03-en.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bd.int/doc/decisions/mop-08/mop-08-dec-15-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about/meetings/multi-stakeholder-dialogue-on-biodiversity/en/" TargetMode="External"/><Relationship Id="rId13" Type="http://schemas.openxmlformats.org/officeDocument/2006/relationships/hyperlink" Target="https://www.cbd.int/doc/c/3064/749a/0f65ac7f9def86707f4eaefa/post2020-prep-02-01-en.pdf" TargetMode="External"/><Relationship Id="rId18" Type="http://schemas.openxmlformats.org/officeDocument/2006/relationships/hyperlink" Target="https://ipbes.net/nexus/scoping-document" TargetMode="External"/><Relationship Id="rId3" Type="http://schemas.openxmlformats.org/officeDocument/2006/relationships/hyperlink" Target="https://www.cbd.int/sbstta/sbstta-24/post2020-monitoring-en.pdf" TargetMode="External"/><Relationship Id="rId7" Type="http://schemas.openxmlformats.org/officeDocument/2006/relationships/hyperlink" Target="https://www.cbd.int/business/" TargetMode="External"/><Relationship Id="rId12" Type="http://schemas.openxmlformats.org/officeDocument/2006/relationships/hyperlink" Target="http://www.fao.org/neareast/news/view/en/c/1244948/" TargetMode="External"/><Relationship Id="rId17" Type="http://schemas.openxmlformats.org/officeDocument/2006/relationships/hyperlink" Target="https://ipbes.net/sites/default/files/2020-02/ipbes_global_assessment_report_summary_for_policymakers_en.pdf" TargetMode="External"/><Relationship Id="rId2" Type="http://schemas.openxmlformats.org/officeDocument/2006/relationships/hyperlink" Target="https://www.cbd.int/doc/c/ef76/8279/9e6afdae557407bcc891a789/wg2020-02-mainstreaming-en.docx" TargetMode="External"/><Relationship Id="rId16" Type="http://schemas.openxmlformats.org/officeDocument/2006/relationships/hyperlink" Target="https://www.cbd.int/ecosystem/" TargetMode="External"/><Relationship Id="rId20"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mainstreaming/doc/IAG-ECN-Members-2019-07.pdf" TargetMode="External"/><Relationship Id="rId6" Type="http://schemas.openxmlformats.org/officeDocument/2006/relationships/hyperlink" Target="https://www.cbd.int/doc/decisions/cop-11/cop-11-dec-07-en.pdf" TargetMode="External"/><Relationship Id="rId11" Type="http://schemas.openxmlformats.org/officeDocument/2006/relationships/hyperlink" Target="http://www.fao.org/africa/news/detail-news/en/c/1249491/" TargetMode="External"/><Relationship Id="rId5" Type="http://schemas.openxmlformats.org/officeDocument/2006/relationships/hyperlink" Target="https://www.cbd.int/doc/decisions/cop-10/cop-10-dec-21-en.pdf" TargetMode="External"/><Relationship Id="rId15" Type="http://schemas.openxmlformats.org/officeDocument/2006/relationships/hyperlink" Target="https://www.cbd.int/doc/meetings/cop/cop-13/official/cop-13-24-en.pdf" TargetMode="External"/><Relationship Id="rId10" Type="http://schemas.openxmlformats.org/officeDocument/2006/relationships/hyperlink" Target="http://www.fao.org/asiapacific/events/detail-events/en/c/1604/" TargetMode="External"/><Relationship Id="rId19" Type="http://schemas.openxmlformats.org/officeDocument/2006/relationships/hyperlink" Target="http://www.biodiversitybarometer.org/" TargetMode="External"/><Relationship Id="rId4" Type="http://schemas.openxmlformats.org/officeDocument/2006/relationships/hyperlink" Target="http://bch.cbd.int/protocol/issues/mainstreaming/" TargetMode="External"/><Relationship Id="rId9" Type="http://schemas.openxmlformats.org/officeDocument/2006/relationships/hyperlink" Target="http://www.fao.org/americas/eventos/ver/en/c/1156040/" TargetMode="External"/><Relationship Id="rId14" Type="http://schemas.openxmlformats.org/officeDocument/2006/relationships/hyperlink" Target="https://ipbes.net/sites/default/files/2020-02/ipbes_global_assessment_report_summary_for_policymakers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200ACA" w:rsidRDefault="00CE6602" w:rsidP="00CE6602">
          <w:pPr>
            <w:pStyle w:val="C444DEE40D7C456B82AF1A09CD132ABF"/>
          </w:pPr>
          <w:r>
            <w:rPr>
              <w:rStyle w:val="PlaceholderText"/>
            </w:rPr>
            <w:t>Click here to enter text.</w:t>
          </w:r>
        </w:p>
      </w:docPartBody>
    </w:docPart>
    <w:docPart>
      <w:docPartPr>
        <w:name w:val="012639082CAB4A229A6DD89611CA8122"/>
        <w:category>
          <w:name w:val="General"/>
          <w:gallery w:val="placeholder"/>
        </w:category>
        <w:types>
          <w:type w:val="bbPlcHdr"/>
        </w:types>
        <w:behaviors>
          <w:behavior w:val="content"/>
        </w:behaviors>
        <w:guid w:val="{7A594910-04F5-4EF4-B8E8-FB291CB17723}"/>
      </w:docPartPr>
      <w:docPartBody>
        <w:p w:rsidR="005F0413" w:rsidRDefault="00650C86">
          <w:r w:rsidRPr="00384CDB">
            <w:rPr>
              <w:rStyle w:val="PlaceholderText"/>
            </w:rPr>
            <w:t>[Subject]</w:t>
          </w:r>
        </w:p>
      </w:docPartBody>
    </w:docPart>
    <w:docPart>
      <w:docPartPr>
        <w:name w:val="01EFFB0CDD8D468484E772FB032477F6"/>
        <w:category>
          <w:name w:val="General"/>
          <w:gallery w:val="placeholder"/>
        </w:category>
        <w:types>
          <w:type w:val="bbPlcHdr"/>
        </w:types>
        <w:behaviors>
          <w:behavior w:val="content"/>
        </w:behaviors>
        <w:guid w:val="{768F00E4-14CF-47B3-B1DF-4A11AB6BB080}"/>
      </w:docPartPr>
      <w:docPartBody>
        <w:p w:rsidR="008A1D6A" w:rsidRDefault="007C20DC">
          <w:r w:rsidRPr="005368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2FBE"/>
    <w:rsid w:val="00006AC9"/>
    <w:rsid w:val="0001542E"/>
    <w:rsid w:val="0003091F"/>
    <w:rsid w:val="001422EF"/>
    <w:rsid w:val="00200ACA"/>
    <w:rsid w:val="00263E82"/>
    <w:rsid w:val="00277BCC"/>
    <w:rsid w:val="002822EB"/>
    <w:rsid w:val="00285922"/>
    <w:rsid w:val="002E3316"/>
    <w:rsid w:val="002E5EB5"/>
    <w:rsid w:val="00310633"/>
    <w:rsid w:val="00324582"/>
    <w:rsid w:val="003E7E6F"/>
    <w:rsid w:val="004533DC"/>
    <w:rsid w:val="00467E13"/>
    <w:rsid w:val="004A3BD8"/>
    <w:rsid w:val="004B0EE7"/>
    <w:rsid w:val="00500A2B"/>
    <w:rsid w:val="00510ADC"/>
    <w:rsid w:val="00530C71"/>
    <w:rsid w:val="0054011F"/>
    <w:rsid w:val="0058288D"/>
    <w:rsid w:val="005A02ED"/>
    <w:rsid w:val="005B0AFF"/>
    <w:rsid w:val="005F0413"/>
    <w:rsid w:val="005F3463"/>
    <w:rsid w:val="00650C86"/>
    <w:rsid w:val="006801B3"/>
    <w:rsid w:val="006929FF"/>
    <w:rsid w:val="00720F63"/>
    <w:rsid w:val="00750A24"/>
    <w:rsid w:val="007A0B24"/>
    <w:rsid w:val="007C20DC"/>
    <w:rsid w:val="007F0A5B"/>
    <w:rsid w:val="007F1B76"/>
    <w:rsid w:val="00810A55"/>
    <w:rsid w:val="00811631"/>
    <w:rsid w:val="0089489C"/>
    <w:rsid w:val="008A1D6A"/>
    <w:rsid w:val="008C6619"/>
    <w:rsid w:val="008D420E"/>
    <w:rsid w:val="0090680F"/>
    <w:rsid w:val="0091736D"/>
    <w:rsid w:val="009644A8"/>
    <w:rsid w:val="00964DF9"/>
    <w:rsid w:val="0098642F"/>
    <w:rsid w:val="009906B9"/>
    <w:rsid w:val="009A15D0"/>
    <w:rsid w:val="009A1B35"/>
    <w:rsid w:val="009B0561"/>
    <w:rsid w:val="009C1075"/>
    <w:rsid w:val="009E7B9F"/>
    <w:rsid w:val="009F4392"/>
    <w:rsid w:val="00A01190"/>
    <w:rsid w:val="00A21192"/>
    <w:rsid w:val="00A26B14"/>
    <w:rsid w:val="00A514AD"/>
    <w:rsid w:val="00A71D15"/>
    <w:rsid w:val="00A83A3C"/>
    <w:rsid w:val="00A879DB"/>
    <w:rsid w:val="00AB6472"/>
    <w:rsid w:val="00B23FE4"/>
    <w:rsid w:val="00B432C3"/>
    <w:rsid w:val="00B61087"/>
    <w:rsid w:val="00B922CB"/>
    <w:rsid w:val="00BC66CE"/>
    <w:rsid w:val="00BE3A83"/>
    <w:rsid w:val="00C052FF"/>
    <w:rsid w:val="00C227E2"/>
    <w:rsid w:val="00C35CB0"/>
    <w:rsid w:val="00CE6602"/>
    <w:rsid w:val="00D012F3"/>
    <w:rsid w:val="00D0627F"/>
    <w:rsid w:val="00D102A2"/>
    <w:rsid w:val="00D50BA2"/>
    <w:rsid w:val="00DB202E"/>
    <w:rsid w:val="00DC3961"/>
    <w:rsid w:val="00E205FD"/>
    <w:rsid w:val="00E5203C"/>
    <w:rsid w:val="00E91D5F"/>
    <w:rsid w:val="00EB0572"/>
    <w:rsid w:val="00EB4D80"/>
    <w:rsid w:val="00EC358E"/>
    <w:rsid w:val="00F4005A"/>
    <w:rsid w:val="00F47497"/>
    <w:rsid w:val="00F66490"/>
    <w:rsid w:val="00F85376"/>
    <w:rsid w:val="00FE55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1D6A"/>
    <w:rPr>
      <w:color w:val="808080"/>
    </w:rPr>
  </w:style>
  <w:style w:type="paragraph" w:customStyle="1" w:styleId="C444DEE40D7C456B82AF1A09CD132ABF">
    <w:name w:val="C444DEE40D7C456B82AF1A09CD132ABF"/>
    <w:rsid w:val="00CE6602"/>
    <w:pPr>
      <w:spacing w:after="160" w:line="259" w:lineRule="auto"/>
    </w:pPr>
  </w:style>
  <w:style w:type="paragraph" w:customStyle="1" w:styleId="A463D6E4C0814FAAAA7071AE51ACA43B">
    <w:name w:val="A463D6E4C0814FAAAA7071AE51ACA43B"/>
    <w:rsid w:val="009F4392"/>
    <w:pPr>
      <w:spacing w:after="160" w:line="259" w:lineRule="auto"/>
    </w:pPr>
    <w:rPr>
      <w:lang w:val="en-CA" w:eastAsia="zh-CN"/>
    </w:rPr>
  </w:style>
  <w:style w:type="paragraph" w:customStyle="1" w:styleId="A028A32A4D4C4DB9A233C824690D0170">
    <w:name w:val="A028A32A4D4C4DB9A233C824690D0170"/>
    <w:rsid w:val="009F4392"/>
    <w:pPr>
      <w:spacing w:after="160" w:line="259" w:lineRule="auto"/>
    </w:pPr>
    <w:rPr>
      <w:lang w:val="en-CA" w:eastAsia="zh-CN"/>
    </w:rPr>
  </w:style>
  <w:style w:type="paragraph" w:customStyle="1" w:styleId="E54A71E1AE0A452082D335CD8D407CB0">
    <w:name w:val="E54A71E1AE0A452082D335CD8D407CB0"/>
    <w:rsid w:val="009F4392"/>
    <w:pPr>
      <w:spacing w:after="160" w:line="259" w:lineRule="auto"/>
    </w:pPr>
    <w:rPr>
      <w:lang w:val="en-CA" w:eastAsia="zh-CN"/>
    </w:rPr>
  </w:style>
  <w:style w:type="paragraph" w:customStyle="1" w:styleId="AC70CB84195C485498885327EB0C444B">
    <w:name w:val="AC70CB84195C485498885327EB0C444B"/>
    <w:rsid w:val="00A01190"/>
    <w:pPr>
      <w:spacing w:after="160" w:line="259" w:lineRule="auto"/>
    </w:pPr>
    <w:rPr>
      <w:lang w:val="en-CA" w:eastAsia="zh-CN"/>
    </w:rPr>
  </w:style>
  <w:style w:type="paragraph" w:customStyle="1" w:styleId="8F7228FE7F7A40E0969DA1EA98BB9257">
    <w:name w:val="8F7228FE7F7A40E0969DA1EA98BB9257"/>
    <w:rsid w:val="008A1D6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C2AB63-5F5F-48C9-8B00-965D0A7C7F3B}">
  <ds:schemaRefs>
    <ds:schemaRef ds:uri="http://schemas.microsoft.com/sharepoint/v3/contenttype/forms"/>
  </ds:schemaRefs>
</ds:datastoreItem>
</file>

<file path=customXml/itemProps3.xml><?xml version="1.0" encoding="utf-8"?>
<ds:datastoreItem xmlns:ds="http://schemas.openxmlformats.org/officeDocument/2006/customXml" ds:itemID="{97BBD098-0669-409F-A486-B90EAFFC2E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5449D0-7124-49DE-832F-F2DD858D0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D767B8-F574-4D03-BE20-5E2CC141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9548</Words>
  <Characters>54429</Characters>
  <Application>Microsoft Office Word</Application>
  <DocSecurity>0</DocSecurity>
  <Lines>453</Lines>
  <Paragraphs>127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MAINSTREAMING OF BIODIVERSITY WITHIN AND ACROSS SECTORS AND OTHER STRATEGIC ACTIONS TO ENHANCE IMPLEMENTATION</vt:lpstr>
      <vt:lpstr>Long-term Approach on Mainstreaming of biodiversity</vt:lpstr>
    </vt:vector>
  </TitlesOfParts>
  <Company>SCBD</Company>
  <LinksUpToDate>false</LinksUpToDate>
  <CharactersWithSpaces>63850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of biodiversity within and across sectors and other strategic actions to enhance implementation</dc:title>
  <dc:subject>CBD/SBI/3/13</dc:subject>
  <dc:creator>SBI 2</dc:creator>
  <cp:keywords>Subsidiary Body on Implementation, third meeting, Convention on Biological Diversity</cp:keywords>
  <cp:lastModifiedBy>Veronique Lefebvre</cp:lastModifiedBy>
  <cp:revision>3</cp:revision>
  <cp:lastPrinted>2018-07-13T21:29:00Z</cp:lastPrinted>
  <dcterms:created xsi:type="dcterms:W3CDTF">2020-09-22T20:05:00Z</dcterms:created>
  <dcterms:modified xsi:type="dcterms:W3CDTF">2020-09-22T20:05:00Z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RKAktivitetskategori">
    <vt:lpwstr/>
  </property>
  <property fmtid="{D5CDD505-2E9C-101B-9397-08002B2CF9AE}" pid="4" name="_dlc_DocIdItemGuid">
    <vt:lpwstr>2885c819-5309-4ce0-aea9-18168490356f</vt:lpwstr>
  </property>
</Properties>
</file>