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FE7DD7" w:rsidRPr="00C538F0" w14:paraId="707E26C5" w14:textId="77777777" w:rsidTr="00284FCB">
        <w:trPr>
          <w:trHeight w:val="851"/>
        </w:trPr>
        <w:tc>
          <w:tcPr>
            <w:tcW w:w="465" w:type="pct"/>
            <w:tcBorders>
              <w:bottom w:val="single" w:sz="8" w:space="0" w:color="auto"/>
            </w:tcBorders>
            <w:vAlign w:val="bottom"/>
          </w:tcPr>
          <w:p w14:paraId="0E3AA49B" w14:textId="77777777" w:rsidR="00FE7DD7" w:rsidRPr="00C538F0" w:rsidRDefault="00FE7DD7" w:rsidP="00284FCB">
            <w:pPr>
              <w:spacing w:after="120"/>
              <w:jc w:val="left"/>
            </w:pPr>
            <w:bookmarkStart w:id="0" w:name="_Toc522023191"/>
            <w:bookmarkStart w:id="1" w:name="_Hlk2766324"/>
            <w:r w:rsidRPr="00C538F0">
              <w:drawing>
                <wp:inline distT="0" distB="0" distL="0" distR="0" wp14:anchorId="4FFA9DBF" wp14:editId="5C828D6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AC97412" w14:textId="134ADDFC" w:rsidR="00FE7DD7" w:rsidRPr="00C538F0" w:rsidRDefault="00910A82" w:rsidP="00284FCB">
            <w:pPr>
              <w:spacing w:after="120"/>
              <w:jc w:val="left"/>
            </w:pPr>
            <w:r w:rsidRPr="00C538F0">
              <w:drawing>
                <wp:inline distT="0" distB="0" distL="0" distR="0" wp14:anchorId="3A32D5FA" wp14:editId="4B47B1F5">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D76C55C" w14:textId="01941774" w:rsidR="00FE7DD7" w:rsidRPr="00C538F0" w:rsidRDefault="00FE7DD7" w:rsidP="00284FCB">
            <w:pPr>
              <w:spacing w:after="120"/>
              <w:ind w:left="2021"/>
              <w:jc w:val="right"/>
              <w:rPr>
                <w:szCs w:val="22"/>
              </w:rPr>
            </w:pPr>
            <w:proofErr w:type="spellStart"/>
            <w:r w:rsidRPr="00C538F0">
              <w:rPr>
                <w:sz w:val="40"/>
                <w:szCs w:val="40"/>
              </w:rPr>
              <w:t>CBD</w:t>
            </w:r>
            <w:proofErr w:type="spellEnd"/>
            <w:r w:rsidRPr="00C538F0">
              <w:t>/</w:t>
            </w:r>
            <w:proofErr w:type="spellStart"/>
            <w:r w:rsidRPr="00C538F0">
              <w:t>SBI</w:t>
            </w:r>
            <w:proofErr w:type="spellEnd"/>
            <w:r w:rsidRPr="00C538F0">
              <w:t>/4/16</w:t>
            </w:r>
          </w:p>
        </w:tc>
      </w:tr>
      <w:tr w:rsidR="00FE7DD7" w:rsidRPr="00C538F0" w14:paraId="2CB2138F" w14:textId="77777777" w:rsidTr="00284FCB">
        <w:tc>
          <w:tcPr>
            <w:tcW w:w="2297" w:type="pct"/>
            <w:gridSpan w:val="2"/>
            <w:tcBorders>
              <w:top w:val="single" w:sz="8" w:space="0" w:color="auto"/>
              <w:bottom w:val="single" w:sz="12" w:space="0" w:color="auto"/>
            </w:tcBorders>
          </w:tcPr>
          <w:p w14:paraId="32A2574B" w14:textId="5029019A" w:rsidR="00FE7DD7" w:rsidRPr="00C538F0" w:rsidRDefault="00C0196E" w:rsidP="00284FCB">
            <w:pPr>
              <w:pStyle w:val="Cornernotation"/>
              <w:suppressLineNumbers/>
              <w:suppressAutoHyphens/>
              <w:spacing w:before="120" w:after="120"/>
              <w:ind w:left="0" w:right="0" w:firstLine="0"/>
            </w:pPr>
            <w:r w:rsidRPr="00C538F0">
              <w:rPr>
                <w:kern w:val="22"/>
              </w:rPr>
              <w:drawing>
                <wp:inline distT="0" distB="0" distL="0" distR="0" wp14:anchorId="502F6289" wp14:editId="44E409B2">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8FB9850" w14:textId="77777777" w:rsidR="00FE7DD7" w:rsidRPr="00C538F0" w:rsidRDefault="00FE7DD7" w:rsidP="00284FCB">
            <w:pPr>
              <w:ind w:left="2584"/>
              <w:rPr>
                <w:szCs w:val="22"/>
              </w:rPr>
            </w:pPr>
            <w:proofErr w:type="spellStart"/>
            <w:r w:rsidRPr="00C538F0">
              <w:t>Distr</w:t>
            </w:r>
            <w:proofErr w:type="spellEnd"/>
            <w:r w:rsidRPr="00C538F0">
              <w:t>. general</w:t>
            </w:r>
          </w:p>
          <w:p w14:paraId="070EF428" w14:textId="77777777" w:rsidR="00FE7DD7" w:rsidRPr="00C538F0" w:rsidRDefault="00FE7DD7" w:rsidP="00284FCB">
            <w:pPr>
              <w:ind w:left="2584"/>
              <w:rPr>
                <w:szCs w:val="22"/>
              </w:rPr>
            </w:pPr>
            <w:r w:rsidRPr="00C538F0">
              <w:t>24 de abril de 2024</w:t>
            </w:r>
          </w:p>
          <w:p w14:paraId="57CF2047" w14:textId="138C4915" w:rsidR="00FE7DD7" w:rsidRPr="00C538F0" w:rsidRDefault="00FE7DD7" w:rsidP="00284FCB">
            <w:pPr>
              <w:ind w:left="2584"/>
              <w:rPr>
                <w:szCs w:val="22"/>
              </w:rPr>
            </w:pPr>
            <w:r w:rsidRPr="00C538F0">
              <w:t xml:space="preserve">Español </w:t>
            </w:r>
            <w:r w:rsidR="00E612F2" w:rsidRPr="00C538F0">
              <w:br/>
            </w:r>
            <w:r w:rsidRPr="00C538F0">
              <w:t>Original: inglés</w:t>
            </w:r>
          </w:p>
          <w:p w14:paraId="401625B9" w14:textId="77777777" w:rsidR="00FE7DD7" w:rsidRPr="00C538F0" w:rsidRDefault="00FE7DD7" w:rsidP="00284FCB"/>
        </w:tc>
      </w:tr>
    </w:tbl>
    <w:p w14:paraId="46A51743" w14:textId="77777777" w:rsidR="00FE7DD7" w:rsidRPr="00C538F0" w:rsidRDefault="00FE7DD7" w:rsidP="00FE7DD7">
      <w:pPr>
        <w:pStyle w:val="Cornernotation"/>
        <w:rPr>
          <w:bCs/>
        </w:rPr>
      </w:pPr>
      <w:r w:rsidRPr="00C538F0">
        <w:t>Órgano Subsidiario sobre la Aplicación</w:t>
      </w:r>
    </w:p>
    <w:p w14:paraId="467A35AA" w14:textId="77777777" w:rsidR="00FE7DD7" w:rsidRPr="00C538F0" w:rsidRDefault="00FE7DD7" w:rsidP="00FE7DD7">
      <w:pPr>
        <w:pStyle w:val="Cornernotation"/>
        <w:rPr>
          <w:bCs/>
          <w:sz w:val="22"/>
          <w:szCs w:val="22"/>
        </w:rPr>
      </w:pPr>
      <w:r w:rsidRPr="00C538F0">
        <w:rPr>
          <w:bCs/>
          <w:sz w:val="22"/>
          <w:szCs w:val="22"/>
        </w:rPr>
        <w:t xml:space="preserve">Cuarta reunión </w:t>
      </w:r>
    </w:p>
    <w:p w14:paraId="596989CE" w14:textId="77777777" w:rsidR="00FE7DD7" w:rsidRPr="00C538F0" w:rsidRDefault="00FE7DD7" w:rsidP="00FE7DD7">
      <w:pPr>
        <w:pStyle w:val="Venuedate"/>
      </w:pPr>
      <w:r w:rsidRPr="00C538F0">
        <w:t>Nairobi, 21 a 29 de mayo de 2024</w:t>
      </w:r>
    </w:p>
    <w:p w14:paraId="0297A41A" w14:textId="4FC3D17C" w:rsidR="00490865" w:rsidRPr="00C538F0" w:rsidRDefault="00490865" w:rsidP="00BF6BF7">
      <w:pPr>
        <w:suppressLineNumbers/>
        <w:suppressAutoHyphens/>
        <w:kinsoku w:val="0"/>
        <w:overflowPunct w:val="0"/>
        <w:autoSpaceDE w:val="0"/>
        <w:autoSpaceDN w:val="0"/>
        <w:adjustRightInd w:val="0"/>
        <w:snapToGrid w:val="0"/>
        <w:ind w:left="227" w:right="3831" w:hanging="227"/>
        <w:rPr>
          <w:snapToGrid w:val="0"/>
          <w:kern w:val="22"/>
          <w:szCs w:val="22"/>
          <w:vertAlign w:val="superscript"/>
        </w:rPr>
      </w:pPr>
      <w:r w:rsidRPr="00C538F0">
        <w:rPr>
          <w:snapToGrid w:val="0"/>
          <w:szCs w:val="22"/>
        </w:rPr>
        <w:t>Tema 13 del programa provisional</w:t>
      </w:r>
      <w:r w:rsidRPr="00C538F0">
        <w:rPr>
          <w:snapToGrid w:val="0"/>
          <w:kern w:val="22"/>
          <w:szCs w:val="22"/>
          <w:vertAlign w:val="superscript"/>
          <w:lang w:eastAsia="ko-KR"/>
        </w:rPr>
        <w:footnoteReference w:customMarkFollows="1" w:id="2"/>
        <w:t>*</w:t>
      </w:r>
    </w:p>
    <w:p w14:paraId="06EC8382" w14:textId="5DD09898" w:rsidR="00ED7580" w:rsidRPr="00C538F0" w:rsidRDefault="00ED7580" w:rsidP="00BF6BF7">
      <w:pPr>
        <w:suppressLineNumbers/>
        <w:suppressAutoHyphens/>
        <w:kinsoku w:val="0"/>
        <w:overflowPunct w:val="0"/>
        <w:autoSpaceDE w:val="0"/>
        <w:autoSpaceDN w:val="0"/>
        <w:adjustRightInd w:val="0"/>
        <w:snapToGrid w:val="0"/>
        <w:ind w:left="227" w:right="3831" w:hanging="227"/>
        <w:rPr>
          <w:b/>
          <w:bCs/>
          <w:snapToGrid w:val="0"/>
          <w:kern w:val="22"/>
          <w:szCs w:val="22"/>
        </w:rPr>
      </w:pPr>
      <w:r w:rsidRPr="00C538F0">
        <w:rPr>
          <w:b/>
          <w:bCs/>
          <w:snapToGrid w:val="0"/>
          <w:szCs w:val="22"/>
        </w:rPr>
        <w:t>Cuestiones administrativas y presupuestarias</w:t>
      </w:r>
    </w:p>
    <w:bookmarkEnd w:id="0"/>
    <w:bookmarkEnd w:id="1"/>
    <w:p w14:paraId="284D464C" w14:textId="37911171" w:rsidR="000D4DA8" w:rsidRPr="00C538F0" w:rsidRDefault="00052607" w:rsidP="00FE7DD7">
      <w:pPr>
        <w:pStyle w:val="Heading1"/>
        <w:numPr>
          <w:ilvl w:val="0"/>
          <w:numId w:val="0"/>
        </w:numPr>
        <w:suppressLineNumbers/>
        <w:suppressAutoHyphens/>
        <w:kinsoku w:val="0"/>
        <w:overflowPunct w:val="0"/>
        <w:autoSpaceDE w:val="0"/>
        <w:autoSpaceDN w:val="0"/>
        <w:adjustRightInd w:val="0"/>
        <w:snapToGrid w:val="0"/>
        <w:spacing w:after="240"/>
        <w:ind w:left="567"/>
        <w:rPr>
          <w:rStyle w:val="TitleChar"/>
        </w:rPr>
      </w:pPr>
      <w:sdt>
        <w:sdtPr>
          <w:rPr>
            <w:rStyle w:val="TitleChar"/>
          </w:rPr>
          <w:alias w:val="Title"/>
          <w:tag w:val=""/>
          <w:id w:val="-1926644933"/>
          <w:placeholder>
            <w:docPart w:val="24D16D66B82E4B04A826D3351ADD844D"/>
          </w:placeholder>
          <w:dataBinding w:prefixMappings="xmlns:ns0='http://purl.org/dc/elements/1.1/' xmlns:ns1='http://schemas.openxmlformats.org/package/2006/metadata/core-properties' " w:xpath="/ns1:coreProperties[1]/ns0:title[1]" w:storeItemID="{6C3C8BC8-F283-45AE-878A-BAB7291924A1}"/>
          <w:text/>
        </w:sdtPr>
        <w:sdtEndPr>
          <w:rPr>
            <w:rStyle w:val="TitleChar"/>
          </w:rPr>
        </w:sdtEndPr>
        <w:sdtContent>
          <w:r w:rsidR="001403D2" w:rsidRPr="00C538F0">
            <w:rPr>
              <w:rStyle w:val="TitleChar"/>
            </w:rPr>
            <w:t>Cuestiones administrativa</w:t>
          </w:r>
          <w:r w:rsidR="00452369" w:rsidRPr="00C538F0">
            <w:rPr>
              <w:rStyle w:val="TitleChar"/>
            </w:rPr>
            <w:t>s</w:t>
          </w:r>
          <w:r w:rsidR="001403D2" w:rsidRPr="00C538F0">
            <w:rPr>
              <w:rStyle w:val="TitleChar"/>
            </w:rPr>
            <w:t xml:space="preserve"> y presupuestarias</w:t>
          </w:r>
        </w:sdtContent>
      </w:sdt>
    </w:p>
    <w:p w14:paraId="2BBA5D1D" w14:textId="7301371B" w:rsidR="00A53285" w:rsidRPr="00C538F0" w:rsidRDefault="00FE7DD7" w:rsidP="00FE7DD7">
      <w:pPr>
        <w:pStyle w:val="Heading2"/>
        <w:suppressLineNumbers/>
        <w:suppressAutoHyphens/>
        <w:kinsoku w:val="0"/>
        <w:overflowPunct w:val="0"/>
        <w:autoSpaceDE w:val="0"/>
        <w:autoSpaceDN w:val="0"/>
        <w:adjustRightInd w:val="0"/>
        <w:snapToGrid w:val="0"/>
        <w:ind w:firstLine="0"/>
        <w:rPr>
          <w:bCs/>
          <w:iCs/>
          <w:snapToGrid w:val="0"/>
          <w:kern w:val="22"/>
        </w:rPr>
      </w:pPr>
      <w:r w:rsidRPr="00C538F0">
        <w:rPr>
          <w:bCs/>
          <w:iCs/>
          <w:snapToGrid w:val="0"/>
        </w:rPr>
        <w:t>Nota de la Secretaría</w:t>
      </w:r>
    </w:p>
    <w:p w14:paraId="378E91D3" w14:textId="7C3E6D54" w:rsidR="000D4DA8" w:rsidRPr="00C538F0" w:rsidRDefault="000D4DA8" w:rsidP="00FE7DD7">
      <w:pPr>
        <w:pStyle w:val="Heading1"/>
        <w:numPr>
          <w:ilvl w:val="0"/>
          <w:numId w:val="6"/>
        </w:numPr>
        <w:suppressLineNumbers/>
        <w:tabs>
          <w:tab w:val="left" w:pos="567"/>
        </w:tabs>
        <w:suppressAutoHyphens/>
        <w:kinsoku w:val="0"/>
        <w:overflowPunct w:val="0"/>
        <w:autoSpaceDE w:val="0"/>
        <w:autoSpaceDN w:val="0"/>
        <w:adjustRightInd w:val="0"/>
        <w:snapToGrid w:val="0"/>
        <w:ind w:left="0" w:firstLine="0"/>
        <w:rPr>
          <w:rFonts w:eastAsia="Times New Roman Bold"/>
          <w:b w:val="0"/>
          <w:caps/>
          <w:snapToGrid w:val="0"/>
          <w:kern w:val="22"/>
          <w:szCs w:val="22"/>
        </w:rPr>
      </w:pPr>
      <w:r w:rsidRPr="00C538F0">
        <w:rPr>
          <w:snapToGrid w:val="0"/>
          <w:szCs w:val="22"/>
        </w:rPr>
        <w:t>Introducción</w:t>
      </w:r>
    </w:p>
    <w:p w14:paraId="6C839288" w14:textId="07E05F91" w:rsidR="005A1267" w:rsidRPr="00C538F0" w:rsidRDefault="006B7E7E" w:rsidP="00FE7DD7">
      <w:pPr>
        <w:pStyle w:val="Para10"/>
      </w:pPr>
      <w:r w:rsidRPr="00C538F0">
        <w:t xml:space="preserve">En su decisión </w:t>
      </w:r>
      <w:hyperlink r:id="rId14" w:history="1">
        <w:r w:rsidRPr="00C538F0">
          <w:rPr>
            <w:rStyle w:val="Hyperlink"/>
            <w:sz w:val="22"/>
          </w:rPr>
          <w:t>15/34</w:t>
        </w:r>
      </w:hyperlink>
      <w:r w:rsidRPr="00C538F0">
        <w:t>, la Conferencia de las Partes en el Convenio sobre la Diversidad Biológica adoptó un programa de trabajo y presupuesto integrado para el Convenio, el Protocolo de Cartagena sobre Seguridad de la Biotecnología y el Protocolo de Nagoya sobre Acceso a los Recursos Genéticos y Participación Justa y Equitativa en los Beneficios que se Deriven de su Utilización. La Conferencia de las Partes en el Convenio y la Conferencia de las Partes que actúa como reunión de las Partes en los dos Protocolos aprobaron un presupuesto básico integrado de 41 646 100 dólares de los Estados Unidos para el bienio 2023–2024, dividido en 19 931 600 dólares para el año 2023 y 21 714 500 dólares para el año 2024.</w:t>
      </w:r>
    </w:p>
    <w:p w14:paraId="71FA64B0" w14:textId="4245AA7B" w:rsidR="000D4DA8" w:rsidRPr="00C538F0" w:rsidRDefault="00502BE1" w:rsidP="00FE7DD7">
      <w:pPr>
        <w:pStyle w:val="Heading1"/>
        <w:numPr>
          <w:ilvl w:val="0"/>
          <w:numId w:val="6"/>
        </w:numPr>
        <w:suppressLineNumbers/>
        <w:tabs>
          <w:tab w:val="left" w:pos="567"/>
        </w:tabs>
        <w:suppressAutoHyphens/>
        <w:kinsoku w:val="0"/>
        <w:overflowPunct w:val="0"/>
        <w:autoSpaceDE w:val="0"/>
        <w:autoSpaceDN w:val="0"/>
        <w:adjustRightInd w:val="0"/>
        <w:snapToGrid w:val="0"/>
        <w:spacing w:before="0"/>
        <w:ind w:left="567" w:hanging="567"/>
        <w:rPr>
          <w:caps/>
          <w:snapToGrid w:val="0"/>
          <w:kern w:val="22"/>
          <w:szCs w:val="22"/>
        </w:rPr>
      </w:pPr>
      <w:r w:rsidRPr="00C538F0">
        <w:rPr>
          <w:snapToGrid w:val="0"/>
          <w:szCs w:val="22"/>
        </w:rPr>
        <w:t>Situación de los fondos fiduciarios en el marco del Convenio y sus Protocolos</w:t>
      </w:r>
    </w:p>
    <w:p w14:paraId="005C084B" w14:textId="05AA06A1" w:rsidR="000D4DA8" w:rsidRPr="00C538F0" w:rsidRDefault="000D4DA8" w:rsidP="00FE7DD7">
      <w:pPr>
        <w:pStyle w:val="Heading2"/>
        <w:numPr>
          <w:ilvl w:val="0"/>
          <w:numId w:val="11"/>
        </w:numPr>
        <w:suppressLineNumbers/>
        <w:suppressAutoHyphens/>
        <w:kinsoku w:val="0"/>
        <w:overflowPunct w:val="0"/>
        <w:autoSpaceDE w:val="0"/>
        <w:autoSpaceDN w:val="0"/>
        <w:adjustRightInd w:val="0"/>
        <w:snapToGrid w:val="0"/>
        <w:spacing w:before="0"/>
        <w:ind w:left="567" w:hanging="567"/>
        <w:rPr>
          <w:rFonts w:eastAsia="Malgun Gothic"/>
          <w:b w:val="0"/>
          <w:iCs/>
          <w:snapToGrid w:val="0"/>
          <w:kern w:val="22"/>
          <w:szCs w:val="22"/>
        </w:rPr>
      </w:pPr>
      <w:r w:rsidRPr="00C538F0">
        <w:rPr>
          <w:snapToGrid w:val="0"/>
          <w:szCs w:val="22"/>
        </w:rPr>
        <w:t>Presupuesto básico del Convenio y de los Protocolos</w:t>
      </w:r>
    </w:p>
    <w:p w14:paraId="3459EF39" w14:textId="66CD0F13" w:rsidR="000D4DA8" w:rsidRPr="00C538F0" w:rsidRDefault="000D4DA8" w:rsidP="00FE7DD7">
      <w:pPr>
        <w:pStyle w:val="Heading3"/>
        <w:numPr>
          <w:ilvl w:val="0"/>
          <w:numId w:val="12"/>
        </w:numPr>
        <w:suppressLineNumbers/>
        <w:tabs>
          <w:tab w:val="left" w:pos="567"/>
        </w:tabs>
        <w:suppressAutoHyphens/>
        <w:kinsoku w:val="0"/>
        <w:overflowPunct w:val="0"/>
        <w:autoSpaceDE w:val="0"/>
        <w:autoSpaceDN w:val="0"/>
        <w:adjustRightInd w:val="0"/>
        <w:snapToGrid w:val="0"/>
        <w:spacing w:before="0"/>
        <w:ind w:left="0" w:firstLine="0"/>
        <w:rPr>
          <w:rFonts w:eastAsia="Malgun Gothic"/>
          <w:snapToGrid w:val="0"/>
          <w:kern w:val="22"/>
        </w:rPr>
      </w:pPr>
      <w:r w:rsidRPr="00C538F0">
        <w:rPr>
          <w:snapToGrid w:val="0"/>
        </w:rPr>
        <w:t>Ingresos</w:t>
      </w:r>
    </w:p>
    <w:p w14:paraId="793B38E4" w14:textId="0938A994" w:rsidR="000D4DA8" w:rsidRPr="00C538F0" w:rsidRDefault="000D4DA8" w:rsidP="00FE7DD7">
      <w:pPr>
        <w:pStyle w:val="Para10"/>
        <w:rPr>
          <w:b/>
          <w:bCs/>
          <w:i/>
          <w:iCs/>
        </w:rPr>
      </w:pPr>
      <w:r w:rsidRPr="00C538F0">
        <w:t>Después de deducir los ahorros de los períodos anteriores y la contribución del país anfitrión, Canadá, el total de cuotas para 2023 y 2024 ascendió a 37 938 000 dólares de los Estados Unidos. Cuando se presentó esta información, ningún otro país se había adherido al Protocolo de Cartagena durante el bienio en curso, mientras que las cuotas de los tres países que se habían adherido al Protocolo de Nagoya durante el mismo período ascendían a 10 400 dólares, con lo que el total de cuotas ascendía a 37 948 400 dólares, de los cuales 18 103 400 dólares correspondían a 2023 y 19 845 000 dólares a 2024. Al 29 de febrero de 2024, la Secretaría del Convenio había recibido un total de 20 454 300 dólares en contribuciones para el bienio 2023–2024.</w:t>
      </w:r>
    </w:p>
    <w:p w14:paraId="575C1D77" w14:textId="71374508" w:rsidR="00101B5D" w:rsidRPr="00C538F0" w:rsidRDefault="00101B5D" w:rsidP="00FE7DD7">
      <w:pPr>
        <w:pStyle w:val="Para10"/>
        <w:rPr>
          <w:b/>
          <w:bCs/>
          <w:i/>
          <w:iCs/>
        </w:rPr>
      </w:pPr>
      <w:r w:rsidRPr="00C538F0">
        <w:t>Hasta la misma fecha, la tasa de recaudación era del 90,60% para 2023 y del 20,42% para 2024, lo que supone una tasa de recaudación general del 53,90% para el bienio.</w:t>
      </w:r>
    </w:p>
    <w:p w14:paraId="2300CEFB" w14:textId="76AF0337" w:rsidR="00D41D5A" w:rsidRPr="00C538F0" w:rsidRDefault="00101B5D" w:rsidP="00B33B1E">
      <w:pPr>
        <w:pStyle w:val="ListParagraph"/>
        <w:keepNext/>
        <w:keepLines/>
        <w:spacing w:before="120" w:after="120"/>
        <w:ind w:left="567"/>
        <w:rPr>
          <w:color w:val="000000" w:themeColor="text1"/>
          <w:szCs w:val="22"/>
        </w:rPr>
      </w:pPr>
      <w:r w:rsidRPr="00C538F0">
        <w:rPr>
          <w:color w:val="000000" w:themeColor="text1"/>
          <w:szCs w:val="22"/>
        </w:rPr>
        <w:lastRenderedPageBreak/>
        <w:t>Cuadro 1</w:t>
      </w:r>
    </w:p>
    <w:p w14:paraId="419CBD2C" w14:textId="331B5808" w:rsidR="00101B5D" w:rsidRPr="00C538F0" w:rsidRDefault="00101B5D" w:rsidP="00B33B1E">
      <w:pPr>
        <w:pStyle w:val="ListParagraph"/>
        <w:keepNext/>
        <w:keepLines/>
        <w:spacing w:before="120" w:after="120"/>
        <w:ind w:left="567"/>
        <w:rPr>
          <w:b/>
          <w:bCs/>
          <w:szCs w:val="22"/>
        </w:rPr>
      </w:pPr>
      <w:r w:rsidRPr="00C538F0">
        <w:rPr>
          <w:b/>
          <w:bCs/>
          <w:color w:val="000000" w:themeColor="text1"/>
        </w:rPr>
        <w:t>Situación general de las cuotas para el bienio</w:t>
      </w:r>
      <w:r w:rsidRPr="00C538F0">
        <w:t xml:space="preserve"> </w:t>
      </w:r>
      <w:r w:rsidRPr="00C538F0">
        <w:rPr>
          <w:b/>
          <w:bCs/>
          <w:szCs w:val="22"/>
        </w:rPr>
        <w:t>2023</w:t>
      </w:r>
      <w:r w:rsidRPr="00C538F0">
        <w:t>–</w:t>
      </w:r>
      <w:r w:rsidRPr="00C538F0">
        <w:rPr>
          <w:b/>
          <w:bCs/>
          <w:szCs w:val="22"/>
        </w:rPr>
        <w:t>2024</w:t>
      </w:r>
    </w:p>
    <w:p w14:paraId="13CC949E" w14:textId="3B0CF8E8" w:rsidR="00101B5D" w:rsidRPr="00C538F0" w:rsidRDefault="00101B5D" w:rsidP="00B33B1E">
      <w:pPr>
        <w:pStyle w:val="ListParagraph"/>
        <w:keepNext/>
        <w:keepLines/>
        <w:spacing w:after="120"/>
        <w:ind w:left="562"/>
        <w:rPr>
          <w:b/>
          <w:bCs/>
          <w:szCs w:val="22"/>
        </w:rPr>
      </w:pPr>
      <w:r w:rsidRPr="00C538F0">
        <w:rPr>
          <w:i/>
          <w:iCs/>
          <w:color w:val="000000"/>
          <w:sz w:val="18"/>
          <w:szCs w:val="18"/>
        </w:rPr>
        <w:t>(En miles de dólares de los EE.UU.)</w:t>
      </w:r>
    </w:p>
    <w:tbl>
      <w:tblPr>
        <w:tblW w:w="0" w:type="auto"/>
        <w:tblInd w:w="601" w:type="dxa"/>
        <w:tblLook w:val="04A0" w:firstRow="1" w:lastRow="0" w:firstColumn="1" w:lastColumn="0" w:noHBand="0" w:noVBand="1"/>
      </w:tblPr>
      <w:tblGrid>
        <w:gridCol w:w="3465"/>
        <w:gridCol w:w="1871"/>
      </w:tblGrid>
      <w:tr w:rsidR="00D6508F" w:rsidRPr="00C538F0" w14:paraId="07604714" w14:textId="77777777" w:rsidTr="005F7E0B">
        <w:trPr>
          <w:trHeight w:val="491"/>
        </w:trPr>
        <w:tc>
          <w:tcPr>
            <w:tcW w:w="0" w:type="auto"/>
            <w:vMerge w:val="restart"/>
            <w:tcBorders>
              <w:top w:val="single" w:sz="12" w:space="0" w:color="auto"/>
              <w:bottom w:val="single" w:sz="12" w:space="0" w:color="auto"/>
            </w:tcBorders>
            <w:shd w:val="clear" w:color="auto" w:fill="auto"/>
            <w:vAlign w:val="center"/>
            <w:hideMark/>
          </w:tcPr>
          <w:p w14:paraId="2A6E3BF4" w14:textId="77777777" w:rsidR="00CF5A93" w:rsidRPr="00C538F0" w:rsidRDefault="00CF5A93" w:rsidP="006D2ABA">
            <w:pPr>
              <w:keepNext/>
              <w:keepLines/>
              <w:rPr>
                <w:i/>
                <w:iCs/>
                <w:color w:val="000000"/>
                <w:sz w:val="18"/>
                <w:szCs w:val="18"/>
              </w:rPr>
            </w:pPr>
            <w:r w:rsidRPr="00C538F0">
              <w:rPr>
                <w:i/>
                <w:iCs/>
                <w:color w:val="000000"/>
                <w:sz w:val="18"/>
                <w:szCs w:val="18"/>
              </w:rPr>
              <w:t>Fuente de financiación</w:t>
            </w:r>
          </w:p>
        </w:tc>
        <w:tc>
          <w:tcPr>
            <w:tcW w:w="0" w:type="auto"/>
            <w:vMerge w:val="restart"/>
            <w:tcBorders>
              <w:top w:val="single" w:sz="12" w:space="0" w:color="auto"/>
              <w:bottom w:val="single" w:sz="12" w:space="0" w:color="auto"/>
            </w:tcBorders>
            <w:shd w:val="clear" w:color="auto" w:fill="auto"/>
            <w:vAlign w:val="center"/>
            <w:hideMark/>
          </w:tcPr>
          <w:p w14:paraId="61FECF36" w14:textId="3BB22670" w:rsidR="00CF5A93" w:rsidRPr="00C538F0" w:rsidRDefault="00CF5A93" w:rsidP="00E6035E">
            <w:pPr>
              <w:keepNext/>
              <w:keepLines/>
              <w:jc w:val="center"/>
              <w:rPr>
                <w:i/>
                <w:iCs/>
                <w:color w:val="000000"/>
                <w:sz w:val="18"/>
                <w:szCs w:val="18"/>
              </w:rPr>
            </w:pPr>
            <w:r w:rsidRPr="00C538F0">
              <w:rPr>
                <w:i/>
                <w:iCs/>
                <w:color w:val="000000"/>
                <w:sz w:val="18"/>
                <w:szCs w:val="18"/>
              </w:rPr>
              <w:t>Recursos (2023</w:t>
            </w:r>
            <w:r w:rsidRPr="00C538F0">
              <w:t>–</w:t>
            </w:r>
            <w:r w:rsidRPr="00C538F0">
              <w:rPr>
                <w:i/>
                <w:iCs/>
                <w:color w:val="000000"/>
                <w:sz w:val="18"/>
                <w:szCs w:val="18"/>
              </w:rPr>
              <w:t>2024)</w:t>
            </w:r>
          </w:p>
        </w:tc>
      </w:tr>
      <w:tr w:rsidR="00CF5A93" w:rsidRPr="00C538F0" w14:paraId="0BE1D1B2" w14:textId="77777777" w:rsidTr="00B33B1E">
        <w:trPr>
          <w:trHeight w:val="253"/>
        </w:trPr>
        <w:tc>
          <w:tcPr>
            <w:tcW w:w="0" w:type="auto"/>
            <w:vMerge/>
            <w:tcBorders>
              <w:bottom w:val="single" w:sz="12" w:space="0" w:color="auto"/>
            </w:tcBorders>
            <w:vAlign w:val="center"/>
            <w:hideMark/>
          </w:tcPr>
          <w:p w14:paraId="1393726E" w14:textId="77777777" w:rsidR="00CF5A93" w:rsidRPr="00C538F0" w:rsidRDefault="00CF5A93" w:rsidP="006D2ABA">
            <w:pPr>
              <w:keepNext/>
              <w:keepLines/>
              <w:jc w:val="left"/>
              <w:rPr>
                <w:b/>
                <w:bCs/>
                <w:i/>
                <w:iCs/>
                <w:color w:val="000000"/>
                <w:sz w:val="18"/>
                <w:szCs w:val="18"/>
                <w:lang w:eastAsia="zh-CN"/>
              </w:rPr>
            </w:pPr>
          </w:p>
        </w:tc>
        <w:tc>
          <w:tcPr>
            <w:tcW w:w="0" w:type="auto"/>
            <w:vMerge/>
            <w:tcBorders>
              <w:bottom w:val="single" w:sz="12" w:space="0" w:color="auto"/>
            </w:tcBorders>
            <w:vAlign w:val="center"/>
            <w:hideMark/>
          </w:tcPr>
          <w:p w14:paraId="1A99A73A" w14:textId="77777777" w:rsidR="00CF5A93" w:rsidRPr="00C538F0" w:rsidRDefault="00CF5A93" w:rsidP="006D2ABA">
            <w:pPr>
              <w:keepNext/>
              <w:keepLines/>
              <w:jc w:val="left"/>
              <w:rPr>
                <w:b/>
                <w:bCs/>
                <w:i/>
                <w:iCs/>
                <w:color w:val="000000"/>
                <w:sz w:val="18"/>
                <w:szCs w:val="18"/>
                <w:lang w:eastAsia="zh-CN"/>
              </w:rPr>
            </w:pPr>
          </w:p>
        </w:tc>
      </w:tr>
      <w:tr w:rsidR="00CF5A93" w:rsidRPr="00C538F0" w14:paraId="7F9B0078" w14:textId="77777777" w:rsidTr="00B33B1E">
        <w:trPr>
          <w:trHeight w:val="300"/>
        </w:trPr>
        <w:tc>
          <w:tcPr>
            <w:tcW w:w="0" w:type="auto"/>
            <w:tcBorders>
              <w:top w:val="single" w:sz="12" w:space="0" w:color="auto"/>
            </w:tcBorders>
            <w:shd w:val="clear" w:color="auto" w:fill="auto"/>
            <w:vAlign w:val="center"/>
            <w:hideMark/>
          </w:tcPr>
          <w:p w14:paraId="71366018" w14:textId="77777777" w:rsidR="00CF5A93" w:rsidRPr="00C538F0" w:rsidRDefault="00CF5A93" w:rsidP="006D2ABA">
            <w:pPr>
              <w:keepNext/>
              <w:keepLines/>
              <w:jc w:val="left"/>
              <w:rPr>
                <w:color w:val="000000"/>
                <w:sz w:val="18"/>
                <w:szCs w:val="18"/>
              </w:rPr>
            </w:pPr>
            <w:r w:rsidRPr="00C538F0">
              <w:rPr>
                <w:color w:val="000000"/>
                <w:sz w:val="18"/>
                <w:szCs w:val="18"/>
              </w:rPr>
              <w:t>Presupuesto aprobado</w:t>
            </w:r>
          </w:p>
        </w:tc>
        <w:tc>
          <w:tcPr>
            <w:tcW w:w="0" w:type="auto"/>
            <w:tcBorders>
              <w:top w:val="single" w:sz="12" w:space="0" w:color="auto"/>
            </w:tcBorders>
            <w:shd w:val="clear" w:color="auto" w:fill="auto"/>
            <w:vAlign w:val="center"/>
            <w:hideMark/>
          </w:tcPr>
          <w:p w14:paraId="4E116F08" w14:textId="3C797360" w:rsidR="00CF5A93" w:rsidRPr="00C538F0" w:rsidRDefault="00CF5A93" w:rsidP="00B33B1E">
            <w:pPr>
              <w:keepNext/>
              <w:keepLines/>
              <w:jc w:val="right"/>
              <w:rPr>
                <w:color w:val="000000"/>
                <w:sz w:val="18"/>
                <w:szCs w:val="18"/>
              </w:rPr>
            </w:pPr>
            <w:r w:rsidRPr="00C538F0">
              <w:rPr>
                <w:color w:val="000000"/>
                <w:sz w:val="18"/>
                <w:szCs w:val="18"/>
              </w:rPr>
              <w:t>41 646,1</w:t>
            </w:r>
          </w:p>
        </w:tc>
      </w:tr>
      <w:tr w:rsidR="00CF5A93" w:rsidRPr="00C538F0" w14:paraId="20600F93" w14:textId="77777777" w:rsidTr="00B33B1E">
        <w:trPr>
          <w:trHeight w:val="300"/>
        </w:trPr>
        <w:tc>
          <w:tcPr>
            <w:tcW w:w="0" w:type="auto"/>
            <w:shd w:val="clear" w:color="auto" w:fill="auto"/>
            <w:vAlign w:val="center"/>
            <w:hideMark/>
          </w:tcPr>
          <w:p w14:paraId="786E0755" w14:textId="77777777" w:rsidR="00CF5A93" w:rsidRPr="00C538F0" w:rsidRDefault="00CF5A93" w:rsidP="006D2ABA">
            <w:pPr>
              <w:keepNext/>
              <w:keepLines/>
              <w:jc w:val="left"/>
              <w:rPr>
                <w:color w:val="000000"/>
                <w:sz w:val="18"/>
                <w:szCs w:val="18"/>
              </w:rPr>
            </w:pPr>
            <w:r w:rsidRPr="00C538F0">
              <w:rPr>
                <w:color w:val="000000"/>
                <w:sz w:val="18"/>
                <w:szCs w:val="18"/>
              </w:rPr>
              <w:t>País anfitrión</w:t>
            </w:r>
          </w:p>
        </w:tc>
        <w:tc>
          <w:tcPr>
            <w:tcW w:w="0" w:type="auto"/>
            <w:shd w:val="clear" w:color="auto" w:fill="auto"/>
            <w:vAlign w:val="center"/>
            <w:hideMark/>
          </w:tcPr>
          <w:p w14:paraId="301C3EF1" w14:textId="6F6E49B6" w:rsidR="00CF5A93" w:rsidRPr="00C538F0" w:rsidRDefault="00CF5A93" w:rsidP="00B33B1E">
            <w:pPr>
              <w:keepNext/>
              <w:keepLines/>
              <w:jc w:val="right"/>
              <w:rPr>
                <w:color w:val="000000"/>
                <w:sz w:val="18"/>
                <w:szCs w:val="18"/>
              </w:rPr>
            </w:pPr>
            <w:r w:rsidRPr="00C538F0">
              <w:rPr>
                <w:color w:val="000000"/>
                <w:sz w:val="18"/>
                <w:szCs w:val="18"/>
              </w:rPr>
              <w:t>(3 298,1)</w:t>
            </w:r>
          </w:p>
        </w:tc>
      </w:tr>
      <w:tr w:rsidR="00CF5A93" w:rsidRPr="00C538F0" w14:paraId="2892D25C" w14:textId="77777777" w:rsidTr="00B33B1E">
        <w:trPr>
          <w:trHeight w:val="300"/>
        </w:trPr>
        <w:tc>
          <w:tcPr>
            <w:tcW w:w="0" w:type="auto"/>
            <w:shd w:val="clear" w:color="auto" w:fill="auto"/>
            <w:vAlign w:val="center"/>
            <w:hideMark/>
          </w:tcPr>
          <w:p w14:paraId="20423D2A" w14:textId="7DF38E88" w:rsidR="00CF5A93" w:rsidRPr="00C538F0" w:rsidRDefault="00CF5A93" w:rsidP="006D2ABA">
            <w:pPr>
              <w:keepNext/>
              <w:keepLines/>
              <w:jc w:val="left"/>
              <w:rPr>
                <w:color w:val="000000"/>
                <w:sz w:val="18"/>
                <w:szCs w:val="18"/>
              </w:rPr>
            </w:pPr>
            <w:r w:rsidRPr="00C538F0">
              <w:rPr>
                <w:color w:val="000000"/>
                <w:sz w:val="18"/>
                <w:szCs w:val="18"/>
              </w:rPr>
              <w:t>Ahorros de años anteriores</w:t>
            </w:r>
          </w:p>
        </w:tc>
        <w:tc>
          <w:tcPr>
            <w:tcW w:w="0" w:type="auto"/>
            <w:shd w:val="clear" w:color="auto" w:fill="auto"/>
            <w:vAlign w:val="center"/>
            <w:hideMark/>
          </w:tcPr>
          <w:p w14:paraId="28314808" w14:textId="750ECDF0" w:rsidR="00CF5A93" w:rsidRPr="00C538F0" w:rsidRDefault="00CF5A93" w:rsidP="00B33B1E">
            <w:pPr>
              <w:keepNext/>
              <w:keepLines/>
              <w:jc w:val="right"/>
              <w:rPr>
                <w:color w:val="000000"/>
                <w:sz w:val="18"/>
                <w:szCs w:val="18"/>
              </w:rPr>
            </w:pPr>
            <w:r w:rsidRPr="00C538F0">
              <w:rPr>
                <w:color w:val="000000"/>
                <w:sz w:val="18"/>
                <w:szCs w:val="18"/>
              </w:rPr>
              <w:t>(410,0)</w:t>
            </w:r>
          </w:p>
        </w:tc>
      </w:tr>
      <w:tr w:rsidR="00CF5A93" w:rsidRPr="00C538F0" w14:paraId="35842C2D" w14:textId="77777777" w:rsidTr="00B33B1E">
        <w:trPr>
          <w:trHeight w:val="300"/>
        </w:trPr>
        <w:tc>
          <w:tcPr>
            <w:tcW w:w="0" w:type="auto"/>
            <w:tcBorders>
              <w:bottom w:val="single" w:sz="12" w:space="0" w:color="auto"/>
            </w:tcBorders>
            <w:shd w:val="clear" w:color="auto" w:fill="auto"/>
            <w:vAlign w:val="center"/>
            <w:hideMark/>
          </w:tcPr>
          <w:p w14:paraId="239CE9AB" w14:textId="53FF7615" w:rsidR="00CF5A93" w:rsidRPr="00C538F0" w:rsidRDefault="00CF5A93" w:rsidP="006D2ABA">
            <w:pPr>
              <w:keepNext/>
              <w:keepLines/>
              <w:jc w:val="left"/>
              <w:rPr>
                <w:color w:val="000000"/>
                <w:sz w:val="18"/>
                <w:szCs w:val="18"/>
              </w:rPr>
            </w:pPr>
            <w:r w:rsidRPr="00C538F0">
              <w:rPr>
                <w:color w:val="000000"/>
                <w:sz w:val="18"/>
                <w:szCs w:val="18"/>
              </w:rPr>
              <w:t>Partes adicionales en el Protocolo de Nagoya</w:t>
            </w:r>
          </w:p>
        </w:tc>
        <w:tc>
          <w:tcPr>
            <w:tcW w:w="0" w:type="auto"/>
            <w:tcBorders>
              <w:bottom w:val="single" w:sz="12" w:space="0" w:color="auto"/>
            </w:tcBorders>
            <w:shd w:val="clear" w:color="auto" w:fill="auto"/>
            <w:vAlign w:val="center"/>
            <w:hideMark/>
          </w:tcPr>
          <w:p w14:paraId="55BCFB38" w14:textId="77777777" w:rsidR="00CF5A93" w:rsidRPr="00C538F0" w:rsidRDefault="00CF5A93" w:rsidP="00B33B1E">
            <w:pPr>
              <w:keepNext/>
              <w:keepLines/>
              <w:jc w:val="right"/>
              <w:rPr>
                <w:color w:val="000000"/>
                <w:sz w:val="18"/>
                <w:szCs w:val="18"/>
              </w:rPr>
            </w:pPr>
            <w:r w:rsidRPr="00C538F0">
              <w:rPr>
                <w:color w:val="000000"/>
                <w:sz w:val="18"/>
                <w:szCs w:val="18"/>
              </w:rPr>
              <w:t>10,4</w:t>
            </w:r>
          </w:p>
        </w:tc>
      </w:tr>
      <w:tr w:rsidR="00CF5A93" w:rsidRPr="00C538F0" w14:paraId="7C96E497" w14:textId="77777777" w:rsidTr="00B33B1E">
        <w:trPr>
          <w:trHeight w:val="300"/>
        </w:trPr>
        <w:tc>
          <w:tcPr>
            <w:tcW w:w="0" w:type="auto"/>
            <w:tcBorders>
              <w:top w:val="single" w:sz="12" w:space="0" w:color="auto"/>
              <w:bottom w:val="single" w:sz="12" w:space="0" w:color="auto"/>
            </w:tcBorders>
            <w:shd w:val="clear" w:color="auto" w:fill="auto"/>
            <w:vAlign w:val="center"/>
            <w:hideMark/>
          </w:tcPr>
          <w:p w14:paraId="2A9F95B0" w14:textId="1C59C973" w:rsidR="00CF5A93" w:rsidRPr="00C538F0" w:rsidRDefault="00CF5A93" w:rsidP="006D2ABA">
            <w:pPr>
              <w:keepNext/>
              <w:keepLines/>
              <w:rPr>
                <w:b/>
                <w:bCs/>
                <w:color w:val="000000"/>
                <w:sz w:val="18"/>
                <w:szCs w:val="18"/>
              </w:rPr>
            </w:pPr>
            <w:r w:rsidRPr="00C538F0">
              <w:rPr>
                <w:b/>
                <w:bCs/>
                <w:color w:val="000000"/>
                <w:sz w:val="18"/>
                <w:szCs w:val="18"/>
              </w:rPr>
              <w:tab/>
              <w:t>Total de cuotas</w:t>
            </w:r>
          </w:p>
        </w:tc>
        <w:tc>
          <w:tcPr>
            <w:tcW w:w="0" w:type="auto"/>
            <w:tcBorders>
              <w:top w:val="single" w:sz="12" w:space="0" w:color="auto"/>
              <w:bottom w:val="single" w:sz="12" w:space="0" w:color="auto"/>
            </w:tcBorders>
            <w:shd w:val="clear" w:color="auto" w:fill="auto"/>
            <w:vAlign w:val="center"/>
            <w:hideMark/>
          </w:tcPr>
          <w:p w14:paraId="473E4486" w14:textId="0A61F440" w:rsidR="00CF5A93" w:rsidRPr="00C538F0" w:rsidRDefault="00CF5A93" w:rsidP="00B33B1E">
            <w:pPr>
              <w:keepNext/>
              <w:keepLines/>
              <w:jc w:val="right"/>
              <w:rPr>
                <w:b/>
                <w:bCs/>
                <w:color w:val="000000"/>
                <w:sz w:val="18"/>
                <w:szCs w:val="18"/>
              </w:rPr>
            </w:pPr>
            <w:r w:rsidRPr="00C538F0">
              <w:rPr>
                <w:b/>
                <w:bCs/>
                <w:color w:val="000000"/>
                <w:sz w:val="18"/>
                <w:szCs w:val="18"/>
              </w:rPr>
              <w:t>37 948,4</w:t>
            </w:r>
          </w:p>
        </w:tc>
      </w:tr>
    </w:tbl>
    <w:p w14:paraId="3EDA0DDC" w14:textId="6DFA7858" w:rsidR="000D4DA8" w:rsidRPr="00C538F0" w:rsidRDefault="00B91880" w:rsidP="00FE7DD7">
      <w:pPr>
        <w:pStyle w:val="Para10"/>
        <w:rPr>
          <w:kern w:val="22"/>
          <w:szCs w:val="22"/>
        </w:rPr>
      </w:pPr>
      <w:r w:rsidRPr="00C538F0">
        <w:t>Al 29 de febrero de 2024, los atrasos en las contribuciones correspondientes a 2022 y años anteriores ascendían a 4 119 709 dólares de los Estados Unidos, lo que representaba el 19,06% del total de las contribuciones adeudadas. Hasta esa misma fecha, siete Partes en el Convenio, 11 Partes en el Protocolo de Cartagena y 40 Partes en el Protocolo de Nagoya nunca habían abonado sus contribuciones desde que se habían adherido al Convenio o a los Protocolos.</w:t>
      </w:r>
    </w:p>
    <w:p w14:paraId="400CFF02" w14:textId="3CE7AA46" w:rsidR="00123008" w:rsidRPr="00C538F0" w:rsidRDefault="00473D0B" w:rsidP="00B33B1E">
      <w:pPr>
        <w:pStyle w:val="ListParagraph"/>
        <w:spacing w:before="120" w:line="259" w:lineRule="auto"/>
        <w:ind w:left="567"/>
        <w:rPr>
          <w:color w:val="000000" w:themeColor="text1"/>
          <w:szCs w:val="22"/>
        </w:rPr>
      </w:pPr>
      <w:r w:rsidRPr="00C538F0">
        <w:rPr>
          <w:color w:val="000000" w:themeColor="text1"/>
          <w:szCs w:val="22"/>
        </w:rPr>
        <w:t>Cuadro 2</w:t>
      </w:r>
    </w:p>
    <w:p w14:paraId="4315B3C8" w14:textId="0369838F" w:rsidR="00473D0B" w:rsidRPr="00C538F0" w:rsidRDefault="00473D0B" w:rsidP="00637321">
      <w:pPr>
        <w:pStyle w:val="ListParagraph"/>
        <w:spacing w:line="259" w:lineRule="auto"/>
        <w:ind w:left="567"/>
        <w:rPr>
          <w:b/>
          <w:bCs/>
          <w:szCs w:val="22"/>
        </w:rPr>
      </w:pPr>
      <w:r w:rsidRPr="00C538F0">
        <w:rPr>
          <w:b/>
          <w:bCs/>
          <w:szCs w:val="22"/>
        </w:rPr>
        <w:t>Situación de las contribuciones adeudadas al 29 de febrero de 2024</w:t>
      </w:r>
    </w:p>
    <w:p w14:paraId="10EB6741" w14:textId="0F3E3A59" w:rsidR="00473D0B" w:rsidRPr="00C538F0" w:rsidRDefault="00473D0B" w:rsidP="00B33B1E">
      <w:pPr>
        <w:pStyle w:val="ListParagraph"/>
        <w:spacing w:before="60" w:after="60"/>
        <w:ind w:left="567"/>
        <w:rPr>
          <w:b/>
          <w:bCs/>
          <w:szCs w:val="22"/>
        </w:rPr>
      </w:pPr>
      <w:r w:rsidRPr="00C538F0">
        <w:rPr>
          <w:i/>
          <w:iCs/>
          <w:color w:val="000000"/>
          <w:sz w:val="18"/>
          <w:szCs w:val="18"/>
        </w:rPr>
        <w:t>(En dólares de los EE.UU.)</w:t>
      </w:r>
    </w:p>
    <w:tbl>
      <w:tblPr>
        <w:tblStyle w:val="TableGrid"/>
        <w:tblW w:w="8924" w:type="dxa"/>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4"/>
        <w:gridCol w:w="1260"/>
        <w:gridCol w:w="1980"/>
        <w:gridCol w:w="1800"/>
        <w:gridCol w:w="1710"/>
      </w:tblGrid>
      <w:tr w:rsidR="00603D2F" w:rsidRPr="00C538F0" w14:paraId="02B69876" w14:textId="1A8D2490" w:rsidTr="00B33B1E">
        <w:trPr>
          <w:trHeight w:val="300"/>
        </w:trPr>
        <w:tc>
          <w:tcPr>
            <w:tcW w:w="2174" w:type="dxa"/>
            <w:tcBorders>
              <w:top w:val="single" w:sz="12" w:space="0" w:color="auto"/>
              <w:bottom w:val="single" w:sz="12" w:space="0" w:color="auto"/>
            </w:tcBorders>
            <w:noWrap/>
            <w:hideMark/>
          </w:tcPr>
          <w:p w14:paraId="31E4E741" w14:textId="01E8C265" w:rsidR="007860F9" w:rsidRPr="00C538F0" w:rsidRDefault="007860F9" w:rsidP="00B33B1E">
            <w:pPr>
              <w:spacing w:line="259" w:lineRule="auto"/>
              <w:jc w:val="left"/>
              <w:rPr>
                <w:i/>
                <w:iCs/>
              </w:rPr>
            </w:pPr>
            <w:r w:rsidRPr="00C538F0">
              <w:rPr>
                <w:i/>
                <w:iCs/>
              </w:rPr>
              <w:t>Contribuciones adeudadas</w:t>
            </w:r>
          </w:p>
        </w:tc>
        <w:tc>
          <w:tcPr>
            <w:tcW w:w="1260" w:type="dxa"/>
            <w:tcBorders>
              <w:top w:val="single" w:sz="12" w:space="0" w:color="auto"/>
              <w:left w:val="nil"/>
              <w:bottom w:val="single" w:sz="12" w:space="0" w:color="auto"/>
            </w:tcBorders>
            <w:noWrap/>
            <w:hideMark/>
          </w:tcPr>
          <w:p w14:paraId="35887CC2" w14:textId="59764E11" w:rsidR="007860F9" w:rsidRPr="00C538F0" w:rsidRDefault="007860F9" w:rsidP="00B33B1E">
            <w:pPr>
              <w:spacing w:line="259" w:lineRule="auto"/>
              <w:jc w:val="right"/>
              <w:rPr>
                <w:i/>
                <w:iCs/>
              </w:rPr>
            </w:pPr>
            <w:r w:rsidRPr="00C538F0">
              <w:rPr>
                <w:i/>
                <w:iCs/>
              </w:rPr>
              <w:t>Convenio</w:t>
            </w:r>
          </w:p>
        </w:tc>
        <w:tc>
          <w:tcPr>
            <w:tcW w:w="1980" w:type="dxa"/>
            <w:tcBorders>
              <w:top w:val="single" w:sz="12" w:space="0" w:color="auto"/>
              <w:left w:val="nil"/>
              <w:bottom w:val="single" w:sz="12" w:space="0" w:color="auto"/>
            </w:tcBorders>
            <w:noWrap/>
            <w:hideMark/>
          </w:tcPr>
          <w:p w14:paraId="5026F7A4" w14:textId="77777777" w:rsidR="007860F9" w:rsidRPr="00C538F0" w:rsidRDefault="007860F9" w:rsidP="00B33B1E">
            <w:pPr>
              <w:spacing w:line="259" w:lineRule="auto"/>
              <w:jc w:val="right"/>
              <w:rPr>
                <w:i/>
                <w:iCs/>
              </w:rPr>
            </w:pPr>
            <w:r w:rsidRPr="00C538F0">
              <w:rPr>
                <w:i/>
                <w:iCs/>
              </w:rPr>
              <w:t>Protocolo de Cartagena</w:t>
            </w:r>
          </w:p>
        </w:tc>
        <w:tc>
          <w:tcPr>
            <w:tcW w:w="1800" w:type="dxa"/>
            <w:tcBorders>
              <w:top w:val="single" w:sz="12" w:space="0" w:color="auto"/>
              <w:left w:val="nil"/>
              <w:bottom w:val="single" w:sz="12" w:space="0" w:color="auto"/>
            </w:tcBorders>
            <w:noWrap/>
            <w:hideMark/>
          </w:tcPr>
          <w:p w14:paraId="01F72E44" w14:textId="77777777" w:rsidR="007860F9" w:rsidRPr="00C538F0" w:rsidRDefault="007860F9" w:rsidP="00B33B1E">
            <w:pPr>
              <w:spacing w:line="259" w:lineRule="auto"/>
              <w:jc w:val="right"/>
              <w:rPr>
                <w:i/>
                <w:iCs/>
              </w:rPr>
            </w:pPr>
            <w:r w:rsidRPr="00C538F0">
              <w:rPr>
                <w:i/>
                <w:iCs/>
              </w:rPr>
              <w:t>Protocolo de Nagoya</w:t>
            </w:r>
          </w:p>
        </w:tc>
        <w:tc>
          <w:tcPr>
            <w:tcW w:w="1710" w:type="dxa"/>
            <w:tcBorders>
              <w:top w:val="single" w:sz="12" w:space="0" w:color="auto"/>
              <w:left w:val="nil"/>
              <w:bottom w:val="single" w:sz="12" w:space="0" w:color="auto"/>
            </w:tcBorders>
          </w:tcPr>
          <w:p w14:paraId="33C067ED" w14:textId="6FEF8A32" w:rsidR="007860F9" w:rsidRPr="00C538F0" w:rsidRDefault="007860F9">
            <w:pPr>
              <w:spacing w:line="259" w:lineRule="auto"/>
              <w:jc w:val="right"/>
              <w:rPr>
                <w:i/>
                <w:iCs/>
              </w:rPr>
            </w:pPr>
            <w:r w:rsidRPr="00C538F0">
              <w:rPr>
                <w:i/>
                <w:iCs/>
              </w:rPr>
              <w:t>Total</w:t>
            </w:r>
          </w:p>
        </w:tc>
      </w:tr>
      <w:tr w:rsidR="00603D2F" w:rsidRPr="00C538F0" w14:paraId="6958AC33" w14:textId="566D9778" w:rsidTr="00B33B1E">
        <w:trPr>
          <w:trHeight w:val="300"/>
        </w:trPr>
        <w:tc>
          <w:tcPr>
            <w:tcW w:w="2174" w:type="dxa"/>
            <w:tcBorders>
              <w:top w:val="single" w:sz="12" w:space="0" w:color="auto"/>
            </w:tcBorders>
            <w:noWrap/>
            <w:hideMark/>
          </w:tcPr>
          <w:p w14:paraId="32038B5C" w14:textId="42A9170F" w:rsidR="007860F9" w:rsidRPr="00C538F0" w:rsidRDefault="007860F9" w:rsidP="00284FCB">
            <w:pPr>
              <w:spacing w:line="259" w:lineRule="auto"/>
            </w:pPr>
            <w:r w:rsidRPr="00C538F0">
              <w:t xml:space="preserve">2023–2024 </w:t>
            </w:r>
          </w:p>
        </w:tc>
        <w:tc>
          <w:tcPr>
            <w:tcW w:w="1260" w:type="dxa"/>
            <w:tcBorders>
              <w:top w:val="single" w:sz="12" w:space="0" w:color="auto"/>
              <w:left w:val="nil"/>
            </w:tcBorders>
            <w:noWrap/>
            <w:hideMark/>
          </w:tcPr>
          <w:p w14:paraId="4D062481" w14:textId="70780E79" w:rsidR="007860F9" w:rsidRPr="00C538F0" w:rsidRDefault="007860F9" w:rsidP="00B33B1E">
            <w:pPr>
              <w:spacing w:line="259" w:lineRule="auto"/>
              <w:jc w:val="right"/>
            </w:pPr>
            <w:r w:rsidRPr="00C538F0">
              <w:t>12 436 763</w:t>
            </w:r>
          </w:p>
        </w:tc>
        <w:tc>
          <w:tcPr>
            <w:tcW w:w="1980" w:type="dxa"/>
            <w:tcBorders>
              <w:top w:val="single" w:sz="12" w:space="0" w:color="auto"/>
              <w:left w:val="nil"/>
            </w:tcBorders>
            <w:noWrap/>
            <w:hideMark/>
          </w:tcPr>
          <w:p w14:paraId="7FB3441F" w14:textId="2735ACC1" w:rsidR="007860F9" w:rsidRPr="00C538F0" w:rsidRDefault="007860F9" w:rsidP="00B33B1E">
            <w:pPr>
              <w:spacing w:line="259" w:lineRule="auto"/>
              <w:jc w:val="right"/>
            </w:pPr>
            <w:r w:rsidRPr="00C538F0">
              <w:t>2 598 271</w:t>
            </w:r>
          </w:p>
        </w:tc>
        <w:tc>
          <w:tcPr>
            <w:tcW w:w="1800" w:type="dxa"/>
            <w:tcBorders>
              <w:top w:val="single" w:sz="12" w:space="0" w:color="auto"/>
              <w:left w:val="nil"/>
            </w:tcBorders>
            <w:noWrap/>
            <w:hideMark/>
          </w:tcPr>
          <w:p w14:paraId="1B49629C" w14:textId="50C434CF" w:rsidR="007860F9" w:rsidRPr="00C538F0" w:rsidRDefault="007860F9" w:rsidP="00B33B1E">
            <w:pPr>
              <w:spacing w:line="259" w:lineRule="auto"/>
              <w:jc w:val="right"/>
            </w:pPr>
            <w:r w:rsidRPr="00C538F0">
              <w:t>2 459 099</w:t>
            </w:r>
          </w:p>
        </w:tc>
        <w:tc>
          <w:tcPr>
            <w:tcW w:w="1710" w:type="dxa"/>
            <w:tcBorders>
              <w:top w:val="single" w:sz="12" w:space="0" w:color="auto"/>
              <w:left w:val="nil"/>
            </w:tcBorders>
          </w:tcPr>
          <w:p w14:paraId="4558AE43" w14:textId="2E1D896D" w:rsidR="007860F9" w:rsidRPr="00C538F0" w:rsidDel="00964036" w:rsidRDefault="005D2BE4">
            <w:pPr>
              <w:spacing w:line="259" w:lineRule="auto"/>
              <w:jc w:val="right"/>
            </w:pPr>
            <w:r w:rsidRPr="00C538F0">
              <w:t>17 494 133</w:t>
            </w:r>
          </w:p>
        </w:tc>
      </w:tr>
      <w:tr w:rsidR="00603D2F" w:rsidRPr="00C538F0" w14:paraId="2DD00A5C" w14:textId="3A974FE3" w:rsidTr="00B33B1E">
        <w:trPr>
          <w:trHeight w:val="300"/>
        </w:trPr>
        <w:tc>
          <w:tcPr>
            <w:tcW w:w="2174" w:type="dxa"/>
            <w:tcBorders>
              <w:bottom w:val="single" w:sz="12" w:space="0" w:color="auto"/>
            </w:tcBorders>
            <w:noWrap/>
            <w:hideMark/>
          </w:tcPr>
          <w:p w14:paraId="09D2FCD8" w14:textId="20AA657B" w:rsidR="007860F9" w:rsidRPr="00C538F0" w:rsidRDefault="007860F9" w:rsidP="00284FCB">
            <w:pPr>
              <w:spacing w:line="259" w:lineRule="auto"/>
            </w:pPr>
            <w:r w:rsidRPr="00C538F0">
              <w:t>Años anteriores</w:t>
            </w:r>
          </w:p>
        </w:tc>
        <w:tc>
          <w:tcPr>
            <w:tcW w:w="1260" w:type="dxa"/>
            <w:tcBorders>
              <w:left w:val="nil"/>
              <w:bottom w:val="single" w:sz="12" w:space="0" w:color="auto"/>
            </w:tcBorders>
            <w:noWrap/>
            <w:hideMark/>
          </w:tcPr>
          <w:p w14:paraId="7E3A958D" w14:textId="5DB722C8" w:rsidR="007860F9" w:rsidRPr="00C538F0" w:rsidRDefault="007860F9" w:rsidP="00B33B1E">
            <w:pPr>
              <w:spacing w:line="259" w:lineRule="auto"/>
              <w:jc w:val="right"/>
            </w:pPr>
            <w:r w:rsidRPr="00C538F0">
              <w:t>3 023 509</w:t>
            </w:r>
          </w:p>
        </w:tc>
        <w:tc>
          <w:tcPr>
            <w:tcW w:w="1980" w:type="dxa"/>
            <w:tcBorders>
              <w:left w:val="nil"/>
              <w:bottom w:val="single" w:sz="12" w:space="0" w:color="auto"/>
            </w:tcBorders>
            <w:noWrap/>
            <w:hideMark/>
          </w:tcPr>
          <w:p w14:paraId="28882D12" w14:textId="7F7DEA9C" w:rsidR="007860F9" w:rsidRPr="00C538F0" w:rsidRDefault="007860F9" w:rsidP="00B33B1E">
            <w:pPr>
              <w:spacing w:line="259" w:lineRule="auto"/>
              <w:jc w:val="right"/>
            </w:pPr>
            <w:r w:rsidRPr="00C538F0">
              <w:t>685 907</w:t>
            </w:r>
          </w:p>
        </w:tc>
        <w:tc>
          <w:tcPr>
            <w:tcW w:w="1800" w:type="dxa"/>
            <w:tcBorders>
              <w:left w:val="nil"/>
              <w:bottom w:val="single" w:sz="12" w:space="0" w:color="auto"/>
            </w:tcBorders>
            <w:noWrap/>
            <w:hideMark/>
          </w:tcPr>
          <w:p w14:paraId="0B35E648" w14:textId="01B99880" w:rsidR="007860F9" w:rsidRPr="00C538F0" w:rsidRDefault="007860F9" w:rsidP="00B33B1E">
            <w:pPr>
              <w:spacing w:line="259" w:lineRule="auto"/>
              <w:jc w:val="right"/>
            </w:pPr>
            <w:r w:rsidRPr="00C538F0">
              <w:t>410 293</w:t>
            </w:r>
          </w:p>
        </w:tc>
        <w:tc>
          <w:tcPr>
            <w:tcW w:w="1710" w:type="dxa"/>
            <w:tcBorders>
              <w:left w:val="nil"/>
              <w:bottom w:val="single" w:sz="12" w:space="0" w:color="auto"/>
            </w:tcBorders>
          </w:tcPr>
          <w:p w14:paraId="59E09C9E" w14:textId="0353314B" w:rsidR="007860F9" w:rsidRPr="00C538F0" w:rsidDel="00964036" w:rsidRDefault="005D2BE4">
            <w:pPr>
              <w:spacing w:line="259" w:lineRule="auto"/>
              <w:jc w:val="right"/>
            </w:pPr>
            <w:r w:rsidRPr="00C538F0">
              <w:t>4 119 709</w:t>
            </w:r>
          </w:p>
        </w:tc>
      </w:tr>
      <w:tr w:rsidR="00603D2F" w:rsidRPr="00C538F0" w14:paraId="4AD62071" w14:textId="666250BD" w:rsidTr="00B33B1E">
        <w:trPr>
          <w:trHeight w:val="300"/>
        </w:trPr>
        <w:tc>
          <w:tcPr>
            <w:tcW w:w="2174" w:type="dxa"/>
            <w:tcBorders>
              <w:top w:val="single" w:sz="12" w:space="0" w:color="auto"/>
              <w:bottom w:val="single" w:sz="12" w:space="0" w:color="auto"/>
            </w:tcBorders>
            <w:noWrap/>
            <w:hideMark/>
          </w:tcPr>
          <w:p w14:paraId="212A39B9" w14:textId="0078C088" w:rsidR="007860F9" w:rsidRPr="00C538F0" w:rsidRDefault="007860F9" w:rsidP="00284FCB">
            <w:pPr>
              <w:spacing w:line="259" w:lineRule="auto"/>
              <w:rPr>
                <w:b/>
                <w:bCs/>
              </w:rPr>
            </w:pPr>
            <w:r w:rsidRPr="00C538F0">
              <w:rPr>
                <w:b/>
                <w:bCs/>
              </w:rPr>
              <w:tab/>
              <w:t>Total</w:t>
            </w:r>
          </w:p>
        </w:tc>
        <w:tc>
          <w:tcPr>
            <w:tcW w:w="1260" w:type="dxa"/>
            <w:tcBorders>
              <w:top w:val="single" w:sz="12" w:space="0" w:color="auto"/>
              <w:left w:val="nil"/>
              <w:bottom w:val="single" w:sz="12" w:space="0" w:color="auto"/>
            </w:tcBorders>
            <w:noWrap/>
            <w:hideMark/>
          </w:tcPr>
          <w:p w14:paraId="6BF540ED" w14:textId="1DD98F84" w:rsidR="007860F9" w:rsidRPr="00C538F0" w:rsidRDefault="007860F9" w:rsidP="00B33B1E">
            <w:pPr>
              <w:spacing w:line="259" w:lineRule="auto"/>
              <w:jc w:val="right"/>
              <w:rPr>
                <w:b/>
                <w:bCs/>
              </w:rPr>
            </w:pPr>
            <w:r w:rsidRPr="00C538F0">
              <w:rPr>
                <w:b/>
                <w:bCs/>
              </w:rPr>
              <w:t>15 460 272</w:t>
            </w:r>
          </w:p>
        </w:tc>
        <w:tc>
          <w:tcPr>
            <w:tcW w:w="1980" w:type="dxa"/>
            <w:tcBorders>
              <w:top w:val="single" w:sz="12" w:space="0" w:color="auto"/>
              <w:left w:val="nil"/>
              <w:bottom w:val="single" w:sz="12" w:space="0" w:color="auto"/>
            </w:tcBorders>
            <w:noWrap/>
            <w:hideMark/>
          </w:tcPr>
          <w:p w14:paraId="3AC8B251" w14:textId="5D6FA88C" w:rsidR="007860F9" w:rsidRPr="00C538F0" w:rsidRDefault="007860F9" w:rsidP="00B33B1E">
            <w:pPr>
              <w:spacing w:line="259" w:lineRule="auto"/>
              <w:jc w:val="right"/>
              <w:rPr>
                <w:b/>
                <w:bCs/>
              </w:rPr>
            </w:pPr>
            <w:r w:rsidRPr="00C538F0">
              <w:rPr>
                <w:b/>
                <w:bCs/>
              </w:rPr>
              <w:t>3 284 178</w:t>
            </w:r>
          </w:p>
        </w:tc>
        <w:tc>
          <w:tcPr>
            <w:tcW w:w="1800" w:type="dxa"/>
            <w:tcBorders>
              <w:top w:val="single" w:sz="12" w:space="0" w:color="auto"/>
              <w:left w:val="nil"/>
              <w:bottom w:val="single" w:sz="12" w:space="0" w:color="auto"/>
            </w:tcBorders>
            <w:noWrap/>
            <w:hideMark/>
          </w:tcPr>
          <w:p w14:paraId="406DAEC2" w14:textId="2CE8CDDC" w:rsidR="007860F9" w:rsidRPr="00C538F0" w:rsidRDefault="007860F9" w:rsidP="00B33B1E">
            <w:pPr>
              <w:spacing w:line="259" w:lineRule="auto"/>
              <w:jc w:val="right"/>
              <w:rPr>
                <w:b/>
                <w:bCs/>
              </w:rPr>
            </w:pPr>
            <w:r w:rsidRPr="00C538F0">
              <w:rPr>
                <w:b/>
                <w:bCs/>
              </w:rPr>
              <w:t>2 869 392</w:t>
            </w:r>
          </w:p>
        </w:tc>
        <w:tc>
          <w:tcPr>
            <w:tcW w:w="1710" w:type="dxa"/>
            <w:tcBorders>
              <w:top w:val="single" w:sz="12" w:space="0" w:color="auto"/>
              <w:left w:val="nil"/>
              <w:bottom w:val="single" w:sz="12" w:space="0" w:color="auto"/>
            </w:tcBorders>
          </w:tcPr>
          <w:p w14:paraId="64C05A18" w14:textId="01221C21" w:rsidR="007860F9" w:rsidRPr="00C538F0" w:rsidDel="00964036" w:rsidRDefault="005D2BE4" w:rsidP="005D2BE4">
            <w:pPr>
              <w:spacing w:line="259" w:lineRule="auto"/>
              <w:jc w:val="right"/>
              <w:rPr>
                <w:b/>
                <w:bCs/>
              </w:rPr>
            </w:pPr>
            <w:r w:rsidRPr="00C538F0">
              <w:rPr>
                <w:b/>
                <w:bCs/>
              </w:rPr>
              <w:t>21 613 842</w:t>
            </w:r>
          </w:p>
        </w:tc>
      </w:tr>
    </w:tbl>
    <w:p w14:paraId="1A8BCAD3" w14:textId="3EB5D00C" w:rsidR="0043104B" w:rsidRPr="00C538F0" w:rsidRDefault="0043104B" w:rsidP="00FE7DD7">
      <w:pPr>
        <w:pStyle w:val="Para10"/>
      </w:pPr>
      <w:r w:rsidRPr="00C538F0">
        <w:t xml:space="preserve">En su decisión 15/34, la Conferencia de las Partes instó a las Partes que aún no habían abonado sus contribuciones correspondientes a los presupuestos básicos para 2022 y años anteriores </w:t>
      </w:r>
      <w:r w:rsidR="005C4D0A" w:rsidRPr="00C538F0">
        <w:t xml:space="preserve">a </w:t>
      </w:r>
      <w:r w:rsidRPr="00C538F0">
        <w:t>que lo hicie</w:t>
      </w:r>
      <w:r w:rsidR="005C4D0A" w:rsidRPr="00C538F0">
        <w:t>ra</w:t>
      </w:r>
      <w:r w:rsidRPr="00C538F0">
        <w:t xml:space="preserve">n sin demoras o condicionamientos. También se pidió a la Secretaria Ejecutiva que tomara medidas de seguimiento, junto con el Programa de las Naciones Unidas para el Medio Ambiente (PNUMA) y la Presidencia de la Conferencia de las Partes, conforme a los párrafos 18 a 24 de la decisión. </w:t>
      </w:r>
    </w:p>
    <w:p w14:paraId="7FF0B39A" w14:textId="70EA692E" w:rsidR="0043104B" w:rsidRPr="00C538F0" w:rsidRDefault="0043104B" w:rsidP="00FE7DD7">
      <w:pPr>
        <w:pStyle w:val="Para10"/>
      </w:pPr>
      <w:r w:rsidRPr="00C538F0">
        <w:t>Los cuadros de cuotas para los presupuestos básicos para el Convenio y los Protocolos pueden consultarse en el sitio web de la Secretaría</w:t>
      </w:r>
      <w:r w:rsidR="007E3A14" w:rsidRPr="00C538F0">
        <w:rPr>
          <w:rStyle w:val="FootnoteReference"/>
          <w:color w:val="000000" w:themeColor="text1"/>
          <w:kern w:val="20"/>
        </w:rPr>
        <w:footnoteReference w:id="3"/>
      </w:r>
      <w:r w:rsidRPr="00C538F0">
        <w:t>.</w:t>
      </w:r>
    </w:p>
    <w:p w14:paraId="19AD80E2" w14:textId="5CE1233F" w:rsidR="000D4DA8" w:rsidRPr="00C538F0" w:rsidRDefault="000D4DA8" w:rsidP="00FE7DD7">
      <w:pPr>
        <w:pStyle w:val="Heading3"/>
        <w:numPr>
          <w:ilvl w:val="0"/>
          <w:numId w:val="12"/>
        </w:numPr>
        <w:suppressLineNumbers/>
        <w:tabs>
          <w:tab w:val="left" w:pos="426"/>
        </w:tabs>
        <w:suppressAutoHyphens/>
        <w:kinsoku w:val="0"/>
        <w:overflowPunct w:val="0"/>
        <w:autoSpaceDE w:val="0"/>
        <w:autoSpaceDN w:val="0"/>
        <w:adjustRightInd w:val="0"/>
        <w:snapToGrid w:val="0"/>
        <w:ind w:left="567" w:hanging="567"/>
        <w:rPr>
          <w:rFonts w:eastAsia="Malgun Gothic"/>
          <w:i/>
          <w:snapToGrid w:val="0"/>
          <w:kern w:val="22"/>
        </w:rPr>
      </w:pPr>
      <w:r w:rsidRPr="00C538F0">
        <w:rPr>
          <w:snapToGrid w:val="0"/>
        </w:rPr>
        <w:t>Gastos</w:t>
      </w:r>
    </w:p>
    <w:p w14:paraId="61A30E6D" w14:textId="3CFD79C4" w:rsidR="00864092" w:rsidRPr="00C538F0" w:rsidRDefault="005E7D27" w:rsidP="00FE7DD7">
      <w:pPr>
        <w:pStyle w:val="Para10"/>
        <w:rPr>
          <w:color w:val="000000"/>
        </w:rPr>
      </w:pPr>
      <w:r w:rsidRPr="00C538F0">
        <w:t>Al 29 de febrero de 2024, los gastos del bienio ascendían a casi 22 millones de dólares de los Estados Unidos (véase el cuadro 3).</w:t>
      </w:r>
    </w:p>
    <w:p w14:paraId="708FD7B5" w14:textId="63C2A190" w:rsidR="00864092" w:rsidRPr="00C538F0" w:rsidRDefault="009B6746" w:rsidP="00B33B1E">
      <w:pPr>
        <w:pStyle w:val="Heading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rPr>
      </w:pPr>
      <w:r w:rsidRPr="00C538F0">
        <w:rPr>
          <w:snapToGrid w:val="0"/>
        </w:rPr>
        <w:t xml:space="preserve">a) </w:t>
      </w:r>
      <w:r w:rsidR="001131B7" w:rsidRPr="00C538F0">
        <w:rPr>
          <w:snapToGrid w:val="0"/>
        </w:rPr>
        <w:tab/>
      </w:r>
      <w:r w:rsidRPr="00C538F0">
        <w:rPr>
          <w:snapToGrid w:val="0"/>
        </w:rPr>
        <w:t>Costos de personal</w:t>
      </w:r>
    </w:p>
    <w:p w14:paraId="701D5626" w14:textId="3024AC76" w:rsidR="00C341B7" w:rsidRPr="00C538F0" w:rsidRDefault="005A521E" w:rsidP="00FE7DD7">
      <w:pPr>
        <w:pStyle w:val="Para10"/>
      </w:pPr>
      <w:r w:rsidRPr="00C538F0">
        <w:t>En su 15ª reunión, la Conferencia aprobó un presupuesto de 24,1 millones de dólares de los Estados Unidos para una plantilla de 82 puestos (53 puestos en el Cuadro Orgánico y categorías superiores y 29 puestos en el Cuadro de Servicios Generales). Al 29 de febrero de 2024, los gastos ascendían a 13,8 millones de dólares.</w:t>
      </w:r>
    </w:p>
    <w:p w14:paraId="3C574C26" w14:textId="3CBCF185" w:rsidR="00990912" w:rsidRPr="00C538F0" w:rsidRDefault="00D54D12" w:rsidP="00B33B1E">
      <w:pPr>
        <w:pStyle w:val="Heading3"/>
        <w:numPr>
          <w:ilvl w:val="0"/>
          <w:numId w:val="0"/>
        </w:numPr>
        <w:suppressLineNumbers/>
        <w:tabs>
          <w:tab w:val="left" w:pos="426"/>
          <w:tab w:val="left" w:pos="1080"/>
        </w:tabs>
        <w:suppressAutoHyphens/>
        <w:kinsoku w:val="0"/>
        <w:overflowPunct w:val="0"/>
        <w:autoSpaceDE w:val="0"/>
        <w:autoSpaceDN w:val="0"/>
        <w:adjustRightInd w:val="0"/>
        <w:snapToGrid w:val="0"/>
        <w:ind w:left="567"/>
        <w:rPr>
          <w:rFonts w:eastAsia="Malgun Gothic"/>
          <w:b w:val="0"/>
          <w:bCs w:val="0"/>
          <w:snapToGrid w:val="0"/>
          <w:kern w:val="22"/>
        </w:rPr>
      </w:pPr>
      <w:r w:rsidRPr="00C538F0">
        <w:rPr>
          <w:snapToGrid w:val="0"/>
        </w:rPr>
        <w:t xml:space="preserve">b) </w:t>
      </w:r>
      <w:r w:rsidR="001131B7" w:rsidRPr="00C538F0">
        <w:rPr>
          <w:snapToGrid w:val="0"/>
        </w:rPr>
        <w:tab/>
      </w:r>
      <w:r w:rsidRPr="00C538F0">
        <w:rPr>
          <w:snapToGrid w:val="0"/>
        </w:rPr>
        <w:t>Reuniones de órganos intergubernamentales</w:t>
      </w:r>
    </w:p>
    <w:p w14:paraId="27E424C6" w14:textId="24BB69FA" w:rsidR="00A25735" w:rsidRPr="00C538F0" w:rsidRDefault="007143EF" w:rsidP="00FE7DD7">
      <w:pPr>
        <w:pStyle w:val="Para10"/>
        <w:rPr>
          <w:color w:val="000000"/>
        </w:rPr>
      </w:pPr>
      <w:r w:rsidRPr="00C538F0">
        <w:t xml:space="preserve">La Conferencia de las Partes aprobó un presupuesto de 5 584 600 dólares de los Estados Unidos para el bienio con el fin de cubrir los gastos en conferencias de las reuniones de los órganos </w:t>
      </w:r>
      <w:r w:rsidRPr="00C538F0">
        <w:lastRenderedPageBreak/>
        <w:t>subsidiarios, la 16ª reunión de la Conferencia de las Partes en el Convenio, la 11ª reunión de la Conferencia de las Partes que actúa como reunión de las Partes en el Protocolo de Cartagena y la quinta reunión de la Conferencia de las Partes que actúa como reunión de las Partes en el Protocolo de Nagoya. En total se gastaron 1,3 millones de dólares para cubrir los costos de la 25ª reunión del Órgano Subsidiario de Asesoramiento Científico, Técnico y Tecnológico, la reanudación de las segundas partes de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todas celebradas en octubre de 2023, y la 12ª reunión del Grupo de Trabajo Especial de Composición Abierta entre Períodos de Sesiones sobre el Artículo 8 j) y Disposiciones Conexas del Convenio, que se celebró el mes siguiente. Los costos de la primera reunión del Grupo de Trabajo Especial de Composición Abierta sobre Participación en los Beneficios que se Deriven de la Utilización de Información Digital sobre Secuencias de Recursos Genéticos, que también se celebró en noviembre de 2023, se sufragaron con una contribución voluntaria del Gobierno de Noruega.</w:t>
      </w:r>
    </w:p>
    <w:p w14:paraId="06579A20" w14:textId="7E68521A" w:rsidR="007D0C53" w:rsidRPr="00C538F0" w:rsidRDefault="00D54D12" w:rsidP="00B33B1E">
      <w:pPr>
        <w:pStyle w:val="Heading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rPr>
      </w:pPr>
      <w:r w:rsidRPr="00C538F0">
        <w:rPr>
          <w:snapToGrid w:val="0"/>
        </w:rPr>
        <w:t xml:space="preserve">c) </w:t>
      </w:r>
      <w:r w:rsidR="00EF286C" w:rsidRPr="00C538F0">
        <w:rPr>
          <w:snapToGrid w:val="0"/>
        </w:rPr>
        <w:tab/>
      </w:r>
      <w:r w:rsidRPr="00C538F0">
        <w:rPr>
          <w:snapToGrid w:val="0"/>
        </w:rPr>
        <w:t>Reuniones de la Mesa</w:t>
      </w:r>
    </w:p>
    <w:p w14:paraId="24130166" w14:textId="272FE34C" w:rsidR="007D0C53" w:rsidRPr="00C538F0" w:rsidRDefault="00C770AD" w:rsidP="00FE7DD7">
      <w:pPr>
        <w:pStyle w:val="Para10"/>
      </w:pPr>
      <w:r w:rsidRPr="00C538F0">
        <w:t xml:space="preserve">Durante el período comprendido entre enero de 2023 y febrero de 2024, se celebraron en forma presencial dos reuniones de la Mesa de la Conferencia de las Partes, una reunión de la Mesa del Órgano Subsidiario de Asesoramiento Científico, Técnico y Tecnológico y una reunión conjunta de las dos Mesas. Se gastó un total de 123 000 dólares de los Estados Unidos para facilitar los viajes de los miembros de la Mesa de Partes que son países en desarrollo. </w:t>
      </w:r>
    </w:p>
    <w:p w14:paraId="7E5AF807" w14:textId="0322B13A" w:rsidR="00480E23" w:rsidRPr="00C538F0" w:rsidRDefault="00D54D12" w:rsidP="00B33B1E">
      <w:pPr>
        <w:pStyle w:val="Heading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rPr>
      </w:pPr>
      <w:r w:rsidRPr="00C538F0">
        <w:rPr>
          <w:snapToGrid w:val="0"/>
        </w:rPr>
        <w:t xml:space="preserve">d) </w:t>
      </w:r>
      <w:r w:rsidR="00EF286C" w:rsidRPr="00C538F0">
        <w:rPr>
          <w:snapToGrid w:val="0"/>
        </w:rPr>
        <w:tab/>
      </w:r>
      <w:r w:rsidRPr="00C538F0">
        <w:rPr>
          <w:snapToGrid w:val="0"/>
        </w:rPr>
        <w:t>Reuniones de expertos</w:t>
      </w:r>
    </w:p>
    <w:p w14:paraId="6DB4C7CF" w14:textId="6D7C87BA" w:rsidR="000344A8" w:rsidRPr="00C538F0" w:rsidRDefault="00A73716" w:rsidP="00FE7DD7">
      <w:pPr>
        <w:pStyle w:val="Para10"/>
        <w:rPr>
          <w:bCs/>
          <w:i/>
          <w:iCs/>
          <w:kern w:val="22"/>
        </w:rPr>
      </w:pPr>
      <w:r w:rsidRPr="00C538F0">
        <w:t>En su 15ª reunión, la Conferencia de las Partes aprobó un presupuesto de 480 000 dólares de los Estados Unidos para organizar varias reuniones de expertos en 2023 y 2024. Durante el período comprendido entre enero de 2023 y febrero de 2024, la Secretaría organizó las siguientes reuniones de expertos, con un costo total de 278 000 dólares:</w:t>
      </w:r>
    </w:p>
    <w:p w14:paraId="68AFBBA3" w14:textId="77777777" w:rsidR="00395C65" w:rsidRPr="00C538F0" w:rsidRDefault="00395C65" w:rsidP="00B33B1E">
      <w:pPr>
        <w:pStyle w:val="ListParagraph"/>
        <w:numPr>
          <w:ilvl w:val="0"/>
          <w:numId w:val="14"/>
        </w:numPr>
        <w:spacing w:before="120" w:after="120"/>
        <w:ind w:left="990" w:hanging="450"/>
        <w:contextualSpacing w:val="0"/>
        <w:rPr>
          <w:rFonts w:asciiTheme="majorBidi" w:hAnsiTheme="majorBidi" w:cstheme="majorBidi"/>
          <w:szCs w:val="22"/>
        </w:rPr>
      </w:pPr>
      <w:r w:rsidRPr="00C538F0">
        <w:t>12ª reunión del Comité Asesor Oficioso del Centro de Intercambio de Información sobre Seguridad de la Biotecnología (15 y 16 de mayo de 2023)</w:t>
      </w:r>
    </w:p>
    <w:p w14:paraId="3724C8F7" w14:textId="5D6FDC63" w:rsidR="00270DF5" w:rsidRPr="00C538F0" w:rsidRDefault="009E6095"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r w:rsidRPr="00C538F0">
        <w:t>Primera reunión del Grupo Asesor Oficioso sobre Cooperación Técnica y Científica (14 a 16 de junio de 2023)</w:t>
      </w:r>
    </w:p>
    <w:p w14:paraId="27DDE460" w14:textId="77777777" w:rsidR="00395C65" w:rsidRPr="00C538F0" w:rsidRDefault="00395C65"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r w:rsidRPr="00C538F0">
        <w:t>Quinta reunión del Comité Asesor Oficioso sobre Creación de Capacidad para la Aplicación del Protocolo de Nagoya (20 a 22 de junio de 2023)</w:t>
      </w:r>
    </w:p>
    <w:p w14:paraId="08AB3342" w14:textId="77777777" w:rsidR="00A23F35" w:rsidRPr="00C538F0" w:rsidRDefault="00A23F35"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r w:rsidRPr="00C538F0">
        <w:t>Primera reunión del Comité Asesor sobre Movilización de Recursos (25 a 29 de septiembre de 2023)</w:t>
      </w:r>
    </w:p>
    <w:p w14:paraId="64135D36" w14:textId="20E45FA5" w:rsidR="008713B3" w:rsidRPr="00C538F0" w:rsidRDefault="00270DF5"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r w:rsidRPr="00C538F0">
        <w:t>18ª reunión del Comité de Cumplimiento del Protocolo de Cartagena (24 a 26 de octubre de 2023)</w:t>
      </w:r>
    </w:p>
    <w:p w14:paraId="2CC0B3CB" w14:textId="1FCA591D" w:rsidR="00977BC4" w:rsidRPr="00C538F0" w:rsidRDefault="00977BC4" w:rsidP="00B33B1E">
      <w:pPr>
        <w:pStyle w:val="ListParagraph"/>
        <w:numPr>
          <w:ilvl w:val="0"/>
          <w:numId w:val="14"/>
        </w:numPr>
        <w:spacing w:before="120" w:after="120"/>
        <w:ind w:left="990" w:hanging="450"/>
        <w:contextualSpacing w:val="0"/>
        <w:rPr>
          <w:rFonts w:asciiTheme="majorBidi" w:hAnsiTheme="majorBidi" w:cstheme="majorBidi"/>
          <w:spacing w:val="6"/>
          <w:szCs w:val="22"/>
        </w:rPr>
      </w:pPr>
      <w:bookmarkStart w:id="2" w:name="_Hlk165274121"/>
      <w:r w:rsidRPr="00C538F0">
        <w:rPr>
          <w:rFonts w:asciiTheme="majorBidi" w:hAnsiTheme="majorBidi"/>
          <w:szCs w:val="22"/>
        </w:rPr>
        <w:t>Quinta reunión del Comité Asesor Oficioso del Centro de Intercambio de Información sobre Acceso y Participación en los Beneficios (13 a 15 de febrero de 2024)</w:t>
      </w:r>
    </w:p>
    <w:bookmarkEnd w:id="2"/>
    <w:p w14:paraId="247122FB" w14:textId="426E88CC" w:rsidR="00A504BA" w:rsidRPr="00C538F0" w:rsidRDefault="00E1050B" w:rsidP="00FE7DD7">
      <w:pPr>
        <w:pStyle w:val="Para10"/>
        <w:rPr>
          <w:rStyle w:val="ui-provider"/>
          <w:rFonts w:asciiTheme="majorBidi" w:hAnsiTheme="majorBidi" w:cstheme="majorBidi"/>
          <w:spacing w:val="6"/>
          <w:szCs w:val="22"/>
        </w:rPr>
      </w:pPr>
      <w:r w:rsidRPr="00C538F0">
        <w:t>Se organizaron reuniones adicionales de los comités y reuniones de otros grupos de expertos con financiación procedente de contribuciones voluntarias. Algunos de los comités y grupos de expertos también celebraron reuniones en línea.</w:t>
      </w:r>
    </w:p>
    <w:p w14:paraId="309DFA47" w14:textId="64F5A242" w:rsidR="00D00909" w:rsidRPr="00C538F0" w:rsidRDefault="00D54D12" w:rsidP="00B33B1E">
      <w:pPr>
        <w:pStyle w:val="Heading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rPr>
      </w:pPr>
      <w:r w:rsidRPr="00C538F0">
        <w:rPr>
          <w:snapToGrid w:val="0"/>
        </w:rPr>
        <w:t xml:space="preserve">e) </w:t>
      </w:r>
      <w:r w:rsidR="00EF286C" w:rsidRPr="00C538F0">
        <w:rPr>
          <w:snapToGrid w:val="0"/>
        </w:rPr>
        <w:tab/>
      </w:r>
      <w:r w:rsidRPr="00C538F0">
        <w:rPr>
          <w:snapToGrid w:val="0"/>
        </w:rPr>
        <w:t>Viajes por motivos oficiales</w:t>
      </w:r>
    </w:p>
    <w:p w14:paraId="4D70EA06" w14:textId="0A754134" w:rsidR="0082113E" w:rsidRPr="00C538F0" w:rsidRDefault="0082113E" w:rsidP="00FE7DD7">
      <w:pPr>
        <w:pStyle w:val="Para10"/>
        <w:rPr>
          <w:sz w:val="24"/>
        </w:rPr>
      </w:pPr>
      <w:r w:rsidRPr="00C538F0">
        <w:t xml:space="preserve">La participación en las reuniones y </w:t>
      </w:r>
      <w:r w:rsidR="00885760">
        <w:t>eventos</w:t>
      </w:r>
      <w:bookmarkStart w:id="3" w:name="_GoBack"/>
      <w:bookmarkEnd w:id="3"/>
      <w:r w:rsidRPr="00C538F0">
        <w:t xml:space="preserve"> de otras organizaciones es una de las formas importantes de lograr sinergias con la labor del Convenio y sus Protocolos y los programas de trabajo integrados. Por este motivo, miembros del personal de la Secretaría viajaron con el fin de representar al Convenio y sus Protocolos en diversas reuniones y </w:t>
      </w:r>
      <w:r w:rsidR="00280229">
        <w:t>eventos</w:t>
      </w:r>
      <w:r w:rsidRPr="00C538F0">
        <w:t xml:space="preserve">. En el período comprendido entre enero de 2023 y febrero de 2024 se gastó un total de 520 000 dólares de los Estados Unidos con este fin. </w:t>
      </w:r>
      <w:r w:rsidRPr="00C538F0">
        <w:lastRenderedPageBreak/>
        <w:t xml:space="preserve">Debido a las continuas y crecientes </w:t>
      </w:r>
      <w:r w:rsidR="00290E0A">
        <w:t xml:space="preserve">peticiones a la </w:t>
      </w:r>
      <w:r w:rsidRPr="00C538F0">
        <w:t xml:space="preserve">Secretaría </w:t>
      </w:r>
      <w:r w:rsidR="00290E0A">
        <w:t xml:space="preserve">para que asista </w:t>
      </w:r>
      <w:r w:rsidRPr="00C538F0">
        <w:t xml:space="preserve">a reuniones y </w:t>
      </w:r>
      <w:r w:rsidR="00426CAC">
        <w:t>eventos</w:t>
      </w:r>
      <w:r w:rsidRPr="00C538F0">
        <w:t xml:space="preserve">, se </w:t>
      </w:r>
      <w:r w:rsidR="00307F0F">
        <w:t>espera</w:t>
      </w:r>
      <w:r w:rsidRPr="00C538F0">
        <w:t xml:space="preserve"> que se </w:t>
      </w:r>
      <w:r w:rsidR="00290E0A">
        <w:t>sobrepas</w:t>
      </w:r>
      <w:r w:rsidR="00307F0F">
        <w:t>e</w:t>
      </w:r>
      <w:r w:rsidRPr="00C538F0">
        <w:t xml:space="preserve"> el presupuesto aprobado de 640 000 dólares para el bienio. Cabe señalar que el presupuesto para viajes para el bienio actual es significativamente inferior a los de bienios anteriores, que oscilaban entre 800 000 y 900 000 dólares.</w:t>
      </w:r>
    </w:p>
    <w:p w14:paraId="2EB34C96" w14:textId="138FBA18" w:rsidR="000D4DA8" w:rsidRPr="00C538F0" w:rsidRDefault="000D4DA8" w:rsidP="00B33B1E">
      <w:pPr>
        <w:pStyle w:val="ListParagraph"/>
        <w:keepNext/>
        <w:keepLines/>
        <w:suppressLineNumbers/>
        <w:suppressAutoHyphens/>
        <w:kinsoku w:val="0"/>
        <w:overflowPunct w:val="0"/>
        <w:autoSpaceDE w:val="0"/>
        <w:autoSpaceDN w:val="0"/>
        <w:adjustRightInd w:val="0"/>
        <w:snapToGrid w:val="0"/>
        <w:spacing w:before="240" w:after="120"/>
        <w:ind w:left="0"/>
        <w:contextualSpacing w:val="0"/>
        <w:jc w:val="left"/>
        <w:rPr>
          <w:bCs/>
          <w:snapToGrid w:val="0"/>
          <w:kern w:val="22"/>
          <w:sz w:val="18"/>
          <w:szCs w:val="18"/>
        </w:rPr>
      </w:pPr>
      <w:r w:rsidRPr="00C538F0">
        <w:t>Cuadro 3</w:t>
      </w:r>
      <w:r w:rsidRPr="00C538F0">
        <w:br/>
      </w:r>
      <w:r w:rsidRPr="00C538F0">
        <w:rPr>
          <w:b/>
          <w:bCs/>
        </w:rPr>
        <w:t>Gastos proyectados, por objeto de gastos, en relación con el presupuesto integrado aprobado para 2023</w:t>
      </w:r>
      <w:r w:rsidRPr="00C538F0">
        <w:rPr>
          <w:bCs/>
        </w:rPr>
        <w:t>–</w:t>
      </w:r>
      <w:r w:rsidRPr="00C538F0">
        <w:rPr>
          <w:b/>
          <w:bCs/>
        </w:rPr>
        <w:t>2024</w:t>
      </w:r>
      <w:r w:rsidRPr="00C538F0">
        <w:br/>
      </w:r>
      <w:r w:rsidRPr="00C538F0">
        <w:rPr>
          <w:sz w:val="18"/>
          <w:szCs w:val="18"/>
        </w:rPr>
        <w:t>(En miles de dólares de los EE.UU.)</w:t>
      </w:r>
    </w:p>
    <w:tbl>
      <w:tblPr>
        <w:tblW w:w="0" w:type="auto"/>
        <w:jc w:val="center"/>
        <w:tblLook w:val="04A0" w:firstRow="1" w:lastRow="0" w:firstColumn="1" w:lastColumn="0" w:noHBand="0" w:noVBand="1"/>
      </w:tblPr>
      <w:tblGrid>
        <w:gridCol w:w="416"/>
        <w:gridCol w:w="3642"/>
        <w:gridCol w:w="1542"/>
        <w:gridCol w:w="2688"/>
        <w:gridCol w:w="1072"/>
      </w:tblGrid>
      <w:tr w:rsidR="00AF183C" w:rsidRPr="00C538F0" w14:paraId="6DD444B6" w14:textId="77777777" w:rsidTr="006F53FA">
        <w:trPr>
          <w:cantSplit/>
          <w:jc w:val="center"/>
        </w:trPr>
        <w:tc>
          <w:tcPr>
            <w:tcW w:w="0" w:type="auto"/>
            <w:tcBorders>
              <w:top w:val="single" w:sz="12" w:space="0" w:color="auto"/>
              <w:bottom w:val="single" w:sz="12" w:space="0" w:color="auto"/>
            </w:tcBorders>
          </w:tcPr>
          <w:p w14:paraId="3FC4C30B" w14:textId="77777777" w:rsidR="00AF183C" w:rsidRPr="00C538F0" w:rsidRDefault="00AF183C">
            <w:pPr>
              <w:suppressLineNumbers/>
              <w:suppressAutoHyphens/>
              <w:kinsoku w:val="0"/>
              <w:overflowPunct w:val="0"/>
              <w:autoSpaceDE w:val="0"/>
              <w:autoSpaceDN w:val="0"/>
              <w:adjustRightInd w:val="0"/>
              <w:snapToGrid w:val="0"/>
              <w:jc w:val="left"/>
              <w:rPr>
                <w:i/>
                <w:i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vAlign w:val="bottom"/>
            <w:hideMark/>
          </w:tcPr>
          <w:p w14:paraId="3A5BDE2E" w14:textId="4FE92F34" w:rsidR="00AF183C" w:rsidRPr="00C538F0" w:rsidRDefault="00AF183C" w:rsidP="00B33B1E">
            <w:pPr>
              <w:suppressLineNumbers/>
              <w:suppressAutoHyphens/>
              <w:kinsoku w:val="0"/>
              <w:overflowPunct w:val="0"/>
              <w:autoSpaceDE w:val="0"/>
              <w:autoSpaceDN w:val="0"/>
              <w:adjustRightInd w:val="0"/>
              <w:snapToGrid w:val="0"/>
              <w:jc w:val="left"/>
              <w:rPr>
                <w:i/>
                <w:iCs/>
                <w:snapToGrid w:val="0"/>
                <w:color w:val="000000"/>
                <w:kern w:val="22"/>
                <w:sz w:val="20"/>
                <w:szCs w:val="20"/>
              </w:rPr>
            </w:pPr>
            <w:r w:rsidRPr="00C538F0">
              <w:rPr>
                <w:i/>
                <w:iCs/>
                <w:snapToGrid w:val="0"/>
                <w:color w:val="000000"/>
                <w:sz w:val="20"/>
                <w:szCs w:val="20"/>
              </w:rPr>
              <w:t>Objeto de gastos</w:t>
            </w:r>
          </w:p>
        </w:tc>
        <w:tc>
          <w:tcPr>
            <w:tcW w:w="0" w:type="auto"/>
            <w:tcBorders>
              <w:top w:val="single" w:sz="12" w:space="0" w:color="auto"/>
              <w:bottom w:val="single" w:sz="12" w:space="0" w:color="auto"/>
            </w:tcBorders>
            <w:shd w:val="clear" w:color="auto" w:fill="auto"/>
            <w:hideMark/>
          </w:tcPr>
          <w:p w14:paraId="716756AF" w14:textId="77777777" w:rsidR="00AF183C" w:rsidRPr="00C538F0" w:rsidRDefault="00AF183C" w:rsidP="00B33B1E">
            <w:pPr>
              <w:suppressLineNumbers/>
              <w:suppressAutoHyphens/>
              <w:kinsoku w:val="0"/>
              <w:overflowPunct w:val="0"/>
              <w:autoSpaceDE w:val="0"/>
              <w:autoSpaceDN w:val="0"/>
              <w:adjustRightInd w:val="0"/>
              <w:snapToGrid w:val="0"/>
              <w:jc w:val="right"/>
              <w:rPr>
                <w:i/>
                <w:iCs/>
                <w:snapToGrid w:val="0"/>
                <w:color w:val="000000"/>
                <w:kern w:val="22"/>
                <w:sz w:val="20"/>
                <w:szCs w:val="20"/>
              </w:rPr>
            </w:pPr>
            <w:r w:rsidRPr="00C538F0">
              <w:rPr>
                <w:i/>
                <w:iCs/>
                <w:snapToGrid w:val="0"/>
                <w:color w:val="000000"/>
                <w:sz w:val="20"/>
                <w:szCs w:val="20"/>
              </w:rPr>
              <w:t>Presupuesto total aprobado</w:t>
            </w:r>
          </w:p>
        </w:tc>
        <w:tc>
          <w:tcPr>
            <w:tcW w:w="0" w:type="auto"/>
            <w:tcBorders>
              <w:top w:val="single" w:sz="12" w:space="0" w:color="auto"/>
              <w:bottom w:val="single" w:sz="12" w:space="0" w:color="auto"/>
            </w:tcBorders>
            <w:shd w:val="clear" w:color="auto" w:fill="auto"/>
            <w:vAlign w:val="bottom"/>
          </w:tcPr>
          <w:p w14:paraId="24757ED2" w14:textId="68670811" w:rsidR="00AF183C" w:rsidRPr="00C538F0" w:rsidRDefault="00AF183C" w:rsidP="00B33B1E">
            <w:pPr>
              <w:suppressLineNumbers/>
              <w:suppressAutoHyphens/>
              <w:kinsoku w:val="0"/>
              <w:overflowPunct w:val="0"/>
              <w:autoSpaceDE w:val="0"/>
              <w:autoSpaceDN w:val="0"/>
              <w:adjustRightInd w:val="0"/>
              <w:snapToGrid w:val="0"/>
              <w:jc w:val="right"/>
              <w:rPr>
                <w:i/>
                <w:iCs/>
                <w:snapToGrid w:val="0"/>
                <w:color w:val="000000"/>
                <w:kern w:val="22"/>
                <w:sz w:val="20"/>
                <w:szCs w:val="20"/>
              </w:rPr>
            </w:pPr>
            <w:r w:rsidRPr="00C538F0">
              <w:rPr>
                <w:i/>
                <w:iCs/>
                <w:sz w:val="20"/>
                <w:szCs w:val="20"/>
              </w:rPr>
              <w:t>Total de compromisos de gastos (1 de enero de 2023 – 29 de febrero de 2024)</w:t>
            </w:r>
          </w:p>
        </w:tc>
        <w:tc>
          <w:tcPr>
            <w:tcW w:w="0" w:type="auto"/>
            <w:tcBorders>
              <w:top w:val="single" w:sz="12" w:space="0" w:color="auto"/>
              <w:bottom w:val="single" w:sz="12" w:space="0" w:color="auto"/>
            </w:tcBorders>
            <w:shd w:val="clear" w:color="auto" w:fill="auto"/>
            <w:vAlign w:val="bottom"/>
          </w:tcPr>
          <w:p w14:paraId="4A8F12E2" w14:textId="77777777" w:rsidR="00AF183C" w:rsidRPr="00C538F0" w:rsidRDefault="00AF183C" w:rsidP="00B33B1E">
            <w:pPr>
              <w:suppressLineNumbers/>
              <w:suppressAutoHyphens/>
              <w:kinsoku w:val="0"/>
              <w:overflowPunct w:val="0"/>
              <w:autoSpaceDE w:val="0"/>
              <w:autoSpaceDN w:val="0"/>
              <w:adjustRightInd w:val="0"/>
              <w:snapToGrid w:val="0"/>
              <w:jc w:val="right"/>
              <w:rPr>
                <w:i/>
                <w:iCs/>
                <w:snapToGrid w:val="0"/>
                <w:color w:val="000000"/>
                <w:kern w:val="22"/>
                <w:sz w:val="20"/>
                <w:szCs w:val="20"/>
              </w:rPr>
            </w:pPr>
            <w:r w:rsidRPr="00C538F0">
              <w:rPr>
                <w:i/>
                <w:iCs/>
                <w:snapToGrid w:val="0"/>
                <w:color w:val="000000"/>
                <w:sz w:val="20"/>
                <w:szCs w:val="20"/>
              </w:rPr>
              <w:t>Diferencia</w:t>
            </w:r>
          </w:p>
        </w:tc>
      </w:tr>
      <w:tr w:rsidR="00AF183C" w:rsidRPr="00C538F0" w14:paraId="682BF8EF" w14:textId="77777777" w:rsidTr="00B33B1E">
        <w:trPr>
          <w:cantSplit/>
          <w:jc w:val="center"/>
        </w:trPr>
        <w:tc>
          <w:tcPr>
            <w:tcW w:w="0" w:type="auto"/>
            <w:tcBorders>
              <w:top w:val="single" w:sz="12" w:space="0" w:color="auto"/>
            </w:tcBorders>
          </w:tcPr>
          <w:p w14:paraId="1B999416" w14:textId="3823773A"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I</w:t>
            </w:r>
          </w:p>
        </w:tc>
        <w:tc>
          <w:tcPr>
            <w:tcW w:w="0" w:type="auto"/>
            <w:tcBorders>
              <w:top w:val="single" w:sz="12" w:space="0" w:color="auto"/>
            </w:tcBorders>
            <w:shd w:val="clear" w:color="auto" w:fill="auto"/>
            <w:hideMark/>
          </w:tcPr>
          <w:p w14:paraId="035CE771" w14:textId="174C567B"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A. </w:t>
            </w:r>
            <w:r w:rsidR="00F35361" w:rsidRPr="00C538F0">
              <w:rPr>
                <w:snapToGrid w:val="0"/>
                <w:color w:val="000000"/>
                <w:sz w:val="20"/>
                <w:szCs w:val="20"/>
              </w:rPr>
              <w:t xml:space="preserve">  </w:t>
            </w:r>
            <w:r w:rsidRPr="00C538F0">
              <w:rPr>
                <w:snapToGrid w:val="0"/>
                <w:color w:val="000000"/>
                <w:sz w:val="20"/>
                <w:szCs w:val="20"/>
              </w:rPr>
              <w:t>Gastos de personal</w:t>
            </w:r>
          </w:p>
        </w:tc>
        <w:tc>
          <w:tcPr>
            <w:tcW w:w="0" w:type="auto"/>
            <w:tcBorders>
              <w:top w:val="single" w:sz="12" w:space="0" w:color="auto"/>
            </w:tcBorders>
            <w:shd w:val="clear" w:color="auto" w:fill="auto"/>
            <w:hideMark/>
          </w:tcPr>
          <w:p w14:paraId="1E278E21" w14:textId="153CD50C"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24 157,30</w:t>
            </w:r>
          </w:p>
        </w:tc>
        <w:tc>
          <w:tcPr>
            <w:tcW w:w="0" w:type="auto"/>
            <w:tcBorders>
              <w:top w:val="single" w:sz="12" w:space="0" w:color="auto"/>
            </w:tcBorders>
            <w:shd w:val="clear" w:color="auto" w:fill="auto"/>
          </w:tcPr>
          <w:p w14:paraId="6E8444AD" w14:textId="53AD5B47"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13 789,70</w:t>
            </w:r>
          </w:p>
        </w:tc>
        <w:tc>
          <w:tcPr>
            <w:tcW w:w="0" w:type="auto"/>
            <w:tcBorders>
              <w:top w:val="single" w:sz="12" w:space="0" w:color="auto"/>
            </w:tcBorders>
            <w:shd w:val="clear" w:color="auto" w:fill="auto"/>
          </w:tcPr>
          <w:p w14:paraId="634BA5FE" w14:textId="3C938A3C"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10 367,60</w:t>
            </w:r>
          </w:p>
        </w:tc>
      </w:tr>
      <w:tr w:rsidR="00AF183C" w:rsidRPr="00C538F0" w14:paraId="4ADA6960" w14:textId="77777777" w:rsidTr="00B33B1E">
        <w:trPr>
          <w:cantSplit/>
          <w:jc w:val="center"/>
        </w:trPr>
        <w:tc>
          <w:tcPr>
            <w:tcW w:w="0" w:type="auto"/>
          </w:tcPr>
          <w:p w14:paraId="6796A480"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79F9C5BB" w14:textId="669E6B19"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B. </w:t>
            </w:r>
            <w:r w:rsidR="00F35361" w:rsidRPr="00C538F0">
              <w:rPr>
                <w:snapToGrid w:val="0"/>
                <w:color w:val="000000"/>
                <w:sz w:val="20"/>
                <w:szCs w:val="20"/>
              </w:rPr>
              <w:t xml:space="preserve">   </w:t>
            </w:r>
            <w:r w:rsidRPr="00C538F0">
              <w:rPr>
                <w:snapToGrid w:val="0"/>
                <w:color w:val="000000"/>
                <w:sz w:val="20"/>
                <w:szCs w:val="20"/>
              </w:rPr>
              <w:t xml:space="preserve">Personal temporario/horas </w:t>
            </w:r>
            <w:r w:rsidR="00F35361" w:rsidRPr="00C538F0">
              <w:rPr>
                <w:snapToGrid w:val="0"/>
                <w:color w:val="000000"/>
                <w:sz w:val="20"/>
                <w:szCs w:val="20"/>
              </w:rPr>
              <w:br/>
              <w:t xml:space="preserve">        </w:t>
            </w:r>
            <w:r w:rsidRPr="00C538F0">
              <w:rPr>
                <w:snapToGrid w:val="0"/>
                <w:color w:val="000000"/>
                <w:sz w:val="20"/>
                <w:szCs w:val="20"/>
              </w:rPr>
              <w:t>extraordinarias</w:t>
            </w:r>
          </w:p>
        </w:tc>
        <w:tc>
          <w:tcPr>
            <w:tcW w:w="0" w:type="auto"/>
            <w:shd w:val="clear" w:color="auto" w:fill="auto"/>
            <w:hideMark/>
          </w:tcPr>
          <w:p w14:paraId="7E23A020" w14:textId="6AB7F814"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200,00</w:t>
            </w:r>
          </w:p>
        </w:tc>
        <w:tc>
          <w:tcPr>
            <w:tcW w:w="0" w:type="auto"/>
            <w:shd w:val="clear" w:color="auto" w:fill="auto"/>
          </w:tcPr>
          <w:p w14:paraId="37C2DBF1" w14:textId="032AF8AA"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119,00</w:t>
            </w:r>
          </w:p>
        </w:tc>
        <w:tc>
          <w:tcPr>
            <w:tcW w:w="0" w:type="auto"/>
            <w:shd w:val="clear" w:color="auto" w:fill="auto"/>
          </w:tcPr>
          <w:p w14:paraId="497C912E" w14:textId="647B8CAE"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81,00</w:t>
            </w:r>
          </w:p>
        </w:tc>
      </w:tr>
      <w:tr w:rsidR="00AF183C" w:rsidRPr="00C538F0" w14:paraId="43CD7E41" w14:textId="77777777" w:rsidTr="00B33B1E">
        <w:trPr>
          <w:cantSplit/>
          <w:jc w:val="center"/>
        </w:trPr>
        <w:tc>
          <w:tcPr>
            <w:tcW w:w="0" w:type="auto"/>
          </w:tcPr>
          <w:p w14:paraId="3153532E"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380975A5" w14:textId="4656CA32"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C. </w:t>
            </w:r>
            <w:r w:rsidR="00F35361" w:rsidRPr="00C538F0">
              <w:rPr>
                <w:snapToGrid w:val="0"/>
                <w:color w:val="000000"/>
                <w:sz w:val="20"/>
                <w:szCs w:val="20"/>
              </w:rPr>
              <w:t xml:space="preserve">   </w:t>
            </w:r>
            <w:r w:rsidRPr="00C538F0">
              <w:rPr>
                <w:snapToGrid w:val="0"/>
                <w:color w:val="000000"/>
                <w:sz w:val="20"/>
                <w:szCs w:val="20"/>
              </w:rPr>
              <w:t>Consultores/subcontratistas</w:t>
            </w:r>
          </w:p>
        </w:tc>
        <w:tc>
          <w:tcPr>
            <w:tcW w:w="0" w:type="auto"/>
            <w:shd w:val="clear" w:color="auto" w:fill="auto"/>
            <w:hideMark/>
          </w:tcPr>
          <w:p w14:paraId="5DF318C0" w14:textId="6A5C15D8"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100,00</w:t>
            </w:r>
          </w:p>
        </w:tc>
        <w:tc>
          <w:tcPr>
            <w:tcW w:w="0" w:type="auto"/>
            <w:shd w:val="clear" w:color="auto" w:fill="auto"/>
          </w:tcPr>
          <w:p w14:paraId="52096779" w14:textId="62E98447"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2,80</w:t>
            </w:r>
          </w:p>
        </w:tc>
        <w:tc>
          <w:tcPr>
            <w:tcW w:w="0" w:type="auto"/>
            <w:shd w:val="clear" w:color="auto" w:fill="auto"/>
          </w:tcPr>
          <w:p w14:paraId="4DD3721C" w14:textId="21182315"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97,20</w:t>
            </w:r>
          </w:p>
        </w:tc>
      </w:tr>
      <w:tr w:rsidR="00AF183C" w:rsidRPr="00C538F0" w14:paraId="1A37297F" w14:textId="77777777" w:rsidTr="00B33B1E">
        <w:trPr>
          <w:cantSplit/>
          <w:jc w:val="center"/>
        </w:trPr>
        <w:tc>
          <w:tcPr>
            <w:tcW w:w="0" w:type="auto"/>
          </w:tcPr>
          <w:p w14:paraId="75D1049F"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3D715489" w14:textId="3AEEFDB6"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D. </w:t>
            </w:r>
            <w:r w:rsidR="00F35361" w:rsidRPr="00C538F0">
              <w:rPr>
                <w:snapToGrid w:val="0"/>
                <w:color w:val="000000"/>
                <w:sz w:val="20"/>
                <w:szCs w:val="20"/>
              </w:rPr>
              <w:t xml:space="preserve">   </w:t>
            </w:r>
            <w:r w:rsidRPr="00C538F0">
              <w:rPr>
                <w:snapToGrid w:val="0"/>
                <w:color w:val="000000"/>
                <w:sz w:val="20"/>
                <w:szCs w:val="20"/>
              </w:rPr>
              <w:t>Capacitación</w:t>
            </w:r>
          </w:p>
        </w:tc>
        <w:tc>
          <w:tcPr>
            <w:tcW w:w="0" w:type="auto"/>
            <w:shd w:val="clear" w:color="auto" w:fill="auto"/>
            <w:hideMark/>
          </w:tcPr>
          <w:p w14:paraId="3FC4EC34" w14:textId="69068160"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10,00</w:t>
            </w:r>
          </w:p>
        </w:tc>
        <w:tc>
          <w:tcPr>
            <w:tcW w:w="0" w:type="auto"/>
            <w:shd w:val="clear" w:color="auto" w:fill="auto"/>
          </w:tcPr>
          <w:p w14:paraId="00A657F8" w14:textId="7C023A45"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7,30</w:t>
            </w:r>
          </w:p>
        </w:tc>
        <w:tc>
          <w:tcPr>
            <w:tcW w:w="0" w:type="auto"/>
            <w:shd w:val="clear" w:color="auto" w:fill="auto"/>
          </w:tcPr>
          <w:p w14:paraId="088966BE" w14:textId="35FBE74A"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2,70</w:t>
            </w:r>
          </w:p>
        </w:tc>
      </w:tr>
      <w:tr w:rsidR="00AF183C" w:rsidRPr="00C538F0" w14:paraId="0413B7F1" w14:textId="77777777" w:rsidTr="00B33B1E">
        <w:trPr>
          <w:cantSplit/>
          <w:jc w:val="center"/>
        </w:trPr>
        <w:tc>
          <w:tcPr>
            <w:tcW w:w="0" w:type="auto"/>
          </w:tcPr>
          <w:p w14:paraId="422C5EBC"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513F9B08" w14:textId="791C0388"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E. </w:t>
            </w:r>
            <w:r w:rsidR="00F35361" w:rsidRPr="00C538F0">
              <w:rPr>
                <w:snapToGrid w:val="0"/>
                <w:color w:val="000000"/>
                <w:sz w:val="20"/>
                <w:szCs w:val="20"/>
              </w:rPr>
              <w:t xml:space="preserve">    </w:t>
            </w:r>
            <w:r w:rsidRPr="00C538F0">
              <w:rPr>
                <w:snapToGrid w:val="0"/>
                <w:color w:val="000000"/>
                <w:sz w:val="20"/>
                <w:szCs w:val="20"/>
              </w:rPr>
              <w:t>Revisión estructural</w:t>
            </w:r>
          </w:p>
        </w:tc>
        <w:tc>
          <w:tcPr>
            <w:tcW w:w="0" w:type="auto"/>
            <w:shd w:val="clear" w:color="auto" w:fill="auto"/>
            <w:hideMark/>
          </w:tcPr>
          <w:p w14:paraId="102B5258" w14:textId="1E0363E2"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250,00</w:t>
            </w:r>
          </w:p>
        </w:tc>
        <w:tc>
          <w:tcPr>
            <w:tcW w:w="0" w:type="auto"/>
            <w:shd w:val="clear" w:color="auto" w:fill="auto"/>
          </w:tcPr>
          <w:p w14:paraId="6902C040" w14:textId="7C825B8E"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w:t>
            </w:r>
          </w:p>
        </w:tc>
        <w:tc>
          <w:tcPr>
            <w:tcW w:w="0" w:type="auto"/>
            <w:shd w:val="clear" w:color="auto" w:fill="auto"/>
          </w:tcPr>
          <w:p w14:paraId="29963FA0" w14:textId="06761612"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250,00</w:t>
            </w:r>
          </w:p>
        </w:tc>
      </w:tr>
      <w:tr w:rsidR="00AF183C" w:rsidRPr="00C538F0" w14:paraId="5E0D2174" w14:textId="77777777" w:rsidTr="00B33B1E">
        <w:trPr>
          <w:cantSplit/>
          <w:jc w:val="center"/>
        </w:trPr>
        <w:tc>
          <w:tcPr>
            <w:tcW w:w="0" w:type="auto"/>
          </w:tcPr>
          <w:p w14:paraId="08E46D0B"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038451BA" w14:textId="6BFF8455"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F. </w:t>
            </w:r>
            <w:r w:rsidR="00F35361" w:rsidRPr="00C538F0">
              <w:rPr>
                <w:snapToGrid w:val="0"/>
                <w:color w:val="000000"/>
                <w:sz w:val="20"/>
                <w:szCs w:val="20"/>
              </w:rPr>
              <w:t xml:space="preserve">    </w:t>
            </w:r>
            <w:r w:rsidRPr="00C538F0">
              <w:rPr>
                <w:snapToGrid w:val="0"/>
                <w:color w:val="000000"/>
                <w:sz w:val="20"/>
                <w:szCs w:val="20"/>
              </w:rPr>
              <w:t>Reunión de la Mesa</w:t>
            </w:r>
          </w:p>
        </w:tc>
        <w:tc>
          <w:tcPr>
            <w:tcW w:w="0" w:type="auto"/>
            <w:shd w:val="clear" w:color="auto" w:fill="auto"/>
            <w:hideMark/>
          </w:tcPr>
          <w:p w14:paraId="063FF064" w14:textId="6F9BE63A" w:rsidR="00AF183C" w:rsidRPr="00C538F0" w:rsidRDefault="00AF183C" w:rsidP="00F35361">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278,90</w:t>
            </w:r>
          </w:p>
        </w:tc>
        <w:tc>
          <w:tcPr>
            <w:tcW w:w="0" w:type="auto"/>
            <w:shd w:val="clear" w:color="auto" w:fill="auto"/>
          </w:tcPr>
          <w:p w14:paraId="5DF5D90F" w14:textId="6F167321"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123,00</w:t>
            </w:r>
          </w:p>
        </w:tc>
        <w:tc>
          <w:tcPr>
            <w:tcW w:w="0" w:type="auto"/>
            <w:shd w:val="clear" w:color="auto" w:fill="auto"/>
          </w:tcPr>
          <w:p w14:paraId="3B94FF26" w14:textId="3CCF04D4"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155,90</w:t>
            </w:r>
          </w:p>
        </w:tc>
      </w:tr>
      <w:tr w:rsidR="00AF183C" w:rsidRPr="00C538F0" w14:paraId="70A95039" w14:textId="77777777" w:rsidTr="00B33B1E">
        <w:trPr>
          <w:cantSplit/>
          <w:jc w:val="center"/>
        </w:trPr>
        <w:tc>
          <w:tcPr>
            <w:tcW w:w="0" w:type="auto"/>
          </w:tcPr>
          <w:p w14:paraId="73EECA81"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38C95860" w14:textId="0E85BEC7" w:rsidR="00AF183C" w:rsidRPr="00C538F0" w:rsidRDefault="00AF183C" w:rsidP="00F35361">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G. </w:t>
            </w:r>
            <w:r w:rsidR="00F35361" w:rsidRPr="00C538F0">
              <w:rPr>
                <w:snapToGrid w:val="0"/>
                <w:color w:val="000000"/>
                <w:sz w:val="20"/>
                <w:szCs w:val="20"/>
              </w:rPr>
              <w:t xml:space="preserve">   </w:t>
            </w:r>
            <w:r w:rsidRPr="00C538F0">
              <w:rPr>
                <w:snapToGrid w:val="0"/>
                <w:color w:val="000000"/>
                <w:sz w:val="20"/>
                <w:szCs w:val="20"/>
              </w:rPr>
              <w:t>Reuniones de expertos</w:t>
            </w:r>
          </w:p>
        </w:tc>
        <w:tc>
          <w:tcPr>
            <w:tcW w:w="0" w:type="auto"/>
            <w:shd w:val="clear" w:color="auto" w:fill="auto"/>
            <w:hideMark/>
          </w:tcPr>
          <w:p w14:paraId="1F5030AC" w14:textId="5F768290"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480,00</w:t>
            </w:r>
          </w:p>
        </w:tc>
        <w:tc>
          <w:tcPr>
            <w:tcW w:w="0" w:type="auto"/>
            <w:shd w:val="clear" w:color="auto" w:fill="auto"/>
          </w:tcPr>
          <w:p w14:paraId="6267E922" w14:textId="225C7F87"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278,00</w:t>
            </w:r>
          </w:p>
        </w:tc>
        <w:tc>
          <w:tcPr>
            <w:tcW w:w="0" w:type="auto"/>
            <w:shd w:val="clear" w:color="auto" w:fill="auto"/>
          </w:tcPr>
          <w:p w14:paraId="4767B576" w14:textId="4BA1B6F3"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202,00</w:t>
            </w:r>
          </w:p>
        </w:tc>
      </w:tr>
      <w:tr w:rsidR="00AF183C" w:rsidRPr="00C538F0" w14:paraId="28492AA3" w14:textId="77777777" w:rsidTr="00B33B1E">
        <w:trPr>
          <w:cantSplit/>
          <w:jc w:val="center"/>
        </w:trPr>
        <w:tc>
          <w:tcPr>
            <w:tcW w:w="0" w:type="auto"/>
          </w:tcPr>
          <w:p w14:paraId="034FF23A"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2A778B2D" w14:textId="637B5C03" w:rsidR="00AF183C" w:rsidRPr="00C538F0" w:rsidRDefault="00AF183C" w:rsidP="00F35361">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H. </w:t>
            </w:r>
            <w:r w:rsidR="00F35361" w:rsidRPr="00C538F0">
              <w:rPr>
                <w:snapToGrid w:val="0"/>
                <w:color w:val="000000"/>
                <w:sz w:val="20"/>
                <w:szCs w:val="20"/>
              </w:rPr>
              <w:t xml:space="preserve">   </w:t>
            </w:r>
            <w:r w:rsidRPr="00C538F0">
              <w:rPr>
                <w:snapToGrid w:val="0"/>
                <w:color w:val="000000"/>
                <w:sz w:val="20"/>
                <w:szCs w:val="20"/>
              </w:rPr>
              <w:t xml:space="preserve">Reuniones de órganos </w:t>
            </w:r>
            <w:r w:rsidR="00F35361" w:rsidRPr="00C538F0">
              <w:rPr>
                <w:snapToGrid w:val="0"/>
                <w:color w:val="000000"/>
                <w:sz w:val="20"/>
                <w:szCs w:val="20"/>
              </w:rPr>
              <w:t xml:space="preserve"> </w:t>
            </w:r>
            <w:r w:rsidR="00F35361" w:rsidRPr="00C538F0">
              <w:rPr>
                <w:snapToGrid w:val="0"/>
                <w:color w:val="000000"/>
                <w:sz w:val="20"/>
                <w:szCs w:val="20"/>
              </w:rPr>
              <w:br/>
              <w:t xml:space="preserve">         </w:t>
            </w:r>
            <w:r w:rsidRPr="00C538F0">
              <w:rPr>
                <w:snapToGrid w:val="0"/>
                <w:color w:val="000000"/>
                <w:sz w:val="20"/>
                <w:szCs w:val="20"/>
              </w:rPr>
              <w:t xml:space="preserve">intergubernamentales </w:t>
            </w:r>
          </w:p>
        </w:tc>
        <w:tc>
          <w:tcPr>
            <w:tcW w:w="0" w:type="auto"/>
            <w:shd w:val="clear" w:color="auto" w:fill="auto"/>
            <w:hideMark/>
          </w:tcPr>
          <w:p w14:paraId="4723098D" w14:textId="456C1EDD"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5 584,60</w:t>
            </w:r>
          </w:p>
        </w:tc>
        <w:tc>
          <w:tcPr>
            <w:tcW w:w="0" w:type="auto"/>
            <w:shd w:val="clear" w:color="auto" w:fill="auto"/>
          </w:tcPr>
          <w:p w14:paraId="263235A6" w14:textId="4B4BBCB6"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1 273,30</w:t>
            </w:r>
          </w:p>
        </w:tc>
        <w:tc>
          <w:tcPr>
            <w:tcW w:w="0" w:type="auto"/>
            <w:shd w:val="clear" w:color="auto" w:fill="auto"/>
          </w:tcPr>
          <w:p w14:paraId="6F40E975" w14:textId="3393788C"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4 311,30</w:t>
            </w:r>
          </w:p>
        </w:tc>
      </w:tr>
      <w:tr w:rsidR="00AF183C" w:rsidRPr="00C538F0" w14:paraId="61960904" w14:textId="77777777" w:rsidTr="00B33B1E">
        <w:trPr>
          <w:cantSplit/>
          <w:jc w:val="center"/>
        </w:trPr>
        <w:tc>
          <w:tcPr>
            <w:tcW w:w="0" w:type="auto"/>
          </w:tcPr>
          <w:p w14:paraId="4F1306CA"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19F56FE1" w14:textId="4CF4F752"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I. </w:t>
            </w:r>
            <w:r w:rsidR="00F35361" w:rsidRPr="00C538F0">
              <w:rPr>
                <w:snapToGrid w:val="0"/>
                <w:color w:val="000000"/>
                <w:sz w:val="20"/>
                <w:szCs w:val="20"/>
              </w:rPr>
              <w:t xml:space="preserve">     </w:t>
            </w:r>
            <w:r w:rsidRPr="00C538F0">
              <w:rPr>
                <w:snapToGrid w:val="0"/>
                <w:color w:val="000000"/>
                <w:sz w:val="20"/>
                <w:szCs w:val="20"/>
              </w:rPr>
              <w:t xml:space="preserve">Materiales de concienciación del </w:t>
            </w:r>
            <w:r w:rsidR="00F35361" w:rsidRPr="00C538F0">
              <w:rPr>
                <w:snapToGrid w:val="0"/>
                <w:color w:val="000000"/>
                <w:sz w:val="20"/>
                <w:szCs w:val="20"/>
              </w:rPr>
              <w:t xml:space="preserve"> </w:t>
            </w:r>
            <w:r w:rsidR="00F35361" w:rsidRPr="00C538F0">
              <w:rPr>
                <w:snapToGrid w:val="0"/>
                <w:color w:val="000000"/>
                <w:sz w:val="20"/>
                <w:szCs w:val="20"/>
              </w:rPr>
              <w:br/>
              <w:t xml:space="preserve">         </w:t>
            </w:r>
            <w:r w:rsidRPr="00C538F0">
              <w:rPr>
                <w:snapToGrid w:val="0"/>
                <w:color w:val="000000"/>
                <w:sz w:val="20"/>
                <w:szCs w:val="20"/>
              </w:rPr>
              <w:t>público</w:t>
            </w:r>
          </w:p>
        </w:tc>
        <w:tc>
          <w:tcPr>
            <w:tcW w:w="0" w:type="auto"/>
            <w:shd w:val="clear" w:color="auto" w:fill="auto"/>
            <w:hideMark/>
          </w:tcPr>
          <w:p w14:paraId="77D1DB35" w14:textId="361DCF8E"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100,00</w:t>
            </w:r>
          </w:p>
        </w:tc>
        <w:tc>
          <w:tcPr>
            <w:tcW w:w="0" w:type="auto"/>
            <w:shd w:val="clear" w:color="auto" w:fill="auto"/>
          </w:tcPr>
          <w:p w14:paraId="48D3839A" w14:textId="451F62C0"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17,10</w:t>
            </w:r>
          </w:p>
        </w:tc>
        <w:tc>
          <w:tcPr>
            <w:tcW w:w="0" w:type="auto"/>
            <w:shd w:val="clear" w:color="auto" w:fill="auto"/>
          </w:tcPr>
          <w:p w14:paraId="756C94D1" w14:textId="37F0D417"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82,90</w:t>
            </w:r>
          </w:p>
        </w:tc>
      </w:tr>
      <w:tr w:rsidR="00AF183C" w:rsidRPr="00C538F0" w14:paraId="5B14F0ED" w14:textId="77777777" w:rsidTr="00B33B1E">
        <w:trPr>
          <w:cantSplit/>
          <w:jc w:val="center"/>
        </w:trPr>
        <w:tc>
          <w:tcPr>
            <w:tcW w:w="0" w:type="auto"/>
          </w:tcPr>
          <w:p w14:paraId="2FB83253" w14:textId="77777777" w:rsidR="00AF183C" w:rsidRPr="00C538F0" w:rsidRDefault="00AF183C">
            <w:pPr>
              <w:suppressLineNumbers/>
              <w:tabs>
                <w:tab w:val="left" w:pos="425"/>
              </w:tabs>
              <w:suppressAutoHyphens/>
              <w:kinsoku w:val="0"/>
              <w:overflowPunct w:val="0"/>
              <w:autoSpaceDE w:val="0"/>
              <w:autoSpaceDN w:val="0"/>
              <w:adjustRightInd w:val="0"/>
              <w:snapToGrid w:val="0"/>
              <w:ind w:left="452" w:hanging="452"/>
              <w:jc w:val="left"/>
              <w:rPr>
                <w:snapToGrid w:val="0"/>
                <w:color w:val="000000"/>
                <w:kern w:val="22"/>
                <w:sz w:val="20"/>
                <w:szCs w:val="20"/>
                <w:lang w:eastAsia="en-CA"/>
              </w:rPr>
            </w:pPr>
          </w:p>
        </w:tc>
        <w:tc>
          <w:tcPr>
            <w:tcW w:w="0" w:type="auto"/>
            <w:shd w:val="clear" w:color="auto" w:fill="auto"/>
            <w:hideMark/>
          </w:tcPr>
          <w:p w14:paraId="53E4B84B" w14:textId="71479DBD" w:rsidR="00AF183C" w:rsidRPr="00C538F0" w:rsidRDefault="00AF183C" w:rsidP="00F35361">
            <w:pPr>
              <w:suppressLineNumbers/>
              <w:tabs>
                <w:tab w:val="left" w:pos="425"/>
              </w:tabs>
              <w:suppressAutoHyphens/>
              <w:kinsoku w:val="0"/>
              <w:overflowPunct w:val="0"/>
              <w:autoSpaceDE w:val="0"/>
              <w:autoSpaceDN w:val="0"/>
              <w:adjustRightInd w:val="0"/>
              <w:snapToGrid w:val="0"/>
              <w:ind w:left="452" w:hanging="452"/>
              <w:jc w:val="left"/>
              <w:rPr>
                <w:snapToGrid w:val="0"/>
                <w:color w:val="000000"/>
                <w:kern w:val="22"/>
                <w:sz w:val="20"/>
                <w:szCs w:val="20"/>
              </w:rPr>
            </w:pPr>
            <w:r w:rsidRPr="00C538F0">
              <w:rPr>
                <w:snapToGrid w:val="0"/>
                <w:color w:val="000000"/>
                <w:sz w:val="20"/>
                <w:szCs w:val="20"/>
              </w:rPr>
              <w:t xml:space="preserve">J. </w:t>
            </w:r>
            <w:r w:rsidR="00F35361" w:rsidRPr="00C538F0">
              <w:rPr>
                <w:snapToGrid w:val="0"/>
                <w:color w:val="000000"/>
                <w:sz w:val="20"/>
                <w:szCs w:val="20"/>
              </w:rPr>
              <w:t xml:space="preserve">    </w:t>
            </w:r>
            <w:r w:rsidRPr="00C538F0">
              <w:rPr>
                <w:snapToGrid w:val="0"/>
                <w:color w:val="000000"/>
                <w:sz w:val="20"/>
                <w:szCs w:val="20"/>
              </w:rPr>
              <w:t>Traducción del sitio web del mecanismo de facilitación/proyectos de sitios web</w:t>
            </w:r>
          </w:p>
        </w:tc>
        <w:tc>
          <w:tcPr>
            <w:tcW w:w="0" w:type="auto"/>
            <w:shd w:val="clear" w:color="auto" w:fill="auto"/>
            <w:hideMark/>
          </w:tcPr>
          <w:p w14:paraId="087EE6EC" w14:textId="6C63CF1C"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130,00</w:t>
            </w:r>
          </w:p>
        </w:tc>
        <w:tc>
          <w:tcPr>
            <w:tcW w:w="0" w:type="auto"/>
            <w:shd w:val="clear" w:color="auto" w:fill="auto"/>
          </w:tcPr>
          <w:p w14:paraId="076D9EC4" w14:textId="247CD7AC"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18,50</w:t>
            </w:r>
          </w:p>
        </w:tc>
        <w:tc>
          <w:tcPr>
            <w:tcW w:w="0" w:type="auto"/>
            <w:shd w:val="clear" w:color="auto" w:fill="auto"/>
          </w:tcPr>
          <w:p w14:paraId="13706D11" w14:textId="25461F55"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111,50</w:t>
            </w:r>
          </w:p>
        </w:tc>
      </w:tr>
      <w:tr w:rsidR="00AF183C" w:rsidRPr="00C538F0" w14:paraId="48B1D95F" w14:textId="77777777" w:rsidTr="00B33B1E">
        <w:trPr>
          <w:cantSplit/>
          <w:jc w:val="center"/>
        </w:trPr>
        <w:tc>
          <w:tcPr>
            <w:tcW w:w="0" w:type="auto"/>
          </w:tcPr>
          <w:p w14:paraId="5F6318FB"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4D6BA670" w14:textId="13925EB2"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K. </w:t>
            </w:r>
            <w:r w:rsidR="00F35361" w:rsidRPr="00C538F0">
              <w:rPr>
                <w:snapToGrid w:val="0"/>
                <w:color w:val="000000"/>
                <w:sz w:val="20"/>
                <w:szCs w:val="20"/>
              </w:rPr>
              <w:t xml:space="preserve">   </w:t>
            </w:r>
            <w:r w:rsidRPr="00C538F0">
              <w:rPr>
                <w:snapToGrid w:val="0"/>
                <w:color w:val="000000"/>
                <w:sz w:val="20"/>
                <w:szCs w:val="20"/>
              </w:rPr>
              <w:t>Viajes por motivos oficiales</w:t>
            </w:r>
          </w:p>
        </w:tc>
        <w:tc>
          <w:tcPr>
            <w:tcW w:w="0" w:type="auto"/>
            <w:shd w:val="clear" w:color="auto" w:fill="auto"/>
            <w:hideMark/>
          </w:tcPr>
          <w:p w14:paraId="35DCF792" w14:textId="389C5682"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640,00</w:t>
            </w:r>
          </w:p>
        </w:tc>
        <w:tc>
          <w:tcPr>
            <w:tcW w:w="0" w:type="auto"/>
            <w:shd w:val="clear" w:color="auto" w:fill="auto"/>
          </w:tcPr>
          <w:p w14:paraId="7912708E" w14:textId="23B1350A"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520,00</w:t>
            </w:r>
          </w:p>
        </w:tc>
        <w:tc>
          <w:tcPr>
            <w:tcW w:w="0" w:type="auto"/>
            <w:shd w:val="clear" w:color="auto" w:fill="auto"/>
          </w:tcPr>
          <w:p w14:paraId="5374F397" w14:textId="51888888"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120,00</w:t>
            </w:r>
          </w:p>
        </w:tc>
      </w:tr>
      <w:tr w:rsidR="00AF183C" w:rsidRPr="00C538F0" w14:paraId="6B61953A" w14:textId="77777777" w:rsidTr="00B33B1E">
        <w:trPr>
          <w:cantSplit/>
          <w:jc w:val="center"/>
        </w:trPr>
        <w:tc>
          <w:tcPr>
            <w:tcW w:w="0" w:type="auto"/>
          </w:tcPr>
          <w:p w14:paraId="69729D9C"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69ECF277" w14:textId="551F9F06"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L. </w:t>
            </w:r>
            <w:r w:rsidR="00F35361" w:rsidRPr="00C538F0">
              <w:rPr>
                <w:snapToGrid w:val="0"/>
                <w:color w:val="000000"/>
                <w:sz w:val="20"/>
                <w:szCs w:val="20"/>
              </w:rPr>
              <w:t xml:space="preserve">   </w:t>
            </w:r>
            <w:r w:rsidRPr="00C538F0">
              <w:rPr>
                <w:snapToGrid w:val="0"/>
                <w:color w:val="000000"/>
                <w:sz w:val="20"/>
                <w:szCs w:val="20"/>
              </w:rPr>
              <w:t>Alquiler y gastos relacionados</w:t>
            </w:r>
          </w:p>
        </w:tc>
        <w:tc>
          <w:tcPr>
            <w:tcW w:w="0" w:type="auto"/>
            <w:shd w:val="clear" w:color="auto" w:fill="auto"/>
            <w:hideMark/>
          </w:tcPr>
          <w:p w14:paraId="421EC115" w14:textId="096855ED"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2 918,70</w:t>
            </w:r>
          </w:p>
        </w:tc>
        <w:tc>
          <w:tcPr>
            <w:tcW w:w="0" w:type="auto"/>
            <w:shd w:val="clear" w:color="auto" w:fill="auto"/>
          </w:tcPr>
          <w:p w14:paraId="30E21427" w14:textId="25696174"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1 799,70</w:t>
            </w:r>
          </w:p>
        </w:tc>
        <w:tc>
          <w:tcPr>
            <w:tcW w:w="0" w:type="auto"/>
            <w:shd w:val="clear" w:color="auto" w:fill="auto"/>
          </w:tcPr>
          <w:p w14:paraId="6C2BE79E" w14:textId="56CC5AB5"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1 119,00</w:t>
            </w:r>
          </w:p>
        </w:tc>
      </w:tr>
      <w:tr w:rsidR="00AF183C" w:rsidRPr="00C538F0" w14:paraId="1C078FCE" w14:textId="77777777" w:rsidTr="00B33B1E">
        <w:trPr>
          <w:cantSplit/>
          <w:jc w:val="center"/>
        </w:trPr>
        <w:tc>
          <w:tcPr>
            <w:tcW w:w="0" w:type="auto"/>
          </w:tcPr>
          <w:p w14:paraId="5702EB34"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19A6C397" w14:textId="7E7CBF79"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M. </w:t>
            </w:r>
            <w:r w:rsidR="00F35361" w:rsidRPr="00C538F0">
              <w:rPr>
                <w:snapToGrid w:val="0"/>
                <w:color w:val="000000"/>
                <w:sz w:val="20"/>
                <w:szCs w:val="20"/>
              </w:rPr>
              <w:t xml:space="preserve">  </w:t>
            </w:r>
            <w:r w:rsidRPr="00C538F0">
              <w:rPr>
                <w:snapToGrid w:val="0"/>
                <w:color w:val="000000"/>
                <w:sz w:val="20"/>
                <w:szCs w:val="20"/>
              </w:rPr>
              <w:t>Tecnología de la información</w:t>
            </w:r>
          </w:p>
        </w:tc>
        <w:tc>
          <w:tcPr>
            <w:tcW w:w="0" w:type="auto"/>
            <w:shd w:val="clear" w:color="auto" w:fill="auto"/>
            <w:hideMark/>
          </w:tcPr>
          <w:p w14:paraId="2DAA3287" w14:textId="48124E40"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130,00</w:t>
            </w:r>
          </w:p>
        </w:tc>
        <w:tc>
          <w:tcPr>
            <w:tcW w:w="0" w:type="auto"/>
            <w:shd w:val="clear" w:color="auto" w:fill="auto"/>
          </w:tcPr>
          <w:p w14:paraId="75612122" w14:textId="49B04170"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32,00</w:t>
            </w:r>
          </w:p>
        </w:tc>
        <w:tc>
          <w:tcPr>
            <w:tcW w:w="0" w:type="auto"/>
            <w:shd w:val="clear" w:color="auto" w:fill="auto"/>
          </w:tcPr>
          <w:p w14:paraId="2A41091E" w14:textId="5FAB44EB"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98,00</w:t>
            </w:r>
          </w:p>
        </w:tc>
      </w:tr>
      <w:tr w:rsidR="00AF183C" w:rsidRPr="00C538F0" w14:paraId="68FB9C8E" w14:textId="77777777" w:rsidTr="00B33B1E">
        <w:trPr>
          <w:cantSplit/>
          <w:jc w:val="center"/>
        </w:trPr>
        <w:tc>
          <w:tcPr>
            <w:tcW w:w="0" w:type="auto"/>
            <w:tcBorders>
              <w:bottom w:val="single" w:sz="12" w:space="0" w:color="auto"/>
            </w:tcBorders>
          </w:tcPr>
          <w:p w14:paraId="7E707B60"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tcBorders>
              <w:bottom w:val="single" w:sz="12" w:space="0" w:color="auto"/>
            </w:tcBorders>
            <w:shd w:val="clear" w:color="auto" w:fill="auto"/>
          </w:tcPr>
          <w:p w14:paraId="4524337F" w14:textId="7910C5A6"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 xml:space="preserve">N. </w:t>
            </w:r>
            <w:r w:rsidR="00F35361" w:rsidRPr="00C538F0">
              <w:rPr>
                <w:snapToGrid w:val="0"/>
                <w:color w:val="000000"/>
                <w:sz w:val="20"/>
                <w:szCs w:val="20"/>
              </w:rPr>
              <w:t xml:space="preserve">   </w:t>
            </w:r>
            <w:r w:rsidRPr="00C538F0">
              <w:rPr>
                <w:snapToGrid w:val="0"/>
                <w:color w:val="000000"/>
                <w:sz w:val="20"/>
                <w:szCs w:val="20"/>
              </w:rPr>
              <w:t>Gastos generales de funcionamiento</w:t>
            </w:r>
          </w:p>
        </w:tc>
        <w:tc>
          <w:tcPr>
            <w:tcW w:w="0" w:type="auto"/>
            <w:tcBorders>
              <w:bottom w:val="single" w:sz="12" w:space="0" w:color="auto"/>
            </w:tcBorders>
            <w:shd w:val="clear" w:color="auto" w:fill="auto"/>
          </w:tcPr>
          <w:p w14:paraId="18D87065" w14:textId="264C1165"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1 453,20</w:t>
            </w:r>
          </w:p>
        </w:tc>
        <w:tc>
          <w:tcPr>
            <w:tcW w:w="0" w:type="auto"/>
            <w:tcBorders>
              <w:bottom w:val="single" w:sz="12" w:space="0" w:color="auto"/>
            </w:tcBorders>
            <w:shd w:val="clear" w:color="auto" w:fill="auto"/>
          </w:tcPr>
          <w:p w14:paraId="425CA3B0" w14:textId="0D221EAA" w:rsidR="00AF183C" w:rsidRPr="00C538F0" w:rsidDel="007439D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1 061,70</w:t>
            </w:r>
          </w:p>
        </w:tc>
        <w:tc>
          <w:tcPr>
            <w:tcW w:w="0" w:type="auto"/>
            <w:tcBorders>
              <w:bottom w:val="single" w:sz="12" w:space="0" w:color="auto"/>
            </w:tcBorders>
            <w:shd w:val="clear" w:color="auto" w:fill="auto"/>
          </w:tcPr>
          <w:p w14:paraId="77007E56" w14:textId="521203D4" w:rsidR="00AF183C" w:rsidRPr="00C538F0" w:rsidDel="007439D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391,50</w:t>
            </w:r>
          </w:p>
        </w:tc>
      </w:tr>
      <w:tr w:rsidR="00AF183C" w:rsidRPr="00C538F0" w14:paraId="01692C62" w14:textId="77777777" w:rsidTr="00B33B1E">
        <w:trPr>
          <w:cantSplit/>
          <w:jc w:val="center"/>
        </w:trPr>
        <w:tc>
          <w:tcPr>
            <w:tcW w:w="0" w:type="auto"/>
            <w:tcBorders>
              <w:top w:val="single" w:sz="12" w:space="0" w:color="auto"/>
              <w:bottom w:val="single" w:sz="12" w:space="0" w:color="auto"/>
            </w:tcBorders>
          </w:tcPr>
          <w:p w14:paraId="6AFF34E5"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hideMark/>
          </w:tcPr>
          <w:p w14:paraId="69248562" w14:textId="70FF0F69"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rPr>
            </w:pPr>
            <w:r w:rsidRPr="00C538F0">
              <w:rPr>
                <w:b/>
                <w:bCs/>
                <w:snapToGrid w:val="0"/>
                <w:color w:val="000000"/>
                <w:sz w:val="20"/>
                <w:szCs w:val="20"/>
              </w:rPr>
              <w:tab/>
              <w:t>Subtotal (I)</w:t>
            </w:r>
          </w:p>
        </w:tc>
        <w:tc>
          <w:tcPr>
            <w:tcW w:w="0" w:type="auto"/>
            <w:tcBorders>
              <w:top w:val="single" w:sz="12" w:space="0" w:color="auto"/>
              <w:bottom w:val="single" w:sz="12" w:space="0" w:color="auto"/>
            </w:tcBorders>
            <w:shd w:val="clear" w:color="auto" w:fill="auto"/>
            <w:hideMark/>
          </w:tcPr>
          <w:p w14:paraId="391DFF9B" w14:textId="6B2EDBB2" w:rsidR="00AF183C" w:rsidRPr="00C538F0" w:rsidRDefault="00AF183C" w:rsidP="00B33B1E">
            <w:pPr>
              <w:suppressLineNumbers/>
              <w:suppressAutoHyphens/>
              <w:kinsoku w:val="0"/>
              <w:overflowPunct w:val="0"/>
              <w:autoSpaceDE w:val="0"/>
              <w:autoSpaceDN w:val="0"/>
              <w:adjustRightInd w:val="0"/>
              <w:snapToGrid w:val="0"/>
              <w:ind w:right="79"/>
              <w:jc w:val="right"/>
              <w:rPr>
                <w:b/>
                <w:bCs/>
                <w:snapToGrid w:val="0"/>
                <w:color w:val="000000"/>
                <w:kern w:val="22"/>
                <w:sz w:val="20"/>
                <w:szCs w:val="20"/>
              </w:rPr>
            </w:pPr>
            <w:r w:rsidRPr="00C538F0">
              <w:rPr>
                <w:b/>
                <w:bCs/>
                <w:snapToGrid w:val="0"/>
                <w:color w:val="000000"/>
                <w:sz w:val="20"/>
                <w:szCs w:val="20"/>
              </w:rPr>
              <w:t>36 432,70</w:t>
            </w:r>
          </w:p>
        </w:tc>
        <w:tc>
          <w:tcPr>
            <w:tcW w:w="0" w:type="auto"/>
            <w:tcBorders>
              <w:top w:val="single" w:sz="12" w:space="0" w:color="auto"/>
              <w:bottom w:val="single" w:sz="12" w:space="0" w:color="auto"/>
            </w:tcBorders>
            <w:shd w:val="clear" w:color="auto" w:fill="auto"/>
          </w:tcPr>
          <w:p w14:paraId="4EE3B294" w14:textId="03FF1D11" w:rsidR="00AF183C" w:rsidRPr="00C538F0" w:rsidRDefault="00AF183C" w:rsidP="00B33B1E">
            <w:pPr>
              <w:suppressLineNumbers/>
              <w:suppressAutoHyphens/>
              <w:kinsoku w:val="0"/>
              <w:overflowPunct w:val="0"/>
              <w:autoSpaceDE w:val="0"/>
              <w:autoSpaceDN w:val="0"/>
              <w:adjustRightInd w:val="0"/>
              <w:snapToGrid w:val="0"/>
              <w:jc w:val="right"/>
              <w:rPr>
                <w:b/>
                <w:bCs/>
                <w:snapToGrid w:val="0"/>
                <w:color w:val="000000"/>
                <w:kern w:val="22"/>
                <w:sz w:val="20"/>
                <w:szCs w:val="20"/>
              </w:rPr>
            </w:pPr>
            <w:r w:rsidRPr="00C538F0">
              <w:rPr>
                <w:b/>
                <w:bCs/>
                <w:snapToGrid w:val="0"/>
                <w:color w:val="000000"/>
                <w:sz w:val="20"/>
                <w:szCs w:val="20"/>
              </w:rPr>
              <w:t>19 042,10</w:t>
            </w:r>
          </w:p>
        </w:tc>
        <w:tc>
          <w:tcPr>
            <w:tcW w:w="0" w:type="auto"/>
            <w:tcBorders>
              <w:top w:val="single" w:sz="12" w:space="0" w:color="auto"/>
              <w:bottom w:val="single" w:sz="12" w:space="0" w:color="auto"/>
            </w:tcBorders>
            <w:shd w:val="clear" w:color="auto" w:fill="auto"/>
          </w:tcPr>
          <w:p w14:paraId="1046A65E" w14:textId="6D0ADAA2" w:rsidR="00AF183C" w:rsidRPr="00C538F0" w:rsidRDefault="00AF183C" w:rsidP="00B33B1E">
            <w:pPr>
              <w:suppressLineNumbers/>
              <w:suppressAutoHyphens/>
              <w:kinsoku w:val="0"/>
              <w:overflowPunct w:val="0"/>
              <w:autoSpaceDE w:val="0"/>
              <w:autoSpaceDN w:val="0"/>
              <w:adjustRightInd w:val="0"/>
              <w:snapToGrid w:val="0"/>
              <w:ind w:right="38"/>
              <w:jc w:val="right"/>
              <w:rPr>
                <w:b/>
                <w:bCs/>
                <w:snapToGrid w:val="0"/>
                <w:color w:val="000000"/>
                <w:kern w:val="22"/>
                <w:sz w:val="20"/>
                <w:szCs w:val="20"/>
              </w:rPr>
            </w:pPr>
            <w:r w:rsidRPr="00C538F0">
              <w:rPr>
                <w:b/>
                <w:bCs/>
                <w:snapToGrid w:val="0"/>
                <w:color w:val="000000"/>
                <w:sz w:val="20"/>
                <w:szCs w:val="20"/>
              </w:rPr>
              <w:t>17 390,60</w:t>
            </w:r>
          </w:p>
        </w:tc>
      </w:tr>
      <w:tr w:rsidR="00AF183C" w:rsidRPr="00C538F0" w14:paraId="467C027D" w14:textId="77777777" w:rsidTr="00B33B1E">
        <w:trPr>
          <w:cantSplit/>
          <w:jc w:val="center"/>
        </w:trPr>
        <w:tc>
          <w:tcPr>
            <w:tcW w:w="0" w:type="auto"/>
            <w:tcBorders>
              <w:top w:val="single" w:sz="12" w:space="0" w:color="auto"/>
              <w:bottom w:val="single" w:sz="12" w:space="0" w:color="auto"/>
            </w:tcBorders>
          </w:tcPr>
          <w:p w14:paraId="46616181" w14:textId="7924D54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II</w:t>
            </w:r>
          </w:p>
        </w:tc>
        <w:tc>
          <w:tcPr>
            <w:tcW w:w="0" w:type="auto"/>
            <w:tcBorders>
              <w:top w:val="single" w:sz="12" w:space="0" w:color="auto"/>
              <w:bottom w:val="single" w:sz="12" w:space="0" w:color="auto"/>
            </w:tcBorders>
            <w:shd w:val="clear" w:color="auto" w:fill="auto"/>
            <w:hideMark/>
          </w:tcPr>
          <w:p w14:paraId="3AD862F9" w14:textId="430BA8E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Gastos de apoyo a los programas (13%)</w:t>
            </w:r>
          </w:p>
        </w:tc>
        <w:tc>
          <w:tcPr>
            <w:tcW w:w="0" w:type="auto"/>
            <w:tcBorders>
              <w:top w:val="single" w:sz="12" w:space="0" w:color="auto"/>
              <w:bottom w:val="single" w:sz="12" w:space="0" w:color="auto"/>
            </w:tcBorders>
            <w:shd w:val="clear" w:color="auto" w:fill="auto"/>
            <w:hideMark/>
          </w:tcPr>
          <w:p w14:paraId="1A59CD37" w14:textId="02B17220"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4 736,20</w:t>
            </w:r>
          </w:p>
        </w:tc>
        <w:tc>
          <w:tcPr>
            <w:tcW w:w="0" w:type="auto"/>
            <w:tcBorders>
              <w:top w:val="single" w:sz="12" w:space="0" w:color="auto"/>
              <w:bottom w:val="single" w:sz="12" w:space="0" w:color="auto"/>
            </w:tcBorders>
            <w:shd w:val="clear" w:color="auto" w:fill="auto"/>
          </w:tcPr>
          <w:p w14:paraId="0222855C" w14:textId="315B8F45"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2 475,50</w:t>
            </w:r>
          </w:p>
        </w:tc>
        <w:tc>
          <w:tcPr>
            <w:tcW w:w="0" w:type="auto"/>
            <w:tcBorders>
              <w:top w:val="single" w:sz="12" w:space="0" w:color="auto"/>
              <w:bottom w:val="single" w:sz="12" w:space="0" w:color="auto"/>
            </w:tcBorders>
            <w:shd w:val="clear" w:color="auto" w:fill="auto"/>
          </w:tcPr>
          <w:p w14:paraId="0162CDC0" w14:textId="20940C61"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2 260,70</w:t>
            </w:r>
          </w:p>
        </w:tc>
      </w:tr>
      <w:tr w:rsidR="00AF183C" w:rsidRPr="00C538F0" w14:paraId="71567E28" w14:textId="77777777" w:rsidTr="00B33B1E">
        <w:trPr>
          <w:cantSplit/>
          <w:jc w:val="center"/>
        </w:trPr>
        <w:tc>
          <w:tcPr>
            <w:tcW w:w="0" w:type="auto"/>
            <w:tcBorders>
              <w:top w:val="single" w:sz="12" w:space="0" w:color="auto"/>
              <w:bottom w:val="single" w:sz="12" w:space="0" w:color="auto"/>
            </w:tcBorders>
          </w:tcPr>
          <w:p w14:paraId="2F00FE31"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hideMark/>
          </w:tcPr>
          <w:p w14:paraId="1E7847AE" w14:textId="6AABB58F"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rPr>
            </w:pPr>
            <w:r w:rsidRPr="00C538F0">
              <w:rPr>
                <w:b/>
                <w:bCs/>
                <w:snapToGrid w:val="0"/>
                <w:color w:val="000000"/>
                <w:sz w:val="20"/>
                <w:szCs w:val="20"/>
              </w:rPr>
              <w:tab/>
              <w:t>Subtotal (I + II)</w:t>
            </w:r>
          </w:p>
        </w:tc>
        <w:tc>
          <w:tcPr>
            <w:tcW w:w="0" w:type="auto"/>
            <w:tcBorders>
              <w:top w:val="single" w:sz="12" w:space="0" w:color="auto"/>
              <w:bottom w:val="single" w:sz="12" w:space="0" w:color="auto"/>
            </w:tcBorders>
            <w:shd w:val="clear" w:color="auto" w:fill="auto"/>
            <w:hideMark/>
          </w:tcPr>
          <w:p w14:paraId="07628F84" w14:textId="3FE18270" w:rsidR="00AF183C" w:rsidRPr="00C538F0" w:rsidRDefault="00AF183C" w:rsidP="00B33B1E">
            <w:pPr>
              <w:suppressLineNumbers/>
              <w:suppressAutoHyphens/>
              <w:kinsoku w:val="0"/>
              <w:overflowPunct w:val="0"/>
              <w:autoSpaceDE w:val="0"/>
              <w:autoSpaceDN w:val="0"/>
              <w:adjustRightInd w:val="0"/>
              <w:snapToGrid w:val="0"/>
              <w:ind w:right="79"/>
              <w:jc w:val="right"/>
              <w:rPr>
                <w:b/>
                <w:bCs/>
                <w:snapToGrid w:val="0"/>
                <w:color w:val="000000"/>
                <w:kern w:val="22"/>
                <w:sz w:val="20"/>
                <w:szCs w:val="20"/>
              </w:rPr>
            </w:pPr>
            <w:r w:rsidRPr="00C538F0">
              <w:rPr>
                <w:b/>
                <w:bCs/>
                <w:snapToGrid w:val="0"/>
                <w:color w:val="000000"/>
                <w:sz w:val="20"/>
                <w:szCs w:val="20"/>
              </w:rPr>
              <w:t>41 168,90</w:t>
            </w:r>
          </w:p>
        </w:tc>
        <w:tc>
          <w:tcPr>
            <w:tcW w:w="0" w:type="auto"/>
            <w:tcBorders>
              <w:top w:val="single" w:sz="12" w:space="0" w:color="auto"/>
              <w:bottom w:val="single" w:sz="12" w:space="0" w:color="auto"/>
            </w:tcBorders>
            <w:shd w:val="clear" w:color="auto" w:fill="auto"/>
          </w:tcPr>
          <w:p w14:paraId="6B28825C" w14:textId="5861245C" w:rsidR="00AF183C" w:rsidRPr="00C538F0" w:rsidRDefault="00AF183C" w:rsidP="00B33B1E">
            <w:pPr>
              <w:suppressLineNumbers/>
              <w:suppressAutoHyphens/>
              <w:kinsoku w:val="0"/>
              <w:overflowPunct w:val="0"/>
              <w:autoSpaceDE w:val="0"/>
              <w:autoSpaceDN w:val="0"/>
              <w:adjustRightInd w:val="0"/>
              <w:snapToGrid w:val="0"/>
              <w:jc w:val="right"/>
              <w:rPr>
                <w:b/>
                <w:bCs/>
                <w:snapToGrid w:val="0"/>
                <w:color w:val="000000"/>
                <w:kern w:val="22"/>
                <w:sz w:val="20"/>
                <w:szCs w:val="20"/>
              </w:rPr>
            </w:pPr>
            <w:r w:rsidRPr="00C538F0">
              <w:rPr>
                <w:b/>
                <w:bCs/>
                <w:snapToGrid w:val="0"/>
                <w:color w:val="000000"/>
                <w:sz w:val="20"/>
                <w:szCs w:val="20"/>
              </w:rPr>
              <w:t>21 517,60</w:t>
            </w:r>
          </w:p>
        </w:tc>
        <w:tc>
          <w:tcPr>
            <w:tcW w:w="0" w:type="auto"/>
            <w:tcBorders>
              <w:top w:val="single" w:sz="12" w:space="0" w:color="auto"/>
              <w:bottom w:val="single" w:sz="12" w:space="0" w:color="auto"/>
            </w:tcBorders>
            <w:shd w:val="clear" w:color="auto" w:fill="auto"/>
          </w:tcPr>
          <w:p w14:paraId="0C1DE13C" w14:textId="636FCD3D" w:rsidR="00AF183C" w:rsidRPr="00C538F0" w:rsidRDefault="00AF183C" w:rsidP="00B33B1E">
            <w:pPr>
              <w:suppressLineNumbers/>
              <w:suppressAutoHyphens/>
              <w:kinsoku w:val="0"/>
              <w:overflowPunct w:val="0"/>
              <w:autoSpaceDE w:val="0"/>
              <w:autoSpaceDN w:val="0"/>
              <w:adjustRightInd w:val="0"/>
              <w:snapToGrid w:val="0"/>
              <w:ind w:right="38"/>
              <w:jc w:val="right"/>
              <w:rPr>
                <w:b/>
                <w:bCs/>
                <w:snapToGrid w:val="0"/>
                <w:color w:val="000000"/>
                <w:kern w:val="22"/>
                <w:sz w:val="20"/>
                <w:szCs w:val="20"/>
              </w:rPr>
            </w:pPr>
            <w:r w:rsidRPr="00C538F0">
              <w:rPr>
                <w:b/>
                <w:bCs/>
                <w:snapToGrid w:val="0"/>
                <w:color w:val="000000"/>
                <w:sz w:val="20"/>
                <w:szCs w:val="20"/>
              </w:rPr>
              <w:t>19 651,30</w:t>
            </w:r>
          </w:p>
        </w:tc>
      </w:tr>
      <w:tr w:rsidR="00AF183C" w:rsidRPr="00C538F0" w14:paraId="78377C74" w14:textId="77777777" w:rsidTr="00B33B1E">
        <w:trPr>
          <w:cantSplit/>
          <w:jc w:val="center"/>
        </w:trPr>
        <w:tc>
          <w:tcPr>
            <w:tcW w:w="0" w:type="auto"/>
            <w:tcBorders>
              <w:top w:val="single" w:sz="12" w:space="0" w:color="auto"/>
              <w:bottom w:val="single" w:sz="12" w:space="0" w:color="auto"/>
            </w:tcBorders>
          </w:tcPr>
          <w:p w14:paraId="3CD9DA3F" w14:textId="20828ECE"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III</w:t>
            </w:r>
          </w:p>
        </w:tc>
        <w:tc>
          <w:tcPr>
            <w:tcW w:w="0" w:type="auto"/>
            <w:tcBorders>
              <w:top w:val="single" w:sz="12" w:space="0" w:color="auto"/>
              <w:bottom w:val="single" w:sz="12" w:space="0" w:color="auto"/>
            </w:tcBorders>
            <w:shd w:val="clear" w:color="auto" w:fill="auto"/>
            <w:hideMark/>
          </w:tcPr>
          <w:p w14:paraId="1E32A9B0" w14:textId="5321822A"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rPr>
            </w:pPr>
            <w:r w:rsidRPr="00C538F0">
              <w:rPr>
                <w:snapToGrid w:val="0"/>
                <w:color w:val="000000"/>
                <w:sz w:val="20"/>
                <w:szCs w:val="20"/>
              </w:rPr>
              <w:t>Reserva de capital de operaciones</w:t>
            </w:r>
          </w:p>
        </w:tc>
        <w:tc>
          <w:tcPr>
            <w:tcW w:w="0" w:type="auto"/>
            <w:tcBorders>
              <w:top w:val="single" w:sz="12" w:space="0" w:color="auto"/>
              <w:bottom w:val="single" w:sz="12" w:space="0" w:color="auto"/>
            </w:tcBorders>
            <w:shd w:val="clear" w:color="auto" w:fill="auto"/>
            <w:hideMark/>
          </w:tcPr>
          <w:p w14:paraId="18A480CF" w14:textId="02EDFD5D" w:rsidR="00AF183C" w:rsidRPr="00C538F0"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rPr>
            </w:pPr>
            <w:r w:rsidRPr="00C538F0">
              <w:rPr>
                <w:snapToGrid w:val="0"/>
                <w:color w:val="000000"/>
                <w:sz w:val="20"/>
                <w:szCs w:val="20"/>
              </w:rPr>
              <w:t>477,20</w:t>
            </w:r>
          </w:p>
        </w:tc>
        <w:tc>
          <w:tcPr>
            <w:tcW w:w="0" w:type="auto"/>
            <w:tcBorders>
              <w:top w:val="single" w:sz="12" w:space="0" w:color="auto"/>
              <w:bottom w:val="single" w:sz="12" w:space="0" w:color="auto"/>
            </w:tcBorders>
            <w:shd w:val="clear" w:color="auto" w:fill="auto"/>
          </w:tcPr>
          <w:p w14:paraId="79EE3DB1" w14:textId="58017626" w:rsidR="00AF183C" w:rsidRPr="00C538F0"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rPr>
            </w:pPr>
            <w:r w:rsidRPr="00C538F0">
              <w:rPr>
                <w:snapToGrid w:val="0"/>
                <w:color w:val="000000"/>
                <w:sz w:val="20"/>
                <w:szCs w:val="20"/>
              </w:rPr>
              <w:t>477,20</w:t>
            </w:r>
          </w:p>
        </w:tc>
        <w:tc>
          <w:tcPr>
            <w:tcW w:w="0" w:type="auto"/>
            <w:tcBorders>
              <w:top w:val="single" w:sz="12" w:space="0" w:color="auto"/>
              <w:bottom w:val="single" w:sz="12" w:space="0" w:color="auto"/>
            </w:tcBorders>
            <w:shd w:val="clear" w:color="auto" w:fill="auto"/>
          </w:tcPr>
          <w:p w14:paraId="43C1ADDB" w14:textId="478B5967" w:rsidR="00AF183C" w:rsidRPr="00C538F0"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rPr>
            </w:pPr>
            <w:r w:rsidRPr="00C538F0">
              <w:rPr>
                <w:snapToGrid w:val="0"/>
                <w:color w:val="000000"/>
                <w:sz w:val="20"/>
                <w:szCs w:val="20"/>
              </w:rPr>
              <w:t>–</w:t>
            </w:r>
          </w:p>
        </w:tc>
      </w:tr>
      <w:tr w:rsidR="00AF183C" w:rsidRPr="00C538F0" w14:paraId="56F8BB5A" w14:textId="77777777" w:rsidTr="00B33B1E">
        <w:trPr>
          <w:cantSplit/>
          <w:jc w:val="center"/>
        </w:trPr>
        <w:tc>
          <w:tcPr>
            <w:tcW w:w="0" w:type="auto"/>
            <w:tcBorders>
              <w:top w:val="single" w:sz="12" w:space="0" w:color="auto"/>
              <w:bottom w:val="single" w:sz="12" w:space="0" w:color="auto"/>
            </w:tcBorders>
          </w:tcPr>
          <w:p w14:paraId="411284EE" w14:textId="77777777"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hideMark/>
          </w:tcPr>
          <w:p w14:paraId="03AE5C70" w14:textId="47F19D95" w:rsidR="00AF183C" w:rsidRPr="00C538F0"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rPr>
            </w:pPr>
            <w:r w:rsidRPr="00C538F0">
              <w:rPr>
                <w:b/>
                <w:bCs/>
                <w:snapToGrid w:val="0"/>
                <w:color w:val="000000"/>
                <w:sz w:val="20"/>
                <w:szCs w:val="20"/>
              </w:rPr>
              <w:tab/>
              <w:t>Total (I + II + II)</w:t>
            </w:r>
          </w:p>
        </w:tc>
        <w:tc>
          <w:tcPr>
            <w:tcW w:w="0" w:type="auto"/>
            <w:tcBorders>
              <w:top w:val="single" w:sz="12" w:space="0" w:color="auto"/>
              <w:bottom w:val="single" w:sz="12" w:space="0" w:color="auto"/>
            </w:tcBorders>
            <w:shd w:val="clear" w:color="auto" w:fill="auto"/>
            <w:hideMark/>
          </w:tcPr>
          <w:p w14:paraId="531CF68C" w14:textId="56C71F83" w:rsidR="00AF183C" w:rsidRPr="00C538F0" w:rsidRDefault="00AF183C" w:rsidP="00B33B1E">
            <w:pPr>
              <w:suppressLineNumbers/>
              <w:suppressAutoHyphens/>
              <w:kinsoku w:val="0"/>
              <w:overflowPunct w:val="0"/>
              <w:autoSpaceDE w:val="0"/>
              <w:autoSpaceDN w:val="0"/>
              <w:adjustRightInd w:val="0"/>
              <w:snapToGrid w:val="0"/>
              <w:ind w:right="79"/>
              <w:jc w:val="right"/>
              <w:rPr>
                <w:b/>
                <w:bCs/>
                <w:snapToGrid w:val="0"/>
                <w:color w:val="000000"/>
                <w:kern w:val="22"/>
                <w:sz w:val="20"/>
                <w:szCs w:val="20"/>
              </w:rPr>
            </w:pPr>
            <w:r w:rsidRPr="00C538F0">
              <w:rPr>
                <w:b/>
                <w:bCs/>
                <w:snapToGrid w:val="0"/>
                <w:color w:val="000000"/>
                <w:sz w:val="20"/>
                <w:szCs w:val="20"/>
              </w:rPr>
              <w:t>41 616,10</w:t>
            </w:r>
          </w:p>
        </w:tc>
        <w:tc>
          <w:tcPr>
            <w:tcW w:w="0" w:type="auto"/>
            <w:tcBorders>
              <w:top w:val="single" w:sz="12" w:space="0" w:color="auto"/>
              <w:bottom w:val="single" w:sz="12" w:space="0" w:color="auto"/>
            </w:tcBorders>
            <w:shd w:val="clear" w:color="auto" w:fill="auto"/>
          </w:tcPr>
          <w:p w14:paraId="192B4C1A" w14:textId="1B373CD1" w:rsidR="00AF183C" w:rsidRPr="00C538F0" w:rsidRDefault="00AF183C" w:rsidP="00B33B1E">
            <w:pPr>
              <w:suppressLineNumbers/>
              <w:suppressAutoHyphens/>
              <w:kinsoku w:val="0"/>
              <w:overflowPunct w:val="0"/>
              <w:autoSpaceDE w:val="0"/>
              <w:autoSpaceDN w:val="0"/>
              <w:adjustRightInd w:val="0"/>
              <w:snapToGrid w:val="0"/>
              <w:jc w:val="right"/>
              <w:rPr>
                <w:b/>
                <w:bCs/>
                <w:snapToGrid w:val="0"/>
                <w:color w:val="000000"/>
                <w:kern w:val="22"/>
                <w:sz w:val="20"/>
                <w:szCs w:val="20"/>
              </w:rPr>
            </w:pPr>
            <w:r w:rsidRPr="00C538F0">
              <w:rPr>
                <w:b/>
                <w:bCs/>
                <w:snapToGrid w:val="0"/>
                <w:color w:val="000000"/>
                <w:sz w:val="20"/>
                <w:szCs w:val="20"/>
              </w:rPr>
              <w:t>21 994,80</w:t>
            </w:r>
          </w:p>
        </w:tc>
        <w:tc>
          <w:tcPr>
            <w:tcW w:w="0" w:type="auto"/>
            <w:tcBorders>
              <w:top w:val="single" w:sz="12" w:space="0" w:color="auto"/>
              <w:bottom w:val="single" w:sz="12" w:space="0" w:color="auto"/>
            </w:tcBorders>
            <w:shd w:val="clear" w:color="auto" w:fill="auto"/>
          </w:tcPr>
          <w:p w14:paraId="2D1342DC" w14:textId="3124CFAE" w:rsidR="00AF183C" w:rsidRPr="00C538F0" w:rsidRDefault="00AF183C" w:rsidP="00B33B1E">
            <w:pPr>
              <w:suppressLineNumbers/>
              <w:suppressAutoHyphens/>
              <w:kinsoku w:val="0"/>
              <w:overflowPunct w:val="0"/>
              <w:autoSpaceDE w:val="0"/>
              <w:autoSpaceDN w:val="0"/>
              <w:adjustRightInd w:val="0"/>
              <w:snapToGrid w:val="0"/>
              <w:ind w:right="38"/>
              <w:jc w:val="right"/>
              <w:rPr>
                <w:b/>
                <w:bCs/>
                <w:snapToGrid w:val="0"/>
                <w:color w:val="000000"/>
                <w:kern w:val="22"/>
                <w:sz w:val="20"/>
                <w:szCs w:val="20"/>
              </w:rPr>
            </w:pPr>
            <w:r w:rsidRPr="00C538F0">
              <w:rPr>
                <w:b/>
                <w:bCs/>
                <w:snapToGrid w:val="0"/>
                <w:color w:val="000000"/>
                <w:sz w:val="20"/>
                <w:szCs w:val="20"/>
              </w:rPr>
              <w:t>19 651,30</w:t>
            </w:r>
          </w:p>
        </w:tc>
      </w:tr>
    </w:tbl>
    <w:p w14:paraId="5C7426A1" w14:textId="77777777" w:rsidR="000D4DA8" w:rsidRPr="00C538F0" w:rsidRDefault="000D4DA8" w:rsidP="00BF6BF7">
      <w:pPr>
        <w:pStyle w:val="ListParagraph"/>
        <w:suppressLineNumbers/>
        <w:suppressAutoHyphens/>
        <w:kinsoku w:val="0"/>
        <w:overflowPunct w:val="0"/>
        <w:autoSpaceDE w:val="0"/>
        <w:autoSpaceDN w:val="0"/>
        <w:adjustRightInd w:val="0"/>
        <w:snapToGrid w:val="0"/>
        <w:ind w:left="0"/>
        <w:contextualSpacing w:val="0"/>
        <w:rPr>
          <w:rFonts w:eastAsia="Malgun Gothic"/>
          <w:iCs/>
          <w:snapToGrid w:val="0"/>
          <w:color w:val="000000"/>
          <w:kern w:val="22"/>
          <w:szCs w:val="22"/>
          <w:lang w:eastAsia="ko-KR"/>
        </w:rPr>
      </w:pPr>
    </w:p>
    <w:p w14:paraId="6EFAD344" w14:textId="0682BCAF" w:rsidR="000D4DA8" w:rsidRPr="00C538F0" w:rsidRDefault="000D4DA8" w:rsidP="00FE7DD7">
      <w:pPr>
        <w:pStyle w:val="Heading2"/>
        <w:numPr>
          <w:ilvl w:val="0"/>
          <w:numId w:val="11"/>
        </w:numPr>
        <w:suppressLineNumbers/>
        <w:suppressAutoHyphens/>
        <w:kinsoku w:val="0"/>
        <w:overflowPunct w:val="0"/>
        <w:autoSpaceDE w:val="0"/>
        <w:autoSpaceDN w:val="0"/>
        <w:adjustRightInd w:val="0"/>
        <w:snapToGrid w:val="0"/>
        <w:ind w:left="567" w:hanging="567"/>
        <w:rPr>
          <w:rFonts w:eastAsia="Malgun Gothic"/>
          <w:iCs/>
          <w:snapToGrid w:val="0"/>
          <w:kern w:val="22"/>
          <w:szCs w:val="22"/>
        </w:rPr>
      </w:pPr>
      <w:r w:rsidRPr="00C538F0">
        <w:t>Fondo fiduciario voluntario especial en apoyo a las actividades aprobadas para el período 2019–2020</w:t>
      </w:r>
    </w:p>
    <w:p w14:paraId="2787BD4F" w14:textId="17DECBF8" w:rsidR="000D4DA8" w:rsidRPr="00C538F0" w:rsidRDefault="000D4DA8" w:rsidP="00FE7DD7">
      <w:pPr>
        <w:pStyle w:val="Para10"/>
      </w:pPr>
      <w:r w:rsidRPr="00C538F0">
        <w:t>La Conferencia de las Partes y la Conferencia de las Partes que actúa como reuniones de las Partes en los Protocolos reconocieron las estimaciones de financiación de 22 207 099 dólares de los Estados Unidos para el fondo fiduciario para contribuciones voluntarias adicionales en apoyo a las actividades aprobadas en virtud del Convenio y sus Protocolos (fondo fiduciario BE) correspondientes al período 2023–2024.</w:t>
      </w:r>
    </w:p>
    <w:p w14:paraId="1CA850BB" w14:textId="2008FF01" w:rsidR="004D6C0A" w:rsidRPr="00C538F0" w:rsidRDefault="000D4DA8" w:rsidP="00FE7DD7">
      <w:pPr>
        <w:pStyle w:val="Para10"/>
      </w:pPr>
      <w:r w:rsidRPr="00C538F0">
        <w:t xml:space="preserve">Al 29 de febrero de 2024, se habían recibido contribuciones por valor de 13 millones de dólares </w:t>
      </w:r>
      <w:r w:rsidR="00621140" w:rsidRPr="00C538F0">
        <w:t xml:space="preserve">de los Estados Unidos </w:t>
      </w:r>
      <w:r w:rsidRPr="00C538F0">
        <w:t>para el fondo fiduciario BE. Esta cantidad incluía 8,9 millones de dólares procedentes de las promesas de contribuciones plurianuales de los Gobiernos del Canadá, Dinamarca, el Japón (a través del Fondo del Japón para la Biodiversidad) y Noruega, así como de la Unión Europea. Las áreas de trabajo con las mayores contribuciones voluntarias se enumeran en el cuadro 4.</w:t>
      </w:r>
    </w:p>
    <w:p w14:paraId="42A73130" w14:textId="77777777" w:rsidR="004D6C0A" w:rsidRPr="00C538F0" w:rsidRDefault="004D6C0A">
      <w:pPr>
        <w:jc w:val="left"/>
        <w:rPr>
          <w:rFonts w:eastAsia="Malgun Gothic"/>
          <w:snapToGrid w:val="0"/>
          <w:lang w:eastAsia="ko-KR"/>
        </w:rPr>
      </w:pPr>
      <w:r w:rsidRPr="00C538F0">
        <w:br w:type="page"/>
      </w:r>
    </w:p>
    <w:p w14:paraId="0DF009FD" w14:textId="650E0E5D" w:rsidR="00DE6900" w:rsidRPr="00C538F0" w:rsidRDefault="00DE6900" w:rsidP="00B33B1E">
      <w:pPr>
        <w:suppressLineNumbers/>
        <w:suppressAutoHyphens/>
        <w:kinsoku w:val="0"/>
        <w:overflowPunct w:val="0"/>
        <w:autoSpaceDE w:val="0"/>
        <w:autoSpaceDN w:val="0"/>
        <w:adjustRightInd w:val="0"/>
        <w:snapToGrid w:val="0"/>
        <w:ind w:left="567"/>
        <w:rPr>
          <w:snapToGrid w:val="0"/>
          <w:kern w:val="22"/>
          <w:szCs w:val="22"/>
        </w:rPr>
      </w:pPr>
      <w:r w:rsidRPr="00C538F0">
        <w:rPr>
          <w:snapToGrid w:val="0"/>
          <w:szCs w:val="22"/>
        </w:rPr>
        <w:lastRenderedPageBreak/>
        <w:t>Cuadro 4</w:t>
      </w:r>
    </w:p>
    <w:p w14:paraId="4BC79BE7" w14:textId="0F331E9C" w:rsidR="00DE6900" w:rsidRPr="00C538F0" w:rsidRDefault="00977BC4" w:rsidP="00B33B1E">
      <w:pPr>
        <w:ind w:left="562"/>
        <w:rPr>
          <w:b/>
          <w:bCs/>
        </w:rPr>
      </w:pPr>
      <w:r w:rsidRPr="00C538F0">
        <w:rPr>
          <w:b/>
          <w:bCs/>
        </w:rPr>
        <w:t>Áreas de trabajo con las mayores contribuciones voluntarias</w:t>
      </w:r>
    </w:p>
    <w:p w14:paraId="1AB24FE4" w14:textId="32E94C0D" w:rsidR="00AD7FBF" w:rsidRPr="00C538F0" w:rsidRDefault="00AD7FBF" w:rsidP="00B33B1E">
      <w:pPr>
        <w:spacing w:after="120"/>
        <w:ind w:left="567"/>
        <w:rPr>
          <w:sz w:val="18"/>
          <w:szCs w:val="18"/>
        </w:rPr>
      </w:pPr>
      <w:r w:rsidRPr="00C538F0">
        <w:rPr>
          <w:sz w:val="18"/>
          <w:szCs w:val="18"/>
        </w:rPr>
        <w:t>(En miles de dólares de los EE.UU.)</w:t>
      </w: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4"/>
        <w:gridCol w:w="2098"/>
      </w:tblGrid>
      <w:tr w:rsidR="005F7E0B" w:rsidRPr="00C538F0" w14:paraId="2F760FB9" w14:textId="77777777" w:rsidTr="005F7E0B">
        <w:trPr>
          <w:tblHeader/>
        </w:trPr>
        <w:tc>
          <w:tcPr>
            <w:tcW w:w="0" w:type="auto"/>
            <w:tcBorders>
              <w:top w:val="single" w:sz="12" w:space="0" w:color="auto"/>
              <w:bottom w:val="single" w:sz="12" w:space="0" w:color="auto"/>
            </w:tcBorders>
          </w:tcPr>
          <w:p w14:paraId="2880F919" w14:textId="255DC8A6" w:rsidR="00103F5F" w:rsidRPr="00C538F0" w:rsidRDefault="00103F5F" w:rsidP="00B33B1E">
            <w:pPr>
              <w:jc w:val="left"/>
              <w:rPr>
                <w:rFonts w:cs="Times New Roman"/>
                <w:i/>
                <w:iCs/>
                <w:sz w:val="20"/>
                <w:szCs w:val="20"/>
              </w:rPr>
            </w:pPr>
            <w:r w:rsidRPr="00C538F0">
              <w:rPr>
                <w:i/>
                <w:iCs/>
                <w:color w:val="000000"/>
                <w:sz w:val="20"/>
                <w:szCs w:val="20"/>
              </w:rPr>
              <w:t>Área temática</w:t>
            </w:r>
          </w:p>
        </w:tc>
        <w:tc>
          <w:tcPr>
            <w:tcW w:w="0" w:type="auto"/>
            <w:tcBorders>
              <w:top w:val="single" w:sz="12" w:space="0" w:color="auto"/>
              <w:bottom w:val="single" w:sz="12" w:space="0" w:color="auto"/>
            </w:tcBorders>
            <w:vAlign w:val="bottom"/>
          </w:tcPr>
          <w:p w14:paraId="76E0F724" w14:textId="3D0AC761" w:rsidR="00103F5F" w:rsidRPr="00C538F0" w:rsidRDefault="00103F5F" w:rsidP="00B33B1E">
            <w:pPr>
              <w:jc w:val="right"/>
              <w:rPr>
                <w:rFonts w:cs="Times New Roman"/>
                <w:i/>
                <w:iCs/>
                <w:sz w:val="20"/>
                <w:szCs w:val="20"/>
              </w:rPr>
            </w:pPr>
            <w:r w:rsidRPr="00C538F0">
              <w:rPr>
                <w:i/>
                <w:iCs/>
                <w:color w:val="000000"/>
                <w:sz w:val="20"/>
                <w:szCs w:val="20"/>
              </w:rPr>
              <w:t>Total de contribuciones</w:t>
            </w:r>
          </w:p>
        </w:tc>
      </w:tr>
      <w:tr w:rsidR="005F7E0B" w:rsidRPr="00C538F0" w14:paraId="0BB7B3FB" w14:textId="77777777" w:rsidTr="005F7E0B">
        <w:tc>
          <w:tcPr>
            <w:tcW w:w="0" w:type="auto"/>
            <w:tcBorders>
              <w:top w:val="single" w:sz="12" w:space="0" w:color="auto"/>
            </w:tcBorders>
            <w:vAlign w:val="bottom"/>
          </w:tcPr>
          <w:p w14:paraId="5F45F88F" w14:textId="58503AAF" w:rsidR="006D2ABA" w:rsidRPr="00C538F0" w:rsidRDefault="006D2ABA" w:rsidP="006D2ABA">
            <w:pPr>
              <w:rPr>
                <w:rFonts w:cs="Times New Roman"/>
                <w:sz w:val="20"/>
                <w:szCs w:val="20"/>
              </w:rPr>
            </w:pPr>
            <w:r w:rsidRPr="00C538F0">
              <w:rPr>
                <w:color w:val="000000"/>
                <w:sz w:val="20"/>
                <w:szCs w:val="20"/>
              </w:rPr>
              <w:t>Áreas protegidas</w:t>
            </w:r>
          </w:p>
        </w:tc>
        <w:tc>
          <w:tcPr>
            <w:tcW w:w="0" w:type="auto"/>
            <w:tcBorders>
              <w:top w:val="single" w:sz="12" w:space="0" w:color="auto"/>
            </w:tcBorders>
            <w:vAlign w:val="bottom"/>
          </w:tcPr>
          <w:p w14:paraId="1A5D6350" w14:textId="2E6280E5" w:rsidR="006D2ABA" w:rsidRPr="00C538F0" w:rsidRDefault="006D2ABA" w:rsidP="00B33B1E">
            <w:pPr>
              <w:jc w:val="right"/>
              <w:rPr>
                <w:rFonts w:cs="Times New Roman"/>
                <w:sz w:val="20"/>
                <w:szCs w:val="20"/>
              </w:rPr>
            </w:pPr>
            <w:r w:rsidRPr="00C538F0">
              <w:rPr>
                <w:color w:val="000000"/>
                <w:sz w:val="20"/>
                <w:szCs w:val="20"/>
              </w:rPr>
              <w:t>409,50</w:t>
            </w:r>
          </w:p>
        </w:tc>
      </w:tr>
      <w:tr w:rsidR="005F7E0B" w:rsidRPr="00C538F0" w14:paraId="3DE152F5" w14:textId="77777777" w:rsidTr="005F7E0B">
        <w:tc>
          <w:tcPr>
            <w:tcW w:w="0" w:type="auto"/>
            <w:vAlign w:val="bottom"/>
          </w:tcPr>
          <w:p w14:paraId="21805557" w14:textId="18E83C7E" w:rsidR="006D2ABA" w:rsidRPr="00C538F0" w:rsidRDefault="006D2ABA" w:rsidP="006D2ABA">
            <w:pPr>
              <w:rPr>
                <w:rFonts w:cs="Times New Roman"/>
                <w:sz w:val="20"/>
                <w:szCs w:val="20"/>
              </w:rPr>
            </w:pPr>
            <w:r w:rsidRPr="00C538F0">
              <w:rPr>
                <w:color w:val="000000"/>
                <w:sz w:val="20"/>
                <w:szCs w:val="20"/>
              </w:rPr>
              <w:t>Especies exóticas invasoras</w:t>
            </w:r>
          </w:p>
        </w:tc>
        <w:tc>
          <w:tcPr>
            <w:tcW w:w="0" w:type="auto"/>
            <w:vAlign w:val="bottom"/>
          </w:tcPr>
          <w:p w14:paraId="5356A413" w14:textId="4D9464A8" w:rsidR="006D2ABA" w:rsidRPr="00C538F0" w:rsidRDefault="006D2ABA" w:rsidP="00B33B1E">
            <w:pPr>
              <w:jc w:val="right"/>
              <w:rPr>
                <w:rFonts w:cs="Times New Roman"/>
                <w:sz w:val="20"/>
                <w:szCs w:val="20"/>
              </w:rPr>
            </w:pPr>
            <w:r w:rsidRPr="00C538F0">
              <w:rPr>
                <w:color w:val="000000"/>
                <w:sz w:val="20"/>
                <w:szCs w:val="20"/>
              </w:rPr>
              <w:t>430,70</w:t>
            </w:r>
          </w:p>
        </w:tc>
      </w:tr>
      <w:tr w:rsidR="005F7E0B" w:rsidRPr="00C538F0" w14:paraId="5B091E5C" w14:textId="77777777" w:rsidTr="005F7E0B">
        <w:tc>
          <w:tcPr>
            <w:tcW w:w="0" w:type="auto"/>
            <w:vAlign w:val="bottom"/>
          </w:tcPr>
          <w:p w14:paraId="0838439E" w14:textId="20657D59" w:rsidR="006D2ABA" w:rsidRPr="00C538F0" w:rsidRDefault="006D2ABA" w:rsidP="006D2ABA">
            <w:pPr>
              <w:rPr>
                <w:rFonts w:cs="Times New Roman"/>
                <w:sz w:val="20"/>
                <w:szCs w:val="20"/>
              </w:rPr>
            </w:pPr>
            <w:r w:rsidRPr="00C538F0">
              <w:rPr>
                <w:color w:val="000000"/>
                <w:sz w:val="20"/>
                <w:szCs w:val="20"/>
              </w:rPr>
              <w:t>Protocolo de Nagoya</w:t>
            </w:r>
          </w:p>
        </w:tc>
        <w:tc>
          <w:tcPr>
            <w:tcW w:w="0" w:type="auto"/>
            <w:vAlign w:val="bottom"/>
          </w:tcPr>
          <w:p w14:paraId="7186CA3B" w14:textId="681ACC7D" w:rsidR="006D2ABA" w:rsidRPr="00C538F0" w:rsidRDefault="006D2ABA" w:rsidP="00B33B1E">
            <w:pPr>
              <w:jc w:val="right"/>
              <w:rPr>
                <w:rFonts w:cs="Times New Roman"/>
                <w:sz w:val="20"/>
                <w:szCs w:val="20"/>
              </w:rPr>
            </w:pPr>
            <w:r w:rsidRPr="00C538F0">
              <w:rPr>
                <w:color w:val="000000"/>
                <w:sz w:val="20"/>
                <w:szCs w:val="20"/>
              </w:rPr>
              <w:t>415,80</w:t>
            </w:r>
          </w:p>
        </w:tc>
      </w:tr>
      <w:tr w:rsidR="005F7E0B" w:rsidRPr="00C538F0" w14:paraId="358013DE" w14:textId="77777777" w:rsidTr="005F7E0B">
        <w:tc>
          <w:tcPr>
            <w:tcW w:w="0" w:type="auto"/>
            <w:vAlign w:val="bottom"/>
          </w:tcPr>
          <w:p w14:paraId="07DEA30A" w14:textId="7086956C" w:rsidR="006D2ABA" w:rsidRPr="00C538F0" w:rsidRDefault="006D2ABA" w:rsidP="006D2ABA">
            <w:pPr>
              <w:rPr>
                <w:rFonts w:cs="Times New Roman"/>
                <w:sz w:val="20"/>
                <w:szCs w:val="20"/>
              </w:rPr>
            </w:pPr>
            <w:r w:rsidRPr="00C538F0">
              <w:rPr>
                <w:color w:val="000000"/>
                <w:sz w:val="20"/>
                <w:szCs w:val="20"/>
              </w:rPr>
              <w:t>Planificación, seguimiento, presentación de informes y revisión</w:t>
            </w:r>
          </w:p>
        </w:tc>
        <w:tc>
          <w:tcPr>
            <w:tcW w:w="0" w:type="auto"/>
            <w:vAlign w:val="bottom"/>
          </w:tcPr>
          <w:p w14:paraId="03217487" w14:textId="2732BCBE" w:rsidR="006D2ABA" w:rsidRPr="00C538F0" w:rsidRDefault="006D2ABA" w:rsidP="00B33B1E">
            <w:pPr>
              <w:jc w:val="right"/>
              <w:rPr>
                <w:rFonts w:cs="Times New Roman"/>
                <w:sz w:val="20"/>
                <w:szCs w:val="20"/>
              </w:rPr>
            </w:pPr>
            <w:r w:rsidRPr="00C538F0">
              <w:rPr>
                <w:color w:val="000000"/>
                <w:sz w:val="20"/>
                <w:szCs w:val="20"/>
              </w:rPr>
              <w:t>758,30</w:t>
            </w:r>
          </w:p>
        </w:tc>
      </w:tr>
      <w:tr w:rsidR="005F7E0B" w:rsidRPr="00C538F0" w14:paraId="2E949C25" w14:textId="77777777" w:rsidTr="005F7E0B">
        <w:tc>
          <w:tcPr>
            <w:tcW w:w="0" w:type="auto"/>
            <w:vAlign w:val="bottom"/>
          </w:tcPr>
          <w:p w14:paraId="0D8707AB" w14:textId="761F451F" w:rsidR="006D2ABA" w:rsidRPr="00C538F0" w:rsidRDefault="006D2ABA" w:rsidP="006D2ABA">
            <w:pPr>
              <w:rPr>
                <w:rFonts w:cs="Times New Roman"/>
                <w:sz w:val="20"/>
                <w:szCs w:val="20"/>
              </w:rPr>
            </w:pPr>
            <w:r w:rsidRPr="00C538F0">
              <w:rPr>
                <w:color w:val="000000"/>
                <w:sz w:val="20"/>
                <w:szCs w:val="20"/>
              </w:rPr>
              <w:t>Diversidad biológica agrícola y de aguas continentales</w:t>
            </w:r>
          </w:p>
        </w:tc>
        <w:tc>
          <w:tcPr>
            <w:tcW w:w="0" w:type="auto"/>
            <w:vAlign w:val="bottom"/>
          </w:tcPr>
          <w:p w14:paraId="103DD156" w14:textId="40959B61" w:rsidR="006D2ABA" w:rsidRPr="00C538F0" w:rsidRDefault="006D2ABA" w:rsidP="00B33B1E">
            <w:pPr>
              <w:jc w:val="right"/>
              <w:rPr>
                <w:rFonts w:cs="Times New Roman"/>
                <w:sz w:val="20"/>
                <w:szCs w:val="20"/>
              </w:rPr>
            </w:pPr>
            <w:r w:rsidRPr="00C538F0">
              <w:rPr>
                <w:color w:val="000000"/>
                <w:sz w:val="20"/>
                <w:szCs w:val="20"/>
              </w:rPr>
              <w:t xml:space="preserve">135,60 </w:t>
            </w:r>
          </w:p>
        </w:tc>
      </w:tr>
      <w:tr w:rsidR="005F7E0B" w:rsidRPr="00C538F0" w14:paraId="29D1B04C" w14:textId="77777777" w:rsidTr="005F7E0B">
        <w:tc>
          <w:tcPr>
            <w:tcW w:w="0" w:type="auto"/>
            <w:vAlign w:val="bottom"/>
          </w:tcPr>
          <w:p w14:paraId="1637115C" w14:textId="28AB9DE4" w:rsidR="006D2ABA" w:rsidRPr="00C538F0" w:rsidRDefault="006D2ABA" w:rsidP="006D2ABA">
            <w:pPr>
              <w:rPr>
                <w:rFonts w:cs="Times New Roman"/>
                <w:sz w:val="20"/>
                <w:szCs w:val="20"/>
              </w:rPr>
            </w:pPr>
            <w:r w:rsidRPr="00C538F0">
              <w:rPr>
                <w:color w:val="000000"/>
                <w:sz w:val="20"/>
                <w:szCs w:val="20"/>
              </w:rPr>
              <w:t>Seguridad de la biotecnología</w:t>
            </w:r>
          </w:p>
        </w:tc>
        <w:tc>
          <w:tcPr>
            <w:tcW w:w="0" w:type="auto"/>
            <w:vAlign w:val="bottom"/>
          </w:tcPr>
          <w:p w14:paraId="59A1A8B3" w14:textId="69FDF787" w:rsidR="006D2ABA" w:rsidRPr="00C538F0" w:rsidRDefault="006D2ABA" w:rsidP="00B33B1E">
            <w:pPr>
              <w:jc w:val="right"/>
              <w:rPr>
                <w:rFonts w:cs="Times New Roman"/>
                <w:sz w:val="20"/>
                <w:szCs w:val="20"/>
              </w:rPr>
            </w:pPr>
            <w:r w:rsidRPr="00C538F0">
              <w:rPr>
                <w:color w:val="000000"/>
                <w:sz w:val="20"/>
                <w:szCs w:val="20"/>
              </w:rPr>
              <w:t xml:space="preserve">623,30 </w:t>
            </w:r>
          </w:p>
        </w:tc>
      </w:tr>
      <w:tr w:rsidR="005F7E0B" w:rsidRPr="00C538F0" w14:paraId="2E5E1792" w14:textId="77777777" w:rsidTr="005F7E0B">
        <w:tc>
          <w:tcPr>
            <w:tcW w:w="0" w:type="auto"/>
            <w:vAlign w:val="bottom"/>
          </w:tcPr>
          <w:p w14:paraId="6C652235" w14:textId="4F0DE084" w:rsidR="006D2ABA" w:rsidRPr="00C538F0" w:rsidRDefault="006D2ABA" w:rsidP="006D2ABA">
            <w:pPr>
              <w:rPr>
                <w:rFonts w:cs="Times New Roman"/>
                <w:sz w:val="20"/>
                <w:szCs w:val="20"/>
              </w:rPr>
            </w:pPr>
            <w:r w:rsidRPr="00C538F0">
              <w:rPr>
                <w:color w:val="000000"/>
                <w:sz w:val="20"/>
                <w:szCs w:val="20"/>
              </w:rPr>
              <w:t>Creación y desarrollo de capacidad</w:t>
            </w:r>
          </w:p>
        </w:tc>
        <w:tc>
          <w:tcPr>
            <w:tcW w:w="0" w:type="auto"/>
            <w:vAlign w:val="bottom"/>
          </w:tcPr>
          <w:p w14:paraId="7EDE39D8" w14:textId="774E6806" w:rsidR="006D2ABA" w:rsidRPr="00C538F0" w:rsidRDefault="006D2ABA" w:rsidP="00B33B1E">
            <w:pPr>
              <w:jc w:val="right"/>
              <w:rPr>
                <w:rFonts w:cs="Times New Roman"/>
                <w:sz w:val="20"/>
                <w:szCs w:val="20"/>
              </w:rPr>
            </w:pPr>
            <w:r w:rsidRPr="00C538F0">
              <w:rPr>
                <w:color w:val="000000"/>
                <w:sz w:val="20"/>
                <w:szCs w:val="20"/>
              </w:rPr>
              <w:t xml:space="preserve">248,60 </w:t>
            </w:r>
          </w:p>
        </w:tc>
      </w:tr>
      <w:tr w:rsidR="005F7E0B" w:rsidRPr="00C538F0" w14:paraId="5B31BEDA" w14:textId="77777777" w:rsidTr="005F7E0B">
        <w:tc>
          <w:tcPr>
            <w:tcW w:w="0" w:type="auto"/>
            <w:vAlign w:val="bottom"/>
          </w:tcPr>
          <w:p w14:paraId="6F82D2BA" w14:textId="35F0DF0B" w:rsidR="006D2ABA" w:rsidRPr="00C538F0" w:rsidRDefault="006D2ABA" w:rsidP="006D2ABA">
            <w:pPr>
              <w:rPr>
                <w:rFonts w:cs="Times New Roman"/>
                <w:sz w:val="20"/>
                <w:szCs w:val="20"/>
              </w:rPr>
            </w:pPr>
            <w:r w:rsidRPr="00C538F0">
              <w:rPr>
                <w:color w:val="000000"/>
                <w:sz w:val="20"/>
                <w:szCs w:val="20"/>
              </w:rPr>
              <w:t>Gestión de conocimientos</w:t>
            </w:r>
          </w:p>
        </w:tc>
        <w:tc>
          <w:tcPr>
            <w:tcW w:w="0" w:type="auto"/>
            <w:vAlign w:val="bottom"/>
          </w:tcPr>
          <w:p w14:paraId="08DB2BF3" w14:textId="717F7779" w:rsidR="006D2ABA" w:rsidRPr="00C538F0" w:rsidRDefault="006D2ABA" w:rsidP="00B33B1E">
            <w:pPr>
              <w:jc w:val="right"/>
              <w:rPr>
                <w:rFonts w:cs="Times New Roman"/>
                <w:sz w:val="20"/>
                <w:szCs w:val="20"/>
              </w:rPr>
            </w:pPr>
            <w:r w:rsidRPr="00C538F0">
              <w:rPr>
                <w:color w:val="000000"/>
                <w:sz w:val="20"/>
                <w:szCs w:val="20"/>
              </w:rPr>
              <w:t xml:space="preserve">349,90 </w:t>
            </w:r>
          </w:p>
        </w:tc>
      </w:tr>
      <w:tr w:rsidR="005F7E0B" w:rsidRPr="00C538F0" w14:paraId="7508790B" w14:textId="77777777" w:rsidTr="005F7E0B">
        <w:tc>
          <w:tcPr>
            <w:tcW w:w="0" w:type="auto"/>
            <w:vAlign w:val="bottom"/>
          </w:tcPr>
          <w:p w14:paraId="1E73862B" w14:textId="19E74214" w:rsidR="006D2ABA" w:rsidRPr="00C538F0" w:rsidRDefault="006D2ABA" w:rsidP="006D2ABA">
            <w:pPr>
              <w:rPr>
                <w:rFonts w:cs="Times New Roman"/>
                <w:sz w:val="20"/>
                <w:szCs w:val="20"/>
              </w:rPr>
            </w:pPr>
            <w:r w:rsidRPr="00C538F0">
              <w:rPr>
                <w:color w:val="000000"/>
                <w:sz w:val="20"/>
                <w:szCs w:val="20"/>
              </w:rPr>
              <w:t>Participación de los interesados</w:t>
            </w:r>
          </w:p>
        </w:tc>
        <w:tc>
          <w:tcPr>
            <w:tcW w:w="0" w:type="auto"/>
            <w:vAlign w:val="bottom"/>
          </w:tcPr>
          <w:p w14:paraId="50EED259" w14:textId="44C00ECF" w:rsidR="006D2ABA" w:rsidRPr="00C538F0" w:rsidRDefault="006D2ABA" w:rsidP="00B33B1E">
            <w:pPr>
              <w:jc w:val="right"/>
              <w:rPr>
                <w:rFonts w:cs="Times New Roman"/>
                <w:sz w:val="20"/>
                <w:szCs w:val="20"/>
              </w:rPr>
            </w:pPr>
            <w:r w:rsidRPr="00C538F0">
              <w:rPr>
                <w:color w:val="000000"/>
                <w:sz w:val="20"/>
                <w:szCs w:val="20"/>
              </w:rPr>
              <w:t xml:space="preserve">470,00 </w:t>
            </w:r>
          </w:p>
        </w:tc>
      </w:tr>
      <w:tr w:rsidR="005F7E0B" w:rsidRPr="00C538F0" w14:paraId="387826C4" w14:textId="77777777" w:rsidTr="005F7E0B">
        <w:tc>
          <w:tcPr>
            <w:tcW w:w="0" w:type="auto"/>
            <w:vAlign w:val="bottom"/>
          </w:tcPr>
          <w:p w14:paraId="1759FA74" w14:textId="22868606" w:rsidR="006D2ABA" w:rsidRPr="00C538F0" w:rsidRDefault="006D2ABA" w:rsidP="006D2ABA">
            <w:pPr>
              <w:rPr>
                <w:rFonts w:cs="Times New Roman"/>
                <w:sz w:val="20"/>
                <w:szCs w:val="20"/>
              </w:rPr>
            </w:pPr>
            <w:r w:rsidRPr="00C538F0">
              <w:rPr>
                <w:color w:val="000000"/>
                <w:sz w:val="20"/>
                <w:szCs w:val="20"/>
              </w:rPr>
              <w:t>Cambio climático</w:t>
            </w:r>
          </w:p>
        </w:tc>
        <w:tc>
          <w:tcPr>
            <w:tcW w:w="0" w:type="auto"/>
            <w:vAlign w:val="bottom"/>
          </w:tcPr>
          <w:p w14:paraId="71E9FC12" w14:textId="1A235612" w:rsidR="006D2ABA" w:rsidRPr="00C538F0" w:rsidRDefault="006D2ABA" w:rsidP="00B33B1E">
            <w:pPr>
              <w:jc w:val="right"/>
              <w:rPr>
                <w:rFonts w:cs="Times New Roman"/>
                <w:sz w:val="20"/>
                <w:szCs w:val="20"/>
              </w:rPr>
            </w:pPr>
            <w:r w:rsidRPr="00C538F0">
              <w:rPr>
                <w:color w:val="000000"/>
                <w:sz w:val="20"/>
                <w:szCs w:val="20"/>
              </w:rPr>
              <w:t xml:space="preserve">200,00 </w:t>
            </w:r>
          </w:p>
        </w:tc>
      </w:tr>
      <w:tr w:rsidR="005F7E0B" w:rsidRPr="00C538F0" w14:paraId="29DD2F78" w14:textId="77777777" w:rsidTr="005F7E0B">
        <w:tc>
          <w:tcPr>
            <w:tcW w:w="0" w:type="auto"/>
            <w:vAlign w:val="bottom"/>
          </w:tcPr>
          <w:p w14:paraId="3FB096CA" w14:textId="1DD0633B" w:rsidR="006D2ABA" w:rsidRPr="00C538F0" w:rsidRDefault="006D2ABA" w:rsidP="00B33B1E">
            <w:pPr>
              <w:jc w:val="left"/>
              <w:rPr>
                <w:rFonts w:cs="Times New Roman"/>
                <w:sz w:val="20"/>
                <w:szCs w:val="20"/>
              </w:rPr>
            </w:pPr>
            <w:r w:rsidRPr="00C538F0">
              <w:rPr>
                <w:color w:val="000000"/>
                <w:sz w:val="20"/>
                <w:szCs w:val="20"/>
              </w:rPr>
              <w:t>Información digital sobre secuencias de recursos genéticos</w:t>
            </w:r>
          </w:p>
        </w:tc>
        <w:tc>
          <w:tcPr>
            <w:tcW w:w="0" w:type="auto"/>
            <w:vAlign w:val="bottom"/>
          </w:tcPr>
          <w:p w14:paraId="74959760" w14:textId="55E58D43" w:rsidR="006D2ABA" w:rsidRPr="00C538F0" w:rsidRDefault="006D2ABA" w:rsidP="00B33B1E">
            <w:pPr>
              <w:jc w:val="right"/>
              <w:rPr>
                <w:rFonts w:cs="Times New Roman"/>
                <w:sz w:val="20"/>
                <w:szCs w:val="20"/>
              </w:rPr>
            </w:pPr>
            <w:r w:rsidRPr="00C538F0">
              <w:rPr>
                <w:color w:val="000000"/>
                <w:sz w:val="20"/>
                <w:szCs w:val="20"/>
              </w:rPr>
              <w:t xml:space="preserve">1 569,40 </w:t>
            </w:r>
          </w:p>
        </w:tc>
      </w:tr>
      <w:tr w:rsidR="005F7E0B" w:rsidRPr="00C538F0" w14:paraId="7058F5C8" w14:textId="77777777" w:rsidTr="005F7E0B">
        <w:tc>
          <w:tcPr>
            <w:tcW w:w="0" w:type="auto"/>
            <w:vAlign w:val="bottom"/>
          </w:tcPr>
          <w:p w14:paraId="66AF099D" w14:textId="5E7B9A1C" w:rsidR="006D2ABA" w:rsidRPr="00C538F0" w:rsidRDefault="006D2ABA" w:rsidP="006D2ABA">
            <w:pPr>
              <w:rPr>
                <w:rFonts w:cs="Times New Roman"/>
                <w:sz w:val="20"/>
                <w:szCs w:val="20"/>
              </w:rPr>
            </w:pPr>
            <w:r w:rsidRPr="00C538F0">
              <w:rPr>
                <w:color w:val="000000"/>
                <w:sz w:val="20"/>
                <w:szCs w:val="20"/>
              </w:rPr>
              <w:t>Movilización de recursos</w:t>
            </w:r>
          </w:p>
        </w:tc>
        <w:tc>
          <w:tcPr>
            <w:tcW w:w="0" w:type="auto"/>
            <w:vAlign w:val="bottom"/>
          </w:tcPr>
          <w:p w14:paraId="6410B768" w14:textId="47E16333" w:rsidR="006D2ABA" w:rsidRPr="00C538F0" w:rsidRDefault="006D2ABA" w:rsidP="00B33B1E">
            <w:pPr>
              <w:jc w:val="right"/>
              <w:rPr>
                <w:rFonts w:cs="Times New Roman"/>
                <w:sz w:val="20"/>
                <w:szCs w:val="20"/>
              </w:rPr>
            </w:pPr>
            <w:r w:rsidRPr="00C538F0">
              <w:rPr>
                <w:color w:val="000000"/>
                <w:sz w:val="20"/>
                <w:szCs w:val="20"/>
              </w:rPr>
              <w:t xml:space="preserve">706,20 </w:t>
            </w:r>
          </w:p>
        </w:tc>
      </w:tr>
      <w:tr w:rsidR="005F7E0B" w:rsidRPr="00C538F0" w14:paraId="12F9799D" w14:textId="77777777" w:rsidTr="005F7E0B">
        <w:tc>
          <w:tcPr>
            <w:tcW w:w="0" w:type="auto"/>
            <w:tcBorders>
              <w:bottom w:val="single" w:sz="12" w:space="0" w:color="auto"/>
            </w:tcBorders>
            <w:vAlign w:val="bottom"/>
          </w:tcPr>
          <w:p w14:paraId="4AACADCA" w14:textId="46D40F8B" w:rsidR="006D2ABA" w:rsidRPr="00C538F0" w:rsidRDefault="006D2ABA" w:rsidP="006D2ABA">
            <w:pPr>
              <w:rPr>
                <w:rFonts w:cs="Times New Roman"/>
                <w:sz w:val="20"/>
                <w:szCs w:val="20"/>
              </w:rPr>
            </w:pPr>
            <w:r w:rsidRPr="00C538F0">
              <w:rPr>
                <w:color w:val="000000"/>
                <w:sz w:val="20"/>
                <w:szCs w:val="20"/>
              </w:rPr>
              <w:t>Diversidad biológica marina y costera</w:t>
            </w:r>
          </w:p>
        </w:tc>
        <w:tc>
          <w:tcPr>
            <w:tcW w:w="0" w:type="auto"/>
            <w:tcBorders>
              <w:bottom w:val="single" w:sz="12" w:space="0" w:color="auto"/>
            </w:tcBorders>
            <w:vAlign w:val="bottom"/>
          </w:tcPr>
          <w:p w14:paraId="5D9407BB" w14:textId="6C6F6FD3" w:rsidR="006D2ABA" w:rsidRPr="00C538F0" w:rsidRDefault="006D2ABA" w:rsidP="00B33B1E">
            <w:pPr>
              <w:jc w:val="right"/>
              <w:rPr>
                <w:rFonts w:cs="Times New Roman"/>
                <w:sz w:val="20"/>
                <w:szCs w:val="20"/>
              </w:rPr>
            </w:pPr>
            <w:r w:rsidRPr="00C538F0">
              <w:rPr>
                <w:color w:val="000000"/>
                <w:sz w:val="20"/>
                <w:szCs w:val="20"/>
              </w:rPr>
              <w:t xml:space="preserve">956,00 </w:t>
            </w:r>
          </w:p>
        </w:tc>
      </w:tr>
      <w:tr w:rsidR="005F7E0B" w:rsidRPr="00C538F0" w14:paraId="6A17EDC3" w14:textId="77777777" w:rsidTr="005F7E0B">
        <w:tc>
          <w:tcPr>
            <w:tcW w:w="0" w:type="auto"/>
            <w:tcBorders>
              <w:top w:val="single" w:sz="12" w:space="0" w:color="auto"/>
              <w:bottom w:val="single" w:sz="12" w:space="0" w:color="auto"/>
            </w:tcBorders>
            <w:vAlign w:val="bottom"/>
          </w:tcPr>
          <w:p w14:paraId="2CEF0E80" w14:textId="6F1FBA6F" w:rsidR="006D2ABA" w:rsidRPr="00C538F0" w:rsidRDefault="002B7FF0" w:rsidP="006D2ABA">
            <w:pPr>
              <w:rPr>
                <w:rFonts w:cs="Times New Roman"/>
                <w:sz w:val="20"/>
                <w:szCs w:val="20"/>
              </w:rPr>
            </w:pPr>
            <w:r w:rsidRPr="00C538F0">
              <w:rPr>
                <w:b/>
                <w:bCs/>
                <w:color w:val="000000"/>
                <w:sz w:val="20"/>
                <w:szCs w:val="20"/>
              </w:rPr>
              <w:tab/>
              <w:t>Total</w:t>
            </w:r>
          </w:p>
        </w:tc>
        <w:tc>
          <w:tcPr>
            <w:tcW w:w="0" w:type="auto"/>
            <w:tcBorders>
              <w:top w:val="single" w:sz="12" w:space="0" w:color="auto"/>
              <w:bottom w:val="single" w:sz="12" w:space="0" w:color="auto"/>
            </w:tcBorders>
            <w:vAlign w:val="bottom"/>
          </w:tcPr>
          <w:p w14:paraId="6A0C0490" w14:textId="602F024C" w:rsidR="006D2ABA" w:rsidRPr="00C538F0" w:rsidRDefault="006D2ABA" w:rsidP="00B33B1E">
            <w:pPr>
              <w:jc w:val="right"/>
              <w:rPr>
                <w:rFonts w:cs="Times New Roman"/>
                <w:sz w:val="20"/>
                <w:szCs w:val="20"/>
              </w:rPr>
            </w:pPr>
            <w:r w:rsidRPr="00C538F0">
              <w:rPr>
                <w:b/>
                <w:bCs/>
                <w:color w:val="000000"/>
                <w:sz w:val="20"/>
                <w:szCs w:val="20"/>
              </w:rPr>
              <w:t>7 273,30</w:t>
            </w:r>
          </w:p>
        </w:tc>
      </w:tr>
    </w:tbl>
    <w:p w14:paraId="78244C59" w14:textId="0CE9BE85" w:rsidR="000D4DA8" w:rsidRPr="00C538F0" w:rsidRDefault="000D4DA8" w:rsidP="00B33B1E">
      <w:pPr>
        <w:pStyle w:val="Heading2"/>
        <w:numPr>
          <w:ilvl w:val="0"/>
          <w:numId w:val="11"/>
        </w:numPr>
        <w:suppressLineNumbers/>
        <w:suppressAutoHyphens/>
        <w:kinsoku w:val="0"/>
        <w:overflowPunct w:val="0"/>
        <w:autoSpaceDE w:val="0"/>
        <w:autoSpaceDN w:val="0"/>
        <w:adjustRightInd w:val="0"/>
        <w:snapToGrid w:val="0"/>
        <w:spacing w:before="240"/>
        <w:ind w:left="567" w:hanging="567"/>
        <w:jc w:val="left"/>
        <w:rPr>
          <w:rFonts w:eastAsia="Malgun Gothic"/>
          <w:iCs/>
          <w:snapToGrid w:val="0"/>
          <w:kern w:val="22"/>
          <w:szCs w:val="22"/>
        </w:rPr>
      </w:pPr>
      <w:r w:rsidRPr="00C538F0">
        <w:t>Fondo fiduciario general (</w:t>
      </w:r>
      <w:proofErr w:type="spellStart"/>
      <w:r w:rsidRPr="00C538F0">
        <w:t>VB</w:t>
      </w:r>
      <w:proofErr w:type="spellEnd"/>
      <w:r w:rsidRPr="00C538F0">
        <w:t>) para contribuciones voluntarias a fin de facilitar la participación de los pueblos indígenas y las comunidades locales para el período 2023–2024</w:t>
      </w:r>
    </w:p>
    <w:p w14:paraId="2EDEEB40" w14:textId="058C5E55" w:rsidR="000D4DA8" w:rsidRPr="00C538F0" w:rsidRDefault="000D4DA8" w:rsidP="00FE7DD7">
      <w:pPr>
        <w:pStyle w:val="Para10"/>
      </w:pPr>
      <w:r w:rsidRPr="00C538F0">
        <w:t xml:space="preserve">La Conferencia de las Partes y la Conferencia de las Partes que actúa como reuniones de las Partes en los Protocolos reconocieron las estimaciones de financiación de 895 400 dólares de los Estados Unidos para el fondo fiduciario general (fondo fiduciario </w:t>
      </w:r>
      <w:proofErr w:type="spellStart"/>
      <w:r w:rsidRPr="00C538F0">
        <w:t>VB</w:t>
      </w:r>
      <w:proofErr w:type="spellEnd"/>
      <w:r w:rsidRPr="00C538F0">
        <w:t xml:space="preserve">) </w:t>
      </w:r>
      <w:r w:rsidR="001E658D">
        <w:t>para</w:t>
      </w:r>
      <w:r w:rsidRPr="00C538F0">
        <w:t xml:space="preserve"> contribuciones voluntarias </w:t>
      </w:r>
      <w:r w:rsidR="001E658D">
        <w:t>a fin de</w:t>
      </w:r>
      <w:r w:rsidRPr="00C538F0">
        <w:t xml:space="preserve"> facilitar la participación de los pueblos indígenas y las comunidades locales para el período 2023–2024.</w:t>
      </w:r>
    </w:p>
    <w:p w14:paraId="38F3D3E9" w14:textId="58033B0C" w:rsidR="000D4DA8" w:rsidRPr="00C538F0" w:rsidRDefault="009F43A8" w:rsidP="00FE7DD7">
      <w:pPr>
        <w:pStyle w:val="Para10"/>
      </w:pPr>
      <w:r w:rsidRPr="00C538F0">
        <w:t xml:space="preserve">Cuando se presentó esta información, la Secretaría había recibido contribuciones por un total de 344 000 dólares para el bienio en curso. Las contribuciones facilitaron los viajes de 48 participantes de pueblos indígenas y comunidades locales para asistir a la 25ª reunión del Órgano Subsidiario de Asesoramiento Científico, Técnico y Tecnológico, la reanudación de las segundas partes de la 15ª reunión de la Conferencia de las Partes en el Convenio, la décima reunión de la Conferencia de las Partes que actúa como reunión de las Partes en el Protocolo de Cartagena y la cuarta reunión de la Conferencia de las Partes que actúa como reunión de las Partes en el Protocolo de Nagoya, la 12ª reunión del Grupo de Trabajo sobre el Artículo 8 j) y Disposiciones Conexas, la primera reunión del Grupo de Trabajo Especial de Composición Abierta sobre Participación en los Beneficios que se Deriven de la Utilización de Información Digital sobre Secuencias de Recursos Genéticos, la 26ª reunión del Órgano Subsidiario de Asesoramiento Científico, Técnico y Tecnológico y la cuarta reunión del Órgano Subsidiario sobre la Aplicación. </w:t>
      </w:r>
    </w:p>
    <w:p w14:paraId="3A14025B" w14:textId="669A04C6" w:rsidR="000D4DA8" w:rsidRPr="00C538F0" w:rsidRDefault="000D4DA8" w:rsidP="00FE7DD7">
      <w:pPr>
        <w:pStyle w:val="Heading2"/>
        <w:numPr>
          <w:ilvl w:val="0"/>
          <w:numId w:val="11"/>
        </w:numPr>
        <w:suppressLineNumbers/>
        <w:suppressAutoHyphens/>
        <w:kinsoku w:val="0"/>
        <w:overflowPunct w:val="0"/>
        <w:autoSpaceDE w:val="0"/>
        <w:autoSpaceDN w:val="0"/>
        <w:adjustRightInd w:val="0"/>
        <w:snapToGrid w:val="0"/>
        <w:ind w:left="567" w:hanging="567"/>
        <w:jc w:val="left"/>
        <w:rPr>
          <w:rFonts w:eastAsia="Malgun Gothic"/>
          <w:iCs/>
          <w:snapToGrid w:val="0"/>
          <w:kern w:val="22"/>
          <w:szCs w:val="22"/>
        </w:rPr>
      </w:pPr>
      <w:r w:rsidRPr="00C538F0">
        <w:t>Fondo fiduciario voluntario especial para facilitar la participación de las Partes en el proceso del Convenio para el período 2023–2024</w:t>
      </w:r>
    </w:p>
    <w:p w14:paraId="1BB3595B" w14:textId="6919A385" w:rsidR="00446A0E" w:rsidRPr="00C538F0" w:rsidRDefault="000D4DA8" w:rsidP="00FE7DD7">
      <w:pPr>
        <w:pStyle w:val="Para10"/>
      </w:pPr>
      <w:r w:rsidRPr="00C538F0">
        <w:t xml:space="preserve">La Conferencia de las Partes en el Convenio y la Conferencia de las Partes que actúa como reuniones de las Partes en los Protocolos reconocieron las estimaciones de financiación de 8 604 400 dólares de los Estados Unidos para el fondo fiduciario voluntario especial (fondo fiduciario </w:t>
      </w:r>
      <w:proofErr w:type="spellStart"/>
      <w:r w:rsidRPr="00C538F0">
        <w:t>BZ</w:t>
      </w:r>
      <w:proofErr w:type="spellEnd"/>
      <w:r w:rsidRPr="00C538F0">
        <w:t xml:space="preserve">) </w:t>
      </w:r>
      <w:r w:rsidR="005E325D">
        <w:t>a fin de</w:t>
      </w:r>
      <w:r w:rsidRPr="00C538F0">
        <w:t xml:space="preserve"> facilitar la participación de las Partes en el proceso del Convenio para el período 2023–2024. Cuando se presentó esta información, la Secretaría había recibido contribuciones por un total de 1,6 millones de dólares para el bienio en curso. Se había gastado la suma de 2,1 millones de dólares para financiar la participación de 430 delegados (de 520 solicitudes de financiación presentadas a la Secretaría) de países en desarrollo para asistir a la 25ª reunión del Órgano Subsidiario de Asesoramiento Científico, Técnico y Tecnológico, la reanudación de las segundas partes de la 15ª reunión de la Conferencia de las Partes en el Convenio, la décima reunión de la Conferencia de las </w:t>
      </w:r>
      <w:r w:rsidRPr="00C538F0">
        <w:lastRenderedPageBreak/>
        <w:t xml:space="preserve">Partes que actúa como reunión de las Partes en el Protocolo de Cartagena y la cuarta reunión de la Conferencia de las Partes que actúa como reunión de las Partes en el Protocolo de Nagoya, la 12ª reunión del Grupo de Trabajo sobre el Artículo 8 j) y Disposiciones Conexas, la primera reunión del Grupo de Trabajo Especial de Composición Abierta sobre Participación en los Beneficios que se Deriven de la Utilización de Información Digital sobre Secuencias de Recursos Genéticos, la 26ª reunión del Órgano Subsidiario de Asesoramiento Científico, Técnico y Tecnológico y la cuarta reunión del Órgano Subsidiario sobre la Aplicación. De conformidad con el procedimiento para la asignación de fondos del fondo fiduciario </w:t>
      </w:r>
      <w:proofErr w:type="spellStart"/>
      <w:r w:rsidRPr="00C538F0">
        <w:t>BZ</w:t>
      </w:r>
      <w:proofErr w:type="spellEnd"/>
      <w:r w:rsidRPr="00C538F0">
        <w:t xml:space="preserve"> adoptado por la Conferencia de las Partes en su novena reunión (decisión </w:t>
      </w:r>
      <w:hyperlink r:id="rId15" w:history="1">
        <w:r w:rsidRPr="00C538F0">
          <w:rPr>
            <w:rStyle w:val="Hyperlink"/>
            <w:sz w:val="22"/>
          </w:rPr>
          <w:t>IX/34</w:t>
        </w:r>
      </w:hyperlink>
      <w:r w:rsidRPr="00C538F0">
        <w:t>, párr. 31), se dio prioridad a financiar la participación de delegados de los países menos adelantados y los pequeños Estados insulares en desarrollo.</w:t>
      </w:r>
    </w:p>
    <w:p w14:paraId="14C9C4DE" w14:textId="59BD50BB" w:rsidR="00C15351" w:rsidRPr="00C538F0" w:rsidRDefault="005E7C3D" w:rsidP="00FE7DD7">
      <w:pPr>
        <w:pStyle w:val="Para10"/>
        <w:rPr>
          <w:kern w:val="22"/>
        </w:rPr>
      </w:pPr>
      <w:r w:rsidRPr="00C538F0">
        <w:t>Se necesitan recursos adicionales para facilitar la participación de las Partes que son países en desarrollo en la segunda reunión del Grupo de Trabajo Especial de Composición Abierta sobre Participación en los Beneficios que se Deriven de la Utilización de Información Digital sobre Secuencias de Recursos Genéticos, la 16ª reunión de la Conferencia de las Partes en el Convenio, la 11ª reunión de la Conferencia de las Partes que actúa como reunión de las Partes en el Protocolo de Cartagena y la quinta reunión de la Conferencia de las Partes que actúa como reunión de las Partes en el Protocolo de Nagoya.</w:t>
      </w:r>
    </w:p>
    <w:p w14:paraId="430C3A75" w14:textId="61332924" w:rsidR="00573190" w:rsidRPr="00C538F0" w:rsidRDefault="00765C17" w:rsidP="00FE7DD7">
      <w:pPr>
        <w:pStyle w:val="Para10"/>
      </w:pPr>
      <w:r w:rsidRPr="00C538F0">
        <w:t xml:space="preserve">El 24 de abril de 2024, la Secretaría envió una carta a todas las Partes para solicitar contribuciones adicionales con el fin de reponer el fondo fiduciario </w:t>
      </w:r>
      <w:proofErr w:type="spellStart"/>
      <w:r w:rsidRPr="00C538F0">
        <w:t>BZ</w:t>
      </w:r>
      <w:proofErr w:type="spellEnd"/>
      <w:r w:rsidRPr="00C538F0">
        <w:t xml:space="preserve"> para permitir la participación plena y efectiva de las Partes que son países en desarrollo, en particular los países menos adelantados y los pequeños Estados insulares en desarrollo, así como los países con economías en transición, en dichas reuniones. </w:t>
      </w:r>
    </w:p>
    <w:p w14:paraId="21964E72" w14:textId="4E499863" w:rsidR="00355F2A" w:rsidRPr="00C538F0" w:rsidRDefault="00355F2A" w:rsidP="00355F2A">
      <w:pPr>
        <w:pStyle w:val="Heading1"/>
        <w:numPr>
          <w:ilvl w:val="0"/>
          <w:numId w:val="6"/>
        </w:numPr>
        <w:suppressLineNumbers/>
        <w:tabs>
          <w:tab w:val="left" w:pos="567"/>
        </w:tabs>
        <w:suppressAutoHyphens/>
        <w:kinsoku w:val="0"/>
        <w:overflowPunct w:val="0"/>
        <w:autoSpaceDE w:val="0"/>
        <w:autoSpaceDN w:val="0"/>
        <w:adjustRightInd w:val="0"/>
        <w:snapToGrid w:val="0"/>
        <w:ind w:left="0" w:firstLine="0"/>
        <w:rPr>
          <w:rFonts w:eastAsia="Times New Roman Bold"/>
          <w:b w:val="0"/>
          <w:caps/>
          <w:snapToGrid w:val="0"/>
          <w:kern w:val="22"/>
          <w:szCs w:val="22"/>
        </w:rPr>
      </w:pPr>
      <w:r w:rsidRPr="00C538F0">
        <w:rPr>
          <w:snapToGrid w:val="0"/>
          <w:szCs w:val="22"/>
        </w:rPr>
        <w:t>Otros asuntos</w:t>
      </w:r>
    </w:p>
    <w:p w14:paraId="749CA678" w14:textId="2D240D6E" w:rsidR="000D4DA8" w:rsidRPr="00C538F0" w:rsidRDefault="00217EFF" w:rsidP="00FE7DD7">
      <w:pPr>
        <w:pStyle w:val="Heading2"/>
        <w:rPr>
          <w:snapToGrid w:val="0"/>
        </w:rPr>
      </w:pPr>
      <w:r w:rsidRPr="00C538F0">
        <w:rPr>
          <w:snapToGrid w:val="0"/>
        </w:rPr>
        <w:t>A.</w:t>
      </w:r>
      <w:r w:rsidRPr="00C538F0">
        <w:rPr>
          <w:snapToGrid w:val="0"/>
        </w:rPr>
        <w:tab/>
        <w:t xml:space="preserve">Presupuestación basada en los resultados </w:t>
      </w:r>
    </w:p>
    <w:p w14:paraId="34493B37" w14:textId="60D324CB" w:rsidR="00B627F8" w:rsidRPr="00C538F0" w:rsidRDefault="00B627F8" w:rsidP="00FE7DD7">
      <w:pPr>
        <w:pStyle w:val="Para10"/>
      </w:pPr>
      <w:r w:rsidRPr="00C538F0">
        <w:t xml:space="preserve">En respuesta a un pedido de la Conferencia de las Partes en su decisión </w:t>
      </w:r>
      <w:hyperlink r:id="rId16" w:history="1">
        <w:r w:rsidRPr="00C538F0">
          <w:rPr>
            <w:rStyle w:val="Hyperlink"/>
            <w:sz w:val="22"/>
          </w:rPr>
          <w:t>14/37</w:t>
        </w:r>
      </w:hyperlink>
      <w:r w:rsidRPr="00C538F0">
        <w:t xml:space="preserve"> y a las recomendaciones de auditoría, la Secretaría ha desarrollado un marco basado en los resultados para su programación de trabajo y presupuestación. El marco se ha introducido gradualmente desde principios de 2023 con el objetivo de que esté plenamente operativo durante el bienio 2025–2026. Se actualizará periódicamente, sobre todo después de reuniones importantes, para </w:t>
      </w:r>
      <w:r w:rsidR="00B67CFB">
        <w:t>asegurar</w:t>
      </w:r>
      <w:r w:rsidRPr="00C538F0">
        <w:t xml:space="preserve"> que la planificación </w:t>
      </w:r>
      <w:r w:rsidR="002B2831">
        <w:t>sea coherente y se ajuste</w:t>
      </w:r>
      <w:r w:rsidRPr="00C538F0">
        <w:t xml:space="preserve"> a las decisiones de la Conferencia de las Partes en el Convenio y de la Conferencia de las Partes que actúa como reuniones de las Partes en los Protocolos. Se espera que el marco oriente a la Secretaría a la hora de determinar sus necesidades de recursos y optimizar aún más el uso de los fondos voluntarios para la consecución de resultados.</w:t>
      </w:r>
    </w:p>
    <w:p w14:paraId="267AA3C7" w14:textId="199A6C5C" w:rsidR="000922C7" w:rsidRPr="00C538F0" w:rsidRDefault="00B627F8" w:rsidP="00FE7DD7">
      <w:pPr>
        <w:pStyle w:val="Para10"/>
      </w:pPr>
      <w:r w:rsidRPr="00C538F0">
        <w:t xml:space="preserve">La Secretaría ha comenzado a utilizar el marco basado en los resultados para </w:t>
      </w:r>
      <w:r w:rsidR="00EF0A5E">
        <w:t>asegurar</w:t>
      </w:r>
      <w:r w:rsidRPr="00C538F0">
        <w:t xml:space="preserve"> la implementación optimizada de sus actividades y de los fondos voluntarios. El marco también permitirá a la Secretaría hacer un seguimiento de la implementación de sus actividades e informar sobre los resultados de manera eficaz. </w:t>
      </w:r>
    </w:p>
    <w:p w14:paraId="71C75630" w14:textId="666686D3" w:rsidR="00B21730" w:rsidRPr="00C538F0" w:rsidRDefault="00A77A1F" w:rsidP="00FE7DD7">
      <w:pPr>
        <w:pStyle w:val="Heading2"/>
      </w:pPr>
      <w:r w:rsidRPr="00C538F0">
        <w:t>B.</w:t>
      </w:r>
      <w:r w:rsidRPr="00C538F0">
        <w:tab/>
        <w:t>Introducción de una nueva herramienta de seguimiento de programas</w:t>
      </w:r>
    </w:p>
    <w:p w14:paraId="03ECB7B6" w14:textId="0BEF5B55" w:rsidR="007C1562" w:rsidRPr="00C538F0" w:rsidRDefault="007C1562" w:rsidP="00FE7DD7">
      <w:pPr>
        <w:pStyle w:val="Para10"/>
        <w:rPr>
          <w:color w:val="505A7E"/>
        </w:rPr>
      </w:pPr>
      <w:r w:rsidRPr="00C538F0">
        <w:t>La Secretaría de las Naciones Unidas ha introducido la solución integrada de planificación, gestión y presentación de informes, en consonancia con la visión del Secretario General de las Naciones Unidas de una Secretaría de las Naciones Unidas más ágil y descentralizada. En su resolución 74/271 sobre los progresos en el establecimiento de un sistema de rendición de cuentas en la Secretaría de las Naciones Unidas, la Asamblea General pidió al Secretario General que prosiguiera sus esfuerzos dirigidos a reforzar la implementación de la gestión basada en los resultados. La solución se ha creado para facilitar la implementación de proyectos basados en los resultados siguiendo el enfoque del marco lógico, de conformidad con los principios de gestión basada en los resultados, y apoyará el compromiso y los esfuerzos del Secretario General para implementar una cultura de gestión basada en los resultados.</w:t>
      </w:r>
    </w:p>
    <w:p w14:paraId="37B09BB0" w14:textId="130B3A16" w:rsidR="00DD7270" w:rsidRPr="00C538F0" w:rsidRDefault="007C1562" w:rsidP="00FE7DD7">
      <w:pPr>
        <w:pStyle w:val="Para10"/>
      </w:pPr>
      <w:r w:rsidRPr="00C538F0">
        <w:lastRenderedPageBreak/>
        <w:t xml:space="preserve">En marzo de 2024, el PNUMA realizó una sesión de capacitación, organizada por la Secretaría del Convenio, sobre la solución integrada de planificación, gestión y presentación de informes para las secretarías de los acuerdos ambientales multilaterales administrados por el PNUMA, en apoyo de su transición a la solución. La Secretaría del Convenio ha iniciado el despliegue del nuevo sistema y lo utilizará para la gestión de su programa de trabajo. La solución apoyará y reforzará la implementación del marco basado en los resultados de la Secretaría. </w:t>
      </w:r>
    </w:p>
    <w:p w14:paraId="5190A93D" w14:textId="1390DEE8" w:rsidR="000D4DA8" w:rsidRPr="00C538F0" w:rsidRDefault="003242B6" w:rsidP="00FE7DD7">
      <w:pPr>
        <w:pStyle w:val="Heading2"/>
        <w:rPr>
          <w:snapToGrid w:val="0"/>
          <w:highlight w:val="yellow"/>
          <w:u w:val="single"/>
        </w:rPr>
      </w:pPr>
      <w:r w:rsidRPr="00C538F0">
        <w:rPr>
          <w:snapToGrid w:val="0"/>
        </w:rPr>
        <w:t>C</w:t>
      </w:r>
      <w:r w:rsidR="00D34255" w:rsidRPr="00C538F0">
        <w:rPr>
          <w:snapToGrid w:val="0"/>
        </w:rPr>
        <w:t>.</w:t>
      </w:r>
      <w:r w:rsidR="00D34255" w:rsidRPr="00C538F0">
        <w:rPr>
          <w:snapToGrid w:val="0"/>
        </w:rPr>
        <w:tab/>
        <w:t>Dotación de personal</w:t>
      </w:r>
    </w:p>
    <w:p w14:paraId="1234089F" w14:textId="04794FAD" w:rsidR="009146DF" w:rsidRPr="00C538F0" w:rsidRDefault="009146DF" w:rsidP="00FE7DD7">
      <w:pPr>
        <w:pStyle w:val="Para10"/>
        <w:rPr>
          <w:sz w:val="24"/>
        </w:rPr>
      </w:pPr>
      <w:r w:rsidRPr="00C538F0">
        <w:t>En su 15ª reunión, en el párrafo 8 de su decisión 15/34, la Conferencia de las Partes adoptó una plantilla de 53 puestos en el Cuadro Orgánico y categorías superiores y 29 puestos en el Cuadro de Servicios Generales con cargo al presupuesto básico integrado para el Convenio y sus Protocolos. Cuando se presentó esta información, había ocho puestos vacantes en el Cuadro Orgánico y categorías superiores y dos puestos vacantes en el Cuadro de Servicios Generales, para los que la contratación estaba en curso y en distintas etapas. Se espera que todos los puestos vacantes estén cubiertos a finales de 2024.</w:t>
      </w:r>
    </w:p>
    <w:p w14:paraId="782301C1" w14:textId="141A7BC7" w:rsidR="004C5AE3" w:rsidRPr="00C538F0" w:rsidRDefault="009146DF" w:rsidP="00FE7DD7">
      <w:pPr>
        <w:pStyle w:val="Para10"/>
      </w:pPr>
      <w:r w:rsidRPr="00C538F0">
        <w:t xml:space="preserve">Además de los puestos financiados con cargo al presupuesto básico integrado, hay 17 puestos (4 </w:t>
      </w:r>
      <w:r w:rsidR="00D828CD">
        <w:t>en el</w:t>
      </w:r>
      <w:r w:rsidRPr="00C538F0">
        <w:t xml:space="preserve"> Cuadro Orgánico y 13 </w:t>
      </w:r>
      <w:r w:rsidR="00D828CD">
        <w:t>en el</w:t>
      </w:r>
      <w:r w:rsidRPr="00C538F0">
        <w:t xml:space="preserve"> Cuadro de Servicios Generales) en la División de Administración, Finanzas y Servicios de Conferencias que se financian con cargo al fondo fiduciario para gastos generales del PNUMA, 5 puestos del Fondo del Japón para la Diversidad Biológica y como parte del mismo (3 </w:t>
      </w:r>
      <w:r w:rsidR="00511CF9">
        <w:t>en el</w:t>
      </w:r>
      <w:r w:rsidRPr="00C538F0">
        <w:t xml:space="preserve"> Cuadro Orgánico y 2 </w:t>
      </w:r>
      <w:r w:rsidR="00511CF9">
        <w:t>en el</w:t>
      </w:r>
      <w:r w:rsidRPr="00C538F0">
        <w:t xml:space="preserve"> Cuadro de Servicios Generales), 2 puestos </w:t>
      </w:r>
      <w:r w:rsidR="00511CF9">
        <w:t>en el</w:t>
      </w:r>
      <w:r w:rsidRPr="00C538F0">
        <w:t xml:space="preserve"> Cuadro Orgánico financiados mediante contribuciones voluntarias aportadas por la Unión Europea y 2 puestos financiados por la República de Corea a través de</w:t>
      </w:r>
      <w:r w:rsidR="00511CF9">
        <w:t xml:space="preserve"> </w:t>
      </w:r>
      <w:r w:rsidRPr="00C538F0">
        <w:t>l</w:t>
      </w:r>
      <w:r w:rsidR="00511CF9">
        <w:t>a</w:t>
      </w:r>
      <w:r w:rsidRPr="00C538F0">
        <w:t xml:space="preserve"> Iniciativa </w:t>
      </w:r>
      <w:proofErr w:type="spellStart"/>
      <w:r w:rsidRPr="00C538F0">
        <w:t>Bio</w:t>
      </w:r>
      <w:proofErr w:type="spellEnd"/>
      <w:r w:rsidRPr="00C538F0">
        <w:t xml:space="preserve">-Bridge (1 </w:t>
      </w:r>
      <w:r w:rsidR="00A66A5B">
        <w:t>en el</w:t>
      </w:r>
      <w:r w:rsidRPr="00C538F0">
        <w:t xml:space="preserve"> Cuadro Orgánico y 1 </w:t>
      </w:r>
      <w:r w:rsidR="00A66A5B">
        <w:t>en el</w:t>
      </w:r>
      <w:r w:rsidRPr="00C538F0">
        <w:t xml:space="preserve"> Cuadro de Servicios Generales). La República de Corea también financia directamente a un experto profesional en misión.</w:t>
      </w:r>
    </w:p>
    <w:p w14:paraId="11F8F3E2" w14:textId="2F09F64D" w:rsidR="009146DF" w:rsidRPr="00C538F0" w:rsidRDefault="00C72465" w:rsidP="00FE7DD7">
      <w:pPr>
        <w:pStyle w:val="Para10"/>
      </w:pPr>
      <w:r w:rsidRPr="00C538F0">
        <w:t xml:space="preserve">Además, tres </w:t>
      </w:r>
      <w:r w:rsidR="005F4D08" w:rsidRPr="00C538F0">
        <w:t xml:space="preserve">Oficiales Subalternos </w:t>
      </w:r>
      <w:r w:rsidRPr="00C538F0">
        <w:t xml:space="preserve">del Cuadro Orgánico patrocinados por el Gobierno del Japón (dos) y el Gobierno de Italia (uno) están apoyando actualmente a la Secretaría en la </w:t>
      </w:r>
      <w:r w:rsidR="007C0A2C" w:rsidRPr="00C538F0">
        <w:t>implementación</w:t>
      </w:r>
      <w:r w:rsidRPr="00C538F0">
        <w:t xml:space="preserve"> del programa de trabajo.</w:t>
      </w:r>
    </w:p>
    <w:p w14:paraId="7B3DF6CA" w14:textId="09083359" w:rsidR="00D44AAB" w:rsidRPr="00C538F0" w:rsidRDefault="00E71B75" w:rsidP="00FE7DD7">
      <w:pPr>
        <w:pStyle w:val="Para10"/>
        <w:rPr>
          <w:szCs w:val="22"/>
        </w:rPr>
      </w:pPr>
      <w:r w:rsidRPr="00C538F0">
        <w:t xml:space="preserve">Al 29 de febrero de 2024, la Secretaría había utilizado los servicios de 43 consultores y contratistas individuales durante el bienio, financiados principalmente con contribuciones voluntarias, como recursos adicionales para </w:t>
      </w:r>
      <w:r w:rsidR="007C0A2C" w:rsidRPr="00C538F0">
        <w:t>implementar</w:t>
      </w:r>
      <w:r w:rsidRPr="00C538F0">
        <w:t xml:space="preserve"> el programa de trabajo y gestionar las necesidades de personal a corto plazo.</w:t>
      </w:r>
    </w:p>
    <w:p w14:paraId="219C01F8" w14:textId="4FCD4632" w:rsidR="00447848" w:rsidRPr="00C538F0" w:rsidRDefault="00BE19E9" w:rsidP="00FE7DD7">
      <w:pPr>
        <w:pStyle w:val="Para10"/>
      </w:pPr>
      <w:r w:rsidRPr="00C538F0">
        <w:t xml:space="preserve">El proceso para la contratación de la Secretaria Ejecutiva estuvo a cargo del PNUMA, y el Secretario General designó a Astrid </w:t>
      </w:r>
      <w:proofErr w:type="spellStart"/>
      <w:r w:rsidRPr="00C538F0">
        <w:t>Schomaker</w:t>
      </w:r>
      <w:proofErr w:type="spellEnd"/>
      <w:r w:rsidRPr="00C538F0">
        <w:t xml:space="preserve"> como Secretaria Ejecutiva el 2 de abril de 2024. Se espera que la nueva Secretaria Ejecutiva tome posesión de su cargo en las próximas semanas.</w:t>
      </w:r>
    </w:p>
    <w:p w14:paraId="5B739F14" w14:textId="71ED18B7" w:rsidR="005C48E8" w:rsidRPr="00C538F0" w:rsidRDefault="00447848" w:rsidP="00B33B1E">
      <w:pPr>
        <w:pStyle w:val="Para10"/>
        <w:rPr>
          <w:color w:val="201F1E"/>
          <w:kern w:val="22"/>
          <w:szCs w:val="22"/>
        </w:rPr>
      </w:pPr>
      <w:r w:rsidRPr="00C538F0">
        <w:t>En su decisión 15/34, la Conferencia de las Partes pidió a la Secretaria Ejecutiva que realizara una revisión funcional externa detallada de la estructura de la Secretaría, con miras a actualizar su estructura y puestos a la luz del Marco Mundial de Biodiversidad de Kunming-Montreal, para su consideración por la Conferencia de las Partes en su 16ª reunión. Debido a la gran carga de trabajo, las limitaciones de capacidad y el prolongado proceso de contratación de la Secretaria Ejecutiva, así como a la incertidumbre en cuanto a su cronograma, la revisión funcional aún no se ha llevado a cabo.</w:t>
      </w:r>
    </w:p>
    <w:p w14:paraId="751E67A1" w14:textId="5A1E5FB5" w:rsidR="00165403" w:rsidRPr="00C538F0" w:rsidRDefault="00B43012" w:rsidP="00BF6BF7">
      <w:pPr>
        <w:pStyle w:val="ListParagraph"/>
        <w:suppressLineNumbers/>
        <w:suppressAutoHyphens/>
        <w:kinsoku w:val="0"/>
        <w:overflowPunct w:val="0"/>
        <w:autoSpaceDE w:val="0"/>
        <w:autoSpaceDN w:val="0"/>
        <w:adjustRightInd w:val="0"/>
        <w:snapToGrid w:val="0"/>
        <w:spacing w:before="120" w:after="120"/>
        <w:ind w:left="0"/>
        <w:contextualSpacing w:val="0"/>
        <w:jc w:val="center"/>
        <w:rPr>
          <w:snapToGrid w:val="0"/>
          <w:kern w:val="22"/>
          <w:szCs w:val="22"/>
        </w:rPr>
      </w:pPr>
      <w:r w:rsidRPr="00C538F0">
        <w:rPr>
          <w:snapToGrid w:val="0"/>
          <w:szCs w:val="22"/>
        </w:rPr>
        <w:t>__________</w:t>
      </w:r>
    </w:p>
    <w:sectPr w:rsidR="00165403" w:rsidRPr="00C538F0" w:rsidSect="000F7ADD">
      <w:headerReference w:type="even" r:id="rId17"/>
      <w:head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7F063" w14:textId="77777777" w:rsidR="00052607" w:rsidRDefault="00052607">
      <w:r>
        <w:separator/>
      </w:r>
    </w:p>
  </w:endnote>
  <w:endnote w:type="continuationSeparator" w:id="0">
    <w:p w14:paraId="62B5DF13" w14:textId="77777777" w:rsidR="00052607" w:rsidRDefault="00052607">
      <w:r>
        <w:continuationSeparator/>
      </w:r>
    </w:p>
  </w:endnote>
  <w:endnote w:type="continuationNotice" w:id="1">
    <w:p w14:paraId="6BCF0AA9" w14:textId="77777777" w:rsidR="00052607" w:rsidRDefault="000526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7A42F" w14:textId="77777777" w:rsidR="00052607" w:rsidRDefault="00052607">
      <w:r>
        <w:separator/>
      </w:r>
    </w:p>
  </w:footnote>
  <w:footnote w:type="continuationSeparator" w:id="0">
    <w:p w14:paraId="0B17D9EC" w14:textId="77777777" w:rsidR="00052607" w:rsidRDefault="00052607">
      <w:r>
        <w:continuationSeparator/>
      </w:r>
    </w:p>
  </w:footnote>
  <w:footnote w:type="continuationNotice" w:id="1">
    <w:p w14:paraId="58F93504" w14:textId="77777777" w:rsidR="00052607" w:rsidRDefault="00052607"/>
  </w:footnote>
  <w:footnote w:id="2">
    <w:p w14:paraId="77ADD0F3" w14:textId="407F1774" w:rsidR="00490046" w:rsidRPr="001403D2" w:rsidRDefault="00490046" w:rsidP="001F7A23">
      <w:pPr>
        <w:pStyle w:val="FootnoteText"/>
        <w:suppressLineNumbers/>
        <w:suppressAutoHyphens/>
        <w:kinsoku w:val="0"/>
        <w:overflowPunct w:val="0"/>
        <w:autoSpaceDE w:val="0"/>
        <w:autoSpaceDN w:val="0"/>
        <w:adjustRightInd w:val="0"/>
        <w:snapToGrid w:val="0"/>
        <w:jc w:val="left"/>
        <w:rPr>
          <w:snapToGrid w:val="0"/>
          <w:kern w:val="18"/>
          <w:szCs w:val="18"/>
          <w:lang w:val="pt-BR"/>
        </w:rPr>
      </w:pPr>
      <w:r w:rsidRPr="001403D2">
        <w:rPr>
          <w:rStyle w:val="FootnoteReference"/>
          <w:snapToGrid w:val="0"/>
          <w:sz w:val="18"/>
          <w:szCs w:val="18"/>
          <w:lang w:val="pt-BR"/>
        </w:rPr>
        <w:t>*</w:t>
      </w:r>
      <w:r w:rsidRPr="001403D2">
        <w:rPr>
          <w:snapToGrid w:val="0"/>
          <w:szCs w:val="18"/>
          <w:lang w:val="pt-BR"/>
        </w:rPr>
        <w:t xml:space="preserve"> </w:t>
      </w:r>
      <w:r w:rsidRPr="001403D2">
        <w:rPr>
          <w:snapToGrid w:val="0"/>
          <w:sz w:val="18"/>
          <w:szCs w:val="18"/>
          <w:lang w:val="pt-BR"/>
        </w:rPr>
        <w:t>CBD/SBI/4/1.</w:t>
      </w:r>
    </w:p>
  </w:footnote>
  <w:footnote w:id="3">
    <w:p w14:paraId="46D0ABCF" w14:textId="002D22B6" w:rsidR="00490046" w:rsidRPr="001403D2" w:rsidRDefault="00490046">
      <w:pPr>
        <w:pStyle w:val="FootnoteText"/>
        <w:rPr>
          <w:lang w:val="pt-BR"/>
        </w:rPr>
      </w:pPr>
      <w:r>
        <w:rPr>
          <w:rStyle w:val="FootnoteReference"/>
        </w:rPr>
        <w:footnoteRef/>
      </w:r>
      <w:r w:rsidRPr="001403D2">
        <w:rPr>
          <w:lang w:val="pt-BR"/>
        </w:rPr>
        <w:t xml:space="preserve"> </w:t>
      </w:r>
      <w:r w:rsidRPr="001131B7">
        <w:rPr>
          <w:sz w:val="18"/>
          <w:szCs w:val="18"/>
          <w:lang w:val="pt-BR"/>
        </w:rPr>
        <w:t xml:space="preserve">Véase </w:t>
      </w:r>
      <w:hyperlink r:id="rId1" w:history="1">
        <w:r w:rsidRPr="001131B7">
          <w:rPr>
            <w:rStyle w:val="Hyperlink"/>
            <w:rFonts w:asciiTheme="majorBidi" w:hAnsiTheme="majorBidi"/>
            <w:szCs w:val="18"/>
            <w:lang w:val="pt-BR"/>
          </w:rPr>
          <w:t>www.cbd.int/information/adm-fin/</w:t>
        </w:r>
      </w:hyperlink>
      <w:r w:rsidRPr="001131B7">
        <w:rPr>
          <w:color w:val="000000" w:themeColor="text1"/>
          <w:sz w:val="18"/>
          <w:szCs w:val="18"/>
          <w:lang w:val="pt-B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color w:val="000000"/>
        <w:kern w:val="22"/>
        <w:sz w:val="20"/>
        <w:szCs w:val="20"/>
      </w:rPr>
      <w:alias w:val="Subject"/>
      <w:tag w:val=""/>
      <w:id w:val="-1681427792"/>
      <w:placeholder>
        <w:docPart w:val="9919A4354EBC4BE1BA94F6627C7FA73F"/>
      </w:placeholder>
      <w:dataBinding w:prefixMappings="xmlns:ns0='http://purl.org/dc/elements/1.1/' xmlns:ns1='http://schemas.openxmlformats.org/package/2006/metadata/core-properties' " w:xpath="/ns1:coreProperties[1]/ns0:subject[1]" w:storeItemID="{6C3C8BC8-F283-45AE-878A-BAB7291924A1}"/>
      <w:text/>
    </w:sdtPr>
    <w:sdtEndPr/>
    <w:sdtContent>
      <w:p w14:paraId="7B0E8751" w14:textId="1B8F7FC5" w:rsidR="00490046" w:rsidRPr="00B33B1E" w:rsidRDefault="00490046" w:rsidP="00FE7DD7">
        <w:pPr>
          <w:suppressLineNumbers/>
          <w:pBdr>
            <w:bottom w:val="single" w:sz="4" w:space="1" w:color="auto"/>
          </w:pBdr>
          <w:suppressAutoHyphens/>
          <w:spacing w:after="240"/>
          <w:ind w:right="4"/>
          <w:rPr>
            <w:noProof/>
            <w:color w:val="000000"/>
            <w:kern w:val="22"/>
            <w:sz w:val="20"/>
            <w:szCs w:val="20"/>
          </w:rPr>
        </w:pPr>
        <w:r w:rsidRPr="00B33B1E">
          <w:rPr>
            <w:noProof/>
            <w:color w:val="000000"/>
            <w:kern w:val="22"/>
            <w:sz w:val="20"/>
            <w:szCs w:val="20"/>
          </w:rPr>
          <w:t>CBD/SBI/4/16</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color w:val="000000"/>
        <w:kern w:val="20"/>
        <w:sz w:val="20"/>
        <w:szCs w:val="20"/>
      </w:rPr>
      <w:alias w:val="Subject"/>
      <w:tag w:val=""/>
      <w:id w:val="-593560817"/>
      <w:placeholder>
        <w:docPart w:val="A845CFAF5A0D4443A20DDFE7D502BA94"/>
      </w:placeholder>
      <w:dataBinding w:prefixMappings="xmlns:ns0='http://purl.org/dc/elements/1.1/' xmlns:ns1='http://schemas.openxmlformats.org/package/2006/metadata/core-properties' " w:xpath="/ns1:coreProperties[1]/ns0:subject[1]" w:storeItemID="{6C3C8BC8-F283-45AE-878A-BAB7291924A1}"/>
      <w:text/>
    </w:sdtPr>
    <w:sdtEndPr/>
    <w:sdtContent>
      <w:p w14:paraId="750FF8AC" w14:textId="7A5586AC" w:rsidR="00490046" w:rsidRPr="00B33B1E" w:rsidRDefault="00490046" w:rsidP="00FE7DD7">
        <w:pPr>
          <w:suppressLineNumbers/>
          <w:pBdr>
            <w:bottom w:val="single" w:sz="4" w:space="1" w:color="auto"/>
          </w:pBdr>
          <w:suppressAutoHyphens/>
          <w:spacing w:after="240"/>
          <w:ind w:right="4"/>
          <w:jc w:val="right"/>
          <w:rPr>
            <w:noProof/>
            <w:color w:val="000000"/>
            <w:kern w:val="20"/>
            <w:sz w:val="20"/>
            <w:szCs w:val="20"/>
          </w:rPr>
        </w:pPr>
        <w:r w:rsidRPr="00B33B1E">
          <w:rPr>
            <w:noProof/>
            <w:color w:val="000000"/>
            <w:kern w:val="20"/>
            <w:sz w:val="20"/>
            <w:szCs w:val="20"/>
          </w:rPr>
          <w:t>CBD/SBI/4/16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3396"/>
    <w:multiLevelType w:val="hybridMultilevel"/>
    <w:tmpl w:val="72D843A8"/>
    <w:lvl w:ilvl="0" w:tplc="E9BA1F98">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7E3E3A"/>
    <w:multiLevelType w:val="hybridMultilevel"/>
    <w:tmpl w:val="E80CC72C"/>
    <w:lvl w:ilvl="0" w:tplc="366E62F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7B00225"/>
    <w:multiLevelType w:val="hybridMultilevel"/>
    <w:tmpl w:val="EE5E2732"/>
    <w:lvl w:ilvl="0" w:tplc="0854CD12">
      <w:start w:val="1"/>
      <w:numFmt w:val="bullet"/>
      <w:lvlText w:val=""/>
      <w:lvlJc w:val="left"/>
      <w:pPr>
        <w:ind w:left="720" w:hanging="360"/>
      </w:pPr>
      <w:rPr>
        <w:rFonts w:ascii="Symbol" w:hAnsi="Symbol"/>
      </w:rPr>
    </w:lvl>
    <w:lvl w:ilvl="1" w:tplc="ACEC571A">
      <w:start w:val="1"/>
      <w:numFmt w:val="bullet"/>
      <w:lvlText w:val=""/>
      <w:lvlJc w:val="left"/>
      <w:pPr>
        <w:ind w:left="720" w:hanging="360"/>
      </w:pPr>
      <w:rPr>
        <w:rFonts w:ascii="Symbol" w:hAnsi="Symbol"/>
      </w:rPr>
    </w:lvl>
    <w:lvl w:ilvl="2" w:tplc="F55A3D8E">
      <w:start w:val="1"/>
      <w:numFmt w:val="bullet"/>
      <w:lvlText w:val=""/>
      <w:lvlJc w:val="left"/>
      <w:pPr>
        <w:ind w:left="720" w:hanging="360"/>
      </w:pPr>
      <w:rPr>
        <w:rFonts w:ascii="Symbol" w:hAnsi="Symbol"/>
      </w:rPr>
    </w:lvl>
    <w:lvl w:ilvl="3" w:tplc="CC16F7EE">
      <w:start w:val="1"/>
      <w:numFmt w:val="bullet"/>
      <w:lvlText w:val=""/>
      <w:lvlJc w:val="left"/>
      <w:pPr>
        <w:ind w:left="720" w:hanging="360"/>
      </w:pPr>
      <w:rPr>
        <w:rFonts w:ascii="Symbol" w:hAnsi="Symbol"/>
      </w:rPr>
    </w:lvl>
    <w:lvl w:ilvl="4" w:tplc="FBA0EDA8">
      <w:start w:val="1"/>
      <w:numFmt w:val="bullet"/>
      <w:lvlText w:val=""/>
      <w:lvlJc w:val="left"/>
      <w:pPr>
        <w:ind w:left="720" w:hanging="360"/>
      </w:pPr>
      <w:rPr>
        <w:rFonts w:ascii="Symbol" w:hAnsi="Symbol"/>
      </w:rPr>
    </w:lvl>
    <w:lvl w:ilvl="5" w:tplc="E172526C">
      <w:start w:val="1"/>
      <w:numFmt w:val="bullet"/>
      <w:lvlText w:val=""/>
      <w:lvlJc w:val="left"/>
      <w:pPr>
        <w:ind w:left="720" w:hanging="360"/>
      </w:pPr>
      <w:rPr>
        <w:rFonts w:ascii="Symbol" w:hAnsi="Symbol"/>
      </w:rPr>
    </w:lvl>
    <w:lvl w:ilvl="6" w:tplc="7B88A51E">
      <w:start w:val="1"/>
      <w:numFmt w:val="bullet"/>
      <w:lvlText w:val=""/>
      <w:lvlJc w:val="left"/>
      <w:pPr>
        <w:ind w:left="720" w:hanging="360"/>
      </w:pPr>
      <w:rPr>
        <w:rFonts w:ascii="Symbol" w:hAnsi="Symbol"/>
      </w:rPr>
    </w:lvl>
    <w:lvl w:ilvl="7" w:tplc="20EA074C">
      <w:start w:val="1"/>
      <w:numFmt w:val="bullet"/>
      <w:lvlText w:val=""/>
      <w:lvlJc w:val="left"/>
      <w:pPr>
        <w:ind w:left="720" w:hanging="360"/>
      </w:pPr>
      <w:rPr>
        <w:rFonts w:ascii="Symbol" w:hAnsi="Symbol"/>
      </w:rPr>
    </w:lvl>
    <w:lvl w:ilvl="8" w:tplc="3C10BD34">
      <w:start w:val="1"/>
      <w:numFmt w:val="bullet"/>
      <w:lvlText w:val=""/>
      <w:lvlJc w:val="left"/>
      <w:pPr>
        <w:ind w:left="720" w:hanging="360"/>
      </w:pPr>
      <w:rPr>
        <w:rFonts w:ascii="Symbol" w:hAnsi="Symbol"/>
      </w:rPr>
    </w:lvl>
  </w:abstractNum>
  <w:abstractNum w:abstractNumId="5" w15:restartNumberingAfterBreak="0">
    <w:nsid w:val="180652D3"/>
    <w:multiLevelType w:val="hybridMultilevel"/>
    <w:tmpl w:val="3E62812A"/>
    <w:lvl w:ilvl="0" w:tplc="AEFC7200">
      <w:start w:val="1"/>
      <w:numFmt w:val="bullet"/>
      <w:lvlText w:val=""/>
      <w:lvlJc w:val="left"/>
      <w:pPr>
        <w:ind w:left="720" w:hanging="360"/>
      </w:pPr>
      <w:rPr>
        <w:rFonts w:ascii="Symbol" w:hAnsi="Symbol"/>
      </w:rPr>
    </w:lvl>
    <w:lvl w:ilvl="1" w:tplc="078E3188">
      <w:start w:val="1"/>
      <w:numFmt w:val="bullet"/>
      <w:lvlText w:val=""/>
      <w:lvlJc w:val="left"/>
      <w:pPr>
        <w:ind w:left="720" w:hanging="360"/>
      </w:pPr>
      <w:rPr>
        <w:rFonts w:ascii="Symbol" w:hAnsi="Symbol"/>
      </w:rPr>
    </w:lvl>
    <w:lvl w:ilvl="2" w:tplc="7C9877FA">
      <w:start w:val="1"/>
      <w:numFmt w:val="bullet"/>
      <w:lvlText w:val=""/>
      <w:lvlJc w:val="left"/>
      <w:pPr>
        <w:ind w:left="720" w:hanging="360"/>
      </w:pPr>
      <w:rPr>
        <w:rFonts w:ascii="Symbol" w:hAnsi="Symbol"/>
      </w:rPr>
    </w:lvl>
    <w:lvl w:ilvl="3" w:tplc="2B6E886A">
      <w:start w:val="1"/>
      <w:numFmt w:val="bullet"/>
      <w:lvlText w:val=""/>
      <w:lvlJc w:val="left"/>
      <w:pPr>
        <w:ind w:left="720" w:hanging="360"/>
      </w:pPr>
      <w:rPr>
        <w:rFonts w:ascii="Symbol" w:hAnsi="Symbol"/>
      </w:rPr>
    </w:lvl>
    <w:lvl w:ilvl="4" w:tplc="BD608A66">
      <w:start w:val="1"/>
      <w:numFmt w:val="bullet"/>
      <w:lvlText w:val=""/>
      <w:lvlJc w:val="left"/>
      <w:pPr>
        <w:ind w:left="720" w:hanging="360"/>
      </w:pPr>
      <w:rPr>
        <w:rFonts w:ascii="Symbol" w:hAnsi="Symbol"/>
      </w:rPr>
    </w:lvl>
    <w:lvl w:ilvl="5" w:tplc="D63EB6D6">
      <w:start w:val="1"/>
      <w:numFmt w:val="bullet"/>
      <w:lvlText w:val=""/>
      <w:lvlJc w:val="left"/>
      <w:pPr>
        <w:ind w:left="720" w:hanging="360"/>
      </w:pPr>
      <w:rPr>
        <w:rFonts w:ascii="Symbol" w:hAnsi="Symbol"/>
      </w:rPr>
    </w:lvl>
    <w:lvl w:ilvl="6" w:tplc="B420A5EE">
      <w:start w:val="1"/>
      <w:numFmt w:val="bullet"/>
      <w:lvlText w:val=""/>
      <w:lvlJc w:val="left"/>
      <w:pPr>
        <w:ind w:left="720" w:hanging="360"/>
      </w:pPr>
      <w:rPr>
        <w:rFonts w:ascii="Symbol" w:hAnsi="Symbol"/>
      </w:rPr>
    </w:lvl>
    <w:lvl w:ilvl="7" w:tplc="06EAB31A">
      <w:start w:val="1"/>
      <w:numFmt w:val="bullet"/>
      <w:lvlText w:val=""/>
      <w:lvlJc w:val="left"/>
      <w:pPr>
        <w:ind w:left="720" w:hanging="360"/>
      </w:pPr>
      <w:rPr>
        <w:rFonts w:ascii="Symbol" w:hAnsi="Symbol"/>
      </w:rPr>
    </w:lvl>
    <w:lvl w:ilvl="8" w:tplc="7A7A2F50">
      <w:start w:val="1"/>
      <w:numFmt w:val="bullet"/>
      <w:lvlText w:val=""/>
      <w:lvlJc w:val="left"/>
      <w:pPr>
        <w:ind w:left="720" w:hanging="360"/>
      </w:pPr>
      <w:rPr>
        <w:rFonts w:ascii="Symbol" w:hAnsi="Symbol"/>
      </w:rPr>
    </w:lvl>
  </w:abstractNum>
  <w:abstractNum w:abstractNumId="6" w15:restartNumberingAfterBreak="0">
    <w:nsid w:val="1F6F2BCB"/>
    <w:multiLevelType w:val="hybridMultilevel"/>
    <w:tmpl w:val="AF6C6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4617158B"/>
    <w:multiLevelType w:val="hybridMultilevel"/>
    <w:tmpl w:val="2DAEBC5C"/>
    <w:lvl w:ilvl="0" w:tplc="945E66FE">
      <w:start w:val="1"/>
      <w:numFmt w:val="upp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6463234"/>
    <w:multiLevelType w:val="hybridMultilevel"/>
    <w:tmpl w:val="E80CC72C"/>
    <w:lvl w:ilvl="0" w:tplc="366E62F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D8400F3"/>
    <w:multiLevelType w:val="hybridMultilevel"/>
    <w:tmpl w:val="55CE2C4C"/>
    <w:lvl w:ilvl="0" w:tplc="DBFAB6CA">
      <w:start w:val="1"/>
      <w:numFmt w:val="bullet"/>
      <w:lvlText w:val=""/>
      <w:lvlJc w:val="left"/>
      <w:pPr>
        <w:ind w:left="720" w:hanging="360"/>
      </w:pPr>
      <w:rPr>
        <w:rFonts w:ascii="Symbol" w:hAnsi="Symbol"/>
      </w:rPr>
    </w:lvl>
    <w:lvl w:ilvl="1" w:tplc="F45888EA">
      <w:start w:val="1"/>
      <w:numFmt w:val="bullet"/>
      <w:lvlText w:val=""/>
      <w:lvlJc w:val="left"/>
      <w:pPr>
        <w:ind w:left="720" w:hanging="360"/>
      </w:pPr>
      <w:rPr>
        <w:rFonts w:ascii="Symbol" w:hAnsi="Symbol"/>
      </w:rPr>
    </w:lvl>
    <w:lvl w:ilvl="2" w:tplc="F6BE9C5A">
      <w:start w:val="1"/>
      <w:numFmt w:val="bullet"/>
      <w:lvlText w:val=""/>
      <w:lvlJc w:val="left"/>
      <w:pPr>
        <w:ind w:left="720" w:hanging="360"/>
      </w:pPr>
      <w:rPr>
        <w:rFonts w:ascii="Symbol" w:hAnsi="Symbol"/>
      </w:rPr>
    </w:lvl>
    <w:lvl w:ilvl="3" w:tplc="978C6EE4">
      <w:start w:val="1"/>
      <w:numFmt w:val="bullet"/>
      <w:lvlText w:val=""/>
      <w:lvlJc w:val="left"/>
      <w:pPr>
        <w:ind w:left="720" w:hanging="360"/>
      </w:pPr>
      <w:rPr>
        <w:rFonts w:ascii="Symbol" w:hAnsi="Symbol"/>
      </w:rPr>
    </w:lvl>
    <w:lvl w:ilvl="4" w:tplc="B762C39C">
      <w:start w:val="1"/>
      <w:numFmt w:val="bullet"/>
      <w:lvlText w:val=""/>
      <w:lvlJc w:val="left"/>
      <w:pPr>
        <w:ind w:left="720" w:hanging="360"/>
      </w:pPr>
      <w:rPr>
        <w:rFonts w:ascii="Symbol" w:hAnsi="Symbol"/>
      </w:rPr>
    </w:lvl>
    <w:lvl w:ilvl="5" w:tplc="E0D04BB0">
      <w:start w:val="1"/>
      <w:numFmt w:val="bullet"/>
      <w:lvlText w:val=""/>
      <w:lvlJc w:val="left"/>
      <w:pPr>
        <w:ind w:left="720" w:hanging="360"/>
      </w:pPr>
      <w:rPr>
        <w:rFonts w:ascii="Symbol" w:hAnsi="Symbol"/>
      </w:rPr>
    </w:lvl>
    <w:lvl w:ilvl="6" w:tplc="3328056E">
      <w:start w:val="1"/>
      <w:numFmt w:val="bullet"/>
      <w:lvlText w:val=""/>
      <w:lvlJc w:val="left"/>
      <w:pPr>
        <w:ind w:left="720" w:hanging="360"/>
      </w:pPr>
      <w:rPr>
        <w:rFonts w:ascii="Symbol" w:hAnsi="Symbol"/>
      </w:rPr>
    </w:lvl>
    <w:lvl w:ilvl="7" w:tplc="A0C2CDB0">
      <w:start w:val="1"/>
      <w:numFmt w:val="bullet"/>
      <w:lvlText w:val=""/>
      <w:lvlJc w:val="left"/>
      <w:pPr>
        <w:ind w:left="720" w:hanging="360"/>
      </w:pPr>
      <w:rPr>
        <w:rFonts w:ascii="Symbol" w:hAnsi="Symbol"/>
      </w:rPr>
    </w:lvl>
    <w:lvl w:ilvl="8" w:tplc="61E62E58">
      <w:start w:val="1"/>
      <w:numFmt w:val="bullet"/>
      <w:lvlText w:val=""/>
      <w:lvlJc w:val="left"/>
      <w:pPr>
        <w:ind w:left="720" w:hanging="360"/>
      </w:pPr>
      <w:rPr>
        <w:rFonts w:ascii="Symbol" w:hAnsi="Symbol"/>
      </w:r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863B53"/>
    <w:multiLevelType w:val="hybridMultilevel"/>
    <w:tmpl w:val="4E9C1730"/>
    <w:lvl w:ilvl="0" w:tplc="14601414">
      <w:start w:val="1"/>
      <w:numFmt w:val="bullet"/>
      <w:lvlText w:val=""/>
      <w:lvlJc w:val="left"/>
      <w:pPr>
        <w:ind w:left="720" w:hanging="360"/>
      </w:pPr>
      <w:rPr>
        <w:rFonts w:ascii="Symbol" w:hAnsi="Symbol"/>
      </w:rPr>
    </w:lvl>
    <w:lvl w:ilvl="1" w:tplc="CBA05DE2">
      <w:start w:val="1"/>
      <w:numFmt w:val="bullet"/>
      <w:lvlText w:val=""/>
      <w:lvlJc w:val="left"/>
      <w:pPr>
        <w:ind w:left="720" w:hanging="360"/>
      </w:pPr>
      <w:rPr>
        <w:rFonts w:ascii="Symbol" w:hAnsi="Symbol"/>
      </w:rPr>
    </w:lvl>
    <w:lvl w:ilvl="2" w:tplc="F97E1B16">
      <w:start w:val="1"/>
      <w:numFmt w:val="bullet"/>
      <w:lvlText w:val=""/>
      <w:lvlJc w:val="left"/>
      <w:pPr>
        <w:ind w:left="720" w:hanging="360"/>
      </w:pPr>
      <w:rPr>
        <w:rFonts w:ascii="Symbol" w:hAnsi="Symbol"/>
      </w:rPr>
    </w:lvl>
    <w:lvl w:ilvl="3" w:tplc="7DF22AE0">
      <w:start w:val="1"/>
      <w:numFmt w:val="bullet"/>
      <w:lvlText w:val=""/>
      <w:lvlJc w:val="left"/>
      <w:pPr>
        <w:ind w:left="720" w:hanging="360"/>
      </w:pPr>
      <w:rPr>
        <w:rFonts w:ascii="Symbol" w:hAnsi="Symbol"/>
      </w:rPr>
    </w:lvl>
    <w:lvl w:ilvl="4" w:tplc="3438D0A2">
      <w:start w:val="1"/>
      <w:numFmt w:val="bullet"/>
      <w:lvlText w:val=""/>
      <w:lvlJc w:val="left"/>
      <w:pPr>
        <w:ind w:left="720" w:hanging="360"/>
      </w:pPr>
      <w:rPr>
        <w:rFonts w:ascii="Symbol" w:hAnsi="Symbol"/>
      </w:rPr>
    </w:lvl>
    <w:lvl w:ilvl="5" w:tplc="60D8CB40">
      <w:start w:val="1"/>
      <w:numFmt w:val="bullet"/>
      <w:lvlText w:val=""/>
      <w:lvlJc w:val="left"/>
      <w:pPr>
        <w:ind w:left="720" w:hanging="360"/>
      </w:pPr>
      <w:rPr>
        <w:rFonts w:ascii="Symbol" w:hAnsi="Symbol"/>
      </w:rPr>
    </w:lvl>
    <w:lvl w:ilvl="6" w:tplc="D352AB16">
      <w:start w:val="1"/>
      <w:numFmt w:val="bullet"/>
      <w:lvlText w:val=""/>
      <w:lvlJc w:val="left"/>
      <w:pPr>
        <w:ind w:left="720" w:hanging="360"/>
      </w:pPr>
      <w:rPr>
        <w:rFonts w:ascii="Symbol" w:hAnsi="Symbol"/>
      </w:rPr>
    </w:lvl>
    <w:lvl w:ilvl="7" w:tplc="1024B1FC">
      <w:start w:val="1"/>
      <w:numFmt w:val="bullet"/>
      <w:lvlText w:val=""/>
      <w:lvlJc w:val="left"/>
      <w:pPr>
        <w:ind w:left="720" w:hanging="360"/>
      </w:pPr>
      <w:rPr>
        <w:rFonts w:ascii="Symbol" w:hAnsi="Symbol"/>
      </w:rPr>
    </w:lvl>
    <w:lvl w:ilvl="8" w:tplc="A470DA50">
      <w:start w:val="1"/>
      <w:numFmt w:val="bullet"/>
      <w:lvlText w:val=""/>
      <w:lvlJc w:val="left"/>
      <w:pPr>
        <w:ind w:left="720" w:hanging="360"/>
      </w:pPr>
      <w:rPr>
        <w:rFonts w:ascii="Symbol" w:hAnsi="Symbol"/>
      </w:rPr>
    </w:lvl>
  </w:abstractNum>
  <w:abstractNum w:abstractNumId="15" w15:restartNumberingAfterBreak="0">
    <w:nsid w:val="504D6AE4"/>
    <w:multiLevelType w:val="hybridMultilevel"/>
    <w:tmpl w:val="D8889D02"/>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9F854D6"/>
    <w:multiLevelType w:val="hybridMultilevel"/>
    <w:tmpl w:val="B8ECC764"/>
    <w:lvl w:ilvl="0" w:tplc="E8F23F10">
      <w:start w:val="1"/>
      <w:numFmt w:val="bullet"/>
      <w:lvlText w:val=""/>
      <w:lvlJc w:val="left"/>
      <w:pPr>
        <w:ind w:left="720" w:hanging="360"/>
      </w:pPr>
      <w:rPr>
        <w:rFonts w:ascii="Symbol" w:hAnsi="Symbol"/>
      </w:rPr>
    </w:lvl>
    <w:lvl w:ilvl="1" w:tplc="D74E7220">
      <w:start w:val="1"/>
      <w:numFmt w:val="bullet"/>
      <w:lvlText w:val=""/>
      <w:lvlJc w:val="left"/>
      <w:pPr>
        <w:ind w:left="720" w:hanging="360"/>
      </w:pPr>
      <w:rPr>
        <w:rFonts w:ascii="Symbol" w:hAnsi="Symbol"/>
      </w:rPr>
    </w:lvl>
    <w:lvl w:ilvl="2" w:tplc="C53C358C">
      <w:start w:val="1"/>
      <w:numFmt w:val="bullet"/>
      <w:lvlText w:val=""/>
      <w:lvlJc w:val="left"/>
      <w:pPr>
        <w:ind w:left="720" w:hanging="360"/>
      </w:pPr>
      <w:rPr>
        <w:rFonts w:ascii="Symbol" w:hAnsi="Symbol"/>
      </w:rPr>
    </w:lvl>
    <w:lvl w:ilvl="3" w:tplc="B3321304">
      <w:start w:val="1"/>
      <w:numFmt w:val="bullet"/>
      <w:lvlText w:val=""/>
      <w:lvlJc w:val="left"/>
      <w:pPr>
        <w:ind w:left="720" w:hanging="360"/>
      </w:pPr>
      <w:rPr>
        <w:rFonts w:ascii="Symbol" w:hAnsi="Symbol"/>
      </w:rPr>
    </w:lvl>
    <w:lvl w:ilvl="4" w:tplc="F6107AC6">
      <w:start w:val="1"/>
      <w:numFmt w:val="bullet"/>
      <w:lvlText w:val=""/>
      <w:lvlJc w:val="left"/>
      <w:pPr>
        <w:ind w:left="720" w:hanging="360"/>
      </w:pPr>
      <w:rPr>
        <w:rFonts w:ascii="Symbol" w:hAnsi="Symbol"/>
      </w:rPr>
    </w:lvl>
    <w:lvl w:ilvl="5" w:tplc="8846571C">
      <w:start w:val="1"/>
      <w:numFmt w:val="bullet"/>
      <w:lvlText w:val=""/>
      <w:lvlJc w:val="left"/>
      <w:pPr>
        <w:ind w:left="720" w:hanging="360"/>
      </w:pPr>
      <w:rPr>
        <w:rFonts w:ascii="Symbol" w:hAnsi="Symbol"/>
      </w:rPr>
    </w:lvl>
    <w:lvl w:ilvl="6" w:tplc="1F487676">
      <w:start w:val="1"/>
      <w:numFmt w:val="bullet"/>
      <w:lvlText w:val=""/>
      <w:lvlJc w:val="left"/>
      <w:pPr>
        <w:ind w:left="720" w:hanging="360"/>
      </w:pPr>
      <w:rPr>
        <w:rFonts w:ascii="Symbol" w:hAnsi="Symbol"/>
      </w:rPr>
    </w:lvl>
    <w:lvl w:ilvl="7" w:tplc="110C5A46">
      <w:start w:val="1"/>
      <w:numFmt w:val="bullet"/>
      <w:lvlText w:val=""/>
      <w:lvlJc w:val="left"/>
      <w:pPr>
        <w:ind w:left="720" w:hanging="360"/>
      </w:pPr>
      <w:rPr>
        <w:rFonts w:ascii="Symbol" w:hAnsi="Symbol"/>
      </w:rPr>
    </w:lvl>
    <w:lvl w:ilvl="8" w:tplc="B6461BBA">
      <w:start w:val="1"/>
      <w:numFmt w:val="bullet"/>
      <w:lvlText w:val=""/>
      <w:lvlJc w:val="left"/>
      <w:pPr>
        <w:ind w:left="720" w:hanging="360"/>
      </w:pPr>
      <w:rPr>
        <w:rFonts w:ascii="Symbol" w:hAnsi="Symbol"/>
      </w:rPr>
    </w:lvl>
  </w:abstractNum>
  <w:abstractNum w:abstractNumId="18" w15:restartNumberingAfterBreak="0">
    <w:nsid w:val="5A9E2288"/>
    <w:multiLevelType w:val="hybridMultilevel"/>
    <w:tmpl w:val="F4BC57A8"/>
    <w:lvl w:ilvl="0" w:tplc="3E300800">
      <w:start w:val="1"/>
      <w:numFmt w:val="bullet"/>
      <w:lvlText w:val=""/>
      <w:lvlJc w:val="left"/>
      <w:pPr>
        <w:ind w:left="720" w:hanging="360"/>
      </w:pPr>
      <w:rPr>
        <w:rFonts w:ascii="Symbol" w:hAnsi="Symbol"/>
      </w:rPr>
    </w:lvl>
    <w:lvl w:ilvl="1" w:tplc="3792361A">
      <w:start w:val="1"/>
      <w:numFmt w:val="bullet"/>
      <w:lvlText w:val=""/>
      <w:lvlJc w:val="left"/>
      <w:pPr>
        <w:ind w:left="720" w:hanging="360"/>
      </w:pPr>
      <w:rPr>
        <w:rFonts w:ascii="Symbol" w:hAnsi="Symbol"/>
      </w:rPr>
    </w:lvl>
    <w:lvl w:ilvl="2" w:tplc="E47020C6">
      <w:start w:val="1"/>
      <w:numFmt w:val="bullet"/>
      <w:lvlText w:val=""/>
      <w:lvlJc w:val="left"/>
      <w:pPr>
        <w:ind w:left="720" w:hanging="360"/>
      </w:pPr>
      <w:rPr>
        <w:rFonts w:ascii="Symbol" w:hAnsi="Symbol"/>
      </w:rPr>
    </w:lvl>
    <w:lvl w:ilvl="3" w:tplc="A0461A48">
      <w:start w:val="1"/>
      <w:numFmt w:val="bullet"/>
      <w:lvlText w:val=""/>
      <w:lvlJc w:val="left"/>
      <w:pPr>
        <w:ind w:left="720" w:hanging="360"/>
      </w:pPr>
      <w:rPr>
        <w:rFonts w:ascii="Symbol" w:hAnsi="Symbol"/>
      </w:rPr>
    </w:lvl>
    <w:lvl w:ilvl="4" w:tplc="A772640A">
      <w:start w:val="1"/>
      <w:numFmt w:val="bullet"/>
      <w:lvlText w:val=""/>
      <w:lvlJc w:val="left"/>
      <w:pPr>
        <w:ind w:left="720" w:hanging="360"/>
      </w:pPr>
      <w:rPr>
        <w:rFonts w:ascii="Symbol" w:hAnsi="Symbol"/>
      </w:rPr>
    </w:lvl>
    <w:lvl w:ilvl="5" w:tplc="6F38385C">
      <w:start w:val="1"/>
      <w:numFmt w:val="bullet"/>
      <w:lvlText w:val=""/>
      <w:lvlJc w:val="left"/>
      <w:pPr>
        <w:ind w:left="720" w:hanging="360"/>
      </w:pPr>
      <w:rPr>
        <w:rFonts w:ascii="Symbol" w:hAnsi="Symbol"/>
      </w:rPr>
    </w:lvl>
    <w:lvl w:ilvl="6" w:tplc="90F0C094">
      <w:start w:val="1"/>
      <w:numFmt w:val="bullet"/>
      <w:lvlText w:val=""/>
      <w:lvlJc w:val="left"/>
      <w:pPr>
        <w:ind w:left="720" w:hanging="360"/>
      </w:pPr>
      <w:rPr>
        <w:rFonts w:ascii="Symbol" w:hAnsi="Symbol"/>
      </w:rPr>
    </w:lvl>
    <w:lvl w:ilvl="7" w:tplc="7150798C">
      <w:start w:val="1"/>
      <w:numFmt w:val="bullet"/>
      <w:lvlText w:val=""/>
      <w:lvlJc w:val="left"/>
      <w:pPr>
        <w:ind w:left="720" w:hanging="360"/>
      </w:pPr>
      <w:rPr>
        <w:rFonts w:ascii="Symbol" w:hAnsi="Symbol"/>
      </w:rPr>
    </w:lvl>
    <w:lvl w:ilvl="8" w:tplc="4EA6B072">
      <w:start w:val="1"/>
      <w:numFmt w:val="bullet"/>
      <w:lvlText w:val=""/>
      <w:lvlJc w:val="left"/>
      <w:pPr>
        <w:ind w:left="720" w:hanging="360"/>
      </w:pPr>
      <w:rPr>
        <w:rFonts w:ascii="Symbol" w:hAnsi="Symbol"/>
      </w:rPr>
    </w:lvl>
  </w:abstractNum>
  <w:abstractNum w:abstractNumId="19" w15:restartNumberingAfterBreak="0">
    <w:nsid w:val="5D635B69"/>
    <w:multiLevelType w:val="hybridMultilevel"/>
    <w:tmpl w:val="F97A519E"/>
    <w:lvl w:ilvl="0" w:tplc="A386BEBC">
      <w:start w:val="1"/>
      <w:numFmt w:val="decimal"/>
      <w:lvlText w:val="%1."/>
      <w:lvlJc w:val="left"/>
      <w:pPr>
        <w:ind w:left="720" w:hanging="36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6546C68"/>
    <w:multiLevelType w:val="hybridMultilevel"/>
    <w:tmpl w:val="4C76AE36"/>
    <w:lvl w:ilvl="0" w:tplc="ECF65FCE">
      <w:start w:val="1"/>
      <w:numFmt w:val="upperLetter"/>
      <w:lvlText w:val="%1."/>
      <w:lvlJc w:val="left"/>
      <w:pPr>
        <w:ind w:left="25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8B70991"/>
    <w:multiLevelType w:val="hybridMultilevel"/>
    <w:tmpl w:val="0E08B490"/>
    <w:lvl w:ilvl="0" w:tplc="93E64524">
      <w:start w:val="1"/>
      <w:numFmt w:val="decimal"/>
      <w:pStyle w:val="Para10"/>
      <w:lvlText w:val="%1."/>
      <w:lvlJc w:val="left"/>
      <w:pPr>
        <w:ind w:left="927" w:hanging="360"/>
      </w:pPr>
      <w:rPr>
        <w:rFonts w:hint="default"/>
        <w:b w:val="0"/>
        <w:bCs w:val="0"/>
        <w:i w:val="0"/>
        <w:iCs w:val="0"/>
        <w:color w:val="auto"/>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AD669BA"/>
    <w:multiLevelType w:val="hybridMultilevel"/>
    <w:tmpl w:val="C4D0E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B16658"/>
    <w:multiLevelType w:val="hybridMultilevel"/>
    <w:tmpl w:val="F6CC9B22"/>
    <w:lvl w:ilvl="0" w:tplc="105CEECA">
      <w:start w:val="1"/>
      <w:numFmt w:val="bullet"/>
      <w:lvlText w:val=""/>
      <w:lvlJc w:val="left"/>
      <w:pPr>
        <w:ind w:left="720" w:hanging="360"/>
      </w:pPr>
      <w:rPr>
        <w:rFonts w:ascii="Symbol" w:hAnsi="Symbol"/>
      </w:rPr>
    </w:lvl>
    <w:lvl w:ilvl="1" w:tplc="6248D51A">
      <w:start w:val="1"/>
      <w:numFmt w:val="bullet"/>
      <w:lvlText w:val=""/>
      <w:lvlJc w:val="left"/>
      <w:pPr>
        <w:ind w:left="720" w:hanging="360"/>
      </w:pPr>
      <w:rPr>
        <w:rFonts w:ascii="Symbol" w:hAnsi="Symbol"/>
      </w:rPr>
    </w:lvl>
    <w:lvl w:ilvl="2" w:tplc="F8BE3066">
      <w:start w:val="1"/>
      <w:numFmt w:val="bullet"/>
      <w:lvlText w:val=""/>
      <w:lvlJc w:val="left"/>
      <w:pPr>
        <w:ind w:left="720" w:hanging="360"/>
      </w:pPr>
      <w:rPr>
        <w:rFonts w:ascii="Symbol" w:hAnsi="Symbol"/>
      </w:rPr>
    </w:lvl>
    <w:lvl w:ilvl="3" w:tplc="1360A736">
      <w:start w:val="1"/>
      <w:numFmt w:val="bullet"/>
      <w:lvlText w:val=""/>
      <w:lvlJc w:val="left"/>
      <w:pPr>
        <w:ind w:left="720" w:hanging="360"/>
      </w:pPr>
      <w:rPr>
        <w:rFonts w:ascii="Symbol" w:hAnsi="Symbol"/>
      </w:rPr>
    </w:lvl>
    <w:lvl w:ilvl="4" w:tplc="46A8FA40">
      <w:start w:val="1"/>
      <w:numFmt w:val="bullet"/>
      <w:lvlText w:val=""/>
      <w:lvlJc w:val="left"/>
      <w:pPr>
        <w:ind w:left="720" w:hanging="360"/>
      </w:pPr>
      <w:rPr>
        <w:rFonts w:ascii="Symbol" w:hAnsi="Symbol"/>
      </w:rPr>
    </w:lvl>
    <w:lvl w:ilvl="5" w:tplc="31C49E34">
      <w:start w:val="1"/>
      <w:numFmt w:val="bullet"/>
      <w:lvlText w:val=""/>
      <w:lvlJc w:val="left"/>
      <w:pPr>
        <w:ind w:left="720" w:hanging="360"/>
      </w:pPr>
      <w:rPr>
        <w:rFonts w:ascii="Symbol" w:hAnsi="Symbol"/>
      </w:rPr>
    </w:lvl>
    <w:lvl w:ilvl="6" w:tplc="AB124ACA">
      <w:start w:val="1"/>
      <w:numFmt w:val="bullet"/>
      <w:lvlText w:val=""/>
      <w:lvlJc w:val="left"/>
      <w:pPr>
        <w:ind w:left="720" w:hanging="360"/>
      </w:pPr>
      <w:rPr>
        <w:rFonts w:ascii="Symbol" w:hAnsi="Symbol"/>
      </w:rPr>
    </w:lvl>
    <w:lvl w:ilvl="7" w:tplc="7C7C0F96">
      <w:start w:val="1"/>
      <w:numFmt w:val="bullet"/>
      <w:lvlText w:val=""/>
      <w:lvlJc w:val="left"/>
      <w:pPr>
        <w:ind w:left="720" w:hanging="360"/>
      </w:pPr>
      <w:rPr>
        <w:rFonts w:ascii="Symbol" w:hAnsi="Symbol"/>
      </w:rPr>
    </w:lvl>
    <w:lvl w:ilvl="8" w:tplc="6DEA2160">
      <w:start w:val="1"/>
      <w:numFmt w:val="bullet"/>
      <w:lvlText w:val=""/>
      <w:lvlJc w:val="left"/>
      <w:pPr>
        <w:ind w:left="720" w:hanging="360"/>
      </w:pPr>
      <w:rPr>
        <w:rFonts w:ascii="Symbol" w:hAnsi="Symbol"/>
      </w:rPr>
    </w:lvl>
  </w:abstractNum>
  <w:abstractNum w:abstractNumId="25" w15:restartNumberingAfterBreak="0">
    <w:nsid w:val="7A100938"/>
    <w:multiLevelType w:val="hybridMultilevel"/>
    <w:tmpl w:val="A358ECEA"/>
    <w:lvl w:ilvl="0" w:tplc="9586BA2E">
      <w:start w:val="1"/>
      <w:numFmt w:val="bullet"/>
      <w:lvlText w:val=""/>
      <w:lvlJc w:val="left"/>
      <w:pPr>
        <w:ind w:left="720" w:hanging="360"/>
      </w:pPr>
      <w:rPr>
        <w:rFonts w:ascii="Symbol" w:hAnsi="Symbol"/>
      </w:rPr>
    </w:lvl>
    <w:lvl w:ilvl="1" w:tplc="1DAE08D8">
      <w:start w:val="1"/>
      <w:numFmt w:val="bullet"/>
      <w:lvlText w:val=""/>
      <w:lvlJc w:val="left"/>
      <w:pPr>
        <w:ind w:left="720" w:hanging="360"/>
      </w:pPr>
      <w:rPr>
        <w:rFonts w:ascii="Symbol" w:hAnsi="Symbol"/>
      </w:rPr>
    </w:lvl>
    <w:lvl w:ilvl="2" w:tplc="A748F47E">
      <w:start w:val="1"/>
      <w:numFmt w:val="bullet"/>
      <w:lvlText w:val=""/>
      <w:lvlJc w:val="left"/>
      <w:pPr>
        <w:ind w:left="720" w:hanging="360"/>
      </w:pPr>
      <w:rPr>
        <w:rFonts w:ascii="Symbol" w:hAnsi="Symbol"/>
      </w:rPr>
    </w:lvl>
    <w:lvl w:ilvl="3" w:tplc="21726334">
      <w:start w:val="1"/>
      <w:numFmt w:val="bullet"/>
      <w:lvlText w:val=""/>
      <w:lvlJc w:val="left"/>
      <w:pPr>
        <w:ind w:left="720" w:hanging="360"/>
      </w:pPr>
      <w:rPr>
        <w:rFonts w:ascii="Symbol" w:hAnsi="Symbol"/>
      </w:rPr>
    </w:lvl>
    <w:lvl w:ilvl="4" w:tplc="1C461CA6">
      <w:start w:val="1"/>
      <w:numFmt w:val="bullet"/>
      <w:lvlText w:val=""/>
      <w:lvlJc w:val="left"/>
      <w:pPr>
        <w:ind w:left="720" w:hanging="360"/>
      </w:pPr>
      <w:rPr>
        <w:rFonts w:ascii="Symbol" w:hAnsi="Symbol"/>
      </w:rPr>
    </w:lvl>
    <w:lvl w:ilvl="5" w:tplc="5C8AB500">
      <w:start w:val="1"/>
      <w:numFmt w:val="bullet"/>
      <w:lvlText w:val=""/>
      <w:lvlJc w:val="left"/>
      <w:pPr>
        <w:ind w:left="720" w:hanging="360"/>
      </w:pPr>
      <w:rPr>
        <w:rFonts w:ascii="Symbol" w:hAnsi="Symbol"/>
      </w:rPr>
    </w:lvl>
    <w:lvl w:ilvl="6" w:tplc="5846FB42">
      <w:start w:val="1"/>
      <w:numFmt w:val="bullet"/>
      <w:lvlText w:val=""/>
      <w:lvlJc w:val="left"/>
      <w:pPr>
        <w:ind w:left="720" w:hanging="360"/>
      </w:pPr>
      <w:rPr>
        <w:rFonts w:ascii="Symbol" w:hAnsi="Symbol"/>
      </w:rPr>
    </w:lvl>
    <w:lvl w:ilvl="7" w:tplc="96E8DE64">
      <w:start w:val="1"/>
      <w:numFmt w:val="bullet"/>
      <w:lvlText w:val=""/>
      <w:lvlJc w:val="left"/>
      <w:pPr>
        <w:ind w:left="720" w:hanging="360"/>
      </w:pPr>
      <w:rPr>
        <w:rFonts w:ascii="Symbol" w:hAnsi="Symbol"/>
      </w:rPr>
    </w:lvl>
    <w:lvl w:ilvl="8" w:tplc="64A474F8">
      <w:start w:val="1"/>
      <w:numFmt w:val="bullet"/>
      <w:lvlText w:val=""/>
      <w:lvlJc w:val="left"/>
      <w:pPr>
        <w:ind w:left="720" w:hanging="360"/>
      </w:pPr>
      <w:rPr>
        <w:rFonts w:ascii="Symbol" w:hAnsi="Symbol"/>
      </w:rPr>
    </w:lvl>
  </w:abstractNum>
  <w:num w:numId="1">
    <w:abstractNumId w:val="2"/>
  </w:num>
  <w:num w:numId="2">
    <w:abstractNumId w:val="1"/>
  </w:num>
  <w:num w:numId="3">
    <w:abstractNumId w:val="8"/>
  </w:num>
  <w:num w:numId="4">
    <w:abstractNumId w:val="9"/>
  </w:num>
  <w:num w:numId="5">
    <w:abstractNumId w:val="3"/>
  </w:num>
  <w:num w:numId="6">
    <w:abstractNumId w:val="0"/>
  </w:num>
  <w:num w:numId="7">
    <w:abstractNumId w:val="23"/>
  </w:num>
  <w:num w:numId="8">
    <w:abstractNumId w:val="7"/>
  </w:num>
  <w:num w:numId="9">
    <w:abstractNumId w:val="13"/>
  </w:num>
  <w:num w:numId="10">
    <w:abstractNumId w:val="11"/>
  </w:num>
  <w:num w:numId="11">
    <w:abstractNumId w:val="20"/>
  </w:num>
  <w:num w:numId="12">
    <w:abstractNumId w:val="19"/>
  </w:num>
  <w:num w:numId="13">
    <w:abstractNumId w:val="22"/>
  </w:num>
  <w:num w:numId="14">
    <w:abstractNumId w:val="6"/>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0"/>
  </w:num>
  <w:num w:numId="18">
    <w:abstractNumId w:val="16"/>
  </w:num>
  <w:num w:numId="19">
    <w:abstractNumId w:val="21"/>
  </w:num>
  <w:num w:numId="20">
    <w:abstractNumId w:val="21"/>
  </w:num>
  <w:num w:numId="21">
    <w:abstractNumId w:val="12"/>
  </w:num>
  <w:num w:numId="22">
    <w:abstractNumId w:val="4"/>
  </w:num>
  <w:num w:numId="23">
    <w:abstractNumId w:val="5"/>
  </w:num>
  <w:num w:numId="24">
    <w:abstractNumId w:val="14"/>
  </w:num>
  <w:num w:numId="25">
    <w:abstractNumId w:val="25"/>
  </w:num>
  <w:num w:numId="26">
    <w:abstractNumId w:val="17"/>
  </w:num>
  <w:num w:numId="27">
    <w:abstractNumId w:val="18"/>
  </w:num>
  <w:num w:numId="28">
    <w:abstractNumId w:val="24"/>
  </w:num>
  <w:num w:numId="29">
    <w:abstractNumId w:val="16"/>
  </w:num>
  <w:num w:numId="30">
    <w:abstractNumId w:val="16"/>
  </w:num>
  <w:num w:numId="31">
    <w:abstractNumId w:val="16"/>
  </w:num>
  <w:num w:numId="32">
    <w:abstractNumId w:val="16"/>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DA8"/>
    <w:rsid w:val="00002EB3"/>
    <w:rsid w:val="00003B4B"/>
    <w:rsid w:val="00005224"/>
    <w:rsid w:val="00006C3B"/>
    <w:rsid w:val="00010F9E"/>
    <w:rsid w:val="00011054"/>
    <w:rsid w:val="000128FC"/>
    <w:rsid w:val="00012CB4"/>
    <w:rsid w:val="00015160"/>
    <w:rsid w:val="0001652C"/>
    <w:rsid w:val="00027006"/>
    <w:rsid w:val="00031213"/>
    <w:rsid w:val="00034441"/>
    <w:rsid w:val="000344A8"/>
    <w:rsid w:val="00035CB7"/>
    <w:rsid w:val="000368B4"/>
    <w:rsid w:val="00037A93"/>
    <w:rsid w:val="00037C06"/>
    <w:rsid w:val="00044332"/>
    <w:rsid w:val="00052607"/>
    <w:rsid w:val="0005595E"/>
    <w:rsid w:val="00067859"/>
    <w:rsid w:val="00070C55"/>
    <w:rsid w:val="00070F2B"/>
    <w:rsid w:val="00072E17"/>
    <w:rsid w:val="00074C3E"/>
    <w:rsid w:val="000759DC"/>
    <w:rsid w:val="00077FE9"/>
    <w:rsid w:val="0008060A"/>
    <w:rsid w:val="00080E27"/>
    <w:rsid w:val="0008131C"/>
    <w:rsid w:val="00081DF5"/>
    <w:rsid w:val="00086814"/>
    <w:rsid w:val="00087304"/>
    <w:rsid w:val="00087F29"/>
    <w:rsid w:val="000922C7"/>
    <w:rsid w:val="00096414"/>
    <w:rsid w:val="000A08CC"/>
    <w:rsid w:val="000A0ED6"/>
    <w:rsid w:val="000A51B9"/>
    <w:rsid w:val="000B5F9A"/>
    <w:rsid w:val="000B65BA"/>
    <w:rsid w:val="000B68F0"/>
    <w:rsid w:val="000B75E8"/>
    <w:rsid w:val="000C3E6E"/>
    <w:rsid w:val="000C4C2D"/>
    <w:rsid w:val="000C6616"/>
    <w:rsid w:val="000C669D"/>
    <w:rsid w:val="000C6A28"/>
    <w:rsid w:val="000D135A"/>
    <w:rsid w:val="000D26EA"/>
    <w:rsid w:val="000D2893"/>
    <w:rsid w:val="000D34B4"/>
    <w:rsid w:val="000D3DF0"/>
    <w:rsid w:val="000D3E7E"/>
    <w:rsid w:val="000D4266"/>
    <w:rsid w:val="000D4DA8"/>
    <w:rsid w:val="000E0248"/>
    <w:rsid w:val="000E2076"/>
    <w:rsid w:val="000E32CF"/>
    <w:rsid w:val="000E3493"/>
    <w:rsid w:val="000E4BA8"/>
    <w:rsid w:val="000E5816"/>
    <w:rsid w:val="000E7DE6"/>
    <w:rsid w:val="000F0608"/>
    <w:rsid w:val="000F4E7D"/>
    <w:rsid w:val="000F7ADD"/>
    <w:rsid w:val="000F7DEB"/>
    <w:rsid w:val="00101B5D"/>
    <w:rsid w:val="00101E27"/>
    <w:rsid w:val="0010353F"/>
    <w:rsid w:val="00103B7E"/>
    <w:rsid w:val="00103F5F"/>
    <w:rsid w:val="001061B2"/>
    <w:rsid w:val="0010733C"/>
    <w:rsid w:val="0011002A"/>
    <w:rsid w:val="001102E3"/>
    <w:rsid w:val="001105A9"/>
    <w:rsid w:val="001131B7"/>
    <w:rsid w:val="00113472"/>
    <w:rsid w:val="0011409C"/>
    <w:rsid w:val="00114128"/>
    <w:rsid w:val="001147EC"/>
    <w:rsid w:val="00114FC6"/>
    <w:rsid w:val="00123008"/>
    <w:rsid w:val="00124EF4"/>
    <w:rsid w:val="00125FDF"/>
    <w:rsid w:val="00131101"/>
    <w:rsid w:val="00131F40"/>
    <w:rsid w:val="001332DA"/>
    <w:rsid w:val="00135C86"/>
    <w:rsid w:val="001403D2"/>
    <w:rsid w:val="00141334"/>
    <w:rsid w:val="00144932"/>
    <w:rsid w:val="00144F09"/>
    <w:rsid w:val="00145351"/>
    <w:rsid w:val="00146CC0"/>
    <w:rsid w:val="00152B2F"/>
    <w:rsid w:val="001535CC"/>
    <w:rsid w:val="00154161"/>
    <w:rsid w:val="001543C7"/>
    <w:rsid w:val="00154BE4"/>
    <w:rsid w:val="00154EA2"/>
    <w:rsid w:val="00155693"/>
    <w:rsid w:val="00156390"/>
    <w:rsid w:val="0015757C"/>
    <w:rsid w:val="00160906"/>
    <w:rsid w:val="0016254B"/>
    <w:rsid w:val="00164210"/>
    <w:rsid w:val="00165403"/>
    <w:rsid w:val="001673C8"/>
    <w:rsid w:val="001677E5"/>
    <w:rsid w:val="00170E34"/>
    <w:rsid w:val="00172F3B"/>
    <w:rsid w:val="00174D8B"/>
    <w:rsid w:val="00181F71"/>
    <w:rsid w:val="001822AB"/>
    <w:rsid w:val="001842B5"/>
    <w:rsid w:val="001879D5"/>
    <w:rsid w:val="00191EA9"/>
    <w:rsid w:val="0019688E"/>
    <w:rsid w:val="00197032"/>
    <w:rsid w:val="001972DC"/>
    <w:rsid w:val="00197592"/>
    <w:rsid w:val="001A39FB"/>
    <w:rsid w:val="001A4064"/>
    <w:rsid w:val="001A4358"/>
    <w:rsid w:val="001A67DF"/>
    <w:rsid w:val="001A77D1"/>
    <w:rsid w:val="001A7AF0"/>
    <w:rsid w:val="001B3853"/>
    <w:rsid w:val="001B78B9"/>
    <w:rsid w:val="001C5D4D"/>
    <w:rsid w:val="001D04B0"/>
    <w:rsid w:val="001D0974"/>
    <w:rsid w:val="001D1E09"/>
    <w:rsid w:val="001D50BA"/>
    <w:rsid w:val="001D5CE7"/>
    <w:rsid w:val="001D5E6D"/>
    <w:rsid w:val="001D68CF"/>
    <w:rsid w:val="001D6C5E"/>
    <w:rsid w:val="001D7430"/>
    <w:rsid w:val="001E1D7C"/>
    <w:rsid w:val="001E2FAF"/>
    <w:rsid w:val="001E5406"/>
    <w:rsid w:val="001E5E86"/>
    <w:rsid w:val="001E6517"/>
    <w:rsid w:val="001E658D"/>
    <w:rsid w:val="001F172D"/>
    <w:rsid w:val="001F40CE"/>
    <w:rsid w:val="001F5005"/>
    <w:rsid w:val="001F5F7D"/>
    <w:rsid w:val="001F6DCB"/>
    <w:rsid w:val="001F7A23"/>
    <w:rsid w:val="00202B01"/>
    <w:rsid w:val="002114DF"/>
    <w:rsid w:val="002124F3"/>
    <w:rsid w:val="00217EFF"/>
    <w:rsid w:val="00220D6F"/>
    <w:rsid w:val="00221B87"/>
    <w:rsid w:val="0022378E"/>
    <w:rsid w:val="00226147"/>
    <w:rsid w:val="00226422"/>
    <w:rsid w:val="00230402"/>
    <w:rsid w:val="00230497"/>
    <w:rsid w:val="00230D91"/>
    <w:rsid w:val="0023182C"/>
    <w:rsid w:val="00231C6F"/>
    <w:rsid w:val="00233D49"/>
    <w:rsid w:val="00234AF3"/>
    <w:rsid w:val="00234F59"/>
    <w:rsid w:val="002365C7"/>
    <w:rsid w:val="00237DB9"/>
    <w:rsid w:val="00242755"/>
    <w:rsid w:val="0024379F"/>
    <w:rsid w:val="002441CE"/>
    <w:rsid w:val="002465B1"/>
    <w:rsid w:val="002468B3"/>
    <w:rsid w:val="002474DB"/>
    <w:rsid w:val="00247B29"/>
    <w:rsid w:val="00250E02"/>
    <w:rsid w:val="00251A55"/>
    <w:rsid w:val="00253836"/>
    <w:rsid w:val="002544C5"/>
    <w:rsid w:val="00255FD3"/>
    <w:rsid w:val="002578D4"/>
    <w:rsid w:val="00260CB7"/>
    <w:rsid w:val="00261099"/>
    <w:rsid w:val="00261BCA"/>
    <w:rsid w:val="002622C3"/>
    <w:rsid w:val="0026396C"/>
    <w:rsid w:val="00270726"/>
    <w:rsid w:val="00270DF5"/>
    <w:rsid w:val="00270F94"/>
    <w:rsid w:val="00271555"/>
    <w:rsid w:val="00272694"/>
    <w:rsid w:val="00275A02"/>
    <w:rsid w:val="00277083"/>
    <w:rsid w:val="00280229"/>
    <w:rsid w:val="0028207C"/>
    <w:rsid w:val="00284FCB"/>
    <w:rsid w:val="002850E5"/>
    <w:rsid w:val="0028753A"/>
    <w:rsid w:val="00290ACB"/>
    <w:rsid w:val="00290E0A"/>
    <w:rsid w:val="00292D4E"/>
    <w:rsid w:val="00293D1C"/>
    <w:rsid w:val="00295090"/>
    <w:rsid w:val="00296978"/>
    <w:rsid w:val="002A2E0E"/>
    <w:rsid w:val="002A3375"/>
    <w:rsid w:val="002A5D05"/>
    <w:rsid w:val="002A5EEC"/>
    <w:rsid w:val="002B0ABB"/>
    <w:rsid w:val="002B2831"/>
    <w:rsid w:val="002B4B78"/>
    <w:rsid w:val="002B51BF"/>
    <w:rsid w:val="002B55D2"/>
    <w:rsid w:val="002B7A29"/>
    <w:rsid w:val="002B7FF0"/>
    <w:rsid w:val="002C1298"/>
    <w:rsid w:val="002C2382"/>
    <w:rsid w:val="002C55B0"/>
    <w:rsid w:val="002C58CE"/>
    <w:rsid w:val="002C5B3E"/>
    <w:rsid w:val="002C646B"/>
    <w:rsid w:val="002C68B5"/>
    <w:rsid w:val="002C6982"/>
    <w:rsid w:val="002C70BB"/>
    <w:rsid w:val="002C7CDB"/>
    <w:rsid w:val="002D0330"/>
    <w:rsid w:val="002D40F5"/>
    <w:rsid w:val="002D4729"/>
    <w:rsid w:val="002D4BC6"/>
    <w:rsid w:val="002D6494"/>
    <w:rsid w:val="002E2C2F"/>
    <w:rsid w:val="002E3270"/>
    <w:rsid w:val="002E4E13"/>
    <w:rsid w:val="002E67F3"/>
    <w:rsid w:val="002F0053"/>
    <w:rsid w:val="002F1C8B"/>
    <w:rsid w:val="002F3EAA"/>
    <w:rsid w:val="002F5140"/>
    <w:rsid w:val="002F7E27"/>
    <w:rsid w:val="0030153C"/>
    <w:rsid w:val="00302A43"/>
    <w:rsid w:val="00307F0F"/>
    <w:rsid w:val="003121EC"/>
    <w:rsid w:val="00312F75"/>
    <w:rsid w:val="00313824"/>
    <w:rsid w:val="003156E1"/>
    <w:rsid w:val="00320D9B"/>
    <w:rsid w:val="00321005"/>
    <w:rsid w:val="003242B6"/>
    <w:rsid w:val="00324F4B"/>
    <w:rsid w:val="00330E72"/>
    <w:rsid w:val="0033457A"/>
    <w:rsid w:val="00334A43"/>
    <w:rsid w:val="003357AA"/>
    <w:rsid w:val="00336909"/>
    <w:rsid w:val="003373A2"/>
    <w:rsid w:val="00342453"/>
    <w:rsid w:val="00343DDC"/>
    <w:rsid w:val="00344466"/>
    <w:rsid w:val="00344ACB"/>
    <w:rsid w:val="0035022A"/>
    <w:rsid w:val="003513AD"/>
    <w:rsid w:val="00355F2A"/>
    <w:rsid w:val="0035662A"/>
    <w:rsid w:val="00360321"/>
    <w:rsid w:val="003627BD"/>
    <w:rsid w:val="003662F7"/>
    <w:rsid w:val="00370F65"/>
    <w:rsid w:val="0037140B"/>
    <w:rsid w:val="0037189B"/>
    <w:rsid w:val="00372AF8"/>
    <w:rsid w:val="00373117"/>
    <w:rsid w:val="00373358"/>
    <w:rsid w:val="0037381B"/>
    <w:rsid w:val="00374241"/>
    <w:rsid w:val="00374D95"/>
    <w:rsid w:val="003750A9"/>
    <w:rsid w:val="0037566B"/>
    <w:rsid w:val="003762F1"/>
    <w:rsid w:val="003771FA"/>
    <w:rsid w:val="00380C57"/>
    <w:rsid w:val="00382109"/>
    <w:rsid w:val="00382352"/>
    <w:rsid w:val="003833A0"/>
    <w:rsid w:val="003839D4"/>
    <w:rsid w:val="0038598F"/>
    <w:rsid w:val="003863C8"/>
    <w:rsid w:val="00387F2D"/>
    <w:rsid w:val="0039361B"/>
    <w:rsid w:val="0039449B"/>
    <w:rsid w:val="00395C65"/>
    <w:rsid w:val="00395F3E"/>
    <w:rsid w:val="003A0B57"/>
    <w:rsid w:val="003A39B9"/>
    <w:rsid w:val="003A3C32"/>
    <w:rsid w:val="003A50CC"/>
    <w:rsid w:val="003A518E"/>
    <w:rsid w:val="003A6B8C"/>
    <w:rsid w:val="003B0886"/>
    <w:rsid w:val="003B0AAD"/>
    <w:rsid w:val="003B26C7"/>
    <w:rsid w:val="003B2D65"/>
    <w:rsid w:val="003B4321"/>
    <w:rsid w:val="003B50ED"/>
    <w:rsid w:val="003B6ECA"/>
    <w:rsid w:val="003B795C"/>
    <w:rsid w:val="003B7F2E"/>
    <w:rsid w:val="003C0C4C"/>
    <w:rsid w:val="003C2E4A"/>
    <w:rsid w:val="003C6829"/>
    <w:rsid w:val="003C6D75"/>
    <w:rsid w:val="003E1364"/>
    <w:rsid w:val="003E2D9C"/>
    <w:rsid w:val="003E2E9A"/>
    <w:rsid w:val="003E361F"/>
    <w:rsid w:val="003E3889"/>
    <w:rsid w:val="003E4735"/>
    <w:rsid w:val="003E560C"/>
    <w:rsid w:val="003E5B9D"/>
    <w:rsid w:val="003E7F6A"/>
    <w:rsid w:val="003F2CEE"/>
    <w:rsid w:val="003F3421"/>
    <w:rsid w:val="003F3E25"/>
    <w:rsid w:val="003F5E1F"/>
    <w:rsid w:val="003F6E77"/>
    <w:rsid w:val="0040055C"/>
    <w:rsid w:val="00401674"/>
    <w:rsid w:val="00401E63"/>
    <w:rsid w:val="00402378"/>
    <w:rsid w:val="004025AC"/>
    <w:rsid w:val="0040546C"/>
    <w:rsid w:val="00406F1E"/>
    <w:rsid w:val="004075D1"/>
    <w:rsid w:val="00410043"/>
    <w:rsid w:val="004111A0"/>
    <w:rsid w:val="00411226"/>
    <w:rsid w:val="00412BC9"/>
    <w:rsid w:val="00415407"/>
    <w:rsid w:val="00415B69"/>
    <w:rsid w:val="0042025B"/>
    <w:rsid w:val="004212F3"/>
    <w:rsid w:val="00422F8C"/>
    <w:rsid w:val="00426CAC"/>
    <w:rsid w:val="00427BC6"/>
    <w:rsid w:val="0043104B"/>
    <w:rsid w:val="0043220E"/>
    <w:rsid w:val="004337D7"/>
    <w:rsid w:val="00433E00"/>
    <w:rsid w:val="0043443E"/>
    <w:rsid w:val="00434FEE"/>
    <w:rsid w:val="00435152"/>
    <w:rsid w:val="00435318"/>
    <w:rsid w:val="00440128"/>
    <w:rsid w:val="00442446"/>
    <w:rsid w:val="00443EF5"/>
    <w:rsid w:val="0044432A"/>
    <w:rsid w:val="0044473A"/>
    <w:rsid w:val="00446A0E"/>
    <w:rsid w:val="00447848"/>
    <w:rsid w:val="00452369"/>
    <w:rsid w:val="00452AA7"/>
    <w:rsid w:val="00454509"/>
    <w:rsid w:val="00456CD4"/>
    <w:rsid w:val="00460ACB"/>
    <w:rsid w:val="004705B0"/>
    <w:rsid w:val="004725EA"/>
    <w:rsid w:val="004727B2"/>
    <w:rsid w:val="00473197"/>
    <w:rsid w:val="00473D0B"/>
    <w:rsid w:val="00474316"/>
    <w:rsid w:val="00474542"/>
    <w:rsid w:val="00475A8A"/>
    <w:rsid w:val="00480E23"/>
    <w:rsid w:val="00482C38"/>
    <w:rsid w:val="00482C96"/>
    <w:rsid w:val="00482EB9"/>
    <w:rsid w:val="0048360F"/>
    <w:rsid w:val="00485648"/>
    <w:rsid w:val="00485EC8"/>
    <w:rsid w:val="00486890"/>
    <w:rsid w:val="00490046"/>
    <w:rsid w:val="00490865"/>
    <w:rsid w:val="0049455B"/>
    <w:rsid w:val="00494DB4"/>
    <w:rsid w:val="00495EE6"/>
    <w:rsid w:val="00497128"/>
    <w:rsid w:val="0049747E"/>
    <w:rsid w:val="00497E0D"/>
    <w:rsid w:val="00497EA1"/>
    <w:rsid w:val="004A1221"/>
    <w:rsid w:val="004A481E"/>
    <w:rsid w:val="004A7334"/>
    <w:rsid w:val="004B0D0A"/>
    <w:rsid w:val="004B123F"/>
    <w:rsid w:val="004B25E2"/>
    <w:rsid w:val="004B55D4"/>
    <w:rsid w:val="004B6A85"/>
    <w:rsid w:val="004B6D0E"/>
    <w:rsid w:val="004B7007"/>
    <w:rsid w:val="004C0B75"/>
    <w:rsid w:val="004C1CCA"/>
    <w:rsid w:val="004C59AA"/>
    <w:rsid w:val="004C5AE3"/>
    <w:rsid w:val="004D2527"/>
    <w:rsid w:val="004D4FEB"/>
    <w:rsid w:val="004D6C0A"/>
    <w:rsid w:val="004D79BD"/>
    <w:rsid w:val="004D7A10"/>
    <w:rsid w:val="004E04FE"/>
    <w:rsid w:val="004E0530"/>
    <w:rsid w:val="004E0643"/>
    <w:rsid w:val="004E3EFD"/>
    <w:rsid w:val="004E49B9"/>
    <w:rsid w:val="004E4BC7"/>
    <w:rsid w:val="004E4EB2"/>
    <w:rsid w:val="004E5089"/>
    <w:rsid w:val="004E70A1"/>
    <w:rsid w:val="004F164A"/>
    <w:rsid w:val="004F475A"/>
    <w:rsid w:val="00500220"/>
    <w:rsid w:val="005029CF"/>
    <w:rsid w:val="00502BE1"/>
    <w:rsid w:val="00502D2E"/>
    <w:rsid w:val="00504975"/>
    <w:rsid w:val="00507067"/>
    <w:rsid w:val="0051145B"/>
    <w:rsid w:val="00511CF9"/>
    <w:rsid w:val="005122C0"/>
    <w:rsid w:val="00513C7D"/>
    <w:rsid w:val="0051530B"/>
    <w:rsid w:val="00520807"/>
    <w:rsid w:val="0052119F"/>
    <w:rsid w:val="0052169E"/>
    <w:rsid w:val="00524902"/>
    <w:rsid w:val="00525B71"/>
    <w:rsid w:val="005265BF"/>
    <w:rsid w:val="00526F61"/>
    <w:rsid w:val="0052717E"/>
    <w:rsid w:val="00530DBD"/>
    <w:rsid w:val="00530F49"/>
    <w:rsid w:val="0053589B"/>
    <w:rsid w:val="00535C47"/>
    <w:rsid w:val="005360DE"/>
    <w:rsid w:val="00540DC0"/>
    <w:rsid w:val="00542157"/>
    <w:rsid w:val="00545382"/>
    <w:rsid w:val="00546A3B"/>
    <w:rsid w:val="00550E28"/>
    <w:rsid w:val="00553860"/>
    <w:rsid w:val="00561533"/>
    <w:rsid w:val="00562EA4"/>
    <w:rsid w:val="00563EAE"/>
    <w:rsid w:val="00564084"/>
    <w:rsid w:val="00566E00"/>
    <w:rsid w:val="00570721"/>
    <w:rsid w:val="00571A16"/>
    <w:rsid w:val="00573190"/>
    <w:rsid w:val="00574C3C"/>
    <w:rsid w:val="00575357"/>
    <w:rsid w:val="00575E53"/>
    <w:rsid w:val="00576177"/>
    <w:rsid w:val="005769FD"/>
    <w:rsid w:val="00577D26"/>
    <w:rsid w:val="0058248A"/>
    <w:rsid w:val="0058399B"/>
    <w:rsid w:val="005850E6"/>
    <w:rsid w:val="00586A0A"/>
    <w:rsid w:val="0058728C"/>
    <w:rsid w:val="00587329"/>
    <w:rsid w:val="00587C02"/>
    <w:rsid w:val="00590127"/>
    <w:rsid w:val="00591423"/>
    <w:rsid w:val="0059246D"/>
    <w:rsid w:val="00594C90"/>
    <w:rsid w:val="0059503E"/>
    <w:rsid w:val="005963DE"/>
    <w:rsid w:val="0059691E"/>
    <w:rsid w:val="005977DF"/>
    <w:rsid w:val="00597BDE"/>
    <w:rsid w:val="005A0615"/>
    <w:rsid w:val="005A1267"/>
    <w:rsid w:val="005A521E"/>
    <w:rsid w:val="005A57E5"/>
    <w:rsid w:val="005A74AD"/>
    <w:rsid w:val="005B0190"/>
    <w:rsid w:val="005B17D9"/>
    <w:rsid w:val="005B2B1F"/>
    <w:rsid w:val="005B2E7A"/>
    <w:rsid w:val="005B3C7B"/>
    <w:rsid w:val="005B3E0F"/>
    <w:rsid w:val="005B56A5"/>
    <w:rsid w:val="005B610D"/>
    <w:rsid w:val="005B6492"/>
    <w:rsid w:val="005B66D5"/>
    <w:rsid w:val="005C177D"/>
    <w:rsid w:val="005C2E46"/>
    <w:rsid w:val="005C323B"/>
    <w:rsid w:val="005C48E8"/>
    <w:rsid w:val="005C4CC1"/>
    <w:rsid w:val="005C4D0A"/>
    <w:rsid w:val="005C59EC"/>
    <w:rsid w:val="005C74C3"/>
    <w:rsid w:val="005D0544"/>
    <w:rsid w:val="005D1091"/>
    <w:rsid w:val="005D2ABC"/>
    <w:rsid w:val="005D2BE4"/>
    <w:rsid w:val="005D5152"/>
    <w:rsid w:val="005E0B2B"/>
    <w:rsid w:val="005E288B"/>
    <w:rsid w:val="005E325D"/>
    <w:rsid w:val="005E33ED"/>
    <w:rsid w:val="005E460F"/>
    <w:rsid w:val="005E5314"/>
    <w:rsid w:val="005E5445"/>
    <w:rsid w:val="005E5DE4"/>
    <w:rsid w:val="005E7430"/>
    <w:rsid w:val="005E75DD"/>
    <w:rsid w:val="005E7C3D"/>
    <w:rsid w:val="005E7D27"/>
    <w:rsid w:val="005F2389"/>
    <w:rsid w:val="005F2461"/>
    <w:rsid w:val="005F3D62"/>
    <w:rsid w:val="005F4849"/>
    <w:rsid w:val="005F4D08"/>
    <w:rsid w:val="005F6437"/>
    <w:rsid w:val="005F7E0B"/>
    <w:rsid w:val="006015BD"/>
    <w:rsid w:val="00603D2F"/>
    <w:rsid w:val="00610B2E"/>
    <w:rsid w:val="00613AAD"/>
    <w:rsid w:val="00614243"/>
    <w:rsid w:val="006175CD"/>
    <w:rsid w:val="0061765D"/>
    <w:rsid w:val="00621140"/>
    <w:rsid w:val="00622086"/>
    <w:rsid w:val="006229B9"/>
    <w:rsid w:val="00623D53"/>
    <w:rsid w:val="00623F86"/>
    <w:rsid w:val="006251CA"/>
    <w:rsid w:val="006253AD"/>
    <w:rsid w:val="00626FC7"/>
    <w:rsid w:val="006278E8"/>
    <w:rsid w:val="006307DE"/>
    <w:rsid w:val="00632876"/>
    <w:rsid w:val="00632CA2"/>
    <w:rsid w:val="0063383E"/>
    <w:rsid w:val="006340A7"/>
    <w:rsid w:val="006368BF"/>
    <w:rsid w:val="00637321"/>
    <w:rsid w:val="006408E4"/>
    <w:rsid w:val="00640D54"/>
    <w:rsid w:val="00642044"/>
    <w:rsid w:val="006427F5"/>
    <w:rsid w:val="006428B9"/>
    <w:rsid w:val="0064478A"/>
    <w:rsid w:val="006456F8"/>
    <w:rsid w:val="00647AAB"/>
    <w:rsid w:val="00650DF1"/>
    <w:rsid w:val="00657A2D"/>
    <w:rsid w:val="006604AE"/>
    <w:rsid w:val="00660BB4"/>
    <w:rsid w:val="00662F02"/>
    <w:rsid w:val="006630FC"/>
    <w:rsid w:val="00665A4F"/>
    <w:rsid w:val="006718EE"/>
    <w:rsid w:val="00672672"/>
    <w:rsid w:val="00675A33"/>
    <w:rsid w:val="00675B15"/>
    <w:rsid w:val="00676763"/>
    <w:rsid w:val="00681347"/>
    <w:rsid w:val="0068168A"/>
    <w:rsid w:val="0068238B"/>
    <w:rsid w:val="006824C3"/>
    <w:rsid w:val="006830F9"/>
    <w:rsid w:val="00684129"/>
    <w:rsid w:val="00685FD6"/>
    <w:rsid w:val="00686AA7"/>
    <w:rsid w:val="00686EE6"/>
    <w:rsid w:val="00686F70"/>
    <w:rsid w:val="0069030D"/>
    <w:rsid w:val="00690E02"/>
    <w:rsid w:val="00693AB2"/>
    <w:rsid w:val="00694BD0"/>
    <w:rsid w:val="00694E18"/>
    <w:rsid w:val="0069696C"/>
    <w:rsid w:val="006A0693"/>
    <w:rsid w:val="006A3544"/>
    <w:rsid w:val="006A405B"/>
    <w:rsid w:val="006A4A9B"/>
    <w:rsid w:val="006A4B24"/>
    <w:rsid w:val="006A730E"/>
    <w:rsid w:val="006B1D1D"/>
    <w:rsid w:val="006B3451"/>
    <w:rsid w:val="006B60C6"/>
    <w:rsid w:val="006B7E7E"/>
    <w:rsid w:val="006C3ABF"/>
    <w:rsid w:val="006C454E"/>
    <w:rsid w:val="006C4B1F"/>
    <w:rsid w:val="006C5455"/>
    <w:rsid w:val="006C6BA4"/>
    <w:rsid w:val="006D2ABA"/>
    <w:rsid w:val="006D2C80"/>
    <w:rsid w:val="006D6493"/>
    <w:rsid w:val="006E2071"/>
    <w:rsid w:val="006E280D"/>
    <w:rsid w:val="006E3A48"/>
    <w:rsid w:val="006E4777"/>
    <w:rsid w:val="006E65D5"/>
    <w:rsid w:val="006E7B2F"/>
    <w:rsid w:val="006F2842"/>
    <w:rsid w:val="006F2925"/>
    <w:rsid w:val="006F326C"/>
    <w:rsid w:val="006F53FA"/>
    <w:rsid w:val="007048E0"/>
    <w:rsid w:val="00705D56"/>
    <w:rsid w:val="00706223"/>
    <w:rsid w:val="00707DFC"/>
    <w:rsid w:val="007102F6"/>
    <w:rsid w:val="00710485"/>
    <w:rsid w:val="007143EF"/>
    <w:rsid w:val="00720243"/>
    <w:rsid w:val="00720815"/>
    <w:rsid w:val="00721123"/>
    <w:rsid w:val="00724A24"/>
    <w:rsid w:val="00724C01"/>
    <w:rsid w:val="0072502F"/>
    <w:rsid w:val="00726626"/>
    <w:rsid w:val="00731C23"/>
    <w:rsid w:val="007337CE"/>
    <w:rsid w:val="00733DE3"/>
    <w:rsid w:val="007439DE"/>
    <w:rsid w:val="00745F49"/>
    <w:rsid w:val="00745FC6"/>
    <w:rsid w:val="0074608E"/>
    <w:rsid w:val="00746873"/>
    <w:rsid w:val="00760101"/>
    <w:rsid w:val="00760217"/>
    <w:rsid w:val="0076060F"/>
    <w:rsid w:val="00762F61"/>
    <w:rsid w:val="007648EB"/>
    <w:rsid w:val="00765C17"/>
    <w:rsid w:val="007724D5"/>
    <w:rsid w:val="00774F27"/>
    <w:rsid w:val="00776E11"/>
    <w:rsid w:val="00777BD0"/>
    <w:rsid w:val="00781119"/>
    <w:rsid w:val="007837E0"/>
    <w:rsid w:val="007860F9"/>
    <w:rsid w:val="00786EC4"/>
    <w:rsid w:val="007907BC"/>
    <w:rsid w:val="00792F89"/>
    <w:rsid w:val="00793574"/>
    <w:rsid w:val="007A4CB2"/>
    <w:rsid w:val="007A565B"/>
    <w:rsid w:val="007B2696"/>
    <w:rsid w:val="007B2732"/>
    <w:rsid w:val="007B55A6"/>
    <w:rsid w:val="007C0A2C"/>
    <w:rsid w:val="007C1562"/>
    <w:rsid w:val="007C3C88"/>
    <w:rsid w:val="007D0C53"/>
    <w:rsid w:val="007D15BC"/>
    <w:rsid w:val="007D348B"/>
    <w:rsid w:val="007D76BA"/>
    <w:rsid w:val="007D7889"/>
    <w:rsid w:val="007E14E4"/>
    <w:rsid w:val="007E2027"/>
    <w:rsid w:val="007E3A14"/>
    <w:rsid w:val="007E3C7A"/>
    <w:rsid w:val="007E586E"/>
    <w:rsid w:val="007E5CBF"/>
    <w:rsid w:val="007E6072"/>
    <w:rsid w:val="007E6425"/>
    <w:rsid w:val="007E64C6"/>
    <w:rsid w:val="007E7F73"/>
    <w:rsid w:val="007F1F77"/>
    <w:rsid w:val="007F35AD"/>
    <w:rsid w:val="007F395B"/>
    <w:rsid w:val="007F4C26"/>
    <w:rsid w:val="007F7EED"/>
    <w:rsid w:val="008012A3"/>
    <w:rsid w:val="0080551C"/>
    <w:rsid w:val="00806A63"/>
    <w:rsid w:val="008071F0"/>
    <w:rsid w:val="00807435"/>
    <w:rsid w:val="00807594"/>
    <w:rsid w:val="00813626"/>
    <w:rsid w:val="008158E1"/>
    <w:rsid w:val="008159E3"/>
    <w:rsid w:val="00815DB7"/>
    <w:rsid w:val="0081779E"/>
    <w:rsid w:val="008177F5"/>
    <w:rsid w:val="0082113E"/>
    <w:rsid w:val="008211D0"/>
    <w:rsid w:val="00821310"/>
    <w:rsid w:val="00822ACC"/>
    <w:rsid w:val="008232F7"/>
    <w:rsid w:val="00823B83"/>
    <w:rsid w:val="00830AD6"/>
    <w:rsid w:val="0083283B"/>
    <w:rsid w:val="00832854"/>
    <w:rsid w:val="0083355A"/>
    <w:rsid w:val="00834266"/>
    <w:rsid w:val="00834AA6"/>
    <w:rsid w:val="008366CC"/>
    <w:rsid w:val="00837DC1"/>
    <w:rsid w:val="00840B55"/>
    <w:rsid w:val="0084183E"/>
    <w:rsid w:val="00842951"/>
    <w:rsid w:val="00843E1A"/>
    <w:rsid w:val="00844377"/>
    <w:rsid w:val="00846701"/>
    <w:rsid w:val="0084750D"/>
    <w:rsid w:val="00852422"/>
    <w:rsid w:val="00856B0D"/>
    <w:rsid w:val="00860795"/>
    <w:rsid w:val="00863C30"/>
    <w:rsid w:val="00864092"/>
    <w:rsid w:val="008640DF"/>
    <w:rsid w:val="00864F92"/>
    <w:rsid w:val="008660F3"/>
    <w:rsid w:val="00866E72"/>
    <w:rsid w:val="00866ECE"/>
    <w:rsid w:val="008713B3"/>
    <w:rsid w:val="008730B3"/>
    <w:rsid w:val="00874EEC"/>
    <w:rsid w:val="00875989"/>
    <w:rsid w:val="00881349"/>
    <w:rsid w:val="00882AC7"/>
    <w:rsid w:val="00883335"/>
    <w:rsid w:val="008845CC"/>
    <w:rsid w:val="00885760"/>
    <w:rsid w:val="008859D9"/>
    <w:rsid w:val="00891C27"/>
    <w:rsid w:val="00891EE6"/>
    <w:rsid w:val="008923FA"/>
    <w:rsid w:val="00892C99"/>
    <w:rsid w:val="00894294"/>
    <w:rsid w:val="008A3542"/>
    <w:rsid w:val="008A6393"/>
    <w:rsid w:val="008A6451"/>
    <w:rsid w:val="008A73E9"/>
    <w:rsid w:val="008A7881"/>
    <w:rsid w:val="008B188E"/>
    <w:rsid w:val="008B1DBC"/>
    <w:rsid w:val="008B351A"/>
    <w:rsid w:val="008B72EF"/>
    <w:rsid w:val="008C088A"/>
    <w:rsid w:val="008C275E"/>
    <w:rsid w:val="008D306D"/>
    <w:rsid w:val="008D5F9C"/>
    <w:rsid w:val="008D6CF4"/>
    <w:rsid w:val="008E0299"/>
    <w:rsid w:val="008E04B4"/>
    <w:rsid w:val="008E1BB7"/>
    <w:rsid w:val="008E3745"/>
    <w:rsid w:val="008F41D2"/>
    <w:rsid w:val="008F6BF2"/>
    <w:rsid w:val="009005CB"/>
    <w:rsid w:val="00904760"/>
    <w:rsid w:val="009075FF"/>
    <w:rsid w:val="00907915"/>
    <w:rsid w:val="00910074"/>
    <w:rsid w:val="00910A82"/>
    <w:rsid w:val="00911097"/>
    <w:rsid w:val="0091155F"/>
    <w:rsid w:val="009136BE"/>
    <w:rsid w:val="009146DF"/>
    <w:rsid w:val="0092058A"/>
    <w:rsid w:val="00920BF0"/>
    <w:rsid w:val="00922CC8"/>
    <w:rsid w:val="0092580A"/>
    <w:rsid w:val="009266DC"/>
    <w:rsid w:val="0093052E"/>
    <w:rsid w:val="00937358"/>
    <w:rsid w:val="009376EC"/>
    <w:rsid w:val="009414FB"/>
    <w:rsid w:val="009419B4"/>
    <w:rsid w:val="00944410"/>
    <w:rsid w:val="00946815"/>
    <w:rsid w:val="00946B6F"/>
    <w:rsid w:val="00946BBE"/>
    <w:rsid w:val="00950FCA"/>
    <w:rsid w:val="009510FF"/>
    <w:rsid w:val="009512DD"/>
    <w:rsid w:val="00951F41"/>
    <w:rsid w:val="009524ED"/>
    <w:rsid w:val="00952C87"/>
    <w:rsid w:val="00953337"/>
    <w:rsid w:val="009542D1"/>
    <w:rsid w:val="009558BF"/>
    <w:rsid w:val="00961201"/>
    <w:rsid w:val="00961246"/>
    <w:rsid w:val="00962265"/>
    <w:rsid w:val="00964036"/>
    <w:rsid w:val="00964E40"/>
    <w:rsid w:val="00965FCE"/>
    <w:rsid w:val="00967245"/>
    <w:rsid w:val="00970872"/>
    <w:rsid w:val="00970CFF"/>
    <w:rsid w:val="00970DAB"/>
    <w:rsid w:val="009730B6"/>
    <w:rsid w:val="00975CE5"/>
    <w:rsid w:val="0097624C"/>
    <w:rsid w:val="009767E0"/>
    <w:rsid w:val="00977495"/>
    <w:rsid w:val="00977B5C"/>
    <w:rsid w:val="00977BC4"/>
    <w:rsid w:val="00980EA2"/>
    <w:rsid w:val="0098146D"/>
    <w:rsid w:val="009815DC"/>
    <w:rsid w:val="00981AE4"/>
    <w:rsid w:val="00982073"/>
    <w:rsid w:val="0098305A"/>
    <w:rsid w:val="00985EF2"/>
    <w:rsid w:val="00990912"/>
    <w:rsid w:val="00991111"/>
    <w:rsid w:val="00991227"/>
    <w:rsid w:val="009924CA"/>
    <w:rsid w:val="00992901"/>
    <w:rsid w:val="00992F02"/>
    <w:rsid w:val="0099526B"/>
    <w:rsid w:val="00995BCE"/>
    <w:rsid w:val="009A35DA"/>
    <w:rsid w:val="009A385F"/>
    <w:rsid w:val="009B104E"/>
    <w:rsid w:val="009B3807"/>
    <w:rsid w:val="009B43D9"/>
    <w:rsid w:val="009B6746"/>
    <w:rsid w:val="009B6AA7"/>
    <w:rsid w:val="009B6F39"/>
    <w:rsid w:val="009C1CF1"/>
    <w:rsid w:val="009C2133"/>
    <w:rsid w:val="009D000A"/>
    <w:rsid w:val="009D008C"/>
    <w:rsid w:val="009D04BB"/>
    <w:rsid w:val="009D14BB"/>
    <w:rsid w:val="009D23C9"/>
    <w:rsid w:val="009D3361"/>
    <w:rsid w:val="009D5455"/>
    <w:rsid w:val="009E08E6"/>
    <w:rsid w:val="009E104B"/>
    <w:rsid w:val="009E1D82"/>
    <w:rsid w:val="009E32A1"/>
    <w:rsid w:val="009E42DC"/>
    <w:rsid w:val="009E6095"/>
    <w:rsid w:val="009E6279"/>
    <w:rsid w:val="009E6FF3"/>
    <w:rsid w:val="009E7DEC"/>
    <w:rsid w:val="009F07B4"/>
    <w:rsid w:val="009F3B71"/>
    <w:rsid w:val="009F43A8"/>
    <w:rsid w:val="009F637C"/>
    <w:rsid w:val="009F762E"/>
    <w:rsid w:val="009F7A6A"/>
    <w:rsid w:val="00A0241B"/>
    <w:rsid w:val="00A048F6"/>
    <w:rsid w:val="00A04EF0"/>
    <w:rsid w:val="00A10828"/>
    <w:rsid w:val="00A108A8"/>
    <w:rsid w:val="00A1152B"/>
    <w:rsid w:val="00A1205B"/>
    <w:rsid w:val="00A1255A"/>
    <w:rsid w:val="00A12C0E"/>
    <w:rsid w:val="00A13467"/>
    <w:rsid w:val="00A15D6D"/>
    <w:rsid w:val="00A16148"/>
    <w:rsid w:val="00A2104C"/>
    <w:rsid w:val="00A21143"/>
    <w:rsid w:val="00A21862"/>
    <w:rsid w:val="00A23F35"/>
    <w:rsid w:val="00A250E8"/>
    <w:rsid w:val="00A25735"/>
    <w:rsid w:val="00A268EA"/>
    <w:rsid w:val="00A27F2F"/>
    <w:rsid w:val="00A27F84"/>
    <w:rsid w:val="00A30937"/>
    <w:rsid w:val="00A3151D"/>
    <w:rsid w:val="00A326B7"/>
    <w:rsid w:val="00A33840"/>
    <w:rsid w:val="00A34FA1"/>
    <w:rsid w:val="00A35523"/>
    <w:rsid w:val="00A359B1"/>
    <w:rsid w:val="00A40935"/>
    <w:rsid w:val="00A42698"/>
    <w:rsid w:val="00A42D19"/>
    <w:rsid w:val="00A4334E"/>
    <w:rsid w:val="00A450F1"/>
    <w:rsid w:val="00A504BA"/>
    <w:rsid w:val="00A52A3D"/>
    <w:rsid w:val="00A531D5"/>
    <w:rsid w:val="00A53285"/>
    <w:rsid w:val="00A53D60"/>
    <w:rsid w:val="00A540CF"/>
    <w:rsid w:val="00A55A53"/>
    <w:rsid w:val="00A56C6E"/>
    <w:rsid w:val="00A57680"/>
    <w:rsid w:val="00A63AC8"/>
    <w:rsid w:val="00A6585E"/>
    <w:rsid w:val="00A66A5B"/>
    <w:rsid w:val="00A67454"/>
    <w:rsid w:val="00A7034E"/>
    <w:rsid w:val="00A714DC"/>
    <w:rsid w:val="00A72AF6"/>
    <w:rsid w:val="00A73716"/>
    <w:rsid w:val="00A73D53"/>
    <w:rsid w:val="00A73EBB"/>
    <w:rsid w:val="00A7444B"/>
    <w:rsid w:val="00A756D3"/>
    <w:rsid w:val="00A767A2"/>
    <w:rsid w:val="00A77A1F"/>
    <w:rsid w:val="00A80B9A"/>
    <w:rsid w:val="00A816A1"/>
    <w:rsid w:val="00A85C60"/>
    <w:rsid w:val="00A85DE9"/>
    <w:rsid w:val="00A85E42"/>
    <w:rsid w:val="00A862B5"/>
    <w:rsid w:val="00A869B7"/>
    <w:rsid w:val="00A8772B"/>
    <w:rsid w:val="00A91DA3"/>
    <w:rsid w:val="00A91DBB"/>
    <w:rsid w:val="00A9234C"/>
    <w:rsid w:val="00A92F65"/>
    <w:rsid w:val="00A9392C"/>
    <w:rsid w:val="00A9643C"/>
    <w:rsid w:val="00A97EE0"/>
    <w:rsid w:val="00AA2FC8"/>
    <w:rsid w:val="00AA32AD"/>
    <w:rsid w:val="00AA32C5"/>
    <w:rsid w:val="00AA3400"/>
    <w:rsid w:val="00AA6CFE"/>
    <w:rsid w:val="00AB1A05"/>
    <w:rsid w:val="00AB1A92"/>
    <w:rsid w:val="00AB4A2F"/>
    <w:rsid w:val="00AB5E52"/>
    <w:rsid w:val="00AC420B"/>
    <w:rsid w:val="00AC720A"/>
    <w:rsid w:val="00AC7EC0"/>
    <w:rsid w:val="00AD0210"/>
    <w:rsid w:val="00AD28AC"/>
    <w:rsid w:val="00AD2A02"/>
    <w:rsid w:val="00AD4999"/>
    <w:rsid w:val="00AD7FBF"/>
    <w:rsid w:val="00AE0529"/>
    <w:rsid w:val="00AE0C19"/>
    <w:rsid w:val="00AE0D53"/>
    <w:rsid w:val="00AE1D99"/>
    <w:rsid w:val="00AE3D4A"/>
    <w:rsid w:val="00AE54BA"/>
    <w:rsid w:val="00AE5930"/>
    <w:rsid w:val="00AE5FF4"/>
    <w:rsid w:val="00AE6217"/>
    <w:rsid w:val="00AE62F4"/>
    <w:rsid w:val="00AF183C"/>
    <w:rsid w:val="00AF211E"/>
    <w:rsid w:val="00AF3C7B"/>
    <w:rsid w:val="00AF43BC"/>
    <w:rsid w:val="00B01719"/>
    <w:rsid w:val="00B01782"/>
    <w:rsid w:val="00B01FC7"/>
    <w:rsid w:val="00B03DFC"/>
    <w:rsid w:val="00B040E6"/>
    <w:rsid w:val="00B05506"/>
    <w:rsid w:val="00B065AC"/>
    <w:rsid w:val="00B07594"/>
    <w:rsid w:val="00B12759"/>
    <w:rsid w:val="00B131F7"/>
    <w:rsid w:val="00B14FE8"/>
    <w:rsid w:val="00B157F7"/>
    <w:rsid w:val="00B15BEE"/>
    <w:rsid w:val="00B17B5E"/>
    <w:rsid w:val="00B208AA"/>
    <w:rsid w:val="00B21730"/>
    <w:rsid w:val="00B22746"/>
    <w:rsid w:val="00B233B9"/>
    <w:rsid w:val="00B25F67"/>
    <w:rsid w:val="00B33B1E"/>
    <w:rsid w:val="00B43012"/>
    <w:rsid w:val="00B44592"/>
    <w:rsid w:val="00B4538C"/>
    <w:rsid w:val="00B478A3"/>
    <w:rsid w:val="00B51BA9"/>
    <w:rsid w:val="00B555B2"/>
    <w:rsid w:val="00B61DB7"/>
    <w:rsid w:val="00B627F8"/>
    <w:rsid w:val="00B639FE"/>
    <w:rsid w:val="00B673FD"/>
    <w:rsid w:val="00B67CFB"/>
    <w:rsid w:val="00B710CC"/>
    <w:rsid w:val="00B73688"/>
    <w:rsid w:val="00B75958"/>
    <w:rsid w:val="00B766C6"/>
    <w:rsid w:val="00B77186"/>
    <w:rsid w:val="00B771D4"/>
    <w:rsid w:val="00B7778B"/>
    <w:rsid w:val="00B84DBD"/>
    <w:rsid w:val="00B85AE7"/>
    <w:rsid w:val="00B90C84"/>
    <w:rsid w:val="00B91880"/>
    <w:rsid w:val="00B92E47"/>
    <w:rsid w:val="00B940CF"/>
    <w:rsid w:val="00B957F8"/>
    <w:rsid w:val="00B95D1F"/>
    <w:rsid w:val="00B969C5"/>
    <w:rsid w:val="00B9729E"/>
    <w:rsid w:val="00BA02CA"/>
    <w:rsid w:val="00BA0985"/>
    <w:rsid w:val="00BA1B3D"/>
    <w:rsid w:val="00BA200A"/>
    <w:rsid w:val="00BA2A0D"/>
    <w:rsid w:val="00BA3F5E"/>
    <w:rsid w:val="00BA5823"/>
    <w:rsid w:val="00BA61BB"/>
    <w:rsid w:val="00BB0307"/>
    <w:rsid w:val="00BB2382"/>
    <w:rsid w:val="00BB277C"/>
    <w:rsid w:val="00BB3A3E"/>
    <w:rsid w:val="00BB55DC"/>
    <w:rsid w:val="00BC0081"/>
    <w:rsid w:val="00BC4B59"/>
    <w:rsid w:val="00BC6746"/>
    <w:rsid w:val="00BC6EA6"/>
    <w:rsid w:val="00BC70B5"/>
    <w:rsid w:val="00BC7783"/>
    <w:rsid w:val="00BD06C6"/>
    <w:rsid w:val="00BD0D01"/>
    <w:rsid w:val="00BD4CF6"/>
    <w:rsid w:val="00BD7098"/>
    <w:rsid w:val="00BD730B"/>
    <w:rsid w:val="00BE0966"/>
    <w:rsid w:val="00BE1624"/>
    <w:rsid w:val="00BE19E9"/>
    <w:rsid w:val="00BE57EF"/>
    <w:rsid w:val="00BE5AF4"/>
    <w:rsid w:val="00BF1321"/>
    <w:rsid w:val="00BF1D20"/>
    <w:rsid w:val="00BF22AD"/>
    <w:rsid w:val="00BF49A5"/>
    <w:rsid w:val="00BF6100"/>
    <w:rsid w:val="00BF6BF7"/>
    <w:rsid w:val="00BF6CE0"/>
    <w:rsid w:val="00BF750F"/>
    <w:rsid w:val="00BF7AF5"/>
    <w:rsid w:val="00C00218"/>
    <w:rsid w:val="00C00317"/>
    <w:rsid w:val="00C0178E"/>
    <w:rsid w:val="00C0196E"/>
    <w:rsid w:val="00C04965"/>
    <w:rsid w:val="00C04A92"/>
    <w:rsid w:val="00C1003E"/>
    <w:rsid w:val="00C1150E"/>
    <w:rsid w:val="00C11849"/>
    <w:rsid w:val="00C12BFA"/>
    <w:rsid w:val="00C1351C"/>
    <w:rsid w:val="00C13808"/>
    <w:rsid w:val="00C15351"/>
    <w:rsid w:val="00C15914"/>
    <w:rsid w:val="00C163C4"/>
    <w:rsid w:val="00C17144"/>
    <w:rsid w:val="00C20098"/>
    <w:rsid w:val="00C20735"/>
    <w:rsid w:val="00C2268B"/>
    <w:rsid w:val="00C2490D"/>
    <w:rsid w:val="00C25C70"/>
    <w:rsid w:val="00C25FC6"/>
    <w:rsid w:val="00C2659A"/>
    <w:rsid w:val="00C27CD9"/>
    <w:rsid w:val="00C27E04"/>
    <w:rsid w:val="00C306FD"/>
    <w:rsid w:val="00C341B7"/>
    <w:rsid w:val="00C34343"/>
    <w:rsid w:val="00C35AAB"/>
    <w:rsid w:val="00C3653D"/>
    <w:rsid w:val="00C37264"/>
    <w:rsid w:val="00C40044"/>
    <w:rsid w:val="00C4034E"/>
    <w:rsid w:val="00C41597"/>
    <w:rsid w:val="00C4209C"/>
    <w:rsid w:val="00C4472E"/>
    <w:rsid w:val="00C46074"/>
    <w:rsid w:val="00C47561"/>
    <w:rsid w:val="00C509EF"/>
    <w:rsid w:val="00C538F0"/>
    <w:rsid w:val="00C5494B"/>
    <w:rsid w:val="00C57EED"/>
    <w:rsid w:val="00C6168C"/>
    <w:rsid w:val="00C633DB"/>
    <w:rsid w:val="00C645CF"/>
    <w:rsid w:val="00C6467B"/>
    <w:rsid w:val="00C70C6D"/>
    <w:rsid w:val="00C71B28"/>
    <w:rsid w:val="00C720F8"/>
    <w:rsid w:val="00C72465"/>
    <w:rsid w:val="00C726C1"/>
    <w:rsid w:val="00C75092"/>
    <w:rsid w:val="00C7644C"/>
    <w:rsid w:val="00C770AD"/>
    <w:rsid w:val="00C77ABF"/>
    <w:rsid w:val="00C83733"/>
    <w:rsid w:val="00C8471E"/>
    <w:rsid w:val="00C86470"/>
    <w:rsid w:val="00C8655B"/>
    <w:rsid w:val="00C90C26"/>
    <w:rsid w:val="00C91253"/>
    <w:rsid w:val="00C917D9"/>
    <w:rsid w:val="00C933E2"/>
    <w:rsid w:val="00C9508B"/>
    <w:rsid w:val="00C9548A"/>
    <w:rsid w:val="00C973F4"/>
    <w:rsid w:val="00CA38D0"/>
    <w:rsid w:val="00CA487E"/>
    <w:rsid w:val="00CA59B3"/>
    <w:rsid w:val="00CA766A"/>
    <w:rsid w:val="00CA789D"/>
    <w:rsid w:val="00CB2604"/>
    <w:rsid w:val="00CB6AE0"/>
    <w:rsid w:val="00CB6E20"/>
    <w:rsid w:val="00CC30BD"/>
    <w:rsid w:val="00CC32D4"/>
    <w:rsid w:val="00CC34AB"/>
    <w:rsid w:val="00CC4C68"/>
    <w:rsid w:val="00CC61D1"/>
    <w:rsid w:val="00CC662C"/>
    <w:rsid w:val="00CC66A6"/>
    <w:rsid w:val="00CD05F7"/>
    <w:rsid w:val="00CD3251"/>
    <w:rsid w:val="00CD3637"/>
    <w:rsid w:val="00CD49C1"/>
    <w:rsid w:val="00CD693F"/>
    <w:rsid w:val="00CE1187"/>
    <w:rsid w:val="00CE1755"/>
    <w:rsid w:val="00CE384A"/>
    <w:rsid w:val="00CE3D18"/>
    <w:rsid w:val="00CE444F"/>
    <w:rsid w:val="00CE68D4"/>
    <w:rsid w:val="00CF1FFC"/>
    <w:rsid w:val="00CF210A"/>
    <w:rsid w:val="00CF2355"/>
    <w:rsid w:val="00CF3295"/>
    <w:rsid w:val="00CF5A93"/>
    <w:rsid w:val="00CF7F5D"/>
    <w:rsid w:val="00D00909"/>
    <w:rsid w:val="00D01149"/>
    <w:rsid w:val="00D01263"/>
    <w:rsid w:val="00D01559"/>
    <w:rsid w:val="00D0343A"/>
    <w:rsid w:val="00D03E15"/>
    <w:rsid w:val="00D04340"/>
    <w:rsid w:val="00D04D2F"/>
    <w:rsid w:val="00D05299"/>
    <w:rsid w:val="00D07435"/>
    <w:rsid w:val="00D07D90"/>
    <w:rsid w:val="00D07F1E"/>
    <w:rsid w:val="00D1057A"/>
    <w:rsid w:val="00D12CA0"/>
    <w:rsid w:val="00D12F8F"/>
    <w:rsid w:val="00D14CFF"/>
    <w:rsid w:val="00D237A9"/>
    <w:rsid w:val="00D245C1"/>
    <w:rsid w:val="00D24ED5"/>
    <w:rsid w:val="00D2645B"/>
    <w:rsid w:val="00D311F2"/>
    <w:rsid w:val="00D324A8"/>
    <w:rsid w:val="00D33196"/>
    <w:rsid w:val="00D34255"/>
    <w:rsid w:val="00D35D32"/>
    <w:rsid w:val="00D361E6"/>
    <w:rsid w:val="00D36B21"/>
    <w:rsid w:val="00D36E57"/>
    <w:rsid w:val="00D37ACA"/>
    <w:rsid w:val="00D40149"/>
    <w:rsid w:val="00D41D5A"/>
    <w:rsid w:val="00D43068"/>
    <w:rsid w:val="00D43103"/>
    <w:rsid w:val="00D44AAB"/>
    <w:rsid w:val="00D50DBD"/>
    <w:rsid w:val="00D51CEA"/>
    <w:rsid w:val="00D5370A"/>
    <w:rsid w:val="00D54D12"/>
    <w:rsid w:val="00D55D06"/>
    <w:rsid w:val="00D56A21"/>
    <w:rsid w:val="00D57BFF"/>
    <w:rsid w:val="00D61634"/>
    <w:rsid w:val="00D625C5"/>
    <w:rsid w:val="00D63B5A"/>
    <w:rsid w:val="00D63FEE"/>
    <w:rsid w:val="00D6508F"/>
    <w:rsid w:val="00D650D7"/>
    <w:rsid w:val="00D65CF7"/>
    <w:rsid w:val="00D67079"/>
    <w:rsid w:val="00D73FAF"/>
    <w:rsid w:val="00D74B26"/>
    <w:rsid w:val="00D75714"/>
    <w:rsid w:val="00D76083"/>
    <w:rsid w:val="00D80C35"/>
    <w:rsid w:val="00D81469"/>
    <w:rsid w:val="00D8234B"/>
    <w:rsid w:val="00D828CD"/>
    <w:rsid w:val="00D8296B"/>
    <w:rsid w:val="00D84714"/>
    <w:rsid w:val="00D8677F"/>
    <w:rsid w:val="00D86AC6"/>
    <w:rsid w:val="00D86AD6"/>
    <w:rsid w:val="00D903C6"/>
    <w:rsid w:val="00D90B99"/>
    <w:rsid w:val="00D91130"/>
    <w:rsid w:val="00D9496B"/>
    <w:rsid w:val="00D94DE2"/>
    <w:rsid w:val="00DA0D3E"/>
    <w:rsid w:val="00DA7989"/>
    <w:rsid w:val="00DB083A"/>
    <w:rsid w:val="00DB5AC2"/>
    <w:rsid w:val="00DC151E"/>
    <w:rsid w:val="00DC1B0E"/>
    <w:rsid w:val="00DC5F7B"/>
    <w:rsid w:val="00DC60E5"/>
    <w:rsid w:val="00DD0516"/>
    <w:rsid w:val="00DD252A"/>
    <w:rsid w:val="00DD2D1B"/>
    <w:rsid w:val="00DD3312"/>
    <w:rsid w:val="00DD435A"/>
    <w:rsid w:val="00DD52EC"/>
    <w:rsid w:val="00DD5715"/>
    <w:rsid w:val="00DD5C1B"/>
    <w:rsid w:val="00DD7270"/>
    <w:rsid w:val="00DD72BB"/>
    <w:rsid w:val="00DD7C7C"/>
    <w:rsid w:val="00DD7D05"/>
    <w:rsid w:val="00DE3667"/>
    <w:rsid w:val="00DE3972"/>
    <w:rsid w:val="00DE4B43"/>
    <w:rsid w:val="00DE501A"/>
    <w:rsid w:val="00DE6900"/>
    <w:rsid w:val="00DE7971"/>
    <w:rsid w:val="00DF161A"/>
    <w:rsid w:val="00DF1909"/>
    <w:rsid w:val="00DF6DA9"/>
    <w:rsid w:val="00DF7E67"/>
    <w:rsid w:val="00E02CC5"/>
    <w:rsid w:val="00E03B15"/>
    <w:rsid w:val="00E05652"/>
    <w:rsid w:val="00E1050B"/>
    <w:rsid w:val="00E23CB8"/>
    <w:rsid w:val="00E30272"/>
    <w:rsid w:val="00E30857"/>
    <w:rsid w:val="00E313AF"/>
    <w:rsid w:val="00E3399D"/>
    <w:rsid w:val="00E3457F"/>
    <w:rsid w:val="00E379F1"/>
    <w:rsid w:val="00E41EB4"/>
    <w:rsid w:val="00E43D9E"/>
    <w:rsid w:val="00E4458B"/>
    <w:rsid w:val="00E52FED"/>
    <w:rsid w:val="00E53C50"/>
    <w:rsid w:val="00E551E5"/>
    <w:rsid w:val="00E6035E"/>
    <w:rsid w:val="00E612F2"/>
    <w:rsid w:val="00E6196A"/>
    <w:rsid w:val="00E63926"/>
    <w:rsid w:val="00E6525F"/>
    <w:rsid w:val="00E67628"/>
    <w:rsid w:val="00E709C2"/>
    <w:rsid w:val="00E71B75"/>
    <w:rsid w:val="00E77A10"/>
    <w:rsid w:val="00E808A5"/>
    <w:rsid w:val="00E80904"/>
    <w:rsid w:val="00E8374B"/>
    <w:rsid w:val="00E9050B"/>
    <w:rsid w:val="00E908F8"/>
    <w:rsid w:val="00E90CCF"/>
    <w:rsid w:val="00E91086"/>
    <w:rsid w:val="00E929D6"/>
    <w:rsid w:val="00E967E1"/>
    <w:rsid w:val="00EA3823"/>
    <w:rsid w:val="00EA38DA"/>
    <w:rsid w:val="00EA4C3D"/>
    <w:rsid w:val="00EA5E88"/>
    <w:rsid w:val="00EB08B1"/>
    <w:rsid w:val="00EB2273"/>
    <w:rsid w:val="00EB2F4F"/>
    <w:rsid w:val="00EB4B32"/>
    <w:rsid w:val="00EC1290"/>
    <w:rsid w:val="00EC1A90"/>
    <w:rsid w:val="00EC2CFF"/>
    <w:rsid w:val="00EC2F29"/>
    <w:rsid w:val="00EC370F"/>
    <w:rsid w:val="00EC3D07"/>
    <w:rsid w:val="00EC3D31"/>
    <w:rsid w:val="00EC3E73"/>
    <w:rsid w:val="00EC43A5"/>
    <w:rsid w:val="00EC5A4D"/>
    <w:rsid w:val="00EC6265"/>
    <w:rsid w:val="00EC6517"/>
    <w:rsid w:val="00EC7D1E"/>
    <w:rsid w:val="00ED31A1"/>
    <w:rsid w:val="00ED356A"/>
    <w:rsid w:val="00ED6723"/>
    <w:rsid w:val="00ED7580"/>
    <w:rsid w:val="00ED76D4"/>
    <w:rsid w:val="00EE1CBC"/>
    <w:rsid w:val="00EE728F"/>
    <w:rsid w:val="00EF0A5E"/>
    <w:rsid w:val="00EF286C"/>
    <w:rsid w:val="00F00104"/>
    <w:rsid w:val="00F01964"/>
    <w:rsid w:val="00F01BF8"/>
    <w:rsid w:val="00F02B27"/>
    <w:rsid w:val="00F03C29"/>
    <w:rsid w:val="00F05621"/>
    <w:rsid w:val="00F05BE0"/>
    <w:rsid w:val="00F123FD"/>
    <w:rsid w:val="00F13A72"/>
    <w:rsid w:val="00F13A9D"/>
    <w:rsid w:val="00F201AC"/>
    <w:rsid w:val="00F2381F"/>
    <w:rsid w:val="00F26AD1"/>
    <w:rsid w:val="00F303E0"/>
    <w:rsid w:val="00F32FFE"/>
    <w:rsid w:val="00F35361"/>
    <w:rsid w:val="00F358E3"/>
    <w:rsid w:val="00F37896"/>
    <w:rsid w:val="00F4316E"/>
    <w:rsid w:val="00F441E6"/>
    <w:rsid w:val="00F5039C"/>
    <w:rsid w:val="00F607FC"/>
    <w:rsid w:val="00F60FF3"/>
    <w:rsid w:val="00F63FF1"/>
    <w:rsid w:val="00F64F01"/>
    <w:rsid w:val="00F65695"/>
    <w:rsid w:val="00F65CB0"/>
    <w:rsid w:val="00F702DF"/>
    <w:rsid w:val="00F704F1"/>
    <w:rsid w:val="00F73E7B"/>
    <w:rsid w:val="00F80BF5"/>
    <w:rsid w:val="00F813A7"/>
    <w:rsid w:val="00F843AD"/>
    <w:rsid w:val="00F84F66"/>
    <w:rsid w:val="00F859CF"/>
    <w:rsid w:val="00F90873"/>
    <w:rsid w:val="00F92322"/>
    <w:rsid w:val="00F940FD"/>
    <w:rsid w:val="00F942FA"/>
    <w:rsid w:val="00F9540E"/>
    <w:rsid w:val="00FA0EE8"/>
    <w:rsid w:val="00FA1109"/>
    <w:rsid w:val="00FA2F87"/>
    <w:rsid w:val="00FA5F3F"/>
    <w:rsid w:val="00FA677C"/>
    <w:rsid w:val="00FA6D98"/>
    <w:rsid w:val="00FA7A06"/>
    <w:rsid w:val="00FB0C9B"/>
    <w:rsid w:val="00FB22D7"/>
    <w:rsid w:val="00FB2B80"/>
    <w:rsid w:val="00FB36D1"/>
    <w:rsid w:val="00FB5219"/>
    <w:rsid w:val="00FB594D"/>
    <w:rsid w:val="00FC28F2"/>
    <w:rsid w:val="00FC2BE3"/>
    <w:rsid w:val="00FC4F3A"/>
    <w:rsid w:val="00FC5192"/>
    <w:rsid w:val="00FC6A97"/>
    <w:rsid w:val="00FC6DCF"/>
    <w:rsid w:val="00FC71AF"/>
    <w:rsid w:val="00FC7A4F"/>
    <w:rsid w:val="00FD2362"/>
    <w:rsid w:val="00FD2556"/>
    <w:rsid w:val="00FD3298"/>
    <w:rsid w:val="00FD354E"/>
    <w:rsid w:val="00FD47BE"/>
    <w:rsid w:val="00FD6124"/>
    <w:rsid w:val="00FD6681"/>
    <w:rsid w:val="00FD7307"/>
    <w:rsid w:val="00FE242E"/>
    <w:rsid w:val="00FE310F"/>
    <w:rsid w:val="00FE4205"/>
    <w:rsid w:val="00FE4BA0"/>
    <w:rsid w:val="00FE657D"/>
    <w:rsid w:val="00FE7DD7"/>
    <w:rsid w:val="00FE7FF1"/>
    <w:rsid w:val="00FF3068"/>
    <w:rsid w:val="00FF4748"/>
    <w:rsid w:val="00FF63A7"/>
    <w:rsid w:val="00FF6520"/>
    <w:rsid w:val="00FF7D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6B168E"/>
  <w15:chartTrackingRefBased/>
  <w15:docId w15:val="{B937ABD0-BD62-4D2D-8BDC-3A100B903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UY"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DD7"/>
    <w:pPr>
      <w:jc w:val="both"/>
    </w:pPr>
    <w:rPr>
      <w:rFonts w:ascii="Times New Roman" w:eastAsia="Times New Roman" w:hAnsi="Times New Roman"/>
      <w:sz w:val="22"/>
      <w:szCs w:val="24"/>
      <w:lang w:eastAsia="en-US"/>
    </w:rPr>
  </w:style>
  <w:style w:type="paragraph" w:styleId="Heading1">
    <w:name w:val="heading 1"/>
    <w:basedOn w:val="Normal"/>
    <w:next w:val="Normal"/>
    <w:link w:val="Heading1Char"/>
    <w:uiPriority w:val="9"/>
    <w:qFormat/>
    <w:rsid w:val="00FE7DD7"/>
    <w:pPr>
      <w:keepNext/>
      <w:keepLines/>
      <w:numPr>
        <w:numId w:val="1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FE7DD7"/>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E7DD7"/>
    <w:pPr>
      <w:keepNext/>
      <w:keepLines/>
      <w:numPr>
        <w:numId w:val="18"/>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FE7DD7"/>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FE7DD7"/>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672672"/>
    <w:pPr>
      <w:keepNext/>
      <w:spacing w:after="240" w:line="240" w:lineRule="exact"/>
      <w:ind w:left="720"/>
      <w:outlineLvl w:val="5"/>
    </w:pPr>
    <w:rPr>
      <w:u w:val="single"/>
    </w:rPr>
  </w:style>
  <w:style w:type="paragraph" w:styleId="Heading7">
    <w:name w:val="heading 7"/>
    <w:basedOn w:val="Normal"/>
    <w:next w:val="Normal"/>
    <w:link w:val="Heading7Char"/>
    <w:rsid w:val="00672672"/>
    <w:pPr>
      <w:keepNext/>
      <w:jc w:val="right"/>
      <w:outlineLvl w:val="6"/>
    </w:pPr>
    <w:rPr>
      <w:rFonts w:ascii="Univers" w:hAnsi="Univers"/>
      <w:b/>
      <w:sz w:val="28"/>
    </w:rPr>
  </w:style>
  <w:style w:type="paragraph" w:styleId="Heading8">
    <w:name w:val="heading 8"/>
    <w:basedOn w:val="Normal"/>
    <w:next w:val="Normal"/>
    <w:link w:val="Heading8Char"/>
    <w:qFormat/>
    <w:rsid w:val="00672672"/>
    <w:pPr>
      <w:keepNext/>
      <w:jc w:val="right"/>
      <w:outlineLvl w:val="7"/>
    </w:pPr>
    <w:rPr>
      <w:rFonts w:ascii="Univers" w:hAnsi="Univers"/>
      <w:b/>
      <w:sz w:val="32"/>
    </w:rPr>
  </w:style>
  <w:style w:type="paragraph" w:styleId="Heading9">
    <w:name w:val="heading 9"/>
    <w:basedOn w:val="Normal"/>
    <w:next w:val="Normal"/>
    <w:link w:val="Heading9Char"/>
    <w:rsid w:val="0067267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DD7"/>
    <w:rPr>
      <w:rFonts w:ascii="Times New Roman" w:eastAsiaTheme="majorEastAsia" w:hAnsi="Times New Roman" w:cstheme="majorBidi"/>
      <w:b/>
      <w:bCs/>
      <w:kern w:val="2"/>
      <w:sz w:val="28"/>
      <w:szCs w:val="32"/>
      <w:lang w:eastAsia="en-US"/>
      <w14:ligatures w14:val="standardContextual"/>
    </w:rPr>
  </w:style>
  <w:style w:type="paragraph" w:styleId="ListParagraph">
    <w:name w:val="List Paragraph"/>
    <w:basedOn w:val="Normal"/>
    <w:uiPriority w:val="34"/>
    <w:qFormat/>
    <w:rsid w:val="00672672"/>
    <w:pPr>
      <w:ind w:left="720"/>
      <w:contextualSpacing/>
    </w:pPr>
  </w:style>
  <w:style w:type="character" w:styleId="CommentReference">
    <w:name w:val="annotation reference"/>
    <w:basedOn w:val="DefaultParagraphFont"/>
    <w:uiPriority w:val="99"/>
    <w:semiHidden/>
    <w:unhideWhenUsed/>
    <w:rsid w:val="00FE7DD7"/>
    <w:rPr>
      <w:sz w:val="16"/>
      <w:szCs w:val="16"/>
    </w:rPr>
  </w:style>
  <w:style w:type="paragraph" w:styleId="CommentText">
    <w:name w:val="annotation text"/>
    <w:basedOn w:val="Normal"/>
    <w:link w:val="CommentTextChar"/>
    <w:uiPriority w:val="99"/>
    <w:unhideWhenUsed/>
    <w:rsid w:val="00FE7DD7"/>
    <w:rPr>
      <w:sz w:val="20"/>
      <w:szCs w:val="20"/>
    </w:rPr>
  </w:style>
  <w:style w:type="character" w:customStyle="1" w:styleId="CommentTextChar">
    <w:name w:val="Comment Text Char"/>
    <w:basedOn w:val="DefaultParagraphFont"/>
    <w:link w:val="CommentText"/>
    <w:uiPriority w:val="99"/>
    <w:rsid w:val="00FE7DD7"/>
    <w:rPr>
      <w:rFonts w:ascii="Times New Roman" w:eastAsia="Times New Roman" w:hAnsi="Times New Roman"/>
      <w:lang w:val="es-UY" w:eastAsia="en-US"/>
    </w:rPr>
  </w:style>
  <w:style w:type="table" w:styleId="TableGrid">
    <w:name w:val="Table Grid"/>
    <w:basedOn w:val="TableNormal"/>
    <w:uiPriority w:val="39"/>
    <w:rsid w:val="00FE7DD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FE7DD7"/>
    <w:pPr>
      <w:tabs>
        <w:tab w:val="center" w:pos="4680"/>
        <w:tab w:val="right" w:pos="9360"/>
      </w:tabs>
    </w:pPr>
    <w:rPr>
      <w:caps/>
    </w:rPr>
  </w:style>
  <w:style w:type="character" w:customStyle="1" w:styleId="HeaderChar">
    <w:name w:val="Header Char"/>
    <w:basedOn w:val="DefaultParagraphFont"/>
    <w:link w:val="Header"/>
    <w:rsid w:val="00FE7DD7"/>
    <w:rPr>
      <w:rFonts w:ascii="Times New Roman" w:eastAsia="Times New Roman" w:hAnsi="Times New Roman"/>
      <w:caps/>
      <w:sz w:val="22"/>
      <w:szCs w:val="24"/>
      <w:lang w:val="es-UY" w:eastAsia="en-US"/>
    </w:rPr>
  </w:style>
  <w:style w:type="character" w:styleId="Hyperlink">
    <w:name w:val="Hyperlink"/>
    <w:rsid w:val="00672672"/>
    <w:rPr>
      <w:color w:val="0000FF"/>
      <w:sz w:val="18"/>
      <w:u w:val="single"/>
    </w:rPr>
  </w:style>
  <w:style w:type="paragraph" w:customStyle="1" w:styleId="Style1">
    <w:name w:val="Style1"/>
    <w:basedOn w:val="Heading2"/>
    <w:qFormat/>
    <w:rsid w:val="00672672"/>
    <w:rPr>
      <w:i/>
    </w:rPr>
  </w:style>
  <w:style w:type="table" w:customStyle="1" w:styleId="TableGrid1">
    <w:name w:val="Table Grid1"/>
    <w:basedOn w:val="TableNormal"/>
    <w:next w:val="TableGrid"/>
    <w:uiPriority w:val="59"/>
    <w:rsid w:val="00FE7DD7"/>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0D4DA8"/>
    <w:rPr>
      <w:rFonts w:eastAsia="Yu Mincho"/>
      <w:color w:val="000000"/>
      <w:sz w:val="24"/>
      <w:szCs w:val="24"/>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aragraph">
    <w:name w:val="paragraph"/>
    <w:basedOn w:val="Normal"/>
    <w:rsid w:val="000D4DA8"/>
    <w:pPr>
      <w:spacing w:before="100" w:beforeAutospacing="1" w:after="100" w:afterAutospacing="1"/>
    </w:pPr>
    <w:rPr>
      <w:sz w:val="24"/>
      <w:lang w:eastAsia="fr-FR"/>
    </w:rPr>
  </w:style>
  <w:style w:type="character" w:customStyle="1" w:styleId="normaltextrun">
    <w:name w:val="normaltextrun"/>
    <w:rsid w:val="000D4DA8"/>
  </w:style>
  <w:style w:type="character" w:customStyle="1" w:styleId="Heading2Char">
    <w:name w:val="Heading 2 Char"/>
    <w:basedOn w:val="DefaultParagraphFont"/>
    <w:link w:val="Heading2"/>
    <w:uiPriority w:val="9"/>
    <w:rsid w:val="00FE7DD7"/>
    <w:rPr>
      <w:rFonts w:ascii="Times New Roman" w:eastAsiaTheme="majorEastAsia" w:hAnsi="Times New Roman" w:cstheme="majorBidi"/>
      <w:b/>
      <w:sz w:val="24"/>
      <w:szCs w:val="26"/>
      <w:lang w:val="es-UY" w:eastAsia="en-US"/>
    </w:rPr>
  </w:style>
  <w:style w:type="paragraph" w:styleId="BalloonText">
    <w:name w:val="Balloon Text"/>
    <w:basedOn w:val="Normal"/>
    <w:link w:val="BalloonTextChar"/>
    <w:uiPriority w:val="99"/>
    <w:semiHidden/>
    <w:unhideWhenUsed/>
    <w:rsid w:val="0067267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2672"/>
    <w:rPr>
      <w:rFonts w:ascii="Lucida Grande" w:eastAsia="Times New Roman" w:hAnsi="Lucida Grande" w:cs="Lucida Grande"/>
      <w:sz w:val="18"/>
      <w:szCs w:val="18"/>
      <w:lang w:val="es-UY" w:eastAsia="en-US"/>
    </w:rPr>
  </w:style>
  <w:style w:type="paragraph" w:styleId="FootnoteText">
    <w:name w:val="footnote text"/>
    <w:basedOn w:val="Normal"/>
    <w:link w:val="FootnoteTextChar"/>
    <w:uiPriority w:val="99"/>
    <w:unhideWhenUsed/>
    <w:rsid w:val="00FE7DD7"/>
    <w:rPr>
      <w:sz w:val="20"/>
      <w:szCs w:val="20"/>
    </w:rPr>
  </w:style>
  <w:style w:type="character" w:customStyle="1" w:styleId="FootnoteTextChar">
    <w:name w:val="Footnote Text Char"/>
    <w:basedOn w:val="DefaultParagraphFont"/>
    <w:link w:val="FootnoteText"/>
    <w:uiPriority w:val="99"/>
    <w:rsid w:val="00FE7DD7"/>
    <w:rPr>
      <w:rFonts w:ascii="Times New Roman" w:eastAsia="Times New Roman" w:hAnsi="Times New Roman"/>
      <w:lang w:val="es-UY" w:eastAsia="en-US"/>
    </w:rPr>
  </w:style>
  <w:style w:type="character" w:styleId="FootnoteReference">
    <w:name w:val="footnote reference"/>
    <w:basedOn w:val="DefaultParagraphFont"/>
    <w:link w:val="BVIfnrChar"/>
    <w:uiPriority w:val="99"/>
    <w:unhideWhenUsed/>
    <w:rsid w:val="00FE7DD7"/>
    <w:rPr>
      <w:vertAlign w:val="superscript"/>
    </w:rPr>
  </w:style>
  <w:style w:type="table" w:customStyle="1" w:styleId="TableGrid2">
    <w:name w:val="Table Grid2"/>
    <w:basedOn w:val="TableNormal"/>
    <w:next w:val="TableGrid"/>
    <w:uiPriority w:val="59"/>
    <w:rsid w:val="00490865"/>
    <w:rPr>
      <w:rFonts w:eastAsia="DengXian"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90865"/>
    <w:rPr>
      <w:rFonts w:eastAsia="DengXian"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490865"/>
    <w:pPr>
      <w:spacing w:after="160" w:line="240" w:lineRule="exact"/>
    </w:pPr>
    <w:rPr>
      <w:rFonts w:ascii="Calibri" w:eastAsia="Calibri" w:hAnsi="Calibri"/>
      <w:sz w:val="20"/>
      <w:szCs w:val="20"/>
      <w:vertAlign w:val="superscript"/>
      <w:lang w:eastAsia="en-CA"/>
    </w:rPr>
  </w:style>
  <w:style w:type="character" w:styleId="PlaceholderText">
    <w:name w:val="Placeholder Text"/>
    <w:basedOn w:val="DefaultParagraphFont"/>
    <w:uiPriority w:val="99"/>
    <w:semiHidden/>
    <w:rsid w:val="00FE7DD7"/>
    <w:rPr>
      <w:color w:val="808080"/>
    </w:rPr>
  </w:style>
  <w:style w:type="paragraph" w:styleId="Footer">
    <w:name w:val="footer"/>
    <w:basedOn w:val="Normal"/>
    <w:link w:val="FooterChar"/>
    <w:uiPriority w:val="99"/>
    <w:unhideWhenUsed/>
    <w:rsid w:val="00FE7DD7"/>
    <w:pPr>
      <w:tabs>
        <w:tab w:val="center" w:pos="4680"/>
        <w:tab w:val="right" w:pos="9360"/>
      </w:tabs>
    </w:pPr>
  </w:style>
  <w:style w:type="character" w:customStyle="1" w:styleId="FooterChar">
    <w:name w:val="Footer Char"/>
    <w:basedOn w:val="DefaultParagraphFont"/>
    <w:link w:val="Footer"/>
    <w:uiPriority w:val="99"/>
    <w:rsid w:val="00FE7DD7"/>
    <w:rPr>
      <w:rFonts w:ascii="Times New Roman" w:eastAsia="Times New Roman" w:hAnsi="Times New Roman"/>
      <w:sz w:val="22"/>
      <w:szCs w:val="24"/>
      <w:lang w:val="es-UY" w:eastAsia="en-US"/>
    </w:rPr>
  </w:style>
  <w:style w:type="character" w:customStyle="1" w:styleId="UnresolvedMention">
    <w:name w:val="Unresolved Mention"/>
    <w:basedOn w:val="DefaultParagraphFont"/>
    <w:uiPriority w:val="99"/>
    <w:semiHidden/>
    <w:unhideWhenUsed/>
    <w:rsid w:val="00AB1A92"/>
    <w:rPr>
      <w:color w:val="605E5C"/>
      <w:shd w:val="clear" w:color="auto" w:fill="E1DFDD"/>
    </w:rPr>
  </w:style>
  <w:style w:type="paragraph" w:styleId="BodyText">
    <w:name w:val="Body Text"/>
    <w:basedOn w:val="Normal"/>
    <w:link w:val="BodyTextChar"/>
    <w:uiPriority w:val="99"/>
    <w:unhideWhenUsed/>
    <w:rsid w:val="00FE7DD7"/>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rsid w:val="00FE7DD7"/>
    <w:rPr>
      <w:rFonts w:asciiTheme="minorHAnsi" w:eastAsiaTheme="minorHAnsi" w:hAnsiTheme="minorHAnsi" w:cstheme="minorBidi"/>
      <w:kern w:val="2"/>
      <w:sz w:val="22"/>
      <w:szCs w:val="22"/>
      <w:lang w:eastAsia="en-US"/>
      <w14:ligatures w14:val="standardContextual"/>
    </w:rPr>
  </w:style>
  <w:style w:type="paragraph" w:styleId="BodyTextIndent">
    <w:name w:val="Body Text Indent"/>
    <w:basedOn w:val="Normal"/>
    <w:link w:val="BodyTextIndentChar"/>
    <w:rsid w:val="00672672"/>
    <w:pPr>
      <w:spacing w:before="120" w:after="120"/>
      <w:ind w:left="1440" w:hanging="720"/>
      <w:jc w:val="left"/>
    </w:pPr>
  </w:style>
  <w:style w:type="character" w:customStyle="1" w:styleId="BodyTextIndentChar">
    <w:name w:val="Body Text Indent Char"/>
    <w:basedOn w:val="DefaultParagraphFont"/>
    <w:link w:val="BodyTextIndent"/>
    <w:rsid w:val="00672672"/>
    <w:rPr>
      <w:rFonts w:ascii="Times New Roman" w:eastAsia="Times New Roman" w:hAnsi="Times New Roman"/>
      <w:sz w:val="22"/>
      <w:szCs w:val="24"/>
      <w:lang w:val="es-UY" w:eastAsia="en-US"/>
    </w:rPr>
  </w:style>
  <w:style w:type="paragraph" w:styleId="Caption">
    <w:name w:val="caption"/>
    <w:basedOn w:val="Normal"/>
    <w:next w:val="Normal"/>
    <w:uiPriority w:val="35"/>
    <w:unhideWhenUsed/>
    <w:qFormat/>
    <w:rsid w:val="00672672"/>
    <w:pPr>
      <w:keepNext/>
      <w:keepLines/>
      <w:spacing w:after="200"/>
    </w:pPr>
    <w:rPr>
      <w:b/>
      <w:iCs/>
      <w:szCs w:val="18"/>
    </w:rPr>
  </w:style>
  <w:style w:type="paragraph" w:customStyle="1" w:styleId="CBD-Doc">
    <w:name w:val="CBD-Doc"/>
    <w:basedOn w:val="Normal"/>
    <w:rsid w:val="00672672"/>
    <w:pPr>
      <w:keepLines/>
      <w:numPr>
        <w:numId w:val="7"/>
      </w:numPr>
      <w:spacing w:after="120"/>
    </w:pPr>
    <w:rPr>
      <w:rFonts w:cs="Angsana New"/>
    </w:rPr>
  </w:style>
  <w:style w:type="paragraph" w:customStyle="1" w:styleId="CBD-Doc-Type">
    <w:name w:val="CBD-Doc-Type"/>
    <w:basedOn w:val="Normal"/>
    <w:rsid w:val="00672672"/>
    <w:pPr>
      <w:keepLines/>
      <w:spacing w:before="240" w:after="120"/>
    </w:pPr>
    <w:rPr>
      <w:rFonts w:cs="Angsana New"/>
      <w:b/>
      <w:i/>
      <w:sz w:val="24"/>
    </w:rPr>
  </w:style>
  <w:style w:type="paragraph" w:customStyle="1" w:styleId="Cornernotation">
    <w:name w:val="Corner notation"/>
    <w:basedOn w:val="Normal"/>
    <w:rsid w:val="00FE7DD7"/>
    <w:pPr>
      <w:ind w:left="170" w:right="3119" w:hanging="170"/>
      <w:jc w:val="left"/>
    </w:pPr>
    <w:rPr>
      <w:b/>
      <w:sz w:val="24"/>
    </w:rPr>
  </w:style>
  <w:style w:type="character" w:styleId="EndnoteReference">
    <w:name w:val="endnote reference"/>
    <w:semiHidden/>
    <w:rsid w:val="00672672"/>
    <w:rPr>
      <w:vertAlign w:val="superscript"/>
    </w:rPr>
  </w:style>
  <w:style w:type="paragraph" w:styleId="EndnoteText">
    <w:name w:val="endnote text"/>
    <w:basedOn w:val="Normal"/>
    <w:link w:val="EndnoteTextChar"/>
    <w:semiHidden/>
    <w:rsid w:val="0067267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672672"/>
    <w:rPr>
      <w:rFonts w:ascii="Courier New" w:eastAsia="Times New Roman" w:hAnsi="Courier New"/>
      <w:sz w:val="22"/>
      <w:szCs w:val="24"/>
      <w:lang w:val="es-UY" w:eastAsia="en-US"/>
    </w:rPr>
  </w:style>
  <w:style w:type="character" w:styleId="FollowedHyperlink">
    <w:name w:val="FollowedHyperlink"/>
    <w:rsid w:val="00672672"/>
    <w:rPr>
      <w:color w:val="800080"/>
      <w:u w:val="single"/>
    </w:rPr>
  </w:style>
  <w:style w:type="paragraph" w:customStyle="1" w:styleId="HEADING">
    <w:name w:val="HEADING"/>
    <w:basedOn w:val="Normal"/>
    <w:rsid w:val="00672672"/>
    <w:pPr>
      <w:keepNext/>
      <w:spacing w:before="240" w:after="120"/>
      <w:jc w:val="center"/>
    </w:pPr>
    <w:rPr>
      <w:b/>
      <w:bCs/>
      <w:caps/>
    </w:rPr>
  </w:style>
  <w:style w:type="paragraph" w:customStyle="1" w:styleId="HEADINGNOTFORTOC">
    <w:name w:val="HEADING (NOT FOR TOC)"/>
    <w:basedOn w:val="Heading1"/>
    <w:next w:val="Heading2"/>
    <w:rsid w:val="00672672"/>
  </w:style>
  <w:style w:type="paragraph" w:customStyle="1" w:styleId="Heading1longmultiline">
    <w:name w:val="Heading 1 (long multiline)"/>
    <w:basedOn w:val="Heading1"/>
    <w:rsid w:val="00672672"/>
    <w:pPr>
      <w:ind w:left="1843" w:hanging="1134"/>
    </w:pPr>
  </w:style>
  <w:style w:type="paragraph" w:customStyle="1" w:styleId="Heading1multiline">
    <w:name w:val="Heading 1 (multiline)"/>
    <w:basedOn w:val="Heading1"/>
    <w:rsid w:val="00672672"/>
    <w:pPr>
      <w:ind w:left="1843" w:right="996" w:hanging="567"/>
    </w:pPr>
  </w:style>
  <w:style w:type="paragraph" w:customStyle="1" w:styleId="Heading2multiline">
    <w:name w:val="Heading 2 (multiline)"/>
    <w:basedOn w:val="Heading1"/>
    <w:next w:val="Normal"/>
    <w:rsid w:val="00672672"/>
    <w:pPr>
      <w:spacing w:before="120"/>
      <w:ind w:left="1843" w:right="998" w:hanging="567"/>
    </w:pPr>
    <w:rPr>
      <w:i/>
      <w:iCs/>
      <w:caps/>
    </w:rPr>
  </w:style>
  <w:style w:type="paragraph" w:customStyle="1" w:styleId="Heading2longmultiline">
    <w:name w:val="Heading 2 (long multiline)"/>
    <w:basedOn w:val="Heading2multiline"/>
    <w:rsid w:val="00672672"/>
    <w:pPr>
      <w:ind w:left="2127" w:hanging="1276"/>
    </w:pPr>
  </w:style>
  <w:style w:type="character" w:customStyle="1" w:styleId="Heading3Char">
    <w:name w:val="Heading 3 Char"/>
    <w:basedOn w:val="DefaultParagraphFont"/>
    <w:link w:val="Heading3"/>
    <w:uiPriority w:val="9"/>
    <w:rsid w:val="00FE7DD7"/>
    <w:rPr>
      <w:rFonts w:ascii="Times New Roman" w:eastAsiaTheme="majorEastAsia" w:hAnsi="Times New Roman"/>
      <w:b/>
      <w:bCs/>
      <w:sz w:val="22"/>
      <w:szCs w:val="22"/>
      <w:lang w:val="es-UY" w:eastAsia="en-US"/>
    </w:rPr>
  </w:style>
  <w:style w:type="paragraph" w:customStyle="1" w:styleId="heading2notforTOC">
    <w:name w:val="heading 2 not for TOC"/>
    <w:basedOn w:val="Heading3"/>
    <w:rsid w:val="00672672"/>
  </w:style>
  <w:style w:type="paragraph" w:customStyle="1" w:styleId="Heading3multiline">
    <w:name w:val="Heading 3 (multiline)"/>
    <w:basedOn w:val="Heading3"/>
    <w:next w:val="Normal"/>
    <w:rsid w:val="00672672"/>
    <w:pPr>
      <w:ind w:left="1418" w:hanging="425"/>
      <w:jc w:val="left"/>
    </w:pPr>
  </w:style>
  <w:style w:type="character" w:customStyle="1" w:styleId="Heading4Char">
    <w:name w:val="Heading 4 Char"/>
    <w:basedOn w:val="DefaultParagraphFont"/>
    <w:link w:val="Heading4"/>
    <w:uiPriority w:val="9"/>
    <w:rsid w:val="00FE7DD7"/>
    <w:rPr>
      <w:rFonts w:ascii="Times New Roman" w:eastAsiaTheme="majorEastAsia" w:hAnsi="Times New Roman"/>
      <w:b/>
      <w:bCs/>
      <w:sz w:val="22"/>
      <w:szCs w:val="24"/>
      <w:lang w:val="es-UY" w:eastAsia="en-US"/>
    </w:rPr>
  </w:style>
  <w:style w:type="paragraph" w:customStyle="1" w:styleId="Heading4indent">
    <w:name w:val="Heading 4 indent"/>
    <w:basedOn w:val="Heading4"/>
    <w:rsid w:val="00672672"/>
    <w:pPr>
      <w:ind w:left="720"/>
      <w:outlineLvl w:val="9"/>
    </w:pPr>
  </w:style>
  <w:style w:type="character" w:customStyle="1" w:styleId="Heading5Char">
    <w:name w:val="Heading 5 Char"/>
    <w:basedOn w:val="DefaultParagraphFont"/>
    <w:link w:val="Heading5"/>
    <w:uiPriority w:val="9"/>
    <w:rsid w:val="00FE7DD7"/>
    <w:rPr>
      <w:rFonts w:ascii="Times New Roman" w:eastAsiaTheme="majorEastAsia" w:hAnsi="Times New Roman"/>
      <w:i/>
      <w:iCs/>
      <w:sz w:val="22"/>
      <w:szCs w:val="24"/>
      <w:lang w:val="es-UY" w:eastAsia="en-US"/>
    </w:rPr>
  </w:style>
  <w:style w:type="character" w:customStyle="1" w:styleId="Heading6Char">
    <w:name w:val="Heading 6 Char"/>
    <w:basedOn w:val="DefaultParagraphFont"/>
    <w:link w:val="Heading6"/>
    <w:rsid w:val="00672672"/>
    <w:rPr>
      <w:rFonts w:ascii="Times New Roman" w:eastAsia="Times New Roman" w:hAnsi="Times New Roman"/>
      <w:sz w:val="22"/>
      <w:szCs w:val="24"/>
      <w:u w:val="single"/>
      <w:lang w:val="es-UY" w:eastAsia="en-US"/>
    </w:rPr>
  </w:style>
  <w:style w:type="character" w:customStyle="1" w:styleId="Heading7Char">
    <w:name w:val="Heading 7 Char"/>
    <w:basedOn w:val="DefaultParagraphFont"/>
    <w:link w:val="Heading7"/>
    <w:rsid w:val="00672672"/>
    <w:rPr>
      <w:rFonts w:ascii="Univers" w:eastAsia="Times New Roman" w:hAnsi="Univers"/>
      <w:b/>
      <w:sz w:val="28"/>
      <w:szCs w:val="24"/>
      <w:lang w:val="es-UY" w:eastAsia="en-US"/>
    </w:rPr>
  </w:style>
  <w:style w:type="character" w:customStyle="1" w:styleId="Heading8Char">
    <w:name w:val="Heading 8 Char"/>
    <w:basedOn w:val="DefaultParagraphFont"/>
    <w:link w:val="Heading8"/>
    <w:rsid w:val="00672672"/>
    <w:rPr>
      <w:rFonts w:ascii="Univers" w:eastAsia="Times New Roman" w:hAnsi="Univers"/>
      <w:b/>
      <w:sz w:val="32"/>
      <w:szCs w:val="24"/>
      <w:lang w:val="es-UY" w:eastAsia="en-US"/>
    </w:rPr>
  </w:style>
  <w:style w:type="character" w:customStyle="1" w:styleId="Heading9Char">
    <w:name w:val="Heading 9 Char"/>
    <w:basedOn w:val="DefaultParagraphFont"/>
    <w:link w:val="Heading9"/>
    <w:rsid w:val="00672672"/>
    <w:rPr>
      <w:rFonts w:ascii="Times New Roman" w:eastAsia="Times New Roman" w:hAnsi="Times New Roman"/>
      <w:i/>
      <w:iCs/>
      <w:sz w:val="22"/>
      <w:szCs w:val="24"/>
      <w:lang w:val="es-UY" w:eastAsia="en-US"/>
    </w:rPr>
  </w:style>
  <w:style w:type="paragraph" w:customStyle="1" w:styleId="meetingname">
    <w:name w:val="meeting name"/>
    <w:basedOn w:val="Normal"/>
    <w:qFormat/>
    <w:rsid w:val="00672672"/>
    <w:pPr>
      <w:ind w:left="142" w:right="4218" w:hanging="142"/>
    </w:pPr>
    <w:rPr>
      <w:caps/>
      <w:szCs w:val="22"/>
    </w:rPr>
  </w:style>
  <w:style w:type="character" w:styleId="PageNumber">
    <w:name w:val="page number"/>
    <w:rsid w:val="00672672"/>
    <w:rPr>
      <w:rFonts w:ascii="Times New Roman" w:hAnsi="Times New Roman"/>
      <w:sz w:val="22"/>
    </w:rPr>
  </w:style>
  <w:style w:type="paragraph" w:customStyle="1" w:styleId="Para1">
    <w:name w:val="Para1"/>
    <w:basedOn w:val="Normal"/>
    <w:link w:val="Para1Char"/>
    <w:rsid w:val="00672672"/>
    <w:pPr>
      <w:numPr>
        <w:numId w:val="9"/>
      </w:numPr>
      <w:tabs>
        <w:tab w:val="clear" w:pos="360"/>
      </w:tabs>
      <w:spacing w:before="120" w:after="120"/>
    </w:pPr>
    <w:rPr>
      <w:snapToGrid w:val="0"/>
      <w:szCs w:val="18"/>
    </w:rPr>
  </w:style>
  <w:style w:type="character" w:customStyle="1" w:styleId="Para1Char">
    <w:name w:val="Para1 Char"/>
    <w:link w:val="Para1"/>
    <w:locked/>
    <w:rsid w:val="00672672"/>
    <w:rPr>
      <w:rFonts w:ascii="Times New Roman" w:eastAsia="Times New Roman" w:hAnsi="Times New Roman"/>
      <w:snapToGrid w:val="0"/>
      <w:sz w:val="22"/>
      <w:szCs w:val="18"/>
      <w:lang w:val="es-UY" w:eastAsia="en-US"/>
    </w:rPr>
  </w:style>
  <w:style w:type="paragraph" w:customStyle="1" w:styleId="Para2">
    <w:name w:val="Para2"/>
    <w:basedOn w:val="Para1"/>
    <w:rsid w:val="00672672"/>
    <w:pPr>
      <w:numPr>
        <w:numId w:val="0"/>
      </w:numPr>
      <w:autoSpaceDE w:val="0"/>
      <w:autoSpaceDN w:val="0"/>
    </w:pPr>
  </w:style>
  <w:style w:type="paragraph" w:customStyle="1" w:styleId="Para3">
    <w:name w:val="Para3"/>
    <w:basedOn w:val="Normal"/>
    <w:rsid w:val="00672672"/>
    <w:pPr>
      <w:numPr>
        <w:ilvl w:val="3"/>
        <w:numId w:val="10"/>
      </w:numPr>
      <w:tabs>
        <w:tab w:val="left" w:pos="1980"/>
      </w:tabs>
      <w:spacing w:before="80" w:after="80"/>
    </w:pPr>
    <w:rPr>
      <w:szCs w:val="20"/>
    </w:rPr>
  </w:style>
  <w:style w:type="paragraph" w:customStyle="1" w:styleId="para4">
    <w:name w:val="para4"/>
    <w:basedOn w:val="Normal"/>
    <w:rsid w:val="0067267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67267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672672"/>
    <w:pPr>
      <w:spacing w:before="120" w:after="120"/>
      <w:ind w:left="720" w:right="720"/>
    </w:pPr>
    <w:rPr>
      <w:bCs/>
    </w:rPr>
  </w:style>
  <w:style w:type="paragraph" w:customStyle="1" w:styleId="recommendationheader">
    <w:name w:val="recommendation header"/>
    <w:basedOn w:val="Heading2"/>
    <w:qFormat/>
    <w:rsid w:val="00672672"/>
  </w:style>
  <w:style w:type="paragraph" w:customStyle="1" w:styleId="recommendationheaderlong">
    <w:name w:val="recommendation header long"/>
    <w:basedOn w:val="Heading2longmultiline"/>
    <w:qFormat/>
    <w:rsid w:val="00672672"/>
  </w:style>
  <w:style w:type="paragraph" w:customStyle="1" w:styleId="reference">
    <w:name w:val="reference"/>
    <w:basedOn w:val="Heading9"/>
    <w:qFormat/>
    <w:rsid w:val="00672672"/>
    <w:rPr>
      <w:i w:val="0"/>
      <w:sz w:val="18"/>
    </w:rPr>
  </w:style>
  <w:style w:type="character" w:customStyle="1" w:styleId="StyleFootnoteReferenceNounderline">
    <w:name w:val="Style Footnote Reference + No underline"/>
    <w:rsid w:val="00672672"/>
    <w:rPr>
      <w:sz w:val="18"/>
      <w:u w:val="none"/>
      <w:vertAlign w:val="baseline"/>
    </w:rPr>
  </w:style>
  <w:style w:type="paragraph" w:styleId="Subtitle">
    <w:name w:val="Subtitle"/>
    <w:basedOn w:val="Normal"/>
    <w:next w:val="Normal"/>
    <w:link w:val="SubtitleChar"/>
    <w:uiPriority w:val="11"/>
    <w:qFormat/>
    <w:rsid w:val="00FE7DD7"/>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FE7DD7"/>
    <w:rPr>
      <w:rFonts w:ascii="Times New Roman Bold" w:eastAsiaTheme="minorEastAsia" w:hAnsi="Times New Roman Bold" w:cstheme="minorBidi"/>
      <w:b/>
      <w:color w:val="5A5A5A" w:themeColor="text1" w:themeTint="A5"/>
      <w:sz w:val="22"/>
      <w:szCs w:val="22"/>
      <w:lang w:val="es-UY" w:eastAsia="en-US"/>
    </w:rPr>
  </w:style>
  <w:style w:type="paragraph" w:customStyle="1" w:styleId="tabletitle">
    <w:name w:val="table title"/>
    <w:basedOn w:val="Heading2"/>
    <w:qFormat/>
    <w:rsid w:val="00672672"/>
    <w:pPr>
      <w:jc w:val="left"/>
      <w:outlineLvl w:val="9"/>
    </w:pPr>
    <w:rPr>
      <w:i/>
    </w:rPr>
  </w:style>
  <w:style w:type="paragraph" w:styleId="Title">
    <w:name w:val="Title"/>
    <w:basedOn w:val="Normal"/>
    <w:next w:val="Normal"/>
    <w:link w:val="TitleChar"/>
    <w:uiPriority w:val="10"/>
    <w:qFormat/>
    <w:rsid w:val="00FE7DD7"/>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FE7DD7"/>
    <w:rPr>
      <w:rFonts w:ascii="Times New Roman Bold" w:eastAsiaTheme="majorEastAsia" w:hAnsi="Times New Roman Bold"/>
      <w:b/>
      <w:bCs/>
      <w:spacing w:val="5"/>
      <w:kern w:val="28"/>
      <w:sz w:val="28"/>
      <w:szCs w:val="28"/>
      <w:lang w:val="es-UY" w:eastAsia="en-US"/>
      <w14:ligatures w14:val="standardContextual"/>
    </w:rPr>
  </w:style>
  <w:style w:type="paragraph" w:styleId="TOAHeading">
    <w:name w:val="toa heading"/>
    <w:basedOn w:val="Normal"/>
    <w:next w:val="Normal"/>
    <w:semiHidden/>
    <w:rsid w:val="00672672"/>
    <w:pPr>
      <w:spacing w:before="120"/>
    </w:pPr>
    <w:rPr>
      <w:rFonts w:cs="Arial"/>
      <w:b/>
      <w:bCs/>
      <w:sz w:val="24"/>
    </w:rPr>
  </w:style>
  <w:style w:type="paragraph" w:styleId="TOC1">
    <w:name w:val="toc 1"/>
    <w:basedOn w:val="Normal"/>
    <w:next w:val="Normal"/>
    <w:autoRedefine/>
    <w:semiHidden/>
    <w:rsid w:val="00672672"/>
    <w:pPr>
      <w:ind w:left="720" w:hanging="720"/>
    </w:pPr>
    <w:rPr>
      <w:caps/>
    </w:rPr>
  </w:style>
  <w:style w:type="paragraph" w:styleId="TOC2">
    <w:name w:val="toc 2"/>
    <w:basedOn w:val="Normal"/>
    <w:next w:val="Normal"/>
    <w:autoRedefine/>
    <w:semiHidden/>
    <w:rsid w:val="00672672"/>
    <w:pPr>
      <w:tabs>
        <w:tab w:val="right" w:leader="dot" w:pos="9356"/>
      </w:tabs>
      <w:ind w:left="1440" w:hanging="720"/>
    </w:pPr>
    <w:rPr>
      <w:noProof/>
      <w:szCs w:val="22"/>
    </w:rPr>
  </w:style>
  <w:style w:type="paragraph" w:styleId="TOC3">
    <w:name w:val="toc 3"/>
    <w:basedOn w:val="Normal"/>
    <w:next w:val="Normal"/>
    <w:autoRedefine/>
    <w:semiHidden/>
    <w:rsid w:val="00672672"/>
    <w:pPr>
      <w:ind w:left="2160" w:hanging="720"/>
    </w:pPr>
  </w:style>
  <w:style w:type="paragraph" w:styleId="TOC4">
    <w:name w:val="toc 4"/>
    <w:basedOn w:val="Normal"/>
    <w:next w:val="Normal"/>
    <w:autoRedefine/>
    <w:semiHidden/>
    <w:rsid w:val="00672672"/>
    <w:pPr>
      <w:spacing w:before="120" w:after="120"/>
      <w:ind w:left="660"/>
      <w:jc w:val="left"/>
    </w:pPr>
  </w:style>
  <w:style w:type="paragraph" w:styleId="TOC5">
    <w:name w:val="toc 5"/>
    <w:basedOn w:val="Normal"/>
    <w:next w:val="Normal"/>
    <w:autoRedefine/>
    <w:semiHidden/>
    <w:rsid w:val="00672672"/>
    <w:pPr>
      <w:spacing w:before="120" w:after="120"/>
      <w:ind w:left="880"/>
      <w:jc w:val="left"/>
    </w:pPr>
  </w:style>
  <w:style w:type="paragraph" w:styleId="TOC6">
    <w:name w:val="toc 6"/>
    <w:basedOn w:val="Normal"/>
    <w:next w:val="Normal"/>
    <w:autoRedefine/>
    <w:semiHidden/>
    <w:rsid w:val="00672672"/>
    <w:pPr>
      <w:spacing w:before="120" w:after="120"/>
      <w:ind w:left="1100"/>
      <w:jc w:val="left"/>
    </w:pPr>
  </w:style>
  <w:style w:type="paragraph" w:styleId="TOC7">
    <w:name w:val="toc 7"/>
    <w:basedOn w:val="Normal"/>
    <w:next w:val="Normal"/>
    <w:autoRedefine/>
    <w:semiHidden/>
    <w:rsid w:val="00672672"/>
    <w:pPr>
      <w:spacing w:before="120" w:after="120"/>
      <w:ind w:left="1320"/>
      <w:jc w:val="left"/>
    </w:pPr>
  </w:style>
  <w:style w:type="paragraph" w:styleId="TOC8">
    <w:name w:val="toc 8"/>
    <w:basedOn w:val="Normal"/>
    <w:next w:val="Normal"/>
    <w:autoRedefine/>
    <w:semiHidden/>
    <w:rsid w:val="00672672"/>
    <w:pPr>
      <w:spacing w:before="120" w:after="120"/>
      <w:ind w:left="1540"/>
      <w:jc w:val="left"/>
    </w:pPr>
  </w:style>
  <w:style w:type="paragraph" w:styleId="TOC9">
    <w:name w:val="toc 9"/>
    <w:basedOn w:val="Normal"/>
    <w:next w:val="Normal"/>
    <w:autoRedefine/>
    <w:semiHidden/>
    <w:rsid w:val="00672672"/>
    <w:pPr>
      <w:spacing w:before="120" w:after="120"/>
      <w:ind w:left="1760"/>
      <w:jc w:val="left"/>
    </w:pPr>
  </w:style>
  <w:style w:type="paragraph" w:styleId="CommentSubject">
    <w:name w:val="annotation subject"/>
    <w:basedOn w:val="CommentText"/>
    <w:next w:val="CommentText"/>
    <w:link w:val="CommentSubjectChar"/>
    <w:uiPriority w:val="99"/>
    <w:semiHidden/>
    <w:unhideWhenUsed/>
    <w:rsid w:val="00FE7DD7"/>
    <w:rPr>
      <w:b/>
      <w:bCs/>
    </w:rPr>
  </w:style>
  <w:style w:type="character" w:customStyle="1" w:styleId="CommentSubjectChar">
    <w:name w:val="Comment Subject Char"/>
    <w:basedOn w:val="CommentTextChar"/>
    <w:link w:val="CommentSubject"/>
    <w:uiPriority w:val="99"/>
    <w:semiHidden/>
    <w:rsid w:val="00FE7DD7"/>
    <w:rPr>
      <w:rFonts w:ascii="Times New Roman" w:eastAsia="Times New Roman" w:hAnsi="Times New Roman"/>
      <w:b/>
      <w:bCs/>
      <w:lang w:val="es-UY" w:eastAsia="en-US"/>
    </w:rPr>
  </w:style>
  <w:style w:type="paragraph" w:styleId="Revision">
    <w:name w:val="Revision"/>
    <w:hidden/>
    <w:uiPriority w:val="99"/>
    <w:semiHidden/>
    <w:rsid w:val="00FA5F3F"/>
    <w:rPr>
      <w:rFonts w:ascii="Times New Roman" w:eastAsia="Times New Roman" w:hAnsi="Times New Roman"/>
      <w:sz w:val="22"/>
      <w:szCs w:val="24"/>
      <w:lang w:eastAsia="en-US"/>
    </w:rPr>
  </w:style>
  <w:style w:type="character" w:customStyle="1" w:styleId="ui-provider">
    <w:name w:val="ui-provider"/>
    <w:basedOn w:val="DefaultParagraphFont"/>
    <w:rsid w:val="00762F61"/>
  </w:style>
  <w:style w:type="paragraph" w:customStyle="1" w:styleId="Default">
    <w:name w:val="Default"/>
    <w:rsid w:val="001147EC"/>
    <w:pPr>
      <w:autoSpaceDE w:val="0"/>
      <w:autoSpaceDN w:val="0"/>
      <w:adjustRightInd w:val="0"/>
    </w:pPr>
    <w:rPr>
      <w:rFonts w:ascii="Segoe UI" w:hAnsi="Segoe UI" w:cs="Segoe UI"/>
      <w:color w:val="000000"/>
      <w:sz w:val="24"/>
      <w:szCs w:val="24"/>
    </w:rPr>
  </w:style>
  <w:style w:type="paragraph" w:customStyle="1" w:styleId="Venuedate">
    <w:name w:val="Venue&amp;date"/>
    <w:basedOn w:val="Cornernotation"/>
    <w:qFormat/>
    <w:rsid w:val="00FE7DD7"/>
    <w:rPr>
      <w:b w:val="0"/>
      <w:bCs/>
      <w:sz w:val="22"/>
      <w:szCs w:val="22"/>
    </w:rPr>
  </w:style>
  <w:style w:type="paragraph" w:customStyle="1" w:styleId="Footnote">
    <w:name w:val="Footnote"/>
    <w:basedOn w:val="FootnoteText"/>
    <w:qFormat/>
    <w:rsid w:val="00FE7DD7"/>
    <w:rPr>
      <w:sz w:val="18"/>
      <w:szCs w:val="18"/>
    </w:rPr>
  </w:style>
  <w:style w:type="paragraph" w:customStyle="1" w:styleId="Cornernotation-Item">
    <w:name w:val="Corner notation - Item"/>
    <w:basedOn w:val="Venuedate"/>
    <w:qFormat/>
    <w:rsid w:val="00FE7DD7"/>
    <w:rPr>
      <w:b/>
    </w:rPr>
  </w:style>
  <w:style w:type="paragraph" w:customStyle="1" w:styleId="Annex">
    <w:name w:val="Annex"/>
    <w:basedOn w:val="Normal"/>
    <w:qFormat/>
    <w:rsid w:val="00FE7DD7"/>
    <w:rPr>
      <w:b/>
      <w:sz w:val="28"/>
    </w:rPr>
  </w:style>
  <w:style w:type="paragraph" w:customStyle="1" w:styleId="Item">
    <w:name w:val="Item"/>
    <w:basedOn w:val="BodyText"/>
    <w:qFormat/>
    <w:rsid w:val="00FE7DD7"/>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customStyle="1" w:styleId="Para10">
    <w:name w:val="Para 1"/>
    <w:basedOn w:val="Normal"/>
    <w:qFormat/>
    <w:rsid w:val="00FE7DD7"/>
    <w:pPr>
      <w:numPr>
        <w:numId w:val="19"/>
      </w:numPr>
      <w:tabs>
        <w:tab w:val="left" w:pos="1134"/>
      </w:tabs>
      <w:spacing w:before="120" w:after="120"/>
      <w:ind w:left="567" w:firstLine="0"/>
    </w:pPr>
    <w:rPr>
      <w:rFonts w:eastAsia="Malgun Gothic"/>
      <w:snapToGrid w:val="0"/>
      <w:lang w:eastAsia="ko-KR"/>
    </w:rPr>
  </w:style>
  <w:style w:type="paragraph" w:customStyle="1" w:styleId="Para20">
    <w:name w:val="Para 2"/>
    <w:qFormat/>
    <w:rsid w:val="00FE7DD7"/>
    <w:pPr>
      <w:tabs>
        <w:tab w:val="left" w:pos="1701"/>
      </w:tabs>
      <w:spacing w:before="120" w:after="120"/>
      <w:ind w:left="1134"/>
      <w:jc w:val="both"/>
    </w:pPr>
    <w:rPr>
      <w:rFonts w:ascii="Times New Roman" w:eastAsia="Times New Roman" w:hAnsi="Times New Roman"/>
      <w:sz w:val="22"/>
      <w:szCs w:val="24"/>
      <w:lang w:eastAsia="en-US"/>
    </w:rPr>
  </w:style>
  <w:style w:type="paragraph" w:customStyle="1" w:styleId="Para30">
    <w:name w:val="Para 3"/>
    <w:basedOn w:val="Normal"/>
    <w:qFormat/>
    <w:rsid w:val="00FE7DD7"/>
    <w:pPr>
      <w:tabs>
        <w:tab w:val="left" w:pos="1701"/>
      </w:tabs>
      <w:spacing w:before="120" w:after="120"/>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228403">
      <w:bodyDiv w:val="1"/>
      <w:marLeft w:val="0"/>
      <w:marRight w:val="0"/>
      <w:marTop w:val="0"/>
      <w:marBottom w:val="0"/>
      <w:divBdr>
        <w:top w:val="none" w:sz="0" w:space="0" w:color="auto"/>
        <w:left w:val="none" w:sz="0" w:space="0" w:color="auto"/>
        <w:bottom w:val="none" w:sz="0" w:space="0" w:color="auto"/>
        <w:right w:val="none" w:sz="0" w:space="0" w:color="auto"/>
      </w:divBdr>
    </w:div>
    <w:div w:id="839079529">
      <w:bodyDiv w:val="1"/>
      <w:marLeft w:val="0"/>
      <w:marRight w:val="0"/>
      <w:marTop w:val="0"/>
      <w:marBottom w:val="0"/>
      <w:divBdr>
        <w:top w:val="none" w:sz="0" w:space="0" w:color="auto"/>
        <w:left w:val="none" w:sz="0" w:space="0" w:color="auto"/>
        <w:bottom w:val="none" w:sz="0" w:space="0" w:color="auto"/>
        <w:right w:val="none" w:sz="0" w:space="0" w:color="auto"/>
      </w:divBdr>
    </w:div>
    <w:div w:id="1123421092">
      <w:bodyDiv w:val="1"/>
      <w:marLeft w:val="0"/>
      <w:marRight w:val="0"/>
      <w:marTop w:val="0"/>
      <w:marBottom w:val="0"/>
      <w:divBdr>
        <w:top w:val="none" w:sz="0" w:space="0" w:color="auto"/>
        <w:left w:val="none" w:sz="0" w:space="0" w:color="auto"/>
        <w:bottom w:val="none" w:sz="0" w:space="0" w:color="auto"/>
        <w:right w:val="none" w:sz="0" w:space="0" w:color="auto"/>
      </w:divBdr>
    </w:div>
    <w:div w:id="1285964132">
      <w:bodyDiv w:val="1"/>
      <w:marLeft w:val="0"/>
      <w:marRight w:val="0"/>
      <w:marTop w:val="0"/>
      <w:marBottom w:val="0"/>
      <w:divBdr>
        <w:top w:val="none" w:sz="0" w:space="0" w:color="auto"/>
        <w:left w:val="none" w:sz="0" w:space="0" w:color="auto"/>
        <w:bottom w:val="none" w:sz="0" w:space="0" w:color="auto"/>
        <w:right w:val="none" w:sz="0" w:space="0" w:color="auto"/>
      </w:divBdr>
    </w:div>
    <w:div w:id="1455978648">
      <w:bodyDiv w:val="1"/>
      <w:marLeft w:val="0"/>
      <w:marRight w:val="0"/>
      <w:marTop w:val="0"/>
      <w:marBottom w:val="0"/>
      <w:divBdr>
        <w:top w:val="none" w:sz="0" w:space="0" w:color="auto"/>
        <w:left w:val="none" w:sz="0" w:space="0" w:color="auto"/>
        <w:bottom w:val="none" w:sz="0" w:space="0" w:color="auto"/>
        <w:right w:val="none" w:sz="0" w:space="0" w:color="auto"/>
      </w:divBdr>
    </w:div>
    <w:div w:id="1535851402">
      <w:bodyDiv w:val="1"/>
      <w:marLeft w:val="0"/>
      <w:marRight w:val="0"/>
      <w:marTop w:val="0"/>
      <w:marBottom w:val="0"/>
      <w:divBdr>
        <w:top w:val="none" w:sz="0" w:space="0" w:color="auto"/>
        <w:left w:val="none" w:sz="0" w:space="0" w:color="auto"/>
        <w:bottom w:val="none" w:sz="0" w:space="0" w:color="auto"/>
        <w:right w:val="none" w:sz="0" w:space="0" w:color="auto"/>
      </w:divBdr>
    </w:div>
    <w:div w:id="1831946418">
      <w:bodyDiv w:val="1"/>
      <w:marLeft w:val="0"/>
      <w:marRight w:val="0"/>
      <w:marTop w:val="0"/>
      <w:marBottom w:val="0"/>
      <w:divBdr>
        <w:top w:val="none" w:sz="0" w:space="0" w:color="auto"/>
        <w:left w:val="none" w:sz="0" w:space="0" w:color="auto"/>
        <w:bottom w:val="none" w:sz="0" w:space="0" w:color="auto"/>
        <w:right w:val="none" w:sz="0" w:space="0" w:color="auto"/>
      </w:divBdr>
    </w:div>
    <w:div w:id="1885873625">
      <w:bodyDiv w:val="1"/>
      <w:marLeft w:val="0"/>
      <w:marRight w:val="0"/>
      <w:marTop w:val="0"/>
      <w:marBottom w:val="0"/>
      <w:divBdr>
        <w:top w:val="none" w:sz="0" w:space="0" w:color="auto"/>
        <w:left w:val="none" w:sz="0" w:space="0" w:color="auto"/>
        <w:bottom w:val="none" w:sz="0" w:space="0" w:color="auto"/>
        <w:right w:val="none" w:sz="0" w:space="0" w:color="auto"/>
      </w:divBdr>
    </w:div>
    <w:div w:id="206216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bd.int/doc/decisions/cop-14/cop-14-dec-37-es.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cbd.int/doc/decisions/cop-09/cop-09-dec-34-es.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bd.int/information/adm-f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4D16D66B82E4B04A826D3351ADD844D"/>
        <w:category>
          <w:name w:val="General"/>
          <w:gallery w:val="placeholder"/>
        </w:category>
        <w:types>
          <w:type w:val="bbPlcHdr"/>
        </w:types>
        <w:behaviors>
          <w:behavior w:val="content"/>
        </w:behaviors>
        <w:guid w:val="{5748E654-CF58-4261-B106-C65AF89042EB}"/>
      </w:docPartPr>
      <w:docPartBody>
        <w:p w:rsidR="000261FB" w:rsidRDefault="002E0DC1">
          <w:r w:rsidRPr="007A6668">
            <w:rPr>
              <w:rStyle w:val="PlaceholderText"/>
            </w:rPr>
            <w:t>[Title]</w:t>
          </w:r>
        </w:p>
      </w:docPartBody>
    </w:docPart>
    <w:docPart>
      <w:docPartPr>
        <w:name w:val="9919A4354EBC4BE1BA94F6627C7FA73F"/>
        <w:category>
          <w:name w:val="General"/>
          <w:gallery w:val="placeholder"/>
        </w:category>
        <w:types>
          <w:type w:val="bbPlcHdr"/>
        </w:types>
        <w:behaviors>
          <w:behavior w:val="content"/>
        </w:behaviors>
        <w:guid w:val="{A0783E29-1B94-4B8E-BB30-A276122FD4CE}"/>
      </w:docPartPr>
      <w:docPartBody>
        <w:p w:rsidR="000261FB" w:rsidRDefault="002E0DC1">
          <w:r w:rsidRPr="007A6668">
            <w:rPr>
              <w:rStyle w:val="PlaceholderText"/>
            </w:rPr>
            <w:t>[Subject]</w:t>
          </w:r>
        </w:p>
      </w:docPartBody>
    </w:docPart>
    <w:docPart>
      <w:docPartPr>
        <w:name w:val="A845CFAF5A0D4443A20DDFE7D502BA94"/>
        <w:category>
          <w:name w:val="General"/>
          <w:gallery w:val="placeholder"/>
        </w:category>
        <w:types>
          <w:type w:val="bbPlcHdr"/>
        </w:types>
        <w:behaviors>
          <w:behavior w:val="content"/>
        </w:behaviors>
        <w:guid w:val="{23892CC6-9AB8-46A3-891B-4C937B753940}"/>
      </w:docPartPr>
      <w:docPartBody>
        <w:p w:rsidR="000261FB" w:rsidRDefault="002E0DC1" w:rsidP="002E0DC1">
          <w:pPr>
            <w:pStyle w:val="A845CFAF5A0D4443A20DDFE7D502BA94"/>
          </w:pPr>
          <w:r w:rsidRPr="007A666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DC1"/>
    <w:rsid w:val="000261FB"/>
    <w:rsid w:val="00245E7F"/>
    <w:rsid w:val="002E0DC1"/>
    <w:rsid w:val="00304F4C"/>
    <w:rsid w:val="003B4C1B"/>
    <w:rsid w:val="004639AC"/>
    <w:rsid w:val="004C607D"/>
    <w:rsid w:val="00562589"/>
    <w:rsid w:val="0057188F"/>
    <w:rsid w:val="00583011"/>
    <w:rsid w:val="005865D2"/>
    <w:rsid w:val="005868A9"/>
    <w:rsid w:val="00596D28"/>
    <w:rsid w:val="005F7F50"/>
    <w:rsid w:val="006429BA"/>
    <w:rsid w:val="00650E89"/>
    <w:rsid w:val="0071455D"/>
    <w:rsid w:val="0085618A"/>
    <w:rsid w:val="0089077E"/>
    <w:rsid w:val="008D2BD0"/>
    <w:rsid w:val="00912251"/>
    <w:rsid w:val="009C7A78"/>
    <w:rsid w:val="00A0684B"/>
    <w:rsid w:val="00A625FA"/>
    <w:rsid w:val="00AA1699"/>
    <w:rsid w:val="00B41384"/>
    <w:rsid w:val="00BE5743"/>
    <w:rsid w:val="00D12865"/>
    <w:rsid w:val="00D2088B"/>
    <w:rsid w:val="00E04DBB"/>
    <w:rsid w:val="00E6799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0DC1"/>
    <w:rPr>
      <w:color w:val="808080"/>
    </w:rPr>
  </w:style>
  <w:style w:type="paragraph" w:customStyle="1" w:styleId="A845CFAF5A0D4443A20DDFE7D502BA94">
    <w:name w:val="A845CFAF5A0D4443A20DDFE7D502BA94"/>
    <w:rsid w:val="002E0D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E1ECD-62F8-48DA-B6CA-7B8986A9F65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4B331F0-CD4D-4BB0-809C-07D61AAE8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33285F-D55B-49CE-A503-A351070CBFDE}">
  <ds:schemaRefs>
    <ds:schemaRef ds:uri="http://schemas.microsoft.com/sharepoint/v3/contenttype/forms"/>
  </ds:schemaRefs>
</ds:datastoreItem>
</file>

<file path=customXml/itemProps4.xml><?xml version="1.0" encoding="utf-8"?>
<ds:datastoreItem xmlns:ds="http://schemas.openxmlformats.org/officeDocument/2006/customXml" ds:itemID="{89E1D292-2AC6-41FC-ADF7-84693025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3354</Words>
  <Characters>19118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Cuestiones administrativas y presupuestarias</vt:lpstr>
    </vt:vector>
  </TitlesOfParts>
  <Company/>
  <LinksUpToDate>false</LinksUpToDate>
  <CharactersWithSpaces>22428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Cuestiones administrativas y presupuestarias</dc:title>
  <dc:subject>CBD/SBI/4/16</dc:subject>
  <dc:creator>Secretariat of the Convention on Biological Diversity</dc:creator>
  <cp:keywords>Subsidiary Body on Implementation, third meeting, Convention on Biological Diversity</cp:keywords>
  <dc:description/>
  <cp:lastModifiedBy>Rosario </cp:lastModifiedBy>
  <cp:revision>43</cp:revision>
  <cp:lastPrinted>2024-04-27T00:42:00Z</cp:lastPrinted>
  <dcterms:created xsi:type="dcterms:W3CDTF">2024-04-29T14:27:00Z</dcterms:created>
  <dcterms:modified xsi:type="dcterms:W3CDTF">2024-05-05T13:35:00Z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