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07A6E" w:rsidRPr="000051DA" w14:paraId="0E58084C" w14:textId="77777777" w:rsidTr="003765F9">
        <w:trPr>
          <w:trHeight w:val="709"/>
        </w:trPr>
        <w:tc>
          <w:tcPr>
            <w:tcW w:w="976" w:type="dxa"/>
            <w:tcBorders>
              <w:bottom w:val="single" w:sz="12" w:space="0" w:color="auto"/>
            </w:tcBorders>
          </w:tcPr>
          <w:p w14:paraId="15EFF060" w14:textId="77777777" w:rsidR="00207A6E" w:rsidRPr="000051DA" w:rsidRDefault="00207A6E" w:rsidP="003765F9">
            <w:pPr>
              <w:rPr>
                <w:rFonts w:ascii="Times New Roman" w:hAnsi="Times New Roman" w:cs="Times New Roman"/>
              </w:rPr>
            </w:pPr>
            <w:r w:rsidRPr="000051DA">
              <w:rPr>
                <w:noProof/>
                <w:lang w:val="en-US"/>
              </w:rPr>
              <w:drawing>
                <wp:inline distT="0" distB="0" distL="0" distR="0" wp14:anchorId="37E58E04" wp14:editId="7C85F3DC">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30E5538A" w14:textId="77777777" w:rsidR="00207A6E" w:rsidRPr="000051DA" w:rsidRDefault="00207A6E" w:rsidP="003765F9">
            <w:pPr>
              <w:rPr>
                <w:rFonts w:ascii="Times New Roman" w:hAnsi="Times New Roman" w:cs="Times New Roman"/>
              </w:rPr>
            </w:pPr>
            <w:r w:rsidRPr="000051DA">
              <w:rPr>
                <w:noProof/>
                <w:lang w:val="en-US"/>
              </w:rPr>
              <w:drawing>
                <wp:inline distT="0" distB="0" distL="0" distR="0" wp14:anchorId="39E938E8" wp14:editId="4338EB08">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68C2A59B" w14:textId="77777777" w:rsidR="00207A6E" w:rsidRPr="003B095D" w:rsidRDefault="00207A6E" w:rsidP="003765F9">
            <w:pPr>
              <w:jc w:val="right"/>
              <w:rPr>
                <w:rFonts w:ascii="Arial" w:hAnsi="Arial" w:cs="Arial"/>
                <w:b/>
                <w:sz w:val="32"/>
                <w:szCs w:val="32"/>
              </w:rPr>
            </w:pPr>
            <w:r w:rsidRPr="003B095D">
              <w:rPr>
                <w:rFonts w:ascii="Arial" w:hAnsi="Arial" w:cs="Arial"/>
                <w:b/>
                <w:sz w:val="32"/>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0051DA" w14:paraId="2CDC8908" w14:textId="77777777" w:rsidTr="009554D5">
        <w:trPr>
          <w:trHeight w:val="1693"/>
        </w:trPr>
        <w:tc>
          <w:tcPr>
            <w:tcW w:w="6227" w:type="dxa"/>
            <w:tcBorders>
              <w:top w:val="nil"/>
              <w:bottom w:val="single" w:sz="36" w:space="0" w:color="000000"/>
            </w:tcBorders>
          </w:tcPr>
          <w:p w14:paraId="62430F0B" w14:textId="77777777" w:rsidR="00F16F02" w:rsidRPr="000051DA" w:rsidRDefault="00F16F02">
            <w:pPr>
              <w:rPr>
                <w:snapToGrid w:val="0"/>
                <w:kern w:val="22"/>
              </w:rPr>
            </w:pPr>
          </w:p>
          <w:p w14:paraId="72C22DDB" w14:textId="07304EAF" w:rsidR="00F16F02" w:rsidRPr="000051DA" w:rsidRDefault="00F16F02" w:rsidP="003B095D">
            <w:pPr>
              <w:rPr>
                <w:snapToGrid w:val="0"/>
                <w:kern w:val="22"/>
                <w:sz w:val="32"/>
              </w:rPr>
            </w:pPr>
            <w:r w:rsidRPr="000051DA">
              <w:rPr>
                <w:noProof/>
                <w:kern w:val="22"/>
                <w:lang w:val="en-US"/>
              </w:rPr>
              <w:drawing>
                <wp:inline distT="0" distB="0" distL="0" distR="0" wp14:anchorId="799D6812" wp14:editId="26AE7666">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tc>
        <w:tc>
          <w:tcPr>
            <w:tcW w:w="1144" w:type="dxa"/>
            <w:tcBorders>
              <w:top w:val="nil"/>
              <w:bottom w:val="single" w:sz="36" w:space="0" w:color="000000"/>
            </w:tcBorders>
          </w:tcPr>
          <w:p w14:paraId="1E662239" w14:textId="77777777" w:rsidR="00F16F02" w:rsidRPr="000051DA" w:rsidRDefault="00F16F02">
            <w:pPr>
              <w:pStyle w:val="Header"/>
              <w:tabs>
                <w:tab w:val="clear" w:pos="4320"/>
                <w:tab w:val="clear" w:pos="8640"/>
              </w:tabs>
              <w:rPr>
                <w:b/>
                <w:snapToGrid w:val="0"/>
                <w:kern w:val="22"/>
                <w:sz w:val="32"/>
                <w:szCs w:val="32"/>
              </w:rPr>
            </w:pPr>
          </w:p>
        </w:tc>
        <w:tc>
          <w:tcPr>
            <w:tcW w:w="2977" w:type="dxa"/>
            <w:tcBorders>
              <w:top w:val="nil"/>
              <w:bottom w:val="single" w:sz="36" w:space="0" w:color="000000"/>
            </w:tcBorders>
          </w:tcPr>
          <w:p w14:paraId="4F3B9B54" w14:textId="77777777" w:rsidR="00F16F02" w:rsidRPr="000051DA" w:rsidRDefault="00F16F02" w:rsidP="00B271A0">
            <w:pPr>
              <w:ind w:left="63"/>
              <w:rPr>
                <w:snapToGrid w:val="0"/>
                <w:kern w:val="22"/>
                <w:szCs w:val="22"/>
              </w:rPr>
            </w:pPr>
            <w:r w:rsidRPr="000051DA">
              <w:rPr>
                <w:snapToGrid w:val="0"/>
                <w:kern w:val="22"/>
                <w:szCs w:val="22"/>
              </w:rPr>
              <w:t>Distr.</w:t>
            </w:r>
          </w:p>
          <w:p w14:paraId="3CC2CF51" w14:textId="77777777" w:rsidR="00F16F02" w:rsidRPr="000051DA" w:rsidRDefault="00F16F02" w:rsidP="00B271A0">
            <w:pPr>
              <w:ind w:left="63"/>
              <w:rPr>
                <w:snapToGrid w:val="0"/>
                <w:kern w:val="22"/>
                <w:szCs w:val="22"/>
              </w:rPr>
            </w:pPr>
            <w:r w:rsidRPr="000051DA">
              <w:rPr>
                <w:snapToGrid w:val="0"/>
                <w:kern w:val="22"/>
                <w:szCs w:val="22"/>
              </w:rPr>
              <w:t>GENERAL</w:t>
            </w:r>
          </w:p>
          <w:p w14:paraId="18981C30" w14:textId="77777777" w:rsidR="00F16F02" w:rsidRPr="000051DA" w:rsidRDefault="00F16F02" w:rsidP="00B271A0">
            <w:pPr>
              <w:ind w:left="63"/>
              <w:rPr>
                <w:snapToGrid w:val="0"/>
                <w:kern w:val="22"/>
                <w:szCs w:val="22"/>
              </w:rPr>
            </w:pPr>
          </w:p>
          <w:sdt>
            <w:sdtPr>
              <w:rPr>
                <w:snapToGrid w:val="0"/>
                <w:kern w:val="22"/>
                <w:szCs w:val="22"/>
                <w:lang w:val="en-US"/>
              </w:rPr>
              <w:alias w:val="Subject"/>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EndPr/>
            <w:sdtContent>
              <w:p w14:paraId="1E7E1509" w14:textId="6C516000" w:rsidR="00F16F02" w:rsidRPr="004623D8" w:rsidRDefault="004623D8" w:rsidP="00B271A0">
                <w:pPr>
                  <w:ind w:left="63"/>
                  <w:rPr>
                    <w:snapToGrid w:val="0"/>
                    <w:kern w:val="22"/>
                    <w:szCs w:val="22"/>
                    <w:lang w:val="en-US"/>
                  </w:rPr>
                </w:pPr>
                <w:r w:rsidRPr="004623D8">
                  <w:rPr>
                    <w:snapToGrid w:val="0"/>
                    <w:kern w:val="22"/>
                    <w:szCs w:val="22"/>
                    <w:lang w:val="en-US"/>
                  </w:rPr>
                  <w:t>CBD/SBSTTA/22/INF/35</w:t>
                </w:r>
              </w:p>
            </w:sdtContent>
          </w:sdt>
          <w:p w14:paraId="65F9CB91" w14:textId="7C1E50B6" w:rsidR="00F16F02" w:rsidRPr="000051DA" w:rsidRDefault="004623D8" w:rsidP="00B271A0">
            <w:pPr>
              <w:ind w:left="63"/>
              <w:rPr>
                <w:snapToGrid w:val="0"/>
                <w:kern w:val="22"/>
                <w:szCs w:val="22"/>
              </w:rPr>
            </w:pPr>
            <w:r w:rsidRPr="004623D8">
              <w:rPr>
                <w:snapToGrid w:val="0"/>
                <w:kern w:val="22"/>
                <w:szCs w:val="22"/>
              </w:rPr>
              <w:t>21</w:t>
            </w:r>
            <w:r w:rsidR="00D15589" w:rsidRPr="004623D8">
              <w:rPr>
                <w:snapToGrid w:val="0"/>
                <w:kern w:val="22"/>
                <w:szCs w:val="22"/>
              </w:rPr>
              <w:t xml:space="preserve"> </w:t>
            </w:r>
            <w:r w:rsidR="00DA17AF" w:rsidRPr="004623D8">
              <w:rPr>
                <w:snapToGrid w:val="0"/>
                <w:kern w:val="22"/>
                <w:szCs w:val="22"/>
              </w:rPr>
              <w:t>June</w:t>
            </w:r>
            <w:r w:rsidR="00D15589" w:rsidRPr="004623D8">
              <w:rPr>
                <w:snapToGrid w:val="0"/>
                <w:kern w:val="22"/>
                <w:szCs w:val="22"/>
              </w:rPr>
              <w:t xml:space="preserve"> 2018</w:t>
            </w:r>
          </w:p>
          <w:p w14:paraId="3B035696" w14:textId="77777777" w:rsidR="00F16F02" w:rsidRPr="000051DA" w:rsidRDefault="00F16F02" w:rsidP="00B271A0">
            <w:pPr>
              <w:ind w:left="63"/>
              <w:rPr>
                <w:snapToGrid w:val="0"/>
                <w:kern w:val="22"/>
                <w:szCs w:val="22"/>
              </w:rPr>
            </w:pPr>
          </w:p>
          <w:p w14:paraId="0A1D9B54" w14:textId="4B843015" w:rsidR="00F16F02" w:rsidRPr="000051DA" w:rsidRDefault="00F16F02" w:rsidP="00B271A0">
            <w:pPr>
              <w:ind w:left="63"/>
              <w:rPr>
                <w:snapToGrid w:val="0"/>
                <w:color w:val="FF0000"/>
                <w:kern w:val="22"/>
                <w:szCs w:val="22"/>
                <w:u w:val="single"/>
              </w:rPr>
            </w:pPr>
            <w:r w:rsidRPr="000051DA">
              <w:rPr>
                <w:snapToGrid w:val="0"/>
                <w:kern w:val="22"/>
                <w:szCs w:val="22"/>
              </w:rPr>
              <w:t>ENGLISH</w:t>
            </w:r>
            <w:r w:rsidR="003B095D">
              <w:rPr>
                <w:snapToGrid w:val="0"/>
                <w:kern w:val="22"/>
                <w:szCs w:val="22"/>
              </w:rPr>
              <w:t xml:space="preserve"> ONLY</w:t>
            </w:r>
          </w:p>
        </w:tc>
      </w:tr>
    </w:tbl>
    <w:bookmarkStart w:id="0" w:name="Meeting"/>
    <w:p w14:paraId="2381D57E" w14:textId="15F51960" w:rsidR="00CA6B87" w:rsidRPr="004623D8" w:rsidRDefault="004623D8" w:rsidP="004623D8">
      <w:pPr>
        <w:pStyle w:val="meetingname"/>
        <w:ind w:right="4540"/>
        <w:rPr>
          <w:kern w:val="22"/>
          <w:szCs w:val="22"/>
        </w:rPr>
      </w:pPr>
      <w:sdt>
        <w:sdtPr>
          <w:alias w:val="Meeting"/>
          <w:tag w:val="Meeting"/>
          <w:id w:val="1412045910"/>
          <w:placeholder>
            <w:docPart w:val="DefaultPlaceholder_1082065158"/>
          </w:placeholder>
          <w:text/>
        </w:sdtPr>
        <w:sdtEndPr/>
        <w:sdtContent>
          <w:r w:rsidR="00D51069" w:rsidRPr="004623D8">
            <w:t xml:space="preserve">SUBSIDIARY BODY ON </w:t>
          </w:r>
          <w:r>
            <w:t xml:space="preserve">Scientific </w:t>
          </w:r>
          <w:r w:rsidR="00F66CBE" w:rsidRPr="004623D8">
            <w:t>Technical and Technological Advice</w:t>
          </w:r>
        </w:sdtContent>
      </w:sdt>
      <w:bookmarkEnd w:id="0"/>
    </w:p>
    <w:p w14:paraId="46E81798" w14:textId="74820622" w:rsidR="00D51069" w:rsidRPr="004623D8" w:rsidRDefault="00F66CBE" w:rsidP="00CA6B87">
      <w:pPr>
        <w:rPr>
          <w:snapToGrid w:val="0"/>
          <w:kern w:val="22"/>
          <w:szCs w:val="22"/>
          <w:lang w:eastAsia="nb-NO"/>
        </w:rPr>
      </w:pPr>
      <w:r w:rsidRPr="004623D8">
        <w:rPr>
          <w:snapToGrid w:val="0"/>
          <w:kern w:val="22"/>
          <w:szCs w:val="22"/>
          <w:lang w:eastAsia="nb-NO"/>
        </w:rPr>
        <w:t>Twenty-s</w:t>
      </w:r>
      <w:r w:rsidR="00FB3B70" w:rsidRPr="004623D8">
        <w:rPr>
          <w:snapToGrid w:val="0"/>
          <w:kern w:val="22"/>
          <w:szCs w:val="22"/>
          <w:lang w:eastAsia="nb-NO"/>
        </w:rPr>
        <w:t>econd</w:t>
      </w:r>
      <w:r w:rsidR="00D51069" w:rsidRPr="004623D8">
        <w:rPr>
          <w:snapToGrid w:val="0"/>
          <w:kern w:val="22"/>
          <w:szCs w:val="22"/>
          <w:lang w:eastAsia="nb-NO"/>
        </w:rPr>
        <w:t xml:space="preserve"> meeting</w:t>
      </w:r>
    </w:p>
    <w:p w14:paraId="50DDED5F" w14:textId="012D9429" w:rsidR="00CA6B87" w:rsidRPr="004623D8" w:rsidRDefault="00D51069" w:rsidP="00CA6B87">
      <w:pPr>
        <w:rPr>
          <w:snapToGrid w:val="0"/>
          <w:kern w:val="22"/>
          <w:szCs w:val="22"/>
          <w:lang w:eastAsia="nb-NO"/>
        </w:rPr>
      </w:pPr>
      <w:r w:rsidRPr="004623D8">
        <w:rPr>
          <w:snapToGrid w:val="0"/>
          <w:kern w:val="22"/>
          <w:szCs w:val="22"/>
          <w:lang w:eastAsia="nb-NO"/>
        </w:rPr>
        <w:t>Montreal</w:t>
      </w:r>
      <w:r w:rsidR="00CA6B87" w:rsidRPr="004623D8">
        <w:rPr>
          <w:snapToGrid w:val="0"/>
          <w:kern w:val="22"/>
          <w:szCs w:val="22"/>
          <w:lang w:eastAsia="nb-NO"/>
        </w:rPr>
        <w:t xml:space="preserve">, </w:t>
      </w:r>
      <w:r w:rsidRPr="004623D8">
        <w:rPr>
          <w:snapToGrid w:val="0"/>
          <w:kern w:val="22"/>
          <w:szCs w:val="22"/>
          <w:lang w:eastAsia="nb-NO"/>
        </w:rPr>
        <w:t xml:space="preserve">Canada, </w:t>
      </w:r>
      <w:r w:rsidR="00F66CBE" w:rsidRPr="004623D8">
        <w:rPr>
          <w:snapToGrid w:val="0"/>
          <w:kern w:val="22"/>
          <w:szCs w:val="22"/>
          <w:lang w:eastAsia="nb-NO"/>
        </w:rPr>
        <w:t>2</w:t>
      </w:r>
      <w:r w:rsidR="002E0627" w:rsidRPr="004623D8">
        <w:rPr>
          <w:snapToGrid w:val="0"/>
          <w:kern w:val="22"/>
          <w:szCs w:val="22"/>
          <w:lang w:eastAsia="nb-NO"/>
        </w:rPr>
        <w:t>-</w:t>
      </w:r>
      <w:r w:rsidR="00F66CBE" w:rsidRPr="004623D8">
        <w:rPr>
          <w:snapToGrid w:val="0"/>
          <w:kern w:val="22"/>
          <w:szCs w:val="22"/>
          <w:lang w:eastAsia="nb-NO"/>
        </w:rPr>
        <w:t>7</w:t>
      </w:r>
      <w:r w:rsidR="00D15589" w:rsidRPr="004623D8">
        <w:rPr>
          <w:snapToGrid w:val="0"/>
          <w:kern w:val="22"/>
          <w:szCs w:val="22"/>
          <w:lang w:eastAsia="nb-NO"/>
        </w:rPr>
        <w:t xml:space="preserve"> July 2018</w:t>
      </w:r>
    </w:p>
    <w:p w14:paraId="6CE83677" w14:textId="4C99AB5B" w:rsidR="00CA6B87" w:rsidRPr="004623D8" w:rsidRDefault="00D51069" w:rsidP="00CA6B87">
      <w:pPr>
        <w:rPr>
          <w:snapToGrid w:val="0"/>
          <w:kern w:val="22"/>
          <w:szCs w:val="22"/>
          <w:lang w:eastAsia="nb-NO"/>
        </w:rPr>
      </w:pPr>
      <w:r w:rsidRPr="004623D8">
        <w:rPr>
          <w:snapToGrid w:val="0"/>
          <w:kern w:val="22"/>
          <w:szCs w:val="22"/>
          <w:lang w:eastAsia="nb-NO"/>
        </w:rPr>
        <w:t>I</w:t>
      </w:r>
      <w:r w:rsidR="00CA6B87" w:rsidRPr="004623D8">
        <w:rPr>
          <w:snapToGrid w:val="0"/>
          <w:kern w:val="22"/>
          <w:szCs w:val="22"/>
          <w:lang w:eastAsia="nb-NO"/>
        </w:rPr>
        <w:t xml:space="preserve">tem </w:t>
      </w:r>
      <w:r w:rsidR="00DA17AF" w:rsidRPr="004623D8">
        <w:rPr>
          <w:snapToGrid w:val="0"/>
          <w:kern w:val="22"/>
          <w:szCs w:val="22"/>
          <w:lang w:eastAsia="nb-NO"/>
        </w:rPr>
        <w:t>6</w:t>
      </w:r>
      <w:r w:rsidRPr="004623D8">
        <w:rPr>
          <w:snapToGrid w:val="0"/>
          <w:kern w:val="22"/>
          <w:szCs w:val="22"/>
          <w:lang w:eastAsia="nb-NO"/>
        </w:rPr>
        <w:t xml:space="preserve"> of the provisional agenda</w:t>
      </w:r>
      <w:r w:rsidRPr="004623D8">
        <w:rPr>
          <w:rStyle w:val="FootnoteReference"/>
          <w:snapToGrid w:val="0"/>
          <w:kern w:val="22"/>
          <w:szCs w:val="22"/>
          <w:u w:val="none"/>
          <w:lang w:eastAsia="nb-NO"/>
        </w:rPr>
        <w:footnoteReference w:customMarkFollows="1" w:id="1"/>
        <w:t>*</w:t>
      </w:r>
    </w:p>
    <w:p w14:paraId="237E7515" w14:textId="3AD5D4AB" w:rsidR="00406BC6" w:rsidRPr="000051DA" w:rsidRDefault="009D2F92" w:rsidP="00516C26">
      <w:pPr>
        <w:pStyle w:val="Heading1"/>
        <w:rPr>
          <w:snapToGrid w:val="0"/>
          <w:lang w:val="en-US"/>
        </w:rPr>
      </w:pPr>
      <w:r w:rsidRPr="000051DA">
        <w:rPr>
          <w:snapToGrid w:val="0"/>
        </w:rPr>
        <w:tab/>
      </w:r>
      <w:sdt>
        <w:sdtPr>
          <w:rPr>
            <w:snapToGrid w:val="0"/>
            <w:lang w:val="en-US"/>
          </w:rPr>
          <w:alias w:val="Title"/>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EndPr/>
        <w:sdtContent>
          <w:r w:rsidR="001F3F0B">
            <w:rPr>
              <w:snapToGrid w:val="0"/>
              <w:lang w:val="en-US"/>
            </w:rPr>
            <w:t>Literature-based assessment and lessons learnt analysis of progress towards the Aichi Targets - input to SBSTTA 22/COP14</w:t>
          </w:r>
        </w:sdtContent>
      </w:sdt>
    </w:p>
    <w:p w14:paraId="455E783A" w14:textId="77777777" w:rsidR="00FB2D28" w:rsidRPr="00950E59" w:rsidRDefault="00FB2D28" w:rsidP="00FB2D28">
      <w:pPr>
        <w:spacing w:before="120" w:after="240"/>
        <w:ind w:left="4320" w:hanging="4320"/>
        <w:jc w:val="center"/>
        <w:rPr>
          <w:i/>
          <w:snapToGrid w:val="0"/>
          <w:kern w:val="22"/>
          <w:szCs w:val="22"/>
        </w:rPr>
      </w:pPr>
      <w:r w:rsidRPr="00950E59">
        <w:rPr>
          <w:i/>
          <w:snapToGrid w:val="0"/>
          <w:kern w:val="22"/>
          <w:szCs w:val="22"/>
        </w:rPr>
        <w:t>Note by the Executive Secretary</w:t>
      </w:r>
    </w:p>
    <w:p w14:paraId="6F082F41" w14:textId="06075413" w:rsidR="004623D8" w:rsidRDefault="001F3F0B" w:rsidP="00116D41">
      <w:pPr>
        <w:pStyle w:val="Para1"/>
        <w:tabs>
          <w:tab w:val="clear" w:pos="360"/>
        </w:tabs>
      </w:pPr>
      <w:r>
        <w:t xml:space="preserve">The Executive Secretary is circulating herewith, for the information of participants in the twenty-second meeting of the Subsidiary Body on Scientific, Technical and Technological Advice and the second meeting of the Subsidiary Body on Implementation </w:t>
      </w:r>
      <w:r w:rsidR="004623D8">
        <w:t>an information document summariz</w:t>
      </w:r>
      <w:r>
        <w:t>ing</w:t>
      </w:r>
      <w:r w:rsidRPr="001F3F0B">
        <w:t xml:space="preserve"> new research relating to the framing and articulation of the Aichi Biodiversity Targets</w:t>
      </w:r>
      <w:r>
        <w:t xml:space="preserve">. The document has been prepared by </w:t>
      </w:r>
      <w:r w:rsidRPr="001F3F0B">
        <w:t xml:space="preserve">the Royal Society for the Protection of Birds and </w:t>
      </w:r>
      <w:proofErr w:type="spellStart"/>
      <w:r w:rsidRPr="001F3F0B">
        <w:t>B</w:t>
      </w:r>
      <w:bookmarkStart w:id="1" w:name="_GoBack"/>
      <w:bookmarkEnd w:id="1"/>
      <w:r w:rsidRPr="001F3F0B">
        <w:t>irdLife</w:t>
      </w:r>
      <w:proofErr w:type="spellEnd"/>
      <w:r w:rsidRPr="001F3F0B">
        <w:t xml:space="preserve"> International with support and advice from the U</w:t>
      </w:r>
      <w:r w:rsidR="004623D8">
        <w:t xml:space="preserve">nited </w:t>
      </w:r>
      <w:r w:rsidRPr="001F3F0B">
        <w:t>N</w:t>
      </w:r>
      <w:r w:rsidR="004623D8">
        <w:t>ations</w:t>
      </w:r>
      <w:r w:rsidRPr="001F3F0B">
        <w:t xml:space="preserve"> Environment</w:t>
      </w:r>
      <w:r w:rsidR="004623D8">
        <w:t xml:space="preserve"> Programme’s</w:t>
      </w:r>
      <w:r w:rsidRPr="001F3F0B">
        <w:t xml:space="preserve"> World Conservation Monitoring Centre and the Secretariat of the Convention on Biological Diversity and financial support from the Government of the United Kingdom </w:t>
      </w:r>
      <w:r w:rsidR="004623D8">
        <w:t xml:space="preserve">of Great Britain </w:t>
      </w:r>
      <w:r w:rsidRPr="001F3F0B">
        <w:t xml:space="preserve">and Northern Ireland. </w:t>
      </w:r>
    </w:p>
    <w:p w14:paraId="7A0EEE13" w14:textId="19278DE1" w:rsidR="009315AA" w:rsidRPr="009315AA" w:rsidRDefault="00952ED6" w:rsidP="00116D41">
      <w:pPr>
        <w:pStyle w:val="Para1"/>
        <w:tabs>
          <w:tab w:val="clear" w:pos="360"/>
        </w:tabs>
      </w:pPr>
      <w:r>
        <w:t xml:space="preserve">The </w:t>
      </w:r>
      <w:r w:rsidR="00DA17AF">
        <w:t xml:space="preserve">document </w:t>
      </w:r>
      <w:r>
        <w:t xml:space="preserve">is </w:t>
      </w:r>
      <w:r w:rsidR="004623D8">
        <w:t>being circulated</w:t>
      </w:r>
      <w:r>
        <w:t xml:space="preserve"> in the form and language in which it was received by the Secretariat of the Convention on Biological Diversity. </w:t>
      </w:r>
    </w:p>
    <w:p w14:paraId="3004BCD1" w14:textId="14F338FF" w:rsidR="00CC5554" w:rsidRDefault="00FB2D28" w:rsidP="00B12A22">
      <w:pPr>
        <w:jc w:val="left"/>
        <w:rPr>
          <w:rFonts w:asciiTheme="majorHAnsi" w:hAnsiTheme="majorHAnsi" w:cstheme="minorHAnsi"/>
          <w:b/>
          <w:color w:val="365F91" w:themeColor="accent1" w:themeShade="BF"/>
          <w:sz w:val="32"/>
          <w:szCs w:val="32"/>
        </w:rPr>
      </w:pPr>
      <w:r>
        <w:rPr>
          <w:b/>
          <w:lang w:val="en-US"/>
        </w:rPr>
        <w:br w:type="page"/>
      </w:r>
    </w:p>
    <w:p w14:paraId="34D717C3" w14:textId="77777777" w:rsidR="001F3F0B" w:rsidRDefault="001F3F0B" w:rsidP="001F3F0B">
      <w:pPr>
        <w:spacing w:after="120"/>
        <w:jc w:val="center"/>
        <w:rPr>
          <w:rStyle w:val="Hyperlink2"/>
          <w:b/>
        </w:rPr>
      </w:pPr>
      <w:r w:rsidRPr="008A0A45">
        <w:rPr>
          <w:rFonts w:eastAsia="Calibri"/>
          <w:b/>
          <w:sz w:val="28"/>
          <w:szCs w:val="28"/>
        </w:rPr>
        <w:lastRenderedPageBreak/>
        <w:t>Literature</w:t>
      </w:r>
      <w:r>
        <w:rPr>
          <w:rFonts w:eastAsia="Calibri"/>
          <w:b/>
          <w:sz w:val="28"/>
          <w:szCs w:val="28"/>
        </w:rPr>
        <w:t>-</w:t>
      </w:r>
      <w:r w:rsidRPr="008A0A45">
        <w:rPr>
          <w:rFonts w:eastAsia="Calibri"/>
          <w:b/>
          <w:sz w:val="28"/>
          <w:szCs w:val="28"/>
        </w:rPr>
        <w:t>based assessment and lessons learnt analysis of progress towards the Aichi Targets - input to SBSTTA 22/COP14</w:t>
      </w:r>
    </w:p>
    <w:p w14:paraId="3AB773AC" w14:textId="77777777" w:rsidR="001F3F0B" w:rsidRPr="009E3BC2" w:rsidRDefault="001F3F0B" w:rsidP="001F3F0B">
      <w:pPr>
        <w:spacing w:after="120"/>
        <w:rPr>
          <w:rStyle w:val="Hyperlink2"/>
          <w:b/>
          <w:i/>
        </w:rPr>
      </w:pPr>
      <w:r w:rsidRPr="009E3BC2">
        <w:rPr>
          <w:i/>
        </w:rPr>
        <w:t xml:space="preserve">This </w:t>
      </w:r>
      <w:r>
        <w:rPr>
          <w:i/>
        </w:rPr>
        <w:t>assessment</w:t>
      </w:r>
      <w:r w:rsidRPr="009E3BC2">
        <w:rPr>
          <w:i/>
        </w:rPr>
        <w:t xml:space="preserve"> has been prepared by the Royal Society for the Protection of Birds and </w:t>
      </w:r>
      <w:proofErr w:type="spellStart"/>
      <w:r w:rsidRPr="009E3BC2">
        <w:rPr>
          <w:i/>
        </w:rPr>
        <w:t>BirdLife</w:t>
      </w:r>
      <w:proofErr w:type="spellEnd"/>
      <w:r w:rsidRPr="009E3BC2">
        <w:rPr>
          <w:i/>
        </w:rPr>
        <w:t xml:space="preserve"> International, with additional financial support from the Government of the United Kingdom and Northern Ireland. Support and advice was also provided by the UN Environment World Conservation Monitoring Centre and the Secretariat of the Convention on Biological Diversity.   </w:t>
      </w:r>
    </w:p>
    <w:p w14:paraId="2ADD738A" w14:textId="77777777" w:rsidR="001F3F0B" w:rsidRPr="001313F5" w:rsidRDefault="001F3F0B" w:rsidP="001F3F0B">
      <w:pPr>
        <w:spacing w:before="240" w:after="120"/>
        <w:rPr>
          <w:rStyle w:val="Hyperlink2"/>
          <w:b/>
          <w:caps/>
          <w:color w:val="365F91" w:themeColor="accent1" w:themeShade="BF"/>
        </w:rPr>
      </w:pPr>
      <w:r w:rsidRPr="001313F5">
        <w:rPr>
          <w:rStyle w:val="Hyperlink2"/>
          <w:b/>
          <w:caps/>
          <w:color w:val="365F91" w:themeColor="accent1" w:themeShade="BF"/>
        </w:rPr>
        <w:t>Executive summary</w:t>
      </w:r>
    </w:p>
    <w:p w14:paraId="0CA637BF" w14:textId="77777777" w:rsidR="001F3F0B" w:rsidRPr="008F678A" w:rsidRDefault="001F3F0B" w:rsidP="001F3F0B">
      <w:pPr>
        <w:spacing w:after="120"/>
        <w:rPr>
          <w:rStyle w:val="Hyperlink2"/>
          <w:b/>
        </w:rPr>
      </w:pPr>
      <w:r w:rsidRPr="008F678A">
        <w:rPr>
          <w:rStyle w:val="Hyperlink2"/>
        </w:rPr>
        <w:t xml:space="preserve">This document </w:t>
      </w:r>
      <w:proofErr w:type="spellStart"/>
      <w:r w:rsidRPr="008F678A">
        <w:rPr>
          <w:rStyle w:val="Hyperlink2"/>
        </w:rPr>
        <w:t>summarises</w:t>
      </w:r>
      <w:proofErr w:type="spellEnd"/>
      <w:r w:rsidRPr="008F678A">
        <w:rPr>
          <w:rStyle w:val="Hyperlink2"/>
        </w:rPr>
        <w:t xml:space="preserve"> new research relating to the framing and articulation of the Aichi </w:t>
      </w:r>
      <w:r w:rsidRPr="0094707C">
        <w:rPr>
          <w:rStyle w:val="Hyperlink2"/>
        </w:rPr>
        <w:t>Biodiversity Targets (hereafter termed the ‘</w:t>
      </w:r>
      <w:r w:rsidRPr="005D5E22">
        <w:rPr>
          <w:rStyle w:val="Hyperlink2"/>
        </w:rPr>
        <w:t xml:space="preserve">Aichi targets’) and identifies specific characteristics of the targets and their constituent elements that could </w:t>
      </w:r>
      <w:r>
        <w:rPr>
          <w:rStyle w:val="Hyperlink2"/>
        </w:rPr>
        <w:t xml:space="preserve">arguably </w:t>
      </w:r>
      <w:r w:rsidRPr="005D5E22">
        <w:rPr>
          <w:rStyle w:val="Hyperlink2"/>
        </w:rPr>
        <w:t>be altered in a</w:t>
      </w:r>
      <w:r>
        <w:rPr>
          <w:rStyle w:val="Hyperlink2"/>
        </w:rPr>
        <w:t>ny</w:t>
      </w:r>
      <w:r w:rsidRPr="008F678A">
        <w:rPr>
          <w:rStyle w:val="Hyperlink2"/>
        </w:rPr>
        <w:t xml:space="preserve"> revised </w:t>
      </w:r>
      <w:r>
        <w:t>post</w:t>
      </w:r>
      <w:r>
        <w:noBreakHyphen/>
        <w:t>2020 global biodiversity framework, should that be deemed appropriate by parties</w:t>
      </w:r>
      <w:r w:rsidRPr="008F678A">
        <w:rPr>
          <w:rStyle w:val="Hyperlink2"/>
        </w:rPr>
        <w:t xml:space="preserve">. </w:t>
      </w:r>
    </w:p>
    <w:p w14:paraId="5FB56038" w14:textId="77777777" w:rsidR="001F3F0B" w:rsidRDefault="001F3F0B" w:rsidP="001F3F0B">
      <w:pPr>
        <w:pStyle w:val="BodyA"/>
        <w:spacing w:after="120"/>
        <w:jc w:val="both"/>
        <w:rPr>
          <w:rFonts w:ascii="Arial" w:eastAsia="Arial" w:hAnsi="Arial" w:cs="Arial"/>
        </w:rPr>
      </w:pPr>
      <w:r>
        <w:rPr>
          <w:rFonts w:ascii="Arial" w:hAnsi="Arial" w:cs="Arial"/>
        </w:rPr>
        <w:t>The Aichi targets have been much praised for</w:t>
      </w:r>
      <w:r w:rsidRPr="00EA7E3C">
        <w:rPr>
          <w:rFonts w:ascii="Arial" w:hAnsi="Arial" w:cs="Arial"/>
        </w:rPr>
        <w:t xml:space="preserve"> being </w:t>
      </w:r>
      <w:r>
        <w:rPr>
          <w:rFonts w:ascii="Arial" w:hAnsi="Arial" w:cs="Arial"/>
        </w:rPr>
        <w:t>broadly based (covering the state of biodiversity, pressures acting upon it and responses to biodiversity loss)</w:t>
      </w:r>
      <w:r w:rsidRPr="00EA7E3C">
        <w:rPr>
          <w:rFonts w:ascii="Arial" w:hAnsi="Arial" w:cs="Arial"/>
        </w:rPr>
        <w:t>,</w:t>
      </w:r>
      <w:r>
        <w:rPr>
          <w:rFonts w:ascii="Arial" w:hAnsi="Arial" w:cs="Arial"/>
        </w:rPr>
        <w:t xml:space="preserve"> a significant improvement compared to the 2010 Target, ambitious in some cases, and have been applauded for seeking to achieve specific end points or states for conservation management. They have also however been </w:t>
      </w:r>
      <w:proofErr w:type="spellStart"/>
      <w:r>
        <w:rPr>
          <w:rFonts w:ascii="Arial" w:hAnsi="Arial" w:cs="Arial"/>
        </w:rPr>
        <w:t>criticised</w:t>
      </w:r>
      <w:proofErr w:type="spellEnd"/>
      <w:r>
        <w:rPr>
          <w:rFonts w:ascii="Arial" w:hAnsi="Arial" w:cs="Arial"/>
        </w:rPr>
        <w:t xml:space="preserve"> for ambiguity; lack of specificity and quantifiable objectives, both in terms of measuring progress and for baselines and indicators; comprehensiveness; and their ambition has been questioned in terms of sufficiency to protect and restore biodiversity and ecosystem services.   </w:t>
      </w:r>
    </w:p>
    <w:p w14:paraId="4C392946" w14:textId="77777777" w:rsidR="001F3F0B" w:rsidRPr="0054182F" w:rsidRDefault="001F3F0B" w:rsidP="001F3F0B">
      <w:pPr>
        <w:pStyle w:val="BodyA"/>
        <w:spacing w:after="120"/>
        <w:jc w:val="both"/>
        <w:rPr>
          <w:rStyle w:val="Hyperlink2"/>
          <w:rFonts w:cs="Arial"/>
          <w:b/>
          <w:lang w:val="en-GB"/>
        </w:rPr>
      </w:pPr>
      <w:r w:rsidRPr="0054182F">
        <w:rPr>
          <w:rFonts w:ascii="Arial" w:hAnsi="Arial" w:cs="Arial"/>
        </w:rPr>
        <w:t xml:space="preserve">Green et al. (submitted) </w:t>
      </w:r>
      <w:r>
        <w:rPr>
          <w:rFonts w:ascii="Arial" w:hAnsi="Arial" w:cs="Arial"/>
        </w:rPr>
        <w:t xml:space="preserve">used an expert-based approach to score the relative ‘SMART’-ness of the Aichi target elements. Specifically, they </w:t>
      </w:r>
      <w:r w:rsidRPr="0054182F">
        <w:rPr>
          <w:rFonts w:ascii="Arial" w:hAnsi="Arial" w:cs="Arial"/>
        </w:rPr>
        <w:t>collected expert opinion data to assess the degree to which the 20 Aichi Targets were cons</w:t>
      </w:r>
      <w:r>
        <w:rPr>
          <w:rFonts w:ascii="Arial" w:hAnsi="Arial" w:cs="Arial"/>
        </w:rPr>
        <w:t xml:space="preserve">idered Comprehensive, </w:t>
      </w:r>
      <w:r w:rsidRPr="0054182F">
        <w:rPr>
          <w:rFonts w:ascii="Arial" w:hAnsi="Arial" w:cs="Arial"/>
        </w:rPr>
        <w:t xml:space="preserve">and their constituent elements were considered </w:t>
      </w:r>
      <w:r>
        <w:rPr>
          <w:rFonts w:ascii="Arial" w:hAnsi="Arial" w:cs="Arial"/>
        </w:rPr>
        <w:t>S</w:t>
      </w:r>
      <w:r w:rsidRPr="0054182F">
        <w:rPr>
          <w:rFonts w:ascii="Arial" w:hAnsi="Arial" w:cs="Arial"/>
        </w:rPr>
        <w:t xml:space="preserve">pecific, </w:t>
      </w:r>
      <w:r>
        <w:rPr>
          <w:rFonts w:ascii="Arial" w:hAnsi="Arial" w:cs="Arial"/>
        </w:rPr>
        <w:t>M</w:t>
      </w:r>
      <w:r w:rsidRPr="0054182F">
        <w:rPr>
          <w:rFonts w:ascii="Arial" w:hAnsi="Arial" w:cs="Arial"/>
        </w:rPr>
        <w:t xml:space="preserve">easurable, </w:t>
      </w:r>
      <w:r>
        <w:rPr>
          <w:rFonts w:ascii="Arial" w:hAnsi="Arial" w:cs="Arial"/>
        </w:rPr>
        <w:t>A</w:t>
      </w:r>
      <w:r w:rsidRPr="0054182F">
        <w:rPr>
          <w:rFonts w:ascii="Arial" w:hAnsi="Arial" w:cs="Arial"/>
        </w:rPr>
        <w:t xml:space="preserve">mbitious, </w:t>
      </w:r>
      <w:r>
        <w:rPr>
          <w:rFonts w:ascii="Arial" w:hAnsi="Arial" w:cs="Arial"/>
        </w:rPr>
        <w:t>R</w:t>
      </w:r>
      <w:r w:rsidRPr="0054182F">
        <w:rPr>
          <w:rFonts w:ascii="Arial" w:hAnsi="Arial" w:cs="Arial"/>
        </w:rPr>
        <w:t xml:space="preserve">ealistic, </w:t>
      </w:r>
      <w:r>
        <w:rPr>
          <w:rFonts w:ascii="Arial" w:hAnsi="Arial" w:cs="Arial"/>
        </w:rPr>
        <w:t>U</w:t>
      </w:r>
      <w:r w:rsidRPr="0054182F">
        <w:rPr>
          <w:rFonts w:ascii="Arial" w:hAnsi="Arial" w:cs="Arial"/>
        </w:rPr>
        <w:t xml:space="preserve">nambiguous and </w:t>
      </w:r>
      <w:r>
        <w:rPr>
          <w:rFonts w:ascii="Arial" w:hAnsi="Arial" w:cs="Arial"/>
        </w:rPr>
        <w:t>S</w:t>
      </w:r>
      <w:r w:rsidRPr="0054182F">
        <w:rPr>
          <w:rFonts w:ascii="Arial" w:hAnsi="Arial" w:cs="Arial"/>
        </w:rPr>
        <w:t>calable</w:t>
      </w:r>
      <w:r>
        <w:rPr>
          <w:rFonts w:ascii="Arial" w:hAnsi="Arial" w:cs="Arial"/>
        </w:rPr>
        <w:t xml:space="preserve"> (all targets are Time-bound)</w:t>
      </w:r>
      <w:r w:rsidRPr="0054182F">
        <w:rPr>
          <w:rFonts w:ascii="Arial" w:hAnsi="Arial" w:cs="Arial"/>
        </w:rPr>
        <w:t xml:space="preserve">. </w:t>
      </w:r>
      <w:r>
        <w:rPr>
          <w:rFonts w:ascii="Arial" w:hAnsi="Arial" w:cs="Arial"/>
        </w:rPr>
        <w:t xml:space="preserve"> They found that:</w:t>
      </w:r>
    </w:p>
    <w:p w14:paraId="47F12F9B" w14:textId="77777777" w:rsidR="001F3F0B" w:rsidRPr="00ED399A" w:rsidRDefault="001F3F0B" w:rsidP="006B604D">
      <w:pPr>
        <w:pStyle w:val="ListParagraph"/>
        <w:numPr>
          <w:ilvl w:val="1"/>
          <w:numId w:val="6"/>
        </w:numPr>
        <w:spacing w:after="120" w:line="259" w:lineRule="auto"/>
        <w:ind w:left="1077" w:hanging="357"/>
        <w:contextualSpacing w:val="0"/>
        <w:rPr>
          <w:rStyle w:val="Hyperlink2"/>
        </w:rPr>
      </w:pPr>
      <w:r>
        <w:t>a</w:t>
      </w:r>
      <w:r w:rsidRPr="00ED399A">
        <w:t xml:space="preserve">ll targets were perceived by the experts </w:t>
      </w:r>
      <w:r>
        <w:t>to be moderately C</w:t>
      </w:r>
      <w:r w:rsidRPr="00ED399A">
        <w:t>omprehensive</w:t>
      </w:r>
      <w:r>
        <w:t>;</w:t>
      </w:r>
      <w:r w:rsidRPr="00ED399A">
        <w:rPr>
          <w:rStyle w:val="Hyperlink2"/>
        </w:rPr>
        <w:t xml:space="preserve"> </w:t>
      </w:r>
    </w:p>
    <w:p w14:paraId="0ABC2A99" w14:textId="77777777" w:rsidR="001F3F0B" w:rsidRPr="00ED399A" w:rsidRDefault="001F3F0B" w:rsidP="006B604D">
      <w:pPr>
        <w:pStyle w:val="ListParagraph"/>
        <w:numPr>
          <w:ilvl w:val="1"/>
          <w:numId w:val="6"/>
        </w:numPr>
        <w:spacing w:after="120" w:line="259" w:lineRule="auto"/>
        <w:ind w:left="1077" w:hanging="357"/>
        <w:contextualSpacing w:val="0"/>
        <w:rPr>
          <w:rStyle w:val="None"/>
        </w:rPr>
      </w:pPr>
      <w:r>
        <w:rPr>
          <w:rStyle w:val="None"/>
          <w:shd w:val="clear" w:color="auto" w:fill="FFFFFF"/>
        </w:rPr>
        <w:t>t</w:t>
      </w:r>
      <w:r w:rsidRPr="00ED399A">
        <w:rPr>
          <w:rStyle w:val="None"/>
          <w:shd w:val="clear" w:color="auto" w:fill="FFFFFF"/>
        </w:rPr>
        <w:t>he targets with the highest average ‘SMART’ scores were 17, 16 and 9, while the targets with the lowest average ‘SMART’ scores were 10, 14 and 19</w:t>
      </w:r>
      <w:r>
        <w:rPr>
          <w:rStyle w:val="None"/>
          <w:shd w:val="clear" w:color="auto" w:fill="FFFFFF"/>
        </w:rPr>
        <w:t xml:space="preserve"> – the reasons or these differences can be explained;</w:t>
      </w:r>
      <w:r w:rsidRPr="00ED399A">
        <w:rPr>
          <w:rStyle w:val="None"/>
          <w:shd w:val="clear" w:color="auto" w:fill="FFFFFF"/>
        </w:rPr>
        <w:t xml:space="preserve"> </w:t>
      </w:r>
    </w:p>
    <w:p w14:paraId="6FBAE886" w14:textId="77777777" w:rsidR="001F3F0B" w:rsidRPr="00D13BD1" w:rsidRDefault="001F3F0B" w:rsidP="006B604D">
      <w:pPr>
        <w:pStyle w:val="ListParagraph"/>
        <w:numPr>
          <w:ilvl w:val="1"/>
          <w:numId w:val="6"/>
        </w:numPr>
        <w:spacing w:after="120" w:line="259" w:lineRule="auto"/>
        <w:ind w:left="1077" w:hanging="357"/>
        <w:contextualSpacing w:val="0"/>
        <w:rPr>
          <w:rStyle w:val="None"/>
        </w:rPr>
      </w:pPr>
      <w:r>
        <w:rPr>
          <w:rStyle w:val="None"/>
        </w:rPr>
        <w:t>t</w:t>
      </w:r>
      <w:r w:rsidRPr="00ED399A">
        <w:rPr>
          <w:rStyle w:val="None"/>
        </w:rPr>
        <w:t xml:space="preserve">here is a significant relationship between the ‘SMART-ness’ of targets and reported progress against those targets. </w:t>
      </w:r>
      <w:proofErr w:type="spellStart"/>
      <w:r>
        <w:rPr>
          <w:rStyle w:val="None"/>
        </w:rPr>
        <w:t>SMARTer</w:t>
      </w:r>
      <w:proofErr w:type="spellEnd"/>
      <w:r>
        <w:rPr>
          <w:rStyle w:val="None"/>
        </w:rPr>
        <w:t xml:space="preserve"> targets make more demonstrable progress. </w:t>
      </w:r>
      <w:r w:rsidRPr="00ED399A">
        <w:rPr>
          <w:rStyle w:val="None"/>
        </w:rPr>
        <w:t xml:space="preserve">The results </w:t>
      </w:r>
      <w:r>
        <w:rPr>
          <w:rStyle w:val="None"/>
        </w:rPr>
        <w:t>show</w:t>
      </w:r>
      <w:r w:rsidRPr="00ED399A">
        <w:rPr>
          <w:rStyle w:val="None"/>
        </w:rPr>
        <w:t xml:space="preserve"> significantly </w:t>
      </w:r>
      <w:r w:rsidRPr="00ED399A">
        <w:rPr>
          <w:rStyle w:val="None"/>
          <w:shd w:val="clear" w:color="auto" w:fill="FFFFFF"/>
        </w:rPr>
        <w:t xml:space="preserve">greater progress has been made towards </w:t>
      </w:r>
      <w:r>
        <w:rPr>
          <w:rStyle w:val="None"/>
          <w:shd w:val="clear" w:color="auto" w:fill="FFFFFF"/>
        </w:rPr>
        <w:t>‘</w:t>
      </w:r>
      <w:proofErr w:type="spellStart"/>
      <w:r w:rsidRPr="00ED399A">
        <w:rPr>
          <w:rStyle w:val="None"/>
          <w:u w:color="FF0000"/>
          <w:shd w:val="clear" w:color="auto" w:fill="FFFFFF"/>
        </w:rPr>
        <w:t>SMARTer</w:t>
      </w:r>
      <w:proofErr w:type="spellEnd"/>
      <w:r>
        <w:rPr>
          <w:rStyle w:val="None"/>
          <w:u w:color="FF0000"/>
          <w:shd w:val="clear" w:color="auto" w:fill="FFFFFF"/>
        </w:rPr>
        <w:t>’</w:t>
      </w:r>
      <w:r w:rsidRPr="00ED399A">
        <w:rPr>
          <w:rStyle w:val="None"/>
          <w:shd w:val="clear" w:color="auto" w:fill="FFFFFF"/>
        </w:rPr>
        <w:t xml:space="preserve"> targets; </w:t>
      </w:r>
      <w:proofErr w:type="gramStart"/>
      <w:r w:rsidRPr="00ED399A">
        <w:rPr>
          <w:rStyle w:val="None"/>
          <w:shd w:val="clear" w:color="auto" w:fill="FFFFFF"/>
        </w:rPr>
        <w:t>specifically</w:t>
      </w:r>
      <w:proofErr w:type="gramEnd"/>
      <w:r w:rsidRPr="00ED399A">
        <w:rPr>
          <w:rStyle w:val="None"/>
          <w:shd w:val="clear" w:color="auto" w:fill="FFFFFF"/>
        </w:rPr>
        <w:t xml:space="preserve"> those that were judged more measurable, realistic, unambiguous and scalable</w:t>
      </w:r>
      <w:r>
        <w:rPr>
          <w:rStyle w:val="None"/>
          <w:shd w:val="clear" w:color="auto" w:fill="FFFFFF"/>
        </w:rPr>
        <w:t>;</w:t>
      </w:r>
    </w:p>
    <w:p w14:paraId="70775EAD" w14:textId="77777777" w:rsidR="001F3F0B" w:rsidRPr="004201B9" w:rsidRDefault="001F3F0B" w:rsidP="006B604D">
      <w:pPr>
        <w:pStyle w:val="ListParagraph"/>
        <w:numPr>
          <w:ilvl w:val="1"/>
          <w:numId w:val="6"/>
        </w:numPr>
        <w:spacing w:after="120" w:line="259" w:lineRule="auto"/>
        <w:ind w:left="1077" w:hanging="357"/>
        <w:contextualSpacing w:val="0"/>
        <w:rPr>
          <w:rStyle w:val="None"/>
        </w:rPr>
      </w:pPr>
      <w:r>
        <w:rPr>
          <w:rStyle w:val="None"/>
          <w:shd w:val="clear" w:color="auto" w:fill="FFFFFF"/>
        </w:rPr>
        <w:t>t</w:t>
      </w:r>
      <w:r w:rsidRPr="00ED399A">
        <w:rPr>
          <w:rStyle w:val="None"/>
          <w:shd w:val="clear" w:color="auto" w:fill="FFFFFF"/>
        </w:rPr>
        <w:t>here was no relationship between Ambition and progress, reflecting a more complex trade-off between Ambition and Realism in target setting</w:t>
      </w:r>
      <w:r>
        <w:rPr>
          <w:rStyle w:val="None"/>
          <w:shd w:val="clear" w:color="auto" w:fill="FFFFFF"/>
        </w:rPr>
        <w:t>; and</w:t>
      </w:r>
    </w:p>
    <w:p w14:paraId="2E7818BF" w14:textId="77777777" w:rsidR="001F3F0B" w:rsidRPr="00ED399A" w:rsidRDefault="001F3F0B" w:rsidP="006B604D">
      <w:pPr>
        <w:pStyle w:val="ListParagraph"/>
        <w:numPr>
          <w:ilvl w:val="1"/>
          <w:numId w:val="6"/>
        </w:numPr>
        <w:spacing w:after="120" w:line="259" w:lineRule="auto"/>
        <w:ind w:left="1077" w:hanging="357"/>
        <w:contextualSpacing w:val="0"/>
        <w:rPr>
          <w:rStyle w:val="Hyperlink2"/>
        </w:rPr>
      </w:pPr>
      <w:r>
        <w:rPr>
          <w:rStyle w:val="None"/>
          <w:shd w:val="clear" w:color="auto" w:fill="FFFFFF"/>
        </w:rPr>
        <w:t>t</w:t>
      </w:r>
      <w:r w:rsidRPr="00D13BD1">
        <w:rPr>
          <w:rStyle w:val="None"/>
          <w:shd w:val="clear" w:color="auto" w:fill="FFFFFF"/>
        </w:rPr>
        <w:t>argets with the highest average ‘SMART</w:t>
      </w:r>
      <w:r>
        <w:rPr>
          <w:rStyle w:val="None"/>
          <w:shd w:val="clear" w:color="auto" w:fill="FFFFFF"/>
        </w:rPr>
        <w:t>-ness</w:t>
      </w:r>
      <w:r w:rsidRPr="00D13BD1">
        <w:rPr>
          <w:rStyle w:val="None"/>
          <w:shd w:val="clear" w:color="auto" w:fill="FFFFFF"/>
        </w:rPr>
        <w:t>’ scores were those that contained explicitly defined deliverables</w:t>
      </w:r>
      <w:r>
        <w:rPr>
          <w:rStyle w:val="None"/>
          <w:shd w:val="clear" w:color="auto" w:fill="FFFFFF"/>
        </w:rPr>
        <w:t>.</w:t>
      </w:r>
    </w:p>
    <w:p w14:paraId="505A21A4" w14:textId="77777777" w:rsidR="001F3F0B" w:rsidRPr="00ED399A" w:rsidRDefault="001F3F0B" w:rsidP="001F3F0B">
      <w:pPr>
        <w:pStyle w:val="CommentText"/>
      </w:pPr>
      <w:r w:rsidRPr="00ED399A">
        <w:t>Based on this literature review and outcomes from the questionnaire survey reported on by Green et al. (submitted), it is recommended that any new or revised targets established under the post-2020 global biodiversity framework should:</w:t>
      </w:r>
    </w:p>
    <w:p w14:paraId="2CC96AA5" w14:textId="77777777" w:rsidR="001F3F0B" w:rsidRPr="0099797D" w:rsidRDefault="001F3F0B" w:rsidP="006B604D">
      <w:pPr>
        <w:pStyle w:val="CommentText"/>
        <w:numPr>
          <w:ilvl w:val="0"/>
          <w:numId w:val="8"/>
        </w:numPr>
        <w:spacing w:line="240" w:lineRule="auto"/>
      </w:pPr>
      <w:r w:rsidRPr="0099797D">
        <w:t xml:space="preserve">be </w:t>
      </w:r>
      <w:r w:rsidRPr="0099797D">
        <w:rPr>
          <w:b/>
        </w:rPr>
        <w:t>ambitious but realistic</w:t>
      </w:r>
      <w:r w:rsidRPr="0099797D">
        <w:t>, recognising that ambition without realism can undermine confidence in the ability to deliver on targets – but equally that ambition also promotes and drives progress</w:t>
      </w:r>
      <w:r>
        <w:t>;</w:t>
      </w:r>
    </w:p>
    <w:p w14:paraId="460CFC28" w14:textId="77777777" w:rsidR="001F3F0B" w:rsidRPr="0099797D" w:rsidRDefault="001F3F0B" w:rsidP="006B604D">
      <w:pPr>
        <w:pStyle w:val="CommentText"/>
        <w:numPr>
          <w:ilvl w:val="0"/>
          <w:numId w:val="8"/>
        </w:numPr>
        <w:spacing w:line="240" w:lineRule="auto"/>
      </w:pPr>
      <w:r w:rsidRPr="0099797D">
        <w:t xml:space="preserve">be </w:t>
      </w:r>
      <w:r w:rsidRPr="0099797D">
        <w:rPr>
          <w:b/>
        </w:rPr>
        <w:t>clearly and unambiguously worded</w:t>
      </w:r>
      <w:r w:rsidRPr="0099797D">
        <w:t>, and provided with necessary definitions, so that the intent and necessary action or actions, are apparent</w:t>
      </w:r>
      <w:r>
        <w:t>;</w:t>
      </w:r>
    </w:p>
    <w:p w14:paraId="7B32578E" w14:textId="77777777" w:rsidR="001F3F0B" w:rsidRPr="0099797D" w:rsidRDefault="001F3F0B" w:rsidP="006B604D">
      <w:pPr>
        <w:pStyle w:val="CommentText"/>
        <w:numPr>
          <w:ilvl w:val="0"/>
          <w:numId w:val="8"/>
        </w:numPr>
        <w:spacing w:line="240" w:lineRule="auto"/>
        <w:rPr>
          <w:rStyle w:val="Hyperlink2"/>
        </w:rPr>
      </w:pPr>
      <w:r w:rsidRPr="0099797D">
        <w:lastRenderedPageBreak/>
        <w:t xml:space="preserve">be </w:t>
      </w:r>
      <w:r w:rsidRPr="0099797D">
        <w:rPr>
          <w:b/>
        </w:rPr>
        <w:t xml:space="preserve">clear and well </w:t>
      </w:r>
      <w:r w:rsidRPr="0099797D">
        <w:rPr>
          <w:b/>
          <w:szCs w:val="22"/>
        </w:rPr>
        <w:t xml:space="preserve">defined </w:t>
      </w:r>
      <w:r w:rsidRPr="0099797D">
        <w:rPr>
          <w:rStyle w:val="None"/>
          <w:b/>
          <w:szCs w:val="22"/>
          <w:shd w:val="clear" w:color="auto" w:fill="FFFFFF"/>
        </w:rPr>
        <w:t>with explicit deliverables</w:t>
      </w:r>
      <w:r w:rsidRPr="0099797D">
        <w:t>, and therefore amenable and easy to measure in any realistic way</w:t>
      </w:r>
      <w:r>
        <w:t>; and</w:t>
      </w:r>
    </w:p>
    <w:p w14:paraId="5555D84C" w14:textId="77777777" w:rsidR="001F3F0B" w:rsidRPr="0099797D" w:rsidRDefault="001F3F0B" w:rsidP="006B604D">
      <w:pPr>
        <w:pStyle w:val="CommentText"/>
        <w:numPr>
          <w:ilvl w:val="0"/>
          <w:numId w:val="8"/>
        </w:numPr>
        <w:spacing w:line="240" w:lineRule="auto"/>
        <w:rPr>
          <w:rStyle w:val="CommentReference"/>
          <w:szCs w:val="20"/>
        </w:rPr>
      </w:pPr>
      <w:r w:rsidRPr="0099797D">
        <w:t xml:space="preserve">include </w:t>
      </w:r>
      <w:r w:rsidRPr="0099797D">
        <w:rPr>
          <w:b/>
        </w:rPr>
        <w:t>quantifiable elements wherever practicable</w:t>
      </w:r>
      <w:r w:rsidRPr="0099797D">
        <w:t xml:space="preserve"> </w:t>
      </w:r>
      <w:proofErr w:type="gramStart"/>
      <w:r w:rsidRPr="0099797D">
        <w:t>so as to</w:t>
      </w:r>
      <w:proofErr w:type="gramEnd"/>
      <w:r w:rsidRPr="0099797D">
        <w:t xml:space="preserve"> facilitate both action and the tracking of progress</w:t>
      </w:r>
      <w:r>
        <w:t>.</w:t>
      </w:r>
      <w:r w:rsidRPr="0099797D">
        <w:rPr>
          <w:rStyle w:val="CommentReference"/>
          <w:sz w:val="24"/>
        </w:rPr>
        <w:t xml:space="preserve"> </w:t>
      </w:r>
    </w:p>
    <w:p w14:paraId="5957C33C" w14:textId="77777777" w:rsidR="001F3F0B" w:rsidRPr="0099797D" w:rsidRDefault="001F3F0B" w:rsidP="001F3F0B">
      <w:pPr>
        <w:spacing w:after="120"/>
        <w:rPr>
          <w:rStyle w:val="CommentReference"/>
          <w:szCs w:val="22"/>
        </w:rPr>
      </w:pPr>
      <w:r w:rsidRPr="0099797D">
        <w:rPr>
          <w:rStyle w:val="CommentReference"/>
          <w:szCs w:val="22"/>
        </w:rPr>
        <w:t xml:space="preserve">In </w:t>
      </w:r>
      <w:proofErr w:type="gramStart"/>
      <w:r w:rsidRPr="0099797D">
        <w:rPr>
          <w:rStyle w:val="CommentReference"/>
          <w:szCs w:val="22"/>
        </w:rPr>
        <w:t>addition</w:t>
      </w:r>
      <w:proofErr w:type="gramEnd"/>
      <w:r w:rsidRPr="0099797D">
        <w:rPr>
          <w:rStyle w:val="CommentReference"/>
          <w:szCs w:val="22"/>
        </w:rPr>
        <w:t xml:space="preserve"> it is recommended that</w:t>
      </w:r>
      <w:r>
        <w:rPr>
          <w:rStyle w:val="CommentReference"/>
          <w:szCs w:val="22"/>
        </w:rPr>
        <w:t xml:space="preserve"> any future targets that are under discussion</w:t>
      </w:r>
      <w:r w:rsidRPr="0099797D">
        <w:rPr>
          <w:rStyle w:val="CommentReference"/>
          <w:szCs w:val="22"/>
        </w:rPr>
        <w:t>:</w:t>
      </w:r>
    </w:p>
    <w:p w14:paraId="16E9B6A8" w14:textId="77777777" w:rsidR="001F3F0B" w:rsidRPr="0099797D" w:rsidRDefault="001F3F0B" w:rsidP="006B604D">
      <w:pPr>
        <w:pStyle w:val="CommentText"/>
        <w:numPr>
          <w:ilvl w:val="0"/>
          <w:numId w:val="8"/>
        </w:numPr>
        <w:spacing w:line="240" w:lineRule="auto"/>
        <w:rPr>
          <w:szCs w:val="22"/>
        </w:rPr>
      </w:pPr>
      <w:r w:rsidRPr="0099797D">
        <w:rPr>
          <w:szCs w:val="22"/>
        </w:rPr>
        <w:t xml:space="preserve">should be </w:t>
      </w:r>
      <w:r w:rsidRPr="0099797D">
        <w:rPr>
          <w:b/>
          <w:szCs w:val="22"/>
        </w:rPr>
        <w:t>considered and framed against an extended SMART-type set of criteria</w:t>
      </w:r>
      <w:r w:rsidRPr="0099797D">
        <w:rPr>
          <w:szCs w:val="22"/>
        </w:rPr>
        <w:t xml:space="preserve">, </w:t>
      </w:r>
      <w:proofErr w:type="gramStart"/>
      <w:r w:rsidRPr="0099797D">
        <w:rPr>
          <w:szCs w:val="22"/>
        </w:rPr>
        <w:t>similar to</w:t>
      </w:r>
      <w:proofErr w:type="gramEnd"/>
      <w:r w:rsidRPr="0099797D">
        <w:rPr>
          <w:szCs w:val="22"/>
        </w:rPr>
        <w:t xml:space="preserve"> that used by Green et al. and suggested by others</w:t>
      </w:r>
      <w:r>
        <w:rPr>
          <w:szCs w:val="22"/>
        </w:rPr>
        <w:t xml:space="preserve"> (noting that i</w:t>
      </w:r>
      <w:r w:rsidRPr="0099797D">
        <w:rPr>
          <w:szCs w:val="22"/>
        </w:rPr>
        <w:t xml:space="preserve">t would be helpful to explore </w:t>
      </w:r>
      <w:r>
        <w:rPr>
          <w:szCs w:val="22"/>
        </w:rPr>
        <w:t xml:space="preserve">further </w:t>
      </w:r>
      <w:r w:rsidRPr="0099797D">
        <w:rPr>
          <w:szCs w:val="22"/>
        </w:rPr>
        <w:t>whether different formulations of the SMART criteria were more or less instructive in framing biodiversity targets</w:t>
      </w:r>
      <w:r>
        <w:rPr>
          <w:szCs w:val="22"/>
        </w:rPr>
        <w:t>); and</w:t>
      </w:r>
    </w:p>
    <w:p w14:paraId="1F11070D" w14:textId="77777777" w:rsidR="001F3F0B" w:rsidRPr="0099797D" w:rsidRDefault="001F3F0B" w:rsidP="006B604D">
      <w:pPr>
        <w:pStyle w:val="CommentText"/>
        <w:numPr>
          <w:ilvl w:val="0"/>
          <w:numId w:val="8"/>
        </w:numPr>
        <w:spacing w:line="240" w:lineRule="auto"/>
        <w:rPr>
          <w:szCs w:val="22"/>
        </w:rPr>
      </w:pPr>
      <w:r w:rsidRPr="0099797D">
        <w:rPr>
          <w:szCs w:val="22"/>
        </w:rPr>
        <w:t xml:space="preserve">should </w:t>
      </w:r>
      <w:r>
        <w:rPr>
          <w:szCs w:val="22"/>
        </w:rPr>
        <w:t xml:space="preserve">be </w:t>
      </w:r>
      <w:r w:rsidRPr="001313F5">
        <w:rPr>
          <w:b/>
          <w:szCs w:val="22"/>
        </w:rPr>
        <w:t>sense checked against a ‘SMART’-type framework using a traffic light system</w:t>
      </w:r>
      <w:r w:rsidRPr="0099797D">
        <w:rPr>
          <w:szCs w:val="22"/>
        </w:rPr>
        <w:t xml:space="preserve"> (Green-Amber-Red)</w:t>
      </w:r>
      <w:r>
        <w:rPr>
          <w:szCs w:val="22"/>
        </w:rPr>
        <w:t>,</w:t>
      </w:r>
      <w:r w:rsidRPr="0099797D">
        <w:rPr>
          <w:szCs w:val="22"/>
        </w:rPr>
        <w:t xml:space="preserve"> </w:t>
      </w:r>
      <w:r>
        <w:rPr>
          <w:szCs w:val="22"/>
        </w:rPr>
        <w:t>g</w:t>
      </w:r>
      <w:r w:rsidRPr="0099797D">
        <w:rPr>
          <w:szCs w:val="22"/>
        </w:rPr>
        <w:t xml:space="preserve">reen meaning that the target broadly meets the criterion, </w:t>
      </w:r>
      <w:r>
        <w:rPr>
          <w:szCs w:val="22"/>
        </w:rPr>
        <w:t>a</w:t>
      </w:r>
      <w:r w:rsidRPr="0099797D">
        <w:rPr>
          <w:szCs w:val="22"/>
        </w:rPr>
        <w:t xml:space="preserve">mber meaning that it is unclear whether meets the criterion, and </w:t>
      </w:r>
      <w:r>
        <w:rPr>
          <w:szCs w:val="22"/>
        </w:rPr>
        <w:t>r</w:t>
      </w:r>
      <w:r w:rsidRPr="0099797D">
        <w:rPr>
          <w:szCs w:val="22"/>
        </w:rPr>
        <w:t>ed meaning the target does not meets the criterion.</w:t>
      </w:r>
    </w:p>
    <w:p w14:paraId="6B484427" w14:textId="77777777" w:rsidR="001F3F0B" w:rsidRDefault="001F3F0B" w:rsidP="001F3F0B">
      <w:pPr>
        <w:spacing w:after="120"/>
      </w:pPr>
      <w:r w:rsidRPr="001313F5">
        <w:rPr>
          <w:rStyle w:val="Hyperlink2"/>
        </w:rPr>
        <w:t xml:space="preserve">The research in </w:t>
      </w:r>
      <w:r w:rsidRPr="0054182F">
        <w:t>Green et al. (submitted)</w:t>
      </w:r>
      <w:r>
        <w:t xml:space="preserve"> could be extended usefully to draw on additional information sources, through both literature search and a wider questionnaire-based approach, to provide additional insight into lessons learned at different scales.</w:t>
      </w:r>
    </w:p>
    <w:p w14:paraId="4E6B827B" w14:textId="77777777" w:rsidR="001F3F0B" w:rsidRPr="001313F5" w:rsidRDefault="001F3F0B" w:rsidP="001F3F0B">
      <w:pPr>
        <w:spacing w:before="240" w:after="120"/>
        <w:rPr>
          <w:rStyle w:val="Hyperlink2"/>
          <w:b/>
          <w:caps/>
          <w:color w:val="365F91" w:themeColor="accent1" w:themeShade="BF"/>
        </w:rPr>
      </w:pPr>
      <w:r w:rsidRPr="001313F5">
        <w:rPr>
          <w:rStyle w:val="Hyperlink2"/>
          <w:b/>
          <w:caps/>
          <w:color w:val="365F91" w:themeColor="accent1" w:themeShade="BF"/>
        </w:rPr>
        <w:t>INTRODUCTION AND SCOPE</w:t>
      </w:r>
    </w:p>
    <w:p w14:paraId="0D797B55" w14:textId="77777777" w:rsidR="001F3F0B" w:rsidRDefault="001F3F0B" w:rsidP="006B604D">
      <w:pPr>
        <w:pStyle w:val="ListParagraph"/>
        <w:numPr>
          <w:ilvl w:val="0"/>
          <w:numId w:val="9"/>
        </w:numPr>
        <w:tabs>
          <w:tab w:val="left" w:pos="567"/>
        </w:tabs>
        <w:spacing w:after="120" w:line="259" w:lineRule="auto"/>
        <w:ind w:left="0" w:firstLine="0"/>
        <w:contextualSpacing w:val="0"/>
        <w:rPr>
          <w:rStyle w:val="None"/>
        </w:rPr>
      </w:pPr>
      <w:r w:rsidRPr="00EA7E3C">
        <w:rPr>
          <w:rStyle w:val="Hyperlink2"/>
        </w:rPr>
        <w:t xml:space="preserve">In October 2010, the Conference of the Parties (COP) to the Convention on Biological Diversity (CBD) adopted a Strategic Plan for Biodiversity for 2011-2020. </w:t>
      </w:r>
      <w:r w:rsidRPr="00EA7E3C">
        <w:rPr>
          <w:rStyle w:val="None"/>
        </w:rPr>
        <w:t>The Strategic Plan includes 20 biodiversity targets, agreed in 2010 and known as the Aichi Biodiversity Targets (hereafter the Aichi Targets). The overall success of the plan will be judged by the progress made towards the targets and their constituent elements (Secretariat of the Convention on Biological Diversity, 2014). Assessments to date have shown that, while a small number of elements are on track to be achieved</w:t>
      </w:r>
      <w:r>
        <w:rPr>
          <w:rStyle w:val="None"/>
        </w:rPr>
        <w:t xml:space="preserve"> or making positive progress</w:t>
      </w:r>
      <w:r w:rsidRPr="00EA7E3C">
        <w:rPr>
          <w:rStyle w:val="None"/>
        </w:rPr>
        <w:t xml:space="preserve">, there has been </w:t>
      </w:r>
      <w:r>
        <w:rPr>
          <w:rStyle w:val="None"/>
        </w:rPr>
        <w:t xml:space="preserve">limited </w:t>
      </w:r>
      <w:r w:rsidRPr="00EA7E3C">
        <w:rPr>
          <w:rStyle w:val="None"/>
        </w:rPr>
        <w:t xml:space="preserve">progress towards most of them, or even movement away from the target (Secretariat of the Convention on Biological Diversity, 2014; </w:t>
      </w:r>
      <w:proofErr w:type="spellStart"/>
      <w:r w:rsidRPr="00EA7E3C">
        <w:rPr>
          <w:rStyle w:val="None"/>
        </w:rPr>
        <w:t>Tittensor</w:t>
      </w:r>
      <w:proofErr w:type="spellEnd"/>
      <w:r w:rsidRPr="00EA7E3C">
        <w:rPr>
          <w:rStyle w:val="None"/>
        </w:rPr>
        <w:t xml:space="preserve"> et al. 2014).</w:t>
      </w:r>
      <w:r w:rsidRPr="001931CD">
        <w:t xml:space="preserve"> </w:t>
      </w:r>
      <w:r>
        <w:t xml:space="preserve"> </w:t>
      </w:r>
      <w:proofErr w:type="spellStart"/>
      <w:r>
        <w:t>Tittensor</w:t>
      </w:r>
      <w:proofErr w:type="spellEnd"/>
      <w:r>
        <w:t xml:space="preserve"> et al. reported that s</w:t>
      </w:r>
      <w:r w:rsidRPr="001931CD">
        <w:rPr>
          <w:rStyle w:val="None"/>
        </w:rPr>
        <w:t xml:space="preserve">ocietal responses to the biodiversity crisis generally showed improvements, with 21 of 33 response indicators (64%) projected to increase significantly by 2020 and most of the remainder having an increasing trend. In contrast, </w:t>
      </w:r>
      <w:r>
        <w:rPr>
          <w:rStyle w:val="None"/>
        </w:rPr>
        <w:t xml:space="preserve">however, </w:t>
      </w:r>
      <w:r w:rsidRPr="001931CD">
        <w:rPr>
          <w:rStyle w:val="None"/>
        </w:rPr>
        <w:t>five of seven pressure indicators (71</w:t>
      </w:r>
      <w:r>
        <w:rPr>
          <w:rStyle w:val="None"/>
        </w:rPr>
        <w:t xml:space="preserve">%) showed a worsening situation, </w:t>
      </w:r>
      <w:r w:rsidRPr="001931CD">
        <w:rPr>
          <w:rStyle w:val="None"/>
        </w:rPr>
        <w:t>and among state and benefit indicators, 11 of 17 (65%) showed significant worsening trends.</w:t>
      </w:r>
    </w:p>
    <w:p w14:paraId="087D2CC5" w14:textId="77777777" w:rsidR="001F3F0B" w:rsidRDefault="001F3F0B" w:rsidP="006B604D">
      <w:pPr>
        <w:pStyle w:val="ListParagraph"/>
        <w:numPr>
          <w:ilvl w:val="0"/>
          <w:numId w:val="9"/>
        </w:numPr>
        <w:tabs>
          <w:tab w:val="left" w:pos="567"/>
        </w:tabs>
        <w:spacing w:after="120" w:line="259" w:lineRule="auto"/>
        <w:ind w:left="0" w:firstLine="0"/>
        <w:contextualSpacing w:val="0"/>
        <w:rPr>
          <w:rStyle w:val="Hyperlink2"/>
        </w:rPr>
      </w:pPr>
      <w:r w:rsidRPr="00F14E05">
        <w:rPr>
          <w:rStyle w:val="None"/>
        </w:rPr>
        <w:t>The</w:t>
      </w:r>
      <w:r w:rsidRPr="00EA7E3C">
        <w:rPr>
          <w:rStyle w:val="Hyperlink2"/>
        </w:rPr>
        <w:t xml:space="preserve"> Strategic Plan and associated targets will be reviewed in 2020 at COP 15 in China. As preparations begin to consider a post-2020 biodiversity framework, it is </w:t>
      </w:r>
      <w:r>
        <w:rPr>
          <w:rStyle w:val="Hyperlink2"/>
        </w:rPr>
        <w:t>prudent to</w:t>
      </w:r>
      <w:r w:rsidRPr="00EA7E3C">
        <w:rPr>
          <w:rStyle w:val="Hyperlink2"/>
        </w:rPr>
        <w:t xml:space="preserve"> assess which characteristics of the Aichi Targets are associated with achieving success as opposed to stasis or reported failure.</w:t>
      </w:r>
      <w:r>
        <w:rPr>
          <w:rStyle w:val="Hyperlink2"/>
        </w:rPr>
        <w:t xml:space="preserve"> </w:t>
      </w:r>
      <w:r>
        <w:t xml:space="preserve">If the post-2020 global biodiversity framework sets targets, then we should endeavour to learn lessons from the Aichi targets, and apply those lessons to any revised or future targets. </w:t>
      </w:r>
      <w:proofErr w:type="spellStart"/>
      <w:r>
        <w:rPr>
          <w:rStyle w:val="Hyperlink2"/>
        </w:rPr>
        <w:t>Butchart</w:t>
      </w:r>
      <w:proofErr w:type="spellEnd"/>
      <w:r>
        <w:rPr>
          <w:rStyle w:val="Hyperlink2"/>
        </w:rPr>
        <w:t xml:space="preserve"> et al. (2016) made the case for the need for better framed biodiversity targets to facilitate greater progress. Poorly framed targets may reduce the ease of their interpretation, measurability, and inter-comparability. This in turn can hinder capability for monitoring their progress in a transparent and nationally comparable way, and can restrict the development or selection of the most appropriate indicators. Well framed targets are needed to assess progress towards them with sufficient confidence. </w:t>
      </w:r>
      <w:proofErr w:type="spellStart"/>
      <w:r>
        <w:rPr>
          <w:rStyle w:val="Hyperlink2"/>
        </w:rPr>
        <w:t>Butchart</w:t>
      </w:r>
      <w:proofErr w:type="spellEnd"/>
      <w:r>
        <w:rPr>
          <w:rStyle w:val="Hyperlink2"/>
        </w:rPr>
        <w:t xml:space="preserve"> et al. (2016) raised concern about the current Aichi targets with regards to their ambiguity, quantifiability, complexity, and redundancy.</w:t>
      </w:r>
    </w:p>
    <w:p w14:paraId="452B4095" w14:textId="77777777" w:rsidR="001F3F0B" w:rsidRPr="007E1B37" w:rsidRDefault="001F3F0B" w:rsidP="006B604D">
      <w:pPr>
        <w:pStyle w:val="ListParagraph"/>
        <w:numPr>
          <w:ilvl w:val="0"/>
          <w:numId w:val="9"/>
        </w:numPr>
        <w:tabs>
          <w:tab w:val="left" w:pos="567"/>
        </w:tabs>
        <w:spacing w:after="120" w:line="259" w:lineRule="auto"/>
        <w:ind w:left="0" w:firstLine="0"/>
        <w:contextualSpacing w:val="0"/>
        <w:rPr>
          <w:rStyle w:val="Hyperlink2"/>
        </w:rPr>
      </w:pPr>
      <w:proofErr w:type="gramStart"/>
      <w:r>
        <w:rPr>
          <w:rStyle w:val="Hyperlink2"/>
        </w:rPr>
        <w:t>So</w:t>
      </w:r>
      <w:proofErr w:type="gramEnd"/>
      <w:r>
        <w:rPr>
          <w:rStyle w:val="Hyperlink2"/>
        </w:rPr>
        <w:t xml:space="preserve"> </w:t>
      </w:r>
      <w:r w:rsidRPr="00F14E05">
        <w:rPr>
          <w:rStyle w:val="None"/>
        </w:rPr>
        <w:t>there</w:t>
      </w:r>
      <w:r>
        <w:rPr>
          <w:rStyle w:val="Hyperlink2"/>
        </w:rPr>
        <w:t xml:space="preserve"> is a need to determine whether the framing of a target has any impact on the progress made towards them. </w:t>
      </w:r>
      <w:r w:rsidRPr="00EA7E3C">
        <w:rPr>
          <w:rStyle w:val="Hyperlink2"/>
        </w:rPr>
        <w:t xml:space="preserve">In simple terms, </w:t>
      </w:r>
      <w:r>
        <w:rPr>
          <w:rStyle w:val="Hyperlink2"/>
        </w:rPr>
        <w:t>it is sensible to determine whether the</w:t>
      </w:r>
      <w:r w:rsidRPr="00D13BD1">
        <w:rPr>
          <w:rStyle w:val="None"/>
          <w:u w:color="FF0000"/>
        </w:rPr>
        <w:t xml:space="preserve"> targets are well-framed </w:t>
      </w:r>
      <w:r w:rsidRPr="00EA7E3C">
        <w:rPr>
          <w:rStyle w:val="Hyperlink2"/>
        </w:rPr>
        <w:t>and fit for purpose, and how they might be improved</w:t>
      </w:r>
      <w:r>
        <w:rPr>
          <w:rStyle w:val="Hyperlink2"/>
        </w:rPr>
        <w:t xml:space="preserve"> going forwards should new or revised targets be considered. </w:t>
      </w:r>
    </w:p>
    <w:p w14:paraId="275964C1" w14:textId="77777777" w:rsidR="001F3F0B" w:rsidRDefault="001F3F0B" w:rsidP="006B604D">
      <w:pPr>
        <w:pStyle w:val="ListParagraph"/>
        <w:numPr>
          <w:ilvl w:val="0"/>
          <w:numId w:val="9"/>
        </w:numPr>
        <w:tabs>
          <w:tab w:val="left" w:pos="567"/>
        </w:tabs>
        <w:spacing w:after="120" w:line="259" w:lineRule="auto"/>
        <w:ind w:left="0" w:firstLine="0"/>
        <w:contextualSpacing w:val="0"/>
        <w:rPr>
          <w:rStyle w:val="Hyperlink2"/>
        </w:rPr>
      </w:pPr>
      <w:r w:rsidRPr="00EA7E3C">
        <w:rPr>
          <w:rStyle w:val="Hyperlink2"/>
        </w:rPr>
        <w:lastRenderedPageBreak/>
        <w:t xml:space="preserve">The purpose of this document is to </w:t>
      </w:r>
      <w:proofErr w:type="spellStart"/>
      <w:r w:rsidRPr="00EA7E3C">
        <w:rPr>
          <w:rStyle w:val="Hyperlink2"/>
        </w:rPr>
        <w:t>summarise</w:t>
      </w:r>
      <w:proofErr w:type="spellEnd"/>
      <w:r w:rsidRPr="00EA7E3C">
        <w:rPr>
          <w:rStyle w:val="Hyperlink2"/>
        </w:rPr>
        <w:t xml:space="preserve"> information </w:t>
      </w:r>
      <w:r>
        <w:rPr>
          <w:rStyle w:val="Hyperlink2"/>
        </w:rPr>
        <w:t xml:space="preserve">from recent work (Green et al. </w:t>
      </w:r>
      <w:r w:rsidRPr="00F14E05">
        <w:rPr>
          <w:rStyle w:val="Hyperlink2"/>
        </w:rPr>
        <w:t>submitted</w:t>
      </w:r>
      <w:r>
        <w:rPr>
          <w:rStyle w:val="Hyperlink2"/>
        </w:rPr>
        <w:t xml:space="preserve">) </w:t>
      </w:r>
      <w:r w:rsidRPr="00EA7E3C">
        <w:rPr>
          <w:rStyle w:val="Hyperlink2"/>
        </w:rPr>
        <w:t xml:space="preserve">relating to the framing and articulation of the Aichi Targets and identify specific characteristics of the targets that could </w:t>
      </w:r>
      <w:r>
        <w:rPr>
          <w:rStyle w:val="Hyperlink2"/>
        </w:rPr>
        <w:t xml:space="preserve">in principle </w:t>
      </w:r>
      <w:r w:rsidRPr="00EA7E3C">
        <w:rPr>
          <w:rStyle w:val="Hyperlink2"/>
        </w:rPr>
        <w:t xml:space="preserve">be improved in </w:t>
      </w:r>
      <w:r>
        <w:rPr>
          <w:rStyle w:val="Hyperlink2"/>
        </w:rPr>
        <w:t>a</w:t>
      </w:r>
      <w:r w:rsidRPr="00EA7E3C">
        <w:rPr>
          <w:rStyle w:val="Hyperlink2"/>
        </w:rPr>
        <w:t xml:space="preserve"> post-2020 framework</w:t>
      </w:r>
      <w:r>
        <w:rPr>
          <w:rStyle w:val="Hyperlink2"/>
        </w:rPr>
        <w:t>, should revision take place</w:t>
      </w:r>
      <w:r w:rsidRPr="00EA7E3C">
        <w:rPr>
          <w:rStyle w:val="Hyperlink2"/>
        </w:rPr>
        <w:t xml:space="preserve">. </w:t>
      </w:r>
    </w:p>
    <w:p w14:paraId="2B7B04AD" w14:textId="77777777" w:rsidR="001F3F0B" w:rsidRDefault="001F3F0B" w:rsidP="006B604D">
      <w:pPr>
        <w:pStyle w:val="ListParagraph"/>
        <w:numPr>
          <w:ilvl w:val="1"/>
          <w:numId w:val="7"/>
        </w:numPr>
        <w:spacing w:after="120" w:line="259" w:lineRule="auto"/>
        <w:ind w:left="709"/>
        <w:contextualSpacing w:val="0"/>
        <w:rPr>
          <w:rStyle w:val="Hyperlink2"/>
        </w:rPr>
      </w:pPr>
      <w:r>
        <w:rPr>
          <w:rStyle w:val="Hyperlink2"/>
        </w:rPr>
        <w:t>Green et al. (submitted)</w:t>
      </w:r>
      <w:r w:rsidRPr="00EA7E3C">
        <w:rPr>
          <w:rStyle w:val="Hyperlink2"/>
        </w:rPr>
        <w:t xml:space="preserve"> first review</w:t>
      </w:r>
      <w:r>
        <w:rPr>
          <w:rStyle w:val="Hyperlink2"/>
        </w:rPr>
        <w:t>ed</w:t>
      </w:r>
      <w:r w:rsidRPr="00EA7E3C">
        <w:rPr>
          <w:rStyle w:val="Hyperlink2"/>
        </w:rPr>
        <w:t xml:space="preserve"> the </w:t>
      </w:r>
      <w:r>
        <w:rPr>
          <w:rStyle w:val="Hyperlink2"/>
        </w:rPr>
        <w:t xml:space="preserve">published </w:t>
      </w:r>
      <w:r w:rsidRPr="00EA7E3C">
        <w:rPr>
          <w:rStyle w:val="Hyperlink2"/>
        </w:rPr>
        <w:t xml:space="preserve">scientific literature for information relating to the </w:t>
      </w:r>
      <w:r>
        <w:rPr>
          <w:rStyle w:val="Hyperlink2"/>
        </w:rPr>
        <w:t>perceived ‘</w:t>
      </w:r>
      <w:r w:rsidRPr="00EA7E3C">
        <w:rPr>
          <w:rStyle w:val="Hyperlink2"/>
        </w:rPr>
        <w:t>strengths</w:t>
      </w:r>
      <w:r>
        <w:rPr>
          <w:rStyle w:val="Hyperlink2"/>
        </w:rPr>
        <w:t>’</w:t>
      </w:r>
      <w:r w:rsidRPr="00EA7E3C">
        <w:rPr>
          <w:rStyle w:val="Hyperlink2"/>
        </w:rPr>
        <w:t xml:space="preserve"> and </w:t>
      </w:r>
      <w:r>
        <w:rPr>
          <w:rStyle w:val="Hyperlink2"/>
        </w:rPr>
        <w:t>‘</w:t>
      </w:r>
      <w:r w:rsidRPr="00EA7E3C">
        <w:rPr>
          <w:rStyle w:val="Hyperlink2"/>
        </w:rPr>
        <w:t>weaknesses</w:t>
      </w:r>
      <w:r>
        <w:rPr>
          <w:rStyle w:val="Hyperlink2"/>
        </w:rPr>
        <w:t>’</w:t>
      </w:r>
      <w:r w:rsidRPr="00EA7E3C">
        <w:rPr>
          <w:rStyle w:val="Hyperlink2"/>
        </w:rPr>
        <w:t xml:space="preserve"> of the Aichi Targets</w:t>
      </w:r>
      <w:r>
        <w:rPr>
          <w:rStyle w:val="Hyperlink2"/>
        </w:rPr>
        <w:t>, and considered coverage across the different targets.</w:t>
      </w:r>
      <w:r w:rsidRPr="00EA7E3C">
        <w:rPr>
          <w:rStyle w:val="Hyperlink2"/>
        </w:rPr>
        <w:t xml:space="preserve"> </w:t>
      </w:r>
    </w:p>
    <w:p w14:paraId="296F1C0B" w14:textId="77777777" w:rsidR="001F3F0B" w:rsidRDefault="001F3F0B" w:rsidP="006B604D">
      <w:pPr>
        <w:pStyle w:val="ListParagraph"/>
        <w:numPr>
          <w:ilvl w:val="1"/>
          <w:numId w:val="7"/>
        </w:numPr>
        <w:spacing w:after="120" w:line="259" w:lineRule="auto"/>
        <w:ind w:left="709"/>
        <w:contextualSpacing w:val="0"/>
        <w:rPr>
          <w:rStyle w:val="Hyperlink2"/>
        </w:rPr>
      </w:pPr>
      <w:r>
        <w:rPr>
          <w:rStyle w:val="Hyperlink2"/>
        </w:rPr>
        <w:t xml:space="preserve">They </w:t>
      </w:r>
      <w:r w:rsidRPr="00EA7E3C">
        <w:rPr>
          <w:rStyle w:val="Hyperlink2"/>
        </w:rPr>
        <w:t xml:space="preserve">then build on the importance of well-framed targets by presenting the findings of a new study that investigated the relationship between </w:t>
      </w:r>
      <w:r>
        <w:rPr>
          <w:rStyle w:val="Hyperlink2"/>
        </w:rPr>
        <w:t>‘</w:t>
      </w:r>
      <w:r w:rsidRPr="00EA7E3C">
        <w:rPr>
          <w:rStyle w:val="Hyperlink2"/>
        </w:rPr>
        <w:t>SMART</w:t>
      </w:r>
      <w:r>
        <w:rPr>
          <w:rStyle w:val="Hyperlink2"/>
        </w:rPr>
        <w:t>’</w:t>
      </w:r>
      <w:r w:rsidRPr="00EA7E3C">
        <w:rPr>
          <w:rStyle w:val="Hyperlink2"/>
        </w:rPr>
        <w:t xml:space="preserve"> characteristics and </w:t>
      </w:r>
      <w:r>
        <w:rPr>
          <w:rStyle w:val="Hyperlink2"/>
        </w:rPr>
        <w:t xml:space="preserve">reported </w:t>
      </w:r>
      <w:r w:rsidRPr="00EA7E3C">
        <w:rPr>
          <w:rStyle w:val="Hyperlink2"/>
        </w:rPr>
        <w:t xml:space="preserve">progress made towards the Aichi Targets. </w:t>
      </w:r>
    </w:p>
    <w:p w14:paraId="26939881" w14:textId="77777777" w:rsidR="001F3F0B" w:rsidRPr="00EA7E3C" w:rsidRDefault="001F3F0B" w:rsidP="006B604D">
      <w:pPr>
        <w:pStyle w:val="ListParagraph"/>
        <w:numPr>
          <w:ilvl w:val="1"/>
          <w:numId w:val="7"/>
        </w:numPr>
        <w:spacing w:after="120" w:line="259" w:lineRule="auto"/>
        <w:ind w:left="709"/>
        <w:contextualSpacing w:val="0"/>
        <w:rPr>
          <w:rStyle w:val="Hyperlink2"/>
        </w:rPr>
      </w:pPr>
      <w:r>
        <w:rPr>
          <w:rStyle w:val="Hyperlink2"/>
        </w:rPr>
        <w:t>Here we make</w:t>
      </w:r>
      <w:r w:rsidRPr="00EA7E3C">
        <w:rPr>
          <w:rStyle w:val="Hyperlink2"/>
        </w:rPr>
        <w:t xml:space="preserve"> recommendations about how any new or revised targets in the post-2020 framework could be improved, including examples of ‘</w:t>
      </w:r>
      <w:proofErr w:type="spellStart"/>
      <w:r w:rsidRPr="00EA7E3C">
        <w:rPr>
          <w:rStyle w:val="Hyperlink2"/>
        </w:rPr>
        <w:t>SMART</w:t>
      </w:r>
      <w:r>
        <w:rPr>
          <w:rStyle w:val="Hyperlink2"/>
        </w:rPr>
        <w:t>er</w:t>
      </w:r>
      <w:proofErr w:type="spellEnd"/>
      <w:r w:rsidRPr="00EA7E3C">
        <w:rPr>
          <w:rStyle w:val="Hyperlink2"/>
        </w:rPr>
        <w:t xml:space="preserve">’ targets from the current framework and suggestions of how less ‘SMART’ targets could be </w:t>
      </w:r>
      <w:r>
        <w:rPr>
          <w:rStyle w:val="Hyperlink2"/>
        </w:rPr>
        <w:t>improved</w:t>
      </w:r>
      <w:r w:rsidRPr="00EA7E3C">
        <w:rPr>
          <w:rStyle w:val="Hyperlink2"/>
        </w:rPr>
        <w:t>.</w:t>
      </w:r>
    </w:p>
    <w:p w14:paraId="074E63C9" w14:textId="77777777" w:rsidR="001F3F0B" w:rsidRPr="001313F5" w:rsidRDefault="001F3F0B" w:rsidP="001F3F0B">
      <w:pPr>
        <w:spacing w:after="120"/>
        <w:rPr>
          <w:b/>
          <w:i/>
        </w:rPr>
      </w:pPr>
      <w:r w:rsidRPr="001313F5">
        <w:rPr>
          <w:rStyle w:val="Hyperlink2"/>
          <w:b/>
          <w:i/>
        </w:rPr>
        <w:t>Terminology</w:t>
      </w:r>
    </w:p>
    <w:p w14:paraId="6556BE1B" w14:textId="77777777" w:rsidR="001F3F0B" w:rsidRPr="00EA7E3C" w:rsidRDefault="001F3F0B" w:rsidP="006B604D">
      <w:pPr>
        <w:pStyle w:val="ListParagraph"/>
        <w:numPr>
          <w:ilvl w:val="0"/>
          <w:numId w:val="9"/>
        </w:numPr>
        <w:tabs>
          <w:tab w:val="left" w:pos="567"/>
        </w:tabs>
        <w:spacing w:after="120" w:line="259" w:lineRule="auto"/>
        <w:ind w:left="0" w:firstLine="0"/>
        <w:contextualSpacing w:val="0"/>
      </w:pPr>
      <w:r w:rsidRPr="00F14E05">
        <w:rPr>
          <w:rStyle w:val="Hyperlink2"/>
        </w:rPr>
        <w:t>Here</w:t>
      </w:r>
      <w:r w:rsidRPr="00EA7E3C">
        <w:t>, ‘SMART’ is taken to mean Specific, Measurable, Ambitious, Realistic and Time-bound</w:t>
      </w:r>
      <w:r>
        <w:t>, in agreement with the target criteria that were recommended following the fourteenth meeting of SBSTTA (</w:t>
      </w:r>
      <w:r w:rsidRPr="00D8178E">
        <w:rPr>
          <w:color w:val="000000" w:themeColor="text1"/>
          <w:lang w:val="en"/>
        </w:rPr>
        <w:t>UNEP/CBD/SBSTTA/14/10</w:t>
      </w:r>
      <w:r>
        <w:rPr>
          <w:color w:val="000000" w:themeColor="text1"/>
          <w:lang w:val="en"/>
        </w:rPr>
        <w:t>).</w:t>
      </w:r>
      <w:r w:rsidRPr="00D8178E">
        <w:rPr>
          <w:color w:val="000000" w:themeColor="text1"/>
        </w:rPr>
        <w:t xml:space="preserve">  </w:t>
      </w:r>
      <w:r>
        <w:t>Note, however,</w:t>
      </w:r>
      <w:r w:rsidRPr="00EA7E3C">
        <w:t xml:space="preserve"> alternative versions </w:t>
      </w:r>
      <w:r>
        <w:t xml:space="preserve">SMART criteria </w:t>
      </w:r>
      <w:r w:rsidRPr="00EA7E3C">
        <w:t>exist in the literature</w:t>
      </w:r>
      <w:r>
        <w:t xml:space="preserve"> </w:t>
      </w:r>
      <w:r w:rsidRPr="00E00E9F">
        <w:rPr>
          <w:rStyle w:val="Hyperlink2"/>
        </w:rPr>
        <w:t>(Doran, 1981)</w:t>
      </w:r>
      <w:r>
        <w:t xml:space="preserve">. </w:t>
      </w:r>
    </w:p>
    <w:p w14:paraId="4BC7F277" w14:textId="77777777" w:rsidR="001F3F0B" w:rsidRPr="00EA7E3C" w:rsidRDefault="001F3F0B" w:rsidP="006B604D">
      <w:pPr>
        <w:pStyle w:val="ListParagraph"/>
        <w:numPr>
          <w:ilvl w:val="0"/>
          <w:numId w:val="9"/>
        </w:numPr>
        <w:tabs>
          <w:tab w:val="left" w:pos="567"/>
        </w:tabs>
        <w:spacing w:after="120" w:line="259" w:lineRule="auto"/>
        <w:ind w:left="0" w:firstLine="0"/>
        <w:contextualSpacing w:val="0"/>
      </w:pPr>
      <w:r w:rsidRPr="00F14E05">
        <w:rPr>
          <w:rStyle w:val="Hyperlink2"/>
        </w:rPr>
        <w:t>Most</w:t>
      </w:r>
      <w:r w:rsidRPr="00EA7E3C">
        <w:rPr>
          <w:rStyle w:val="None"/>
          <w:shd w:val="clear" w:color="auto" w:fill="FFFFFF"/>
        </w:rPr>
        <w:t xml:space="preserve"> targets consist of multiple </w:t>
      </w:r>
      <w:r>
        <w:rPr>
          <w:rStyle w:val="None"/>
          <w:shd w:val="clear" w:color="auto" w:fill="FFFFFF"/>
        </w:rPr>
        <w:t>‘</w:t>
      </w:r>
      <w:r w:rsidRPr="00EA7E3C">
        <w:rPr>
          <w:rStyle w:val="None"/>
          <w:shd w:val="clear" w:color="auto" w:fill="FFFFFF"/>
        </w:rPr>
        <w:t>elements</w:t>
      </w:r>
      <w:r>
        <w:rPr>
          <w:rStyle w:val="None"/>
          <w:shd w:val="clear" w:color="auto" w:fill="FFFFFF"/>
        </w:rPr>
        <w:t>’</w:t>
      </w:r>
      <w:r w:rsidRPr="00EA7E3C">
        <w:rPr>
          <w:rStyle w:val="None"/>
          <w:shd w:val="clear" w:color="auto" w:fill="FFFFFF"/>
        </w:rPr>
        <w:t xml:space="preserve"> covering different aspects </w:t>
      </w:r>
      <w:r>
        <w:rPr>
          <w:rStyle w:val="None"/>
          <w:shd w:val="clear" w:color="auto" w:fill="FFFFFF"/>
        </w:rPr>
        <w:t xml:space="preserve">of the target </w:t>
      </w:r>
      <w:r w:rsidRPr="00EA7E3C">
        <w:rPr>
          <w:rStyle w:val="None"/>
          <w:shd w:val="clear" w:color="auto" w:fill="FFFFFF"/>
        </w:rPr>
        <w:t>(</w:t>
      </w:r>
      <w:proofErr w:type="spellStart"/>
      <w:r w:rsidRPr="00F14E05">
        <w:rPr>
          <w:rStyle w:val="Hyperlink2"/>
        </w:rPr>
        <w:t>Tittensor</w:t>
      </w:r>
      <w:proofErr w:type="spellEnd"/>
      <w:r w:rsidRPr="00EA7E3C">
        <w:rPr>
          <w:rStyle w:val="None"/>
          <w:shd w:val="clear" w:color="auto" w:fill="FFFFFF"/>
        </w:rPr>
        <w:t xml:space="preserve"> et al. 2014</w:t>
      </w:r>
      <w:r w:rsidRPr="00EA7E3C">
        <w:t>)</w:t>
      </w:r>
      <w:r>
        <w:t xml:space="preserve">. </w:t>
      </w:r>
      <w:r w:rsidRPr="00EA7E3C">
        <w:t xml:space="preserve">An ‘element’ is a component of a target that addresses a </w:t>
      </w:r>
      <w:proofErr w:type="gramStart"/>
      <w:r w:rsidRPr="00EA7E3C">
        <w:t>particular aspect</w:t>
      </w:r>
      <w:proofErr w:type="gramEnd"/>
      <w:r w:rsidRPr="00EA7E3C">
        <w:t xml:space="preserve"> of the topic addressed. </w:t>
      </w:r>
      <w:r>
        <w:t xml:space="preserve"> For example, Target 1 states: "</w:t>
      </w:r>
      <w:r w:rsidRPr="00D8178E">
        <w:rPr>
          <w:i/>
        </w:rPr>
        <w:t>By 2020, at the latest, people are aware of the values of biodiversity and the steps they can take to conserve and use it sustainably</w:t>
      </w:r>
      <w:r>
        <w:t xml:space="preserve">." </w:t>
      </w:r>
      <w:proofErr w:type="gramStart"/>
      <w:r>
        <w:t>So</w:t>
      </w:r>
      <w:proofErr w:type="gramEnd"/>
      <w:r>
        <w:t xml:space="preserve"> this is taken to comprise two elements, 1.1:</w:t>
      </w:r>
      <w:r w:rsidRPr="009E56AE">
        <w:t xml:space="preserve"> </w:t>
      </w:r>
      <w:r>
        <w:t>"</w:t>
      </w:r>
      <w:r w:rsidRPr="00D8178E">
        <w:rPr>
          <w:i/>
        </w:rPr>
        <w:t>By 2020,</w:t>
      </w:r>
      <w:r>
        <w:t xml:space="preserve"> [. . .</w:t>
      </w:r>
      <w:r w:rsidRPr="009E56AE">
        <w:t xml:space="preserve">] </w:t>
      </w:r>
      <w:r w:rsidRPr="00D8178E">
        <w:rPr>
          <w:i/>
        </w:rPr>
        <w:t>people are aware of the values of biodiversity</w:t>
      </w:r>
      <w:r w:rsidRPr="009E56AE">
        <w:t>"</w:t>
      </w:r>
      <w:r>
        <w:t xml:space="preserve"> and 1.2,</w:t>
      </w:r>
      <w:r w:rsidRPr="009E56AE">
        <w:t xml:space="preserve"> </w:t>
      </w:r>
      <w:r>
        <w:t>"</w:t>
      </w:r>
      <w:r w:rsidRPr="00D8178E">
        <w:rPr>
          <w:i/>
        </w:rPr>
        <w:t>By 2020</w:t>
      </w:r>
      <w:r>
        <w:t xml:space="preserve">, [. . .] </w:t>
      </w:r>
      <w:r w:rsidRPr="00D8178E">
        <w:rPr>
          <w:i/>
        </w:rPr>
        <w:t>people are aware of</w:t>
      </w:r>
      <w:r>
        <w:t xml:space="preserve"> [. . </w:t>
      </w:r>
      <w:r w:rsidRPr="00D8178E">
        <w:rPr>
          <w:i/>
        </w:rPr>
        <w:t>.] the steps they can take to conserve and use [biodiversity] sustainably</w:t>
      </w:r>
      <w:r>
        <w:t>."</w:t>
      </w:r>
    </w:p>
    <w:p w14:paraId="50ADA535" w14:textId="77777777" w:rsidR="001F3F0B" w:rsidRDefault="001F3F0B" w:rsidP="006B604D">
      <w:pPr>
        <w:pStyle w:val="ListParagraph"/>
        <w:numPr>
          <w:ilvl w:val="0"/>
          <w:numId w:val="9"/>
        </w:numPr>
        <w:tabs>
          <w:tab w:val="left" w:pos="567"/>
        </w:tabs>
        <w:spacing w:after="120" w:line="259" w:lineRule="auto"/>
        <w:ind w:left="0" w:firstLine="0"/>
        <w:contextualSpacing w:val="0"/>
      </w:pPr>
      <w:r w:rsidRPr="00F14E05">
        <w:rPr>
          <w:rStyle w:val="Hyperlink2"/>
        </w:rPr>
        <w:t>The</w:t>
      </w:r>
      <w:r w:rsidRPr="00EA7E3C">
        <w:t xml:space="preserve"> ‘framing’ of the targets means the structure and articulation of the targets, such as the extent to which they meet certain criteria (e.g. </w:t>
      </w:r>
      <w:r>
        <w:t xml:space="preserve">in this case </w:t>
      </w:r>
      <w:r w:rsidRPr="00EA7E3C">
        <w:t>‘SMART’ criteria)</w:t>
      </w:r>
      <w:r>
        <w:t>.</w:t>
      </w:r>
    </w:p>
    <w:p w14:paraId="30A7C443" w14:textId="77777777" w:rsidR="001F3F0B" w:rsidRPr="001313F5" w:rsidRDefault="001F3F0B" w:rsidP="001F3F0B">
      <w:pPr>
        <w:spacing w:before="240" w:after="120"/>
        <w:rPr>
          <w:rStyle w:val="Hyperlink2"/>
          <w:b/>
          <w:caps/>
          <w:color w:val="365F91" w:themeColor="accent1" w:themeShade="BF"/>
        </w:rPr>
      </w:pPr>
      <w:r w:rsidRPr="001313F5">
        <w:rPr>
          <w:rStyle w:val="Hyperlink2"/>
          <w:b/>
          <w:caps/>
          <w:color w:val="365F91" w:themeColor="accent1" w:themeShade="BF"/>
        </w:rPr>
        <w:t>ASSESSING THE EFFICACY OF THE AICHI BIODIVERSITY TARGETS</w:t>
      </w:r>
    </w:p>
    <w:p w14:paraId="2F21084C" w14:textId="77777777" w:rsidR="001F3F0B" w:rsidRDefault="001F3F0B" w:rsidP="006B604D">
      <w:pPr>
        <w:pStyle w:val="ListParagraph"/>
        <w:numPr>
          <w:ilvl w:val="0"/>
          <w:numId w:val="9"/>
        </w:numPr>
        <w:tabs>
          <w:tab w:val="left" w:pos="567"/>
        </w:tabs>
        <w:spacing w:after="120" w:line="259" w:lineRule="auto"/>
        <w:ind w:left="0" w:firstLine="0"/>
        <w:contextualSpacing w:val="0"/>
        <w:rPr>
          <w:rStyle w:val="Hyperlink2"/>
          <w:rFonts w:eastAsia="Arial"/>
        </w:rPr>
      </w:pPr>
      <w:r w:rsidRPr="00F14E05">
        <w:rPr>
          <w:rStyle w:val="Hyperlink2"/>
        </w:rPr>
        <w:t>This</w:t>
      </w:r>
      <w:r w:rsidRPr="00EA7E3C">
        <w:rPr>
          <w:rStyle w:val="Hyperlink2"/>
          <w:rFonts w:eastAsia="Arial"/>
        </w:rPr>
        <w:t xml:space="preserve"> section reviews the</w:t>
      </w:r>
      <w:r>
        <w:rPr>
          <w:rStyle w:val="Hyperlink2"/>
          <w:rFonts w:eastAsia="Arial"/>
        </w:rPr>
        <w:t xml:space="preserve"> peer-reviewed</w:t>
      </w:r>
      <w:r w:rsidRPr="00EA7E3C">
        <w:rPr>
          <w:rStyle w:val="Hyperlink2"/>
          <w:rFonts w:eastAsia="Arial"/>
        </w:rPr>
        <w:t xml:space="preserve"> scientific literature relating to the framing of the Aichi </w:t>
      </w:r>
      <w:r w:rsidRPr="00F14E05">
        <w:rPr>
          <w:rStyle w:val="Hyperlink2"/>
        </w:rPr>
        <w:t>Targets</w:t>
      </w:r>
      <w:r w:rsidRPr="00EA7E3C">
        <w:rPr>
          <w:rStyle w:val="Hyperlink2"/>
          <w:rFonts w:eastAsia="Arial"/>
        </w:rPr>
        <w:t xml:space="preserve"> to provide information </w:t>
      </w:r>
      <w:r>
        <w:rPr>
          <w:rStyle w:val="Hyperlink2"/>
          <w:rFonts w:eastAsia="Arial"/>
        </w:rPr>
        <w:t>on</w:t>
      </w:r>
      <w:r w:rsidRPr="00EA7E3C">
        <w:rPr>
          <w:rStyle w:val="Hyperlink2"/>
          <w:rFonts w:eastAsia="Arial"/>
        </w:rPr>
        <w:t xml:space="preserve"> the </w:t>
      </w:r>
      <w:r>
        <w:rPr>
          <w:rStyle w:val="Hyperlink2"/>
          <w:rFonts w:eastAsia="Arial"/>
        </w:rPr>
        <w:t>perceived ‘</w:t>
      </w:r>
      <w:r w:rsidRPr="00EA7E3C">
        <w:rPr>
          <w:rStyle w:val="Hyperlink2"/>
          <w:rFonts w:eastAsia="Arial"/>
        </w:rPr>
        <w:t>strengths</w:t>
      </w:r>
      <w:r>
        <w:rPr>
          <w:rStyle w:val="Hyperlink2"/>
          <w:rFonts w:eastAsia="Arial"/>
        </w:rPr>
        <w:t>’</w:t>
      </w:r>
      <w:r w:rsidRPr="00EA7E3C">
        <w:rPr>
          <w:rStyle w:val="Hyperlink2"/>
          <w:rFonts w:eastAsia="Arial"/>
        </w:rPr>
        <w:t xml:space="preserve"> </w:t>
      </w:r>
      <w:r>
        <w:rPr>
          <w:rStyle w:val="Hyperlink2"/>
          <w:rFonts w:eastAsia="Arial"/>
        </w:rPr>
        <w:t xml:space="preserve">and ‘weaknesses’ </w:t>
      </w:r>
      <w:r w:rsidRPr="00EA7E3C">
        <w:rPr>
          <w:rStyle w:val="Hyperlink2"/>
          <w:rFonts w:eastAsia="Arial"/>
        </w:rPr>
        <w:t>of the curre</w:t>
      </w:r>
      <w:r>
        <w:rPr>
          <w:rStyle w:val="Hyperlink2"/>
          <w:rFonts w:eastAsia="Arial"/>
        </w:rPr>
        <w:t>nt framework and on the relationship between the framing of targets and reported progress.</w:t>
      </w:r>
    </w:p>
    <w:p w14:paraId="214809CD" w14:textId="77777777" w:rsidR="001F3F0B" w:rsidRPr="00D35189" w:rsidRDefault="001F3F0B" w:rsidP="006B604D">
      <w:pPr>
        <w:pStyle w:val="ListParagraph"/>
        <w:numPr>
          <w:ilvl w:val="0"/>
          <w:numId w:val="9"/>
        </w:numPr>
        <w:tabs>
          <w:tab w:val="left" w:pos="567"/>
        </w:tabs>
        <w:spacing w:after="120" w:line="259" w:lineRule="auto"/>
        <w:ind w:left="0" w:firstLine="0"/>
        <w:contextualSpacing w:val="0"/>
        <w:rPr>
          <w:rFonts w:eastAsia="Arial"/>
        </w:rPr>
      </w:pPr>
      <w:r>
        <w:rPr>
          <w:rStyle w:val="Hyperlink2"/>
          <w:rFonts w:eastAsia="Arial"/>
        </w:rPr>
        <w:t>A</w:t>
      </w:r>
      <w:r w:rsidRPr="009439CD">
        <w:rPr>
          <w:rStyle w:val="Hyperlink2"/>
          <w:rFonts w:eastAsia="Arial"/>
        </w:rPr>
        <w:t xml:space="preserve"> </w:t>
      </w:r>
      <w:r w:rsidRPr="00F14E05">
        <w:rPr>
          <w:rStyle w:val="Hyperlink2"/>
        </w:rPr>
        <w:t>systematic</w:t>
      </w:r>
      <w:r w:rsidRPr="009439CD">
        <w:rPr>
          <w:rStyle w:val="Hyperlink2"/>
          <w:rFonts w:eastAsia="Arial"/>
        </w:rPr>
        <w:t xml:space="preserve"> search identified 294 publications relevant to the Aichi Targets</w:t>
      </w:r>
      <w:r>
        <w:rPr>
          <w:rStyle w:val="Hyperlink2"/>
          <w:rFonts w:eastAsia="Arial"/>
        </w:rPr>
        <w:t xml:space="preserve"> (Green et al. submitted)</w:t>
      </w:r>
      <w:r w:rsidRPr="009439CD">
        <w:rPr>
          <w:rStyle w:val="Hyperlink2"/>
          <w:rFonts w:eastAsia="Arial"/>
        </w:rPr>
        <w:t xml:space="preserve">. </w:t>
      </w:r>
      <w:r>
        <w:rPr>
          <w:rStyle w:val="Hyperlink2"/>
          <w:rFonts w:eastAsia="Arial"/>
        </w:rPr>
        <w:t>There wa</w:t>
      </w:r>
      <w:r w:rsidRPr="009439CD">
        <w:rPr>
          <w:rStyle w:val="Hyperlink2"/>
          <w:rFonts w:eastAsia="Arial"/>
        </w:rPr>
        <w:t>s a large bias towards Target</w:t>
      </w:r>
      <w:r>
        <w:rPr>
          <w:rStyle w:val="Hyperlink2"/>
          <w:rFonts w:eastAsia="Arial"/>
        </w:rPr>
        <w:t xml:space="preserve"> 11</w:t>
      </w:r>
      <w:r w:rsidRPr="009439CD">
        <w:rPr>
          <w:rStyle w:val="Hyperlink2"/>
          <w:rFonts w:eastAsia="Arial"/>
        </w:rPr>
        <w:t>, which wa</w:t>
      </w:r>
      <w:r>
        <w:rPr>
          <w:rStyle w:val="Hyperlink2"/>
          <w:rFonts w:eastAsia="Arial"/>
        </w:rPr>
        <w:t>s explicitly referred to in 61</w:t>
      </w:r>
      <w:r w:rsidRPr="009439CD">
        <w:rPr>
          <w:rStyle w:val="Hyperlink2"/>
          <w:rFonts w:eastAsia="Arial"/>
        </w:rPr>
        <w:t>% of publications, nearly three times as many as the next most frequent</w:t>
      </w:r>
      <w:r>
        <w:rPr>
          <w:rStyle w:val="Hyperlink2"/>
          <w:rFonts w:eastAsia="Arial"/>
        </w:rPr>
        <w:t>ly mentioned target, Target 12</w:t>
      </w:r>
      <w:r w:rsidRPr="009439CD">
        <w:rPr>
          <w:rStyle w:val="Hyperlink2"/>
          <w:rFonts w:eastAsia="Arial"/>
        </w:rPr>
        <w:t xml:space="preserve">. The least frequently recorded </w:t>
      </w:r>
      <w:r>
        <w:rPr>
          <w:rStyle w:val="Hyperlink2"/>
          <w:rFonts w:eastAsia="Arial"/>
        </w:rPr>
        <w:t xml:space="preserve">in the literature </w:t>
      </w:r>
      <w:r w:rsidRPr="009439CD">
        <w:rPr>
          <w:rStyle w:val="Hyperlink2"/>
          <w:rFonts w:eastAsia="Arial"/>
        </w:rPr>
        <w:t xml:space="preserve">was Target </w:t>
      </w:r>
      <w:r>
        <w:rPr>
          <w:rStyle w:val="Hyperlink2"/>
          <w:rFonts w:eastAsia="Arial"/>
        </w:rPr>
        <w:t xml:space="preserve">20, </w:t>
      </w:r>
      <w:r w:rsidRPr="009439CD">
        <w:rPr>
          <w:rStyle w:val="Hyperlink2"/>
          <w:rFonts w:eastAsia="Arial"/>
        </w:rPr>
        <w:t>which was ex</w:t>
      </w:r>
      <w:r>
        <w:rPr>
          <w:rStyle w:val="Hyperlink2"/>
          <w:rFonts w:eastAsia="Arial"/>
        </w:rPr>
        <w:t>plicitly referred to in just 5</w:t>
      </w:r>
      <w:r w:rsidRPr="009439CD">
        <w:rPr>
          <w:rStyle w:val="Hyperlink2"/>
          <w:rFonts w:eastAsia="Arial"/>
        </w:rPr>
        <w:t xml:space="preserve">% of </w:t>
      </w:r>
      <w:r>
        <w:rPr>
          <w:rStyle w:val="Hyperlink2"/>
          <w:rFonts w:eastAsia="Arial"/>
        </w:rPr>
        <w:t xml:space="preserve">publications, </w:t>
      </w:r>
      <w:r w:rsidRPr="009439CD">
        <w:rPr>
          <w:rStyle w:val="Hyperlink2"/>
          <w:rFonts w:eastAsia="Arial"/>
        </w:rPr>
        <w:t>followed by Targets 2, 16 and 18 (ea</w:t>
      </w:r>
      <w:r>
        <w:rPr>
          <w:rStyle w:val="Hyperlink2"/>
          <w:rFonts w:eastAsia="Arial"/>
        </w:rPr>
        <w:t>ch explicitly referred to in 6</w:t>
      </w:r>
      <w:r w:rsidRPr="009439CD">
        <w:rPr>
          <w:rStyle w:val="Hyperlink2"/>
          <w:rFonts w:eastAsia="Arial"/>
        </w:rPr>
        <w:t>% of publications).</w:t>
      </w:r>
    </w:p>
    <w:p w14:paraId="63ACCE2B" w14:textId="77777777" w:rsidR="001F3F0B" w:rsidRPr="001313F5" w:rsidRDefault="001F3F0B" w:rsidP="001F3F0B">
      <w:pPr>
        <w:keepNext/>
        <w:spacing w:before="240" w:after="120"/>
        <w:rPr>
          <w:rStyle w:val="Strong"/>
          <w:i/>
          <w:color w:val="0070C0"/>
          <w:shd w:val="clear" w:color="auto" w:fill="FFFFFF"/>
        </w:rPr>
      </w:pPr>
      <w:r w:rsidRPr="001313F5">
        <w:rPr>
          <w:rStyle w:val="Strong"/>
          <w:i/>
          <w:color w:val="0070C0"/>
          <w:shd w:val="clear" w:color="auto" w:fill="FFFFFF"/>
        </w:rPr>
        <w:t>The framing of the Aichi Targets</w:t>
      </w:r>
    </w:p>
    <w:p w14:paraId="776E3982" w14:textId="77777777" w:rsidR="001F3F0B" w:rsidRPr="001313F5" w:rsidRDefault="001F3F0B" w:rsidP="001F3F0B">
      <w:pPr>
        <w:pStyle w:val="BodyA"/>
        <w:keepNext/>
        <w:spacing w:after="120"/>
        <w:jc w:val="both"/>
        <w:rPr>
          <w:rStyle w:val="Hyperlink2"/>
          <w:rFonts w:eastAsia="Arial" w:cs="Arial"/>
          <w:b/>
          <w:i/>
        </w:rPr>
      </w:pPr>
      <w:r w:rsidRPr="001313F5">
        <w:rPr>
          <w:rStyle w:val="Hyperlink2"/>
          <w:rFonts w:eastAsia="Arial" w:cs="Arial"/>
          <w:b/>
          <w:i/>
        </w:rPr>
        <w:t>Perceived strengths of the Aichi Targets</w:t>
      </w:r>
    </w:p>
    <w:p w14:paraId="5AA13406" w14:textId="77777777" w:rsidR="001F3F0B" w:rsidRDefault="001F3F0B" w:rsidP="006B604D">
      <w:pPr>
        <w:pStyle w:val="ListParagraph"/>
        <w:numPr>
          <w:ilvl w:val="0"/>
          <w:numId w:val="9"/>
        </w:numPr>
        <w:tabs>
          <w:tab w:val="left" w:pos="567"/>
        </w:tabs>
        <w:spacing w:after="120" w:line="259" w:lineRule="auto"/>
        <w:ind w:left="0" w:firstLine="0"/>
        <w:contextualSpacing w:val="0"/>
      </w:pPr>
      <w:r w:rsidRPr="00F14E05">
        <w:rPr>
          <w:rStyle w:val="Hyperlink2"/>
        </w:rPr>
        <w:t>Positive</w:t>
      </w:r>
      <w:r w:rsidRPr="00EA7E3C">
        <w:t xml:space="preserve"> comments have been made about the targets being </w:t>
      </w:r>
      <w:r>
        <w:t>broadly based (covering the state of biodiversity, pressures acting upon it and responses to biodiversity loss)</w:t>
      </w:r>
      <w:r w:rsidRPr="00EA7E3C">
        <w:t xml:space="preserve">, due, for example, to their consideration of developmental issues and inclusion of qualitative elements (Harrop and Pritchard, 2011; </w:t>
      </w:r>
      <w:proofErr w:type="spellStart"/>
      <w:r w:rsidRPr="00EA7E3C">
        <w:lastRenderedPageBreak/>
        <w:t>Gomar</w:t>
      </w:r>
      <w:proofErr w:type="spellEnd"/>
      <w:r w:rsidRPr="00EA7E3C">
        <w:t>, 2014; Harrop, 2014; Rees et al. 2016). The targets were also praised for seeking to achieve specific end points or states for conservation management (Harrop, 2011; Harrop and Pritchard, 2011; Mace et al. 2013). Others favourably compared the Aichi Targets to other conservation targets</w:t>
      </w:r>
      <w:r>
        <w:t>,</w:t>
      </w:r>
      <w:r w:rsidRPr="00EA7E3C">
        <w:t xml:space="preserve"> </w:t>
      </w:r>
      <w:r>
        <w:t>and to</w:t>
      </w:r>
      <w:r w:rsidRPr="00EA7E3C">
        <w:t xml:space="preserve"> the previous CBD 2010 Target (</w:t>
      </w:r>
      <w:proofErr w:type="spellStart"/>
      <w:r w:rsidRPr="00EA7E3C">
        <w:t>Perrings</w:t>
      </w:r>
      <w:proofErr w:type="spellEnd"/>
      <w:r w:rsidRPr="00EA7E3C">
        <w:t xml:space="preserve"> et al. 2010; Wood, 2011; Collen et al. 2013; Mace et al. 2013). For example, the Aichi Targets have </w:t>
      </w:r>
      <w:proofErr w:type="gramStart"/>
      <w:r w:rsidRPr="00EA7E3C">
        <w:t>been described as being</w:t>
      </w:r>
      <w:proofErr w:type="gramEnd"/>
      <w:r w:rsidRPr="00EA7E3C">
        <w:t xml:space="preserve"> </w:t>
      </w:r>
      <w:proofErr w:type="spellStart"/>
      <w:r w:rsidRPr="00EA7E3C">
        <w:t>SMARTer</w:t>
      </w:r>
      <w:proofErr w:type="spellEnd"/>
      <w:r w:rsidRPr="00EA7E3C">
        <w:t xml:space="preserve"> than the previous 2010 Target </w:t>
      </w:r>
      <w:r>
        <w:t xml:space="preserve">by multiple studies </w:t>
      </w:r>
      <w:r w:rsidRPr="00EA7E3C">
        <w:t>(Harrop, 2011; Wood, 2011; Collen et al. 2013), more successful at addressing drivers than other targets (Mace et al. 2013), and more detailed and ambitious than the Sustainable Development Goals (Rees et al. 2016; specifically referring to Target 11</w:t>
      </w:r>
      <w:r>
        <w:t xml:space="preserve"> </w:t>
      </w:r>
      <w:r w:rsidRPr="00EA7E3C">
        <w:t>and SDG14</w:t>
      </w:r>
      <w:r>
        <w:t>, but also arguably true for Target 12</w:t>
      </w:r>
      <w:r w:rsidRPr="00EA7E3C">
        <w:t>).</w:t>
      </w:r>
    </w:p>
    <w:p w14:paraId="7555B77F" w14:textId="77777777" w:rsidR="001F3F0B" w:rsidRPr="001313F5" w:rsidRDefault="001F3F0B" w:rsidP="001F3F0B">
      <w:pPr>
        <w:pStyle w:val="BodyA"/>
        <w:spacing w:after="120"/>
        <w:jc w:val="both"/>
        <w:rPr>
          <w:rStyle w:val="Hyperlink2"/>
          <w:rFonts w:eastAsia="Arial"/>
          <w:b/>
          <w:i/>
        </w:rPr>
      </w:pPr>
      <w:r w:rsidRPr="001313F5">
        <w:rPr>
          <w:rStyle w:val="Hyperlink2"/>
          <w:rFonts w:eastAsia="Arial" w:cs="Arial"/>
          <w:b/>
          <w:i/>
        </w:rPr>
        <w:t>Perceived</w:t>
      </w:r>
      <w:r w:rsidRPr="001313F5" w:rsidDel="00E03770">
        <w:rPr>
          <w:rStyle w:val="Hyperlink2"/>
          <w:rFonts w:eastAsia="Arial"/>
          <w:b/>
          <w:i/>
        </w:rPr>
        <w:t xml:space="preserve"> </w:t>
      </w:r>
      <w:r w:rsidRPr="001313F5">
        <w:rPr>
          <w:rStyle w:val="Hyperlink2"/>
          <w:rFonts w:eastAsia="Arial"/>
          <w:b/>
          <w:i/>
        </w:rPr>
        <w:t>weaknesses of the Aichi Targets</w:t>
      </w:r>
    </w:p>
    <w:p w14:paraId="746D83DC" w14:textId="77777777" w:rsidR="001F3F0B" w:rsidRPr="00EA7E3C" w:rsidRDefault="001F3F0B" w:rsidP="006B604D">
      <w:pPr>
        <w:pStyle w:val="ListParagraph"/>
        <w:numPr>
          <w:ilvl w:val="0"/>
          <w:numId w:val="9"/>
        </w:numPr>
        <w:tabs>
          <w:tab w:val="left" w:pos="567"/>
        </w:tabs>
        <w:spacing w:after="120" w:line="259" w:lineRule="auto"/>
        <w:ind w:left="0" w:firstLine="0"/>
        <w:contextualSpacing w:val="0"/>
        <w:rPr>
          <w:rFonts w:eastAsia="Arial"/>
        </w:rPr>
      </w:pPr>
      <w:r w:rsidRPr="00F14E05">
        <w:rPr>
          <w:rStyle w:val="Hyperlink2"/>
        </w:rPr>
        <w:t>Ambiguities</w:t>
      </w:r>
      <w:r w:rsidRPr="00EA7E3C">
        <w:t xml:space="preserve"> within the targets have been criticised for providing too much room for subjectivity and leaving the targets open to interpretation (</w:t>
      </w:r>
      <w:proofErr w:type="spellStart"/>
      <w:r w:rsidRPr="00EA7E3C">
        <w:t>Jø</w:t>
      </w:r>
      <w:r>
        <w:t>rgensen</w:t>
      </w:r>
      <w:proofErr w:type="spellEnd"/>
      <w:r>
        <w:t xml:space="preserve"> 2015; </w:t>
      </w:r>
      <w:proofErr w:type="spellStart"/>
      <w:r>
        <w:t>Polak</w:t>
      </w:r>
      <w:proofErr w:type="spellEnd"/>
      <w:r>
        <w:t xml:space="preserve"> et al. 2015, 2016;</w:t>
      </w:r>
      <w:r w:rsidRPr="00EA7E3C">
        <w:t xml:space="preserve"> </w:t>
      </w:r>
      <w:r>
        <w:t>Wood et al. 2015</w:t>
      </w:r>
      <w:r w:rsidRPr="00EA7E3C">
        <w:t xml:space="preserve">). Ambiguous terms </w:t>
      </w:r>
      <w:r>
        <w:t xml:space="preserve">have </w:t>
      </w:r>
      <w:r w:rsidRPr="00EA7E3C">
        <w:t>include</w:t>
      </w:r>
      <w:r>
        <w:t>d</w:t>
      </w:r>
      <w:r w:rsidRPr="00EA7E3C">
        <w:t xml:space="preserve"> “other effective area-based measures” (Heywood, 2016; </w:t>
      </w:r>
      <w:proofErr w:type="spellStart"/>
      <w:r w:rsidRPr="00EA7E3C">
        <w:t>Juffe-Bignoli</w:t>
      </w:r>
      <w:proofErr w:type="spellEnd"/>
      <w:r w:rsidRPr="00EA7E3C">
        <w:t xml:space="preserve"> et al. 2016; Spalding et al. 2016; Watson et al. 2016; </w:t>
      </w:r>
      <w:proofErr w:type="spellStart"/>
      <w:r w:rsidRPr="00EA7E3C">
        <w:t>Laffoley</w:t>
      </w:r>
      <w:proofErr w:type="spellEnd"/>
      <w:r w:rsidRPr="00EA7E3C">
        <w:t xml:space="preserve"> et al. 2017), “restoration” (</w:t>
      </w:r>
      <w:proofErr w:type="spellStart"/>
      <w:r w:rsidRPr="00EA7E3C">
        <w:t>Jørgensen</w:t>
      </w:r>
      <w:proofErr w:type="spellEnd"/>
      <w:r w:rsidRPr="00EA7E3C">
        <w:t xml:space="preserve"> 2013; </w:t>
      </w:r>
      <w:proofErr w:type="spellStart"/>
      <w:r w:rsidRPr="00EA7E3C">
        <w:t>Jørgensen</w:t>
      </w:r>
      <w:proofErr w:type="spellEnd"/>
      <w:r w:rsidRPr="00EA7E3C">
        <w:t xml:space="preserve"> 2015; </w:t>
      </w:r>
      <w:proofErr w:type="spellStart"/>
      <w:r w:rsidRPr="00EA7E3C">
        <w:t>Chazdon</w:t>
      </w:r>
      <w:proofErr w:type="spellEnd"/>
      <w:r w:rsidRPr="00EA7E3C">
        <w:t xml:space="preserve"> et al. 2017)</w:t>
      </w:r>
      <w:r>
        <w:t>,</w:t>
      </w:r>
      <w:r w:rsidRPr="00EA7E3C">
        <w:t xml:space="preserve"> “ecologically representative” (</w:t>
      </w:r>
      <w:proofErr w:type="spellStart"/>
      <w:r w:rsidRPr="00EA7E3C">
        <w:t>Polak</w:t>
      </w:r>
      <w:proofErr w:type="spellEnd"/>
      <w:r w:rsidRPr="00EA7E3C">
        <w:t xml:space="preserve"> et al. 2015; </w:t>
      </w:r>
      <w:proofErr w:type="spellStart"/>
      <w:r w:rsidRPr="00EA7E3C">
        <w:t>Polak</w:t>
      </w:r>
      <w:proofErr w:type="spellEnd"/>
      <w:r w:rsidRPr="00EA7E3C">
        <w:t xml:space="preserve"> et al</w:t>
      </w:r>
      <w:r>
        <w:t xml:space="preserve">. 2016; </w:t>
      </w:r>
      <w:proofErr w:type="spellStart"/>
      <w:r>
        <w:t>Chauvenet</w:t>
      </w:r>
      <w:proofErr w:type="spellEnd"/>
      <w:r>
        <w:t xml:space="preserve"> et al. 2017) “well-connected”, and “sustainable production and consumption” (</w:t>
      </w:r>
      <w:proofErr w:type="spellStart"/>
      <w:r>
        <w:t>Butchart</w:t>
      </w:r>
      <w:proofErr w:type="spellEnd"/>
      <w:r>
        <w:t xml:space="preserve"> et al. 2016).</w:t>
      </w:r>
    </w:p>
    <w:p w14:paraId="28689186" w14:textId="77777777" w:rsidR="001F3F0B" w:rsidRPr="00EA7E3C" w:rsidRDefault="001F3F0B" w:rsidP="006B604D">
      <w:pPr>
        <w:pStyle w:val="ListParagraph"/>
        <w:numPr>
          <w:ilvl w:val="0"/>
          <w:numId w:val="9"/>
        </w:numPr>
        <w:tabs>
          <w:tab w:val="left" w:pos="567"/>
        </w:tabs>
        <w:spacing w:after="120" w:line="259" w:lineRule="auto"/>
        <w:ind w:left="0" w:firstLine="0"/>
        <w:contextualSpacing w:val="0"/>
        <w:rPr>
          <w:rFonts w:eastAsia="Arial"/>
        </w:rPr>
      </w:pPr>
      <w:r w:rsidRPr="00F14E05">
        <w:rPr>
          <w:rStyle w:val="Hyperlink2"/>
        </w:rPr>
        <w:t>Unspecific</w:t>
      </w:r>
      <w:r w:rsidRPr="00EA7E3C">
        <w:t>, unquantified objectives have also been criticised because they make it difficult to measure progress or identify an end-point (</w:t>
      </w:r>
      <w:proofErr w:type="spellStart"/>
      <w:r w:rsidRPr="00EA7E3C">
        <w:t>Butchart</w:t>
      </w:r>
      <w:proofErr w:type="spellEnd"/>
      <w:r w:rsidRPr="00EA7E3C">
        <w:t xml:space="preserve"> et al. 2016; Heywood, 2016; </w:t>
      </w:r>
      <w:proofErr w:type="spellStart"/>
      <w:r w:rsidRPr="00EA7E3C">
        <w:t>Juffe-Bignoli</w:t>
      </w:r>
      <w:proofErr w:type="spellEnd"/>
      <w:r w:rsidRPr="00EA7E3C">
        <w:t xml:space="preserve"> et al. 2016). Examples of unspecific, unquantified objectives</w:t>
      </w:r>
      <w:r>
        <w:t xml:space="preserve">, </w:t>
      </w:r>
      <w:r w:rsidRPr="00EA7E3C">
        <w:t>include aiming to achieve “significantly reduced” degradation and fragmentation of natural habitats (</w:t>
      </w:r>
      <w:proofErr w:type="spellStart"/>
      <w:r w:rsidRPr="00EA7E3C">
        <w:t>Butchart</w:t>
      </w:r>
      <w:proofErr w:type="spellEnd"/>
      <w:r w:rsidRPr="00EA7E3C">
        <w:t xml:space="preserve"> et al., 2016)</w:t>
      </w:r>
      <w:r>
        <w:t>,</w:t>
      </w:r>
      <w:r w:rsidRPr="00EA7E3C">
        <w:t xml:space="preserve"> and establish “</w:t>
      </w:r>
      <w:r w:rsidRPr="00EA7E3C">
        <w:rPr>
          <w:shd w:val="clear" w:color="auto" w:fill="FFFFFF"/>
        </w:rPr>
        <w:t xml:space="preserve">effectively and equitably managed, ecologically </w:t>
      </w:r>
      <w:r w:rsidRPr="00EA7E3C">
        <w:rPr>
          <w:color w:val="000000" w:themeColor="text1"/>
          <w:shd w:val="clear" w:color="auto" w:fill="FFFFFF"/>
        </w:rPr>
        <w:t>representative</w:t>
      </w:r>
      <w:r w:rsidRPr="00EA7E3C">
        <w:t>” PAs (</w:t>
      </w:r>
      <w:proofErr w:type="spellStart"/>
      <w:r w:rsidRPr="00EA7E3C">
        <w:t>Polak</w:t>
      </w:r>
      <w:proofErr w:type="spellEnd"/>
      <w:r w:rsidRPr="00EA7E3C">
        <w:t xml:space="preserve"> et al. 2015; </w:t>
      </w:r>
      <w:proofErr w:type="spellStart"/>
      <w:r w:rsidRPr="00EA7E3C">
        <w:t>Butchart</w:t>
      </w:r>
      <w:proofErr w:type="spellEnd"/>
      <w:r w:rsidRPr="00EA7E3C">
        <w:t xml:space="preserve"> et al. 2016; Beresford et al. 2017). </w:t>
      </w:r>
      <w:proofErr w:type="spellStart"/>
      <w:r w:rsidRPr="00EA7E3C">
        <w:t>Butchart</w:t>
      </w:r>
      <w:proofErr w:type="spellEnd"/>
      <w:r w:rsidRPr="00EA7E3C">
        <w:t xml:space="preserve"> et al. (2016) showed 14 out of the 20 Aichi Targets lacked any quantifiable elements (i.e. had no </w:t>
      </w:r>
      <w:r>
        <w:t xml:space="preserve">‘yes’ or ‘no’ answer, </w:t>
      </w:r>
      <w:r w:rsidRPr="00EA7E3C">
        <w:t xml:space="preserve">or numerical </w:t>
      </w:r>
      <w:r>
        <w:t xml:space="preserve">value or </w:t>
      </w:r>
      <w:r w:rsidRPr="00EA7E3C">
        <w:t xml:space="preserve">threshold) and only two targets (16 and 17) were composed of entirely quantifiable elements. There is some evidence to suggest that quantifiability of a target is related to the number of responses that are implemented (Hagerman and </w:t>
      </w:r>
      <w:proofErr w:type="spellStart"/>
      <w:r w:rsidRPr="00EA7E3C">
        <w:t>Pelai</w:t>
      </w:r>
      <w:proofErr w:type="spellEnd"/>
      <w:r w:rsidRPr="00EA7E3C">
        <w:t xml:space="preserve"> 2016). Indeed, the ambiguous, unspecific nature of Target 11’s qualitative elements may have contributed to the </w:t>
      </w:r>
      <w:r>
        <w:t xml:space="preserve">quantified </w:t>
      </w:r>
      <w:r w:rsidRPr="00EA7E3C">
        <w:t xml:space="preserve">area-based elements of the target receiving greater attention and, subsequently, achieving greater </w:t>
      </w:r>
      <w:r>
        <w:t xml:space="preserve">reported </w:t>
      </w:r>
      <w:r w:rsidRPr="00EA7E3C">
        <w:t>progress (</w:t>
      </w:r>
      <w:proofErr w:type="spellStart"/>
      <w:r w:rsidRPr="00EA7E3C">
        <w:t>Tittensor</w:t>
      </w:r>
      <w:proofErr w:type="spellEnd"/>
      <w:r w:rsidRPr="00EA7E3C">
        <w:t xml:space="preserve"> et al. 2014; </w:t>
      </w:r>
      <w:proofErr w:type="spellStart"/>
      <w:r w:rsidRPr="00EA7E3C">
        <w:t>Juffe-Bignoli</w:t>
      </w:r>
      <w:proofErr w:type="spellEnd"/>
      <w:r w:rsidRPr="00EA7E3C">
        <w:t xml:space="preserve"> et al. 2016; Rees et al. 2016; Watson et al. 2016). </w:t>
      </w:r>
    </w:p>
    <w:p w14:paraId="4EA38C3C" w14:textId="77777777" w:rsidR="001F3F0B" w:rsidRPr="00EA7E3C" w:rsidRDefault="001F3F0B" w:rsidP="006B604D">
      <w:pPr>
        <w:pStyle w:val="ListParagraph"/>
        <w:numPr>
          <w:ilvl w:val="0"/>
          <w:numId w:val="9"/>
        </w:numPr>
        <w:tabs>
          <w:tab w:val="left" w:pos="567"/>
        </w:tabs>
        <w:spacing w:after="120" w:line="259" w:lineRule="auto"/>
        <w:ind w:left="0" w:firstLine="0"/>
        <w:contextualSpacing w:val="0"/>
        <w:rPr>
          <w:rFonts w:eastAsia="Arial"/>
        </w:rPr>
      </w:pPr>
      <w:r w:rsidRPr="00F14E05">
        <w:rPr>
          <w:rStyle w:val="Hyperlink2"/>
        </w:rPr>
        <w:t>Measuring</w:t>
      </w:r>
      <w:r w:rsidRPr="00EA7E3C">
        <w:t xml:space="preserve"> progress towards the targets is further complicated by the lack of specific baselines and indicators available to assess some of the targets (</w:t>
      </w:r>
      <w:proofErr w:type="spellStart"/>
      <w:r w:rsidRPr="00EA7E3C">
        <w:t>Jørgensen</w:t>
      </w:r>
      <w:proofErr w:type="spellEnd"/>
      <w:r w:rsidRPr="00EA7E3C">
        <w:t xml:space="preserve">, 2013; Mace et al. 2013; </w:t>
      </w:r>
      <w:proofErr w:type="spellStart"/>
      <w:r w:rsidRPr="00EA7E3C">
        <w:t>Tittensor</w:t>
      </w:r>
      <w:proofErr w:type="spellEnd"/>
      <w:r w:rsidRPr="00EA7E3C">
        <w:t xml:space="preserve"> et al. 2014). </w:t>
      </w:r>
      <w:proofErr w:type="spellStart"/>
      <w:r w:rsidRPr="00EA7E3C">
        <w:t>Tittensor</w:t>
      </w:r>
      <w:proofErr w:type="spellEnd"/>
      <w:r w:rsidRPr="00EA7E3C">
        <w:t xml:space="preserve"> et al. (2014) found four targets (15, 16, 17 and 18) had no suitable indicators </w:t>
      </w:r>
      <w:r>
        <w:t xml:space="preserve">for their analysis </w:t>
      </w:r>
      <w:r w:rsidRPr="00EA7E3C">
        <w:t xml:space="preserve">and for a further two targets (2 and 14) the only available indicators were poorly aligned with the targets’ elements. </w:t>
      </w:r>
    </w:p>
    <w:p w14:paraId="7347A95E" w14:textId="77777777" w:rsidR="001F3F0B" w:rsidRPr="00796CE8" w:rsidRDefault="001F3F0B" w:rsidP="006B604D">
      <w:pPr>
        <w:pStyle w:val="ListParagraph"/>
        <w:numPr>
          <w:ilvl w:val="0"/>
          <w:numId w:val="9"/>
        </w:numPr>
        <w:tabs>
          <w:tab w:val="left" w:pos="567"/>
        </w:tabs>
        <w:spacing w:after="120" w:line="259" w:lineRule="auto"/>
        <w:ind w:left="0" w:firstLine="0"/>
        <w:contextualSpacing w:val="0"/>
        <w:rPr>
          <w:rFonts w:eastAsia="Arial"/>
        </w:rPr>
      </w:pPr>
      <w:r w:rsidRPr="00EA7E3C">
        <w:t xml:space="preserve">The extent to which the targets are </w:t>
      </w:r>
      <w:r>
        <w:t>‘</w:t>
      </w:r>
      <w:r w:rsidRPr="00EA7E3C">
        <w:t>comprehensive</w:t>
      </w:r>
      <w:r>
        <w:t>’</w:t>
      </w:r>
      <w:r w:rsidRPr="00EA7E3C">
        <w:t xml:space="preserve"> has also been questioned. For instance, Target 13 requires wild species to be “socio-economically as well as culturally valuable” in order to be included, thereby excluding many wild plant species (Edwards, 2017). Additionally, while Target 9 explicitly addresses the prioritisation of invasive species and pathways, it omits mention of high-risk sites particularly sensitive and vulnerable to invasion (</w:t>
      </w:r>
      <w:proofErr w:type="spellStart"/>
      <w:r w:rsidRPr="00EA7E3C">
        <w:t>McGeoch</w:t>
      </w:r>
      <w:proofErr w:type="spellEnd"/>
      <w:r w:rsidRPr="00EA7E3C">
        <w:t xml:space="preserve"> et al. 2016). </w:t>
      </w:r>
    </w:p>
    <w:p w14:paraId="1F39779B" w14:textId="77777777" w:rsidR="001F3F0B" w:rsidRPr="004877A7" w:rsidRDefault="001F3F0B" w:rsidP="006B604D">
      <w:pPr>
        <w:pStyle w:val="ListParagraph"/>
        <w:numPr>
          <w:ilvl w:val="0"/>
          <w:numId w:val="9"/>
        </w:numPr>
        <w:tabs>
          <w:tab w:val="left" w:pos="567"/>
        </w:tabs>
        <w:spacing w:after="120" w:line="259" w:lineRule="auto"/>
        <w:ind w:left="0" w:firstLine="0"/>
        <w:contextualSpacing w:val="0"/>
        <w:rPr>
          <w:rFonts w:eastAsia="Arial"/>
        </w:rPr>
      </w:pPr>
      <w:r w:rsidRPr="00EA7E3C">
        <w:t>Further criticism has focused on the ambition and sufficiency of the targets</w:t>
      </w:r>
      <w:r>
        <w:t xml:space="preserve"> to achieve their goal</w:t>
      </w:r>
      <w:r w:rsidRPr="00EA7E3C">
        <w:t xml:space="preserve">. For instance, both the 17% protected area target for terrestrial and inland water areas and the 10% target for coastal and marine areas have been deemed insufficient to protect biodiversity and ecosystem services by multiple studies (Harris et al. 2014; </w:t>
      </w:r>
      <w:proofErr w:type="spellStart"/>
      <w:r w:rsidRPr="00EA7E3C">
        <w:t>Kadoya</w:t>
      </w:r>
      <w:proofErr w:type="spellEnd"/>
      <w:r w:rsidRPr="00EA7E3C">
        <w:t xml:space="preserve"> et al. 2014; </w:t>
      </w:r>
      <w:r>
        <w:t xml:space="preserve">Venter et al. 2014; </w:t>
      </w:r>
      <w:r w:rsidRPr="00EA7E3C">
        <w:t>Larsen et al. 2015;</w:t>
      </w:r>
      <w:r w:rsidRPr="009806F7">
        <w:t xml:space="preserve"> </w:t>
      </w:r>
      <w:proofErr w:type="spellStart"/>
      <w:r w:rsidRPr="00D8178E">
        <w:rPr>
          <w:color w:val="000000" w:themeColor="text1"/>
        </w:rPr>
        <w:t>Butchart</w:t>
      </w:r>
      <w:proofErr w:type="spellEnd"/>
      <w:r w:rsidRPr="00D8178E">
        <w:rPr>
          <w:color w:val="000000" w:themeColor="text1"/>
        </w:rPr>
        <w:t xml:space="preserve"> et al. 2015; </w:t>
      </w:r>
      <w:r w:rsidRPr="00EA7E3C">
        <w:t xml:space="preserve">Di </w:t>
      </w:r>
      <w:proofErr w:type="spellStart"/>
      <w:r w:rsidRPr="00EA7E3C">
        <w:t>Minin</w:t>
      </w:r>
      <w:proofErr w:type="spellEnd"/>
      <w:r w:rsidRPr="00EA7E3C">
        <w:t xml:space="preserve"> et al. 2016; O'Leary et al. 2016; </w:t>
      </w:r>
      <w:r>
        <w:t>Rodriguez-Rodriguez et al. 2016</w:t>
      </w:r>
      <w:r w:rsidRPr="00EA7E3C">
        <w:t xml:space="preserve">; </w:t>
      </w:r>
      <w:proofErr w:type="spellStart"/>
      <w:r w:rsidRPr="00EA7E3C">
        <w:t>Dinerstein</w:t>
      </w:r>
      <w:proofErr w:type="spellEnd"/>
      <w:r w:rsidRPr="00EA7E3C">
        <w:t xml:space="preserve"> et al. 2017). </w:t>
      </w:r>
    </w:p>
    <w:p w14:paraId="7AAE43E8" w14:textId="77777777" w:rsidR="001F3F0B" w:rsidRPr="001313F5" w:rsidRDefault="001F3F0B" w:rsidP="001F3F0B">
      <w:pPr>
        <w:spacing w:after="120"/>
        <w:rPr>
          <w:b/>
          <w:i/>
        </w:rPr>
      </w:pPr>
      <w:r w:rsidRPr="001313F5">
        <w:rPr>
          <w:b/>
          <w:i/>
        </w:rPr>
        <w:t>SMART-based assessment of the Aichi Targets</w:t>
      </w:r>
    </w:p>
    <w:p w14:paraId="0A7009E1" w14:textId="77777777" w:rsidR="001F3F0B" w:rsidRDefault="001F3F0B" w:rsidP="006B604D">
      <w:pPr>
        <w:pStyle w:val="ListParagraph"/>
        <w:numPr>
          <w:ilvl w:val="0"/>
          <w:numId w:val="9"/>
        </w:numPr>
        <w:tabs>
          <w:tab w:val="left" w:pos="567"/>
        </w:tabs>
        <w:spacing w:after="120" w:line="259" w:lineRule="auto"/>
        <w:ind w:left="0" w:firstLine="0"/>
        <w:contextualSpacing w:val="0"/>
      </w:pPr>
      <w:r>
        <w:lastRenderedPageBreak/>
        <w:t>This section describes an expert-based assessment of the perceived SMART-ness of the Aichi targets.</w:t>
      </w:r>
      <w:r w:rsidRPr="00D24F59">
        <w:t xml:space="preserve"> </w:t>
      </w:r>
      <w:r>
        <w:t>Carefully chosen assessors were sent a link to the survey executed on Surveymonkey.com (</w:t>
      </w:r>
      <w:proofErr w:type="spellStart"/>
      <w:r>
        <w:t>Surveymonkey</w:t>
      </w:r>
      <w:proofErr w:type="spellEnd"/>
      <w:r>
        <w:t xml:space="preserve"> Inc., San Mateo, California, USA), This survey collected expert opinion data to assess the degree to which the 20 Aichi Targets were considered comprehensive, and whether their constituent elements were considered: Specific, Measurable, Ambitious, Realistic, unambiguous and scalable (See Table 1 for definitions used and the scoring system). Each of the targets is already Time-bound so this criterion was not scored.</w:t>
      </w:r>
    </w:p>
    <w:p w14:paraId="0737B41D" w14:textId="77777777" w:rsidR="001F3F0B" w:rsidRPr="00D13BD1" w:rsidRDefault="001F3F0B" w:rsidP="006B604D">
      <w:pPr>
        <w:pStyle w:val="ListParagraph"/>
        <w:numPr>
          <w:ilvl w:val="0"/>
          <w:numId w:val="9"/>
        </w:numPr>
        <w:tabs>
          <w:tab w:val="left" w:pos="567"/>
        </w:tabs>
        <w:spacing w:after="120" w:line="259" w:lineRule="auto"/>
        <w:ind w:left="0" w:firstLine="0"/>
        <w:contextualSpacing w:val="0"/>
        <w:rPr>
          <w:rStyle w:val="None"/>
        </w:rPr>
      </w:pPr>
      <w:r>
        <w:t xml:space="preserve">To summarise, all targets were perceived to be moderately comprehensive (of their goal related to their strategic goal). </w:t>
      </w:r>
      <w:r w:rsidRPr="00D13BD1">
        <w:rPr>
          <w:rStyle w:val="None"/>
          <w:shd w:val="clear" w:color="auto" w:fill="FFFFFF"/>
        </w:rPr>
        <w:t>The targets with the highest average ‘SMART-ness’ scores were 17, 16 and 9, while the targets with the lowest average ‘SMART-ness’ scores were 10, 14 and 19 (Table 2). However, there was variation within the elements with individual targets. For example, the two area-based elements of Target 11 had high ‘SMART’ scores, as you might expect, whereas the four other qualitative elements of Target 11 were perceived to be substantially less ‘SMART’.</w:t>
      </w:r>
    </w:p>
    <w:p w14:paraId="7F0578ED" w14:textId="77777777" w:rsidR="001F3F0B" w:rsidRPr="00D13BD1" w:rsidRDefault="001F3F0B" w:rsidP="006B604D">
      <w:pPr>
        <w:pStyle w:val="ListParagraph"/>
        <w:numPr>
          <w:ilvl w:val="0"/>
          <w:numId w:val="9"/>
        </w:numPr>
        <w:tabs>
          <w:tab w:val="left" w:pos="567"/>
        </w:tabs>
        <w:spacing w:after="120" w:line="259" w:lineRule="auto"/>
        <w:ind w:left="0" w:firstLine="0"/>
        <w:contextualSpacing w:val="0"/>
        <w:rPr>
          <w:rStyle w:val="None"/>
        </w:rPr>
      </w:pPr>
      <w:r w:rsidRPr="00F14E05">
        <w:t>When</w:t>
      </w:r>
      <w:r w:rsidRPr="00D13BD1">
        <w:rPr>
          <w:rStyle w:val="None"/>
          <w:shd w:val="clear" w:color="auto" w:fill="FFFFFF"/>
        </w:rPr>
        <w:t xml:space="preserve"> assessing ‘SMART’ scores per Strategic Goal, Strategic Goal C, focused around improving the status of biodiversity, had the highest overall score. This finding is significant and encouraging because Goal C focuses on ‘outcome goals’ and on the response to and the state of biodiversity (as opposed to ‘process goals’ </w:t>
      </w:r>
      <w:r>
        <w:t>that focus on the ‘</w:t>
      </w:r>
      <w:proofErr w:type="gramStart"/>
      <w:r>
        <w:t>means’</w:t>
      </w:r>
      <w:proofErr w:type="gramEnd"/>
      <w:r>
        <w:t xml:space="preserve"> to an ‘end’ in terms of biodiversity conservation).</w:t>
      </w:r>
      <w:r w:rsidRPr="00D13BD1">
        <w:rPr>
          <w:rStyle w:val="None"/>
          <w:shd w:val="clear" w:color="auto" w:fill="FFFFFF"/>
        </w:rPr>
        <w:t xml:space="preserve"> It is highly gratifying that Goal C was scored so well in this assessment. Strategic Goals A, on addressing the underlying causes of biodiversity loss through mainstreaming, and B, on reducing the direct pressures on biodiversity and promoting sustainable use, scored the lowest. </w:t>
      </w:r>
      <w:proofErr w:type="gramStart"/>
      <w:r w:rsidRPr="00D13BD1">
        <w:rPr>
          <w:rStyle w:val="None"/>
          <w:shd w:val="clear" w:color="auto" w:fill="FFFFFF"/>
        </w:rPr>
        <w:t>Thus</w:t>
      </w:r>
      <w:proofErr w:type="gramEnd"/>
      <w:r w:rsidRPr="00D13BD1">
        <w:rPr>
          <w:rStyle w:val="None"/>
          <w:shd w:val="clear" w:color="auto" w:fill="FFFFFF"/>
        </w:rPr>
        <w:t xml:space="preserve"> the Strategic Goals focused on addressing the underlying pressures on biodiversity and the causes of biodiversity loss were considered less ‘SMART’ by these assessors</w:t>
      </w:r>
      <w:r>
        <w:rPr>
          <w:rStyle w:val="None"/>
          <w:shd w:val="clear" w:color="auto" w:fill="FFFFFF"/>
        </w:rPr>
        <w:t>.</w:t>
      </w:r>
    </w:p>
    <w:p w14:paraId="0FFD0560" w14:textId="77777777" w:rsidR="001F3F0B" w:rsidRPr="00D13BD1" w:rsidRDefault="001F3F0B" w:rsidP="006B604D">
      <w:pPr>
        <w:pStyle w:val="ListParagraph"/>
        <w:numPr>
          <w:ilvl w:val="0"/>
          <w:numId w:val="9"/>
        </w:numPr>
        <w:tabs>
          <w:tab w:val="left" w:pos="567"/>
        </w:tabs>
        <w:spacing w:after="120" w:line="259" w:lineRule="auto"/>
        <w:ind w:left="0" w:firstLine="0"/>
        <w:contextualSpacing w:val="0"/>
        <w:rPr>
          <w:rStyle w:val="None"/>
        </w:rPr>
      </w:pPr>
      <w:r w:rsidRPr="00F14E05">
        <w:t>Similarly</w:t>
      </w:r>
      <w:r w:rsidRPr="00D13BD1">
        <w:rPr>
          <w:rStyle w:val="None"/>
          <w:shd w:val="clear" w:color="auto" w:fill="FFFFFF"/>
        </w:rPr>
        <w:t>, and linked to this, the targets with the highest average ‘SMART’ scores were those that contained explicitly defined deliverables, for example, Target 17 requires the development of an NBSAP, Target 16 requires specific national legislation, and Target 9 requires an invasive versus not native species risk assessment and pathway analysis. These then, for clarity, are ‘process goals’</w:t>
      </w:r>
      <w:r w:rsidRPr="00D13BD1">
        <w:rPr>
          <w:b/>
          <w:color w:val="FF0000"/>
        </w:rPr>
        <w:t xml:space="preserve"> </w:t>
      </w:r>
      <w:r w:rsidRPr="00D13BD1">
        <w:rPr>
          <w:color w:val="000000" w:themeColor="text1"/>
        </w:rPr>
        <w:t>and not</w:t>
      </w:r>
      <w:r w:rsidRPr="00D13BD1">
        <w:rPr>
          <w:b/>
          <w:color w:val="000000" w:themeColor="text1"/>
        </w:rPr>
        <w:t xml:space="preserve"> </w:t>
      </w:r>
      <w:r w:rsidRPr="00D13BD1">
        <w:rPr>
          <w:rStyle w:val="None"/>
          <w:shd w:val="clear" w:color="auto" w:fill="FFFFFF"/>
        </w:rPr>
        <w:t>‘outcome goals’.</w:t>
      </w:r>
    </w:p>
    <w:p w14:paraId="78C3EF4A" w14:textId="77777777" w:rsidR="001F3F0B" w:rsidRPr="001313F5" w:rsidRDefault="001F3F0B" w:rsidP="001F3F0B">
      <w:pPr>
        <w:spacing w:after="120"/>
        <w:rPr>
          <w:rFonts w:eastAsia="Arial"/>
          <w:b/>
        </w:rPr>
      </w:pPr>
      <w:r w:rsidRPr="001313F5">
        <w:rPr>
          <w:b/>
          <w:i/>
        </w:rPr>
        <w:t>How could the less ‘SMART’ targets be made ‘</w:t>
      </w:r>
      <w:proofErr w:type="spellStart"/>
      <w:r w:rsidRPr="001313F5">
        <w:rPr>
          <w:b/>
          <w:i/>
        </w:rPr>
        <w:t>SMARTer</w:t>
      </w:r>
      <w:proofErr w:type="spellEnd"/>
      <w:r w:rsidRPr="001313F5">
        <w:rPr>
          <w:b/>
          <w:i/>
        </w:rPr>
        <w:t>’?</w:t>
      </w:r>
    </w:p>
    <w:p w14:paraId="0FBFEBA9" w14:textId="77777777" w:rsidR="001F3F0B" w:rsidRPr="00D13BD1" w:rsidRDefault="001F3F0B" w:rsidP="006B604D">
      <w:pPr>
        <w:pStyle w:val="ListParagraph"/>
        <w:numPr>
          <w:ilvl w:val="0"/>
          <w:numId w:val="9"/>
        </w:numPr>
        <w:tabs>
          <w:tab w:val="left" w:pos="567"/>
        </w:tabs>
        <w:spacing w:after="120" w:line="259" w:lineRule="auto"/>
        <w:ind w:left="0" w:firstLine="0"/>
        <w:contextualSpacing w:val="0"/>
        <w:rPr>
          <w:b/>
        </w:rPr>
      </w:pPr>
      <w:r w:rsidRPr="00EA7E3C">
        <w:t xml:space="preserve">To </w:t>
      </w:r>
      <w:r>
        <w:t xml:space="preserve">help </w:t>
      </w:r>
      <w:r w:rsidRPr="00EA7E3C">
        <w:t xml:space="preserve">identify the criteria driving the low ‘SMART’ scores of Targets 10, 14 and 19 and therefore understand how the framing of these targets could be </w:t>
      </w:r>
      <w:r>
        <w:t>altered</w:t>
      </w:r>
      <w:r w:rsidRPr="00EA7E3C">
        <w:t xml:space="preserve">, the scores per criterion per </w:t>
      </w:r>
      <w:r>
        <w:t xml:space="preserve">target </w:t>
      </w:r>
      <w:r w:rsidRPr="00EA7E3C">
        <w:t>element were examined. Scores ≤5 out of a possible 10 were highlight</w:t>
      </w:r>
      <w:r>
        <w:t>ed</w:t>
      </w:r>
      <w:r w:rsidRPr="00EA7E3C">
        <w:t xml:space="preserve"> </w:t>
      </w:r>
      <w:r>
        <w:t xml:space="preserve">as </w:t>
      </w:r>
      <w:r w:rsidRPr="00EA7E3C">
        <w:t>areas for</w:t>
      </w:r>
      <w:r>
        <w:t xml:space="preserve"> potential</w:t>
      </w:r>
      <w:r w:rsidRPr="00EA7E3C">
        <w:t xml:space="preserve"> </w:t>
      </w:r>
      <w:r>
        <w:t>alteration</w:t>
      </w:r>
      <w:r w:rsidRPr="00EA7E3C">
        <w:t>.</w:t>
      </w:r>
    </w:p>
    <w:p w14:paraId="50C07CF3" w14:textId="77777777" w:rsidR="001F3F0B" w:rsidRPr="00490E73" w:rsidRDefault="001F3F0B" w:rsidP="006B604D">
      <w:pPr>
        <w:pStyle w:val="ListParagraph"/>
        <w:numPr>
          <w:ilvl w:val="0"/>
          <w:numId w:val="9"/>
        </w:numPr>
        <w:tabs>
          <w:tab w:val="left" w:pos="567"/>
        </w:tabs>
        <w:spacing w:after="120" w:line="259" w:lineRule="auto"/>
        <w:ind w:left="0" w:firstLine="0"/>
        <w:contextualSpacing w:val="0"/>
        <w:rPr>
          <w:b/>
        </w:rPr>
      </w:pPr>
      <w:r w:rsidRPr="00EA7E3C">
        <w:t>During the SMART-based expert assessment, Target 10 was broken down into two constituent elements: 10.1 “</w:t>
      </w:r>
      <w:r w:rsidRPr="00D13BD1">
        <w:rPr>
          <w:i/>
        </w:rPr>
        <w:t xml:space="preserve">the multiple anthropogenic pressures on coral reefs […] are minimized, </w:t>
      </w:r>
      <w:proofErr w:type="gramStart"/>
      <w:r w:rsidRPr="00D13BD1">
        <w:rPr>
          <w:i/>
        </w:rPr>
        <w:t>so as to</w:t>
      </w:r>
      <w:proofErr w:type="gramEnd"/>
      <w:r w:rsidRPr="00D13BD1">
        <w:rPr>
          <w:i/>
        </w:rPr>
        <w:t xml:space="preserve"> maintain their integrity and functioning</w:t>
      </w:r>
      <w:r w:rsidRPr="00EA7E3C">
        <w:t>”</w:t>
      </w:r>
      <w:r>
        <w:t xml:space="preserve">; </w:t>
      </w:r>
      <w:r w:rsidRPr="00EA7E3C">
        <w:t>10.2 “</w:t>
      </w:r>
      <w:r w:rsidRPr="00D13BD1">
        <w:rPr>
          <w:i/>
        </w:rPr>
        <w:t>the multiple anthropogenic pressures on […] other vulnerable ecosystems impacted by climate change or ocean acidification are minimized, so as to maintain their integrity and functioning</w:t>
      </w:r>
      <w:r w:rsidRPr="00EA7E3C">
        <w:t xml:space="preserve">”. The target was perceived to be ambitious (8/10 for both elements) to the point of being unrealistic (realistic = 3/10 for both elements), and scored poorly for </w:t>
      </w:r>
      <w:r>
        <w:t xml:space="preserve">being </w:t>
      </w:r>
      <w:r w:rsidRPr="00EA7E3C">
        <w:t xml:space="preserve">measurable (5/10 and 4/10, respectively) and unambiguous (5/10 for both elements). </w:t>
      </w:r>
      <w:r>
        <w:t>In this way, the actual target is unclear and poorly defined, and therefore it is difficult to measure in any realistic way.</w:t>
      </w:r>
    </w:p>
    <w:p w14:paraId="038645DB" w14:textId="77777777" w:rsidR="001F3F0B" w:rsidRPr="00490E73" w:rsidRDefault="001F3F0B" w:rsidP="006B604D">
      <w:pPr>
        <w:pStyle w:val="ListParagraph"/>
        <w:numPr>
          <w:ilvl w:val="0"/>
          <w:numId w:val="9"/>
        </w:numPr>
        <w:tabs>
          <w:tab w:val="left" w:pos="567"/>
        </w:tabs>
        <w:spacing w:after="120" w:line="259" w:lineRule="auto"/>
        <w:ind w:left="0" w:firstLine="0"/>
        <w:contextualSpacing w:val="0"/>
        <w:rPr>
          <w:b/>
        </w:rPr>
      </w:pPr>
      <w:r w:rsidRPr="00EA7E3C">
        <w:t>Target 14 was broken down into two constituent elements: 14.1 “</w:t>
      </w:r>
      <w:r w:rsidRPr="00490E73">
        <w:rPr>
          <w:i/>
        </w:rPr>
        <w:t>ecosystems that provide essential services, including services related to water, and contributing to health, livelihoods and wellbeing, are restored and safeguarded</w:t>
      </w:r>
      <w:r w:rsidRPr="00EA7E3C">
        <w:t>”</w:t>
      </w:r>
      <w:r>
        <w:t xml:space="preserve">; </w:t>
      </w:r>
      <w:r w:rsidRPr="00EA7E3C">
        <w:t>14.2 “</w:t>
      </w:r>
      <w:r w:rsidRPr="00490E73">
        <w:rPr>
          <w:i/>
        </w:rPr>
        <w:t xml:space="preserve">[…] </w:t>
      </w:r>
      <w:proofErr w:type="gramStart"/>
      <w:r w:rsidRPr="00490E73">
        <w:rPr>
          <w:i/>
        </w:rPr>
        <w:t>taking into account</w:t>
      </w:r>
      <w:proofErr w:type="gramEnd"/>
      <w:r w:rsidRPr="00490E73">
        <w:rPr>
          <w:i/>
        </w:rPr>
        <w:t xml:space="preserve"> the needs of women, indigenous and local communities, and the poor and vulnerable</w:t>
      </w:r>
      <w:r w:rsidRPr="00EA7E3C">
        <w:t xml:space="preserve">”. This target was also perceived to be ambitious (8.5/10 and 8/10) but not realistic (4/10 for both elements), and scored poorly for measurable (4/10 and 3.5/10) and unambiguous (5/10 and 4/10). </w:t>
      </w:r>
      <w:r>
        <w:t>So again, while the target was judged to be ambitious, the detail is unclear, complex and poorly defined, and consequently it is difficult to measure in any realistic way.</w:t>
      </w:r>
    </w:p>
    <w:p w14:paraId="5132924A" w14:textId="77777777" w:rsidR="001F3F0B" w:rsidRPr="00490E73" w:rsidRDefault="001F3F0B" w:rsidP="006B604D">
      <w:pPr>
        <w:pStyle w:val="ListParagraph"/>
        <w:numPr>
          <w:ilvl w:val="0"/>
          <w:numId w:val="9"/>
        </w:numPr>
        <w:tabs>
          <w:tab w:val="left" w:pos="567"/>
        </w:tabs>
        <w:spacing w:after="120" w:line="259" w:lineRule="auto"/>
        <w:ind w:left="0" w:firstLine="0"/>
        <w:contextualSpacing w:val="0"/>
        <w:rPr>
          <w:b/>
        </w:rPr>
      </w:pPr>
      <w:r w:rsidRPr="00EA7E3C">
        <w:lastRenderedPageBreak/>
        <w:t>Target 19 was broken down into two constituent elements: 19.1 “</w:t>
      </w:r>
      <w:r w:rsidRPr="00490E73">
        <w:rPr>
          <w:i/>
        </w:rPr>
        <w:t>The science base and technologies relating to biodiversity, its values, functioning, status and trends, and the consequences of its loss, are improved, widely shared and transferred […]</w:t>
      </w:r>
      <w:proofErr w:type="gramStart"/>
      <w:r w:rsidRPr="00EA7E3C">
        <w:t xml:space="preserve">” </w:t>
      </w:r>
      <w:r>
        <w:t>;</w:t>
      </w:r>
      <w:proofErr w:type="gramEnd"/>
      <w:r>
        <w:t xml:space="preserve"> </w:t>
      </w:r>
      <w:r w:rsidRPr="00EA7E3C">
        <w:t>19.2 “</w:t>
      </w:r>
      <w:r w:rsidRPr="00490E73">
        <w:rPr>
          <w:i/>
        </w:rPr>
        <w:t>The science base and technologies relating to biodiversity, its values, functioning, status and trends, and the consequences of its loss, are […] applied.</w:t>
      </w:r>
      <w:r w:rsidRPr="00EA7E3C">
        <w:t xml:space="preserve">” As with the other two lowest-ranking targets, Target 19 had low scores for </w:t>
      </w:r>
      <w:r>
        <w:t>‘</w:t>
      </w:r>
      <w:r w:rsidRPr="00EA7E3C">
        <w:t>measurable</w:t>
      </w:r>
      <w:r>
        <w:t>’</w:t>
      </w:r>
      <w:r w:rsidRPr="00EA7E3C">
        <w:t xml:space="preserve"> (4/10 and 3/10, respectively) and </w:t>
      </w:r>
      <w:r>
        <w:t>‘</w:t>
      </w:r>
      <w:r w:rsidRPr="00EA7E3C">
        <w:t>unambiguous</w:t>
      </w:r>
      <w:r>
        <w:t>’</w:t>
      </w:r>
      <w:r w:rsidRPr="00EA7E3C">
        <w:t xml:space="preserve"> (5/10 and 3.5/10, respectively), </w:t>
      </w:r>
      <w:r>
        <w:t>and</w:t>
      </w:r>
      <w:r w:rsidRPr="00EA7E3C">
        <w:t xml:space="preserve"> was considered somewhat less ambitious (7/10 and 6.5/10, respectively). In contrast to Targets 10 and 14, there was a notable difference in scores between the two elements of Target 19, with element 19.2 consistently scoring lower than element 19.1 across all criteria. </w:t>
      </w:r>
      <w:proofErr w:type="gramStart"/>
      <w:r w:rsidRPr="00EA7E3C">
        <w:t>In particular, element</w:t>
      </w:r>
      <w:proofErr w:type="gramEnd"/>
      <w:r w:rsidRPr="00EA7E3C">
        <w:t xml:space="preserve"> 19.1 was considered to be moderately more specific (6/10 cf. 4.5/10), realistic (6/10 cf. 4.5/10, respectively) and unambiguous (5/10 cf. 3.5/10) than element 19.2.</w:t>
      </w:r>
      <w:r w:rsidRPr="00490E73">
        <w:rPr>
          <w:b/>
        </w:rPr>
        <w:t xml:space="preserve"> </w:t>
      </w:r>
      <w:r w:rsidRPr="00D8178E">
        <w:t>As described above</w:t>
      </w:r>
      <w:r>
        <w:t>,</w:t>
      </w:r>
      <w:r w:rsidRPr="00D8178E">
        <w:t xml:space="preserve"> </w:t>
      </w:r>
      <w:r>
        <w:t>because the actual target is loosely and poorly defined, then measurement against that target becomes extremely difficult.</w:t>
      </w:r>
    </w:p>
    <w:p w14:paraId="1C22EF69" w14:textId="77777777" w:rsidR="001F3F0B" w:rsidRPr="00490E73" w:rsidRDefault="001F3F0B" w:rsidP="006B604D">
      <w:pPr>
        <w:pStyle w:val="ListParagraph"/>
        <w:numPr>
          <w:ilvl w:val="0"/>
          <w:numId w:val="9"/>
        </w:numPr>
        <w:tabs>
          <w:tab w:val="left" w:pos="567"/>
        </w:tabs>
        <w:spacing w:after="120" w:line="259" w:lineRule="auto"/>
        <w:ind w:left="0" w:firstLine="0"/>
        <w:contextualSpacing w:val="0"/>
        <w:rPr>
          <w:b/>
        </w:rPr>
      </w:pPr>
      <w:proofErr w:type="spellStart"/>
      <w:r w:rsidRPr="00FE6DBD">
        <w:t>Butchart</w:t>
      </w:r>
      <w:proofErr w:type="spellEnd"/>
      <w:r w:rsidRPr="00FE6DBD">
        <w:t xml:space="preserve"> et a</w:t>
      </w:r>
      <w:r>
        <w:t>l</w:t>
      </w:r>
      <w:r w:rsidRPr="00FE6DBD">
        <w:t xml:space="preserve">. (2016)’s criticism of the Aichi targets was due to their </w:t>
      </w:r>
      <w:r>
        <w:t xml:space="preserve">unnecessary </w:t>
      </w:r>
      <w:r w:rsidRPr="00FE6DBD">
        <w:t>complexity and lack of clarity</w:t>
      </w:r>
      <w:r>
        <w:t xml:space="preserve">, a view reflected in Green et al. (submitted). </w:t>
      </w:r>
      <w:proofErr w:type="spellStart"/>
      <w:r>
        <w:t>Butchart</w:t>
      </w:r>
      <w:proofErr w:type="spellEnd"/>
      <w:r>
        <w:t xml:space="preserve"> et al. were concerned that inexact qualifying words, specifically adverbs, like ‘substantially’, be avoided and they suggested a ‘</w:t>
      </w:r>
      <w:r w:rsidRPr="00490E73">
        <w:rPr>
          <w:i/>
        </w:rPr>
        <w:t>smaller set of more focussed headline targets that were specific, quantified, simple, succinct and unambiguous’</w:t>
      </w:r>
      <w:r>
        <w:t xml:space="preserve">. Green et al. (submitted) did not assess whether the number of targets was too large or too small, but the call for </w:t>
      </w:r>
      <w:r w:rsidRPr="00490E73">
        <w:rPr>
          <w:i/>
        </w:rPr>
        <w:t xml:space="preserve">specific, quantified, simple, succinct and unambiguous </w:t>
      </w:r>
      <w:r w:rsidRPr="00794307">
        <w:t>targets</w:t>
      </w:r>
      <w:r>
        <w:t xml:space="preserve"> is strongly supported </w:t>
      </w:r>
      <w:proofErr w:type="gramStart"/>
      <w:r>
        <w:t>on the basis of</w:t>
      </w:r>
      <w:proofErr w:type="gramEnd"/>
      <w:r>
        <w:t xml:space="preserve"> expert views received, and by their analysis of progress (see below).</w:t>
      </w:r>
    </w:p>
    <w:p w14:paraId="03475069" w14:textId="77777777" w:rsidR="001F3F0B" w:rsidRPr="00490E73" w:rsidRDefault="001F3F0B" w:rsidP="006B604D">
      <w:pPr>
        <w:pStyle w:val="ListParagraph"/>
        <w:numPr>
          <w:ilvl w:val="0"/>
          <w:numId w:val="9"/>
        </w:numPr>
        <w:tabs>
          <w:tab w:val="left" w:pos="567"/>
        </w:tabs>
        <w:spacing w:after="120" w:line="259" w:lineRule="auto"/>
        <w:ind w:left="0" w:firstLine="0"/>
        <w:contextualSpacing w:val="0"/>
        <w:rPr>
          <w:b/>
        </w:rPr>
      </w:pPr>
      <w:r>
        <w:t>One simple practical recommendation in the framing of any future targets would be to sense check emerging targets and target wording against a SMART-type framework in an iterative way. To illustrate, Table 3 categorises the three Aichi targets with the highest SMART-ness (17, 16 &amp; 9) and the three with the lowest perceived SMART-ness scores (14, 19 &amp; 10), against eight SMART criteria using a traffic light system (Green-Amber-Red).  It is immediately apparent that the better-framed targets meet many more criteria than those judged to be less SMART, as you would expect. One recommendation is that this simple and rapid approach be considered in the framing of any new or revised CBD targets and wording, whether using these specific eight SMART criteria, or a similar bespoke set developed for this purpose by CBD.</w:t>
      </w:r>
    </w:p>
    <w:p w14:paraId="61E487A3" w14:textId="77777777" w:rsidR="001F3F0B" w:rsidRPr="001313F5" w:rsidRDefault="001F3F0B" w:rsidP="001F3F0B">
      <w:pPr>
        <w:spacing w:before="240" w:after="120"/>
        <w:rPr>
          <w:b/>
          <w:i/>
          <w:color w:val="0070C0"/>
        </w:rPr>
      </w:pPr>
      <w:r w:rsidRPr="001313F5">
        <w:rPr>
          <w:b/>
          <w:i/>
          <w:color w:val="0070C0"/>
        </w:rPr>
        <w:t>The relationship between ‘SMART’ targets and progress</w:t>
      </w:r>
    </w:p>
    <w:p w14:paraId="17345A9A" w14:textId="77777777" w:rsidR="001F3F0B" w:rsidRPr="00490E73" w:rsidRDefault="001F3F0B" w:rsidP="006B604D">
      <w:pPr>
        <w:pStyle w:val="ListParagraph"/>
        <w:numPr>
          <w:ilvl w:val="0"/>
          <w:numId w:val="9"/>
        </w:numPr>
        <w:tabs>
          <w:tab w:val="left" w:pos="567"/>
        </w:tabs>
        <w:spacing w:after="120" w:line="259" w:lineRule="auto"/>
        <w:ind w:left="0" w:firstLine="0"/>
        <w:contextualSpacing w:val="0"/>
        <w:rPr>
          <w:rStyle w:val="None"/>
          <w:i/>
          <w:color w:val="000000" w:themeColor="text1"/>
        </w:rPr>
      </w:pPr>
      <w:r w:rsidRPr="00F14E05">
        <w:t>The</w:t>
      </w:r>
      <w:r w:rsidRPr="003C7F74">
        <w:rPr>
          <w:color w:val="000000" w:themeColor="text1"/>
        </w:rPr>
        <w:t xml:space="preserve"> assessment by Green et al. (submitted) investigated the relationship between ‘SMART’ scores of the Aichi Targets and elements and </w:t>
      </w:r>
      <w:r w:rsidRPr="003C7F74">
        <w:rPr>
          <w:rStyle w:val="None"/>
          <w:color w:val="000000" w:themeColor="text1"/>
        </w:rPr>
        <w:t xml:space="preserve">progress made towards them as reported in the fourth edition of Global Biodiversity Outlook (Secretariat of the Convention on Biological Diversity, 2014) </w:t>
      </w:r>
      <w:r>
        <w:t xml:space="preserve">and in analyses prepared as inputs to forthcoming IPBES Global Assessment. </w:t>
      </w:r>
      <w:r w:rsidRPr="003C7F74">
        <w:rPr>
          <w:rStyle w:val="None"/>
          <w:color w:val="000000" w:themeColor="text1"/>
        </w:rPr>
        <w:t xml:space="preserve">The results demonstrated that significantly </w:t>
      </w:r>
      <w:r w:rsidRPr="003C7F74">
        <w:rPr>
          <w:rStyle w:val="None"/>
          <w:color w:val="000000" w:themeColor="text1"/>
          <w:shd w:val="clear" w:color="auto" w:fill="FFFFFF"/>
        </w:rPr>
        <w:t xml:space="preserve">greater progress has been made towards </w:t>
      </w:r>
      <w:r>
        <w:rPr>
          <w:rStyle w:val="None"/>
          <w:color w:val="000000" w:themeColor="text1"/>
          <w:u w:color="FF0000"/>
          <w:shd w:val="clear" w:color="auto" w:fill="FFFFFF"/>
        </w:rPr>
        <w:t>SMART</w:t>
      </w:r>
      <w:r w:rsidRPr="003C7F74">
        <w:rPr>
          <w:rStyle w:val="None"/>
          <w:color w:val="000000" w:themeColor="text1"/>
          <w:shd w:val="clear" w:color="auto" w:fill="FFFFFF"/>
        </w:rPr>
        <w:t xml:space="preserve"> target elements; </w:t>
      </w:r>
      <w:proofErr w:type="gramStart"/>
      <w:r w:rsidRPr="003C7F74">
        <w:rPr>
          <w:rStyle w:val="None"/>
          <w:color w:val="000000" w:themeColor="text1"/>
          <w:shd w:val="clear" w:color="auto" w:fill="FFFFFF"/>
        </w:rPr>
        <w:t>specifically</w:t>
      </w:r>
      <w:proofErr w:type="gramEnd"/>
      <w:r w:rsidRPr="003C7F74">
        <w:rPr>
          <w:rStyle w:val="None"/>
          <w:color w:val="000000" w:themeColor="text1"/>
          <w:shd w:val="clear" w:color="auto" w:fill="FFFFFF"/>
        </w:rPr>
        <w:t xml:space="preserve"> those that are more measurable, realistic, unambiguous and scalable (Table 4).</w:t>
      </w:r>
    </w:p>
    <w:p w14:paraId="4E847D04" w14:textId="77777777" w:rsidR="001F3F0B" w:rsidRPr="002209FE" w:rsidRDefault="001F3F0B" w:rsidP="006B604D">
      <w:pPr>
        <w:pStyle w:val="ListParagraph"/>
        <w:numPr>
          <w:ilvl w:val="0"/>
          <w:numId w:val="9"/>
        </w:numPr>
        <w:tabs>
          <w:tab w:val="left" w:pos="567"/>
        </w:tabs>
        <w:spacing w:after="120" w:line="259" w:lineRule="auto"/>
        <w:ind w:left="0" w:firstLine="0"/>
        <w:contextualSpacing w:val="0"/>
        <w:rPr>
          <w:rStyle w:val="None"/>
          <w:i/>
          <w:color w:val="000000" w:themeColor="text1"/>
        </w:rPr>
      </w:pPr>
      <w:r w:rsidRPr="00490E73">
        <w:rPr>
          <w:rStyle w:val="None"/>
          <w:color w:val="000000" w:themeColor="text1"/>
          <w:shd w:val="clear" w:color="auto" w:fill="FFFFFF"/>
        </w:rPr>
        <w:t xml:space="preserve">The mechanism underpinning the relationship between </w:t>
      </w:r>
      <w:r>
        <w:rPr>
          <w:rStyle w:val="None"/>
          <w:color w:val="000000" w:themeColor="text1"/>
          <w:shd w:val="clear" w:color="auto" w:fill="FFFFFF"/>
        </w:rPr>
        <w:t>‘</w:t>
      </w:r>
      <w:proofErr w:type="spellStart"/>
      <w:r w:rsidRPr="00490E73">
        <w:rPr>
          <w:rStyle w:val="None"/>
          <w:color w:val="000000" w:themeColor="text1"/>
          <w:u w:color="FF0000"/>
          <w:shd w:val="clear" w:color="auto" w:fill="FFFFFF"/>
        </w:rPr>
        <w:t>SMARTer</w:t>
      </w:r>
      <w:proofErr w:type="spellEnd"/>
      <w:r>
        <w:rPr>
          <w:rStyle w:val="None"/>
          <w:color w:val="000000" w:themeColor="text1"/>
          <w:u w:color="FF0000"/>
          <w:shd w:val="clear" w:color="auto" w:fill="FFFFFF"/>
        </w:rPr>
        <w:t>’</w:t>
      </w:r>
      <w:r w:rsidRPr="00490E73">
        <w:rPr>
          <w:rStyle w:val="None"/>
          <w:color w:val="000000" w:themeColor="text1"/>
          <w:u w:color="FF0000"/>
          <w:shd w:val="clear" w:color="auto" w:fill="FFFFFF"/>
        </w:rPr>
        <w:t xml:space="preserve"> targets</w:t>
      </w:r>
      <w:r w:rsidRPr="00490E73">
        <w:rPr>
          <w:rStyle w:val="None"/>
          <w:color w:val="000000" w:themeColor="text1"/>
          <w:shd w:val="clear" w:color="auto" w:fill="FFFFFF"/>
        </w:rPr>
        <w:t xml:space="preserve"> and progress warrants further investigation. It is plausible that it is easier for governments to identify actions and policies to implement if the target element is more specific and measurable and is unambiguously articulated. Elements that are </w:t>
      </w:r>
      <w:r>
        <w:t>less precisely worded</w:t>
      </w:r>
      <w:r w:rsidRPr="00490E73">
        <w:rPr>
          <w:rStyle w:val="None"/>
          <w:color w:val="000000" w:themeColor="text1"/>
          <w:shd w:val="clear" w:color="auto" w:fill="FFFFFF"/>
        </w:rPr>
        <w:t xml:space="preserve"> and open to interpretation may be more difficult to translate into specific actions or policies. It is also plausible that during negotiations it is easier for governments to agree to ‘SMART’ targets for topics that are more tractable and likely to be successful and those that align closely with existing national priorities and work plans. Topics that are harder to address may be more difficult to agree to under a ‘SMART’ framework, and therefore end up being </w:t>
      </w:r>
      <w:r>
        <w:t>less precisely worded</w:t>
      </w:r>
      <w:r w:rsidRPr="00490E73">
        <w:rPr>
          <w:rStyle w:val="None"/>
          <w:color w:val="000000" w:themeColor="text1"/>
          <w:shd w:val="clear" w:color="auto" w:fill="FFFFFF"/>
        </w:rPr>
        <w:t>. It is also important to recognise that many additional factors will influence national progress towards targets.</w:t>
      </w:r>
    </w:p>
    <w:p w14:paraId="4BBCEFB3" w14:textId="77777777" w:rsidR="001F3F0B" w:rsidRPr="002209FE" w:rsidRDefault="001F3F0B" w:rsidP="006B604D">
      <w:pPr>
        <w:pStyle w:val="ListParagraph"/>
        <w:numPr>
          <w:ilvl w:val="0"/>
          <w:numId w:val="9"/>
        </w:numPr>
        <w:tabs>
          <w:tab w:val="left" w:pos="567"/>
        </w:tabs>
        <w:spacing w:after="120" w:line="259" w:lineRule="auto"/>
        <w:ind w:left="0" w:firstLine="0"/>
        <w:contextualSpacing w:val="0"/>
        <w:rPr>
          <w:rStyle w:val="None"/>
          <w:i/>
          <w:color w:val="000000" w:themeColor="text1"/>
        </w:rPr>
      </w:pPr>
      <w:r w:rsidRPr="002209FE">
        <w:rPr>
          <w:color w:val="000000" w:themeColor="text1"/>
        </w:rPr>
        <w:lastRenderedPageBreak/>
        <w:t>While it is natural to expect a positive relationship between SMART criteria (including Specific, Measurable, Realistic, Unambiguous and Scalable) and reported progress towards the targets (</w:t>
      </w:r>
      <w:proofErr w:type="spellStart"/>
      <w:r w:rsidRPr="002209FE">
        <w:rPr>
          <w:color w:val="000000" w:themeColor="text1"/>
        </w:rPr>
        <w:t>SMARTer</w:t>
      </w:r>
      <w:proofErr w:type="spellEnd"/>
      <w:r w:rsidRPr="002209FE">
        <w:rPr>
          <w:color w:val="000000" w:themeColor="text1"/>
        </w:rPr>
        <w:t xml:space="preserve"> targets leading to more progress), the relationship between progress and ambition is less easy to predict. At one extreme, as targets become increasingly ambitious it is reasonable to assume that they might become increasingly difficult to meet, leading to the expectation of less progress being made towards more ambitious targets. At the other extreme, it is reasonable to assume that higher ambition stimulates and drives great progress, leading to more progress being made towards more ambitious targets.  </w:t>
      </w:r>
      <w:proofErr w:type="gramStart"/>
      <w:r w:rsidRPr="002209FE">
        <w:rPr>
          <w:color w:val="000000" w:themeColor="text1"/>
        </w:rPr>
        <w:t>In reality, Green</w:t>
      </w:r>
      <w:proofErr w:type="gramEnd"/>
      <w:r w:rsidRPr="002209FE">
        <w:rPr>
          <w:color w:val="000000" w:themeColor="text1"/>
        </w:rPr>
        <w:t xml:space="preserve"> et al. found no relationship between ambition and progress (Table 4). There was also a non-significant negative relationship between scores for ambitious and realistic, suggesting tentatively that increasingly ambitious targets become increasingly difficult to meet. This highlights that, while it is crucial to have targets that aim sufficiently high to have the positive desired impacts on biodiversity, there is a vital and subtle balance to be found between Ambition and Realism when framing SMART targets.  This balance can be met by framing ambitious targets that reflect the true scale of actions needed to halt and reverse the loss of biodiversity at the global scale but that are realistic in the way they </w:t>
      </w:r>
      <w:proofErr w:type="gramStart"/>
      <w:r w:rsidRPr="002209FE">
        <w:rPr>
          <w:color w:val="000000" w:themeColor="text1"/>
        </w:rPr>
        <w:t>take into account</w:t>
      </w:r>
      <w:proofErr w:type="gramEnd"/>
      <w:r w:rsidRPr="002209FE">
        <w:rPr>
          <w:color w:val="000000" w:themeColor="text1"/>
        </w:rPr>
        <w:t xml:space="preserve"> practical, financial and other enabling mechanisms. </w:t>
      </w:r>
    </w:p>
    <w:p w14:paraId="2A44796D" w14:textId="77777777" w:rsidR="001F3F0B" w:rsidRPr="001313F5" w:rsidRDefault="001F3F0B" w:rsidP="001F3F0B">
      <w:pPr>
        <w:spacing w:before="240" w:after="120"/>
        <w:rPr>
          <w:rStyle w:val="Hyperlink2"/>
          <w:b/>
          <w:caps/>
          <w:color w:val="365F91" w:themeColor="accent1" w:themeShade="BF"/>
        </w:rPr>
      </w:pPr>
      <w:r w:rsidRPr="001313F5">
        <w:rPr>
          <w:rStyle w:val="Hyperlink2"/>
          <w:b/>
          <w:caps/>
          <w:color w:val="365F91" w:themeColor="accent1" w:themeShade="BF"/>
        </w:rPr>
        <w:t>RELEVANCE OF ASSESSING TARGET FRAMING FOR THE POST-2020 AGENDA</w:t>
      </w:r>
    </w:p>
    <w:p w14:paraId="1FF30472" w14:textId="77777777" w:rsidR="001F3F0B" w:rsidRDefault="001F3F0B" w:rsidP="006B604D">
      <w:pPr>
        <w:pStyle w:val="ListParagraph"/>
        <w:numPr>
          <w:ilvl w:val="0"/>
          <w:numId w:val="9"/>
        </w:numPr>
        <w:tabs>
          <w:tab w:val="left" w:pos="567"/>
        </w:tabs>
        <w:spacing w:after="120" w:line="259" w:lineRule="auto"/>
        <w:ind w:left="0" w:firstLine="0"/>
        <w:contextualSpacing w:val="0"/>
        <w:rPr>
          <w:rStyle w:val="Strong"/>
          <w:b w:val="0"/>
          <w:shd w:val="clear" w:color="auto" w:fill="FFFFFF"/>
        </w:rPr>
      </w:pPr>
      <w:r w:rsidRPr="00461355">
        <w:rPr>
          <w:rStyle w:val="Strong"/>
          <w:shd w:val="clear" w:color="auto" w:fill="FFFFFF"/>
        </w:rPr>
        <w:t xml:space="preserve">To address some of the </w:t>
      </w:r>
      <w:r>
        <w:rPr>
          <w:rStyle w:val="Strong"/>
          <w:shd w:val="clear" w:color="auto" w:fill="FFFFFF"/>
        </w:rPr>
        <w:t>perceived limitations</w:t>
      </w:r>
      <w:r w:rsidRPr="00461355">
        <w:rPr>
          <w:rStyle w:val="Strong"/>
          <w:shd w:val="clear" w:color="auto" w:fill="FFFFFF"/>
        </w:rPr>
        <w:t xml:space="preserve"> of the Aichi Targets, several studies have </w:t>
      </w:r>
      <w:r w:rsidRPr="00F14E05">
        <w:rPr>
          <w:bCs/>
          <w:color w:val="000000" w:themeColor="text1"/>
        </w:rPr>
        <w:t>suggested</w:t>
      </w:r>
      <w:r w:rsidRPr="00461355">
        <w:rPr>
          <w:rStyle w:val="Strong"/>
          <w:shd w:val="clear" w:color="auto" w:fill="FFFFFF"/>
        </w:rPr>
        <w:t xml:space="preserve"> </w:t>
      </w:r>
      <w:r>
        <w:rPr>
          <w:rStyle w:val="Strong"/>
          <w:shd w:val="clear" w:color="auto" w:fill="FFFFFF"/>
        </w:rPr>
        <w:t>alterations</w:t>
      </w:r>
      <w:r w:rsidRPr="00461355">
        <w:rPr>
          <w:rStyle w:val="Strong"/>
          <w:shd w:val="clear" w:color="auto" w:fill="FFFFFF"/>
        </w:rPr>
        <w:t xml:space="preserve"> that could be made when framing a</w:t>
      </w:r>
      <w:r>
        <w:rPr>
          <w:rStyle w:val="Strong"/>
          <w:shd w:val="clear" w:color="auto" w:fill="FFFFFF"/>
        </w:rPr>
        <w:t xml:space="preserve"> potential</w:t>
      </w:r>
      <w:r w:rsidRPr="00461355">
        <w:rPr>
          <w:rStyle w:val="Strong"/>
          <w:shd w:val="clear" w:color="auto" w:fill="FFFFFF"/>
        </w:rPr>
        <w:t xml:space="preserve"> </w:t>
      </w:r>
      <w:r w:rsidRPr="00461355">
        <w:t xml:space="preserve">revised </w:t>
      </w:r>
      <w:r>
        <w:t>post-2020 global biodiversity framework</w:t>
      </w:r>
      <w:r w:rsidRPr="00461355">
        <w:rPr>
          <w:rStyle w:val="Strong"/>
          <w:shd w:val="clear" w:color="auto" w:fill="FFFFFF"/>
        </w:rPr>
        <w:t xml:space="preserve">. These include further </w:t>
      </w:r>
      <w:proofErr w:type="spellStart"/>
      <w:r w:rsidRPr="00461355">
        <w:rPr>
          <w:rStyle w:val="Strong"/>
          <w:shd w:val="clear" w:color="auto" w:fill="FFFFFF"/>
        </w:rPr>
        <w:t>SMARTening</w:t>
      </w:r>
      <w:proofErr w:type="spellEnd"/>
      <w:r w:rsidRPr="00461355">
        <w:rPr>
          <w:rStyle w:val="Strong"/>
          <w:shd w:val="clear" w:color="auto" w:fill="FFFFFF"/>
        </w:rPr>
        <w:t xml:space="preserve"> of the targets (Wood, 2011) and the provision of more quantitative guidance, such as the role of PAs in protecting threatened species and ecosystems (</w:t>
      </w:r>
      <w:proofErr w:type="spellStart"/>
      <w:r w:rsidRPr="00461355">
        <w:t>Polak</w:t>
      </w:r>
      <w:proofErr w:type="spellEnd"/>
      <w:r w:rsidRPr="00461355">
        <w:t xml:space="preserve"> et al 2016)</w:t>
      </w:r>
      <w:r w:rsidRPr="00461355">
        <w:rPr>
          <w:rStyle w:val="Strong"/>
          <w:shd w:val="clear" w:color="auto" w:fill="FFFFFF"/>
        </w:rPr>
        <w:t xml:space="preserve">. Bridgewater (2011) suggested that in addition to being SMART, environmental policy targets should be </w:t>
      </w:r>
      <w:r>
        <w:rPr>
          <w:rStyle w:val="Strong"/>
          <w:shd w:val="clear" w:color="auto" w:fill="FFFFFF"/>
        </w:rPr>
        <w:t>‘</w:t>
      </w:r>
      <w:r w:rsidRPr="00461355">
        <w:rPr>
          <w:rStyle w:val="Strong"/>
          <w:shd w:val="clear" w:color="auto" w:fill="FFFFFF"/>
        </w:rPr>
        <w:t>CUTE</w:t>
      </w:r>
      <w:r>
        <w:rPr>
          <w:rStyle w:val="Strong"/>
          <w:shd w:val="clear" w:color="auto" w:fill="FFFFFF"/>
        </w:rPr>
        <w:t>’</w:t>
      </w:r>
      <w:r w:rsidRPr="00461355">
        <w:rPr>
          <w:rStyle w:val="Strong"/>
          <w:shd w:val="clear" w:color="auto" w:fill="FFFFFF"/>
        </w:rPr>
        <w:t xml:space="preserve">: Comprehensive, Understandable, Time-bound and Enabling. </w:t>
      </w:r>
      <w:r>
        <w:rPr>
          <w:rStyle w:val="Strong"/>
          <w:shd w:val="clear" w:color="auto" w:fill="FFFFFF"/>
        </w:rPr>
        <w:t>This suggestion echoes Green et al. (submitted) in proposing an extended set of SMART criteria.</w:t>
      </w:r>
    </w:p>
    <w:p w14:paraId="48FE4595" w14:textId="77777777" w:rsidR="001F3F0B" w:rsidRDefault="001F3F0B" w:rsidP="006B604D">
      <w:pPr>
        <w:pStyle w:val="ListParagraph"/>
        <w:numPr>
          <w:ilvl w:val="0"/>
          <w:numId w:val="9"/>
        </w:numPr>
        <w:tabs>
          <w:tab w:val="left" w:pos="567"/>
        </w:tabs>
        <w:spacing w:after="120" w:line="259" w:lineRule="auto"/>
        <w:ind w:left="0" w:firstLine="0"/>
        <w:contextualSpacing w:val="0"/>
        <w:rPr>
          <w:rStyle w:val="Strong"/>
          <w:b w:val="0"/>
          <w:shd w:val="clear" w:color="auto" w:fill="FFFFFF"/>
        </w:rPr>
      </w:pPr>
      <w:r w:rsidRPr="002209FE">
        <w:rPr>
          <w:rStyle w:val="Strong"/>
          <w:shd w:val="clear" w:color="auto" w:fill="FFFFFF"/>
        </w:rPr>
        <w:t xml:space="preserve">As described above, </w:t>
      </w:r>
      <w:proofErr w:type="spellStart"/>
      <w:r w:rsidRPr="002209FE">
        <w:rPr>
          <w:rStyle w:val="Strong"/>
          <w:shd w:val="clear" w:color="auto" w:fill="FFFFFF"/>
        </w:rPr>
        <w:t>Butchart</w:t>
      </w:r>
      <w:proofErr w:type="spellEnd"/>
      <w:r w:rsidRPr="002209FE">
        <w:rPr>
          <w:rStyle w:val="Strong"/>
          <w:shd w:val="clear" w:color="auto" w:fill="FFFFFF"/>
        </w:rPr>
        <w:t xml:space="preserve"> et al. (2016) suggested that a future framework could consider employing a smaller number of more focused headline targets that are specific, quantified, simple, succinct, and unambiguous, and that are accompanied by more specific subsidiary targets covering other aspects. </w:t>
      </w:r>
    </w:p>
    <w:p w14:paraId="5DC0397F" w14:textId="77777777" w:rsidR="001F3F0B" w:rsidRDefault="001F3F0B" w:rsidP="006B604D">
      <w:pPr>
        <w:pStyle w:val="ListParagraph"/>
        <w:numPr>
          <w:ilvl w:val="0"/>
          <w:numId w:val="9"/>
        </w:numPr>
        <w:tabs>
          <w:tab w:val="left" w:pos="567"/>
        </w:tabs>
        <w:spacing w:after="120" w:line="259" w:lineRule="auto"/>
        <w:ind w:left="0" w:firstLine="0"/>
        <w:contextualSpacing w:val="0"/>
        <w:rPr>
          <w:rStyle w:val="Strong"/>
          <w:b w:val="0"/>
          <w:shd w:val="clear" w:color="auto" w:fill="FFFFFF"/>
        </w:rPr>
      </w:pPr>
      <w:r w:rsidRPr="002209FE">
        <w:rPr>
          <w:rStyle w:val="Strong"/>
          <w:shd w:val="clear" w:color="auto" w:fill="FFFFFF"/>
        </w:rPr>
        <w:t xml:space="preserve">There has been a call for greater consideration of sufficiency during any proposed target setting; specifically, targets should reflect levels of conservation actions that are sufficient to protect biodiversity, based on the best available scientific evidence (Di Marco et al. 2016). For instance, </w:t>
      </w:r>
      <w:proofErr w:type="gramStart"/>
      <w:r w:rsidRPr="002209FE">
        <w:rPr>
          <w:rStyle w:val="Strong"/>
          <w:shd w:val="clear" w:color="auto" w:fill="FFFFFF"/>
        </w:rPr>
        <w:t>in order to</w:t>
      </w:r>
      <w:proofErr w:type="gramEnd"/>
      <w:r w:rsidRPr="002209FE">
        <w:rPr>
          <w:rStyle w:val="Strong"/>
          <w:shd w:val="clear" w:color="auto" w:fill="FFFFFF"/>
        </w:rPr>
        <w:t xml:space="preserve"> aim sufficiently high to halt the loss of biodiversity there have been calls to increase the values of some quantitative elements, particularly those of Target 11 (Locke, 2014; O'Leary et al. 2016; </w:t>
      </w:r>
      <w:proofErr w:type="spellStart"/>
      <w:r w:rsidRPr="002209FE">
        <w:rPr>
          <w:rStyle w:val="Strong"/>
          <w:shd w:val="clear" w:color="auto" w:fill="FFFFFF"/>
        </w:rPr>
        <w:t>Dinerstein</w:t>
      </w:r>
      <w:proofErr w:type="spellEnd"/>
      <w:r w:rsidRPr="002209FE">
        <w:rPr>
          <w:rStyle w:val="Strong"/>
          <w:shd w:val="clear" w:color="auto" w:fill="FFFFFF"/>
        </w:rPr>
        <w:t xml:space="preserve"> et al. 2017; </w:t>
      </w:r>
      <w:proofErr w:type="spellStart"/>
      <w:r w:rsidRPr="002209FE">
        <w:rPr>
          <w:rStyle w:val="Strong"/>
          <w:shd w:val="clear" w:color="auto" w:fill="FFFFFF"/>
        </w:rPr>
        <w:t>Krueck</w:t>
      </w:r>
      <w:proofErr w:type="spellEnd"/>
      <w:r w:rsidRPr="002209FE">
        <w:rPr>
          <w:rStyle w:val="Strong"/>
          <w:shd w:val="clear" w:color="auto" w:fill="FFFFFF"/>
        </w:rPr>
        <w:t xml:space="preserve"> et al. 2017). Sufficiency should also be considered when redefining currently ambiguous, unquantified targets. For example, Target 15 could be altered by specifying the average abundance of native species, relative to that in natural habitats, which must be achieved </w:t>
      </w:r>
      <w:proofErr w:type="gramStart"/>
      <w:r w:rsidRPr="002209FE">
        <w:rPr>
          <w:rStyle w:val="Strong"/>
          <w:shd w:val="clear" w:color="auto" w:fill="FFFFFF"/>
        </w:rPr>
        <w:t>in order for</w:t>
      </w:r>
      <w:proofErr w:type="gramEnd"/>
      <w:r w:rsidRPr="002209FE">
        <w:rPr>
          <w:rStyle w:val="Strong"/>
          <w:shd w:val="clear" w:color="auto" w:fill="FFFFFF"/>
        </w:rPr>
        <w:t xml:space="preserve"> degraded ecosystems to be considered restored (Di Marco et al. 2016).</w:t>
      </w:r>
    </w:p>
    <w:p w14:paraId="326AAB35" w14:textId="77777777" w:rsidR="001F3F0B" w:rsidRPr="00152476" w:rsidRDefault="001F3F0B" w:rsidP="006B604D">
      <w:pPr>
        <w:pStyle w:val="ListParagraph"/>
        <w:numPr>
          <w:ilvl w:val="0"/>
          <w:numId w:val="9"/>
        </w:numPr>
        <w:tabs>
          <w:tab w:val="left" w:pos="567"/>
        </w:tabs>
        <w:spacing w:after="120" w:line="259" w:lineRule="auto"/>
        <w:ind w:left="0" w:firstLine="0"/>
        <w:contextualSpacing w:val="0"/>
        <w:rPr>
          <w:rStyle w:val="Strong"/>
          <w:b w:val="0"/>
          <w:bCs w:val="0"/>
        </w:rPr>
      </w:pPr>
      <w:r w:rsidRPr="002209FE">
        <w:rPr>
          <w:rStyle w:val="Strong"/>
          <w:shd w:val="clear" w:color="auto" w:fill="FFFFFF"/>
        </w:rPr>
        <w:t xml:space="preserve">There is a relationship between how well framed (SMART) the Aichi Targets are and how much progress has been reportedly made towards them (Green et al. submitted). During </w:t>
      </w:r>
      <w:r w:rsidRPr="00152476">
        <w:rPr>
          <w:rStyle w:val="Strong"/>
          <w:shd w:val="clear" w:color="auto" w:fill="FFFFFF"/>
        </w:rPr>
        <w:t xml:space="preserve">negotiations around any new or revised targets, adhering to a ‘SMART’-based framework as closely as possible will likely provide a strong basis for targets that are consistently interpreted, effectively applied and adequate for the conservation, restoration and sustainable use of biodiversity and ecosystem services. </w:t>
      </w:r>
    </w:p>
    <w:p w14:paraId="4136E393" w14:textId="77777777" w:rsidR="001F3F0B" w:rsidRPr="00152476" w:rsidRDefault="001F3F0B" w:rsidP="006B604D">
      <w:pPr>
        <w:pStyle w:val="ListParagraph"/>
        <w:numPr>
          <w:ilvl w:val="0"/>
          <w:numId w:val="9"/>
        </w:numPr>
        <w:tabs>
          <w:tab w:val="left" w:pos="567"/>
        </w:tabs>
        <w:spacing w:after="120" w:line="259" w:lineRule="auto"/>
        <w:ind w:left="0" w:firstLine="0"/>
        <w:contextualSpacing w:val="0"/>
        <w:rPr>
          <w:rStyle w:val="Strong"/>
          <w:b w:val="0"/>
          <w:bCs w:val="0"/>
        </w:rPr>
      </w:pPr>
      <w:r w:rsidRPr="00152476">
        <w:rPr>
          <w:rStyle w:val="Strong"/>
          <w:shd w:val="clear" w:color="auto" w:fill="FFFFFF"/>
        </w:rPr>
        <w:t xml:space="preserve">Overall, there is a strong relationship between how well framed (SMART) the Aichi Targets are and how much progress has been reportedly made towards them (Green et al. submitted); the exception being in relation to Ambition where there is a more </w:t>
      </w:r>
      <w:r w:rsidRPr="00152476">
        <w:rPr>
          <w:rStyle w:val="Strong"/>
        </w:rPr>
        <w:t xml:space="preserve">complex trade-off with Realism, and </w:t>
      </w:r>
      <w:r w:rsidRPr="00152476">
        <w:rPr>
          <w:rStyle w:val="Strong"/>
        </w:rPr>
        <w:lastRenderedPageBreak/>
        <w:t>one could reasonably argue that greater ambition could drive greater progress, or indeed, less progress if such ambition outstrips practical delivery.</w:t>
      </w:r>
    </w:p>
    <w:p w14:paraId="71C557A4" w14:textId="77777777" w:rsidR="001F3F0B" w:rsidRPr="002209FE" w:rsidRDefault="001F3F0B" w:rsidP="006B604D">
      <w:pPr>
        <w:pStyle w:val="ListParagraph"/>
        <w:numPr>
          <w:ilvl w:val="0"/>
          <w:numId w:val="9"/>
        </w:numPr>
        <w:tabs>
          <w:tab w:val="left" w:pos="567"/>
        </w:tabs>
        <w:spacing w:after="120" w:line="259" w:lineRule="auto"/>
        <w:ind w:left="0" w:firstLine="0"/>
        <w:contextualSpacing w:val="0"/>
        <w:rPr>
          <w:bCs/>
          <w:shd w:val="clear" w:color="auto" w:fill="FFFFFF"/>
        </w:rPr>
      </w:pPr>
      <w:r w:rsidRPr="00152476">
        <w:rPr>
          <w:rStyle w:val="Strong"/>
          <w:shd w:val="clear" w:color="auto" w:fill="FFFFFF"/>
        </w:rPr>
        <w:t>During any</w:t>
      </w:r>
      <w:r>
        <w:rPr>
          <w:rStyle w:val="Strong"/>
          <w:shd w:val="clear" w:color="auto" w:fill="FFFFFF"/>
        </w:rPr>
        <w:t xml:space="preserve"> </w:t>
      </w:r>
      <w:r w:rsidRPr="002209FE">
        <w:rPr>
          <w:rStyle w:val="Strong"/>
          <w:shd w:val="clear" w:color="auto" w:fill="FFFFFF"/>
        </w:rPr>
        <w:t xml:space="preserve">negotiations around any new or revised targets, </w:t>
      </w:r>
      <w:r>
        <w:rPr>
          <w:rStyle w:val="Hyperlink2"/>
        </w:rPr>
        <w:t xml:space="preserve">adhering to a ‘SMART’-based framework as closely as possible will provide likely a strong basis for targets that are consistently interpreted, effectively applied and adequate for the </w:t>
      </w:r>
      <w:r w:rsidRPr="00913693">
        <w:rPr>
          <w:rStyle w:val="None"/>
          <w:lang w:val="en-US"/>
        </w:rPr>
        <w:t>conservation</w:t>
      </w:r>
      <w:r>
        <w:rPr>
          <w:rStyle w:val="Hyperlink2"/>
        </w:rPr>
        <w:t>, restoration and sustainable use of biodiversity and ecosystem services.</w:t>
      </w:r>
    </w:p>
    <w:p w14:paraId="3AC0153B" w14:textId="77777777" w:rsidR="001F3F0B" w:rsidRPr="001313F5" w:rsidRDefault="001F3F0B" w:rsidP="001F3F0B">
      <w:pPr>
        <w:spacing w:before="240" w:after="120"/>
        <w:rPr>
          <w:rStyle w:val="Hyperlink2"/>
          <w:b/>
          <w:caps/>
          <w:color w:val="365F91" w:themeColor="accent1" w:themeShade="BF"/>
        </w:rPr>
      </w:pPr>
      <w:r w:rsidRPr="001313F5">
        <w:rPr>
          <w:rStyle w:val="Hyperlink2"/>
          <w:b/>
          <w:caps/>
          <w:color w:val="365F91" w:themeColor="accent1" w:themeShade="BF"/>
        </w:rPr>
        <w:t>References</w:t>
      </w:r>
    </w:p>
    <w:p w14:paraId="75FB4C93" w14:textId="77777777" w:rsidR="001F3F0B" w:rsidRPr="00F14E05" w:rsidRDefault="001F3F0B" w:rsidP="001F3F0B">
      <w:pPr>
        <w:spacing w:after="100"/>
        <w:ind w:left="284" w:hanging="284"/>
        <w:rPr>
          <w:rStyle w:val="None"/>
          <w:rFonts w:eastAsia="Arial"/>
          <w:color w:val="222222"/>
          <w:sz w:val="20"/>
          <w:szCs w:val="20"/>
          <w:u w:color="222222"/>
          <w:shd w:val="clear" w:color="auto" w:fill="FFFFFF"/>
        </w:rPr>
      </w:pPr>
      <w:r w:rsidRPr="00F14E05">
        <w:rPr>
          <w:rStyle w:val="None"/>
          <w:color w:val="222222"/>
          <w:sz w:val="20"/>
          <w:szCs w:val="20"/>
          <w:u w:color="222222"/>
          <w:shd w:val="clear" w:color="auto" w:fill="FFFFFF"/>
        </w:rPr>
        <w:t xml:space="preserve">Beresford, A.E., Buchanan, G.M., </w:t>
      </w:r>
      <w:proofErr w:type="spellStart"/>
      <w:r w:rsidRPr="00F14E05">
        <w:rPr>
          <w:rStyle w:val="None"/>
          <w:color w:val="222222"/>
          <w:sz w:val="20"/>
          <w:szCs w:val="20"/>
          <w:u w:color="222222"/>
          <w:shd w:val="clear" w:color="auto" w:fill="FFFFFF"/>
        </w:rPr>
        <w:t>Phalan</w:t>
      </w:r>
      <w:proofErr w:type="spellEnd"/>
      <w:r w:rsidRPr="00F14E05">
        <w:rPr>
          <w:rStyle w:val="None"/>
          <w:color w:val="222222"/>
          <w:sz w:val="20"/>
          <w:szCs w:val="20"/>
          <w:u w:color="222222"/>
          <w:shd w:val="clear" w:color="auto" w:fill="FFFFFF"/>
        </w:rPr>
        <w:t xml:space="preserve">, B., </w:t>
      </w:r>
      <w:proofErr w:type="spellStart"/>
      <w:r w:rsidRPr="00F14E05">
        <w:rPr>
          <w:rStyle w:val="None"/>
          <w:color w:val="222222"/>
          <w:sz w:val="20"/>
          <w:szCs w:val="20"/>
          <w:u w:color="222222"/>
          <w:shd w:val="clear" w:color="auto" w:fill="FFFFFF"/>
        </w:rPr>
        <w:t>Eshiamwata</w:t>
      </w:r>
      <w:proofErr w:type="spellEnd"/>
      <w:r w:rsidRPr="00F14E05">
        <w:rPr>
          <w:rStyle w:val="None"/>
          <w:color w:val="222222"/>
          <w:sz w:val="20"/>
          <w:szCs w:val="20"/>
          <w:u w:color="222222"/>
          <w:shd w:val="clear" w:color="auto" w:fill="FFFFFF"/>
        </w:rPr>
        <w:t xml:space="preserve">, G.W., </w:t>
      </w:r>
      <w:proofErr w:type="spellStart"/>
      <w:r w:rsidRPr="00F14E05">
        <w:rPr>
          <w:rStyle w:val="None"/>
          <w:color w:val="222222"/>
          <w:sz w:val="20"/>
          <w:szCs w:val="20"/>
          <w:u w:color="222222"/>
          <w:shd w:val="clear" w:color="auto" w:fill="FFFFFF"/>
        </w:rPr>
        <w:t>Balmford</w:t>
      </w:r>
      <w:proofErr w:type="spellEnd"/>
      <w:r w:rsidRPr="00F14E05">
        <w:rPr>
          <w:rStyle w:val="None"/>
          <w:color w:val="222222"/>
          <w:sz w:val="20"/>
          <w:szCs w:val="20"/>
          <w:u w:color="222222"/>
          <w:shd w:val="clear" w:color="auto" w:fill="FFFFFF"/>
        </w:rPr>
        <w:t>, A., Brink, A.B., Fishpool, L.D. and Donald, P.F. (2017). Correlates of long-term land-cover change and protected area performance at priority conservation sites in Africa. </w:t>
      </w:r>
      <w:r w:rsidRPr="00F14E05">
        <w:rPr>
          <w:rStyle w:val="None"/>
          <w:i/>
          <w:iCs/>
          <w:color w:val="222222"/>
          <w:sz w:val="20"/>
          <w:szCs w:val="20"/>
          <w:u w:color="222222"/>
          <w:shd w:val="clear" w:color="auto" w:fill="FFFFFF"/>
        </w:rPr>
        <w:t>Environmental Conservation</w:t>
      </w:r>
      <w:r w:rsidRPr="00F14E05">
        <w:rPr>
          <w:rStyle w:val="None"/>
          <w:color w:val="222222"/>
          <w:sz w:val="20"/>
          <w:szCs w:val="20"/>
          <w:u w:color="222222"/>
          <w:shd w:val="clear" w:color="auto" w:fill="FFFFFF"/>
        </w:rPr>
        <w:t>, pp.1-9.</w:t>
      </w:r>
    </w:p>
    <w:p w14:paraId="44B5A2EE" w14:textId="77777777" w:rsidR="001F3F0B" w:rsidRPr="00F14E05" w:rsidRDefault="001F3F0B" w:rsidP="001F3F0B">
      <w:pPr>
        <w:spacing w:after="100"/>
        <w:ind w:left="284" w:hanging="284"/>
        <w:rPr>
          <w:rStyle w:val="None"/>
          <w:color w:val="222222"/>
          <w:sz w:val="20"/>
          <w:szCs w:val="20"/>
          <w:u w:color="222222"/>
          <w:shd w:val="clear" w:color="auto" w:fill="FFFFFF"/>
        </w:rPr>
      </w:pPr>
      <w:r w:rsidRPr="00F14E05">
        <w:rPr>
          <w:rStyle w:val="None"/>
          <w:color w:val="222222"/>
          <w:sz w:val="20"/>
          <w:szCs w:val="20"/>
          <w:u w:color="222222"/>
          <w:shd w:val="clear" w:color="auto" w:fill="FFFFFF"/>
        </w:rPr>
        <w:t>Bridgewater, P. (2011). SMART or CUTE–what makes a good target? </w:t>
      </w:r>
      <w:r w:rsidRPr="00F14E05">
        <w:rPr>
          <w:rStyle w:val="None"/>
          <w:i/>
          <w:iCs/>
          <w:color w:val="222222"/>
          <w:sz w:val="20"/>
          <w:szCs w:val="20"/>
          <w:u w:color="222222"/>
          <w:shd w:val="clear" w:color="auto" w:fill="FFFFFF"/>
        </w:rPr>
        <w:t xml:space="preserve">Botanical Journal of the </w:t>
      </w:r>
      <w:proofErr w:type="spellStart"/>
      <w:r w:rsidRPr="00F14E05">
        <w:rPr>
          <w:rStyle w:val="None"/>
          <w:i/>
          <w:iCs/>
          <w:color w:val="222222"/>
          <w:sz w:val="20"/>
          <w:szCs w:val="20"/>
          <w:u w:color="222222"/>
          <w:shd w:val="clear" w:color="auto" w:fill="FFFFFF"/>
        </w:rPr>
        <w:t>Linnean</w:t>
      </w:r>
      <w:proofErr w:type="spellEnd"/>
      <w:r w:rsidRPr="00F14E05">
        <w:rPr>
          <w:rStyle w:val="None"/>
          <w:i/>
          <w:iCs/>
          <w:color w:val="222222"/>
          <w:sz w:val="20"/>
          <w:szCs w:val="20"/>
          <w:u w:color="222222"/>
          <w:shd w:val="clear" w:color="auto" w:fill="FFFFFF"/>
        </w:rPr>
        <w:t xml:space="preserve"> Society</w:t>
      </w:r>
      <w:r w:rsidRPr="00F14E05">
        <w:rPr>
          <w:rStyle w:val="None"/>
          <w:color w:val="222222"/>
          <w:sz w:val="20"/>
          <w:szCs w:val="20"/>
          <w:u w:color="222222"/>
          <w:shd w:val="clear" w:color="auto" w:fill="FFFFFF"/>
        </w:rPr>
        <w:t>, </w:t>
      </w:r>
      <w:r w:rsidRPr="00F14E05">
        <w:rPr>
          <w:rStyle w:val="None"/>
          <w:i/>
          <w:iCs/>
          <w:color w:val="222222"/>
          <w:sz w:val="20"/>
          <w:szCs w:val="20"/>
          <w:u w:color="222222"/>
          <w:shd w:val="clear" w:color="auto" w:fill="FFFFFF"/>
        </w:rPr>
        <w:t xml:space="preserve">166 </w:t>
      </w:r>
      <w:r w:rsidRPr="00F14E05">
        <w:rPr>
          <w:rStyle w:val="None"/>
          <w:color w:val="222222"/>
          <w:sz w:val="20"/>
          <w:szCs w:val="20"/>
          <w:u w:color="222222"/>
          <w:shd w:val="clear" w:color="auto" w:fill="FFFFFF"/>
        </w:rPr>
        <w:t>(3), pp.240-249.</w:t>
      </w:r>
    </w:p>
    <w:p w14:paraId="0738644C" w14:textId="77777777" w:rsidR="001F3F0B" w:rsidRPr="00F14E05" w:rsidRDefault="001F3F0B" w:rsidP="001F3F0B">
      <w:pPr>
        <w:spacing w:after="100"/>
        <w:ind w:left="284" w:hanging="284"/>
        <w:rPr>
          <w:rStyle w:val="None"/>
          <w:rFonts w:eastAsia="Arial"/>
          <w:color w:val="000000" w:themeColor="text1"/>
          <w:sz w:val="20"/>
          <w:szCs w:val="20"/>
          <w:u w:color="222222"/>
          <w:shd w:val="clear" w:color="auto" w:fill="FFFFFF"/>
        </w:rPr>
      </w:pPr>
      <w:proofErr w:type="spellStart"/>
      <w:r w:rsidRPr="00F14E05">
        <w:rPr>
          <w:rStyle w:val="None"/>
          <w:color w:val="222222"/>
          <w:sz w:val="20"/>
          <w:szCs w:val="20"/>
          <w:u w:color="222222"/>
          <w:shd w:val="clear" w:color="auto" w:fill="FFFFFF"/>
        </w:rPr>
        <w:t>Butchart</w:t>
      </w:r>
      <w:proofErr w:type="spellEnd"/>
      <w:r w:rsidRPr="00F14E05">
        <w:rPr>
          <w:color w:val="000000" w:themeColor="text1"/>
          <w:sz w:val="20"/>
          <w:szCs w:val="20"/>
          <w:lang w:val="en"/>
        </w:rPr>
        <w:t xml:space="preserve">, S. H., Clarke, M. , Smith, R. J., Sykes, R. E., </w:t>
      </w:r>
      <w:proofErr w:type="spellStart"/>
      <w:r w:rsidRPr="00F14E05">
        <w:rPr>
          <w:color w:val="000000" w:themeColor="text1"/>
          <w:sz w:val="20"/>
          <w:szCs w:val="20"/>
          <w:lang w:val="en"/>
        </w:rPr>
        <w:t>Scharlemann</w:t>
      </w:r>
      <w:proofErr w:type="spellEnd"/>
      <w:r w:rsidRPr="00F14E05">
        <w:rPr>
          <w:color w:val="000000" w:themeColor="text1"/>
          <w:sz w:val="20"/>
          <w:szCs w:val="20"/>
          <w:lang w:val="en"/>
        </w:rPr>
        <w:t xml:space="preserve">, J. P., </w:t>
      </w:r>
      <w:proofErr w:type="spellStart"/>
      <w:r w:rsidRPr="00F14E05">
        <w:rPr>
          <w:color w:val="000000" w:themeColor="text1"/>
          <w:sz w:val="20"/>
          <w:szCs w:val="20"/>
          <w:lang w:val="en"/>
        </w:rPr>
        <w:t>Harfoot</w:t>
      </w:r>
      <w:proofErr w:type="spellEnd"/>
      <w:r w:rsidRPr="00F14E05">
        <w:rPr>
          <w:color w:val="000000" w:themeColor="text1"/>
          <w:sz w:val="20"/>
          <w:szCs w:val="20"/>
          <w:lang w:val="en"/>
        </w:rPr>
        <w:t xml:space="preserve">, M. , Buchanan, G. M., Angulo, A. , </w:t>
      </w:r>
      <w:proofErr w:type="spellStart"/>
      <w:r w:rsidRPr="00F14E05">
        <w:rPr>
          <w:color w:val="000000" w:themeColor="text1"/>
          <w:sz w:val="20"/>
          <w:szCs w:val="20"/>
          <w:lang w:val="en"/>
        </w:rPr>
        <w:t>Balmford</w:t>
      </w:r>
      <w:proofErr w:type="spellEnd"/>
      <w:r w:rsidRPr="00F14E05">
        <w:rPr>
          <w:color w:val="000000" w:themeColor="text1"/>
          <w:sz w:val="20"/>
          <w:szCs w:val="20"/>
          <w:lang w:val="en"/>
        </w:rPr>
        <w:t xml:space="preserve">, A. , </w:t>
      </w:r>
      <w:proofErr w:type="spellStart"/>
      <w:r w:rsidRPr="00F14E05">
        <w:rPr>
          <w:color w:val="000000" w:themeColor="text1"/>
          <w:sz w:val="20"/>
          <w:szCs w:val="20"/>
          <w:lang w:val="en"/>
        </w:rPr>
        <w:t>Bertzky</w:t>
      </w:r>
      <w:proofErr w:type="spellEnd"/>
      <w:r w:rsidRPr="00F14E05">
        <w:rPr>
          <w:color w:val="000000" w:themeColor="text1"/>
          <w:sz w:val="20"/>
          <w:szCs w:val="20"/>
          <w:lang w:val="en"/>
        </w:rPr>
        <w:t xml:space="preserve">, B. , Brooks, T. M., Carpenter, K. E., </w:t>
      </w:r>
      <w:proofErr w:type="spellStart"/>
      <w:r w:rsidRPr="00F14E05">
        <w:rPr>
          <w:color w:val="000000" w:themeColor="text1"/>
          <w:sz w:val="20"/>
          <w:szCs w:val="20"/>
          <w:lang w:val="en"/>
        </w:rPr>
        <w:t>Comeros</w:t>
      </w:r>
      <w:r w:rsidRPr="00F14E05">
        <w:rPr>
          <w:rFonts w:ascii="Cambria Math" w:hAnsi="Cambria Math" w:cs="Cambria Math"/>
          <w:color w:val="000000" w:themeColor="text1"/>
          <w:sz w:val="20"/>
          <w:szCs w:val="20"/>
          <w:lang w:val="en"/>
        </w:rPr>
        <w:t>‐</w:t>
      </w:r>
      <w:r w:rsidRPr="00F14E05">
        <w:rPr>
          <w:color w:val="000000" w:themeColor="text1"/>
          <w:sz w:val="20"/>
          <w:szCs w:val="20"/>
          <w:lang w:val="en"/>
        </w:rPr>
        <w:t>Raynal</w:t>
      </w:r>
      <w:proofErr w:type="spellEnd"/>
      <w:r w:rsidRPr="00F14E05">
        <w:rPr>
          <w:color w:val="000000" w:themeColor="text1"/>
          <w:sz w:val="20"/>
          <w:szCs w:val="20"/>
          <w:lang w:val="en"/>
        </w:rPr>
        <w:t xml:space="preserve">, M. T., Cornell, J. , </w:t>
      </w:r>
      <w:proofErr w:type="spellStart"/>
      <w:r w:rsidRPr="00F14E05">
        <w:rPr>
          <w:color w:val="000000" w:themeColor="text1"/>
          <w:sz w:val="20"/>
          <w:szCs w:val="20"/>
          <w:lang w:val="en"/>
        </w:rPr>
        <w:t>Ficetola</w:t>
      </w:r>
      <w:proofErr w:type="spellEnd"/>
      <w:r w:rsidRPr="00F14E05">
        <w:rPr>
          <w:color w:val="000000" w:themeColor="text1"/>
          <w:sz w:val="20"/>
          <w:szCs w:val="20"/>
          <w:lang w:val="en"/>
        </w:rPr>
        <w:t xml:space="preserve">, G. F., </w:t>
      </w:r>
      <w:proofErr w:type="spellStart"/>
      <w:r w:rsidRPr="00F14E05">
        <w:rPr>
          <w:color w:val="000000" w:themeColor="text1"/>
          <w:sz w:val="20"/>
          <w:szCs w:val="20"/>
          <w:lang w:val="en"/>
        </w:rPr>
        <w:t>Fishpool</w:t>
      </w:r>
      <w:proofErr w:type="spellEnd"/>
      <w:r w:rsidRPr="00F14E05">
        <w:rPr>
          <w:color w:val="000000" w:themeColor="text1"/>
          <w:sz w:val="20"/>
          <w:szCs w:val="20"/>
          <w:lang w:val="en"/>
        </w:rPr>
        <w:t xml:space="preserve">, L. D., Fuller, R. A., </w:t>
      </w:r>
      <w:proofErr w:type="spellStart"/>
      <w:r w:rsidRPr="00F14E05">
        <w:rPr>
          <w:color w:val="000000" w:themeColor="text1"/>
          <w:sz w:val="20"/>
          <w:szCs w:val="20"/>
          <w:lang w:val="en"/>
        </w:rPr>
        <w:t>Geldmann</w:t>
      </w:r>
      <w:proofErr w:type="spellEnd"/>
      <w:r w:rsidRPr="00F14E05">
        <w:rPr>
          <w:color w:val="000000" w:themeColor="text1"/>
          <w:sz w:val="20"/>
          <w:szCs w:val="20"/>
          <w:lang w:val="en"/>
        </w:rPr>
        <w:t>, J. , Harwell, H. , Hilton</w:t>
      </w:r>
      <w:r w:rsidRPr="00F14E05">
        <w:rPr>
          <w:rFonts w:ascii="Cambria Math" w:hAnsi="Cambria Math" w:cs="Cambria Math"/>
          <w:color w:val="000000" w:themeColor="text1"/>
          <w:sz w:val="20"/>
          <w:szCs w:val="20"/>
          <w:lang w:val="en"/>
        </w:rPr>
        <w:t>‐</w:t>
      </w:r>
      <w:r w:rsidRPr="00F14E05">
        <w:rPr>
          <w:color w:val="000000" w:themeColor="text1"/>
          <w:sz w:val="20"/>
          <w:szCs w:val="20"/>
          <w:lang w:val="en"/>
        </w:rPr>
        <w:t xml:space="preserve">Taylor, C. , Hoffmann, M. , </w:t>
      </w:r>
      <w:proofErr w:type="spellStart"/>
      <w:r w:rsidRPr="00F14E05">
        <w:rPr>
          <w:color w:val="000000" w:themeColor="text1"/>
          <w:sz w:val="20"/>
          <w:szCs w:val="20"/>
          <w:lang w:val="en"/>
        </w:rPr>
        <w:t>Joolia</w:t>
      </w:r>
      <w:proofErr w:type="spellEnd"/>
      <w:r w:rsidRPr="00F14E05">
        <w:rPr>
          <w:color w:val="000000" w:themeColor="text1"/>
          <w:sz w:val="20"/>
          <w:szCs w:val="20"/>
          <w:lang w:val="en"/>
        </w:rPr>
        <w:t xml:space="preserve">, A. , Joppa, L. , Kingston, N. , May, I. , Milam, A. , </w:t>
      </w:r>
      <w:proofErr w:type="spellStart"/>
      <w:r w:rsidRPr="00F14E05">
        <w:rPr>
          <w:color w:val="000000" w:themeColor="text1"/>
          <w:sz w:val="20"/>
          <w:szCs w:val="20"/>
          <w:lang w:val="en"/>
        </w:rPr>
        <w:t>Polidoro</w:t>
      </w:r>
      <w:proofErr w:type="spellEnd"/>
      <w:r w:rsidRPr="00F14E05">
        <w:rPr>
          <w:color w:val="000000" w:themeColor="text1"/>
          <w:sz w:val="20"/>
          <w:szCs w:val="20"/>
          <w:lang w:val="en"/>
        </w:rPr>
        <w:t xml:space="preserve">, B. , Ralph, G. , Richman, N. , </w:t>
      </w:r>
      <w:proofErr w:type="spellStart"/>
      <w:r w:rsidRPr="00F14E05">
        <w:rPr>
          <w:color w:val="000000" w:themeColor="text1"/>
          <w:sz w:val="20"/>
          <w:szCs w:val="20"/>
          <w:lang w:val="en"/>
        </w:rPr>
        <w:t>Rondinini</w:t>
      </w:r>
      <w:proofErr w:type="spellEnd"/>
      <w:r w:rsidRPr="00F14E05">
        <w:rPr>
          <w:color w:val="000000" w:themeColor="text1"/>
          <w:sz w:val="20"/>
          <w:szCs w:val="20"/>
          <w:lang w:val="en"/>
        </w:rPr>
        <w:t xml:space="preserve">, C. , </w:t>
      </w:r>
      <w:proofErr w:type="spellStart"/>
      <w:r w:rsidRPr="00F14E05">
        <w:rPr>
          <w:color w:val="000000" w:themeColor="text1"/>
          <w:sz w:val="20"/>
          <w:szCs w:val="20"/>
          <w:lang w:val="en"/>
        </w:rPr>
        <w:t>Segan</w:t>
      </w:r>
      <w:proofErr w:type="spellEnd"/>
      <w:r w:rsidRPr="00F14E05">
        <w:rPr>
          <w:color w:val="000000" w:themeColor="text1"/>
          <w:sz w:val="20"/>
          <w:szCs w:val="20"/>
          <w:lang w:val="en"/>
        </w:rPr>
        <w:t xml:space="preserve">, D. B., </w:t>
      </w:r>
      <w:proofErr w:type="spellStart"/>
      <w:r w:rsidRPr="00F14E05">
        <w:rPr>
          <w:color w:val="000000" w:themeColor="text1"/>
          <w:sz w:val="20"/>
          <w:szCs w:val="20"/>
          <w:lang w:val="en"/>
        </w:rPr>
        <w:t>Skolnik</w:t>
      </w:r>
      <w:proofErr w:type="spellEnd"/>
      <w:r w:rsidRPr="00F14E05">
        <w:rPr>
          <w:color w:val="000000" w:themeColor="text1"/>
          <w:sz w:val="20"/>
          <w:szCs w:val="20"/>
          <w:lang w:val="en"/>
        </w:rPr>
        <w:t xml:space="preserve">, B. , Spalding, M. D., Stuart, S. N., </w:t>
      </w:r>
      <w:proofErr w:type="spellStart"/>
      <w:r w:rsidRPr="00F14E05">
        <w:rPr>
          <w:color w:val="000000" w:themeColor="text1"/>
          <w:sz w:val="20"/>
          <w:szCs w:val="20"/>
          <w:lang w:val="en"/>
        </w:rPr>
        <w:t>Symes</w:t>
      </w:r>
      <w:proofErr w:type="spellEnd"/>
      <w:r w:rsidRPr="00F14E05">
        <w:rPr>
          <w:color w:val="000000" w:themeColor="text1"/>
          <w:sz w:val="20"/>
          <w:szCs w:val="20"/>
          <w:lang w:val="en"/>
        </w:rPr>
        <w:t xml:space="preserve">, A. , Taylor, J. , Visconti, P. , Watson, J. E., Wood, L. and Burgess, N. D. (2015), Shortfalls and Solutions for Meeting National and Global Conservation Area Targets. </w:t>
      </w:r>
      <w:r w:rsidRPr="00F14E05">
        <w:rPr>
          <w:i/>
          <w:color w:val="000000" w:themeColor="text1"/>
          <w:sz w:val="20"/>
          <w:szCs w:val="20"/>
          <w:lang w:val="en"/>
        </w:rPr>
        <w:t>Conservation Letters</w:t>
      </w:r>
      <w:r w:rsidRPr="00F14E05">
        <w:rPr>
          <w:color w:val="000000" w:themeColor="text1"/>
          <w:sz w:val="20"/>
          <w:szCs w:val="20"/>
          <w:lang w:val="en"/>
        </w:rPr>
        <w:t>, 8: 329-337. doi:</w:t>
      </w:r>
      <w:hyperlink r:id="rId11" w:history="1">
        <w:r w:rsidRPr="00F14E05">
          <w:rPr>
            <w:rStyle w:val="Hyperlink"/>
            <w:color w:val="000000" w:themeColor="text1"/>
            <w:sz w:val="20"/>
            <w:szCs w:val="20"/>
            <w:lang w:val="en"/>
          </w:rPr>
          <w:t>10.1111/conl.12158</w:t>
        </w:r>
      </w:hyperlink>
    </w:p>
    <w:p w14:paraId="196C774D" w14:textId="77777777" w:rsidR="001F3F0B" w:rsidRPr="00F14E05" w:rsidRDefault="001F3F0B" w:rsidP="001F3F0B">
      <w:pPr>
        <w:spacing w:after="100"/>
        <w:ind w:left="284" w:hanging="284"/>
        <w:rPr>
          <w:rStyle w:val="None"/>
          <w:rFonts w:eastAsia="Arial"/>
          <w:color w:val="222222"/>
          <w:sz w:val="20"/>
          <w:szCs w:val="20"/>
          <w:u w:color="222222"/>
          <w:shd w:val="clear" w:color="auto" w:fill="FFFFFF"/>
        </w:rPr>
      </w:pPr>
      <w:proofErr w:type="spellStart"/>
      <w:r w:rsidRPr="00F14E05">
        <w:rPr>
          <w:rStyle w:val="None"/>
          <w:color w:val="222222"/>
          <w:sz w:val="20"/>
          <w:szCs w:val="20"/>
          <w:u w:color="222222"/>
          <w:shd w:val="clear" w:color="auto" w:fill="FFFFFF"/>
        </w:rPr>
        <w:t>Butchart</w:t>
      </w:r>
      <w:proofErr w:type="spellEnd"/>
      <w:r w:rsidRPr="00F14E05">
        <w:rPr>
          <w:rStyle w:val="None"/>
          <w:color w:val="222222"/>
          <w:sz w:val="20"/>
          <w:szCs w:val="20"/>
          <w:u w:color="222222"/>
          <w:shd w:val="clear" w:color="auto" w:fill="FFFFFF"/>
        </w:rPr>
        <w:t>, S.H., Di Marco, M. and Watson, J.E. (2016). Formulating smart commitments on biodiversity: lessons from the Aichi Targets. </w:t>
      </w:r>
      <w:r w:rsidRPr="00F14E05">
        <w:rPr>
          <w:rStyle w:val="None"/>
          <w:i/>
          <w:iCs/>
          <w:color w:val="222222"/>
          <w:sz w:val="20"/>
          <w:szCs w:val="20"/>
          <w:u w:color="222222"/>
          <w:shd w:val="clear" w:color="auto" w:fill="FFFFFF"/>
        </w:rPr>
        <w:t>Conservation Letters</w:t>
      </w:r>
      <w:r w:rsidRPr="00F14E05">
        <w:rPr>
          <w:rStyle w:val="None"/>
          <w:color w:val="222222"/>
          <w:sz w:val="20"/>
          <w:szCs w:val="20"/>
          <w:u w:color="222222"/>
          <w:shd w:val="clear" w:color="auto" w:fill="FFFFFF"/>
        </w:rPr>
        <w:t>, </w:t>
      </w:r>
      <w:r w:rsidRPr="00F14E05">
        <w:rPr>
          <w:rStyle w:val="None"/>
          <w:i/>
          <w:iCs/>
          <w:color w:val="222222"/>
          <w:sz w:val="20"/>
          <w:szCs w:val="20"/>
          <w:u w:color="222222"/>
          <w:shd w:val="clear" w:color="auto" w:fill="FFFFFF"/>
        </w:rPr>
        <w:t>9</w:t>
      </w:r>
      <w:r w:rsidRPr="00F14E05">
        <w:rPr>
          <w:rStyle w:val="None"/>
          <w:color w:val="222222"/>
          <w:sz w:val="20"/>
          <w:szCs w:val="20"/>
          <w:u w:color="222222"/>
          <w:shd w:val="clear" w:color="auto" w:fill="FFFFFF"/>
        </w:rPr>
        <w:t>(6), pp.457-468.</w:t>
      </w:r>
    </w:p>
    <w:p w14:paraId="71298795" w14:textId="77777777" w:rsidR="001F3F0B" w:rsidRPr="00F14E05" w:rsidRDefault="001F3F0B" w:rsidP="001F3F0B">
      <w:pPr>
        <w:spacing w:after="100"/>
        <w:ind w:left="284" w:hanging="284"/>
        <w:rPr>
          <w:sz w:val="20"/>
          <w:szCs w:val="20"/>
          <w:shd w:val="clear" w:color="auto" w:fill="FFFFFF"/>
        </w:rPr>
      </w:pPr>
      <w:proofErr w:type="spellStart"/>
      <w:r w:rsidRPr="00F14E05">
        <w:rPr>
          <w:rStyle w:val="None"/>
          <w:color w:val="222222"/>
          <w:sz w:val="20"/>
          <w:szCs w:val="20"/>
          <w:u w:color="222222"/>
        </w:rPr>
        <w:t>Chazdon</w:t>
      </w:r>
      <w:proofErr w:type="spellEnd"/>
      <w:r w:rsidRPr="00F14E05">
        <w:rPr>
          <w:sz w:val="20"/>
          <w:szCs w:val="20"/>
          <w:shd w:val="clear" w:color="auto" w:fill="FFFFFF"/>
        </w:rPr>
        <w:t xml:space="preserve">, R.L., </w:t>
      </w:r>
      <w:proofErr w:type="spellStart"/>
      <w:r w:rsidRPr="00F14E05">
        <w:rPr>
          <w:sz w:val="20"/>
          <w:szCs w:val="20"/>
          <w:shd w:val="clear" w:color="auto" w:fill="FFFFFF"/>
        </w:rPr>
        <w:t>Brancalion</w:t>
      </w:r>
      <w:proofErr w:type="spellEnd"/>
      <w:r w:rsidRPr="00F14E05">
        <w:rPr>
          <w:sz w:val="20"/>
          <w:szCs w:val="20"/>
          <w:shd w:val="clear" w:color="auto" w:fill="FFFFFF"/>
        </w:rPr>
        <w:t xml:space="preserve">, P.H., Lamb, D., </w:t>
      </w:r>
      <w:proofErr w:type="spellStart"/>
      <w:r w:rsidRPr="00F14E05">
        <w:rPr>
          <w:sz w:val="20"/>
          <w:szCs w:val="20"/>
          <w:shd w:val="clear" w:color="auto" w:fill="FFFFFF"/>
        </w:rPr>
        <w:t>Laestadius</w:t>
      </w:r>
      <w:proofErr w:type="spellEnd"/>
      <w:r w:rsidRPr="00F14E05">
        <w:rPr>
          <w:sz w:val="20"/>
          <w:szCs w:val="20"/>
          <w:shd w:val="clear" w:color="auto" w:fill="FFFFFF"/>
        </w:rPr>
        <w:t xml:space="preserve">, L., </w:t>
      </w:r>
      <w:proofErr w:type="spellStart"/>
      <w:r w:rsidRPr="00F14E05">
        <w:rPr>
          <w:sz w:val="20"/>
          <w:szCs w:val="20"/>
          <w:shd w:val="clear" w:color="auto" w:fill="FFFFFF"/>
        </w:rPr>
        <w:t>Calmon</w:t>
      </w:r>
      <w:proofErr w:type="spellEnd"/>
      <w:r w:rsidRPr="00F14E05">
        <w:rPr>
          <w:sz w:val="20"/>
          <w:szCs w:val="20"/>
          <w:shd w:val="clear" w:color="auto" w:fill="FFFFFF"/>
        </w:rPr>
        <w:t>, M. and Kumar, C. (2017). A Policy</w:t>
      </w:r>
      <w:r w:rsidRPr="00F14E05">
        <w:rPr>
          <w:rFonts w:ascii="Cambria Math" w:hAnsi="Cambria Math" w:cs="Cambria Math"/>
          <w:sz w:val="20"/>
          <w:szCs w:val="20"/>
          <w:shd w:val="clear" w:color="auto" w:fill="FFFFFF"/>
        </w:rPr>
        <w:t>‐</w:t>
      </w:r>
      <w:r w:rsidRPr="00F14E05">
        <w:rPr>
          <w:sz w:val="20"/>
          <w:szCs w:val="20"/>
          <w:shd w:val="clear" w:color="auto" w:fill="FFFFFF"/>
        </w:rPr>
        <w:t>Driven Knowledge Agenda for Global Forest and Landscape Restoration. </w:t>
      </w:r>
      <w:r w:rsidRPr="00F14E05">
        <w:rPr>
          <w:i/>
          <w:iCs/>
          <w:sz w:val="20"/>
          <w:szCs w:val="20"/>
          <w:shd w:val="clear" w:color="auto" w:fill="FFFFFF"/>
        </w:rPr>
        <w:t>Conservation Letters</w:t>
      </w:r>
      <w:r w:rsidRPr="00F14E05">
        <w:rPr>
          <w:sz w:val="20"/>
          <w:szCs w:val="20"/>
          <w:shd w:val="clear" w:color="auto" w:fill="FFFFFF"/>
        </w:rPr>
        <w:t>, </w:t>
      </w:r>
      <w:r w:rsidRPr="00F14E05">
        <w:rPr>
          <w:i/>
          <w:iCs/>
          <w:sz w:val="20"/>
          <w:szCs w:val="20"/>
          <w:shd w:val="clear" w:color="auto" w:fill="FFFFFF"/>
        </w:rPr>
        <w:t>10</w:t>
      </w:r>
      <w:r w:rsidRPr="00F14E05">
        <w:rPr>
          <w:sz w:val="20"/>
          <w:szCs w:val="20"/>
          <w:shd w:val="clear" w:color="auto" w:fill="FFFFFF"/>
        </w:rPr>
        <w:t>(1), pp.125-132.</w:t>
      </w:r>
    </w:p>
    <w:p w14:paraId="61434B53" w14:textId="77777777" w:rsidR="001F3F0B" w:rsidRPr="00F14E05" w:rsidRDefault="001F3F0B" w:rsidP="001F3F0B">
      <w:pPr>
        <w:spacing w:after="100"/>
        <w:ind w:left="284" w:hanging="284"/>
        <w:rPr>
          <w:sz w:val="20"/>
          <w:szCs w:val="20"/>
          <w:shd w:val="clear" w:color="auto" w:fill="FFFFFF"/>
        </w:rPr>
      </w:pPr>
      <w:proofErr w:type="spellStart"/>
      <w:r w:rsidRPr="00F14E05">
        <w:rPr>
          <w:rStyle w:val="None"/>
          <w:color w:val="222222"/>
          <w:sz w:val="20"/>
          <w:szCs w:val="20"/>
          <w:u w:color="222222"/>
        </w:rPr>
        <w:t>Chauvenet</w:t>
      </w:r>
      <w:proofErr w:type="spellEnd"/>
      <w:r w:rsidRPr="00F14E05">
        <w:rPr>
          <w:sz w:val="20"/>
          <w:szCs w:val="20"/>
          <w:shd w:val="clear" w:color="auto" w:fill="FFFFFF"/>
        </w:rPr>
        <w:t xml:space="preserve">, A.L., </w:t>
      </w:r>
      <w:proofErr w:type="spellStart"/>
      <w:r w:rsidRPr="00F14E05">
        <w:rPr>
          <w:sz w:val="20"/>
          <w:szCs w:val="20"/>
          <w:shd w:val="clear" w:color="auto" w:fill="FFFFFF"/>
        </w:rPr>
        <w:t>Kuempel</w:t>
      </w:r>
      <w:proofErr w:type="spellEnd"/>
      <w:r w:rsidRPr="00F14E05">
        <w:rPr>
          <w:sz w:val="20"/>
          <w:szCs w:val="20"/>
          <w:shd w:val="clear" w:color="auto" w:fill="FFFFFF"/>
        </w:rPr>
        <w:t xml:space="preserve">, C.D., McGowan, J., </w:t>
      </w:r>
      <w:proofErr w:type="spellStart"/>
      <w:r w:rsidRPr="00F14E05">
        <w:rPr>
          <w:sz w:val="20"/>
          <w:szCs w:val="20"/>
          <w:shd w:val="clear" w:color="auto" w:fill="FFFFFF"/>
        </w:rPr>
        <w:t>Beger</w:t>
      </w:r>
      <w:proofErr w:type="spellEnd"/>
      <w:r w:rsidRPr="00F14E05">
        <w:rPr>
          <w:sz w:val="20"/>
          <w:szCs w:val="20"/>
          <w:shd w:val="clear" w:color="auto" w:fill="FFFFFF"/>
        </w:rPr>
        <w:t xml:space="preserve">, M. and </w:t>
      </w:r>
      <w:proofErr w:type="spellStart"/>
      <w:r w:rsidRPr="00F14E05">
        <w:rPr>
          <w:sz w:val="20"/>
          <w:szCs w:val="20"/>
          <w:shd w:val="clear" w:color="auto" w:fill="FFFFFF"/>
        </w:rPr>
        <w:t>Possingham</w:t>
      </w:r>
      <w:proofErr w:type="spellEnd"/>
      <w:r w:rsidRPr="00F14E05">
        <w:rPr>
          <w:sz w:val="20"/>
          <w:szCs w:val="20"/>
          <w:shd w:val="clear" w:color="auto" w:fill="FFFFFF"/>
        </w:rPr>
        <w:t>, H.P. (2017). Methods for calculating Protection Equality for conservation planning. </w:t>
      </w:r>
      <w:proofErr w:type="spellStart"/>
      <w:r w:rsidRPr="00F14E05">
        <w:rPr>
          <w:i/>
          <w:iCs/>
          <w:sz w:val="20"/>
          <w:szCs w:val="20"/>
          <w:shd w:val="clear" w:color="auto" w:fill="FFFFFF"/>
        </w:rPr>
        <w:t>PloS</w:t>
      </w:r>
      <w:proofErr w:type="spellEnd"/>
      <w:r w:rsidRPr="00F14E05">
        <w:rPr>
          <w:i/>
          <w:iCs/>
          <w:sz w:val="20"/>
          <w:szCs w:val="20"/>
          <w:shd w:val="clear" w:color="auto" w:fill="FFFFFF"/>
        </w:rPr>
        <w:t xml:space="preserve"> one</w:t>
      </w:r>
      <w:r w:rsidRPr="00F14E05">
        <w:rPr>
          <w:sz w:val="20"/>
          <w:szCs w:val="20"/>
          <w:shd w:val="clear" w:color="auto" w:fill="FFFFFF"/>
        </w:rPr>
        <w:t>, </w:t>
      </w:r>
      <w:r w:rsidRPr="00F14E05">
        <w:rPr>
          <w:i/>
          <w:iCs/>
          <w:sz w:val="20"/>
          <w:szCs w:val="20"/>
          <w:shd w:val="clear" w:color="auto" w:fill="FFFFFF"/>
        </w:rPr>
        <w:t>12</w:t>
      </w:r>
      <w:r w:rsidRPr="00F14E05">
        <w:rPr>
          <w:sz w:val="20"/>
          <w:szCs w:val="20"/>
          <w:shd w:val="clear" w:color="auto" w:fill="FFFFFF"/>
        </w:rPr>
        <w:t xml:space="preserve">(2), </w:t>
      </w:r>
      <w:proofErr w:type="gramStart"/>
      <w:r w:rsidRPr="00F14E05">
        <w:rPr>
          <w:sz w:val="20"/>
          <w:szCs w:val="20"/>
          <w:shd w:val="clear" w:color="auto" w:fill="FFFFFF"/>
        </w:rPr>
        <w:t>p.e</w:t>
      </w:r>
      <w:proofErr w:type="gramEnd"/>
      <w:r w:rsidRPr="00F14E05">
        <w:rPr>
          <w:sz w:val="20"/>
          <w:szCs w:val="20"/>
          <w:shd w:val="clear" w:color="auto" w:fill="FFFFFF"/>
        </w:rPr>
        <w:t>0171591.</w:t>
      </w:r>
    </w:p>
    <w:p w14:paraId="6DAD9414" w14:textId="77777777" w:rsidR="001F3F0B" w:rsidRPr="00F14E05" w:rsidRDefault="001F3F0B" w:rsidP="001F3F0B">
      <w:pPr>
        <w:spacing w:after="100"/>
        <w:ind w:left="284" w:hanging="284"/>
        <w:rPr>
          <w:rStyle w:val="None"/>
          <w:rFonts w:eastAsia="Arial"/>
          <w:color w:val="222222"/>
          <w:sz w:val="20"/>
          <w:szCs w:val="20"/>
          <w:u w:color="222222"/>
          <w:shd w:val="clear" w:color="auto" w:fill="FFFFFF"/>
        </w:rPr>
      </w:pPr>
      <w:r w:rsidRPr="00F14E05">
        <w:rPr>
          <w:rStyle w:val="None"/>
          <w:color w:val="222222"/>
          <w:sz w:val="20"/>
          <w:szCs w:val="20"/>
          <w:u w:color="222222"/>
        </w:rPr>
        <w:t>Collen</w:t>
      </w:r>
      <w:r w:rsidRPr="00F14E05">
        <w:rPr>
          <w:rStyle w:val="None"/>
          <w:color w:val="222222"/>
          <w:sz w:val="20"/>
          <w:szCs w:val="20"/>
          <w:u w:color="222222"/>
          <w:shd w:val="clear" w:color="auto" w:fill="FFFFFF"/>
          <w:lang w:val="it-IT"/>
        </w:rPr>
        <w:t>, B., Pettorelli, N., Baillie, J.E. and Durant, S.M. eds.</w:t>
      </w:r>
      <w:r w:rsidRPr="00F14E05">
        <w:rPr>
          <w:rStyle w:val="None"/>
          <w:color w:val="222222"/>
          <w:sz w:val="20"/>
          <w:szCs w:val="20"/>
          <w:u w:color="222222"/>
          <w:shd w:val="clear" w:color="auto" w:fill="FFFFFF"/>
        </w:rPr>
        <w:t xml:space="preserve"> (</w:t>
      </w:r>
      <w:r w:rsidRPr="00F14E05">
        <w:rPr>
          <w:rStyle w:val="None"/>
          <w:color w:val="222222"/>
          <w:sz w:val="20"/>
          <w:szCs w:val="20"/>
          <w:u w:color="222222"/>
          <w:shd w:val="clear" w:color="auto" w:fill="FFFFFF"/>
          <w:lang w:val="it-IT"/>
        </w:rPr>
        <w:t>2013).</w:t>
      </w:r>
      <w:r w:rsidRPr="00F14E05">
        <w:rPr>
          <w:rStyle w:val="None"/>
          <w:color w:val="222222"/>
          <w:sz w:val="20"/>
          <w:szCs w:val="20"/>
          <w:u w:color="222222"/>
          <w:shd w:val="clear" w:color="auto" w:fill="FFFFFF"/>
        </w:rPr>
        <w:t> </w:t>
      </w:r>
      <w:r w:rsidRPr="00F14E05">
        <w:rPr>
          <w:rStyle w:val="None"/>
          <w:i/>
          <w:iCs/>
          <w:color w:val="222222"/>
          <w:sz w:val="20"/>
          <w:szCs w:val="20"/>
          <w:u w:color="222222"/>
          <w:shd w:val="clear" w:color="auto" w:fill="FFFFFF"/>
        </w:rPr>
        <w:t>Biodiversity monitoring and conservation: bridging the gap between global commitment and local action</w:t>
      </w:r>
      <w:r w:rsidRPr="00F14E05">
        <w:rPr>
          <w:rStyle w:val="None"/>
          <w:color w:val="222222"/>
          <w:sz w:val="20"/>
          <w:szCs w:val="20"/>
          <w:u w:color="222222"/>
          <w:shd w:val="clear" w:color="auto" w:fill="FFFFFF"/>
          <w:lang w:val="it-IT"/>
        </w:rPr>
        <w:t>. John Wiley &amp; Sons.</w:t>
      </w:r>
    </w:p>
    <w:p w14:paraId="3716B6CE" w14:textId="77777777" w:rsidR="001F3F0B" w:rsidRPr="00F14E05" w:rsidRDefault="001F3F0B" w:rsidP="001F3F0B">
      <w:pPr>
        <w:spacing w:after="100"/>
        <w:ind w:left="284" w:hanging="284"/>
        <w:rPr>
          <w:rStyle w:val="None"/>
          <w:rFonts w:eastAsia="Arial"/>
          <w:color w:val="222222"/>
          <w:sz w:val="20"/>
          <w:szCs w:val="20"/>
          <w:u w:color="222222"/>
          <w:shd w:val="clear" w:color="auto" w:fill="FFFFFF"/>
        </w:rPr>
      </w:pPr>
      <w:r w:rsidRPr="00F14E05">
        <w:rPr>
          <w:rStyle w:val="None"/>
          <w:color w:val="222222"/>
          <w:sz w:val="20"/>
          <w:szCs w:val="20"/>
          <w:u w:color="222222"/>
          <w:shd w:val="clear" w:color="auto" w:fill="FFFFFF"/>
        </w:rPr>
        <w:t xml:space="preserve">Di </w:t>
      </w:r>
      <w:r w:rsidRPr="00F14E05">
        <w:rPr>
          <w:rStyle w:val="None"/>
          <w:color w:val="222222"/>
          <w:sz w:val="20"/>
          <w:szCs w:val="20"/>
          <w:u w:color="222222"/>
        </w:rPr>
        <w:t>Marco</w:t>
      </w:r>
      <w:r w:rsidRPr="00F14E05">
        <w:rPr>
          <w:rStyle w:val="None"/>
          <w:color w:val="222222"/>
          <w:sz w:val="20"/>
          <w:szCs w:val="20"/>
          <w:u w:color="222222"/>
          <w:shd w:val="clear" w:color="auto" w:fill="FFFFFF"/>
        </w:rPr>
        <w:t xml:space="preserve">, M., Watson, J.E., Venter, O. and </w:t>
      </w:r>
      <w:proofErr w:type="spellStart"/>
      <w:r w:rsidRPr="00F14E05">
        <w:rPr>
          <w:rStyle w:val="None"/>
          <w:color w:val="222222"/>
          <w:sz w:val="20"/>
          <w:szCs w:val="20"/>
          <w:u w:color="222222"/>
          <w:shd w:val="clear" w:color="auto" w:fill="FFFFFF"/>
        </w:rPr>
        <w:t>Possingham</w:t>
      </w:r>
      <w:proofErr w:type="spellEnd"/>
      <w:r w:rsidRPr="00F14E05">
        <w:rPr>
          <w:rStyle w:val="None"/>
          <w:color w:val="222222"/>
          <w:sz w:val="20"/>
          <w:szCs w:val="20"/>
          <w:u w:color="222222"/>
          <w:shd w:val="clear" w:color="auto" w:fill="FFFFFF"/>
        </w:rPr>
        <w:t>, H.P. (2016). Global biodiversity targets require both sufficiency and efficiency. </w:t>
      </w:r>
      <w:r w:rsidRPr="00F14E05">
        <w:rPr>
          <w:rStyle w:val="None"/>
          <w:i/>
          <w:iCs/>
          <w:color w:val="222222"/>
          <w:sz w:val="20"/>
          <w:szCs w:val="20"/>
          <w:u w:color="222222"/>
          <w:shd w:val="clear" w:color="auto" w:fill="FFFFFF"/>
        </w:rPr>
        <w:t>Conservation Letters</w:t>
      </w:r>
      <w:r w:rsidRPr="00F14E05">
        <w:rPr>
          <w:rStyle w:val="None"/>
          <w:color w:val="222222"/>
          <w:sz w:val="20"/>
          <w:szCs w:val="20"/>
          <w:u w:color="222222"/>
          <w:shd w:val="clear" w:color="auto" w:fill="FFFFFF"/>
        </w:rPr>
        <w:t>, </w:t>
      </w:r>
      <w:r w:rsidRPr="00F14E05">
        <w:rPr>
          <w:rStyle w:val="None"/>
          <w:i/>
          <w:iCs/>
          <w:color w:val="222222"/>
          <w:sz w:val="20"/>
          <w:szCs w:val="20"/>
          <w:u w:color="222222"/>
          <w:shd w:val="clear" w:color="auto" w:fill="FFFFFF"/>
        </w:rPr>
        <w:t>9</w:t>
      </w:r>
      <w:r w:rsidRPr="00F14E05">
        <w:rPr>
          <w:rStyle w:val="None"/>
          <w:color w:val="222222"/>
          <w:sz w:val="20"/>
          <w:szCs w:val="20"/>
          <w:u w:color="222222"/>
          <w:shd w:val="clear" w:color="auto" w:fill="FFFFFF"/>
        </w:rPr>
        <w:t>(6), pp.395-397.</w:t>
      </w:r>
    </w:p>
    <w:p w14:paraId="7D6FDA45" w14:textId="77777777" w:rsidR="001F3F0B" w:rsidRPr="00F14E05" w:rsidRDefault="001F3F0B" w:rsidP="001F3F0B">
      <w:pPr>
        <w:spacing w:after="100"/>
        <w:ind w:left="284" w:hanging="284"/>
        <w:rPr>
          <w:sz w:val="20"/>
          <w:szCs w:val="20"/>
          <w:shd w:val="clear" w:color="auto" w:fill="FFFFFF"/>
        </w:rPr>
      </w:pPr>
      <w:r w:rsidRPr="00F14E05">
        <w:rPr>
          <w:sz w:val="20"/>
          <w:szCs w:val="20"/>
          <w:shd w:val="clear" w:color="auto" w:fill="FFFFFF"/>
        </w:rPr>
        <w:t xml:space="preserve">Di </w:t>
      </w:r>
      <w:proofErr w:type="spellStart"/>
      <w:r w:rsidRPr="00F14E05">
        <w:rPr>
          <w:sz w:val="20"/>
          <w:szCs w:val="20"/>
          <w:shd w:val="clear" w:color="auto" w:fill="FFFFFF"/>
        </w:rPr>
        <w:t>Minin</w:t>
      </w:r>
      <w:proofErr w:type="spellEnd"/>
      <w:r w:rsidRPr="00F14E05">
        <w:rPr>
          <w:sz w:val="20"/>
          <w:szCs w:val="20"/>
          <w:shd w:val="clear" w:color="auto" w:fill="FFFFFF"/>
        </w:rPr>
        <w:t xml:space="preserve">, E., </w:t>
      </w:r>
      <w:proofErr w:type="spellStart"/>
      <w:r w:rsidRPr="00F14E05">
        <w:rPr>
          <w:sz w:val="20"/>
          <w:szCs w:val="20"/>
          <w:shd w:val="clear" w:color="auto" w:fill="FFFFFF"/>
        </w:rPr>
        <w:t>Slotow</w:t>
      </w:r>
      <w:proofErr w:type="spellEnd"/>
      <w:r w:rsidRPr="00F14E05">
        <w:rPr>
          <w:sz w:val="20"/>
          <w:szCs w:val="20"/>
          <w:shd w:val="clear" w:color="auto" w:fill="FFFFFF"/>
        </w:rPr>
        <w:t xml:space="preserve">, R., Hunter, L.T., </w:t>
      </w:r>
      <w:proofErr w:type="spellStart"/>
      <w:r w:rsidRPr="00F14E05">
        <w:rPr>
          <w:sz w:val="20"/>
          <w:szCs w:val="20"/>
          <w:shd w:val="clear" w:color="auto" w:fill="FFFFFF"/>
        </w:rPr>
        <w:t>Pouzols</w:t>
      </w:r>
      <w:proofErr w:type="spellEnd"/>
      <w:r w:rsidRPr="00F14E05">
        <w:rPr>
          <w:sz w:val="20"/>
          <w:szCs w:val="20"/>
          <w:shd w:val="clear" w:color="auto" w:fill="FFFFFF"/>
        </w:rPr>
        <w:t xml:space="preserve">, F.M., </w:t>
      </w:r>
      <w:proofErr w:type="spellStart"/>
      <w:r w:rsidRPr="00F14E05">
        <w:rPr>
          <w:sz w:val="20"/>
          <w:szCs w:val="20"/>
          <w:shd w:val="clear" w:color="auto" w:fill="FFFFFF"/>
        </w:rPr>
        <w:t>Toivonen</w:t>
      </w:r>
      <w:proofErr w:type="spellEnd"/>
      <w:r w:rsidRPr="00F14E05">
        <w:rPr>
          <w:sz w:val="20"/>
          <w:szCs w:val="20"/>
          <w:shd w:val="clear" w:color="auto" w:fill="FFFFFF"/>
        </w:rPr>
        <w:t xml:space="preserve">, T., </w:t>
      </w:r>
      <w:proofErr w:type="spellStart"/>
      <w:r w:rsidRPr="00F14E05">
        <w:rPr>
          <w:sz w:val="20"/>
          <w:szCs w:val="20"/>
          <w:shd w:val="clear" w:color="auto" w:fill="FFFFFF"/>
        </w:rPr>
        <w:t>Verburg</w:t>
      </w:r>
      <w:proofErr w:type="spellEnd"/>
      <w:r w:rsidRPr="00F14E05">
        <w:rPr>
          <w:sz w:val="20"/>
          <w:szCs w:val="20"/>
          <w:shd w:val="clear" w:color="auto" w:fill="FFFFFF"/>
        </w:rPr>
        <w:t xml:space="preserve">, P.H., Leader-Williams, N., </w:t>
      </w:r>
      <w:proofErr w:type="spellStart"/>
      <w:r w:rsidRPr="00F14E05">
        <w:rPr>
          <w:sz w:val="20"/>
          <w:szCs w:val="20"/>
          <w:shd w:val="clear" w:color="auto" w:fill="FFFFFF"/>
        </w:rPr>
        <w:t>Petracca</w:t>
      </w:r>
      <w:proofErr w:type="spellEnd"/>
      <w:r w:rsidRPr="00F14E05">
        <w:rPr>
          <w:sz w:val="20"/>
          <w:szCs w:val="20"/>
          <w:shd w:val="clear" w:color="auto" w:fill="FFFFFF"/>
        </w:rPr>
        <w:t xml:space="preserve">, L. and </w:t>
      </w:r>
      <w:proofErr w:type="spellStart"/>
      <w:r w:rsidRPr="00F14E05">
        <w:rPr>
          <w:sz w:val="20"/>
          <w:szCs w:val="20"/>
          <w:shd w:val="clear" w:color="auto" w:fill="FFFFFF"/>
        </w:rPr>
        <w:t>Moilanen</w:t>
      </w:r>
      <w:proofErr w:type="spellEnd"/>
      <w:r w:rsidRPr="00F14E05">
        <w:rPr>
          <w:sz w:val="20"/>
          <w:szCs w:val="20"/>
          <w:shd w:val="clear" w:color="auto" w:fill="FFFFFF"/>
        </w:rPr>
        <w:t>, A. (2016). Global priorities for national carnivore conservation under land use change. </w:t>
      </w:r>
      <w:r w:rsidRPr="00F14E05">
        <w:rPr>
          <w:i/>
          <w:iCs/>
          <w:sz w:val="20"/>
          <w:szCs w:val="20"/>
          <w:shd w:val="clear" w:color="auto" w:fill="FFFFFF"/>
        </w:rPr>
        <w:t>Scientific Reports</w:t>
      </w:r>
      <w:r w:rsidRPr="00F14E05">
        <w:rPr>
          <w:sz w:val="20"/>
          <w:szCs w:val="20"/>
          <w:shd w:val="clear" w:color="auto" w:fill="FFFFFF"/>
        </w:rPr>
        <w:t>, </w:t>
      </w:r>
      <w:r w:rsidRPr="00F14E05">
        <w:rPr>
          <w:i/>
          <w:iCs/>
          <w:sz w:val="20"/>
          <w:szCs w:val="20"/>
          <w:shd w:val="clear" w:color="auto" w:fill="FFFFFF"/>
        </w:rPr>
        <w:t>6</w:t>
      </w:r>
      <w:r w:rsidRPr="00F14E05">
        <w:rPr>
          <w:sz w:val="20"/>
          <w:szCs w:val="20"/>
          <w:shd w:val="clear" w:color="auto" w:fill="FFFFFF"/>
        </w:rPr>
        <w:t>, p.23814.</w:t>
      </w:r>
    </w:p>
    <w:p w14:paraId="47157650" w14:textId="77777777" w:rsidR="001F3F0B" w:rsidRPr="00F14E05" w:rsidRDefault="001F3F0B" w:rsidP="001F3F0B">
      <w:pPr>
        <w:spacing w:after="100"/>
        <w:ind w:left="284" w:hanging="284"/>
        <w:rPr>
          <w:rStyle w:val="None"/>
          <w:color w:val="222222"/>
          <w:sz w:val="20"/>
          <w:szCs w:val="20"/>
          <w:u w:color="222222"/>
          <w:shd w:val="clear" w:color="auto" w:fill="FFFFFF"/>
        </w:rPr>
      </w:pPr>
      <w:proofErr w:type="spellStart"/>
      <w:r w:rsidRPr="00F14E05">
        <w:rPr>
          <w:sz w:val="20"/>
          <w:szCs w:val="20"/>
        </w:rPr>
        <w:t>Dinerstein</w:t>
      </w:r>
      <w:proofErr w:type="spellEnd"/>
      <w:r w:rsidRPr="00F14E05">
        <w:rPr>
          <w:rStyle w:val="None"/>
          <w:color w:val="222222"/>
          <w:sz w:val="20"/>
          <w:szCs w:val="20"/>
          <w:u w:color="222222"/>
          <w:shd w:val="clear" w:color="auto" w:fill="FFFFFF"/>
        </w:rPr>
        <w:t xml:space="preserve">, E., Olson, D., Joshi, A., </w:t>
      </w:r>
      <w:proofErr w:type="spellStart"/>
      <w:r w:rsidRPr="00F14E05">
        <w:rPr>
          <w:rStyle w:val="None"/>
          <w:color w:val="222222"/>
          <w:sz w:val="20"/>
          <w:szCs w:val="20"/>
          <w:u w:color="222222"/>
          <w:shd w:val="clear" w:color="auto" w:fill="FFFFFF"/>
        </w:rPr>
        <w:t>Vynne</w:t>
      </w:r>
      <w:proofErr w:type="spellEnd"/>
      <w:r w:rsidRPr="00F14E05">
        <w:rPr>
          <w:rStyle w:val="None"/>
          <w:color w:val="222222"/>
          <w:sz w:val="20"/>
          <w:szCs w:val="20"/>
          <w:u w:color="222222"/>
          <w:shd w:val="clear" w:color="auto" w:fill="FFFFFF"/>
        </w:rPr>
        <w:t xml:space="preserve">, C., Burgess, N.D., </w:t>
      </w:r>
      <w:proofErr w:type="spellStart"/>
      <w:r w:rsidRPr="00F14E05">
        <w:rPr>
          <w:rStyle w:val="None"/>
          <w:color w:val="222222"/>
          <w:sz w:val="20"/>
          <w:szCs w:val="20"/>
          <w:u w:color="222222"/>
          <w:shd w:val="clear" w:color="auto" w:fill="FFFFFF"/>
        </w:rPr>
        <w:t>Wikramanayake</w:t>
      </w:r>
      <w:proofErr w:type="spellEnd"/>
      <w:r w:rsidRPr="00F14E05">
        <w:rPr>
          <w:rStyle w:val="None"/>
          <w:color w:val="222222"/>
          <w:sz w:val="20"/>
          <w:szCs w:val="20"/>
          <w:u w:color="222222"/>
          <w:shd w:val="clear" w:color="auto" w:fill="FFFFFF"/>
        </w:rPr>
        <w:t xml:space="preserve">, E., Hahn, N., </w:t>
      </w:r>
      <w:proofErr w:type="spellStart"/>
      <w:r w:rsidRPr="00F14E05">
        <w:rPr>
          <w:rStyle w:val="None"/>
          <w:color w:val="222222"/>
          <w:sz w:val="20"/>
          <w:szCs w:val="20"/>
          <w:u w:color="222222"/>
          <w:shd w:val="clear" w:color="auto" w:fill="FFFFFF"/>
        </w:rPr>
        <w:t>Palminteri</w:t>
      </w:r>
      <w:proofErr w:type="spellEnd"/>
      <w:r w:rsidRPr="00F14E05">
        <w:rPr>
          <w:rStyle w:val="None"/>
          <w:color w:val="222222"/>
          <w:sz w:val="20"/>
          <w:szCs w:val="20"/>
          <w:u w:color="222222"/>
          <w:shd w:val="clear" w:color="auto" w:fill="FFFFFF"/>
        </w:rPr>
        <w:t xml:space="preserve">, S., </w:t>
      </w:r>
      <w:proofErr w:type="spellStart"/>
      <w:r w:rsidRPr="00F14E05">
        <w:rPr>
          <w:rStyle w:val="None"/>
          <w:color w:val="222222"/>
          <w:sz w:val="20"/>
          <w:szCs w:val="20"/>
          <w:u w:color="222222"/>
          <w:shd w:val="clear" w:color="auto" w:fill="FFFFFF"/>
        </w:rPr>
        <w:t>Hedao</w:t>
      </w:r>
      <w:proofErr w:type="spellEnd"/>
      <w:r w:rsidRPr="00F14E05">
        <w:rPr>
          <w:rStyle w:val="None"/>
          <w:color w:val="222222"/>
          <w:sz w:val="20"/>
          <w:szCs w:val="20"/>
          <w:u w:color="222222"/>
          <w:shd w:val="clear" w:color="auto" w:fill="FFFFFF"/>
        </w:rPr>
        <w:t xml:space="preserve">, P., </w:t>
      </w:r>
      <w:proofErr w:type="spellStart"/>
      <w:r w:rsidRPr="00F14E05">
        <w:rPr>
          <w:rStyle w:val="None"/>
          <w:color w:val="222222"/>
          <w:sz w:val="20"/>
          <w:szCs w:val="20"/>
          <w:u w:color="222222"/>
          <w:shd w:val="clear" w:color="auto" w:fill="FFFFFF"/>
        </w:rPr>
        <w:t>Noss</w:t>
      </w:r>
      <w:proofErr w:type="spellEnd"/>
      <w:r w:rsidRPr="00F14E05">
        <w:rPr>
          <w:rStyle w:val="None"/>
          <w:color w:val="222222"/>
          <w:sz w:val="20"/>
          <w:szCs w:val="20"/>
          <w:u w:color="222222"/>
          <w:shd w:val="clear" w:color="auto" w:fill="FFFFFF"/>
        </w:rPr>
        <w:t>, R. and Hansen, M. (2017). An ecoregion-based approach to protecting half the terrestrial realm. </w:t>
      </w:r>
      <w:proofErr w:type="spellStart"/>
      <w:r w:rsidRPr="00F14E05">
        <w:rPr>
          <w:rStyle w:val="None"/>
          <w:i/>
          <w:iCs/>
          <w:color w:val="222222"/>
          <w:sz w:val="20"/>
          <w:szCs w:val="20"/>
          <w:u w:color="222222"/>
          <w:shd w:val="clear" w:color="auto" w:fill="FFFFFF"/>
        </w:rPr>
        <w:t>BioScience</w:t>
      </w:r>
      <w:proofErr w:type="spellEnd"/>
      <w:r w:rsidRPr="00F14E05">
        <w:rPr>
          <w:rStyle w:val="None"/>
          <w:color w:val="222222"/>
          <w:sz w:val="20"/>
          <w:szCs w:val="20"/>
          <w:u w:color="222222"/>
          <w:shd w:val="clear" w:color="auto" w:fill="FFFFFF"/>
        </w:rPr>
        <w:t>, </w:t>
      </w:r>
      <w:r w:rsidRPr="00F14E05">
        <w:rPr>
          <w:rStyle w:val="None"/>
          <w:i/>
          <w:iCs/>
          <w:color w:val="222222"/>
          <w:sz w:val="20"/>
          <w:szCs w:val="20"/>
          <w:u w:color="222222"/>
          <w:shd w:val="clear" w:color="auto" w:fill="FFFFFF"/>
        </w:rPr>
        <w:t>67</w:t>
      </w:r>
      <w:r w:rsidRPr="00F14E05">
        <w:rPr>
          <w:rStyle w:val="None"/>
          <w:color w:val="222222"/>
          <w:sz w:val="20"/>
          <w:szCs w:val="20"/>
          <w:u w:color="222222"/>
          <w:shd w:val="clear" w:color="auto" w:fill="FFFFFF"/>
        </w:rPr>
        <w:t>(6), pp.534-545.</w:t>
      </w:r>
    </w:p>
    <w:p w14:paraId="1D68AE9C" w14:textId="77777777" w:rsidR="001F3F0B" w:rsidRPr="00F14E05" w:rsidRDefault="001F3F0B" w:rsidP="001F3F0B">
      <w:pPr>
        <w:spacing w:after="100"/>
        <w:ind w:left="284" w:hanging="284"/>
        <w:rPr>
          <w:rStyle w:val="None"/>
          <w:rFonts w:eastAsia="Arial"/>
          <w:color w:val="222222"/>
          <w:sz w:val="20"/>
          <w:szCs w:val="20"/>
          <w:u w:color="222222"/>
          <w:shd w:val="clear" w:color="auto" w:fill="FFFFFF"/>
        </w:rPr>
      </w:pPr>
      <w:r w:rsidRPr="00F14E05">
        <w:rPr>
          <w:rStyle w:val="None"/>
          <w:color w:val="222222"/>
          <w:sz w:val="20"/>
          <w:szCs w:val="20"/>
          <w:u w:color="222222"/>
          <w:shd w:val="clear" w:color="auto" w:fill="FFFFFF"/>
        </w:rPr>
        <w:t>Doran, G.T. (1981). There’s a SMART way to write management’s goals and objectives. </w:t>
      </w:r>
      <w:r w:rsidRPr="00F14E05">
        <w:rPr>
          <w:rStyle w:val="None"/>
          <w:i/>
          <w:iCs/>
          <w:color w:val="222222"/>
          <w:sz w:val="20"/>
          <w:szCs w:val="20"/>
          <w:u w:color="222222"/>
          <w:shd w:val="clear" w:color="auto" w:fill="FFFFFF"/>
        </w:rPr>
        <w:t>Management review</w:t>
      </w:r>
      <w:r w:rsidRPr="00F14E05">
        <w:rPr>
          <w:rStyle w:val="None"/>
          <w:color w:val="222222"/>
          <w:sz w:val="20"/>
          <w:szCs w:val="20"/>
          <w:u w:color="222222"/>
          <w:shd w:val="clear" w:color="auto" w:fill="FFFFFF"/>
        </w:rPr>
        <w:t>, </w:t>
      </w:r>
      <w:r w:rsidRPr="00F14E05">
        <w:rPr>
          <w:rStyle w:val="None"/>
          <w:i/>
          <w:iCs/>
          <w:color w:val="222222"/>
          <w:sz w:val="20"/>
          <w:szCs w:val="20"/>
          <w:u w:color="222222"/>
          <w:shd w:val="clear" w:color="auto" w:fill="FFFFFF"/>
        </w:rPr>
        <w:t>70</w:t>
      </w:r>
      <w:r w:rsidRPr="00F14E05">
        <w:rPr>
          <w:rStyle w:val="None"/>
          <w:color w:val="222222"/>
          <w:sz w:val="20"/>
          <w:szCs w:val="20"/>
          <w:u w:color="222222"/>
          <w:shd w:val="clear" w:color="auto" w:fill="FFFFFF"/>
        </w:rPr>
        <w:t>(11), pp.35-36.</w:t>
      </w:r>
    </w:p>
    <w:p w14:paraId="53FF5E74" w14:textId="77777777" w:rsidR="001F3F0B" w:rsidRPr="00F14E05" w:rsidRDefault="001F3F0B" w:rsidP="001F3F0B">
      <w:pPr>
        <w:spacing w:after="100"/>
        <w:ind w:left="284" w:hanging="284"/>
        <w:rPr>
          <w:sz w:val="20"/>
          <w:szCs w:val="20"/>
          <w:shd w:val="clear" w:color="auto" w:fill="FFFFFF"/>
        </w:rPr>
      </w:pPr>
      <w:r w:rsidRPr="00F14E05">
        <w:rPr>
          <w:rStyle w:val="None"/>
          <w:color w:val="222222"/>
          <w:sz w:val="20"/>
          <w:szCs w:val="20"/>
          <w:u w:color="222222"/>
        </w:rPr>
        <w:t>Edwards</w:t>
      </w:r>
      <w:r w:rsidRPr="00F14E05">
        <w:rPr>
          <w:sz w:val="20"/>
          <w:szCs w:val="20"/>
          <w:shd w:val="clear" w:color="auto" w:fill="FFFFFF"/>
        </w:rPr>
        <w:t>, C.E. (2017). Strengthening the Link between International Conservation Policy and Plant Conservation Genetics to Achieve More Effective Plant Conservation. </w:t>
      </w:r>
      <w:r w:rsidRPr="00F14E05">
        <w:rPr>
          <w:i/>
          <w:iCs/>
          <w:sz w:val="20"/>
          <w:szCs w:val="20"/>
          <w:shd w:val="clear" w:color="auto" w:fill="FFFFFF"/>
        </w:rPr>
        <w:t>Annals of the Missouri Botanical Garden</w:t>
      </w:r>
      <w:r w:rsidRPr="00F14E05">
        <w:rPr>
          <w:sz w:val="20"/>
          <w:szCs w:val="20"/>
          <w:shd w:val="clear" w:color="auto" w:fill="FFFFFF"/>
        </w:rPr>
        <w:t>, </w:t>
      </w:r>
      <w:r w:rsidRPr="00F14E05">
        <w:rPr>
          <w:i/>
          <w:iCs/>
          <w:sz w:val="20"/>
          <w:szCs w:val="20"/>
          <w:shd w:val="clear" w:color="auto" w:fill="FFFFFF"/>
        </w:rPr>
        <w:t>102</w:t>
      </w:r>
      <w:r w:rsidRPr="00F14E05">
        <w:rPr>
          <w:sz w:val="20"/>
          <w:szCs w:val="20"/>
          <w:shd w:val="clear" w:color="auto" w:fill="FFFFFF"/>
        </w:rPr>
        <w:t>(2), pp.397-407.</w:t>
      </w:r>
    </w:p>
    <w:p w14:paraId="06D7626F" w14:textId="77777777" w:rsidR="001F3F0B" w:rsidRPr="00F14E05" w:rsidRDefault="001F3F0B" w:rsidP="001F3F0B">
      <w:pPr>
        <w:spacing w:after="100"/>
        <w:ind w:left="284" w:hanging="284"/>
        <w:rPr>
          <w:sz w:val="20"/>
          <w:szCs w:val="20"/>
          <w:shd w:val="clear" w:color="auto" w:fill="FFFFFF"/>
        </w:rPr>
      </w:pPr>
      <w:proofErr w:type="spellStart"/>
      <w:r w:rsidRPr="00F14E05">
        <w:rPr>
          <w:rStyle w:val="None"/>
          <w:color w:val="222222"/>
          <w:sz w:val="20"/>
          <w:szCs w:val="20"/>
          <w:u w:color="222222"/>
        </w:rPr>
        <w:t>Gomar</w:t>
      </w:r>
      <w:proofErr w:type="spellEnd"/>
      <w:r w:rsidRPr="00F14E05">
        <w:rPr>
          <w:sz w:val="20"/>
          <w:szCs w:val="20"/>
          <w:shd w:val="clear" w:color="auto" w:fill="FFFFFF"/>
        </w:rPr>
        <w:t>, J.O.V. (2014). International targets and environmental policy integration: the 2010 Biodiversity Target and its impact on international policy and national implementation in Latin America and the Caribbean. </w:t>
      </w:r>
      <w:r w:rsidRPr="00F14E05">
        <w:rPr>
          <w:i/>
          <w:iCs/>
          <w:sz w:val="20"/>
          <w:szCs w:val="20"/>
          <w:shd w:val="clear" w:color="auto" w:fill="FFFFFF"/>
        </w:rPr>
        <w:t>Global environmental change</w:t>
      </w:r>
      <w:r w:rsidRPr="00F14E05">
        <w:rPr>
          <w:sz w:val="20"/>
          <w:szCs w:val="20"/>
          <w:shd w:val="clear" w:color="auto" w:fill="FFFFFF"/>
        </w:rPr>
        <w:t>, </w:t>
      </w:r>
      <w:r w:rsidRPr="00F14E05">
        <w:rPr>
          <w:i/>
          <w:iCs/>
          <w:sz w:val="20"/>
          <w:szCs w:val="20"/>
          <w:shd w:val="clear" w:color="auto" w:fill="FFFFFF"/>
        </w:rPr>
        <w:t>29</w:t>
      </w:r>
      <w:r w:rsidRPr="00F14E05">
        <w:rPr>
          <w:sz w:val="20"/>
          <w:szCs w:val="20"/>
          <w:shd w:val="clear" w:color="auto" w:fill="FFFFFF"/>
        </w:rPr>
        <w:t>, pp.202-212.</w:t>
      </w:r>
    </w:p>
    <w:p w14:paraId="0FE7EB15" w14:textId="77777777" w:rsidR="001F3F0B" w:rsidRPr="00F14E05" w:rsidRDefault="001F3F0B" w:rsidP="001F3F0B">
      <w:pPr>
        <w:spacing w:after="100"/>
        <w:ind w:left="284" w:hanging="284"/>
        <w:rPr>
          <w:sz w:val="20"/>
          <w:szCs w:val="20"/>
        </w:rPr>
      </w:pPr>
      <w:r w:rsidRPr="00F14E05">
        <w:rPr>
          <w:rStyle w:val="None"/>
          <w:color w:val="222222"/>
          <w:sz w:val="20"/>
          <w:szCs w:val="20"/>
          <w:u w:color="222222"/>
        </w:rPr>
        <w:t>Green</w:t>
      </w:r>
      <w:r w:rsidRPr="00F14E05">
        <w:rPr>
          <w:sz w:val="20"/>
          <w:szCs w:val="20"/>
        </w:rPr>
        <w:t xml:space="preserve">, E.J., Buchanan, G.M., </w:t>
      </w:r>
      <w:proofErr w:type="spellStart"/>
      <w:r w:rsidRPr="00F14E05">
        <w:rPr>
          <w:sz w:val="20"/>
          <w:szCs w:val="20"/>
        </w:rPr>
        <w:t>Butchart</w:t>
      </w:r>
      <w:proofErr w:type="spellEnd"/>
      <w:r w:rsidRPr="00F14E05">
        <w:rPr>
          <w:sz w:val="20"/>
          <w:szCs w:val="20"/>
        </w:rPr>
        <w:t xml:space="preserve">, S.H.M., Chandler G.M., Burgess N.D., Hill, S.L. and Gregory, R. D. [submitted to </w:t>
      </w:r>
      <w:r w:rsidRPr="00F14E05">
        <w:rPr>
          <w:i/>
          <w:sz w:val="20"/>
          <w:szCs w:val="20"/>
        </w:rPr>
        <w:t>Conservation Letters</w:t>
      </w:r>
      <w:r w:rsidRPr="00F14E05">
        <w:rPr>
          <w:sz w:val="20"/>
          <w:szCs w:val="20"/>
        </w:rPr>
        <w:t xml:space="preserve">]. </w:t>
      </w:r>
      <w:r w:rsidRPr="00F14E05">
        <w:rPr>
          <w:sz w:val="20"/>
          <w:szCs w:val="20"/>
          <w:shd w:val="clear" w:color="auto" w:fill="FFFFFF"/>
        </w:rPr>
        <w:t>Smarter biodiversity targets are associated with greater progress</w:t>
      </w:r>
      <w:r w:rsidRPr="00F14E05">
        <w:rPr>
          <w:sz w:val="20"/>
          <w:szCs w:val="20"/>
        </w:rPr>
        <w:t>.</w:t>
      </w:r>
    </w:p>
    <w:p w14:paraId="4F32454B" w14:textId="77777777" w:rsidR="001F3F0B" w:rsidRPr="00F14E05" w:rsidRDefault="001F3F0B" w:rsidP="001F3F0B">
      <w:pPr>
        <w:spacing w:after="100"/>
        <w:ind w:left="284" w:hanging="284"/>
        <w:rPr>
          <w:rStyle w:val="None"/>
          <w:rFonts w:eastAsia="Arial"/>
          <w:color w:val="222222"/>
          <w:sz w:val="20"/>
          <w:szCs w:val="20"/>
          <w:u w:color="222222"/>
          <w:shd w:val="clear" w:color="auto" w:fill="FFFFFF"/>
        </w:rPr>
      </w:pPr>
      <w:r w:rsidRPr="00F14E05">
        <w:rPr>
          <w:rStyle w:val="None"/>
          <w:color w:val="222222"/>
          <w:sz w:val="20"/>
          <w:szCs w:val="20"/>
          <w:u w:color="222222"/>
        </w:rPr>
        <w:t>Hagerman</w:t>
      </w:r>
      <w:r w:rsidRPr="00F14E05">
        <w:rPr>
          <w:rStyle w:val="None"/>
          <w:color w:val="222222"/>
          <w:sz w:val="20"/>
          <w:szCs w:val="20"/>
          <w:u w:color="222222"/>
          <w:shd w:val="clear" w:color="auto" w:fill="FFFFFF"/>
          <w:lang w:val="it-IT"/>
        </w:rPr>
        <w:t>, S.M. and Pelai, R.</w:t>
      </w:r>
      <w:r w:rsidRPr="00F14E05">
        <w:rPr>
          <w:rStyle w:val="None"/>
          <w:color w:val="222222"/>
          <w:sz w:val="20"/>
          <w:szCs w:val="20"/>
          <w:u w:color="222222"/>
          <w:shd w:val="clear" w:color="auto" w:fill="FFFFFF"/>
        </w:rPr>
        <w:t xml:space="preserve"> (</w:t>
      </w:r>
      <w:r w:rsidRPr="00F14E05">
        <w:rPr>
          <w:rStyle w:val="None"/>
          <w:color w:val="222222"/>
          <w:sz w:val="20"/>
          <w:szCs w:val="20"/>
          <w:u w:color="222222"/>
          <w:shd w:val="clear" w:color="auto" w:fill="FFFFFF"/>
          <w:lang w:val="it-IT"/>
        </w:rPr>
        <w:t xml:space="preserve">2016). </w:t>
      </w:r>
      <w:r w:rsidRPr="00F14E05">
        <w:rPr>
          <w:rStyle w:val="None"/>
          <w:color w:val="222222"/>
          <w:sz w:val="20"/>
          <w:szCs w:val="20"/>
          <w:u w:color="222222"/>
          <w:shd w:val="clear" w:color="auto" w:fill="FFFFFF"/>
        </w:rPr>
        <w:t>“As Far as Possible and as Appropriate”: Implementing the Aichi Biodiversity Targets. </w:t>
      </w:r>
      <w:r w:rsidRPr="00F14E05">
        <w:rPr>
          <w:rStyle w:val="None"/>
          <w:i/>
          <w:iCs/>
          <w:color w:val="222222"/>
          <w:sz w:val="20"/>
          <w:szCs w:val="20"/>
          <w:u w:color="222222"/>
          <w:shd w:val="clear" w:color="auto" w:fill="FFFFFF"/>
        </w:rPr>
        <w:t>Conservation Letters</w:t>
      </w:r>
      <w:r w:rsidRPr="00F14E05">
        <w:rPr>
          <w:rStyle w:val="None"/>
          <w:color w:val="222222"/>
          <w:sz w:val="20"/>
          <w:szCs w:val="20"/>
          <w:u w:color="222222"/>
          <w:shd w:val="clear" w:color="auto" w:fill="FFFFFF"/>
        </w:rPr>
        <w:t>, </w:t>
      </w:r>
      <w:r w:rsidRPr="00F14E05">
        <w:rPr>
          <w:rStyle w:val="None"/>
          <w:i/>
          <w:iCs/>
          <w:color w:val="222222"/>
          <w:sz w:val="20"/>
          <w:szCs w:val="20"/>
          <w:u w:color="222222"/>
          <w:shd w:val="clear" w:color="auto" w:fill="FFFFFF"/>
        </w:rPr>
        <w:t>9</w:t>
      </w:r>
      <w:r w:rsidRPr="00F14E05">
        <w:rPr>
          <w:rStyle w:val="None"/>
          <w:color w:val="222222"/>
          <w:sz w:val="20"/>
          <w:szCs w:val="20"/>
          <w:u w:color="222222"/>
          <w:shd w:val="clear" w:color="auto" w:fill="FFFFFF"/>
        </w:rPr>
        <w:t>(6), pp.469-478.</w:t>
      </w:r>
    </w:p>
    <w:p w14:paraId="56991EB8" w14:textId="77777777" w:rsidR="001F3F0B" w:rsidRPr="00F14E05" w:rsidRDefault="001F3F0B" w:rsidP="001F3F0B">
      <w:pPr>
        <w:spacing w:after="100"/>
        <w:ind w:left="284" w:hanging="284"/>
        <w:rPr>
          <w:rStyle w:val="None"/>
          <w:rFonts w:eastAsia="Arial"/>
          <w:color w:val="222222"/>
          <w:sz w:val="20"/>
          <w:szCs w:val="20"/>
          <w:u w:color="222222"/>
          <w:shd w:val="clear" w:color="auto" w:fill="FFFFFF"/>
        </w:rPr>
      </w:pPr>
      <w:r w:rsidRPr="00F14E05">
        <w:rPr>
          <w:rStyle w:val="None"/>
          <w:color w:val="222222"/>
          <w:sz w:val="20"/>
          <w:szCs w:val="20"/>
          <w:u w:color="222222"/>
        </w:rPr>
        <w:lastRenderedPageBreak/>
        <w:t>Harris</w:t>
      </w:r>
      <w:r w:rsidRPr="00F14E05">
        <w:rPr>
          <w:rStyle w:val="None"/>
          <w:color w:val="222222"/>
          <w:sz w:val="20"/>
          <w:szCs w:val="20"/>
          <w:u w:color="222222"/>
          <w:shd w:val="clear" w:color="auto" w:fill="FFFFFF"/>
        </w:rPr>
        <w:t xml:space="preserve">, L., </w:t>
      </w:r>
      <w:proofErr w:type="spellStart"/>
      <w:r w:rsidRPr="00F14E05">
        <w:rPr>
          <w:rStyle w:val="None"/>
          <w:color w:val="222222"/>
          <w:sz w:val="20"/>
          <w:szCs w:val="20"/>
          <w:u w:color="222222"/>
          <w:shd w:val="clear" w:color="auto" w:fill="FFFFFF"/>
        </w:rPr>
        <w:t>Nel</w:t>
      </w:r>
      <w:proofErr w:type="spellEnd"/>
      <w:r w:rsidRPr="00F14E05">
        <w:rPr>
          <w:rStyle w:val="None"/>
          <w:color w:val="222222"/>
          <w:sz w:val="20"/>
          <w:szCs w:val="20"/>
          <w:u w:color="222222"/>
          <w:shd w:val="clear" w:color="auto" w:fill="FFFFFF"/>
        </w:rPr>
        <w:t xml:space="preserve">, R., </w:t>
      </w:r>
      <w:proofErr w:type="spellStart"/>
      <w:r w:rsidRPr="00F14E05">
        <w:rPr>
          <w:rStyle w:val="None"/>
          <w:color w:val="222222"/>
          <w:sz w:val="20"/>
          <w:szCs w:val="20"/>
          <w:u w:color="222222"/>
          <w:shd w:val="clear" w:color="auto" w:fill="FFFFFF"/>
        </w:rPr>
        <w:t>Holness</w:t>
      </w:r>
      <w:proofErr w:type="spellEnd"/>
      <w:r w:rsidRPr="00F14E05">
        <w:rPr>
          <w:rStyle w:val="None"/>
          <w:color w:val="222222"/>
          <w:sz w:val="20"/>
          <w:szCs w:val="20"/>
          <w:u w:color="222222"/>
          <w:shd w:val="clear" w:color="auto" w:fill="FFFFFF"/>
        </w:rPr>
        <w:t>, S., Sink, K. and Schoeman, D. (2014). Setting conservation targets for sandy beach ecosystems. </w:t>
      </w:r>
      <w:r w:rsidRPr="00F14E05">
        <w:rPr>
          <w:rStyle w:val="None"/>
          <w:i/>
          <w:iCs/>
          <w:color w:val="222222"/>
          <w:sz w:val="20"/>
          <w:szCs w:val="20"/>
          <w:u w:color="222222"/>
          <w:shd w:val="clear" w:color="auto" w:fill="FFFFFF"/>
        </w:rPr>
        <w:t>Estuarine, Coastal and Shelf Science</w:t>
      </w:r>
      <w:r w:rsidRPr="00F14E05">
        <w:rPr>
          <w:rStyle w:val="None"/>
          <w:color w:val="222222"/>
          <w:sz w:val="20"/>
          <w:szCs w:val="20"/>
          <w:u w:color="222222"/>
          <w:shd w:val="clear" w:color="auto" w:fill="FFFFFF"/>
        </w:rPr>
        <w:t>, </w:t>
      </w:r>
      <w:r w:rsidRPr="00F14E05">
        <w:rPr>
          <w:rStyle w:val="None"/>
          <w:i/>
          <w:iCs/>
          <w:color w:val="222222"/>
          <w:sz w:val="20"/>
          <w:szCs w:val="20"/>
          <w:u w:color="222222"/>
          <w:shd w:val="clear" w:color="auto" w:fill="FFFFFF"/>
        </w:rPr>
        <w:t>150</w:t>
      </w:r>
      <w:r w:rsidRPr="00F14E05">
        <w:rPr>
          <w:rStyle w:val="None"/>
          <w:color w:val="222222"/>
          <w:sz w:val="20"/>
          <w:szCs w:val="20"/>
          <w:u w:color="222222"/>
          <w:shd w:val="clear" w:color="auto" w:fill="FFFFFF"/>
        </w:rPr>
        <w:t>, pp.45-57.</w:t>
      </w:r>
    </w:p>
    <w:p w14:paraId="4B3C55D4" w14:textId="77777777" w:rsidR="001F3F0B" w:rsidRPr="00F14E05" w:rsidRDefault="001F3F0B" w:rsidP="001F3F0B">
      <w:pPr>
        <w:spacing w:after="100"/>
        <w:ind w:left="284" w:hanging="284"/>
        <w:rPr>
          <w:sz w:val="20"/>
          <w:szCs w:val="20"/>
          <w:shd w:val="clear" w:color="auto" w:fill="FFFFFF"/>
        </w:rPr>
      </w:pPr>
      <w:r w:rsidRPr="00F14E05">
        <w:rPr>
          <w:rStyle w:val="None"/>
          <w:color w:val="222222"/>
          <w:sz w:val="20"/>
          <w:szCs w:val="20"/>
          <w:u w:color="222222"/>
        </w:rPr>
        <w:t>Harrop</w:t>
      </w:r>
      <w:r w:rsidRPr="00F14E05">
        <w:rPr>
          <w:sz w:val="20"/>
          <w:szCs w:val="20"/>
          <w:shd w:val="clear" w:color="auto" w:fill="FFFFFF"/>
        </w:rPr>
        <w:t>, S.R. (2011). ‘Living in harmony with nature’? Outcomes of the 2010 Nagoya Conference of the Convention on Biological Diversity. </w:t>
      </w:r>
      <w:r w:rsidRPr="00F14E05">
        <w:rPr>
          <w:i/>
          <w:iCs/>
          <w:sz w:val="20"/>
          <w:szCs w:val="20"/>
          <w:shd w:val="clear" w:color="auto" w:fill="FFFFFF"/>
        </w:rPr>
        <w:t>Journal of Environmental Law</w:t>
      </w:r>
      <w:r w:rsidRPr="00F14E05">
        <w:rPr>
          <w:sz w:val="20"/>
          <w:szCs w:val="20"/>
          <w:shd w:val="clear" w:color="auto" w:fill="FFFFFF"/>
        </w:rPr>
        <w:t>, </w:t>
      </w:r>
      <w:r w:rsidRPr="00F14E05">
        <w:rPr>
          <w:i/>
          <w:iCs/>
          <w:sz w:val="20"/>
          <w:szCs w:val="20"/>
          <w:shd w:val="clear" w:color="auto" w:fill="FFFFFF"/>
        </w:rPr>
        <w:t>23</w:t>
      </w:r>
      <w:r w:rsidRPr="00F14E05">
        <w:rPr>
          <w:sz w:val="20"/>
          <w:szCs w:val="20"/>
          <w:shd w:val="clear" w:color="auto" w:fill="FFFFFF"/>
        </w:rPr>
        <w:t>(1), pp.117-128.</w:t>
      </w:r>
    </w:p>
    <w:p w14:paraId="64B58FD0" w14:textId="77777777" w:rsidR="001F3F0B" w:rsidRPr="00F14E05" w:rsidRDefault="001F3F0B" w:rsidP="001F3F0B">
      <w:pPr>
        <w:spacing w:after="100"/>
        <w:ind w:left="284" w:hanging="284"/>
        <w:rPr>
          <w:rStyle w:val="None"/>
          <w:rFonts w:eastAsia="Arial"/>
          <w:color w:val="222222"/>
          <w:sz w:val="20"/>
          <w:szCs w:val="20"/>
          <w:u w:color="222222"/>
          <w:shd w:val="clear" w:color="auto" w:fill="FFFFFF"/>
        </w:rPr>
      </w:pPr>
      <w:r w:rsidRPr="00F14E05">
        <w:rPr>
          <w:rStyle w:val="None"/>
          <w:color w:val="222222"/>
          <w:sz w:val="20"/>
          <w:szCs w:val="20"/>
          <w:u w:color="222222"/>
        </w:rPr>
        <w:t>Harrop</w:t>
      </w:r>
      <w:r w:rsidRPr="00F14E05">
        <w:rPr>
          <w:rStyle w:val="None"/>
          <w:color w:val="222222"/>
          <w:sz w:val="20"/>
          <w:szCs w:val="20"/>
          <w:u w:color="222222"/>
          <w:shd w:val="clear" w:color="auto" w:fill="FFFFFF"/>
        </w:rPr>
        <w:t>, S. (2014). Holistic and leadership approaches to international regulation: confronting nature conservation and developmental challenges. A reply to Farnese. </w:t>
      </w:r>
      <w:r w:rsidRPr="00F14E05">
        <w:rPr>
          <w:rStyle w:val="None"/>
          <w:i/>
          <w:iCs/>
          <w:color w:val="222222"/>
          <w:sz w:val="20"/>
          <w:szCs w:val="20"/>
          <w:u w:color="222222"/>
          <w:shd w:val="clear" w:color="auto" w:fill="FFFFFF"/>
        </w:rPr>
        <w:t>Transnational Environmental Law</w:t>
      </w:r>
      <w:r w:rsidRPr="00F14E05">
        <w:rPr>
          <w:rStyle w:val="None"/>
          <w:color w:val="222222"/>
          <w:sz w:val="20"/>
          <w:szCs w:val="20"/>
          <w:u w:color="222222"/>
          <w:shd w:val="clear" w:color="auto" w:fill="FFFFFF"/>
        </w:rPr>
        <w:t>, </w:t>
      </w:r>
      <w:r w:rsidRPr="00F14E05">
        <w:rPr>
          <w:rStyle w:val="None"/>
          <w:i/>
          <w:iCs/>
          <w:color w:val="222222"/>
          <w:sz w:val="20"/>
          <w:szCs w:val="20"/>
          <w:u w:color="222222"/>
          <w:shd w:val="clear" w:color="auto" w:fill="FFFFFF"/>
        </w:rPr>
        <w:t>3</w:t>
      </w:r>
      <w:r w:rsidRPr="00F14E05">
        <w:rPr>
          <w:rStyle w:val="None"/>
          <w:color w:val="222222"/>
          <w:sz w:val="20"/>
          <w:szCs w:val="20"/>
          <w:u w:color="222222"/>
          <w:shd w:val="clear" w:color="auto" w:fill="FFFFFF"/>
        </w:rPr>
        <w:t>(2), pp.311-320.</w:t>
      </w:r>
    </w:p>
    <w:p w14:paraId="245B0AB0" w14:textId="77777777" w:rsidR="001F3F0B" w:rsidRPr="00F14E05" w:rsidRDefault="001F3F0B" w:rsidP="001F3F0B">
      <w:pPr>
        <w:spacing w:after="100"/>
        <w:ind w:left="284" w:hanging="284"/>
        <w:rPr>
          <w:rStyle w:val="None"/>
          <w:rFonts w:eastAsia="Arial"/>
          <w:color w:val="222222"/>
          <w:sz w:val="20"/>
          <w:szCs w:val="20"/>
          <w:u w:color="222222"/>
          <w:shd w:val="clear" w:color="auto" w:fill="FFFFFF"/>
        </w:rPr>
      </w:pPr>
      <w:r w:rsidRPr="00F14E05">
        <w:rPr>
          <w:rStyle w:val="None"/>
          <w:color w:val="222222"/>
          <w:sz w:val="20"/>
          <w:szCs w:val="20"/>
          <w:u w:color="222222"/>
        </w:rPr>
        <w:t>Harrop</w:t>
      </w:r>
      <w:r w:rsidRPr="00F14E05">
        <w:rPr>
          <w:rStyle w:val="None"/>
          <w:color w:val="222222"/>
          <w:sz w:val="20"/>
          <w:szCs w:val="20"/>
          <w:u w:color="222222"/>
          <w:shd w:val="clear" w:color="auto" w:fill="FFFFFF"/>
        </w:rPr>
        <w:t>, S.R. and Pritchard, D.J. (2011). A hard instrument goes soft: The implications of the Convention on Biological Diversity's current trajectory. </w:t>
      </w:r>
      <w:r w:rsidRPr="00F14E05">
        <w:rPr>
          <w:rStyle w:val="None"/>
          <w:i/>
          <w:iCs/>
          <w:color w:val="222222"/>
          <w:sz w:val="20"/>
          <w:szCs w:val="20"/>
          <w:u w:color="222222"/>
          <w:shd w:val="clear" w:color="auto" w:fill="FFFFFF"/>
        </w:rPr>
        <w:t>Global Environmental Change</w:t>
      </w:r>
      <w:r w:rsidRPr="00F14E05">
        <w:rPr>
          <w:rStyle w:val="None"/>
          <w:color w:val="222222"/>
          <w:sz w:val="20"/>
          <w:szCs w:val="20"/>
          <w:u w:color="222222"/>
          <w:shd w:val="clear" w:color="auto" w:fill="FFFFFF"/>
        </w:rPr>
        <w:t>, </w:t>
      </w:r>
      <w:r w:rsidRPr="00F14E05">
        <w:rPr>
          <w:rStyle w:val="None"/>
          <w:i/>
          <w:iCs/>
          <w:color w:val="222222"/>
          <w:sz w:val="20"/>
          <w:szCs w:val="20"/>
          <w:u w:color="222222"/>
          <w:shd w:val="clear" w:color="auto" w:fill="FFFFFF"/>
        </w:rPr>
        <w:t>21</w:t>
      </w:r>
      <w:r w:rsidRPr="00F14E05">
        <w:rPr>
          <w:rStyle w:val="None"/>
          <w:color w:val="222222"/>
          <w:sz w:val="20"/>
          <w:szCs w:val="20"/>
          <w:u w:color="222222"/>
          <w:shd w:val="clear" w:color="auto" w:fill="FFFFFF"/>
        </w:rPr>
        <w:t>(2), pp.474-480.</w:t>
      </w:r>
    </w:p>
    <w:p w14:paraId="53B5B989" w14:textId="77777777" w:rsidR="001F3F0B" w:rsidRPr="00F14E05" w:rsidRDefault="001F3F0B" w:rsidP="001F3F0B">
      <w:pPr>
        <w:spacing w:after="100"/>
        <w:ind w:left="284" w:hanging="284"/>
        <w:rPr>
          <w:rStyle w:val="None"/>
          <w:rFonts w:eastAsia="Arial"/>
          <w:sz w:val="20"/>
          <w:szCs w:val="20"/>
          <w:u w:color="222222"/>
          <w:shd w:val="clear" w:color="auto" w:fill="FFFFFF"/>
        </w:rPr>
      </w:pPr>
      <w:r w:rsidRPr="00F14E05">
        <w:rPr>
          <w:rStyle w:val="None"/>
          <w:color w:val="222222"/>
          <w:sz w:val="20"/>
          <w:szCs w:val="20"/>
          <w:u w:color="222222"/>
        </w:rPr>
        <w:t>Heywood</w:t>
      </w:r>
      <w:r w:rsidRPr="00F14E05">
        <w:rPr>
          <w:rStyle w:val="None"/>
          <w:color w:val="222222"/>
          <w:sz w:val="20"/>
          <w:szCs w:val="20"/>
          <w:u w:color="222222"/>
          <w:shd w:val="clear" w:color="auto" w:fill="FFFFFF"/>
        </w:rPr>
        <w:t>, V.H. (2016). In situ conservation of plant species–an unattainable goal? </w:t>
      </w:r>
      <w:r w:rsidRPr="00F14E05">
        <w:rPr>
          <w:rStyle w:val="None"/>
          <w:i/>
          <w:iCs/>
          <w:color w:val="222222"/>
          <w:sz w:val="20"/>
          <w:szCs w:val="20"/>
          <w:u w:color="222222"/>
          <w:shd w:val="clear" w:color="auto" w:fill="FFFFFF"/>
        </w:rPr>
        <w:t xml:space="preserve">Israel </w:t>
      </w:r>
      <w:r w:rsidRPr="00F14E05">
        <w:rPr>
          <w:rStyle w:val="None"/>
          <w:i/>
          <w:iCs/>
          <w:sz w:val="20"/>
          <w:szCs w:val="20"/>
          <w:u w:color="222222"/>
          <w:shd w:val="clear" w:color="auto" w:fill="FFFFFF"/>
        </w:rPr>
        <w:t>Journal of Plant Sciences</w:t>
      </w:r>
      <w:r w:rsidRPr="00F14E05">
        <w:rPr>
          <w:rStyle w:val="None"/>
          <w:sz w:val="20"/>
          <w:szCs w:val="20"/>
          <w:u w:color="222222"/>
          <w:shd w:val="clear" w:color="auto" w:fill="FFFFFF"/>
        </w:rPr>
        <w:t>, </w:t>
      </w:r>
      <w:r w:rsidRPr="00F14E05">
        <w:rPr>
          <w:rStyle w:val="None"/>
          <w:i/>
          <w:iCs/>
          <w:sz w:val="20"/>
          <w:szCs w:val="20"/>
          <w:u w:color="222222"/>
          <w:shd w:val="clear" w:color="auto" w:fill="FFFFFF"/>
        </w:rPr>
        <w:t>63</w:t>
      </w:r>
      <w:r w:rsidRPr="00F14E05">
        <w:rPr>
          <w:rStyle w:val="None"/>
          <w:sz w:val="20"/>
          <w:szCs w:val="20"/>
          <w:u w:color="222222"/>
          <w:shd w:val="clear" w:color="auto" w:fill="FFFFFF"/>
        </w:rPr>
        <w:t>(4), pp.211-231.</w:t>
      </w:r>
    </w:p>
    <w:p w14:paraId="7D9B8E10" w14:textId="77777777" w:rsidR="001F3F0B" w:rsidRPr="00F14E05" w:rsidRDefault="001F3F0B" w:rsidP="001F3F0B">
      <w:pPr>
        <w:spacing w:after="100"/>
        <w:ind w:left="284" w:hanging="284"/>
        <w:rPr>
          <w:sz w:val="20"/>
          <w:szCs w:val="20"/>
          <w:shd w:val="clear" w:color="auto" w:fill="FFFFFF"/>
        </w:rPr>
      </w:pPr>
      <w:proofErr w:type="spellStart"/>
      <w:r w:rsidRPr="00F14E05">
        <w:rPr>
          <w:sz w:val="20"/>
          <w:szCs w:val="20"/>
          <w:shd w:val="clear" w:color="auto" w:fill="FFFFFF"/>
        </w:rPr>
        <w:t>Juffe</w:t>
      </w:r>
      <w:r w:rsidRPr="00F14E05">
        <w:rPr>
          <w:rFonts w:ascii="Cambria Math" w:hAnsi="Cambria Math" w:cs="Cambria Math"/>
          <w:sz w:val="20"/>
          <w:szCs w:val="20"/>
          <w:shd w:val="clear" w:color="auto" w:fill="FFFFFF"/>
        </w:rPr>
        <w:t>‐</w:t>
      </w:r>
      <w:r w:rsidRPr="00F14E05">
        <w:rPr>
          <w:sz w:val="20"/>
          <w:szCs w:val="20"/>
          <w:shd w:val="clear" w:color="auto" w:fill="FFFFFF"/>
        </w:rPr>
        <w:t>Bignoli</w:t>
      </w:r>
      <w:proofErr w:type="spellEnd"/>
      <w:r w:rsidRPr="00F14E05">
        <w:rPr>
          <w:sz w:val="20"/>
          <w:szCs w:val="20"/>
          <w:shd w:val="clear" w:color="auto" w:fill="FFFFFF"/>
        </w:rPr>
        <w:t xml:space="preserve">, D., Harrison, I., </w:t>
      </w:r>
      <w:proofErr w:type="spellStart"/>
      <w:r w:rsidRPr="00F14E05">
        <w:rPr>
          <w:sz w:val="20"/>
          <w:szCs w:val="20"/>
          <w:shd w:val="clear" w:color="auto" w:fill="FFFFFF"/>
        </w:rPr>
        <w:t>Butchart</w:t>
      </w:r>
      <w:proofErr w:type="spellEnd"/>
      <w:r w:rsidRPr="00F14E05">
        <w:rPr>
          <w:sz w:val="20"/>
          <w:szCs w:val="20"/>
          <w:shd w:val="clear" w:color="auto" w:fill="FFFFFF"/>
        </w:rPr>
        <w:t xml:space="preserve">, S.H., </w:t>
      </w:r>
      <w:proofErr w:type="spellStart"/>
      <w:r w:rsidRPr="00F14E05">
        <w:rPr>
          <w:sz w:val="20"/>
          <w:szCs w:val="20"/>
          <w:shd w:val="clear" w:color="auto" w:fill="FFFFFF"/>
        </w:rPr>
        <w:t>Flitcroft</w:t>
      </w:r>
      <w:proofErr w:type="spellEnd"/>
      <w:r w:rsidRPr="00F14E05">
        <w:rPr>
          <w:sz w:val="20"/>
          <w:szCs w:val="20"/>
          <w:shd w:val="clear" w:color="auto" w:fill="FFFFFF"/>
        </w:rPr>
        <w:t xml:space="preserve">, R., </w:t>
      </w:r>
      <w:proofErr w:type="spellStart"/>
      <w:r w:rsidRPr="00F14E05">
        <w:rPr>
          <w:sz w:val="20"/>
          <w:szCs w:val="20"/>
          <w:shd w:val="clear" w:color="auto" w:fill="FFFFFF"/>
        </w:rPr>
        <w:t>Hermoso</w:t>
      </w:r>
      <w:proofErr w:type="spellEnd"/>
      <w:r w:rsidRPr="00F14E05">
        <w:rPr>
          <w:sz w:val="20"/>
          <w:szCs w:val="20"/>
          <w:shd w:val="clear" w:color="auto" w:fill="FFFFFF"/>
        </w:rPr>
        <w:t xml:space="preserve">, V., Jonas, H., Lukasiewicz, A., </w:t>
      </w:r>
      <w:proofErr w:type="spellStart"/>
      <w:r w:rsidRPr="00F14E05">
        <w:rPr>
          <w:sz w:val="20"/>
          <w:szCs w:val="20"/>
          <w:shd w:val="clear" w:color="auto" w:fill="FFFFFF"/>
        </w:rPr>
        <w:t>Thieme</w:t>
      </w:r>
      <w:proofErr w:type="spellEnd"/>
      <w:r w:rsidRPr="00F14E05">
        <w:rPr>
          <w:sz w:val="20"/>
          <w:szCs w:val="20"/>
          <w:shd w:val="clear" w:color="auto" w:fill="FFFFFF"/>
        </w:rPr>
        <w:t xml:space="preserve">, M., </w:t>
      </w:r>
      <w:proofErr w:type="spellStart"/>
      <w:r w:rsidRPr="00F14E05">
        <w:rPr>
          <w:sz w:val="20"/>
          <w:szCs w:val="20"/>
          <w:shd w:val="clear" w:color="auto" w:fill="FFFFFF"/>
        </w:rPr>
        <w:t>Turak</w:t>
      </w:r>
      <w:proofErr w:type="spellEnd"/>
      <w:r w:rsidRPr="00F14E05">
        <w:rPr>
          <w:sz w:val="20"/>
          <w:szCs w:val="20"/>
          <w:shd w:val="clear" w:color="auto" w:fill="FFFFFF"/>
        </w:rPr>
        <w:t>, E., Bingham, H. and Dalton, J. (2016). Achieving Aichi Biodiversity Target 11 to improve the performance of protected areas and conserve freshwater biodiversity. </w:t>
      </w:r>
      <w:r w:rsidRPr="00F14E05">
        <w:rPr>
          <w:i/>
          <w:iCs/>
          <w:sz w:val="20"/>
          <w:szCs w:val="20"/>
          <w:shd w:val="clear" w:color="auto" w:fill="FFFFFF"/>
        </w:rPr>
        <w:t>Aquatic Conservation: Marine and Freshwater Ecosystems</w:t>
      </w:r>
      <w:r w:rsidRPr="00F14E05">
        <w:rPr>
          <w:sz w:val="20"/>
          <w:szCs w:val="20"/>
          <w:shd w:val="clear" w:color="auto" w:fill="FFFFFF"/>
        </w:rPr>
        <w:t>, </w:t>
      </w:r>
      <w:r w:rsidRPr="00F14E05">
        <w:rPr>
          <w:i/>
          <w:iCs/>
          <w:sz w:val="20"/>
          <w:szCs w:val="20"/>
          <w:shd w:val="clear" w:color="auto" w:fill="FFFFFF"/>
        </w:rPr>
        <w:t>26</w:t>
      </w:r>
      <w:r w:rsidRPr="00F14E05">
        <w:rPr>
          <w:sz w:val="20"/>
          <w:szCs w:val="20"/>
          <w:shd w:val="clear" w:color="auto" w:fill="FFFFFF"/>
        </w:rPr>
        <w:t>(S1), pp.133-151.</w:t>
      </w:r>
    </w:p>
    <w:p w14:paraId="53A5FF16" w14:textId="77777777" w:rsidR="001F3F0B" w:rsidRPr="00F14E05" w:rsidRDefault="001F3F0B" w:rsidP="001F3F0B">
      <w:pPr>
        <w:spacing w:after="100"/>
        <w:ind w:left="284" w:hanging="284"/>
        <w:rPr>
          <w:rStyle w:val="None"/>
          <w:rFonts w:eastAsia="Arial"/>
          <w:color w:val="222222"/>
          <w:sz w:val="20"/>
          <w:szCs w:val="20"/>
          <w:u w:color="222222"/>
          <w:shd w:val="clear" w:color="auto" w:fill="FFFFFF"/>
        </w:rPr>
      </w:pPr>
      <w:proofErr w:type="spellStart"/>
      <w:r w:rsidRPr="00F14E05">
        <w:rPr>
          <w:sz w:val="20"/>
          <w:szCs w:val="20"/>
        </w:rPr>
        <w:t>Jørgensen</w:t>
      </w:r>
      <w:proofErr w:type="spellEnd"/>
      <w:r w:rsidRPr="00F14E05">
        <w:rPr>
          <w:rStyle w:val="None"/>
          <w:color w:val="222222"/>
          <w:sz w:val="20"/>
          <w:szCs w:val="20"/>
          <w:u w:color="222222"/>
          <w:shd w:val="clear" w:color="auto" w:fill="FFFFFF"/>
        </w:rPr>
        <w:t>, D. (2013). Ecological restoration in the Convention on Biological Diversity targets. </w:t>
      </w:r>
      <w:r w:rsidRPr="00F14E05">
        <w:rPr>
          <w:rStyle w:val="None"/>
          <w:i/>
          <w:iCs/>
          <w:color w:val="222222"/>
          <w:sz w:val="20"/>
          <w:szCs w:val="20"/>
          <w:u w:color="222222"/>
          <w:shd w:val="clear" w:color="auto" w:fill="FFFFFF"/>
        </w:rPr>
        <w:t>Biodiversity and conservation</w:t>
      </w:r>
      <w:r w:rsidRPr="00F14E05">
        <w:rPr>
          <w:rStyle w:val="None"/>
          <w:color w:val="222222"/>
          <w:sz w:val="20"/>
          <w:szCs w:val="20"/>
          <w:u w:color="222222"/>
          <w:shd w:val="clear" w:color="auto" w:fill="FFFFFF"/>
        </w:rPr>
        <w:t>, </w:t>
      </w:r>
      <w:r w:rsidRPr="00F14E05">
        <w:rPr>
          <w:rStyle w:val="None"/>
          <w:i/>
          <w:iCs/>
          <w:color w:val="222222"/>
          <w:sz w:val="20"/>
          <w:szCs w:val="20"/>
          <w:u w:color="222222"/>
          <w:shd w:val="clear" w:color="auto" w:fill="FFFFFF"/>
        </w:rPr>
        <w:t>22</w:t>
      </w:r>
      <w:r w:rsidRPr="00F14E05">
        <w:rPr>
          <w:rStyle w:val="None"/>
          <w:color w:val="222222"/>
          <w:sz w:val="20"/>
          <w:szCs w:val="20"/>
          <w:u w:color="222222"/>
          <w:shd w:val="clear" w:color="auto" w:fill="FFFFFF"/>
        </w:rPr>
        <w:t>(12), pp.2977-2982.</w:t>
      </w:r>
    </w:p>
    <w:p w14:paraId="2237D1D3" w14:textId="77777777" w:rsidR="001F3F0B" w:rsidRPr="00F14E05" w:rsidRDefault="001F3F0B" w:rsidP="001F3F0B">
      <w:pPr>
        <w:spacing w:after="100"/>
        <w:ind w:left="284" w:hanging="284"/>
        <w:rPr>
          <w:rStyle w:val="None"/>
          <w:rFonts w:eastAsia="Arial"/>
          <w:color w:val="222222"/>
          <w:sz w:val="20"/>
          <w:szCs w:val="20"/>
          <w:u w:color="222222"/>
          <w:shd w:val="clear" w:color="auto" w:fill="FFFFFF"/>
        </w:rPr>
      </w:pPr>
      <w:proofErr w:type="spellStart"/>
      <w:r w:rsidRPr="00F14E05">
        <w:rPr>
          <w:sz w:val="20"/>
          <w:szCs w:val="20"/>
        </w:rPr>
        <w:t>Jørgensen</w:t>
      </w:r>
      <w:proofErr w:type="spellEnd"/>
      <w:r w:rsidRPr="00F14E05">
        <w:rPr>
          <w:rStyle w:val="None"/>
          <w:color w:val="222222"/>
          <w:sz w:val="20"/>
          <w:szCs w:val="20"/>
          <w:u w:color="222222"/>
          <w:shd w:val="clear" w:color="auto" w:fill="FFFFFF"/>
        </w:rPr>
        <w:t>, D. (2015). Ecological restoration as objective, target, and tool in international biodiversity policy. </w:t>
      </w:r>
      <w:r w:rsidRPr="00F14E05">
        <w:rPr>
          <w:rStyle w:val="None"/>
          <w:i/>
          <w:iCs/>
          <w:color w:val="222222"/>
          <w:sz w:val="20"/>
          <w:szCs w:val="20"/>
          <w:u w:color="222222"/>
          <w:shd w:val="clear" w:color="auto" w:fill="FFFFFF"/>
        </w:rPr>
        <w:t>Ecology and Society</w:t>
      </w:r>
      <w:r w:rsidRPr="00F14E05">
        <w:rPr>
          <w:rStyle w:val="None"/>
          <w:color w:val="222222"/>
          <w:sz w:val="20"/>
          <w:szCs w:val="20"/>
          <w:u w:color="222222"/>
          <w:shd w:val="clear" w:color="auto" w:fill="FFFFFF"/>
        </w:rPr>
        <w:t>, </w:t>
      </w:r>
      <w:r w:rsidRPr="00F14E05">
        <w:rPr>
          <w:rStyle w:val="None"/>
          <w:i/>
          <w:iCs/>
          <w:color w:val="222222"/>
          <w:sz w:val="20"/>
          <w:szCs w:val="20"/>
          <w:u w:color="222222"/>
          <w:shd w:val="clear" w:color="auto" w:fill="FFFFFF"/>
        </w:rPr>
        <w:t>20</w:t>
      </w:r>
      <w:r w:rsidRPr="00F14E05">
        <w:rPr>
          <w:rStyle w:val="None"/>
          <w:color w:val="222222"/>
          <w:sz w:val="20"/>
          <w:szCs w:val="20"/>
          <w:u w:color="222222"/>
          <w:shd w:val="clear" w:color="auto" w:fill="FFFFFF"/>
        </w:rPr>
        <w:t>(4).</w:t>
      </w:r>
    </w:p>
    <w:p w14:paraId="52795588" w14:textId="77777777" w:rsidR="001F3F0B" w:rsidRPr="00F14E05" w:rsidRDefault="001F3F0B" w:rsidP="001F3F0B">
      <w:pPr>
        <w:spacing w:after="100"/>
        <w:ind w:left="284" w:hanging="284"/>
        <w:rPr>
          <w:rStyle w:val="None"/>
          <w:rFonts w:eastAsia="Arial"/>
          <w:color w:val="222222"/>
          <w:sz w:val="20"/>
          <w:szCs w:val="20"/>
          <w:u w:color="222222"/>
          <w:shd w:val="clear" w:color="auto" w:fill="FFFFFF"/>
        </w:rPr>
      </w:pPr>
      <w:proofErr w:type="spellStart"/>
      <w:r w:rsidRPr="00F14E05">
        <w:rPr>
          <w:rStyle w:val="None"/>
          <w:color w:val="222222"/>
          <w:sz w:val="20"/>
          <w:szCs w:val="20"/>
          <w:u w:color="222222"/>
          <w:shd w:val="clear" w:color="auto" w:fill="FFFFFF"/>
        </w:rPr>
        <w:t>Kadoya</w:t>
      </w:r>
      <w:proofErr w:type="spellEnd"/>
      <w:r w:rsidRPr="00F14E05">
        <w:rPr>
          <w:rStyle w:val="None"/>
          <w:color w:val="222222"/>
          <w:sz w:val="20"/>
          <w:szCs w:val="20"/>
          <w:u w:color="222222"/>
          <w:shd w:val="clear" w:color="auto" w:fill="FFFFFF"/>
        </w:rPr>
        <w:t xml:space="preserve">, T., </w:t>
      </w:r>
      <w:proofErr w:type="spellStart"/>
      <w:r w:rsidRPr="00F14E05">
        <w:rPr>
          <w:rStyle w:val="None"/>
          <w:color w:val="222222"/>
          <w:sz w:val="20"/>
          <w:szCs w:val="20"/>
          <w:u w:color="222222"/>
          <w:shd w:val="clear" w:color="auto" w:fill="FFFFFF"/>
        </w:rPr>
        <w:t>Takenaka</w:t>
      </w:r>
      <w:proofErr w:type="spellEnd"/>
      <w:r w:rsidRPr="00F14E05">
        <w:rPr>
          <w:rStyle w:val="None"/>
          <w:color w:val="222222"/>
          <w:sz w:val="20"/>
          <w:szCs w:val="20"/>
          <w:u w:color="222222"/>
          <w:shd w:val="clear" w:color="auto" w:fill="FFFFFF"/>
        </w:rPr>
        <w:t xml:space="preserve">, A., </w:t>
      </w:r>
      <w:proofErr w:type="spellStart"/>
      <w:r w:rsidRPr="00F14E05">
        <w:rPr>
          <w:rStyle w:val="None"/>
          <w:color w:val="222222"/>
          <w:sz w:val="20"/>
          <w:szCs w:val="20"/>
          <w:u w:color="222222"/>
          <w:shd w:val="clear" w:color="auto" w:fill="FFFFFF"/>
        </w:rPr>
        <w:t>Ishihama</w:t>
      </w:r>
      <w:proofErr w:type="spellEnd"/>
      <w:r w:rsidRPr="00F14E05">
        <w:rPr>
          <w:rStyle w:val="None"/>
          <w:color w:val="222222"/>
          <w:sz w:val="20"/>
          <w:szCs w:val="20"/>
          <w:u w:color="222222"/>
          <w:shd w:val="clear" w:color="auto" w:fill="FFFFFF"/>
        </w:rPr>
        <w:t xml:space="preserve">, F., Fujita, T., Ogawa, M., </w:t>
      </w:r>
      <w:proofErr w:type="spellStart"/>
      <w:r w:rsidRPr="00F14E05">
        <w:rPr>
          <w:rStyle w:val="None"/>
          <w:color w:val="222222"/>
          <w:sz w:val="20"/>
          <w:szCs w:val="20"/>
          <w:u w:color="222222"/>
          <w:shd w:val="clear" w:color="auto" w:fill="FFFFFF"/>
        </w:rPr>
        <w:t>Katsuyama</w:t>
      </w:r>
      <w:proofErr w:type="spellEnd"/>
      <w:r w:rsidRPr="00F14E05">
        <w:rPr>
          <w:rStyle w:val="None"/>
          <w:color w:val="222222"/>
          <w:sz w:val="20"/>
          <w:szCs w:val="20"/>
          <w:u w:color="222222"/>
          <w:shd w:val="clear" w:color="auto" w:fill="FFFFFF"/>
        </w:rPr>
        <w:t xml:space="preserve">, T., </w:t>
      </w:r>
      <w:proofErr w:type="spellStart"/>
      <w:r w:rsidRPr="00F14E05">
        <w:rPr>
          <w:rStyle w:val="None"/>
          <w:color w:val="222222"/>
          <w:sz w:val="20"/>
          <w:szCs w:val="20"/>
          <w:u w:color="222222"/>
          <w:shd w:val="clear" w:color="auto" w:fill="FFFFFF"/>
        </w:rPr>
        <w:t>Kadono</w:t>
      </w:r>
      <w:proofErr w:type="spellEnd"/>
      <w:r w:rsidRPr="00F14E05">
        <w:rPr>
          <w:rStyle w:val="None"/>
          <w:color w:val="222222"/>
          <w:sz w:val="20"/>
          <w:szCs w:val="20"/>
          <w:u w:color="222222"/>
          <w:shd w:val="clear" w:color="auto" w:fill="FFFFFF"/>
        </w:rPr>
        <w:t xml:space="preserve">, Y., Kawakubo, N., Serizawa, S., Takahashi, H. and </w:t>
      </w:r>
      <w:proofErr w:type="spellStart"/>
      <w:r w:rsidRPr="00F14E05">
        <w:rPr>
          <w:rStyle w:val="None"/>
          <w:color w:val="222222"/>
          <w:sz w:val="20"/>
          <w:szCs w:val="20"/>
          <w:u w:color="222222"/>
          <w:shd w:val="clear" w:color="auto" w:fill="FFFFFF"/>
        </w:rPr>
        <w:t>Takamiya</w:t>
      </w:r>
      <w:proofErr w:type="spellEnd"/>
      <w:r w:rsidRPr="00F14E05">
        <w:rPr>
          <w:rStyle w:val="None"/>
          <w:color w:val="222222"/>
          <w:sz w:val="20"/>
          <w:szCs w:val="20"/>
          <w:u w:color="222222"/>
          <w:shd w:val="clear" w:color="auto" w:fill="FFFFFF"/>
        </w:rPr>
        <w:t>, M. (2014). Crisis of Japanese vascular flora shown by quantifying extinction risks for 1618 taxa. </w:t>
      </w:r>
      <w:proofErr w:type="spellStart"/>
      <w:r w:rsidRPr="00F14E05">
        <w:rPr>
          <w:rStyle w:val="None"/>
          <w:i/>
          <w:iCs/>
          <w:color w:val="222222"/>
          <w:sz w:val="20"/>
          <w:szCs w:val="20"/>
          <w:u w:color="222222"/>
          <w:shd w:val="clear" w:color="auto" w:fill="FFFFFF"/>
        </w:rPr>
        <w:t>PloS</w:t>
      </w:r>
      <w:proofErr w:type="spellEnd"/>
      <w:r w:rsidRPr="00F14E05">
        <w:rPr>
          <w:rStyle w:val="None"/>
          <w:i/>
          <w:iCs/>
          <w:color w:val="222222"/>
          <w:sz w:val="20"/>
          <w:szCs w:val="20"/>
          <w:u w:color="222222"/>
          <w:shd w:val="clear" w:color="auto" w:fill="FFFFFF"/>
        </w:rPr>
        <w:t xml:space="preserve"> one</w:t>
      </w:r>
      <w:r w:rsidRPr="00F14E05">
        <w:rPr>
          <w:rStyle w:val="None"/>
          <w:color w:val="222222"/>
          <w:sz w:val="20"/>
          <w:szCs w:val="20"/>
          <w:u w:color="222222"/>
          <w:shd w:val="clear" w:color="auto" w:fill="FFFFFF"/>
        </w:rPr>
        <w:t>, </w:t>
      </w:r>
      <w:r w:rsidRPr="00F14E05">
        <w:rPr>
          <w:rStyle w:val="None"/>
          <w:i/>
          <w:iCs/>
          <w:color w:val="222222"/>
          <w:sz w:val="20"/>
          <w:szCs w:val="20"/>
          <w:u w:color="222222"/>
          <w:shd w:val="clear" w:color="auto" w:fill="FFFFFF"/>
        </w:rPr>
        <w:t>9</w:t>
      </w:r>
      <w:r w:rsidRPr="00F14E05">
        <w:rPr>
          <w:rStyle w:val="None"/>
          <w:color w:val="222222"/>
          <w:sz w:val="20"/>
          <w:szCs w:val="20"/>
          <w:u w:color="222222"/>
          <w:shd w:val="clear" w:color="auto" w:fill="FFFFFF"/>
        </w:rPr>
        <w:t xml:space="preserve">(6), </w:t>
      </w:r>
      <w:proofErr w:type="gramStart"/>
      <w:r w:rsidRPr="00F14E05">
        <w:rPr>
          <w:rStyle w:val="None"/>
          <w:color w:val="222222"/>
          <w:sz w:val="20"/>
          <w:szCs w:val="20"/>
          <w:u w:color="222222"/>
          <w:shd w:val="clear" w:color="auto" w:fill="FFFFFF"/>
        </w:rPr>
        <w:t>p.e</w:t>
      </w:r>
      <w:proofErr w:type="gramEnd"/>
      <w:r w:rsidRPr="00F14E05">
        <w:rPr>
          <w:rStyle w:val="None"/>
          <w:color w:val="222222"/>
          <w:sz w:val="20"/>
          <w:szCs w:val="20"/>
          <w:u w:color="222222"/>
          <w:shd w:val="clear" w:color="auto" w:fill="FFFFFF"/>
        </w:rPr>
        <w:t>98954.</w:t>
      </w:r>
    </w:p>
    <w:p w14:paraId="13D31FFF" w14:textId="77777777" w:rsidR="001F3F0B" w:rsidRPr="00F14E05" w:rsidRDefault="001F3F0B" w:rsidP="001F3F0B">
      <w:pPr>
        <w:spacing w:after="100"/>
        <w:ind w:left="284" w:hanging="284"/>
        <w:rPr>
          <w:rStyle w:val="None"/>
          <w:rFonts w:eastAsia="Arial"/>
          <w:color w:val="222222"/>
          <w:sz w:val="20"/>
          <w:szCs w:val="20"/>
          <w:u w:color="222222"/>
          <w:shd w:val="clear" w:color="auto" w:fill="FFFFFF"/>
        </w:rPr>
      </w:pPr>
      <w:proofErr w:type="spellStart"/>
      <w:r w:rsidRPr="00F14E05">
        <w:rPr>
          <w:rStyle w:val="None"/>
          <w:color w:val="222222"/>
          <w:sz w:val="20"/>
          <w:szCs w:val="20"/>
          <w:u w:color="222222"/>
          <w:shd w:val="clear" w:color="auto" w:fill="FFFFFF"/>
        </w:rPr>
        <w:t>Krueck</w:t>
      </w:r>
      <w:proofErr w:type="spellEnd"/>
      <w:r w:rsidRPr="00F14E05">
        <w:rPr>
          <w:rStyle w:val="None"/>
          <w:color w:val="222222"/>
          <w:sz w:val="20"/>
          <w:szCs w:val="20"/>
          <w:u w:color="222222"/>
          <w:shd w:val="clear" w:color="auto" w:fill="FFFFFF"/>
        </w:rPr>
        <w:t xml:space="preserve">, N.C., </w:t>
      </w:r>
      <w:proofErr w:type="spellStart"/>
      <w:r w:rsidRPr="00F14E05">
        <w:rPr>
          <w:rStyle w:val="None"/>
          <w:color w:val="222222"/>
          <w:sz w:val="20"/>
          <w:szCs w:val="20"/>
          <w:u w:color="222222"/>
          <w:shd w:val="clear" w:color="auto" w:fill="FFFFFF"/>
        </w:rPr>
        <w:t>Ahmadia</w:t>
      </w:r>
      <w:proofErr w:type="spellEnd"/>
      <w:r w:rsidRPr="00F14E05">
        <w:rPr>
          <w:rStyle w:val="None"/>
          <w:color w:val="222222"/>
          <w:sz w:val="20"/>
          <w:szCs w:val="20"/>
          <w:u w:color="222222"/>
          <w:shd w:val="clear" w:color="auto" w:fill="FFFFFF"/>
        </w:rPr>
        <w:t xml:space="preserve">, G.N., </w:t>
      </w:r>
      <w:proofErr w:type="spellStart"/>
      <w:r w:rsidRPr="00F14E05">
        <w:rPr>
          <w:rStyle w:val="None"/>
          <w:color w:val="222222"/>
          <w:sz w:val="20"/>
          <w:szCs w:val="20"/>
          <w:u w:color="222222"/>
          <w:shd w:val="clear" w:color="auto" w:fill="FFFFFF"/>
        </w:rPr>
        <w:t>Possingham</w:t>
      </w:r>
      <w:proofErr w:type="spellEnd"/>
      <w:r w:rsidRPr="00F14E05">
        <w:rPr>
          <w:rStyle w:val="None"/>
          <w:color w:val="222222"/>
          <w:sz w:val="20"/>
          <w:szCs w:val="20"/>
          <w:u w:color="222222"/>
          <w:shd w:val="clear" w:color="auto" w:fill="FFFFFF"/>
        </w:rPr>
        <w:t xml:space="preserve">, H.P., </w:t>
      </w:r>
      <w:proofErr w:type="spellStart"/>
      <w:r w:rsidRPr="00F14E05">
        <w:rPr>
          <w:rStyle w:val="None"/>
          <w:color w:val="222222"/>
          <w:sz w:val="20"/>
          <w:szCs w:val="20"/>
          <w:u w:color="222222"/>
          <w:shd w:val="clear" w:color="auto" w:fill="FFFFFF"/>
        </w:rPr>
        <w:t>Riginos</w:t>
      </w:r>
      <w:proofErr w:type="spellEnd"/>
      <w:r w:rsidRPr="00F14E05">
        <w:rPr>
          <w:rStyle w:val="None"/>
          <w:color w:val="222222"/>
          <w:sz w:val="20"/>
          <w:szCs w:val="20"/>
          <w:u w:color="222222"/>
          <w:shd w:val="clear" w:color="auto" w:fill="FFFFFF"/>
        </w:rPr>
        <w:t xml:space="preserve">, C., </w:t>
      </w:r>
      <w:proofErr w:type="spellStart"/>
      <w:r w:rsidRPr="00F14E05">
        <w:rPr>
          <w:rStyle w:val="None"/>
          <w:color w:val="222222"/>
          <w:sz w:val="20"/>
          <w:szCs w:val="20"/>
          <w:u w:color="222222"/>
          <w:shd w:val="clear" w:color="auto" w:fill="FFFFFF"/>
        </w:rPr>
        <w:t>Treml</w:t>
      </w:r>
      <w:proofErr w:type="spellEnd"/>
      <w:r w:rsidRPr="00F14E05">
        <w:rPr>
          <w:rStyle w:val="None"/>
          <w:color w:val="222222"/>
          <w:sz w:val="20"/>
          <w:szCs w:val="20"/>
          <w:u w:color="222222"/>
          <w:shd w:val="clear" w:color="auto" w:fill="FFFFFF"/>
        </w:rPr>
        <w:t xml:space="preserve">, E.A. and </w:t>
      </w:r>
      <w:proofErr w:type="spellStart"/>
      <w:r w:rsidRPr="00F14E05">
        <w:rPr>
          <w:rStyle w:val="None"/>
          <w:color w:val="222222"/>
          <w:sz w:val="20"/>
          <w:szCs w:val="20"/>
          <w:u w:color="222222"/>
          <w:shd w:val="clear" w:color="auto" w:fill="FFFFFF"/>
        </w:rPr>
        <w:t>Mumby</w:t>
      </w:r>
      <w:proofErr w:type="spellEnd"/>
      <w:r w:rsidRPr="00F14E05">
        <w:rPr>
          <w:rStyle w:val="None"/>
          <w:color w:val="222222"/>
          <w:sz w:val="20"/>
          <w:szCs w:val="20"/>
          <w:u w:color="222222"/>
          <w:shd w:val="clear" w:color="auto" w:fill="FFFFFF"/>
        </w:rPr>
        <w:t>, P.J. (2017). Marine reserve targets to sustain and rebuild unregulated fisheries. </w:t>
      </w:r>
      <w:proofErr w:type="spellStart"/>
      <w:r w:rsidRPr="00F14E05">
        <w:rPr>
          <w:rStyle w:val="None"/>
          <w:i/>
          <w:iCs/>
          <w:color w:val="222222"/>
          <w:sz w:val="20"/>
          <w:szCs w:val="20"/>
          <w:u w:color="222222"/>
          <w:shd w:val="clear" w:color="auto" w:fill="FFFFFF"/>
        </w:rPr>
        <w:t>PLoS</w:t>
      </w:r>
      <w:proofErr w:type="spellEnd"/>
      <w:r w:rsidRPr="00F14E05">
        <w:rPr>
          <w:rStyle w:val="None"/>
          <w:i/>
          <w:iCs/>
          <w:color w:val="222222"/>
          <w:sz w:val="20"/>
          <w:szCs w:val="20"/>
          <w:u w:color="222222"/>
          <w:shd w:val="clear" w:color="auto" w:fill="FFFFFF"/>
        </w:rPr>
        <w:t xml:space="preserve"> biology</w:t>
      </w:r>
      <w:r w:rsidRPr="00F14E05">
        <w:rPr>
          <w:rStyle w:val="None"/>
          <w:color w:val="222222"/>
          <w:sz w:val="20"/>
          <w:szCs w:val="20"/>
          <w:u w:color="222222"/>
          <w:shd w:val="clear" w:color="auto" w:fill="FFFFFF"/>
        </w:rPr>
        <w:t>, </w:t>
      </w:r>
      <w:r w:rsidRPr="00F14E05">
        <w:rPr>
          <w:rStyle w:val="None"/>
          <w:i/>
          <w:iCs/>
          <w:color w:val="222222"/>
          <w:sz w:val="20"/>
          <w:szCs w:val="20"/>
          <w:u w:color="222222"/>
          <w:shd w:val="clear" w:color="auto" w:fill="FFFFFF"/>
        </w:rPr>
        <w:t>15</w:t>
      </w:r>
      <w:r w:rsidRPr="00F14E05">
        <w:rPr>
          <w:rStyle w:val="None"/>
          <w:color w:val="222222"/>
          <w:sz w:val="20"/>
          <w:szCs w:val="20"/>
          <w:u w:color="222222"/>
          <w:shd w:val="clear" w:color="auto" w:fill="FFFFFF"/>
        </w:rPr>
        <w:t xml:space="preserve">(1), </w:t>
      </w:r>
      <w:proofErr w:type="gramStart"/>
      <w:r w:rsidRPr="00F14E05">
        <w:rPr>
          <w:rStyle w:val="None"/>
          <w:color w:val="222222"/>
          <w:sz w:val="20"/>
          <w:szCs w:val="20"/>
          <w:u w:color="222222"/>
          <w:shd w:val="clear" w:color="auto" w:fill="FFFFFF"/>
        </w:rPr>
        <w:t>p.e</w:t>
      </w:r>
      <w:proofErr w:type="gramEnd"/>
      <w:r w:rsidRPr="00F14E05">
        <w:rPr>
          <w:rStyle w:val="None"/>
          <w:color w:val="222222"/>
          <w:sz w:val="20"/>
          <w:szCs w:val="20"/>
          <w:u w:color="222222"/>
          <w:shd w:val="clear" w:color="auto" w:fill="FFFFFF"/>
        </w:rPr>
        <w:t>2000537.</w:t>
      </w:r>
    </w:p>
    <w:p w14:paraId="257F2818" w14:textId="77777777" w:rsidR="001F3F0B" w:rsidRPr="00F14E05" w:rsidRDefault="001F3F0B" w:rsidP="001F3F0B">
      <w:pPr>
        <w:spacing w:after="100"/>
        <w:ind w:left="284" w:hanging="284"/>
        <w:rPr>
          <w:sz w:val="20"/>
          <w:szCs w:val="20"/>
          <w:shd w:val="clear" w:color="auto" w:fill="FFFFFF"/>
        </w:rPr>
      </w:pPr>
      <w:proofErr w:type="spellStart"/>
      <w:r w:rsidRPr="00F14E05">
        <w:rPr>
          <w:rStyle w:val="None"/>
          <w:color w:val="222222"/>
          <w:sz w:val="20"/>
          <w:szCs w:val="20"/>
          <w:u w:color="222222"/>
        </w:rPr>
        <w:t>Laffoley</w:t>
      </w:r>
      <w:proofErr w:type="spellEnd"/>
      <w:r w:rsidRPr="00F14E05">
        <w:rPr>
          <w:sz w:val="20"/>
          <w:szCs w:val="20"/>
          <w:shd w:val="clear" w:color="auto" w:fill="FFFFFF"/>
        </w:rPr>
        <w:t>, D., Dudley, N., Jonas, H., MacKinnon, D., MacKinnon, K., Hockings, M. and Woodley, S., (2017). An introduction to ‘other effective area</w:t>
      </w:r>
      <w:r w:rsidRPr="00F14E05">
        <w:rPr>
          <w:rFonts w:ascii="Cambria Math" w:hAnsi="Cambria Math" w:cs="Cambria Math"/>
          <w:sz w:val="20"/>
          <w:szCs w:val="20"/>
          <w:shd w:val="clear" w:color="auto" w:fill="FFFFFF"/>
        </w:rPr>
        <w:t>‐</w:t>
      </w:r>
      <w:r w:rsidRPr="00F14E05">
        <w:rPr>
          <w:sz w:val="20"/>
          <w:szCs w:val="20"/>
          <w:shd w:val="clear" w:color="auto" w:fill="FFFFFF"/>
        </w:rPr>
        <w:t>based conservation measures’ under Aichi Target 11 of the Convention on Biological Diversity: Origin, interpretation and emerging ocean issues. </w:t>
      </w:r>
      <w:r w:rsidRPr="00F14E05">
        <w:rPr>
          <w:i/>
          <w:iCs/>
          <w:sz w:val="20"/>
          <w:szCs w:val="20"/>
          <w:shd w:val="clear" w:color="auto" w:fill="FFFFFF"/>
        </w:rPr>
        <w:t>Aquatic Conservation: Marine and Freshwater Ecosystems</w:t>
      </w:r>
      <w:r w:rsidRPr="00F14E05">
        <w:rPr>
          <w:sz w:val="20"/>
          <w:szCs w:val="20"/>
          <w:shd w:val="clear" w:color="auto" w:fill="FFFFFF"/>
        </w:rPr>
        <w:t>, </w:t>
      </w:r>
      <w:r w:rsidRPr="00F14E05">
        <w:rPr>
          <w:i/>
          <w:iCs/>
          <w:sz w:val="20"/>
          <w:szCs w:val="20"/>
          <w:shd w:val="clear" w:color="auto" w:fill="FFFFFF"/>
        </w:rPr>
        <w:t>27</w:t>
      </w:r>
      <w:r w:rsidRPr="00F14E05">
        <w:rPr>
          <w:sz w:val="20"/>
          <w:szCs w:val="20"/>
          <w:shd w:val="clear" w:color="auto" w:fill="FFFFFF"/>
        </w:rPr>
        <w:t>(S1), pp.130-137.</w:t>
      </w:r>
    </w:p>
    <w:p w14:paraId="1A31EBE0" w14:textId="77777777" w:rsidR="001F3F0B" w:rsidRPr="00F14E05" w:rsidRDefault="001F3F0B" w:rsidP="001F3F0B">
      <w:pPr>
        <w:spacing w:after="100"/>
        <w:ind w:left="284" w:hanging="284"/>
        <w:rPr>
          <w:rStyle w:val="None"/>
          <w:rFonts w:eastAsia="Arial"/>
          <w:color w:val="222222"/>
          <w:sz w:val="20"/>
          <w:szCs w:val="20"/>
          <w:u w:color="222222"/>
          <w:shd w:val="clear" w:color="auto" w:fill="FFFFFF"/>
        </w:rPr>
      </w:pPr>
      <w:r w:rsidRPr="00F14E05">
        <w:rPr>
          <w:rStyle w:val="None"/>
          <w:color w:val="222222"/>
          <w:sz w:val="20"/>
          <w:szCs w:val="20"/>
          <w:u w:color="222222"/>
        </w:rPr>
        <w:t>Larsen</w:t>
      </w:r>
      <w:r w:rsidRPr="00F14E05">
        <w:rPr>
          <w:rStyle w:val="None"/>
          <w:color w:val="222222"/>
          <w:sz w:val="20"/>
          <w:szCs w:val="20"/>
          <w:u w:color="222222"/>
          <w:shd w:val="clear" w:color="auto" w:fill="FFFFFF"/>
        </w:rPr>
        <w:t>, F.W., Turner, W.R. and Mittermeier, R.A. (2015). Will protection of 17% of land by 2020 be enough to safeguard biodiversity and critical ecosystem services? </w:t>
      </w:r>
      <w:r w:rsidRPr="00F14E05">
        <w:rPr>
          <w:rStyle w:val="None"/>
          <w:i/>
          <w:iCs/>
          <w:color w:val="222222"/>
          <w:sz w:val="20"/>
          <w:szCs w:val="20"/>
          <w:u w:color="222222"/>
          <w:shd w:val="clear" w:color="auto" w:fill="FFFFFF"/>
        </w:rPr>
        <w:t>Oryx</w:t>
      </w:r>
      <w:r w:rsidRPr="00F14E05">
        <w:rPr>
          <w:rStyle w:val="None"/>
          <w:color w:val="222222"/>
          <w:sz w:val="20"/>
          <w:szCs w:val="20"/>
          <w:u w:color="222222"/>
          <w:shd w:val="clear" w:color="auto" w:fill="FFFFFF"/>
        </w:rPr>
        <w:t>, </w:t>
      </w:r>
      <w:r w:rsidRPr="00F14E05">
        <w:rPr>
          <w:rStyle w:val="None"/>
          <w:i/>
          <w:iCs/>
          <w:color w:val="222222"/>
          <w:sz w:val="20"/>
          <w:szCs w:val="20"/>
          <w:u w:color="222222"/>
          <w:shd w:val="clear" w:color="auto" w:fill="FFFFFF"/>
        </w:rPr>
        <w:t>49</w:t>
      </w:r>
      <w:r w:rsidRPr="00F14E05">
        <w:rPr>
          <w:rStyle w:val="None"/>
          <w:color w:val="222222"/>
          <w:sz w:val="20"/>
          <w:szCs w:val="20"/>
          <w:u w:color="222222"/>
          <w:shd w:val="clear" w:color="auto" w:fill="FFFFFF"/>
        </w:rPr>
        <w:t>(1), pp.74-79.</w:t>
      </w:r>
    </w:p>
    <w:p w14:paraId="0832AAF9" w14:textId="77777777" w:rsidR="001F3F0B" w:rsidRPr="00F14E05" w:rsidRDefault="001F3F0B" w:rsidP="001F3F0B">
      <w:pPr>
        <w:spacing w:after="100"/>
        <w:ind w:left="284" w:hanging="284"/>
        <w:rPr>
          <w:rStyle w:val="None"/>
          <w:rFonts w:eastAsia="Arial"/>
          <w:color w:val="222222"/>
          <w:sz w:val="20"/>
          <w:szCs w:val="20"/>
          <w:u w:color="222222"/>
          <w:shd w:val="clear" w:color="auto" w:fill="FFFFFF"/>
        </w:rPr>
      </w:pPr>
      <w:r w:rsidRPr="00F14E05">
        <w:rPr>
          <w:rStyle w:val="None"/>
          <w:color w:val="222222"/>
          <w:sz w:val="20"/>
          <w:szCs w:val="20"/>
          <w:u w:color="222222"/>
        </w:rPr>
        <w:t>Locke</w:t>
      </w:r>
      <w:r w:rsidRPr="00F14E05">
        <w:rPr>
          <w:rStyle w:val="None"/>
          <w:color w:val="222222"/>
          <w:sz w:val="20"/>
          <w:szCs w:val="20"/>
          <w:u w:color="222222"/>
          <w:shd w:val="clear" w:color="auto" w:fill="FFFFFF"/>
        </w:rPr>
        <w:t>, H. (2014). Nature needs half: a necessary and hopeful new agenda for protected areas. </w:t>
      </w:r>
      <w:r w:rsidRPr="00F14E05">
        <w:rPr>
          <w:rStyle w:val="None"/>
          <w:i/>
          <w:iCs/>
          <w:color w:val="222222"/>
          <w:sz w:val="20"/>
          <w:szCs w:val="20"/>
          <w:u w:color="222222"/>
          <w:shd w:val="clear" w:color="auto" w:fill="FFFFFF"/>
        </w:rPr>
        <w:t>Nature New South Wales</w:t>
      </w:r>
      <w:r w:rsidRPr="00F14E05">
        <w:rPr>
          <w:rStyle w:val="None"/>
          <w:color w:val="222222"/>
          <w:sz w:val="20"/>
          <w:szCs w:val="20"/>
          <w:u w:color="222222"/>
          <w:shd w:val="clear" w:color="auto" w:fill="FFFFFF"/>
        </w:rPr>
        <w:t>, </w:t>
      </w:r>
      <w:r w:rsidRPr="00F14E05">
        <w:rPr>
          <w:rStyle w:val="None"/>
          <w:i/>
          <w:iCs/>
          <w:color w:val="222222"/>
          <w:sz w:val="20"/>
          <w:szCs w:val="20"/>
          <w:u w:color="222222"/>
          <w:shd w:val="clear" w:color="auto" w:fill="FFFFFF"/>
          <w:lang w:val="ru-RU"/>
        </w:rPr>
        <w:t>58</w:t>
      </w:r>
      <w:r w:rsidRPr="00F14E05">
        <w:rPr>
          <w:rStyle w:val="None"/>
          <w:color w:val="222222"/>
          <w:sz w:val="20"/>
          <w:szCs w:val="20"/>
          <w:u w:color="222222"/>
          <w:shd w:val="clear" w:color="auto" w:fill="FFFFFF"/>
        </w:rPr>
        <w:t>(3), p.7.</w:t>
      </w:r>
    </w:p>
    <w:p w14:paraId="1AD5C795" w14:textId="77777777" w:rsidR="001F3F0B" w:rsidRPr="00F14E05" w:rsidRDefault="001F3F0B" w:rsidP="001F3F0B">
      <w:pPr>
        <w:spacing w:after="100"/>
        <w:ind w:left="284" w:hanging="284"/>
        <w:rPr>
          <w:rStyle w:val="None"/>
          <w:rFonts w:eastAsia="Arial"/>
          <w:color w:val="222222"/>
          <w:sz w:val="20"/>
          <w:szCs w:val="20"/>
          <w:u w:color="222222"/>
          <w:shd w:val="clear" w:color="auto" w:fill="FFFFFF"/>
        </w:rPr>
      </w:pPr>
      <w:r w:rsidRPr="00F14E05">
        <w:rPr>
          <w:rStyle w:val="None"/>
          <w:color w:val="222222"/>
          <w:sz w:val="20"/>
          <w:szCs w:val="20"/>
          <w:u w:color="222222"/>
          <w:shd w:val="clear" w:color="auto" w:fill="FFFFFF"/>
          <w:lang w:val="it-IT"/>
        </w:rPr>
        <w:t>Mace, G.M., Perrings, C., Le Prestre, P., Cramer, W., D</w:t>
      </w:r>
      <w:proofErr w:type="spellStart"/>
      <w:r w:rsidRPr="00F14E05">
        <w:rPr>
          <w:rStyle w:val="None"/>
          <w:color w:val="222222"/>
          <w:sz w:val="20"/>
          <w:szCs w:val="20"/>
          <w:u w:color="222222"/>
          <w:shd w:val="clear" w:color="auto" w:fill="FFFFFF"/>
        </w:rPr>
        <w:t>íaz</w:t>
      </w:r>
      <w:proofErr w:type="spellEnd"/>
      <w:r w:rsidRPr="00F14E05">
        <w:rPr>
          <w:rStyle w:val="None"/>
          <w:color w:val="222222"/>
          <w:sz w:val="20"/>
          <w:szCs w:val="20"/>
          <w:u w:color="222222"/>
          <w:shd w:val="clear" w:color="auto" w:fill="FFFFFF"/>
        </w:rPr>
        <w:t xml:space="preserve">, S., </w:t>
      </w:r>
      <w:proofErr w:type="spellStart"/>
      <w:r w:rsidRPr="00F14E05">
        <w:rPr>
          <w:rStyle w:val="None"/>
          <w:color w:val="222222"/>
          <w:sz w:val="20"/>
          <w:szCs w:val="20"/>
          <w:u w:color="222222"/>
          <w:shd w:val="clear" w:color="auto" w:fill="FFFFFF"/>
        </w:rPr>
        <w:t>Larigauderie</w:t>
      </w:r>
      <w:proofErr w:type="spellEnd"/>
      <w:r w:rsidRPr="00F14E05">
        <w:rPr>
          <w:rStyle w:val="None"/>
          <w:color w:val="222222"/>
          <w:sz w:val="20"/>
          <w:szCs w:val="20"/>
          <w:u w:color="222222"/>
          <w:shd w:val="clear" w:color="auto" w:fill="FFFFFF"/>
        </w:rPr>
        <w:t xml:space="preserve">, A., Scholes, R.J. and </w:t>
      </w:r>
      <w:r w:rsidRPr="00F14E05">
        <w:rPr>
          <w:rStyle w:val="None"/>
          <w:color w:val="222222"/>
          <w:sz w:val="20"/>
          <w:szCs w:val="20"/>
          <w:u w:color="222222"/>
        </w:rPr>
        <w:t>Mooney</w:t>
      </w:r>
      <w:r w:rsidRPr="00F14E05">
        <w:rPr>
          <w:rStyle w:val="None"/>
          <w:color w:val="222222"/>
          <w:sz w:val="20"/>
          <w:szCs w:val="20"/>
          <w:u w:color="222222"/>
          <w:shd w:val="clear" w:color="auto" w:fill="FFFFFF"/>
        </w:rPr>
        <w:t>, H.A. (2013). Science to Policy Linkages for the Post</w:t>
      </w:r>
      <w:r w:rsidRPr="00F14E05">
        <w:rPr>
          <w:rStyle w:val="None"/>
          <w:rFonts w:ascii="Cambria Math" w:eastAsia="Cambria Math" w:hAnsi="Cambria Math" w:cs="Cambria Math"/>
          <w:color w:val="222222"/>
          <w:sz w:val="20"/>
          <w:szCs w:val="20"/>
          <w:u w:color="222222"/>
          <w:shd w:val="clear" w:color="auto" w:fill="FFFFFF"/>
        </w:rPr>
        <w:t>‐</w:t>
      </w:r>
      <w:r w:rsidRPr="00F14E05">
        <w:rPr>
          <w:rStyle w:val="None"/>
          <w:color w:val="222222"/>
          <w:sz w:val="20"/>
          <w:szCs w:val="20"/>
          <w:u w:color="222222"/>
          <w:shd w:val="clear" w:color="auto" w:fill="FFFFFF"/>
        </w:rPr>
        <w:t>2010 Biodiversity Targets. </w:t>
      </w:r>
      <w:r w:rsidRPr="00F14E05">
        <w:rPr>
          <w:rStyle w:val="None"/>
          <w:i/>
          <w:iCs/>
          <w:color w:val="222222"/>
          <w:sz w:val="20"/>
          <w:szCs w:val="20"/>
          <w:u w:color="222222"/>
          <w:shd w:val="clear" w:color="auto" w:fill="FFFFFF"/>
        </w:rPr>
        <w:t>Biodiversity Monitoring and Conservation: Bridging the Gap between Global Commitment and Local Action</w:t>
      </w:r>
      <w:r w:rsidRPr="00F14E05">
        <w:rPr>
          <w:rStyle w:val="None"/>
          <w:color w:val="222222"/>
          <w:sz w:val="20"/>
          <w:szCs w:val="20"/>
          <w:u w:color="222222"/>
          <w:shd w:val="clear" w:color="auto" w:fill="FFFFFF"/>
        </w:rPr>
        <w:t>, pp.291-310.</w:t>
      </w:r>
    </w:p>
    <w:p w14:paraId="165670A7" w14:textId="77777777" w:rsidR="001F3F0B" w:rsidRPr="00F14E05" w:rsidRDefault="001F3F0B" w:rsidP="001F3F0B">
      <w:pPr>
        <w:spacing w:after="100"/>
        <w:ind w:left="284" w:hanging="284"/>
        <w:rPr>
          <w:sz w:val="20"/>
          <w:szCs w:val="20"/>
          <w:shd w:val="clear" w:color="auto" w:fill="FFFFFF"/>
        </w:rPr>
      </w:pPr>
      <w:proofErr w:type="spellStart"/>
      <w:r w:rsidRPr="00F14E05">
        <w:rPr>
          <w:sz w:val="20"/>
          <w:szCs w:val="20"/>
          <w:shd w:val="clear" w:color="auto" w:fill="FFFFFF"/>
        </w:rPr>
        <w:t>McGeoch</w:t>
      </w:r>
      <w:proofErr w:type="spellEnd"/>
      <w:r w:rsidRPr="00F14E05">
        <w:rPr>
          <w:sz w:val="20"/>
          <w:szCs w:val="20"/>
          <w:shd w:val="clear" w:color="auto" w:fill="FFFFFF"/>
        </w:rPr>
        <w:t xml:space="preserve">, M.A., </w:t>
      </w:r>
      <w:proofErr w:type="spellStart"/>
      <w:r w:rsidRPr="00F14E05">
        <w:rPr>
          <w:sz w:val="20"/>
          <w:szCs w:val="20"/>
          <w:shd w:val="clear" w:color="auto" w:fill="FFFFFF"/>
        </w:rPr>
        <w:t>Genovesi</w:t>
      </w:r>
      <w:proofErr w:type="spellEnd"/>
      <w:r w:rsidRPr="00F14E05">
        <w:rPr>
          <w:sz w:val="20"/>
          <w:szCs w:val="20"/>
          <w:shd w:val="clear" w:color="auto" w:fill="FFFFFF"/>
        </w:rPr>
        <w:t xml:space="preserve">, P., Bellingham, P.J., Costello, M.J., </w:t>
      </w:r>
      <w:proofErr w:type="spellStart"/>
      <w:r w:rsidRPr="00F14E05">
        <w:rPr>
          <w:sz w:val="20"/>
          <w:szCs w:val="20"/>
          <w:shd w:val="clear" w:color="auto" w:fill="FFFFFF"/>
        </w:rPr>
        <w:t>McGrannachan</w:t>
      </w:r>
      <w:proofErr w:type="spellEnd"/>
      <w:r w:rsidRPr="00F14E05">
        <w:rPr>
          <w:sz w:val="20"/>
          <w:szCs w:val="20"/>
          <w:shd w:val="clear" w:color="auto" w:fill="FFFFFF"/>
        </w:rPr>
        <w:t>, C. and Sheppard, A. (</w:t>
      </w:r>
      <w:r w:rsidRPr="00F14E05">
        <w:rPr>
          <w:rStyle w:val="None"/>
          <w:color w:val="222222"/>
          <w:sz w:val="20"/>
          <w:szCs w:val="20"/>
          <w:u w:color="222222"/>
          <w:lang w:val="it-IT"/>
        </w:rPr>
        <w:t>2016</w:t>
      </w:r>
      <w:r w:rsidRPr="00F14E05">
        <w:rPr>
          <w:sz w:val="20"/>
          <w:szCs w:val="20"/>
          <w:shd w:val="clear" w:color="auto" w:fill="FFFFFF"/>
        </w:rPr>
        <w:t xml:space="preserve">). </w:t>
      </w:r>
      <w:r w:rsidRPr="00F14E05">
        <w:rPr>
          <w:rStyle w:val="None"/>
          <w:color w:val="222222"/>
          <w:sz w:val="20"/>
          <w:szCs w:val="20"/>
          <w:u w:color="222222"/>
        </w:rPr>
        <w:t>P</w:t>
      </w:r>
      <w:r w:rsidRPr="00F14E05">
        <w:rPr>
          <w:sz w:val="20"/>
          <w:szCs w:val="20"/>
          <w:shd w:val="clear" w:color="auto" w:fill="FFFFFF"/>
        </w:rPr>
        <w:t>rioritizing species, pathways, and sites to achieve conservation targets for biological invasion. </w:t>
      </w:r>
      <w:r w:rsidRPr="00F14E05">
        <w:rPr>
          <w:i/>
          <w:iCs/>
          <w:sz w:val="20"/>
          <w:szCs w:val="20"/>
          <w:shd w:val="clear" w:color="auto" w:fill="FFFFFF"/>
        </w:rPr>
        <w:t>Biological Invasions</w:t>
      </w:r>
      <w:r w:rsidRPr="00F14E05">
        <w:rPr>
          <w:sz w:val="20"/>
          <w:szCs w:val="20"/>
          <w:shd w:val="clear" w:color="auto" w:fill="FFFFFF"/>
        </w:rPr>
        <w:t>, </w:t>
      </w:r>
      <w:r w:rsidRPr="00F14E05">
        <w:rPr>
          <w:i/>
          <w:iCs/>
          <w:sz w:val="20"/>
          <w:szCs w:val="20"/>
          <w:shd w:val="clear" w:color="auto" w:fill="FFFFFF"/>
        </w:rPr>
        <w:t>18</w:t>
      </w:r>
      <w:r w:rsidRPr="00F14E05">
        <w:rPr>
          <w:sz w:val="20"/>
          <w:szCs w:val="20"/>
          <w:shd w:val="clear" w:color="auto" w:fill="FFFFFF"/>
        </w:rPr>
        <w:t>(2), pp.299-314.</w:t>
      </w:r>
    </w:p>
    <w:p w14:paraId="0D2C8220" w14:textId="77777777" w:rsidR="001F3F0B" w:rsidRPr="00F14E05" w:rsidRDefault="001F3F0B" w:rsidP="001F3F0B">
      <w:pPr>
        <w:spacing w:after="100"/>
        <w:ind w:left="284" w:hanging="284"/>
        <w:rPr>
          <w:rStyle w:val="None"/>
          <w:rFonts w:eastAsia="Arial"/>
          <w:color w:val="222222"/>
          <w:sz w:val="20"/>
          <w:szCs w:val="20"/>
          <w:u w:color="222222"/>
          <w:shd w:val="clear" w:color="auto" w:fill="FFFFFF"/>
        </w:rPr>
      </w:pPr>
      <w:r w:rsidRPr="00F14E05">
        <w:rPr>
          <w:rStyle w:val="None"/>
          <w:color w:val="222222"/>
          <w:sz w:val="20"/>
          <w:szCs w:val="20"/>
          <w:u w:color="222222"/>
          <w:lang w:val="it-IT"/>
        </w:rPr>
        <w:t>O'Leary</w:t>
      </w:r>
      <w:r w:rsidRPr="00F14E05">
        <w:rPr>
          <w:rStyle w:val="None"/>
          <w:color w:val="222222"/>
          <w:sz w:val="20"/>
          <w:szCs w:val="20"/>
          <w:u w:color="222222"/>
          <w:shd w:val="clear" w:color="auto" w:fill="FFFFFF"/>
        </w:rPr>
        <w:t xml:space="preserve">, B.C., </w:t>
      </w:r>
      <w:proofErr w:type="spellStart"/>
      <w:r w:rsidRPr="00F14E05">
        <w:rPr>
          <w:rStyle w:val="None"/>
          <w:color w:val="222222"/>
          <w:sz w:val="20"/>
          <w:szCs w:val="20"/>
          <w:u w:color="222222"/>
          <w:shd w:val="clear" w:color="auto" w:fill="FFFFFF"/>
        </w:rPr>
        <w:t>Winther</w:t>
      </w:r>
      <w:proofErr w:type="spellEnd"/>
      <w:r w:rsidRPr="00F14E05">
        <w:rPr>
          <w:rStyle w:val="None"/>
          <w:rFonts w:ascii="Cambria Math" w:eastAsia="Cambria Math" w:hAnsi="Cambria Math" w:cs="Cambria Math"/>
          <w:color w:val="222222"/>
          <w:sz w:val="20"/>
          <w:szCs w:val="20"/>
          <w:u w:color="222222"/>
          <w:shd w:val="clear" w:color="auto" w:fill="FFFFFF"/>
        </w:rPr>
        <w:t>‐</w:t>
      </w:r>
      <w:r w:rsidRPr="00F14E05">
        <w:rPr>
          <w:rStyle w:val="None"/>
          <w:color w:val="222222"/>
          <w:sz w:val="20"/>
          <w:szCs w:val="20"/>
          <w:u w:color="222222"/>
          <w:shd w:val="clear" w:color="auto" w:fill="FFFFFF"/>
        </w:rPr>
        <w:t>Janson, M., Bainbridge, J.M., Aitken, J., Hawkins, J.P. and Roberts, C.M. (2016). Effective coverage targets for ocean protection. </w:t>
      </w:r>
      <w:r w:rsidRPr="00F14E05">
        <w:rPr>
          <w:rStyle w:val="None"/>
          <w:i/>
          <w:iCs/>
          <w:color w:val="222222"/>
          <w:sz w:val="20"/>
          <w:szCs w:val="20"/>
          <w:u w:color="222222"/>
          <w:shd w:val="clear" w:color="auto" w:fill="FFFFFF"/>
        </w:rPr>
        <w:t>Conservation Letters</w:t>
      </w:r>
      <w:r w:rsidRPr="00F14E05">
        <w:rPr>
          <w:rStyle w:val="None"/>
          <w:color w:val="222222"/>
          <w:sz w:val="20"/>
          <w:szCs w:val="20"/>
          <w:u w:color="222222"/>
          <w:shd w:val="clear" w:color="auto" w:fill="FFFFFF"/>
        </w:rPr>
        <w:t>, </w:t>
      </w:r>
      <w:r w:rsidRPr="00F14E05">
        <w:rPr>
          <w:rStyle w:val="None"/>
          <w:i/>
          <w:iCs/>
          <w:color w:val="222222"/>
          <w:sz w:val="20"/>
          <w:szCs w:val="20"/>
          <w:u w:color="222222"/>
          <w:shd w:val="clear" w:color="auto" w:fill="FFFFFF"/>
        </w:rPr>
        <w:t>9</w:t>
      </w:r>
      <w:r w:rsidRPr="00F14E05">
        <w:rPr>
          <w:rStyle w:val="None"/>
          <w:color w:val="222222"/>
          <w:sz w:val="20"/>
          <w:szCs w:val="20"/>
          <w:u w:color="222222"/>
          <w:shd w:val="clear" w:color="auto" w:fill="FFFFFF"/>
        </w:rPr>
        <w:t>(6), pp.398-404.</w:t>
      </w:r>
    </w:p>
    <w:p w14:paraId="7F88B5BA" w14:textId="77777777" w:rsidR="001F3F0B" w:rsidRPr="00F14E05" w:rsidRDefault="001F3F0B" w:rsidP="001F3F0B">
      <w:pPr>
        <w:spacing w:after="100"/>
        <w:ind w:left="284" w:hanging="284"/>
        <w:rPr>
          <w:sz w:val="20"/>
          <w:szCs w:val="20"/>
          <w:shd w:val="clear" w:color="auto" w:fill="FFFFFF"/>
        </w:rPr>
      </w:pPr>
      <w:r w:rsidRPr="00F14E05">
        <w:rPr>
          <w:rStyle w:val="None"/>
          <w:color w:val="222222"/>
          <w:sz w:val="20"/>
          <w:szCs w:val="20"/>
          <w:u w:color="222222"/>
          <w:lang w:val="it-IT"/>
        </w:rPr>
        <w:t>Perrings</w:t>
      </w:r>
      <w:r w:rsidRPr="00F14E05">
        <w:rPr>
          <w:sz w:val="20"/>
          <w:szCs w:val="20"/>
          <w:shd w:val="clear" w:color="auto" w:fill="FFFFFF"/>
        </w:rPr>
        <w:t xml:space="preserve">, C., Naeem, S., </w:t>
      </w:r>
      <w:proofErr w:type="spellStart"/>
      <w:r w:rsidRPr="00F14E05">
        <w:rPr>
          <w:sz w:val="20"/>
          <w:szCs w:val="20"/>
          <w:shd w:val="clear" w:color="auto" w:fill="FFFFFF"/>
        </w:rPr>
        <w:t>Ahrestani</w:t>
      </w:r>
      <w:proofErr w:type="spellEnd"/>
      <w:r w:rsidRPr="00F14E05">
        <w:rPr>
          <w:sz w:val="20"/>
          <w:szCs w:val="20"/>
          <w:shd w:val="clear" w:color="auto" w:fill="FFFFFF"/>
        </w:rPr>
        <w:t xml:space="preserve">, F., Bunker, D.E., </w:t>
      </w:r>
      <w:proofErr w:type="spellStart"/>
      <w:r w:rsidRPr="00F14E05">
        <w:rPr>
          <w:sz w:val="20"/>
          <w:szCs w:val="20"/>
          <w:shd w:val="clear" w:color="auto" w:fill="FFFFFF"/>
        </w:rPr>
        <w:t>Burkill</w:t>
      </w:r>
      <w:proofErr w:type="spellEnd"/>
      <w:r w:rsidRPr="00F14E05">
        <w:rPr>
          <w:sz w:val="20"/>
          <w:szCs w:val="20"/>
          <w:shd w:val="clear" w:color="auto" w:fill="FFFFFF"/>
        </w:rPr>
        <w:t xml:space="preserve">, P., </w:t>
      </w:r>
      <w:proofErr w:type="spellStart"/>
      <w:r w:rsidRPr="00F14E05">
        <w:rPr>
          <w:sz w:val="20"/>
          <w:szCs w:val="20"/>
          <w:shd w:val="clear" w:color="auto" w:fill="FFFFFF"/>
        </w:rPr>
        <w:t>Canziani</w:t>
      </w:r>
      <w:proofErr w:type="spellEnd"/>
      <w:r w:rsidRPr="00F14E05">
        <w:rPr>
          <w:sz w:val="20"/>
          <w:szCs w:val="20"/>
          <w:shd w:val="clear" w:color="auto" w:fill="FFFFFF"/>
        </w:rPr>
        <w:t xml:space="preserve">, G., </w:t>
      </w:r>
      <w:proofErr w:type="spellStart"/>
      <w:r w:rsidRPr="00F14E05">
        <w:rPr>
          <w:sz w:val="20"/>
          <w:szCs w:val="20"/>
          <w:shd w:val="clear" w:color="auto" w:fill="FFFFFF"/>
        </w:rPr>
        <w:t>Elmqvist</w:t>
      </w:r>
      <w:proofErr w:type="spellEnd"/>
      <w:r w:rsidRPr="00F14E05">
        <w:rPr>
          <w:sz w:val="20"/>
          <w:szCs w:val="20"/>
          <w:shd w:val="clear" w:color="auto" w:fill="FFFFFF"/>
        </w:rPr>
        <w:t xml:space="preserve">, T., </w:t>
      </w:r>
      <w:proofErr w:type="spellStart"/>
      <w:r w:rsidRPr="00F14E05">
        <w:rPr>
          <w:sz w:val="20"/>
          <w:szCs w:val="20"/>
          <w:shd w:val="clear" w:color="auto" w:fill="FFFFFF"/>
        </w:rPr>
        <w:t>Ferrati</w:t>
      </w:r>
      <w:proofErr w:type="spellEnd"/>
      <w:r w:rsidRPr="00F14E05">
        <w:rPr>
          <w:sz w:val="20"/>
          <w:szCs w:val="20"/>
          <w:shd w:val="clear" w:color="auto" w:fill="FFFFFF"/>
        </w:rPr>
        <w:t xml:space="preserve">, R., Fuhrman, J., </w:t>
      </w:r>
      <w:proofErr w:type="spellStart"/>
      <w:r w:rsidRPr="00F14E05">
        <w:rPr>
          <w:sz w:val="20"/>
          <w:szCs w:val="20"/>
          <w:shd w:val="clear" w:color="auto" w:fill="FFFFFF"/>
        </w:rPr>
        <w:t>Jaksic</w:t>
      </w:r>
      <w:proofErr w:type="spellEnd"/>
      <w:r w:rsidRPr="00F14E05">
        <w:rPr>
          <w:sz w:val="20"/>
          <w:szCs w:val="20"/>
          <w:shd w:val="clear" w:color="auto" w:fill="FFFFFF"/>
        </w:rPr>
        <w:t>, F. and Kawabata, Z., 2010. Ecosystem services for 2020. </w:t>
      </w:r>
      <w:r w:rsidRPr="00F14E05">
        <w:rPr>
          <w:i/>
          <w:iCs/>
          <w:sz w:val="20"/>
          <w:szCs w:val="20"/>
          <w:shd w:val="clear" w:color="auto" w:fill="FFFFFF"/>
        </w:rPr>
        <w:t>Science</w:t>
      </w:r>
      <w:r w:rsidRPr="00F14E05">
        <w:rPr>
          <w:sz w:val="20"/>
          <w:szCs w:val="20"/>
          <w:shd w:val="clear" w:color="auto" w:fill="FFFFFF"/>
        </w:rPr>
        <w:t>, </w:t>
      </w:r>
      <w:r w:rsidRPr="00F14E05">
        <w:rPr>
          <w:i/>
          <w:iCs/>
          <w:sz w:val="20"/>
          <w:szCs w:val="20"/>
          <w:shd w:val="clear" w:color="auto" w:fill="FFFFFF"/>
        </w:rPr>
        <w:t>330</w:t>
      </w:r>
      <w:r w:rsidRPr="00F14E05">
        <w:rPr>
          <w:sz w:val="20"/>
          <w:szCs w:val="20"/>
          <w:shd w:val="clear" w:color="auto" w:fill="FFFFFF"/>
        </w:rPr>
        <w:t>(6002), pp.323-324.</w:t>
      </w:r>
    </w:p>
    <w:p w14:paraId="3AB091F0" w14:textId="77777777" w:rsidR="001F3F0B" w:rsidRPr="00F14E05" w:rsidRDefault="001F3F0B" w:rsidP="001F3F0B">
      <w:pPr>
        <w:spacing w:after="100"/>
        <w:ind w:left="284" w:hanging="284"/>
        <w:rPr>
          <w:rStyle w:val="None"/>
          <w:rFonts w:eastAsia="Arial"/>
          <w:color w:val="222222"/>
          <w:sz w:val="20"/>
          <w:szCs w:val="20"/>
          <w:u w:color="222222"/>
          <w:shd w:val="clear" w:color="auto" w:fill="FFFFFF"/>
        </w:rPr>
      </w:pPr>
      <w:r w:rsidRPr="00F14E05">
        <w:rPr>
          <w:rStyle w:val="None"/>
          <w:color w:val="222222"/>
          <w:sz w:val="20"/>
          <w:szCs w:val="20"/>
          <w:u w:color="222222"/>
          <w:lang w:val="it-IT"/>
        </w:rPr>
        <w:t>Polak</w:t>
      </w:r>
      <w:r w:rsidRPr="00F14E05">
        <w:rPr>
          <w:rStyle w:val="None"/>
          <w:color w:val="222222"/>
          <w:sz w:val="20"/>
          <w:szCs w:val="20"/>
          <w:u w:color="222222"/>
          <w:shd w:val="clear" w:color="auto" w:fill="FFFFFF"/>
        </w:rPr>
        <w:t xml:space="preserve">, T., Watson, J.E., Fuller, R.A., Joseph, L.N., Martin, T.G., </w:t>
      </w:r>
      <w:proofErr w:type="spellStart"/>
      <w:r w:rsidRPr="00F14E05">
        <w:rPr>
          <w:rStyle w:val="None"/>
          <w:color w:val="222222"/>
          <w:sz w:val="20"/>
          <w:szCs w:val="20"/>
          <w:u w:color="222222"/>
          <w:shd w:val="clear" w:color="auto" w:fill="FFFFFF"/>
        </w:rPr>
        <w:t>Possingham</w:t>
      </w:r>
      <w:proofErr w:type="spellEnd"/>
      <w:r w:rsidRPr="00F14E05">
        <w:rPr>
          <w:rStyle w:val="None"/>
          <w:color w:val="222222"/>
          <w:sz w:val="20"/>
          <w:szCs w:val="20"/>
          <w:u w:color="222222"/>
          <w:shd w:val="clear" w:color="auto" w:fill="FFFFFF"/>
        </w:rPr>
        <w:t xml:space="preserve">, H.P., Venter, O. and </w:t>
      </w:r>
      <w:proofErr w:type="spellStart"/>
      <w:r w:rsidRPr="00F14E05">
        <w:rPr>
          <w:rStyle w:val="None"/>
          <w:color w:val="222222"/>
          <w:sz w:val="20"/>
          <w:szCs w:val="20"/>
          <w:u w:color="222222"/>
          <w:shd w:val="clear" w:color="auto" w:fill="FFFFFF"/>
        </w:rPr>
        <w:t>Carwardine</w:t>
      </w:r>
      <w:proofErr w:type="spellEnd"/>
      <w:r w:rsidRPr="00F14E05">
        <w:rPr>
          <w:rStyle w:val="None"/>
          <w:color w:val="222222"/>
          <w:sz w:val="20"/>
          <w:szCs w:val="20"/>
          <w:u w:color="222222"/>
          <w:shd w:val="clear" w:color="auto" w:fill="FFFFFF"/>
        </w:rPr>
        <w:t>, J. (2015). Efficient expansion of global protected areas requires simultaneous planning for species and ecosystems. </w:t>
      </w:r>
      <w:r w:rsidRPr="00F14E05">
        <w:rPr>
          <w:rStyle w:val="None"/>
          <w:i/>
          <w:iCs/>
          <w:color w:val="222222"/>
          <w:sz w:val="20"/>
          <w:szCs w:val="20"/>
          <w:u w:color="222222"/>
          <w:shd w:val="clear" w:color="auto" w:fill="FFFFFF"/>
        </w:rPr>
        <w:t>Royal Society open science</w:t>
      </w:r>
      <w:r w:rsidRPr="00F14E05">
        <w:rPr>
          <w:rStyle w:val="None"/>
          <w:color w:val="222222"/>
          <w:sz w:val="20"/>
          <w:szCs w:val="20"/>
          <w:u w:color="222222"/>
          <w:shd w:val="clear" w:color="auto" w:fill="FFFFFF"/>
        </w:rPr>
        <w:t>, </w:t>
      </w:r>
      <w:r w:rsidRPr="00F14E05">
        <w:rPr>
          <w:rStyle w:val="None"/>
          <w:i/>
          <w:iCs/>
          <w:color w:val="222222"/>
          <w:sz w:val="20"/>
          <w:szCs w:val="20"/>
          <w:u w:color="222222"/>
          <w:shd w:val="clear" w:color="auto" w:fill="FFFFFF"/>
        </w:rPr>
        <w:t>2</w:t>
      </w:r>
      <w:r w:rsidRPr="00F14E05">
        <w:rPr>
          <w:rStyle w:val="None"/>
          <w:color w:val="222222"/>
          <w:sz w:val="20"/>
          <w:szCs w:val="20"/>
          <w:u w:color="222222"/>
          <w:shd w:val="clear" w:color="auto" w:fill="FFFFFF"/>
        </w:rPr>
        <w:t>(4), p.150107.</w:t>
      </w:r>
    </w:p>
    <w:p w14:paraId="22DB7749" w14:textId="77777777" w:rsidR="001F3F0B" w:rsidRPr="00F14E05" w:rsidRDefault="001F3F0B" w:rsidP="001F3F0B">
      <w:pPr>
        <w:spacing w:after="100"/>
        <w:ind w:left="284" w:hanging="284"/>
        <w:rPr>
          <w:sz w:val="20"/>
          <w:szCs w:val="20"/>
          <w:shd w:val="clear" w:color="auto" w:fill="FFFFFF"/>
        </w:rPr>
      </w:pPr>
      <w:r w:rsidRPr="00F14E05">
        <w:rPr>
          <w:rStyle w:val="None"/>
          <w:color w:val="222222"/>
          <w:sz w:val="20"/>
          <w:szCs w:val="20"/>
          <w:u w:color="222222"/>
          <w:lang w:val="it-IT"/>
        </w:rPr>
        <w:t>Polak</w:t>
      </w:r>
      <w:r w:rsidRPr="00F14E05">
        <w:rPr>
          <w:sz w:val="20"/>
          <w:szCs w:val="20"/>
          <w:shd w:val="clear" w:color="auto" w:fill="FFFFFF"/>
        </w:rPr>
        <w:t xml:space="preserve">, T., Watson, J.E., Bennett, J.R., </w:t>
      </w:r>
      <w:proofErr w:type="spellStart"/>
      <w:r w:rsidRPr="00F14E05">
        <w:rPr>
          <w:sz w:val="20"/>
          <w:szCs w:val="20"/>
          <w:shd w:val="clear" w:color="auto" w:fill="FFFFFF"/>
        </w:rPr>
        <w:t>Possingham</w:t>
      </w:r>
      <w:proofErr w:type="spellEnd"/>
      <w:r w:rsidRPr="00F14E05">
        <w:rPr>
          <w:sz w:val="20"/>
          <w:szCs w:val="20"/>
          <w:shd w:val="clear" w:color="auto" w:fill="FFFFFF"/>
        </w:rPr>
        <w:t xml:space="preserve">, H.P., Fuller, R.A. and </w:t>
      </w:r>
      <w:proofErr w:type="spellStart"/>
      <w:r w:rsidRPr="00F14E05">
        <w:rPr>
          <w:sz w:val="20"/>
          <w:szCs w:val="20"/>
          <w:shd w:val="clear" w:color="auto" w:fill="FFFFFF"/>
        </w:rPr>
        <w:t>Carwardine</w:t>
      </w:r>
      <w:proofErr w:type="spellEnd"/>
      <w:r w:rsidRPr="00F14E05">
        <w:rPr>
          <w:sz w:val="20"/>
          <w:szCs w:val="20"/>
          <w:shd w:val="clear" w:color="auto" w:fill="FFFFFF"/>
        </w:rPr>
        <w:t>, J. (2016). Balancing ecosystem and threatened species representation in protected areas and implications for nations achieving global conservation goals. </w:t>
      </w:r>
      <w:r w:rsidRPr="00F14E05">
        <w:rPr>
          <w:i/>
          <w:iCs/>
          <w:sz w:val="20"/>
          <w:szCs w:val="20"/>
          <w:shd w:val="clear" w:color="auto" w:fill="FFFFFF"/>
        </w:rPr>
        <w:t>Conservation Letters</w:t>
      </w:r>
      <w:r w:rsidRPr="00F14E05">
        <w:rPr>
          <w:sz w:val="20"/>
          <w:szCs w:val="20"/>
          <w:shd w:val="clear" w:color="auto" w:fill="FFFFFF"/>
        </w:rPr>
        <w:t>, </w:t>
      </w:r>
      <w:r w:rsidRPr="00F14E05">
        <w:rPr>
          <w:i/>
          <w:iCs/>
          <w:sz w:val="20"/>
          <w:szCs w:val="20"/>
          <w:shd w:val="clear" w:color="auto" w:fill="FFFFFF"/>
        </w:rPr>
        <w:t>9</w:t>
      </w:r>
      <w:r w:rsidRPr="00F14E05">
        <w:rPr>
          <w:sz w:val="20"/>
          <w:szCs w:val="20"/>
          <w:shd w:val="clear" w:color="auto" w:fill="FFFFFF"/>
        </w:rPr>
        <w:t>(6), pp.438-445.</w:t>
      </w:r>
    </w:p>
    <w:p w14:paraId="587BEFDA" w14:textId="77777777" w:rsidR="001F3F0B" w:rsidRPr="00F14E05" w:rsidRDefault="001F3F0B" w:rsidP="001F3F0B">
      <w:pPr>
        <w:spacing w:after="100"/>
        <w:ind w:left="284" w:hanging="284"/>
        <w:rPr>
          <w:rStyle w:val="None"/>
          <w:rFonts w:eastAsia="Arial"/>
          <w:color w:val="222222"/>
          <w:sz w:val="20"/>
          <w:szCs w:val="20"/>
          <w:u w:color="222222"/>
          <w:shd w:val="clear" w:color="auto" w:fill="FFFFFF"/>
        </w:rPr>
      </w:pPr>
      <w:r w:rsidRPr="00F14E05">
        <w:rPr>
          <w:rStyle w:val="None"/>
          <w:color w:val="222222"/>
          <w:sz w:val="20"/>
          <w:szCs w:val="20"/>
          <w:u w:color="222222"/>
          <w:shd w:val="clear" w:color="auto" w:fill="FFFFFF"/>
        </w:rPr>
        <w:t xml:space="preserve">Rees, S.E., Foster, N.L., Langmead, O., Pittman, S. and Johnson, D.E. (2017). Defining the qualitative elements of Aichi Biodiversity Target 11 </w:t>
      </w:r>
      <w:proofErr w:type="gramStart"/>
      <w:r w:rsidRPr="00F14E05">
        <w:rPr>
          <w:rStyle w:val="None"/>
          <w:color w:val="222222"/>
          <w:sz w:val="20"/>
          <w:szCs w:val="20"/>
          <w:u w:color="222222"/>
          <w:shd w:val="clear" w:color="auto" w:fill="FFFFFF"/>
        </w:rPr>
        <w:t>with regard to</w:t>
      </w:r>
      <w:proofErr w:type="gramEnd"/>
      <w:r w:rsidRPr="00F14E05">
        <w:rPr>
          <w:rStyle w:val="None"/>
          <w:color w:val="222222"/>
          <w:sz w:val="20"/>
          <w:szCs w:val="20"/>
          <w:u w:color="222222"/>
          <w:shd w:val="clear" w:color="auto" w:fill="FFFFFF"/>
        </w:rPr>
        <w:t xml:space="preserve"> the marine and coastal environment in order to strengthen global </w:t>
      </w:r>
      <w:r w:rsidRPr="00F14E05">
        <w:rPr>
          <w:rStyle w:val="None"/>
          <w:color w:val="222222"/>
          <w:sz w:val="20"/>
          <w:szCs w:val="20"/>
          <w:u w:color="222222"/>
          <w:shd w:val="clear" w:color="auto" w:fill="FFFFFF"/>
        </w:rPr>
        <w:lastRenderedPageBreak/>
        <w:t>efforts for marine biodiversity conservation outlined in the United Nations Sustainable Development Goal 14. </w:t>
      </w:r>
      <w:r w:rsidRPr="00F14E05">
        <w:rPr>
          <w:rStyle w:val="None"/>
          <w:i/>
          <w:iCs/>
          <w:color w:val="222222"/>
          <w:sz w:val="20"/>
          <w:szCs w:val="20"/>
          <w:u w:color="222222"/>
          <w:shd w:val="clear" w:color="auto" w:fill="FFFFFF"/>
        </w:rPr>
        <w:t>Marine Policy</w:t>
      </w:r>
      <w:r w:rsidRPr="00F14E05">
        <w:rPr>
          <w:rStyle w:val="None"/>
          <w:color w:val="222222"/>
          <w:sz w:val="20"/>
          <w:szCs w:val="20"/>
          <w:u w:color="222222"/>
          <w:shd w:val="clear" w:color="auto" w:fill="FFFFFF"/>
        </w:rPr>
        <w:t>.</w:t>
      </w:r>
    </w:p>
    <w:p w14:paraId="25AD7136" w14:textId="77777777" w:rsidR="001F3F0B" w:rsidRPr="00F14E05" w:rsidRDefault="001F3F0B" w:rsidP="001F3F0B">
      <w:pPr>
        <w:spacing w:after="100"/>
        <w:ind w:left="284" w:hanging="284"/>
        <w:rPr>
          <w:rStyle w:val="None"/>
          <w:rFonts w:eastAsia="Arial"/>
          <w:color w:val="222222"/>
          <w:sz w:val="20"/>
          <w:szCs w:val="20"/>
          <w:u w:color="222222"/>
          <w:shd w:val="clear" w:color="auto" w:fill="FFFFFF"/>
        </w:rPr>
      </w:pPr>
      <w:proofErr w:type="spellStart"/>
      <w:r w:rsidRPr="00F14E05">
        <w:rPr>
          <w:rStyle w:val="None"/>
          <w:color w:val="222222"/>
          <w:sz w:val="20"/>
          <w:szCs w:val="20"/>
          <w:u w:color="222222"/>
          <w:shd w:val="clear" w:color="auto" w:fill="FFFFFF"/>
          <w:lang w:val="es-ES_tradnl"/>
        </w:rPr>
        <w:t>Rodr</w:t>
      </w:r>
      <w:proofErr w:type="spellEnd"/>
      <w:r w:rsidRPr="00F14E05">
        <w:rPr>
          <w:rStyle w:val="None"/>
          <w:color w:val="222222"/>
          <w:sz w:val="20"/>
          <w:szCs w:val="20"/>
          <w:u w:color="222222"/>
          <w:shd w:val="clear" w:color="auto" w:fill="FFFFFF"/>
        </w:rPr>
        <w:t>í</w:t>
      </w:r>
      <w:proofErr w:type="spellStart"/>
      <w:r w:rsidRPr="00F14E05">
        <w:rPr>
          <w:rStyle w:val="None"/>
          <w:color w:val="222222"/>
          <w:sz w:val="20"/>
          <w:szCs w:val="20"/>
          <w:u w:color="222222"/>
          <w:shd w:val="clear" w:color="auto" w:fill="FFFFFF"/>
          <w:lang w:val="es-ES_tradnl"/>
        </w:rPr>
        <w:t>guez-Rodr</w:t>
      </w:r>
      <w:proofErr w:type="spellEnd"/>
      <w:r w:rsidRPr="00F14E05">
        <w:rPr>
          <w:rStyle w:val="None"/>
          <w:color w:val="222222"/>
          <w:sz w:val="20"/>
          <w:szCs w:val="20"/>
          <w:u w:color="222222"/>
          <w:shd w:val="clear" w:color="auto" w:fill="FFFFFF"/>
        </w:rPr>
        <w:t>í</w:t>
      </w:r>
      <w:proofErr w:type="spellStart"/>
      <w:r w:rsidRPr="00F14E05">
        <w:rPr>
          <w:rStyle w:val="None"/>
          <w:color w:val="222222"/>
          <w:sz w:val="20"/>
          <w:szCs w:val="20"/>
          <w:u w:color="222222"/>
          <w:shd w:val="clear" w:color="auto" w:fill="FFFFFF"/>
          <w:lang w:val="es-ES_tradnl"/>
        </w:rPr>
        <w:t>guez</w:t>
      </w:r>
      <w:proofErr w:type="spellEnd"/>
      <w:r w:rsidRPr="00F14E05">
        <w:rPr>
          <w:rStyle w:val="None"/>
          <w:color w:val="222222"/>
          <w:sz w:val="20"/>
          <w:szCs w:val="20"/>
          <w:u w:color="222222"/>
          <w:shd w:val="clear" w:color="auto" w:fill="FFFFFF"/>
          <w:lang w:val="es-ES_tradnl"/>
        </w:rPr>
        <w:t xml:space="preserve">, D., </w:t>
      </w:r>
      <w:proofErr w:type="spellStart"/>
      <w:r w:rsidRPr="00F14E05">
        <w:rPr>
          <w:rStyle w:val="None"/>
          <w:color w:val="222222"/>
          <w:sz w:val="20"/>
          <w:szCs w:val="20"/>
          <w:u w:color="222222"/>
          <w:shd w:val="clear" w:color="auto" w:fill="FFFFFF"/>
          <w:lang w:val="es-ES_tradnl"/>
        </w:rPr>
        <w:t>Rodr</w:t>
      </w:r>
      <w:r w:rsidRPr="00F14E05">
        <w:rPr>
          <w:rStyle w:val="None"/>
          <w:color w:val="222222"/>
          <w:sz w:val="20"/>
          <w:szCs w:val="20"/>
          <w:u w:color="222222"/>
          <w:shd w:val="clear" w:color="auto" w:fill="FFFFFF"/>
        </w:rPr>
        <w:t>íguez</w:t>
      </w:r>
      <w:proofErr w:type="spellEnd"/>
      <w:r w:rsidRPr="00F14E05">
        <w:rPr>
          <w:rStyle w:val="None"/>
          <w:color w:val="222222"/>
          <w:sz w:val="20"/>
          <w:szCs w:val="20"/>
          <w:u w:color="222222"/>
          <w:shd w:val="clear" w:color="auto" w:fill="FFFFFF"/>
        </w:rPr>
        <w:t xml:space="preserve">, J., Malak, D.A., </w:t>
      </w:r>
      <w:proofErr w:type="spellStart"/>
      <w:r w:rsidRPr="00F14E05">
        <w:rPr>
          <w:rStyle w:val="None"/>
          <w:color w:val="222222"/>
          <w:sz w:val="20"/>
          <w:szCs w:val="20"/>
          <w:u w:color="222222"/>
          <w:shd w:val="clear" w:color="auto" w:fill="FFFFFF"/>
        </w:rPr>
        <w:t>Nastasi</w:t>
      </w:r>
      <w:proofErr w:type="spellEnd"/>
      <w:r w:rsidRPr="00F14E05">
        <w:rPr>
          <w:rStyle w:val="None"/>
          <w:color w:val="222222"/>
          <w:sz w:val="20"/>
          <w:szCs w:val="20"/>
          <w:u w:color="222222"/>
          <w:shd w:val="clear" w:color="auto" w:fill="FFFFFF"/>
        </w:rPr>
        <w:t>, A. and Hernández, P. (2016). Marine protected areas and fisheries restricted areas in the Mediterranean: assessing “</w:t>
      </w:r>
      <w:r w:rsidRPr="00F14E05">
        <w:rPr>
          <w:rStyle w:val="None"/>
          <w:color w:val="222222"/>
          <w:sz w:val="20"/>
          <w:szCs w:val="20"/>
          <w:u w:color="222222"/>
          <w:shd w:val="clear" w:color="auto" w:fill="FFFFFF"/>
          <w:lang w:val="es-ES_tradnl"/>
        </w:rPr>
        <w:t>actual</w:t>
      </w:r>
      <w:r w:rsidRPr="00F14E05">
        <w:rPr>
          <w:rStyle w:val="None"/>
          <w:color w:val="222222"/>
          <w:sz w:val="20"/>
          <w:szCs w:val="20"/>
          <w:u w:color="222222"/>
          <w:shd w:val="clear" w:color="auto" w:fill="FFFFFF"/>
        </w:rPr>
        <w:t>” marine biodiversity protection coverage at multiple scales. </w:t>
      </w:r>
      <w:r w:rsidRPr="00F14E05">
        <w:rPr>
          <w:rStyle w:val="None"/>
          <w:i/>
          <w:iCs/>
          <w:color w:val="222222"/>
          <w:sz w:val="20"/>
          <w:szCs w:val="20"/>
          <w:u w:color="222222"/>
          <w:shd w:val="clear" w:color="auto" w:fill="FFFFFF"/>
        </w:rPr>
        <w:t>Marine Policy</w:t>
      </w:r>
      <w:r w:rsidRPr="00F14E05">
        <w:rPr>
          <w:rStyle w:val="None"/>
          <w:color w:val="222222"/>
          <w:sz w:val="20"/>
          <w:szCs w:val="20"/>
          <w:u w:color="222222"/>
          <w:shd w:val="clear" w:color="auto" w:fill="FFFFFF"/>
        </w:rPr>
        <w:t>, </w:t>
      </w:r>
      <w:r w:rsidRPr="00F14E05">
        <w:rPr>
          <w:rStyle w:val="None"/>
          <w:i/>
          <w:iCs/>
          <w:color w:val="222222"/>
          <w:sz w:val="20"/>
          <w:szCs w:val="20"/>
          <w:u w:color="222222"/>
          <w:shd w:val="clear" w:color="auto" w:fill="FFFFFF"/>
        </w:rPr>
        <w:t>64</w:t>
      </w:r>
      <w:r w:rsidRPr="00F14E05">
        <w:rPr>
          <w:rStyle w:val="None"/>
          <w:color w:val="222222"/>
          <w:sz w:val="20"/>
          <w:szCs w:val="20"/>
          <w:u w:color="222222"/>
          <w:shd w:val="clear" w:color="auto" w:fill="FFFFFF"/>
        </w:rPr>
        <w:t>, pp.24-30.</w:t>
      </w:r>
    </w:p>
    <w:p w14:paraId="09DCF77E" w14:textId="77777777" w:rsidR="001F3F0B" w:rsidRPr="00F14E05" w:rsidRDefault="001F3F0B" w:rsidP="001F3F0B">
      <w:pPr>
        <w:spacing w:after="100"/>
        <w:ind w:left="284" w:hanging="284"/>
        <w:rPr>
          <w:rStyle w:val="None"/>
          <w:sz w:val="20"/>
          <w:szCs w:val="20"/>
          <w:lang w:val="pt-PT"/>
        </w:rPr>
      </w:pPr>
      <w:r w:rsidRPr="00F14E05">
        <w:rPr>
          <w:color w:val="1C1D1E"/>
          <w:sz w:val="20"/>
          <w:szCs w:val="20"/>
          <w:lang w:val="en"/>
        </w:rPr>
        <w:t>Secretariat</w:t>
      </w:r>
      <w:r w:rsidRPr="00F14E05">
        <w:rPr>
          <w:rStyle w:val="Hyperlink2"/>
          <w:sz w:val="20"/>
          <w:szCs w:val="20"/>
        </w:rPr>
        <w:t xml:space="preserve"> of the Convention on Biological Diversity (2014). </w:t>
      </w:r>
      <w:r w:rsidRPr="00F14E05">
        <w:rPr>
          <w:rStyle w:val="None"/>
          <w:i/>
          <w:iCs/>
          <w:sz w:val="20"/>
          <w:szCs w:val="20"/>
        </w:rPr>
        <w:t>Global Biodiversity Outlook 4</w:t>
      </w:r>
      <w:r w:rsidRPr="00F14E05">
        <w:rPr>
          <w:rStyle w:val="Hyperlink2"/>
          <w:sz w:val="20"/>
          <w:szCs w:val="20"/>
        </w:rPr>
        <w:t xml:space="preserve">. </w:t>
      </w:r>
      <w:proofErr w:type="spellStart"/>
      <w:r w:rsidRPr="00F14E05">
        <w:rPr>
          <w:rStyle w:val="Hyperlink2"/>
          <w:sz w:val="20"/>
          <w:szCs w:val="20"/>
        </w:rPr>
        <w:t>Montré</w:t>
      </w:r>
      <w:proofErr w:type="spellEnd"/>
      <w:r w:rsidRPr="00F14E05">
        <w:rPr>
          <w:rStyle w:val="None"/>
          <w:sz w:val="20"/>
          <w:szCs w:val="20"/>
          <w:lang w:val="pt-PT"/>
        </w:rPr>
        <w:t>al, 155 pages.</w:t>
      </w:r>
    </w:p>
    <w:p w14:paraId="7D0F4C33" w14:textId="77777777" w:rsidR="001F3F0B" w:rsidRPr="00F14E05" w:rsidRDefault="001F3F0B" w:rsidP="001F3F0B">
      <w:pPr>
        <w:spacing w:after="100"/>
        <w:ind w:left="284" w:hanging="284"/>
        <w:rPr>
          <w:rStyle w:val="None"/>
          <w:rFonts w:eastAsia="Arial"/>
          <w:sz w:val="20"/>
          <w:szCs w:val="20"/>
        </w:rPr>
      </w:pPr>
      <w:r w:rsidRPr="00F14E05">
        <w:rPr>
          <w:color w:val="1C1D1E"/>
          <w:sz w:val="20"/>
          <w:szCs w:val="20"/>
          <w:lang w:val="en"/>
        </w:rPr>
        <w:t>Shepherd, E., Milner</w:t>
      </w:r>
      <w:r w:rsidRPr="00F14E05">
        <w:rPr>
          <w:rFonts w:ascii="Cambria Math" w:hAnsi="Cambria Math" w:cs="Cambria Math"/>
          <w:color w:val="1C1D1E"/>
          <w:sz w:val="20"/>
          <w:szCs w:val="20"/>
          <w:lang w:val="en"/>
        </w:rPr>
        <w:t>‐</w:t>
      </w:r>
      <w:r w:rsidRPr="00F14E05">
        <w:rPr>
          <w:color w:val="1C1D1E"/>
          <w:sz w:val="20"/>
          <w:szCs w:val="20"/>
          <w:lang w:val="en"/>
        </w:rPr>
        <w:t xml:space="preserve">Gulland, </w:t>
      </w:r>
      <w:proofErr w:type="gramStart"/>
      <w:r w:rsidRPr="00F14E05">
        <w:rPr>
          <w:color w:val="1C1D1E"/>
          <w:sz w:val="20"/>
          <w:szCs w:val="20"/>
          <w:lang w:val="en"/>
        </w:rPr>
        <w:t>E. ,</w:t>
      </w:r>
      <w:proofErr w:type="gramEnd"/>
      <w:r w:rsidRPr="00F14E05">
        <w:rPr>
          <w:color w:val="1C1D1E"/>
          <w:sz w:val="20"/>
          <w:szCs w:val="20"/>
          <w:lang w:val="en"/>
        </w:rPr>
        <w:t xml:space="preserve"> Knight, A. T., Ling, M. A., </w:t>
      </w:r>
      <w:proofErr w:type="spellStart"/>
      <w:r w:rsidRPr="00F14E05">
        <w:rPr>
          <w:color w:val="1C1D1E"/>
          <w:sz w:val="20"/>
          <w:szCs w:val="20"/>
          <w:lang w:val="en"/>
        </w:rPr>
        <w:t>Darrah</w:t>
      </w:r>
      <w:proofErr w:type="spellEnd"/>
      <w:r w:rsidRPr="00F14E05">
        <w:rPr>
          <w:color w:val="1C1D1E"/>
          <w:sz w:val="20"/>
          <w:szCs w:val="20"/>
          <w:lang w:val="en"/>
        </w:rPr>
        <w:t xml:space="preserve">, S. , </w:t>
      </w:r>
      <w:proofErr w:type="spellStart"/>
      <w:r w:rsidRPr="00F14E05">
        <w:rPr>
          <w:color w:val="1C1D1E"/>
          <w:sz w:val="20"/>
          <w:szCs w:val="20"/>
          <w:lang w:val="en"/>
        </w:rPr>
        <w:t>Soesbergen</w:t>
      </w:r>
      <w:proofErr w:type="spellEnd"/>
      <w:r w:rsidRPr="00F14E05">
        <w:rPr>
          <w:color w:val="1C1D1E"/>
          <w:sz w:val="20"/>
          <w:szCs w:val="20"/>
          <w:lang w:val="en"/>
        </w:rPr>
        <w:t xml:space="preserve">, A. and Burgess, N. D. (2016), Status and Trends in Global Ecosystem Services and Natural Capital: Assessing Progress Toward Aichi Biodiversity Target 14. </w:t>
      </w:r>
      <w:r w:rsidRPr="00F14E05">
        <w:rPr>
          <w:i/>
          <w:color w:val="1C1D1E"/>
          <w:sz w:val="20"/>
          <w:szCs w:val="20"/>
          <w:lang w:val="en"/>
        </w:rPr>
        <w:t>Conservation Letters</w:t>
      </w:r>
      <w:r w:rsidRPr="00F14E05">
        <w:rPr>
          <w:color w:val="1C1D1E"/>
          <w:sz w:val="20"/>
          <w:szCs w:val="20"/>
          <w:lang w:val="en"/>
        </w:rPr>
        <w:t>, 9: 429-437. doi:</w:t>
      </w:r>
      <w:hyperlink r:id="rId12" w:history="1">
        <w:r w:rsidRPr="00F14E05">
          <w:rPr>
            <w:rStyle w:val="Hyperlink"/>
            <w:sz w:val="20"/>
            <w:szCs w:val="20"/>
            <w:lang w:val="en"/>
          </w:rPr>
          <w:t>10.1111/conl.12320</w:t>
        </w:r>
      </w:hyperlink>
    </w:p>
    <w:p w14:paraId="4EEB3FE8" w14:textId="77777777" w:rsidR="001F3F0B" w:rsidRPr="00F14E05" w:rsidRDefault="001F3F0B" w:rsidP="001F3F0B">
      <w:pPr>
        <w:spacing w:after="100"/>
        <w:ind w:left="284" w:hanging="284"/>
        <w:rPr>
          <w:sz w:val="20"/>
          <w:szCs w:val="20"/>
          <w:shd w:val="clear" w:color="auto" w:fill="FFFFFF"/>
        </w:rPr>
      </w:pPr>
      <w:r w:rsidRPr="00F14E05">
        <w:rPr>
          <w:sz w:val="20"/>
          <w:szCs w:val="20"/>
          <w:shd w:val="clear" w:color="auto" w:fill="FFFFFF"/>
        </w:rPr>
        <w:t xml:space="preserve">Spalding, M.D., </w:t>
      </w:r>
      <w:proofErr w:type="spellStart"/>
      <w:r w:rsidRPr="00F14E05">
        <w:rPr>
          <w:sz w:val="20"/>
          <w:szCs w:val="20"/>
          <w:shd w:val="clear" w:color="auto" w:fill="FFFFFF"/>
        </w:rPr>
        <w:t>Meliane</w:t>
      </w:r>
      <w:proofErr w:type="spellEnd"/>
      <w:r w:rsidRPr="00F14E05">
        <w:rPr>
          <w:sz w:val="20"/>
          <w:szCs w:val="20"/>
          <w:shd w:val="clear" w:color="auto" w:fill="FFFFFF"/>
        </w:rPr>
        <w:t xml:space="preserve">, I., J Bennett, N., </w:t>
      </w:r>
      <w:proofErr w:type="spellStart"/>
      <w:r w:rsidRPr="00F14E05">
        <w:rPr>
          <w:sz w:val="20"/>
          <w:szCs w:val="20"/>
          <w:shd w:val="clear" w:color="auto" w:fill="FFFFFF"/>
        </w:rPr>
        <w:t>Dearden</w:t>
      </w:r>
      <w:proofErr w:type="spellEnd"/>
      <w:r w:rsidRPr="00F14E05">
        <w:rPr>
          <w:sz w:val="20"/>
          <w:szCs w:val="20"/>
          <w:shd w:val="clear" w:color="auto" w:fill="FFFFFF"/>
        </w:rPr>
        <w:t xml:space="preserve">, P., G </w:t>
      </w:r>
      <w:proofErr w:type="spellStart"/>
      <w:r w:rsidRPr="00F14E05">
        <w:rPr>
          <w:sz w:val="20"/>
          <w:szCs w:val="20"/>
          <w:shd w:val="clear" w:color="auto" w:fill="FFFFFF"/>
        </w:rPr>
        <w:t>Patil</w:t>
      </w:r>
      <w:proofErr w:type="spellEnd"/>
      <w:r w:rsidRPr="00F14E05">
        <w:rPr>
          <w:sz w:val="20"/>
          <w:szCs w:val="20"/>
          <w:shd w:val="clear" w:color="auto" w:fill="FFFFFF"/>
        </w:rPr>
        <w:t xml:space="preserve">, P. and D Brumbaugh, R. (2016). </w:t>
      </w:r>
      <w:r w:rsidRPr="00F14E05">
        <w:rPr>
          <w:color w:val="1C1D1E"/>
          <w:sz w:val="20"/>
          <w:szCs w:val="20"/>
          <w:lang w:val="en"/>
        </w:rPr>
        <w:t>Building</w:t>
      </w:r>
      <w:r w:rsidRPr="00F14E05">
        <w:rPr>
          <w:sz w:val="20"/>
          <w:szCs w:val="20"/>
          <w:shd w:val="clear" w:color="auto" w:fill="FFFFFF"/>
        </w:rPr>
        <w:t xml:space="preserve"> towards the marine conservation end</w:t>
      </w:r>
      <w:r w:rsidRPr="00F14E05">
        <w:rPr>
          <w:rFonts w:ascii="Cambria Math" w:hAnsi="Cambria Math" w:cs="Cambria Math"/>
          <w:sz w:val="20"/>
          <w:szCs w:val="20"/>
          <w:shd w:val="clear" w:color="auto" w:fill="FFFFFF"/>
        </w:rPr>
        <w:t>‐</w:t>
      </w:r>
      <w:r w:rsidRPr="00F14E05">
        <w:rPr>
          <w:sz w:val="20"/>
          <w:szCs w:val="20"/>
          <w:shd w:val="clear" w:color="auto" w:fill="FFFFFF"/>
        </w:rPr>
        <w:t>game: consolidating the role of MPAs in a future ocean. </w:t>
      </w:r>
      <w:r w:rsidRPr="00F14E05">
        <w:rPr>
          <w:i/>
          <w:iCs/>
          <w:sz w:val="20"/>
          <w:szCs w:val="20"/>
          <w:shd w:val="clear" w:color="auto" w:fill="FFFFFF"/>
        </w:rPr>
        <w:t>Aquatic Conservation: Marine and Freshwater Ecosystems</w:t>
      </w:r>
      <w:r w:rsidRPr="00F14E05">
        <w:rPr>
          <w:sz w:val="20"/>
          <w:szCs w:val="20"/>
          <w:shd w:val="clear" w:color="auto" w:fill="FFFFFF"/>
        </w:rPr>
        <w:t>, </w:t>
      </w:r>
      <w:r w:rsidRPr="00F14E05">
        <w:rPr>
          <w:i/>
          <w:iCs/>
          <w:sz w:val="20"/>
          <w:szCs w:val="20"/>
          <w:shd w:val="clear" w:color="auto" w:fill="FFFFFF"/>
        </w:rPr>
        <w:t>26</w:t>
      </w:r>
      <w:r w:rsidRPr="00F14E05">
        <w:rPr>
          <w:sz w:val="20"/>
          <w:szCs w:val="20"/>
          <w:shd w:val="clear" w:color="auto" w:fill="FFFFFF"/>
        </w:rPr>
        <w:t>(S2), pp.185-199.</w:t>
      </w:r>
    </w:p>
    <w:p w14:paraId="31FF7907" w14:textId="77777777" w:rsidR="001F3F0B" w:rsidRPr="00F14E05" w:rsidRDefault="001F3F0B" w:rsidP="001F3F0B">
      <w:pPr>
        <w:spacing w:after="100"/>
        <w:ind w:left="284" w:hanging="284"/>
        <w:rPr>
          <w:rStyle w:val="None"/>
          <w:rFonts w:eastAsia="Arial"/>
          <w:sz w:val="20"/>
          <w:szCs w:val="20"/>
        </w:rPr>
      </w:pPr>
      <w:proofErr w:type="spellStart"/>
      <w:r w:rsidRPr="00F14E05">
        <w:rPr>
          <w:color w:val="1C1D1E"/>
          <w:sz w:val="20"/>
          <w:szCs w:val="20"/>
          <w:lang w:val="en"/>
        </w:rPr>
        <w:t>Tittensor</w:t>
      </w:r>
      <w:proofErr w:type="spellEnd"/>
      <w:r w:rsidRPr="00F14E05">
        <w:rPr>
          <w:rStyle w:val="None"/>
          <w:color w:val="222222"/>
          <w:sz w:val="20"/>
          <w:szCs w:val="20"/>
          <w:u w:color="222222"/>
          <w:shd w:val="clear" w:color="auto" w:fill="FFFFFF"/>
        </w:rPr>
        <w:t>, D.P., Walpole, M., Hill, et al. (2014). A mid-term analysis of progress toward international biodiversity targets. </w:t>
      </w:r>
      <w:r w:rsidRPr="00F14E05">
        <w:rPr>
          <w:rStyle w:val="None"/>
          <w:i/>
          <w:iCs/>
          <w:color w:val="222222"/>
          <w:sz w:val="20"/>
          <w:szCs w:val="20"/>
          <w:u w:color="222222"/>
          <w:shd w:val="clear" w:color="auto" w:fill="FFFFFF"/>
        </w:rPr>
        <w:t>Science</w:t>
      </w:r>
      <w:r w:rsidRPr="00F14E05">
        <w:rPr>
          <w:rStyle w:val="None"/>
          <w:color w:val="222222"/>
          <w:sz w:val="20"/>
          <w:szCs w:val="20"/>
          <w:u w:color="222222"/>
          <w:shd w:val="clear" w:color="auto" w:fill="FFFFFF"/>
        </w:rPr>
        <w:t>, </w:t>
      </w:r>
      <w:r w:rsidRPr="00F14E05">
        <w:rPr>
          <w:rStyle w:val="None"/>
          <w:i/>
          <w:iCs/>
          <w:color w:val="222222"/>
          <w:sz w:val="20"/>
          <w:szCs w:val="20"/>
          <w:u w:color="222222"/>
          <w:shd w:val="clear" w:color="auto" w:fill="FFFFFF"/>
          <w:lang w:val="ru-RU"/>
        </w:rPr>
        <w:t>346</w:t>
      </w:r>
      <w:r w:rsidRPr="00F14E05">
        <w:rPr>
          <w:rStyle w:val="None"/>
          <w:color w:val="222222"/>
          <w:sz w:val="20"/>
          <w:szCs w:val="20"/>
          <w:u w:color="222222"/>
          <w:shd w:val="clear" w:color="auto" w:fill="FFFFFF"/>
        </w:rPr>
        <w:t>(6206), pp.241-244.</w:t>
      </w:r>
    </w:p>
    <w:p w14:paraId="30D2E1E7" w14:textId="77777777" w:rsidR="001F3F0B" w:rsidRPr="00F14E05" w:rsidRDefault="001F3F0B" w:rsidP="001F3F0B">
      <w:pPr>
        <w:spacing w:after="100"/>
        <w:ind w:left="284" w:hanging="284"/>
        <w:rPr>
          <w:sz w:val="20"/>
          <w:szCs w:val="20"/>
          <w:shd w:val="clear" w:color="auto" w:fill="FFFFFF"/>
        </w:rPr>
      </w:pPr>
      <w:r w:rsidRPr="00F14E05">
        <w:rPr>
          <w:color w:val="1C1D1E"/>
          <w:sz w:val="20"/>
          <w:szCs w:val="20"/>
          <w:lang w:val="en"/>
        </w:rPr>
        <w:t>Venter</w:t>
      </w:r>
      <w:r w:rsidRPr="00F14E05">
        <w:rPr>
          <w:sz w:val="20"/>
          <w:szCs w:val="20"/>
          <w:shd w:val="clear" w:color="auto" w:fill="FFFFFF"/>
        </w:rPr>
        <w:t xml:space="preserve"> O, Fuller RA, </w:t>
      </w:r>
      <w:proofErr w:type="spellStart"/>
      <w:r w:rsidRPr="00F14E05">
        <w:rPr>
          <w:sz w:val="20"/>
          <w:szCs w:val="20"/>
          <w:shd w:val="clear" w:color="auto" w:fill="FFFFFF"/>
        </w:rPr>
        <w:t>Segan</w:t>
      </w:r>
      <w:proofErr w:type="spellEnd"/>
      <w:r w:rsidRPr="00F14E05">
        <w:rPr>
          <w:sz w:val="20"/>
          <w:szCs w:val="20"/>
          <w:shd w:val="clear" w:color="auto" w:fill="FFFFFF"/>
        </w:rPr>
        <w:t xml:space="preserve"> DB, </w:t>
      </w:r>
      <w:proofErr w:type="spellStart"/>
      <w:r w:rsidRPr="00F14E05">
        <w:rPr>
          <w:sz w:val="20"/>
          <w:szCs w:val="20"/>
          <w:shd w:val="clear" w:color="auto" w:fill="FFFFFF"/>
        </w:rPr>
        <w:t>Carwardine</w:t>
      </w:r>
      <w:proofErr w:type="spellEnd"/>
      <w:r w:rsidRPr="00F14E05">
        <w:rPr>
          <w:sz w:val="20"/>
          <w:szCs w:val="20"/>
          <w:shd w:val="clear" w:color="auto" w:fill="FFFFFF"/>
        </w:rPr>
        <w:t xml:space="preserve"> J, Brooks T, et al. (2014) Targeting Global Protected Area Expansion for </w:t>
      </w:r>
      <w:proofErr w:type="spellStart"/>
      <w:r w:rsidRPr="00F14E05">
        <w:rPr>
          <w:sz w:val="20"/>
          <w:szCs w:val="20"/>
          <w:shd w:val="clear" w:color="auto" w:fill="FFFFFF"/>
        </w:rPr>
        <w:t>Imperiled</w:t>
      </w:r>
      <w:proofErr w:type="spellEnd"/>
      <w:r w:rsidRPr="00F14E05">
        <w:rPr>
          <w:sz w:val="20"/>
          <w:szCs w:val="20"/>
          <w:shd w:val="clear" w:color="auto" w:fill="FFFFFF"/>
        </w:rPr>
        <w:t xml:space="preserve"> Biodiversity. PLOS Biology 12(6): e1001891. https://doi.org/10.1371/journal.pbio.1001891 </w:t>
      </w:r>
    </w:p>
    <w:p w14:paraId="25312506" w14:textId="77777777" w:rsidR="001F3F0B" w:rsidRPr="00F14E05" w:rsidRDefault="001F3F0B" w:rsidP="001F3F0B">
      <w:pPr>
        <w:spacing w:after="100"/>
        <w:ind w:left="284" w:hanging="284"/>
        <w:rPr>
          <w:sz w:val="20"/>
          <w:szCs w:val="20"/>
          <w:shd w:val="clear" w:color="auto" w:fill="FFFFFF"/>
        </w:rPr>
      </w:pPr>
      <w:r w:rsidRPr="00F14E05">
        <w:rPr>
          <w:color w:val="1C1D1E"/>
          <w:sz w:val="20"/>
          <w:szCs w:val="20"/>
          <w:lang w:val="en"/>
        </w:rPr>
        <w:t>Watson</w:t>
      </w:r>
      <w:r w:rsidRPr="00F14E05">
        <w:rPr>
          <w:sz w:val="20"/>
          <w:szCs w:val="20"/>
          <w:shd w:val="clear" w:color="auto" w:fill="FFFFFF"/>
        </w:rPr>
        <w:t xml:space="preserve">, J.E., Darling, E.S., Venter, O., </w:t>
      </w:r>
      <w:proofErr w:type="spellStart"/>
      <w:r w:rsidRPr="00F14E05">
        <w:rPr>
          <w:sz w:val="20"/>
          <w:szCs w:val="20"/>
          <w:shd w:val="clear" w:color="auto" w:fill="FFFFFF"/>
        </w:rPr>
        <w:t>Maron</w:t>
      </w:r>
      <w:proofErr w:type="spellEnd"/>
      <w:r w:rsidRPr="00F14E05">
        <w:rPr>
          <w:sz w:val="20"/>
          <w:szCs w:val="20"/>
          <w:shd w:val="clear" w:color="auto" w:fill="FFFFFF"/>
        </w:rPr>
        <w:t xml:space="preserve">, M., Walston, J., </w:t>
      </w:r>
      <w:proofErr w:type="spellStart"/>
      <w:r w:rsidRPr="00F14E05">
        <w:rPr>
          <w:sz w:val="20"/>
          <w:szCs w:val="20"/>
          <w:shd w:val="clear" w:color="auto" w:fill="FFFFFF"/>
        </w:rPr>
        <w:t>Possingham</w:t>
      </w:r>
      <w:proofErr w:type="spellEnd"/>
      <w:r w:rsidRPr="00F14E05">
        <w:rPr>
          <w:sz w:val="20"/>
          <w:szCs w:val="20"/>
          <w:shd w:val="clear" w:color="auto" w:fill="FFFFFF"/>
        </w:rPr>
        <w:t>, H.P., Dudley, N., Hockings, M., Barnes, M. and Brooks, T.M. (2016). Bolder science needed now for protected areas. </w:t>
      </w:r>
      <w:r w:rsidRPr="00F14E05">
        <w:rPr>
          <w:i/>
          <w:iCs/>
          <w:sz w:val="20"/>
          <w:szCs w:val="20"/>
          <w:shd w:val="clear" w:color="auto" w:fill="FFFFFF"/>
        </w:rPr>
        <w:t>Conservation Biology</w:t>
      </w:r>
      <w:r w:rsidRPr="00F14E05">
        <w:rPr>
          <w:sz w:val="20"/>
          <w:szCs w:val="20"/>
          <w:shd w:val="clear" w:color="auto" w:fill="FFFFFF"/>
        </w:rPr>
        <w:t>, </w:t>
      </w:r>
      <w:r w:rsidRPr="00F14E05">
        <w:rPr>
          <w:i/>
          <w:iCs/>
          <w:sz w:val="20"/>
          <w:szCs w:val="20"/>
          <w:shd w:val="clear" w:color="auto" w:fill="FFFFFF"/>
        </w:rPr>
        <w:t>30</w:t>
      </w:r>
      <w:r w:rsidRPr="00F14E05">
        <w:rPr>
          <w:sz w:val="20"/>
          <w:szCs w:val="20"/>
          <w:shd w:val="clear" w:color="auto" w:fill="FFFFFF"/>
        </w:rPr>
        <w:t>(2), pp.243-248.</w:t>
      </w:r>
    </w:p>
    <w:p w14:paraId="6966234E" w14:textId="77777777" w:rsidR="001F3F0B" w:rsidRPr="00F14E05" w:rsidRDefault="001F3F0B" w:rsidP="001F3F0B">
      <w:pPr>
        <w:spacing w:after="100"/>
        <w:ind w:left="284" w:hanging="284"/>
        <w:rPr>
          <w:rStyle w:val="None"/>
          <w:rFonts w:eastAsia="Arial"/>
          <w:color w:val="222222"/>
          <w:sz w:val="20"/>
          <w:szCs w:val="20"/>
          <w:u w:color="222222"/>
          <w:shd w:val="clear" w:color="auto" w:fill="FFFFFF"/>
        </w:rPr>
      </w:pPr>
      <w:r w:rsidRPr="00F14E05">
        <w:rPr>
          <w:color w:val="1C1D1E"/>
          <w:sz w:val="20"/>
          <w:szCs w:val="20"/>
          <w:lang w:val="en"/>
        </w:rPr>
        <w:t>Wood</w:t>
      </w:r>
      <w:r w:rsidRPr="00F14E05">
        <w:rPr>
          <w:rStyle w:val="None"/>
          <w:color w:val="222222"/>
          <w:sz w:val="20"/>
          <w:szCs w:val="20"/>
          <w:u w:color="222222"/>
          <w:shd w:val="clear" w:color="auto" w:fill="FFFFFF"/>
        </w:rPr>
        <w:t>, L. (2011). Global marine protection targets: how SMART are they? </w:t>
      </w:r>
      <w:r w:rsidRPr="00F14E05">
        <w:rPr>
          <w:rStyle w:val="None"/>
          <w:i/>
          <w:iCs/>
          <w:color w:val="222222"/>
          <w:sz w:val="20"/>
          <w:szCs w:val="20"/>
          <w:u w:color="222222"/>
          <w:shd w:val="clear" w:color="auto" w:fill="FFFFFF"/>
        </w:rPr>
        <w:t>Environmental management</w:t>
      </w:r>
      <w:r w:rsidRPr="00F14E05">
        <w:rPr>
          <w:rStyle w:val="None"/>
          <w:color w:val="222222"/>
          <w:sz w:val="20"/>
          <w:szCs w:val="20"/>
          <w:u w:color="222222"/>
          <w:shd w:val="clear" w:color="auto" w:fill="FFFFFF"/>
        </w:rPr>
        <w:t>, </w:t>
      </w:r>
      <w:r w:rsidRPr="00F14E05">
        <w:rPr>
          <w:rStyle w:val="None"/>
          <w:i/>
          <w:iCs/>
          <w:color w:val="222222"/>
          <w:sz w:val="20"/>
          <w:szCs w:val="20"/>
          <w:u w:color="222222"/>
          <w:shd w:val="clear" w:color="auto" w:fill="FFFFFF"/>
        </w:rPr>
        <w:t>47</w:t>
      </w:r>
      <w:r w:rsidRPr="00F14E05">
        <w:rPr>
          <w:rStyle w:val="None"/>
          <w:color w:val="222222"/>
          <w:sz w:val="20"/>
          <w:szCs w:val="20"/>
          <w:u w:color="222222"/>
          <w:shd w:val="clear" w:color="auto" w:fill="FFFFFF"/>
        </w:rPr>
        <w:t>(4), p.525.</w:t>
      </w:r>
    </w:p>
    <w:p w14:paraId="0E655629" w14:textId="77777777" w:rsidR="001F3F0B" w:rsidRPr="00F14E05" w:rsidRDefault="001F3F0B" w:rsidP="001F3F0B">
      <w:pPr>
        <w:spacing w:after="100"/>
        <w:ind w:left="284" w:hanging="284"/>
        <w:rPr>
          <w:sz w:val="20"/>
          <w:szCs w:val="20"/>
          <w:shd w:val="clear" w:color="auto" w:fill="FFFFFF"/>
        </w:rPr>
      </w:pPr>
      <w:r w:rsidRPr="00F14E05">
        <w:rPr>
          <w:color w:val="1C1D1E"/>
          <w:sz w:val="20"/>
          <w:szCs w:val="20"/>
          <w:lang w:val="en"/>
        </w:rPr>
        <w:t>Wood</w:t>
      </w:r>
      <w:r w:rsidRPr="00F14E05">
        <w:rPr>
          <w:sz w:val="20"/>
          <w:szCs w:val="20"/>
          <w:shd w:val="clear" w:color="auto" w:fill="FFFFFF"/>
        </w:rPr>
        <w:t xml:space="preserve">, G., </w:t>
      </w:r>
      <w:proofErr w:type="spellStart"/>
      <w:r w:rsidRPr="00F14E05">
        <w:rPr>
          <w:sz w:val="20"/>
          <w:szCs w:val="20"/>
          <w:shd w:val="clear" w:color="auto" w:fill="FFFFFF"/>
        </w:rPr>
        <w:t>Whyatt</w:t>
      </w:r>
      <w:proofErr w:type="spellEnd"/>
      <w:r w:rsidRPr="00F14E05">
        <w:rPr>
          <w:sz w:val="20"/>
          <w:szCs w:val="20"/>
          <w:shd w:val="clear" w:color="auto" w:fill="FFFFFF"/>
        </w:rPr>
        <w:t>, D. and Stevens, C. (2015). Towards the integration of urban planning and biodiversity conservation through collaboration. </w:t>
      </w:r>
      <w:r w:rsidRPr="00F14E05">
        <w:rPr>
          <w:i/>
          <w:iCs/>
          <w:sz w:val="20"/>
          <w:szCs w:val="20"/>
          <w:shd w:val="clear" w:color="auto" w:fill="FFFFFF"/>
        </w:rPr>
        <w:t>Environmental Technology &amp; Innovation</w:t>
      </w:r>
      <w:r w:rsidRPr="00F14E05">
        <w:rPr>
          <w:sz w:val="20"/>
          <w:szCs w:val="20"/>
          <w:shd w:val="clear" w:color="auto" w:fill="FFFFFF"/>
        </w:rPr>
        <w:t>, </w:t>
      </w:r>
      <w:r w:rsidRPr="00F14E05">
        <w:rPr>
          <w:i/>
          <w:iCs/>
          <w:sz w:val="20"/>
          <w:szCs w:val="20"/>
          <w:shd w:val="clear" w:color="auto" w:fill="FFFFFF"/>
        </w:rPr>
        <w:t>4</w:t>
      </w:r>
      <w:r w:rsidRPr="00F14E05">
        <w:rPr>
          <w:sz w:val="20"/>
          <w:szCs w:val="20"/>
          <w:shd w:val="clear" w:color="auto" w:fill="FFFFFF"/>
        </w:rPr>
        <w:t>, pp.218-226.</w:t>
      </w:r>
    </w:p>
    <w:p w14:paraId="60A708CE" w14:textId="77777777" w:rsidR="001F3F0B" w:rsidRDefault="001F3F0B" w:rsidP="001F3F0B">
      <w:pPr>
        <w:spacing w:after="120"/>
        <w:rPr>
          <w:rStyle w:val="None"/>
          <w:b/>
          <w:bCs/>
        </w:rPr>
      </w:pPr>
      <w:r>
        <w:rPr>
          <w:rStyle w:val="None"/>
          <w:b/>
          <w:bCs/>
        </w:rPr>
        <w:br w:type="page"/>
      </w:r>
    </w:p>
    <w:p w14:paraId="0309C398" w14:textId="77777777" w:rsidR="001F3F0B" w:rsidRDefault="001F3F0B" w:rsidP="001F3F0B">
      <w:pPr>
        <w:spacing w:after="120"/>
        <w:rPr>
          <w:rStyle w:val="None"/>
        </w:rPr>
      </w:pPr>
      <w:r w:rsidRPr="00EA7E3C">
        <w:rPr>
          <w:rStyle w:val="None"/>
          <w:b/>
          <w:bCs/>
        </w:rPr>
        <w:lastRenderedPageBreak/>
        <w:t>Table 1.</w:t>
      </w:r>
      <w:r w:rsidRPr="00EA7E3C">
        <w:rPr>
          <w:rStyle w:val="None"/>
        </w:rPr>
        <w:t xml:space="preserve"> </w:t>
      </w:r>
      <w:r w:rsidRPr="008A3193">
        <w:rPr>
          <w:rStyle w:val="None"/>
        </w:rPr>
        <w:t>The ‘SMART’-based criteria used by Green et al. (submitted) to assess the framing of the Aichi Targets and their elements.</w:t>
      </w:r>
      <w:r w:rsidRPr="00C03B9F">
        <w:t xml:space="preserve">  Expert participants were asked to score </w:t>
      </w:r>
      <w:r>
        <w:t xml:space="preserve">each target element from 0-10 (or indicate ‘don’t know’). </w:t>
      </w:r>
      <w:r w:rsidRPr="008A3193">
        <w:rPr>
          <w:rStyle w:val="None"/>
        </w:rPr>
        <w:t xml:space="preserve">A score of 0 meant the Target </w:t>
      </w:r>
      <w:r>
        <w:rPr>
          <w:rStyle w:val="None"/>
        </w:rPr>
        <w:t>element did</w:t>
      </w:r>
      <w:r w:rsidRPr="008A3193">
        <w:rPr>
          <w:rStyle w:val="None"/>
        </w:rPr>
        <w:t xml:space="preserve"> not fit the criterion at all, a score of 10 meant the Target </w:t>
      </w:r>
      <w:r>
        <w:rPr>
          <w:rStyle w:val="None"/>
        </w:rPr>
        <w:t>element completely fitted</w:t>
      </w:r>
      <w:r w:rsidRPr="008A3193">
        <w:rPr>
          <w:rStyle w:val="None"/>
        </w:rPr>
        <w:t xml:space="preserve"> the criterion</w:t>
      </w:r>
      <w:r>
        <w:rPr>
          <w:rStyle w:val="None"/>
        </w:rPr>
        <w:t xml:space="preserve"> (see Green et al. for more details)</w:t>
      </w:r>
      <w:r w:rsidRPr="008A3193">
        <w:rPr>
          <w:rStyle w:val="None"/>
        </w:rPr>
        <w:t>.</w:t>
      </w:r>
    </w:p>
    <w:p w14:paraId="28A16241" w14:textId="77777777" w:rsidR="001F3F0B" w:rsidRPr="00EA7E3C" w:rsidRDefault="001F3F0B" w:rsidP="001F3F0B">
      <w:pPr>
        <w:spacing w:after="120"/>
        <w:rPr>
          <w:rStyle w:val="None"/>
        </w:rPr>
      </w:pPr>
    </w:p>
    <w:tbl>
      <w:tblPr>
        <w:tblW w:w="90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0DDEF"/>
        <w:tblLayout w:type="fixed"/>
        <w:tblLook w:val="04A0" w:firstRow="1" w:lastRow="0" w:firstColumn="1" w:lastColumn="0" w:noHBand="0" w:noVBand="1"/>
      </w:tblPr>
      <w:tblGrid>
        <w:gridCol w:w="1980"/>
        <w:gridCol w:w="7040"/>
      </w:tblGrid>
      <w:tr w:rsidR="001F3F0B" w:rsidRPr="00EA7E3C" w14:paraId="33309930" w14:textId="77777777" w:rsidTr="005F74C7">
        <w:trPr>
          <w:trHeight w:val="243"/>
          <w:jc w:val="center"/>
        </w:trPr>
        <w:tc>
          <w:tcPr>
            <w:tcW w:w="1980" w:type="dxa"/>
            <w:shd w:val="clear" w:color="auto" w:fill="B8CCE4" w:themeFill="accent1" w:themeFillTint="66"/>
            <w:tcMar>
              <w:top w:w="80" w:type="dxa"/>
              <w:left w:w="80" w:type="dxa"/>
              <w:bottom w:w="80" w:type="dxa"/>
              <w:right w:w="80" w:type="dxa"/>
            </w:tcMar>
          </w:tcPr>
          <w:p w14:paraId="52432EC2" w14:textId="77777777" w:rsidR="001F3F0B" w:rsidRPr="00EA7E3C" w:rsidRDefault="001F3F0B" w:rsidP="005F74C7">
            <w:pPr>
              <w:pStyle w:val="Body"/>
              <w:spacing w:before="60" w:after="60" w:line="240" w:lineRule="auto"/>
              <w:jc w:val="center"/>
              <w:rPr>
                <w:rFonts w:ascii="Arial" w:hAnsi="Arial" w:cs="Arial"/>
              </w:rPr>
            </w:pPr>
            <w:r w:rsidRPr="00EA7E3C">
              <w:rPr>
                <w:rStyle w:val="None"/>
                <w:rFonts w:ascii="Arial" w:hAnsi="Arial" w:cs="Arial"/>
                <w:b/>
                <w:bCs/>
              </w:rPr>
              <w:t>Criteria</w:t>
            </w:r>
          </w:p>
        </w:tc>
        <w:tc>
          <w:tcPr>
            <w:tcW w:w="7040" w:type="dxa"/>
            <w:shd w:val="clear" w:color="auto" w:fill="B8CCE4" w:themeFill="accent1" w:themeFillTint="66"/>
            <w:tcMar>
              <w:top w:w="80" w:type="dxa"/>
              <w:left w:w="80" w:type="dxa"/>
              <w:bottom w:w="80" w:type="dxa"/>
              <w:right w:w="80" w:type="dxa"/>
            </w:tcMar>
          </w:tcPr>
          <w:p w14:paraId="76659C78" w14:textId="77777777" w:rsidR="001F3F0B" w:rsidRPr="00EA7E3C" w:rsidRDefault="001F3F0B" w:rsidP="005F74C7">
            <w:pPr>
              <w:pStyle w:val="Body"/>
              <w:spacing w:before="60" w:after="60" w:line="240" w:lineRule="auto"/>
              <w:jc w:val="center"/>
              <w:rPr>
                <w:rFonts w:ascii="Arial" w:hAnsi="Arial" w:cs="Arial"/>
              </w:rPr>
            </w:pPr>
            <w:r w:rsidRPr="00EA7E3C">
              <w:rPr>
                <w:rStyle w:val="None"/>
                <w:rFonts w:ascii="Arial" w:hAnsi="Arial" w:cs="Arial"/>
                <w:b/>
                <w:bCs/>
              </w:rPr>
              <w:t>Definitions</w:t>
            </w:r>
          </w:p>
        </w:tc>
      </w:tr>
      <w:tr w:rsidR="001F3F0B" w:rsidRPr="00EA7E3C" w14:paraId="333ACB0C" w14:textId="77777777" w:rsidTr="005F74C7">
        <w:trPr>
          <w:trHeight w:val="483"/>
          <w:jc w:val="center"/>
        </w:trPr>
        <w:tc>
          <w:tcPr>
            <w:tcW w:w="1980" w:type="dxa"/>
            <w:shd w:val="clear" w:color="auto" w:fill="auto"/>
            <w:tcMar>
              <w:top w:w="80" w:type="dxa"/>
              <w:left w:w="80" w:type="dxa"/>
              <w:bottom w:w="80" w:type="dxa"/>
              <w:right w:w="80" w:type="dxa"/>
            </w:tcMar>
            <w:vAlign w:val="center"/>
          </w:tcPr>
          <w:p w14:paraId="6A7187FF" w14:textId="77777777" w:rsidR="001F3F0B" w:rsidRPr="009E3BC2" w:rsidRDefault="001F3F0B" w:rsidP="005F74C7">
            <w:pPr>
              <w:pStyle w:val="Body"/>
              <w:spacing w:before="60" w:after="60" w:line="240" w:lineRule="auto"/>
              <w:jc w:val="both"/>
              <w:rPr>
                <w:rFonts w:ascii="Arial" w:hAnsi="Arial" w:cs="Arial"/>
                <w:b/>
              </w:rPr>
            </w:pPr>
            <w:r w:rsidRPr="009E3BC2">
              <w:rPr>
                <w:rStyle w:val="None"/>
                <w:rFonts w:ascii="Arial" w:hAnsi="Arial" w:cs="Arial"/>
                <w:b/>
              </w:rPr>
              <w:t>Specific</w:t>
            </w:r>
          </w:p>
        </w:tc>
        <w:tc>
          <w:tcPr>
            <w:tcW w:w="7040" w:type="dxa"/>
            <w:shd w:val="clear" w:color="auto" w:fill="auto"/>
            <w:tcMar>
              <w:top w:w="80" w:type="dxa"/>
              <w:left w:w="80" w:type="dxa"/>
              <w:bottom w:w="80" w:type="dxa"/>
              <w:right w:w="80" w:type="dxa"/>
            </w:tcMar>
          </w:tcPr>
          <w:p w14:paraId="207B3F5E" w14:textId="77777777" w:rsidR="001F3F0B" w:rsidRPr="00EA7E3C" w:rsidRDefault="001F3F0B" w:rsidP="005F74C7">
            <w:pPr>
              <w:pStyle w:val="Body"/>
              <w:spacing w:before="60" w:after="60" w:line="240" w:lineRule="auto"/>
              <w:jc w:val="both"/>
              <w:rPr>
                <w:rFonts w:ascii="Arial" w:hAnsi="Arial" w:cs="Arial"/>
              </w:rPr>
            </w:pPr>
            <w:r w:rsidRPr="00EA7E3C">
              <w:rPr>
                <w:rStyle w:val="None"/>
                <w:rFonts w:ascii="Arial" w:hAnsi="Arial" w:cs="Arial"/>
                <w:shd w:val="clear" w:color="auto" w:fill="FFFFFF"/>
              </w:rPr>
              <w:t>The Target element sets out clear and well-defined objectives (e.g. quantified percentages, precisely defined terms etc.)</w:t>
            </w:r>
          </w:p>
        </w:tc>
      </w:tr>
      <w:tr w:rsidR="001F3F0B" w:rsidRPr="00EA7E3C" w14:paraId="3016CD20" w14:textId="77777777" w:rsidTr="005F74C7">
        <w:trPr>
          <w:trHeight w:val="723"/>
          <w:jc w:val="center"/>
        </w:trPr>
        <w:tc>
          <w:tcPr>
            <w:tcW w:w="1980" w:type="dxa"/>
            <w:shd w:val="clear" w:color="auto" w:fill="auto"/>
            <w:tcMar>
              <w:top w:w="80" w:type="dxa"/>
              <w:left w:w="80" w:type="dxa"/>
              <w:bottom w:w="80" w:type="dxa"/>
              <w:right w:w="80" w:type="dxa"/>
            </w:tcMar>
            <w:vAlign w:val="center"/>
          </w:tcPr>
          <w:p w14:paraId="718C534A" w14:textId="77777777" w:rsidR="001F3F0B" w:rsidRPr="009E3BC2" w:rsidRDefault="001F3F0B" w:rsidP="005F74C7">
            <w:pPr>
              <w:pStyle w:val="Body"/>
              <w:spacing w:before="60" w:after="60" w:line="240" w:lineRule="auto"/>
              <w:jc w:val="both"/>
              <w:rPr>
                <w:rFonts w:ascii="Arial" w:hAnsi="Arial" w:cs="Arial"/>
                <w:b/>
              </w:rPr>
            </w:pPr>
            <w:r w:rsidRPr="009E3BC2">
              <w:rPr>
                <w:rStyle w:val="None"/>
                <w:rFonts w:ascii="Arial" w:hAnsi="Arial" w:cs="Arial"/>
                <w:b/>
              </w:rPr>
              <w:t>Measurable</w:t>
            </w:r>
          </w:p>
        </w:tc>
        <w:tc>
          <w:tcPr>
            <w:tcW w:w="7040" w:type="dxa"/>
            <w:shd w:val="clear" w:color="auto" w:fill="auto"/>
            <w:tcMar>
              <w:top w:w="80" w:type="dxa"/>
              <w:left w:w="80" w:type="dxa"/>
              <w:bottom w:w="80" w:type="dxa"/>
              <w:right w:w="80" w:type="dxa"/>
            </w:tcMar>
          </w:tcPr>
          <w:p w14:paraId="2F64261C" w14:textId="77777777" w:rsidR="001F3F0B" w:rsidRPr="00EA7E3C" w:rsidRDefault="001F3F0B" w:rsidP="005F74C7">
            <w:pPr>
              <w:pStyle w:val="Body"/>
              <w:spacing w:before="60" w:after="60" w:line="240" w:lineRule="auto"/>
              <w:jc w:val="both"/>
              <w:rPr>
                <w:rFonts w:ascii="Arial" w:hAnsi="Arial" w:cs="Arial"/>
              </w:rPr>
            </w:pPr>
            <w:r w:rsidRPr="00EA7E3C">
              <w:rPr>
                <w:rStyle w:val="None"/>
                <w:rFonts w:ascii="Arial" w:hAnsi="Arial" w:cs="Arial"/>
                <w:shd w:val="clear" w:color="auto" w:fill="FFFFFF"/>
              </w:rPr>
              <w:t xml:space="preserve">Progress towards the Target element can be assessed using data already available or feasible to </w:t>
            </w:r>
            <w:proofErr w:type="spellStart"/>
            <w:r w:rsidRPr="00EA7E3C">
              <w:rPr>
                <w:rStyle w:val="None"/>
                <w:rFonts w:ascii="Arial" w:hAnsi="Arial" w:cs="Arial"/>
                <w:shd w:val="clear" w:color="auto" w:fill="FFFFFF"/>
              </w:rPr>
              <w:t>mobilise</w:t>
            </w:r>
            <w:proofErr w:type="spellEnd"/>
            <w:r w:rsidRPr="00EA7E3C">
              <w:rPr>
                <w:rStyle w:val="None"/>
                <w:rFonts w:ascii="Arial" w:hAnsi="Arial" w:cs="Arial"/>
                <w:shd w:val="clear" w:color="auto" w:fill="FFFFFF"/>
              </w:rPr>
              <w:t xml:space="preserve"> by 2020 (e.g. quantitative indicators exist or are realistic to produce by 2020)</w:t>
            </w:r>
          </w:p>
        </w:tc>
      </w:tr>
      <w:tr w:rsidR="001F3F0B" w:rsidRPr="00EA7E3C" w14:paraId="3E24F2DC" w14:textId="77777777" w:rsidTr="005F74C7">
        <w:trPr>
          <w:trHeight w:val="483"/>
          <w:jc w:val="center"/>
        </w:trPr>
        <w:tc>
          <w:tcPr>
            <w:tcW w:w="1980" w:type="dxa"/>
            <w:shd w:val="clear" w:color="auto" w:fill="auto"/>
            <w:tcMar>
              <w:top w:w="80" w:type="dxa"/>
              <w:left w:w="80" w:type="dxa"/>
              <w:bottom w:w="80" w:type="dxa"/>
              <w:right w:w="80" w:type="dxa"/>
            </w:tcMar>
            <w:vAlign w:val="center"/>
          </w:tcPr>
          <w:p w14:paraId="75C80D01" w14:textId="77777777" w:rsidR="001F3F0B" w:rsidRPr="009E3BC2" w:rsidRDefault="001F3F0B" w:rsidP="005F74C7">
            <w:pPr>
              <w:pStyle w:val="Body"/>
              <w:spacing w:before="60" w:after="60" w:line="240" w:lineRule="auto"/>
              <w:jc w:val="both"/>
              <w:rPr>
                <w:rFonts w:ascii="Arial" w:hAnsi="Arial" w:cs="Arial"/>
                <w:b/>
              </w:rPr>
            </w:pPr>
            <w:r w:rsidRPr="009E3BC2">
              <w:rPr>
                <w:rStyle w:val="None"/>
                <w:rFonts w:ascii="Arial" w:hAnsi="Arial" w:cs="Arial"/>
                <w:b/>
              </w:rPr>
              <w:t>Ambitious</w:t>
            </w:r>
          </w:p>
        </w:tc>
        <w:tc>
          <w:tcPr>
            <w:tcW w:w="7040" w:type="dxa"/>
            <w:shd w:val="clear" w:color="auto" w:fill="auto"/>
            <w:tcMar>
              <w:top w:w="80" w:type="dxa"/>
              <w:left w:w="80" w:type="dxa"/>
              <w:bottom w:w="80" w:type="dxa"/>
              <w:right w:w="80" w:type="dxa"/>
            </w:tcMar>
          </w:tcPr>
          <w:p w14:paraId="16A7CB0A" w14:textId="77777777" w:rsidR="001F3F0B" w:rsidRPr="00EA7E3C" w:rsidRDefault="001F3F0B" w:rsidP="005F74C7">
            <w:pPr>
              <w:pStyle w:val="Body"/>
              <w:spacing w:before="60" w:after="60" w:line="240" w:lineRule="auto"/>
              <w:jc w:val="both"/>
              <w:rPr>
                <w:rFonts w:ascii="Arial" w:hAnsi="Arial" w:cs="Arial"/>
              </w:rPr>
            </w:pPr>
            <w:r w:rsidRPr="00EA7E3C">
              <w:rPr>
                <w:rStyle w:val="None"/>
                <w:rFonts w:ascii="Arial" w:hAnsi="Arial" w:cs="Arial"/>
                <w:shd w:val="clear" w:color="auto" w:fill="FFFFFF"/>
              </w:rPr>
              <w:t>The Target element is ambitious and aims sufficiently high to achieve the overall mission to halt the loss of biodiversity</w:t>
            </w:r>
          </w:p>
        </w:tc>
      </w:tr>
      <w:tr w:rsidR="001F3F0B" w:rsidRPr="00EA7E3C" w14:paraId="681AF82C" w14:textId="77777777" w:rsidTr="005F74C7">
        <w:trPr>
          <w:trHeight w:val="483"/>
          <w:jc w:val="center"/>
        </w:trPr>
        <w:tc>
          <w:tcPr>
            <w:tcW w:w="1980" w:type="dxa"/>
            <w:shd w:val="clear" w:color="auto" w:fill="auto"/>
            <w:tcMar>
              <w:top w:w="80" w:type="dxa"/>
              <w:left w:w="80" w:type="dxa"/>
              <w:bottom w:w="80" w:type="dxa"/>
              <w:right w:w="80" w:type="dxa"/>
            </w:tcMar>
            <w:vAlign w:val="center"/>
          </w:tcPr>
          <w:p w14:paraId="2A85AC8D" w14:textId="77777777" w:rsidR="001F3F0B" w:rsidRPr="009E3BC2" w:rsidRDefault="001F3F0B" w:rsidP="005F74C7">
            <w:pPr>
              <w:pStyle w:val="Body"/>
              <w:spacing w:before="60" w:after="60" w:line="240" w:lineRule="auto"/>
              <w:jc w:val="both"/>
              <w:rPr>
                <w:rFonts w:ascii="Arial" w:hAnsi="Arial" w:cs="Arial"/>
                <w:b/>
              </w:rPr>
            </w:pPr>
            <w:r w:rsidRPr="009E3BC2">
              <w:rPr>
                <w:rStyle w:val="None"/>
                <w:rFonts w:ascii="Arial" w:hAnsi="Arial" w:cs="Arial"/>
                <w:b/>
              </w:rPr>
              <w:t>Realistic</w:t>
            </w:r>
          </w:p>
        </w:tc>
        <w:tc>
          <w:tcPr>
            <w:tcW w:w="7040" w:type="dxa"/>
            <w:shd w:val="clear" w:color="auto" w:fill="auto"/>
            <w:tcMar>
              <w:top w:w="80" w:type="dxa"/>
              <w:left w:w="80" w:type="dxa"/>
              <w:bottom w:w="80" w:type="dxa"/>
              <w:right w:w="80" w:type="dxa"/>
            </w:tcMar>
          </w:tcPr>
          <w:p w14:paraId="653973C3" w14:textId="77777777" w:rsidR="001F3F0B" w:rsidRPr="00EA7E3C" w:rsidRDefault="001F3F0B" w:rsidP="005F74C7">
            <w:pPr>
              <w:pStyle w:val="Body"/>
              <w:spacing w:before="60" w:after="60" w:line="240" w:lineRule="auto"/>
              <w:jc w:val="both"/>
              <w:rPr>
                <w:rFonts w:ascii="Arial" w:hAnsi="Arial" w:cs="Arial"/>
              </w:rPr>
            </w:pPr>
            <w:r w:rsidRPr="00EA7E3C">
              <w:rPr>
                <w:rStyle w:val="None"/>
                <w:rFonts w:ascii="Arial" w:hAnsi="Arial" w:cs="Arial"/>
                <w:shd w:val="clear" w:color="auto" w:fill="FFFFFF"/>
              </w:rPr>
              <w:t>The Target element can feasibly be achieved considering the time-frame, practicalities, plausible funding etc.</w:t>
            </w:r>
          </w:p>
        </w:tc>
      </w:tr>
      <w:tr w:rsidR="001F3F0B" w:rsidRPr="00EA7E3C" w14:paraId="2980EE87" w14:textId="77777777" w:rsidTr="005F74C7">
        <w:trPr>
          <w:trHeight w:val="483"/>
          <w:jc w:val="center"/>
        </w:trPr>
        <w:tc>
          <w:tcPr>
            <w:tcW w:w="1980" w:type="dxa"/>
            <w:shd w:val="clear" w:color="auto" w:fill="auto"/>
            <w:tcMar>
              <w:top w:w="80" w:type="dxa"/>
              <w:left w:w="80" w:type="dxa"/>
              <w:bottom w:w="80" w:type="dxa"/>
              <w:right w:w="80" w:type="dxa"/>
            </w:tcMar>
            <w:vAlign w:val="center"/>
          </w:tcPr>
          <w:p w14:paraId="6DAFA53F" w14:textId="77777777" w:rsidR="001F3F0B" w:rsidRPr="009E3BC2" w:rsidRDefault="001F3F0B" w:rsidP="005F74C7">
            <w:pPr>
              <w:pStyle w:val="Body"/>
              <w:spacing w:before="60" w:after="60" w:line="240" w:lineRule="auto"/>
              <w:jc w:val="both"/>
              <w:rPr>
                <w:rFonts w:ascii="Arial" w:hAnsi="Arial" w:cs="Arial"/>
                <w:b/>
              </w:rPr>
            </w:pPr>
            <w:r w:rsidRPr="009E3BC2">
              <w:rPr>
                <w:rStyle w:val="None"/>
                <w:rFonts w:ascii="Arial" w:hAnsi="Arial" w:cs="Arial"/>
                <w:b/>
              </w:rPr>
              <w:t>Comprehensive</w:t>
            </w:r>
          </w:p>
        </w:tc>
        <w:tc>
          <w:tcPr>
            <w:tcW w:w="7040" w:type="dxa"/>
            <w:shd w:val="clear" w:color="auto" w:fill="auto"/>
            <w:tcMar>
              <w:top w:w="80" w:type="dxa"/>
              <w:left w:w="80" w:type="dxa"/>
              <w:bottom w:w="80" w:type="dxa"/>
              <w:right w:w="80" w:type="dxa"/>
            </w:tcMar>
          </w:tcPr>
          <w:p w14:paraId="066345FF" w14:textId="77777777" w:rsidR="001F3F0B" w:rsidRPr="00EA7E3C" w:rsidRDefault="001F3F0B" w:rsidP="005F74C7">
            <w:pPr>
              <w:pStyle w:val="Body"/>
              <w:spacing w:before="60" w:after="60" w:line="240" w:lineRule="auto"/>
              <w:jc w:val="both"/>
              <w:rPr>
                <w:rFonts w:ascii="Arial" w:hAnsi="Arial" w:cs="Arial"/>
              </w:rPr>
            </w:pPr>
            <w:r w:rsidRPr="00EA7E3C">
              <w:rPr>
                <w:rStyle w:val="None"/>
                <w:rFonts w:ascii="Arial" w:hAnsi="Arial" w:cs="Arial"/>
                <w:shd w:val="clear" w:color="auto" w:fill="FFFFFF"/>
              </w:rPr>
              <w:t>The Target covers all important aspects of the issue that it seeks to address</w:t>
            </w:r>
          </w:p>
        </w:tc>
      </w:tr>
      <w:tr w:rsidR="001F3F0B" w:rsidRPr="00EA7E3C" w14:paraId="14B3291B" w14:textId="77777777" w:rsidTr="005F74C7">
        <w:trPr>
          <w:trHeight w:val="483"/>
          <w:jc w:val="center"/>
        </w:trPr>
        <w:tc>
          <w:tcPr>
            <w:tcW w:w="1980" w:type="dxa"/>
            <w:shd w:val="clear" w:color="auto" w:fill="auto"/>
            <w:tcMar>
              <w:top w:w="80" w:type="dxa"/>
              <w:left w:w="80" w:type="dxa"/>
              <w:bottom w:w="80" w:type="dxa"/>
              <w:right w:w="80" w:type="dxa"/>
            </w:tcMar>
            <w:vAlign w:val="center"/>
          </w:tcPr>
          <w:p w14:paraId="524B6EEF" w14:textId="77777777" w:rsidR="001F3F0B" w:rsidRPr="009E3BC2" w:rsidRDefault="001F3F0B" w:rsidP="005F74C7">
            <w:pPr>
              <w:pStyle w:val="Body"/>
              <w:spacing w:before="60" w:after="60" w:line="240" w:lineRule="auto"/>
              <w:jc w:val="both"/>
              <w:rPr>
                <w:rFonts w:ascii="Arial" w:hAnsi="Arial" w:cs="Arial"/>
                <w:b/>
              </w:rPr>
            </w:pPr>
            <w:r w:rsidRPr="009E3BC2">
              <w:rPr>
                <w:rStyle w:val="None"/>
                <w:rFonts w:ascii="Arial" w:hAnsi="Arial" w:cs="Arial"/>
                <w:b/>
              </w:rPr>
              <w:t>Unambiguous</w:t>
            </w:r>
          </w:p>
        </w:tc>
        <w:tc>
          <w:tcPr>
            <w:tcW w:w="7040" w:type="dxa"/>
            <w:shd w:val="clear" w:color="auto" w:fill="auto"/>
            <w:tcMar>
              <w:top w:w="80" w:type="dxa"/>
              <w:left w:w="80" w:type="dxa"/>
              <w:bottom w:w="80" w:type="dxa"/>
              <w:right w:w="80" w:type="dxa"/>
            </w:tcMar>
          </w:tcPr>
          <w:p w14:paraId="32EBA203" w14:textId="77777777" w:rsidR="001F3F0B" w:rsidRPr="00EA7E3C" w:rsidRDefault="001F3F0B" w:rsidP="005F74C7">
            <w:pPr>
              <w:pStyle w:val="Body"/>
              <w:spacing w:before="60" w:after="60" w:line="240" w:lineRule="auto"/>
              <w:jc w:val="both"/>
              <w:rPr>
                <w:rFonts w:ascii="Arial" w:hAnsi="Arial" w:cs="Arial"/>
              </w:rPr>
            </w:pPr>
            <w:r w:rsidRPr="00EA7E3C">
              <w:rPr>
                <w:rStyle w:val="None"/>
                <w:rFonts w:ascii="Arial" w:hAnsi="Arial" w:cs="Arial"/>
                <w:shd w:val="clear" w:color="auto" w:fill="FFFFFF"/>
              </w:rPr>
              <w:t>The Target element is easy to understand and interpret with a single, clear definition</w:t>
            </w:r>
          </w:p>
        </w:tc>
      </w:tr>
      <w:tr w:rsidR="001F3F0B" w:rsidRPr="00EA7E3C" w14:paraId="51E60421" w14:textId="77777777" w:rsidTr="005F74C7">
        <w:trPr>
          <w:trHeight w:val="243"/>
          <w:jc w:val="center"/>
        </w:trPr>
        <w:tc>
          <w:tcPr>
            <w:tcW w:w="1980" w:type="dxa"/>
            <w:shd w:val="clear" w:color="auto" w:fill="auto"/>
            <w:tcMar>
              <w:top w:w="80" w:type="dxa"/>
              <w:left w:w="80" w:type="dxa"/>
              <w:bottom w:w="80" w:type="dxa"/>
              <w:right w:w="80" w:type="dxa"/>
            </w:tcMar>
            <w:vAlign w:val="center"/>
          </w:tcPr>
          <w:p w14:paraId="383CA662" w14:textId="77777777" w:rsidR="001F3F0B" w:rsidRPr="009E3BC2" w:rsidRDefault="001F3F0B" w:rsidP="005F74C7">
            <w:pPr>
              <w:pStyle w:val="Body"/>
              <w:spacing w:before="60" w:after="60" w:line="240" w:lineRule="auto"/>
              <w:jc w:val="both"/>
              <w:rPr>
                <w:rFonts w:ascii="Arial" w:hAnsi="Arial" w:cs="Arial"/>
                <w:b/>
              </w:rPr>
            </w:pPr>
            <w:r w:rsidRPr="009E3BC2">
              <w:rPr>
                <w:rStyle w:val="None"/>
                <w:rFonts w:ascii="Arial" w:hAnsi="Arial" w:cs="Arial"/>
                <w:b/>
              </w:rPr>
              <w:t>Scalable</w:t>
            </w:r>
          </w:p>
        </w:tc>
        <w:tc>
          <w:tcPr>
            <w:tcW w:w="7040" w:type="dxa"/>
            <w:shd w:val="clear" w:color="auto" w:fill="auto"/>
            <w:tcMar>
              <w:top w:w="80" w:type="dxa"/>
              <w:left w:w="80" w:type="dxa"/>
              <w:bottom w:w="80" w:type="dxa"/>
              <w:right w:w="80" w:type="dxa"/>
            </w:tcMar>
          </w:tcPr>
          <w:p w14:paraId="09C7D293" w14:textId="77777777" w:rsidR="001F3F0B" w:rsidRPr="00EA7E3C" w:rsidRDefault="001F3F0B" w:rsidP="005F74C7">
            <w:pPr>
              <w:pStyle w:val="Body"/>
              <w:spacing w:before="60" w:after="60" w:line="240" w:lineRule="auto"/>
              <w:jc w:val="both"/>
              <w:rPr>
                <w:rFonts w:ascii="Arial" w:hAnsi="Arial" w:cs="Arial"/>
              </w:rPr>
            </w:pPr>
            <w:r w:rsidRPr="00EA7E3C">
              <w:rPr>
                <w:rStyle w:val="None"/>
                <w:rFonts w:ascii="Arial" w:hAnsi="Arial" w:cs="Arial"/>
                <w:shd w:val="clear" w:color="auto" w:fill="FFFFFF"/>
              </w:rPr>
              <w:t>The Target element is applicable at global, regional and national scales</w:t>
            </w:r>
          </w:p>
        </w:tc>
      </w:tr>
    </w:tbl>
    <w:p w14:paraId="00393EB5" w14:textId="77777777" w:rsidR="001F3F0B" w:rsidRDefault="001F3F0B" w:rsidP="001F3F0B">
      <w:pPr>
        <w:spacing w:after="120"/>
      </w:pPr>
    </w:p>
    <w:p w14:paraId="2F275BA1" w14:textId="77777777" w:rsidR="001F3F0B" w:rsidRDefault="001F3F0B" w:rsidP="001F3F0B">
      <w:pPr>
        <w:spacing w:after="120"/>
        <w:rPr>
          <w:b/>
        </w:rPr>
      </w:pPr>
    </w:p>
    <w:p w14:paraId="13F2F9F9" w14:textId="77777777" w:rsidR="001F3F0B" w:rsidRDefault="001F3F0B" w:rsidP="001F3F0B">
      <w:pPr>
        <w:spacing w:after="120"/>
        <w:rPr>
          <w:b/>
        </w:rPr>
      </w:pPr>
      <w:r>
        <w:rPr>
          <w:b/>
        </w:rPr>
        <w:br w:type="page"/>
      </w:r>
    </w:p>
    <w:p w14:paraId="6B6C7615" w14:textId="77777777" w:rsidR="001F3F0B" w:rsidRDefault="001F3F0B" w:rsidP="001F3F0B">
      <w:pPr>
        <w:spacing w:after="120"/>
      </w:pPr>
      <w:r>
        <w:rPr>
          <w:b/>
        </w:rPr>
        <w:lastRenderedPageBreak/>
        <w:t>Table 2</w:t>
      </w:r>
      <w:r w:rsidRPr="00084E76">
        <w:rPr>
          <w:b/>
        </w:rPr>
        <w:t>.</w:t>
      </w:r>
      <w:r w:rsidRPr="00EA7E3C">
        <w:t xml:space="preserve"> The </w:t>
      </w:r>
      <w:r>
        <w:t xml:space="preserve">Aichi </w:t>
      </w:r>
      <w:r w:rsidRPr="00EA7E3C">
        <w:t xml:space="preserve">targets with the </w:t>
      </w:r>
      <w:r>
        <w:t xml:space="preserve">highest and lowest average </w:t>
      </w:r>
      <w:r w:rsidRPr="00EA7E3C">
        <w:t>‘SMART</w:t>
      </w:r>
      <w:r>
        <w:t>-ness</w:t>
      </w:r>
      <w:r w:rsidRPr="00EA7E3C">
        <w:t>’ scores based on an expert assessment of the Aichi Targets.</w:t>
      </w:r>
      <w:r>
        <w:t xml:space="preserve"> ‘SMART’ ranking: 1 = most ‘SMART’; 20 = least ‘SMART’.</w:t>
      </w:r>
    </w:p>
    <w:p w14:paraId="3AFAFF69" w14:textId="77777777" w:rsidR="001F3F0B" w:rsidRPr="00EA7E3C" w:rsidRDefault="001F3F0B" w:rsidP="001F3F0B">
      <w:pPr>
        <w:spacing w:after="120"/>
      </w:pPr>
    </w:p>
    <w:tbl>
      <w:tblPr>
        <w:tblStyle w:val="TableGrid"/>
        <w:tblW w:w="0" w:type="auto"/>
        <w:jc w:val="center"/>
        <w:tblLook w:val="04A0" w:firstRow="1" w:lastRow="0" w:firstColumn="1" w:lastColumn="0" w:noHBand="0" w:noVBand="1"/>
      </w:tblPr>
      <w:tblGrid>
        <w:gridCol w:w="846"/>
        <w:gridCol w:w="888"/>
        <w:gridCol w:w="5953"/>
        <w:gridCol w:w="1889"/>
      </w:tblGrid>
      <w:tr w:rsidR="001F3F0B" w:rsidRPr="00A82733" w14:paraId="61995E6A" w14:textId="77777777" w:rsidTr="005F74C7">
        <w:trPr>
          <w:jc w:val="center"/>
        </w:trPr>
        <w:tc>
          <w:tcPr>
            <w:tcW w:w="846" w:type="dxa"/>
            <w:tcBorders>
              <w:top w:val="nil"/>
              <w:left w:val="nil"/>
            </w:tcBorders>
            <w:shd w:val="clear" w:color="auto" w:fill="auto"/>
          </w:tcPr>
          <w:p w14:paraId="4A253BAE" w14:textId="77777777" w:rsidR="001F3F0B" w:rsidRDefault="001F3F0B" w:rsidP="005F74C7">
            <w:pPr>
              <w:spacing w:before="40" w:after="40"/>
              <w:rPr>
                <w:b/>
              </w:rPr>
            </w:pPr>
          </w:p>
          <w:p w14:paraId="116F6891" w14:textId="77777777" w:rsidR="001F3F0B" w:rsidRDefault="001F3F0B" w:rsidP="005F74C7"/>
          <w:p w14:paraId="7A0B3ACB" w14:textId="77777777" w:rsidR="001F3F0B" w:rsidRPr="00A82733" w:rsidRDefault="001F3F0B" w:rsidP="005F74C7"/>
        </w:tc>
        <w:tc>
          <w:tcPr>
            <w:tcW w:w="541" w:type="dxa"/>
            <w:shd w:val="clear" w:color="auto" w:fill="B8CCE4" w:themeFill="accent1" w:themeFillTint="66"/>
            <w:vAlign w:val="center"/>
          </w:tcPr>
          <w:p w14:paraId="1BDB7FD3" w14:textId="77777777" w:rsidR="001F3F0B" w:rsidRPr="00A82733" w:rsidRDefault="001F3F0B" w:rsidP="005F74C7">
            <w:pPr>
              <w:spacing w:before="40" w:after="40"/>
              <w:jc w:val="center"/>
              <w:rPr>
                <w:b/>
              </w:rPr>
            </w:pPr>
            <w:r w:rsidRPr="00A82733">
              <w:rPr>
                <w:b/>
              </w:rPr>
              <w:t>Target no.</w:t>
            </w:r>
          </w:p>
        </w:tc>
        <w:tc>
          <w:tcPr>
            <w:tcW w:w="0" w:type="auto"/>
            <w:shd w:val="clear" w:color="auto" w:fill="B8CCE4" w:themeFill="accent1" w:themeFillTint="66"/>
            <w:vAlign w:val="center"/>
          </w:tcPr>
          <w:p w14:paraId="4EC381B7" w14:textId="77777777" w:rsidR="001F3F0B" w:rsidRPr="00A82733" w:rsidRDefault="001F3F0B" w:rsidP="005F74C7">
            <w:pPr>
              <w:spacing w:before="40" w:after="40"/>
              <w:jc w:val="center"/>
              <w:rPr>
                <w:b/>
              </w:rPr>
            </w:pPr>
            <w:r w:rsidRPr="00A82733">
              <w:rPr>
                <w:b/>
              </w:rPr>
              <w:t>Target</w:t>
            </w:r>
          </w:p>
        </w:tc>
        <w:tc>
          <w:tcPr>
            <w:tcW w:w="0" w:type="auto"/>
            <w:shd w:val="clear" w:color="auto" w:fill="B8CCE4" w:themeFill="accent1" w:themeFillTint="66"/>
            <w:vAlign w:val="center"/>
          </w:tcPr>
          <w:p w14:paraId="3D542EEF" w14:textId="77777777" w:rsidR="001F3F0B" w:rsidRPr="00A82733" w:rsidRDefault="001F3F0B" w:rsidP="005F74C7">
            <w:pPr>
              <w:spacing w:before="40" w:after="40"/>
              <w:jc w:val="center"/>
              <w:rPr>
                <w:b/>
              </w:rPr>
            </w:pPr>
            <w:r w:rsidRPr="00A82733">
              <w:rPr>
                <w:b/>
              </w:rPr>
              <w:t>‘SMART’ ranking, from 1 top ranked, to 20 lowest rank</w:t>
            </w:r>
          </w:p>
        </w:tc>
      </w:tr>
      <w:tr w:rsidR="001F3F0B" w:rsidRPr="00EA7E3C" w14:paraId="3CE77332" w14:textId="77777777" w:rsidTr="005F74C7">
        <w:trPr>
          <w:jc w:val="center"/>
        </w:trPr>
        <w:tc>
          <w:tcPr>
            <w:tcW w:w="846" w:type="dxa"/>
            <w:vMerge w:val="restart"/>
            <w:textDirection w:val="btLr"/>
            <w:vAlign w:val="center"/>
          </w:tcPr>
          <w:p w14:paraId="53C7EF4F" w14:textId="77777777" w:rsidR="001F3F0B" w:rsidRPr="001313F5" w:rsidRDefault="001F3F0B" w:rsidP="005F74C7">
            <w:pPr>
              <w:spacing w:before="40" w:after="40"/>
              <w:ind w:left="113" w:right="113"/>
              <w:jc w:val="center"/>
              <w:rPr>
                <w:b/>
              </w:rPr>
            </w:pPr>
            <w:r w:rsidRPr="001313F5">
              <w:rPr>
                <w:b/>
                <w:color w:val="00B050"/>
              </w:rPr>
              <w:t>Most SMART</w:t>
            </w:r>
          </w:p>
        </w:tc>
        <w:tc>
          <w:tcPr>
            <w:tcW w:w="541" w:type="dxa"/>
            <w:vAlign w:val="center"/>
          </w:tcPr>
          <w:p w14:paraId="38348BA2" w14:textId="77777777" w:rsidR="001F3F0B" w:rsidRPr="00EA7E3C" w:rsidRDefault="001F3F0B" w:rsidP="005F74C7">
            <w:pPr>
              <w:spacing w:before="40" w:after="40"/>
              <w:jc w:val="center"/>
            </w:pPr>
            <w:r w:rsidRPr="00EA7E3C">
              <w:t>17</w:t>
            </w:r>
          </w:p>
        </w:tc>
        <w:tc>
          <w:tcPr>
            <w:tcW w:w="0" w:type="auto"/>
            <w:vAlign w:val="bottom"/>
          </w:tcPr>
          <w:p w14:paraId="52DD88D6" w14:textId="77777777" w:rsidR="001F3F0B" w:rsidRPr="00EA7E3C" w:rsidRDefault="001F3F0B" w:rsidP="005F74C7">
            <w:pPr>
              <w:spacing w:before="40" w:after="40"/>
            </w:pPr>
            <w:r w:rsidRPr="00EA7E3C">
              <w:t>By 2015 each Party has developed, adopted as a policy instrument, and has commenced implementing an effective, participatory and updated national biodiversity strategy and action plan.</w:t>
            </w:r>
          </w:p>
        </w:tc>
        <w:tc>
          <w:tcPr>
            <w:tcW w:w="0" w:type="auto"/>
            <w:vAlign w:val="center"/>
          </w:tcPr>
          <w:p w14:paraId="17D7626B" w14:textId="77777777" w:rsidR="001F3F0B" w:rsidRPr="00EA7E3C" w:rsidRDefault="001F3F0B" w:rsidP="005F74C7">
            <w:pPr>
              <w:spacing w:before="40" w:after="40"/>
              <w:jc w:val="center"/>
            </w:pPr>
            <w:r w:rsidRPr="00EA7E3C">
              <w:t>1</w:t>
            </w:r>
          </w:p>
        </w:tc>
      </w:tr>
      <w:tr w:rsidR="001F3F0B" w:rsidRPr="00EA7E3C" w14:paraId="4E3BC040" w14:textId="77777777" w:rsidTr="005F74C7">
        <w:trPr>
          <w:jc w:val="center"/>
        </w:trPr>
        <w:tc>
          <w:tcPr>
            <w:tcW w:w="846" w:type="dxa"/>
            <w:vMerge/>
            <w:vAlign w:val="center"/>
          </w:tcPr>
          <w:p w14:paraId="163B1437" w14:textId="77777777" w:rsidR="001F3F0B" w:rsidRPr="001313F5" w:rsidRDefault="001F3F0B" w:rsidP="005F74C7">
            <w:pPr>
              <w:spacing w:before="40" w:after="40"/>
              <w:rPr>
                <w:b/>
              </w:rPr>
            </w:pPr>
          </w:p>
        </w:tc>
        <w:tc>
          <w:tcPr>
            <w:tcW w:w="541" w:type="dxa"/>
            <w:vAlign w:val="center"/>
          </w:tcPr>
          <w:p w14:paraId="73834DA8" w14:textId="77777777" w:rsidR="001F3F0B" w:rsidRPr="00EA7E3C" w:rsidRDefault="001F3F0B" w:rsidP="005F74C7">
            <w:pPr>
              <w:spacing w:before="40" w:after="40"/>
              <w:jc w:val="center"/>
            </w:pPr>
            <w:r w:rsidRPr="00EA7E3C">
              <w:t>16</w:t>
            </w:r>
          </w:p>
        </w:tc>
        <w:tc>
          <w:tcPr>
            <w:tcW w:w="0" w:type="auto"/>
            <w:vAlign w:val="bottom"/>
          </w:tcPr>
          <w:p w14:paraId="0F471168" w14:textId="77777777" w:rsidR="001F3F0B" w:rsidRPr="00EA7E3C" w:rsidRDefault="001F3F0B" w:rsidP="005F74C7">
            <w:pPr>
              <w:spacing w:before="40" w:after="40"/>
            </w:pPr>
            <w:r w:rsidRPr="00EA7E3C">
              <w:t>By 2015, the Nagoya Protocol on Access to Genetic Resources and the Fair and Equitable Sharing of Benefits Arising from their Utilization is in force and operational, consistent with national legislation.</w:t>
            </w:r>
          </w:p>
        </w:tc>
        <w:tc>
          <w:tcPr>
            <w:tcW w:w="0" w:type="auto"/>
            <w:vAlign w:val="center"/>
          </w:tcPr>
          <w:p w14:paraId="3473817F" w14:textId="77777777" w:rsidR="001F3F0B" w:rsidRPr="00EA7E3C" w:rsidRDefault="001F3F0B" w:rsidP="005F74C7">
            <w:pPr>
              <w:spacing w:before="40" w:after="40"/>
              <w:jc w:val="center"/>
            </w:pPr>
            <w:r w:rsidRPr="00EA7E3C">
              <w:t>2</w:t>
            </w:r>
          </w:p>
        </w:tc>
      </w:tr>
      <w:tr w:rsidR="001F3F0B" w:rsidRPr="00EA7E3C" w14:paraId="41A1CBDC" w14:textId="77777777" w:rsidTr="005F74C7">
        <w:trPr>
          <w:jc w:val="center"/>
        </w:trPr>
        <w:tc>
          <w:tcPr>
            <w:tcW w:w="846" w:type="dxa"/>
            <w:vMerge/>
            <w:vAlign w:val="center"/>
          </w:tcPr>
          <w:p w14:paraId="654B2C4B" w14:textId="77777777" w:rsidR="001F3F0B" w:rsidRPr="001313F5" w:rsidRDefault="001F3F0B" w:rsidP="005F74C7">
            <w:pPr>
              <w:spacing w:before="40" w:after="40"/>
              <w:rPr>
                <w:b/>
              </w:rPr>
            </w:pPr>
          </w:p>
        </w:tc>
        <w:tc>
          <w:tcPr>
            <w:tcW w:w="541" w:type="dxa"/>
            <w:vAlign w:val="center"/>
          </w:tcPr>
          <w:p w14:paraId="0FEF194F" w14:textId="77777777" w:rsidR="001F3F0B" w:rsidRPr="00EA7E3C" w:rsidRDefault="001F3F0B" w:rsidP="005F74C7">
            <w:pPr>
              <w:spacing w:before="40" w:after="40"/>
              <w:jc w:val="center"/>
            </w:pPr>
            <w:r w:rsidRPr="00EA7E3C">
              <w:t>9</w:t>
            </w:r>
          </w:p>
        </w:tc>
        <w:tc>
          <w:tcPr>
            <w:tcW w:w="0" w:type="auto"/>
            <w:vAlign w:val="bottom"/>
          </w:tcPr>
          <w:p w14:paraId="62AA99EE" w14:textId="77777777" w:rsidR="001F3F0B" w:rsidRPr="00EA7E3C" w:rsidRDefault="001F3F0B" w:rsidP="005F74C7">
            <w:pPr>
              <w:spacing w:before="40" w:after="40"/>
            </w:pPr>
            <w:r w:rsidRPr="00EA7E3C">
              <w:t>By 2020, invasive alien species and pathways are identified and prioritized, priority species are controlled or eradicated, and measures are in place to manage pathways to prevent their introduction and establishment.</w:t>
            </w:r>
          </w:p>
        </w:tc>
        <w:tc>
          <w:tcPr>
            <w:tcW w:w="0" w:type="auto"/>
            <w:vAlign w:val="center"/>
          </w:tcPr>
          <w:p w14:paraId="45E01C13" w14:textId="77777777" w:rsidR="001F3F0B" w:rsidRPr="00EA7E3C" w:rsidRDefault="001F3F0B" w:rsidP="005F74C7">
            <w:pPr>
              <w:spacing w:before="40" w:after="40"/>
              <w:jc w:val="center"/>
            </w:pPr>
            <w:r w:rsidRPr="00EA7E3C">
              <w:t>3</w:t>
            </w:r>
          </w:p>
        </w:tc>
      </w:tr>
      <w:tr w:rsidR="001F3F0B" w:rsidRPr="00EA7E3C" w14:paraId="4C8B405F" w14:textId="77777777" w:rsidTr="005F74C7">
        <w:trPr>
          <w:cantSplit/>
          <w:jc w:val="center"/>
        </w:trPr>
        <w:tc>
          <w:tcPr>
            <w:tcW w:w="846" w:type="dxa"/>
            <w:vMerge w:val="restart"/>
            <w:textDirection w:val="btLr"/>
            <w:vAlign w:val="center"/>
          </w:tcPr>
          <w:p w14:paraId="77169148" w14:textId="77777777" w:rsidR="001F3F0B" w:rsidRPr="001313F5" w:rsidRDefault="001F3F0B" w:rsidP="005F74C7">
            <w:pPr>
              <w:spacing w:before="40" w:after="40"/>
              <w:ind w:left="113" w:right="113"/>
              <w:jc w:val="center"/>
              <w:rPr>
                <w:b/>
              </w:rPr>
            </w:pPr>
            <w:r w:rsidRPr="001313F5">
              <w:rPr>
                <w:b/>
                <w:color w:val="FF0000"/>
              </w:rPr>
              <w:t>Least SMART</w:t>
            </w:r>
          </w:p>
        </w:tc>
        <w:tc>
          <w:tcPr>
            <w:tcW w:w="541" w:type="dxa"/>
            <w:vAlign w:val="center"/>
          </w:tcPr>
          <w:p w14:paraId="37D0799B" w14:textId="77777777" w:rsidR="001F3F0B" w:rsidRPr="00EA7E3C" w:rsidRDefault="001F3F0B" w:rsidP="005F74C7">
            <w:pPr>
              <w:spacing w:before="40" w:after="40"/>
              <w:jc w:val="center"/>
            </w:pPr>
            <w:r w:rsidRPr="00EA7E3C">
              <w:t>14</w:t>
            </w:r>
          </w:p>
        </w:tc>
        <w:tc>
          <w:tcPr>
            <w:tcW w:w="0" w:type="auto"/>
            <w:vAlign w:val="bottom"/>
          </w:tcPr>
          <w:p w14:paraId="53D6124A" w14:textId="77777777" w:rsidR="001F3F0B" w:rsidRPr="00EA7E3C" w:rsidRDefault="001F3F0B" w:rsidP="005F74C7">
            <w:pPr>
              <w:spacing w:before="40" w:after="40"/>
            </w:pPr>
            <w:r w:rsidRPr="00EA7E3C">
              <w:t xml:space="preserve">By 2020, ecosystems that provide essential services, including services related to water, and contribute to health, livelihoods and well-being, are restored and safeguarded, </w:t>
            </w:r>
            <w:proofErr w:type="gramStart"/>
            <w:r w:rsidRPr="00EA7E3C">
              <w:t>taking into account</w:t>
            </w:r>
            <w:proofErr w:type="gramEnd"/>
            <w:r w:rsidRPr="00EA7E3C">
              <w:t xml:space="preserve"> the needs of women, indigenous and local communities, and the poor and vulnerable.</w:t>
            </w:r>
          </w:p>
        </w:tc>
        <w:tc>
          <w:tcPr>
            <w:tcW w:w="0" w:type="auto"/>
            <w:vAlign w:val="center"/>
          </w:tcPr>
          <w:p w14:paraId="568878B3" w14:textId="77777777" w:rsidR="001F3F0B" w:rsidRPr="00EA7E3C" w:rsidRDefault="001F3F0B" w:rsidP="005F74C7">
            <w:pPr>
              <w:spacing w:before="40" w:after="40"/>
              <w:jc w:val="center"/>
            </w:pPr>
            <w:r w:rsidRPr="00EA7E3C">
              <w:t>18</w:t>
            </w:r>
          </w:p>
        </w:tc>
      </w:tr>
      <w:tr w:rsidR="001F3F0B" w:rsidRPr="00EA7E3C" w14:paraId="35CA1025" w14:textId="77777777" w:rsidTr="005F74C7">
        <w:trPr>
          <w:cantSplit/>
          <w:jc w:val="center"/>
        </w:trPr>
        <w:tc>
          <w:tcPr>
            <w:tcW w:w="846" w:type="dxa"/>
            <w:vMerge/>
          </w:tcPr>
          <w:p w14:paraId="15315215" w14:textId="77777777" w:rsidR="001F3F0B" w:rsidRPr="00EA7E3C" w:rsidRDefault="001F3F0B" w:rsidP="005F74C7">
            <w:pPr>
              <w:spacing w:before="40" w:after="40"/>
            </w:pPr>
          </w:p>
        </w:tc>
        <w:tc>
          <w:tcPr>
            <w:tcW w:w="541" w:type="dxa"/>
            <w:vAlign w:val="center"/>
          </w:tcPr>
          <w:p w14:paraId="2026B3BE" w14:textId="77777777" w:rsidR="001F3F0B" w:rsidRPr="00EA7E3C" w:rsidRDefault="001F3F0B" w:rsidP="005F74C7">
            <w:pPr>
              <w:spacing w:before="40" w:after="40"/>
              <w:jc w:val="center"/>
            </w:pPr>
            <w:r w:rsidRPr="00EA7E3C">
              <w:t>19</w:t>
            </w:r>
          </w:p>
        </w:tc>
        <w:tc>
          <w:tcPr>
            <w:tcW w:w="0" w:type="auto"/>
            <w:vAlign w:val="bottom"/>
          </w:tcPr>
          <w:p w14:paraId="07CA37C6" w14:textId="77777777" w:rsidR="001F3F0B" w:rsidRPr="00EA7E3C" w:rsidRDefault="001F3F0B" w:rsidP="005F74C7">
            <w:pPr>
              <w:spacing w:before="40" w:after="40"/>
            </w:pPr>
            <w:r w:rsidRPr="00EA7E3C">
              <w:t>By 2020, knowledge, the science base and technologies relating to biodiversity, its values, functioning, status and trends, and the consequences of its loss, are improved, widely shared and transferred, and applied.</w:t>
            </w:r>
          </w:p>
        </w:tc>
        <w:tc>
          <w:tcPr>
            <w:tcW w:w="0" w:type="auto"/>
            <w:vAlign w:val="center"/>
          </w:tcPr>
          <w:p w14:paraId="73CA5FCC" w14:textId="77777777" w:rsidR="001F3F0B" w:rsidRPr="00EA7E3C" w:rsidRDefault="001F3F0B" w:rsidP="005F74C7">
            <w:pPr>
              <w:spacing w:before="40" w:after="40"/>
              <w:jc w:val="center"/>
            </w:pPr>
            <w:r w:rsidRPr="00EA7E3C">
              <w:t>18</w:t>
            </w:r>
          </w:p>
        </w:tc>
      </w:tr>
      <w:tr w:rsidR="001F3F0B" w:rsidRPr="00EA7E3C" w14:paraId="672A21C3" w14:textId="77777777" w:rsidTr="005F74C7">
        <w:trPr>
          <w:cantSplit/>
          <w:jc w:val="center"/>
        </w:trPr>
        <w:tc>
          <w:tcPr>
            <w:tcW w:w="846" w:type="dxa"/>
            <w:vMerge/>
          </w:tcPr>
          <w:p w14:paraId="23DA18CF" w14:textId="77777777" w:rsidR="001F3F0B" w:rsidRPr="00EA7E3C" w:rsidRDefault="001F3F0B" w:rsidP="005F74C7">
            <w:pPr>
              <w:spacing w:before="40" w:after="40"/>
            </w:pPr>
          </w:p>
        </w:tc>
        <w:tc>
          <w:tcPr>
            <w:tcW w:w="541" w:type="dxa"/>
            <w:vAlign w:val="center"/>
          </w:tcPr>
          <w:p w14:paraId="00F68DFA" w14:textId="77777777" w:rsidR="001F3F0B" w:rsidRPr="00EA7E3C" w:rsidRDefault="001F3F0B" w:rsidP="005F74C7">
            <w:pPr>
              <w:spacing w:before="40" w:after="40"/>
              <w:jc w:val="center"/>
            </w:pPr>
            <w:r w:rsidRPr="00EA7E3C">
              <w:t>10</w:t>
            </w:r>
          </w:p>
        </w:tc>
        <w:tc>
          <w:tcPr>
            <w:tcW w:w="0" w:type="auto"/>
            <w:vAlign w:val="bottom"/>
          </w:tcPr>
          <w:p w14:paraId="0DB15BF5" w14:textId="77777777" w:rsidR="001F3F0B" w:rsidRPr="00EA7E3C" w:rsidRDefault="001F3F0B" w:rsidP="005F74C7">
            <w:pPr>
              <w:spacing w:before="40" w:after="40"/>
            </w:pPr>
            <w:r w:rsidRPr="00EA7E3C">
              <w:t xml:space="preserve">By 2015, the multiple anthropogenic pressures on coral reefs, and other vulnerable ecosystems impacted by climate change or ocean acidification are minimized, </w:t>
            </w:r>
            <w:proofErr w:type="gramStart"/>
            <w:r w:rsidRPr="00EA7E3C">
              <w:t>so as to</w:t>
            </w:r>
            <w:proofErr w:type="gramEnd"/>
            <w:r w:rsidRPr="00EA7E3C">
              <w:t xml:space="preserve"> maintain their integrity and functioning.</w:t>
            </w:r>
          </w:p>
        </w:tc>
        <w:tc>
          <w:tcPr>
            <w:tcW w:w="0" w:type="auto"/>
            <w:vAlign w:val="center"/>
          </w:tcPr>
          <w:p w14:paraId="682178F4" w14:textId="77777777" w:rsidR="001F3F0B" w:rsidRPr="00EA7E3C" w:rsidRDefault="001F3F0B" w:rsidP="005F74C7">
            <w:pPr>
              <w:spacing w:before="40" w:after="40"/>
              <w:jc w:val="center"/>
            </w:pPr>
            <w:r w:rsidRPr="00EA7E3C">
              <w:t>20</w:t>
            </w:r>
          </w:p>
        </w:tc>
      </w:tr>
    </w:tbl>
    <w:p w14:paraId="565E1466" w14:textId="77777777" w:rsidR="001F3F0B" w:rsidRDefault="001F3F0B" w:rsidP="001F3F0B">
      <w:pPr>
        <w:pStyle w:val="BodyA"/>
        <w:spacing w:after="120"/>
        <w:jc w:val="both"/>
        <w:rPr>
          <w:rStyle w:val="Strong"/>
          <w:rFonts w:ascii="Arial" w:eastAsia="Arial" w:hAnsi="Arial" w:cs="Arial"/>
          <w:b w:val="0"/>
          <w:bCs w:val="0"/>
        </w:rPr>
      </w:pPr>
    </w:p>
    <w:p w14:paraId="72416FBC" w14:textId="77777777" w:rsidR="001F3F0B" w:rsidRDefault="001F3F0B" w:rsidP="001F3F0B">
      <w:pPr>
        <w:spacing w:after="120"/>
        <w:rPr>
          <w:shd w:val="clear" w:color="auto" w:fill="FFFFFF"/>
        </w:rPr>
      </w:pPr>
    </w:p>
    <w:p w14:paraId="5368619A" w14:textId="77777777" w:rsidR="001F3F0B" w:rsidRDefault="001F3F0B" w:rsidP="001F3F0B">
      <w:pPr>
        <w:spacing w:after="120"/>
      </w:pPr>
      <w:r>
        <w:rPr>
          <w:rStyle w:val="None"/>
          <w:b/>
          <w:bCs/>
        </w:rPr>
        <w:br w:type="page"/>
      </w:r>
      <w:r w:rsidRPr="00967E8B">
        <w:rPr>
          <w:b/>
        </w:rPr>
        <w:lastRenderedPageBreak/>
        <w:t>Table 3.</w:t>
      </w:r>
      <w:r>
        <w:t xml:space="preserve"> An example of a checklist assessment of the Aichi targets (from the highest ranked in Green et al. expert SMART assessment, to the lowest ranked from left to right) using a simple traffic light scoring system (Green-Amber-Red). Green = met criterion, Amber = unclear whether criterion is met, Red = criterion not met.</w:t>
      </w:r>
    </w:p>
    <w:p w14:paraId="667536C5" w14:textId="77777777" w:rsidR="001F3F0B" w:rsidRPr="00967E8B" w:rsidRDefault="001F3F0B" w:rsidP="001F3F0B">
      <w:pPr>
        <w:spacing w:after="120"/>
        <w:rPr>
          <w:rStyle w:val="Strong"/>
          <w:b w:val="0"/>
          <w:bCs w:val="0"/>
        </w:rPr>
      </w:pPr>
    </w:p>
    <w:tbl>
      <w:tblPr>
        <w:tblStyle w:val="TableGrid"/>
        <w:tblW w:w="8478" w:type="dxa"/>
        <w:jc w:val="center"/>
        <w:tblLayout w:type="fixed"/>
        <w:tblLook w:val="04A0" w:firstRow="1" w:lastRow="0" w:firstColumn="1" w:lastColumn="0" w:noHBand="0" w:noVBand="1"/>
      </w:tblPr>
      <w:tblGrid>
        <w:gridCol w:w="2269"/>
        <w:gridCol w:w="845"/>
        <w:gridCol w:w="992"/>
        <w:gridCol w:w="992"/>
        <w:gridCol w:w="284"/>
        <w:gridCol w:w="1146"/>
        <w:gridCol w:w="975"/>
        <w:gridCol w:w="975"/>
      </w:tblGrid>
      <w:tr w:rsidR="001F3F0B" w14:paraId="5E7E5CE2" w14:textId="77777777" w:rsidTr="005F74C7">
        <w:trPr>
          <w:trHeight w:val="692"/>
          <w:jc w:val="center"/>
        </w:trPr>
        <w:tc>
          <w:tcPr>
            <w:tcW w:w="2269" w:type="dxa"/>
            <w:shd w:val="clear" w:color="auto" w:fill="B8CCE4" w:themeFill="accent1" w:themeFillTint="66"/>
            <w:vAlign w:val="center"/>
          </w:tcPr>
          <w:p w14:paraId="39C31E00" w14:textId="77777777" w:rsidR="001F3F0B" w:rsidRPr="00E74664" w:rsidRDefault="001F3F0B" w:rsidP="005F74C7">
            <w:pPr>
              <w:pStyle w:val="Body"/>
              <w:spacing w:before="40" w:after="40"/>
              <w:jc w:val="center"/>
              <w:rPr>
                <w:rStyle w:val="None"/>
                <w:rFonts w:ascii="Arial" w:hAnsi="Arial" w:cs="Arial"/>
                <w:b/>
              </w:rPr>
            </w:pPr>
            <w:r w:rsidRPr="00E74664">
              <w:rPr>
                <w:rStyle w:val="None"/>
                <w:rFonts w:ascii="Arial" w:hAnsi="Arial" w:cs="Arial"/>
                <w:b/>
              </w:rPr>
              <w:t>Target rank from highest to lowest</w:t>
            </w:r>
            <w:r>
              <w:rPr>
                <w:rStyle w:val="None"/>
                <w:rFonts w:ascii="Arial" w:hAnsi="Arial" w:cs="Arial"/>
                <w:b/>
              </w:rPr>
              <w:t xml:space="preserve"> in our assessment</w:t>
            </w:r>
          </w:p>
        </w:tc>
        <w:tc>
          <w:tcPr>
            <w:tcW w:w="845" w:type="dxa"/>
            <w:shd w:val="clear" w:color="auto" w:fill="B8CCE4" w:themeFill="accent1" w:themeFillTint="66"/>
            <w:vAlign w:val="center"/>
          </w:tcPr>
          <w:p w14:paraId="0D62B833" w14:textId="77777777" w:rsidR="001F3F0B" w:rsidRPr="00E06E53" w:rsidRDefault="001F3F0B" w:rsidP="005F74C7">
            <w:pPr>
              <w:spacing w:before="40" w:after="40"/>
              <w:jc w:val="center"/>
              <w:rPr>
                <w:b/>
              </w:rPr>
            </w:pPr>
            <w:r w:rsidRPr="00E06E53">
              <w:rPr>
                <w:b/>
              </w:rPr>
              <w:t>17</w:t>
            </w:r>
          </w:p>
        </w:tc>
        <w:tc>
          <w:tcPr>
            <w:tcW w:w="992" w:type="dxa"/>
            <w:shd w:val="clear" w:color="auto" w:fill="B8CCE4" w:themeFill="accent1" w:themeFillTint="66"/>
            <w:vAlign w:val="center"/>
          </w:tcPr>
          <w:p w14:paraId="1F4139F9" w14:textId="77777777" w:rsidR="001F3F0B" w:rsidRPr="00E06E53" w:rsidRDefault="001F3F0B" w:rsidP="005F74C7">
            <w:pPr>
              <w:spacing w:before="40" w:after="40"/>
              <w:jc w:val="center"/>
              <w:rPr>
                <w:b/>
              </w:rPr>
            </w:pPr>
            <w:r w:rsidRPr="00E06E53">
              <w:rPr>
                <w:b/>
              </w:rPr>
              <w:t>16</w:t>
            </w:r>
          </w:p>
        </w:tc>
        <w:tc>
          <w:tcPr>
            <w:tcW w:w="992" w:type="dxa"/>
            <w:shd w:val="clear" w:color="auto" w:fill="B8CCE4" w:themeFill="accent1" w:themeFillTint="66"/>
            <w:vAlign w:val="center"/>
          </w:tcPr>
          <w:p w14:paraId="2459B6D6" w14:textId="77777777" w:rsidR="001F3F0B" w:rsidRPr="00E06E53" w:rsidRDefault="001F3F0B" w:rsidP="005F74C7">
            <w:pPr>
              <w:spacing w:before="40" w:after="40"/>
              <w:jc w:val="center"/>
              <w:rPr>
                <w:b/>
              </w:rPr>
            </w:pPr>
            <w:r w:rsidRPr="00E06E53">
              <w:rPr>
                <w:b/>
              </w:rPr>
              <w:t>9</w:t>
            </w:r>
          </w:p>
        </w:tc>
        <w:tc>
          <w:tcPr>
            <w:tcW w:w="284" w:type="dxa"/>
            <w:shd w:val="clear" w:color="auto" w:fill="B8CCE4" w:themeFill="accent1" w:themeFillTint="66"/>
            <w:vAlign w:val="center"/>
          </w:tcPr>
          <w:p w14:paraId="20C7FE1F" w14:textId="77777777" w:rsidR="001F3F0B" w:rsidRPr="00E06E53" w:rsidRDefault="001F3F0B" w:rsidP="005F74C7">
            <w:pPr>
              <w:spacing w:before="40" w:after="40"/>
              <w:jc w:val="center"/>
              <w:rPr>
                <w:b/>
              </w:rPr>
            </w:pPr>
          </w:p>
        </w:tc>
        <w:tc>
          <w:tcPr>
            <w:tcW w:w="1146" w:type="dxa"/>
            <w:shd w:val="clear" w:color="auto" w:fill="B8CCE4" w:themeFill="accent1" w:themeFillTint="66"/>
            <w:vAlign w:val="center"/>
          </w:tcPr>
          <w:p w14:paraId="336C9E97" w14:textId="77777777" w:rsidR="001F3F0B" w:rsidRPr="00E06E53" w:rsidRDefault="001F3F0B" w:rsidP="005F74C7">
            <w:pPr>
              <w:spacing w:before="40" w:after="40"/>
              <w:jc w:val="center"/>
              <w:rPr>
                <w:b/>
              </w:rPr>
            </w:pPr>
            <w:r w:rsidRPr="00E06E53">
              <w:rPr>
                <w:b/>
              </w:rPr>
              <w:t>14</w:t>
            </w:r>
          </w:p>
        </w:tc>
        <w:tc>
          <w:tcPr>
            <w:tcW w:w="975" w:type="dxa"/>
            <w:shd w:val="clear" w:color="auto" w:fill="B8CCE4" w:themeFill="accent1" w:themeFillTint="66"/>
            <w:vAlign w:val="center"/>
          </w:tcPr>
          <w:p w14:paraId="690CCA97" w14:textId="77777777" w:rsidR="001F3F0B" w:rsidRPr="00E06E53" w:rsidRDefault="001F3F0B" w:rsidP="005F74C7">
            <w:pPr>
              <w:spacing w:before="40" w:after="40"/>
              <w:jc w:val="center"/>
              <w:rPr>
                <w:b/>
              </w:rPr>
            </w:pPr>
            <w:r w:rsidRPr="00E06E53">
              <w:rPr>
                <w:b/>
              </w:rPr>
              <w:t>19</w:t>
            </w:r>
          </w:p>
        </w:tc>
        <w:tc>
          <w:tcPr>
            <w:tcW w:w="975" w:type="dxa"/>
            <w:shd w:val="clear" w:color="auto" w:fill="B8CCE4" w:themeFill="accent1" w:themeFillTint="66"/>
            <w:vAlign w:val="center"/>
          </w:tcPr>
          <w:p w14:paraId="2AC4E47D" w14:textId="77777777" w:rsidR="001F3F0B" w:rsidRPr="00E06E53" w:rsidRDefault="001F3F0B" w:rsidP="005F74C7">
            <w:pPr>
              <w:spacing w:before="40" w:after="40"/>
              <w:jc w:val="center"/>
              <w:rPr>
                <w:b/>
              </w:rPr>
            </w:pPr>
            <w:r w:rsidRPr="00E06E53">
              <w:rPr>
                <w:b/>
              </w:rPr>
              <w:t>10</w:t>
            </w:r>
          </w:p>
        </w:tc>
      </w:tr>
      <w:tr w:rsidR="001F3F0B" w14:paraId="796DCE5A" w14:textId="77777777" w:rsidTr="005F74C7">
        <w:trPr>
          <w:jc w:val="center"/>
        </w:trPr>
        <w:tc>
          <w:tcPr>
            <w:tcW w:w="2269" w:type="dxa"/>
            <w:vAlign w:val="center"/>
          </w:tcPr>
          <w:p w14:paraId="30BE4343" w14:textId="77777777" w:rsidR="001F3F0B" w:rsidRPr="00797ECC" w:rsidRDefault="001F3F0B" w:rsidP="005F74C7">
            <w:pPr>
              <w:pStyle w:val="Body"/>
              <w:spacing w:before="160"/>
              <w:rPr>
                <w:rFonts w:ascii="Arial" w:hAnsi="Arial" w:cs="Arial"/>
                <w:i/>
              </w:rPr>
            </w:pPr>
            <w:r w:rsidRPr="00797ECC">
              <w:rPr>
                <w:rFonts w:ascii="Arial" w:hAnsi="Arial" w:cs="Arial"/>
                <w:i/>
              </w:rPr>
              <w:t xml:space="preserve">Is the </w:t>
            </w:r>
            <w:r>
              <w:rPr>
                <w:rFonts w:ascii="Arial" w:hAnsi="Arial" w:cs="Arial"/>
                <w:i/>
              </w:rPr>
              <w:t xml:space="preserve">Aichi </w:t>
            </w:r>
            <w:r w:rsidRPr="00797ECC">
              <w:rPr>
                <w:rFonts w:ascii="Arial" w:hAnsi="Arial" w:cs="Arial"/>
                <w:i/>
              </w:rPr>
              <w:t>target:</w:t>
            </w:r>
          </w:p>
        </w:tc>
        <w:tc>
          <w:tcPr>
            <w:tcW w:w="845" w:type="dxa"/>
            <w:vAlign w:val="center"/>
          </w:tcPr>
          <w:p w14:paraId="0E27302B" w14:textId="77777777" w:rsidR="001F3F0B" w:rsidRDefault="001F3F0B" w:rsidP="005F74C7">
            <w:pPr>
              <w:spacing w:before="160" w:after="160"/>
              <w:jc w:val="center"/>
            </w:pPr>
          </w:p>
        </w:tc>
        <w:tc>
          <w:tcPr>
            <w:tcW w:w="992" w:type="dxa"/>
            <w:vAlign w:val="center"/>
          </w:tcPr>
          <w:p w14:paraId="106F9866" w14:textId="77777777" w:rsidR="001F3F0B" w:rsidRDefault="001F3F0B" w:rsidP="005F74C7">
            <w:pPr>
              <w:spacing w:before="160" w:after="160"/>
              <w:jc w:val="center"/>
            </w:pPr>
          </w:p>
        </w:tc>
        <w:tc>
          <w:tcPr>
            <w:tcW w:w="992" w:type="dxa"/>
            <w:vAlign w:val="center"/>
          </w:tcPr>
          <w:p w14:paraId="24362C11" w14:textId="77777777" w:rsidR="001F3F0B" w:rsidRDefault="001F3F0B" w:rsidP="005F74C7">
            <w:pPr>
              <w:spacing w:before="160" w:after="160"/>
              <w:jc w:val="center"/>
            </w:pPr>
          </w:p>
        </w:tc>
        <w:tc>
          <w:tcPr>
            <w:tcW w:w="284" w:type="dxa"/>
            <w:vAlign w:val="center"/>
          </w:tcPr>
          <w:p w14:paraId="4D4545B1" w14:textId="77777777" w:rsidR="001F3F0B" w:rsidRPr="00E74664" w:rsidRDefault="001F3F0B" w:rsidP="005F74C7">
            <w:pPr>
              <w:spacing w:before="160" w:after="160"/>
              <w:jc w:val="center"/>
            </w:pPr>
          </w:p>
        </w:tc>
        <w:tc>
          <w:tcPr>
            <w:tcW w:w="1146" w:type="dxa"/>
            <w:vAlign w:val="center"/>
          </w:tcPr>
          <w:p w14:paraId="758F7602" w14:textId="77777777" w:rsidR="001F3F0B" w:rsidRDefault="001F3F0B" w:rsidP="005F74C7">
            <w:pPr>
              <w:spacing w:before="160" w:after="160"/>
              <w:jc w:val="center"/>
            </w:pPr>
          </w:p>
        </w:tc>
        <w:tc>
          <w:tcPr>
            <w:tcW w:w="975" w:type="dxa"/>
            <w:vAlign w:val="center"/>
          </w:tcPr>
          <w:p w14:paraId="1BAF1B59" w14:textId="77777777" w:rsidR="001F3F0B" w:rsidRDefault="001F3F0B" w:rsidP="005F74C7">
            <w:pPr>
              <w:spacing w:before="160" w:after="160"/>
              <w:jc w:val="center"/>
            </w:pPr>
          </w:p>
        </w:tc>
        <w:tc>
          <w:tcPr>
            <w:tcW w:w="975" w:type="dxa"/>
            <w:vAlign w:val="center"/>
          </w:tcPr>
          <w:p w14:paraId="27B8D91C" w14:textId="77777777" w:rsidR="001F3F0B" w:rsidRDefault="001F3F0B" w:rsidP="005F74C7">
            <w:pPr>
              <w:spacing w:before="160" w:after="160"/>
              <w:jc w:val="center"/>
            </w:pPr>
          </w:p>
        </w:tc>
      </w:tr>
      <w:tr w:rsidR="001F3F0B" w14:paraId="3FA69D0E" w14:textId="77777777" w:rsidTr="005F74C7">
        <w:trPr>
          <w:jc w:val="center"/>
        </w:trPr>
        <w:tc>
          <w:tcPr>
            <w:tcW w:w="2269" w:type="dxa"/>
            <w:vAlign w:val="center"/>
          </w:tcPr>
          <w:p w14:paraId="049241F8" w14:textId="77777777" w:rsidR="001F3F0B" w:rsidRPr="009E3BC2" w:rsidRDefault="001F3F0B" w:rsidP="005F74C7">
            <w:pPr>
              <w:pStyle w:val="Body"/>
              <w:spacing w:before="160"/>
              <w:rPr>
                <w:rFonts w:ascii="Arial" w:hAnsi="Arial" w:cs="Arial"/>
                <w:b/>
              </w:rPr>
            </w:pPr>
            <w:r w:rsidRPr="009E3BC2">
              <w:rPr>
                <w:rStyle w:val="None"/>
                <w:rFonts w:ascii="Arial" w:hAnsi="Arial" w:cs="Arial"/>
                <w:b/>
              </w:rPr>
              <w:t>Specific?</w:t>
            </w:r>
          </w:p>
        </w:tc>
        <w:tc>
          <w:tcPr>
            <w:tcW w:w="845" w:type="dxa"/>
            <w:shd w:val="clear" w:color="auto" w:fill="92D050"/>
            <w:vAlign w:val="center"/>
          </w:tcPr>
          <w:p w14:paraId="79F97087" w14:textId="77777777" w:rsidR="001F3F0B" w:rsidRDefault="001F3F0B" w:rsidP="005F74C7">
            <w:pPr>
              <w:jc w:val="center"/>
            </w:pPr>
            <w:r>
              <w:t>Yes</w:t>
            </w:r>
          </w:p>
        </w:tc>
        <w:tc>
          <w:tcPr>
            <w:tcW w:w="992" w:type="dxa"/>
            <w:shd w:val="clear" w:color="auto" w:fill="92D050"/>
            <w:vAlign w:val="center"/>
          </w:tcPr>
          <w:p w14:paraId="715ED60A" w14:textId="77777777" w:rsidR="001F3F0B" w:rsidRDefault="001F3F0B" w:rsidP="005F74C7">
            <w:pPr>
              <w:jc w:val="center"/>
            </w:pPr>
            <w:r>
              <w:t>Yes</w:t>
            </w:r>
          </w:p>
        </w:tc>
        <w:tc>
          <w:tcPr>
            <w:tcW w:w="992" w:type="dxa"/>
            <w:shd w:val="clear" w:color="auto" w:fill="92D050"/>
            <w:vAlign w:val="center"/>
          </w:tcPr>
          <w:p w14:paraId="5E462628" w14:textId="77777777" w:rsidR="001F3F0B" w:rsidRDefault="001F3F0B" w:rsidP="005F74C7">
            <w:pPr>
              <w:jc w:val="center"/>
            </w:pPr>
            <w:r>
              <w:t>Yes</w:t>
            </w:r>
          </w:p>
        </w:tc>
        <w:tc>
          <w:tcPr>
            <w:tcW w:w="284" w:type="dxa"/>
            <w:vAlign w:val="center"/>
          </w:tcPr>
          <w:p w14:paraId="4432B55B" w14:textId="77777777" w:rsidR="001F3F0B" w:rsidRPr="00E74664" w:rsidRDefault="001F3F0B" w:rsidP="005F74C7">
            <w:pPr>
              <w:jc w:val="center"/>
            </w:pPr>
          </w:p>
        </w:tc>
        <w:tc>
          <w:tcPr>
            <w:tcW w:w="1146" w:type="dxa"/>
            <w:shd w:val="clear" w:color="auto" w:fill="FF5050"/>
            <w:vAlign w:val="center"/>
          </w:tcPr>
          <w:p w14:paraId="68644251" w14:textId="77777777" w:rsidR="001F3F0B" w:rsidRDefault="001F3F0B" w:rsidP="005F74C7">
            <w:pPr>
              <w:jc w:val="center"/>
            </w:pPr>
            <w:r>
              <w:t>No</w:t>
            </w:r>
          </w:p>
        </w:tc>
        <w:tc>
          <w:tcPr>
            <w:tcW w:w="975" w:type="dxa"/>
            <w:shd w:val="clear" w:color="auto" w:fill="E5B8B7" w:themeFill="accent2" w:themeFillTint="66"/>
            <w:vAlign w:val="center"/>
          </w:tcPr>
          <w:p w14:paraId="69510A98" w14:textId="77777777" w:rsidR="001F3F0B" w:rsidRDefault="001F3F0B" w:rsidP="005F74C7">
            <w:pPr>
              <w:jc w:val="center"/>
            </w:pPr>
            <w:r>
              <w:t>Unclear</w:t>
            </w:r>
          </w:p>
        </w:tc>
        <w:tc>
          <w:tcPr>
            <w:tcW w:w="975" w:type="dxa"/>
            <w:shd w:val="clear" w:color="auto" w:fill="FF5050"/>
            <w:vAlign w:val="center"/>
          </w:tcPr>
          <w:p w14:paraId="65105C02" w14:textId="77777777" w:rsidR="001F3F0B" w:rsidRDefault="001F3F0B" w:rsidP="005F74C7">
            <w:pPr>
              <w:jc w:val="center"/>
            </w:pPr>
            <w:r>
              <w:t>No</w:t>
            </w:r>
          </w:p>
        </w:tc>
      </w:tr>
      <w:tr w:rsidR="001F3F0B" w14:paraId="4609E064" w14:textId="77777777" w:rsidTr="005F74C7">
        <w:trPr>
          <w:jc w:val="center"/>
        </w:trPr>
        <w:tc>
          <w:tcPr>
            <w:tcW w:w="2269" w:type="dxa"/>
            <w:vAlign w:val="center"/>
          </w:tcPr>
          <w:p w14:paraId="75E4043D" w14:textId="77777777" w:rsidR="001F3F0B" w:rsidRPr="009E3BC2" w:rsidRDefault="001F3F0B" w:rsidP="005F74C7">
            <w:pPr>
              <w:pStyle w:val="Body"/>
              <w:spacing w:before="160"/>
              <w:rPr>
                <w:rFonts w:ascii="Arial" w:hAnsi="Arial" w:cs="Arial"/>
                <w:b/>
              </w:rPr>
            </w:pPr>
            <w:r w:rsidRPr="009E3BC2">
              <w:rPr>
                <w:rStyle w:val="None"/>
                <w:rFonts w:ascii="Arial" w:hAnsi="Arial" w:cs="Arial"/>
                <w:b/>
              </w:rPr>
              <w:t>Measurable?</w:t>
            </w:r>
          </w:p>
        </w:tc>
        <w:tc>
          <w:tcPr>
            <w:tcW w:w="845" w:type="dxa"/>
            <w:shd w:val="clear" w:color="auto" w:fill="92D050"/>
            <w:vAlign w:val="center"/>
          </w:tcPr>
          <w:p w14:paraId="4783966A" w14:textId="77777777" w:rsidR="001F3F0B" w:rsidRDefault="001F3F0B" w:rsidP="005F74C7">
            <w:pPr>
              <w:jc w:val="center"/>
            </w:pPr>
            <w:r w:rsidRPr="001F4BB7">
              <w:t>Yes</w:t>
            </w:r>
          </w:p>
        </w:tc>
        <w:tc>
          <w:tcPr>
            <w:tcW w:w="992" w:type="dxa"/>
            <w:shd w:val="clear" w:color="auto" w:fill="92D050"/>
            <w:vAlign w:val="center"/>
          </w:tcPr>
          <w:p w14:paraId="1E2E3CE6" w14:textId="77777777" w:rsidR="001F3F0B" w:rsidRDefault="001F3F0B" w:rsidP="005F74C7">
            <w:pPr>
              <w:jc w:val="center"/>
            </w:pPr>
            <w:r w:rsidRPr="001F4BB7">
              <w:t>Yes</w:t>
            </w:r>
          </w:p>
        </w:tc>
        <w:tc>
          <w:tcPr>
            <w:tcW w:w="992" w:type="dxa"/>
            <w:shd w:val="clear" w:color="auto" w:fill="E5B8B7" w:themeFill="accent2" w:themeFillTint="66"/>
            <w:vAlign w:val="center"/>
          </w:tcPr>
          <w:p w14:paraId="6EE2F59B" w14:textId="77777777" w:rsidR="001F3F0B" w:rsidRDefault="001F3F0B" w:rsidP="005F74C7">
            <w:pPr>
              <w:jc w:val="center"/>
            </w:pPr>
            <w:r>
              <w:t>Unclear</w:t>
            </w:r>
          </w:p>
        </w:tc>
        <w:tc>
          <w:tcPr>
            <w:tcW w:w="284" w:type="dxa"/>
            <w:vAlign w:val="center"/>
          </w:tcPr>
          <w:p w14:paraId="13F5220A" w14:textId="77777777" w:rsidR="001F3F0B" w:rsidRPr="00E74664" w:rsidRDefault="001F3F0B" w:rsidP="005F74C7">
            <w:pPr>
              <w:jc w:val="center"/>
            </w:pPr>
          </w:p>
        </w:tc>
        <w:tc>
          <w:tcPr>
            <w:tcW w:w="1146" w:type="dxa"/>
            <w:shd w:val="clear" w:color="auto" w:fill="FF5050"/>
            <w:vAlign w:val="center"/>
          </w:tcPr>
          <w:p w14:paraId="3E278E4F" w14:textId="77777777" w:rsidR="001F3F0B" w:rsidRDefault="001F3F0B" w:rsidP="005F74C7">
            <w:pPr>
              <w:jc w:val="center"/>
            </w:pPr>
            <w:r>
              <w:t>No</w:t>
            </w:r>
          </w:p>
        </w:tc>
        <w:tc>
          <w:tcPr>
            <w:tcW w:w="975" w:type="dxa"/>
            <w:shd w:val="clear" w:color="auto" w:fill="FF5050"/>
            <w:vAlign w:val="center"/>
          </w:tcPr>
          <w:p w14:paraId="0E8B3AC7" w14:textId="77777777" w:rsidR="001F3F0B" w:rsidRDefault="001F3F0B" w:rsidP="005F74C7">
            <w:pPr>
              <w:jc w:val="center"/>
            </w:pPr>
            <w:r>
              <w:t>No</w:t>
            </w:r>
          </w:p>
        </w:tc>
        <w:tc>
          <w:tcPr>
            <w:tcW w:w="975" w:type="dxa"/>
            <w:shd w:val="clear" w:color="auto" w:fill="FF5050"/>
            <w:vAlign w:val="center"/>
          </w:tcPr>
          <w:p w14:paraId="0E5AA21D" w14:textId="77777777" w:rsidR="001F3F0B" w:rsidRDefault="001F3F0B" w:rsidP="005F74C7">
            <w:pPr>
              <w:jc w:val="center"/>
            </w:pPr>
            <w:r>
              <w:t>No</w:t>
            </w:r>
          </w:p>
        </w:tc>
      </w:tr>
      <w:tr w:rsidR="001F3F0B" w14:paraId="17E7C765" w14:textId="77777777" w:rsidTr="005F74C7">
        <w:trPr>
          <w:jc w:val="center"/>
        </w:trPr>
        <w:tc>
          <w:tcPr>
            <w:tcW w:w="2269" w:type="dxa"/>
            <w:vAlign w:val="center"/>
          </w:tcPr>
          <w:p w14:paraId="03F23C77" w14:textId="77777777" w:rsidR="001F3F0B" w:rsidRPr="009E3BC2" w:rsidRDefault="001F3F0B" w:rsidP="005F74C7">
            <w:pPr>
              <w:pStyle w:val="Body"/>
              <w:spacing w:before="160"/>
              <w:rPr>
                <w:rFonts w:ascii="Arial" w:hAnsi="Arial" w:cs="Arial"/>
                <w:b/>
              </w:rPr>
            </w:pPr>
            <w:r w:rsidRPr="009E3BC2">
              <w:rPr>
                <w:rStyle w:val="None"/>
                <w:rFonts w:ascii="Arial" w:hAnsi="Arial" w:cs="Arial"/>
                <w:b/>
              </w:rPr>
              <w:t>Ambitious?</w:t>
            </w:r>
          </w:p>
        </w:tc>
        <w:tc>
          <w:tcPr>
            <w:tcW w:w="845" w:type="dxa"/>
            <w:shd w:val="clear" w:color="auto" w:fill="92D050"/>
            <w:vAlign w:val="center"/>
          </w:tcPr>
          <w:p w14:paraId="7F06566D" w14:textId="77777777" w:rsidR="001F3F0B" w:rsidRDefault="001F3F0B" w:rsidP="005F74C7">
            <w:pPr>
              <w:jc w:val="center"/>
            </w:pPr>
            <w:r w:rsidRPr="001F4BB7">
              <w:t>Yes</w:t>
            </w:r>
          </w:p>
        </w:tc>
        <w:tc>
          <w:tcPr>
            <w:tcW w:w="992" w:type="dxa"/>
            <w:shd w:val="clear" w:color="auto" w:fill="E5B8B7" w:themeFill="accent2" w:themeFillTint="66"/>
            <w:vAlign w:val="center"/>
          </w:tcPr>
          <w:p w14:paraId="312E9274" w14:textId="77777777" w:rsidR="001F3F0B" w:rsidRDefault="001F3F0B" w:rsidP="005F74C7">
            <w:pPr>
              <w:jc w:val="center"/>
            </w:pPr>
            <w:r>
              <w:t>Unclear</w:t>
            </w:r>
          </w:p>
        </w:tc>
        <w:tc>
          <w:tcPr>
            <w:tcW w:w="992" w:type="dxa"/>
            <w:shd w:val="clear" w:color="auto" w:fill="92D050"/>
            <w:vAlign w:val="center"/>
          </w:tcPr>
          <w:p w14:paraId="62B5338C" w14:textId="77777777" w:rsidR="001F3F0B" w:rsidRDefault="001F3F0B" w:rsidP="005F74C7">
            <w:pPr>
              <w:jc w:val="center"/>
            </w:pPr>
            <w:r w:rsidRPr="001F4BB7">
              <w:t>Yes</w:t>
            </w:r>
          </w:p>
        </w:tc>
        <w:tc>
          <w:tcPr>
            <w:tcW w:w="284" w:type="dxa"/>
            <w:vAlign w:val="center"/>
          </w:tcPr>
          <w:p w14:paraId="5C875FAB" w14:textId="77777777" w:rsidR="001F3F0B" w:rsidRPr="00E74664" w:rsidRDefault="001F3F0B" w:rsidP="005F74C7">
            <w:pPr>
              <w:jc w:val="center"/>
            </w:pPr>
          </w:p>
        </w:tc>
        <w:tc>
          <w:tcPr>
            <w:tcW w:w="1146" w:type="dxa"/>
            <w:shd w:val="clear" w:color="auto" w:fill="92D050"/>
            <w:vAlign w:val="center"/>
          </w:tcPr>
          <w:p w14:paraId="506E0CD8" w14:textId="77777777" w:rsidR="001F3F0B" w:rsidRDefault="001F3F0B" w:rsidP="005F74C7">
            <w:pPr>
              <w:jc w:val="center"/>
            </w:pPr>
            <w:r>
              <w:t>Yes</w:t>
            </w:r>
          </w:p>
        </w:tc>
        <w:tc>
          <w:tcPr>
            <w:tcW w:w="975" w:type="dxa"/>
            <w:shd w:val="clear" w:color="auto" w:fill="92D050"/>
            <w:vAlign w:val="center"/>
          </w:tcPr>
          <w:p w14:paraId="28EF9FA0" w14:textId="77777777" w:rsidR="001F3F0B" w:rsidRDefault="001F3F0B" w:rsidP="005F74C7">
            <w:pPr>
              <w:jc w:val="center"/>
            </w:pPr>
            <w:r>
              <w:t>Yes</w:t>
            </w:r>
          </w:p>
        </w:tc>
        <w:tc>
          <w:tcPr>
            <w:tcW w:w="975" w:type="dxa"/>
            <w:shd w:val="clear" w:color="auto" w:fill="92D050"/>
            <w:vAlign w:val="center"/>
          </w:tcPr>
          <w:p w14:paraId="0BCB78D9" w14:textId="77777777" w:rsidR="001F3F0B" w:rsidRDefault="001F3F0B" w:rsidP="005F74C7">
            <w:pPr>
              <w:jc w:val="center"/>
            </w:pPr>
            <w:r>
              <w:t>Yes</w:t>
            </w:r>
          </w:p>
        </w:tc>
      </w:tr>
      <w:tr w:rsidR="001F3F0B" w14:paraId="60DD2995" w14:textId="77777777" w:rsidTr="005F74C7">
        <w:trPr>
          <w:jc w:val="center"/>
        </w:trPr>
        <w:tc>
          <w:tcPr>
            <w:tcW w:w="2269" w:type="dxa"/>
            <w:vAlign w:val="center"/>
          </w:tcPr>
          <w:p w14:paraId="31D927C3" w14:textId="77777777" w:rsidR="001F3F0B" w:rsidRPr="009E3BC2" w:rsidRDefault="001F3F0B" w:rsidP="005F74C7">
            <w:pPr>
              <w:pStyle w:val="Body"/>
              <w:spacing w:before="160"/>
              <w:rPr>
                <w:rFonts w:ascii="Arial" w:hAnsi="Arial" w:cs="Arial"/>
                <w:b/>
              </w:rPr>
            </w:pPr>
            <w:r w:rsidRPr="009E3BC2">
              <w:rPr>
                <w:rStyle w:val="None"/>
                <w:rFonts w:ascii="Arial" w:hAnsi="Arial" w:cs="Arial"/>
                <w:b/>
              </w:rPr>
              <w:t>Realistic?</w:t>
            </w:r>
          </w:p>
        </w:tc>
        <w:tc>
          <w:tcPr>
            <w:tcW w:w="845" w:type="dxa"/>
            <w:shd w:val="clear" w:color="auto" w:fill="92D050"/>
            <w:vAlign w:val="center"/>
          </w:tcPr>
          <w:p w14:paraId="72D734E9" w14:textId="77777777" w:rsidR="001F3F0B" w:rsidRDefault="001F3F0B" w:rsidP="005F74C7">
            <w:pPr>
              <w:jc w:val="center"/>
            </w:pPr>
            <w:r w:rsidRPr="001F4BB7">
              <w:t>Yes</w:t>
            </w:r>
          </w:p>
        </w:tc>
        <w:tc>
          <w:tcPr>
            <w:tcW w:w="992" w:type="dxa"/>
            <w:shd w:val="clear" w:color="auto" w:fill="92D050"/>
            <w:vAlign w:val="center"/>
          </w:tcPr>
          <w:p w14:paraId="4515BD04" w14:textId="77777777" w:rsidR="001F3F0B" w:rsidRDefault="001F3F0B" w:rsidP="005F74C7">
            <w:pPr>
              <w:jc w:val="center"/>
            </w:pPr>
            <w:r w:rsidRPr="001F4BB7">
              <w:t>Yes</w:t>
            </w:r>
          </w:p>
        </w:tc>
        <w:tc>
          <w:tcPr>
            <w:tcW w:w="992" w:type="dxa"/>
            <w:shd w:val="clear" w:color="auto" w:fill="92D050"/>
            <w:vAlign w:val="center"/>
          </w:tcPr>
          <w:p w14:paraId="6E010B5B" w14:textId="77777777" w:rsidR="001F3F0B" w:rsidRDefault="001F3F0B" w:rsidP="005F74C7">
            <w:pPr>
              <w:jc w:val="center"/>
            </w:pPr>
            <w:r w:rsidRPr="001F4BB7">
              <w:t>Yes</w:t>
            </w:r>
          </w:p>
        </w:tc>
        <w:tc>
          <w:tcPr>
            <w:tcW w:w="284" w:type="dxa"/>
            <w:vAlign w:val="center"/>
          </w:tcPr>
          <w:p w14:paraId="391D9825" w14:textId="77777777" w:rsidR="001F3F0B" w:rsidRPr="00E74664" w:rsidRDefault="001F3F0B" w:rsidP="005F74C7">
            <w:pPr>
              <w:jc w:val="center"/>
            </w:pPr>
          </w:p>
        </w:tc>
        <w:tc>
          <w:tcPr>
            <w:tcW w:w="1146" w:type="dxa"/>
            <w:shd w:val="clear" w:color="auto" w:fill="FF5050"/>
            <w:vAlign w:val="center"/>
          </w:tcPr>
          <w:p w14:paraId="3F62A779" w14:textId="77777777" w:rsidR="001F3F0B" w:rsidRDefault="001F3F0B" w:rsidP="005F74C7">
            <w:pPr>
              <w:jc w:val="center"/>
            </w:pPr>
            <w:r>
              <w:t>No</w:t>
            </w:r>
          </w:p>
        </w:tc>
        <w:tc>
          <w:tcPr>
            <w:tcW w:w="975" w:type="dxa"/>
            <w:shd w:val="clear" w:color="auto" w:fill="E5B8B7" w:themeFill="accent2" w:themeFillTint="66"/>
            <w:vAlign w:val="center"/>
          </w:tcPr>
          <w:p w14:paraId="46BF933D" w14:textId="77777777" w:rsidR="001F3F0B" w:rsidRDefault="001F3F0B" w:rsidP="005F74C7">
            <w:pPr>
              <w:jc w:val="center"/>
            </w:pPr>
            <w:r>
              <w:t>Unclear</w:t>
            </w:r>
          </w:p>
        </w:tc>
        <w:tc>
          <w:tcPr>
            <w:tcW w:w="975" w:type="dxa"/>
            <w:shd w:val="clear" w:color="auto" w:fill="FF5050"/>
            <w:vAlign w:val="center"/>
          </w:tcPr>
          <w:p w14:paraId="3E807389" w14:textId="77777777" w:rsidR="001F3F0B" w:rsidRDefault="001F3F0B" w:rsidP="005F74C7">
            <w:pPr>
              <w:jc w:val="center"/>
            </w:pPr>
            <w:r>
              <w:t>No</w:t>
            </w:r>
          </w:p>
        </w:tc>
      </w:tr>
      <w:tr w:rsidR="001F3F0B" w14:paraId="0C180AE7" w14:textId="77777777" w:rsidTr="005F74C7">
        <w:trPr>
          <w:jc w:val="center"/>
        </w:trPr>
        <w:tc>
          <w:tcPr>
            <w:tcW w:w="2269" w:type="dxa"/>
            <w:vAlign w:val="center"/>
          </w:tcPr>
          <w:p w14:paraId="1F9118AA" w14:textId="77777777" w:rsidR="001F3F0B" w:rsidRPr="009E3BC2" w:rsidRDefault="001F3F0B" w:rsidP="005F74C7">
            <w:pPr>
              <w:pStyle w:val="Body"/>
              <w:spacing w:before="160"/>
              <w:rPr>
                <w:rStyle w:val="None"/>
                <w:rFonts w:ascii="Arial" w:hAnsi="Arial" w:cs="Arial"/>
                <w:b/>
              </w:rPr>
            </w:pPr>
            <w:r w:rsidRPr="009E3BC2">
              <w:rPr>
                <w:rStyle w:val="None"/>
                <w:rFonts w:ascii="Arial" w:hAnsi="Arial" w:cs="Arial"/>
                <w:b/>
              </w:rPr>
              <w:t xml:space="preserve">Time </w:t>
            </w:r>
            <w:proofErr w:type="gramStart"/>
            <w:r w:rsidRPr="009E3BC2">
              <w:rPr>
                <w:rStyle w:val="None"/>
                <w:rFonts w:ascii="Arial" w:hAnsi="Arial" w:cs="Arial"/>
                <w:b/>
              </w:rPr>
              <w:t>bound</w:t>
            </w:r>
            <w:proofErr w:type="gramEnd"/>
            <w:r w:rsidRPr="009E3BC2">
              <w:rPr>
                <w:rStyle w:val="None"/>
                <w:rFonts w:ascii="Arial" w:hAnsi="Arial" w:cs="Arial"/>
                <w:b/>
              </w:rPr>
              <w:t>?</w:t>
            </w:r>
          </w:p>
        </w:tc>
        <w:tc>
          <w:tcPr>
            <w:tcW w:w="845" w:type="dxa"/>
            <w:shd w:val="clear" w:color="auto" w:fill="92D050"/>
            <w:vAlign w:val="center"/>
          </w:tcPr>
          <w:p w14:paraId="1C6BFBF0" w14:textId="77777777" w:rsidR="001F3F0B" w:rsidRDefault="001F3F0B" w:rsidP="005F74C7">
            <w:pPr>
              <w:jc w:val="center"/>
            </w:pPr>
            <w:r w:rsidRPr="001F4BB7">
              <w:t>Yes</w:t>
            </w:r>
          </w:p>
        </w:tc>
        <w:tc>
          <w:tcPr>
            <w:tcW w:w="992" w:type="dxa"/>
            <w:shd w:val="clear" w:color="auto" w:fill="92D050"/>
            <w:vAlign w:val="center"/>
          </w:tcPr>
          <w:p w14:paraId="75ACF948" w14:textId="77777777" w:rsidR="001F3F0B" w:rsidRDefault="001F3F0B" w:rsidP="005F74C7">
            <w:pPr>
              <w:jc w:val="center"/>
            </w:pPr>
            <w:r w:rsidRPr="001F4BB7">
              <w:t>Yes</w:t>
            </w:r>
          </w:p>
        </w:tc>
        <w:tc>
          <w:tcPr>
            <w:tcW w:w="992" w:type="dxa"/>
            <w:shd w:val="clear" w:color="auto" w:fill="92D050"/>
            <w:vAlign w:val="center"/>
          </w:tcPr>
          <w:p w14:paraId="07E429DC" w14:textId="77777777" w:rsidR="001F3F0B" w:rsidRDefault="001F3F0B" w:rsidP="005F74C7">
            <w:pPr>
              <w:jc w:val="center"/>
            </w:pPr>
            <w:r w:rsidRPr="001F4BB7">
              <w:t>Yes</w:t>
            </w:r>
          </w:p>
        </w:tc>
        <w:tc>
          <w:tcPr>
            <w:tcW w:w="284" w:type="dxa"/>
            <w:vAlign w:val="center"/>
          </w:tcPr>
          <w:p w14:paraId="57268336" w14:textId="77777777" w:rsidR="001F3F0B" w:rsidRPr="00E74664" w:rsidRDefault="001F3F0B" w:rsidP="005F74C7">
            <w:pPr>
              <w:jc w:val="center"/>
            </w:pPr>
          </w:p>
        </w:tc>
        <w:tc>
          <w:tcPr>
            <w:tcW w:w="1146" w:type="dxa"/>
            <w:shd w:val="clear" w:color="auto" w:fill="92D050"/>
            <w:vAlign w:val="center"/>
          </w:tcPr>
          <w:p w14:paraId="7B84817C" w14:textId="77777777" w:rsidR="001F3F0B" w:rsidRDefault="001F3F0B" w:rsidP="005F74C7">
            <w:pPr>
              <w:jc w:val="center"/>
            </w:pPr>
            <w:r w:rsidRPr="001F4BB7">
              <w:t>Yes</w:t>
            </w:r>
          </w:p>
        </w:tc>
        <w:tc>
          <w:tcPr>
            <w:tcW w:w="975" w:type="dxa"/>
            <w:shd w:val="clear" w:color="auto" w:fill="92D050"/>
            <w:vAlign w:val="center"/>
          </w:tcPr>
          <w:p w14:paraId="25686E34" w14:textId="77777777" w:rsidR="001F3F0B" w:rsidRDefault="001F3F0B" w:rsidP="005F74C7">
            <w:pPr>
              <w:jc w:val="center"/>
            </w:pPr>
            <w:r w:rsidRPr="001F4BB7">
              <w:t>Yes</w:t>
            </w:r>
          </w:p>
        </w:tc>
        <w:tc>
          <w:tcPr>
            <w:tcW w:w="975" w:type="dxa"/>
            <w:shd w:val="clear" w:color="auto" w:fill="92D050"/>
            <w:vAlign w:val="center"/>
          </w:tcPr>
          <w:p w14:paraId="325899FB" w14:textId="77777777" w:rsidR="001F3F0B" w:rsidRDefault="001F3F0B" w:rsidP="005F74C7">
            <w:pPr>
              <w:jc w:val="center"/>
            </w:pPr>
            <w:r w:rsidRPr="001F4BB7">
              <w:t>Yes</w:t>
            </w:r>
          </w:p>
        </w:tc>
      </w:tr>
      <w:tr w:rsidR="001F3F0B" w14:paraId="21E0C87A" w14:textId="77777777" w:rsidTr="005F74C7">
        <w:trPr>
          <w:jc w:val="center"/>
        </w:trPr>
        <w:tc>
          <w:tcPr>
            <w:tcW w:w="2269" w:type="dxa"/>
            <w:vAlign w:val="center"/>
          </w:tcPr>
          <w:p w14:paraId="1166F5CB" w14:textId="77777777" w:rsidR="001F3F0B" w:rsidRPr="009E3BC2" w:rsidRDefault="001F3F0B" w:rsidP="005F74C7">
            <w:pPr>
              <w:pStyle w:val="Body"/>
              <w:spacing w:before="160"/>
              <w:rPr>
                <w:rFonts w:ascii="Arial" w:hAnsi="Arial" w:cs="Arial"/>
                <w:b/>
              </w:rPr>
            </w:pPr>
            <w:r w:rsidRPr="009E3BC2">
              <w:rPr>
                <w:rStyle w:val="None"/>
                <w:rFonts w:ascii="Arial" w:hAnsi="Arial" w:cs="Arial"/>
                <w:b/>
              </w:rPr>
              <w:t>Comprehensive?</w:t>
            </w:r>
          </w:p>
        </w:tc>
        <w:tc>
          <w:tcPr>
            <w:tcW w:w="845" w:type="dxa"/>
            <w:shd w:val="clear" w:color="auto" w:fill="92D050"/>
            <w:vAlign w:val="center"/>
          </w:tcPr>
          <w:p w14:paraId="35F0373A" w14:textId="77777777" w:rsidR="001F3F0B" w:rsidRDefault="001F3F0B" w:rsidP="005F74C7">
            <w:pPr>
              <w:jc w:val="center"/>
            </w:pPr>
            <w:r w:rsidRPr="001F4BB7">
              <w:t>Yes</w:t>
            </w:r>
          </w:p>
        </w:tc>
        <w:tc>
          <w:tcPr>
            <w:tcW w:w="992" w:type="dxa"/>
            <w:shd w:val="clear" w:color="auto" w:fill="92D050"/>
            <w:vAlign w:val="center"/>
          </w:tcPr>
          <w:p w14:paraId="5B8374AD" w14:textId="77777777" w:rsidR="001F3F0B" w:rsidRDefault="001F3F0B" w:rsidP="005F74C7">
            <w:pPr>
              <w:jc w:val="center"/>
            </w:pPr>
            <w:r w:rsidRPr="001F4BB7">
              <w:t>Yes</w:t>
            </w:r>
          </w:p>
        </w:tc>
        <w:tc>
          <w:tcPr>
            <w:tcW w:w="992" w:type="dxa"/>
            <w:shd w:val="clear" w:color="auto" w:fill="92D050"/>
            <w:vAlign w:val="center"/>
          </w:tcPr>
          <w:p w14:paraId="5D1FEB0F" w14:textId="77777777" w:rsidR="001F3F0B" w:rsidRDefault="001F3F0B" w:rsidP="005F74C7">
            <w:pPr>
              <w:jc w:val="center"/>
            </w:pPr>
            <w:r w:rsidRPr="001F4BB7">
              <w:t>Yes</w:t>
            </w:r>
          </w:p>
        </w:tc>
        <w:tc>
          <w:tcPr>
            <w:tcW w:w="284" w:type="dxa"/>
            <w:vAlign w:val="center"/>
          </w:tcPr>
          <w:p w14:paraId="2C8992F7" w14:textId="77777777" w:rsidR="001F3F0B" w:rsidRPr="00E74664" w:rsidRDefault="001F3F0B" w:rsidP="005F74C7">
            <w:pPr>
              <w:jc w:val="center"/>
            </w:pPr>
          </w:p>
        </w:tc>
        <w:tc>
          <w:tcPr>
            <w:tcW w:w="1146" w:type="dxa"/>
            <w:shd w:val="clear" w:color="auto" w:fill="92D050"/>
            <w:vAlign w:val="center"/>
          </w:tcPr>
          <w:p w14:paraId="34D7D284" w14:textId="77777777" w:rsidR="001F3F0B" w:rsidRDefault="001F3F0B" w:rsidP="005F74C7">
            <w:pPr>
              <w:jc w:val="center"/>
            </w:pPr>
            <w:r w:rsidRPr="001F4BB7">
              <w:t>Yes</w:t>
            </w:r>
          </w:p>
        </w:tc>
        <w:tc>
          <w:tcPr>
            <w:tcW w:w="975" w:type="dxa"/>
            <w:shd w:val="clear" w:color="auto" w:fill="92D050"/>
            <w:vAlign w:val="center"/>
          </w:tcPr>
          <w:p w14:paraId="56B3E20D" w14:textId="77777777" w:rsidR="001F3F0B" w:rsidRDefault="001F3F0B" w:rsidP="005F74C7">
            <w:pPr>
              <w:jc w:val="center"/>
            </w:pPr>
            <w:r w:rsidRPr="001F4BB7">
              <w:t>Yes</w:t>
            </w:r>
          </w:p>
        </w:tc>
        <w:tc>
          <w:tcPr>
            <w:tcW w:w="975" w:type="dxa"/>
            <w:shd w:val="clear" w:color="auto" w:fill="92D050"/>
            <w:vAlign w:val="center"/>
          </w:tcPr>
          <w:p w14:paraId="4DF3ED3B" w14:textId="77777777" w:rsidR="001F3F0B" w:rsidRDefault="001F3F0B" w:rsidP="005F74C7">
            <w:pPr>
              <w:jc w:val="center"/>
            </w:pPr>
            <w:r w:rsidRPr="001F4BB7">
              <w:t>Yes</w:t>
            </w:r>
          </w:p>
        </w:tc>
      </w:tr>
      <w:tr w:rsidR="001F3F0B" w14:paraId="4FE17D72" w14:textId="77777777" w:rsidTr="005F74C7">
        <w:trPr>
          <w:jc w:val="center"/>
        </w:trPr>
        <w:tc>
          <w:tcPr>
            <w:tcW w:w="2269" w:type="dxa"/>
            <w:vAlign w:val="center"/>
          </w:tcPr>
          <w:p w14:paraId="4777B435" w14:textId="77777777" w:rsidR="001F3F0B" w:rsidRPr="009E3BC2" w:rsidRDefault="001F3F0B" w:rsidP="005F74C7">
            <w:pPr>
              <w:pStyle w:val="Body"/>
              <w:spacing w:before="160"/>
              <w:rPr>
                <w:rFonts w:ascii="Arial" w:hAnsi="Arial" w:cs="Arial"/>
                <w:b/>
              </w:rPr>
            </w:pPr>
            <w:r w:rsidRPr="009E3BC2">
              <w:rPr>
                <w:rStyle w:val="None"/>
                <w:rFonts w:ascii="Arial" w:hAnsi="Arial" w:cs="Arial"/>
                <w:b/>
              </w:rPr>
              <w:t>Unambiguous?</w:t>
            </w:r>
          </w:p>
        </w:tc>
        <w:tc>
          <w:tcPr>
            <w:tcW w:w="845" w:type="dxa"/>
            <w:shd w:val="clear" w:color="auto" w:fill="92D050"/>
            <w:vAlign w:val="center"/>
          </w:tcPr>
          <w:p w14:paraId="56491E75" w14:textId="77777777" w:rsidR="001F3F0B" w:rsidRDefault="001F3F0B" w:rsidP="005F74C7">
            <w:pPr>
              <w:jc w:val="center"/>
            </w:pPr>
            <w:r w:rsidRPr="001F4BB7">
              <w:t>Yes</w:t>
            </w:r>
          </w:p>
        </w:tc>
        <w:tc>
          <w:tcPr>
            <w:tcW w:w="992" w:type="dxa"/>
            <w:shd w:val="clear" w:color="auto" w:fill="92D050"/>
            <w:vAlign w:val="center"/>
          </w:tcPr>
          <w:p w14:paraId="4E225A1A" w14:textId="77777777" w:rsidR="001F3F0B" w:rsidRDefault="001F3F0B" w:rsidP="005F74C7">
            <w:pPr>
              <w:jc w:val="center"/>
            </w:pPr>
            <w:r w:rsidRPr="001F4BB7">
              <w:t>Yes</w:t>
            </w:r>
          </w:p>
        </w:tc>
        <w:tc>
          <w:tcPr>
            <w:tcW w:w="992" w:type="dxa"/>
            <w:shd w:val="clear" w:color="auto" w:fill="92D050"/>
            <w:vAlign w:val="center"/>
          </w:tcPr>
          <w:p w14:paraId="16E76AFE" w14:textId="77777777" w:rsidR="001F3F0B" w:rsidRDefault="001F3F0B" w:rsidP="005F74C7">
            <w:pPr>
              <w:jc w:val="center"/>
            </w:pPr>
            <w:r w:rsidRPr="001F4BB7">
              <w:t>Yes</w:t>
            </w:r>
          </w:p>
        </w:tc>
        <w:tc>
          <w:tcPr>
            <w:tcW w:w="284" w:type="dxa"/>
            <w:vAlign w:val="center"/>
          </w:tcPr>
          <w:p w14:paraId="47005A0E" w14:textId="77777777" w:rsidR="001F3F0B" w:rsidRPr="00E74664" w:rsidRDefault="001F3F0B" w:rsidP="005F74C7">
            <w:pPr>
              <w:jc w:val="center"/>
            </w:pPr>
          </w:p>
        </w:tc>
        <w:tc>
          <w:tcPr>
            <w:tcW w:w="1146" w:type="dxa"/>
            <w:shd w:val="clear" w:color="auto" w:fill="FF5050"/>
            <w:vAlign w:val="center"/>
          </w:tcPr>
          <w:p w14:paraId="738BA55F" w14:textId="77777777" w:rsidR="001F3F0B" w:rsidRDefault="001F3F0B" w:rsidP="005F74C7">
            <w:pPr>
              <w:jc w:val="center"/>
            </w:pPr>
            <w:r>
              <w:t>No</w:t>
            </w:r>
          </w:p>
        </w:tc>
        <w:tc>
          <w:tcPr>
            <w:tcW w:w="975" w:type="dxa"/>
            <w:shd w:val="clear" w:color="auto" w:fill="FF5050"/>
            <w:vAlign w:val="center"/>
          </w:tcPr>
          <w:p w14:paraId="4F5428FE" w14:textId="77777777" w:rsidR="001F3F0B" w:rsidRDefault="001F3F0B" w:rsidP="005F74C7">
            <w:pPr>
              <w:jc w:val="center"/>
            </w:pPr>
            <w:r w:rsidRPr="008D572C">
              <w:t>No</w:t>
            </w:r>
          </w:p>
        </w:tc>
        <w:tc>
          <w:tcPr>
            <w:tcW w:w="975" w:type="dxa"/>
            <w:shd w:val="clear" w:color="auto" w:fill="FF5050"/>
            <w:vAlign w:val="center"/>
          </w:tcPr>
          <w:p w14:paraId="6AB57F4C" w14:textId="77777777" w:rsidR="001F3F0B" w:rsidRDefault="001F3F0B" w:rsidP="005F74C7">
            <w:pPr>
              <w:jc w:val="center"/>
            </w:pPr>
            <w:r w:rsidRPr="008D572C">
              <w:t>No</w:t>
            </w:r>
          </w:p>
        </w:tc>
      </w:tr>
      <w:tr w:rsidR="001F3F0B" w14:paraId="4BE5D0D0" w14:textId="77777777" w:rsidTr="005F74C7">
        <w:trPr>
          <w:jc w:val="center"/>
        </w:trPr>
        <w:tc>
          <w:tcPr>
            <w:tcW w:w="2269" w:type="dxa"/>
            <w:vAlign w:val="center"/>
          </w:tcPr>
          <w:p w14:paraId="18965B67" w14:textId="77777777" w:rsidR="001F3F0B" w:rsidRPr="009E3BC2" w:rsidRDefault="001F3F0B" w:rsidP="005F74C7">
            <w:pPr>
              <w:pStyle w:val="Body"/>
              <w:spacing w:before="160"/>
              <w:rPr>
                <w:rFonts w:ascii="Arial" w:hAnsi="Arial" w:cs="Arial"/>
                <w:b/>
              </w:rPr>
            </w:pPr>
            <w:r w:rsidRPr="009E3BC2">
              <w:rPr>
                <w:rStyle w:val="None"/>
                <w:rFonts w:ascii="Arial" w:hAnsi="Arial" w:cs="Arial"/>
                <w:b/>
              </w:rPr>
              <w:t>Scalable?</w:t>
            </w:r>
          </w:p>
        </w:tc>
        <w:tc>
          <w:tcPr>
            <w:tcW w:w="845" w:type="dxa"/>
            <w:shd w:val="clear" w:color="auto" w:fill="92D050"/>
            <w:vAlign w:val="center"/>
          </w:tcPr>
          <w:p w14:paraId="5B3D41DA" w14:textId="77777777" w:rsidR="001F3F0B" w:rsidRDefault="001F3F0B" w:rsidP="005F74C7">
            <w:pPr>
              <w:jc w:val="center"/>
            </w:pPr>
            <w:r w:rsidRPr="001F4BB7">
              <w:t>Yes</w:t>
            </w:r>
          </w:p>
        </w:tc>
        <w:tc>
          <w:tcPr>
            <w:tcW w:w="992" w:type="dxa"/>
            <w:shd w:val="clear" w:color="auto" w:fill="92D050"/>
            <w:vAlign w:val="center"/>
          </w:tcPr>
          <w:p w14:paraId="58143451" w14:textId="77777777" w:rsidR="001F3F0B" w:rsidRDefault="001F3F0B" w:rsidP="005F74C7">
            <w:pPr>
              <w:jc w:val="center"/>
            </w:pPr>
            <w:r w:rsidRPr="001F4BB7">
              <w:t>Yes</w:t>
            </w:r>
          </w:p>
        </w:tc>
        <w:tc>
          <w:tcPr>
            <w:tcW w:w="992" w:type="dxa"/>
            <w:shd w:val="clear" w:color="auto" w:fill="92D050"/>
            <w:vAlign w:val="center"/>
          </w:tcPr>
          <w:p w14:paraId="1A27E563" w14:textId="77777777" w:rsidR="001F3F0B" w:rsidRDefault="001F3F0B" w:rsidP="005F74C7">
            <w:pPr>
              <w:jc w:val="center"/>
            </w:pPr>
            <w:r w:rsidRPr="001F4BB7">
              <w:t>Yes</w:t>
            </w:r>
          </w:p>
        </w:tc>
        <w:tc>
          <w:tcPr>
            <w:tcW w:w="284" w:type="dxa"/>
            <w:vAlign w:val="center"/>
          </w:tcPr>
          <w:p w14:paraId="0797D844" w14:textId="77777777" w:rsidR="001F3F0B" w:rsidRPr="00E74664" w:rsidRDefault="001F3F0B" w:rsidP="005F74C7">
            <w:pPr>
              <w:jc w:val="center"/>
            </w:pPr>
          </w:p>
        </w:tc>
        <w:tc>
          <w:tcPr>
            <w:tcW w:w="1146" w:type="dxa"/>
            <w:shd w:val="clear" w:color="auto" w:fill="E5B8B7" w:themeFill="accent2" w:themeFillTint="66"/>
            <w:vAlign w:val="center"/>
          </w:tcPr>
          <w:p w14:paraId="67505F40" w14:textId="77777777" w:rsidR="001F3F0B" w:rsidRDefault="001F3F0B" w:rsidP="005F74C7">
            <w:pPr>
              <w:jc w:val="center"/>
            </w:pPr>
            <w:r>
              <w:t>Unclear</w:t>
            </w:r>
          </w:p>
        </w:tc>
        <w:tc>
          <w:tcPr>
            <w:tcW w:w="975" w:type="dxa"/>
            <w:shd w:val="clear" w:color="auto" w:fill="E5B8B7" w:themeFill="accent2" w:themeFillTint="66"/>
            <w:vAlign w:val="center"/>
          </w:tcPr>
          <w:p w14:paraId="1162FD15" w14:textId="77777777" w:rsidR="001F3F0B" w:rsidRDefault="001F3F0B" w:rsidP="005F74C7">
            <w:pPr>
              <w:jc w:val="center"/>
            </w:pPr>
            <w:r w:rsidRPr="007135CC">
              <w:t>Unclea</w:t>
            </w:r>
            <w:r>
              <w:t>r</w:t>
            </w:r>
          </w:p>
        </w:tc>
        <w:tc>
          <w:tcPr>
            <w:tcW w:w="975" w:type="dxa"/>
            <w:shd w:val="clear" w:color="auto" w:fill="E5B8B7" w:themeFill="accent2" w:themeFillTint="66"/>
            <w:vAlign w:val="center"/>
          </w:tcPr>
          <w:p w14:paraId="1D93D883" w14:textId="77777777" w:rsidR="001F3F0B" w:rsidRDefault="001F3F0B" w:rsidP="005F74C7">
            <w:pPr>
              <w:jc w:val="center"/>
            </w:pPr>
            <w:r w:rsidRPr="007135CC">
              <w:t>Unclea</w:t>
            </w:r>
            <w:r>
              <w:t>r</w:t>
            </w:r>
          </w:p>
        </w:tc>
      </w:tr>
    </w:tbl>
    <w:p w14:paraId="4A889062" w14:textId="77777777" w:rsidR="001F3F0B" w:rsidRPr="00AF5679" w:rsidRDefault="001F3F0B" w:rsidP="001F3F0B">
      <w:pPr>
        <w:pStyle w:val="BodyA"/>
        <w:spacing w:after="120"/>
        <w:jc w:val="both"/>
        <w:rPr>
          <w:rFonts w:ascii="Arial" w:eastAsia="Arial" w:hAnsi="Arial" w:cs="Arial"/>
          <w:b/>
          <w:color w:val="FF0000"/>
        </w:rPr>
      </w:pPr>
    </w:p>
    <w:p w14:paraId="7417CAC0" w14:textId="77777777" w:rsidR="001F3F0B" w:rsidRDefault="001F3F0B" w:rsidP="001F3F0B">
      <w:pPr>
        <w:spacing w:after="120"/>
        <w:rPr>
          <w:rStyle w:val="None"/>
          <w:b/>
          <w:bCs/>
        </w:rPr>
      </w:pPr>
    </w:p>
    <w:p w14:paraId="4FCA2F12" w14:textId="77777777" w:rsidR="001F3F0B" w:rsidRDefault="001F3F0B" w:rsidP="001F3F0B">
      <w:pPr>
        <w:spacing w:after="120"/>
        <w:rPr>
          <w:rStyle w:val="None"/>
          <w:b/>
          <w:bCs/>
        </w:rPr>
      </w:pPr>
      <w:r>
        <w:rPr>
          <w:rStyle w:val="None"/>
          <w:b/>
          <w:bCs/>
        </w:rPr>
        <w:br w:type="page"/>
      </w:r>
    </w:p>
    <w:p w14:paraId="1A7CA12E" w14:textId="77777777" w:rsidR="001F3F0B" w:rsidRDefault="001F3F0B" w:rsidP="001F3F0B">
      <w:pPr>
        <w:autoSpaceDE w:val="0"/>
        <w:autoSpaceDN w:val="0"/>
        <w:adjustRightInd w:val="0"/>
        <w:spacing w:after="120"/>
        <w:rPr>
          <w:rStyle w:val="None"/>
        </w:rPr>
      </w:pPr>
      <w:r>
        <w:rPr>
          <w:rStyle w:val="None"/>
          <w:b/>
          <w:bCs/>
        </w:rPr>
        <w:lastRenderedPageBreak/>
        <w:t>Table 4.</w:t>
      </w:r>
      <w:r>
        <w:rPr>
          <w:rStyle w:val="None"/>
        </w:rPr>
        <w:t xml:space="preserve"> The relationship </w:t>
      </w:r>
      <w:r w:rsidRPr="00037930">
        <w:rPr>
          <w:rStyle w:val="None"/>
        </w:rPr>
        <w:t>between ‘SMART’</w:t>
      </w:r>
      <w:r>
        <w:rPr>
          <w:rStyle w:val="None"/>
        </w:rPr>
        <w:t xml:space="preserve"> scores per target element</w:t>
      </w:r>
      <w:r w:rsidRPr="00037930">
        <w:rPr>
          <w:rStyle w:val="None"/>
        </w:rPr>
        <w:t xml:space="preserve"> </w:t>
      </w:r>
      <w:r>
        <w:rPr>
          <w:rStyle w:val="None"/>
        </w:rPr>
        <w:t xml:space="preserve">and reported progress taken from a) GBO-4 and b) </w:t>
      </w:r>
      <w:r>
        <w:t>in analyses prepared as inputs to forthcoming IPBES Global Assessment</w:t>
      </w:r>
      <w:r>
        <w:rPr>
          <w:rStyle w:val="None"/>
        </w:rPr>
        <w:t>. Significant = p&lt;0.05; near significant = p&lt;0.1; non-significant = p&gt;0.1. The boxes shaded in green indicate that reported progress against the Aichi target is associated with the SMART-ness of that target (from Green et al. submitted).</w:t>
      </w:r>
    </w:p>
    <w:p w14:paraId="3A401ACF" w14:textId="77777777" w:rsidR="001F3F0B" w:rsidRPr="00D8178E" w:rsidRDefault="001F3F0B" w:rsidP="001F3F0B">
      <w:pPr>
        <w:autoSpaceDE w:val="0"/>
        <w:autoSpaceDN w:val="0"/>
        <w:adjustRightInd w:val="0"/>
        <w:spacing w:after="120"/>
        <w:rPr>
          <w:rStyle w:val="None"/>
          <w:sz w:val="21"/>
          <w:szCs w:val="21"/>
        </w:rPr>
      </w:pPr>
    </w:p>
    <w:tbl>
      <w:tblPr>
        <w:tblW w:w="541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696"/>
        <w:gridCol w:w="1843"/>
        <w:gridCol w:w="1877"/>
      </w:tblGrid>
      <w:tr w:rsidR="001F3F0B" w:rsidRPr="009F1D5C" w14:paraId="264B03A3" w14:textId="77777777" w:rsidTr="005F74C7">
        <w:trPr>
          <w:trHeight w:val="113"/>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80" w:type="dxa"/>
              <w:left w:w="80" w:type="dxa"/>
              <w:bottom w:w="80" w:type="dxa"/>
              <w:right w:w="80" w:type="dxa"/>
            </w:tcMar>
            <w:vAlign w:val="center"/>
          </w:tcPr>
          <w:p w14:paraId="48513A69" w14:textId="77777777" w:rsidR="001F3F0B" w:rsidRPr="009F1D5C" w:rsidRDefault="001F3F0B" w:rsidP="005F74C7">
            <w:pPr>
              <w:spacing w:before="120" w:after="120"/>
              <w:jc w:val="center"/>
              <w:rPr>
                <w:b/>
              </w:rPr>
            </w:pPr>
            <w:r w:rsidRPr="009F1D5C">
              <w:rPr>
                <w:rStyle w:val="None"/>
                <w:b/>
              </w:rPr>
              <w:t>Criterion</w:t>
            </w:r>
          </w:p>
        </w:tc>
        <w:tc>
          <w:tcPr>
            <w:tcW w:w="1843"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80" w:type="dxa"/>
              <w:left w:w="80" w:type="dxa"/>
              <w:bottom w:w="80" w:type="dxa"/>
              <w:right w:w="80" w:type="dxa"/>
            </w:tcMar>
            <w:vAlign w:val="center"/>
          </w:tcPr>
          <w:p w14:paraId="6F3AA55C" w14:textId="77777777" w:rsidR="001F3F0B" w:rsidRPr="009F1D5C" w:rsidRDefault="001F3F0B" w:rsidP="005F74C7">
            <w:pPr>
              <w:spacing w:before="120" w:after="120"/>
              <w:jc w:val="center"/>
              <w:rPr>
                <w:b/>
              </w:rPr>
            </w:pPr>
            <w:r>
              <w:rPr>
                <w:rStyle w:val="None"/>
                <w:b/>
              </w:rPr>
              <w:t>Relationship</w:t>
            </w:r>
          </w:p>
        </w:tc>
        <w:tc>
          <w:tcPr>
            <w:tcW w:w="1877"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80" w:type="dxa"/>
              <w:left w:w="80" w:type="dxa"/>
              <w:bottom w:w="80" w:type="dxa"/>
              <w:right w:w="80" w:type="dxa"/>
            </w:tcMar>
            <w:vAlign w:val="center"/>
          </w:tcPr>
          <w:p w14:paraId="37E6A4BF" w14:textId="77777777" w:rsidR="001F3F0B" w:rsidRPr="009F1D5C" w:rsidRDefault="001F3F0B" w:rsidP="005F74C7">
            <w:pPr>
              <w:spacing w:before="120" w:after="120"/>
              <w:jc w:val="center"/>
              <w:rPr>
                <w:b/>
              </w:rPr>
            </w:pPr>
            <w:r w:rsidRPr="009F1D5C">
              <w:rPr>
                <w:rStyle w:val="None"/>
                <w:b/>
              </w:rPr>
              <w:t>S</w:t>
            </w:r>
            <w:r>
              <w:rPr>
                <w:rStyle w:val="None"/>
                <w:b/>
              </w:rPr>
              <w:t>tatistical s</w:t>
            </w:r>
            <w:r w:rsidRPr="009F1D5C">
              <w:rPr>
                <w:rStyle w:val="None"/>
                <w:b/>
              </w:rPr>
              <w:t>ignificance</w:t>
            </w:r>
            <w:r>
              <w:rPr>
                <w:rStyle w:val="None"/>
                <w:b/>
              </w:rPr>
              <w:t>*</w:t>
            </w:r>
          </w:p>
        </w:tc>
      </w:tr>
      <w:tr w:rsidR="001F3F0B" w14:paraId="2C96CF69" w14:textId="77777777" w:rsidTr="005F74C7">
        <w:trPr>
          <w:jc w:val="center"/>
        </w:trPr>
        <w:tc>
          <w:tcPr>
            <w:tcW w:w="541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D74C4C" w14:textId="77777777" w:rsidR="001F3F0B" w:rsidRPr="009F1D5C" w:rsidRDefault="001F3F0B" w:rsidP="005F74C7">
            <w:pPr>
              <w:spacing w:before="120" w:after="120"/>
              <w:rPr>
                <w:b/>
              </w:rPr>
            </w:pPr>
            <w:r>
              <w:rPr>
                <w:rStyle w:val="None"/>
                <w:b/>
              </w:rPr>
              <w:t xml:space="preserve">Progress assessment from </w:t>
            </w:r>
            <w:r w:rsidRPr="009F1D5C">
              <w:rPr>
                <w:rStyle w:val="None"/>
                <w:b/>
              </w:rPr>
              <w:t>GBO-4</w:t>
            </w:r>
            <w:r>
              <w:rPr>
                <w:rStyle w:val="None"/>
                <w:b/>
              </w:rPr>
              <w:t xml:space="preserve"> versus:</w:t>
            </w:r>
          </w:p>
        </w:tc>
      </w:tr>
      <w:tr w:rsidR="001F3F0B" w14:paraId="70A85F49" w14:textId="77777777" w:rsidTr="005F74C7">
        <w:trPr>
          <w:trHeight w:val="113"/>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9FB3C8" w14:textId="77777777" w:rsidR="001F3F0B" w:rsidRPr="009E3BC2" w:rsidRDefault="001F3F0B" w:rsidP="005F74C7">
            <w:pPr>
              <w:spacing w:before="120" w:after="120"/>
              <w:rPr>
                <w:b/>
              </w:rPr>
            </w:pPr>
            <w:r w:rsidRPr="009E3BC2">
              <w:rPr>
                <w:rStyle w:val="None"/>
                <w:b/>
              </w:rPr>
              <w:t>Specific</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C0C1D1" w14:textId="77777777" w:rsidR="001F3F0B" w:rsidRDefault="001F3F0B" w:rsidP="005F74C7">
            <w:pPr>
              <w:spacing w:before="120" w:after="120"/>
            </w:pPr>
            <w:r>
              <w:rPr>
                <w:rStyle w:val="None"/>
              </w:rPr>
              <w:t xml:space="preserve">Positive </w:t>
            </w:r>
          </w:p>
        </w:tc>
        <w:tc>
          <w:tcPr>
            <w:tcW w:w="18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D857AC" w14:textId="77777777" w:rsidR="001F3F0B" w:rsidRDefault="001F3F0B" w:rsidP="005F74C7">
            <w:pPr>
              <w:spacing w:before="120" w:after="120"/>
            </w:pPr>
            <w:r>
              <w:rPr>
                <w:rStyle w:val="None"/>
              </w:rPr>
              <w:t xml:space="preserve">Near significant </w:t>
            </w:r>
          </w:p>
        </w:tc>
      </w:tr>
      <w:tr w:rsidR="001F3F0B" w14:paraId="0491ADAD" w14:textId="77777777" w:rsidTr="005F74C7">
        <w:trPr>
          <w:trHeight w:val="113"/>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65C72D4" w14:textId="77777777" w:rsidR="001F3F0B" w:rsidRPr="009E3BC2" w:rsidRDefault="001F3F0B" w:rsidP="005F74C7">
            <w:pPr>
              <w:spacing w:before="120" w:after="120"/>
              <w:rPr>
                <w:b/>
              </w:rPr>
            </w:pPr>
            <w:r w:rsidRPr="009E3BC2">
              <w:rPr>
                <w:b/>
              </w:rPr>
              <w:t xml:space="preserve">Measurable        </w:t>
            </w:r>
          </w:p>
        </w:tc>
        <w:tc>
          <w:tcPr>
            <w:tcW w:w="184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tcMar>
              <w:top w:w="80" w:type="dxa"/>
              <w:left w:w="80" w:type="dxa"/>
              <w:bottom w:w="80" w:type="dxa"/>
              <w:right w:w="80" w:type="dxa"/>
            </w:tcMar>
          </w:tcPr>
          <w:p w14:paraId="23ADD382" w14:textId="77777777" w:rsidR="001F3F0B" w:rsidRDefault="001F3F0B" w:rsidP="005F74C7">
            <w:pPr>
              <w:spacing w:before="120" w:after="120"/>
            </w:pPr>
            <w:r w:rsidRPr="00AF47A3">
              <w:rPr>
                <w:rStyle w:val="None"/>
              </w:rPr>
              <w:t xml:space="preserve">Positive </w:t>
            </w:r>
          </w:p>
        </w:tc>
        <w:tc>
          <w:tcPr>
            <w:tcW w:w="1877"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tcMar>
              <w:top w:w="80" w:type="dxa"/>
              <w:left w:w="80" w:type="dxa"/>
              <w:bottom w:w="80" w:type="dxa"/>
              <w:right w:w="80" w:type="dxa"/>
            </w:tcMar>
            <w:vAlign w:val="center"/>
          </w:tcPr>
          <w:p w14:paraId="5E97E74F" w14:textId="77777777" w:rsidR="001F3F0B" w:rsidRDefault="001F3F0B" w:rsidP="005F74C7">
            <w:pPr>
              <w:spacing w:before="120" w:after="120"/>
            </w:pPr>
            <w:r w:rsidRPr="009F1D5C">
              <w:rPr>
                <w:rStyle w:val="None"/>
                <w:bCs/>
              </w:rPr>
              <w:t>Significant</w:t>
            </w:r>
            <w:r>
              <w:rPr>
                <w:rStyle w:val="None"/>
                <w:bCs/>
              </w:rPr>
              <w:t>*</w:t>
            </w:r>
          </w:p>
        </w:tc>
      </w:tr>
      <w:tr w:rsidR="001F3F0B" w14:paraId="5B1467A8" w14:textId="77777777" w:rsidTr="005F74C7">
        <w:trPr>
          <w:trHeight w:val="113"/>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3C06F82" w14:textId="77777777" w:rsidR="001F3F0B" w:rsidRPr="009E3BC2" w:rsidRDefault="001F3F0B" w:rsidP="005F74C7">
            <w:pPr>
              <w:spacing w:before="120" w:after="120"/>
              <w:rPr>
                <w:b/>
              </w:rPr>
            </w:pPr>
            <w:r w:rsidRPr="009E3BC2">
              <w:rPr>
                <w:b/>
              </w:rPr>
              <w:t xml:space="preserve">Ambitious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882A7C4" w14:textId="77777777" w:rsidR="001F3F0B" w:rsidRPr="00A47E56" w:rsidRDefault="001F3F0B" w:rsidP="005F74C7">
            <w:pPr>
              <w:spacing w:before="120" w:after="120"/>
              <w:rPr>
                <w:i/>
              </w:rPr>
            </w:pPr>
            <w:r w:rsidRPr="00A47E56">
              <w:rPr>
                <w:i/>
              </w:rPr>
              <w:t>Negative</w:t>
            </w:r>
          </w:p>
        </w:tc>
        <w:tc>
          <w:tcPr>
            <w:tcW w:w="18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76AE65D" w14:textId="77777777" w:rsidR="001F3F0B" w:rsidRDefault="001F3F0B" w:rsidP="005F74C7">
            <w:pPr>
              <w:spacing w:before="120" w:after="120"/>
            </w:pPr>
            <w:r>
              <w:t>Non-significant</w:t>
            </w:r>
          </w:p>
        </w:tc>
      </w:tr>
      <w:tr w:rsidR="001F3F0B" w14:paraId="7CF1917D" w14:textId="77777777" w:rsidTr="005F74C7">
        <w:trPr>
          <w:trHeight w:val="113"/>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D98B32" w14:textId="77777777" w:rsidR="001F3F0B" w:rsidRPr="009E3BC2" w:rsidRDefault="001F3F0B" w:rsidP="005F74C7">
            <w:pPr>
              <w:spacing w:before="120" w:after="120"/>
              <w:rPr>
                <w:b/>
              </w:rPr>
            </w:pPr>
            <w:r w:rsidRPr="009E3BC2">
              <w:rPr>
                <w:rStyle w:val="None"/>
                <w:b/>
              </w:rPr>
              <w:t xml:space="preserve">Realistic                </w:t>
            </w:r>
          </w:p>
        </w:tc>
        <w:tc>
          <w:tcPr>
            <w:tcW w:w="184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tcMar>
              <w:top w:w="80" w:type="dxa"/>
              <w:left w:w="80" w:type="dxa"/>
              <w:bottom w:w="80" w:type="dxa"/>
              <w:right w:w="80" w:type="dxa"/>
            </w:tcMar>
          </w:tcPr>
          <w:p w14:paraId="0CBDDDFA" w14:textId="77777777" w:rsidR="001F3F0B" w:rsidRDefault="001F3F0B" w:rsidP="005F74C7">
            <w:pPr>
              <w:spacing w:before="120" w:after="120"/>
            </w:pPr>
            <w:r>
              <w:rPr>
                <w:rStyle w:val="None"/>
              </w:rPr>
              <w:t xml:space="preserve">Positive </w:t>
            </w:r>
          </w:p>
        </w:tc>
        <w:tc>
          <w:tcPr>
            <w:tcW w:w="1877"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tcMar>
              <w:top w:w="80" w:type="dxa"/>
              <w:left w:w="80" w:type="dxa"/>
              <w:bottom w:w="80" w:type="dxa"/>
              <w:right w:w="80" w:type="dxa"/>
            </w:tcMar>
          </w:tcPr>
          <w:p w14:paraId="6AF96701" w14:textId="77777777" w:rsidR="001F3F0B" w:rsidRDefault="001F3F0B" w:rsidP="005F74C7">
            <w:pPr>
              <w:spacing w:before="120" w:after="120"/>
            </w:pPr>
            <w:r w:rsidRPr="009F1D5C">
              <w:rPr>
                <w:rStyle w:val="None"/>
                <w:bCs/>
              </w:rPr>
              <w:t>Significant</w:t>
            </w:r>
            <w:r>
              <w:rPr>
                <w:rStyle w:val="None"/>
                <w:bCs/>
              </w:rPr>
              <w:t>*</w:t>
            </w:r>
          </w:p>
        </w:tc>
      </w:tr>
      <w:tr w:rsidR="001F3F0B" w14:paraId="53FBB001" w14:textId="77777777" w:rsidTr="005F74C7">
        <w:trPr>
          <w:trHeight w:val="113"/>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6759A0" w14:textId="77777777" w:rsidR="001F3F0B" w:rsidRPr="009E3BC2" w:rsidRDefault="001F3F0B" w:rsidP="005F74C7">
            <w:pPr>
              <w:spacing w:before="120" w:after="120"/>
              <w:rPr>
                <w:b/>
              </w:rPr>
            </w:pPr>
            <w:r w:rsidRPr="009E3BC2">
              <w:rPr>
                <w:rStyle w:val="None"/>
                <w:b/>
              </w:rPr>
              <w:t xml:space="preserve">Unambiguous              </w:t>
            </w:r>
          </w:p>
        </w:tc>
        <w:tc>
          <w:tcPr>
            <w:tcW w:w="184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tcMar>
              <w:top w:w="80" w:type="dxa"/>
              <w:left w:w="80" w:type="dxa"/>
              <w:bottom w:w="80" w:type="dxa"/>
              <w:right w:w="80" w:type="dxa"/>
            </w:tcMar>
          </w:tcPr>
          <w:p w14:paraId="49E63AA6" w14:textId="77777777" w:rsidR="001F3F0B" w:rsidRDefault="001F3F0B" w:rsidP="005F74C7">
            <w:pPr>
              <w:spacing w:before="120" w:after="120"/>
            </w:pPr>
            <w:r w:rsidRPr="00AF47A3">
              <w:rPr>
                <w:rStyle w:val="None"/>
              </w:rPr>
              <w:t xml:space="preserve">Positive </w:t>
            </w:r>
          </w:p>
        </w:tc>
        <w:tc>
          <w:tcPr>
            <w:tcW w:w="1877"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tcMar>
              <w:top w:w="80" w:type="dxa"/>
              <w:left w:w="80" w:type="dxa"/>
              <w:bottom w:w="80" w:type="dxa"/>
              <w:right w:w="80" w:type="dxa"/>
            </w:tcMar>
          </w:tcPr>
          <w:p w14:paraId="2064BEE2" w14:textId="77777777" w:rsidR="001F3F0B" w:rsidRPr="00A73DD8" w:rsidRDefault="001F3F0B" w:rsidP="005F74C7">
            <w:pPr>
              <w:spacing w:before="120" w:after="120"/>
              <w:rPr>
                <w:bCs/>
              </w:rPr>
            </w:pPr>
            <w:r w:rsidRPr="009F1D5C">
              <w:rPr>
                <w:rStyle w:val="None"/>
                <w:bCs/>
              </w:rPr>
              <w:t>Significant</w:t>
            </w:r>
            <w:r>
              <w:rPr>
                <w:rStyle w:val="None"/>
                <w:bCs/>
              </w:rPr>
              <w:t>*</w:t>
            </w:r>
          </w:p>
        </w:tc>
      </w:tr>
      <w:tr w:rsidR="001F3F0B" w14:paraId="780CBCC3" w14:textId="77777777" w:rsidTr="005F74C7">
        <w:trPr>
          <w:trHeight w:val="113"/>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9BF046" w14:textId="77777777" w:rsidR="001F3F0B" w:rsidRPr="009E3BC2" w:rsidRDefault="001F3F0B" w:rsidP="005F74C7">
            <w:pPr>
              <w:spacing w:before="120" w:after="120"/>
              <w:rPr>
                <w:b/>
              </w:rPr>
            </w:pPr>
            <w:r w:rsidRPr="009E3BC2">
              <w:rPr>
                <w:rStyle w:val="None"/>
                <w:b/>
              </w:rPr>
              <w:t xml:space="preserve">Scalable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5DAC6E" w14:textId="77777777" w:rsidR="001F3F0B" w:rsidRDefault="001F3F0B" w:rsidP="005F74C7">
            <w:pPr>
              <w:spacing w:before="120" w:after="120"/>
            </w:pPr>
            <w:r w:rsidRPr="003F33E9">
              <w:rPr>
                <w:rStyle w:val="None"/>
              </w:rPr>
              <w:t>Positive</w:t>
            </w:r>
          </w:p>
        </w:tc>
        <w:tc>
          <w:tcPr>
            <w:tcW w:w="18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ACF3AC" w14:textId="77777777" w:rsidR="001F3F0B" w:rsidRDefault="001F3F0B" w:rsidP="005F74C7">
            <w:pPr>
              <w:spacing w:before="120" w:after="120"/>
            </w:pPr>
            <w:r>
              <w:rPr>
                <w:rStyle w:val="None"/>
              </w:rPr>
              <w:t>Near significant</w:t>
            </w:r>
          </w:p>
        </w:tc>
      </w:tr>
    </w:tbl>
    <w:p w14:paraId="1BB27649" w14:textId="77777777" w:rsidR="001F3F0B" w:rsidRPr="009E3BC2" w:rsidRDefault="001F3F0B" w:rsidP="001F3F0B">
      <w:pPr>
        <w:rPr>
          <w:sz w:val="6"/>
          <w:szCs w:val="6"/>
        </w:rPr>
      </w:pPr>
    </w:p>
    <w:tbl>
      <w:tblPr>
        <w:tblW w:w="541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696"/>
        <w:gridCol w:w="1843"/>
        <w:gridCol w:w="1877"/>
      </w:tblGrid>
      <w:tr w:rsidR="001F3F0B" w:rsidRPr="009F1D5C" w14:paraId="2C4D3E78" w14:textId="77777777" w:rsidTr="005F74C7">
        <w:trPr>
          <w:trHeight w:val="113"/>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80" w:type="dxa"/>
              <w:left w:w="80" w:type="dxa"/>
              <w:bottom w:w="80" w:type="dxa"/>
              <w:right w:w="80" w:type="dxa"/>
            </w:tcMar>
            <w:vAlign w:val="center"/>
          </w:tcPr>
          <w:p w14:paraId="2870824C" w14:textId="77777777" w:rsidR="001F3F0B" w:rsidRPr="009F1D5C" w:rsidRDefault="001F3F0B" w:rsidP="005F74C7">
            <w:pPr>
              <w:spacing w:before="120" w:after="120"/>
              <w:jc w:val="center"/>
              <w:rPr>
                <w:b/>
              </w:rPr>
            </w:pPr>
            <w:r w:rsidRPr="009F1D5C">
              <w:rPr>
                <w:rStyle w:val="None"/>
                <w:b/>
              </w:rPr>
              <w:t>Criterion</w:t>
            </w:r>
          </w:p>
        </w:tc>
        <w:tc>
          <w:tcPr>
            <w:tcW w:w="1843"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80" w:type="dxa"/>
              <w:left w:w="80" w:type="dxa"/>
              <w:bottom w:w="80" w:type="dxa"/>
              <w:right w:w="80" w:type="dxa"/>
            </w:tcMar>
            <w:vAlign w:val="center"/>
          </w:tcPr>
          <w:p w14:paraId="7F4364CA" w14:textId="77777777" w:rsidR="001F3F0B" w:rsidRPr="009F1D5C" w:rsidRDefault="001F3F0B" w:rsidP="005F74C7">
            <w:pPr>
              <w:spacing w:before="120" w:after="120"/>
              <w:jc w:val="center"/>
              <w:rPr>
                <w:b/>
              </w:rPr>
            </w:pPr>
            <w:r>
              <w:rPr>
                <w:rStyle w:val="None"/>
                <w:b/>
              </w:rPr>
              <w:t>Relationship</w:t>
            </w:r>
          </w:p>
        </w:tc>
        <w:tc>
          <w:tcPr>
            <w:tcW w:w="1877"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80" w:type="dxa"/>
              <w:left w:w="80" w:type="dxa"/>
              <w:bottom w:w="80" w:type="dxa"/>
              <w:right w:w="80" w:type="dxa"/>
            </w:tcMar>
            <w:vAlign w:val="center"/>
          </w:tcPr>
          <w:p w14:paraId="577E88A6" w14:textId="77777777" w:rsidR="001F3F0B" w:rsidRPr="009F1D5C" w:rsidRDefault="001F3F0B" w:rsidP="005F74C7">
            <w:pPr>
              <w:spacing w:before="120" w:after="120"/>
              <w:jc w:val="center"/>
              <w:rPr>
                <w:b/>
              </w:rPr>
            </w:pPr>
            <w:r w:rsidRPr="009F1D5C">
              <w:rPr>
                <w:rStyle w:val="None"/>
                <w:b/>
              </w:rPr>
              <w:t>S</w:t>
            </w:r>
            <w:r>
              <w:rPr>
                <w:rStyle w:val="None"/>
                <w:b/>
              </w:rPr>
              <w:t>tatistical s</w:t>
            </w:r>
            <w:r w:rsidRPr="009F1D5C">
              <w:rPr>
                <w:rStyle w:val="None"/>
                <w:b/>
              </w:rPr>
              <w:t>ignificance</w:t>
            </w:r>
            <w:r>
              <w:rPr>
                <w:rStyle w:val="None"/>
                <w:b/>
              </w:rPr>
              <w:t>*</w:t>
            </w:r>
          </w:p>
        </w:tc>
      </w:tr>
      <w:tr w:rsidR="001F3F0B" w14:paraId="172D0799" w14:textId="77777777" w:rsidTr="005F74C7">
        <w:trPr>
          <w:trHeight w:val="113"/>
          <w:jc w:val="center"/>
        </w:trPr>
        <w:tc>
          <w:tcPr>
            <w:tcW w:w="541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62463B" w14:textId="77777777" w:rsidR="001F3F0B" w:rsidRPr="009F1D5C" w:rsidRDefault="001F3F0B" w:rsidP="005F74C7">
            <w:pPr>
              <w:spacing w:before="120" w:after="120"/>
              <w:rPr>
                <w:b/>
              </w:rPr>
            </w:pPr>
            <w:r>
              <w:rPr>
                <w:rStyle w:val="None"/>
                <w:b/>
              </w:rPr>
              <w:t xml:space="preserve">Progress assessment from </w:t>
            </w:r>
            <w:r w:rsidRPr="00D8178E">
              <w:rPr>
                <w:b/>
              </w:rPr>
              <w:t xml:space="preserve">analyses prepared </w:t>
            </w:r>
            <w:r>
              <w:rPr>
                <w:b/>
              </w:rPr>
              <w:t xml:space="preserve">for </w:t>
            </w:r>
            <w:r w:rsidRPr="00D8178E">
              <w:rPr>
                <w:b/>
              </w:rPr>
              <w:t>IPBES Global Assessment</w:t>
            </w:r>
            <w:r w:rsidRPr="009F1D5C" w:rsidDel="007B6F5D">
              <w:rPr>
                <w:rStyle w:val="None"/>
                <w:b/>
              </w:rPr>
              <w:t xml:space="preserve"> </w:t>
            </w:r>
            <w:r w:rsidRPr="009439CD">
              <w:rPr>
                <w:rStyle w:val="None"/>
                <w:b/>
              </w:rPr>
              <w:t>versus</w:t>
            </w:r>
            <w:r>
              <w:rPr>
                <w:rStyle w:val="None"/>
                <w:b/>
              </w:rPr>
              <w:t>:</w:t>
            </w:r>
          </w:p>
        </w:tc>
      </w:tr>
      <w:tr w:rsidR="001F3F0B" w14:paraId="20F6283F" w14:textId="77777777" w:rsidTr="005F74C7">
        <w:trPr>
          <w:trHeight w:val="113"/>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893AF8" w14:textId="77777777" w:rsidR="001F3F0B" w:rsidRPr="009E3BC2" w:rsidRDefault="001F3F0B" w:rsidP="005F74C7">
            <w:pPr>
              <w:spacing w:before="120" w:after="120"/>
              <w:rPr>
                <w:b/>
              </w:rPr>
            </w:pPr>
            <w:r w:rsidRPr="009E3BC2">
              <w:rPr>
                <w:rStyle w:val="None"/>
                <w:b/>
              </w:rPr>
              <w:t>Specific</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A81362" w14:textId="77777777" w:rsidR="001F3F0B" w:rsidRDefault="001F3F0B" w:rsidP="005F74C7">
            <w:pPr>
              <w:spacing w:before="120" w:after="120"/>
            </w:pPr>
            <w:r>
              <w:rPr>
                <w:rStyle w:val="None"/>
              </w:rPr>
              <w:t>Positive</w:t>
            </w:r>
          </w:p>
        </w:tc>
        <w:tc>
          <w:tcPr>
            <w:tcW w:w="18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FC87E6" w14:textId="77777777" w:rsidR="001F3F0B" w:rsidRDefault="001F3F0B" w:rsidP="005F74C7">
            <w:pPr>
              <w:spacing w:before="120" w:after="120"/>
            </w:pPr>
            <w:r>
              <w:rPr>
                <w:rStyle w:val="None"/>
              </w:rPr>
              <w:t>Near significant</w:t>
            </w:r>
          </w:p>
        </w:tc>
      </w:tr>
      <w:tr w:rsidR="001F3F0B" w14:paraId="5A78D755" w14:textId="77777777" w:rsidTr="005F74C7">
        <w:trPr>
          <w:trHeight w:val="113"/>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72BA60" w14:textId="77777777" w:rsidR="001F3F0B" w:rsidRPr="009E3BC2" w:rsidRDefault="001F3F0B" w:rsidP="005F74C7">
            <w:pPr>
              <w:spacing w:before="120" w:after="120"/>
              <w:rPr>
                <w:b/>
              </w:rPr>
            </w:pPr>
            <w:r w:rsidRPr="009E3BC2">
              <w:rPr>
                <w:rStyle w:val="None"/>
                <w:b/>
              </w:rPr>
              <w:t xml:space="preserve">Measurable        </w:t>
            </w:r>
          </w:p>
        </w:tc>
        <w:tc>
          <w:tcPr>
            <w:tcW w:w="184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tcMar>
              <w:top w:w="80" w:type="dxa"/>
              <w:left w:w="80" w:type="dxa"/>
              <w:bottom w:w="80" w:type="dxa"/>
              <w:right w:w="80" w:type="dxa"/>
            </w:tcMar>
          </w:tcPr>
          <w:p w14:paraId="3264C546" w14:textId="77777777" w:rsidR="001F3F0B" w:rsidRDefault="001F3F0B" w:rsidP="005F74C7">
            <w:pPr>
              <w:spacing w:before="120" w:after="120"/>
            </w:pPr>
            <w:r w:rsidRPr="002940D2">
              <w:rPr>
                <w:rStyle w:val="None"/>
              </w:rPr>
              <w:t>Positive</w:t>
            </w:r>
          </w:p>
        </w:tc>
        <w:tc>
          <w:tcPr>
            <w:tcW w:w="1877"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tcMar>
              <w:top w:w="80" w:type="dxa"/>
              <w:left w:w="80" w:type="dxa"/>
              <w:bottom w:w="80" w:type="dxa"/>
              <w:right w:w="80" w:type="dxa"/>
            </w:tcMar>
          </w:tcPr>
          <w:p w14:paraId="5EF0E472" w14:textId="77777777" w:rsidR="001F3F0B" w:rsidRDefault="001F3F0B" w:rsidP="005F74C7">
            <w:pPr>
              <w:spacing w:before="120" w:after="120"/>
            </w:pPr>
            <w:r w:rsidRPr="00143A04">
              <w:rPr>
                <w:rStyle w:val="None"/>
                <w:bCs/>
              </w:rPr>
              <w:t>Significant</w:t>
            </w:r>
            <w:r>
              <w:rPr>
                <w:rStyle w:val="None"/>
                <w:bCs/>
              </w:rPr>
              <w:t>*</w:t>
            </w:r>
          </w:p>
        </w:tc>
      </w:tr>
      <w:tr w:rsidR="001F3F0B" w14:paraId="247C54A8" w14:textId="77777777" w:rsidTr="005F74C7">
        <w:trPr>
          <w:trHeight w:val="113"/>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E9C3A0" w14:textId="77777777" w:rsidR="001F3F0B" w:rsidRPr="009E3BC2" w:rsidRDefault="001F3F0B" w:rsidP="005F74C7">
            <w:pPr>
              <w:spacing w:before="120" w:after="120"/>
              <w:rPr>
                <w:b/>
              </w:rPr>
            </w:pPr>
            <w:r w:rsidRPr="009E3BC2">
              <w:rPr>
                <w:rStyle w:val="None"/>
                <w:b/>
              </w:rPr>
              <w:t xml:space="preserve">Ambitious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B02B29B" w14:textId="77777777" w:rsidR="001F3F0B" w:rsidRPr="00A47E56" w:rsidRDefault="001F3F0B" w:rsidP="005F74C7">
            <w:pPr>
              <w:spacing w:before="120" w:after="120"/>
              <w:rPr>
                <w:i/>
              </w:rPr>
            </w:pPr>
            <w:r w:rsidRPr="00A47E56">
              <w:rPr>
                <w:i/>
              </w:rPr>
              <w:t>Negative</w:t>
            </w:r>
          </w:p>
        </w:tc>
        <w:tc>
          <w:tcPr>
            <w:tcW w:w="18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8ACA36" w14:textId="77777777" w:rsidR="001F3F0B" w:rsidRDefault="001F3F0B" w:rsidP="005F74C7">
            <w:pPr>
              <w:spacing w:before="120" w:after="120"/>
            </w:pPr>
            <w:r>
              <w:rPr>
                <w:rStyle w:val="None"/>
              </w:rPr>
              <w:t>Non-significant</w:t>
            </w:r>
          </w:p>
        </w:tc>
      </w:tr>
      <w:tr w:rsidR="001F3F0B" w14:paraId="7A95FA1E" w14:textId="77777777" w:rsidTr="005F74C7">
        <w:trPr>
          <w:trHeight w:val="113"/>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C87F1B" w14:textId="77777777" w:rsidR="001F3F0B" w:rsidRPr="009E3BC2" w:rsidRDefault="001F3F0B" w:rsidP="005F74C7">
            <w:pPr>
              <w:spacing w:before="120" w:after="120"/>
              <w:rPr>
                <w:b/>
              </w:rPr>
            </w:pPr>
            <w:r w:rsidRPr="009E3BC2">
              <w:rPr>
                <w:rStyle w:val="None"/>
                <w:b/>
              </w:rPr>
              <w:t xml:space="preserve">Realistic                </w:t>
            </w:r>
          </w:p>
        </w:tc>
        <w:tc>
          <w:tcPr>
            <w:tcW w:w="184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tcMar>
              <w:top w:w="80" w:type="dxa"/>
              <w:left w:w="80" w:type="dxa"/>
              <w:bottom w:w="80" w:type="dxa"/>
              <w:right w:w="80" w:type="dxa"/>
            </w:tcMar>
          </w:tcPr>
          <w:p w14:paraId="36C112FD" w14:textId="77777777" w:rsidR="001F3F0B" w:rsidRDefault="001F3F0B" w:rsidP="005F74C7">
            <w:pPr>
              <w:spacing w:before="120" w:after="120"/>
            </w:pPr>
            <w:r w:rsidRPr="003F33E9">
              <w:rPr>
                <w:rStyle w:val="None"/>
              </w:rPr>
              <w:t>Positive</w:t>
            </w:r>
          </w:p>
        </w:tc>
        <w:tc>
          <w:tcPr>
            <w:tcW w:w="1877"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tcMar>
              <w:top w:w="80" w:type="dxa"/>
              <w:left w:w="80" w:type="dxa"/>
              <w:bottom w:w="80" w:type="dxa"/>
              <w:right w:w="80" w:type="dxa"/>
            </w:tcMar>
          </w:tcPr>
          <w:p w14:paraId="28024822" w14:textId="77777777" w:rsidR="001F3F0B" w:rsidRDefault="001F3F0B" w:rsidP="005F74C7">
            <w:pPr>
              <w:spacing w:before="120" w:after="120"/>
            </w:pPr>
            <w:r w:rsidRPr="004F50C3">
              <w:rPr>
                <w:rStyle w:val="None"/>
                <w:bCs/>
              </w:rPr>
              <w:t>Significant</w:t>
            </w:r>
            <w:r>
              <w:rPr>
                <w:rStyle w:val="None"/>
                <w:bCs/>
              </w:rPr>
              <w:t>*</w:t>
            </w:r>
          </w:p>
        </w:tc>
      </w:tr>
      <w:tr w:rsidR="001F3F0B" w14:paraId="57AE298D" w14:textId="77777777" w:rsidTr="005F74C7">
        <w:trPr>
          <w:trHeight w:val="113"/>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A952D2" w14:textId="77777777" w:rsidR="001F3F0B" w:rsidRPr="009E3BC2" w:rsidRDefault="001F3F0B" w:rsidP="005F74C7">
            <w:pPr>
              <w:spacing w:before="120" w:after="120"/>
              <w:rPr>
                <w:b/>
              </w:rPr>
            </w:pPr>
            <w:r w:rsidRPr="009E3BC2">
              <w:rPr>
                <w:rStyle w:val="None"/>
                <w:b/>
              </w:rPr>
              <w:t xml:space="preserve">Unambiguous              </w:t>
            </w:r>
          </w:p>
        </w:tc>
        <w:tc>
          <w:tcPr>
            <w:tcW w:w="184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tcMar>
              <w:top w:w="80" w:type="dxa"/>
              <w:left w:w="80" w:type="dxa"/>
              <w:bottom w:w="80" w:type="dxa"/>
              <w:right w:w="80" w:type="dxa"/>
            </w:tcMar>
          </w:tcPr>
          <w:p w14:paraId="08DB414C" w14:textId="77777777" w:rsidR="001F3F0B" w:rsidRDefault="001F3F0B" w:rsidP="005F74C7">
            <w:pPr>
              <w:spacing w:before="120" w:after="120"/>
            </w:pPr>
            <w:r w:rsidRPr="002940D2">
              <w:rPr>
                <w:rStyle w:val="None"/>
              </w:rPr>
              <w:t>Positive</w:t>
            </w:r>
          </w:p>
        </w:tc>
        <w:tc>
          <w:tcPr>
            <w:tcW w:w="1877"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tcMar>
              <w:top w:w="80" w:type="dxa"/>
              <w:left w:w="80" w:type="dxa"/>
              <w:bottom w:w="80" w:type="dxa"/>
              <w:right w:w="80" w:type="dxa"/>
            </w:tcMar>
          </w:tcPr>
          <w:p w14:paraId="5E64AF83" w14:textId="77777777" w:rsidR="001F3F0B" w:rsidRPr="00A73DD8" w:rsidRDefault="001F3F0B" w:rsidP="005F74C7">
            <w:pPr>
              <w:spacing w:before="120" w:after="120"/>
              <w:rPr>
                <w:bCs/>
              </w:rPr>
            </w:pPr>
            <w:r w:rsidRPr="00143A04">
              <w:rPr>
                <w:rStyle w:val="None"/>
                <w:bCs/>
              </w:rPr>
              <w:t>Significant</w:t>
            </w:r>
            <w:r>
              <w:rPr>
                <w:rStyle w:val="None"/>
                <w:bCs/>
              </w:rPr>
              <w:t>*</w:t>
            </w:r>
          </w:p>
        </w:tc>
      </w:tr>
      <w:tr w:rsidR="001F3F0B" w14:paraId="716CE414" w14:textId="77777777" w:rsidTr="005F74C7">
        <w:trPr>
          <w:trHeight w:val="113"/>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7CF4D1" w14:textId="77777777" w:rsidR="001F3F0B" w:rsidRPr="009E3BC2" w:rsidRDefault="001F3F0B" w:rsidP="005F74C7">
            <w:pPr>
              <w:spacing w:before="120" w:after="120"/>
              <w:rPr>
                <w:b/>
              </w:rPr>
            </w:pPr>
            <w:r w:rsidRPr="009E3BC2">
              <w:rPr>
                <w:rStyle w:val="None"/>
                <w:b/>
              </w:rPr>
              <w:t xml:space="preserve">Scalable   </w:t>
            </w:r>
          </w:p>
        </w:tc>
        <w:tc>
          <w:tcPr>
            <w:tcW w:w="184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tcMar>
              <w:top w:w="80" w:type="dxa"/>
              <w:left w:w="80" w:type="dxa"/>
              <w:bottom w:w="80" w:type="dxa"/>
              <w:right w:w="80" w:type="dxa"/>
            </w:tcMar>
          </w:tcPr>
          <w:p w14:paraId="07C8D3AA" w14:textId="77777777" w:rsidR="001F3F0B" w:rsidRDefault="001F3F0B" w:rsidP="005F74C7">
            <w:pPr>
              <w:spacing w:before="120" w:after="120"/>
            </w:pPr>
            <w:r w:rsidRPr="003F33E9">
              <w:rPr>
                <w:rStyle w:val="None"/>
              </w:rPr>
              <w:t>Positive</w:t>
            </w:r>
          </w:p>
        </w:tc>
        <w:tc>
          <w:tcPr>
            <w:tcW w:w="1877"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tcMar>
              <w:top w:w="80" w:type="dxa"/>
              <w:left w:w="80" w:type="dxa"/>
              <w:bottom w:w="80" w:type="dxa"/>
              <w:right w:w="80" w:type="dxa"/>
            </w:tcMar>
          </w:tcPr>
          <w:p w14:paraId="3E6CDD27" w14:textId="77777777" w:rsidR="001F3F0B" w:rsidRDefault="001F3F0B" w:rsidP="005F74C7">
            <w:pPr>
              <w:spacing w:before="120" w:after="120"/>
            </w:pPr>
            <w:r w:rsidRPr="004F50C3">
              <w:rPr>
                <w:rStyle w:val="None"/>
                <w:bCs/>
              </w:rPr>
              <w:t>Significant</w:t>
            </w:r>
            <w:r>
              <w:rPr>
                <w:rStyle w:val="None"/>
                <w:bCs/>
              </w:rPr>
              <w:t>*</w:t>
            </w:r>
          </w:p>
        </w:tc>
      </w:tr>
    </w:tbl>
    <w:p w14:paraId="517CB2D6" w14:textId="77777777" w:rsidR="00736BC2" w:rsidRPr="00331718" w:rsidRDefault="00736BC2" w:rsidP="001F3F0B">
      <w:pPr>
        <w:spacing w:before="120" w:after="120"/>
        <w:rPr>
          <w:rFonts w:asciiTheme="majorHAnsi" w:hAnsiTheme="majorHAnsi"/>
          <w:snapToGrid w:val="0"/>
          <w:kern w:val="22"/>
          <w:sz w:val="20"/>
          <w:szCs w:val="20"/>
        </w:rPr>
      </w:pPr>
    </w:p>
    <w:sectPr w:rsidR="00736BC2" w:rsidRPr="00331718" w:rsidSect="00CA1572">
      <w:headerReference w:type="even" r:id="rId13"/>
      <w:headerReference w:type="default" r:id="rId14"/>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CF6D6F" w14:textId="77777777" w:rsidR="006B604D" w:rsidRDefault="006B604D">
      <w:r>
        <w:separator/>
      </w:r>
    </w:p>
  </w:endnote>
  <w:endnote w:type="continuationSeparator" w:id="0">
    <w:p w14:paraId="3127B6B0" w14:textId="77777777" w:rsidR="006B604D" w:rsidRDefault="006B60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MS Mincho">
    <w:altName w:val="ＭＳ 明朝"/>
    <w:panose1 w:val="02020609040205080304"/>
    <w:charset w:val="80"/>
    <w:family w:val="modern"/>
    <w:pitch w:val="fixed"/>
    <w:sig w:usb0="E00002FF" w:usb1="6AC7FDFB" w:usb2="00000012" w:usb3="00000000" w:csb0="0002009F" w:csb1="00000000"/>
  </w:font>
  <w:font w:name="Photina MT">
    <w:altName w:val="Cambria"/>
    <w:panose1 w:val="00000000000000000000"/>
    <w:charset w:val="4D"/>
    <w:family w:val="roman"/>
    <w:notTrueType/>
    <w:pitch w:val="default"/>
    <w:sig w:usb0="00000003" w:usb1="00000000" w:usb2="00000000" w:usb3="00000000" w:csb0="00000001" w:csb1="00000000"/>
  </w:font>
  <w:font w:name="MS ??">
    <w:altName w:val="MS Mincho"/>
    <w:charset w:val="80"/>
    <w:family w:val="auto"/>
    <w:pitch w:val="variable"/>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Lucida Grande">
    <w:altName w:val="Segoe UI"/>
    <w:charset w:val="00"/>
    <w:family w:val="swiss"/>
    <w:pitch w:val="variable"/>
    <w:sig w:usb0="00000000" w:usb1="5000A1FF" w:usb2="00000000" w:usb3="00000000" w:csb0="000001BF" w:csb1="00000000"/>
  </w:font>
  <w:font w:name="ヒラギノ角ゴ Pro W3">
    <w:altName w:val="Yu Gothic"/>
    <w:charset w:val="80"/>
    <w:family w:val="swiss"/>
    <w:pitch w:val="variable"/>
    <w:sig w:usb0="E00002FF" w:usb1="7AC7FFFF" w:usb2="00000012" w:usb3="00000000" w:csb0="0002000D" w:csb1="00000000"/>
  </w:font>
  <w:font w:name="?????? Pro W3">
    <w:panose1 w:val="00000000000000000000"/>
    <w:charset w:val="4D"/>
    <w:family w:val="roman"/>
    <w:notTrueType/>
    <w:pitch w:val="default"/>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Helvetica Neue">
    <w:altName w:val="Malgun Gothic"/>
    <w:charset w:val="00"/>
    <w:family w:val="roman"/>
    <w:pitch w:val="default"/>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786DB4" w14:textId="77777777" w:rsidR="006B604D" w:rsidRDefault="006B604D">
      <w:r>
        <w:separator/>
      </w:r>
    </w:p>
  </w:footnote>
  <w:footnote w:type="continuationSeparator" w:id="0">
    <w:p w14:paraId="4B2B900B" w14:textId="77777777" w:rsidR="006B604D" w:rsidRDefault="006B604D">
      <w:r>
        <w:continuationSeparator/>
      </w:r>
    </w:p>
  </w:footnote>
  <w:footnote w:id="1">
    <w:p w14:paraId="16E72CE4" w14:textId="5223C031" w:rsidR="00153386" w:rsidRPr="003765F9" w:rsidRDefault="00153386" w:rsidP="00952ED6">
      <w:pPr>
        <w:pStyle w:val="FootnoteText"/>
        <w:spacing w:after="0"/>
        <w:ind w:firstLine="0"/>
        <w:rPr>
          <w:lang w:val="en-US"/>
        </w:rPr>
      </w:pPr>
      <w:r w:rsidRPr="003765F9">
        <w:rPr>
          <w:rStyle w:val="FootnoteReference"/>
          <w:u w:val="none"/>
        </w:rPr>
        <w:t>*</w:t>
      </w:r>
      <w:r w:rsidRPr="003765F9">
        <w:t xml:space="preserve"> CBD/</w:t>
      </w:r>
      <w:r w:rsidRPr="003765F9">
        <w:rPr>
          <w:lang w:val="en-US"/>
        </w:rPr>
        <w:t>SB</w:t>
      </w:r>
      <w:r>
        <w:rPr>
          <w:lang w:val="en-US"/>
        </w:rPr>
        <w:t>STTA</w:t>
      </w:r>
      <w:r w:rsidRPr="003765F9">
        <w:rPr>
          <w:lang w:val="en-US"/>
        </w:rPr>
        <w:t>/</w:t>
      </w:r>
      <w:r>
        <w:rPr>
          <w:lang w:val="en-US"/>
        </w:rPr>
        <w:t>2</w:t>
      </w:r>
      <w:r w:rsidRPr="003765F9">
        <w:rPr>
          <w:lang w:val="en-US"/>
        </w:rPr>
        <w:t>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lang w:val="fr-CA"/>
      </w:rPr>
      <w:alias w:val="Subject"/>
      <w:tag w:val=""/>
      <w:id w:val="-17928723"/>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14:paraId="4E528C68" w14:textId="5F1A2F86" w:rsidR="00153386" w:rsidRPr="00952ED6" w:rsidRDefault="004623D8" w:rsidP="005440A6">
        <w:pPr>
          <w:pStyle w:val="Header"/>
          <w:tabs>
            <w:tab w:val="clear" w:pos="4320"/>
            <w:tab w:val="clear" w:pos="8640"/>
          </w:tabs>
          <w:jc w:val="left"/>
          <w:rPr>
            <w:noProof/>
            <w:kern w:val="22"/>
            <w:lang w:val="fr-CA"/>
          </w:rPr>
        </w:pPr>
        <w:r>
          <w:rPr>
            <w:noProof/>
            <w:kern w:val="22"/>
            <w:lang w:val="fr-CA"/>
          </w:rPr>
          <w:t>CBD/SBSTTA/22/INF/35</w:t>
        </w:r>
      </w:p>
    </w:sdtContent>
  </w:sdt>
  <w:p w14:paraId="4FE14BD8" w14:textId="31B3D668" w:rsidR="00153386" w:rsidRPr="00952ED6" w:rsidRDefault="00153386" w:rsidP="005440A6">
    <w:pPr>
      <w:pStyle w:val="Header"/>
      <w:tabs>
        <w:tab w:val="clear" w:pos="4320"/>
        <w:tab w:val="clear" w:pos="8640"/>
      </w:tabs>
      <w:jc w:val="left"/>
      <w:rPr>
        <w:noProof/>
        <w:kern w:val="22"/>
        <w:lang w:val="fr-CA"/>
      </w:rPr>
    </w:pPr>
    <w:r w:rsidRPr="00952ED6">
      <w:rPr>
        <w:noProof/>
        <w:kern w:val="22"/>
        <w:lang w:val="fr-CA"/>
      </w:rPr>
      <w:t xml:space="preserve">Page </w:t>
    </w:r>
    <w:r w:rsidRPr="005440A6">
      <w:rPr>
        <w:noProof/>
        <w:kern w:val="22"/>
      </w:rPr>
      <w:fldChar w:fldCharType="begin"/>
    </w:r>
    <w:r w:rsidRPr="00952ED6">
      <w:rPr>
        <w:noProof/>
        <w:kern w:val="22"/>
        <w:lang w:val="fr-CA"/>
      </w:rPr>
      <w:instrText xml:space="preserve"> PAGE   \* MERGEFORMAT </w:instrText>
    </w:r>
    <w:r w:rsidRPr="005440A6">
      <w:rPr>
        <w:noProof/>
        <w:kern w:val="22"/>
      </w:rPr>
      <w:fldChar w:fldCharType="separate"/>
    </w:r>
    <w:r w:rsidR="004623D8">
      <w:rPr>
        <w:noProof/>
        <w:kern w:val="22"/>
        <w:lang w:val="fr-CA"/>
      </w:rPr>
      <w:t>2</w:t>
    </w:r>
    <w:r w:rsidRPr="005440A6">
      <w:rPr>
        <w:noProof/>
        <w:kern w:val="22"/>
      </w:rPr>
      <w:fldChar w:fldCharType="end"/>
    </w:r>
  </w:p>
  <w:p w14:paraId="1127840C" w14:textId="77777777" w:rsidR="00153386" w:rsidRPr="00952ED6" w:rsidRDefault="00153386" w:rsidP="005440A6">
    <w:pPr>
      <w:pStyle w:val="Header"/>
      <w:tabs>
        <w:tab w:val="clear" w:pos="4320"/>
        <w:tab w:val="clear" w:pos="8640"/>
      </w:tabs>
      <w:jc w:val="left"/>
      <w:rPr>
        <w:noProof/>
        <w:kern w:val="22"/>
        <w:lang w:val="fr-C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lang w:val="fr-CA"/>
      </w:rPr>
      <w:alias w:val="Subject"/>
      <w:tag w:val=""/>
      <w:id w:val="1921361348"/>
      <w:placeholder>
        <w:docPart w:val="6A8193A12B42491F9EFE82214EBC85A8"/>
      </w:placeholder>
      <w:dataBinding w:prefixMappings="xmlns:ns0='http://purl.org/dc/elements/1.1/' xmlns:ns1='http://schemas.openxmlformats.org/package/2006/metadata/core-properties' " w:xpath="/ns1:coreProperties[1]/ns0:subject[1]" w:storeItemID="{6C3C8BC8-F283-45AE-878A-BAB7291924A1}"/>
      <w:text/>
    </w:sdtPr>
    <w:sdtEndPr/>
    <w:sdtContent>
      <w:p w14:paraId="3A99DE51" w14:textId="6AF7D9A0" w:rsidR="00153386" w:rsidRPr="00952ED6" w:rsidRDefault="004623D8" w:rsidP="00BE45DE">
        <w:pPr>
          <w:pStyle w:val="Header"/>
          <w:tabs>
            <w:tab w:val="clear" w:pos="4320"/>
            <w:tab w:val="clear" w:pos="8640"/>
          </w:tabs>
          <w:jc w:val="right"/>
          <w:rPr>
            <w:noProof/>
            <w:kern w:val="22"/>
            <w:lang w:val="fr-CA"/>
          </w:rPr>
        </w:pPr>
        <w:r>
          <w:rPr>
            <w:noProof/>
            <w:kern w:val="22"/>
            <w:lang w:val="fr-CA"/>
          </w:rPr>
          <w:t>CBD/SBSTTA/22/INF/35</w:t>
        </w:r>
      </w:p>
    </w:sdtContent>
  </w:sdt>
  <w:p w14:paraId="3BF28A9D" w14:textId="468DEE74" w:rsidR="00153386" w:rsidRPr="00952ED6" w:rsidRDefault="00153386" w:rsidP="005440A6">
    <w:pPr>
      <w:pStyle w:val="Header"/>
      <w:tabs>
        <w:tab w:val="clear" w:pos="4320"/>
        <w:tab w:val="clear" w:pos="8640"/>
      </w:tabs>
      <w:jc w:val="right"/>
      <w:rPr>
        <w:noProof/>
        <w:kern w:val="22"/>
        <w:lang w:val="fr-CA"/>
      </w:rPr>
    </w:pPr>
    <w:r w:rsidRPr="00952ED6">
      <w:rPr>
        <w:noProof/>
        <w:kern w:val="22"/>
        <w:lang w:val="fr-CA"/>
      </w:rPr>
      <w:t xml:space="preserve">Page </w:t>
    </w:r>
    <w:r w:rsidRPr="005440A6">
      <w:rPr>
        <w:noProof/>
        <w:kern w:val="22"/>
      </w:rPr>
      <w:fldChar w:fldCharType="begin"/>
    </w:r>
    <w:r w:rsidRPr="00952ED6">
      <w:rPr>
        <w:noProof/>
        <w:kern w:val="22"/>
        <w:lang w:val="fr-CA"/>
      </w:rPr>
      <w:instrText xml:space="preserve"> PAGE   \* MERGEFORMAT </w:instrText>
    </w:r>
    <w:r w:rsidRPr="005440A6">
      <w:rPr>
        <w:noProof/>
        <w:kern w:val="22"/>
      </w:rPr>
      <w:fldChar w:fldCharType="separate"/>
    </w:r>
    <w:r w:rsidR="004623D8">
      <w:rPr>
        <w:noProof/>
        <w:kern w:val="22"/>
        <w:lang w:val="fr-CA"/>
      </w:rPr>
      <w:t>15</w:t>
    </w:r>
    <w:r w:rsidRPr="005440A6">
      <w:rPr>
        <w:noProof/>
        <w:kern w:val="22"/>
      </w:rPr>
      <w:fldChar w:fldCharType="end"/>
    </w:r>
  </w:p>
  <w:p w14:paraId="62BC83EC" w14:textId="77777777" w:rsidR="00153386" w:rsidRPr="00952ED6" w:rsidRDefault="00153386" w:rsidP="005440A6">
    <w:pPr>
      <w:pStyle w:val="Header"/>
      <w:tabs>
        <w:tab w:val="clear" w:pos="4320"/>
        <w:tab w:val="clear" w:pos="8640"/>
      </w:tabs>
      <w:jc w:val="right"/>
      <w:rPr>
        <w:noProof/>
        <w:kern w:val="22"/>
        <w:lang w:val="fr-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4704A"/>
    <w:multiLevelType w:val="hybridMultilevel"/>
    <w:tmpl w:val="457CFDE6"/>
    <w:lvl w:ilvl="0" w:tplc="C2724A9A">
      <w:start w:val="1"/>
      <w:numFmt w:val="decimal"/>
      <w:lvlText w:val="%1."/>
      <w:lvlJc w:val="left"/>
      <w:pPr>
        <w:ind w:left="360" w:hanging="360"/>
      </w:pPr>
      <w:rPr>
        <w:rFonts w:hint="default"/>
        <w:b w:val="0"/>
        <w:i w:val="0"/>
      </w:r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24F1D93"/>
    <w:multiLevelType w:val="hybridMultilevel"/>
    <w:tmpl w:val="5B449BF2"/>
    <w:lvl w:ilvl="0" w:tplc="C2724A9A">
      <w:start w:val="1"/>
      <w:numFmt w:val="decimal"/>
      <w:lvlText w:val="%1."/>
      <w:lvlJc w:val="left"/>
      <w:pPr>
        <w:ind w:left="360" w:hanging="360"/>
      </w:pPr>
      <w:rPr>
        <w:rFonts w:hint="default"/>
        <w:b w:val="0"/>
        <w:i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A53754C"/>
    <w:multiLevelType w:val="hybridMultilevel"/>
    <w:tmpl w:val="447A7024"/>
    <w:lvl w:ilvl="0" w:tplc="8DE406F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9BD36A9"/>
    <w:multiLevelType w:val="hybridMultilevel"/>
    <w:tmpl w:val="69EC0BB2"/>
    <w:lvl w:ilvl="0" w:tplc="C2724A9A">
      <w:start w:val="1"/>
      <w:numFmt w:val="decimal"/>
      <w:lvlText w:val="%1."/>
      <w:lvlJc w:val="left"/>
      <w:pPr>
        <w:ind w:left="36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5"/>
  </w:num>
  <w:num w:numId="3">
    <w:abstractNumId w:val="3"/>
  </w:num>
  <w:num w:numId="4">
    <w:abstractNumId w:val="5"/>
  </w:num>
  <w:num w:numId="5">
    <w:abstractNumId w:val="4"/>
  </w:num>
  <w:num w:numId="6">
    <w:abstractNumId w:val="1"/>
  </w:num>
  <w:num w:numId="7">
    <w:abstractNumId w:val="0"/>
  </w:num>
  <w:num w:numId="8">
    <w:abstractNumId w:val="6"/>
  </w:num>
  <w:num w:numId="9">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B3B"/>
    <w:rsid w:val="000051DA"/>
    <w:rsid w:val="00011F76"/>
    <w:rsid w:val="000219AC"/>
    <w:rsid w:val="00031D24"/>
    <w:rsid w:val="00037873"/>
    <w:rsid w:val="0004301B"/>
    <w:rsid w:val="00054381"/>
    <w:rsid w:val="000711E1"/>
    <w:rsid w:val="00073708"/>
    <w:rsid w:val="000E637D"/>
    <w:rsid w:val="000E7E6A"/>
    <w:rsid w:val="000F63AB"/>
    <w:rsid w:val="001067CA"/>
    <w:rsid w:val="00116D41"/>
    <w:rsid w:val="0012214B"/>
    <w:rsid w:val="00153386"/>
    <w:rsid w:val="00166367"/>
    <w:rsid w:val="00192E06"/>
    <w:rsid w:val="00193E71"/>
    <w:rsid w:val="00194CDD"/>
    <w:rsid w:val="001A5072"/>
    <w:rsid w:val="001C2142"/>
    <w:rsid w:val="001F3F0B"/>
    <w:rsid w:val="001F6379"/>
    <w:rsid w:val="00204415"/>
    <w:rsid w:val="00207A6E"/>
    <w:rsid w:val="00224B92"/>
    <w:rsid w:val="002357E1"/>
    <w:rsid w:val="0024753A"/>
    <w:rsid w:val="00252897"/>
    <w:rsid w:val="002B0942"/>
    <w:rsid w:val="002C4BDB"/>
    <w:rsid w:val="002E0627"/>
    <w:rsid w:val="003005ED"/>
    <w:rsid w:val="00300B81"/>
    <w:rsid w:val="003210FF"/>
    <w:rsid w:val="00325DE3"/>
    <w:rsid w:val="00331718"/>
    <w:rsid w:val="00336766"/>
    <w:rsid w:val="003765F9"/>
    <w:rsid w:val="003944A3"/>
    <w:rsid w:val="003B095D"/>
    <w:rsid w:val="003B10B9"/>
    <w:rsid w:val="003C113F"/>
    <w:rsid w:val="003E2DAE"/>
    <w:rsid w:val="003F6E44"/>
    <w:rsid w:val="00406BC6"/>
    <w:rsid w:val="0044424E"/>
    <w:rsid w:val="004623D8"/>
    <w:rsid w:val="004B334F"/>
    <w:rsid w:val="004B597A"/>
    <w:rsid w:val="004C0862"/>
    <w:rsid w:val="004C16C7"/>
    <w:rsid w:val="00500530"/>
    <w:rsid w:val="005032C9"/>
    <w:rsid w:val="00516C26"/>
    <w:rsid w:val="005403B1"/>
    <w:rsid w:val="005440A6"/>
    <w:rsid w:val="00581854"/>
    <w:rsid w:val="005955D2"/>
    <w:rsid w:val="005A4284"/>
    <w:rsid w:val="005A72BC"/>
    <w:rsid w:val="005B18CB"/>
    <w:rsid w:val="005D139C"/>
    <w:rsid w:val="005F4C74"/>
    <w:rsid w:val="00606D76"/>
    <w:rsid w:val="006141B9"/>
    <w:rsid w:val="006260D5"/>
    <w:rsid w:val="006507F2"/>
    <w:rsid w:val="006563BE"/>
    <w:rsid w:val="00690847"/>
    <w:rsid w:val="006B074E"/>
    <w:rsid w:val="006B2BD5"/>
    <w:rsid w:val="006B604D"/>
    <w:rsid w:val="006D0E3D"/>
    <w:rsid w:val="006F284C"/>
    <w:rsid w:val="006F7227"/>
    <w:rsid w:val="00702366"/>
    <w:rsid w:val="00714AFF"/>
    <w:rsid w:val="007163BC"/>
    <w:rsid w:val="00730AE3"/>
    <w:rsid w:val="00736BC2"/>
    <w:rsid w:val="007468CF"/>
    <w:rsid w:val="0079325E"/>
    <w:rsid w:val="007B1587"/>
    <w:rsid w:val="007B2652"/>
    <w:rsid w:val="007C2325"/>
    <w:rsid w:val="007C5285"/>
    <w:rsid w:val="007C633B"/>
    <w:rsid w:val="007D3182"/>
    <w:rsid w:val="007E320A"/>
    <w:rsid w:val="00825524"/>
    <w:rsid w:val="0083211E"/>
    <w:rsid w:val="00843FF1"/>
    <w:rsid w:val="00870D40"/>
    <w:rsid w:val="008C013C"/>
    <w:rsid w:val="008C1E35"/>
    <w:rsid w:val="008D5AA2"/>
    <w:rsid w:val="008E5F84"/>
    <w:rsid w:val="008E7500"/>
    <w:rsid w:val="009067F8"/>
    <w:rsid w:val="00922EAD"/>
    <w:rsid w:val="0092794B"/>
    <w:rsid w:val="009315AA"/>
    <w:rsid w:val="00952ED6"/>
    <w:rsid w:val="00953856"/>
    <w:rsid w:val="009554D5"/>
    <w:rsid w:val="009B5E1D"/>
    <w:rsid w:val="009D2F92"/>
    <w:rsid w:val="009E14A6"/>
    <w:rsid w:val="009E2B79"/>
    <w:rsid w:val="00A10051"/>
    <w:rsid w:val="00A20F36"/>
    <w:rsid w:val="00A30DAD"/>
    <w:rsid w:val="00AA014E"/>
    <w:rsid w:val="00AB3AC8"/>
    <w:rsid w:val="00AC1E69"/>
    <w:rsid w:val="00B039A8"/>
    <w:rsid w:val="00B03C77"/>
    <w:rsid w:val="00B12A22"/>
    <w:rsid w:val="00B271A0"/>
    <w:rsid w:val="00B3299A"/>
    <w:rsid w:val="00B56B11"/>
    <w:rsid w:val="00B85F9B"/>
    <w:rsid w:val="00B93B1F"/>
    <w:rsid w:val="00BA1498"/>
    <w:rsid w:val="00BA3233"/>
    <w:rsid w:val="00BC3322"/>
    <w:rsid w:val="00BE37A4"/>
    <w:rsid w:val="00BE45DE"/>
    <w:rsid w:val="00C05456"/>
    <w:rsid w:val="00C076A9"/>
    <w:rsid w:val="00C15BBB"/>
    <w:rsid w:val="00C31FC0"/>
    <w:rsid w:val="00C37FF1"/>
    <w:rsid w:val="00C507CD"/>
    <w:rsid w:val="00C85EA4"/>
    <w:rsid w:val="00C90A2B"/>
    <w:rsid w:val="00C912FE"/>
    <w:rsid w:val="00CA1572"/>
    <w:rsid w:val="00CA6B87"/>
    <w:rsid w:val="00CC2031"/>
    <w:rsid w:val="00CC2296"/>
    <w:rsid w:val="00CC5554"/>
    <w:rsid w:val="00CE51C3"/>
    <w:rsid w:val="00CF4F69"/>
    <w:rsid w:val="00D1000F"/>
    <w:rsid w:val="00D15589"/>
    <w:rsid w:val="00D22AE8"/>
    <w:rsid w:val="00D432AD"/>
    <w:rsid w:val="00D51069"/>
    <w:rsid w:val="00D6396A"/>
    <w:rsid w:val="00D8558E"/>
    <w:rsid w:val="00D8639D"/>
    <w:rsid w:val="00D9537D"/>
    <w:rsid w:val="00DA17AF"/>
    <w:rsid w:val="00DD52CC"/>
    <w:rsid w:val="00DD584C"/>
    <w:rsid w:val="00DE308B"/>
    <w:rsid w:val="00E341D6"/>
    <w:rsid w:val="00E37A7A"/>
    <w:rsid w:val="00E44E4E"/>
    <w:rsid w:val="00E47630"/>
    <w:rsid w:val="00E55B3B"/>
    <w:rsid w:val="00E55E91"/>
    <w:rsid w:val="00EA7525"/>
    <w:rsid w:val="00EC0891"/>
    <w:rsid w:val="00EC1678"/>
    <w:rsid w:val="00EC6948"/>
    <w:rsid w:val="00EE51DB"/>
    <w:rsid w:val="00F13DC0"/>
    <w:rsid w:val="00F14485"/>
    <w:rsid w:val="00F16F02"/>
    <w:rsid w:val="00F26A60"/>
    <w:rsid w:val="00F33352"/>
    <w:rsid w:val="00F465B6"/>
    <w:rsid w:val="00F64CB9"/>
    <w:rsid w:val="00F66CBE"/>
    <w:rsid w:val="00F67181"/>
    <w:rsid w:val="00F77628"/>
    <w:rsid w:val="00F838DD"/>
    <w:rsid w:val="00FB2D28"/>
    <w:rsid w:val="00FB3B70"/>
    <w:rsid w:val="00FC6159"/>
    <w:rsid w:val="00FD061C"/>
    <w:rsid w:val="00FD44B6"/>
    <w:rsid w:val="00FD789C"/>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1458700"/>
  <w15:docId w15:val="{93B1E5C4-3548-41AB-B3F0-879010C73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semiHidden="1" w:uiPriority="59" w:unhideWhenUsed="1"/>
    <w:lsdException w:name="Table Theme" w:locked="1" w:semiHidden="1" w:unhideWhenUsed="1"/>
    <w:lsdException w:name="Placeholder Text"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0"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ind w:firstLine="720"/>
      <w:jc w:val="right"/>
    </w:pPr>
  </w:style>
  <w:style w:type="paragraph" w:customStyle="1" w:styleId="Para1">
    <w:name w:val="Para1"/>
    <w:basedOn w:val="Normal"/>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Pr>
      <w:sz w:val="16"/>
    </w:rPr>
  </w:style>
  <w:style w:type="paragraph" w:styleId="CommentText">
    <w:name w:val="annotation text"/>
    <w:basedOn w:val="Normal"/>
    <w:link w:val="CommentTextChar"/>
    <w:uiPriority w:val="99"/>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uiPriority w:val="39"/>
    <w:pPr>
      <w:ind w:left="720" w:hanging="720"/>
    </w:pPr>
    <w:rPr>
      <w:caps/>
    </w:rPr>
  </w:style>
  <w:style w:type="paragraph" w:styleId="TOC2">
    <w:name w:val="toc 2"/>
    <w:basedOn w:val="Normal"/>
    <w:next w:val="Normal"/>
    <w:autoRedefine/>
    <w:uiPriority w:val="39"/>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uiPriority w:val="99"/>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nhideWhenUsed/>
    <w:rsid w:val="00406BC6"/>
    <w:rPr>
      <w:color w:val="0000FF"/>
      <w:u w:val="single"/>
    </w:rPr>
  </w:style>
  <w:style w:type="character" w:styleId="EndnoteReference">
    <w:name w:val="endnote reference"/>
    <w:uiPriority w:val="99"/>
    <w:semiHidden/>
    <w:rPr>
      <w:vertAlign w:val="superscript"/>
    </w:rPr>
  </w:style>
  <w:style w:type="paragraph" w:styleId="EndnoteText">
    <w:name w:val="endnote text"/>
    <w:basedOn w:val="Normal"/>
    <w:link w:val="EndnoteTextChar"/>
    <w:uiPriority w:val="99"/>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0051DA"/>
    <w:rPr>
      <w:b/>
      <w:caps/>
      <w:sz w:val="22"/>
      <w:szCs w:val="24"/>
      <w:lang w:val="en-GB"/>
    </w:rPr>
  </w:style>
  <w:style w:type="character" w:customStyle="1" w:styleId="Heading2Char">
    <w:name w:val="Heading 2 Char"/>
    <w:basedOn w:val="DefaultParagraphFont"/>
    <w:link w:val="Heading2"/>
    <w:uiPriority w:val="9"/>
    <w:rsid w:val="000051DA"/>
    <w:rPr>
      <w:b/>
      <w:bCs/>
      <w:iCs/>
      <w:sz w:val="22"/>
      <w:szCs w:val="24"/>
      <w:lang w:val="en-GB"/>
    </w:rPr>
  </w:style>
  <w:style w:type="paragraph" w:customStyle="1" w:styleId="Default">
    <w:name w:val="Default"/>
    <w:rsid w:val="000051DA"/>
    <w:pPr>
      <w:widowControl w:val="0"/>
      <w:autoSpaceDE w:val="0"/>
      <w:autoSpaceDN w:val="0"/>
      <w:adjustRightInd w:val="0"/>
    </w:pPr>
    <w:rPr>
      <w:rFonts w:ascii="Photina MT" w:eastAsia="MS ??" w:hAnsi="Photina MT" w:cs="Photina MT"/>
      <w:color w:val="000000"/>
      <w:sz w:val="24"/>
      <w:szCs w:val="24"/>
      <w:lang w:val="en-US"/>
    </w:rPr>
  </w:style>
  <w:style w:type="character" w:customStyle="1" w:styleId="HeaderChar">
    <w:name w:val="Header Char"/>
    <w:basedOn w:val="DefaultParagraphFont"/>
    <w:link w:val="Header"/>
    <w:uiPriority w:val="99"/>
    <w:rsid w:val="000051DA"/>
    <w:rPr>
      <w:sz w:val="22"/>
      <w:szCs w:val="24"/>
      <w:lang w:val="en-GB"/>
    </w:rPr>
  </w:style>
  <w:style w:type="character" w:customStyle="1" w:styleId="FooterChar">
    <w:name w:val="Footer Char"/>
    <w:basedOn w:val="DefaultParagraphFont"/>
    <w:link w:val="Footer"/>
    <w:uiPriority w:val="99"/>
    <w:rsid w:val="000051DA"/>
    <w:rPr>
      <w:sz w:val="22"/>
      <w:szCs w:val="24"/>
      <w:lang w:val="en-GB"/>
    </w:rPr>
  </w:style>
  <w:style w:type="paragraph" w:customStyle="1" w:styleId="Fodnote">
    <w:name w:val="Fodnote"/>
    <w:basedOn w:val="FootnoteText"/>
    <w:link w:val="FodnoteTegn"/>
    <w:uiPriority w:val="99"/>
    <w:rsid w:val="000051DA"/>
    <w:pPr>
      <w:keepLines w:val="0"/>
      <w:spacing w:after="0"/>
    </w:pPr>
    <w:rPr>
      <w:sz w:val="20"/>
      <w:szCs w:val="20"/>
      <w:lang w:eastAsia="ja-JP"/>
    </w:rPr>
  </w:style>
  <w:style w:type="character" w:customStyle="1" w:styleId="FodnoteTegn">
    <w:name w:val="Fodnote Tegn"/>
    <w:link w:val="Fodnote"/>
    <w:uiPriority w:val="99"/>
    <w:locked/>
    <w:rsid w:val="000051DA"/>
    <w:rPr>
      <w:lang w:val="en-GB" w:eastAsia="ja-JP"/>
    </w:rPr>
  </w:style>
  <w:style w:type="paragraph" w:styleId="NoSpacing">
    <w:name w:val="No Spacing"/>
    <w:uiPriority w:val="1"/>
    <w:qFormat/>
    <w:rsid w:val="000051DA"/>
    <w:rPr>
      <w:rFonts w:ascii="Calibri" w:eastAsia="Calibri" w:hAnsi="Calibri"/>
      <w:sz w:val="22"/>
      <w:szCs w:val="22"/>
      <w:lang w:val="en-GB"/>
    </w:rPr>
  </w:style>
  <w:style w:type="character" w:customStyle="1" w:styleId="Alaviitteenviite1">
    <w:name w:val="Alaviitteen viite1"/>
    <w:autoRedefine/>
    <w:rsid w:val="000051DA"/>
    <w:rPr>
      <w:color w:val="000000"/>
      <w:sz w:val="22"/>
      <w:vertAlign w:val="superscript"/>
    </w:rPr>
  </w:style>
  <w:style w:type="paragraph" w:customStyle="1" w:styleId="Alaviitteenteksti1">
    <w:name w:val="Alaviitteen teksti1"/>
    <w:rsid w:val="000051DA"/>
    <w:pPr>
      <w:spacing w:after="200"/>
    </w:pPr>
    <w:rPr>
      <w:rFonts w:ascii="Lucida Grande" w:eastAsia="ヒラギノ角ゴ Pro W3" w:hAnsi="Lucida Grande"/>
      <w:color w:val="000000"/>
      <w:lang w:val="en-US"/>
    </w:rPr>
  </w:style>
  <w:style w:type="paragraph" w:styleId="NormalWeb">
    <w:name w:val="Normal (Web)"/>
    <w:basedOn w:val="Normal"/>
    <w:uiPriority w:val="99"/>
    <w:unhideWhenUsed/>
    <w:rsid w:val="000051DA"/>
    <w:pPr>
      <w:jc w:val="left"/>
    </w:pPr>
    <w:rPr>
      <w:sz w:val="24"/>
      <w:lang w:val="it-IT" w:eastAsia="it-IT"/>
    </w:rPr>
  </w:style>
  <w:style w:type="paragraph" w:customStyle="1" w:styleId="FootnoteText3">
    <w:name w:val="Footnote Text3"/>
    <w:autoRedefine/>
    <w:uiPriority w:val="99"/>
    <w:rsid w:val="000051DA"/>
    <w:pPr>
      <w:ind w:left="198" w:hanging="198"/>
      <w:jc w:val="both"/>
    </w:pPr>
    <w:rPr>
      <w:rFonts w:eastAsia="?????? Pro W3"/>
      <w:color w:val="000000"/>
      <w:lang w:val="fr-FR" w:eastAsia="en-GB"/>
    </w:rPr>
  </w:style>
  <w:style w:type="paragraph" w:customStyle="1" w:styleId="Normal1">
    <w:name w:val="Normal1"/>
    <w:rsid w:val="000051DA"/>
    <w:rPr>
      <w:rFonts w:ascii="Cambria" w:eastAsia="Calibri" w:hAnsi="Cambria" w:cs="Cambria"/>
      <w:color w:val="000000"/>
      <w:sz w:val="24"/>
      <w:lang w:val="en-US"/>
    </w:rPr>
  </w:style>
  <w:style w:type="paragraph" w:customStyle="1" w:styleId="Mainbodytext10ptConst">
    <w:name w:val="Main body text (10pt Const)"/>
    <w:basedOn w:val="Normal"/>
    <w:qFormat/>
    <w:rsid w:val="005B18CB"/>
    <w:pPr>
      <w:jc w:val="left"/>
    </w:pPr>
    <w:rPr>
      <w:rFonts w:ascii="Constantia" w:eastAsia="Cambria" w:hAnsi="Constantia"/>
    </w:rPr>
  </w:style>
  <w:style w:type="character" w:customStyle="1" w:styleId="EndnoteTextChar">
    <w:name w:val="Endnote Text Char"/>
    <w:basedOn w:val="DefaultParagraphFont"/>
    <w:link w:val="EndnoteText"/>
    <w:uiPriority w:val="99"/>
    <w:semiHidden/>
    <w:rsid w:val="005B18CB"/>
    <w:rPr>
      <w:rFonts w:ascii="Courier New" w:hAnsi="Courier New"/>
      <w:sz w:val="22"/>
      <w:szCs w:val="24"/>
      <w:lang w:val="en-GB"/>
    </w:rPr>
  </w:style>
  <w:style w:type="character" w:customStyle="1" w:styleId="highwire-citation-author">
    <w:name w:val="highwire-citation-author"/>
    <w:basedOn w:val="DefaultParagraphFont"/>
    <w:rsid w:val="005B18CB"/>
  </w:style>
  <w:style w:type="character" w:customStyle="1" w:styleId="nlm-given-names">
    <w:name w:val="nlm-given-names"/>
    <w:basedOn w:val="DefaultParagraphFont"/>
    <w:rsid w:val="005B18CB"/>
  </w:style>
  <w:style w:type="character" w:customStyle="1" w:styleId="nlm-surname">
    <w:name w:val="nlm-surname"/>
    <w:basedOn w:val="DefaultParagraphFont"/>
    <w:rsid w:val="005B18CB"/>
  </w:style>
  <w:style w:type="character" w:customStyle="1" w:styleId="highwire-cite-metadata-journal">
    <w:name w:val="highwire-cite-metadata-journal"/>
    <w:basedOn w:val="DefaultParagraphFont"/>
    <w:rsid w:val="005B18CB"/>
  </w:style>
  <w:style w:type="character" w:customStyle="1" w:styleId="highwire-cite-metadata-date">
    <w:name w:val="highwire-cite-metadata-date"/>
    <w:basedOn w:val="DefaultParagraphFont"/>
    <w:rsid w:val="005B18CB"/>
  </w:style>
  <w:style w:type="character" w:customStyle="1" w:styleId="highwire-cite-metadata-volume">
    <w:name w:val="highwire-cite-metadata-volume"/>
    <w:basedOn w:val="DefaultParagraphFont"/>
    <w:rsid w:val="005B18CB"/>
  </w:style>
  <w:style w:type="character" w:customStyle="1" w:styleId="highwire-cite-metadata-issue">
    <w:name w:val="highwire-cite-metadata-issue"/>
    <w:basedOn w:val="DefaultParagraphFont"/>
    <w:rsid w:val="005B18CB"/>
  </w:style>
  <w:style w:type="character" w:customStyle="1" w:styleId="highwire-cite-metadata-pages">
    <w:name w:val="highwire-cite-metadata-pages"/>
    <w:basedOn w:val="DefaultParagraphFont"/>
    <w:rsid w:val="005B18CB"/>
  </w:style>
  <w:style w:type="character" w:customStyle="1" w:styleId="highwire-cite-metadata-doi">
    <w:name w:val="highwire-cite-metadata-doi"/>
    <w:basedOn w:val="DefaultParagraphFont"/>
    <w:rsid w:val="005B18CB"/>
  </w:style>
  <w:style w:type="character" w:customStyle="1" w:styleId="label">
    <w:name w:val="label"/>
    <w:basedOn w:val="DefaultParagraphFont"/>
    <w:rsid w:val="005B18CB"/>
  </w:style>
  <w:style w:type="character" w:customStyle="1" w:styleId="nlmyear">
    <w:name w:val="nlm_year"/>
    <w:basedOn w:val="DefaultParagraphFont"/>
    <w:rsid w:val="005B18CB"/>
  </w:style>
  <w:style w:type="character" w:customStyle="1" w:styleId="nlmarticle-title">
    <w:name w:val="nlm_article-title"/>
    <w:basedOn w:val="DefaultParagraphFont"/>
    <w:rsid w:val="005B18CB"/>
  </w:style>
  <w:style w:type="paragraph" w:styleId="TOCHeading">
    <w:name w:val="TOC Heading"/>
    <w:basedOn w:val="Heading1"/>
    <w:next w:val="Normal"/>
    <w:uiPriority w:val="39"/>
    <w:unhideWhenUsed/>
    <w:qFormat/>
    <w:rsid w:val="005B18CB"/>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rPr>
  </w:style>
  <w:style w:type="character" w:customStyle="1" w:styleId="Hyperlink2">
    <w:name w:val="Hyperlink.2"/>
    <w:rsid w:val="001F3F0B"/>
    <w:rPr>
      <w:rFonts w:ascii="Arial" w:hAnsi="Arial"/>
      <w:lang w:val="en-US"/>
    </w:rPr>
  </w:style>
  <w:style w:type="character" w:customStyle="1" w:styleId="None">
    <w:name w:val="None"/>
    <w:rsid w:val="001F3F0B"/>
  </w:style>
  <w:style w:type="paragraph" w:customStyle="1" w:styleId="Body">
    <w:name w:val="Body"/>
    <w:rsid w:val="001F3F0B"/>
    <w:pPr>
      <w:pBdr>
        <w:top w:val="nil"/>
        <w:left w:val="nil"/>
        <w:bottom w:val="nil"/>
        <w:right w:val="nil"/>
        <w:between w:val="nil"/>
        <w:bar w:val="nil"/>
      </w:pBdr>
      <w:spacing w:after="160" w:line="259" w:lineRule="auto"/>
    </w:pPr>
    <w:rPr>
      <w:rFonts w:ascii="Calibri" w:eastAsia="Calibri" w:hAnsi="Calibri" w:cs="Calibri"/>
      <w:color w:val="000000"/>
      <w:sz w:val="22"/>
      <w:szCs w:val="22"/>
      <w:u w:color="000000"/>
      <w:bdr w:val="nil"/>
      <w:lang w:val="en-US" w:eastAsia="en-GB"/>
    </w:rPr>
  </w:style>
  <w:style w:type="paragraph" w:customStyle="1" w:styleId="HeaderFooter">
    <w:name w:val="Header &amp; Footer"/>
    <w:rsid w:val="001F3F0B"/>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lang w:val="en-GB" w:eastAsia="en-GB"/>
    </w:rPr>
  </w:style>
  <w:style w:type="character" w:styleId="Strong">
    <w:name w:val="Strong"/>
    <w:basedOn w:val="DefaultParagraphFont"/>
    <w:uiPriority w:val="22"/>
    <w:qFormat/>
    <w:rsid w:val="001F3F0B"/>
    <w:rPr>
      <w:b/>
      <w:bCs/>
    </w:rPr>
  </w:style>
  <w:style w:type="paragraph" w:customStyle="1" w:styleId="BodyA">
    <w:name w:val="Body A"/>
    <w:rsid w:val="001F3F0B"/>
    <w:pPr>
      <w:pBdr>
        <w:top w:val="nil"/>
        <w:left w:val="nil"/>
        <w:bottom w:val="nil"/>
        <w:right w:val="nil"/>
        <w:between w:val="nil"/>
        <w:bar w:val="nil"/>
      </w:pBdr>
      <w:spacing w:after="160" w:line="259" w:lineRule="auto"/>
    </w:pPr>
    <w:rPr>
      <w:rFonts w:ascii="Calibri" w:eastAsia="Calibri" w:hAnsi="Calibri" w:cs="Calibri"/>
      <w:color w:val="000000"/>
      <w:sz w:val="22"/>
      <w:szCs w:val="22"/>
      <w:u w:color="000000"/>
      <w:bdr w:val="nil"/>
      <w:lang w:val="en-US" w:eastAsia="en-GB"/>
    </w:rPr>
  </w:style>
  <w:style w:type="paragraph" w:styleId="HTMLPreformatted">
    <w:name w:val="HTML Preformatted"/>
    <w:link w:val="HTMLPreformattedChar"/>
    <w:rsid w:val="001F3F0B"/>
    <w:pPr>
      <w:pBdr>
        <w:top w:val="nil"/>
        <w:left w:val="nil"/>
        <w:bottom w:val="nil"/>
        <w:right w:val="nil"/>
        <w:between w:val="nil"/>
        <w:bar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Arial Unicode MS" w:hAnsi="Courier New" w:cs="Arial Unicode MS"/>
      <w:color w:val="000000"/>
      <w:u w:color="000000"/>
      <w:bdr w:val="nil"/>
      <w:lang w:val="en-US" w:eastAsia="en-GB"/>
    </w:rPr>
  </w:style>
  <w:style w:type="character" w:customStyle="1" w:styleId="HTMLPreformattedChar">
    <w:name w:val="HTML Preformatted Char"/>
    <w:basedOn w:val="DefaultParagraphFont"/>
    <w:link w:val="HTMLPreformatted"/>
    <w:rsid w:val="001F3F0B"/>
    <w:rPr>
      <w:rFonts w:ascii="Courier New" w:eastAsia="Arial Unicode MS" w:hAnsi="Courier New" w:cs="Arial Unicode MS"/>
      <w:color w:val="000000"/>
      <w:u w:color="000000"/>
      <w:bdr w:val="nil"/>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111/conl.1232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11/conl.12158"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PlaceholderText"/>
            </w:rPr>
            <w:t>[Title]</w:t>
          </w:r>
        </w:p>
      </w:docPartBody>
    </w:docPart>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6A8193A12B42491F9EFE82214EBC85A8"/>
        <w:category>
          <w:name w:val="General"/>
          <w:gallery w:val="placeholder"/>
        </w:category>
        <w:types>
          <w:type w:val="bbPlcHdr"/>
        </w:types>
        <w:behaviors>
          <w:behavior w:val="content"/>
        </w:behaviors>
        <w:guid w:val="{D3911701-6623-448F-813C-00DCE7EA9334}"/>
      </w:docPartPr>
      <w:docPartBody>
        <w:p w:rsidR="0037757D" w:rsidRDefault="001B29AF">
          <w:r w:rsidRPr="00B903A7">
            <w:rPr>
              <w:rStyle w:val="PlaceholderText"/>
            </w:rPr>
            <w:t>[Subject]</w:t>
          </w:r>
        </w:p>
      </w:docPartBody>
    </w:docPart>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PlaceholderText"/>
            </w:rPr>
            <w:t>[Subject]</w:t>
          </w:r>
        </w:p>
      </w:docPartBody>
    </w:docPart>
    <w:docPart>
      <w:docPartPr>
        <w:name w:val="DefaultPlaceholder_1082065158"/>
        <w:category>
          <w:name w:val="General"/>
          <w:gallery w:val="placeholder"/>
        </w:category>
        <w:types>
          <w:type w:val="bbPlcHdr"/>
        </w:types>
        <w:behaviors>
          <w:behavior w:val="content"/>
        </w:behaviors>
        <w:guid w:val="{B3C7E780-0CB4-4E4C-8A86-B91D13ADBF45}"/>
      </w:docPartPr>
      <w:docPartBody>
        <w:p w:rsidR="00D5481D" w:rsidRDefault="00015BC6">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MS Mincho">
    <w:altName w:val="ＭＳ 明朝"/>
    <w:panose1 w:val="02020609040205080304"/>
    <w:charset w:val="80"/>
    <w:family w:val="modern"/>
    <w:pitch w:val="fixed"/>
    <w:sig w:usb0="E00002FF" w:usb1="6AC7FDFB" w:usb2="00000012" w:usb3="00000000" w:csb0="0002009F" w:csb1="00000000"/>
  </w:font>
  <w:font w:name="Photina MT">
    <w:altName w:val="Cambria"/>
    <w:panose1 w:val="00000000000000000000"/>
    <w:charset w:val="4D"/>
    <w:family w:val="roman"/>
    <w:notTrueType/>
    <w:pitch w:val="default"/>
    <w:sig w:usb0="00000003" w:usb1="00000000" w:usb2="00000000" w:usb3="00000000" w:csb0="00000001" w:csb1="00000000"/>
  </w:font>
  <w:font w:name="MS ??">
    <w:altName w:val="MS Mincho"/>
    <w:charset w:val="80"/>
    <w:family w:val="auto"/>
    <w:pitch w:val="variable"/>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Lucida Grande">
    <w:altName w:val="Segoe UI"/>
    <w:charset w:val="00"/>
    <w:family w:val="swiss"/>
    <w:pitch w:val="variable"/>
    <w:sig w:usb0="00000000" w:usb1="5000A1FF" w:usb2="00000000" w:usb3="00000000" w:csb0="000001BF" w:csb1="00000000"/>
  </w:font>
  <w:font w:name="ヒラギノ角ゴ Pro W3">
    <w:altName w:val="Yu Gothic"/>
    <w:charset w:val="80"/>
    <w:family w:val="swiss"/>
    <w:pitch w:val="variable"/>
    <w:sig w:usb0="E00002FF" w:usb1="7AC7FFFF" w:usb2="00000012" w:usb3="00000000" w:csb0="0002000D" w:csb1="00000000"/>
  </w:font>
  <w:font w:name="?????? Pro W3">
    <w:panose1 w:val="00000000000000000000"/>
    <w:charset w:val="4D"/>
    <w:family w:val="roman"/>
    <w:notTrueType/>
    <w:pitch w:val="default"/>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Helvetica Neue">
    <w:altName w:val="Malgun Gothic"/>
    <w:charset w:val="00"/>
    <w:family w:val="roman"/>
    <w:pitch w:val="default"/>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9AF"/>
    <w:rsid w:val="00015BC6"/>
    <w:rsid w:val="001B29AF"/>
    <w:rsid w:val="0037757D"/>
    <w:rsid w:val="004311DE"/>
    <w:rsid w:val="00451096"/>
    <w:rsid w:val="004A69EC"/>
    <w:rsid w:val="004C15CD"/>
    <w:rsid w:val="004C45FD"/>
    <w:rsid w:val="005477D2"/>
    <w:rsid w:val="007E501A"/>
    <w:rsid w:val="0083264A"/>
    <w:rsid w:val="009B5B3B"/>
    <w:rsid w:val="00A27574"/>
    <w:rsid w:val="00B055EC"/>
    <w:rsid w:val="00B36C7B"/>
    <w:rsid w:val="00BB2CFE"/>
    <w:rsid w:val="00CA471E"/>
    <w:rsid w:val="00CE7362"/>
    <w:rsid w:val="00D5481D"/>
    <w:rsid w:val="00D62315"/>
    <w:rsid w:val="00E5573B"/>
    <w:rsid w:val="00E631F2"/>
    <w:rsid w:val="00EC17B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9B5B3B"/>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 w:type="paragraph" w:customStyle="1" w:styleId="69FEBE6DD05D40D8B566883D7017B869">
    <w:name w:val="69FEBE6DD05D40D8B566883D7017B869"/>
    <w:rsid w:val="00E5573B"/>
  </w:style>
  <w:style w:type="paragraph" w:customStyle="1" w:styleId="9D9CDFEAA8F14D3688BE08683417A7F5">
    <w:name w:val="9D9CDFEAA8F14D3688BE08683417A7F5"/>
    <w:rsid w:val="009B5B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335B88-F466-4AB5-A2BB-18D937F89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16</Pages>
  <Words>6629</Words>
  <Characters>37788</Characters>
  <Application>Microsoft Office Word</Application>
  <DocSecurity>4</DocSecurity>
  <Lines>314</Lines>
  <Paragraphs>88</Paragraphs>
  <ScaleCrop>false</ScaleCrop>
  <HeadingPairs>
    <vt:vector size="2" baseType="variant">
      <vt:variant>
        <vt:lpstr>Title</vt:lpstr>
      </vt:variant>
      <vt:variant>
        <vt:i4>1</vt:i4>
      </vt:variant>
    </vt:vector>
  </HeadingPairs>
  <TitlesOfParts>
    <vt:vector size="1" baseType="lpstr">
      <vt:lpstr>Effective use of knowledge in developing the post-2020 global biodiversity Framework</vt:lpstr>
    </vt:vector>
  </TitlesOfParts>
  <Company>Biodiversity</Company>
  <LinksUpToDate>false</LinksUpToDate>
  <CharactersWithSpaces>44329</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Literature-based assessment and lessons learnt analysis of progress towards the Aichi Targets - input to SBSTTA 22/COP14</dc:title>
  <dc:subject>CBD/SBSTTA/22/INF/35</dc:subject>
  <dc:creator>SCBD</dc:creator>
  <cp:lastModifiedBy>veronique lefebvre</cp:lastModifiedBy>
  <cp:revision>2</cp:revision>
  <cp:lastPrinted>2018-05-29T15:31:00Z</cp:lastPrinted>
  <dcterms:created xsi:type="dcterms:W3CDTF">2018-06-26T16:25:00Z</dcterms:created>
  <dcterms:modified xsi:type="dcterms:W3CDTF">2018-06-26T16:25:00Z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SUBSIDIARY BODY ON Scientific Technical and Technological Advice</vt:lpwstr>
  </property>
</Properties>
</file>