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B2CB" w14:textId="77777777" w:rsidR="00134846" w:rsidRPr="00752D29" w:rsidRDefault="0038595E" w:rsidP="00B413D6">
      <w:pPr>
        <w:pStyle w:val="meetingname"/>
        <w:suppressLineNumbers/>
        <w:suppressAutoHyphens/>
        <w:spacing w:before="240" w:after="240"/>
        <w:ind w:left="284" w:right="108" w:hanging="284"/>
        <w:jc w:val="center"/>
        <w:rPr>
          <w:b/>
          <w:kern w:val="22"/>
        </w:rPr>
      </w:pPr>
      <w:bookmarkStart w:id="0" w:name="_GoBack"/>
      <w:bookmarkEnd w:id="0"/>
      <w:r w:rsidRPr="00752D29">
        <w:rPr>
          <w:b/>
          <w:kern w:val="22"/>
        </w:rPr>
        <w:t xml:space="preserve">Thematic Workshop on </w:t>
      </w:r>
      <w:r w:rsidR="009F4C72" w:rsidRPr="00752D29">
        <w:rPr>
          <w:b/>
          <w:kern w:val="22"/>
        </w:rPr>
        <w:t>sustainable use</w:t>
      </w:r>
      <w:r w:rsidRPr="00752D29">
        <w:rPr>
          <w:b/>
          <w:kern w:val="22"/>
        </w:rPr>
        <w:t xml:space="preserve"> </w:t>
      </w:r>
      <w:r w:rsidR="009F4C72" w:rsidRPr="00752D29">
        <w:rPr>
          <w:b/>
          <w:kern w:val="22"/>
        </w:rPr>
        <w:t xml:space="preserve">of biological diversity </w:t>
      </w:r>
      <w:r w:rsidRPr="00752D29">
        <w:rPr>
          <w:b/>
          <w:kern w:val="22"/>
        </w:rPr>
        <w:t>for the Post</w:t>
      </w:r>
      <w:r w:rsidR="00386B70" w:rsidRPr="00752D29">
        <w:rPr>
          <w:b/>
          <w:kern w:val="22"/>
        </w:rPr>
        <w:noBreakHyphen/>
      </w:r>
      <w:r w:rsidRPr="00752D29">
        <w:rPr>
          <w:b/>
          <w:kern w:val="22"/>
        </w:rPr>
        <w:t>2020 Global Biodiversity Framework</w:t>
      </w:r>
    </w:p>
    <w:p w14:paraId="4A8EE8B1" w14:textId="5CD9C35B" w:rsidR="00134846" w:rsidRPr="00752D29" w:rsidRDefault="00827B7B" w:rsidP="00B413D6">
      <w:pPr>
        <w:suppressLineNumbers/>
        <w:suppressAutoHyphens/>
        <w:ind w:left="284" w:right="106" w:hanging="284"/>
        <w:jc w:val="center"/>
        <w:rPr>
          <w:snapToGrid w:val="0"/>
          <w:kern w:val="22"/>
          <w:szCs w:val="22"/>
          <w:lang w:eastAsia="nb-NO"/>
        </w:rPr>
      </w:pPr>
      <w:r w:rsidRPr="00752D29">
        <w:rPr>
          <w:snapToGrid w:val="0"/>
          <w:kern w:val="22"/>
          <w:szCs w:val="22"/>
          <w:lang w:eastAsia="nb-NO"/>
        </w:rPr>
        <w:t xml:space="preserve">Bern, </w:t>
      </w:r>
      <w:r w:rsidR="00B97D11" w:rsidRPr="00752D29">
        <w:rPr>
          <w:snapToGrid w:val="0"/>
          <w:kern w:val="22"/>
          <w:szCs w:val="22"/>
          <w:lang w:eastAsia="nb-NO"/>
        </w:rPr>
        <w:t>30 March</w:t>
      </w:r>
      <w:r w:rsidRPr="00752D29">
        <w:rPr>
          <w:snapToGrid w:val="0"/>
          <w:kern w:val="22"/>
          <w:szCs w:val="22"/>
          <w:lang w:eastAsia="nb-NO"/>
        </w:rPr>
        <w:t xml:space="preserve"> – 1 </w:t>
      </w:r>
      <w:r w:rsidR="00B97D11" w:rsidRPr="00752D29">
        <w:rPr>
          <w:snapToGrid w:val="0"/>
          <w:kern w:val="22"/>
          <w:szCs w:val="22"/>
          <w:lang w:eastAsia="nb-NO"/>
        </w:rPr>
        <w:t>April</w:t>
      </w:r>
      <w:r w:rsidRPr="00752D29">
        <w:rPr>
          <w:snapToGrid w:val="0"/>
          <w:kern w:val="22"/>
          <w:szCs w:val="22"/>
          <w:lang w:eastAsia="nb-NO"/>
        </w:rPr>
        <w:t xml:space="preserve"> 2020</w:t>
      </w:r>
    </w:p>
    <w:p w14:paraId="6781AB0F" w14:textId="292850D4" w:rsidR="009F4C72" w:rsidRPr="00B413D6" w:rsidRDefault="0038595E" w:rsidP="00B413D6">
      <w:pPr>
        <w:suppressLineNumbers/>
        <w:suppressAutoHyphens/>
        <w:spacing w:before="120" w:after="240"/>
        <w:jc w:val="center"/>
        <w:rPr>
          <w:b/>
          <w:caps/>
          <w:kern w:val="22"/>
        </w:rPr>
      </w:pPr>
      <w:r w:rsidRPr="00B413D6">
        <w:rPr>
          <w:rStyle w:val="Heading2Char"/>
          <w:kern w:val="22"/>
        </w:rPr>
        <w:t>CONCEPT NOTE</w:t>
      </w:r>
    </w:p>
    <w:p w14:paraId="748C59B4" w14:textId="0AB19588" w:rsidR="009F4C72" w:rsidRPr="00B413D6" w:rsidRDefault="00DB6843" w:rsidP="00B413D6">
      <w:pPr>
        <w:pStyle w:val="Para1"/>
        <w:numPr>
          <w:ilvl w:val="0"/>
          <w:numId w:val="0"/>
        </w:numPr>
        <w:suppressLineNumbers/>
        <w:suppressAutoHyphens/>
        <w:ind w:firstLine="720"/>
        <w:rPr>
          <w:kern w:val="22"/>
        </w:rPr>
      </w:pPr>
      <w:r w:rsidRPr="00B413D6">
        <w:rPr>
          <w:kern w:val="22"/>
        </w:rPr>
        <w:t>Sustainable use of biological diversity is one of the three objectives of the Convention</w:t>
      </w:r>
      <w:r w:rsidR="008A3B76" w:rsidRPr="00B413D6">
        <w:rPr>
          <w:kern w:val="22"/>
        </w:rPr>
        <w:t xml:space="preserve"> on Biological Diversity</w:t>
      </w:r>
      <w:r w:rsidRPr="00B413D6">
        <w:rPr>
          <w:kern w:val="22"/>
        </w:rPr>
        <w:t xml:space="preserve">, and </w:t>
      </w:r>
      <w:r w:rsidR="008A3B76" w:rsidRPr="00B413D6">
        <w:rPr>
          <w:kern w:val="22"/>
        </w:rPr>
        <w:t>d</w:t>
      </w:r>
      <w:r w:rsidRPr="00B413D6">
        <w:rPr>
          <w:kern w:val="22"/>
        </w:rPr>
        <w:t xml:space="preserve">ecision V/24 frames sustainable use as </w:t>
      </w:r>
      <w:r w:rsidR="00166E2B" w:rsidRPr="00B413D6">
        <w:rPr>
          <w:kern w:val="22"/>
        </w:rPr>
        <w:t xml:space="preserve">a </w:t>
      </w:r>
      <w:r w:rsidRPr="00B413D6">
        <w:rPr>
          <w:kern w:val="22"/>
        </w:rPr>
        <w:t xml:space="preserve">cross-cutting issue. Sustainable use is also defined as an effective tool to combat poverty, to achieve sustainable development </w:t>
      </w:r>
      <w:r w:rsidR="0078606E" w:rsidRPr="00B413D6">
        <w:rPr>
          <w:kern w:val="22"/>
        </w:rPr>
        <w:t xml:space="preserve">also through supporting implementation of 2030 Sustainable Development Agenda and its goals, </w:t>
      </w:r>
      <w:r w:rsidRPr="00B413D6">
        <w:rPr>
          <w:kern w:val="22"/>
        </w:rPr>
        <w:t xml:space="preserve">and is reflected in the 2050 Vision: “By 2050, biodiversity is valued, conserved, restored and </w:t>
      </w:r>
      <w:r w:rsidRPr="00B413D6">
        <w:rPr>
          <w:b/>
          <w:kern w:val="22"/>
        </w:rPr>
        <w:t>wisely used</w:t>
      </w:r>
      <w:r w:rsidRPr="00B413D6">
        <w:rPr>
          <w:kern w:val="22"/>
        </w:rPr>
        <w:t>, maintaining ecosystem services, sustaining a healthy planet and delivering benefits essential for all people.”</w:t>
      </w:r>
    </w:p>
    <w:p w14:paraId="475A46E0" w14:textId="59C244F1" w:rsidR="00FC06D5" w:rsidRPr="00B413D6" w:rsidRDefault="00FC06D5" w:rsidP="00B413D6">
      <w:pPr>
        <w:pStyle w:val="Para1"/>
        <w:numPr>
          <w:ilvl w:val="0"/>
          <w:numId w:val="0"/>
        </w:numPr>
        <w:suppressLineNumbers/>
        <w:suppressAutoHyphens/>
        <w:ind w:firstLine="720"/>
        <w:rPr>
          <w:kern w:val="22"/>
        </w:rPr>
      </w:pPr>
      <w:r w:rsidRPr="00B413D6">
        <w:rPr>
          <w:kern w:val="22"/>
        </w:rPr>
        <w:t xml:space="preserve">The sustainable use of biological diversity is not only essential to the </w:t>
      </w:r>
      <w:r w:rsidR="00DF54F9" w:rsidRPr="00B413D6">
        <w:rPr>
          <w:kern w:val="22"/>
        </w:rPr>
        <w:t xml:space="preserve">full functioning of ecosystems and </w:t>
      </w:r>
      <w:r w:rsidRPr="00B413D6">
        <w:rPr>
          <w:kern w:val="22"/>
        </w:rPr>
        <w:t>survival of species but also benefits humankind, particularly those people who are dependent on biological resources for their livelihoods</w:t>
      </w:r>
      <w:r w:rsidR="0074006F" w:rsidRPr="00B413D6">
        <w:rPr>
          <w:kern w:val="22"/>
        </w:rPr>
        <w:t xml:space="preserve"> notably women, </w:t>
      </w:r>
      <w:r w:rsidR="009562D8" w:rsidRPr="00B413D6">
        <w:rPr>
          <w:kern w:val="22"/>
        </w:rPr>
        <w:t xml:space="preserve">youth, </w:t>
      </w:r>
      <w:r w:rsidR="0074006F" w:rsidRPr="00B413D6">
        <w:rPr>
          <w:kern w:val="22"/>
        </w:rPr>
        <w:t>the poor and those in vulnerable situations</w:t>
      </w:r>
      <w:r w:rsidRPr="00B413D6">
        <w:rPr>
          <w:kern w:val="22"/>
        </w:rPr>
        <w:t xml:space="preserve">. </w:t>
      </w:r>
      <w:r w:rsidR="00126158" w:rsidRPr="00B413D6">
        <w:rPr>
          <w:kern w:val="22"/>
        </w:rPr>
        <w:t>However, o</w:t>
      </w:r>
      <w:r w:rsidRPr="00B413D6">
        <w:rPr>
          <w:kern w:val="22"/>
        </w:rPr>
        <w:t xml:space="preserve">ne of the challenges for the </w:t>
      </w:r>
      <w:r w:rsidR="00DF54F9" w:rsidRPr="00B413D6">
        <w:rPr>
          <w:kern w:val="22"/>
        </w:rPr>
        <w:t xml:space="preserve">global </w:t>
      </w:r>
      <w:r w:rsidRPr="00B413D6">
        <w:rPr>
          <w:kern w:val="22"/>
        </w:rPr>
        <w:t>biodiversity</w:t>
      </w:r>
      <w:r w:rsidR="00DF54F9" w:rsidRPr="00B413D6">
        <w:rPr>
          <w:kern w:val="22"/>
        </w:rPr>
        <w:t xml:space="preserve"> agenda</w:t>
      </w:r>
      <w:r w:rsidR="00126158" w:rsidRPr="00B413D6">
        <w:rPr>
          <w:kern w:val="22"/>
        </w:rPr>
        <w:t>,</w:t>
      </w:r>
      <w:r w:rsidRPr="00B413D6">
        <w:rPr>
          <w:kern w:val="22"/>
        </w:rPr>
        <w:t xml:space="preserve"> is </w:t>
      </w:r>
      <w:r w:rsidR="0074006F" w:rsidRPr="00B413D6">
        <w:rPr>
          <w:kern w:val="22"/>
        </w:rPr>
        <w:t xml:space="preserve">enhancing </w:t>
      </w:r>
      <w:r w:rsidRPr="00B413D6">
        <w:rPr>
          <w:kern w:val="22"/>
        </w:rPr>
        <w:t>human livelihoods while minimizing human negative impacts on the natural resource base.</w:t>
      </w:r>
    </w:p>
    <w:p w14:paraId="6D5DDC35" w14:textId="60CFAC0E" w:rsidR="00FC06D5" w:rsidRPr="00B413D6" w:rsidRDefault="00F93634" w:rsidP="00B413D6">
      <w:pPr>
        <w:pStyle w:val="Para1"/>
        <w:numPr>
          <w:ilvl w:val="0"/>
          <w:numId w:val="0"/>
        </w:numPr>
        <w:suppressLineNumbers/>
        <w:suppressAutoHyphens/>
        <w:ind w:firstLine="720"/>
        <w:rPr>
          <w:kern w:val="22"/>
        </w:rPr>
      </w:pPr>
      <w:r w:rsidRPr="00B413D6">
        <w:rPr>
          <w:kern w:val="22"/>
        </w:rPr>
        <w:t xml:space="preserve">While the Convention has taken a sectoral approach to address </w:t>
      </w:r>
      <w:r w:rsidR="00A3289A" w:rsidRPr="00B413D6">
        <w:rPr>
          <w:kern w:val="22"/>
        </w:rPr>
        <w:t xml:space="preserve">the </w:t>
      </w:r>
      <w:r w:rsidRPr="00B413D6">
        <w:rPr>
          <w:kern w:val="22"/>
        </w:rPr>
        <w:t>sustainable use of biodiversity through its programmes of work and cross-cutting i</w:t>
      </w:r>
      <w:r w:rsidR="00357EA5" w:rsidRPr="00B413D6">
        <w:rPr>
          <w:kern w:val="22"/>
        </w:rPr>
        <w:t>nitiatives</w:t>
      </w:r>
      <w:r w:rsidR="00357EA5" w:rsidRPr="00B413D6">
        <w:rPr>
          <w:rStyle w:val="FootnoteReference"/>
          <w:kern w:val="22"/>
        </w:rPr>
        <w:footnoteReference w:id="1"/>
      </w:r>
      <w:r w:rsidRPr="00B413D6">
        <w:rPr>
          <w:kern w:val="22"/>
        </w:rPr>
        <w:t xml:space="preserve"> i</w:t>
      </w:r>
      <w:r w:rsidR="00126158" w:rsidRPr="00B413D6">
        <w:rPr>
          <w:kern w:val="22"/>
        </w:rPr>
        <w:t xml:space="preserve">n 2004 and building on the Ecosystem Approach, </w:t>
      </w:r>
      <w:r w:rsidR="00DF54F9" w:rsidRPr="00B413D6">
        <w:rPr>
          <w:kern w:val="22"/>
        </w:rPr>
        <w:t xml:space="preserve">all Parties adopted </w:t>
      </w:r>
      <w:r w:rsidR="00126158" w:rsidRPr="00B413D6">
        <w:rPr>
          <w:kern w:val="22"/>
        </w:rPr>
        <w:t xml:space="preserve">the Addis Ababa Principles and Guidelines for the sustainable use of biodiversity at the </w:t>
      </w:r>
      <w:r w:rsidR="008F18E0" w:rsidRPr="00B413D6">
        <w:rPr>
          <w:kern w:val="22"/>
        </w:rPr>
        <w:t>s</w:t>
      </w:r>
      <w:r w:rsidR="00126158" w:rsidRPr="00B413D6">
        <w:rPr>
          <w:kern w:val="22"/>
        </w:rPr>
        <w:t xml:space="preserve">eventh </w:t>
      </w:r>
      <w:r w:rsidR="008F18E0" w:rsidRPr="00B413D6">
        <w:rPr>
          <w:kern w:val="22"/>
        </w:rPr>
        <w:t>m</w:t>
      </w:r>
      <w:r w:rsidR="00126158" w:rsidRPr="00B413D6">
        <w:rPr>
          <w:kern w:val="22"/>
        </w:rPr>
        <w:t>eeting of the Conference of the Parties</w:t>
      </w:r>
      <w:r w:rsidR="008F18E0" w:rsidRPr="00B413D6">
        <w:rPr>
          <w:kern w:val="22"/>
        </w:rPr>
        <w:t xml:space="preserve"> to the Convention</w:t>
      </w:r>
      <w:r w:rsidR="00126158" w:rsidRPr="00B413D6">
        <w:rPr>
          <w:kern w:val="22"/>
        </w:rPr>
        <w:t>.</w:t>
      </w:r>
      <w:r w:rsidR="00126158" w:rsidRPr="00B413D6">
        <w:rPr>
          <w:rStyle w:val="FootnoteReference"/>
          <w:kern w:val="22"/>
        </w:rPr>
        <w:footnoteReference w:id="2"/>
      </w:r>
      <w:r w:rsidR="00126158" w:rsidRPr="00B413D6">
        <w:rPr>
          <w:kern w:val="22"/>
        </w:rPr>
        <w:t xml:space="preserve"> The Addis Ababa Principles and Guidelines for the Sustainable Use of Biodiversity provide a framework for assisting Governments, indigenous </w:t>
      </w:r>
      <w:r w:rsidR="001D523A" w:rsidRPr="00B413D6">
        <w:rPr>
          <w:kern w:val="22"/>
        </w:rPr>
        <w:t xml:space="preserve">peoples </w:t>
      </w:r>
      <w:r w:rsidR="00126158" w:rsidRPr="00B413D6">
        <w:rPr>
          <w:kern w:val="22"/>
        </w:rPr>
        <w:t xml:space="preserve">and local communities, resource managers, the private sector and other stakeholders, </w:t>
      </w:r>
      <w:r w:rsidR="00D50471" w:rsidRPr="00B413D6">
        <w:rPr>
          <w:kern w:val="22"/>
        </w:rPr>
        <w:t xml:space="preserve">in </w:t>
      </w:r>
      <w:r w:rsidR="00126158" w:rsidRPr="00B413D6">
        <w:rPr>
          <w:kern w:val="22"/>
        </w:rPr>
        <w:t>ensur</w:t>
      </w:r>
      <w:r w:rsidR="00D50471" w:rsidRPr="00B413D6">
        <w:rPr>
          <w:kern w:val="22"/>
        </w:rPr>
        <w:t>ing</w:t>
      </w:r>
      <w:r w:rsidR="00126158" w:rsidRPr="00B413D6">
        <w:rPr>
          <w:kern w:val="22"/>
        </w:rPr>
        <w:t xml:space="preserve"> that their uses of biological diversity will not lead to its long-term decline. The principles highlight how ecosystems contribute to and maintain cultures, societies and communities.</w:t>
      </w:r>
    </w:p>
    <w:p w14:paraId="7C664023" w14:textId="5D9E9B47" w:rsidR="004E2ADC" w:rsidRPr="00B413D6" w:rsidRDefault="001D523A" w:rsidP="00B413D6">
      <w:pPr>
        <w:pStyle w:val="Para1"/>
        <w:numPr>
          <w:ilvl w:val="0"/>
          <w:numId w:val="0"/>
        </w:numPr>
        <w:suppressLineNumbers/>
        <w:suppressAutoHyphens/>
        <w:ind w:firstLine="720"/>
        <w:rPr>
          <w:kern w:val="22"/>
        </w:rPr>
      </w:pPr>
      <w:r w:rsidRPr="00B413D6">
        <w:rPr>
          <w:kern w:val="22"/>
        </w:rPr>
        <w:t>T</w:t>
      </w:r>
      <w:r w:rsidR="00F93634" w:rsidRPr="00B413D6">
        <w:rPr>
          <w:kern w:val="22"/>
        </w:rPr>
        <w:t>he Convention has taken a</w:t>
      </w:r>
      <w:r w:rsidRPr="00B413D6">
        <w:rPr>
          <w:kern w:val="22"/>
        </w:rPr>
        <w:t xml:space="preserve">n </w:t>
      </w:r>
      <w:r w:rsidR="00F93634" w:rsidRPr="00B413D6">
        <w:rPr>
          <w:kern w:val="22"/>
        </w:rPr>
        <w:t xml:space="preserve">integrated approach to addressing the sustainable use of biodiversity through the work on mainstreaming which is generally understood as ensuring that biodiversity, and the services it provides, are appropriately and adequately factored into policies and practices that rely and have an impact on </w:t>
      </w:r>
      <w:r w:rsidR="009562D8" w:rsidRPr="00B413D6">
        <w:rPr>
          <w:kern w:val="22"/>
        </w:rPr>
        <w:t>biodiversity</w:t>
      </w:r>
      <w:r w:rsidR="00F93634" w:rsidRPr="00B413D6">
        <w:rPr>
          <w:kern w:val="22"/>
        </w:rPr>
        <w:t>.</w:t>
      </w:r>
      <w:r w:rsidR="004E2ADC" w:rsidRPr="00B413D6">
        <w:rPr>
          <w:kern w:val="22"/>
        </w:rPr>
        <w:t xml:space="preserve"> In 2016, </w:t>
      </w:r>
      <w:r w:rsidR="00D50471" w:rsidRPr="00B413D6">
        <w:rPr>
          <w:kern w:val="22"/>
        </w:rPr>
        <w:t xml:space="preserve">the Conference of the </w:t>
      </w:r>
      <w:r w:rsidR="004E2ADC" w:rsidRPr="00B413D6">
        <w:rPr>
          <w:kern w:val="22"/>
        </w:rPr>
        <w:t>Parties adopted the Cancun Declaration</w:t>
      </w:r>
      <w:r w:rsidR="00357EA5" w:rsidRPr="00B413D6">
        <w:rPr>
          <w:rStyle w:val="FootnoteReference"/>
          <w:kern w:val="22"/>
        </w:rPr>
        <w:footnoteReference w:id="3"/>
      </w:r>
      <w:r w:rsidR="004E2ADC" w:rsidRPr="00B413D6">
        <w:rPr>
          <w:kern w:val="22"/>
        </w:rPr>
        <w:t xml:space="preserve"> on mainstreaming the conservation and sustainable use of biodiversity for well-being</w:t>
      </w:r>
      <w:r w:rsidR="0078606E" w:rsidRPr="00B413D6">
        <w:rPr>
          <w:kern w:val="22"/>
        </w:rPr>
        <w:t xml:space="preserve"> as well as subsequent decisions </w:t>
      </w:r>
      <w:r w:rsidR="003F685E" w:rsidRPr="00B413D6">
        <w:rPr>
          <w:kern w:val="22"/>
        </w:rPr>
        <w:t xml:space="preserve">of the Conference of the Parties </w:t>
      </w:r>
      <w:r w:rsidR="0078606E" w:rsidRPr="00B413D6">
        <w:rPr>
          <w:kern w:val="22"/>
        </w:rPr>
        <w:t>(including 14/6 and 14/7)</w:t>
      </w:r>
      <w:r w:rsidR="004E2ADC" w:rsidRPr="00B413D6">
        <w:rPr>
          <w:kern w:val="22"/>
        </w:rPr>
        <w:t>, in which Parties committed to work at all levels within governments and across all sectors to mainstream biodiversity</w:t>
      </w:r>
      <w:r w:rsidR="00A3289A" w:rsidRPr="00B413D6">
        <w:rPr>
          <w:kern w:val="22"/>
        </w:rPr>
        <w:t>; and in 2018, Parties decided</w:t>
      </w:r>
      <w:r w:rsidR="00A3289A" w:rsidRPr="00B413D6">
        <w:rPr>
          <w:rStyle w:val="FootnoteReference"/>
          <w:kern w:val="22"/>
        </w:rPr>
        <w:footnoteReference w:id="4"/>
      </w:r>
      <w:r w:rsidR="00A3289A" w:rsidRPr="00B413D6">
        <w:rPr>
          <w:kern w:val="22"/>
        </w:rPr>
        <w:t xml:space="preserve"> to establish an Informal Advisory Group on Mainstreaming of Biodiversity to advise the Executive Secretary and the Bureau </w:t>
      </w:r>
      <w:r w:rsidR="003F685E" w:rsidRPr="00B413D6">
        <w:rPr>
          <w:kern w:val="22"/>
        </w:rPr>
        <w:t xml:space="preserve">of the Conference of the Parties </w:t>
      </w:r>
      <w:r w:rsidR="00A3289A" w:rsidRPr="00B413D6">
        <w:rPr>
          <w:kern w:val="22"/>
        </w:rPr>
        <w:t>on further development of the proposal for a long-term approach to mainstreaming biodiversity</w:t>
      </w:r>
      <w:r w:rsidR="00DF54F9" w:rsidRPr="00B413D6">
        <w:rPr>
          <w:kern w:val="22"/>
        </w:rPr>
        <w:t xml:space="preserve"> also as a contribution to the post-2020 global biodiversity framework</w:t>
      </w:r>
      <w:r w:rsidR="00A3289A" w:rsidRPr="00B413D6">
        <w:rPr>
          <w:kern w:val="22"/>
        </w:rPr>
        <w:t>.</w:t>
      </w:r>
    </w:p>
    <w:p w14:paraId="6CB3CC7D" w14:textId="5826FDB4" w:rsidR="00A3289A" w:rsidRPr="00B413D6" w:rsidRDefault="00A3289A" w:rsidP="00B413D6">
      <w:pPr>
        <w:pStyle w:val="Para1"/>
        <w:numPr>
          <w:ilvl w:val="0"/>
          <w:numId w:val="0"/>
        </w:numPr>
        <w:suppressLineNumbers/>
        <w:suppressAutoHyphens/>
        <w:ind w:firstLine="720"/>
        <w:rPr>
          <w:kern w:val="22"/>
        </w:rPr>
      </w:pPr>
      <w:r w:rsidRPr="00B413D6">
        <w:rPr>
          <w:kern w:val="22"/>
        </w:rPr>
        <w:t>Furthermore, the Convention recognize</w:t>
      </w:r>
      <w:r w:rsidR="00361E0C" w:rsidRPr="00B413D6">
        <w:rPr>
          <w:kern w:val="22"/>
        </w:rPr>
        <w:t>s</w:t>
      </w:r>
      <w:r w:rsidRPr="00B413D6">
        <w:rPr>
          <w:kern w:val="22"/>
        </w:rPr>
        <w:t xml:space="preserve"> that the involvement and participation of indigenous</w:t>
      </w:r>
      <w:r w:rsidR="001D523A" w:rsidRPr="00B413D6">
        <w:rPr>
          <w:kern w:val="22"/>
        </w:rPr>
        <w:t xml:space="preserve"> peoples</w:t>
      </w:r>
      <w:r w:rsidRPr="00B413D6">
        <w:rPr>
          <w:kern w:val="22"/>
        </w:rPr>
        <w:t xml:space="preserve"> and local communities</w:t>
      </w:r>
      <w:r w:rsidR="00894887" w:rsidRPr="00B413D6">
        <w:rPr>
          <w:kern w:val="22"/>
        </w:rPr>
        <w:t xml:space="preserve"> and stakeholders</w:t>
      </w:r>
      <w:r w:rsidRPr="00B413D6">
        <w:rPr>
          <w:kern w:val="22"/>
        </w:rPr>
        <w:t xml:space="preserve">, </w:t>
      </w:r>
      <w:r w:rsidR="00894887" w:rsidRPr="00B413D6">
        <w:rPr>
          <w:kern w:val="22"/>
        </w:rPr>
        <w:t xml:space="preserve">including </w:t>
      </w:r>
      <w:r w:rsidRPr="00B413D6">
        <w:rPr>
          <w:kern w:val="22"/>
        </w:rPr>
        <w:t>in natural resource management is a prerequisite for their conservation and sustainable use.</w:t>
      </w:r>
      <w:r w:rsidR="00820060" w:rsidRPr="00B413D6">
        <w:rPr>
          <w:kern w:val="22"/>
        </w:rPr>
        <w:t xml:space="preserve"> The </w:t>
      </w:r>
      <w:r w:rsidR="008A3B76" w:rsidRPr="00B413D6">
        <w:rPr>
          <w:kern w:val="22"/>
        </w:rPr>
        <w:t>p</w:t>
      </w:r>
      <w:r w:rsidR="00820060" w:rsidRPr="00B413D6">
        <w:rPr>
          <w:kern w:val="22"/>
        </w:rPr>
        <w:t xml:space="preserve">rogramme of </w:t>
      </w:r>
      <w:r w:rsidR="008A3B76" w:rsidRPr="00B413D6">
        <w:rPr>
          <w:kern w:val="22"/>
        </w:rPr>
        <w:t>w</w:t>
      </w:r>
      <w:r w:rsidR="00820060" w:rsidRPr="00B413D6">
        <w:rPr>
          <w:kern w:val="22"/>
        </w:rPr>
        <w:t>ork on Article 8(j) and related provisions</w:t>
      </w:r>
      <w:r w:rsidR="00F00E3A" w:rsidRPr="00B413D6">
        <w:rPr>
          <w:rStyle w:val="FootnoteReference"/>
          <w:kern w:val="22"/>
        </w:rPr>
        <w:footnoteReference w:id="5"/>
      </w:r>
      <w:r w:rsidR="00820060" w:rsidRPr="00B413D6">
        <w:rPr>
          <w:kern w:val="22"/>
        </w:rPr>
        <w:t xml:space="preserve"> is the main instrument that Parties </w:t>
      </w:r>
      <w:r w:rsidR="003F685E" w:rsidRPr="00B413D6">
        <w:rPr>
          <w:kern w:val="22"/>
        </w:rPr>
        <w:t xml:space="preserve">to the Convention </w:t>
      </w:r>
      <w:r w:rsidR="00820060" w:rsidRPr="00B413D6">
        <w:rPr>
          <w:kern w:val="22"/>
        </w:rPr>
        <w:t>have given themselves to achieve, by 2020, the commitments in Article 8(j) and related provisions and later, Aichi Biodiversity Target 18.</w:t>
      </w:r>
      <w:r w:rsidR="00F00E3A" w:rsidRPr="00B413D6">
        <w:rPr>
          <w:rStyle w:val="FootnoteReference"/>
          <w:kern w:val="22"/>
        </w:rPr>
        <w:footnoteReference w:id="6"/>
      </w:r>
      <w:r w:rsidR="00820060" w:rsidRPr="00B413D6">
        <w:rPr>
          <w:kern w:val="22"/>
        </w:rPr>
        <w:t xml:space="preserve"> Regarding </w:t>
      </w:r>
      <w:r w:rsidR="003F685E" w:rsidRPr="00B413D6">
        <w:rPr>
          <w:kern w:val="22"/>
        </w:rPr>
        <w:t>A</w:t>
      </w:r>
      <w:r w:rsidR="00820060" w:rsidRPr="00B413D6">
        <w:rPr>
          <w:kern w:val="22"/>
        </w:rPr>
        <w:t>rticle 10(c), the chief means of implementation, building on the Addis Ababa Guidelines for Sustainable use, is the Global Plan of Action on the Customary Sustainable Use of Biological Diversity.</w:t>
      </w:r>
    </w:p>
    <w:p w14:paraId="3A0BB5B7" w14:textId="5583C4F9" w:rsidR="00A128C8" w:rsidRPr="00B413D6" w:rsidRDefault="00A128C8" w:rsidP="00B413D6">
      <w:pPr>
        <w:pStyle w:val="Para1"/>
        <w:numPr>
          <w:ilvl w:val="0"/>
          <w:numId w:val="0"/>
        </w:numPr>
        <w:suppressLineNumbers/>
        <w:suppressAutoHyphens/>
        <w:ind w:firstLine="720"/>
        <w:rPr>
          <w:kern w:val="22"/>
        </w:rPr>
      </w:pPr>
      <w:r w:rsidRPr="00B413D6">
        <w:rPr>
          <w:kern w:val="22"/>
        </w:rPr>
        <w:lastRenderedPageBreak/>
        <w:t xml:space="preserve">While some elements of the Aichi Biodiversity Targets address the sustainable use of biodiversity, for example Targets 6 and 7, these will likely not be met. </w:t>
      </w:r>
      <w:r w:rsidR="001D523A" w:rsidRPr="00B413D6">
        <w:rPr>
          <w:kern w:val="22"/>
        </w:rPr>
        <w:t xml:space="preserve">It has further been noted that many </w:t>
      </w:r>
      <w:r w:rsidR="003F685E" w:rsidRPr="00B413D6">
        <w:rPr>
          <w:kern w:val="22"/>
        </w:rPr>
        <w:t xml:space="preserve">national biodiversity strategies and action plans </w:t>
      </w:r>
      <w:r w:rsidR="001D523A" w:rsidRPr="00B413D6">
        <w:rPr>
          <w:kern w:val="22"/>
        </w:rPr>
        <w:t>did not have associated national targets or commitments relating to Target 6</w:t>
      </w:r>
      <w:r w:rsidR="003F685E" w:rsidRPr="00B413D6">
        <w:rPr>
          <w:kern w:val="22"/>
        </w:rPr>
        <w:t>.</w:t>
      </w:r>
      <w:r w:rsidR="001D523A" w:rsidRPr="00B413D6">
        <w:rPr>
          <w:rStyle w:val="FootnoteReference"/>
          <w:kern w:val="22"/>
        </w:rPr>
        <w:footnoteReference w:id="7"/>
      </w:r>
      <w:r w:rsidR="001D523A" w:rsidRPr="00B413D6">
        <w:rPr>
          <w:kern w:val="22"/>
        </w:rPr>
        <w:t xml:space="preserve"> </w:t>
      </w:r>
      <w:r w:rsidRPr="00B413D6">
        <w:rPr>
          <w:kern w:val="22"/>
        </w:rPr>
        <w:t xml:space="preserve">The most recent </w:t>
      </w:r>
      <w:r w:rsidR="0078017D" w:rsidRPr="00B413D6">
        <w:rPr>
          <w:i/>
          <w:kern w:val="22"/>
        </w:rPr>
        <w:t>Global Assessment Report on Biodiversity and Ecosystem Services</w:t>
      </w:r>
      <w:r w:rsidR="0078017D" w:rsidRPr="00B413D6">
        <w:rPr>
          <w:kern w:val="22"/>
        </w:rPr>
        <w:t xml:space="preserve"> issued by the Intergovernmental Science-Policy Platform on Biodiversity and Ecosystem Services</w:t>
      </w:r>
      <w:r w:rsidR="0078017D" w:rsidRPr="00B413D6" w:rsidDel="0078017D">
        <w:rPr>
          <w:kern w:val="22"/>
        </w:rPr>
        <w:t xml:space="preserve"> </w:t>
      </w:r>
      <w:r w:rsidR="00A3289A" w:rsidRPr="00B413D6">
        <w:rPr>
          <w:kern w:val="22"/>
        </w:rPr>
        <w:t>indicates that rapid decline in biodiversity, ecosystem functions and many of nature’s contributions to people mean</w:t>
      </w:r>
      <w:r w:rsidR="00AD25B6" w:rsidRPr="00B413D6">
        <w:rPr>
          <w:kern w:val="22"/>
        </w:rPr>
        <w:t>s</w:t>
      </w:r>
      <w:r w:rsidR="00A3289A" w:rsidRPr="00B413D6">
        <w:rPr>
          <w:kern w:val="22"/>
        </w:rPr>
        <w:t xml:space="preserve"> that the environmental goals embodied in the Aichi Biodiversity Targets will not be achieved based on current trajectories.</w:t>
      </w:r>
    </w:p>
    <w:p w14:paraId="35ABA991" w14:textId="77777777" w:rsidR="009F4C72" w:rsidRPr="00B413D6" w:rsidRDefault="00166E2B" w:rsidP="00B413D6">
      <w:pPr>
        <w:pStyle w:val="Para1"/>
        <w:numPr>
          <w:ilvl w:val="0"/>
          <w:numId w:val="0"/>
        </w:numPr>
        <w:suppressLineNumbers/>
        <w:suppressAutoHyphens/>
        <w:ind w:firstLine="720"/>
        <w:rPr>
          <w:kern w:val="22"/>
        </w:rPr>
      </w:pPr>
      <w:r w:rsidRPr="00B413D6">
        <w:rPr>
          <w:kern w:val="22"/>
        </w:rPr>
        <w:t>In 2020, Parties to the Convention on Biological Diversity will adopt a new post-2020 global biodiversity framework</w:t>
      </w:r>
      <w:r w:rsidR="000B627B" w:rsidRPr="00B413D6">
        <w:rPr>
          <w:kern w:val="22"/>
        </w:rPr>
        <w:t xml:space="preserve">. </w:t>
      </w:r>
      <w:r w:rsidR="00A3289A" w:rsidRPr="00B413D6">
        <w:rPr>
          <w:kern w:val="22"/>
        </w:rPr>
        <w:t xml:space="preserve">In this context, the present </w:t>
      </w:r>
      <w:r w:rsidR="00DF54F9" w:rsidRPr="00B413D6">
        <w:rPr>
          <w:kern w:val="22"/>
        </w:rPr>
        <w:t xml:space="preserve">thematic workshop </w:t>
      </w:r>
      <w:r w:rsidR="00A3289A" w:rsidRPr="00B413D6">
        <w:rPr>
          <w:kern w:val="22"/>
        </w:rPr>
        <w:t>will discuss how the</w:t>
      </w:r>
      <w:r w:rsidR="000B627B" w:rsidRPr="00B413D6">
        <w:rPr>
          <w:kern w:val="22"/>
        </w:rPr>
        <w:t xml:space="preserve"> sustainable use of biological diversity </w:t>
      </w:r>
      <w:r w:rsidR="00A3289A" w:rsidRPr="00B413D6">
        <w:rPr>
          <w:kern w:val="22"/>
        </w:rPr>
        <w:t>can be incorporated into the post-2020 global biodiversity framework with a view to supporting the 2050 vision.</w:t>
      </w:r>
    </w:p>
    <w:p w14:paraId="1594E909" w14:textId="3B28718E" w:rsidR="00885E24" w:rsidRPr="00B413D6" w:rsidRDefault="00166E2B" w:rsidP="00B413D6">
      <w:pPr>
        <w:pStyle w:val="Para1"/>
        <w:numPr>
          <w:ilvl w:val="0"/>
          <w:numId w:val="0"/>
        </w:numPr>
        <w:suppressLineNumbers/>
        <w:suppressAutoHyphens/>
        <w:ind w:firstLine="720"/>
        <w:rPr>
          <w:kern w:val="22"/>
        </w:rPr>
      </w:pPr>
      <w:r w:rsidRPr="00B413D6">
        <w:rPr>
          <w:kern w:val="22"/>
        </w:rPr>
        <w:t xml:space="preserve">This </w:t>
      </w:r>
      <w:r w:rsidR="001D523A" w:rsidRPr="00B413D6">
        <w:rPr>
          <w:kern w:val="22"/>
        </w:rPr>
        <w:t xml:space="preserve">thematic workshop </w:t>
      </w:r>
      <w:r w:rsidRPr="00B413D6">
        <w:rPr>
          <w:kern w:val="22"/>
        </w:rPr>
        <w:t>will enable experts from Parties to the Convention to have a</w:t>
      </w:r>
      <w:r w:rsidR="0074006F" w:rsidRPr="00B413D6">
        <w:rPr>
          <w:kern w:val="22"/>
        </w:rPr>
        <w:t xml:space="preserve"> participatory and inclusive</w:t>
      </w:r>
      <w:r w:rsidR="000F59D4" w:rsidRPr="00B413D6">
        <w:rPr>
          <w:kern w:val="22"/>
        </w:rPr>
        <w:t xml:space="preserve"> </w:t>
      </w:r>
      <w:r w:rsidRPr="00B413D6">
        <w:rPr>
          <w:kern w:val="22"/>
        </w:rPr>
        <w:t>dialogue, including with</w:t>
      </w:r>
      <w:r w:rsidR="0074006F" w:rsidRPr="00B413D6">
        <w:rPr>
          <w:kern w:val="22"/>
        </w:rPr>
        <w:t xml:space="preserve"> rightsholders and</w:t>
      </w:r>
      <w:r w:rsidRPr="00B413D6">
        <w:rPr>
          <w:kern w:val="22"/>
        </w:rPr>
        <w:t xml:space="preserve"> stakeholders on various aspects of </w:t>
      </w:r>
      <w:r w:rsidR="000F59D4" w:rsidRPr="00B413D6">
        <w:rPr>
          <w:kern w:val="22"/>
        </w:rPr>
        <w:t>the sustainable use of bio</w:t>
      </w:r>
      <w:r w:rsidR="008B39EB" w:rsidRPr="00B413D6">
        <w:rPr>
          <w:kern w:val="22"/>
        </w:rPr>
        <w:t xml:space="preserve">logical diversity, potential concrete elements and </w:t>
      </w:r>
      <w:r w:rsidRPr="00B413D6">
        <w:rPr>
          <w:kern w:val="22"/>
        </w:rPr>
        <w:t xml:space="preserve">their place in </w:t>
      </w:r>
      <w:r w:rsidR="0078017D" w:rsidRPr="00B413D6">
        <w:rPr>
          <w:kern w:val="22"/>
        </w:rPr>
        <w:t xml:space="preserve">the </w:t>
      </w:r>
      <w:r w:rsidRPr="00B413D6">
        <w:rPr>
          <w:kern w:val="22"/>
        </w:rPr>
        <w:t>post-2020 global biodiversity framework.</w:t>
      </w:r>
    </w:p>
    <w:p w14:paraId="0CBCAB15" w14:textId="77777777" w:rsidR="00885E24" w:rsidRPr="00B413D6" w:rsidRDefault="00885E24" w:rsidP="00B413D6">
      <w:pPr>
        <w:pStyle w:val="Heading1"/>
        <w:numPr>
          <w:ilvl w:val="0"/>
          <w:numId w:val="37"/>
        </w:numPr>
        <w:suppressLineNumbers/>
        <w:suppressAutoHyphens/>
        <w:spacing w:before="120"/>
        <w:ind w:left="714" w:hanging="357"/>
        <w:rPr>
          <w:kern w:val="22"/>
        </w:rPr>
      </w:pPr>
      <w:r w:rsidRPr="00B413D6">
        <w:rPr>
          <w:kern w:val="22"/>
        </w:rPr>
        <w:t>K</w:t>
      </w:r>
      <w:r w:rsidR="00DF7D5C" w:rsidRPr="00B413D6">
        <w:rPr>
          <w:caps w:val="0"/>
          <w:kern w:val="22"/>
        </w:rPr>
        <w:t>ey principles</w:t>
      </w:r>
    </w:p>
    <w:p w14:paraId="3CFBE992" w14:textId="77777777" w:rsidR="00386B70" w:rsidRPr="00B413D6" w:rsidRDefault="00386B70" w:rsidP="00B413D6">
      <w:pPr>
        <w:pStyle w:val="Heading2"/>
        <w:suppressLineNumbers/>
        <w:suppressAutoHyphens/>
        <w:ind w:firstLine="720"/>
        <w:jc w:val="left"/>
        <w:rPr>
          <w:b w:val="0"/>
          <w:kern w:val="22"/>
        </w:rPr>
      </w:pPr>
      <w:r w:rsidRPr="00B413D6">
        <w:rPr>
          <w:b w:val="0"/>
          <w:kern w:val="22"/>
        </w:rPr>
        <w:t>Key principles are as follows:</w:t>
      </w:r>
    </w:p>
    <w:p w14:paraId="273C4E92" w14:textId="19991A0C"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 xml:space="preserve">Discussions among Parties and stakeholders </w:t>
      </w:r>
      <w:r w:rsidR="0074006F" w:rsidRPr="00B413D6">
        <w:rPr>
          <w:kern w:val="22"/>
        </w:rPr>
        <w:t xml:space="preserve">will be </w:t>
      </w:r>
      <w:r w:rsidRPr="00B413D6">
        <w:rPr>
          <w:kern w:val="22"/>
        </w:rPr>
        <w:t xml:space="preserve">in line with the principles of </w:t>
      </w:r>
      <w:r w:rsidR="0074006F" w:rsidRPr="00B413D6">
        <w:rPr>
          <w:kern w:val="22"/>
        </w:rPr>
        <w:t xml:space="preserve">a participatory, inclusive, gender-responsive and </w:t>
      </w:r>
      <w:r w:rsidRPr="00B413D6">
        <w:rPr>
          <w:kern w:val="22"/>
        </w:rPr>
        <w:t>transparen</w:t>
      </w:r>
      <w:r w:rsidR="0074006F" w:rsidRPr="00B413D6">
        <w:rPr>
          <w:kern w:val="22"/>
        </w:rPr>
        <w:t>t post-2020 process</w:t>
      </w:r>
      <w:r w:rsidRPr="00B413D6">
        <w:rPr>
          <w:kern w:val="22"/>
        </w:rPr>
        <w:t xml:space="preserve"> agreed at </w:t>
      </w:r>
      <w:r w:rsidR="000E1DF1" w:rsidRPr="00B413D6">
        <w:rPr>
          <w:kern w:val="22"/>
        </w:rPr>
        <w:t>the fourteenth meeting of the Conference of the Parties</w:t>
      </w:r>
      <w:r w:rsidR="0038595E" w:rsidRPr="00B413D6">
        <w:rPr>
          <w:kern w:val="22"/>
        </w:rPr>
        <w:t>;</w:t>
      </w:r>
      <w:r w:rsidRPr="00B413D6">
        <w:rPr>
          <w:kern w:val="22"/>
        </w:rPr>
        <w:t xml:space="preserve"> </w:t>
      </w:r>
    </w:p>
    <w:p w14:paraId="4F9F0A49" w14:textId="1FE2F733"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 xml:space="preserve">The thematic workshop is an expert meeting aiming at providing </w:t>
      </w:r>
      <w:r w:rsidR="00DF7D5C" w:rsidRPr="00B413D6">
        <w:rPr>
          <w:kern w:val="22"/>
        </w:rPr>
        <w:t xml:space="preserve">the Co-Chairs of the </w:t>
      </w:r>
      <w:r w:rsidR="00E84D93" w:rsidRPr="00B413D6">
        <w:rPr>
          <w:kern w:val="22"/>
        </w:rPr>
        <w:t xml:space="preserve">Open-Ended </w:t>
      </w:r>
      <w:r w:rsidR="00DF7D5C" w:rsidRPr="00B413D6">
        <w:rPr>
          <w:kern w:val="22"/>
        </w:rPr>
        <w:t xml:space="preserve">Working Group on Post-2020 </w:t>
      </w:r>
      <w:r w:rsidR="009562D8" w:rsidRPr="00B413D6">
        <w:rPr>
          <w:kern w:val="22"/>
        </w:rPr>
        <w:t xml:space="preserve">Global Biodiversity Framework </w:t>
      </w:r>
      <w:r w:rsidR="00DF7D5C" w:rsidRPr="00B413D6">
        <w:rPr>
          <w:kern w:val="22"/>
        </w:rPr>
        <w:t xml:space="preserve">with </w:t>
      </w:r>
      <w:r w:rsidRPr="00B413D6">
        <w:rPr>
          <w:kern w:val="22"/>
        </w:rPr>
        <w:t>concrete and constructive inputs</w:t>
      </w:r>
      <w:r w:rsidR="00085790" w:rsidRPr="00B413D6">
        <w:rPr>
          <w:kern w:val="22"/>
        </w:rPr>
        <w:t xml:space="preserve"> </w:t>
      </w:r>
      <w:r w:rsidRPr="00B413D6">
        <w:rPr>
          <w:kern w:val="22"/>
        </w:rPr>
        <w:t xml:space="preserve">for consideration in their future work on the post-2020 </w:t>
      </w:r>
      <w:r w:rsidR="00085790" w:rsidRPr="00B413D6">
        <w:rPr>
          <w:kern w:val="22"/>
        </w:rPr>
        <w:t>global biodiversity framework</w:t>
      </w:r>
      <w:r w:rsidRPr="00B413D6">
        <w:rPr>
          <w:kern w:val="22"/>
        </w:rPr>
        <w:t xml:space="preserve">. </w:t>
      </w:r>
      <w:r w:rsidR="00267F5F" w:rsidRPr="00B413D6">
        <w:rPr>
          <w:kern w:val="22"/>
        </w:rPr>
        <w:t>The w</w:t>
      </w:r>
      <w:r w:rsidRPr="00B413D6">
        <w:rPr>
          <w:kern w:val="22"/>
        </w:rPr>
        <w:t>orkshop does not constitute a negotiati</w:t>
      </w:r>
      <w:r w:rsidR="00DF7D5C" w:rsidRPr="00B413D6">
        <w:rPr>
          <w:kern w:val="22"/>
        </w:rPr>
        <w:t>ng</w:t>
      </w:r>
      <w:r w:rsidRPr="00B413D6">
        <w:rPr>
          <w:kern w:val="22"/>
        </w:rPr>
        <w:t xml:space="preserve"> process but will </w:t>
      </w:r>
      <w:r w:rsidR="00DF7D5C" w:rsidRPr="00B413D6">
        <w:rPr>
          <w:kern w:val="22"/>
        </w:rPr>
        <w:t>serve to</w:t>
      </w:r>
      <w:r w:rsidR="0074006F" w:rsidRPr="00B413D6">
        <w:rPr>
          <w:kern w:val="22"/>
        </w:rPr>
        <w:t xml:space="preserve"> identify</w:t>
      </w:r>
      <w:r w:rsidRPr="00B413D6">
        <w:rPr>
          <w:kern w:val="22"/>
        </w:rPr>
        <w:t xml:space="preserve"> areas of convergence</w:t>
      </w:r>
      <w:r w:rsidR="0038595E" w:rsidRPr="00B413D6">
        <w:rPr>
          <w:kern w:val="22"/>
        </w:rPr>
        <w:t>;</w:t>
      </w:r>
    </w:p>
    <w:p w14:paraId="235A64CB" w14:textId="77777777" w:rsidR="00885E24" w:rsidRPr="00B413D6" w:rsidRDefault="00DF7D5C"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T</w:t>
      </w:r>
      <w:r w:rsidR="00885E24" w:rsidRPr="00B413D6">
        <w:rPr>
          <w:kern w:val="22"/>
        </w:rPr>
        <w:t>he format and overall approaches used for previous regional and thematic consultations/workshops</w:t>
      </w:r>
      <w:r w:rsidRPr="00B413D6">
        <w:rPr>
          <w:kern w:val="22"/>
        </w:rPr>
        <w:t xml:space="preserve"> will be followed</w:t>
      </w:r>
      <w:r w:rsidR="0038595E" w:rsidRPr="00B413D6">
        <w:rPr>
          <w:kern w:val="22"/>
        </w:rPr>
        <w:t>;</w:t>
      </w:r>
    </w:p>
    <w:p w14:paraId="5DD98427" w14:textId="77777777"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 xml:space="preserve">Build on the Aichi </w:t>
      </w:r>
      <w:r w:rsidR="00E83750" w:rsidRPr="00B413D6">
        <w:rPr>
          <w:kern w:val="22"/>
        </w:rPr>
        <w:t xml:space="preserve">Biodiversity </w:t>
      </w:r>
      <w:r w:rsidRPr="00B413D6">
        <w:rPr>
          <w:kern w:val="22"/>
        </w:rPr>
        <w:t xml:space="preserve">Targets, lessons learned from their implementation and current </w:t>
      </w:r>
      <w:r w:rsidR="0074006F" w:rsidRPr="00B413D6">
        <w:rPr>
          <w:kern w:val="22"/>
        </w:rPr>
        <w:t>knowledge</w:t>
      </w:r>
      <w:r w:rsidR="0074006F" w:rsidRPr="00B413D6" w:rsidDel="0074006F">
        <w:rPr>
          <w:kern w:val="22"/>
        </w:rPr>
        <w:t xml:space="preserve"> </w:t>
      </w:r>
      <w:r w:rsidR="0074006F" w:rsidRPr="00B413D6">
        <w:rPr>
          <w:kern w:val="22"/>
        </w:rPr>
        <w:t>o</w:t>
      </w:r>
      <w:r w:rsidRPr="00B413D6">
        <w:rPr>
          <w:kern w:val="22"/>
        </w:rPr>
        <w:t>n this area of work while also identify</w:t>
      </w:r>
      <w:r w:rsidR="005457FA" w:rsidRPr="00B413D6">
        <w:rPr>
          <w:kern w:val="22"/>
        </w:rPr>
        <w:t>ing</w:t>
      </w:r>
      <w:r w:rsidRPr="00B413D6">
        <w:rPr>
          <w:kern w:val="22"/>
        </w:rPr>
        <w:t xml:space="preserve"> issues </w:t>
      </w:r>
      <w:r w:rsidR="00DF7D5C" w:rsidRPr="00B413D6">
        <w:rPr>
          <w:kern w:val="22"/>
        </w:rPr>
        <w:t>that</w:t>
      </w:r>
      <w:r w:rsidRPr="00B413D6">
        <w:rPr>
          <w:kern w:val="22"/>
        </w:rPr>
        <w:t xml:space="preserve"> are not included in </w:t>
      </w:r>
      <w:r w:rsidR="005457FA" w:rsidRPr="00B413D6">
        <w:rPr>
          <w:kern w:val="22"/>
        </w:rPr>
        <w:t xml:space="preserve">the </w:t>
      </w:r>
      <w:r w:rsidRPr="00B413D6">
        <w:rPr>
          <w:kern w:val="22"/>
        </w:rPr>
        <w:t xml:space="preserve">Aichi </w:t>
      </w:r>
      <w:r w:rsidR="005457FA" w:rsidRPr="00B413D6">
        <w:rPr>
          <w:kern w:val="22"/>
        </w:rPr>
        <w:t xml:space="preserve">Biodiversity </w:t>
      </w:r>
      <w:r w:rsidRPr="00B413D6">
        <w:rPr>
          <w:kern w:val="22"/>
        </w:rPr>
        <w:t>Targets</w:t>
      </w:r>
      <w:r w:rsidR="0038595E" w:rsidRPr="00B413D6">
        <w:rPr>
          <w:kern w:val="22"/>
        </w:rPr>
        <w:t>;</w:t>
      </w:r>
    </w:p>
    <w:p w14:paraId="7CAFC626" w14:textId="594C3C51" w:rsidR="00885E24" w:rsidRPr="00B413D6" w:rsidRDefault="0074006F"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S</w:t>
      </w:r>
      <w:r w:rsidR="008B39EB" w:rsidRPr="00B413D6">
        <w:rPr>
          <w:kern w:val="22"/>
        </w:rPr>
        <w:t>ustainable use</w:t>
      </w:r>
      <w:r w:rsidRPr="00B413D6">
        <w:rPr>
          <w:kern w:val="22"/>
        </w:rPr>
        <w:t xml:space="preserve"> will be considered</w:t>
      </w:r>
      <w:r w:rsidR="008B39EB" w:rsidRPr="00B413D6">
        <w:rPr>
          <w:kern w:val="22"/>
        </w:rPr>
        <w:t xml:space="preserve"> a cross</w:t>
      </w:r>
      <w:r w:rsidR="0074086D" w:rsidRPr="00B413D6">
        <w:rPr>
          <w:kern w:val="22"/>
        </w:rPr>
        <w:t>-</w:t>
      </w:r>
      <w:r w:rsidR="008B39EB" w:rsidRPr="00B413D6">
        <w:rPr>
          <w:kern w:val="22"/>
        </w:rPr>
        <w:t xml:space="preserve">cutting </w:t>
      </w:r>
      <w:r w:rsidRPr="00B413D6">
        <w:rPr>
          <w:kern w:val="22"/>
        </w:rPr>
        <w:t>objective</w:t>
      </w:r>
      <w:r w:rsidR="008B39EB" w:rsidRPr="00B413D6">
        <w:rPr>
          <w:kern w:val="22"/>
        </w:rPr>
        <w:t xml:space="preserve"> </w:t>
      </w:r>
      <w:r w:rsidR="00267F5F" w:rsidRPr="00B413D6">
        <w:rPr>
          <w:kern w:val="22"/>
        </w:rPr>
        <w:t>with recognition of</w:t>
      </w:r>
      <w:r w:rsidR="008B39EB" w:rsidRPr="00B413D6">
        <w:rPr>
          <w:kern w:val="22"/>
        </w:rPr>
        <w:t xml:space="preserve"> the </w:t>
      </w:r>
      <w:r w:rsidR="00885E24" w:rsidRPr="00B413D6">
        <w:rPr>
          <w:kern w:val="22"/>
        </w:rPr>
        <w:t xml:space="preserve">interlinkages between </w:t>
      </w:r>
      <w:r w:rsidR="008B39EB" w:rsidRPr="00B413D6">
        <w:rPr>
          <w:kern w:val="22"/>
        </w:rPr>
        <w:t xml:space="preserve">the main causes driving </w:t>
      </w:r>
      <w:r w:rsidR="00820060" w:rsidRPr="00B413D6">
        <w:rPr>
          <w:kern w:val="22"/>
        </w:rPr>
        <w:t xml:space="preserve">the </w:t>
      </w:r>
      <w:r w:rsidR="008B39EB" w:rsidRPr="00B413D6">
        <w:rPr>
          <w:kern w:val="22"/>
        </w:rPr>
        <w:t>unsustainable use of biodiversity</w:t>
      </w:r>
      <w:r w:rsidR="0038595E" w:rsidRPr="00B413D6">
        <w:rPr>
          <w:kern w:val="22"/>
        </w:rPr>
        <w:t>;</w:t>
      </w:r>
    </w:p>
    <w:p w14:paraId="7E5194EA" w14:textId="77777777"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Being guided by relevant decisions</w:t>
      </w:r>
      <w:r w:rsidR="00E83750" w:rsidRPr="00B413D6">
        <w:rPr>
          <w:kern w:val="22"/>
        </w:rPr>
        <w:t xml:space="preserve"> of the Conference of the Parties</w:t>
      </w:r>
      <w:r w:rsidR="0038595E" w:rsidRPr="00B413D6">
        <w:rPr>
          <w:kern w:val="22"/>
        </w:rPr>
        <w:t>;</w:t>
      </w:r>
    </w:p>
    <w:p w14:paraId="1ACAD19E" w14:textId="77777777"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Involve and consider alignment with strategies and approaches in other multilateral agreements and relevant international processes</w:t>
      </w:r>
      <w:r w:rsidR="0038595E" w:rsidRPr="00B413D6">
        <w:rPr>
          <w:kern w:val="22"/>
        </w:rPr>
        <w:t>;</w:t>
      </w:r>
    </w:p>
    <w:p w14:paraId="71D85092" w14:textId="77777777"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Bringing a reasonable number of Parties (50-75) balance</w:t>
      </w:r>
      <w:r w:rsidR="00DF7D5C" w:rsidRPr="00B413D6">
        <w:rPr>
          <w:kern w:val="22"/>
        </w:rPr>
        <w:t>d</w:t>
      </w:r>
      <w:r w:rsidRPr="00B413D6">
        <w:rPr>
          <w:kern w:val="22"/>
        </w:rPr>
        <w:t xml:space="preserve"> </w:t>
      </w:r>
      <w:r w:rsidR="00DF7D5C" w:rsidRPr="00B413D6">
        <w:rPr>
          <w:kern w:val="22"/>
        </w:rPr>
        <w:t>among</w:t>
      </w:r>
      <w:r w:rsidRPr="00B413D6">
        <w:rPr>
          <w:kern w:val="22"/>
        </w:rPr>
        <w:t xml:space="preserve"> CBD regions. Following existing practices </w:t>
      </w:r>
      <w:r w:rsidR="00DF7D5C" w:rsidRPr="00B413D6">
        <w:rPr>
          <w:kern w:val="22"/>
        </w:rPr>
        <w:t>under</w:t>
      </w:r>
      <w:r w:rsidR="00E83750" w:rsidRPr="00B413D6">
        <w:rPr>
          <w:kern w:val="22"/>
        </w:rPr>
        <w:t xml:space="preserve"> the Convention for </w:t>
      </w:r>
      <w:r w:rsidRPr="00B413D6">
        <w:rPr>
          <w:kern w:val="22"/>
        </w:rPr>
        <w:t>workshops involving important stakeholders in meeting</w:t>
      </w:r>
      <w:r w:rsidR="00DF7D5C" w:rsidRPr="00B413D6">
        <w:rPr>
          <w:kern w:val="22"/>
        </w:rPr>
        <w:t>s</w:t>
      </w:r>
      <w:r w:rsidRPr="00B413D6">
        <w:rPr>
          <w:kern w:val="22"/>
        </w:rPr>
        <w:t>, and with financial support as per CBD protocol for eligible Parties and representatives of major stakeholder groups (</w:t>
      </w:r>
      <w:r w:rsidR="00DF7D5C" w:rsidRPr="00B413D6">
        <w:rPr>
          <w:kern w:val="22"/>
        </w:rPr>
        <w:t>indigenous peoples and local communities</w:t>
      </w:r>
      <w:r w:rsidRPr="00B413D6">
        <w:rPr>
          <w:kern w:val="22"/>
        </w:rPr>
        <w:t>, women, youth, civil society)</w:t>
      </w:r>
      <w:r w:rsidR="0038595E" w:rsidRPr="00B413D6">
        <w:rPr>
          <w:kern w:val="22"/>
        </w:rPr>
        <w:t>;</w:t>
      </w:r>
    </w:p>
    <w:p w14:paraId="1297D765" w14:textId="77777777" w:rsidR="006E7D1D"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 xml:space="preserve">To be organized in the period before </w:t>
      </w:r>
      <w:r w:rsidR="00E83750" w:rsidRPr="00B413D6">
        <w:rPr>
          <w:kern w:val="22"/>
        </w:rPr>
        <w:t xml:space="preserve">the </w:t>
      </w:r>
      <w:r w:rsidR="008B39EB" w:rsidRPr="00B413D6">
        <w:rPr>
          <w:kern w:val="22"/>
        </w:rPr>
        <w:t>third</w:t>
      </w:r>
      <w:r w:rsidR="00E83750" w:rsidRPr="00B413D6">
        <w:rPr>
          <w:kern w:val="22"/>
        </w:rPr>
        <w:t xml:space="preserve"> meeting of the </w:t>
      </w:r>
      <w:r w:rsidR="0074006F" w:rsidRPr="00B413D6">
        <w:rPr>
          <w:kern w:val="22"/>
        </w:rPr>
        <w:t xml:space="preserve">Open-Ended </w:t>
      </w:r>
      <w:r w:rsidR="00E83750" w:rsidRPr="00B413D6">
        <w:rPr>
          <w:kern w:val="22"/>
        </w:rPr>
        <w:t xml:space="preserve">Working Group on </w:t>
      </w:r>
      <w:r w:rsidR="002A41D2" w:rsidRPr="00B413D6">
        <w:rPr>
          <w:kern w:val="22"/>
        </w:rPr>
        <w:t xml:space="preserve">the </w:t>
      </w:r>
      <w:r w:rsidR="00E83750" w:rsidRPr="00B413D6">
        <w:rPr>
          <w:kern w:val="22"/>
        </w:rPr>
        <w:t>Post-2020</w:t>
      </w:r>
      <w:r w:rsidR="00156767" w:rsidRPr="00B413D6">
        <w:rPr>
          <w:kern w:val="22"/>
        </w:rPr>
        <w:t xml:space="preserve"> Global Biodiversity Framework</w:t>
      </w:r>
      <w:r w:rsidR="006E7D1D" w:rsidRPr="00B413D6">
        <w:rPr>
          <w:kern w:val="22"/>
        </w:rPr>
        <w:t>;</w:t>
      </w:r>
    </w:p>
    <w:p w14:paraId="662EF5F6" w14:textId="1D607697" w:rsidR="00885E24" w:rsidRPr="00B413D6" w:rsidRDefault="006E7D1D"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C</w:t>
      </w:r>
      <w:r w:rsidR="00D43BAA" w:rsidRPr="00B413D6">
        <w:rPr>
          <w:kern w:val="22"/>
        </w:rPr>
        <w:t xml:space="preserve">onsider the outcomes of the </w:t>
      </w:r>
      <w:r w:rsidR="0078017D" w:rsidRPr="00B413D6">
        <w:rPr>
          <w:kern w:val="22"/>
        </w:rPr>
        <w:t>t</w:t>
      </w:r>
      <w:r w:rsidR="00D43BAA" w:rsidRPr="00B413D6">
        <w:rPr>
          <w:kern w:val="22"/>
        </w:rPr>
        <w:t xml:space="preserve">wenty-third meeting of the Subsidiary Body on Scientific, Technical and Technological Advice and of the second meeting of the Open-Ended Working Group on the </w:t>
      </w:r>
      <w:r w:rsidR="006E14B2" w:rsidRPr="00B413D6">
        <w:rPr>
          <w:kern w:val="22"/>
        </w:rPr>
        <w:t>P</w:t>
      </w:r>
      <w:r w:rsidR="00D43BAA" w:rsidRPr="00B413D6">
        <w:rPr>
          <w:kern w:val="22"/>
        </w:rPr>
        <w:t xml:space="preserve">ost-2020 </w:t>
      </w:r>
      <w:r w:rsidR="006E14B2" w:rsidRPr="00B413D6">
        <w:rPr>
          <w:kern w:val="22"/>
        </w:rPr>
        <w:t>G</w:t>
      </w:r>
      <w:r w:rsidR="00D43BAA" w:rsidRPr="00B413D6">
        <w:rPr>
          <w:kern w:val="22"/>
        </w:rPr>
        <w:t xml:space="preserve">lobal </w:t>
      </w:r>
      <w:r w:rsidR="006E14B2" w:rsidRPr="00B413D6">
        <w:rPr>
          <w:kern w:val="22"/>
        </w:rPr>
        <w:t>B</w:t>
      </w:r>
      <w:r w:rsidR="00D43BAA" w:rsidRPr="00B413D6">
        <w:rPr>
          <w:kern w:val="22"/>
        </w:rPr>
        <w:t xml:space="preserve">iodiversity </w:t>
      </w:r>
      <w:r w:rsidR="006E14B2" w:rsidRPr="00B413D6">
        <w:rPr>
          <w:kern w:val="22"/>
        </w:rPr>
        <w:t>F</w:t>
      </w:r>
      <w:r w:rsidR="00D43BAA" w:rsidRPr="00B413D6">
        <w:rPr>
          <w:kern w:val="22"/>
        </w:rPr>
        <w:t>ramework</w:t>
      </w:r>
      <w:r w:rsidR="0038595E" w:rsidRPr="00B413D6">
        <w:rPr>
          <w:kern w:val="22"/>
        </w:rPr>
        <w:t>;</w:t>
      </w:r>
    </w:p>
    <w:p w14:paraId="329EC804" w14:textId="18B23AE0" w:rsidR="00885E24" w:rsidRPr="00B413D6" w:rsidRDefault="00885E24"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lastRenderedPageBreak/>
        <w:t>Conducted in English</w:t>
      </w:r>
      <w:r w:rsidR="0038595E" w:rsidRPr="00B413D6">
        <w:rPr>
          <w:kern w:val="22"/>
        </w:rPr>
        <w:t>;</w:t>
      </w:r>
    </w:p>
    <w:p w14:paraId="106C1FA4" w14:textId="088969D0" w:rsidR="00885E24" w:rsidRPr="00B413D6" w:rsidRDefault="00321D9B" w:rsidP="00B413D6">
      <w:pPr>
        <w:pStyle w:val="ListParagraph"/>
        <w:numPr>
          <w:ilvl w:val="0"/>
          <w:numId w:val="36"/>
        </w:numPr>
        <w:suppressLineNumbers/>
        <w:suppressAutoHyphens/>
        <w:spacing w:before="120" w:after="120"/>
        <w:ind w:left="0" w:firstLine="697"/>
        <w:contextualSpacing w:val="0"/>
        <w:rPr>
          <w:kern w:val="22"/>
        </w:rPr>
      </w:pPr>
      <w:r w:rsidRPr="00B413D6">
        <w:rPr>
          <w:kern w:val="22"/>
        </w:rPr>
        <w:t xml:space="preserve">Two co-leads chosen </w:t>
      </w:r>
      <w:r w:rsidR="00DF7D5C" w:rsidRPr="00B413D6">
        <w:rPr>
          <w:kern w:val="22"/>
        </w:rPr>
        <w:t xml:space="preserve">from </w:t>
      </w:r>
      <w:r w:rsidRPr="00B413D6">
        <w:rPr>
          <w:kern w:val="22"/>
        </w:rPr>
        <w:t xml:space="preserve">among Parties will be identified. They will be engaged </w:t>
      </w:r>
      <w:r w:rsidR="00010A8D" w:rsidRPr="00B413D6">
        <w:rPr>
          <w:kern w:val="22"/>
        </w:rPr>
        <w:t>o</w:t>
      </w:r>
      <w:r w:rsidRPr="00B413D6">
        <w:rPr>
          <w:kern w:val="22"/>
        </w:rPr>
        <w:t>n this issue from the preparation of the workshop to the delivery of the outcomes of the workshop to the Co-Chairs of the</w:t>
      </w:r>
      <w:r w:rsidR="0074006F" w:rsidRPr="00B413D6">
        <w:rPr>
          <w:kern w:val="22"/>
        </w:rPr>
        <w:t xml:space="preserve"> Open-Ended</w:t>
      </w:r>
      <w:r w:rsidRPr="00B413D6">
        <w:rPr>
          <w:kern w:val="22"/>
        </w:rPr>
        <w:t xml:space="preserve"> Working Group on </w:t>
      </w:r>
      <w:r w:rsidR="002403BC" w:rsidRPr="00B413D6">
        <w:rPr>
          <w:kern w:val="22"/>
        </w:rPr>
        <w:t xml:space="preserve">the </w:t>
      </w:r>
      <w:r w:rsidRPr="00B413D6">
        <w:rPr>
          <w:kern w:val="22"/>
        </w:rPr>
        <w:t xml:space="preserve">Post-2020 </w:t>
      </w:r>
      <w:r w:rsidR="002403BC" w:rsidRPr="00B413D6">
        <w:rPr>
          <w:kern w:val="22"/>
        </w:rPr>
        <w:t xml:space="preserve">Global Biodiversity Framework </w:t>
      </w:r>
      <w:r w:rsidRPr="00B413D6">
        <w:rPr>
          <w:kern w:val="22"/>
        </w:rPr>
        <w:t>and through</w:t>
      </w:r>
      <w:r w:rsidR="00DF7D5C" w:rsidRPr="00B413D6">
        <w:rPr>
          <w:kern w:val="22"/>
        </w:rPr>
        <w:t>out</w:t>
      </w:r>
      <w:r w:rsidRPr="00B413D6">
        <w:rPr>
          <w:kern w:val="22"/>
        </w:rPr>
        <w:t xml:space="preserve"> the post-2020 process.</w:t>
      </w:r>
    </w:p>
    <w:p w14:paraId="1F06966B" w14:textId="77777777" w:rsidR="00885E24" w:rsidRPr="00B413D6" w:rsidRDefault="00885E24" w:rsidP="00B413D6">
      <w:pPr>
        <w:pStyle w:val="Heading1"/>
        <w:numPr>
          <w:ilvl w:val="0"/>
          <w:numId w:val="37"/>
        </w:numPr>
        <w:suppressLineNumbers/>
        <w:suppressAutoHyphens/>
        <w:spacing w:before="120"/>
        <w:ind w:left="714" w:hanging="357"/>
        <w:rPr>
          <w:kern w:val="22"/>
        </w:rPr>
      </w:pPr>
      <w:r w:rsidRPr="00B413D6">
        <w:rPr>
          <w:kern w:val="22"/>
        </w:rPr>
        <w:t>E</w:t>
      </w:r>
      <w:r w:rsidR="00DF7D5C" w:rsidRPr="00B413D6">
        <w:rPr>
          <w:caps w:val="0"/>
          <w:kern w:val="22"/>
        </w:rPr>
        <w:t>xpected outcome</w:t>
      </w:r>
    </w:p>
    <w:p w14:paraId="5AC5576B" w14:textId="7905565F" w:rsidR="00DE6828" w:rsidRPr="00B413D6" w:rsidRDefault="0074006F" w:rsidP="00B413D6">
      <w:pPr>
        <w:pStyle w:val="Para1"/>
        <w:numPr>
          <w:ilvl w:val="0"/>
          <w:numId w:val="0"/>
        </w:numPr>
        <w:suppressLineNumbers/>
        <w:suppressAutoHyphens/>
        <w:ind w:firstLine="720"/>
        <w:rPr>
          <w:kern w:val="22"/>
        </w:rPr>
      </w:pPr>
      <w:r w:rsidRPr="00B413D6">
        <w:rPr>
          <w:kern w:val="22"/>
        </w:rPr>
        <w:t>The primary output of the workshop will be c</w:t>
      </w:r>
      <w:r w:rsidR="00885E24" w:rsidRPr="00B413D6">
        <w:rPr>
          <w:kern w:val="22"/>
        </w:rPr>
        <w:t>oncrete proposals</w:t>
      </w:r>
      <w:r w:rsidRPr="00B413D6">
        <w:rPr>
          <w:kern w:val="22"/>
        </w:rPr>
        <w:t xml:space="preserve"> on how sustainable use may</w:t>
      </w:r>
      <w:r w:rsidR="00885E24" w:rsidRPr="00B413D6">
        <w:rPr>
          <w:kern w:val="22"/>
        </w:rPr>
        <w:t xml:space="preserve"> be considered in the post-2020 </w:t>
      </w:r>
      <w:r w:rsidR="00E83750" w:rsidRPr="00B413D6">
        <w:rPr>
          <w:kern w:val="22"/>
        </w:rPr>
        <w:t>global biodiversity framework</w:t>
      </w:r>
      <w:r w:rsidR="00885E24" w:rsidRPr="00B413D6">
        <w:rPr>
          <w:kern w:val="22"/>
        </w:rPr>
        <w:t xml:space="preserve">. To the extent feasible and appropriate, these proposals will cover the different elements of the framework with </w:t>
      </w:r>
      <w:proofErr w:type="gramStart"/>
      <w:r w:rsidR="00885E24" w:rsidRPr="00B413D6">
        <w:rPr>
          <w:kern w:val="22"/>
        </w:rPr>
        <w:t>particular focus</w:t>
      </w:r>
      <w:proofErr w:type="gramEnd"/>
      <w:r w:rsidR="00885E24" w:rsidRPr="00B413D6">
        <w:rPr>
          <w:kern w:val="22"/>
        </w:rPr>
        <w:t xml:space="preserve"> on goals, targets, indicators</w:t>
      </w:r>
      <w:r w:rsidR="001D523A" w:rsidRPr="00B413D6">
        <w:rPr>
          <w:kern w:val="22"/>
        </w:rPr>
        <w:t xml:space="preserve"> and </w:t>
      </w:r>
      <w:r w:rsidR="00885E24" w:rsidRPr="00B413D6">
        <w:rPr>
          <w:kern w:val="22"/>
        </w:rPr>
        <w:t>baselines</w:t>
      </w:r>
      <w:r w:rsidR="002F3DC4" w:rsidRPr="00B413D6">
        <w:rPr>
          <w:kern w:val="22"/>
        </w:rPr>
        <w:t xml:space="preserve"> </w:t>
      </w:r>
      <w:r w:rsidR="00F21965" w:rsidRPr="00B413D6">
        <w:rPr>
          <w:kern w:val="22"/>
        </w:rPr>
        <w:t>while considering</w:t>
      </w:r>
      <w:r w:rsidR="002F3DC4" w:rsidRPr="00B413D6">
        <w:rPr>
          <w:kern w:val="22"/>
        </w:rPr>
        <w:t xml:space="preserve"> the </w:t>
      </w:r>
      <w:r w:rsidR="00F21965" w:rsidRPr="00B413D6">
        <w:rPr>
          <w:kern w:val="22"/>
        </w:rPr>
        <w:t>zero</w:t>
      </w:r>
      <w:r w:rsidR="006E14B2" w:rsidRPr="00B413D6">
        <w:rPr>
          <w:kern w:val="22"/>
        </w:rPr>
        <w:t>-</w:t>
      </w:r>
      <w:r w:rsidR="00F21965" w:rsidRPr="00B413D6">
        <w:rPr>
          <w:kern w:val="22"/>
        </w:rPr>
        <w:t>draft</w:t>
      </w:r>
      <w:r w:rsidR="002F3DC4" w:rsidRPr="00B413D6">
        <w:rPr>
          <w:kern w:val="22"/>
        </w:rPr>
        <w:t xml:space="preserve"> text of the post-2020 global biodiversity framework</w:t>
      </w:r>
      <w:r w:rsidR="005F74A6" w:rsidRPr="00B413D6">
        <w:rPr>
          <w:kern w:val="22"/>
        </w:rPr>
        <w:t>.</w:t>
      </w:r>
    </w:p>
    <w:p w14:paraId="5FB787D3" w14:textId="1F9AC51C" w:rsidR="00694CB1" w:rsidRPr="00B413D6" w:rsidRDefault="00694CB1" w:rsidP="00B413D6">
      <w:pPr>
        <w:pStyle w:val="Heading1"/>
        <w:numPr>
          <w:ilvl w:val="0"/>
          <w:numId w:val="37"/>
        </w:numPr>
        <w:suppressLineNumbers/>
        <w:suppressAutoHyphens/>
        <w:spacing w:before="120"/>
        <w:ind w:left="714" w:hanging="357"/>
        <w:rPr>
          <w:rFonts w:ascii="Times New Roman Bold" w:hAnsi="Times New Roman Bold"/>
          <w:caps w:val="0"/>
          <w:kern w:val="22"/>
        </w:rPr>
      </w:pPr>
      <w:r w:rsidRPr="00B413D6">
        <w:rPr>
          <w:rFonts w:ascii="Times New Roman Bold" w:hAnsi="Times New Roman Bold"/>
          <w:caps w:val="0"/>
          <w:kern w:val="22"/>
        </w:rPr>
        <w:t xml:space="preserve">Key </w:t>
      </w:r>
      <w:r w:rsidR="00752D29" w:rsidRPr="00B413D6">
        <w:rPr>
          <w:rFonts w:ascii="Times New Roman Bold" w:hAnsi="Times New Roman Bold"/>
          <w:caps w:val="0"/>
          <w:kern w:val="22"/>
        </w:rPr>
        <w:t>e</w:t>
      </w:r>
      <w:r w:rsidR="00DF7D5C" w:rsidRPr="00B413D6">
        <w:rPr>
          <w:rFonts w:ascii="Times New Roman Bold" w:hAnsi="Times New Roman Bold"/>
          <w:caps w:val="0"/>
          <w:kern w:val="22"/>
        </w:rPr>
        <w:t>lements of a provisional agenda</w:t>
      </w:r>
    </w:p>
    <w:p w14:paraId="1EE28F55" w14:textId="0F887407" w:rsidR="00B412D3" w:rsidRPr="00B413D6" w:rsidRDefault="00B412D3" w:rsidP="00B413D6">
      <w:pPr>
        <w:pStyle w:val="ListParagraph"/>
        <w:numPr>
          <w:ilvl w:val="0"/>
          <w:numId w:val="39"/>
        </w:numPr>
        <w:suppressLineNumbers/>
        <w:suppressAutoHyphens/>
        <w:spacing w:before="120" w:after="120"/>
        <w:ind w:hanging="357"/>
        <w:contextualSpacing w:val="0"/>
        <w:jc w:val="left"/>
        <w:rPr>
          <w:kern w:val="22"/>
        </w:rPr>
      </w:pPr>
      <w:r w:rsidRPr="00B413D6">
        <w:rPr>
          <w:kern w:val="22"/>
        </w:rPr>
        <w:t>Opening</w:t>
      </w:r>
      <w:r w:rsidR="00CD26E9" w:rsidRPr="00B413D6">
        <w:rPr>
          <w:kern w:val="22"/>
        </w:rPr>
        <w:t>.</w:t>
      </w:r>
    </w:p>
    <w:p w14:paraId="74A17602" w14:textId="77777777" w:rsidR="00B412D3" w:rsidRPr="00B413D6" w:rsidRDefault="00885E24" w:rsidP="00B413D6">
      <w:pPr>
        <w:pStyle w:val="ListParagraph"/>
        <w:numPr>
          <w:ilvl w:val="0"/>
          <w:numId w:val="39"/>
        </w:numPr>
        <w:suppressLineNumbers/>
        <w:suppressAutoHyphens/>
        <w:spacing w:before="120" w:after="120"/>
        <w:ind w:hanging="357"/>
        <w:contextualSpacing w:val="0"/>
        <w:rPr>
          <w:kern w:val="22"/>
        </w:rPr>
      </w:pPr>
      <w:r w:rsidRPr="00B413D6">
        <w:rPr>
          <w:kern w:val="22"/>
        </w:rPr>
        <w:t xml:space="preserve">Background on </w:t>
      </w:r>
      <w:r w:rsidR="00E84D93" w:rsidRPr="00B413D6">
        <w:rPr>
          <w:kern w:val="22"/>
        </w:rPr>
        <w:t xml:space="preserve">the progress of </w:t>
      </w:r>
      <w:r w:rsidR="008B39EB" w:rsidRPr="00B413D6">
        <w:rPr>
          <w:kern w:val="22"/>
        </w:rPr>
        <w:t xml:space="preserve">the </w:t>
      </w:r>
      <w:r w:rsidRPr="00B413D6">
        <w:rPr>
          <w:kern w:val="22"/>
        </w:rPr>
        <w:t>post-2020</w:t>
      </w:r>
      <w:r w:rsidR="008B39EB" w:rsidRPr="00B413D6">
        <w:rPr>
          <w:kern w:val="22"/>
        </w:rPr>
        <w:t xml:space="preserve"> global biodiversity</w:t>
      </w:r>
      <w:r w:rsidRPr="00B413D6">
        <w:rPr>
          <w:kern w:val="22"/>
        </w:rPr>
        <w:t xml:space="preserve"> process</w:t>
      </w:r>
      <w:r w:rsidR="00CD26E9" w:rsidRPr="00B413D6">
        <w:rPr>
          <w:kern w:val="22"/>
        </w:rPr>
        <w:t>:</w:t>
      </w:r>
    </w:p>
    <w:p w14:paraId="71392B87" w14:textId="00D7F482" w:rsidR="00B412D3" w:rsidRPr="00B413D6" w:rsidRDefault="00D130D3" w:rsidP="00B413D6">
      <w:pPr>
        <w:pStyle w:val="ListParagraph"/>
        <w:numPr>
          <w:ilvl w:val="1"/>
          <w:numId w:val="39"/>
        </w:numPr>
        <w:suppressLineNumbers/>
        <w:suppressAutoHyphens/>
        <w:spacing w:before="120" w:after="120"/>
        <w:ind w:hanging="357"/>
        <w:contextualSpacing w:val="0"/>
        <w:rPr>
          <w:kern w:val="22"/>
        </w:rPr>
      </w:pPr>
      <w:r w:rsidRPr="00B413D6">
        <w:rPr>
          <w:kern w:val="22"/>
        </w:rPr>
        <w:t>Overview of the process and how the outcomes of this consultation will feed into the post-2020 global biodiversity framework</w:t>
      </w:r>
      <w:r w:rsidR="00CD26E9" w:rsidRPr="00B413D6">
        <w:rPr>
          <w:kern w:val="22"/>
        </w:rPr>
        <w:t>;</w:t>
      </w:r>
    </w:p>
    <w:p w14:paraId="103126D1" w14:textId="6D97561A" w:rsidR="00501E7A" w:rsidRPr="00B413D6" w:rsidRDefault="003D7DD9" w:rsidP="00B413D6">
      <w:pPr>
        <w:pStyle w:val="ListParagraph"/>
        <w:numPr>
          <w:ilvl w:val="1"/>
          <w:numId w:val="39"/>
        </w:numPr>
        <w:suppressLineNumbers/>
        <w:suppressAutoHyphens/>
        <w:spacing w:before="120" w:after="120"/>
        <w:ind w:hanging="357"/>
        <w:contextualSpacing w:val="0"/>
        <w:rPr>
          <w:kern w:val="22"/>
        </w:rPr>
      </w:pPr>
      <w:r w:rsidRPr="00B413D6">
        <w:rPr>
          <w:kern w:val="22"/>
        </w:rPr>
        <w:t xml:space="preserve">Discussion on </w:t>
      </w:r>
      <w:r w:rsidR="003D6D09" w:rsidRPr="00B413D6">
        <w:rPr>
          <w:kern w:val="22"/>
        </w:rPr>
        <w:t xml:space="preserve">the </w:t>
      </w:r>
      <w:r w:rsidR="008429CB" w:rsidRPr="00B413D6">
        <w:rPr>
          <w:kern w:val="22"/>
        </w:rPr>
        <w:t xml:space="preserve">draft text of the post-2020 global biodiversity framework and outcomes of the second meeting of the Open-Ended Working Group on the </w:t>
      </w:r>
      <w:r w:rsidR="005813E2" w:rsidRPr="00B413D6">
        <w:rPr>
          <w:kern w:val="22"/>
        </w:rPr>
        <w:t>P</w:t>
      </w:r>
      <w:r w:rsidR="008429CB" w:rsidRPr="00B413D6">
        <w:rPr>
          <w:kern w:val="22"/>
        </w:rPr>
        <w:t xml:space="preserve">ost-2020 </w:t>
      </w:r>
      <w:r w:rsidR="005813E2" w:rsidRPr="00B413D6">
        <w:rPr>
          <w:kern w:val="22"/>
        </w:rPr>
        <w:t>G</w:t>
      </w:r>
      <w:r w:rsidR="008429CB" w:rsidRPr="00B413D6">
        <w:rPr>
          <w:kern w:val="22"/>
        </w:rPr>
        <w:t xml:space="preserve">lobal </w:t>
      </w:r>
      <w:r w:rsidR="005813E2" w:rsidRPr="00B413D6">
        <w:rPr>
          <w:kern w:val="22"/>
        </w:rPr>
        <w:t>B</w:t>
      </w:r>
      <w:r w:rsidR="008429CB" w:rsidRPr="00B413D6">
        <w:rPr>
          <w:kern w:val="22"/>
        </w:rPr>
        <w:t xml:space="preserve">iodiversity </w:t>
      </w:r>
      <w:r w:rsidR="005813E2" w:rsidRPr="00B413D6">
        <w:rPr>
          <w:kern w:val="22"/>
        </w:rPr>
        <w:t>F</w:t>
      </w:r>
      <w:r w:rsidR="008429CB" w:rsidRPr="00B413D6">
        <w:rPr>
          <w:kern w:val="22"/>
        </w:rPr>
        <w:t>ramework.</w:t>
      </w:r>
    </w:p>
    <w:p w14:paraId="48AACDA2" w14:textId="6942CAA6" w:rsidR="00501E7A" w:rsidRPr="00B413D6" w:rsidRDefault="007E3BC4" w:rsidP="00B413D6">
      <w:pPr>
        <w:pStyle w:val="ListParagraph"/>
        <w:numPr>
          <w:ilvl w:val="0"/>
          <w:numId w:val="39"/>
        </w:numPr>
        <w:suppressLineNumbers/>
        <w:suppressAutoHyphens/>
        <w:spacing w:before="120" w:after="120"/>
        <w:ind w:hanging="357"/>
        <w:contextualSpacing w:val="0"/>
        <w:jc w:val="left"/>
        <w:rPr>
          <w:kern w:val="22"/>
        </w:rPr>
      </w:pPr>
      <w:r w:rsidRPr="00B413D6">
        <w:rPr>
          <w:kern w:val="22"/>
        </w:rPr>
        <w:t>Segment</w:t>
      </w:r>
      <w:r w:rsidR="006F357B">
        <w:rPr>
          <w:kern w:val="22"/>
        </w:rPr>
        <w:t xml:space="preserve"> </w:t>
      </w:r>
      <w:r w:rsidR="00D130D3" w:rsidRPr="00B413D6">
        <w:rPr>
          <w:kern w:val="22"/>
        </w:rPr>
        <w:t>1: S</w:t>
      </w:r>
      <w:r w:rsidR="00501E7A" w:rsidRPr="00B413D6">
        <w:rPr>
          <w:kern w:val="22"/>
        </w:rPr>
        <w:t>toc</w:t>
      </w:r>
      <w:r w:rsidR="00D130D3" w:rsidRPr="00B413D6">
        <w:rPr>
          <w:kern w:val="22"/>
        </w:rPr>
        <w:t xml:space="preserve">ktake on implementation </w:t>
      </w:r>
      <w:r w:rsidR="00E84D93" w:rsidRPr="00B413D6">
        <w:rPr>
          <w:kern w:val="22"/>
        </w:rPr>
        <w:t>(plenary with Q&amp;A and reflections from the floor)</w:t>
      </w:r>
      <w:r w:rsidR="00CD26E9" w:rsidRPr="00B413D6">
        <w:rPr>
          <w:kern w:val="22"/>
        </w:rPr>
        <w:t>:</w:t>
      </w:r>
    </w:p>
    <w:p w14:paraId="5B9F920C" w14:textId="61CF0E24" w:rsidR="00E84D93" w:rsidRPr="00B413D6" w:rsidRDefault="00E84D93" w:rsidP="00B413D6">
      <w:pPr>
        <w:numPr>
          <w:ilvl w:val="1"/>
          <w:numId w:val="25"/>
        </w:numPr>
        <w:suppressLineNumbers/>
        <w:suppressAutoHyphens/>
        <w:spacing w:before="120" w:after="120"/>
        <w:ind w:left="720" w:hanging="357"/>
        <w:rPr>
          <w:kern w:val="22"/>
        </w:rPr>
      </w:pPr>
      <w:r w:rsidRPr="00B413D6">
        <w:rPr>
          <w:kern w:val="22"/>
        </w:rPr>
        <w:t>Discussions will highlight key elements of the work that the Convention has undertaken related to sustainable use through its programmes of work, cross</w:t>
      </w:r>
      <w:r w:rsidR="0074086D" w:rsidRPr="00B413D6">
        <w:rPr>
          <w:kern w:val="22"/>
        </w:rPr>
        <w:t>-</w:t>
      </w:r>
      <w:r w:rsidRPr="00B413D6">
        <w:rPr>
          <w:kern w:val="22"/>
        </w:rPr>
        <w:t>cutting initiatives and decisions</w:t>
      </w:r>
      <w:r w:rsidR="008429CB" w:rsidRPr="00B413D6">
        <w:rPr>
          <w:kern w:val="22"/>
        </w:rPr>
        <w:t>, including the Addis Ababa Principles and Guidelines for the Sustainable Use of Biodiversity as well as the ecosystem approach</w:t>
      </w:r>
      <w:r w:rsidRPr="00B413D6">
        <w:rPr>
          <w:kern w:val="22"/>
        </w:rPr>
        <w:t xml:space="preserve">. This also includes consideration </w:t>
      </w:r>
      <w:r w:rsidR="0074006F" w:rsidRPr="00B413D6">
        <w:rPr>
          <w:kern w:val="22"/>
        </w:rPr>
        <w:t xml:space="preserve">of </w:t>
      </w:r>
      <w:r w:rsidRPr="00B413D6">
        <w:rPr>
          <w:kern w:val="22"/>
        </w:rPr>
        <w:t>what is included into the concept of sustainable use.</w:t>
      </w:r>
    </w:p>
    <w:p w14:paraId="13B2BA2B" w14:textId="56FEF720" w:rsidR="00885E24" w:rsidRPr="00B413D6" w:rsidRDefault="00F53B71" w:rsidP="00B413D6">
      <w:pPr>
        <w:numPr>
          <w:ilvl w:val="1"/>
          <w:numId w:val="25"/>
        </w:numPr>
        <w:suppressLineNumbers/>
        <w:suppressAutoHyphens/>
        <w:spacing w:before="120" w:after="120"/>
        <w:ind w:left="720" w:hanging="357"/>
        <w:rPr>
          <w:kern w:val="22"/>
        </w:rPr>
      </w:pPr>
      <w:r w:rsidRPr="00B413D6">
        <w:rPr>
          <w:kern w:val="22"/>
        </w:rPr>
        <w:t xml:space="preserve">Discussion on </w:t>
      </w:r>
      <w:r w:rsidR="003F40D5" w:rsidRPr="00B413D6">
        <w:rPr>
          <w:kern w:val="22"/>
        </w:rPr>
        <w:t>the status of</w:t>
      </w:r>
      <w:r w:rsidR="00D130D3" w:rsidRPr="00B413D6">
        <w:rPr>
          <w:kern w:val="22"/>
        </w:rPr>
        <w:t xml:space="preserve"> implementation o</w:t>
      </w:r>
      <w:r w:rsidR="00E51F2E" w:rsidRPr="00B413D6">
        <w:rPr>
          <w:kern w:val="22"/>
        </w:rPr>
        <w:t>f Aichi Biodiversity Targets</w:t>
      </w:r>
      <w:r w:rsidR="00B412D3" w:rsidRPr="00B413D6">
        <w:rPr>
          <w:kern w:val="22"/>
        </w:rPr>
        <w:t xml:space="preserve"> that include </w:t>
      </w:r>
      <w:r w:rsidR="00E51F2E" w:rsidRPr="00B413D6">
        <w:rPr>
          <w:kern w:val="22"/>
        </w:rPr>
        <w:t xml:space="preserve">elements </w:t>
      </w:r>
      <w:r w:rsidR="00D130D3" w:rsidRPr="00B413D6">
        <w:rPr>
          <w:kern w:val="22"/>
        </w:rPr>
        <w:t>relate</w:t>
      </w:r>
      <w:r w:rsidR="00B412D3" w:rsidRPr="00B413D6">
        <w:rPr>
          <w:kern w:val="22"/>
        </w:rPr>
        <w:t>d</w:t>
      </w:r>
      <w:r w:rsidR="00D130D3" w:rsidRPr="00B413D6">
        <w:rPr>
          <w:kern w:val="22"/>
        </w:rPr>
        <w:t xml:space="preserve"> to sustainable use </w:t>
      </w:r>
      <w:r w:rsidR="00501E7A" w:rsidRPr="00B413D6">
        <w:rPr>
          <w:kern w:val="22"/>
        </w:rPr>
        <w:t xml:space="preserve">and on what </w:t>
      </w:r>
      <w:r w:rsidR="00E51F2E" w:rsidRPr="00B413D6">
        <w:rPr>
          <w:kern w:val="22"/>
        </w:rPr>
        <w:t>has worked</w:t>
      </w:r>
      <w:r w:rsidRPr="00B413D6">
        <w:rPr>
          <w:kern w:val="22"/>
        </w:rPr>
        <w:t>,</w:t>
      </w:r>
      <w:r w:rsidR="00E51F2E" w:rsidRPr="00B413D6">
        <w:rPr>
          <w:kern w:val="22"/>
        </w:rPr>
        <w:t xml:space="preserve"> or not</w:t>
      </w:r>
      <w:r w:rsidRPr="00B413D6">
        <w:rPr>
          <w:kern w:val="22"/>
        </w:rPr>
        <w:t>,</w:t>
      </w:r>
      <w:r w:rsidR="00E51F2E" w:rsidRPr="00B413D6">
        <w:rPr>
          <w:kern w:val="22"/>
        </w:rPr>
        <w:t xml:space="preserve"> to advance t</w:t>
      </w:r>
      <w:r w:rsidR="00DE6828" w:rsidRPr="00B413D6">
        <w:rPr>
          <w:kern w:val="22"/>
        </w:rPr>
        <w:t>he second objective of the Convention.</w:t>
      </w:r>
    </w:p>
    <w:p w14:paraId="27012F91" w14:textId="74A51049" w:rsidR="00501E7A" w:rsidRPr="00B413D6" w:rsidRDefault="00E84D93" w:rsidP="00B413D6">
      <w:pPr>
        <w:numPr>
          <w:ilvl w:val="1"/>
          <w:numId w:val="25"/>
        </w:numPr>
        <w:suppressLineNumbers/>
        <w:suppressAutoHyphens/>
        <w:spacing w:before="120" w:after="120"/>
        <w:ind w:left="720" w:hanging="357"/>
        <w:rPr>
          <w:kern w:val="22"/>
        </w:rPr>
      </w:pPr>
      <w:r w:rsidRPr="00B413D6">
        <w:rPr>
          <w:kern w:val="22"/>
        </w:rPr>
        <w:t>Discussion how sustainable use is reflected in other international agreements</w:t>
      </w:r>
      <w:r w:rsidR="00F21965" w:rsidRPr="00B413D6">
        <w:rPr>
          <w:kern w:val="22"/>
        </w:rPr>
        <w:t xml:space="preserve">, </w:t>
      </w:r>
      <w:r w:rsidRPr="00B413D6">
        <w:rPr>
          <w:kern w:val="22"/>
        </w:rPr>
        <w:t>instruments</w:t>
      </w:r>
      <w:r w:rsidR="00CD26E9" w:rsidRPr="00B413D6">
        <w:rPr>
          <w:kern w:val="22"/>
        </w:rPr>
        <w:t>.</w:t>
      </w:r>
    </w:p>
    <w:p w14:paraId="738A917C" w14:textId="77777777" w:rsidR="00885E24" w:rsidRPr="00B413D6" w:rsidRDefault="007E3BC4" w:rsidP="00B413D6">
      <w:pPr>
        <w:pStyle w:val="ListParagraph"/>
        <w:numPr>
          <w:ilvl w:val="0"/>
          <w:numId w:val="39"/>
        </w:numPr>
        <w:suppressLineNumbers/>
        <w:suppressAutoHyphens/>
        <w:spacing w:before="120" w:after="120"/>
        <w:contextualSpacing w:val="0"/>
        <w:rPr>
          <w:kern w:val="22"/>
        </w:rPr>
      </w:pPr>
      <w:r w:rsidRPr="00B413D6">
        <w:rPr>
          <w:kern w:val="22"/>
        </w:rPr>
        <w:t>Segment</w:t>
      </w:r>
      <w:r w:rsidR="00E51F2E" w:rsidRPr="00B413D6">
        <w:rPr>
          <w:kern w:val="22"/>
        </w:rPr>
        <w:t xml:space="preserve"> 2: </w:t>
      </w:r>
      <w:r w:rsidR="00E43AC5" w:rsidRPr="00B413D6">
        <w:rPr>
          <w:kern w:val="22"/>
        </w:rPr>
        <w:t>A visioning exercise</w:t>
      </w:r>
      <w:r w:rsidR="00E84D93" w:rsidRPr="00B413D6">
        <w:rPr>
          <w:kern w:val="22"/>
        </w:rPr>
        <w:t xml:space="preserve"> (in break-out groups followed by plenary discussion)</w:t>
      </w:r>
      <w:r w:rsidR="00CD26E9" w:rsidRPr="00B413D6">
        <w:rPr>
          <w:kern w:val="22"/>
        </w:rPr>
        <w:t>:</w:t>
      </w:r>
    </w:p>
    <w:p w14:paraId="25FC2AA6" w14:textId="2539F448" w:rsidR="00885E24" w:rsidRPr="00B413D6" w:rsidRDefault="00E43AC5" w:rsidP="00B413D6">
      <w:pPr>
        <w:numPr>
          <w:ilvl w:val="0"/>
          <w:numId w:val="40"/>
        </w:numPr>
        <w:suppressLineNumbers/>
        <w:suppressAutoHyphens/>
        <w:spacing w:before="120" w:after="120"/>
        <w:ind w:hanging="357"/>
        <w:rPr>
          <w:kern w:val="22"/>
        </w:rPr>
      </w:pPr>
      <w:r w:rsidRPr="00B413D6">
        <w:rPr>
          <w:kern w:val="22"/>
        </w:rPr>
        <w:t>H</w:t>
      </w:r>
      <w:r w:rsidR="0055306E" w:rsidRPr="00B413D6">
        <w:rPr>
          <w:kern w:val="22"/>
        </w:rPr>
        <w:t>ow to</w:t>
      </w:r>
      <w:r w:rsidR="00E51F2E" w:rsidRPr="00B413D6">
        <w:rPr>
          <w:kern w:val="22"/>
        </w:rPr>
        <w:t xml:space="preserve"> achieve the 2050 vision of “living in harmony with nature”</w:t>
      </w:r>
      <w:r w:rsidR="008A4E1E">
        <w:rPr>
          <w:kern w:val="22"/>
        </w:rPr>
        <w:t>:</w:t>
      </w:r>
    </w:p>
    <w:p w14:paraId="55FCEBA9" w14:textId="7B6EB328" w:rsidR="00885E24" w:rsidRPr="00B413D6" w:rsidRDefault="0055306E" w:rsidP="00B413D6">
      <w:pPr>
        <w:numPr>
          <w:ilvl w:val="1"/>
          <w:numId w:val="28"/>
        </w:numPr>
        <w:suppressLineNumbers/>
        <w:suppressAutoHyphens/>
        <w:spacing w:before="120" w:after="120"/>
        <w:ind w:left="1058" w:hanging="357"/>
        <w:rPr>
          <w:kern w:val="22"/>
        </w:rPr>
      </w:pPr>
      <w:r w:rsidRPr="00B413D6">
        <w:rPr>
          <w:kern w:val="22"/>
        </w:rPr>
        <w:t>Unfolding</w:t>
      </w:r>
      <w:r w:rsidR="00885E24" w:rsidRPr="00B413D6">
        <w:rPr>
          <w:kern w:val="22"/>
        </w:rPr>
        <w:t xml:space="preserve"> the 2050 vision </w:t>
      </w:r>
      <w:r w:rsidR="007E3BC4" w:rsidRPr="00B413D6">
        <w:rPr>
          <w:kern w:val="22"/>
        </w:rPr>
        <w:t xml:space="preserve">and understanding what </w:t>
      </w:r>
      <w:r w:rsidR="00791C27" w:rsidRPr="00B413D6">
        <w:rPr>
          <w:kern w:val="22"/>
        </w:rPr>
        <w:t>the “wise use of biodiversity” entails</w:t>
      </w:r>
      <w:r w:rsidR="00E43AC5" w:rsidRPr="00B413D6">
        <w:rPr>
          <w:kern w:val="22"/>
        </w:rPr>
        <w:t xml:space="preserve"> in this context</w:t>
      </w:r>
      <w:r w:rsidR="001D523A" w:rsidRPr="00B413D6">
        <w:rPr>
          <w:kern w:val="22"/>
        </w:rPr>
        <w:t xml:space="preserve"> and what is required by 2030 to achieve this vision</w:t>
      </w:r>
      <w:r w:rsidR="00791C27" w:rsidRPr="00B413D6">
        <w:rPr>
          <w:kern w:val="22"/>
        </w:rPr>
        <w:t>.</w:t>
      </w:r>
    </w:p>
    <w:p w14:paraId="62E98590" w14:textId="77777777" w:rsidR="00885E24" w:rsidRPr="00B413D6" w:rsidRDefault="007E3BC4" w:rsidP="00B413D6">
      <w:pPr>
        <w:numPr>
          <w:ilvl w:val="2"/>
          <w:numId w:val="30"/>
        </w:numPr>
        <w:suppressLineNumbers/>
        <w:suppressAutoHyphens/>
        <w:spacing w:before="120" w:after="120"/>
        <w:ind w:left="357" w:hanging="357"/>
        <w:rPr>
          <w:kern w:val="22"/>
        </w:rPr>
      </w:pPr>
      <w:r w:rsidRPr="00B413D6">
        <w:rPr>
          <w:kern w:val="22"/>
        </w:rPr>
        <w:t xml:space="preserve">Segment 3: </w:t>
      </w:r>
      <w:r w:rsidR="00885E24" w:rsidRPr="00B413D6">
        <w:rPr>
          <w:bCs/>
          <w:kern w:val="22"/>
        </w:rPr>
        <w:t xml:space="preserve">Potential substantive elements on </w:t>
      </w:r>
      <w:r w:rsidRPr="00B413D6">
        <w:rPr>
          <w:bCs/>
          <w:kern w:val="22"/>
        </w:rPr>
        <w:t>sustainable use of</w:t>
      </w:r>
      <w:r w:rsidR="00885E24" w:rsidRPr="00B413D6">
        <w:rPr>
          <w:bCs/>
          <w:kern w:val="22"/>
        </w:rPr>
        <w:t xml:space="preserve"> biodiversity for the post-2020 global biodiversity framework</w:t>
      </w:r>
      <w:r w:rsidR="00CD26E9" w:rsidRPr="00B413D6">
        <w:rPr>
          <w:bCs/>
          <w:kern w:val="22"/>
        </w:rPr>
        <w:t>:</w:t>
      </w:r>
    </w:p>
    <w:p w14:paraId="33B5D6FB" w14:textId="77777777" w:rsidR="00885E24" w:rsidRPr="00B413D6" w:rsidRDefault="00885E24" w:rsidP="00B413D6">
      <w:pPr>
        <w:numPr>
          <w:ilvl w:val="2"/>
          <w:numId w:val="31"/>
        </w:numPr>
        <w:suppressLineNumbers/>
        <w:suppressAutoHyphens/>
        <w:spacing w:before="120" w:after="120"/>
        <w:ind w:left="720"/>
        <w:rPr>
          <w:kern w:val="22"/>
        </w:rPr>
      </w:pPr>
      <w:r w:rsidRPr="00B413D6">
        <w:rPr>
          <w:kern w:val="22"/>
        </w:rPr>
        <w:t xml:space="preserve">Break-out </w:t>
      </w:r>
      <w:r w:rsidR="007B5859" w:rsidRPr="00B413D6">
        <w:rPr>
          <w:kern w:val="22"/>
        </w:rPr>
        <w:t xml:space="preserve">thematic </w:t>
      </w:r>
      <w:r w:rsidRPr="00B413D6">
        <w:rPr>
          <w:kern w:val="22"/>
        </w:rPr>
        <w:t>group</w:t>
      </w:r>
      <w:r w:rsidR="0074006F" w:rsidRPr="00B413D6">
        <w:rPr>
          <w:kern w:val="22"/>
        </w:rPr>
        <w:t>s</w:t>
      </w:r>
      <w:r w:rsidRPr="00B413D6">
        <w:rPr>
          <w:kern w:val="22"/>
        </w:rPr>
        <w:t xml:space="preserve"> (stations supported by a facilitator and a note-taker) </w:t>
      </w:r>
      <w:r w:rsidR="00415358" w:rsidRPr="00B413D6">
        <w:rPr>
          <w:kern w:val="22"/>
        </w:rPr>
        <w:t xml:space="preserve">to identify and </w:t>
      </w:r>
      <w:r w:rsidRPr="00B413D6">
        <w:rPr>
          <w:kern w:val="22"/>
        </w:rPr>
        <w:t>discuss</w:t>
      </w:r>
      <w:r w:rsidR="00415358" w:rsidRPr="00B413D6">
        <w:rPr>
          <w:kern w:val="22"/>
        </w:rPr>
        <w:t xml:space="preserve"> potential </w:t>
      </w:r>
      <w:r w:rsidR="00F53B71" w:rsidRPr="00B413D6">
        <w:rPr>
          <w:kern w:val="22"/>
        </w:rPr>
        <w:t>concrete</w:t>
      </w:r>
      <w:r w:rsidRPr="00B413D6">
        <w:rPr>
          <w:kern w:val="22"/>
        </w:rPr>
        <w:t xml:space="preserve"> elements </w:t>
      </w:r>
      <w:r w:rsidR="00EA069B" w:rsidRPr="00B413D6">
        <w:rPr>
          <w:kern w:val="22"/>
        </w:rPr>
        <w:t xml:space="preserve">with consideration </w:t>
      </w:r>
      <w:r w:rsidR="001D523A" w:rsidRPr="00B413D6">
        <w:rPr>
          <w:kern w:val="22"/>
        </w:rPr>
        <w:t xml:space="preserve">to the </w:t>
      </w:r>
      <w:r w:rsidR="007B5859" w:rsidRPr="00B413D6">
        <w:rPr>
          <w:kern w:val="22"/>
        </w:rPr>
        <w:t xml:space="preserve">draft post-2020 global biodiversity framework, </w:t>
      </w:r>
      <w:r w:rsidRPr="00B413D6">
        <w:rPr>
          <w:kern w:val="22"/>
        </w:rPr>
        <w:t xml:space="preserve">based on Aichi </w:t>
      </w:r>
      <w:r w:rsidR="001D523A" w:rsidRPr="00B413D6">
        <w:rPr>
          <w:kern w:val="22"/>
        </w:rPr>
        <w:t xml:space="preserve">Biodiversity </w:t>
      </w:r>
      <w:r w:rsidRPr="00B413D6">
        <w:rPr>
          <w:kern w:val="22"/>
        </w:rPr>
        <w:t>Targets</w:t>
      </w:r>
      <w:r w:rsidR="007B5859" w:rsidRPr="00B413D6">
        <w:rPr>
          <w:kern w:val="22"/>
        </w:rPr>
        <w:t>,</w:t>
      </w:r>
      <w:r w:rsidRPr="00B413D6">
        <w:rPr>
          <w:kern w:val="22"/>
        </w:rPr>
        <w:t xml:space="preserve"> </w:t>
      </w:r>
      <w:r w:rsidR="00EF4858" w:rsidRPr="00B413D6">
        <w:rPr>
          <w:kern w:val="22"/>
        </w:rPr>
        <w:t>previous</w:t>
      </w:r>
      <w:r w:rsidRPr="00B413D6">
        <w:rPr>
          <w:kern w:val="22"/>
        </w:rPr>
        <w:t xml:space="preserve"> CBD decisions</w:t>
      </w:r>
      <w:r w:rsidR="007E3BC4" w:rsidRPr="00B413D6">
        <w:rPr>
          <w:kern w:val="22"/>
        </w:rPr>
        <w:t xml:space="preserve"> on sustainable use</w:t>
      </w:r>
      <w:r w:rsidRPr="00B413D6">
        <w:rPr>
          <w:kern w:val="22"/>
        </w:rPr>
        <w:t xml:space="preserve">, </w:t>
      </w:r>
      <w:r w:rsidR="007B5859" w:rsidRPr="00B413D6">
        <w:rPr>
          <w:kern w:val="22"/>
        </w:rPr>
        <w:t>submissions, input from other international instruments) on the following topics</w:t>
      </w:r>
      <w:r w:rsidRPr="00B413D6">
        <w:rPr>
          <w:kern w:val="22"/>
        </w:rPr>
        <w:t>:</w:t>
      </w:r>
    </w:p>
    <w:p w14:paraId="620523B6" w14:textId="60DC026F" w:rsidR="008F4D91" w:rsidRPr="00B413D6" w:rsidRDefault="008F4D91" w:rsidP="00B413D6">
      <w:pPr>
        <w:numPr>
          <w:ilvl w:val="2"/>
          <w:numId w:val="32"/>
        </w:numPr>
        <w:suppressLineNumbers/>
        <w:suppressAutoHyphens/>
        <w:spacing w:before="120" w:after="120"/>
        <w:ind w:left="1775" w:hanging="357"/>
        <w:rPr>
          <w:kern w:val="22"/>
        </w:rPr>
      </w:pPr>
      <w:r w:rsidRPr="00B413D6">
        <w:rPr>
          <w:kern w:val="22"/>
        </w:rPr>
        <w:t>Sustainable land-use (including agriculture, forestry, tenure rights, approaches that combine conservation, sustainable use and connectivity and linked to sustainable development, links between sustainable use and restoration, etc.)</w:t>
      </w:r>
      <w:r w:rsidR="00CD26E9" w:rsidRPr="00B413D6">
        <w:rPr>
          <w:kern w:val="22"/>
        </w:rPr>
        <w:t>;</w:t>
      </w:r>
    </w:p>
    <w:p w14:paraId="7A37F6B9" w14:textId="51FD862A" w:rsidR="00885E24" w:rsidRPr="00B413D6" w:rsidRDefault="007B5859" w:rsidP="00B413D6">
      <w:pPr>
        <w:numPr>
          <w:ilvl w:val="2"/>
          <w:numId w:val="32"/>
        </w:numPr>
        <w:suppressLineNumbers/>
        <w:suppressAutoHyphens/>
        <w:spacing w:before="120" w:after="120"/>
        <w:ind w:left="1775" w:hanging="357"/>
        <w:rPr>
          <w:kern w:val="22"/>
        </w:rPr>
      </w:pPr>
      <w:r w:rsidRPr="00B413D6">
        <w:rPr>
          <w:kern w:val="22"/>
        </w:rPr>
        <w:lastRenderedPageBreak/>
        <w:t xml:space="preserve">Sustainable </w:t>
      </w:r>
      <w:r w:rsidR="00142FC8" w:rsidRPr="00B413D6">
        <w:rPr>
          <w:kern w:val="22"/>
          <w:lang w:val="en-US"/>
        </w:rPr>
        <w:t xml:space="preserve">extractive practices/uses </w:t>
      </w:r>
      <w:r w:rsidR="007E3BC4" w:rsidRPr="00B413D6">
        <w:rPr>
          <w:kern w:val="22"/>
        </w:rPr>
        <w:t xml:space="preserve">(including fisheries, sustainable wildlife management, </w:t>
      </w:r>
      <w:r w:rsidR="003D7DD9" w:rsidRPr="00B413D6">
        <w:rPr>
          <w:kern w:val="22"/>
        </w:rPr>
        <w:t xml:space="preserve">sustainable use of species, </w:t>
      </w:r>
      <w:r w:rsidRPr="00B413D6">
        <w:rPr>
          <w:kern w:val="22"/>
        </w:rPr>
        <w:t>sustainability of harvest</w:t>
      </w:r>
      <w:r w:rsidR="00EF4858" w:rsidRPr="00B413D6">
        <w:rPr>
          <w:kern w:val="22"/>
        </w:rPr>
        <w:t>,</w:t>
      </w:r>
      <w:r w:rsidRPr="00B413D6">
        <w:rPr>
          <w:kern w:val="22"/>
        </w:rPr>
        <w:t xml:space="preserve"> </w:t>
      </w:r>
      <w:r w:rsidR="001D523A" w:rsidRPr="00B413D6">
        <w:rPr>
          <w:kern w:val="22"/>
        </w:rPr>
        <w:t xml:space="preserve">cultivation, alternative livelihood options, </w:t>
      </w:r>
      <w:r w:rsidR="007E3BC4" w:rsidRPr="00B413D6">
        <w:rPr>
          <w:kern w:val="22"/>
        </w:rPr>
        <w:t>etc</w:t>
      </w:r>
      <w:r w:rsidR="00E95716" w:rsidRPr="00B413D6">
        <w:rPr>
          <w:kern w:val="22"/>
        </w:rPr>
        <w:t>.</w:t>
      </w:r>
      <w:r w:rsidR="007E3BC4" w:rsidRPr="00B413D6">
        <w:rPr>
          <w:kern w:val="22"/>
        </w:rPr>
        <w:t>)</w:t>
      </w:r>
      <w:r w:rsidR="008F4D91" w:rsidRPr="00B413D6">
        <w:rPr>
          <w:kern w:val="22"/>
        </w:rPr>
        <w:t xml:space="preserve"> and unsustainable use (overexploitation)</w:t>
      </w:r>
      <w:r w:rsidR="00CD26E9" w:rsidRPr="00B413D6">
        <w:rPr>
          <w:kern w:val="22"/>
        </w:rPr>
        <w:t>;</w:t>
      </w:r>
    </w:p>
    <w:p w14:paraId="50010FD7" w14:textId="77777777" w:rsidR="00E95716" w:rsidRPr="00B413D6" w:rsidRDefault="007B5859" w:rsidP="00B413D6">
      <w:pPr>
        <w:numPr>
          <w:ilvl w:val="2"/>
          <w:numId w:val="32"/>
        </w:numPr>
        <w:suppressLineNumbers/>
        <w:suppressAutoHyphens/>
        <w:spacing w:before="120" w:after="120"/>
        <w:ind w:left="1775" w:hanging="357"/>
        <w:jc w:val="left"/>
        <w:rPr>
          <w:kern w:val="22"/>
        </w:rPr>
      </w:pPr>
      <w:r w:rsidRPr="00B413D6">
        <w:rPr>
          <w:kern w:val="22"/>
        </w:rPr>
        <w:t xml:space="preserve">Sustainable </w:t>
      </w:r>
      <w:r w:rsidR="00DE0606" w:rsidRPr="00B413D6">
        <w:rPr>
          <w:kern w:val="22"/>
        </w:rPr>
        <w:t xml:space="preserve">non-extractive practices/uses </w:t>
      </w:r>
      <w:r w:rsidR="00E95716" w:rsidRPr="00B413D6">
        <w:rPr>
          <w:kern w:val="22"/>
        </w:rPr>
        <w:t>(including tourism, infrastructure, etc.)</w:t>
      </w:r>
      <w:r w:rsidR="00CD26E9" w:rsidRPr="00B413D6">
        <w:rPr>
          <w:kern w:val="22"/>
        </w:rPr>
        <w:t>;</w:t>
      </w:r>
    </w:p>
    <w:p w14:paraId="53C99607" w14:textId="77777777" w:rsidR="00885E24" w:rsidRPr="00B413D6" w:rsidRDefault="007E3BC4" w:rsidP="00B413D6">
      <w:pPr>
        <w:numPr>
          <w:ilvl w:val="2"/>
          <w:numId w:val="32"/>
        </w:numPr>
        <w:suppressLineNumbers/>
        <w:suppressAutoHyphens/>
        <w:spacing w:before="120" w:after="120"/>
        <w:ind w:left="1775" w:hanging="357"/>
        <w:rPr>
          <w:kern w:val="22"/>
        </w:rPr>
      </w:pPr>
      <w:r w:rsidRPr="00B413D6">
        <w:rPr>
          <w:kern w:val="22"/>
        </w:rPr>
        <w:t>Customary sustainable use</w:t>
      </w:r>
      <w:r w:rsidR="00CD26E9" w:rsidRPr="00B413D6">
        <w:rPr>
          <w:kern w:val="22"/>
        </w:rPr>
        <w:t>;</w:t>
      </w:r>
    </w:p>
    <w:p w14:paraId="778D6C19" w14:textId="0610D965" w:rsidR="007E3BC4" w:rsidRPr="00B413D6" w:rsidRDefault="007B5859" w:rsidP="00B413D6">
      <w:pPr>
        <w:numPr>
          <w:ilvl w:val="2"/>
          <w:numId w:val="32"/>
        </w:numPr>
        <w:suppressLineNumbers/>
        <w:suppressAutoHyphens/>
        <w:spacing w:before="120" w:after="120"/>
        <w:ind w:left="1775" w:hanging="357"/>
        <w:rPr>
          <w:kern w:val="22"/>
        </w:rPr>
      </w:pPr>
      <w:r w:rsidRPr="00B413D6">
        <w:rPr>
          <w:kern w:val="22"/>
        </w:rPr>
        <w:t>Sustainability i</w:t>
      </w:r>
      <w:r w:rsidR="007E3BC4" w:rsidRPr="00B413D6">
        <w:rPr>
          <w:kern w:val="22"/>
        </w:rPr>
        <w:t>nstruments and enabl</w:t>
      </w:r>
      <w:r w:rsidRPr="00B413D6">
        <w:rPr>
          <w:kern w:val="22"/>
        </w:rPr>
        <w:t>ers</w:t>
      </w:r>
      <w:r w:rsidR="007E3BC4" w:rsidRPr="00B413D6">
        <w:rPr>
          <w:kern w:val="22"/>
        </w:rPr>
        <w:t xml:space="preserve"> (including subsidies, regulatory frameworks</w:t>
      </w:r>
      <w:r w:rsidR="00E95716" w:rsidRPr="00B413D6">
        <w:rPr>
          <w:kern w:val="22"/>
        </w:rPr>
        <w:t>, policies, sustainable production and consumption</w:t>
      </w:r>
      <w:r w:rsidR="007E3BC4" w:rsidRPr="00B413D6">
        <w:rPr>
          <w:kern w:val="22"/>
        </w:rPr>
        <w:t xml:space="preserve">, </w:t>
      </w:r>
      <w:r w:rsidR="001D523A" w:rsidRPr="00B413D6">
        <w:rPr>
          <w:kern w:val="22"/>
        </w:rPr>
        <w:t xml:space="preserve">shifting to non-extractive livelihoods, </w:t>
      </w:r>
      <w:r w:rsidR="007E3BC4" w:rsidRPr="00B413D6">
        <w:rPr>
          <w:kern w:val="22"/>
        </w:rPr>
        <w:t>etc.)</w:t>
      </w:r>
      <w:r w:rsidR="00CD26E9" w:rsidRPr="00B413D6">
        <w:rPr>
          <w:kern w:val="22"/>
        </w:rPr>
        <w:t>;</w:t>
      </w:r>
    </w:p>
    <w:p w14:paraId="0778E7F5" w14:textId="4F70ACE4" w:rsidR="007E3BC4" w:rsidRPr="00B413D6" w:rsidRDefault="007E3BC4" w:rsidP="00B413D6">
      <w:pPr>
        <w:numPr>
          <w:ilvl w:val="2"/>
          <w:numId w:val="32"/>
        </w:numPr>
        <w:suppressLineNumbers/>
        <w:suppressAutoHyphens/>
        <w:spacing w:before="120" w:after="120"/>
        <w:ind w:left="1775" w:hanging="357"/>
        <w:rPr>
          <w:kern w:val="22"/>
        </w:rPr>
      </w:pPr>
      <w:r w:rsidRPr="00B413D6">
        <w:rPr>
          <w:kern w:val="22"/>
        </w:rPr>
        <w:t>Cross</w:t>
      </w:r>
      <w:r w:rsidR="00CD26E9" w:rsidRPr="00B413D6">
        <w:rPr>
          <w:kern w:val="22"/>
        </w:rPr>
        <w:t>-</w:t>
      </w:r>
      <w:r w:rsidRPr="00B413D6">
        <w:rPr>
          <w:kern w:val="22"/>
        </w:rPr>
        <w:t xml:space="preserve">cutting </w:t>
      </w:r>
      <w:r w:rsidR="001D523A" w:rsidRPr="00B413D6">
        <w:rPr>
          <w:kern w:val="22"/>
        </w:rPr>
        <w:t xml:space="preserve">approaches </w:t>
      </w:r>
      <w:r w:rsidR="00E95716" w:rsidRPr="00B413D6">
        <w:rPr>
          <w:kern w:val="22"/>
        </w:rPr>
        <w:t>(including mainstreaming)</w:t>
      </w:r>
      <w:r w:rsidR="00CD26E9" w:rsidRPr="00B413D6">
        <w:rPr>
          <w:kern w:val="22"/>
        </w:rPr>
        <w:t>.</w:t>
      </w:r>
    </w:p>
    <w:p w14:paraId="446752A2" w14:textId="77777777" w:rsidR="007D3ABF" w:rsidRPr="00B413D6" w:rsidRDefault="007D3ABF" w:rsidP="00B413D6">
      <w:pPr>
        <w:numPr>
          <w:ilvl w:val="2"/>
          <w:numId w:val="30"/>
        </w:numPr>
        <w:suppressLineNumbers/>
        <w:suppressAutoHyphens/>
        <w:spacing w:before="120" w:after="120"/>
        <w:ind w:left="360"/>
        <w:rPr>
          <w:kern w:val="22"/>
        </w:rPr>
      </w:pPr>
      <w:r w:rsidRPr="00B413D6">
        <w:rPr>
          <w:kern w:val="22"/>
        </w:rPr>
        <w:t xml:space="preserve">Review of key points raised in the workshop and identified items for further in-depth discussion </w:t>
      </w:r>
      <w:proofErr w:type="gramStart"/>
      <w:r w:rsidRPr="00B413D6">
        <w:rPr>
          <w:kern w:val="22"/>
        </w:rPr>
        <w:t>on the basis of</w:t>
      </w:r>
      <w:proofErr w:type="gramEnd"/>
      <w:r w:rsidRPr="00B413D6">
        <w:rPr>
          <w:kern w:val="22"/>
        </w:rPr>
        <w:t xml:space="preserve"> previous discussions</w:t>
      </w:r>
      <w:r w:rsidR="00CD26E9" w:rsidRPr="00B413D6">
        <w:rPr>
          <w:kern w:val="22"/>
        </w:rPr>
        <w:t>.</w:t>
      </w:r>
    </w:p>
    <w:p w14:paraId="4AD9E645" w14:textId="30A57F52" w:rsidR="00885E24" w:rsidRPr="00B413D6" w:rsidRDefault="007D3ABF" w:rsidP="00B413D6">
      <w:pPr>
        <w:numPr>
          <w:ilvl w:val="2"/>
          <w:numId w:val="30"/>
        </w:numPr>
        <w:suppressLineNumbers/>
        <w:suppressAutoHyphens/>
        <w:spacing w:before="120" w:after="120"/>
        <w:ind w:left="360"/>
        <w:rPr>
          <w:kern w:val="22"/>
        </w:rPr>
      </w:pPr>
      <w:r w:rsidRPr="00B413D6">
        <w:rPr>
          <w:kern w:val="22"/>
        </w:rPr>
        <w:t xml:space="preserve">Segment 4: </w:t>
      </w:r>
      <w:r w:rsidR="00885E24" w:rsidRPr="00B413D6">
        <w:rPr>
          <w:kern w:val="22"/>
        </w:rPr>
        <w:t>Considerations and needs related to monitoring and review of the post-2020 global biodiversity framework</w:t>
      </w:r>
      <w:r w:rsidR="00CD26E9" w:rsidRPr="00B413D6">
        <w:rPr>
          <w:kern w:val="22"/>
        </w:rPr>
        <w:t>:</w:t>
      </w:r>
    </w:p>
    <w:p w14:paraId="2463C19B" w14:textId="5812341F" w:rsidR="00885E24" w:rsidRPr="00B413D6" w:rsidRDefault="007B5859" w:rsidP="00B413D6">
      <w:pPr>
        <w:numPr>
          <w:ilvl w:val="2"/>
          <w:numId w:val="33"/>
        </w:numPr>
        <w:suppressLineNumbers/>
        <w:suppressAutoHyphens/>
        <w:spacing w:before="120" w:after="120"/>
        <w:ind w:left="720"/>
        <w:rPr>
          <w:kern w:val="22"/>
        </w:rPr>
      </w:pPr>
      <w:r w:rsidRPr="00B413D6">
        <w:rPr>
          <w:kern w:val="22"/>
        </w:rPr>
        <w:t>Parallel b</w:t>
      </w:r>
      <w:r w:rsidR="00885E24" w:rsidRPr="00B413D6">
        <w:rPr>
          <w:kern w:val="22"/>
        </w:rPr>
        <w:t>reak-out groups to discuss issues related to monitoring and review:</w:t>
      </w:r>
    </w:p>
    <w:p w14:paraId="2207174D" w14:textId="4D66601A" w:rsidR="00885E24" w:rsidRPr="00B413D6" w:rsidRDefault="00885E24" w:rsidP="00B413D6">
      <w:pPr>
        <w:numPr>
          <w:ilvl w:val="3"/>
          <w:numId w:val="34"/>
        </w:numPr>
        <w:suppressLineNumbers/>
        <w:suppressAutoHyphens/>
        <w:spacing w:before="120" w:after="120"/>
        <w:ind w:left="1775" w:hanging="357"/>
        <w:rPr>
          <w:kern w:val="22"/>
        </w:rPr>
      </w:pPr>
      <w:r w:rsidRPr="00B413D6">
        <w:rPr>
          <w:kern w:val="22"/>
        </w:rPr>
        <w:t>Baseline information</w:t>
      </w:r>
      <w:r w:rsidR="00CD26E9" w:rsidRPr="00B413D6">
        <w:rPr>
          <w:kern w:val="22"/>
        </w:rPr>
        <w:t>;</w:t>
      </w:r>
    </w:p>
    <w:p w14:paraId="05159D19" w14:textId="69C802A9" w:rsidR="00885E24" w:rsidRPr="00B413D6" w:rsidRDefault="00885E24" w:rsidP="00B413D6">
      <w:pPr>
        <w:numPr>
          <w:ilvl w:val="3"/>
          <w:numId w:val="34"/>
        </w:numPr>
        <w:suppressLineNumbers/>
        <w:suppressAutoHyphens/>
        <w:spacing w:before="120" w:after="120"/>
        <w:ind w:left="1775" w:hanging="357"/>
        <w:rPr>
          <w:kern w:val="22"/>
        </w:rPr>
      </w:pPr>
      <w:r w:rsidRPr="00B413D6">
        <w:rPr>
          <w:kern w:val="22"/>
        </w:rPr>
        <w:t>Indicators for potential post-2020 goals/targets</w:t>
      </w:r>
      <w:r w:rsidR="008429CB" w:rsidRPr="00B413D6">
        <w:rPr>
          <w:kern w:val="22"/>
        </w:rPr>
        <w:t xml:space="preserve"> based on </w:t>
      </w:r>
      <w:r w:rsidR="003D6D09" w:rsidRPr="00B413D6">
        <w:rPr>
          <w:kern w:val="22"/>
        </w:rPr>
        <w:t>the draft text of the post-2020 global biodiversity framework</w:t>
      </w:r>
      <w:r w:rsidR="00AC578F" w:rsidRPr="00B413D6">
        <w:rPr>
          <w:kern w:val="22"/>
        </w:rPr>
        <w:t xml:space="preserve"> and outcomes of the </w:t>
      </w:r>
      <w:r w:rsidR="00CD26E9" w:rsidRPr="00B413D6">
        <w:rPr>
          <w:kern w:val="22"/>
        </w:rPr>
        <w:t>second meeting of the Working Group on the Post-2020 Global Biodiversity Framework;</w:t>
      </w:r>
    </w:p>
    <w:p w14:paraId="29387D6F" w14:textId="77777777" w:rsidR="007D3ABF" w:rsidRPr="00B413D6" w:rsidRDefault="00885E24" w:rsidP="00B413D6">
      <w:pPr>
        <w:numPr>
          <w:ilvl w:val="3"/>
          <w:numId w:val="34"/>
        </w:numPr>
        <w:suppressLineNumbers/>
        <w:suppressAutoHyphens/>
        <w:spacing w:before="120" w:after="120"/>
        <w:ind w:left="1775" w:hanging="357"/>
        <w:rPr>
          <w:kern w:val="22"/>
        </w:rPr>
      </w:pPr>
      <w:r w:rsidRPr="00B413D6">
        <w:rPr>
          <w:kern w:val="22"/>
        </w:rPr>
        <w:t>Data needs to support monitoring and review of progress</w:t>
      </w:r>
      <w:r w:rsidR="00CD26E9" w:rsidRPr="00B413D6">
        <w:rPr>
          <w:kern w:val="22"/>
        </w:rPr>
        <w:t>.</w:t>
      </w:r>
    </w:p>
    <w:p w14:paraId="7730CB63" w14:textId="77777777" w:rsidR="00885E24" w:rsidRPr="00B413D6" w:rsidRDefault="007D3ABF" w:rsidP="00B413D6">
      <w:pPr>
        <w:pStyle w:val="ListParagraph"/>
        <w:numPr>
          <w:ilvl w:val="0"/>
          <w:numId w:val="42"/>
        </w:numPr>
        <w:suppressLineNumbers/>
        <w:suppressAutoHyphens/>
        <w:spacing w:before="120" w:after="120"/>
        <w:ind w:left="426"/>
        <w:contextualSpacing w:val="0"/>
        <w:jc w:val="left"/>
        <w:rPr>
          <w:kern w:val="22"/>
        </w:rPr>
      </w:pPr>
      <w:r w:rsidRPr="00B413D6">
        <w:rPr>
          <w:kern w:val="22"/>
        </w:rPr>
        <w:t>Closing of the workshop.</w:t>
      </w:r>
    </w:p>
    <w:p w14:paraId="25F77A6B" w14:textId="77777777" w:rsidR="00B412D3" w:rsidRPr="00B413D6" w:rsidRDefault="0038595E" w:rsidP="00B413D6">
      <w:pPr>
        <w:pStyle w:val="Para1"/>
        <w:numPr>
          <w:ilvl w:val="0"/>
          <w:numId w:val="0"/>
        </w:numPr>
        <w:suppressLineNumbers/>
        <w:suppressAutoHyphens/>
        <w:jc w:val="center"/>
        <w:rPr>
          <w:kern w:val="22"/>
        </w:rPr>
      </w:pPr>
      <w:r w:rsidRPr="00B413D6">
        <w:rPr>
          <w:kern w:val="22"/>
        </w:rPr>
        <w:t>__________</w:t>
      </w:r>
    </w:p>
    <w:sectPr w:rsidR="00B412D3" w:rsidRPr="00B413D6" w:rsidSect="00A6400C">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DB5F" w14:textId="77777777" w:rsidR="004E642C" w:rsidRDefault="004E642C" w:rsidP="00CF1848">
      <w:r>
        <w:separator/>
      </w:r>
    </w:p>
  </w:endnote>
  <w:endnote w:type="continuationSeparator" w:id="0">
    <w:p w14:paraId="206EB158" w14:textId="77777777" w:rsidR="004E642C" w:rsidRDefault="004E642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A537" w14:textId="77777777" w:rsidR="004E642C" w:rsidRDefault="004E642C" w:rsidP="00CF1848">
      <w:r>
        <w:separator/>
      </w:r>
    </w:p>
  </w:footnote>
  <w:footnote w:type="continuationSeparator" w:id="0">
    <w:p w14:paraId="337B056B" w14:textId="77777777" w:rsidR="004E642C" w:rsidRDefault="004E642C" w:rsidP="00CF1848">
      <w:r>
        <w:continuationSeparator/>
      </w:r>
    </w:p>
  </w:footnote>
  <w:footnote w:id="1">
    <w:p w14:paraId="43E2588C" w14:textId="77777777" w:rsidR="00357EA5" w:rsidRPr="00B413D6" w:rsidRDefault="00357EA5" w:rsidP="00B413D6">
      <w:pPr>
        <w:pStyle w:val="FootnoteText"/>
        <w:suppressLineNumbers/>
        <w:suppressAutoHyphens/>
        <w:ind w:firstLine="0"/>
        <w:jc w:val="left"/>
        <w:rPr>
          <w:kern w:val="18"/>
          <w:szCs w:val="18"/>
          <w:lang w:val="en-US"/>
        </w:rPr>
      </w:pPr>
      <w:r w:rsidRPr="00B413D6">
        <w:rPr>
          <w:rStyle w:val="FootnoteReference"/>
          <w:kern w:val="18"/>
          <w:sz w:val="18"/>
          <w:szCs w:val="18"/>
        </w:rPr>
        <w:footnoteRef/>
      </w:r>
      <w:r w:rsidRPr="00B413D6">
        <w:rPr>
          <w:kern w:val="18"/>
          <w:szCs w:val="18"/>
        </w:rPr>
        <w:t xml:space="preserve"> </w:t>
      </w:r>
      <w:hyperlink r:id="rId1" w:history="1">
        <w:r w:rsidRPr="00B413D6">
          <w:rPr>
            <w:rStyle w:val="Hyperlink"/>
            <w:kern w:val="18"/>
            <w:szCs w:val="18"/>
          </w:rPr>
          <w:t>https://www.cbd.int/programmes/</w:t>
        </w:r>
      </w:hyperlink>
    </w:p>
  </w:footnote>
  <w:footnote w:id="2">
    <w:p w14:paraId="5D6BC43B" w14:textId="45899C6E" w:rsidR="00126158" w:rsidRPr="00B413D6" w:rsidRDefault="00126158" w:rsidP="00B413D6">
      <w:pPr>
        <w:pStyle w:val="FootnoteText"/>
        <w:suppressLineNumbers/>
        <w:suppressAutoHyphens/>
        <w:ind w:firstLine="0"/>
        <w:jc w:val="left"/>
        <w:rPr>
          <w:kern w:val="18"/>
          <w:szCs w:val="18"/>
          <w:lang w:val="en-US"/>
        </w:rPr>
      </w:pPr>
      <w:r w:rsidRPr="00B413D6">
        <w:rPr>
          <w:rStyle w:val="FootnoteReference"/>
          <w:kern w:val="18"/>
          <w:sz w:val="18"/>
          <w:szCs w:val="18"/>
        </w:rPr>
        <w:footnoteRef/>
      </w:r>
      <w:r w:rsidRPr="00B413D6">
        <w:rPr>
          <w:kern w:val="18"/>
          <w:szCs w:val="18"/>
        </w:rPr>
        <w:t xml:space="preserve"> </w:t>
      </w:r>
      <w:hyperlink r:id="rId2" w:history="1">
        <w:r w:rsidR="00C62637" w:rsidRPr="00B413D6">
          <w:rPr>
            <w:rStyle w:val="Hyperlink"/>
            <w:kern w:val="18"/>
            <w:szCs w:val="18"/>
          </w:rPr>
          <w:t>https://www.cbd.int/doc/publications/addis-gdl-en.pdf</w:t>
        </w:r>
      </w:hyperlink>
    </w:p>
  </w:footnote>
  <w:footnote w:id="3">
    <w:p w14:paraId="0A53EF51" w14:textId="77777777" w:rsidR="00357EA5" w:rsidRPr="00B413D6" w:rsidRDefault="00357EA5" w:rsidP="00B413D6">
      <w:pPr>
        <w:pStyle w:val="FootnoteText"/>
        <w:suppressLineNumbers/>
        <w:suppressAutoHyphens/>
        <w:ind w:firstLine="0"/>
        <w:jc w:val="left"/>
        <w:rPr>
          <w:kern w:val="18"/>
          <w:szCs w:val="18"/>
        </w:rPr>
      </w:pPr>
      <w:r w:rsidRPr="00B413D6">
        <w:rPr>
          <w:rStyle w:val="FootnoteReference"/>
          <w:kern w:val="18"/>
          <w:sz w:val="18"/>
          <w:szCs w:val="18"/>
        </w:rPr>
        <w:footnoteRef/>
      </w:r>
      <w:r w:rsidRPr="00B413D6">
        <w:rPr>
          <w:kern w:val="18"/>
          <w:szCs w:val="18"/>
        </w:rPr>
        <w:t xml:space="preserve"> </w:t>
      </w:r>
      <w:hyperlink r:id="rId3" w:history="1">
        <w:r w:rsidRPr="00B413D6">
          <w:rPr>
            <w:rStyle w:val="Hyperlink"/>
            <w:kern w:val="18"/>
            <w:szCs w:val="18"/>
          </w:rPr>
          <w:t>https://www.cbd.int/cop/cop-13/hls/cancun%20declaration-en.pdf</w:t>
        </w:r>
      </w:hyperlink>
    </w:p>
  </w:footnote>
  <w:footnote w:id="4">
    <w:p w14:paraId="5110AEC5" w14:textId="77777777" w:rsidR="00F00E3A" w:rsidRPr="00B413D6" w:rsidRDefault="00A3289A" w:rsidP="00B413D6">
      <w:pPr>
        <w:pStyle w:val="FootnoteText"/>
        <w:suppressLineNumbers/>
        <w:suppressAutoHyphens/>
        <w:ind w:firstLine="0"/>
        <w:jc w:val="left"/>
        <w:rPr>
          <w:kern w:val="18"/>
          <w:szCs w:val="18"/>
        </w:rPr>
      </w:pPr>
      <w:r w:rsidRPr="00B413D6">
        <w:rPr>
          <w:rStyle w:val="FootnoteReference"/>
          <w:kern w:val="18"/>
          <w:sz w:val="18"/>
          <w:szCs w:val="18"/>
        </w:rPr>
        <w:footnoteRef/>
      </w:r>
      <w:r w:rsidRPr="00B413D6">
        <w:rPr>
          <w:kern w:val="18"/>
          <w:szCs w:val="18"/>
        </w:rPr>
        <w:t xml:space="preserve"> </w:t>
      </w:r>
      <w:hyperlink r:id="rId4" w:history="1">
        <w:r w:rsidR="00F00E3A" w:rsidRPr="00B413D6">
          <w:rPr>
            <w:rStyle w:val="Hyperlink"/>
            <w:kern w:val="18"/>
            <w:szCs w:val="18"/>
          </w:rPr>
          <w:t>D</w:t>
        </w:r>
        <w:r w:rsidRPr="00B413D6">
          <w:rPr>
            <w:rStyle w:val="Hyperlink"/>
            <w:kern w:val="18"/>
            <w:szCs w:val="18"/>
          </w:rPr>
          <w:t>ecision 14/3</w:t>
        </w:r>
      </w:hyperlink>
      <w:r w:rsidR="00F00E3A" w:rsidRPr="00B413D6">
        <w:rPr>
          <w:kern w:val="18"/>
          <w:szCs w:val="18"/>
        </w:rPr>
        <w:t xml:space="preserve"> Mainstreaming of biodiversity in the energy and mining, infrastructure, manufacturing and processing sectors</w:t>
      </w:r>
    </w:p>
  </w:footnote>
  <w:footnote w:id="5">
    <w:p w14:paraId="080DAC30" w14:textId="59EBE609" w:rsidR="00F00E3A" w:rsidRPr="00B413D6" w:rsidRDefault="00F00E3A" w:rsidP="00B413D6">
      <w:pPr>
        <w:pStyle w:val="FootnoteText"/>
        <w:suppressLineNumbers/>
        <w:suppressAutoHyphens/>
        <w:ind w:firstLine="0"/>
        <w:jc w:val="left"/>
        <w:rPr>
          <w:kern w:val="18"/>
          <w:szCs w:val="18"/>
          <w:lang w:val="en-US"/>
        </w:rPr>
      </w:pPr>
      <w:r w:rsidRPr="00B413D6">
        <w:rPr>
          <w:rStyle w:val="FootnoteReference"/>
          <w:kern w:val="18"/>
          <w:sz w:val="18"/>
          <w:szCs w:val="18"/>
        </w:rPr>
        <w:footnoteRef/>
      </w:r>
      <w:r w:rsidRPr="00B413D6">
        <w:rPr>
          <w:kern w:val="18"/>
          <w:szCs w:val="18"/>
        </w:rPr>
        <w:t xml:space="preserve"> </w:t>
      </w:r>
      <w:r w:rsidRPr="00B413D6">
        <w:rPr>
          <w:color w:val="000000"/>
          <w:kern w:val="18"/>
          <w:szCs w:val="18"/>
        </w:rPr>
        <w:t xml:space="preserve">The Conference of the Parties adopted the </w:t>
      </w:r>
      <w:r w:rsidR="00361E0C">
        <w:rPr>
          <w:kern w:val="18"/>
          <w:szCs w:val="18"/>
        </w:rPr>
        <w:t>p</w:t>
      </w:r>
      <w:r w:rsidRPr="00B413D6">
        <w:rPr>
          <w:color w:val="000000"/>
          <w:kern w:val="18"/>
          <w:szCs w:val="18"/>
        </w:rPr>
        <w:t xml:space="preserve">rogramme of </w:t>
      </w:r>
      <w:r w:rsidR="00361E0C">
        <w:rPr>
          <w:kern w:val="18"/>
          <w:szCs w:val="18"/>
        </w:rPr>
        <w:t>w</w:t>
      </w:r>
      <w:r w:rsidRPr="00B413D6">
        <w:rPr>
          <w:color w:val="000000"/>
          <w:kern w:val="18"/>
          <w:szCs w:val="18"/>
        </w:rPr>
        <w:t xml:space="preserve">ork on Article 8(j) and related provisions in </w:t>
      </w:r>
      <w:hyperlink r:id="rId5" w:history="1">
        <w:r w:rsidRPr="00B413D6">
          <w:rPr>
            <w:color w:val="1155CC"/>
            <w:kern w:val="18"/>
            <w:szCs w:val="18"/>
            <w:u w:val="single"/>
          </w:rPr>
          <w:t>decision V</w:t>
        </w:r>
      </w:hyperlink>
      <w:hyperlink r:id="rId6" w:history="1">
        <w:r w:rsidRPr="00B413D6">
          <w:rPr>
            <w:color w:val="1155CC"/>
            <w:kern w:val="18"/>
            <w:szCs w:val="18"/>
            <w:u w:val="single"/>
          </w:rPr>
          <w:t>II</w:t>
        </w:r>
      </w:hyperlink>
      <w:hyperlink r:id="rId7" w:history="1">
        <w:r w:rsidRPr="00B413D6">
          <w:rPr>
            <w:color w:val="1155CC"/>
            <w:kern w:val="18"/>
            <w:szCs w:val="18"/>
            <w:u w:val="single"/>
          </w:rPr>
          <w:t>/16</w:t>
        </w:r>
      </w:hyperlink>
      <w:r w:rsidRPr="00B413D6">
        <w:rPr>
          <w:color w:val="000000"/>
          <w:kern w:val="18"/>
          <w:szCs w:val="18"/>
        </w:rPr>
        <w:t>.</w:t>
      </w:r>
    </w:p>
  </w:footnote>
  <w:footnote w:id="6">
    <w:p w14:paraId="0F936124" w14:textId="62B79D84" w:rsidR="00F00E3A" w:rsidRPr="00B413D6" w:rsidRDefault="00F00E3A" w:rsidP="00B413D6">
      <w:pPr>
        <w:pStyle w:val="FootnoteText"/>
        <w:suppressLineNumbers/>
        <w:suppressAutoHyphens/>
        <w:ind w:firstLine="0"/>
        <w:jc w:val="left"/>
        <w:rPr>
          <w:kern w:val="18"/>
          <w:szCs w:val="18"/>
          <w:lang w:val="en-US"/>
        </w:rPr>
      </w:pPr>
      <w:r w:rsidRPr="00B413D6">
        <w:rPr>
          <w:rStyle w:val="FootnoteReference"/>
          <w:kern w:val="18"/>
          <w:sz w:val="18"/>
          <w:szCs w:val="18"/>
        </w:rPr>
        <w:footnoteRef/>
      </w:r>
      <w:r w:rsidRPr="00B413D6">
        <w:rPr>
          <w:kern w:val="18"/>
          <w:szCs w:val="18"/>
        </w:rPr>
        <w:t xml:space="preserve"> </w:t>
      </w:r>
      <w:r w:rsidRPr="00B413D6">
        <w:rPr>
          <w:color w:val="000000"/>
          <w:kern w:val="18"/>
          <w:szCs w:val="18"/>
        </w:rPr>
        <w:t xml:space="preserve">See Target 18 at: </w:t>
      </w:r>
      <w:hyperlink r:id="rId8" w:anchor="GoalD" w:history="1">
        <w:r w:rsidRPr="00B413D6">
          <w:rPr>
            <w:color w:val="000000"/>
            <w:kern w:val="18"/>
            <w:szCs w:val="18"/>
          </w:rPr>
          <w:t>https://www.cbd.int/sp/targets/#GoalD</w:t>
        </w:r>
      </w:hyperlink>
    </w:p>
  </w:footnote>
  <w:footnote w:id="7">
    <w:p w14:paraId="2402624B" w14:textId="4B73DB99" w:rsidR="001D523A" w:rsidRPr="00B413D6" w:rsidRDefault="001D523A" w:rsidP="00B413D6">
      <w:pPr>
        <w:pStyle w:val="FootnoteText"/>
        <w:suppressLineNumbers/>
        <w:suppressAutoHyphens/>
        <w:ind w:firstLine="0"/>
        <w:jc w:val="left"/>
        <w:rPr>
          <w:kern w:val="18"/>
          <w:szCs w:val="18"/>
          <w:lang w:val="en-US"/>
        </w:rPr>
      </w:pPr>
      <w:r w:rsidRPr="00B413D6">
        <w:rPr>
          <w:rStyle w:val="FootnoteReference"/>
          <w:kern w:val="18"/>
          <w:sz w:val="18"/>
          <w:szCs w:val="18"/>
        </w:rPr>
        <w:footnoteRef/>
      </w:r>
      <w:r w:rsidRPr="00B413D6">
        <w:rPr>
          <w:kern w:val="18"/>
          <w:szCs w:val="18"/>
        </w:rPr>
        <w:t xml:space="preserve"> </w:t>
      </w:r>
      <w:r w:rsidRPr="00B413D6">
        <w:rPr>
          <w:color w:val="000000"/>
          <w:kern w:val="18"/>
          <w:szCs w:val="18"/>
        </w:rPr>
        <w:t>CBD/SBSTTA/23/2/Add.2</w:t>
      </w:r>
      <w:r w:rsidR="005F54D2">
        <w:rPr>
          <w:color w:val="00000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7F69" w14:textId="77777777" w:rsidR="00534681" w:rsidRPr="00134846" w:rsidRDefault="00534681" w:rsidP="00534681">
    <w:pPr>
      <w:pStyle w:val="Header"/>
      <w:rPr>
        <w:lang w:val="fr-FR"/>
      </w:rPr>
    </w:pPr>
    <w:r w:rsidRPr="00134846">
      <w:rPr>
        <w:lang w:val="fr-FR"/>
      </w:rPr>
      <w:t xml:space="preserve">Page </w:t>
    </w:r>
    <w:r w:rsidR="00840A59">
      <w:fldChar w:fldCharType="begin"/>
    </w:r>
    <w:r w:rsidRPr="00134846">
      <w:rPr>
        <w:lang w:val="fr-FR"/>
      </w:rPr>
      <w:instrText xml:space="preserve"> PAGE   \* MERGEFORMAT </w:instrText>
    </w:r>
    <w:r w:rsidR="00840A59">
      <w:fldChar w:fldCharType="separate"/>
    </w:r>
    <w:r w:rsidR="00C204B6">
      <w:rPr>
        <w:noProof/>
        <w:lang w:val="fr-FR"/>
      </w:rPr>
      <w:t>2</w:t>
    </w:r>
    <w:r w:rsidR="00840A59">
      <w:rPr>
        <w:noProof/>
      </w:rPr>
      <w:fldChar w:fldCharType="end"/>
    </w:r>
  </w:p>
  <w:p w14:paraId="3A1EB8D6"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02F4" w14:textId="77777777" w:rsidR="009505C9" w:rsidRPr="00134846" w:rsidRDefault="009505C9" w:rsidP="00502B7B">
    <w:pPr>
      <w:pStyle w:val="Header"/>
      <w:jc w:val="right"/>
      <w:rPr>
        <w:lang w:val="fr-FR"/>
      </w:rPr>
    </w:pPr>
    <w:r w:rsidRPr="00134846">
      <w:rPr>
        <w:lang w:val="fr-FR"/>
      </w:rPr>
      <w:t xml:space="preserve">Page </w:t>
    </w:r>
    <w:r w:rsidR="00840A59">
      <w:fldChar w:fldCharType="begin"/>
    </w:r>
    <w:r w:rsidRPr="00134846">
      <w:rPr>
        <w:lang w:val="fr-FR"/>
      </w:rPr>
      <w:instrText xml:space="preserve"> PAGE   \* MERGEFORMAT </w:instrText>
    </w:r>
    <w:r w:rsidR="00840A59">
      <w:fldChar w:fldCharType="separate"/>
    </w:r>
    <w:r w:rsidR="00C204B6">
      <w:rPr>
        <w:noProof/>
        <w:lang w:val="fr-FR"/>
      </w:rPr>
      <w:t>3</w:t>
    </w:r>
    <w:r w:rsidR="00840A59">
      <w:rPr>
        <w:noProof/>
      </w:rPr>
      <w:fldChar w:fldCharType="end"/>
    </w:r>
  </w:p>
  <w:p w14:paraId="3A67181E"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13"/>
    <w:multiLevelType w:val="hybridMultilevel"/>
    <w:tmpl w:val="9B1868D6"/>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7250"/>
    <w:multiLevelType w:val="hybridMultilevel"/>
    <w:tmpl w:val="7F0ED3C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1269"/>
    <w:multiLevelType w:val="hybridMultilevel"/>
    <w:tmpl w:val="FF200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4AF3"/>
    <w:multiLevelType w:val="hybridMultilevel"/>
    <w:tmpl w:val="3780B76C"/>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11297"/>
    <w:multiLevelType w:val="hybridMultilevel"/>
    <w:tmpl w:val="D1B48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821749"/>
    <w:multiLevelType w:val="hybridMultilevel"/>
    <w:tmpl w:val="48740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308"/>
    <w:multiLevelType w:val="hybridMultilevel"/>
    <w:tmpl w:val="8CB20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E1152A"/>
    <w:multiLevelType w:val="hybridMultilevel"/>
    <w:tmpl w:val="5DD4FD46"/>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102C9"/>
    <w:multiLevelType w:val="hybridMultilevel"/>
    <w:tmpl w:val="2CD20190"/>
    <w:lvl w:ilvl="0" w:tplc="04090001">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8229C"/>
    <w:multiLevelType w:val="hybridMultilevel"/>
    <w:tmpl w:val="457C22F0"/>
    <w:lvl w:ilvl="0" w:tplc="A6C6AD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491906"/>
    <w:multiLevelType w:val="hybridMultilevel"/>
    <w:tmpl w:val="4622E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3669"/>
    <w:multiLevelType w:val="hybridMultilevel"/>
    <w:tmpl w:val="A3D0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7012"/>
    <w:multiLevelType w:val="hybridMultilevel"/>
    <w:tmpl w:val="2D3495F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C0A0D"/>
    <w:multiLevelType w:val="hybridMultilevel"/>
    <w:tmpl w:val="989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723512"/>
    <w:multiLevelType w:val="hybridMultilevel"/>
    <w:tmpl w:val="692E6B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70C13E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C586E"/>
    <w:multiLevelType w:val="hybridMultilevel"/>
    <w:tmpl w:val="E214D6DC"/>
    <w:lvl w:ilvl="0" w:tplc="10090001">
      <w:start w:val="1"/>
      <w:numFmt w:val="bullet"/>
      <w:lvlText w:val=""/>
      <w:lvlJc w:val="left"/>
      <w:pPr>
        <w:ind w:left="360" w:hanging="360"/>
      </w:pPr>
      <w:rPr>
        <w:rFonts w:ascii="Symbol" w:hAnsi="Symbol" w:hint="default"/>
      </w:rPr>
    </w:lvl>
    <w:lvl w:ilvl="1" w:tplc="470C13EC">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E542D4"/>
    <w:multiLevelType w:val="hybridMultilevel"/>
    <w:tmpl w:val="266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F410F"/>
    <w:multiLevelType w:val="hybridMultilevel"/>
    <w:tmpl w:val="458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E6725"/>
    <w:multiLevelType w:val="hybridMultilevel"/>
    <w:tmpl w:val="8A763D38"/>
    <w:lvl w:ilvl="0" w:tplc="470C13EC">
      <w:start w:val="1"/>
      <w:numFmt w:val="bullet"/>
      <w:lvlText w:val=""/>
      <w:lvlJc w:val="left"/>
      <w:pPr>
        <w:ind w:left="720" w:hanging="360"/>
      </w:pPr>
      <w:rPr>
        <w:rFonts w:ascii="Symbol" w:hAnsi="Symbol" w:hint="default"/>
      </w:rPr>
    </w:lvl>
    <w:lvl w:ilvl="1" w:tplc="470C13E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1515B"/>
    <w:multiLevelType w:val="hybridMultilevel"/>
    <w:tmpl w:val="6818ED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D2C14"/>
    <w:multiLevelType w:val="hybridMultilevel"/>
    <w:tmpl w:val="8330522C"/>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230E6"/>
    <w:multiLevelType w:val="hybridMultilevel"/>
    <w:tmpl w:val="6CDA8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C562B"/>
    <w:multiLevelType w:val="hybridMultilevel"/>
    <w:tmpl w:val="03FC1D4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81CF1"/>
    <w:multiLevelType w:val="hybridMultilevel"/>
    <w:tmpl w:val="FC7A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8"/>
  </w:num>
  <w:num w:numId="4">
    <w:abstractNumId w:val="23"/>
  </w:num>
  <w:num w:numId="5">
    <w:abstractNumId w:val="21"/>
  </w:num>
  <w:num w:numId="6">
    <w:abstractNumId w:val="4"/>
  </w:num>
  <w:num w:numId="7">
    <w:abstractNumId w:val="7"/>
  </w:num>
  <w:num w:numId="8">
    <w:abstractNumId w:val="18"/>
    <w:lvlOverride w:ilvl="0">
      <w:startOverride w:val="1"/>
    </w:lvlOverride>
  </w:num>
  <w:num w:numId="9">
    <w:abstractNumId w:val="30"/>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5"/>
  </w:num>
  <w:num w:numId="15">
    <w:abstractNumId w:val="24"/>
  </w:num>
  <w:num w:numId="16">
    <w:abstractNumId w:val="5"/>
  </w:num>
  <w:num w:numId="17">
    <w:abstractNumId w:val="32"/>
  </w:num>
  <w:num w:numId="18">
    <w:abstractNumId w:val="34"/>
  </w:num>
  <w:num w:numId="19">
    <w:abstractNumId w:val="35"/>
  </w:num>
  <w:num w:numId="20">
    <w:abstractNumId w:val="17"/>
  </w:num>
  <w:num w:numId="21">
    <w:abstractNumId w:val="22"/>
  </w:num>
  <w:num w:numId="22">
    <w:abstractNumId w:val="26"/>
  </w:num>
  <w:num w:numId="23">
    <w:abstractNumId w:val="15"/>
  </w:num>
  <w:num w:numId="24">
    <w:abstractNumId w:val="11"/>
  </w:num>
  <w:num w:numId="25">
    <w:abstractNumId w:val="3"/>
  </w:num>
  <w:num w:numId="26">
    <w:abstractNumId w:val="0"/>
  </w:num>
  <w:num w:numId="27">
    <w:abstractNumId w:val="12"/>
  </w:num>
  <w:num w:numId="28">
    <w:abstractNumId w:val="16"/>
  </w:num>
  <w:num w:numId="29">
    <w:abstractNumId w:val="6"/>
  </w:num>
  <w:num w:numId="30">
    <w:abstractNumId w:val="14"/>
  </w:num>
  <w:num w:numId="31">
    <w:abstractNumId w:val="2"/>
  </w:num>
  <w:num w:numId="32">
    <w:abstractNumId w:val="1"/>
  </w:num>
  <w:num w:numId="33">
    <w:abstractNumId w:val="9"/>
  </w:num>
  <w:num w:numId="34">
    <w:abstractNumId w:val="8"/>
  </w:num>
  <w:num w:numId="35">
    <w:abstractNumId w:val="19"/>
  </w:num>
  <w:num w:numId="36">
    <w:abstractNumId w:val="29"/>
  </w:num>
  <w:num w:numId="37">
    <w:abstractNumId w:val="28"/>
  </w:num>
  <w:num w:numId="38">
    <w:abstractNumId w:val="13"/>
  </w:num>
  <w:num w:numId="39">
    <w:abstractNumId w:val="20"/>
  </w:num>
  <w:num w:numId="40">
    <w:abstractNumId w:val="27"/>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0A8D"/>
    <w:rsid w:val="00012736"/>
    <w:rsid w:val="000417B0"/>
    <w:rsid w:val="00085790"/>
    <w:rsid w:val="000B0FE1"/>
    <w:rsid w:val="000B627B"/>
    <w:rsid w:val="000D7632"/>
    <w:rsid w:val="000E1DF1"/>
    <w:rsid w:val="000E673A"/>
    <w:rsid w:val="000F59D4"/>
    <w:rsid w:val="000F74F5"/>
    <w:rsid w:val="00105372"/>
    <w:rsid w:val="00126158"/>
    <w:rsid w:val="00131E7A"/>
    <w:rsid w:val="00134846"/>
    <w:rsid w:val="00142FC8"/>
    <w:rsid w:val="001451E7"/>
    <w:rsid w:val="00156767"/>
    <w:rsid w:val="00166E2B"/>
    <w:rsid w:val="00172AF6"/>
    <w:rsid w:val="00176CEE"/>
    <w:rsid w:val="00186DD8"/>
    <w:rsid w:val="001A4FDD"/>
    <w:rsid w:val="001D523A"/>
    <w:rsid w:val="001F4CB8"/>
    <w:rsid w:val="002403BC"/>
    <w:rsid w:val="00267F5F"/>
    <w:rsid w:val="002A41D2"/>
    <w:rsid w:val="002F3DC4"/>
    <w:rsid w:val="0030169D"/>
    <w:rsid w:val="00321D9B"/>
    <w:rsid w:val="00347B8E"/>
    <w:rsid w:val="00357EA5"/>
    <w:rsid w:val="00361E0C"/>
    <w:rsid w:val="00372F74"/>
    <w:rsid w:val="003736EB"/>
    <w:rsid w:val="0038595E"/>
    <w:rsid w:val="00386B70"/>
    <w:rsid w:val="003D6D09"/>
    <w:rsid w:val="003D7DD9"/>
    <w:rsid w:val="003F40D5"/>
    <w:rsid w:val="003F685E"/>
    <w:rsid w:val="003F7224"/>
    <w:rsid w:val="00400CA4"/>
    <w:rsid w:val="00415358"/>
    <w:rsid w:val="00427D21"/>
    <w:rsid w:val="00433817"/>
    <w:rsid w:val="004644C2"/>
    <w:rsid w:val="00467F9C"/>
    <w:rsid w:val="004E2ADC"/>
    <w:rsid w:val="004E642C"/>
    <w:rsid w:val="00501E7A"/>
    <w:rsid w:val="00502B7B"/>
    <w:rsid w:val="00534681"/>
    <w:rsid w:val="005457FA"/>
    <w:rsid w:val="0055306E"/>
    <w:rsid w:val="0056586E"/>
    <w:rsid w:val="005813E2"/>
    <w:rsid w:val="005F54D2"/>
    <w:rsid w:val="005F74A6"/>
    <w:rsid w:val="00605E4B"/>
    <w:rsid w:val="006122BA"/>
    <w:rsid w:val="00631407"/>
    <w:rsid w:val="00633CD8"/>
    <w:rsid w:val="00694CB1"/>
    <w:rsid w:val="006B2290"/>
    <w:rsid w:val="006E14B2"/>
    <w:rsid w:val="006E7D1D"/>
    <w:rsid w:val="006F357B"/>
    <w:rsid w:val="00710E79"/>
    <w:rsid w:val="00717D88"/>
    <w:rsid w:val="00737655"/>
    <w:rsid w:val="0074006F"/>
    <w:rsid w:val="0074086D"/>
    <w:rsid w:val="00752D29"/>
    <w:rsid w:val="0078017D"/>
    <w:rsid w:val="0078606E"/>
    <w:rsid w:val="00791C27"/>
    <w:rsid w:val="007942D3"/>
    <w:rsid w:val="007B5859"/>
    <w:rsid w:val="007B6C09"/>
    <w:rsid w:val="007D3ABF"/>
    <w:rsid w:val="007E09DA"/>
    <w:rsid w:val="007E3BC4"/>
    <w:rsid w:val="0081153B"/>
    <w:rsid w:val="008178B6"/>
    <w:rsid w:val="00820060"/>
    <w:rsid w:val="00827B7B"/>
    <w:rsid w:val="00834E85"/>
    <w:rsid w:val="00840A59"/>
    <w:rsid w:val="008429CB"/>
    <w:rsid w:val="00865B74"/>
    <w:rsid w:val="00873ED9"/>
    <w:rsid w:val="00885E24"/>
    <w:rsid w:val="00894887"/>
    <w:rsid w:val="008A3B76"/>
    <w:rsid w:val="008A4E1E"/>
    <w:rsid w:val="008B39EB"/>
    <w:rsid w:val="008B67F9"/>
    <w:rsid w:val="008F18E0"/>
    <w:rsid w:val="008F4D91"/>
    <w:rsid w:val="00930BA1"/>
    <w:rsid w:val="00931671"/>
    <w:rsid w:val="0093169E"/>
    <w:rsid w:val="00947EE3"/>
    <w:rsid w:val="009505C9"/>
    <w:rsid w:val="009562D8"/>
    <w:rsid w:val="009C47AB"/>
    <w:rsid w:val="009D21B5"/>
    <w:rsid w:val="009F4C72"/>
    <w:rsid w:val="009F4E0A"/>
    <w:rsid w:val="00A128C8"/>
    <w:rsid w:val="00A31952"/>
    <w:rsid w:val="00A3289A"/>
    <w:rsid w:val="00A6400C"/>
    <w:rsid w:val="00A7395C"/>
    <w:rsid w:val="00AC578F"/>
    <w:rsid w:val="00AD25B6"/>
    <w:rsid w:val="00AF42DE"/>
    <w:rsid w:val="00B3369F"/>
    <w:rsid w:val="00B412D3"/>
    <w:rsid w:val="00B413D6"/>
    <w:rsid w:val="00B621DC"/>
    <w:rsid w:val="00B64E1F"/>
    <w:rsid w:val="00B94936"/>
    <w:rsid w:val="00B97D11"/>
    <w:rsid w:val="00BB4606"/>
    <w:rsid w:val="00C204B6"/>
    <w:rsid w:val="00C23D2F"/>
    <w:rsid w:val="00C44066"/>
    <w:rsid w:val="00C443BD"/>
    <w:rsid w:val="00C53C05"/>
    <w:rsid w:val="00C53FE3"/>
    <w:rsid w:val="00C62637"/>
    <w:rsid w:val="00C766E0"/>
    <w:rsid w:val="00C9161D"/>
    <w:rsid w:val="00CA1584"/>
    <w:rsid w:val="00CD26E9"/>
    <w:rsid w:val="00CD4E21"/>
    <w:rsid w:val="00CF1848"/>
    <w:rsid w:val="00D12044"/>
    <w:rsid w:val="00D130D3"/>
    <w:rsid w:val="00D43BAA"/>
    <w:rsid w:val="00D50471"/>
    <w:rsid w:val="00D76A18"/>
    <w:rsid w:val="00D97EE1"/>
    <w:rsid w:val="00DB6843"/>
    <w:rsid w:val="00DC1D90"/>
    <w:rsid w:val="00DD118C"/>
    <w:rsid w:val="00DE0606"/>
    <w:rsid w:val="00DE6828"/>
    <w:rsid w:val="00DF54F9"/>
    <w:rsid w:val="00DF7D5C"/>
    <w:rsid w:val="00E43AC5"/>
    <w:rsid w:val="00E51F2E"/>
    <w:rsid w:val="00E66235"/>
    <w:rsid w:val="00E83750"/>
    <w:rsid w:val="00E83C24"/>
    <w:rsid w:val="00E84D93"/>
    <w:rsid w:val="00E90C67"/>
    <w:rsid w:val="00E9318D"/>
    <w:rsid w:val="00E95716"/>
    <w:rsid w:val="00EA069B"/>
    <w:rsid w:val="00EA22FA"/>
    <w:rsid w:val="00EC114F"/>
    <w:rsid w:val="00EF4858"/>
    <w:rsid w:val="00F00E3A"/>
    <w:rsid w:val="00F21965"/>
    <w:rsid w:val="00F53193"/>
    <w:rsid w:val="00F53B71"/>
    <w:rsid w:val="00F647CA"/>
    <w:rsid w:val="00F6586C"/>
    <w:rsid w:val="00F72B53"/>
    <w:rsid w:val="00F93634"/>
    <w:rsid w:val="00F94774"/>
    <w:rsid w:val="00F9506F"/>
    <w:rsid w:val="00F963AD"/>
    <w:rsid w:val="00FB41A0"/>
    <w:rsid w:val="00FC06D5"/>
    <w:rsid w:val="00FC5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8B230"/>
  <w15:chartTrackingRefBased/>
  <w15:docId w15:val="{D33D2E44-AA69-4A87-A621-81AC915B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E09DA"/>
    <w:rPr>
      <w:rFonts w:ascii="Calibri" w:eastAsia="MS Gothic" w:hAnsi="Calibri" w:cs="Times New Roman"/>
      <w:color w:val="17365D"/>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7E09DA"/>
    <w:rPr>
      <w:rFonts w:ascii="Calibri" w:eastAsia="MS Gothic" w:hAnsi="Calibri" w:cs="Times New Roman"/>
      <w:i/>
      <w:iCs/>
      <w:color w:val="4F81BD"/>
      <w:spacing w:val="15"/>
      <w:lang w:val="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lang w:eastAsia="x-none"/>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PlainText">
    <w:name w:val="Plain Text"/>
    <w:basedOn w:val="Normal"/>
    <w:link w:val="PlainTextChar"/>
    <w:uiPriority w:val="99"/>
    <w:unhideWhenUsed/>
    <w:rsid w:val="00885E24"/>
    <w:pPr>
      <w:jc w:val="left"/>
    </w:pPr>
    <w:rPr>
      <w:rFonts w:ascii="Calibri" w:hAnsi="Calibri"/>
      <w:sz w:val="24"/>
      <w:szCs w:val="21"/>
      <w:lang w:val="en-CA" w:eastAsia="x-none"/>
    </w:rPr>
  </w:style>
  <w:style w:type="character" w:customStyle="1" w:styleId="PlainTextChar">
    <w:name w:val="Plain Text Char"/>
    <w:link w:val="PlainText"/>
    <w:uiPriority w:val="99"/>
    <w:rsid w:val="00885E24"/>
    <w:rPr>
      <w:rFonts w:ascii="Calibri" w:eastAsia="Times New Roman" w:hAnsi="Calibri" w:cs="Times New Roman"/>
      <w:szCs w:val="21"/>
      <w:lang w:val="en-CA" w:eastAsia="x-none"/>
    </w:rPr>
  </w:style>
  <w:style w:type="character" w:styleId="UnresolvedMention">
    <w:name w:val="Unresolved Mention"/>
    <w:uiPriority w:val="99"/>
    <w:semiHidden/>
    <w:unhideWhenUsed/>
    <w:rsid w:val="00F00E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114F"/>
    <w:pPr>
      <w:spacing w:after="0" w:line="240" w:lineRule="auto"/>
    </w:pPr>
    <w:rPr>
      <w:b/>
      <w:bCs/>
      <w:sz w:val="20"/>
      <w:szCs w:val="20"/>
    </w:rPr>
  </w:style>
  <w:style w:type="character" w:customStyle="1" w:styleId="CommentSubjectChar">
    <w:name w:val="Comment Subject Char"/>
    <w:link w:val="CommentSubject"/>
    <w:uiPriority w:val="99"/>
    <w:semiHidden/>
    <w:rsid w:val="00EC114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8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sp/targets/" TargetMode="External"/><Relationship Id="rId3" Type="http://schemas.openxmlformats.org/officeDocument/2006/relationships/hyperlink" Target="https://www.cbd.int/cop/cop-13/hls/cancun%20declaration-en.pdf" TargetMode="External"/><Relationship Id="rId7" Type="http://schemas.openxmlformats.org/officeDocument/2006/relationships/hyperlink" Target="https://www.cbd.int/decision/cop/default.shtml?id=7158" TargetMode="External"/><Relationship Id="rId2" Type="http://schemas.openxmlformats.org/officeDocument/2006/relationships/hyperlink" Target="https://www.cbd.int/doc/publications/addis-gdl-en.pdf" TargetMode="External"/><Relationship Id="rId1" Type="http://schemas.openxmlformats.org/officeDocument/2006/relationships/hyperlink" Target="https://www.cbd.int/programmes/" TargetMode="External"/><Relationship Id="rId6" Type="http://schemas.openxmlformats.org/officeDocument/2006/relationships/hyperlink" Target="https://www.cbd.int/decision/cop/default.shtml?id=7158" TargetMode="External"/><Relationship Id="rId5" Type="http://schemas.openxmlformats.org/officeDocument/2006/relationships/hyperlink" Target="https://www.cbd.int/decision/cop/default.shtml?id=7158" TargetMode="External"/><Relationship Id="rId4" Type="http://schemas.openxmlformats.org/officeDocument/2006/relationships/hyperlink" Target="https://www.cbd.int/doc/decisions/cop-14/cop-14-dec-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6ECEB-B15B-4B8F-B877-C0D11F1E15AB}">
  <ds:schemaRefs>
    <ds:schemaRef ds:uri="http://schemas.microsoft.com/sharepoint/v3/contenttype/forms"/>
  </ds:schemaRefs>
</ds:datastoreItem>
</file>

<file path=customXml/itemProps3.xml><?xml version="1.0" encoding="utf-8"?>
<ds:datastoreItem xmlns:ds="http://schemas.openxmlformats.org/officeDocument/2006/customXml" ds:itemID="{73CD03D5-A37E-4581-9D5F-4867E17382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AE23F-84C5-41DB-BA9D-6D14B87D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F7525-88B4-445D-B120-2B105DDE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Concept note for workshop on sustainable use of biological diversity for the Post-2020 GBF</vt:lpstr>
    </vt:vector>
  </TitlesOfParts>
  <Company>SCBD</Company>
  <LinksUpToDate>false</LinksUpToDate>
  <CharactersWithSpaces>11571</CharactersWithSpaces>
  <SharedDoc>false</SharedDoc>
  <HLinks>
    <vt:vector size="42" baseType="variant">
      <vt:variant>
        <vt:i4>2490482</vt:i4>
      </vt:variant>
      <vt:variant>
        <vt:i4>18</vt:i4>
      </vt:variant>
      <vt:variant>
        <vt:i4>0</vt:i4>
      </vt:variant>
      <vt:variant>
        <vt:i4>5</vt:i4>
      </vt:variant>
      <vt:variant>
        <vt:lpwstr>https://www.cbd.int/sp/targets/</vt:lpwstr>
      </vt:variant>
      <vt:variant>
        <vt:lpwstr>GoalD</vt:lpwstr>
      </vt:variant>
      <vt:variant>
        <vt:i4>6815796</vt:i4>
      </vt:variant>
      <vt:variant>
        <vt:i4>15</vt:i4>
      </vt:variant>
      <vt:variant>
        <vt:i4>0</vt:i4>
      </vt:variant>
      <vt:variant>
        <vt:i4>5</vt:i4>
      </vt:variant>
      <vt:variant>
        <vt:lpwstr>https://www.cbd.int/decision/cop/default.shtml?id=7158</vt:lpwstr>
      </vt:variant>
      <vt:variant>
        <vt:lpwstr/>
      </vt:variant>
      <vt:variant>
        <vt:i4>6815796</vt:i4>
      </vt:variant>
      <vt:variant>
        <vt:i4>12</vt:i4>
      </vt:variant>
      <vt:variant>
        <vt:i4>0</vt:i4>
      </vt:variant>
      <vt:variant>
        <vt:i4>5</vt:i4>
      </vt:variant>
      <vt:variant>
        <vt:lpwstr>https://www.cbd.int/decision/cop/default.shtml?id=7158</vt:lpwstr>
      </vt:variant>
      <vt:variant>
        <vt:lpwstr/>
      </vt:variant>
      <vt:variant>
        <vt:i4>6815796</vt:i4>
      </vt:variant>
      <vt:variant>
        <vt:i4>9</vt:i4>
      </vt:variant>
      <vt:variant>
        <vt:i4>0</vt:i4>
      </vt:variant>
      <vt:variant>
        <vt:i4>5</vt:i4>
      </vt:variant>
      <vt:variant>
        <vt:lpwstr>https://www.cbd.int/decision/cop/default.shtml?id=7158</vt:lpwstr>
      </vt:variant>
      <vt:variant>
        <vt:lpwstr/>
      </vt:variant>
      <vt:variant>
        <vt:i4>786506</vt:i4>
      </vt:variant>
      <vt:variant>
        <vt:i4>6</vt:i4>
      </vt:variant>
      <vt:variant>
        <vt:i4>0</vt:i4>
      </vt:variant>
      <vt:variant>
        <vt:i4>5</vt:i4>
      </vt:variant>
      <vt:variant>
        <vt:lpwstr>https://www.cbd.int/doc/decisions/cop-14/cop-14-dec-03-en.pdf</vt:lpwstr>
      </vt:variant>
      <vt:variant>
        <vt:lpwstr/>
      </vt:variant>
      <vt:variant>
        <vt:i4>131140</vt:i4>
      </vt:variant>
      <vt:variant>
        <vt:i4>3</vt:i4>
      </vt:variant>
      <vt:variant>
        <vt:i4>0</vt:i4>
      </vt:variant>
      <vt:variant>
        <vt:i4>5</vt:i4>
      </vt:variant>
      <vt:variant>
        <vt:lpwstr>https://www.cbd.int/cop/cop-13/hls/cancun declaration-en.pdf</vt:lpwstr>
      </vt:variant>
      <vt:variant>
        <vt:lpwstr/>
      </vt:variant>
      <vt:variant>
        <vt:i4>3080255</vt:i4>
      </vt:variant>
      <vt:variant>
        <vt:i4>0</vt:i4>
      </vt:variant>
      <vt:variant>
        <vt:i4>0</vt:i4>
      </vt:variant>
      <vt:variant>
        <vt:i4>5</vt:i4>
      </vt:variant>
      <vt:variant>
        <vt:lpwstr>https://www.cbd.int/programmes/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for workshop on sustainable use of biological diversity for the Post-2020 GBF</dc:title>
  <dc:subject/>
  <dc:creator>SCBD</dc:creator>
  <cp:keywords>Subsidiary Body on Implementation, Implementation of the Convention</cp:keywords>
  <cp:lastModifiedBy>Orestes Plasencia</cp:lastModifiedBy>
  <cp:revision>2</cp:revision>
  <dcterms:created xsi:type="dcterms:W3CDTF">2020-01-28T19:46:00Z</dcterms:created>
  <dcterms:modified xsi:type="dcterms:W3CDTF">2020-01-28T19:46:00Z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