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426" w:type="dxa"/>
        <w:tblLook w:val="04A0" w:firstRow="1" w:lastRow="0" w:firstColumn="1" w:lastColumn="0" w:noHBand="0" w:noVBand="1"/>
      </w:tblPr>
      <w:tblGrid>
        <w:gridCol w:w="795"/>
        <w:gridCol w:w="5141"/>
        <w:gridCol w:w="4413"/>
      </w:tblGrid>
      <w:tr w:rsidR="008E53EA" w:rsidRPr="001D0565" w14:paraId="62A90E66" w14:textId="77777777" w:rsidTr="00CD12C0">
        <w:trPr>
          <w:trHeight w:val="844"/>
        </w:trPr>
        <w:tc>
          <w:tcPr>
            <w:tcW w:w="795" w:type="dxa"/>
          </w:tcPr>
          <w:p w14:paraId="739E3446" w14:textId="77777777" w:rsidR="008E53EA" w:rsidRPr="001D0565" w:rsidRDefault="008E53EA" w:rsidP="00456490">
            <w:pPr>
              <w:suppressLineNumbers/>
              <w:suppressAutoHyphens/>
              <w:rPr>
                <w:kern w:val="22"/>
              </w:rPr>
            </w:pPr>
            <w:r w:rsidRPr="00456490">
              <w:rPr>
                <w:noProof/>
                <w:kern w:val="22"/>
              </w:rPr>
              <w:drawing>
                <wp:anchor distT="0" distB="0" distL="114300" distR="114300" simplePos="0" relativeHeight="251660288" behindDoc="0" locked="0" layoutInCell="1" allowOverlap="1" wp14:anchorId="0A9A5991" wp14:editId="5E6AC27A">
                  <wp:simplePos x="0" y="0"/>
                  <wp:positionH relativeFrom="column">
                    <wp:posOffset>365</wp:posOffset>
                  </wp:positionH>
                  <wp:positionV relativeFrom="page">
                    <wp:posOffset>-122</wp:posOffset>
                  </wp:positionV>
                  <wp:extent cx="476250" cy="402590"/>
                  <wp:effectExtent l="0" t="0" r="0" b="0"/>
                  <wp:wrapNone/>
                  <wp:docPr id="6"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shd w:val="clear" w:color="auto" w:fill="auto"/>
            <w:tcFitText/>
          </w:tcPr>
          <w:p w14:paraId="1748544C" w14:textId="77777777" w:rsidR="008E53EA" w:rsidRPr="001D0565" w:rsidRDefault="008E53EA" w:rsidP="00456490">
            <w:pPr>
              <w:suppressLineNumbers/>
              <w:suppressAutoHyphens/>
              <w:rPr>
                <w:kern w:val="22"/>
              </w:rPr>
            </w:pPr>
            <w:r w:rsidRPr="00456490">
              <w:rPr>
                <w:noProof/>
              </w:rPr>
              <w:drawing>
                <wp:anchor distT="0" distB="0" distL="114300" distR="114300" simplePos="0" relativeHeight="251659264" behindDoc="0" locked="0" layoutInCell="1" allowOverlap="1" wp14:anchorId="40B3A201" wp14:editId="465AD87B">
                  <wp:simplePos x="0" y="0"/>
                  <wp:positionH relativeFrom="column">
                    <wp:posOffset>-121303</wp:posOffset>
                  </wp:positionH>
                  <wp:positionV relativeFrom="page">
                    <wp:posOffset>-77403</wp:posOffset>
                  </wp:positionV>
                  <wp:extent cx="941011" cy="59338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413" w:type="dxa"/>
          </w:tcPr>
          <w:p w14:paraId="4CD6AC9E" w14:textId="77777777" w:rsidR="008E53EA" w:rsidRPr="001D0565" w:rsidRDefault="008E53EA" w:rsidP="00456490">
            <w:pPr>
              <w:suppressLineNumbers/>
              <w:suppressAutoHyphens/>
              <w:jc w:val="right"/>
              <w:rPr>
                <w:rFonts w:ascii="Arial" w:hAnsi="Arial" w:cs="Arial"/>
                <w:b/>
                <w:kern w:val="22"/>
                <w:sz w:val="32"/>
                <w:szCs w:val="32"/>
              </w:rPr>
            </w:pPr>
            <w:r w:rsidRPr="001D0565">
              <w:rPr>
                <w:rFonts w:ascii="Arial" w:hAnsi="Arial" w:cs="Arial"/>
                <w:b/>
                <w:kern w:val="22"/>
                <w:sz w:val="32"/>
                <w:szCs w:val="32"/>
              </w:rPr>
              <w:t>CBD</w:t>
            </w:r>
          </w:p>
        </w:tc>
      </w:tr>
    </w:tbl>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7"/>
        <w:gridCol w:w="4090"/>
      </w:tblGrid>
      <w:tr w:rsidR="00C9161D" w:rsidRPr="001D0565" w14:paraId="56E658C1" w14:textId="77777777" w:rsidTr="00CF1848">
        <w:tc>
          <w:tcPr>
            <w:tcW w:w="6117" w:type="dxa"/>
            <w:tcBorders>
              <w:top w:val="single" w:sz="12" w:space="0" w:color="auto"/>
              <w:bottom w:val="single" w:sz="36" w:space="0" w:color="auto"/>
            </w:tcBorders>
            <w:vAlign w:val="center"/>
          </w:tcPr>
          <w:p w14:paraId="0C17A3A6" w14:textId="77777777" w:rsidR="00C9161D" w:rsidRPr="001D0565" w:rsidRDefault="00C9161D">
            <w:pPr>
              <w:suppressLineNumbers/>
              <w:suppressAutoHyphens/>
              <w:kinsoku w:val="0"/>
              <w:overflowPunct w:val="0"/>
              <w:autoSpaceDE w:val="0"/>
              <w:autoSpaceDN w:val="0"/>
              <w:adjustRightInd w:val="0"/>
              <w:snapToGrid w:val="0"/>
              <w:rPr>
                <w:kern w:val="22"/>
              </w:rPr>
            </w:pPr>
            <w:r w:rsidRPr="00456490">
              <w:rPr>
                <w:noProof/>
                <w:kern w:val="22"/>
              </w:rPr>
              <w:drawing>
                <wp:inline distT="0" distB="0" distL="0" distR="0" wp14:anchorId="2676E069" wp14:editId="398BF50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1EDCF21" w14:textId="77777777" w:rsidR="00C9161D" w:rsidRPr="001D0565" w:rsidRDefault="00C9161D" w:rsidP="00456490">
            <w:pPr>
              <w:suppressLineNumbers/>
              <w:suppressAutoHyphens/>
              <w:kinsoku w:val="0"/>
              <w:overflowPunct w:val="0"/>
              <w:autoSpaceDE w:val="0"/>
              <w:autoSpaceDN w:val="0"/>
              <w:adjustRightInd w:val="0"/>
              <w:snapToGrid w:val="0"/>
              <w:ind w:left="1213"/>
              <w:jc w:val="left"/>
              <w:rPr>
                <w:kern w:val="22"/>
                <w:szCs w:val="22"/>
              </w:rPr>
            </w:pPr>
            <w:r w:rsidRPr="001D0565">
              <w:rPr>
                <w:kern w:val="22"/>
                <w:szCs w:val="22"/>
              </w:rPr>
              <w:t>Distr.</w:t>
            </w:r>
          </w:p>
          <w:p w14:paraId="1B2FE4D4" w14:textId="77777777" w:rsidR="00C9161D" w:rsidRPr="001D0565" w:rsidRDefault="00AB1691" w:rsidP="00456490">
            <w:pPr>
              <w:suppressLineNumbers/>
              <w:suppressAutoHyphens/>
              <w:kinsoku w:val="0"/>
              <w:overflowPunct w:val="0"/>
              <w:autoSpaceDE w:val="0"/>
              <w:autoSpaceDN w:val="0"/>
              <w:adjustRightInd w:val="0"/>
              <w:snapToGrid w:val="0"/>
              <w:ind w:left="1213"/>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84857" w:rsidRPr="00456490">
                  <w:rPr>
                    <w:kern w:val="22"/>
                    <w:szCs w:val="22"/>
                  </w:rPr>
                  <w:t>GENERAL</w:t>
                </w:r>
              </w:sdtContent>
            </w:sdt>
          </w:p>
          <w:p w14:paraId="176A6992" w14:textId="77777777" w:rsidR="00C9161D" w:rsidRPr="001D0565" w:rsidRDefault="00C9161D" w:rsidP="00456490">
            <w:pPr>
              <w:suppressLineNumbers/>
              <w:suppressAutoHyphens/>
              <w:kinsoku w:val="0"/>
              <w:overflowPunct w:val="0"/>
              <w:autoSpaceDE w:val="0"/>
              <w:autoSpaceDN w:val="0"/>
              <w:adjustRightInd w:val="0"/>
              <w:snapToGrid w:val="0"/>
              <w:ind w:left="1213"/>
              <w:jc w:val="left"/>
              <w:rPr>
                <w:kern w:val="22"/>
                <w:szCs w:val="22"/>
              </w:rPr>
            </w:pPr>
          </w:p>
          <w:p w14:paraId="6860B445" w14:textId="388E45CB" w:rsidR="00C9161D" w:rsidRPr="001D0565" w:rsidRDefault="00AB1691" w:rsidP="00456490">
            <w:pPr>
              <w:suppressLineNumbers/>
              <w:suppressAutoHyphens/>
              <w:kinsoku w:val="0"/>
              <w:overflowPunct w:val="0"/>
              <w:autoSpaceDE w:val="0"/>
              <w:autoSpaceDN w:val="0"/>
              <w:adjustRightInd w:val="0"/>
              <w:snapToGrid w:val="0"/>
              <w:ind w:left="1213"/>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C4969" w:rsidRPr="00456490">
                  <w:rPr>
                    <w:kern w:val="22"/>
                  </w:rPr>
                  <w:t>CBD/SBI/3/</w:t>
                </w:r>
                <w:r w:rsidR="005E1DF4" w:rsidRPr="00456490">
                  <w:rPr>
                    <w:kern w:val="22"/>
                  </w:rPr>
                  <w:t>2</w:t>
                </w:r>
              </w:sdtContent>
            </w:sdt>
          </w:p>
          <w:p w14:paraId="60F097AD" w14:textId="321B1FC8" w:rsidR="00C9161D" w:rsidRPr="001D0565" w:rsidRDefault="00AB1691" w:rsidP="00456490">
            <w:pPr>
              <w:suppressLineNumbers/>
              <w:suppressAutoHyphens/>
              <w:kinsoku w:val="0"/>
              <w:overflowPunct w:val="0"/>
              <w:autoSpaceDE w:val="0"/>
              <w:autoSpaceDN w:val="0"/>
              <w:adjustRightInd w:val="0"/>
              <w:snapToGrid w:val="0"/>
              <w:ind w:left="1213"/>
              <w:jc w:val="left"/>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20-06-26T00:00:00Z">
                  <w:dateFormat w:val="d MMMM yyyy"/>
                  <w:lid w:val="en-US"/>
                  <w:storeMappedDataAs w:val="dateTime"/>
                  <w:calendar w:val="gregorian"/>
                </w:date>
              </w:sdtPr>
              <w:sdtEndPr/>
              <w:sdtContent>
                <w:r w:rsidR="00082FC9" w:rsidRPr="00456490">
                  <w:rPr>
                    <w:kern w:val="22"/>
                    <w:szCs w:val="22"/>
                  </w:rPr>
                  <w:t>2</w:t>
                </w:r>
                <w:r w:rsidR="00082B0B" w:rsidRPr="00456490">
                  <w:rPr>
                    <w:kern w:val="22"/>
                    <w:szCs w:val="22"/>
                  </w:rPr>
                  <w:t xml:space="preserve">6 </w:t>
                </w:r>
                <w:r w:rsidR="00082FC9" w:rsidRPr="00456490">
                  <w:rPr>
                    <w:kern w:val="22"/>
                    <w:szCs w:val="22"/>
                  </w:rPr>
                  <w:t>June</w:t>
                </w:r>
                <w:r w:rsidR="00082B0B" w:rsidRPr="00456490">
                  <w:rPr>
                    <w:kern w:val="22"/>
                    <w:szCs w:val="22"/>
                  </w:rPr>
                  <w:t xml:space="preserve"> 2020</w:t>
                </w:r>
              </w:sdtContent>
            </w:sdt>
          </w:p>
          <w:p w14:paraId="08F7B52C" w14:textId="77777777" w:rsidR="00C9161D" w:rsidRPr="001D0565" w:rsidRDefault="00C9161D" w:rsidP="00456490">
            <w:pPr>
              <w:suppressLineNumbers/>
              <w:suppressAutoHyphens/>
              <w:kinsoku w:val="0"/>
              <w:overflowPunct w:val="0"/>
              <w:autoSpaceDE w:val="0"/>
              <w:autoSpaceDN w:val="0"/>
              <w:adjustRightInd w:val="0"/>
              <w:snapToGrid w:val="0"/>
              <w:ind w:left="1213"/>
              <w:jc w:val="left"/>
              <w:rPr>
                <w:kern w:val="22"/>
                <w:szCs w:val="22"/>
              </w:rPr>
            </w:pPr>
          </w:p>
          <w:p w14:paraId="4474FBA2" w14:textId="37257850" w:rsidR="00C9161D" w:rsidRPr="001D0565" w:rsidRDefault="006B2290" w:rsidP="00456490">
            <w:pPr>
              <w:suppressLineNumbers/>
              <w:suppressAutoHyphens/>
              <w:kinsoku w:val="0"/>
              <w:overflowPunct w:val="0"/>
              <w:autoSpaceDE w:val="0"/>
              <w:autoSpaceDN w:val="0"/>
              <w:adjustRightInd w:val="0"/>
              <w:snapToGrid w:val="0"/>
              <w:ind w:left="1213"/>
              <w:jc w:val="left"/>
              <w:rPr>
                <w:kern w:val="22"/>
                <w:szCs w:val="22"/>
              </w:rPr>
            </w:pPr>
            <w:r w:rsidRPr="001D0565">
              <w:rPr>
                <w:kern w:val="22"/>
                <w:szCs w:val="22"/>
              </w:rPr>
              <w:t xml:space="preserve">ORIGINAL: </w:t>
            </w:r>
            <w:r w:rsidR="00C9161D" w:rsidRPr="001D0565">
              <w:rPr>
                <w:kern w:val="22"/>
                <w:szCs w:val="22"/>
              </w:rPr>
              <w:t>ENGLISH</w:t>
            </w:r>
          </w:p>
        </w:tc>
      </w:tr>
    </w:tbl>
    <w:p w14:paraId="5DE7DB53" w14:textId="77777777" w:rsidR="00172AF6" w:rsidRPr="00BB02E4" w:rsidRDefault="001133C5">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rPr>
      </w:pPr>
      <w:r w:rsidRPr="00BB02E4">
        <w:rPr>
          <w:color w:val="000000"/>
          <w:kern w:val="22"/>
          <w:szCs w:val="22"/>
          <w:shd w:val="clear" w:color="auto" w:fill="FFFFFF"/>
        </w:rPr>
        <w:t>SUBSIDIARY BODY ON IMPLEMENTATION</w:t>
      </w:r>
    </w:p>
    <w:p w14:paraId="22D5D89E" w14:textId="25605FDC" w:rsidR="001133C5" w:rsidRPr="00BB02E4" w:rsidRDefault="004C2E08">
      <w:pPr>
        <w:pStyle w:val="Cornernotation"/>
        <w:suppressLineNumbers/>
        <w:suppressAutoHyphens/>
        <w:kinsoku w:val="0"/>
        <w:overflowPunct w:val="0"/>
        <w:autoSpaceDE w:val="0"/>
        <w:autoSpaceDN w:val="0"/>
        <w:adjustRightInd w:val="0"/>
        <w:snapToGrid w:val="0"/>
        <w:ind w:right="3860"/>
        <w:rPr>
          <w:color w:val="000000"/>
          <w:kern w:val="22"/>
          <w:szCs w:val="22"/>
          <w:shd w:val="clear" w:color="auto" w:fill="FFFFFF"/>
        </w:rPr>
      </w:pPr>
      <w:r w:rsidRPr="00BB02E4">
        <w:rPr>
          <w:color w:val="000000"/>
          <w:kern w:val="22"/>
          <w:szCs w:val="22"/>
          <w:shd w:val="clear" w:color="auto" w:fill="FFFFFF"/>
        </w:rPr>
        <w:t xml:space="preserve">Third </w:t>
      </w:r>
      <w:r w:rsidR="001133C5" w:rsidRPr="00BB02E4">
        <w:rPr>
          <w:color w:val="000000"/>
          <w:kern w:val="22"/>
          <w:szCs w:val="22"/>
          <w:shd w:val="clear" w:color="auto" w:fill="FFFFFF"/>
        </w:rPr>
        <w:t>meeting</w:t>
      </w:r>
    </w:p>
    <w:p w14:paraId="00E3FA99" w14:textId="7E507C04" w:rsidR="001133C5" w:rsidRPr="00BB02E4" w:rsidRDefault="000F72FC">
      <w:pPr>
        <w:pStyle w:val="Cornernotation"/>
        <w:suppressLineNumbers/>
        <w:suppressAutoHyphens/>
        <w:kinsoku w:val="0"/>
        <w:overflowPunct w:val="0"/>
        <w:autoSpaceDE w:val="0"/>
        <w:autoSpaceDN w:val="0"/>
        <w:adjustRightInd w:val="0"/>
        <w:snapToGrid w:val="0"/>
        <w:ind w:left="0" w:firstLine="0"/>
        <w:jc w:val="both"/>
        <w:rPr>
          <w:kern w:val="22"/>
          <w:szCs w:val="22"/>
        </w:rPr>
      </w:pPr>
      <w:r w:rsidRPr="00456490">
        <w:rPr>
          <w:kern w:val="22"/>
          <w:szCs w:val="22"/>
        </w:rPr>
        <w:t xml:space="preserve">Quebec </w:t>
      </w:r>
      <w:r w:rsidR="00CE2A99" w:rsidRPr="00456490">
        <w:rPr>
          <w:kern w:val="22"/>
          <w:szCs w:val="22"/>
        </w:rPr>
        <w:t xml:space="preserve">City </w:t>
      </w:r>
      <w:r w:rsidRPr="00456490">
        <w:rPr>
          <w:kern w:val="22"/>
          <w:szCs w:val="22"/>
        </w:rPr>
        <w:t>(to be confirmed)</w:t>
      </w:r>
      <w:r w:rsidR="001133C5" w:rsidRPr="00BB02E4">
        <w:rPr>
          <w:kern w:val="22"/>
          <w:szCs w:val="22"/>
        </w:rPr>
        <w:t xml:space="preserve">, Canada, </w:t>
      </w:r>
      <w:r w:rsidR="00EE7901" w:rsidRPr="00456490">
        <w:rPr>
          <w:kern w:val="22"/>
          <w:szCs w:val="22"/>
        </w:rPr>
        <w:t>9-14 November</w:t>
      </w:r>
      <w:r w:rsidR="00082B0B" w:rsidRPr="00BB02E4">
        <w:rPr>
          <w:kern w:val="22"/>
          <w:szCs w:val="22"/>
        </w:rPr>
        <w:t xml:space="preserve"> </w:t>
      </w:r>
      <w:r w:rsidR="001133C5" w:rsidRPr="00BB02E4">
        <w:rPr>
          <w:kern w:val="22"/>
          <w:szCs w:val="22"/>
        </w:rPr>
        <w:t>20</w:t>
      </w:r>
      <w:r w:rsidR="00082B0B" w:rsidRPr="00BB02E4">
        <w:rPr>
          <w:kern w:val="22"/>
          <w:szCs w:val="22"/>
        </w:rPr>
        <w:t>20</w:t>
      </w:r>
    </w:p>
    <w:p w14:paraId="451160DA" w14:textId="77777777" w:rsidR="001133C5" w:rsidRPr="001C68B8" w:rsidRDefault="001133C5">
      <w:pPr>
        <w:suppressLineNumbers/>
        <w:suppressAutoHyphens/>
        <w:kinsoku w:val="0"/>
        <w:overflowPunct w:val="0"/>
        <w:autoSpaceDE w:val="0"/>
        <w:autoSpaceDN w:val="0"/>
        <w:adjustRightInd w:val="0"/>
        <w:snapToGrid w:val="0"/>
        <w:rPr>
          <w:kern w:val="22"/>
          <w:szCs w:val="22"/>
        </w:rPr>
      </w:pPr>
      <w:r w:rsidRPr="001C68B8">
        <w:rPr>
          <w:kern w:val="22"/>
          <w:szCs w:val="22"/>
        </w:rPr>
        <w:t xml:space="preserve">Item </w:t>
      </w:r>
      <w:r w:rsidR="007F5BA8" w:rsidRPr="001C68B8">
        <w:rPr>
          <w:kern w:val="22"/>
          <w:szCs w:val="22"/>
        </w:rPr>
        <w:t>3</w:t>
      </w:r>
      <w:r w:rsidRPr="001C68B8">
        <w:rPr>
          <w:kern w:val="22"/>
          <w:szCs w:val="22"/>
        </w:rPr>
        <w:t xml:space="preserve"> of the provisional agenda</w:t>
      </w:r>
      <w:r w:rsidRPr="001C68B8">
        <w:rPr>
          <w:rStyle w:val="FootnoteReference"/>
          <w:kern w:val="22"/>
          <w:szCs w:val="22"/>
        </w:rPr>
        <w:footnoteReference w:customMarkFollows="1" w:id="2"/>
        <w:t>*</w:t>
      </w:r>
    </w:p>
    <w:p w14:paraId="46BD578C" w14:textId="77777777" w:rsidR="00C9161D" w:rsidRPr="00456490" w:rsidRDefault="00C9161D">
      <w:pPr>
        <w:suppressLineNumbers/>
        <w:suppressAutoHyphens/>
        <w:kinsoku w:val="0"/>
        <w:overflowPunct w:val="0"/>
        <w:autoSpaceDE w:val="0"/>
        <w:autoSpaceDN w:val="0"/>
        <w:adjustRightInd w:val="0"/>
        <w:snapToGrid w:val="0"/>
        <w:rPr>
          <w:kern w:val="22"/>
          <w:szCs w:val="22"/>
        </w:rPr>
      </w:pPr>
    </w:p>
    <w:p w14:paraId="68D47EAF" w14:textId="4589885B" w:rsidR="00C9161D" w:rsidRPr="00BB02E4" w:rsidRDefault="00AB1691">
      <w:pPr>
        <w:suppressLineNumbers/>
        <w:suppressAutoHyphens/>
        <w:kinsoku w:val="0"/>
        <w:overflowPunct w:val="0"/>
        <w:autoSpaceDE w:val="0"/>
        <w:autoSpaceDN w:val="0"/>
        <w:adjustRightInd w:val="0"/>
        <w:snapToGrid w:val="0"/>
        <w:spacing w:before="120" w:after="120"/>
        <w:jc w:val="center"/>
        <w:rPr>
          <w:b/>
          <w:caps/>
          <w:kern w:val="22"/>
          <w:szCs w:val="22"/>
        </w:rPr>
      </w:pPr>
      <w:sdt>
        <w:sdtPr>
          <w:rPr>
            <w:rStyle w:val="Heading2Char"/>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D97C4D" w:rsidRPr="00456490">
            <w:rPr>
              <w:rStyle w:val="Heading2Char"/>
              <w:caps/>
              <w:kern w:val="22"/>
              <w:szCs w:val="22"/>
            </w:rPr>
            <w:t>Review of progress in the implementation of the Convention and the Strategic Plan for Biodiversity 2011-2020</w:t>
          </w:r>
        </w:sdtContent>
      </w:sdt>
    </w:p>
    <w:p w14:paraId="3B0CDDD6" w14:textId="77777777" w:rsidR="009E4766" w:rsidRPr="001D0565" w:rsidRDefault="009E4766">
      <w:pPr>
        <w:pStyle w:val="Heading2"/>
        <w:suppressLineNumbers/>
        <w:tabs>
          <w:tab w:val="clear" w:pos="720"/>
        </w:tabs>
        <w:suppressAutoHyphens/>
        <w:kinsoku w:val="0"/>
        <w:overflowPunct w:val="0"/>
        <w:autoSpaceDE w:val="0"/>
        <w:autoSpaceDN w:val="0"/>
        <w:adjustRightInd w:val="0"/>
        <w:snapToGrid w:val="0"/>
        <w:rPr>
          <w:b w:val="0"/>
          <w:i/>
          <w:snapToGrid w:val="0"/>
          <w:kern w:val="22"/>
          <w:szCs w:val="22"/>
        </w:rPr>
      </w:pPr>
      <w:r w:rsidRPr="001D0565">
        <w:rPr>
          <w:b w:val="0"/>
          <w:i/>
          <w:snapToGrid w:val="0"/>
          <w:kern w:val="22"/>
          <w:szCs w:val="22"/>
        </w:rPr>
        <w:t>Note by the Executive Secretary</w:t>
      </w:r>
    </w:p>
    <w:p w14:paraId="77A7218C" w14:textId="77777777" w:rsidR="009E4766" w:rsidRPr="001D0565" w:rsidRDefault="009E4766">
      <w:pPr>
        <w:pStyle w:val="Heading1"/>
        <w:suppressLineNumbers/>
        <w:tabs>
          <w:tab w:val="clear" w:pos="720"/>
        </w:tabs>
        <w:suppressAutoHyphens/>
        <w:kinsoku w:val="0"/>
        <w:overflowPunct w:val="0"/>
        <w:autoSpaceDE w:val="0"/>
        <w:autoSpaceDN w:val="0"/>
        <w:adjustRightInd w:val="0"/>
        <w:snapToGrid w:val="0"/>
        <w:spacing w:before="120"/>
        <w:rPr>
          <w:snapToGrid w:val="0"/>
          <w:kern w:val="22"/>
          <w:szCs w:val="22"/>
        </w:rPr>
      </w:pPr>
      <w:r w:rsidRPr="001D0565">
        <w:rPr>
          <w:snapToGrid w:val="0"/>
          <w:kern w:val="22"/>
          <w:szCs w:val="22"/>
        </w:rPr>
        <w:t>BACKGROUND</w:t>
      </w:r>
    </w:p>
    <w:p w14:paraId="5A9D1702" w14:textId="415A47C5" w:rsidR="009E4766" w:rsidRPr="00456490" w:rsidRDefault="009E4766">
      <w:pPr>
        <w:pStyle w:val="Para1"/>
        <w:suppressLineNumbers/>
        <w:tabs>
          <w:tab w:val="clear" w:pos="360"/>
          <w:tab w:val="num" w:pos="720"/>
        </w:tabs>
        <w:suppressAutoHyphens/>
        <w:kinsoku w:val="0"/>
        <w:overflowPunct w:val="0"/>
        <w:autoSpaceDE w:val="0"/>
        <w:autoSpaceDN w:val="0"/>
        <w:adjustRightInd w:val="0"/>
        <w:snapToGrid w:val="0"/>
        <w:rPr>
          <w:spacing w:val="-3"/>
          <w:kern w:val="22"/>
          <w:szCs w:val="22"/>
        </w:rPr>
      </w:pPr>
      <w:r w:rsidRPr="00456490">
        <w:rPr>
          <w:spacing w:val="-3"/>
          <w:kern w:val="22"/>
          <w:szCs w:val="22"/>
        </w:rPr>
        <w:t xml:space="preserve">In decision </w:t>
      </w:r>
      <w:hyperlink r:id="rId17" w:history="1">
        <w:r w:rsidRPr="00456490">
          <w:rPr>
            <w:rStyle w:val="Hyperlink"/>
            <w:spacing w:val="-3"/>
            <w:kern w:val="22"/>
            <w:sz w:val="22"/>
            <w:szCs w:val="22"/>
          </w:rPr>
          <w:t>X/2</w:t>
        </w:r>
      </w:hyperlink>
      <w:r w:rsidRPr="00456490">
        <w:rPr>
          <w:spacing w:val="-3"/>
          <w:kern w:val="22"/>
          <w:szCs w:val="22"/>
        </w:rPr>
        <w:t xml:space="preserve"> the Conference of the Parties decided that, at its future meetings, it would review progress in the implementation of the </w:t>
      </w:r>
      <w:hyperlink r:id="rId18" w:history="1">
        <w:r w:rsidRPr="00456490">
          <w:rPr>
            <w:rStyle w:val="Hyperlink"/>
            <w:spacing w:val="-3"/>
            <w:kern w:val="22"/>
            <w:sz w:val="22"/>
            <w:szCs w:val="22"/>
          </w:rPr>
          <w:t>Strategic Plan for Biodiversity 2011-2020</w:t>
        </w:r>
      </w:hyperlink>
      <w:r w:rsidRPr="00456490">
        <w:rPr>
          <w:spacing w:val="-3"/>
          <w:kern w:val="22"/>
          <w:szCs w:val="22"/>
        </w:rPr>
        <w:t xml:space="preserve"> (para.</w:t>
      </w:r>
      <w:r w:rsidR="00B96B6A" w:rsidRPr="00456490">
        <w:rPr>
          <w:spacing w:val="-3"/>
          <w:kern w:val="22"/>
          <w:szCs w:val="22"/>
        </w:rPr>
        <w:t> </w:t>
      </w:r>
      <w:r w:rsidRPr="00456490">
        <w:rPr>
          <w:spacing w:val="-3"/>
          <w:kern w:val="22"/>
          <w:szCs w:val="22"/>
        </w:rPr>
        <w:t>14) and requested the Executive Secretary to prepare an analysis/synthesis of national, regional and other actions, including targets as appropriate, established in accordance with the Strategic Plan (para.</w:t>
      </w:r>
      <w:r w:rsidR="00B96B6A" w:rsidRPr="00456490">
        <w:rPr>
          <w:spacing w:val="-3"/>
          <w:kern w:val="22"/>
          <w:szCs w:val="22"/>
        </w:rPr>
        <w:t> </w:t>
      </w:r>
      <w:r w:rsidRPr="00456490">
        <w:rPr>
          <w:spacing w:val="-3"/>
          <w:kern w:val="22"/>
          <w:szCs w:val="22"/>
        </w:rPr>
        <w:t xml:space="preserve">17(b)), to enable the Conference of </w:t>
      </w:r>
      <w:r w:rsidR="00C9756C" w:rsidRPr="00456490">
        <w:rPr>
          <w:spacing w:val="-3"/>
          <w:kern w:val="22"/>
          <w:szCs w:val="22"/>
        </w:rPr>
        <w:t xml:space="preserve">the </w:t>
      </w:r>
      <w:r w:rsidRPr="00456490">
        <w:rPr>
          <w:spacing w:val="-3"/>
          <w:kern w:val="22"/>
          <w:szCs w:val="22"/>
        </w:rPr>
        <w:t>Parties to assess the contribution of such national and regional targets to the global targets.</w:t>
      </w:r>
      <w:r w:rsidR="00080089" w:rsidRPr="00456490">
        <w:rPr>
          <w:spacing w:val="-3"/>
          <w:kern w:val="22"/>
          <w:szCs w:val="22"/>
        </w:rPr>
        <w:t xml:space="preserve"> In response to this decision and related subsequent decisions</w:t>
      </w:r>
      <w:r w:rsidR="001C1CE7" w:rsidRPr="00456490">
        <w:rPr>
          <w:spacing w:val="-3"/>
          <w:kern w:val="22"/>
          <w:szCs w:val="22"/>
        </w:rPr>
        <w:t>,</w:t>
      </w:r>
      <w:r w:rsidR="00CA62B4" w:rsidRPr="00456490">
        <w:rPr>
          <w:rStyle w:val="FootnoteReference"/>
          <w:spacing w:val="-3"/>
          <w:kern w:val="22"/>
          <w:szCs w:val="22"/>
        </w:rPr>
        <w:footnoteReference w:id="3"/>
      </w:r>
      <w:r w:rsidR="00080089" w:rsidRPr="00456490">
        <w:rPr>
          <w:spacing w:val="-3"/>
          <w:kern w:val="22"/>
          <w:szCs w:val="22"/>
        </w:rPr>
        <w:t xml:space="preserve"> the Conference of the Parties at each of its meetings</w:t>
      </w:r>
      <w:r w:rsidR="00FC297D" w:rsidRPr="00456490">
        <w:rPr>
          <w:spacing w:val="-3"/>
          <w:kern w:val="22"/>
          <w:szCs w:val="22"/>
        </w:rPr>
        <w:t xml:space="preserve"> since </w:t>
      </w:r>
      <w:r w:rsidR="00D03B8B" w:rsidRPr="00456490">
        <w:rPr>
          <w:spacing w:val="-3"/>
          <w:kern w:val="22"/>
          <w:szCs w:val="22"/>
        </w:rPr>
        <w:t>its tenth meeting</w:t>
      </w:r>
      <w:r w:rsidR="00080089" w:rsidRPr="00456490">
        <w:rPr>
          <w:spacing w:val="-3"/>
          <w:kern w:val="22"/>
          <w:szCs w:val="22"/>
        </w:rPr>
        <w:t xml:space="preserve"> has reviewed progress in the implementation the Strategic Plan for Biodiversity 2011-2020 on the basis, among other things, </w:t>
      </w:r>
      <w:r w:rsidR="00FD6FB4" w:rsidRPr="00456490">
        <w:rPr>
          <w:spacing w:val="-3"/>
          <w:kern w:val="22"/>
          <w:szCs w:val="22"/>
        </w:rPr>
        <w:t xml:space="preserve">of </w:t>
      </w:r>
      <w:r w:rsidR="00080089" w:rsidRPr="00456490">
        <w:rPr>
          <w:spacing w:val="-3"/>
          <w:kern w:val="22"/>
          <w:szCs w:val="22"/>
        </w:rPr>
        <w:t>the national reports and national biodiversity strategies and action</w:t>
      </w:r>
      <w:r w:rsidR="00391B45" w:rsidRPr="00456490">
        <w:rPr>
          <w:spacing w:val="-3"/>
          <w:kern w:val="22"/>
          <w:szCs w:val="22"/>
        </w:rPr>
        <w:t xml:space="preserve"> plans</w:t>
      </w:r>
      <w:r w:rsidR="004740E3" w:rsidRPr="00456490">
        <w:rPr>
          <w:spacing w:val="-3"/>
          <w:kern w:val="22"/>
          <w:szCs w:val="22"/>
        </w:rPr>
        <w:t xml:space="preserve"> (NBSAPs)</w:t>
      </w:r>
      <w:r w:rsidR="00D03B8B" w:rsidRPr="00456490">
        <w:rPr>
          <w:spacing w:val="-3"/>
          <w:kern w:val="22"/>
          <w:szCs w:val="22"/>
        </w:rPr>
        <w:t>.</w:t>
      </w:r>
      <w:r w:rsidR="00CA62B4" w:rsidRPr="00456490">
        <w:rPr>
          <w:rStyle w:val="FootnoteReference"/>
          <w:spacing w:val="-3"/>
          <w:kern w:val="22"/>
          <w:szCs w:val="22"/>
        </w:rPr>
        <w:footnoteReference w:id="4"/>
      </w:r>
    </w:p>
    <w:p w14:paraId="11958FCB" w14:textId="3F8030B3" w:rsidR="00C479E7" w:rsidRPr="001D0565" w:rsidRDefault="004C2E08">
      <w:pPr>
        <w:pStyle w:val="Para1"/>
        <w:suppressLineNumbers/>
        <w:tabs>
          <w:tab w:val="clear" w:pos="360"/>
          <w:tab w:val="num" w:pos="720"/>
        </w:tabs>
        <w:suppressAutoHyphens/>
        <w:kinsoku w:val="0"/>
        <w:overflowPunct w:val="0"/>
        <w:autoSpaceDE w:val="0"/>
        <w:autoSpaceDN w:val="0"/>
        <w:adjustRightInd w:val="0"/>
        <w:snapToGrid w:val="0"/>
        <w:rPr>
          <w:kern w:val="22"/>
          <w:szCs w:val="22"/>
        </w:rPr>
      </w:pPr>
      <w:r w:rsidRPr="001D0565">
        <w:rPr>
          <w:kern w:val="22"/>
          <w:szCs w:val="22"/>
        </w:rPr>
        <w:t xml:space="preserve">In decision </w:t>
      </w:r>
      <w:hyperlink r:id="rId19" w:history="1">
        <w:r w:rsidRPr="00456490">
          <w:rPr>
            <w:rStyle w:val="Hyperlink"/>
            <w:sz w:val="22"/>
          </w:rPr>
          <w:t>14/1</w:t>
        </w:r>
      </w:hyperlink>
      <w:r w:rsidRPr="001D0565">
        <w:rPr>
          <w:kern w:val="22"/>
          <w:szCs w:val="22"/>
        </w:rPr>
        <w:t>, the Conference of the Parties e</w:t>
      </w:r>
      <w:r w:rsidRPr="00456490">
        <w:rPr>
          <w:kern w:val="22"/>
          <w:szCs w:val="22"/>
        </w:rPr>
        <w:t>ncouraged Parties to submit the sixth national report in a timely manner, and request</w:t>
      </w:r>
      <w:r w:rsidR="009E10B8" w:rsidRPr="00456490">
        <w:rPr>
          <w:kern w:val="22"/>
          <w:szCs w:val="22"/>
        </w:rPr>
        <w:t>ed</w:t>
      </w:r>
      <w:r w:rsidRPr="00456490">
        <w:rPr>
          <w:kern w:val="22"/>
          <w:szCs w:val="22"/>
        </w:rPr>
        <w:t xml:space="preserve"> the Executive Secretary to continue to update the analysis of progress towards the implementation of the Strategic Plan for Biodiversity-2011-2020 on the basis of information contained in the sixth national reports, which should be submitted by 31 December 2018, and to make the updated analysis available for consideration by the Subsidiary Body on Implementation at its third meeting</w:t>
      </w:r>
      <w:r w:rsidR="00FB3E47" w:rsidRPr="00456490">
        <w:rPr>
          <w:kern w:val="22"/>
          <w:szCs w:val="22"/>
        </w:rPr>
        <w:t>. Further</w:t>
      </w:r>
      <w:r w:rsidR="00832C8D" w:rsidRPr="00456490">
        <w:rPr>
          <w:kern w:val="22"/>
          <w:szCs w:val="22"/>
        </w:rPr>
        <w:t>,</w:t>
      </w:r>
      <w:r w:rsidR="00FB3E47" w:rsidRPr="00456490">
        <w:rPr>
          <w:kern w:val="22"/>
          <w:szCs w:val="22"/>
        </w:rPr>
        <w:t xml:space="preserve"> i</w:t>
      </w:r>
      <w:r w:rsidR="00C479E7" w:rsidRPr="00456490">
        <w:rPr>
          <w:kern w:val="22"/>
          <w:szCs w:val="22"/>
        </w:rPr>
        <w:t xml:space="preserve">n decision </w:t>
      </w:r>
      <w:hyperlink r:id="rId20" w:history="1">
        <w:r w:rsidR="00C479E7" w:rsidRPr="00456490">
          <w:rPr>
            <w:rStyle w:val="Hyperlink"/>
            <w:kern w:val="22"/>
            <w:sz w:val="22"/>
            <w:szCs w:val="22"/>
          </w:rPr>
          <w:t>14/18</w:t>
        </w:r>
      </w:hyperlink>
      <w:r w:rsidR="00C479E7" w:rsidRPr="00456490">
        <w:rPr>
          <w:kern w:val="22"/>
          <w:szCs w:val="22"/>
        </w:rPr>
        <w:t>, the Conference of the Parties requested the Executive Secretary to undertake a review of the implementation of the 2015-2020 Gender Plan of Action in order to identify gaps, best practices and lessons learned</w:t>
      </w:r>
      <w:r w:rsidR="00D97C4D" w:rsidRPr="00456490">
        <w:rPr>
          <w:kern w:val="22"/>
          <w:szCs w:val="22"/>
        </w:rPr>
        <w:t>.</w:t>
      </w:r>
    </w:p>
    <w:p w14:paraId="76733C38" w14:textId="2B775F59" w:rsidR="009E4766" w:rsidRPr="001D0565" w:rsidRDefault="009E4766">
      <w:pPr>
        <w:pStyle w:val="Para1"/>
        <w:suppressLineNumbers/>
        <w:tabs>
          <w:tab w:val="clear" w:pos="36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 xml:space="preserve">The present </w:t>
      </w:r>
      <w:r w:rsidR="00E90AC5" w:rsidRPr="001D0565">
        <w:rPr>
          <w:rFonts w:eastAsia="Malgun Gothic"/>
          <w:kern w:val="22"/>
          <w:szCs w:val="22"/>
        </w:rPr>
        <w:t xml:space="preserve">document </w:t>
      </w:r>
      <w:r w:rsidRPr="001D0565">
        <w:rPr>
          <w:rFonts w:eastAsia="Malgun Gothic"/>
          <w:kern w:val="22"/>
          <w:szCs w:val="22"/>
        </w:rPr>
        <w:t xml:space="preserve">provides an assessment of progress towards </w:t>
      </w:r>
      <w:r w:rsidR="00E90AC5" w:rsidRPr="001D0565">
        <w:rPr>
          <w:rFonts w:eastAsia="Malgun Gothic"/>
          <w:kern w:val="22"/>
          <w:szCs w:val="22"/>
        </w:rPr>
        <w:t xml:space="preserve">the </w:t>
      </w:r>
      <w:r w:rsidRPr="001D0565">
        <w:rPr>
          <w:rFonts w:eastAsia="Malgun Gothic"/>
          <w:kern w:val="22"/>
          <w:szCs w:val="22"/>
        </w:rPr>
        <w:t xml:space="preserve">implementation of the Strategic Plan for Biodiversity 2011-2020 and towards the achievement of the Aichi Biodiversity Targets in line with the above decisions. </w:t>
      </w:r>
      <w:r w:rsidR="00FB3E47" w:rsidRPr="001D0565">
        <w:rPr>
          <w:rFonts w:eastAsia="Malgun Gothic"/>
          <w:kern w:val="22"/>
          <w:szCs w:val="22"/>
        </w:rPr>
        <w:t xml:space="preserve">It also provides an assessment of the progress made in implementing 2015-2020 Gender Plan of Action. </w:t>
      </w:r>
      <w:r w:rsidRPr="001D0565">
        <w:rPr>
          <w:rFonts w:eastAsia="Malgun Gothic"/>
          <w:kern w:val="22"/>
          <w:szCs w:val="22"/>
        </w:rPr>
        <w:t xml:space="preserve">It is </w:t>
      </w:r>
      <w:r w:rsidR="00FB3E47" w:rsidRPr="001D0565">
        <w:rPr>
          <w:rFonts w:eastAsia="Malgun Gothic"/>
          <w:kern w:val="22"/>
          <w:szCs w:val="22"/>
        </w:rPr>
        <w:t xml:space="preserve">primarily </w:t>
      </w:r>
      <w:r w:rsidRPr="001D0565">
        <w:rPr>
          <w:rFonts w:eastAsia="Malgun Gothic"/>
          <w:kern w:val="22"/>
          <w:szCs w:val="22"/>
        </w:rPr>
        <w:t xml:space="preserve">based on information contained in the revised and updated </w:t>
      </w:r>
      <w:r w:rsidR="004740E3" w:rsidRPr="00456490">
        <w:rPr>
          <w:rFonts w:eastAsia="Malgun Gothic"/>
          <w:kern w:val="22"/>
          <w:szCs w:val="22"/>
        </w:rPr>
        <w:t>NBSAPs</w:t>
      </w:r>
      <w:r w:rsidR="00E34E26" w:rsidRPr="001D0565">
        <w:rPr>
          <w:rFonts w:eastAsia="Malgun Gothic"/>
          <w:kern w:val="22"/>
          <w:szCs w:val="22"/>
        </w:rPr>
        <w:t xml:space="preserve"> </w:t>
      </w:r>
      <w:r w:rsidRPr="001D0565">
        <w:rPr>
          <w:rFonts w:eastAsia="Malgun Gothic"/>
          <w:kern w:val="22"/>
          <w:szCs w:val="22"/>
        </w:rPr>
        <w:t xml:space="preserve">as well as the </w:t>
      </w:r>
      <w:r w:rsidR="004C2E08" w:rsidRPr="001D0565">
        <w:rPr>
          <w:rFonts w:eastAsia="Malgun Gothic"/>
          <w:kern w:val="22"/>
          <w:szCs w:val="22"/>
        </w:rPr>
        <w:t xml:space="preserve">sixth </w:t>
      </w:r>
      <w:r w:rsidRPr="001D0565">
        <w:rPr>
          <w:rFonts w:eastAsia="Malgun Gothic"/>
          <w:kern w:val="22"/>
          <w:szCs w:val="22"/>
        </w:rPr>
        <w:t xml:space="preserve">national reports received by </w:t>
      </w:r>
      <w:r w:rsidR="004C2E08" w:rsidRPr="001D0565">
        <w:rPr>
          <w:rFonts w:eastAsia="Malgun Gothic"/>
          <w:kern w:val="22"/>
          <w:szCs w:val="22"/>
        </w:rPr>
        <w:t xml:space="preserve">26 </w:t>
      </w:r>
      <w:r w:rsidRPr="001D0565">
        <w:rPr>
          <w:rFonts w:eastAsia="Malgun Gothic"/>
          <w:kern w:val="22"/>
          <w:szCs w:val="22"/>
        </w:rPr>
        <w:t>March 20</w:t>
      </w:r>
      <w:r w:rsidR="004C2E08" w:rsidRPr="001D0565">
        <w:rPr>
          <w:rFonts w:eastAsia="Malgun Gothic"/>
          <w:kern w:val="22"/>
          <w:szCs w:val="22"/>
        </w:rPr>
        <w:t>20</w:t>
      </w:r>
      <w:r w:rsidRPr="001D0565">
        <w:rPr>
          <w:rFonts w:eastAsia="Malgun Gothic"/>
          <w:kern w:val="22"/>
          <w:szCs w:val="22"/>
        </w:rPr>
        <w:t>. It is complimented by the following addend</w:t>
      </w:r>
      <w:r w:rsidR="00006789" w:rsidRPr="00456490">
        <w:rPr>
          <w:rFonts w:eastAsia="Malgun Gothic"/>
          <w:kern w:val="22"/>
          <w:szCs w:val="22"/>
        </w:rPr>
        <w:t>ums</w:t>
      </w:r>
      <w:r w:rsidRPr="001D0565">
        <w:rPr>
          <w:rFonts w:eastAsia="Malgun Gothic"/>
          <w:kern w:val="22"/>
          <w:szCs w:val="22"/>
        </w:rPr>
        <w:t>:</w:t>
      </w:r>
    </w:p>
    <w:p w14:paraId="3DDA2A1A" w14:textId="13E10E8E" w:rsidR="009E4766" w:rsidRPr="001D0565" w:rsidRDefault="00AB5BC2"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lastRenderedPageBreak/>
        <w:t>Update on progress in revising/updating and implementing national biodiversity strategies and action plans, including national targets</w:t>
      </w:r>
      <w:r w:rsidRPr="001D0565" w:rsidDel="00AB5BC2">
        <w:rPr>
          <w:kern w:val="22"/>
          <w:szCs w:val="22"/>
        </w:rPr>
        <w:t xml:space="preserve"> </w:t>
      </w:r>
      <w:r w:rsidR="009E4766" w:rsidRPr="001D0565">
        <w:rPr>
          <w:kern w:val="22"/>
          <w:szCs w:val="22"/>
        </w:rPr>
        <w:t>(CBD/SBI/</w:t>
      </w:r>
      <w:r w:rsidRPr="001D0565">
        <w:rPr>
          <w:kern w:val="22"/>
          <w:szCs w:val="22"/>
        </w:rPr>
        <w:t>3</w:t>
      </w:r>
      <w:r w:rsidR="009E4766" w:rsidRPr="001D0565">
        <w:rPr>
          <w:kern w:val="22"/>
          <w:szCs w:val="22"/>
        </w:rPr>
        <w:t>/2/Add.1);</w:t>
      </w:r>
    </w:p>
    <w:p w14:paraId="758E07BA" w14:textId="1D91A0AB" w:rsidR="009E4766" w:rsidRPr="001D0565" w:rsidRDefault="009E4766"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1D0565">
        <w:rPr>
          <w:kern w:val="22"/>
          <w:szCs w:val="22"/>
        </w:rPr>
        <w:t>Analysis of the contribution of targets established by Parties and progress towards the Aichi Biodiversity Targets (CBD/SBI/</w:t>
      </w:r>
      <w:r w:rsidR="00AB5BC2" w:rsidRPr="001D0565">
        <w:rPr>
          <w:kern w:val="22"/>
          <w:szCs w:val="22"/>
        </w:rPr>
        <w:t>3</w:t>
      </w:r>
      <w:r w:rsidRPr="001D0565">
        <w:rPr>
          <w:kern w:val="22"/>
          <w:szCs w:val="22"/>
        </w:rPr>
        <w:t>/</w:t>
      </w:r>
      <w:r w:rsidR="00ED5983" w:rsidRPr="00456490">
        <w:rPr>
          <w:kern w:val="22"/>
          <w:szCs w:val="22"/>
        </w:rPr>
        <w:t>2/</w:t>
      </w:r>
      <w:r w:rsidRPr="001D0565">
        <w:rPr>
          <w:kern w:val="22"/>
          <w:szCs w:val="22"/>
        </w:rPr>
        <w:t>Add.2);</w:t>
      </w:r>
    </w:p>
    <w:p w14:paraId="64CB5411" w14:textId="76CD7099" w:rsidR="009E4766" w:rsidRPr="001D0565" w:rsidRDefault="00AB5BC2"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Review of implementation of the 2015-2020 Gender Plan of Action</w:t>
      </w:r>
      <w:r w:rsidR="009E4766" w:rsidRPr="001D0565">
        <w:rPr>
          <w:kern w:val="22"/>
          <w:szCs w:val="22"/>
        </w:rPr>
        <w:t xml:space="preserve"> (CBD/SBI/</w:t>
      </w:r>
      <w:r w:rsidRPr="001D0565">
        <w:rPr>
          <w:kern w:val="22"/>
          <w:szCs w:val="22"/>
        </w:rPr>
        <w:t>3</w:t>
      </w:r>
      <w:r w:rsidR="009E4766" w:rsidRPr="001D0565">
        <w:rPr>
          <w:kern w:val="22"/>
          <w:szCs w:val="22"/>
        </w:rPr>
        <w:t>/</w:t>
      </w:r>
      <w:r w:rsidR="003A1256" w:rsidRPr="00456490">
        <w:rPr>
          <w:kern w:val="22"/>
          <w:szCs w:val="22"/>
        </w:rPr>
        <w:t>2/</w:t>
      </w:r>
      <w:r w:rsidR="009E4766" w:rsidRPr="001D0565">
        <w:rPr>
          <w:kern w:val="22"/>
          <w:szCs w:val="22"/>
        </w:rPr>
        <w:t>Add.3)</w:t>
      </w:r>
      <w:r w:rsidR="00D97C4D" w:rsidRPr="001D0565">
        <w:rPr>
          <w:kern w:val="22"/>
          <w:szCs w:val="22"/>
        </w:rPr>
        <w:t>;</w:t>
      </w:r>
    </w:p>
    <w:p w14:paraId="676506C9" w14:textId="1CD9E8A4" w:rsidR="00AB5BC2" w:rsidRPr="001D0565" w:rsidRDefault="00AB5BC2"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Progress towards Aichi Biodiversity Target 18 on traditional knowledge and customary sustainable use of biodiversity (CBD/SBI/3/2/Add.4)</w:t>
      </w:r>
      <w:r w:rsidR="00D1481C" w:rsidRPr="00456490">
        <w:rPr>
          <w:kern w:val="22"/>
          <w:szCs w:val="22"/>
        </w:rPr>
        <w:t>.</w:t>
      </w:r>
    </w:p>
    <w:p w14:paraId="607E6CCE" w14:textId="235060D9" w:rsidR="00D72ADA" w:rsidRPr="00456490" w:rsidRDefault="00BD0EFF" w:rsidP="00456490">
      <w:pPr>
        <w:pStyle w:val="Para1"/>
        <w:suppressLineNumbers/>
        <w:tabs>
          <w:tab w:val="clear" w:pos="360"/>
        </w:tabs>
        <w:suppressAutoHyphens/>
        <w:kinsoku w:val="0"/>
        <w:overflowPunct w:val="0"/>
        <w:autoSpaceDE w:val="0"/>
        <w:autoSpaceDN w:val="0"/>
        <w:adjustRightInd w:val="0"/>
        <w:snapToGrid w:val="0"/>
        <w:rPr>
          <w:b/>
          <w:kern w:val="22"/>
          <w:szCs w:val="22"/>
        </w:rPr>
      </w:pPr>
      <w:r w:rsidRPr="00456490">
        <w:rPr>
          <w:spacing w:val="-3"/>
          <w:kern w:val="22"/>
          <w:szCs w:val="22"/>
        </w:rPr>
        <w:t>The document</w:t>
      </w:r>
      <w:r w:rsidR="00CA62B4" w:rsidRPr="00456490">
        <w:rPr>
          <w:spacing w:val="-3"/>
          <w:kern w:val="22"/>
          <w:szCs w:val="22"/>
        </w:rPr>
        <w:t>s</w:t>
      </w:r>
      <w:r w:rsidRPr="00456490">
        <w:rPr>
          <w:spacing w:val="-3"/>
          <w:kern w:val="22"/>
          <w:szCs w:val="22"/>
        </w:rPr>
        <w:t xml:space="preserve"> prepared for this agenda item, in particular CBD/SBI/3/2/Add.1 and Add.2, </w:t>
      </w:r>
      <w:r w:rsidR="00AF206A" w:rsidRPr="00456490">
        <w:rPr>
          <w:spacing w:val="-3"/>
          <w:kern w:val="22"/>
          <w:szCs w:val="22"/>
        </w:rPr>
        <w:t>are</w:t>
      </w:r>
      <w:r w:rsidRPr="00456490">
        <w:rPr>
          <w:spacing w:val="-3"/>
          <w:kern w:val="22"/>
          <w:szCs w:val="22"/>
        </w:rPr>
        <w:t xml:space="preserve"> also relevant to agenda item 9 (</w:t>
      </w:r>
      <w:r w:rsidR="0056652B" w:rsidRPr="00456490">
        <w:rPr>
          <w:spacing w:val="-3"/>
          <w:kern w:val="22"/>
          <w:szCs w:val="22"/>
        </w:rPr>
        <w:t>mechanisms for reporting, assessment and review of implementation)</w:t>
      </w:r>
      <w:r w:rsidR="00FC297D" w:rsidRPr="00456490">
        <w:rPr>
          <w:spacing w:val="-3"/>
          <w:kern w:val="22"/>
          <w:szCs w:val="22"/>
        </w:rPr>
        <w:t>.</w:t>
      </w:r>
      <w:r w:rsidR="0056652B" w:rsidRPr="00456490">
        <w:rPr>
          <w:spacing w:val="-3"/>
          <w:kern w:val="22"/>
          <w:szCs w:val="22"/>
        </w:rPr>
        <w:t xml:space="preserve"> </w:t>
      </w:r>
      <w:r w:rsidR="00D72ADA" w:rsidRPr="00456490">
        <w:rPr>
          <w:spacing w:val="-3"/>
          <w:kern w:val="22"/>
          <w:szCs w:val="22"/>
        </w:rPr>
        <w:t xml:space="preserve">This document is </w:t>
      </w:r>
      <w:r w:rsidR="0086500A" w:rsidRPr="00456490">
        <w:rPr>
          <w:spacing w:val="-3"/>
          <w:kern w:val="22"/>
          <w:szCs w:val="22"/>
        </w:rPr>
        <w:t xml:space="preserve">also </w:t>
      </w:r>
      <w:r w:rsidR="00D72ADA" w:rsidRPr="00456490">
        <w:rPr>
          <w:spacing w:val="-3"/>
          <w:kern w:val="22"/>
          <w:szCs w:val="22"/>
        </w:rPr>
        <w:t xml:space="preserve">complemented by </w:t>
      </w:r>
      <w:r w:rsidR="0086500A" w:rsidRPr="00456490">
        <w:rPr>
          <w:spacing w:val="-3"/>
          <w:kern w:val="22"/>
          <w:szCs w:val="22"/>
        </w:rPr>
        <w:t xml:space="preserve">the fifth edition of the </w:t>
      </w:r>
      <w:r w:rsidR="0086500A" w:rsidRPr="00456490">
        <w:rPr>
          <w:i/>
          <w:iCs/>
          <w:spacing w:val="-3"/>
          <w:kern w:val="22"/>
          <w:szCs w:val="22"/>
        </w:rPr>
        <w:t>Global Biodiversity Outlook</w:t>
      </w:r>
      <w:r w:rsidR="00CD0CCF" w:rsidRPr="00456490">
        <w:rPr>
          <w:spacing w:val="-3"/>
          <w:kern w:val="22"/>
          <w:szCs w:val="22"/>
        </w:rPr>
        <w:t>,</w:t>
      </w:r>
      <w:r w:rsidR="00D72ADA" w:rsidRPr="00456490">
        <w:rPr>
          <w:spacing w:val="-3"/>
          <w:kern w:val="22"/>
          <w:szCs w:val="22"/>
        </w:rPr>
        <w:t xml:space="preserve"> which will be </w:t>
      </w:r>
      <w:r w:rsidR="0086500A" w:rsidRPr="00456490">
        <w:rPr>
          <w:spacing w:val="-3"/>
          <w:kern w:val="22"/>
          <w:szCs w:val="22"/>
        </w:rPr>
        <w:t>considered by the Subsidiary Body on Scientific Technical and Technological Advice</w:t>
      </w:r>
      <w:r w:rsidR="00331908" w:rsidRPr="00456490">
        <w:rPr>
          <w:spacing w:val="-3"/>
          <w:kern w:val="22"/>
          <w:szCs w:val="22"/>
        </w:rPr>
        <w:t xml:space="preserve"> at its twenty-fourth meeting</w:t>
      </w:r>
      <w:r w:rsidR="0086500A" w:rsidRPr="00456490">
        <w:rPr>
          <w:spacing w:val="-3"/>
          <w:kern w:val="22"/>
          <w:szCs w:val="22"/>
        </w:rPr>
        <w:t>.</w:t>
      </w:r>
    </w:p>
    <w:p w14:paraId="36F1FE35" w14:textId="77777777" w:rsidR="009E4766" w:rsidRPr="001D0565" w:rsidRDefault="009E4766" w:rsidP="00456490">
      <w:pPr>
        <w:pStyle w:val="Heading1"/>
        <w:numPr>
          <w:ilvl w:val="0"/>
          <w:numId w:val="21"/>
        </w:numPr>
        <w:suppressLineNumbers/>
        <w:tabs>
          <w:tab w:val="clear" w:pos="720"/>
          <w:tab w:val="left" w:pos="360"/>
        </w:tabs>
        <w:suppressAutoHyphens/>
        <w:kinsoku w:val="0"/>
        <w:overflowPunct w:val="0"/>
        <w:autoSpaceDE w:val="0"/>
        <w:autoSpaceDN w:val="0"/>
        <w:adjustRightInd w:val="0"/>
        <w:snapToGrid w:val="0"/>
        <w:spacing w:before="120"/>
        <w:ind w:left="0" w:firstLine="0"/>
        <w:rPr>
          <w:caps w:val="0"/>
          <w:snapToGrid w:val="0"/>
          <w:kern w:val="22"/>
          <w:szCs w:val="22"/>
        </w:rPr>
      </w:pPr>
      <w:r w:rsidRPr="001D0565">
        <w:rPr>
          <w:caps w:val="0"/>
          <w:snapToGrid w:val="0"/>
          <w:kern w:val="22"/>
          <w:szCs w:val="22"/>
        </w:rPr>
        <w:t>REVIEW OF IMPLEMENTATION</w:t>
      </w:r>
    </w:p>
    <w:p w14:paraId="5435AF30" w14:textId="22A8F1A0" w:rsidR="009E4766" w:rsidRPr="001D0565" w:rsidRDefault="00D72ADA">
      <w:pPr>
        <w:keepNext/>
        <w:numPr>
          <w:ilvl w:val="0"/>
          <w:numId w:val="22"/>
        </w:numPr>
        <w:suppressLineNumbers/>
        <w:suppressAutoHyphens/>
        <w:kinsoku w:val="0"/>
        <w:overflowPunct w:val="0"/>
        <w:autoSpaceDE w:val="0"/>
        <w:autoSpaceDN w:val="0"/>
        <w:adjustRightInd w:val="0"/>
        <w:snapToGrid w:val="0"/>
        <w:spacing w:before="120" w:after="120"/>
        <w:ind w:left="714" w:hanging="357"/>
        <w:jc w:val="center"/>
        <w:outlineLvl w:val="1"/>
        <w:rPr>
          <w:b/>
          <w:bCs/>
          <w:snapToGrid w:val="0"/>
          <w:kern w:val="22"/>
          <w:szCs w:val="22"/>
        </w:rPr>
      </w:pPr>
      <w:r w:rsidRPr="001D0565">
        <w:rPr>
          <w:b/>
          <w:bCs/>
          <w:snapToGrid w:val="0"/>
          <w:kern w:val="22"/>
          <w:szCs w:val="22"/>
        </w:rPr>
        <w:t>Updating n</w:t>
      </w:r>
      <w:r w:rsidR="009E4766" w:rsidRPr="001D0565">
        <w:rPr>
          <w:b/>
          <w:bCs/>
          <w:snapToGrid w:val="0"/>
          <w:kern w:val="22"/>
          <w:szCs w:val="22"/>
        </w:rPr>
        <w:t>ational biodiversity strategies and action plans</w:t>
      </w:r>
      <w:r w:rsidRPr="001D0565">
        <w:rPr>
          <w:b/>
          <w:bCs/>
          <w:snapToGrid w:val="0"/>
          <w:kern w:val="22"/>
          <w:szCs w:val="22"/>
        </w:rPr>
        <w:t xml:space="preserve"> and setting national targets</w:t>
      </w:r>
    </w:p>
    <w:p w14:paraId="5F5FF891" w14:textId="7252280A" w:rsidR="008642F5" w:rsidRPr="001D0565" w:rsidRDefault="009E4766">
      <w:pPr>
        <w:pStyle w:val="Para1"/>
        <w:suppressLineNumbers/>
        <w:tabs>
          <w:tab w:val="clear" w:pos="360"/>
          <w:tab w:val="num" w:pos="720"/>
        </w:tabs>
        <w:suppressAutoHyphens/>
        <w:kinsoku w:val="0"/>
        <w:overflowPunct w:val="0"/>
        <w:autoSpaceDE w:val="0"/>
        <w:autoSpaceDN w:val="0"/>
        <w:adjustRightInd w:val="0"/>
        <w:snapToGrid w:val="0"/>
        <w:rPr>
          <w:kern w:val="22"/>
          <w:szCs w:val="22"/>
        </w:rPr>
      </w:pPr>
      <w:bookmarkStart w:id="0" w:name="_Hlk43968816"/>
      <w:r w:rsidRPr="001D0565">
        <w:rPr>
          <w:kern w:val="22"/>
          <w:szCs w:val="22"/>
        </w:rPr>
        <w:t>NBSAPs are the principal instrument for implementing the Convention at the national level. Since 1993, 19</w:t>
      </w:r>
      <w:r w:rsidR="007C4392" w:rsidRPr="001D0565">
        <w:rPr>
          <w:kern w:val="22"/>
          <w:szCs w:val="22"/>
        </w:rPr>
        <w:t>1</w:t>
      </w:r>
      <w:r w:rsidRPr="001D0565">
        <w:rPr>
          <w:kern w:val="22"/>
          <w:szCs w:val="22"/>
        </w:rPr>
        <w:t xml:space="preserve"> Parties have developed at least one NBSAP</w:t>
      </w:r>
      <w:r w:rsidR="0056652B" w:rsidRPr="001D0565">
        <w:rPr>
          <w:kern w:val="22"/>
          <w:szCs w:val="22"/>
        </w:rPr>
        <w:t xml:space="preserve">. </w:t>
      </w:r>
      <w:r w:rsidRPr="001D0565">
        <w:rPr>
          <w:kern w:val="22"/>
          <w:szCs w:val="22"/>
        </w:rPr>
        <w:t xml:space="preserve">In decision X/2, the Conference of the Parties urged Parties to review, revise and update, as appropriate, their NBSAPs in line with the Strategic Plan for Biodiversity 2011-2020. </w:t>
      </w:r>
      <w:r w:rsidR="00FB3E47" w:rsidRPr="001D0565">
        <w:rPr>
          <w:kern w:val="22"/>
          <w:szCs w:val="22"/>
        </w:rPr>
        <w:t>Parties also committed to establishing national targets, using the Strategic Plan and its Aichi Biodiversity Targets as a flexible framework. Further</w:t>
      </w:r>
      <w:r w:rsidR="00286242" w:rsidRPr="00456490">
        <w:rPr>
          <w:kern w:val="22"/>
          <w:szCs w:val="22"/>
        </w:rPr>
        <w:t>,</w:t>
      </w:r>
      <w:r w:rsidR="00FB3E47" w:rsidRPr="001D0565">
        <w:rPr>
          <w:kern w:val="22"/>
          <w:szCs w:val="22"/>
        </w:rPr>
        <w:t xml:space="preserve"> </w:t>
      </w:r>
      <w:r w:rsidRPr="001D0565">
        <w:rPr>
          <w:kern w:val="22"/>
          <w:szCs w:val="22"/>
        </w:rPr>
        <w:t>Aichi Biodiversity Target 17, which had a deadline of 2015, calls on Parties to develop, adopt as a policy instrument, and commence implementing an effective, participatory and updated NBSAP. A total of 69 Parties met the 2015 deadline</w:t>
      </w:r>
      <w:r w:rsidR="00E2033D" w:rsidRPr="001D0565">
        <w:rPr>
          <w:kern w:val="22"/>
          <w:szCs w:val="22"/>
        </w:rPr>
        <w:t xml:space="preserve"> set out </w:t>
      </w:r>
      <w:r w:rsidR="00B23DEB" w:rsidRPr="00456490">
        <w:rPr>
          <w:kern w:val="22"/>
          <w:szCs w:val="22"/>
        </w:rPr>
        <w:t>N</w:t>
      </w:r>
      <w:r w:rsidR="00E2033D" w:rsidRPr="001D0565">
        <w:rPr>
          <w:kern w:val="22"/>
          <w:szCs w:val="22"/>
        </w:rPr>
        <w:t>in Aichi Biodiversity Target 17</w:t>
      </w:r>
      <w:r w:rsidRPr="001D0565">
        <w:rPr>
          <w:kern w:val="22"/>
          <w:szCs w:val="22"/>
        </w:rPr>
        <w:t xml:space="preserve">, and </w:t>
      </w:r>
      <w:r w:rsidR="007C4392" w:rsidRPr="001D0565">
        <w:rPr>
          <w:kern w:val="22"/>
          <w:szCs w:val="22"/>
        </w:rPr>
        <w:t xml:space="preserve">101 </w:t>
      </w:r>
      <w:r w:rsidRPr="001D0565">
        <w:rPr>
          <w:kern w:val="22"/>
          <w:szCs w:val="22"/>
        </w:rPr>
        <w:t>others submitted their</w:t>
      </w:r>
      <w:r w:rsidR="009114B9" w:rsidRPr="001D0565">
        <w:rPr>
          <w:kern w:val="22"/>
          <w:szCs w:val="22"/>
        </w:rPr>
        <w:t xml:space="preserve"> </w:t>
      </w:r>
      <w:r w:rsidRPr="001D0565">
        <w:rPr>
          <w:kern w:val="22"/>
          <w:szCs w:val="22"/>
        </w:rPr>
        <w:t>NBSAPs by 1</w:t>
      </w:r>
      <w:r w:rsidR="007C4392" w:rsidRPr="001D0565">
        <w:rPr>
          <w:kern w:val="22"/>
          <w:szCs w:val="22"/>
        </w:rPr>
        <w:t>6</w:t>
      </w:r>
      <w:r w:rsidRPr="001D0565">
        <w:rPr>
          <w:kern w:val="22"/>
          <w:szCs w:val="22"/>
        </w:rPr>
        <w:t xml:space="preserve"> March 20</w:t>
      </w:r>
      <w:r w:rsidR="007C4392" w:rsidRPr="001D0565">
        <w:rPr>
          <w:kern w:val="22"/>
          <w:szCs w:val="22"/>
        </w:rPr>
        <w:t>20</w:t>
      </w:r>
      <w:r w:rsidRPr="001D0565">
        <w:rPr>
          <w:kern w:val="22"/>
          <w:szCs w:val="22"/>
        </w:rPr>
        <w:t>, making a total of 1</w:t>
      </w:r>
      <w:r w:rsidR="007C4392" w:rsidRPr="001D0565">
        <w:rPr>
          <w:kern w:val="22"/>
          <w:szCs w:val="22"/>
        </w:rPr>
        <w:t>70</w:t>
      </w:r>
      <w:r w:rsidRPr="001D0565">
        <w:rPr>
          <w:kern w:val="22"/>
          <w:szCs w:val="22"/>
        </w:rPr>
        <w:t>.</w:t>
      </w:r>
      <w:r w:rsidRPr="00456490">
        <w:rPr>
          <w:kern w:val="22"/>
          <w:szCs w:val="22"/>
          <w:vertAlign w:val="superscript"/>
        </w:rPr>
        <w:footnoteReference w:id="5"/>
      </w:r>
      <w:r w:rsidRPr="001D0565">
        <w:rPr>
          <w:kern w:val="22"/>
          <w:szCs w:val="22"/>
        </w:rPr>
        <w:t xml:space="preserve"> This represents </w:t>
      </w:r>
      <w:r w:rsidR="007C4392" w:rsidRPr="001D0565">
        <w:rPr>
          <w:kern w:val="22"/>
          <w:szCs w:val="22"/>
        </w:rPr>
        <w:t xml:space="preserve">more than 85 </w:t>
      </w:r>
      <w:r w:rsidRPr="001D0565">
        <w:rPr>
          <w:kern w:val="22"/>
          <w:szCs w:val="22"/>
        </w:rPr>
        <w:t>per cent of the Parties to the Convention.</w:t>
      </w:r>
      <w:r w:rsidR="00610752" w:rsidRPr="001D0565">
        <w:rPr>
          <w:kern w:val="22"/>
          <w:szCs w:val="22"/>
        </w:rPr>
        <w:t xml:space="preserve"> </w:t>
      </w:r>
      <w:r w:rsidR="008C2E47" w:rsidRPr="001D0565">
        <w:rPr>
          <w:kern w:val="22"/>
          <w:szCs w:val="22"/>
        </w:rPr>
        <w:t xml:space="preserve">Support and resources for the development and revision/update of the </w:t>
      </w:r>
      <w:r w:rsidR="008912A1" w:rsidRPr="00456490">
        <w:rPr>
          <w:kern w:val="22"/>
          <w:szCs w:val="22"/>
        </w:rPr>
        <w:t>NBSAPs</w:t>
      </w:r>
      <w:r w:rsidR="008C2E47" w:rsidRPr="001D0565">
        <w:rPr>
          <w:kern w:val="22"/>
          <w:szCs w:val="22"/>
        </w:rPr>
        <w:t xml:space="preserve"> was provided by several organi</w:t>
      </w:r>
      <w:r w:rsidR="008912A1" w:rsidRPr="00456490">
        <w:rPr>
          <w:kern w:val="22"/>
          <w:szCs w:val="22"/>
        </w:rPr>
        <w:t>z</w:t>
      </w:r>
      <w:r w:rsidR="008C2E47" w:rsidRPr="001D0565">
        <w:rPr>
          <w:kern w:val="22"/>
          <w:szCs w:val="22"/>
        </w:rPr>
        <w:t>ations</w:t>
      </w:r>
      <w:r w:rsidR="00B23DEB" w:rsidRPr="00456490">
        <w:rPr>
          <w:kern w:val="22"/>
          <w:szCs w:val="22"/>
        </w:rPr>
        <w:t>,</w:t>
      </w:r>
      <w:r w:rsidR="008C2E47" w:rsidRPr="001D0565">
        <w:rPr>
          <w:kern w:val="22"/>
          <w:szCs w:val="22"/>
        </w:rPr>
        <w:t xml:space="preserve"> including </w:t>
      </w:r>
      <w:r w:rsidR="00E64634" w:rsidRPr="00456490">
        <w:rPr>
          <w:kern w:val="22"/>
          <w:szCs w:val="22"/>
        </w:rPr>
        <w:t xml:space="preserve">the </w:t>
      </w:r>
      <w:r w:rsidR="008C2E47" w:rsidRPr="001D0565">
        <w:rPr>
          <w:kern w:val="22"/>
          <w:szCs w:val="22"/>
        </w:rPr>
        <w:t xml:space="preserve">Global Environment Facility, </w:t>
      </w:r>
      <w:r w:rsidR="00E64634" w:rsidRPr="00456490">
        <w:rPr>
          <w:kern w:val="22"/>
          <w:szCs w:val="22"/>
        </w:rPr>
        <w:t>the United Nations Development Programme</w:t>
      </w:r>
      <w:r w:rsidR="008C2E47" w:rsidRPr="001D0565">
        <w:rPr>
          <w:kern w:val="22"/>
          <w:szCs w:val="22"/>
        </w:rPr>
        <w:t xml:space="preserve">, </w:t>
      </w:r>
      <w:r w:rsidR="00E64634" w:rsidRPr="00456490">
        <w:rPr>
          <w:kern w:val="22"/>
          <w:szCs w:val="22"/>
        </w:rPr>
        <w:t>the United Nations Environment Programme</w:t>
      </w:r>
      <w:r w:rsidR="008C2E47" w:rsidRPr="001D0565">
        <w:rPr>
          <w:kern w:val="22"/>
          <w:szCs w:val="22"/>
        </w:rPr>
        <w:t xml:space="preserve">, </w:t>
      </w:r>
      <w:r w:rsidR="00E64634" w:rsidRPr="00456490">
        <w:rPr>
          <w:kern w:val="22"/>
          <w:szCs w:val="22"/>
        </w:rPr>
        <w:t>the Food and Agriculture Organi</w:t>
      </w:r>
      <w:r w:rsidR="005A509B" w:rsidRPr="00456490">
        <w:rPr>
          <w:kern w:val="22"/>
          <w:szCs w:val="22"/>
        </w:rPr>
        <w:t xml:space="preserve">zation of the United </w:t>
      </w:r>
      <w:r w:rsidR="00B31F58" w:rsidRPr="00456490">
        <w:rPr>
          <w:kern w:val="22"/>
          <w:szCs w:val="22"/>
        </w:rPr>
        <w:t>N</w:t>
      </w:r>
      <w:r w:rsidR="005A509B" w:rsidRPr="00456490">
        <w:rPr>
          <w:kern w:val="22"/>
          <w:szCs w:val="22"/>
        </w:rPr>
        <w:t>ations</w:t>
      </w:r>
      <w:r w:rsidR="00E64634" w:rsidRPr="001D0565">
        <w:rPr>
          <w:kern w:val="22"/>
          <w:szCs w:val="22"/>
        </w:rPr>
        <w:t xml:space="preserve"> </w:t>
      </w:r>
      <w:r w:rsidR="008C2E47" w:rsidRPr="001D0565">
        <w:rPr>
          <w:kern w:val="22"/>
          <w:szCs w:val="22"/>
        </w:rPr>
        <w:t>and the Inter-American Development</w:t>
      </w:r>
      <w:r w:rsidR="00EA1BB1" w:rsidRPr="00456490">
        <w:rPr>
          <w:kern w:val="22"/>
          <w:szCs w:val="22"/>
        </w:rPr>
        <w:t xml:space="preserve"> Bank</w:t>
      </w:r>
      <w:r w:rsidR="008C2E47" w:rsidRPr="001D0565">
        <w:rPr>
          <w:kern w:val="22"/>
          <w:szCs w:val="22"/>
        </w:rPr>
        <w:t xml:space="preserve">. A number of Parties, including Japan, through </w:t>
      </w:r>
      <w:r w:rsidR="00AB1691">
        <w:rPr>
          <w:kern w:val="22"/>
          <w:szCs w:val="22"/>
        </w:rPr>
        <w:t>the</w:t>
      </w:r>
      <w:bookmarkStart w:id="1" w:name="_GoBack"/>
      <w:bookmarkEnd w:id="1"/>
      <w:r w:rsidR="008C2E47" w:rsidRPr="001D0565">
        <w:rPr>
          <w:kern w:val="22"/>
          <w:szCs w:val="22"/>
        </w:rPr>
        <w:t xml:space="preserve"> Japan Biodiversity Fund, also provided support for NBSAP revisions and implementation processes, </w:t>
      </w:r>
      <w:r w:rsidR="006F6908" w:rsidRPr="00456490">
        <w:rPr>
          <w:kern w:val="22"/>
          <w:szCs w:val="22"/>
        </w:rPr>
        <w:t>and</w:t>
      </w:r>
      <w:r w:rsidR="008C2E47" w:rsidRPr="001D0565">
        <w:rPr>
          <w:kern w:val="22"/>
          <w:szCs w:val="22"/>
        </w:rPr>
        <w:t xml:space="preserve"> for the voluntary peer review of NBSAP implementation.</w:t>
      </w:r>
      <w:r w:rsidR="00B13B0A" w:rsidRPr="001D0565">
        <w:rPr>
          <w:kern w:val="22"/>
          <w:szCs w:val="22"/>
        </w:rPr>
        <w:t xml:space="preserve"> A number of non-governmental organi</w:t>
      </w:r>
      <w:r w:rsidR="005A509B" w:rsidRPr="00456490">
        <w:rPr>
          <w:kern w:val="22"/>
          <w:szCs w:val="22"/>
        </w:rPr>
        <w:t>z</w:t>
      </w:r>
      <w:r w:rsidR="00B13B0A" w:rsidRPr="001D0565">
        <w:rPr>
          <w:kern w:val="22"/>
          <w:szCs w:val="22"/>
        </w:rPr>
        <w:t xml:space="preserve">ations, including </w:t>
      </w:r>
      <w:r w:rsidR="008642F5" w:rsidRPr="001D0565">
        <w:rPr>
          <w:kern w:val="22"/>
          <w:szCs w:val="22"/>
        </w:rPr>
        <w:t xml:space="preserve">the ASEAN Centre for Biodiversity, </w:t>
      </w:r>
      <w:r w:rsidR="00B13B0A" w:rsidRPr="001D0565">
        <w:rPr>
          <w:kern w:val="22"/>
          <w:szCs w:val="22"/>
        </w:rPr>
        <w:t xml:space="preserve">Birdlife, </w:t>
      </w:r>
      <w:r w:rsidR="005A509B" w:rsidRPr="00456490">
        <w:rPr>
          <w:kern w:val="22"/>
          <w:szCs w:val="22"/>
        </w:rPr>
        <w:t>the International Union for Conservation of Nature</w:t>
      </w:r>
      <w:r w:rsidR="00B13B0A" w:rsidRPr="001D0565">
        <w:rPr>
          <w:kern w:val="22"/>
          <w:szCs w:val="22"/>
        </w:rPr>
        <w:t xml:space="preserve">, </w:t>
      </w:r>
      <w:r w:rsidR="008642F5" w:rsidRPr="001D0565">
        <w:rPr>
          <w:kern w:val="22"/>
          <w:szCs w:val="22"/>
        </w:rPr>
        <w:t xml:space="preserve">the United Nations University Institute for the Advanced Study of Sustainability and </w:t>
      </w:r>
      <w:r w:rsidR="007E02CC" w:rsidRPr="00456490">
        <w:rPr>
          <w:kern w:val="22"/>
          <w:szCs w:val="22"/>
        </w:rPr>
        <w:t>the World Wildlife Fund (</w:t>
      </w:r>
      <w:r w:rsidR="00B13B0A" w:rsidRPr="001D0565">
        <w:rPr>
          <w:kern w:val="22"/>
          <w:szCs w:val="22"/>
        </w:rPr>
        <w:t>WWF</w:t>
      </w:r>
      <w:r w:rsidR="007E02CC" w:rsidRPr="00456490">
        <w:rPr>
          <w:kern w:val="22"/>
          <w:szCs w:val="22"/>
        </w:rPr>
        <w:t>)</w:t>
      </w:r>
      <w:r w:rsidR="00D95C53" w:rsidRPr="00456490">
        <w:rPr>
          <w:kern w:val="22"/>
          <w:szCs w:val="22"/>
        </w:rPr>
        <w:t>,</w:t>
      </w:r>
      <w:r w:rsidR="00B13B0A" w:rsidRPr="001D0565">
        <w:rPr>
          <w:kern w:val="22"/>
          <w:szCs w:val="22"/>
        </w:rPr>
        <w:t xml:space="preserve"> have also provided support to Parties in the development and revision/update of NBSAPs.</w:t>
      </w:r>
    </w:p>
    <w:bookmarkEnd w:id="0"/>
    <w:p w14:paraId="71F685EE" w14:textId="0B289B58" w:rsidR="006B292D" w:rsidRPr="001D0565" w:rsidRDefault="000E0202">
      <w:pPr>
        <w:pStyle w:val="Para1"/>
        <w:suppressLineNumbers/>
        <w:tabs>
          <w:tab w:val="clear" w:pos="360"/>
          <w:tab w:val="num" w:pos="720"/>
        </w:tabs>
        <w:suppressAutoHyphens/>
        <w:kinsoku w:val="0"/>
        <w:overflowPunct w:val="0"/>
        <w:autoSpaceDE w:val="0"/>
        <w:autoSpaceDN w:val="0"/>
        <w:adjustRightInd w:val="0"/>
        <w:snapToGrid w:val="0"/>
        <w:rPr>
          <w:kern w:val="22"/>
          <w:szCs w:val="22"/>
        </w:rPr>
      </w:pPr>
      <w:r w:rsidRPr="001D0565">
        <w:rPr>
          <w:kern w:val="22"/>
          <w:szCs w:val="22"/>
        </w:rPr>
        <w:t>The update</w:t>
      </w:r>
      <w:r w:rsidR="009114B9" w:rsidRPr="001D0565">
        <w:rPr>
          <w:kern w:val="22"/>
          <w:szCs w:val="22"/>
        </w:rPr>
        <w:t>d</w:t>
      </w:r>
      <w:r w:rsidRPr="001D0565">
        <w:rPr>
          <w:kern w:val="22"/>
          <w:szCs w:val="22"/>
        </w:rPr>
        <w:t xml:space="preserve"> analysis of </w:t>
      </w:r>
      <w:r w:rsidR="005457CC" w:rsidRPr="00456490">
        <w:rPr>
          <w:kern w:val="22"/>
          <w:szCs w:val="22"/>
        </w:rPr>
        <w:t>NBSAPs</w:t>
      </w:r>
      <w:r w:rsidR="009114B9" w:rsidRPr="001D0565">
        <w:rPr>
          <w:kern w:val="22"/>
          <w:szCs w:val="22"/>
        </w:rPr>
        <w:t xml:space="preserve"> presented in document </w:t>
      </w:r>
      <w:r w:rsidR="009E4766" w:rsidRPr="001D0565">
        <w:rPr>
          <w:kern w:val="22"/>
          <w:szCs w:val="22"/>
        </w:rPr>
        <w:t>CBD/SBI/</w:t>
      </w:r>
      <w:r w:rsidR="007C4392" w:rsidRPr="001D0565">
        <w:rPr>
          <w:kern w:val="22"/>
          <w:szCs w:val="22"/>
        </w:rPr>
        <w:t>3</w:t>
      </w:r>
      <w:r w:rsidR="009E4766" w:rsidRPr="001D0565">
        <w:rPr>
          <w:kern w:val="22"/>
          <w:szCs w:val="22"/>
        </w:rPr>
        <w:t xml:space="preserve">/2/Add.1 summarizes progress in </w:t>
      </w:r>
      <w:r w:rsidR="00391B45" w:rsidRPr="001D0565">
        <w:rPr>
          <w:kern w:val="22"/>
          <w:szCs w:val="22"/>
        </w:rPr>
        <w:t xml:space="preserve">preparing or </w:t>
      </w:r>
      <w:r w:rsidR="009E4766" w:rsidRPr="001D0565">
        <w:rPr>
          <w:kern w:val="22"/>
          <w:szCs w:val="22"/>
        </w:rPr>
        <w:t>revising</w:t>
      </w:r>
      <w:r w:rsidR="009114B9" w:rsidRPr="001D0565">
        <w:rPr>
          <w:kern w:val="22"/>
          <w:szCs w:val="22"/>
        </w:rPr>
        <w:t xml:space="preserve"> </w:t>
      </w:r>
      <w:r w:rsidR="009E4766" w:rsidRPr="001D0565">
        <w:rPr>
          <w:kern w:val="22"/>
          <w:szCs w:val="22"/>
        </w:rPr>
        <w:t>NBSAPs and analyses the contents of the post-Nagoya NSBAPs submitted by 1</w:t>
      </w:r>
      <w:r w:rsidR="007C4392" w:rsidRPr="001D0565">
        <w:rPr>
          <w:kern w:val="22"/>
          <w:szCs w:val="22"/>
        </w:rPr>
        <w:t>6</w:t>
      </w:r>
      <w:r w:rsidR="009E4766" w:rsidRPr="001D0565">
        <w:rPr>
          <w:kern w:val="22"/>
          <w:szCs w:val="22"/>
        </w:rPr>
        <w:t xml:space="preserve"> March 20</w:t>
      </w:r>
      <w:r w:rsidR="003F16D5" w:rsidRPr="001D0565">
        <w:rPr>
          <w:kern w:val="22"/>
          <w:szCs w:val="22"/>
        </w:rPr>
        <w:t>20</w:t>
      </w:r>
      <w:r w:rsidR="009E4766" w:rsidRPr="001D0565">
        <w:rPr>
          <w:kern w:val="22"/>
          <w:szCs w:val="22"/>
        </w:rPr>
        <w:t>. This analysis</w:t>
      </w:r>
      <w:r w:rsidR="00FB3E47" w:rsidRPr="001D0565">
        <w:rPr>
          <w:kern w:val="22"/>
          <w:szCs w:val="22"/>
        </w:rPr>
        <w:t xml:space="preserve"> is</w:t>
      </w:r>
      <w:r w:rsidR="009E4766" w:rsidRPr="001D0565">
        <w:rPr>
          <w:kern w:val="22"/>
          <w:szCs w:val="22"/>
        </w:rPr>
        <w:t xml:space="preserve"> based on </w:t>
      </w:r>
      <w:r w:rsidR="00FB3E47" w:rsidRPr="001D0565">
        <w:rPr>
          <w:kern w:val="22"/>
          <w:szCs w:val="22"/>
        </w:rPr>
        <w:t xml:space="preserve">the </w:t>
      </w:r>
      <w:r w:rsidR="009E4766" w:rsidRPr="001D0565">
        <w:rPr>
          <w:kern w:val="22"/>
          <w:szCs w:val="22"/>
        </w:rPr>
        <w:t xml:space="preserve">criteria from decision </w:t>
      </w:r>
      <w:hyperlink r:id="rId21" w:history="1">
        <w:r w:rsidR="009E4766" w:rsidRPr="001D0565">
          <w:rPr>
            <w:rStyle w:val="Hyperlink"/>
            <w:kern w:val="22"/>
            <w:sz w:val="22"/>
            <w:szCs w:val="22"/>
          </w:rPr>
          <w:t>IX/8</w:t>
        </w:r>
      </w:hyperlink>
      <w:r w:rsidR="009E4766" w:rsidRPr="001D0565">
        <w:rPr>
          <w:kern w:val="22"/>
          <w:szCs w:val="22"/>
        </w:rPr>
        <w:t xml:space="preserve"> which provides detailed guidance on the process, contents and components of NBSAPs</w:t>
      </w:r>
      <w:r w:rsidR="00FB3E47" w:rsidRPr="001D0565">
        <w:rPr>
          <w:kern w:val="22"/>
          <w:szCs w:val="22"/>
        </w:rPr>
        <w:t>.</w:t>
      </w:r>
      <w:r w:rsidR="009E4766" w:rsidRPr="001D0565">
        <w:rPr>
          <w:kern w:val="22"/>
          <w:szCs w:val="22"/>
        </w:rPr>
        <w:t xml:space="preserve"> </w:t>
      </w:r>
      <w:r w:rsidR="00FB3E47" w:rsidRPr="001D0565">
        <w:rPr>
          <w:kern w:val="22"/>
          <w:szCs w:val="22"/>
        </w:rPr>
        <w:t xml:space="preserve">The analysis suggests </w:t>
      </w:r>
      <w:r w:rsidR="009E4766" w:rsidRPr="001D0565">
        <w:rPr>
          <w:kern w:val="22"/>
          <w:szCs w:val="22"/>
        </w:rPr>
        <w:t>improvement</w:t>
      </w:r>
      <w:r w:rsidR="00391B45" w:rsidRPr="001D0565">
        <w:rPr>
          <w:kern w:val="22"/>
          <w:szCs w:val="22"/>
        </w:rPr>
        <w:t>, particularly with regard to the range of stakeholders involved in the NBSAP process,</w:t>
      </w:r>
      <w:r w:rsidR="009E4766" w:rsidRPr="001D0565">
        <w:rPr>
          <w:kern w:val="22"/>
          <w:szCs w:val="22"/>
        </w:rPr>
        <w:t xml:space="preserve"> over </w:t>
      </w:r>
      <w:r w:rsidR="00E20BBB" w:rsidRPr="001D0565">
        <w:rPr>
          <w:kern w:val="22"/>
          <w:szCs w:val="22"/>
        </w:rPr>
        <w:t xml:space="preserve">the first generation of </w:t>
      </w:r>
      <w:r w:rsidR="009E4766" w:rsidRPr="001D0565">
        <w:rPr>
          <w:kern w:val="22"/>
          <w:szCs w:val="22"/>
        </w:rPr>
        <w:t>NBSAPs as reflected in the global assessment</w:t>
      </w:r>
      <w:r w:rsidR="008C074D" w:rsidRPr="001D0565">
        <w:rPr>
          <w:kern w:val="22"/>
          <w:szCs w:val="22"/>
        </w:rPr>
        <w:t xml:space="preserve"> undertaken in 2010</w:t>
      </w:r>
      <w:r w:rsidR="00B04909" w:rsidRPr="00456490">
        <w:rPr>
          <w:kern w:val="22"/>
          <w:szCs w:val="22"/>
        </w:rPr>
        <w:t>.</w:t>
      </w:r>
      <w:r w:rsidR="009E4766" w:rsidRPr="001D0565">
        <w:rPr>
          <w:kern w:val="22"/>
          <w:szCs w:val="22"/>
          <w:vertAlign w:val="superscript"/>
        </w:rPr>
        <w:footnoteReference w:id="6"/>
      </w:r>
      <w:r w:rsidR="006B292D" w:rsidRPr="001D0565">
        <w:rPr>
          <w:kern w:val="22"/>
          <w:szCs w:val="22"/>
        </w:rPr>
        <w:t xml:space="preserve"> </w:t>
      </w:r>
      <w:r w:rsidR="00FC297D" w:rsidRPr="001D0565">
        <w:rPr>
          <w:kern w:val="22"/>
          <w:szCs w:val="22"/>
        </w:rPr>
        <w:t>However,</w:t>
      </w:r>
      <w:r w:rsidR="006B292D" w:rsidRPr="001D0565">
        <w:rPr>
          <w:kern w:val="22"/>
          <w:szCs w:val="22"/>
        </w:rPr>
        <w:t xml:space="preserve"> it also points to areas where further progress is needed.</w:t>
      </w:r>
    </w:p>
    <w:p w14:paraId="65301A06" w14:textId="2FDC3A9D" w:rsidR="009E4766" w:rsidRPr="001D0565" w:rsidRDefault="006B292D">
      <w:pPr>
        <w:pStyle w:val="Para1"/>
        <w:suppressLineNumbers/>
        <w:tabs>
          <w:tab w:val="clear" w:pos="360"/>
          <w:tab w:val="num" w:pos="720"/>
        </w:tabs>
        <w:suppressAutoHyphens/>
        <w:kinsoku w:val="0"/>
        <w:overflowPunct w:val="0"/>
        <w:autoSpaceDE w:val="0"/>
        <w:autoSpaceDN w:val="0"/>
        <w:adjustRightInd w:val="0"/>
        <w:snapToGrid w:val="0"/>
        <w:rPr>
          <w:kern w:val="22"/>
          <w:szCs w:val="22"/>
        </w:rPr>
      </w:pPr>
      <w:r w:rsidRPr="001D0565">
        <w:rPr>
          <w:kern w:val="22"/>
          <w:szCs w:val="22"/>
        </w:rPr>
        <w:t>The analysis found that 69</w:t>
      </w:r>
      <w:r w:rsidR="009E4766" w:rsidRPr="001D0565">
        <w:rPr>
          <w:kern w:val="22"/>
          <w:szCs w:val="22"/>
        </w:rPr>
        <w:t xml:space="preserve"> revised NBSAPs have been adopted as “whole-of-government” instruments and another </w:t>
      </w:r>
      <w:r w:rsidR="007C4392" w:rsidRPr="001D0565">
        <w:rPr>
          <w:kern w:val="22"/>
          <w:szCs w:val="22"/>
        </w:rPr>
        <w:t>8</w:t>
      </w:r>
      <w:r w:rsidR="005976B4" w:rsidRPr="001D0565">
        <w:rPr>
          <w:kern w:val="22"/>
          <w:szCs w:val="22"/>
        </w:rPr>
        <w:t xml:space="preserve"> </w:t>
      </w:r>
      <w:r w:rsidR="009E4766" w:rsidRPr="001D0565">
        <w:rPr>
          <w:kern w:val="22"/>
          <w:szCs w:val="22"/>
        </w:rPr>
        <w:t xml:space="preserve">NBSAPs have been adopted as instruments applying to the environmental sector. </w:t>
      </w:r>
      <w:r w:rsidRPr="001D0565">
        <w:rPr>
          <w:kern w:val="22"/>
          <w:szCs w:val="22"/>
        </w:rPr>
        <w:t xml:space="preserve">However, </w:t>
      </w:r>
      <w:r w:rsidR="007C4392" w:rsidRPr="001D0565">
        <w:rPr>
          <w:kern w:val="22"/>
          <w:szCs w:val="22"/>
        </w:rPr>
        <w:t>72</w:t>
      </w:r>
      <w:r w:rsidR="00E20BBB" w:rsidRPr="001D0565">
        <w:rPr>
          <w:kern w:val="22"/>
          <w:szCs w:val="22"/>
        </w:rPr>
        <w:t xml:space="preserve"> </w:t>
      </w:r>
      <w:r w:rsidR="009E4766" w:rsidRPr="001D0565">
        <w:rPr>
          <w:kern w:val="22"/>
          <w:szCs w:val="22"/>
        </w:rPr>
        <w:t xml:space="preserve">Parties </w:t>
      </w:r>
      <w:r w:rsidR="007C4392" w:rsidRPr="001D0565">
        <w:rPr>
          <w:kern w:val="22"/>
          <w:szCs w:val="22"/>
        </w:rPr>
        <w:t>(37 </w:t>
      </w:r>
      <w:r w:rsidR="005D6B2D" w:rsidRPr="001D0565">
        <w:rPr>
          <w:kern w:val="22"/>
          <w:szCs w:val="22"/>
        </w:rPr>
        <w:t>per cent</w:t>
      </w:r>
      <w:r w:rsidR="009E4766" w:rsidRPr="001D0565">
        <w:rPr>
          <w:kern w:val="22"/>
          <w:szCs w:val="22"/>
        </w:rPr>
        <w:t>)</w:t>
      </w:r>
      <w:r w:rsidR="00E20BBB" w:rsidRPr="00BB02E4">
        <w:rPr>
          <w:kern w:val="22"/>
          <w:szCs w:val="22"/>
        </w:rPr>
        <w:t xml:space="preserve"> </w:t>
      </w:r>
      <w:r w:rsidR="009E4766" w:rsidRPr="001D0565">
        <w:rPr>
          <w:kern w:val="22"/>
          <w:szCs w:val="22"/>
        </w:rPr>
        <w:t>do not provide sufficient evidence to know if the</w:t>
      </w:r>
      <w:r w:rsidR="00E20BBB" w:rsidRPr="001D0565">
        <w:rPr>
          <w:kern w:val="22"/>
          <w:szCs w:val="22"/>
        </w:rPr>
        <w:t>ir NBSAPs</w:t>
      </w:r>
      <w:r w:rsidR="009E4766" w:rsidRPr="001D0565">
        <w:rPr>
          <w:kern w:val="22"/>
          <w:szCs w:val="22"/>
        </w:rPr>
        <w:t xml:space="preserve"> have been adopted as a policy instrument</w:t>
      </w:r>
      <w:r w:rsidRPr="001D0565">
        <w:rPr>
          <w:kern w:val="22"/>
          <w:szCs w:val="22"/>
        </w:rPr>
        <w:t xml:space="preserve"> or not</w:t>
      </w:r>
      <w:r w:rsidR="009E4766" w:rsidRPr="001D0565">
        <w:rPr>
          <w:kern w:val="22"/>
          <w:szCs w:val="22"/>
        </w:rPr>
        <w:t>.</w:t>
      </w:r>
      <w:r w:rsidRPr="001D0565">
        <w:rPr>
          <w:kern w:val="22"/>
          <w:szCs w:val="22"/>
        </w:rPr>
        <w:t xml:space="preserve"> </w:t>
      </w:r>
      <w:r w:rsidR="009E4766" w:rsidRPr="001D0565">
        <w:rPr>
          <w:kern w:val="22"/>
          <w:szCs w:val="22"/>
        </w:rPr>
        <w:t>The analysis also shows that few NBSAPs contain resource mobilization strategies (2</w:t>
      </w:r>
      <w:r w:rsidR="007C4392" w:rsidRPr="001D0565">
        <w:rPr>
          <w:kern w:val="22"/>
          <w:szCs w:val="22"/>
        </w:rPr>
        <w:t>5</w:t>
      </w:r>
      <w:r w:rsidR="009E4766" w:rsidRPr="001D0565">
        <w:rPr>
          <w:kern w:val="22"/>
          <w:szCs w:val="22"/>
        </w:rPr>
        <w:t xml:space="preserve"> Parties), communication and public awareness strategies (3</w:t>
      </w:r>
      <w:r w:rsidR="007C4392" w:rsidRPr="001D0565">
        <w:rPr>
          <w:kern w:val="22"/>
          <w:szCs w:val="22"/>
        </w:rPr>
        <w:t>8</w:t>
      </w:r>
      <w:r w:rsidR="009E4766" w:rsidRPr="001D0565">
        <w:rPr>
          <w:kern w:val="22"/>
          <w:szCs w:val="22"/>
        </w:rPr>
        <w:t xml:space="preserve"> Parties), or capacity development strategies (</w:t>
      </w:r>
      <w:r w:rsidR="007C4392" w:rsidRPr="001D0565">
        <w:rPr>
          <w:kern w:val="22"/>
          <w:szCs w:val="22"/>
        </w:rPr>
        <w:t>97</w:t>
      </w:r>
      <w:r w:rsidR="009E4766" w:rsidRPr="001D0565">
        <w:rPr>
          <w:kern w:val="22"/>
          <w:szCs w:val="22"/>
        </w:rPr>
        <w:t xml:space="preserve"> Parties) as the NBSAP guidance </w:t>
      </w:r>
      <w:r w:rsidR="00E20BBB" w:rsidRPr="001D0565">
        <w:rPr>
          <w:kern w:val="22"/>
          <w:szCs w:val="22"/>
        </w:rPr>
        <w:t>recommends</w:t>
      </w:r>
      <w:r w:rsidR="009E4766" w:rsidRPr="001D0565">
        <w:rPr>
          <w:kern w:val="22"/>
          <w:szCs w:val="22"/>
        </w:rPr>
        <w:t xml:space="preserve">. Further, only a few NBSAPs </w:t>
      </w:r>
      <w:r w:rsidR="009E4766" w:rsidRPr="001D0565">
        <w:rPr>
          <w:kern w:val="22"/>
          <w:szCs w:val="22"/>
        </w:rPr>
        <w:lastRenderedPageBreak/>
        <w:t>demonstrate that biodiversity is being mainstreamed significantly into cross</w:t>
      </w:r>
      <w:r w:rsidR="001133C5" w:rsidRPr="001D0565">
        <w:rPr>
          <w:kern w:val="22"/>
          <w:szCs w:val="22"/>
        </w:rPr>
        <w:t>-</w:t>
      </w:r>
      <w:r w:rsidR="009E4766" w:rsidRPr="001D0565">
        <w:rPr>
          <w:kern w:val="22"/>
          <w:szCs w:val="22"/>
        </w:rPr>
        <w:t xml:space="preserve">sectoral plans and policies, poverty eradication policies, or into sustainable development plans. NBSAPs </w:t>
      </w:r>
      <w:r w:rsidR="00391B45" w:rsidRPr="001D0565">
        <w:rPr>
          <w:kern w:val="22"/>
          <w:szCs w:val="22"/>
        </w:rPr>
        <w:t xml:space="preserve">prepared since the adoption of the current Strategic Plan for Biodiversity </w:t>
      </w:r>
      <w:r w:rsidR="005A3C5F" w:rsidRPr="001D0565">
        <w:rPr>
          <w:kern w:val="22"/>
          <w:szCs w:val="22"/>
        </w:rPr>
        <w:t xml:space="preserve">contain </w:t>
      </w:r>
      <w:r w:rsidR="009E4766" w:rsidRPr="001D0565">
        <w:rPr>
          <w:kern w:val="22"/>
          <w:szCs w:val="22"/>
        </w:rPr>
        <w:t>little evidence of the use of valuation studies to encourage mainstreaming in countries.</w:t>
      </w:r>
      <w:r w:rsidRPr="001D0565">
        <w:rPr>
          <w:kern w:val="22"/>
          <w:szCs w:val="22"/>
        </w:rPr>
        <w:t xml:space="preserve"> </w:t>
      </w:r>
      <w:r w:rsidR="009E4766" w:rsidRPr="001D0565">
        <w:rPr>
          <w:kern w:val="22"/>
          <w:szCs w:val="22"/>
        </w:rPr>
        <w:t>These findings contrast significantly with the aspirations communicated in the NBSAPs</w:t>
      </w:r>
      <w:r w:rsidR="005A3C5F" w:rsidRPr="001D0565">
        <w:rPr>
          <w:kern w:val="22"/>
          <w:szCs w:val="22"/>
        </w:rPr>
        <w:t xml:space="preserve"> which indicate that m</w:t>
      </w:r>
      <w:r w:rsidR="009E4766" w:rsidRPr="001D0565">
        <w:rPr>
          <w:kern w:val="22"/>
          <w:szCs w:val="22"/>
        </w:rPr>
        <w:t xml:space="preserve">any Parties have either set targets or otherwise stated an intent to implement actions on resource mobilization, valuation, </w:t>
      </w:r>
      <w:r w:rsidR="005A3C5F" w:rsidRPr="001D0565">
        <w:rPr>
          <w:kern w:val="22"/>
          <w:szCs w:val="22"/>
        </w:rPr>
        <w:t xml:space="preserve">the </w:t>
      </w:r>
      <w:r w:rsidR="009E4766" w:rsidRPr="001D0565">
        <w:rPr>
          <w:kern w:val="22"/>
          <w:szCs w:val="22"/>
        </w:rPr>
        <w:t xml:space="preserve">establishment of </w:t>
      </w:r>
      <w:r w:rsidR="00772A4E" w:rsidRPr="00456490">
        <w:rPr>
          <w:kern w:val="22"/>
          <w:szCs w:val="22"/>
        </w:rPr>
        <w:t>a</w:t>
      </w:r>
      <w:r w:rsidR="00772A4E" w:rsidRPr="001D0565">
        <w:rPr>
          <w:kern w:val="22"/>
          <w:szCs w:val="22"/>
        </w:rPr>
        <w:t xml:space="preserve"> </w:t>
      </w:r>
      <w:r w:rsidR="009E4766" w:rsidRPr="001D0565">
        <w:rPr>
          <w:kern w:val="22"/>
          <w:szCs w:val="22"/>
        </w:rPr>
        <w:t>national clearing-house mechanism, communication and public awareness, capacity development, and development of subnational biodiversity plans, among other topics.</w:t>
      </w:r>
    </w:p>
    <w:p w14:paraId="1691BA66" w14:textId="20576DEE" w:rsidR="009E4766" w:rsidRPr="001D0565" w:rsidRDefault="009E4766">
      <w:pPr>
        <w:pStyle w:val="Para1"/>
        <w:suppressLineNumbers/>
        <w:tabs>
          <w:tab w:val="clear" w:pos="360"/>
          <w:tab w:val="num" w:pos="720"/>
        </w:tabs>
        <w:suppressAutoHyphens/>
        <w:kinsoku w:val="0"/>
        <w:overflowPunct w:val="0"/>
        <w:autoSpaceDE w:val="0"/>
        <w:autoSpaceDN w:val="0"/>
        <w:adjustRightInd w:val="0"/>
        <w:snapToGrid w:val="0"/>
        <w:rPr>
          <w:kern w:val="22"/>
          <w:szCs w:val="22"/>
        </w:rPr>
      </w:pPr>
      <w:r w:rsidRPr="001D0565">
        <w:rPr>
          <w:kern w:val="22"/>
          <w:szCs w:val="22"/>
        </w:rPr>
        <w:t xml:space="preserve">The majority of NBSAPs </w:t>
      </w:r>
      <w:r w:rsidR="00391B45" w:rsidRPr="001D0565">
        <w:rPr>
          <w:kern w:val="22"/>
          <w:szCs w:val="22"/>
        </w:rPr>
        <w:t xml:space="preserve">prepared </w:t>
      </w:r>
      <w:r w:rsidRPr="001D0565">
        <w:rPr>
          <w:kern w:val="22"/>
          <w:szCs w:val="22"/>
        </w:rPr>
        <w:t xml:space="preserve">or revised since the tenth meeting of the Conference of the Parties contain targets related to the Aichi Biodiversity Targets, though, for some Aichi Targets, such as Targets 3, 6, 10, </w:t>
      </w:r>
      <w:r w:rsidR="001771EE" w:rsidRPr="001D0565">
        <w:rPr>
          <w:kern w:val="22"/>
          <w:szCs w:val="22"/>
        </w:rPr>
        <w:t>and</w:t>
      </w:r>
      <w:r w:rsidR="00AF206A" w:rsidRPr="001D0565">
        <w:rPr>
          <w:kern w:val="22"/>
          <w:szCs w:val="22"/>
        </w:rPr>
        <w:t xml:space="preserve"> </w:t>
      </w:r>
      <w:r w:rsidRPr="001D0565">
        <w:rPr>
          <w:kern w:val="22"/>
          <w:szCs w:val="22"/>
        </w:rPr>
        <w:t xml:space="preserve">14, there </w:t>
      </w:r>
      <w:r w:rsidR="00E20BBB" w:rsidRPr="001D0565">
        <w:rPr>
          <w:kern w:val="22"/>
          <w:szCs w:val="22"/>
        </w:rPr>
        <w:t>a</w:t>
      </w:r>
      <w:r w:rsidRPr="001D0565">
        <w:rPr>
          <w:kern w:val="22"/>
          <w:szCs w:val="22"/>
        </w:rPr>
        <w:t>re many NBSAPs (over 30</w:t>
      </w:r>
      <w:r w:rsidR="00B519A4" w:rsidRPr="001D0565">
        <w:rPr>
          <w:kern w:val="22"/>
          <w:szCs w:val="22"/>
        </w:rPr>
        <w:t> </w:t>
      </w:r>
      <w:r w:rsidR="005D6B2D" w:rsidRPr="001D0565">
        <w:rPr>
          <w:kern w:val="22"/>
          <w:szCs w:val="22"/>
        </w:rPr>
        <w:t>per cent</w:t>
      </w:r>
      <w:r w:rsidRPr="001D0565">
        <w:rPr>
          <w:kern w:val="22"/>
          <w:szCs w:val="22"/>
        </w:rPr>
        <w:t xml:space="preserve">) without associated national targets or commitments. Aichi Biodiversity Targets 1, 9, 16, </w:t>
      </w:r>
      <w:r w:rsidR="001771EE" w:rsidRPr="001D0565">
        <w:rPr>
          <w:kern w:val="22"/>
          <w:szCs w:val="22"/>
        </w:rPr>
        <w:t xml:space="preserve">17, </w:t>
      </w:r>
      <w:r w:rsidRPr="001D0565">
        <w:rPr>
          <w:kern w:val="22"/>
          <w:szCs w:val="22"/>
        </w:rPr>
        <w:t xml:space="preserve">19 and 20 </w:t>
      </w:r>
      <w:r w:rsidR="001771EE" w:rsidRPr="001D0565">
        <w:rPr>
          <w:kern w:val="22"/>
          <w:szCs w:val="22"/>
        </w:rPr>
        <w:t xml:space="preserve">were </w:t>
      </w:r>
      <w:r w:rsidRPr="001D0565">
        <w:rPr>
          <w:kern w:val="22"/>
          <w:szCs w:val="22"/>
        </w:rPr>
        <w:t xml:space="preserve">the Aichi Targets with the greatest number of broadly similar national targets or commitments. However, even in these cases, the number of NBSAPs with targets having a similar scope and level of ambition as the Aichi Targets </w:t>
      </w:r>
      <w:r w:rsidR="005A3C5F" w:rsidRPr="001D0565">
        <w:rPr>
          <w:kern w:val="22"/>
          <w:szCs w:val="22"/>
        </w:rPr>
        <w:t>was on average just over a fifth (22</w:t>
      </w:r>
      <w:r w:rsidR="00823BA2" w:rsidRPr="00456490">
        <w:rPr>
          <w:kern w:val="22"/>
          <w:szCs w:val="22"/>
        </w:rPr>
        <w:t xml:space="preserve"> per cent</w:t>
      </w:r>
      <w:r w:rsidR="005A3C5F" w:rsidRPr="001D0565">
        <w:rPr>
          <w:kern w:val="22"/>
          <w:szCs w:val="22"/>
        </w:rPr>
        <w:t xml:space="preserve">) </w:t>
      </w:r>
      <w:r w:rsidR="001771EE" w:rsidRPr="001D0565">
        <w:rPr>
          <w:kern w:val="22"/>
          <w:szCs w:val="22"/>
        </w:rPr>
        <w:t xml:space="preserve">(ranging </w:t>
      </w:r>
      <w:r w:rsidR="00391B45" w:rsidRPr="001D0565">
        <w:rPr>
          <w:kern w:val="22"/>
          <w:szCs w:val="22"/>
        </w:rPr>
        <w:t xml:space="preserve">from </w:t>
      </w:r>
      <w:r w:rsidR="001771EE" w:rsidRPr="001D0565">
        <w:rPr>
          <w:kern w:val="22"/>
          <w:szCs w:val="22"/>
        </w:rPr>
        <w:t>19</w:t>
      </w:r>
      <w:r w:rsidR="00A44845" w:rsidRPr="00456490">
        <w:rPr>
          <w:kern w:val="22"/>
          <w:szCs w:val="22"/>
        </w:rPr>
        <w:t xml:space="preserve"> per cent</w:t>
      </w:r>
      <w:r w:rsidR="001771EE" w:rsidRPr="001D0565">
        <w:rPr>
          <w:kern w:val="22"/>
          <w:szCs w:val="22"/>
        </w:rPr>
        <w:t xml:space="preserve"> for Aichi Targets 16 and 17 to 28</w:t>
      </w:r>
      <w:r w:rsidR="00A44845" w:rsidRPr="00456490">
        <w:rPr>
          <w:kern w:val="22"/>
          <w:szCs w:val="22"/>
        </w:rPr>
        <w:t xml:space="preserve"> per cent</w:t>
      </w:r>
      <w:r w:rsidR="001771EE" w:rsidRPr="001D0565">
        <w:rPr>
          <w:kern w:val="22"/>
          <w:szCs w:val="22"/>
        </w:rPr>
        <w:t xml:space="preserve"> for Aichi Biodiversity Target 1)</w:t>
      </w:r>
      <w:r w:rsidRPr="001D0565">
        <w:rPr>
          <w:kern w:val="22"/>
          <w:szCs w:val="22"/>
        </w:rPr>
        <w:t>. Overall, the majority of national targets and/or commitments contained in the NBSAPs were lower than the Aichi Targets or did not address all of the elements of the Aichi Target.</w:t>
      </w:r>
      <w:r w:rsidR="004D0E92" w:rsidRPr="001D0565">
        <w:rPr>
          <w:kern w:val="22"/>
          <w:szCs w:val="22"/>
        </w:rPr>
        <w:t xml:space="preserve"> </w:t>
      </w:r>
      <w:r w:rsidR="001771EE" w:rsidRPr="001D0565">
        <w:rPr>
          <w:kern w:val="22"/>
          <w:szCs w:val="22"/>
        </w:rPr>
        <w:t>These conclusions are consistent with the analysis made available during the first and second meetings of the Subsidiary Body on Implementation</w:t>
      </w:r>
      <w:r w:rsidR="001771EE" w:rsidRPr="00456490">
        <w:rPr>
          <w:kern w:val="22"/>
          <w:szCs w:val="22"/>
          <w:vertAlign w:val="superscript"/>
        </w:rPr>
        <w:footnoteReference w:id="7"/>
      </w:r>
      <w:r w:rsidR="001771EE" w:rsidRPr="001D0565">
        <w:rPr>
          <w:kern w:val="22"/>
          <w:szCs w:val="22"/>
        </w:rPr>
        <w:t xml:space="preserve"> and the thirteenth and fourteenth meetings of the Conference of the Parties to the Convention on Biological Diversity.</w:t>
      </w:r>
      <w:r w:rsidR="001771EE" w:rsidRPr="00456490">
        <w:rPr>
          <w:kern w:val="22"/>
          <w:szCs w:val="22"/>
          <w:vertAlign w:val="superscript"/>
        </w:rPr>
        <w:footnoteReference w:id="8"/>
      </w:r>
      <w:r w:rsidR="006C09A1" w:rsidRPr="001D0565">
        <w:rPr>
          <w:kern w:val="22"/>
          <w:szCs w:val="22"/>
        </w:rPr>
        <w:t xml:space="preserve"> They </w:t>
      </w:r>
      <w:r w:rsidR="00503772" w:rsidRPr="001D0565">
        <w:rPr>
          <w:kern w:val="22"/>
          <w:szCs w:val="22"/>
        </w:rPr>
        <w:t>suggest that the national and regional targets</w:t>
      </w:r>
      <w:r w:rsidR="008349AF" w:rsidRPr="001D0565">
        <w:rPr>
          <w:kern w:val="22"/>
          <w:szCs w:val="22"/>
        </w:rPr>
        <w:t>,</w:t>
      </w:r>
      <w:r w:rsidR="00503772" w:rsidRPr="001D0565">
        <w:rPr>
          <w:kern w:val="22"/>
          <w:szCs w:val="22"/>
        </w:rPr>
        <w:t xml:space="preserve"> which have been adopted do not collectively add up to the level of ambition set out in the Aichi Biodiversity Targets. </w:t>
      </w:r>
      <w:r w:rsidRPr="001D0565">
        <w:rPr>
          <w:kern w:val="22"/>
          <w:szCs w:val="22"/>
        </w:rPr>
        <w:t xml:space="preserve">Further information on the progress made in developing, revising and updating NBSAPs </w:t>
      </w:r>
      <w:r w:rsidR="00E20BBB" w:rsidRPr="001D0565">
        <w:rPr>
          <w:kern w:val="22"/>
          <w:szCs w:val="22"/>
        </w:rPr>
        <w:t xml:space="preserve">and setting national targets </w:t>
      </w:r>
      <w:r w:rsidRPr="001D0565">
        <w:rPr>
          <w:kern w:val="22"/>
          <w:szCs w:val="22"/>
        </w:rPr>
        <w:t>is contained in documents CBD/SBI/</w:t>
      </w:r>
      <w:r w:rsidR="00503772" w:rsidRPr="001D0565">
        <w:rPr>
          <w:kern w:val="22"/>
          <w:szCs w:val="22"/>
        </w:rPr>
        <w:t>3</w:t>
      </w:r>
      <w:r w:rsidRPr="001D0565">
        <w:rPr>
          <w:kern w:val="22"/>
          <w:szCs w:val="22"/>
        </w:rPr>
        <w:t>/2/Add.1 and Add.2</w:t>
      </w:r>
      <w:r w:rsidR="000D41EF" w:rsidRPr="00456490">
        <w:rPr>
          <w:kern w:val="22"/>
          <w:szCs w:val="22"/>
        </w:rPr>
        <w:t>.</w:t>
      </w:r>
    </w:p>
    <w:p w14:paraId="6FA889A8" w14:textId="55210EFD" w:rsidR="009E4766" w:rsidRPr="001D0565" w:rsidRDefault="00D72ADA">
      <w:pPr>
        <w:keepNext/>
        <w:numPr>
          <w:ilvl w:val="0"/>
          <w:numId w:val="22"/>
        </w:numPr>
        <w:suppressLineNumber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D0565">
        <w:rPr>
          <w:b/>
          <w:bCs/>
          <w:snapToGrid w:val="0"/>
          <w:kern w:val="22"/>
          <w:szCs w:val="22"/>
        </w:rPr>
        <w:t xml:space="preserve">Progress in implementing the Strategic Plan – information from </w:t>
      </w:r>
      <w:r w:rsidR="00592EA8" w:rsidRPr="00456490">
        <w:rPr>
          <w:b/>
          <w:bCs/>
          <w:snapToGrid w:val="0"/>
          <w:kern w:val="22"/>
          <w:szCs w:val="22"/>
        </w:rPr>
        <w:t>n</w:t>
      </w:r>
      <w:r w:rsidR="009E4766" w:rsidRPr="001D0565">
        <w:rPr>
          <w:b/>
          <w:bCs/>
          <w:snapToGrid w:val="0"/>
          <w:kern w:val="22"/>
          <w:szCs w:val="22"/>
        </w:rPr>
        <w:t>ational reports</w:t>
      </w:r>
    </w:p>
    <w:p w14:paraId="71FDFAD6" w14:textId="4E1F89F1" w:rsidR="009E4766" w:rsidRPr="001D0565" w:rsidRDefault="009E4766">
      <w:pPr>
        <w:pStyle w:val="Para1"/>
        <w:suppressLineNumbers/>
        <w:tabs>
          <w:tab w:val="clear" w:pos="360"/>
          <w:tab w:val="num" w:pos="720"/>
        </w:tabs>
        <w:suppressAutoHyphens/>
        <w:kinsoku w:val="0"/>
        <w:overflowPunct w:val="0"/>
        <w:autoSpaceDE w:val="0"/>
        <w:autoSpaceDN w:val="0"/>
        <w:adjustRightInd w:val="0"/>
        <w:snapToGrid w:val="0"/>
        <w:rPr>
          <w:kern w:val="22"/>
          <w:szCs w:val="22"/>
        </w:rPr>
      </w:pPr>
      <w:r w:rsidRPr="001D0565">
        <w:rPr>
          <w:kern w:val="22"/>
          <w:szCs w:val="22"/>
        </w:rPr>
        <w:t xml:space="preserve">The national reports are a main source of information for </w:t>
      </w:r>
      <w:r w:rsidR="00391B45" w:rsidRPr="001D0565">
        <w:rPr>
          <w:kern w:val="22"/>
          <w:szCs w:val="22"/>
        </w:rPr>
        <w:t xml:space="preserve">assessing </w:t>
      </w:r>
      <w:r w:rsidR="00322E9A" w:rsidRPr="001D0565">
        <w:rPr>
          <w:kern w:val="22"/>
          <w:szCs w:val="22"/>
        </w:rPr>
        <w:t>implementation of the Strategic Plan for Biodiversity</w:t>
      </w:r>
      <w:r w:rsidRPr="001D0565">
        <w:rPr>
          <w:kern w:val="22"/>
          <w:szCs w:val="22"/>
        </w:rPr>
        <w:t>.</w:t>
      </w:r>
      <w:r w:rsidR="00AC6EEF" w:rsidRPr="001D0565">
        <w:rPr>
          <w:kern w:val="22"/>
          <w:szCs w:val="22"/>
        </w:rPr>
        <w:t xml:space="preserve"> </w:t>
      </w:r>
      <w:r w:rsidR="002C1BAA" w:rsidRPr="00456490">
        <w:rPr>
          <w:kern w:val="22"/>
          <w:szCs w:val="22"/>
        </w:rPr>
        <w:t xml:space="preserve">A total of </w:t>
      </w:r>
      <w:r w:rsidR="004308DD" w:rsidRPr="001D0565">
        <w:rPr>
          <w:kern w:val="22"/>
          <w:szCs w:val="22"/>
        </w:rPr>
        <w:t>23</w:t>
      </w:r>
      <w:r w:rsidR="002C1BAA" w:rsidRPr="00456490">
        <w:rPr>
          <w:kern w:val="22"/>
          <w:szCs w:val="22"/>
        </w:rPr>
        <w:t xml:space="preserve"> per cent</w:t>
      </w:r>
      <w:r w:rsidR="004308DD" w:rsidRPr="001D0565">
        <w:rPr>
          <w:kern w:val="22"/>
          <w:szCs w:val="22"/>
        </w:rPr>
        <w:t xml:space="preserve"> of Parties submitted their sixth national reports before or by the deadline of 31 December 2018 agreed by the Conference of the Parties. Sixth months after the deadline</w:t>
      </w:r>
      <w:r w:rsidR="002C1BAA" w:rsidRPr="00456490">
        <w:rPr>
          <w:kern w:val="22"/>
          <w:szCs w:val="22"/>
        </w:rPr>
        <w:t>,</w:t>
      </w:r>
      <w:r w:rsidR="004308DD" w:rsidRPr="001D0565">
        <w:rPr>
          <w:kern w:val="22"/>
          <w:szCs w:val="22"/>
        </w:rPr>
        <w:t xml:space="preserve"> 49</w:t>
      </w:r>
      <w:r w:rsidR="002C1BAA" w:rsidRPr="00456490">
        <w:rPr>
          <w:kern w:val="22"/>
          <w:szCs w:val="22"/>
        </w:rPr>
        <w:t> per cent</w:t>
      </w:r>
      <w:r w:rsidR="004308DD" w:rsidRPr="001D0565">
        <w:rPr>
          <w:kern w:val="22"/>
          <w:szCs w:val="22"/>
        </w:rPr>
        <w:t xml:space="preserve"> of Parties had submitted their reports</w:t>
      </w:r>
      <w:r w:rsidR="005A5A3B" w:rsidRPr="00456490">
        <w:rPr>
          <w:kern w:val="22"/>
          <w:szCs w:val="22"/>
        </w:rPr>
        <w:t>.</w:t>
      </w:r>
      <w:r w:rsidR="004308DD" w:rsidRPr="001D0565">
        <w:rPr>
          <w:kern w:val="22"/>
          <w:szCs w:val="22"/>
        </w:rPr>
        <w:t xml:space="preserve"> </w:t>
      </w:r>
      <w:r w:rsidR="00AC6EEF" w:rsidRPr="001D0565">
        <w:rPr>
          <w:kern w:val="22"/>
          <w:szCs w:val="22"/>
        </w:rPr>
        <w:t>By 26 March 2020</w:t>
      </w:r>
      <w:r w:rsidR="00CA62B4" w:rsidRPr="001D0565">
        <w:rPr>
          <w:kern w:val="22"/>
          <w:szCs w:val="22"/>
        </w:rPr>
        <w:t>,</w:t>
      </w:r>
      <w:r w:rsidR="00AC6EEF" w:rsidRPr="001D0565">
        <w:rPr>
          <w:kern w:val="22"/>
          <w:szCs w:val="22"/>
        </w:rPr>
        <w:t xml:space="preserve"> 156 sixth national reports had been received</w:t>
      </w:r>
      <w:r w:rsidR="006C09A1" w:rsidRPr="001D0565">
        <w:rPr>
          <w:kern w:val="22"/>
          <w:szCs w:val="22"/>
        </w:rPr>
        <w:t xml:space="preserve">. </w:t>
      </w:r>
      <w:r w:rsidRPr="001D0565">
        <w:rPr>
          <w:kern w:val="22"/>
          <w:szCs w:val="22"/>
        </w:rPr>
        <w:t xml:space="preserve">The assessment of the information </w:t>
      </w:r>
      <w:r w:rsidR="00322E9A" w:rsidRPr="001D0565">
        <w:rPr>
          <w:kern w:val="22"/>
          <w:szCs w:val="22"/>
        </w:rPr>
        <w:t xml:space="preserve">submitted </w:t>
      </w:r>
      <w:r w:rsidRPr="001D0565">
        <w:rPr>
          <w:kern w:val="22"/>
          <w:szCs w:val="22"/>
        </w:rPr>
        <w:t xml:space="preserve">in the </w:t>
      </w:r>
      <w:r w:rsidR="00322E9A" w:rsidRPr="001D0565">
        <w:rPr>
          <w:kern w:val="22"/>
          <w:szCs w:val="22"/>
        </w:rPr>
        <w:t xml:space="preserve">sixth </w:t>
      </w:r>
      <w:r w:rsidRPr="001D0565">
        <w:rPr>
          <w:kern w:val="22"/>
          <w:szCs w:val="22"/>
        </w:rPr>
        <w:t>national reports indicates that the</w:t>
      </w:r>
      <w:r w:rsidR="00CA62B4" w:rsidRPr="001D0565">
        <w:rPr>
          <w:kern w:val="22"/>
          <w:szCs w:val="22"/>
        </w:rPr>
        <w:t xml:space="preserve"> </w:t>
      </w:r>
      <w:r w:rsidRPr="001D0565">
        <w:rPr>
          <w:kern w:val="22"/>
          <w:szCs w:val="22"/>
        </w:rPr>
        <w:t xml:space="preserve">majority of Parties have made progress towards the Aichi Targets but </w:t>
      </w:r>
      <w:r w:rsidR="00CE4D0E" w:rsidRPr="001D0565">
        <w:rPr>
          <w:kern w:val="22"/>
          <w:szCs w:val="22"/>
        </w:rPr>
        <w:t xml:space="preserve">not </w:t>
      </w:r>
      <w:r w:rsidRPr="001D0565">
        <w:rPr>
          <w:kern w:val="22"/>
          <w:szCs w:val="22"/>
        </w:rPr>
        <w:t xml:space="preserve">at a rate </w:t>
      </w:r>
      <w:r w:rsidR="00EE140C" w:rsidRPr="001D0565">
        <w:rPr>
          <w:kern w:val="22"/>
          <w:szCs w:val="22"/>
        </w:rPr>
        <w:t>that has allowed them to be met.</w:t>
      </w:r>
    </w:p>
    <w:p w14:paraId="0B980909" w14:textId="4CE0CF53" w:rsidR="003C0936" w:rsidRPr="00456490" w:rsidRDefault="006C09A1" w:rsidP="00456490">
      <w:pPr>
        <w:pStyle w:val="Para1"/>
        <w:suppressLineNumbers/>
        <w:tabs>
          <w:tab w:val="clear" w:pos="360"/>
        </w:tabs>
        <w:suppressAutoHyphens/>
        <w:rPr>
          <w:rFonts w:eastAsia="Malgun Gothic"/>
          <w:kern w:val="22"/>
          <w:szCs w:val="22"/>
        </w:rPr>
      </w:pPr>
      <w:r w:rsidRPr="00456490">
        <w:rPr>
          <w:rFonts w:eastAsia="Malgun Gothic"/>
          <w:kern w:val="22"/>
          <w:szCs w:val="22"/>
        </w:rPr>
        <w:t>O</w:t>
      </w:r>
      <w:r w:rsidR="003C0936" w:rsidRPr="00456490">
        <w:rPr>
          <w:rFonts w:eastAsia="Malgun Gothic"/>
          <w:kern w:val="22"/>
          <w:szCs w:val="22"/>
        </w:rPr>
        <w:t>n average</w:t>
      </w:r>
      <w:r w:rsidR="0009498B" w:rsidRPr="00456490">
        <w:rPr>
          <w:rFonts w:eastAsia="Malgun Gothic"/>
          <w:kern w:val="22"/>
          <w:szCs w:val="22"/>
        </w:rPr>
        <w:t>,</w:t>
      </w:r>
      <w:r w:rsidR="003C0936" w:rsidRPr="00456490">
        <w:rPr>
          <w:rFonts w:eastAsia="Malgun Gothic"/>
          <w:kern w:val="22"/>
          <w:szCs w:val="22"/>
        </w:rPr>
        <w:t xml:space="preserve"> more than a third of all national targets are on track to be met (34</w:t>
      </w:r>
      <w:r w:rsidR="006D2FBF" w:rsidRPr="00456490">
        <w:rPr>
          <w:rFonts w:eastAsia="Malgun Gothic"/>
          <w:kern w:val="22"/>
          <w:szCs w:val="22"/>
        </w:rPr>
        <w:t xml:space="preserve"> per cent</w:t>
      </w:r>
      <w:r w:rsidR="003C0936" w:rsidRPr="00456490">
        <w:rPr>
          <w:rFonts w:eastAsia="Malgun Gothic"/>
          <w:kern w:val="22"/>
          <w:szCs w:val="22"/>
        </w:rPr>
        <w:t>) or exceeded (3</w:t>
      </w:r>
      <w:r w:rsidR="006D2FBF" w:rsidRPr="00456490">
        <w:rPr>
          <w:rFonts w:eastAsia="Malgun Gothic"/>
          <w:kern w:val="22"/>
          <w:szCs w:val="22"/>
        </w:rPr>
        <w:t xml:space="preserve"> </w:t>
      </w:r>
      <w:r w:rsidR="00C91E4D" w:rsidRPr="00456490">
        <w:rPr>
          <w:rFonts w:eastAsia="Malgun Gothic"/>
          <w:kern w:val="22"/>
          <w:szCs w:val="22"/>
        </w:rPr>
        <w:t>p</w:t>
      </w:r>
      <w:r w:rsidR="006D2FBF" w:rsidRPr="00456490">
        <w:rPr>
          <w:rFonts w:eastAsia="Malgun Gothic"/>
          <w:kern w:val="22"/>
          <w:szCs w:val="22"/>
        </w:rPr>
        <w:t>er cent</w:t>
      </w:r>
      <w:r w:rsidR="003C0936" w:rsidRPr="00456490">
        <w:rPr>
          <w:rFonts w:eastAsia="Malgun Gothic"/>
          <w:kern w:val="22"/>
          <w:szCs w:val="22"/>
        </w:rPr>
        <w:t>). However</w:t>
      </w:r>
      <w:r w:rsidR="00C91E4D" w:rsidRPr="00456490">
        <w:rPr>
          <w:rFonts w:eastAsia="Malgun Gothic"/>
          <w:kern w:val="22"/>
          <w:szCs w:val="22"/>
        </w:rPr>
        <w:t>,</w:t>
      </w:r>
      <w:r w:rsidR="003C0936" w:rsidRPr="00456490">
        <w:rPr>
          <w:rFonts w:eastAsia="Malgun Gothic"/>
          <w:kern w:val="22"/>
          <w:szCs w:val="22"/>
        </w:rPr>
        <w:t xml:space="preserve"> only a tenth (10</w:t>
      </w:r>
      <w:r w:rsidR="006D2FBF" w:rsidRPr="00456490">
        <w:rPr>
          <w:rFonts w:eastAsia="Malgun Gothic"/>
          <w:kern w:val="22"/>
          <w:szCs w:val="22"/>
        </w:rPr>
        <w:t xml:space="preserve"> per cent</w:t>
      </w:r>
      <w:r w:rsidR="003C0936" w:rsidRPr="00456490">
        <w:rPr>
          <w:rFonts w:eastAsia="Malgun Gothic"/>
          <w:kern w:val="22"/>
          <w:szCs w:val="22"/>
        </w:rPr>
        <w:t>) of the national target that are similar to an Aichi Biodiversity Target are on track to be met. On average</w:t>
      </w:r>
      <w:r w:rsidR="00B46EA5" w:rsidRPr="00456490">
        <w:rPr>
          <w:rFonts w:eastAsia="Malgun Gothic"/>
          <w:kern w:val="22"/>
          <w:szCs w:val="22"/>
        </w:rPr>
        <w:t>,</w:t>
      </w:r>
      <w:r w:rsidR="003C0936" w:rsidRPr="00456490">
        <w:rPr>
          <w:rFonts w:eastAsia="Malgun Gothic"/>
          <w:kern w:val="22"/>
          <w:szCs w:val="22"/>
        </w:rPr>
        <w:t xml:space="preserve"> for about half of the national targets (51</w:t>
      </w:r>
      <w:r w:rsidR="006D2FBF" w:rsidRPr="00456490">
        <w:rPr>
          <w:rFonts w:eastAsia="Malgun Gothic"/>
          <w:kern w:val="22"/>
          <w:szCs w:val="22"/>
        </w:rPr>
        <w:t xml:space="preserve"> per cent</w:t>
      </w:r>
      <w:r w:rsidR="003C0936" w:rsidRPr="00456490">
        <w:rPr>
          <w:rFonts w:eastAsia="Malgun Gothic"/>
          <w:kern w:val="22"/>
          <w:szCs w:val="22"/>
        </w:rPr>
        <w:t>)</w:t>
      </w:r>
      <w:r w:rsidRPr="00456490">
        <w:rPr>
          <w:rFonts w:eastAsia="Malgun Gothic"/>
          <w:kern w:val="22"/>
          <w:szCs w:val="22"/>
        </w:rPr>
        <w:t xml:space="preserve"> </w:t>
      </w:r>
      <w:r w:rsidR="003C0936" w:rsidRPr="00456490">
        <w:rPr>
          <w:rFonts w:eastAsia="Malgun Gothic"/>
          <w:kern w:val="22"/>
          <w:szCs w:val="22"/>
        </w:rPr>
        <w:t>progress is being made but not at a rate that will allow them to be met. Further, on average, about a tenth of national targets have no significant progress (11</w:t>
      </w:r>
      <w:r w:rsidR="009066F7" w:rsidRPr="00456490">
        <w:rPr>
          <w:rFonts w:eastAsia="Malgun Gothic"/>
          <w:kern w:val="22"/>
          <w:szCs w:val="22"/>
        </w:rPr>
        <w:t xml:space="preserve"> per cent</w:t>
      </w:r>
      <w:r w:rsidR="003C0936" w:rsidRPr="00456490">
        <w:rPr>
          <w:rFonts w:eastAsia="Malgun Gothic"/>
          <w:kern w:val="22"/>
          <w:szCs w:val="22"/>
        </w:rPr>
        <w:t>) or are moving in the wrong direction (1</w:t>
      </w:r>
      <w:r w:rsidR="009066F7" w:rsidRPr="00456490">
        <w:rPr>
          <w:rFonts w:eastAsia="Malgun Gothic"/>
          <w:kern w:val="22"/>
          <w:szCs w:val="22"/>
        </w:rPr>
        <w:t xml:space="preserve"> per cent</w:t>
      </w:r>
      <w:r w:rsidR="003C0936" w:rsidRPr="00456490">
        <w:rPr>
          <w:rFonts w:eastAsia="Malgun Gothic"/>
          <w:kern w:val="22"/>
          <w:szCs w:val="22"/>
        </w:rPr>
        <w:t>). Most progress appears to have been made towards the national targets related to Aichi Biodiversity Targets 1, 11, 16, 17 and 19. By comparison much less progress appears to have been made towards the national targets related to Aichi Biodiversity Targets 5, 8, 9, 10, 13, 14 and 20.</w:t>
      </w:r>
    </w:p>
    <w:p w14:paraId="30158F41" w14:textId="7A65AFC1" w:rsidR="009E4766" w:rsidRPr="00BB02E4" w:rsidRDefault="009E4766">
      <w:pPr>
        <w:pStyle w:val="Para1"/>
        <w:suppressLineNumbers/>
        <w:tabs>
          <w:tab w:val="clear" w:pos="360"/>
          <w:tab w:val="num" w:pos="720"/>
        </w:tabs>
        <w:suppressAutoHyphens/>
        <w:kinsoku w:val="0"/>
        <w:overflowPunct w:val="0"/>
        <w:autoSpaceDE w:val="0"/>
        <w:autoSpaceDN w:val="0"/>
        <w:adjustRightInd w:val="0"/>
        <w:snapToGrid w:val="0"/>
        <w:rPr>
          <w:rFonts w:eastAsia="Malgun Gothic"/>
          <w:color w:val="000000"/>
          <w:kern w:val="22"/>
          <w:szCs w:val="22"/>
        </w:rPr>
      </w:pPr>
      <w:r w:rsidRPr="001D0565">
        <w:rPr>
          <w:rFonts w:eastAsia="Malgun Gothic"/>
          <w:kern w:val="22"/>
          <w:szCs w:val="22"/>
        </w:rPr>
        <w:t xml:space="preserve">This assessment is consistent with that presented in the fourth edition of the </w:t>
      </w:r>
      <w:r w:rsidRPr="001D0565">
        <w:rPr>
          <w:rFonts w:eastAsia="Malgun Gothic"/>
          <w:i/>
          <w:kern w:val="22"/>
          <w:szCs w:val="22"/>
        </w:rPr>
        <w:t>Global Biodiversity Outlook</w:t>
      </w:r>
      <w:r w:rsidRPr="001D0565">
        <w:rPr>
          <w:rFonts w:eastAsia="Malgun Gothic"/>
          <w:iCs/>
          <w:kern w:val="22"/>
          <w:szCs w:val="22"/>
        </w:rPr>
        <w:t xml:space="preserve">, </w:t>
      </w:r>
      <w:r w:rsidR="00172929" w:rsidRPr="001D0565">
        <w:rPr>
          <w:rFonts w:eastAsia="Malgun Gothic"/>
          <w:kern w:val="22"/>
          <w:szCs w:val="22"/>
        </w:rPr>
        <w:t xml:space="preserve">which concluded that, while progress </w:t>
      </w:r>
      <w:r w:rsidR="00CA62B4" w:rsidRPr="001D0565">
        <w:rPr>
          <w:rFonts w:eastAsia="Malgun Gothic"/>
          <w:kern w:val="22"/>
          <w:szCs w:val="22"/>
        </w:rPr>
        <w:t xml:space="preserve">was </w:t>
      </w:r>
      <w:r w:rsidR="00172929" w:rsidRPr="001D0565">
        <w:rPr>
          <w:rFonts w:eastAsia="Malgun Gothic"/>
          <w:kern w:val="22"/>
          <w:szCs w:val="22"/>
        </w:rPr>
        <w:t xml:space="preserve">being made towards the achievement of all targets, </w:t>
      </w:r>
      <w:r w:rsidR="00CA62B4" w:rsidRPr="001D0565">
        <w:rPr>
          <w:rFonts w:eastAsia="Malgun Gothic"/>
          <w:kern w:val="22"/>
          <w:szCs w:val="22"/>
        </w:rPr>
        <w:t xml:space="preserve">it was </w:t>
      </w:r>
      <w:r w:rsidR="00172929" w:rsidRPr="001D0565">
        <w:rPr>
          <w:rFonts w:eastAsia="Malgun Gothic"/>
          <w:kern w:val="22"/>
          <w:szCs w:val="22"/>
        </w:rPr>
        <w:t xml:space="preserve">not sufficient to achieve the Aichi Biodiversity Targets. It is also consistent with the </w:t>
      </w:r>
      <w:r w:rsidR="00A5744C" w:rsidRPr="00456490">
        <w:rPr>
          <w:i/>
          <w:iCs/>
          <w:kern w:val="22"/>
          <w:szCs w:val="22"/>
        </w:rPr>
        <w:t>Global Assessment Report on Biodiversity and Ecosystem Services</w:t>
      </w:r>
      <w:r w:rsidR="00172929" w:rsidRPr="00456490">
        <w:rPr>
          <w:kern w:val="22"/>
          <w:szCs w:val="22"/>
        </w:rPr>
        <w:t xml:space="preserve"> of the Intergovernmental Science-Policy Platform on Biodiversity and Ecosystem Services</w:t>
      </w:r>
      <w:r w:rsidR="00A5744C" w:rsidRPr="00456490">
        <w:rPr>
          <w:kern w:val="22"/>
          <w:szCs w:val="22"/>
        </w:rPr>
        <w:t>,</w:t>
      </w:r>
      <w:r w:rsidR="00172929" w:rsidRPr="00456490">
        <w:rPr>
          <w:kern w:val="22"/>
          <w:szCs w:val="22"/>
        </w:rPr>
        <w:t xml:space="preserve"> which observed that</w:t>
      </w:r>
      <w:r w:rsidR="00172929" w:rsidRPr="001D0565">
        <w:rPr>
          <w:rFonts w:eastAsia="Malgun Gothic"/>
          <w:kern w:val="22"/>
          <w:szCs w:val="22"/>
        </w:rPr>
        <w:t xml:space="preserve"> </w:t>
      </w:r>
      <w:r w:rsidR="00172929" w:rsidRPr="00456490">
        <w:rPr>
          <w:kern w:val="22"/>
          <w:szCs w:val="22"/>
        </w:rPr>
        <w:t xml:space="preserve">“the implementation of policy responses and actions to conserve nature and manage it more sustainably has progressed, yielding positive outcomes relative to scenarios of no intervention, but progress is not sufficient to stem the direct and indirect drivers of nature deterioration. It is therefore likely that most of the Aichi Biodiversity Targets for 2020 will be </w:t>
      </w:r>
      <w:r w:rsidR="00172929" w:rsidRPr="00456490">
        <w:rPr>
          <w:kern w:val="22"/>
          <w:szCs w:val="22"/>
        </w:rPr>
        <w:lastRenderedPageBreak/>
        <w:t>missed.”</w:t>
      </w:r>
      <w:r w:rsidR="00322E9A" w:rsidRPr="00456490">
        <w:rPr>
          <w:kern w:val="22"/>
          <w:szCs w:val="22"/>
        </w:rPr>
        <w:t xml:space="preserve"> </w:t>
      </w:r>
      <w:r w:rsidRPr="001D0565">
        <w:rPr>
          <w:rFonts w:eastAsia="Malgun Gothic"/>
          <w:kern w:val="22"/>
          <w:szCs w:val="22"/>
        </w:rPr>
        <w:t>Further information on the progress made</w:t>
      </w:r>
      <w:r w:rsidR="003C0936" w:rsidRPr="001D0565">
        <w:rPr>
          <w:rFonts w:eastAsia="Malgun Gothic"/>
          <w:kern w:val="22"/>
          <w:szCs w:val="22"/>
        </w:rPr>
        <w:t xml:space="preserve"> </w:t>
      </w:r>
      <w:r w:rsidR="003216A9" w:rsidRPr="001D0565">
        <w:rPr>
          <w:rFonts w:eastAsia="Malgun Gothic"/>
          <w:kern w:val="22"/>
          <w:szCs w:val="22"/>
        </w:rPr>
        <w:t xml:space="preserve">towards </w:t>
      </w:r>
      <w:r w:rsidRPr="001D0565">
        <w:rPr>
          <w:rFonts w:eastAsia="Malgun Gothic"/>
          <w:kern w:val="22"/>
          <w:szCs w:val="22"/>
        </w:rPr>
        <w:t>the Aichi Biodiversity Targets</w:t>
      </w:r>
      <w:r w:rsidR="003216A9" w:rsidRPr="001D0565">
        <w:rPr>
          <w:rFonts w:eastAsia="Malgun Gothic"/>
          <w:kern w:val="22"/>
          <w:szCs w:val="22"/>
        </w:rPr>
        <w:t>,</w:t>
      </w:r>
      <w:r w:rsidRPr="001D0565">
        <w:rPr>
          <w:rFonts w:eastAsia="Malgun Gothic"/>
          <w:kern w:val="22"/>
          <w:szCs w:val="22"/>
        </w:rPr>
        <w:t xml:space="preserve"> as presented in the national reports</w:t>
      </w:r>
      <w:r w:rsidR="003216A9" w:rsidRPr="001D0565">
        <w:rPr>
          <w:rFonts w:eastAsia="Malgun Gothic"/>
          <w:kern w:val="22"/>
          <w:szCs w:val="22"/>
        </w:rPr>
        <w:t>,</w:t>
      </w:r>
      <w:r w:rsidRPr="001D0565">
        <w:rPr>
          <w:rFonts w:eastAsia="Malgun Gothic"/>
          <w:kern w:val="22"/>
          <w:szCs w:val="22"/>
        </w:rPr>
        <w:t xml:space="preserve"> is contained in document CBD/SBI/2/2/Add.2</w:t>
      </w:r>
      <w:r w:rsidR="0086500A" w:rsidRPr="001D0565">
        <w:rPr>
          <w:rFonts w:eastAsia="Malgun Gothic"/>
          <w:kern w:val="22"/>
          <w:szCs w:val="22"/>
        </w:rPr>
        <w:t xml:space="preserve"> as well as in the fifth edition of the </w:t>
      </w:r>
      <w:r w:rsidR="0086500A" w:rsidRPr="00456490">
        <w:rPr>
          <w:rFonts w:eastAsia="Malgun Gothic"/>
          <w:i/>
          <w:iCs/>
          <w:kern w:val="22"/>
          <w:szCs w:val="22"/>
        </w:rPr>
        <w:t>Global Biodiversity Outlook</w:t>
      </w:r>
      <w:r w:rsidR="0086500A" w:rsidRPr="001D0565">
        <w:rPr>
          <w:rFonts w:eastAsia="Malgun Gothic"/>
          <w:kern w:val="22"/>
          <w:szCs w:val="22"/>
        </w:rPr>
        <w:t>.</w:t>
      </w:r>
    </w:p>
    <w:p w14:paraId="46256F1A" w14:textId="77777777" w:rsidR="009E4766" w:rsidRPr="001D0565" w:rsidRDefault="009E4766">
      <w:pPr>
        <w:keepNext/>
        <w:numPr>
          <w:ilvl w:val="0"/>
          <w:numId w:val="22"/>
        </w:numPr>
        <w:suppressLineNumbers/>
        <w:suppressAutoHyphens/>
        <w:kinsoku w:val="0"/>
        <w:overflowPunct w:val="0"/>
        <w:autoSpaceDE w:val="0"/>
        <w:autoSpaceDN w:val="0"/>
        <w:adjustRightInd w:val="0"/>
        <w:snapToGrid w:val="0"/>
        <w:spacing w:before="120" w:after="120"/>
        <w:ind w:left="850" w:hanging="432"/>
        <w:jc w:val="center"/>
        <w:outlineLvl w:val="1"/>
        <w:rPr>
          <w:b/>
          <w:bCs/>
          <w:snapToGrid w:val="0"/>
          <w:kern w:val="22"/>
          <w:szCs w:val="22"/>
        </w:rPr>
      </w:pPr>
      <w:r w:rsidRPr="001D0565">
        <w:rPr>
          <w:b/>
          <w:bCs/>
          <w:snapToGrid w:val="0"/>
          <w:kern w:val="22"/>
          <w:szCs w:val="22"/>
        </w:rPr>
        <w:t>Progress in implementing the Gender Plan of Action</w:t>
      </w:r>
    </w:p>
    <w:p w14:paraId="65C0E5D9" w14:textId="6C79B9CB" w:rsidR="00646BEE" w:rsidRPr="00456490" w:rsidRDefault="009E4766">
      <w:pPr>
        <w:pStyle w:val="Para1"/>
        <w:suppressLineNumbers/>
        <w:pBdr>
          <w:top w:val="nil"/>
          <w:left w:val="nil"/>
          <w:bottom w:val="nil"/>
          <w:right w:val="nil"/>
          <w:between w:val="nil"/>
          <w:bar w:val="nil"/>
        </w:pBdr>
        <w:tabs>
          <w:tab w:val="clear" w:pos="360"/>
          <w:tab w:val="num" w:pos="720"/>
        </w:tabs>
        <w:suppressAutoHyphens/>
        <w:kinsoku w:val="0"/>
        <w:overflowPunct w:val="0"/>
        <w:autoSpaceDE w:val="0"/>
        <w:autoSpaceDN w:val="0"/>
        <w:adjustRightInd w:val="0"/>
        <w:snapToGrid w:val="0"/>
        <w:rPr>
          <w:kern w:val="22"/>
          <w:szCs w:val="22"/>
        </w:rPr>
      </w:pPr>
      <w:r w:rsidRPr="001D0565">
        <w:rPr>
          <w:rFonts w:eastAsia="Malgun Gothic"/>
          <w:kern w:val="22"/>
          <w:szCs w:val="22"/>
        </w:rPr>
        <w:t xml:space="preserve">In decision </w:t>
      </w:r>
      <w:hyperlink r:id="rId22" w:history="1">
        <w:r w:rsidRPr="001D0565">
          <w:rPr>
            <w:rStyle w:val="Hyperlink"/>
            <w:rFonts w:eastAsia="Malgun Gothic"/>
            <w:kern w:val="22"/>
            <w:sz w:val="22"/>
            <w:szCs w:val="22"/>
          </w:rPr>
          <w:t>XII/7</w:t>
        </w:r>
      </w:hyperlink>
      <w:r w:rsidRPr="001D0565">
        <w:rPr>
          <w:rFonts w:eastAsia="Malgun Gothic"/>
          <w:kern w:val="22"/>
          <w:szCs w:val="22"/>
        </w:rPr>
        <w:t>, the Conference of Parties welcomed the 2015-2020 Gender Plan of Action under the Convention on Biological Diversity</w:t>
      </w:r>
      <w:r w:rsidR="00C479E7" w:rsidRPr="001D0565">
        <w:rPr>
          <w:rFonts w:eastAsia="Malgun Gothic"/>
          <w:kern w:val="22"/>
          <w:szCs w:val="22"/>
        </w:rPr>
        <w:t>,</w:t>
      </w:r>
      <w:r w:rsidR="0058244B" w:rsidRPr="001D0565">
        <w:rPr>
          <w:rFonts w:eastAsia="Malgun Gothic"/>
          <w:kern w:val="22"/>
          <w:szCs w:val="22"/>
        </w:rPr>
        <w:t xml:space="preserve"> and</w:t>
      </w:r>
      <w:r w:rsidRPr="001D0565">
        <w:rPr>
          <w:rFonts w:eastAsia="Malgun Gothic"/>
          <w:kern w:val="22"/>
          <w:szCs w:val="22"/>
        </w:rPr>
        <w:t xml:space="preserve"> requested the Executive Secretary to support its implementation and requested Parties to report on actions taken in this regard. </w:t>
      </w:r>
      <w:r w:rsidR="00761DBE" w:rsidRPr="001D0565">
        <w:rPr>
          <w:rFonts w:eastAsia="Malgun Gothic"/>
          <w:kern w:val="22"/>
          <w:szCs w:val="22"/>
        </w:rPr>
        <w:t xml:space="preserve">The </w:t>
      </w:r>
      <w:r w:rsidR="0058244B" w:rsidRPr="001D0565">
        <w:rPr>
          <w:rFonts w:eastAsia="Malgun Gothic"/>
          <w:kern w:val="22"/>
          <w:szCs w:val="22"/>
        </w:rPr>
        <w:t xml:space="preserve">review of </w:t>
      </w:r>
      <w:r w:rsidR="00C479E7" w:rsidRPr="001D0565">
        <w:rPr>
          <w:rFonts w:eastAsia="Malgun Gothic"/>
          <w:kern w:val="22"/>
          <w:szCs w:val="22"/>
        </w:rPr>
        <w:t>implementation</w:t>
      </w:r>
      <w:r w:rsidR="0058244B" w:rsidRPr="001D0565">
        <w:rPr>
          <w:rFonts w:eastAsia="Malgun Gothic"/>
          <w:kern w:val="22"/>
          <w:szCs w:val="22"/>
        </w:rPr>
        <w:t xml:space="preserve"> of the </w:t>
      </w:r>
      <w:r w:rsidR="006670A9" w:rsidRPr="001D0565">
        <w:rPr>
          <w:rFonts w:eastAsia="Malgun Gothic"/>
          <w:kern w:val="22"/>
          <w:szCs w:val="22"/>
        </w:rPr>
        <w:t>Gender P</w:t>
      </w:r>
      <w:r w:rsidR="0058244B" w:rsidRPr="001D0565">
        <w:rPr>
          <w:rFonts w:eastAsia="Malgun Gothic"/>
          <w:kern w:val="22"/>
          <w:szCs w:val="22"/>
        </w:rPr>
        <w:t xml:space="preserve">lan of </w:t>
      </w:r>
      <w:r w:rsidR="006670A9" w:rsidRPr="001D0565">
        <w:rPr>
          <w:rFonts w:eastAsia="Malgun Gothic"/>
          <w:kern w:val="22"/>
          <w:szCs w:val="22"/>
        </w:rPr>
        <w:t>A</w:t>
      </w:r>
      <w:r w:rsidR="0058244B" w:rsidRPr="001D0565">
        <w:rPr>
          <w:rFonts w:eastAsia="Malgun Gothic"/>
          <w:kern w:val="22"/>
          <w:szCs w:val="22"/>
        </w:rPr>
        <w:t>ction</w:t>
      </w:r>
      <w:r w:rsidR="00F731D9" w:rsidRPr="001D0565">
        <w:rPr>
          <w:rFonts w:eastAsia="Malgun Gothic"/>
          <w:kern w:val="22"/>
          <w:szCs w:val="22"/>
        </w:rPr>
        <w:t xml:space="preserve"> presented in document </w:t>
      </w:r>
      <w:r w:rsidR="0058244B" w:rsidRPr="00456490">
        <w:rPr>
          <w:kern w:val="22"/>
          <w:szCs w:val="22"/>
        </w:rPr>
        <w:t>CBD/SBI/3/2/Add.3</w:t>
      </w:r>
      <w:r w:rsidR="00F84857" w:rsidRPr="00456490">
        <w:rPr>
          <w:kern w:val="22"/>
          <w:szCs w:val="22"/>
        </w:rPr>
        <w:t>,</w:t>
      </w:r>
      <w:r w:rsidR="0058244B" w:rsidRPr="00456490">
        <w:rPr>
          <w:kern w:val="22"/>
          <w:szCs w:val="22"/>
        </w:rPr>
        <w:t xml:space="preserve"> </w:t>
      </w:r>
      <w:r w:rsidR="00DF42A3" w:rsidRPr="00456490">
        <w:rPr>
          <w:kern w:val="22"/>
          <w:szCs w:val="22"/>
        </w:rPr>
        <w:t>was undertaken in response</w:t>
      </w:r>
      <w:r w:rsidR="006670A9" w:rsidRPr="00456490">
        <w:rPr>
          <w:kern w:val="22"/>
          <w:szCs w:val="22"/>
        </w:rPr>
        <w:t xml:space="preserve"> to decision </w:t>
      </w:r>
      <w:hyperlink r:id="rId23" w:history="1">
        <w:r w:rsidR="006670A9" w:rsidRPr="00456490">
          <w:rPr>
            <w:rStyle w:val="Hyperlink"/>
            <w:kern w:val="22"/>
            <w:sz w:val="22"/>
            <w:szCs w:val="22"/>
          </w:rPr>
          <w:t>XIV/18</w:t>
        </w:r>
      </w:hyperlink>
      <w:r w:rsidR="001D508F" w:rsidRPr="00456490">
        <w:rPr>
          <w:kern w:val="22"/>
          <w:szCs w:val="22"/>
        </w:rPr>
        <w:t>,</w:t>
      </w:r>
      <w:r w:rsidR="006670A9" w:rsidRPr="00456490">
        <w:rPr>
          <w:kern w:val="22"/>
          <w:szCs w:val="22"/>
        </w:rPr>
        <w:t xml:space="preserve"> </w:t>
      </w:r>
      <w:r w:rsidR="00922CEA" w:rsidRPr="00456490">
        <w:rPr>
          <w:kern w:val="22"/>
          <w:szCs w:val="22"/>
        </w:rPr>
        <w:t xml:space="preserve">and </w:t>
      </w:r>
      <w:r w:rsidR="0081337C" w:rsidRPr="00456490">
        <w:rPr>
          <w:kern w:val="22"/>
          <w:szCs w:val="22"/>
        </w:rPr>
        <w:t>assesses actions undertaken by Parties and the Secretariat</w:t>
      </w:r>
      <w:r w:rsidR="00254CC6" w:rsidRPr="00456490">
        <w:rPr>
          <w:kern w:val="22"/>
          <w:szCs w:val="22"/>
        </w:rPr>
        <w:t>,</w:t>
      </w:r>
      <w:r w:rsidR="0081337C" w:rsidRPr="00456490">
        <w:rPr>
          <w:kern w:val="22"/>
          <w:szCs w:val="22"/>
        </w:rPr>
        <w:t xml:space="preserve"> and identifies </w:t>
      </w:r>
      <w:r w:rsidR="001D508F" w:rsidRPr="00456490">
        <w:rPr>
          <w:kern w:val="22"/>
          <w:szCs w:val="22"/>
        </w:rPr>
        <w:t xml:space="preserve">best practices, lessons learned and gaps. </w:t>
      </w:r>
      <w:r w:rsidR="00F84857" w:rsidRPr="00456490">
        <w:rPr>
          <w:kern w:val="22"/>
          <w:szCs w:val="22"/>
        </w:rPr>
        <w:t xml:space="preserve"> </w:t>
      </w:r>
      <w:r w:rsidR="00646BEE" w:rsidRPr="00456490">
        <w:rPr>
          <w:kern w:val="22"/>
          <w:szCs w:val="22"/>
        </w:rPr>
        <w:t>The review is based on assessment of the sixth national reports</w:t>
      </w:r>
      <w:r w:rsidR="00646BEE" w:rsidRPr="00456490">
        <w:rPr>
          <w:rStyle w:val="FootnoteReference"/>
          <w:kern w:val="22"/>
          <w:szCs w:val="22"/>
        </w:rPr>
        <w:footnoteReference w:id="9"/>
      </w:r>
      <w:r w:rsidR="00646BEE" w:rsidRPr="00456490">
        <w:rPr>
          <w:kern w:val="22"/>
          <w:szCs w:val="22"/>
        </w:rPr>
        <w:t xml:space="preserve"> received by the Secretariat, and results of two global surveys, one for government representatives, and one for </w:t>
      </w:r>
      <w:r w:rsidR="00D97C4D" w:rsidRPr="00456490">
        <w:rPr>
          <w:kern w:val="22"/>
          <w:szCs w:val="22"/>
        </w:rPr>
        <w:t xml:space="preserve">other </w:t>
      </w:r>
      <w:r w:rsidR="00646BEE" w:rsidRPr="00456490">
        <w:rPr>
          <w:kern w:val="22"/>
          <w:szCs w:val="22"/>
        </w:rPr>
        <w:t>relevant organizations</w:t>
      </w:r>
      <w:r w:rsidR="00D070F0" w:rsidRPr="00456490">
        <w:rPr>
          <w:kern w:val="22"/>
          <w:szCs w:val="22"/>
        </w:rPr>
        <w:t>.</w:t>
      </w:r>
      <w:r w:rsidR="00646BEE" w:rsidRPr="00456490">
        <w:rPr>
          <w:rStyle w:val="FootnoteReference"/>
          <w:kern w:val="22"/>
          <w:szCs w:val="22"/>
        </w:rPr>
        <w:footnoteReference w:id="10"/>
      </w:r>
    </w:p>
    <w:p w14:paraId="76ACEBDB" w14:textId="2CE12AD5" w:rsidR="0058244B" w:rsidRPr="00456490" w:rsidRDefault="00F731D9">
      <w:pPr>
        <w:pStyle w:val="Para1"/>
        <w:suppressLineNumbers/>
        <w:pBdr>
          <w:top w:val="nil"/>
          <w:left w:val="nil"/>
          <w:bottom w:val="nil"/>
          <w:right w:val="nil"/>
          <w:between w:val="nil"/>
          <w:bar w:val="nil"/>
        </w:pBdr>
        <w:tabs>
          <w:tab w:val="clear" w:pos="360"/>
          <w:tab w:val="num" w:pos="720"/>
        </w:tabs>
        <w:suppressAutoHyphens/>
        <w:kinsoku w:val="0"/>
        <w:overflowPunct w:val="0"/>
        <w:autoSpaceDE w:val="0"/>
        <w:autoSpaceDN w:val="0"/>
        <w:adjustRightInd w:val="0"/>
        <w:snapToGrid w:val="0"/>
        <w:rPr>
          <w:kern w:val="22"/>
          <w:szCs w:val="22"/>
        </w:rPr>
      </w:pPr>
      <w:r w:rsidRPr="00456490">
        <w:rPr>
          <w:kern w:val="22"/>
          <w:szCs w:val="22"/>
        </w:rPr>
        <w:t xml:space="preserve">The review </w:t>
      </w:r>
      <w:r w:rsidR="0058244B" w:rsidRPr="00456490">
        <w:rPr>
          <w:kern w:val="22"/>
          <w:szCs w:val="22"/>
        </w:rPr>
        <w:t xml:space="preserve">suggests that there is </w:t>
      </w:r>
      <w:r w:rsidR="00AD28B5" w:rsidRPr="00456490">
        <w:rPr>
          <w:kern w:val="22"/>
          <w:szCs w:val="22"/>
        </w:rPr>
        <w:t>an enhanced</w:t>
      </w:r>
      <w:r w:rsidR="00F84857" w:rsidRPr="00456490">
        <w:rPr>
          <w:kern w:val="22"/>
          <w:szCs w:val="22"/>
        </w:rPr>
        <w:t xml:space="preserve"> </w:t>
      </w:r>
      <w:r w:rsidR="0058244B" w:rsidRPr="00456490">
        <w:rPr>
          <w:kern w:val="22"/>
          <w:szCs w:val="22"/>
        </w:rPr>
        <w:t>awareness and understanding among Parties of gender and biodiversity linkages and</w:t>
      </w:r>
      <w:r w:rsidR="00761DBE" w:rsidRPr="00456490">
        <w:rPr>
          <w:kern w:val="22"/>
          <w:szCs w:val="22"/>
        </w:rPr>
        <w:t xml:space="preserve"> </w:t>
      </w:r>
      <w:r w:rsidR="0058244B" w:rsidRPr="00456490">
        <w:rPr>
          <w:kern w:val="22"/>
          <w:szCs w:val="22"/>
        </w:rPr>
        <w:t>the relevant steps</w:t>
      </w:r>
      <w:r w:rsidR="00F84857" w:rsidRPr="00456490">
        <w:rPr>
          <w:kern w:val="22"/>
          <w:szCs w:val="22"/>
        </w:rPr>
        <w:t xml:space="preserve"> </w:t>
      </w:r>
      <w:r w:rsidR="0058244B" w:rsidRPr="00456490">
        <w:rPr>
          <w:kern w:val="22"/>
          <w:szCs w:val="22"/>
        </w:rPr>
        <w:t xml:space="preserve">that need to be taken to enable </w:t>
      </w:r>
      <w:r w:rsidR="00F826D3" w:rsidRPr="00456490">
        <w:rPr>
          <w:kern w:val="22"/>
          <w:szCs w:val="22"/>
        </w:rPr>
        <w:t xml:space="preserve">a </w:t>
      </w:r>
      <w:r w:rsidR="0058244B" w:rsidRPr="00456490">
        <w:rPr>
          <w:kern w:val="22"/>
          <w:szCs w:val="22"/>
        </w:rPr>
        <w:t xml:space="preserve">more gender-responsive implementation of actions to halt biodiversity loss. However, </w:t>
      </w:r>
      <w:r w:rsidR="00301F6F" w:rsidRPr="00456490">
        <w:rPr>
          <w:kern w:val="22"/>
          <w:szCs w:val="22"/>
        </w:rPr>
        <w:t xml:space="preserve">the </w:t>
      </w:r>
      <w:r w:rsidR="0058244B" w:rsidRPr="00456490">
        <w:rPr>
          <w:kern w:val="22"/>
          <w:szCs w:val="22"/>
        </w:rPr>
        <w:t xml:space="preserve">efforts </w:t>
      </w:r>
      <w:r w:rsidR="00301F6F" w:rsidRPr="00456490">
        <w:rPr>
          <w:kern w:val="22"/>
          <w:szCs w:val="22"/>
        </w:rPr>
        <w:t>of</w:t>
      </w:r>
      <w:r w:rsidR="001D0565" w:rsidRPr="00456490">
        <w:rPr>
          <w:kern w:val="22"/>
          <w:szCs w:val="22"/>
        </w:rPr>
        <w:t xml:space="preserve"> </w:t>
      </w:r>
      <w:r w:rsidR="00301F6F" w:rsidRPr="00456490">
        <w:rPr>
          <w:kern w:val="22"/>
          <w:szCs w:val="22"/>
        </w:rPr>
        <w:t xml:space="preserve">Parties </w:t>
      </w:r>
      <w:r w:rsidR="0058244B" w:rsidRPr="00456490">
        <w:rPr>
          <w:kern w:val="22"/>
          <w:szCs w:val="22"/>
        </w:rPr>
        <w:t>need to be maintained and strengthened, including</w:t>
      </w:r>
      <w:r w:rsidR="00845BC4" w:rsidRPr="00456490">
        <w:rPr>
          <w:kern w:val="22"/>
          <w:szCs w:val="22"/>
        </w:rPr>
        <w:t xml:space="preserve"> in areas of women’s full and effective engagement in implementation and mainstreaming of gender issues in biodiversity-related actions, better coordination with women’s organizations and ministries and local partners, as well as awareness-raising and capacity</w:t>
      </w:r>
      <w:r w:rsidR="00BB2DE0" w:rsidRPr="00456490">
        <w:rPr>
          <w:kern w:val="22"/>
          <w:szCs w:val="22"/>
        </w:rPr>
        <w:t>-</w:t>
      </w:r>
      <w:r w:rsidR="00845BC4" w:rsidRPr="00456490">
        <w:rPr>
          <w:kern w:val="22"/>
          <w:szCs w:val="22"/>
        </w:rPr>
        <w:t xml:space="preserve">building for different actors, among other areas </w:t>
      </w:r>
      <w:r w:rsidR="0058244B" w:rsidRPr="00456490">
        <w:rPr>
          <w:kern w:val="22"/>
          <w:szCs w:val="22"/>
        </w:rPr>
        <w:t>to ensure stronger and sustained outcomes for gender and biodiversity going forward.</w:t>
      </w:r>
    </w:p>
    <w:p w14:paraId="62E135DB" w14:textId="669F9E25" w:rsidR="0058244B" w:rsidRPr="00456490" w:rsidRDefault="0058244B">
      <w:pPr>
        <w:pStyle w:val="Para1"/>
        <w:suppressLineNumbers/>
        <w:pBdr>
          <w:top w:val="nil"/>
          <w:left w:val="nil"/>
          <w:bottom w:val="nil"/>
          <w:right w:val="nil"/>
          <w:between w:val="nil"/>
          <w:bar w:val="nil"/>
        </w:pBdr>
        <w:tabs>
          <w:tab w:val="clear" w:pos="360"/>
          <w:tab w:val="num" w:pos="720"/>
        </w:tabs>
        <w:suppressAutoHyphens/>
        <w:kinsoku w:val="0"/>
        <w:overflowPunct w:val="0"/>
        <w:autoSpaceDE w:val="0"/>
        <w:autoSpaceDN w:val="0"/>
        <w:adjustRightInd w:val="0"/>
        <w:snapToGrid w:val="0"/>
        <w:rPr>
          <w:kern w:val="22"/>
          <w:szCs w:val="22"/>
        </w:rPr>
      </w:pPr>
      <w:r w:rsidRPr="00456490">
        <w:rPr>
          <w:kern w:val="22"/>
          <w:szCs w:val="22"/>
        </w:rPr>
        <w:t xml:space="preserve">Best practices identified in the implementation of the Gender Plan of Action include specific actions to </w:t>
      </w:r>
      <w:r w:rsidR="00845BC4" w:rsidRPr="00456490">
        <w:rPr>
          <w:kern w:val="22"/>
          <w:szCs w:val="22"/>
        </w:rPr>
        <w:t xml:space="preserve">integrate gender considerations more effectively in </w:t>
      </w:r>
      <w:r w:rsidRPr="00456490">
        <w:rPr>
          <w:kern w:val="22"/>
          <w:szCs w:val="22"/>
        </w:rPr>
        <w:t>biodiversity policy frameworks</w:t>
      </w:r>
      <w:r w:rsidR="00D825BE">
        <w:rPr>
          <w:kern w:val="22"/>
          <w:szCs w:val="22"/>
        </w:rPr>
        <w:t>,</w:t>
      </w:r>
      <w:r w:rsidRPr="00456490">
        <w:rPr>
          <w:kern w:val="22"/>
          <w:szCs w:val="22"/>
        </w:rPr>
        <w:t xml:space="preserve"> identify</w:t>
      </w:r>
      <w:r w:rsidR="00D97C4D" w:rsidRPr="00456490">
        <w:rPr>
          <w:kern w:val="22"/>
          <w:szCs w:val="22"/>
        </w:rPr>
        <w:t>ing</w:t>
      </w:r>
      <w:r w:rsidRPr="00456490">
        <w:rPr>
          <w:kern w:val="22"/>
          <w:szCs w:val="22"/>
        </w:rPr>
        <w:t xml:space="preserve"> links between, and making use of</w:t>
      </w:r>
      <w:r w:rsidR="00646BEE" w:rsidRPr="00456490">
        <w:rPr>
          <w:kern w:val="22"/>
          <w:szCs w:val="22"/>
        </w:rPr>
        <w:t>,</w:t>
      </w:r>
      <w:r w:rsidRPr="00456490">
        <w:rPr>
          <w:kern w:val="22"/>
          <w:szCs w:val="22"/>
        </w:rPr>
        <w:t xml:space="preserve"> data and statistics available from different processes, to overcome gender gaps in biodiversity-related sectors</w:t>
      </w:r>
      <w:r w:rsidR="00D825BE">
        <w:rPr>
          <w:kern w:val="22"/>
          <w:szCs w:val="22"/>
        </w:rPr>
        <w:t>,</w:t>
      </w:r>
      <w:r w:rsidRPr="00456490">
        <w:rPr>
          <w:kern w:val="22"/>
          <w:szCs w:val="22"/>
        </w:rPr>
        <w:t xml:space="preserve"> and </w:t>
      </w:r>
      <w:r w:rsidR="00D97C4D" w:rsidRPr="00456490">
        <w:rPr>
          <w:kern w:val="22"/>
          <w:szCs w:val="22"/>
        </w:rPr>
        <w:t xml:space="preserve">approaches </w:t>
      </w:r>
      <w:r w:rsidRPr="00456490">
        <w:rPr>
          <w:kern w:val="22"/>
          <w:szCs w:val="22"/>
        </w:rPr>
        <w:t xml:space="preserve">to raise awareness, build capacity and share learning to support equitable engagement of women in biodiversity-related sectors. Lessons learned point to the value of the </w:t>
      </w:r>
      <w:r w:rsidR="003C39DB" w:rsidRPr="00456490">
        <w:rPr>
          <w:kern w:val="22"/>
          <w:szCs w:val="22"/>
        </w:rPr>
        <w:t>G</w:t>
      </w:r>
      <w:r w:rsidRPr="00456490">
        <w:rPr>
          <w:kern w:val="22"/>
          <w:szCs w:val="22"/>
        </w:rPr>
        <w:t xml:space="preserve">ender </w:t>
      </w:r>
      <w:r w:rsidR="003C39DB" w:rsidRPr="00456490">
        <w:rPr>
          <w:kern w:val="22"/>
          <w:szCs w:val="22"/>
        </w:rPr>
        <w:t>P</w:t>
      </w:r>
      <w:r w:rsidRPr="00456490">
        <w:rPr>
          <w:kern w:val="22"/>
          <w:szCs w:val="22"/>
        </w:rPr>
        <w:t>lan</w:t>
      </w:r>
      <w:r w:rsidR="003C39DB" w:rsidRPr="00456490">
        <w:rPr>
          <w:kern w:val="22"/>
          <w:szCs w:val="22"/>
        </w:rPr>
        <w:t xml:space="preserve"> of Action</w:t>
      </w:r>
      <w:r w:rsidRPr="00456490">
        <w:rPr>
          <w:kern w:val="22"/>
          <w:szCs w:val="22"/>
        </w:rPr>
        <w:t xml:space="preserve"> as </w:t>
      </w:r>
      <w:r w:rsidR="00D97C4D" w:rsidRPr="00456490">
        <w:rPr>
          <w:kern w:val="22"/>
          <w:szCs w:val="22"/>
        </w:rPr>
        <w:t xml:space="preserve">a </w:t>
      </w:r>
      <w:r w:rsidRPr="00456490">
        <w:rPr>
          <w:kern w:val="22"/>
          <w:szCs w:val="22"/>
        </w:rPr>
        <w:t>policy/advocacy tool, the need for clear, actionable and measurable gender</w:t>
      </w:r>
      <w:r w:rsidR="00390265" w:rsidRPr="00456490">
        <w:rPr>
          <w:kern w:val="22"/>
          <w:szCs w:val="22"/>
        </w:rPr>
        <w:noBreakHyphen/>
      </w:r>
      <w:r w:rsidRPr="00456490">
        <w:rPr>
          <w:kern w:val="22"/>
          <w:szCs w:val="22"/>
        </w:rPr>
        <w:t xml:space="preserve">biodiversity objectives to support implementation, long-term investment and concerted action, and the need to build on project results to strengthen action at larger scales. </w:t>
      </w:r>
      <w:r w:rsidR="00413944" w:rsidRPr="00456490">
        <w:rPr>
          <w:kern w:val="22"/>
          <w:szCs w:val="22"/>
        </w:rPr>
        <w:t>The review i</w:t>
      </w:r>
      <w:r w:rsidR="00E542BE" w:rsidRPr="00456490">
        <w:rPr>
          <w:kern w:val="22"/>
          <w:szCs w:val="22"/>
        </w:rPr>
        <w:t xml:space="preserve">dentified </w:t>
      </w:r>
      <w:r w:rsidR="00413944" w:rsidRPr="00456490">
        <w:rPr>
          <w:kern w:val="22"/>
          <w:szCs w:val="22"/>
        </w:rPr>
        <w:t xml:space="preserve">a number of </w:t>
      </w:r>
      <w:r w:rsidR="00E542BE" w:rsidRPr="00456490">
        <w:rPr>
          <w:kern w:val="22"/>
          <w:szCs w:val="22"/>
        </w:rPr>
        <w:t>g</w:t>
      </w:r>
      <w:r w:rsidRPr="00456490">
        <w:rPr>
          <w:kern w:val="22"/>
          <w:szCs w:val="22"/>
        </w:rPr>
        <w:t>aps</w:t>
      </w:r>
      <w:r w:rsidR="00AE545D" w:rsidRPr="00456490">
        <w:rPr>
          <w:kern w:val="22"/>
          <w:szCs w:val="22"/>
        </w:rPr>
        <w:t xml:space="preserve">, or areas requiring further attention, </w:t>
      </w:r>
      <w:r w:rsidR="00D97C4D" w:rsidRPr="00456490">
        <w:rPr>
          <w:kern w:val="22"/>
          <w:szCs w:val="22"/>
        </w:rPr>
        <w:t xml:space="preserve">related </w:t>
      </w:r>
      <w:r w:rsidR="00413944" w:rsidRPr="00456490">
        <w:rPr>
          <w:kern w:val="22"/>
          <w:szCs w:val="22"/>
        </w:rPr>
        <w:t>to enhanc</w:t>
      </w:r>
      <w:r w:rsidR="00D97C4D" w:rsidRPr="00456490">
        <w:rPr>
          <w:kern w:val="22"/>
          <w:szCs w:val="22"/>
        </w:rPr>
        <w:t>ing</w:t>
      </w:r>
      <w:r w:rsidR="00413944" w:rsidRPr="00456490">
        <w:rPr>
          <w:kern w:val="22"/>
          <w:szCs w:val="22"/>
        </w:rPr>
        <w:t xml:space="preserve"> </w:t>
      </w:r>
      <w:r w:rsidR="00D97C4D" w:rsidRPr="00456490">
        <w:rPr>
          <w:kern w:val="22"/>
          <w:szCs w:val="22"/>
        </w:rPr>
        <w:t xml:space="preserve">national </w:t>
      </w:r>
      <w:r w:rsidR="00413944" w:rsidRPr="00456490">
        <w:rPr>
          <w:kern w:val="22"/>
          <w:szCs w:val="22"/>
        </w:rPr>
        <w:t>implementation of the plan. These include</w:t>
      </w:r>
      <w:r w:rsidR="00E542BE" w:rsidRPr="00456490">
        <w:rPr>
          <w:kern w:val="22"/>
          <w:szCs w:val="22"/>
        </w:rPr>
        <w:t xml:space="preserve"> </w:t>
      </w:r>
      <w:r w:rsidR="00413944" w:rsidRPr="00456490">
        <w:rPr>
          <w:kern w:val="22"/>
          <w:szCs w:val="22"/>
        </w:rPr>
        <w:t xml:space="preserve">the </w:t>
      </w:r>
      <w:r w:rsidRPr="00456490">
        <w:rPr>
          <w:kern w:val="22"/>
          <w:szCs w:val="22"/>
        </w:rPr>
        <w:t xml:space="preserve">need </w:t>
      </w:r>
      <w:r w:rsidR="00413944" w:rsidRPr="00456490">
        <w:rPr>
          <w:kern w:val="22"/>
          <w:szCs w:val="22"/>
        </w:rPr>
        <w:t xml:space="preserve">for further </w:t>
      </w:r>
      <w:r w:rsidRPr="00456490">
        <w:rPr>
          <w:kern w:val="22"/>
          <w:szCs w:val="22"/>
        </w:rPr>
        <w:t xml:space="preserve">capacity development, </w:t>
      </w:r>
      <w:r w:rsidR="00413944" w:rsidRPr="00456490">
        <w:rPr>
          <w:kern w:val="22"/>
          <w:szCs w:val="22"/>
        </w:rPr>
        <w:t xml:space="preserve">the </w:t>
      </w:r>
      <w:r w:rsidRPr="00456490">
        <w:rPr>
          <w:kern w:val="22"/>
          <w:szCs w:val="22"/>
        </w:rPr>
        <w:t>collection and analysis of sex-disaggregated data, as well as adequate financing and reporting.</w:t>
      </w:r>
    </w:p>
    <w:p w14:paraId="74DBF1CA" w14:textId="79F3CD42" w:rsidR="0058244B" w:rsidRPr="00456490" w:rsidRDefault="00E542BE">
      <w:pPr>
        <w:pStyle w:val="Para1"/>
        <w:suppressLineNumbers/>
        <w:pBdr>
          <w:top w:val="nil"/>
          <w:left w:val="nil"/>
          <w:bottom w:val="nil"/>
          <w:right w:val="nil"/>
          <w:between w:val="nil"/>
          <w:bar w:val="nil"/>
        </w:pBdr>
        <w:tabs>
          <w:tab w:val="clear" w:pos="360"/>
          <w:tab w:val="num" w:pos="720"/>
        </w:tabs>
        <w:suppressAutoHyphens/>
        <w:kinsoku w:val="0"/>
        <w:overflowPunct w:val="0"/>
        <w:autoSpaceDE w:val="0"/>
        <w:autoSpaceDN w:val="0"/>
        <w:adjustRightInd w:val="0"/>
        <w:snapToGrid w:val="0"/>
        <w:rPr>
          <w:kern w:val="22"/>
          <w:szCs w:val="22"/>
        </w:rPr>
      </w:pPr>
      <w:r w:rsidRPr="00456490">
        <w:rPr>
          <w:kern w:val="22"/>
          <w:szCs w:val="22"/>
        </w:rPr>
        <w:t xml:space="preserve">Overall the review suggests </w:t>
      </w:r>
      <w:r w:rsidR="0058244B" w:rsidRPr="00456490">
        <w:rPr>
          <w:kern w:val="22"/>
          <w:szCs w:val="22"/>
        </w:rPr>
        <w:t>that a new gender plan of action or strategy</w:t>
      </w:r>
      <w:r w:rsidRPr="00456490">
        <w:rPr>
          <w:kern w:val="22"/>
          <w:szCs w:val="22"/>
        </w:rPr>
        <w:t>,</w:t>
      </w:r>
      <w:r w:rsidR="0058244B" w:rsidRPr="00456490">
        <w:rPr>
          <w:kern w:val="22"/>
          <w:szCs w:val="22"/>
        </w:rPr>
        <w:t xml:space="preserve"> along with measurable targets and appropriate indicators</w:t>
      </w:r>
      <w:r w:rsidRPr="00456490">
        <w:rPr>
          <w:kern w:val="22"/>
          <w:szCs w:val="22"/>
        </w:rPr>
        <w:t>,</w:t>
      </w:r>
      <w:r w:rsidR="0058244B" w:rsidRPr="00456490">
        <w:rPr>
          <w:kern w:val="22"/>
          <w:szCs w:val="22"/>
        </w:rPr>
        <w:t xml:space="preserve"> will be needed to support the implementation of a gender-responsive post</w:t>
      </w:r>
      <w:r w:rsidR="00A32A4E" w:rsidRPr="00456490">
        <w:rPr>
          <w:kern w:val="22"/>
          <w:szCs w:val="22"/>
        </w:rPr>
        <w:noBreakHyphen/>
      </w:r>
      <w:r w:rsidR="0058244B" w:rsidRPr="00456490">
        <w:rPr>
          <w:kern w:val="22"/>
          <w:szCs w:val="22"/>
        </w:rPr>
        <w:t xml:space="preserve">2020 global biodiversity framework. Findings also indicate that the </w:t>
      </w:r>
      <w:r w:rsidR="003C39DB" w:rsidRPr="00456490">
        <w:rPr>
          <w:kern w:val="22"/>
          <w:szCs w:val="22"/>
        </w:rPr>
        <w:t>development of</w:t>
      </w:r>
      <w:r w:rsidR="0058244B" w:rsidRPr="00456490">
        <w:rPr>
          <w:kern w:val="22"/>
          <w:szCs w:val="22"/>
        </w:rPr>
        <w:t xml:space="preserve"> a post-2020 gender plan of action or strategy should follow a consultative and participatory process</w:t>
      </w:r>
      <w:r w:rsidR="00AF206A" w:rsidRPr="00456490">
        <w:rPr>
          <w:kern w:val="22"/>
          <w:szCs w:val="22"/>
        </w:rPr>
        <w:t>,</w:t>
      </w:r>
      <w:r w:rsidR="0058244B" w:rsidRPr="00456490">
        <w:rPr>
          <w:kern w:val="22"/>
          <w:szCs w:val="22"/>
        </w:rPr>
        <w:t xml:space="preserve"> </w:t>
      </w:r>
      <w:r w:rsidR="00413944" w:rsidRPr="00456490">
        <w:rPr>
          <w:kern w:val="22"/>
          <w:szCs w:val="22"/>
        </w:rPr>
        <w:t xml:space="preserve">which </w:t>
      </w:r>
      <w:r w:rsidR="0058244B" w:rsidRPr="00456490">
        <w:rPr>
          <w:kern w:val="22"/>
          <w:szCs w:val="22"/>
        </w:rPr>
        <w:t>engag</w:t>
      </w:r>
      <w:r w:rsidR="00413944" w:rsidRPr="00456490">
        <w:rPr>
          <w:kern w:val="22"/>
          <w:szCs w:val="22"/>
        </w:rPr>
        <w:t>es</w:t>
      </w:r>
      <w:r w:rsidR="0058244B" w:rsidRPr="00456490">
        <w:rPr>
          <w:kern w:val="22"/>
          <w:szCs w:val="22"/>
        </w:rPr>
        <w:t xml:space="preserve"> Parties and relevant organizations and stakeholders.</w:t>
      </w:r>
      <w:r w:rsidRPr="00456490">
        <w:rPr>
          <w:kern w:val="22"/>
          <w:szCs w:val="22"/>
        </w:rPr>
        <w:t xml:space="preserve"> </w:t>
      </w:r>
      <w:r w:rsidR="00741136">
        <w:rPr>
          <w:kern w:val="22"/>
          <w:szCs w:val="22"/>
        </w:rPr>
        <w:t>T</w:t>
      </w:r>
      <w:r w:rsidR="00413944" w:rsidRPr="00456490">
        <w:rPr>
          <w:kern w:val="22"/>
          <w:szCs w:val="22"/>
        </w:rPr>
        <w:t>he review also found that gender</w:t>
      </w:r>
      <w:r w:rsidR="003C39DB" w:rsidRPr="00456490">
        <w:rPr>
          <w:kern w:val="22"/>
          <w:szCs w:val="22"/>
        </w:rPr>
        <w:t>-responsive implementation in the post-2020 period will require gender</w:t>
      </w:r>
      <w:r w:rsidR="00413944" w:rsidRPr="00456490">
        <w:rPr>
          <w:kern w:val="22"/>
          <w:szCs w:val="22"/>
        </w:rPr>
        <w:t xml:space="preserve"> to be </w:t>
      </w:r>
      <w:r w:rsidR="00AD28B5" w:rsidRPr="00456490">
        <w:rPr>
          <w:kern w:val="22"/>
          <w:szCs w:val="22"/>
        </w:rPr>
        <w:t xml:space="preserve">fully </w:t>
      </w:r>
      <w:r w:rsidR="00413944" w:rsidRPr="00456490">
        <w:rPr>
          <w:kern w:val="22"/>
          <w:szCs w:val="22"/>
        </w:rPr>
        <w:t>mainstreamed</w:t>
      </w:r>
      <w:r w:rsidR="00D26752" w:rsidRPr="00456490">
        <w:rPr>
          <w:kern w:val="22"/>
          <w:szCs w:val="22"/>
        </w:rPr>
        <w:t xml:space="preserve"> in NBSAP</w:t>
      </w:r>
      <w:r w:rsidR="003C39DB" w:rsidRPr="00456490">
        <w:rPr>
          <w:kern w:val="22"/>
          <w:szCs w:val="22"/>
        </w:rPr>
        <w:t>s,</w:t>
      </w:r>
      <w:r w:rsidR="0058244B" w:rsidRPr="00456490">
        <w:rPr>
          <w:bCs/>
          <w:kern w:val="22"/>
          <w:szCs w:val="22"/>
        </w:rPr>
        <w:t xml:space="preserve"> integrated in the post-2020 review process</w:t>
      </w:r>
      <w:r w:rsidR="003C39DB" w:rsidRPr="00456490">
        <w:rPr>
          <w:bCs/>
          <w:kern w:val="22"/>
          <w:szCs w:val="22"/>
        </w:rPr>
        <w:t>,</w:t>
      </w:r>
      <w:r w:rsidR="0058244B" w:rsidRPr="00456490">
        <w:rPr>
          <w:bCs/>
          <w:kern w:val="22"/>
          <w:szCs w:val="22"/>
        </w:rPr>
        <w:t xml:space="preserve"> and addressed in national reporting.</w:t>
      </w:r>
    </w:p>
    <w:p w14:paraId="34D7CD6B" w14:textId="19165A69" w:rsidR="00D971A7" w:rsidRPr="001D0565" w:rsidRDefault="00D971A7" w:rsidP="00456490">
      <w:pPr>
        <w:keepNext/>
        <w:numPr>
          <w:ilvl w:val="0"/>
          <w:numId w:val="22"/>
        </w:numPr>
        <w:suppressLineNumbers/>
        <w:tabs>
          <w:tab w:val="left" w:pos="426"/>
        </w:tabs>
        <w:suppressAutoHyphens/>
        <w:kinsoku w:val="0"/>
        <w:overflowPunct w:val="0"/>
        <w:autoSpaceDE w:val="0"/>
        <w:autoSpaceDN w:val="0"/>
        <w:adjustRightInd w:val="0"/>
        <w:snapToGrid w:val="0"/>
        <w:spacing w:before="120" w:after="120"/>
        <w:ind w:left="0" w:firstLine="0"/>
        <w:jc w:val="center"/>
        <w:outlineLvl w:val="1"/>
        <w:rPr>
          <w:b/>
          <w:bCs/>
          <w:kern w:val="22"/>
          <w:szCs w:val="22"/>
        </w:rPr>
      </w:pPr>
      <w:r w:rsidRPr="001D0565">
        <w:rPr>
          <w:b/>
          <w:bCs/>
          <w:snapToGrid w:val="0"/>
          <w:kern w:val="22"/>
          <w:szCs w:val="22"/>
        </w:rPr>
        <w:t>Progress towards Aichi Biodiversity Target 18</w:t>
      </w:r>
    </w:p>
    <w:p w14:paraId="2A7080AD" w14:textId="1D3C03CB" w:rsidR="00D26752" w:rsidRPr="00456490" w:rsidRDefault="008168FC">
      <w:pPr>
        <w:pStyle w:val="Para1"/>
        <w:suppressLineNumbers/>
        <w:pBdr>
          <w:top w:val="nil"/>
          <w:left w:val="nil"/>
          <w:bottom w:val="nil"/>
          <w:right w:val="nil"/>
          <w:between w:val="nil"/>
          <w:bar w:val="nil"/>
        </w:pBdr>
        <w:tabs>
          <w:tab w:val="clear" w:pos="360"/>
          <w:tab w:val="num" w:pos="720"/>
        </w:tabs>
        <w:suppressAutoHyphens/>
        <w:kinsoku w:val="0"/>
        <w:overflowPunct w:val="0"/>
        <w:autoSpaceDE w:val="0"/>
        <w:autoSpaceDN w:val="0"/>
        <w:adjustRightInd w:val="0"/>
        <w:snapToGrid w:val="0"/>
        <w:rPr>
          <w:kern w:val="22"/>
          <w:szCs w:val="22"/>
        </w:rPr>
      </w:pPr>
      <w:r w:rsidRPr="00456490">
        <w:rPr>
          <w:kern w:val="22"/>
          <w:szCs w:val="22"/>
        </w:rPr>
        <w:t xml:space="preserve">In </w:t>
      </w:r>
      <w:r w:rsidR="00214BB0" w:rsidRPr="00456490">
        <w:rPr>
          <w:kern w:val="22"/>
          <w:szCs w:val="22"/>
        </w:rPr>
        <w:t>d</w:t>
      </w:r>
      <w:r w:rsidRPr="00456490">
        <w:rPr>
          <w:kern w:val="22"/>
          <w:szCs w:val="22"/>
        </w:rPr>
        <w:t xml:space="preserve">ecision14/1, </w:t>
      </w:r>
      <w:r w:rsidR="00B130BB" w:rsidRPr="00456490">
        <w:rPr>
          <w:kern w:val="22"/>
          <w:szCs w:val="22"/>
        </w:rPr>
        <w:t xml:space="preserve">the Conference of the Parties </w:t>
      </w:r>
      <w:r w:rsidR="00817E63" w:rsidRPr="00456490">
        <w:rPr>
          <w:kern w:val="22"/>
          <w:szCs w:val="22"/>
        </w:rPr>
        <w:t>welcomed the updated analysis of progress</w:t>
      </w:r>
      <w:r w:rsidR="00817E63" w:rsidRPr="00456490">
        <w:rPr>
          <w:rStyle w:val="FootnoteReference"/>
          <w:kern w:val="22"/>
          <w:szCs w:val="22"/>
        </w:rPr>
        <w:footnoteReference w:id="11"/>
      </w:r>
      <w:r w:rsidR="00817E63" w:rsidRPr="00456490">
        <w:rPr>
          <w:kern w:val="22"/>
          <w:szCs w:val="22"/>
        </w:rPr>
        <w:t xml:space="preserve"> in the implementation of the Convention and the Strategic Plan for Biodiversity 2011-2020 and towards the achievement of the Aichi Biodiversity Targets. </w:t>
      </w:r>
      <w:r w:rsidR="002B35A6" w:rsidRPr="00456490">
        <w:rPr>
          <w:kern w:val="22"/>
          <w:szCs w:val="22"/>
        </w:rPr>
        <w:t>Specifically,</w:t>
      </w:r>
      <w:r w:rsidR="00817E63" w:rsidRPr="00456490">
        <w:rPr>
          <w:kern w:val="22"/>
          <w:szCs w:val="22"/>
        </w:rPr>
        <w:t xml:space="preserve"> with regard to Target 18, the </w:t>
      </w:r>
      <w:r w:rsidR="002B35A6" w:rsidRPr="00456490">
        <w:rPr>
          <w:kern w:val="22"/>
          <w:szCs w:val="22"/>
        </w:rPr>
        <w:t>C</w:t>
      </w:r>
      <w:r w:rsidR="00817E63" w:rsidRPr="00456490">
        <w:rPr>
          <w:kern w:val="22"/>
          <w:szCs w:val="22"/>
        </w:rPr>
        <w:t xml:space="preserve">onference of the Parties urged Parties, </w:t>
      </w:r>
      <w:r w:rsidR="00B130BB" w:rsidRPr="00456490">
        <w:rPr>
          <w:kern w:val="22"/>
          <w:szCs w:val="22"/>
        </w:rPr>
        <w:t>in accordance with national circumstances</w:t>
      </w:r>
      <w:r w:rsidR="00817E63" w:rsidRPr="00456490">
        <w:rPr>
          <w:kern w:val="22"/>
          <w:szCs w:val="22"/>
        </w:rPr>
        <w:t xml:space="preserve"> and as appropriate, to increase efforts in the protection of and respect for traditional knowledge. Some </w:t>
      </w:r>
      <w:r w:rsidR="00D971A7" w:rsidRPr="00456490">
        <w:rPr>
          <w:kern w:val="22"/>
          <w:szCs w:val="22"/>
        </w:rPr>
        <w:t xml:space="preserve">progress has been made </w:t>
      </w:r>
      <w:r w:rsidR="00AF206A" w:rsidRPr="00456490">
        <w:rPr>
          <w:kern w:val="22"/>
          <w:szCs w:val="22"/>
        </w:rPr>
        <w:t>in</w:t>
      </w:r>
      <w:r w:rsidR="00817E63" w:rsidRPr="00456490">
        <w:rPr>
          <w:kern w:val="22"/>
          <w:szCs w:val="22"/>
        </w:rPr>
        <w:t xml:space="preserve"> implementing </w:t>
      </w:r>
      <w:r w:rsidR="00817E63" w:rsidRPr="00456490">
        <w:rPr>
          <w:kern w:val="22"/>
          <w:szCs w:val="22"/>
        </w:rPr>
        <w:lastRenderedPageBreak/>
        <w:t>Article</w:t>
      </w:r>
      <w:r w:rsidR="00793A39" w:rsidRPr="00456490">
        <w:rPr>
          <w:kern w:val="22"/>
          <w:szCs w:val="22"/>
        </w:rPr>
        <w:t> </w:t>
      </w:r>
      <w:r w:rsidR="00817E63" w:rsidRPr="00456490">
        <w:rPr>
          <w:kern w:val="22"/>
          <w:szCs w:val="22"/>
        </w:rPr>
        <w:t>8(j) of the Convention and in</w:t>
      </w:r>
      <w:r w:rsidR="00AF206A" w:rsidRPr="00456490">
        <w:rPr>
          <w:kern w:val="22"/>
          <w:szCs w:val="22"/>
        </w:rPr>
        <w:t xml:space="preserve"> raising awareness about the role of traditional knowledge, customary sustainable use and indigenous peoples and local communities in the context of </w:t>
      </w:r>
      <w:r w:rsidR="00D971A7" w:rsidRPr="00456490">
        <w:rPr>
          <w:kern w:val="22"/>
          <w:szCs w:val="22"/>
        </w:rPr>
        <w:t>Aichi Biodiversity Target 18 during the current biennium. However</w:t>
      </w:r>
      <w:r w:rsidR="00D26752" w:rsidRPr="00456490">
        <w:rPr>
          <w:kern w:val="22"/>
          <w:szCs w:val="22"/>
        </w:rPr>
        <w:t>,</w:t>
      </w:r>
      <w:r w:rsidR="00EE140C" w:rsidRPr="00456490">
        <w:rPr>
          <w:kern w:val="22"/>
          <w:szCs w:val="22"/>
        </w:rPr>
        <w:t xml:space="preserve"> </w:t>
      </w:r>
      <w:r w:rsidR="00AF206A" w:rsidRPr="00456490">
        <w:rPr>
          <w:kern w:val="22"/>
          <w:szCs w:val="22"/>
        </w:rPr>
        <w:t>increased awareness has not been translat</w:t>
      </w:r>
      <w:r w:rsidR="006D58A6" w:rsidRPr="00456490">
        <w:rPr>
          <w:kern w:val="22"/>
          <w:szCs w:val="22"/>
        </w:rPr>
        <w:t>ed</w:t>
      </w:r>
      <w:r w:rsidR="00AF206A" w:rsidRPr="00456490">
        <w:rPr>
          <w:kern w:val="22"/>
          <w:szCs w:val="22"/>
        </w:rPr>
        <w:t xml:space="preserve"> into action and </w:t>
      </w:r>
      <w:r w:rsidR="00EE140C" w:rsidRPr="00456490">
        <w:rPr>
          <w:kern w:val="22"/>
          <w:szCs w:val="22"/>
        </w:rPr>
        <w:t xml:space="preserve">not </w:t>
      </w:r>
      <w:r w:rsidR="00D971A7" w:rsidRPr="00456490">
        <w:rPr>
          <w:kern w:val="22"/>
          <w:szCs w:val="22"/>
        </w:rPr>
        <w:t xml:space="preserve">all aspects of the target </w:t>
      </w:r>
      <w:r w:rsidR="00EE140C" w:rsidRPr="00456490">
        <w:rPr>
          <w:kern w:val="22"/>
          <w:szCs w:val="22"/>
        </w:rPr>
        <w:t xml:space="preserve">have </w:t>
      </w:r>
      <w:r w:rsidR="00D971A7" w:rsidRPr="00456490">
        <w:rPr>
          <w:kern w:val="22"/>
          <w:szCs w:val="22"/>
        </w:rPr>
        <w:t>be</w:t>
      </w:r>
      <w:r w:rsidR="00EE140C" w:rsidRPr="00456490">
        <w:rPr>
          <w:kern w:val="22"/>
          <w:szCs w:val="22"/>
        </w:rPr>
        <w:t>en</w:t>
      </w:r>
      <w:r w:rsidR="00D971A7" w:rsidRPr="00456490">
        <w:rPr>
          <w:kern w:val="22"/>
          <w:szCs w:val="22"/>
        </w:rPr>
        <w:t xml:space="preserve"> met </w:t>
      </w:r>
      <w:r w:rsidR="00F14E02" w:rsidRPr="00456490">
        <w:rPr>
          <w:kern w:val="22"/>
          <w:szCs w:val="22"/>
        </w:rPr>
        <w:t>(a</w:t>
      </w:r>
      <w:r w:rsidR="00391B45" w:rsidRPr="00456490">
        <w:rPr>
          <w:kern w:val="22"/>
          <w:szCs w:val="22"/>
        </w:rPr>
        <w:t xml:space="preserve"> detailed analysis of progress towards Aichi Biodiversity Target 18 is contained in document </w:t>
      </w:r>
      <w:r w:rsidR="00D971A7" w:rsidRPr="00456490">
        <w:rPr>
          <w:kern w:val="22"/>
          <w:szCs w:val="22"/>
        </w:rPr>
        <w:t>CBD/SBI/3/2/Add.4</w:t>
      </w:r>
      <w:r w:rsidR="00BB1952" w:rsidRPr="00456490">
        <w:rPr>
          <w:kern w:val="22"/>
          <w:szCs w:val="22"/>
        </w:rPr>
        <w:t xml:space="preserve"> and in the fifth edition of the </w:t>
      </w:r>
      <w:r w:rsidR="00BB1952" w:rsidRPr="00456490">
        <w:rPr>
          <w:i/>
          <w:iCs/>
          <w:kern w:val="22"/>
          <w:szCs w:val="22"/>
        </w:rPr>
        <w:t>Global Biodiversity Outlook</w:t>
      </w:r>
      <w:r w:rsidR="00D971A7" w:rsidRPr="00456490">
        <w:rPr>
          <w:kern w:val="22"/>
          <w:szCs w:val="22"/>
        </w:rPr>
        <w:t>).</w:t>
      </w:r>
    </w:p>
    <w:p w14:paraId="7CB6D7EE" w14:textId="31A71903" w:rsidR="00D971A7" w:rsidRPr="00456490" w:rsidRDefault="00D26752" w:rsidP="00456490">
      <w:pPr>
        <w:pStyle w:val="Para1"/>
        <w:suppressLineNumbers/>
        <w:tabs>
          <w:tab w:val="clear" w:pos="360"/>
        </w:tabs>
        <w:suppressAutoHyphens/>
        <w:rPr>
          <w:kern w:val="22"/>
          <w:szCs w:val="22"/>
        </w:rPr>
      </w:pPr>
      <w:r w:rsidRPr="00456490">
        <w:rPr>
          <w:kern w:val="22"/>
          <w:szCs w:val="22"/>
        </w:rPr>
        <w:t>I</w:t>
      </w:r>
      <w:r w:rsidR="00D971A7" w:rsidRPr="00456490">
        <w:rPr>
          <w:kern w:val="22"/>
          <w:szCs w:val="22"/>
        </w:rPr>
        <w:t xml:space="preserve">n comparison with the fifth national reports, the sixth national reports show a significant increase in information about the implementation of Aichi Target 18 and the contribution of traditional knowledge and collective actions </w:t>
      </w:r>
      <w:r w:rsidR="00C95331" w:rsidRPr="00456490">
        <w:rPr>
          <w:kern w:val="22"/>
          <w:szCs w:val="22"/>
        </w:rPr>
        <w:t>of indigenous peoples and local communities</w:t>
      </w:r>
      <w:r w:rsidR="003452D6" w:rsidRPr="00456490">
        <w:rPr>
          <w:kern w:val="22"/>
          <w:szCs w:val="22"/>
        </w:rPr>
        <w:t xml:space="preserve"> </w:t>
      </w:r>
      <w:r w:rsidR="00D971A7" w:rsidRPr="00456490">
        <w:rPr>
          <w:kern w:val="22"/>
          <w:szCs w:val="22"/>
        </w:rPr>
        <w:t>to the achievement of other targets.</w:t>
      </w:r>
      <w:r w:rsidRPr="00456490">
        <w:rPr>
          <w:kern w:val="22"/>
          <w:szCs w:val="22"/>
        </w:rPr>
        <w:t xml:space="preserve"> </w:t>
      </w:r>
      <w:r w:rsidR="00D971A7" w:rsidRPr="00456490">
        <w:rPr>
          <w:kern w:val="22"/>
          <w:szCs w:val="22"/>
        </w:rPr>
        <w:t>Only 27 per cent of the fifth national reports mentioned indigenous peoples and local communities, where</w:t>
      </w:r>
      <w:r w:rsidRPr="00456490">
        <w:rPr>
          <w:kern w:val="22"/>
          <w:szCs w:val="22"/>
        </w:rPr>
        <w:t xml:space="preserve">as </w:t>
      </w:r>
      <w:r w:rsidR="002B0A2B" w:rsidRPr="004A33C3">
        <w:rPr>
          <w:kern w:val="22"/>
          <w:szCs w:val="22"/>
        </w:rPr>
        <w:t xml:space="preserve">about 60 per cent of </w:t>
      </w:r>
      <w:r w:rsidRPr="00456490">
        <w:rPr>
          <w:kern w:val="22"/>
          <w:szCs w:val="22"/>
        </w:rPr>
        <w:t xml:space="preserve">the sixth national </w:t>
      </w:r>
      <w:r w:rsidR="00326A33" w:rsidRPr="00456490">
        <w:rPr>
          <w:kern w:val="22"/>
          <w:szCs w:val="22"/>
        </w:rPr>
        <w:t>reports</w:t>
      </w:r>
      <w:r w:rsidR="002B0A2B" w:rsidRPr="002B0A2B">
        <w:rPr>
          <w:kern w:val="22"/>
          <w:szCs w:val="22"/>
        </w:rPr>
        <w:t xml:space="preserve"> </w:t>
      </w:r>
      <w:r w:rsidR="002B0A2B" w:rsidRPr="00416D4D">
        <w:rPr>
          <w:kern w:val="22"/>
          <w:szCs w:val="22"/>
        </w:rPr>
        <w:t>did so.</w:t>
      </w:r>
      <w:r w:rsidRPr="00456490">
        <w:rPr>
          <w:rStyle w:val="FootnoteReference"/>
          <w:kern w:val="22"/>
          <w:szCs w:val="22"/>
        </w:rPr>
        <w:footnoteReference w:id="12"/>
      </w:r>
      <w:r w:rsidR="00D971A7" w:rsidRPr="00456490">
        <w:rPr>
          <w:kern w:val="22"/>
          <w:szCs w:val="22"/>
        </w:rPr>
        <w:t xml:space="preserve"> This represents a </w:t>
      </w:r>
      <w:r w:rsidRPr="00456490">
        <w:rPr>
          <w:kern w:val="22"/>
          <w:szCs w:val="22"/>
        </w:rPr>
        <w:t xml:space="preserve">more than </w:t>
      </w:r>
      <w:r w:rsidR="00D971A7" w:rsidRPr="00456490">
        <w:rPr>
          <w:kern w:val="22"/>
          <w:szCs w:val="22"/>
        </w:rPr>
        <w:t>threefold increase in reporting on the collective actions of indigenous peoples and local communities</w:t>
      </w:r>
      <w:r w:rsidR="00082B0B" w:rsidRPr="00456490">
        <w:rPr>
          <w:kern w:val="22"/>
          <w:szCs w:val="22"/>
        </w:rPr>
        <w:t>, including traditional knowledge, customary sustainable use and traditional agriculture,</w:t>
      </w:r>
      <w:r w:rsidR="00D971A7" w:rsidRPr="00456490">
        <w:rPr>
          <w:kern w:val="22"/>
          <w:szCs w:val="22"/>
        </w:rPr>
        <w:t xml:space="preserve"> through the national reports. There is also ample evidence that capacity-building programmes with a focus on traditional knowledge, bringing together Parties with indigenous peoples and local communities, have contributed to raising awareness about the contribution of indigenous peoples and local communities and assisted in the implementation of Aichi Target</w:t>
      </w:r>
      <w:r w:rsidR="008A1648" w:rsidRPr="00456490">
        <w:rPr>
          <w:kern w:val="22"/>
          <w:szCs w:val="22"/>
        </w:rPr>
        <w:t> </w:t>
      </w:r>
      <w:r w:rsidR="00D971A7" w:rsidRPr="00456490">
        <w:rPr>
          <w:kern w:val="22"/>
          <w:szCs w:val="22"/>
        </w:rPr>
        <w:t>18 at the national and local levels.</w:t>
      </w:r>
      <w:r w:rsidR="00B84CF6" w:rsidRPr="00456490">
        <w:rPr>
          <w:kern w:val="22"/>
          <w:szCs w:val="22"/>
        </w:rPr>
        <w:t xml:space="preserve"> However, only </w:t>
      </w:r>
      <w:r w:rsidR="00F14E02" w:rsidRPr="00456490">
        <w:rPr>
          <w:kern w:val="22"/>
          <w:szCs w:val="22"/>
        </w:rPr>
        <w:t>16 Parties (</w:t>
      </w:r>
      <w:r w:rsidR="00B84CF6" w:rsidRPr="00456490">
        <w:rPr>
          <w:kern w:val="22"/>
          <w:szCs w:val="22"/>
        </w:rPr>
        <w:t>1</w:t>
      </w:r>
      <w:r w:rsidR="00082B0B" w:rsidRPr="00456490">
        <w:rPr>
          <w:kern w:val="22"/>
          <w:szCs w:val="22"/>
        </w:rPr>
        <w:t>0</w:t>
      </w:r>
      <w:r w:rsidR="00B84CF6" w:rsidRPr="00456490">
        <w:rPr>
          <w:kern w:val="22"/>
          <w:szCs w:val="22"/>
        </w:rPr>
        <w:t xml:space="preserve"> per cent</w:t>
      </w:r>
      <w:r w:rsidR="00F14E02" w:rsidRPr="00456490">
        <w:rPr>
          <w:kern w:val="22"/>
          <w:szCs w:val="22"/>
        </w:rPr>
        <w:t>)</w:t>
      </w:r>
      <w:r w:rsidR="00B84CF6" w:rsidRPr="00456490">
        <w:rPr>
          <w:kern w:val="22"/>
          <w:szCs w:val="22"/>
        </w:rPr>
        <w:t xml:space="preserve"> mention </w:t>
      </w:r>
      <w:r w:rsidR="00F64DA1">
        <w:rPr>
          <w:kern w:val="22"/>
          <w:szCs w:val="22"/>
        </w:rPr>
        <w:t>the</w:t>
      </w:r>
      <w:r w:rsidR="00F64DA1" w:rsidRPr="00456490">
        <w:rPr>
          <w:kern w:val="22"/>
          <w:szCs w:val="22"/>
        </w:rPr>
        <w:t xml:space="preserve"> </w:t>
      </w:r>
      <w:r w:rsidR="00B84CF6" w:rsidRPr="00456490">
        <w:rPr>
          <w:kern w:val="22"/>
          <w:szCs w:val="22"/>
        </w:rPr>
        <w:t xml:space="preserve">engagement </w:t>
      </w:r>
      <w:r w:rsidR="00F64DA1">
        <w:rPr>
          <w:kern w:val="22"/>
          <w:szCs w:val="22"/>
        </w:rPr>
        <w:t xml:space="preserve">of indigenous peoples and local </w:t>
      </w:r>
      <w:r w:rsidR="00485439">
        <w:rPr>
          <w:kern w:val="22"/>
          <w:szCs w:val="22"/>
        </w:rPr>
        <w:t>communities</w:t>
      </w:r>
      <w:r w:rsidR="00F64DA1">
        <w:rPr>
          <w:kern w:val="22"/>
          <w:szCs w:val="22"/>
        </w:rPr>
        <w:t xml:space="preserve"> </w:t>
      </w:r>
      <w:r w:rsidR="00B84CF6" w:rsidRPr="00456490">
        <w:rPr>
          <w:kern w:val="22"/>
          <w:szCs w:val="22"/>
        </w:rPr>
        <w:t>in NBSAP processes.</w:t>
      </w:r>
      <w:r w:rsidR="00082B0B" w:rsidRPr="00456490">
        <w:rPr>
          <w:kern w:val="22"/>
          <w:szCs w:val="22"/>
        </w:rPr>
        <w:t xml:space="preserve"> An additional challenge to assessing the implementation of Target 18 is that very few Parties have addressed all elements of the </w:t>
      </w:r>
      <w:r w:rsidR="00F14E02" w:rsidRPr="00456490">
        <w:rPr>
          <w:kern w:val="22"/>
          <w:szCs w:val="22"/>
        </w:rPr>
        <w:t>target</w:t>
      </w:r>
      <w:r w:rsidR="00082B0B" w:rsidRPr="00456490">
        <w:rPr>
          <w:kern w:val="22"/>
          <w:szCs w:val="22"/>
        </w:rPr>
        <w:t xml:space="preserve"> </w:t>
      </w:r>
      <w:r w:rsidR="00F14E02" w:rsidRPr="00456490">
        <w:rPr>
          <w:kern w:val="22"/>
          <w:szCs w:val="22"/>
        </w:rPr>
        <w:t xml:space="preserve">in their </w:t>
      </w:r>
      <w:r w:rsidR="00082B0B" w:rsidRPr="00456490">
        <w:rPr>
          <w:kern w:val="22"/>
          <w:szCs w:val="22"/>
        </w:rPr>
        <w:t>national target</w:t>
      </w:r>
      <w:r w:rsidR="00F14E02" w:rsidRPr="00456490">
        <w:rPr>
          <w:kern w:val="22"/>
          <w:szCs w:val="22"/>
        </w:rPr>
        <w:t>s</w:t>
      </w:r>
      <w:r w:rsidR="00082B0B" w:rsidRPr="00456490">
        <w:rPr>
          <w:kern w:val="22"/>
          <w:szCs w:val="22"/>
        </w:rPr>
        <w:t>. Further</w:t>
      </w:r>
      <w:r w:rsidR="00540964" w:rsidRPr="00456490">
        <w:rPr>
          <w:kern w:val="22"/>
          <w:szCs w:val="22"/>
        </w:rPr>
        <w:t>more,</w:t>
      </w:r>
      <w:r w:rsidR="00082B0B" w:rsidRPr="00456490">
        <w:rPr>
          <w:kern w:val="22"/>
          <w:szCs w:val="22"/>
        </w:rPr>
        <w:t xml:space="preserve"> Parties have not adopted</w:t>
      </w:r>
      <w:r w:rsidR="00F14E02" w:rsidRPr="00456490">
        <w:rPr>
          <w:kern w:val="22"/>
          <w:szCs w:val="22"/>
        </w:rPr>
        <w:t xml:space="preserve"> or made use of</w:t>
      </w:r>
      <w:r w:rsidR="00082B0B" w:rsidRPr="00456490">
        <w:rPr>
          <w:kern w:val="22"/>
          <w:szCs w:val="22"/>
        </w:rPr>
        <w:t xml:space="preserve"> </w:t>
      </w:r>
      <w:r w:rsidR="00540964" w:rsidRPr="00456490">
        <w:rPr>
          <w:kern w:val="22"/>
          <w:szCs w:val="22"/>
        </w:rPr>
        <w:t>nat</w:t>
      </w:r>
      <w:r w:rsidR="009F452B" w:rsidRPr="00456490">
        <w:rPr>
          <w:kern w:val="22"/>
          <w:szCs w:val="22"/>
        </w:rPr>
        <w:t>ional</w:t>
      </w:r>
      <w:r w:rsidR="00540964" w:rsidRPr="00456490">
        <w:rPr>
          <w:kern w:val="22"/>
          <w:szCs w:val="22"/>
        </w:rPr>
        <w:t xml:space="preserve"> </w:t>
      </w:r>
      <w:r w:rsidR="00082B0B" w:rsidRPr="00456490">
        <w:rPr>
          <w:kern w:val="22"/>
          <w:szCs w:val="22"/>
        </w:rPr>
        <w:t xml:space="preserve">indicators </w:t>
      </w:r>
      <w:r w:rsidR="008349AF" w:rsidRPr="00456490">
        <w:rPr>
          <w:kern w:val="22"/>
          <w:szCs w:val="22"/>
        </w:rPr>
        <w:t>commensurate</w:t>
      </w:r>
      <w:r w:rsidR="00540964" w:rsidRPr="00456490">
        <w:rPr>
          <w:kern w:val="22"/>
          <w:szCs w:val="22"/>
        </w:rPr>
        <w:t xml:space="preserve"> with</w:t>
      </w:r>
      <w:r w:rsidR="00082B0B" w:rsidRPr="00456490">
        <w:rPr>
          <w:kern w:val="22"/>
          <w:szCs w:val="22"/>
        </w:rPr>
        <w:t xml:space="preserve"> the four </w:t>
      </w:r>
      <w:r w:rsidR="00F14E02" w:rsidRPr="00456490">
        <w:rPr>
          <w:kern w:val="22"/>
          <w:szCs w:val="22"/>
        </w:rPr>
        <w:t xml:space="preserve">traditional knowledge </w:t>
      </w:r>
      <w:r w:rsidR="00082B0B" w:rsidRPr="00456490">
        <w:rPr>
          <w:kern w:val="22"/>
          <w:szCs w:val="22"/>
        </w:rPr>
        <w:t xml:space="preserve">indicators </w:t>
      </w:r>
      <w:r w:rsidR="00F14E02" w:rsidRPr="00456490">
        <w:rPr>
          <w:kern w:val="22"/>
          <w:szCs w:val="22"/>
        </w:rPr>
        <w:t>noted in decision XIII/28</w:t>
      </w:r>
      <w:r w:rsidR="008A1648" w:rsidRPr="00456490">
        <w:rPr>
          <w:kern w:val="22"/>
          <w:szCs w:val="22"/>
        </w:rPr>
        <w:t>,</w:t>
      </w:r>
      <w:r w:rsidR="00082B0B" w:rsidRPr="00456490">
        <w:rPr>
          <w:rStyle w:val="FootnoteReference"/>
          <w:kern w:val="22"/>
          <w:szCs w:val="22"/>
        </w:rPr>
        <w:footnoteReference w:id="13"/>
      </w:r>
      <w:r w:rsidR="00082B0B" w:rsidRPr="00456490">
        <w:rPr>
          <w:kern w:val="22"/>
          <w:szCs w:val="22"/>
        </w:rPr>
        <w:t xml:space="preserve"> in order to measure progress</w:t>
      </w:r>
      <w:r w:rsidR="00F14E02" w:rsidRPr="00456490">
        <w:rPr>
          <w:kern w:val="22"/>
          <w:szCs w:val="22"/>
        </w:rPr>
        <w:t>.</w:t>
      </w:r>
    </w:p>
    <w:p w14:paraId="72699DF0" w14:textId="77777777" w:rsidR="009E4766" w:rsidRPr="001D0565" w:rsidRDefault="009E4766" w:rsidP="00456490">
      <w:pPr>
        <w:pStyle w:val="Heading1"/>
        <w:numPr>
          <w:ilvl w:val="0"/>
          <w:numId w:val="21"/>
        </w:numPr>
        <w:suppressLineNumbers/>
        <w:tabs>
          <w:tab w:val="clear" w:pos="720"/>
          <w:tab w:val="left" w:pos="360"/>
        </w:tabs>
        <w:suppressAutoHyphens/>
        <w:kinsoku w:val="0"/>
        <w:overflowPunct w:val="0"/>
        <w:autoSpaceDE w:val="0"/>
        <w:autoSpaceDN w:val="0"/>
        <w:adjustRightInd w:val="0"/>
        <w:snapToGrid w:val="0"/>
        <w:spacing w:before="120"/>
        <w:ind w:left="0" w:firstLine="0"/>
        <w:rPr>
          <w:snapToGrid w:val="0"/>
          <w:kern w:val="22"/>
          <w:szCs w:val="22"/>
        </w:rPr>
      </w:pPr>
      <w:r w:rsidRPr="001D0565">
        <w:rPr>
          <w:caps w:val="0"/>
          <w:snapToGrid w:val="0"/>
          <w:kern w:val="22"/>
          <w:szCs w:val="22"/>
        </w:rPr>
        <w:t>CONCLUSION</w:t>
      </w:r>
    </w:p>
    <w:p w14:paraId="01C9EC45" w14:textId="2D20F31E" w:rsidR="004B7230" w:rsidRPr="001D0565" w:rsidRDefault="005615E6">
      <w:pPr>
        <w:pStyle w:val="Para1"/>
        <w:suppressLineNumbers/>
        <w:tabs>
          <w:tab w:val="clear" w:pos="36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 xml:space="preserve">The review of progress undertaken in </w:t>
      </w:r>
      <w:r w:rsidR="008F4D0B">
        <w:rPr>
          <w:rFonts w:eastAsia="Malgun Gothic"/>
          <w:kern w:val="22"/>
          <w:szCs w:val="22"/>
        </w:rPr>
        <w:t>t</w:t>
      </w:r>
      <w:r w:rsidR="00DC50F8">
        <w:rPr>
          <w:rFonts w:eastAsia="Malgun Gothic"/>
          <w:kern w:val="22"/>
          <w:szCs w:val="22"/>
        </w:rPr>
        <w:t>h</w:t>
      </w:r>
      <w:r w:rsidR="008F4D0B">
        <w:rPr>
          <w:rFonts w:eastAsia="Malgun Gothic"/>
          <w:kern w:val="22"/>
          <w:szCs w:val="22"/>
        </w:rPr>
        <w:t>e</w:t>
      </w:r>
      <w:r w:rsidR="00DC50F8">
        <w:rPr>
          <w:rFonts w:eastAsia="Malgun Gothic"/>
          <w:kern w:val="22"/>
          <w:szCs w:val="22"/>
        </w:rPr>
        <w:t xml:space="preserve"> p</w:t>
      </w:r>
      <w:r w:rsidR="008F4D0B">
        <w:rPr>
          <w:rFonts w:eastAsia="Malgun Gothic"/>
          <w:kern w:val="22"/>
          <w:szCs w:val="22"/>
        </w:rPr>
        <w:t>resent</w:t>
      </w:r>
      <w:r w:rsidR="00DC50F8" w:rsidRPr="001D0565">
        <w:rPr>
          <w:rFonts w:eastAsia="Malgun Gothic"/>
          <w:kern w:val="22"/>
          <w:szCs w:val="22"/>
        </w:rPr>
        <w:t xml:space="preserve"> </w:t>
      </w:r>
      <w:r w:rsidRPr="001D0565">
        <w:rPr>
          <w:rFonts w:eastAsia="Malgun Gothic"/>
          <w:kern w:val="22"/>
          <w:szCs w:val="22"/>
        </w:rPr>
        <w:t xml:space="preserve">document and </w:t>
      </w:r>
      <w:r w:rsidR="00215210" w:rsidRPr="001D0565">
        <w:rPr>
          <w:rFonts w:eastAsia="Malgun Gothic"/>
          <w:kern w:val="22"/>
          <w:szCs w:val="22"/>
        </w:rPr>
        <w:t xml:space="preserve">its </w:t>
      </w:r>
      <w:r w:rsidRPr="001D0565">
        <w:rPr>
          <w:rFonts w:eastAsia="Malgun Gothic"/>
          <w:kern w:val="22"/>
          <w:szCs w:val="22"/>
        </w:rPr>
        <w:t>addendums constitute</w:t>
      </w:r>
      <w:r w:rsidR="0032638F">
        <w:rPr>
          <w:rFonts w:eastAsia="Malgun Gothic"/>
          <w:kern w:val="22"/>
          <w:szCs w:val="22"/>
        </w:rPr>
        <w:t>s</w:t>
      </w:r>
      <w:r w:rsidRPr="001D0565">
        <w:rPr>
          <w:rFonts w:eastAsia="Malgun Gothic"/>
          <w:kern w:val="22"/>
          <w:szCs w:val="22"/>
        </w:rPr>
        <w:t xml:space="preserve"> the </w:t>
      </w:r>
      <w:r w:rsidR="002B35A6" w:rsidRPr="001D0565">
        <w:rPr>
          <w:rFonts w:eastAsia="Malgun Gothic"/>
          <w:kern w:val="22"/>
          <w:szCs w:val="22"/>
        </w:rPr>
        <w:t>last opportunity</w:t>
      </w:r>
      <w:r w:rsidRPr="001D0565">
        <w:rPr>
          <w:rFonts w:eastAsia="Malgun Gothic"/>
          <w:kern w:val="22"/>
          <w:szCs w:val="22"/>
        </w:rPr>
        <w:t xml:space="preserve"> </w:t>
      </w:r>
      <w:r w:rsidR="002B35A6" w:rsidRPr="001D0565">
        <w:rPr>
          <w:rFonts w:eastAsia="Malgun Gothic"/>
          <w:kern w:val="22"/>
          <w:szCs w:val="22"/>
        </w:rPr>
        <w:t xml:space="preserve">for </w:t>
      </w:r>
      <w:r w:rsidR="00605B0B" w:rsidRPr="00456490">
        <w:rPr>
          <w:rFonts w:eastAsia="Malgun Gothic"/>
          <w:kern w:val="22"/>
          <w:szCs w:val="22"/>
        </w:rPr>
        <w:t>the Subsidiary Body on Implementation</w:t>
      </w:r>
      <w:r w:rsidR="00605B0B" w:rsidRPr="001D0565">
        <w:rPr>
          <w:rFonts w:eastAsia="Malgun Gothic"/>
          <w:kern w:val="22"/>
          <w:szCs w:val="22"/>
        </w:rPr>
        <w:t xml:space="preserve"> </w:t>
      </w:r>
      <w:r w:rsidR="002B35A6" w:rsidRPr="001D0565">
        <w:rPr>
          <w:rFonts w:eastAsia="Malgun Gothic"/>
          <w:kern w:val="22"/>
          <w:szCs w:val="22"/>
        </w:rPr>
        <w:t>to assess</w:t>
      </w:r>
      <w:r w:rsidRPr="001D0565">
        <w:rPr>
          <w:rFonts w:eastAsia="Malgun Gothic"/>
          <w:kern w:val="22"/>
          <w:szCs w:val="22"/>
        </w:rPr>
        <w:t xml:space="preserve"> these issues in the period</w:t>
      </w:r>
      <w:r w:rsidR="00215210" w:rsidRPr="001D0565">
        <w:rPr>
          <w:rFonts w:eastAsia="Malgun Gothic"/>
          <w:kern w:val="22"/>
          <w:szCs w:val="22"/>
        </w:rPr>
        <w:t xml:space="preserve"> covered by the Strategic Plan for Biodiversity 2011</w:t>
      </w:r>
      <w:r w:rsidR="00605B0B" w:rsidRPr="00456490">
        <w:rPr>
          <w:rFonts w:eastAsia="Malgun Gothic"/>
          <w:kern w:val="22"/>
          <w:szCs w:val="22"/>
        </w:rPr>
        <w:noBreakHyphen/>
      </w:r>
      <w:r w:rsidR="00215210" w:rsidRPr="001D0565">
        <w:rPr>
          <w:rFonts w:eastAsia="Malgun Gothic"/>
          <w:kern w:val="22"/>
          <w:szCs w:val="22"/>
        </w:rPr>
        <w:t xml:space="preserve">2020. </w:t>
      </w:r>
      <w:r w:rsidR="004B7230" w:rsidRPr="00456490">
        <w:rPr>
          <w:rFonts w:eastAsia="Malgun Gothic"/>
          <w:kern w:val="22"/>
          <w:szCs w:val="22"/>
        </w:rPr>
        <w:t xml:space="preserve">The formats, information included, and the timing of submissions of the </w:t>
      </w:r>
      <w:r w:rsidR="00A26F22" w:rsidRPr="00456490">
        <w:rPr>
          <w:rFonts w:eastAsia="Malgun Gothic"/>
          <w:kern w:val="22"/>
          <w:szCs w:val="22"/>
        </w:rPr>
        <w:t>NBSAPs</w:t>
      </w:r>
      <w:r w:rsidR="004B7230" w:rsidRPr="00456490">
        <w:rPr>
          <w:rFonts w:eastAsia="Malgun Gothic"/>
          <w:kern w:val="22"/>
          <w:szCs w:val="22"/>
        </w:rPr>
        <w:t xml:space="preserve"> </w:t>
      </w:r>
      <w:r w:rsidR="00866E40">
        <w:rPr>
          <w:rFonts w:eastAsia="Malgun Gothic"/>
          <w:kern w:val="22"/>
          <w:szCs w:val="22"/>
        </w:rPr>
        <w:t>have</w:t>
      </w:r>
      <w:r w:rsidR="00866E40" w:rsidRPr="00456490">
        <w:rPr>
          <w:rFonts w:eastAsia="Malgun Gothic"/>
          <w:kern w:val="22"/>
          <w:szCs w:val="22"/>
        </w:rPr>
        <w:t xml:space="preserve"> </w:t>
      </w:r>
      <w:r w:rsidR="004B7230" w:rsidRPr="00456490">
        <w:rPr>
          <w:rFonts w:eastAsia="Malgun Gothic"/>
          <w:kern w:val="22"/>
          <w:szCs w:val="22"/>
        </w:rPr>
        <w:t xml:space="preserve">made their assessment challenging. Parties have taken different approaches with regard to the establishment of their national targets as well as how they have reported against them. These different approaches have limited the ability to aggregate and compare the information </w:t>
      </w:r>
      <w:r w:rsidR="002B1C02">
        <w:rPr>
          <w:rFonts w:eastAsia="Malgun Gothic"/>
          <w:kern w:val="22"/>
          <w:szCs w:val="22"/>
        </w:rPr>
        <w:t>received</w:t>
      </w:r>
      <w:r w:rsidR="004B7230" w:rsidRPr="00456490">
        <w:rPr>
          <w:rFonts w:eastAsia="Malgun Gothic"/>
          <w:kern w:val="22"/>
          <w:szCs w:val="22"/>
        </w:rPr>
        <w:t>. Further</w:t>
      </w:r>
      <w:r w:rsidR="001C659D">
        <w:rPr>
          <w:rFonts w:eastAsia="Malgun Gothic"/>
          <w:kern w:val="22"/>
          <w:szCs w:val="22"/>
        </w:rPr>
        <w:t>,</w:t>
      </w:r>
      <w:r w:rsidR="004B7230" w:rsidRPr="00456490">
        <w:rPr>
          <w:rFonts w:eastAsia="Malgun Gothic"/>
          <w:kern w:val="22"/>
          <w:szCs w:val="22"/>
        </w:rPr>
        <w:t xml:space="preserve"> the delays in submitting national reports and </w:t>
      </w:r>
      <w:r w:rsidR="00BB02E4">
        <w:rPr>
          <w:rFonts w:eastAsia="Malgun Gothic"/>
          <w:kern w:val="22"/>
          <w:szCs w:val="22"/>
        </w:rPr>
        <w:t>NBSAPs</w:t>
      </w:r>
      <w:r w:rsidR="004B7230" w:rsidRPr="00456490">
        <w:rPr>
          <w:rFonts w:eastAsia="Malgun Gothic"/>
          <w:kern w:val="22"/>
          <w:szCs w:val="22"/>
        </w:rPr>
        <w:t xml:space="preserve"> to the Secretariat has reduced the time available for their review and reflection in relevant documentation. Parties may wish to give further consideration to these issues during </w:t>
      </w:r>
      <w:r w:rsidR="002B35A6" w:rsidRPr="00456490">
        <w:rPr>
          <w:rFonts w:eastAsia="Malgun Gothic"/>
          <w:kern w:val="22"/>
          <w:szCs w:val="22"/>
        </w:rPr>
        <w:t>their discussions under</w:t>
      </w:r>
      <w:r w:rsidR="004B7230" w:rsidRPr="00456490">
        <w:rPr>
          <w:rFonts w:eastAsia="Malgun Gothic"/>
          <w:kern w:val="22"/>
          <w:szCs w:val="22"/>
        </w:rPr>
        <w:t xml:space="preserve"> agenda item 9 (</w:t>
      </w:r>
      <w:r w:rsidR="00FA077F">
        <w:rPr>
          <w:rFonts w:eastAsia="Malgun Gothic"/>
          <w:kern w:val="22"/>
          <w:szCs w:val="22"/>
        </w:rPr>
        <w:t>m</w:t>
      </w:r>
      <w:r w:rsidR="004B7230" w:rsidRPr="001D0565">
        <w:rPr>
          <w:rFonts w:eastAsia="Malgun Gothic"/>
          <w:kern w:val="22"/>
          <w:szCs w:val="22"/>
        </w:rPr>
        <w:t>echanisms for reporting, assessment and review of implementation)</w:t>
      </w:r>
      <w:r w:rsidR="0068002A" w:rsidRPr="00456490">
        <w:rPr>
          <w:rFonts w:eastAsia="Malgun Gothic"/>
          <w:kern w:val="22"/>
          <w:szCs w:val="22"/>
        </w:rPr>
        <w:t>.</w:t>
      </w:r>
    </w:p>
    <w:p w14:paraId="32CD50EF" w14:textId="423B2BDA" w:rsidR="00E9157C" w:rsidRPr="001D0565" w:rsidRDefault="00C6775A">
      <w:pPr>
        <w:pStyle w:val="Para1"/>
        <w:suppressLineNumbers/>
        <w:tabs>
          <w:tab w:val="clear" w:pos="36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The NBSAPs and the national reports, two complementary sources of information, indicate that efforts have been made to translate the Aichi Biodiversity Targets into national commitments, and national actions have been taken to reach the Aichi Targets</w:t>
      </w:r>
      <w:r w:rsidR="00824F08" w:rsidRPr="001D0565">
        <w:rPr>
          <w:rFonts w:eastAsia="Malgun Gothic"/>
          <w:kern w:val="22"/>
          <w:szCs w:val="22"/>
        </w:rPr>
        <w:t>. However</w:t>
      </w:r>
      <w:r w:rsidR="00605B0B" w:rsidRPr="00456490">
        <w:rPr>
          <w:rFonts w:eastAsia="Malgun Gothic"/>
          <w:kern w:val="22"/>
          <w:szCs w:val="22"/>
        </w:rPr>
        <w:t>,</w:t>
      </w:r>
      <w:r w:rsidR="00824F08" w:rsidRPr="001D0565">
        <w:rPr>
          <w:rFonts w:eastAsia="Malgun Gothic"/>
          <w:kern w:val="22"/>
          <w:szCs w:val="22"/>
        </w:rPr>
        <w:t xml:space="preserve"> the assessment of these</w:t>
      </w:r>
      <w:r w:rsidRPr="001D0565">
        <w:rPr>
          <w:rFonts w:eastAsia="Malgun Gothic"/>
          <w:kern w:val="22"/>
          <w:szCs w:val="22"/>
        </w:rPr>
        <w:t xml:space="preserve"> </w:t>
      </w:r>
      <w:r w:rsidR="00824F08" w:rsidRPr="001D0565">
        <w:rPr>
          <w:rFonts w:eastAsia="Malgun Gothic"/>
          <w:kern w:val="22"/>
          <w:szCs w:val="22"/>
        </w:rPr>
        <w:t>indicates</w:t>
      </w:r>
      <w:r w:rsidRPr="001D0565">
        <w:rPr>
          <w:rFonts w:eastAsia="Malgun Gothic"/>
          <w:kern w:val="22"/>
          <w:szCs w:val="22"/>
        </w:rPr>
        <w:t xml:space="preserve"> that in the aggregate, gaps exist in relation to the level of ambition of the national targets set to reach the Aichi Biodiversity Targets, as well as in the efforts to reach the</w:t>
      </w:r>
      <w:r w:rsidR="00F12F64">
        <w:rPr>
          <w:rFonts w:eastAsia="Malgun Gothic"/>
          <w:kern w:val="22"/>
          <w:szCs w:val="22"/>
        </w:rPr>
        <w:t>m</w:t>
      </w:r>
      <w:r w:rsidR="009E4766" w:rsidRPr="001D0565">
        <w:rPr>
          <w:rFonts w:eastAsia="Malgun Gothic"/>
          <w:kern w:val="22"/>
          <w:szCs w:val="22"/>
        </w:rPr>
        <w:t>.</w:t>
      </w:r>
      <w:r w:rsidRPr="001D0565">
        <w:rPr>
          <w:rFonts w:eastAsia="Malgun Gothic"/>
          <w:kern w:val="22"/>
          <w:szCs w:val="22"/>
        </w:rPr>
        <w:t xml:space="preserve"> This assessment is consistent with earlier assessments</w:t>
      </w:r>
      <w:r w:rsidR="003424CC">
        <w:rPr>
          <w:rFonts w:eastAsia="Malgun Gothic"/>
          <w:kern w:val="22"/>
          <w:szCs w:val="22"/>
        </w:rPr>
        <w:t>,</w:t>
      </w:r>
      <w:r w:rsidRPr="001D0565">
        <w:rPr>
          <w:rFonts w:eastAsia="Malgun Gothic"/>
          <w:kern w:val="22"/>
          <w:szCs w:val="22"/>
        </w:rPr>
        <w:t xml:space="preserve"> including the fourth </w:t>
      </w:r>
      <w:r w:rsidR="00A751C6" w:rsidRPr="001D0565">
        <w:rPr>
          <w:rFonts w:eastAsia="Malgun Gothic"/>
          <w:kern w:val="22"/>
          <w:szCs w:val="22"/>
        </w:rPr>
        <w:t xml:space="preserve">and fifth </w:t>
      </w:r>
      <w:r w:rsidRPr="001D0565">
        <w:rPr>
          <w:rFonts w:eastAsia="Malgun Gothic"/>
          <w:kern w:val="22"/>
          <w:szCs w:val="22"/>
        </w:rPr>
        <w:t>edition</w:t>
      </w:r>
      <w:r w:rsidR="00A751C6" w:rsidRPr="001D0565">
        <w:rPr>
          <w:rFonts w:eastAsia="Malgun Gothic"/>
          <w:kern w:val="22"/>
          <w:szCs w:val="22"/>
        </w:rPr>
        <w:t>s</w:t>
      </w:r>
      <w:r w:rsidRPr="001D0565">
        <w:rPr>
          <w:rFonts w:eastAsia="Malgun Gothic"/>
          <w:kern w:val="22"/>
          <w:szCs w:val="22"/>
        </w:rPr>
        <w:t xml:space="preserve"> of the </w:t>
      </w:r>
      <w:r w:rsidRPr="00456490">
        <w:rPr>
          <w:rFonts w:eastAsia="Malgun Gothic"/>
          <w:i/>
          <w:iCs/>
          <w:kern w:val="22"/>
          <w:szCs w:val="22"/>
        </w:rPr>
        <w:t>Global Biodiversity Outlook</w:t>
      </w:r>
      <w:r w:rsidR="002678A4" w:rsidRPr="001D0565">
        <w:rPr>
          <w:rFonts w:eastAsia="Malgun Gothic"/>
          <w:kern w:val="22"/>
          <w:szCs w:val="22"/>
        </w:rPr>
        <w:t xml:space="preserve"> and</w:t>
      </w:r>
      <w:r w:rsidRPr="001D0565">
        <w:rPr>
          <w:rFonts w:eastAsia="Malgun Gothic"/>
          <w:kern w:val="22"/>
          <w:szCs w:val="22"/>
        </w:rPr>
        <w:t xml:space="preserve"> the </w:t>
      </w:r>
      <w:r w:rsidR="00D90B42" w:rsidRPr="001D0565">
        <w:rPr>
          <w:rFonts w:eastAsia="Malgun Gothic"/>
          <w:kern w:val="22"/>
          <w:szCs w:val="22"/>
        </w:rPr>
        <w:t xml:space="preserve">IPBES </w:t>
      </w:r>
      <w:r w:rsidR="00D90B42" w:rsidRPr="00456490">
        <w:rPr>
          <w:rFonts w:eastAsia="Malgun Gothic"/>
          <w:i/>
          <w:iCs/>
          <w:kern w:val="22"/>
          <w:szCs w:val="22"/>
        </w:rPr>
        <w:t>Global Assessment on Biodiversity and Ecosystem Services</w:t>
      </w:r>
      <w:r w:rsidR="002678A4" w:rsidRPr="001D0565">
        <w:rPr>
          <w:rFonts w:eastAsia="Malgun Gothic"/>
          <w:kern w:val="22"/>
          <w:szCs w:val="22"/>
        </w:rPr>
        <w:t>, as well as previous reviews by the Conference of the Parties</w:t>
      </w:r>
      <w:r w:rsidR="00F628C9">
        <w:rPr>
          <w:rFonts w:eastAsia="Malgun Gothic"/>
          <w:kern w:val="22"/>
          <w:szCs w:val="22"/>
        </w:rPr>
        <w:t>,</w:t>
      </w:r>
      <w:r w:rsidR="00B84CF6" w:rsidRPr="001D0565">
        <w:rPr>
          <w:rFonts w:eastAsia="Malgun Gothic"/>
          <w:kern w:val="22"/>
          <w:szCs w:val="22"/>
        </w:rPr>
        <w:t xml:space="preserve"> </w:t>
      </w:r>
      <w:r w:rsidR="009E4766" w:rsidRPr="001D0565">
        <w:rPr>
          <w:rFonts w:eastAsia="Malgun Gothic"/>
          <w:kern w:val="22"/>
          <w:szCs w:val="22"/>
        </w:rPr>
        <w:t xml:space="preserve">which concluded that, while progress </w:t>
      </w:r>
      <w:r w:rsidR="00B84CF6" w:rsidRPr="001D0565">
        <w:rPr>
          <w:rFonts w:eastAsia="Malgun Gothic"/>
          <w:kern w:val="22"/>
          <w:szCs w:val="22"/>
        </w:rPr>
        <w:t xml:space="preserve">was </w:t>
      </w:r>
      <w:r w:rsidR="009E4766" w:rsidRPr="001D0565">
        <w:rPr>
          <w:rFonts w:eastAsia="Malgun Gothic"/>
          <w:kern w:val="22"/>
          <w:szCs w:val="22"/>
        </w:rPr>
        <w:t xml:space="preserve">being made towards the achievement of all targets, </w:t>
      </w:r>
      <w:r w:rsidR="00B84CF6" w:rsidRPr="001D0565">
        <w:rPr>
          <w:rFonts w:eastAsia="Malgun Gothic"/>
          <w:kern w:val="22"/>
          <w:szCs w:val="22"/>
        </w:rPr>
        <w:t>it would not be</w:t>
      </w:r>
      <w:r w:rsidR="009E4766" w:rsidRPr="001D0565">
        <w:rPr>
          <w:rFonts w:eastAsia="Malgun Gothic"/>
          <w:kern w:val="22"/>
          <w:szCs w:val="22"/>
        </w:rPr>
        <w:t xml:space="preserve"> sufficient to achieve the Aichi Biodiversity</w:t>
      </w:r>
      <w:r w:rsidR="00B84CF6" w:rsidRPr="001D0565">
        <w:rPr>
          <w:rFonts w:eastAsia="Malgun Gothic"/>
          <w:kern w:val="22"/>
          <w:szCs w:val="22"/>
        </w:rPr>
        <w:t xml:space="preserve"> </w:t>
      </w:r>
      <w:r w:rsidR="00D364DB">
        <w:rPr>
          <w:rFonts w:eastAsia="Malgun Gothic"/>
          <w:kern w:val="22"/>
          <w:szCs w:val="22"/>
        </w:rPr>
        <w:t xml:space="preserve">Targets </w:t>
      </w:r>
      <w:r w:rsidR="00B84CF6" w:rsidRPr="001D0565">
        <w:rPr>
          <w:rFonts w:eastAsia="Malgun Gothic"/>
          <w:kern w:val="22"/>
          <w:szCs w:val="22"/>
        </w:rPr>
        <w:t>by 2020.</w:t>
      </w:r>
    </w:p>
    <w:p w14:paraId="0D3F026D" w14:textId="235A05D3" w:rsidR="00DE6915" w:rsidRPr="001D0565" w:rsidRDefault="00DE6915">
      <w:pPr>
        <w:pStyle w:val="Para1"/>
        <w:suppressLineNumbers/>
        <w:tabs>
          <w:tab w:val="clear" w:pos="360"/>
          <w:tab w:val="num" w:pos="72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T</w:t>
      </w:r>
      <w:r w:rsidR="00F05444" w:rsidRPr="001D0565">
        <w:rPr>
          <w:rFonts w:eastAsia="Malgun Gothic"/>
          <w:kern w:val="22"/>
          <w:szCs w:val="22"/>
        </w:rPr>
        <w:t xml:space="preserve">he </w:t>
      </w:r>
      <w:r w:rsidR="00C769C1" w:rsidRPr="001D0565">
        <w:rPr>
          <w:rFonts w:eastAsia="Malgun Gothic"/>
          <w:kern w:val="22"/>
          <w:szCs w:val="22"/>
        </w:rPr>
        <w:t>assessment</w:t>
      </w:r>
      <w:r w:rsidR="00F05444" w:rsidRPr="001D0565">
        <w:rPr>
          <w:rFonts w:eastAsia="Malgun Gothic"/>
          <w:kern w:val="22"/>
          <w:szCs w:val="22"/>
        </w:rPr>
        <w:t xml:space="preserve"> of sixth national reports </w:t>
      </w:r>
      <w:r w:rsidRPr="001D0565">
        <w:rPr>
          <w:rFonts w:eastAsia="Malgun Gothic"/>
          <w:kern w:val="22"/>
          <w:szCs w:val="22"/>
        </w:rPr>
        <w:t>suggest</w:t>
      </w:r>
      <w:r w:rsidR="00EC566A">
        <w:rPr>
          <w:rFonts w:eastAsia="Malgun Gothic"/>
          <w:kern w:val="22"/>
          <w:szCs w:val="22"/>
        </w:rPr>
        <w:t>s</w:t>
      </w:r>
      <w:r w:rsidR="00F05444" w:rsidRPr="001D0565">
        <w:rPr>
          <w:rFonts w:eastAsia="Malgun Gothic"/>
          <w:kern w:val="22"/>
          <w:szCs w:val="22"/>
        </w:rPr>
        <w:t xml:space="preserve"> an increased focus on gender and women’s issues</w:t>
      </w:r>
      <w:r w:rsidRPr="001D0565">
        <w:rPr>
          <w:rFonts w:eastAsia="Malgun Gothic"/>
          <w:kern w:val="22"/>
          <w:szCs w:val="22"/>
        </w:rPr>
        <w:t xml:space="preserve"> in implementing the Convention</w:t>
      </w:r>
      <w:r w:rsidR="00F05444" w:rsidRPr="001D0565">
        <w:rPr>
          <w:rFonts w:eastAsia="Malgun Gothic"/>
          <w:kern w:val="22"/>
          <w:szCs w:val="22"/>
        </w:rPr>
        <w:t xml:space="preserve"> as compared to the fifth national reports</w:t>
      </w:r>
      <w:r w:rsidR="002678A4" w:rsidRPr="001D0565">
        <w:rPr>
          <w:rFonts w:eastAsia="Malgun Gothic"/>
          <w:kern w:val="22"/>
          <w:szCs w:val="22"/>
        </w:rPr>
        <w:t>. However</w:t>
      </w:r>
      <w:r w:rsidR="00741AD2" w:rsidRPr="001D0565">
        <w:rPr>
          <w:rFonts w:eastAsia="Malgun Gothic"/>
          <w:kern w:val="22"/>
          <w:szCs w:val="22"/>
        </w:rPr>
        <w:t>,</w:t>
      </w:r>
      <w:r w:rsidR="002678A4" w:rsidRPr="001D0565">
        <w:rPr>
          <w:rFonts w:eastAsia="Malgun Gothic"/>
          <w:kern w:val="22"/>
          <w:szCs w:val="22"/>
        </w:rPr>
        <w:t xml:space="preserve"> </w:t>
      </w:r>
      <w:r w:rsidRPr="001D0565">
        <w:rPr>
          <w:rFonts w:eastAsia="Malgun Gothic"/>
          <w:kern w:val="22"/>
          <w:szCs w:val="22"/>
        </w:rPr>
        <w:t>the assessment</w:t>
      </w:r>
      <w:r w:rsidR="002678A4" w:rsidRPr="001D0565">
        <w:rPr>
          <w:rFonts w:eastAsia="Malgun Gothic"/>
          <w:kern w:val="22"/>
          <w:szCs w:val="22"/>
        </w:rPr>
        <w:t xml:space="preserve"> also</w:t>
      </w:r>
      <w:r w:rsidR="00F05444" w:rsidRPr="001D0565">
        <w:rPr>
          <w:rFonts w:eastAsia="Malgun Gothic"/>
          <w:kern w:val="22"/>
          <w:szCs w:val="22"/>
        </w:rPr>
        <w:t xml:space="preserve"> indicates that persistent challenges remain</w:t>
      </w:r>
      <w:r w:rsidR="00637C51" w:rsidRPr="001D0565">
        <w:rPr>
          <w:rFonts w:eastAsia="Malgun Gothic"/>
          <w:kern w:val="22"/>
          <w:szCs w:val="22"/>
        </w:rPr>
        <w:t xml:space="preserve"> for addressing gender issues effectively</w:t>
      </w:r>
      <w:r w:rsidR="00F05444" w:rsidRPr="001D0565">
        <w:rPr>
          <w:rFonts w:eastAsia="Malgun Gothic"/>
          <w:kern w:val="22"/>
          <w:szCs w:val="22"/>
        </w:rPr>
        <w:t xml:space="preserve">. These include </w:t>
      </w:r>
      <w:r w:rsidRPr="001D0565">
        <w:rPr>
          <w:rFonts w:eastAsia="Malgun Gothic"/>
          <w:kern w:val="22"/>
          <w:szCs w:val="22"/>
        </w:rPr>
        <w:t xml:space="preserve">a </w:t>
      </w:r>
      <w:r w:rsidR="00F05444" w:rsidRPr="001D0565">
        <w:rPr>
          <w:rFonts w:eastAsia="Malgun Gothic"/>
          <w:kern w:val="22"/>
          <w:szCs w:val="22"/>
        </w:rPr>
        <w:t xml:space="preserve">lack of sex-disaggregated data, </w:t>
      </w:r>
      <w:r w:rsidR="002678A4" w:rsidRPr="001D0565">
        <w:rPr>
          <w:rFonts w:eastAsia="Malgun Gothic"/>
          <w:kern w:val="22"/>
          <w:szCs w:val="22"/>
        </w:rPr>
        <w:t xml:space="preserve">the </w:t>
      </w:r>
      <w:r w:rsidRPr="001D0565">
        <w:rPr>
          <w:rFonts w:eastAsia="Malgun Gothic"/>
          <w:kern w:val="22"/>
          <w:szCs w:val="22"/>
        </w:rPr>
        <w:t xml:space="preserve">limited </w:t>
      </w:r>
      <w:r w:rsidR="00F05444" w:rsidRPr="001D0565">
        <w:rPr>
          <w:rFonts w:eastAsia="Malgun Gothic"/>
          <w:kern w:val="22"/>
          <w:szCs w:val="22"/>
        </w:rPr>
        <w:t xml:space="preserve">availability of financing and </w:t>
      </w:r>
      <w:r w:rsidR="002678A4" w:rsidRPr="001D0565">
        <w:rPr>
          <w:rFonts w:eastAsia="Malgun Gothic"/>
          <w:kern w:val="22"/>
          <w:szCs w:val="22"/>
        </w:rPr>
        <w:t xml:space="preserve">insufficient </w:t>
      </w:r>
      <w:r w:rsidR="00F05444" w:rsidRPr="001D0565">
        <w:rPr>
          <w:rFonts w:eastAsia="Malgun Gothic"/>
          <w:kern w:val="22"/>
          <w:szCs w:val="22"/>
        </w:rPr>
        <w:t xml:space="preserve">capacity to address, monitor and </w:t>
      </w:r>
      <w:r w:rsidR="00F05444" w:rsidRPr="001D0565">
        <w:rPr>
          <w:rFonts w:eastAsia="Malgun Gothic"/>
          <w:kern w:val="22"/>
          <w:szCs w:val="22"/>
        </w:rPr>
        <w:lastRenderedPageBreak/>
        <w:t xml:space="preserve">report on gender-responsive measures to halt biodiversity loss. </w:t>
      </w:r>
      <w:r w:rsidR="00F05444" w:rsidRPr="00456490">
        <w:rPr>
          <w:kern w:val="22"/>
          <w:szCs w:val="22"/>
        </w:rPr>
        <w:t xml:space="preserve">The </w:t>
      </w:r>
      <w:r w:rsidR="00C769C1" w:rsidRPr="00456490">
        <w:rPr>
          <w:kern w:val="22"/>
          <w:szCs w:val="22"/>
        </w:rPr>
        <w:t>review</w:t>
      </w:r>
      <w:r w:rsidR="00F05444" w:rsidRPr="00456490">
        <w:rPr>
          <w:kern w:val="22"/>
          <w:szCs w:val="22"/>
        </w:rPr>
        <w:t xml:space="preserve"> of the 2015-2020 Gender Plan of Action indicates that</w:t>
      </w:r>
      <w:r w:rsidR="0028116C">
        <w:rPr>
          <w:kern w:val="22"/>
          <w:szCs w:val="22"/>
        </w:rPr>
        <w:t>,</w:t>
      </w:r>
      <w:r w:rsidR="00F05444" w:rsidRPr="00456490">
        <w:rPr>
          <w:kern w:val="22"/>
          <w:szCs w:val="22"/>
        </w:rPr>
        <w:t xml:space="preserve"> </w:t>
      </w:r>
      <w:r w:rsidR="002678A4" w:rsidRPr="00456490">
        <w:rPr>
          <w:kern w:val="22"/>
          <w:szCs w:val="22"/>
        </w:rPr>
        <w:t xml:space="preserve">for </w:t>
      </w:r>
      <w:r w:rsidR="00637C51" w:rsidRPr="00456490">
        <w:rPr>
          <w:kern w:val="22"/>
          <w:szCs w:val="22"/>
        </w:rPr>
        <w:t xml:space="preserve">a </w:t>
      </w:r>
      <w:r w:rsidR="002678A4" w:rsidRPr="00456490">
        <w:rPr>
          <w:kern w:val="22"/>
          <w:szCs w:val="22"/>
        </w:rPr>
        <w:t>future global plan of action</w:t>
      </w:r>
      <w:r w:rsidR="004F6390" w:rsidRPr="00456490">
        <w:rPr>
          <w:kern w:val="22"/>
          <w:szCs w:val="22"/>
        </w:rPr>
        <w:t>,</w:t>
      </w:r>
      <w:r w:rsidR="002678A4" w:rsidRPr="00456490">
        <w:rPr>
          <w:kern w:val="22"/>
          <w:szCs w:val="22"/>
        </w:rPr>
        <w:t xml:space="preserve"> </w:t>
      </w:r>
      <w:r w:rsidR="00F05444" w:rsidRPr="00456490">
        <w:rPr>
          <w:kern w:val="22"/>
          <w:szCs w:val="22"/>
        </w:rPr>
        <w:t xml:space="preserve">particular attention may be needed to translate </w:t>
      </w:r>
      <w:r w:rsidR="002678A4" w:rsidRPr="00456490">
        <w:rPr>
          <w:kern w:val="22"/>
          <w:szCs w:val="22"/>
        </w:rPr>
        <w:t>it</w:t>
      </w:r>
      <w:r w:rsidR="00F05444" w:rsidRPr="00456490">
        <w:rPr>
          <w:kern w:val="22"/>
          <w:szCs w:val="22"/>
        </w:rPr>
        <w:t xml:space="preserve"> into action at the national level</w:t>
      </w:r>
      <w:r w:rsidR="002678A4" w:rsidRPr="00456490">
        <w:rPr>
          <w:kern w:val="22"/>
          <w:szCs w:val="22"/>
        </w:rPr>
        <w:t xml:space="preserve">. </w:t>
      </w:r>
      <w:r w:rsidR="00B84CF6" w:rsidRPr="00456490">
        <w:rPr>
          <w:kern w:val="22"/>
          <w:szCs w:val="22"/>
        </w:rPr>
        <w:t>Similarly,</w:t>
      </w:r>
      <w:r w:rsidR="002678A4" w:rsidRPr="00456490">
        <w:rPr>
          <w:kern w:val="22"/>
          <w:szCs w:val="22"/>
        </w:rPr>
        <w:t xml:space="preserve"> enhanced efforts </w:t>
      </w:r>
      <w:r w:rsidRPr="00456490">
        <w:rPr>
          <w:kern w:val="22"/>
          <w:szCs w:val="22"/>
        </w:rPr>
        <w:t>may</w:t>
      </w:r>
      <w:r w:rsidR="002678A4" w:rsidRPr="00456490">
        <w:rPr>
          <w:kern w:val="22"/>
          <w:szCs w:val="22"/>
        </w:rPr>
        <w:t xml:space="preserve"> be needed</w:t>
      </w:r>
      <w:r w:rsidR="00F05444" w:rsidRPr="00456490">
        <w:rPr>
          <w:kern w:val="22"/>
          <w:szCs w:val="22"/>
        </w:rPr>
        <w:t xml:space="preserve"> to strengthen capacity development, reporting and coordination with Parties and partners to increase gender-responsive implementation and </w:t>
      </w:r>
      <w:r w:rsidRPr="00456490">
        <w:rPr>
          <w:kern w:val="22"/>
          <w:szCs w:val="22"/>
        </w:rPr>
        <w:t xml:space="preserve">the </w:t>
      </w:r>
      <w:r w:rsidR="00F05444" w:rsidRPr="00456490">
        <w:rPr>
          <w:kern w:val="22"/>
          <w:szCs w:val="22"/>
        </w:rPr>
        <w:t xml:space="preserve">impact of activities. </w:t>
      </w:r>
      <w:r w:rsidR="00B84CF6" w:rsidRPr="00456490">
        <w:rPr>
          <w:kern w:val="22"/>
          <w:szCs w:val="22"/>
        </w:rPr>
        <w:t xml:space="preserve">The review of the </w:t>
      </w:r>
      <w:r w:rsidR="009F760D">
        <w:rPr>
          <w:kern w:val="22"/>
          <w:szCs w:val="22"/>
        </w:rPr>
        <w:t>G</w:t>
      </w:r>
      <w:r w:rsidR="00B84CF6" w:rsidRPr="00456490">
        <w:rPr>
          <w:kern w:val="22"/>
          <w:szCs w:val="22"/>
        </w:rPr>
        <w:t xml:space="preserve">ender </w:t>
      </w:r>
      <w:r w:rsidR="009F760D">
        <w:rPr>
          <w:kern w:val="22"/>
          <w:szCs w:val="22"/>
        </w:rPr>
        <w:t>P</w:t>
      </w:r>
      <w:r w:rsidR="00B84CF6" w:rsidRPr="00456490">
        <w:rPr>
          <w:kern w:val="22"/>
          <w:szCs w:val="22"/>
        </w:rPr>
        <w:t xml:space="preserve">lan of </w:t>
      </w:r>
      <w:r w:rsidR="009F760D">
        <w:rPr>
          <w:kern w:val="22"/>
          <w:szCs w:val="22"/>
        </w:rPr>
        <w:t>A</w:t>
      </w:r>
      <w:r w:rsidR="00B84CF6" w:rsidRPr="00456490">
        <w:rPr>
          <w:kern w:val="22"/>
          <w:szCs w:val="22"/>
        </w:rPr>
        <w:t>ction also suggests that</w:t>
      </w:r>
      <w:r w:rsidR="009F760D">
        <w:rPr>
          <w:kern w:val="22"/>
          <w:szCs w:val="22"/>
        </w:rPr>
        <w:t>,</w:t>
      </w:r>
      <w:r w:rsidR="0024216F" w:rsidRPr="00456490">
        <w:rPr>
          <w:kern w:val="22"/>
          <w:szCs w:val="22"/>
        </w:rPr>
        <w:t xml:space="preserve"> for the post-2020 global biodiversity framework</w:t>
      </w:r>
      <w:r w:rsidR="009F760D">
        <w:rPr>
          <w:kern w:val="22"/>
          <w:szCs w:val="22"/>
        </w:rPr>
        <w:t>,</w:t>
      </w:r>
      <w:r w:rsidR="0024216F" w:rsidRPr="00456490">
        <w:rPr>
          <w:kern w:val="22"/>
          <w:szCs w:val="22"/>
        </w:rPr>
        <w:t xml:space="preserve"> </w:t>
      </w:r>
      <w:r w:rsidR="001B6439" w:rsidRPr="00456490">
        <w:rPr>
          <w:kern w:val="22"/>
          <w:szCs w:val="22"/>
        </w:rPr>
        <w:t xml:space="preserve">gender </w:t>
      </w:r>
      <w:r w:rsidR="00B84CF6" w:rsidRPr="00456490">
        <w:rPr>
          <w:kern w:val="22"/>
          <w:szCs w:val="22"/>
        </w:rPr>
        <w:t>should be</w:t>
      </w:r>
      <w:r w:rsidR="001B6439" w:rsidRPr="00456490">
        <w:rPr>
          <w:kern w:val="22"/>
          <w:szCs w:val="22"/>
        </w:rPr>
        <w:t xml:space="preserve"> integrated across the framework</w:t>
      </w:r>
      <w:r w:rsidR="00B84CF6" w:rsidRPr="001D0565">
        <w:rPr>
          <w:rFonts w:eastAsia="Malgun Gothic"/>
          <w:kern w:val="22"/>
          <w:szCs w:val="22"/>
        </w:rPr>
        <w:t xml:space="preserve">, </w:t>
      </w:r>
      <w:r w:rsidR="00B84CF6" w:rsidRPr="00456490">
        <w:rPr>
          <w:kern w:val="22"/>
          <w:szCs w:val="22"/>
        </w:rPr>
        <w:t xml:space="preserve">similar to </w:t>
      </w:r>
      <w:r w:rsidR="006171D5">
        <w:rPr>
          <w:kern w:val="22"/>
          <w:szCs w:val="22"/>
        </w:rPr>
        <w:t>the way</w:t>
      </w:r>
      <w:r w:rsidR="006171D5" w:rsidRPr="00456490">
        <w:rPr>
          <w:kern w:val="22"/>
          <w:szCs w:val="22"/>
        </w:rPr>
        <w:t xml:space="preserve"> </w:t>
      </w:r>
      <w:r w:rsidR="00B84CF6" w:rsidRPr="00456490">
        <w:rPr>
          <w:kern w:val="22"/>
          <w:szCs w:val="22"/>
        </w:rPr>
        <w:t>it is treated in the Sustainable Development Goals.</w:t>
      </w:r>
    </w:p>
    <w:p w14:paraId="053FAA13" w14:textId="65243C5F" w:rsidR="004D4B15" w:rsidRPr="001D0565" w:rsidRDefault="00DE6915">
      <w:pPr>
        <w:pStyle w:val="Para1"/>
        <w:suppressLineNumbers/>
        <w:tabs>
          <w:tab w:val="clear" w:pos="360"/>
          <w:tab w:val="num" w:pos="72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T</w:t>
      </w:r>
      <w:r w:rsidR="00D971A7" w:rsidRPr="001D0565">
        <w:rPr>
          <w:rFonts w:eastAsia="Malgun Gothic"/>
          <w:kern w:val="22"/>
          <w:szCs w:val="22"/>
        </w:rPr>
        <w:t>he</w:t>
      </w:r>
      <w:r w:rsidR="007C5F60" w:rsidRPr="001D0565">
        <w:rPr>
          <w:rFonts w:eastAsia="Malgun Gothic"/>
          <w:kern w:val="22"/>
          <w:szCs w:val="22"/>
        </w:rPr>
        <w:t>r</w:t>
      </w:r>
      <w:r w:rsidR="00D971A7" w:rsidRPr="001D0565">
        <w:rPr>
          <w:rFonts w:eastAsia="Malgun Gothic"/>
          <w:kern w:val="22"/>
          <w:szCs w:val="22"/>
        </w:rPr>
        <w:t>e has been progress towards reaching Aichi Biodiversity Target 18 and in better taking into account issues related to indigenous peoples and local communities in the implementation of the Conve</w:t>
      </w:r>
      <w:r w:rsidR="0035737F">
        <w:rPr>
          <w:rFonts w:eastAsia="Malgun Gothic"/>
          <w:kern w:val="22"/>
          <w:szCs w:val="22"/>
        </w:rPr>
        <w:t>n</w:t>
      </w:r>
      <w:r w:rsidR="00D971A7" w:rsidRPr="001D0565">
        <w:rPr>
          <w:rFonts w:eastAsia="Malgun Gothic"/>
          <w:kern w:val="22"/>
          <w:szCs w:val="22"/>
        </w:rPr>
        <w:t>tion</w:t>
      </w:r>
      <w:r w:rsidRPr="001D0565">
        <w:rPr>
          <w:rFonts w:eastAsia="Malgun Gothic"/>
          <w:kern w:val="22"/>
          <w:szCs w:val="22"/>
        </w:rPr>
        <w:t xml:space="preserve">. </w:t>
      </w:r>
      <w:r w:rsidR="00824F08" w:rsidRPr="001D0565">
        <w:rPr>
          <w:rFonts w:eastAsia="Malgun Gothic"/>
          <w:kern w:val="22"/>
          <w:szCs w:val="22"/>
        </w:rPr>
        <w:t xml:space="preserve">However additional efforts are required. Indigenous peoples and local communities and their collective knowledge and actions for the objectives of the Convention, remain a great but largely untapped resource for many Parties. </w:t>
      </w:r>
      <w:r w:rsidR="00824F08" w:rsidRPr="00BB02E4">
        <w:rPr>
          <w:kern w:val="22"/>
          <w:szCs w:val="22"/>
        </w:rPr>
        <w:t>The development and implementation of the post-2020 biodiversity framework provides an opportunity for reali</w:t>
      </w:r>
      <w:r w:rsidR="001E5A69" w:rsidRPr="00456490">
        <w:rPr>
          <w:kern w:val="22"/>
          <w:szCs w:val="22"/>
        </w:rPr>
        <w:t>z</w:t>
      </w:r>
      <w:r w:rsidR="00824F08" w:rsidRPr="00BB02E4">
        <w:rPr>
          <w:kern w:val="22"/>
          <w:szCs w:val="22"/>
        </w:rPr>
        <w:t xml:space="preserve">ing the full potential indigenous peoples and local communities as </w:t>
      </w:r>
      <w:r w:rsidR="00824F08" w:rsidRPr="001D0565">
        <w:rPr>
          <w:kern w:val="22"/>
          <w:szCs w:val="22"/>
        </w:rPr>
        <w:t>partners in the implementation of the Convention.</w:t>
      </w:r>
    </w:p>
    <w:p w14:paraId="5D1C1FE4" w14:textId="14F239FB" w:rsidR="00442AA5" w:rsidRPr="001D0565" w:rsidRDefault="00442AA5">
      <w:pPr>
        <w:pStyle w:val="Para1"/>
        <w:suppressLineNumbers/>
        <w:tabs>
          <w:tab w:val="clear" w:pos="360"/>
          <w:tab w:val="num" w:pos="720"/>
        </w:tabs>
        <w:suppressAutoHyphens/>
        <w:kinsoku w:val="0"/>
        <w:overflowPunct w:val="0"/>
        <w:autoSpaceDE w:val="0"/>
        <w:autoSpaceDN w:val="0"/>
        <w:adjustRightInd w:val="0"/>
        <w:snapToGrid w:val="0"/>
        <w:rPr>
          <w:rFonts w:eastAsia="Malgun Gothic"/>
          <w:kern w:val="22"/>
          <w:szCs w:val="22"/>
        </w:rPr>
      </w:pPr>
      <w:r w:rsidRPr="001D0565">
        <w:rPr>
          <w:rFonts w:eastAsia="Malgun Gothic"/>
          <w:kern w:val="22"/>
          <w:szCs w:val="22"/>
        </w:rPr>
        <w:t>Over the implementation period of the Strategic Plan for Biodiversity 2011-2020</w:t>
      </w:r>
      <w:r w:rsidR="00D9703C">
        <w:rPr>
          <w:rFonts w:eastAsia="Malgun Gothic"/>
          <w:kern w:val="22"/>
          <w:szCs w:val="22"/>
        </w:rPr>
        <w:t>,</w:t>
      </w:r>
      <w:r w:rsidRPr="001D0565">
        <w:rPr>
          <w:rFonts w:eastAsia="Malgun Gothic"/>
          <w:kern w:val="22"/>
          <w:szCs w:val="22"/>
        </w:rPr>
        <w:t xml:space="preserve"> a number of lessons have been identified</w:t>
      </w:r>
      <w:r w:rsidR="004D4B15" w:rsidRPr="001D0565">
        <w:rPr>
          <w:rFonts w:eastAsia="Malgun Gothic"/>
          <w:kern w:val="22"/>
          <w:szCs w:val="22"/>
        </w:rPr>
        <w:t xml:space="preserve"> </w:t>
      </w:r>
      <w:r w:rsidR="00706A8D">
        <w:rPr>
          <w:rFonts w:eastAsia="Malgun Gothic"/>
          <w:kern w:val="22"/>
          <w:szCs w:val="22"/>
        </w:rPr>
        <w:t>in relation</w:t>
      </w:r>
      <w:r w:rsidR="00706A8D" w:rsidRPr="001D0565">
        <w:rPr>
          <w:rFonts w:eastAsia="Malgun Gothic"/>
          <w:kern w:val="22"/>
          <w:szCs w:val="22"/>
        </w:rPr>
        <w:t xml:space="preserve"> </w:t>
      </w:r>
      <w:r w:rsidR="004D4B15" w:rsidRPr="001D0565">
        <w:rPr>
          <w:rFonts w:eastAsia="Malgun Gothic"/>
          <w:kern w:val="22"/>
          <w:szCs w:val="22"/>
        </w:rPr>
        <w:t xml:space="preserve">to the </w:t>
      </w:r>
      <w:r w:rsidR="00752808">
        <w:rPr>
          <w:rFonts w:eastAsia="Malgun Gothic"/>
          <w:kern w:val="22"/>
          <w:szCs w:val="22"/>
        </w:rPr>
        <w:t>NBSAPs</w:t>
      </w:r>
      <w:r w:rsidR="004D4B15" w:rsidRPr="001D0565">
        <w:rPr>
          <w:rFonts w:eastAsia="Malgun Gothic"/>
          <w:kern w:val="22"/>
          <w:szCs w:val="22"/>
        </w:rPr>
        <w:t>, the national reports, capacity</w:t>
      </w:r>
      <w:r w:rsidR="003F6683" w:rsidRPr="00456490">
        <w:rPr>
          <w:rFonts w:eastAsia="Malgun Gothic"/>
          <w:kern w:val="22"/>
          <w:szCs w:val="22"/>
        </w:rPr>
        <w:noBreakHyphen/>
      </w:r>
      <w:r w:rsidR="004D4B15" w:rsidRPr="001D0565">
        <w:rPr>
          <w:rFonts w:eastAsia="Malgun Gothic"/>
          <w:kern w:val="22"/>
          <w:szCs w:val="22"/>
        </w:rPr>
        <w:t>building, resource mobilization, the review of implementation and the implementation of the Convention generally.</w:t>
      </w:r>
      <w:r w:rsidRPr="001D0565">
        <w:rPr>
          <w:rFonts w:eastAsia="Malgun Gothic"/>
          <w:kern w:val="22"/>
          <w:szCs w:val="22"/>
        </w:rPr>
        <w:t xml:space="preserve"> </w:t>
      </w:r>
      <w:r w:rsidR="004D4B15" w:rsidRPr="001D0565">
        <w:rPr>
          <w:rFonts w:eastAsia="Malgun Gothic"/>
          <w:kern w:val="22"/>
          <w:szCs w:val="22"/>
        </w:rPr>
        <w:t xml:space="preserve">These lessons </w:t>
      </w:r>
      <w:r w:rsidRPr="001D0565">
        <w:rPr>
          <w:rFonts w:eastAsia="Malgun Gothic"/>
          <w:kern w:val="22"/>
          <w:szCs w:val="22"/>
        </w:rPr>
        <w:t xml:space="preserve">should be taken into account in the development of the post-2020 global biodiversity and its associated processes and mechanisms. </w:t>
      </w:r>
      <w:r w:rsidR="004D4B15" w:rsidRPr="00456490">
        <w:rPr>
          <w:kern w:val="22"/>
          <w:szCs w:val="22"/>
        </w:rPr>
        <w:t xml:space="preserve">Parties may wish to further reflect on these lessons during their consideration of agenda item 9. </w:t>
      </w:r>
      <w:r w:rsidRPr="001D0565">
        <w:rPr>
          <w:rFonts w:eastAsia="Malgun Gothic"/>
          <w:kern w:val="22"/>
          <w:szCs w:val="22"/>
        </w:rPr>
        <w:t>The</w:t>
      </w:r>
      <w:r w:rsidR="004D4B15" w:rsidRPr="001D0565">
        <w:rPr>
          <w:rFonts w:eastAsia="Malgun Gothic"/>
          <w:kern w:val="22"/>
          <w:szCs w:val="22"/>
        </w:rPr>
        <w:t>y</w:t>
      </w:r>
      <w:r w:rsidRPr="001D0565">
        <w:rPr>
          <w:rFonts w:eastAsia="Malgun Gothic"/>
          <w:kern w:val="22"/>
          <w:szCs w:val="22"/>
        </w:rPr>
        <w:t xml:space="preserve"> include</w:t>
      </w:r>
      <w:r w:rsidR="003F6683" w:rsidRPr="00456490">
        <w:rPr>
          <w:rFonts w:eastAsia="Malgun Gothic"/>
          <w:kern w:val="22"/>
          <w:szCs w:val="22"/>
        </w:rPr>
        <w:t>:</w:t>
      </w:r>
      <w:r w:rsidRPr="001D0565">
        <w:rPr>
          <w:rStyle w:val="FootnoteReference"/>
          <w:rFonts w:eastAsia="Malgun Gothic"/>
          <w:kern w:val="22"/>
          <w:szCs w:val="22"/>
        </w:rPr>
        <w:footnoteReference w:id="14"/>
      </w:r>
    </w:p>
    <w:p w14:paraId="1B005F59" w14:textId="2BA70D61"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to keep attention and actions focused on implementation;</w:t>
      </w:r>
    </w:p>
    <w:p w14:paraId="785693EC" w14:textId="42B908BF"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 xml:space="preserve">The need to strengthen </w:t>
      </w:r>
      <w:r w:rsidR="00CA0E50" w:rsidRPr="00456490">
        <w:rPr>
          <w:kern w:val="22"/>
          <w:szCs w:val="22"/>
        </w:rPr>
        <w:t>NBSAPs</w:t>
      </w:r>
      <w:r w:rsidRPr="00456490">
        <w:rPr>
          <w:kern w:val="22"/>
          <w:szCs w:val="22"/>
        </w:rPr>
        <w:t xml:space="preserve"> and associated planning processes, including </w:t>
      </w:r>
      <w:r w:rsidR="00BE33AA" w:rsidRPr="00456490">
        <w:rPr>
          <w:kern w:val="22"/>
          <w:szCs w:val="22"/>
        </w:rPr>
        <w:t xml:space="preserve">by </w:t>
      </w:r>
      <w:r w:rsidRPr="00456490">
        <w:rPr>
          <w:kern w:val="22"/>
          <w:szCs w:val="22"/>
        </w:rPr>
        <w:t>making them whole-of-government policy instruments;</w:t>
      </w:r>
    </w:p>
    <w:p w14:paraId="2C75C696" w14:textId="4F915E4E"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 xml:space="preserve">The need to ensure that </w:t>
      </w:r>
      <w:r w:rsidR="00BE33AA" w:rsidRPr="00456490">
        <w:rPr>
          <w:kern w:val="22"/>
          <w:szCs w:val="22"/>
        </w:rPr>
        <w:t xml:space="preserve">the </w:t>
      </w:r>
      <w:r w:rsidRPr="00456490">
        <w:rPr>
          <w:kern w:val="22"/>
          <w:szCs w:val="22"/>
        </w:rPr>
        <w:t xml:space="preserve">targets, commitments or ambitions set </w:t>
      </w:r>
      <w:r w:rsidR="004B7230" w:rsidRPr="00456490">
        <w:rPr>
          <w:kern w:val="22"/>
          <w:szCs w:val="22"/>
        </w:rPr>
        <w:t xml:space="preserve">by Parties </w:t>
      </w:r>
      <w:r w:rsidRPr="00456490">
        <w:rPr>
          <w:kern w:val="22"/>
          <w:szCs w:val="22"/>
        </w:rPr>
        <w:t>at the national level are commensurate with global frameworks;</w:t>
      </w:r>
    </w:p>
    <w:p w14:paraId="3D503A17" w14:textId="16DBA4CA"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to reduce time lags in planning and account for time lags in implementation so as not to delay action on implementation;</w:t>
      </w:r>
    </w:p>
    <w:p w14:paraId="49D156C7" w14:textId="7C605022"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for more effective, comprehensi</w:t>
      </w:r>
      <w:r w:rsidR="00BE33AA" w:rsidRPr="00456490">
        <w:rPr>
          <w:kern w:val="22"/>
          <w:szCs w:val="22"/>
        </w:rPr>
        <w:t>ve</w:t>
      </w:r>
      <w:r w:rsidRPr="00456490">
        <w:rPr>
          <w:kern w:val="22"/>
          <w:szCs w:val="22"/>
        </w:rPr>
        <w:t xml:space="preserve"> and actionable reviews of implementation;</w:t>
      </w:r>
    </w:p>
    <w:p w14:paraId="7EFAE2A3" w14:textId="77777777"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for sustained and targeted support to Parties and a more concerted effort to facilitate implementation through support networks at the regional and subregional levels;</w:t>
      </w:r>
    </w:p>
    <w:p w14:paraId="79D578F4" w14:textId="77777777"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Making greater use of available guidance materials and resources and to adapt them to specific national circumstances;</w:t>
      </w:r>
    </w:p>
    <w:p w14:paraId="6AD75283" w14:textId="77777777"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for greater efforts to address the direct and indirect drivers of biodiversity loss in a more integrated and holistic manner, including by implementing packages of actions composed of legal or policy frameworks, socioeconomic incentives, public and stakeholder engagement, monitoring and enforcement, and avoiding addressing related issues in isolation of one another;</w:t>
      </w:r>
    </w:p>
    <w:p w14:paraId="45E2946F" w14:textId="034D93AE"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The need to broaden political and general support for implementation to ensure that all levels of government and stakeholders across society are aware of the multiple values of biodiversity and related ecosystem services;</w:t>
      </w:r>
    </w:p>
    <w:p w14:paraId="0A12E223" w14:textId="522739D3" w:rsidR="00DB73A6"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1D0565">
        <w:rPr>
          <w:rFonts w:eastAsia="Malgun Gothic"/>
          <w:kern w:val="22"/>
          <w:szCs w:val="22"/>
        </w:rPr>
        <w:t xml:space="preserve">The need for </w:t>
      </w:r>
      <w:r w:rsidRPr="00456490">
        <w:rPr>
          <w:kern w:val="22"/>
          <w:szCs w:val="22"/>
        </w:rPr>
        <w:t>partnerships at all levels to leverage broad-scale actions to garner the ownership necessary to ensure the mainstreaming of biodiversity across sectors of government, society and the economy and to enable synergies in the national implementation of the various multilateral environmental agreements;</w:t>
      </w:r>
    </w:p>
    <w:p w14:paraId="1D7D909A" w14:textId="1231755B" w:rsidR="00BE33AA"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lastRenderedPageBreak/>
        <w:t>The</w:t>
      </w:r>
      <w:r w:rsidR="00DB73A6" w:rsidRPr="00456490">
        <w:rPr>
          <w:kern w:val="22"/>
          <w:szCs w:val="22"/>
        </w:rPr>
        <w:t xml:space="preserve"> need </w:t>
      </w:r>
      <w:r w:rsidR="00BE33AA" w:rsidRPr="00456490">
        <w:rPr>
          <w:kern w:val="22"/>
          <w:szCs w:val="22"/>
        </w:rPr>
        <w:t>for greater support of</w:t>
      </w:r>
      <w:r w:rsidRPr="00456490">
        <w:rPr>
          <w:kern w:val="22"/>
          <w:szCs w:val="22"/>
        </w:rPr>
        <w:t xml:space="preserve"> technical and scientific cooperation among Parties and capacity-building</w:t>
      </w:r>
      <w:r w:rsidR="00E668F1" w:rsidRPr="00456490">
        <w:rPr>
          <w:kern w:val="22"/>
          <w:szCs w:val="22"/>
        </w:rPr>
        <w:t>;</w:t>
      </w:r>
    </w:p>
    <w:p w14:paraId="53DA5F31" w14:textId="2C3B2C00" w:rsidR="00442AA5" w:rsidRPr="001D0565" w:rsidRDefault="00442AA5" w:rsidP="00456490">
      <w:pPr>
        <w:pStyle w:val="Para1"/>
        <w:numPr>
          <w:ilvl w:val="1"/>
          <w:numId w:val="2"/>
        </w:numPr>
        <w:suppressLineNumbers/>
        <w:tabs>
          <w:tab w:val="clear" w:pos="1440"/>
        </w:tabs>
        <w:suppressAutoHyphens/>
        <w:kinsoku w:val="0"/>
        <w:overflowPunct w:val="0"/>
        <w:autoSpaceDE w:val="0"/>
        <w:autoSpaceDN w:val="0"/>
        <w:adjustRightInd w:val="0"/>
        <w:snapToGrid w:val="0"/>
        <w:spacing w:before="0"/>
        <w:rPr>
          <w:rFonts w:eastAsia="Malgun Gothic"/>
          <w:kern w:val="22"/>
          <w:szCs w:val="22"/>
        </w:rPr>
      </w:pPr>
      <w:r w:rsidRPr="00456490">
        <w:rPr>
          <w:kern w:val="22"/>
          <w:szCs w:val="22"/>
        </w:rPr>
        <w:t>An overall substantial increase in total biodiversity-related funding</w:t>
      </w:r>
      <w:r w:rsidR="00E668F1" w:rsidRPr="00456490">
        <w:rPr>
          <w:kern w:val="22"/>
          <w:szCs w:val="22"/>
        </w:rPr>
        <w:t>.</w:t>
      </w:r>
    </w:p>
    <w:p w14:paraId="379F3BD3" w14:textId="77777777" w:rsidR="009E4766" w:rsidRPr="001D0565" w:rsidRDefault="009E4766" w:rsidP="00456490">
      <w:pPr>
        <w:pStyle w:val="Heading1"/>
        <w:numPr>
          <w:ilvl w:val="0"/>
          <w:numId w:val="21"/>
        </w:numPr>
        <w:suppressLineNumbers/>
        <w:tabs>
          <w:tab w:val="clear" w:pos="720"/>
          <w:tab w:val="left" w:pos="450"/>
        </w:tabs>
        <w:suppressAutoHyphens/>
        <w:kinsoku w:val="0"/>
        <w:overflowPunct w:val="0"/>
        <w:autoSpaceDE w:val="0"/>
        <w:autoSpaceDN w:val="0"/>
        <w:adjustRightInd w:val="0"/>
        <w:snapToGrid w:val="0"/>
        <w:spacing w:before="120"/>
        <w:ind w:left="0" w:firstLine="0"/>
        <w:rPr>
          <w:rFonts w:eastAsia="Malgun Gothic"/>
          <w:bCs/>
          <w:kern w:val="22"/>
          <w:szCs w:val="22"/>
        </w:rPr>
      </w:pPr>
      <w:bookmarkStart w:id="2" w:name="_Hlk513725519"/>
      <w:r w:rsidRPr="001D0565">
        <w:rPr>
          <w:rFonts w:eastAsia="Malgun Gothic"/>
          <w:bCs/>
          <w:kern w:val="22"/>
          <w:szCs w:val="22"/>
        </w:rPr>
        <w:t>Suggested recommendations</w:t>
      </w:r>
    </w:p>
    <w:p w14:paraId="79194C21" w14:textId="0E6FD930" w:rsidR="00DE6915" w:rsidRPr="00456490" w:rsidRDefault="00DE6915">
      <w:pPr>
        <w:pStyle w:val="Para1"/>
        <w:suppressLineNumbers/>
        <w:tabs>
          <w:tab w:val="clear" w:pos="360"/>
          <w:tab w:val="num" w:pos="720"/>
        </w:tabs>
        <w:suppressAutoHyphens/>
        <w:kinsoku w:val="0"/>
        <w:overflowPunct w:val="0"/>
        <w:autoSpaceDE w:val="0"/>
        <w:autoSpaceDN w:val="0"/>
        <w:adjustRightInd w:val="0"/>
        <w:snapToGrid w:val="0"/>
        <w:rPr>
          <w:rFonts w:eastAsia="Malgun Gothic"/>
          <w:kern w:val="22"/>
          <w:szCs w:val="22"/>
        </w:rPr>
      </w:pPr>
      <w:r w:rsidRPr="00456490">
        <w:rPr>
          <w:kern w:val="22"/>
          <w:szCs w:val="22"/>
        </w:rPr>
        <w:t>The Subsidiary Body on Implementation may wish to adopt a recommendation along the following lines:</w:t>
      </w:r>
    </w:p>
    <w:p w14:paraId="68E91F4B" w14:textId="2B7F6A4F" w:rsidR="00DE6915" w:rsidRPr="001D0565" w:rsidRDefault="00DE6915" w:rsidP="00456490">
      <w:pPr>
        <w:pStyle w:val="NormalWeb"/>
        <w:suppressLineNumbers/>
        <w:suppressAutoHyphens/>
        <w:kinsoku w:val="0"/>
        <w:overflowPunct w:val="0"/>
        <w:autoSpaceDE w:val="0"/>
        <w:autoSpaceDN w:val="0"/>
        <w:adjustRightInd w:val="0"/>
        <w:snapToGrid w:val="0"/>
        <w:spacing w:before="120" w:beforeAutospacing="0" w:after="120" w:afterAutospacing="0"/>
        <w:ind w:left="709"/>
        <w:jc w:val="both"/>
        <w:rPr>
          <w:rFonts w:ascii="Times New Roman" w:hAnsi="Times New Roman" w:cs="Times New Roman"/>
          <w:i/>
          <w:kern w:val="22"/>
          <w:sz w:val="22"/>
          <w:szCs w:val="22"/>
          <w:lang w:val="en-GB"/>
        </w:rPr>
      </w:pPr>
      <w:r w:rsidRPr="001D0565">
        <w:rPr>
          <w:rFonts w:ascii="Times New Roman" w:hAnsi="Times New Roman" w:cs="Times New Roman"/>
          <w:i/>
          <w:kern w:val="22"/>
          <w:sz w:val="22"/>
          <w:szCs w:val="22"/>
          <w:lang w:val="en-GB"/>
        </w:rPr>
        <w:t>The Subsidiary Body on Implementation</w:t>
      </w:r>
    </w:p>
    <w:p w14:paraId="7B156134" w14:textId="5C266733" w:rsidR="002E1F35" w:rsidRPr="00456490" w:rsidRDefault="0066539C"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kern w:val="22"/>
          <w:szCs w:val="22"/>
        </w:rPr>
      </w:pPr>
      <w:r w:rsidRPr="00456490">
        <w:rPr>
          <w:i/>
          <w:iCs/>
          <w:kern w:val="22"/>
          <w:szCs w:val="22"/>
        </w:rPr>
        <w:t>Notes</w:t>
      </w:r>
      <w:r w:rsidRPr="00456490">
        <w:rPr>
          <w:kern w:val="22"/>
          <w:szCs w:val="22"/>
        </w:rPr>
        <w:t xml:space="preserve"> the analysis contained in </w:t>
      </w:r>
      <w:r w:rsidR="008B4533">
        <w:rPr>
          <w:kern w:val="22"/>
          <w:szCs w:val="22"/>
        </w:rPr>
        <w:t>the note by the Executive Secret</w:t>
      </w:r>
      <w:r w:rsidR="00EC5E40">
        <w:rPr>
          <w:kern w:val="22"/>
          <w:szCs w:val="22"/>
        </w:rPr>
        <w:t>a</w:t>
      </w:r>
      <w:r w:rsidR="008B4533">
        <w:rPr>
          <w:kern w:val="22"/>
          <w:szCs w:val="22"/>
        </w:rPr>
        <w:t>ry</w:t>
      </w:r>
      <w:r w:rsidR="00EC5E40">
        <w:rPr>
          <w:rStyle w:val="FootnoteReference"/>
          <w:kern w:val="22"/>
          <w:szCs w:val="22"/>
        </w:rPr>
        <w:footnoteReference w:id="15"/>
      </w:r>
      <w:r w:rsidR="00EC5E40">
        <w:rPr>
          <w:kern w:val="22"/>
          <w:szCs w:val="22"/>
        </w:rPr>
        <w:t xml:space="preserve"> </w:t>
      </w:r>
      <w:r w:rsidRPr="00456490">
        <w:rPr>
          <w:kern w:val="22"/>
          <w:szCs w:val="22"/>
        </w:rPr>
        <w:t xml:space="preserve">and its addendums and requests the </w:t>
      </w:r>
      <w:r w:rsidR="00275B5A" w:rsidRPr="00456490">
        <w:rPr>
          <w:kern w:val="22"/>
          <w:szCs w:val="22"/>
        </w:rPr>
        <w:t>C</w:t>
      </w:r>
      <w:r w:rsidRPr="00456490">
        <w:rPr>
          <w:kern w:val="22"/>
          <w:szCs w:val="22"/>
        </w:rPr>
        <w:t>o-</w:t>
      </w:r>
      <w:r w:rsidR="00275B5A" w:rsidRPr="00456490">
        <w:rPr>
          <w:kern w:val="22"/>
          <w:szCs w:val="22"/>
        </w:rPr>
        <w:t>C</w:t>
      </w:r>
      <w:r w:rsidRPr="00456490">
        <w:rPr>
          <w:kern w:val="22"/>
          <w:szCs w:val="22"/>
        </w:rPr>
        <w:t xml:space="preserve">hairs of the </w:t>
      </w:r>
      <w:r w:rsidR="00275B5A" w:rsidRPr="00456490">
        <w:rPr>
          <w:kern w:val="22"/>
          <w:szCs w:val="22"/>
        </w:rPr>
        <w:t>O</w:t>
      </w:r>
      <w:r w:rsidRPr="00456490">
        <w:rPr>
          <w:kern w:val="22"/>
          <w:szCs w:val="22"/>
        </w:rPr>
        <w:t xml:space="preserve">pen-ended </w:t>
      </w:r>
      <w:r w:rsidR="00275B5A" w:rsidRPr="00456490">
        <w:rPr>
          <w:kern w:val="22"/>
          <w:szCs w:val="22"/>
        </w:rPr>
        <w:t>W</w:t>
      </w:r>
      <w:r w:rsidRPr="00456490">
        <w:rPr>
          <w:kern w:val="22"/>
          <w:szCs w:val="22"/>
        </w:rPr>
        <w:t xml:space="preserve">orking </w:t>
      </w:r>
      <w:r w:rsidR="00275B5A" w:rsidRPr="00456490">
        <w:rPr>
          <w:kern w:val="22"/>
          <w:szCs w:val="22"/>
        </w:rPr>
        <w:t>G</w:t>
      </w:r>
      <w:r w:rsidRPr="00456490">
        <w:rPr>
          <w:kern w:val="22"/>
          <w:szCs w:val="22"/>
        </w:rPr>
        <w:t xml:space="preserve">roup on the </w:t>
      </w:r>
      <w:r w:rsidR="00275B5A" w:rsidRPr="00456490">
        <w:rPr>
          <w:kern w:val="22"/>
          <w:szCs w:val="22"/>
        </w:rPr>
        <w:t>P</w:t>
      </w:r>
      <w:r w:rsidRPr="00456490">
        <w:rPr>
          <w:kern w:val="22"/>
          <w:szCs w:val="22"/>
        </w:rPr>
        <w:t xml:space="preserve">ost-2020 </w:t>
      </w:r>
      <w:r w:rsidR="00275B5A" w:rsidRPr="00456490">
        <w:rPr>
          <w:kern w:val="22"/>
          <w:szCs w:val="22"/>
        </w:rPr>
        <w:t>G</w:t>
      </w:r>
      <w:r w:rsidRPr="00456490">
        <w:rPr>
          <w:kern w:val="22"/>
          <w:szCs w:val="22"/>
        </w:rPr>
        <w:t xml:space="preserve">lobal </w:t>
      </w:r>
      <w:r w:rsidR="00275B5A" w:rsidRPr="00456490">
        <w:rPr>
          <w:kern w:val="22"/>
          <w:szCs w:val="22"/>
        </w:rPr>
        <w:t>B</w:t>
      </w:r>
      <w:r w:rsidRPr="00456490">
        <w:rPr>
          <w:kern w:val="22"/>
          <w:szCs w:val="22"/>
        </w:rPr>
        <w:t xml:space="preserve">iodiversity </w:t>
      </w:r>
      <w:r w:rsidR="00275B5A" w:rsidRPr="00456490">
        <w:rPr>
          <w:kern w:val="22"/>
          <w:szCs w:val="22"/>
        </w:rPr>
        <w:t>F</w:t>
      </w:r>
      <w:r w:rsidRPr="00456490">
        <w:rPr>
          <w:kern w:val="22"/>
          <w:szCs w:val="22"/>
        </w:rPr>
        <w:t>ramework to take this information into account when preparing documentation related to the post-2020 global biodiversity framework</w:t>
      </w:r>
      <w:r w:rsidR="00275B5A" w:rsidRPr="00456490">
        <w:rPr>
          <w:kern w:val="22"/>
          <w:szCs w:val="22"/>
        </w:rPr>
        <w:t>;</w:t>
      </w:r>
    </w:p>
    <w:p w14:paraId="2EE99A78" w14:textId="3399E8FC" w:rsidR="00215210" w:rsidRPr="00456490" w:rsidRDefault="005615E6"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kern w:val="22"/>
          <w:szCs w:val="22"/>
        </w:rPr>
      </w:pPr>
      <w:r w:rsidRPr="00456490">
        <w:rPr>
          <w:i/>
          <w:iCs/>
          <w:kern w:val="22"/>
          <w:szCs w:val="22"/>
        </w:rPr>
        <w:t>Welcomes</w:t>
      </w:r>
      <w:r w:rsidRPr="00456490">
        <w:rPr>
          <w:kern w:val="22"/>
          <w:szCs w:val="22"/>
        </w:rPr>
        <w:t xml:space="preserve"> the efforts made by Parties to reflect the Aichi Biodiversity Targets in their national biodiversity strategies and action pla</w:t>
      </w:r>
      <w:r w:rsidR="002B35A6" w:rsidRPr="00456490">
        <w:rPr>
          <w:kern w:val="22"/>
          <w:szCs w:val="22"/>
        </w:rPr>
        <w:t xml:space="preserve">ns and </w:t>
      </w:r>
      <w:r w:rsidRPr="00456490">
        <w:rPr>
          <w:kern w:val="22"/>
          <w:szCs w:val="22"/>
        </w:rPr>
        <w:t xml:space="preserve">the efforts </w:t>
      </w:r>
      <w:r w:rsidR="00950676" w:rsidRPr="00870C43">
        <w:rPr>
          <w:kern w:val="22"/>
          <w:szCs w:val="22"/>
        </w:rPr>
        <w:t>made</w:t>
      </w:r>
      <w:r w:rsidR="00950676" w:rsidRPr="00456490">
        <w:rPr>
          <w:kern w:val="22"/>
          <w:szCs w:val="22"/>
        </w:rPr>
        <w:t xml:space="preserve"> </w:t>
      </w:r>
      <w:r w:rsidRPr="00456490">
        <w:rPr>
          <w:kern w:val="22"/>
          <w:szCs w:val="22"/>
        </w:rPr>
        <w:t xml:space="preserve">to reflect indigenous peoples and local communities, traditional knowledge, customary sustainable use and gender </w:t>
      </w:r>
      <w:r w:rsidR="001D2A77" w:rsidRPr="00456490">
        <w:rPr>
          <w:kern w:val="22"/>
          <w:szCs w:val="22"/>
        </w:rPr>
        <w:t xml:space="preserve">issues </w:t>
      </w:r>
      <w:r w:rsidR="00870C43" w:rsidRPr="00456490">
        <w:rPr>
          <w:kern w:val="22"/>
          <w:szCs w:val="22"/>
        </w:rPr>
        <w:t>there</w:t>
      </w:r>
      <w:r w:rsidR="002B35A6" w:rsidRPr="00456490">
        <w:rPr>
          <w:kern w:val="22"/>
          <w:szCs w:val="22"/>
        </w:rPr>
        <w:t>in</w:t>
      </w:r>
      <w:r w:rsidR="00215210" w:rsidRPr="00456490">
        <w:rPr>
          <w:kern w:val="22"/>
          <w:szCs w:val="22"/>
        </w:rPr>
        <w:t>;</w:t>
      </w:r>
    </w:p>
    <w:p w14:paraId="3402CED9" w14:textId="3848828A" w:rsidR="005615E6" w:rsidRPr="00456490" w:rsidRDefault="001D2A77"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kern w:val="22"/>
          <w:szCs w:val="22"/>
        </w:rPr>
      </w:pPr>
      <w:r w:rsidRPr="00456490">
        <w:rPr>
          <w:i/>
          <w:iCs/>
          <w:kern w:val="22"/>
          <w:szCs w:val="22"/>
        </w:rPr>
        <w:t>Also w</w:t>
      </w:r>
      <w:r w:rsidR="00215210" w:rsidRPr="00456490">
        <w:rPr>
          <w:i/>
          <w:iCs/>
          <w:kern w:val="22"/>
          <w:szCs w:val="22"/>
        </w:rPr>
        <w:t>elcomes</w:t>
      </w:r>
      <w:r w:rsidR="00215210" w:rsidRPr="00456490">
        <w:rPr>
          <w:kern w:val="22"/>
          <w:szCs w:val="22"/>
        </w:rPr>
        <w:t xml:space="preserve"> the efforts by Parties to </w:t>
      </w:r>
      <w:r w:rsidR="005615E6" w:rsidRPr="00456490">
        <w:rPr>
          <w:kern w:val="22"/>
          <w:szCs w:val="22"/>
        </w:rPr>
        <w:t>i</w:t>
      </w:r>
      <w:r w:rsidR="00215210" w:rsidRPr="00456490">
        <w:rPr>
          <w:kern w:val="22"/>
          <w:szCs w:val="22"/>
        </w:rPr>
        <w:t>mplement their national biodiversity strategies and action</w:t>
      </w:r>
      <w:r w:rsidRPr="00456490">
        <w:rPr>
          <w:kern w:val="22"/>
          <w:szCs w:val="22"/>
        </w:rPr>
        <w:t xml:space="preserve"> plans</w:t>
      </w:r>
      <w:r w:rsidR="00215210" w:rsidRPr="00456490">
        <w:rPr>
          <w:kern w:val="22"/>
          <w:szCs w:val="22"/>
        </w:rPr>
        <w:t xml:space="preserve"> since the adoption of the Strategic Plan for Biodiversity 2011-2020 and to better reflect indigenous peoples and local communities and gender issues in the national implementation of the Convention;</w:t>
      </w:r>
    </w:p>
    <w:p w14:paraId="441C3324" w14:textId="50C4BA07" w:rsidR="0086500A" w:rsidRPr="00456490" w:rsidRDefault="0086500A"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kern w:val="22"/>
          <w:szCs w:val="22"/>
        </w:rPr>
      </w:pPr>
      <w:r w:rsidRPr="00456490">
        <w:rPr>
          <w:i/>
          <w:iCs/>
          <w:kern w:val="22"/>
          <w:szCs w:val="22"/>
        </w:rPr>
        <w:t xml:space="preserve">Notes with concern </w:t>
      </w:r>
      <w:r w:rsidRPr="00456490">
        <w:rPr>
          <w:kern w:val="22"/>
          <w:szCs w:val="22"/>
        </w:rPr>
        <w:t xml:space="preserve">that the national targets and commitments set by Parties through their </w:t>
      </w:r>
      <w:r w:rsidR="00DD1475" w:rsidRPr="00456490">
        <w:rPr>
          <w:kern w:val="22"/>
          <w:szCs w:val="22"/>
        </w:rPr>
        <w:t>national biodiversity strategies and action plans</w:t>
      </w:r>
      <w:r w:rsidRPr="00456490">
        <w:rPr>
          <w:kern w:val="22"/>
          <w:szCs w:val="22"/>
        </w:rPr>
        <w:t xml:space="preserve"> are collectively not commensurate with the level of ambition set out in the Aichi Biodiversity Targets and that</w:t>
      </w:r>
      <w:r w:rsidR="0028134A">
        <w:rPr>
          <w:kern w:val="22"/>
          <w:szCs w:val="22"/>
        </w:rPr>
        <w:t>,</w:t>
      </w:r>
      <w:r w:rsidRPr="00456490">
        <w:rPr>
          <w:kern w:val="22"/>
          <w:szCs w:val="22"/>
        </w:rPr>
        <w:t xml:space="preserve"> while there has been encouraging progress towards</w:t>
      </w:r>
      <w:r w:rsidR="002B35A6" w:rsidRPr="00456490">
        <w:rPr>
          <w:kern w:val="22"/>
          <w:szCs w:val="22"/>
        </w:rPr>
        <w:t xml:space="preserve"> the Aichi Biodiversity Targets,</w:t>
      </w:r>
      <w:r w:rsidRPr="00456490">
        <w:rPr>
          <w:kern w:val="22"/>
          <w:szCs w:val="22"/>
        </w:rPr>
        <w:t xml:space="preserve"> progress on the whole has been limited</w:t>
      </w:r>
      <w:r w:rsidR="00DD3FDE" w:rsidRPr="00456490">
        <w:rPr>
          <w:kern w:val="22"/>
          <w:szCs w:val="22"/>
        </w:rPr>
        <w:t>;</w:t>
      </w:r>
    </w:p>
    <w:p w14:paraId="6E1AB18C" w14:textId="7024D5F7" w:rsidR="0086500A" w:rsidRPr="00456490" w:rsidRDefault="004B3141"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kern w:val="22"/>
          <w:szCs w:val="22"/>
        </w:rPr>
      </w:pPr>
      <w:r w:rsidRPr="00456490">
        <w:rPr>
          <w:i/>
          <w:iCs/>
          <w:kern w:val="22"/>
          <w:szCs w:val="22"/>
        </w:rPr>
        <w:t>Also n</w:t>
      </w:r>
      <w:r w:rsidR="0086500A" w:rsidRPr="00456490">
        <w:rPr>
          <w:i/>
          <w:iCs/>
          <w:kern w:val="22"/>
          <w:szCs w:val="22"/>
        </w:rPr>
        <w:t>otes with concern</w:t>
      </w:r>
      <w:r w:rsidR="0086500A" w:rsidRPr="00456490">
        <w:rPr>
          <w:kern w:val="22"/>
          <w:szCs w:val="22"/>
        </w:rPr>
        <w:t xml:space="preserve"> that the 2015-2020 Gender Plan of Action has not been fully implemented and that</w:t>
      </w:r>
      <w:r w:rsidR="00AA4376">
        <w:rPr>
          <w:kern w:val="22"/>
          <w:szCs w:val="22"/>
        </w:rPr>
        <w:t>,</w:t>
      </w:r>
      <w:r w:rsidR="0086500A" w:rsidRPr="00456490">
        <w:rPr>
          <w:kern w:val="22"/>
          <w:szCs w:val="22"/>
        </w:rPr>
        <w:t xml:space="preserve"> while awareness and understanding of biodiversity and gender issues has increased</w:t>
      </w:r>
      <w:r w:rsidRPr="00456490">
        <w:rPr>
          <w:kern w:val="22"/>
          <w:szCs w:val="22"/>
        </w:rPr>
        <w:t>,</w:t>
      </w:r>
      <w:r w:rsidR="00DD3FDE" w:rsidRPr="00456490">
        <w:rPr>
          <w:kern w:val="22"/>
          <w:szCs w:val="22"/>
        </w:rPr>
        <w:t xml:space="preserve"> gender is not adequately reflected in the implementation of the Convention</w:t>
      </w:r>
      <w:r w:rsidR="00BB1952" w:rsidRPr="00456490">
        <w:rPr>
          <w:kern w:val="22"/>
          <w:szCs w:val="22"/>
        </w:rPr>
        <w:t xml:space="preserve"> </w:t>
      </w:r>
      <w:r w:rsidR="00AA4376">
        <w:rPr>
          <w:kern w:val="22"/>
          <w:szCs w:val="22"/>
        </w:rPr>
        <w:t>or</w:t>
      </w:r>
      <w:r w:rsidR="00AA4376" w:rsidRPr="00456490">
        <w:rPr>
          <w:kern w:val="22"/>
          <w:szCs w:val="22"/>
        </w:rPr>
        <w:t xml:space="preserve"> </w:t>
      </w:r>
      <w:r w:rsidR="00BB1952" w:rsidRPr="00456490">
        <w:rPr>
          <w:kern w:val="22"/>
          <w:szCs w:val="22"/>
        </w:rPr>
        <w:t>in national biodiversity strategies and action plans</w:t>
      </w:r>
      <w:r w:rsidR="002B35A6" w:rsidRPr="00456490">
        <w:rPr>
          <w:kern w:val="22"/>
          <w:szCs w:val="22"/>
        </w:rPr>
        <w:t>;</w:t>
      </w:r>
    </w:p>
    <w:p w14:paraId="3ED6400B" w14:textId="018AF464" w:rsidR="009F452B" w:rsidRPr="00456490" w:rsidRDefault="004B3141" w:rsidP="00456490">
      <w:pPr>
        <w:pStyle w:val="Para1"/>
        <w:numPr>
          <w:ilvl w:val="0"/>
          <w:numId w:val="29"/>
        </w:numPr>
        <w:suppressLineNumbers/>
        <w:tabs>
          <w:tab w:val="clear" w:pos="360"/>
        </w:tabs>
        <w:suppressAutoHyphens/>
        <w:kinsoku w:val="0"/>
        <w:overflowPunct w:val="0"/>
        <w:autoSpaceDE w:val="0"/>
        <w:autoSpaceDN w:val="0"/>
        <w:adjustRightInd w:val="0"/>
        <w:snapToGrid w:val="0"/>
        <w:ind w:firstLine="709"/>
        <w:rPr>
          <w:rFonts w:eastAsia="Malgun Gothic"/>
          <w:kern w:val="22"/>
          <w:szCs w:val="22"/>
        </w:rPr>
      </w:pPr>
      <w:r w:rsidRPr="00456490">
        <w:rPr>
          <w:i/>
          <w:iCs/>
          <w:kern w:val="22"/>
          <w:szCs w:val="22"/>
        </w:rPr>
        <w:t>Further n</w:t>
      </w:r>
      <w:r w:rsidR="00DD3FDE" w:rsidRPr="00456490">
        <w:rPr>
          <w:i/>
          <w:iCs/>
          <w:kern w:val="22"/>
          <w:szCs w:val="22"/>
        </w:rPr>
        <w:t>otes with concern</w:t>
      </w:r>
      <w:r w:rsidR="00BB1952" w:rsidRPr="00456490">
        <w:rPr>
          <w:kern w:val="22"/>
          <w:szCs w:val="22"/>
        </w:rPr>
        <w:t xml:space="preserve"> that, despite encouraging progress, indigenous peoples and local communities and traditional knowledge and customary sustainable use are not adequately reflected in the implementation of the Convention </w:t>
      </w:r>
      <w:r w:rsidR="00732FC0">
        <w:rPr>
          <w:kern w:val="22"/>
          <w:szCs w:val="22"/>
        </w:rPr>
        <w:t>or</w:t>
      </w:r>
      <w:r w:rsidR="00732FC0" w:rsidRPr="00456490">
        <w:rPr>
          <w:kern w:val="22"/>
          <w:szCs w:val="22"/>
        </w:rPr>
        <w:t xml:space="preserve"> </w:t>
      </w:r>
      <w:r w:rsidR="00BB1952" w:rsidRPr="00456490">
        <w:rPr>
          <w:kern w:val="22"/>
          <w:szCs w:val="22"/>
        </w:rPr>
        <w:t>in national biodiversity strategies and action plans</w:t>
      </w:r>
      <w:r w:rsidR="007056E4" w:rsidRPr="00456490">
        <w:rPr>
          <w:kern w:val="22"/>
          <w:szCs w:val="22"/>
        </w:rPr>
        <w:t>.</w:t>
      </w:r>
    </w:p>
    <w:p w14:paraId="72C6D97A" w14:textId="4BF61CDD" w:rsidR="003D38C0" w:rsidRPr="00456490" w:rsidRDefault="003D38C0" w:rsidP="00456490">
      <w:pPr>
        <w:pStyle w:val="Para1"/>
        <w:numPr>
          <w:ilvl w:val="0"/>
          <w:numId w:val="47"/>
        </w:numPr>
        <w:suppressLineNumbers/>
        <w:tabs>
          <w:tab w:val="clear" w:pos="360"/>
        </w:tabs>
        <w:suppressAutoHyphens/>
        <w:kinsoku w:val="0"/>
        <w:overflowPunct w:val="0"/>
        <w:autoSpaceDE w:val="0"/>
        <w:autoSpaceDN w:val="0"/>
        <w:adjustRightInd w:val="0"/>
        <w:snapToGrid w:val="0"/>
        <w:rPr>
          <w:kern w:val="22"/>
          <w:szCs w:val="22"/>
        </w:rPr>
      </w:pPr>
      <w:r w:rsidRPr="00456490">
        <w:rPr>
          <w:kern w:val="22"/>
          <w:szCs w:val="22"/>
        </w:rPr>
        <w:t>The Subsidiary Body on Implementation may wish to recommend that the Conference of the Parties at its f</w:t>
      </w:r>
      <w:r w:rsidR="0037498D" w:rsidRPr="00456490">
        <w:rPr>
          <w:kern w:val="22"/>
          <w:szCs w:val="22"/>
        </w:rPr>
        <w:t>ifteen</w:t>
      </w:r>
      <w:r w:rsidRPr="00456490">
        <w:rPr>
          <w:kern w:val="22"/>
          <w:szCs w:val="22"/>
        </w:rPr>
        <w:t>th meeting adopt a decision along the following lines:</w:t>
      </w:r>
    </w:p>
    <w:p w14:paraId="06C4A59A" w14:textId="77777777" w:rsidR="00727A3F" w:rsidRPr="001D0565" w:rsidRDefault="00727A3F" w:rsidP="0045649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1D0565">
        <w:rPr>
          <w:rFonts w:ascii="Times New Roman" w:hAnsi="Times New Roman" w:cs="Times New Roman"/>
          <w:i/>
          <w:kern w:val="22"/>
          <w:sz w:val="22"/>
          <w:szCs w:val="22"/>
          <w:lang w:val="en-GB"/>
        </w:rPr>
        <w:t>The Conference of the Parties</w:t>
      </w:r>
    </w:p>
    <w:p w14:paraId="519216A1" w14:textId="77777777" w:rsidR="009E4766" w:rsidRPr="001D0565" w:rsidRDefault="001622FF">
      <w:pPr>
        <w:pStyle w:val="NormalWeb"/>
        <w:suppressLineNumbers/>
        <w:tabs>
          <w:tab w:val="left" w:pos="360"/>
        </w:tabs>
        <w:suppressAutoHyphens/>
        <w:kinsoku w:val="0"/>
        <w:overflowPunct w:val="0"/>
        <w:autoSpaceDE w:val="0"/>
        <w:autoSpaceDN w:val="0"/>
        <w:adjustRightInd w:val="0"/>
        <w:snapToGrid w:val="0"/>
        <w:spacing w:before="120" w:beforeAutospacing="0" w:after="120" w:afterAutospacing="0"/>
        <w:jc w:val="center"/>
        <w:rPr>
          <w:rFonts w:ascii="Times New Roman" w:hAnsi="Times New Roman" w:cs="Times New Roman"/>
          <w:b/>
          <w:kern w:val="22"/>
          <w:sz w:val="22"/>
          <w:szCs w:val="22"/>
          <w:lang w:val="en-GB"/>
        </w:rPr>
      </w:pPr>
      <w:r w:rsidRPr="001D0565">
        <w:rPr>
          <w:rFonts w:ascii="Times New Roman" w:hAnsi="Times New Roman" w:cs="Times New Roman"/>
          <w:b/>
          <w:kern w:val="22"/>
          <w:sz w:val="22"/>
          <w:szCs w:val="22"/>
          <w:lang w:val="en-GB"/>
        </w:rPr>
        <w:t>A.</w:t>
      </w:r>
      <w:r w:rsidRPr="001D0565">
        <w:rPr>
          <w:rFonts w:ascii="Times New Roman" w:hAnsi="Times New Roman" w:cs="Times New Roman"/>
          <w:b/>
          <w:kern w:val="22"/>
          <w:sz w:val="22"/>
          <w:szCs w:val="22"/>
          <w:lang w:val="en-GB"/>
        </w:rPr>
        <w:tab/>
      </w:r>
      <w:r w:rsidR="009E4766" w:rsidRPr="001D0565">
        <w:rPr>
          <w:rFonts w:ascii="Times New Roman" w:hAnsi="Times New Roman" w:cs="Times New Roman"/>
          <w:b/>
          <w:kern w:val="22"/>
          <w:sz w:val="22"/>
          <w:szCs w:val="22"/>
          <w:lang w:val="en-GB"/>
        </w:rPr>
        <w:t>Review of national biodiversity strategies and action plans and national reports</w:t>
      </w:r>
    </w:p>
    <w:p w14:paraId="5A2F9CA6" w14:textId="4ACE6231" w:rsidR="002B35A6" w:rsidRPr="00456490" w:rsidRDefault="009E4766"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i/>
          <w:iCs/>
          <w:kern w:val="22"/>
          <w:szCs w:val="22"/>
        </w:rPr>
      </w:pPr>
      <w:r w:rsidRPr="00456490">
        <w:rPr>
          <w:i/>
          <w:iCs/>
          <w:kern w:val="22"/>
          <w:szCs w:val="22"/>
        </w:rPr>
        <w:t>Takes not</w:t>
      </w:r>
      <w:r w:rsidR="006E5292" w:rsidRPr="00456490">
        <w:rPr>
          <w:i/>
          <w:iCs/>
          <w:kern w:val="22"/>
          <w:szCs w:val="22"/>
        </w:rPr>
        <w:t>e</w:t>
      </w:r>
      <w:r w:rsidRPr="00456490">
        <w:rPr>
          <w:i/>
          <w:iCs/>
          <w:kern w:val="22"/>
          <w:szCs w:val="22"/>
        </w:rPr>
        <w:t xml:space="preserve"> </w:t>
      </w:r>
      <w:r w:rsidRPr="00456490">
        <w:rPr>
          <w:kern w:val="22"/>
          <w:szCs w:val="22"/>
        </w:rPr>
        <w:t xml:space="preserve">of the updated analysis of national biodiversity strategies and action plans and </w:t>
      </w:r>
      <w:r w:rsidR="00CC3DFB" w:rsidRPr="00456490">
        <w:rPr>
          <w:kern w:val="22"/>
          <w:szCs w:val="22"/>
        </w:rPr>
        <w:t xml:space="preserve">of the </w:t>
      </w:r>
      <w:r w:rsidRPr="00456490">
        <w:rPr>
          <w:kern w:val="22"/>
          <w:szCs w:val="22"/>
        </w:rPr>
        <w:t>national reports</w:t>
      </w:r>
      <w:r w:rsidR="00E0383B" w:rsidRPr="00456490">
        <w:rPr>
          <w:kern w:val="22"/>
          <w:szCs w:val="22"/>
        </w:rPr>
        <w:t>;</w:t>
      </w:r>
    </w:p>
    <w:p w14:paraId="34066A33" w14:textId="2734E617" w:rsidR="002B35A6" w:rsidRPr="00456490" w:rsidRDefault="002B35A6"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i/>
          <w:iCs/>
          <w:kern w:val="22"/>
          <w:szCs w:val="22"/>
        </w:rPr>
      </w:pPr>
      <w:r w:rsidRPr="00456490">
        <w:rPr>
          <w:i/>
          <w:iCs/>
          <w:kern w:val="22"/>
          <w:szCs w:val="22"/>
        </w:rPr>
        <w:t>Welcomes</w:t>
      </w:r>
      <w:r w:rsidRPr="00456490">
        <w:rPr>
          <w:kern w:val="22"/>
          <w:szCs w:val="22"/>
        </w:rPr>
        <w:t xml:space="preserve"> the efforts made by Parties to reflect the Aichi Biodiversity Targets in their national biodiversity strategies and action plans and the efforts </w:t>
      </w:r>
      <w:r w:rsidR="009902DA">
        <w:rPr>
          <w:kern w:val="22"/>
          <w:szCs w:val="22"/>
        </w:rPr>
        <w:t>made</w:t>
      </w:r>
      <w:r w:rsidR="009902DA" w:rsidRPr="00456490">
        <w:rPr>
          <w:kern w:val="22"/>
          <w:szCs w:val="22"/>
        </w:rPr>
        <w:t xml:space="preserve"> </w:t>
      </w:r>
      <w:r w:rsidRPr="00456490">
        <w:rPr>
          <w:kern w:val="22"/>
          <w:szCs w:val="22"/>
        </w:rPr>
        <w:t xml:space="preserve">to reflect indigenous peoples and local communities, traditional knowledge, customary sustainable use and gender </w:t>
      </w:r>
      <w:r w:rsidR="0055304B" w:rsidRPr="00456490">
        <w:rPr>
          <w:kern w:val="22"/>
          <w:szCs w:val="22"/>
        </w:rPr>
        <w:t xml:space="preserve">issues </w:t>
      </w:r>
      <w:r w:rsidR="009902DA">
        <w:rPr>
          <w:kern w:val="22"/>
          <w:szCs w:val="22"/>
        </w:rPr>
        <w:t>there</w:t>
      </w:r>
      <w:r w:rsidRPr="00456490">
        <w:rPr>
          <w:kern w:val="22"/>
          <w:szCs w:val="22"/>
        </w:rPr>
        <w:t>in;</w:t>
      </w:r>
    </w:p>
    <w:p w14:paraId="058A8DCB" w14:textId="47F56BFF" w:rsidR="002B35A6" w:rsidRPr="00456490" w:rsidRDefault="00383181"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kern w:val="22"/>
          <w:szCs w:val="22"/>
        </w:rPr>
      </w:pPr>
      <w:r w:rsidRPr="00456490">
        <w:rPr>
          <w:i/>
          <w:iCs/>
          <w:kern w:val="22"/>
          <w:szCs w:val="22"/>
        </w:rPr>
        <w:t>Also w</w:t>
      </w:r>
      <w:r w:rsidR="002B35A6" w:rsidRPr="00456490">
        <w:rPr>
          <w:i/>
          <w:iCs/>
          <w:kern w:val="22"/>
          <w:szCs w:val="22"/>
        </w:rPr>
        <w:t>elcomes</w:t>
      </w:r>
      <w:r w:rsidR="002B35A6" w:rsidRPr="00456490">
        <w:rPr>
          <w:kern w:val="22"/>
          <w:szCs w:val="22"/>
        </w:rPr>
        <w:t xml:space="preserve"> the efforts by Parties to implement their national biodiversity strategies and action</w:t>
      </w:r>
      <w:r w:rsidR="0055304B" w:rsidRPr="00456490">
        <w:rPr>
          <w:kern w:val="22"/>
          <w:szCs w:val="22"/>
        </w:rPr>
        <w:t xml:space="preserve"> plans</w:t>
      </w:r>
      <w:r w:rsidR="002B35A6" w:rsidRPr="00456490">
        <w:rPr>
          <w:kern w:val="22"/>
          <w:szCs w:val="22"/>
        </w:rPr>
        <w:t xml:space="preserve"> since the adoption of the Strategic Plan for Biodiversity 2011-2020 and to better reflect indigenous peoples and local communities and gender issues in the national implementation of the Convention;</w:t>
      </w:r>
    </w:p>
    <w:p w14:paraId="48180907" w14:textId="2D3CEFC7" w:rsidR="002B35A6" w:rsidRPr="00456490" w:rsidRDefault="002B35A6"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kern w:val="22"/>
          <w:szCs w:val="22"/>
        </w:rPr>
      </w:pPr>
      <w:r w:rsidRPr="00456490">
        <w:rPr>
          <w:i/>
          <w:iCs/>
          <w:kern w:val="22"/>
          <w:szCs w:val="22"/>
        </w:rPr>
        <w:lastRenderedPageBreak/>
        <w:t xml:space="preserve">Notes with concern </w:t>
      </w:r>
      <w:r w:rsidRPr="00456490">
        <w:rPr>
          <w:kern w:val="22"/>
          <w:szCs w:val="22"/>
        </w:rPr>
        <w:t xml:space="preserve">that the national targets and commitments set by Parties through their </w:t>
      </w:r>
      <w:r w:rsidR="00383181" w:rsidRPr="00456490">
        <w:rPr>
          <w:kern w:val="22"/>
          <w:szCs w:val="22"/>
        </w:rPr>
        <w:t>national biodiversity strategies and action plans</w:t>
      </w:r>
      <w:r w:rsidRPr="00456490">
        <w:rPr>
          <w:kern w:val="22"/>
          <w:szCs w:val="22"/>
        </w:rPr>
        <w:t xml:space="preserve"> are collectively not commensurate with the level of ambition set out in the Aichi Biodiversity Targets and that</w:t>
      </w:r>
      <w:r w:rsidR="008B13CE">
        <w:rPr>
          <w:kern w:val="22"/>
          <w:szCs w:val="22"/>
        </w:rPr>
        <w:t>,</w:t>
      </w:r>
      <w:r w:rsidRPr="00456490">
        <w:rPr>
          <w:kern w:val="22"/>
          <w:szCs w:val="22"/>
        </w:rPr>
        <w:t xml:space="preserve"> while there has been encouraging progress towards the Aichi Biodiversity Targets, progress on the whole has been limited;</w:t>
      </w:r>
    </w:p>
    <w:p w14:paraId="3159F901" w14:textId="1E994D3A" w:rsidR="002B35A6" w:rsidRPr="00456490" w:rsidRDefault="00383181"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kern w:val="22"/>
          <w:szCs w:val="22"/>
        </w:rPr>
      </w:pPr>
      <w:r w:rsidRPr="00456490">
        <w:rPr>
          <w:i/>
          <w:iCs/>
          <w:kern w:val="22"/>
          <w:szCs w:val="22"/>
        </w:rPr>
        <w:t>Also n</w:t>
      </w:r>
      <w:r w:rsidR="002B35A6" w:rsidRPr="00456490">
        <w:rPr>
          <w:i/>
          <w:iCs/>
          <w:kern w:val="22"/>
          <w:szCs w:val="22"/>
        </w:rPr>
        <w:t>otes with concern</w:t>
      </w:r>
      <w:r w:rsidR="002B35A6" w:rsidRPr="00456490">
        <w:rPr>
          <w:kern w:val="22"/>
          <w:szCs w:val="22"/>
        </w:rPr>
        <w:t xml:space="preserve"> that the 2015-2020 Gender Plan of Action has not been fully implemented and that</w:t>
      </w:r>
      <w:r w:rsidR="001C4102">
        <w:rPr>
          <w:kern w:val="22"/>
          <w:szCs w:val="22"/>
        </w:rPr>
        <w:t>,</w:t>
      </w:r>
      <w:r w:rsidR="002B35A6" w:rsidRPr="00456490">
        <w:rPr>
          <w:kern w:val="22"/>
          <w:szCs w:val="22"/>
        </w:rPr>
        <w:t xml:space="preserve"> while awareness and understanding of biodiversity and gender issues has increased</w:t>
      </w:r>
      <w:r w:rsidR="00D92A52" w:rsidRPr="00456490">
        <w:rPr>
          <w:kern w:val="22"/>
          <w:szCs w:val="22"/>
        </w:rPr>
        <w:t>,</w:t>
      </w:r>
      <w:r w:rsidR="002B35A6" w:rsidRPr="00456490">
        <w:rPr>
          <w:kern w:val="22"/>
          <w:szCs w:val="22"/>
        </w:rPr>
        <w:t xml:space="preserve"> gender is not adequately reflected in the implementation of the Convention </w:t>
      </w:r>
      <w:r w:rsidR="001C4102">
        <w:rPr>
          <w:kern w:val="22"/>
          <w:szCs w:val="22"/>
        </w:rPr>
        <w:t>or</w:t>
      </w:r>
      <w:r w:rsidR="001C4102" w:rsidRPr="00456490">
        <w:rPr>
          <w:kern w:val="22"/>
          <w:szCs w:val="22"/>
        </w:rPr>
        <w:t xml:space="preserve"> </w:t>
      </w:r>
      <w:r w:rsidR="002B35A6" w:rsidRPr="00456490">
        <w:rPr>
          <w:kern w:val="22"/>
          <w:szCs w:val="22"/>
        </w:rPr>
        <w:t>in national biodiversity strategies and action plans;</w:t>
      </w:r>
    </w:p>
    <w:p w14:paraId="52B7AA93" w14:textId="5F284CA6" w:rsidR="002B35A6" w:rsidRPr="00456490" w:rsidRDefault="00D92A52" w:rsidP="00456490">
      <w:pPr>
        <w:pStyle w:val="Para1"/>
        <w:numPr>
          <w:ilvl w:val="0"/>
          <w:numId w:val="40"/>
        </w:numPr>
        <w:suppressLineNumbers/>
        <w:tabs>
          <w:tab w:val="clear" w:pos="360"/>
        </w:tabs>
        <w:suppressAutoHyphens/>
        <w:kinsoku w:val="0"/>
        <w:overflowPunct w:val="0"/>
        <w:autoSpaceDE w:val="0"/>
        <w:autoSpaceDN w:val="0"/>
        <w:adjustRightInd w:val="0"/>
        <w:snapToGrid w:val="0"/>
        <w:ind w:firstLine="720"/>
        <w:rPr>
          <w:kern w:val="22"/>
          <w:szCs w:val="22"/>
        </w:rPr>
      </w:pPr>
      <w:r w:rsidRPr="00456490">
        <w:rPr>
          <w:i/>
          <w:iCs/>
          <w:kern w:val="22"/>
          <w:szCs w:val="22"/>
        </w:rPr>
        <w:t>Further n</w:t>
      </w:r>
      <w:r w:rsidR="002B35A6" w:rsidRPr="00456490">
        <w:rPr>
          <w:i/>
          <w:iCs/>
          <w:kern w:val="22"/>
          <w:szCs w:val="22"/>
        </w:rPr>
        <w:t>otes with concern</w:t>
      </w:r>
      <w:r w:rsidR="002B35A6" w:rsidRPr="00456490">
        <w:rPr>
          <w:kern w:val="22"/>
          <w:szCs w:val="22"/>
        </w:rPr>
        <w:t xml:space="preserve"> that, despite encouraging progress, indigenous peoples and local communities and traditional knowledge and customary sustainable use are not adequately reflected in the implementation of the Convention </w:t>
      </w:r>
      <w:r w:rsidR="002226A5">
        <w:rPr>
          <w:kern w:val="22"/>
          <w:szCs w:val="22"/>
        </w:rPr>
        <w:t>or</w:t>
      </w:r>
      <w:r w:rsidR="002226A5" w:rsidRPr="00456490">
        <w:rPr>
          <w:kern w:val="22"/>
          <w:szCs w:val="22"/>
        </w:rPr>
        <w:t xml:space="preserve"> </w:t>
      </w:r>
      <w:r w:rsidR="002B35A6" w:rsidRPr="00456490">
        <w:rPr>
          <w:kern w:val="22"/>
          <w:szCs w:val="22"/>
        </w:rPr>
        <w:t>in national biodiversity strategies and action plans</w:t>
      </w:r>
      <w:r w:rsidR="00FE5D50" w:rsidRPr="00456490">
        <w:rPr>
          <w:kern w:val="22"/>
          <w:szCs w:val="22"/>
        </w:rPr>
        <w:t>.</w:t>
      </w:r>
    </w:p>
    <w:bookmarkEnd w:id="2"/>
    <w:p w14:paraId="13DBCD08" w14:textId="5E4CDC70" w:rsidR="00B3369F" w:rsidRPr="00BB02E4" w:rsidRDefault="009A720E" w:rsidP="00456490">
      <w:pPr>
        <w:suppressLineNumbers/>
        <w:suppressAutoHyphens/>
        <w:kinsoku w:val="0"/>
        <w:overflowPunct w:val="0"/>
        <w:autoSpaceDE w:val="0"/>
        <w:autoSpaceDN w:val="0"/>
        <w:adjustRightInd w:val="0"/>
        <w:snapToGrid w:val="0"/>
        <w:spacing w:before="40" w:after="40"/>
        <w:jc w:val="center"/>
        <w:rPr>
          <w:kern w:val="22"/>
          <w:szCs w:val="22"/>
        </w:rPr>
      </w:pPr>
      <w:r w:rsidRPr="00BB02E4">
        <w:rPr>
          <w:kern w:val="22"/>
          <w:szCs w:val="22"/>
        </w:rPr>
        <w:t>________</w:t>
      </w:r>
      <w:r w:rsidR="00400EC7" w:rsidRPr="00456490">
        <w:rPr>
          <w:kern w:val="22"/>
          <w:szCs w:val="22"/>
        </w:rPr>
        <w:t>__</w:t>
      </w:r>
    </w:p>
    <w:sectPr w:rsidR="00B3369F" w:rsidRPr="00BB02E4" w:rsidSect="007F2356">
      <w:headerReference w:type="even" r:id="rId24"/>
      <w:headerReference w:type="default" r:id="rId25"/>
      <w:footerReference w:type="default" r:id="rId26"/>
      <w:type w:val="continuous"/>
      <w:pgSz w:w="12240" w:h="15840"/>
      <w:pgMar w:top="567" w:right="1389" w:bottom="1134" w:left="1389"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DD98" w16cex:dateUtc="2020-06-12T14:55:00Z"/>
  <w16cex:commentExtensible w16cex:durableId="228DDDD6" w16cex:dateUtc="2020-06-12T14:56:00Z"/>
  <w16cex:commentExtensible w16cex:durableId="228DDE14" w16cex:dateUtc="2020-06-12T14:57:00Z"/>
  <w16cex:commentExtensible w16cex:durableId="228DDE3D" w16cex:dateUtc="2020-06-12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E1B6D" w14:textId="77777777" w:rsidR="00B62866" w:rsidRDefault="00B62866" w:rsidP="00CF1848">
      <w:r>
        <w:separator/>
      </w:r>
    </w:p>
  </w:endnote>
  <w:endnote w:type="continuationSeparator" w:id="0">
    <w:p w14:paraId="0CF91953" w14:textId="77777777" w:rsidR="00B62866" w:rsidRDefault="00B62866" w:rsidP="00CF1848">
      <w:r>
        <w:continuationSeparator/>
      </w:r>
    </w:p>
  </w:endnote>
  <w:endnote w:type="continuationNotice" w:id="1">
    <w:p w14:paraId="6AEA1C86" w14:textId="77777777" w:rsidR="00B62866" w:rsidRDefault="00B62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DB20" w14:textId="77777777" w:rsidR="003E67E1" w:rsidRDefault="003E67E1" w:rsidP="00456490">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044F9" w14:textId="77777777" w:rsidR="00B62866" w:rsidRDefault="00B62866" w:rsidP="00CF1848">
      <w:r>
        <w:separator/>
      </w:r>
    </w:p>
  </w:footnote>
  <w:footnote w:type="continuationSeparator" w:id="0">
    <w:p w14:paraId="0D70FC56" w14:textId="77777777" w:rsidR="00B62866" w:rsidRDefault="00B62866" w:rsidP="00CF1848">
      <w:r>
        <w:continuationSeparator/>
      </w:r>
    </w:p>
  </w:footnote>
  <w:footnote w:type="continuationNotice" w:id="1">
    <w:p w14:paraId="3B995D18" w14:textId="77777777" w:rsidR="00B62866" w:rsidRDefault="00B62866"/>
  </w:footnote>
  <w:footnote w:id="2">
    <w:p w14:paraId="452EB8EB" w14:textId="0586326E" w:rsidR="008349AF" w:rsidRPr="008A4514" w:rsidRDefault="008349AF" w:rsidP="008A4514">
      <w:pPr>
        <w:pStyle w:val="Default"/>
        <w:keepLines/>
        <w:suppressLineNumbers/>
        <w:suppressAutoHyphens/>
        <w:kinsoku w:val="0"/>
        <w:overflowPunct w:val="0"/>
        <w:snapToGrid w:val="0"/>
        <w:spacing w:after="60"/>
        <w:rPr>
          <w:snapToGrid w:val="0"/>
          <w:kern w:val="18"/>
          <w:sz w:val="18"/>
          <w:szCs w:val="18"/>
          <w:lang w:val="en-GB"/>
        </w:rPr>
      </w:pPr>
      <w:r w:rsidRPr="008A4514">
        <w:rPr>
          <w:rStyle w:val="FootnoteReference"/>
          <w:snapToGrid w:val="0"/>
          <w:kern w:val="18"/>
          <w:sz w:val="18"/>
          <w:szCs w:val="18"/>
          <w:lang w:val="en-GB"/>
        </w:rPr>
        <w:t>*</w:t>
      </w:r>
      <w:r w:rsidRPr="008A4514">
        <w:rPr>
          <w:snapToGrid w:val="0"/>
          <w:kern w:val="18"/>
          <w:sz w:val="18"/>
          <w:szCs w:val="18"/>
          <w:lang w:val="en-GB"/>
        </w:rPr>
        <w:t xml:space="preserve"> </w:t>
      </w:r>
      <w:hyperlink r:id="rId1" w:history="1">
        <w:r w:rsidR="00E860C5" w:rsidRPr="008A4514">
          <w:rPr>
            <w:rStyle w:val="Hyperlink"/>
            <w:snapToGrid w:val="0"/>
            <w:kern w:val="18"/>
            <w:szCs w:val="18"/>
            <w:lang w:val="en-GB"/>
          </w:rPr>
          <w:t>CBD/SBI/3/1</w:t>
        </w:r>
      </w:hyperlink>
      <w:r w:rsidRPr="008A4514">
        <w:rPr>
          <w:snapToGrid w:val="0"/>
          <w:kern w:val="18"/>
          <w:sz w:val="18"/>
          <w:szCs w:val="18"/>
          <w:lang w:val="en-GB"/>
        </w:rPr>
        <w:t>.</w:t>
      </w:r>
    </w:p>
  </w:footnote>
  <w:footnote w:id="3">
    <w:p w14:paraId="5949DC64" w14:textId="3321DC04"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For example in decision </w:t>
      </w:r>
      <w:hyperlink r:id="rId2" w:history="1">
        <w:r w:rsidRPr="00456490">
          <w:rPr>
            <w:rStyle w:val="Hyperlink"/>
            <w:kern w:val="18"/>
            <w:szCs w:val="18"/>
          </w:rPr>
          <w:t>XII/31</w:t>
        </w:r>
      </w:hyperlink>
      <w:r w:rsidRPr="00456490">
        <w:rPr>
          <w:kern w:val="18"/>
          <w:szCs w:val="18"/>
        </w:rPr>
        <w:t>, the Conference of the Parties reaffirmed that it should review progress in the implementation of the Strategic Plan for Biodiversity 2011-2020 at each of its meetings to 2020, and that the development of further guidance for policy development and to support implementation should be based on this review as well as on information available in national reports and on other information that may become available, including through scientific assessments. Further, according to the list of issues contained in the annex to this decision, the Conference of the Parties at its thirteenth meeting was to undertake, among other things, an interim review of progress towards the implementation of the Strategic Plan for Biodiversity 2011-2020 and the achievement of the Aichi Biodiversity Targets, and related means of implementation.</w:t>
      </w:r>
    </w:p>
  </w:footnote>
  <w:footnote w:id="4">
    <w:p w14:paraId="000B46F9" w14:textId="77777777"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See decisions XI/3, XII/1, XIII/1 and 14/1.</w:t>
      </w:r>
    </w:p>
    <w:p w14:paraId="4BAE5BC1" w14:textId="77777777" w:rsidR="008349AF" w:rsidRPr="00456490" w:rsidRDefault="008349AF" w:rsidP="00456490">
      <w:pPr>
        <w:pStyle w:val="FootnoteText"/>
        <w:suppressLineNumbers/>
        <w:suppressAutoHyphens/>
        <w:ind w:firstLine="0"/>
        <w:jc w:val="left"/>
        <w:rPr>
          <w:kern w:val="18"/>
          <w:szCs w:val="18"/>
        </w:rPr>
      </w:pPr>
    </w:p>
  </w:footnote>
  <w:footnote w:id="5">
    <w:p w14:paraId="3967F763" w14:textId="60B31E1E" w:rsidR="008349AF" w:rsidRPr="008A4514" w:rsidRDefault="008349A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8A4514">
        <w:rPr>
          <w:rStyle w:val="FootnoteReference"/>
          <w:snapToGrid w:val="0"/>
          <w:kern w:val="18"/>
          <w:sz w:val="18"/>
          <w:szCs w:val="18"/>
        </w:rPr>
        <w:footnoteRef/>
      </w:r>
      <w:r w:rsidRPr="008A4514">
        <w:rPr>
          <w:snapToGrid w:val="0"/>
          <w:kern w:val="18"/>
          <w:szCs w:val="18"/>
        </w:rPr>
        <w:t xml:space="preserve"> The subsequent analysis is based on the 167 NBSAPs that were submitted in one of the official languages of the United Nations.</w:t>
      </w:r>
    </w:p>
  </w:footnote>
  <w:footnote w:id="6">
    <w:p w14:paraId="648A6748" w14:textId="77777777" w:rsidR="008349AF" w:rsidRPr="008A4514" w:rsidRDefault="008349A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8A4514">
        <w:rPr>
          <w:rStyle w:val="FootnoteReference"/>
          <w:snapToGrid w:val="0"/>
          <w:kern w:val="18"/>
          <w:sz w:val="18"/>
          <w:szCs w:val="18"/>
        </w:rPr>
        <w:footnoteRef/>
      </w:r>
      <w:r w:rsidRPr="008A4514">
        <w:rPr>
          <w:snapToGrid w:val="0"/>
          <w:kern w:val="18"/>
          <w:szCs w:val="18"/>
        </w:rPr>
        <w:t xml:space="preserve"> </w:t>
      </w:r>
      <w:hyperlink r:id="rId3" w:history="1">
        <w:r w:rsidRPr="00456490">
          <w:rPr>
            <w:rStyle w:val="Hyperlink"/>
            <w:snapToGrid w:val="0"/>
            <w:kern w:val="18"/>
            <w:szCs w:val="18"/>
          </w:rPr>
          <w:t>Prip, C; Gross, T; Johnston, S; Vierros, M</w:t>
        </w:r>
        <w:r w:rsidRPr="008A4514">
          <w:rPr>
            <w:rStyle w:val="Hyperlink"/>
            <w:snapToGrid w:val="0"/>
            <w:kern w:val="18"/>
            <w:szCs w:val="18"/>
          </w:rPr>
          <w:t xml:space="preserve"> (2010). </w:t>
        </w:r>
        <w:r w:rsidRPr="008A4514">
          <w:rPr>
            <w:rStyle w:val="Hyperlink"/>
            <w:i/>
            <w:iCs/>
            <w:snapToGrid w:val="0"/>
            <w:kern w:val="18"/>
            <w:szCs w:val="18"/>
          </w:rPr>
          <w:t>Biodiversity Planning: An Assessment of National Biodiversity Strategies and Action Plans</w:t>
        </w:r>
        <w:r w:rsidRPr="008A4514">
          <w:rPr>
            <w:rStyle w:val="Hyperlink"/>
            <w:snapToGrid w:val="0"/>
            <w:kern w:val="18"/>
            <w:szCs w:val="18"/>
          </w:rPr>
          <w:t>, United Nations University Institute of Advanced Studies, Yokohama, Japan</w:t>
        </w:r>
      </w:hyperlink>
      <w:r w:rsidRPr="008A4514">
        <w:rPr>
          <w:snapToGrid w:val="0"/>
          <w:kern w:val="18"/>
          <w:szCs w:val="18"/>
        </w:rPr>
        <w:t>.</w:t>
      </w:r>
    </w:p>
  </w:footnote>
  <w:footnote w:id="7">
    <w:p w14:paraId="6E210DC1" w14:textId="0B1D4066" w:rsidR="008349AF" w:rsidRPr="00456490" w:rsidRDefault="008349AF" w:rsidP="00456490">
      <w:pPr>
        <w:pStyle w:val="FootnoteText"/>
        <w:suppressLineNumbers/>
        <w:suppressAutoHyphens/>
        <w:kinsoku w:val="0"/>
        <w:overflowPunct w:val="0"/>
        <w:autoSpaceDE w:val="0"/>
        <w:autoSpaceDN w:val="0"/>
        <w:ind w:firstLine="0"/>
        <w:jc w:val="left"/>
        <w:rPr>
          <w:kern w:val="18"/>
          <w:szCs w:val="18"/>
        </w:rPr>
      </w:pPr>
      <w:r w:rsidRPr="008A4514">
        <w:rPr>
          <w:rStyle w:val="FootnoteReference"/>
          <w:rFonts w:eastAsiaTheme="majorEastAsia"/>
          <w:snapToGrid w:val="0"/>
          <w:kern w:val="18"/>
          <w:sz w:val="18"/>
          <w:szCs w:val="18"/>
        </w:rPr>
        <w:footnoteRef/>
      </w:r>
      <w:r w:rsidRPr="00456490">
        <w:rPr>
          <w:kern w:val="18"/>
          <w:szCs w:val="18"/>
        </w:rPr>
        <w:t xml:space="preserve"> </w:t>
      </w:r>
      <w:r w:rsidR="009E2A12" w:rsidRPr="008A4514">
        <w:rPr>
          <w:kern w:val="18"/>
          <w:szCs w:val="18"/>
        </w:rPr>
        <w:t xml:space="preserve">See </w:t>
      </w:r>
      <w:hyperlink r:id="rId4" w:history="1">
        <w:r w:rsidRPr="00456490">
          <w:rPr>
            <w:rStyle w:val="Hyperlink"/>
            <w:kern w:val="18"/>
            <w:szCs w:val="18"/>
          </w:rPr>
          <w:t>UNEP/CBD/SBI/1/2/Add.2</w:t>
        </w:r>
      </w:hyperlink>
      <w:r w:rsidRPr="00456490">
        <w:rPr>
          <w:kern w:val="18"/>
          <w:szCs w:val="18"/>
        </w:rPr>
        <w:t xml:space="preserve"> and </w:t>
      </w:r>
      <w:hyperlink r:id="rId5" w:history="1">
        <w:r w:rsidRPr="00456490">
          <w:rPr>
            <w:rStyle w:val="Hyperlink"/>
            <w:kern w:val="18"/>
            <w:szCs w:val="18"/>
          </w:rPr>
          <w:t>UNEP/CBD/SBI/2/2/Add.2</w:t>
        </w:r>
      </w:hyperlink>
      <w:r w:rsidR="009E2A12" w:rsidRPr="008A4514">
        <w:rPr>
          <w:rStyle w:val="Hyperlink"/>
          <w:kern w:val="18"/>
          <w:szCs w:val="18"/>
        </w:rPr>
        <w:t>.</w:t>
      </w:r>
    </w:p>
  </w:footnote>
  <w:footnote w:id="8">
    <w:p w14:paraId="05198819" w14:textId="29653250" w:rsidR="008349AF" w:rsidRPr="008A4514" w:rsidRDefault="008349AF" w:rsidP="00456490">
      <w:pPr>
        <w:pStyle w:val="FootnoteText"/>
        <w:suppressLineNumbers/>
        <w:suppressAutoHyphens/>
        <w:kinsoku w:val="0"/>
        <w:overflowPunct w:val="0"/>
        <w:autoSpaceDE w:val="0"/>
        <w:autoSpaceDN w:val="0"/>
        <w:ind w:firstLine="0"/>
        <w:jc w:val="left"/>
        <w:rPr>
          <w:snapToGrid w:val="0"/>
          <w:kern w:val="18"/>
          <w:szCs w:val="18"/>
        </w:rPr>
      </w:pPr>
      <w:r w:rsidRPr="008A4514">
        <w:rPr>
          <w:rStyle w:val="FootnoteReference"/>
          <w:rFonts w:eastAsiaTheme="majorEastAsia"/>
          <w:snapToGrid w:val="0"/>
          <w:kern w:val="18"/>
          <w:sz w:val="18"/>
          <w:szCs w:val="18"/>
        </w:rPr>
        <w:footnoteRef/>
      </w:r>
      <w:r w:rsidRPr="008A4514">
        <w:rPr>
          <w:snapToGrid w:val="0"/>
          <w:kern w:val="18"/>
          <w:szCs w:val="18"/>
        </w:rPr>
        <w:t xml:space="preserve"> </w:t>
      </w:r>
      <w:hyperlink r:id="rId6" w:history="1">
        <w:r w:rsidRPr="008A4514">
          <w:rPr>
            <w:rStyle w:val="Hyperlink"/>
            <w:snapToGrid w:val="0"/>
            <w:kern w:val="18"/>
            <w:szCs w:val="18"/>
          </w:rPr>
          <w:t>UNEP/CBD/COP/13/8/Add.2/Rev.1</w:t>
        </w:r>
      </w:hyperlink>
      <w:r w:rsidRPr="008A4514">
        <w:rPr>
          <w:snapToGrid w:val="0"/>
          <w:kern w:val="18"/>
          <w:szCs w:val="18"/>
        </w:rPr>
        <w:t xml:space="preserve">.and </w:t>
      </w:r>
      <w:hyperlink r:id="rId7" w:history="1">
        <w:r w:rsidR="008660E9" w:rsidRPr="008A4514">
          <w:rPr>
            <w:rStyle w:val="Hyperlink"/>
            <w:snapToGrid w:val="0"/>
            <w:kern w:val="18"/>
            <w:szCs w:val="18"/>
          </w:rPr>
          <w:t>CBD/COP/14/5/Add.2</w:t>
        </w:r>
      </w:hyperlink>
      <w:r w:rsidR="009E2A12" w:rsidRPr="008A4514">
        <w:rPr>
          <w:rStyle w:val="Hyperlink"/>
          <w:snapToGrid w:val="0"/>
          <w:kern w:val="18"/>
          <w:szCs w:val="18"/>
        </w:rPr>
        <w:t>.</w:t>
      </w:r>
    </w:p>
  </w:footnote>
  <w:footnote w:id="9">
    <w:p w14:paraId="2987DBE2" w14:textId="2A47EE3F"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Sixth national reports received by the Secretariat up to and including 8 November 2019 were considered in this assessment. A total of 126 reports were reviewed.</w:t>
      </w:r>
    </w:p>
  </w:footnote>
  <w:footnote w:id="10">
    <w:p w14:paraId="5C0B34BC" w14:textId="5BDB279E"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“Other relevant organizations” refers to international organizations, civil society organizations and other relevant organizations working to achieve the objectives of the Convention, at international, regional, national and local scales</w:t>
      </w:r>
      <w:r w:rsidR="00214BB0" w:rsidRPr="00456490">
        <w:rPr>
          <w:kern w:val="18"/>
          <w:szCs w:val="18"/>
        </w:rPr>
        <w:t>.</w:t>
      </w:r>
    </w:p>
  </w:footnote>
  <w:footnote w:id="11">
    <w:p w14:paraId="3DA9DB75" w14:textId="5A4CE5F6" w:rsidR="00817E63" w:rsidRPr="00456490" w:rsidRDefault="00817E63" w:rsidP="00456490">
      <w:pPr>
        <w:keepLines/>
        <w:suppressLineNumbers/>
        <w:suppressAutoHyphens/>
        <w:spacing w:after="60"/>
        <w:jc w:val="left"/>
        <w:rPr>
          <w:kern w:val="18"/>
          <w:sz w:val="18"/>
          <w:szCs w:val="18"/>
        </w:rPr>
      </w:pPr>
      <w:r w:rsidRPr="00456490">
        <w:rPr>
          <w:rStyle w:val="FootnoteReference"/>
          <w:kern w:val="18"/>
          <w:sz w:val="18"/>
          <w:szCs w:val="18"/>
        </w:rPr>
        <w:footnoteRef/>
      </w:r>
      <w:r w:rsidRPr="00456490">
        <w:rPr>
          <w:kern w:val="18"/>
          <w:sz w:val="18"/>
          <w:szCs w:val="18"/>
        </w:rPr>
        <w:t xml:space="preserve"> CBD/COP/14/5, Add.1 and Add.2</w:t>
      </w:r>
      <w:r w:rsidR="00BC3B4A" w:rsidRPr="008A4514">
        <w:rPr>
          <w:kern w:val="18"/>
          <w:sz w:val="18"/>
          <w:szCs w:val="18"/>
        </w:rPr>
        <w:t>.</w:t>
      </w:r>
    </w:p>
  </w:footnote>
  <w:footnote w:id="12">
    <w:p w14:paraId="4670F657" w14:textId="248BAFCB"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This analysis is based on information from 150 sixth national reports.</w:t>
      </w:r>
    </w:p>
  </w:footnote>
  <w:footnote w:id="13">
    <w:p w14:paraId="76A1C27F" w14:textId="23DB869B" w:rsidR="008349AF" w:rsidRPr="00456490" w:rsidRDefault="008349AF"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Indicators: </w:t>
      </w:r>
      <w:r w:rsidRPr="008A4514">
        <w:rPr>
          <w:kern w:val="18"/>
          <w:szCs w:val="18"/>
        </w:rPr>
        <w:t>(a) </w:t>
      </w:r>
      <w:hyperlink r:id="rId8" w:history="1">
        <w:r w:rsidRPr="00456490">
          <w:rPr>
            <w:rStyle w:val="Hyperlink"/>
            <w:kern w:val="18"/>
            <w:szCs w:val="18"/>
          </w:rPr>
          <w:t>Trends of linguistic diversity and numbers of speakers of indigenous languages</w:t>
        </w:r>
      </w:hyperlink>
      <w:r w:rsidRPr="008A4514">
        <w:rPr>
          <w:kern w:val="18"/>
          <w:szCs w:val="18"/>
        </w:rPr>
        <w:t>; (b) </w:t>
      </w:r>
      <w:hyperlink r:id="rId9" w:history="1">
        <w:r w:rsidRPr="00456490">
          <w:rPr>
            <w:rStyle w:val="Hyperlink"/>
            <w:kern w:val="18"/>
            <w:szCs w:val="18"/>
          </w:rPr>
          <w:t>Trends in land-use change and land tenure in the traditional territories of indigenous and local communities</w:t>
        </w:r>
      </w:hyperlink>
      <w:r w:rsidRPr="008A4514">
        <w:rPr>
          <w:kern w:val="18"/>
          <w:szCs w:val="18"/>
        </w:rPr>
        <w:t>; (c) </w:t>
      </w:r>
      <w:hyperlink r:id="rId10" w:history="1">
        <w:r w:rsidRPr="00456490">
          <w:rPr>
            <w:rStyle w:val="Hyperlink"/>
            <w:kern w:val="18"/>
            <w:szCs w:val="18"/>
          </w:rPr>
          <w:t>Trends in the practice of traditional occupations</w:t>
        </w:r>
      </w:hyperlink>
      <w:r w:rsidRPr="008A4514">
        <w:rPr>
          <w:kern w:val="18"/>
          <w:szCs w:val="18"/>
        </w:rPr>
        <w:t>; and (d) </w:t>
      </w:r>
      <w:hyperlink r:id="rId11" w:history="1">
        <w:r w:rsidRPr="00456490">
          <w:rPr>
            <w:rStyle w:val="Hyperlink"/>
            <w:kern w:val="18"/>
            <w:szCs w:val="18"/>
          </w:rPr>
          <w:t>Trends in degree to which traditional knowledge and practices are respected through: full integration, participation and safeguards in national implementation of the Strategic Plan</w:t>
        </w:r>
      </w:hyperlink>
      <w:r w:rsidRPr="008A4514">
        <w:rPr>
          <w:kern w:val="18"/>
          <w:szCs w:val="18"/>
        </w:rPr>
        <w:t>.</w:t>
      </w:r>
    </w:p>
  </w:footnote>
  <w:footnote w:id="14">
    <w:p w14:paraId="203AC9CE" w14:textId="35A77ED4" w:rsidR="00442AA5" w:rsidRPr="00456490" w:rsidRDefault="00442AA5"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These points have been previously identified in documents</w:t>
      </w:r>
      <w:r w:rsidR="00BE33AA" w:rsidRPr="00456490">
        <w:rPr>
          <w:kern w:val="18"/>
          <w:szCs w:val="18"/>
        </w:rPr>
        <w:t xml:space="preserve"> CBD/SBSTTA/23/2 and Add.2 and noted in recommendation 23/1</w:t>
      </w:r>
      <w:r w:rsidR="00ED66B8" w:rsidRPr="008A4514">
        <w:rPr>
          <w:kern w:val="18"/>
          <w:szCs w:val="18"/>
        </w:rPr>
        <w:t xml:space="preserve"> of the Subsidiary Body on Scientific, Technical and Technological Advice.</w:t>
      </w:r>
    </w:p>
  </w:footnote>
  <w:footnote w:id="15">
    <w:p w14:paraId="59269286" w14:textId="4135D377" w:rsidR="00EC5E40" w:rsidRPr="00456490" w:rsidRDefault="00EC5E40" w:rsidP="00456490">
      <w:pPr>
        <w:pStyle w:val="FootnoteText"/>
        <w:suppressLineNumbers/>
        <w:suppressAutoHyphens/>
        <w:ind w:firstLine="0"/>
        <w:jc w:val="left"/>
        <w:rPr>
          <w:kern w:val="18"/>
          <w:szCs w:val="18"/>
        </w:rPr>
      </w:pPr>
      <w:r w:rsidRPr="00456490">
        <w:rPr>
          <w:rStyle w:val="FootnoteReference"/>
          <w:kern w:val="18"/>
          <w:sz w:val="18"/>
          <w:szCs w:val="18"/>
        </w:rPr>
        <w:footnoteRef/>
      </w:r>
      <w:r w:rsidRPr="00456490">
        <w:rPr>
          <w:kern w:val="18"/>
          <w:szCs w:val="18"/>
        </w:rPr>
        <w:t xml:space="preserve"> </w:t>
      </w:r>
      <w:r w:rsidR="008A4514" w:rsidRPr="00456490">
        <w:rPr>
          <w:kern w:val="18"/>
          <w:szCs w:val="18"/>
        </w:rPr>
        <w:t>CBD/SBI/3/3.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100910707"/>
      <w:dataBinding w:prefixMappings="xmlns:ns0='http://purl.org/dc/elements/1.1/' xmlns:ns1='http://schemas.openxmlformats.org/package/2006/metadata/core-properties' " w:xpath="/ns1:coreProperties[1]/ns0:subject[1]" w:storeItemID="{6C3C8BC8-F283-45AE-878A-BAB7291924A1}"/>
      <w:text/>
    </w:sdtPr>
    <w:sdtEndPr/>
    <w:sdtContent>
      <w:p w14:paraId="71EADAC8" w14:textId="77777777" w:rsidR="007F2356" w:rsidRPr="00456490" w:rsidRDefault="007F2356" w:rsidP="00456490">
        <w:pPr>
          <w:pStyle w:val="Header"/>
          <w:keepLines/>
          <w:suppressLineNumbers/>
          <w:tabs>
            <w:tab w:val="clear" w:pos="4320"/>
            <w:tab w:val="clear" w:pos="8640"/>
          </w:tabs>
          <w:suppressAutoHyphens/>
          <w:jc w:val="left"/>
          <w:rPr>
            <w:noProof/>
            <w:kern w:val="22"/>
          </w:rPr>
        </w:pPr>
        <w:r w:rsidRPr="00456490">
          <w:rPr>
            <w:noProof/>
            <w:kern w:val="22"/>
          </w:rPr>
          <w:t>CBD/SBI/3/2</w:t>
        </w:r>
      </w:p>
    </w:sdtContent>
  </w:sdt>
  <w:p w14:paraId="59D81341" w14:textId="77777777" w:rsidR="007F2356" w:rsidRPr="00456490" w:rsidRDefault="007F2356" w:rsidP="00456490">
    <w:pPr>
      <w:pStyle w:val="Header"/>
      <w:keepLines/>
      <w:suppressLineNumbers/>
      <w:tabs>
        <w:tab w:val="clear" w:pos="4320"/>
        <w:tab w:val="clear" w:pos="8640"/>
      </w:tabs>
      <w:suppressAutoHyphens/>
      <w:jc w:val="left"/>
      <w:rPr>
        <w:noProof/>
        <w:kern w:val="22"/>
      </w:rPr>
    </w:pPr>
    <w:r w:rsidRPr="00456490">
      <w:rPr>
        <w:noProof/>
        <w:kern w:val="22"/>
      </w:rPr>
      <w:t xml:space="preserve">Page </w:t>
    </w:r>
    <w:r w:rsidRPr="00456490">
      <w:rPr>
        <w:noProof/>
        <w:kern w:val="22"/>
      </w:rPr>
      <w:fldChar w:fldCharType="begin"/>
    </w:r>
    <w:r w:rsidRPr="00456490">
      <w:rPr>
        <w:noProof/>
        <w:kern w:val="22"/>
      </w:rPr>
      <w:instrText xml:space="preserve"> PAGE   \* MERGEFORMAT </w:instrText>
    </w:r>
    <w:r w:rsidRPr="00456490">
      <w:rPr>
        <w:noProof/>
        <w:kern w:val="22"/>
      </w:rPr>
      <w:fldChar w:fldCharType="separate"/>
    </w:r>
    <w:r w:rsidRPr="00456490">
      <w:rPr>
        <w:noProof/>
        <w:kern w:val="22"/>
      </w:rPr>
      <w:t>1</w:t>
    </w:r>
    <w:r w:rsidRPr="00456490">
      <w:rPr>
        <w:noProof/>
        <w:kern w:val="22"/>
      </w:rPr>
      <w:fldChar w:fldCharType="end"/>
    </w:r>
  </w:p>
  <w:p w14:paraId="185B7D8B" w14:textId="77777777" w:rsidR="00D60E1B" w:rsidRPr="00456490" w:rsidRDefault="00D60E1B" w:rsidP="00456490">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258178573"/>
      <w:dataBinding w:prefixMappings="xmlns:ns0='http://purl.org/dc/elements/1.1/' xmlns:ns1='http://schemas.openxmlformats.org/package/2006/metadata/core-properties' " w:xpath="/ns1:coreProperties[1]/ns0:subject[1]" w:storeItemID="{6C3C8BC8-F283-45AE-878A-BAB7291924A1}"/>
      <w:text/>
    </w:sdtPr>
    <w:sdtEndPr/>
    <w:sdtContent>
      <w:p w14:paraId="14DC11E9" w14:textId="4F90E341" w:rsidR="008349AF" w:rsidRPr="00456490" w:rsidRDefault="005E1DF4" w:rsidP="00456490">
        <w:pPr>
          <w:pStyle w:val="Header"/>
          <w:keepLines/>
          <w:suppressLineNumbers/>
          <w:tabs>
            <w:tab w:val="clear" w:pos="4320"/>
            <w:tab w:val="clear" w:pos="8640"/>
          </w:tabs>
          <w:suppressAutoHyphens/>
          <w:jc w:val="right"/>
          <w:rPr>
            <w:noProof/>
            <w:kern w:val="22"/>
          </w:rPr>
        </w:pPr>
        <w:r w:rsidRPr="00456490">
          <w:rPr>
            <w:noProof/>
            <w:kern w:val="22"/>
          </w:rPr>
          <w:t>CBD/SBI/3/2</w:t>
        </w:r>
      </w:p>
    </w:sdtContent>
  </w:sdt>
  <w:p w14:paraId="59A7D409" w14:textId="77777777" w:rsidR="008349AF" w:rsidRPr="00456490" w:rsidRDefault="008349AF" w:rsidP="00456490">
    <w:pPr>
      <w:pStyle w:val="Header"/>
      <w:keepLines/>
      <w:suppressLineNumbers/>
      <w:tabs>
        <w:tab w:val="clear" w:pos="4320"/>
        <w:tab w:val="clear" w:pos="8640"/>
      </w:tabs>
      <w:suppressAutoHyphens/>
      <w:jc w:val="right"/>
      <w:rPr>
        <w:noProof/>
        <w:kern w:val="22"/>
      </w:rPr>
    </w:pPr>
    <w:r w:rsidRPr="00456490">
      <w:rPr>
        <w:noProof/>
        <w:kern w:val="22"/>
      </w:rPr>
      <w:t xml:space="preserve">Page </w:t>
    </w:r>
    <w:r w:rsidRPr="00456490">
      <w:rPr>
        <w:noProof/>
        <w:kern w:val="22"/>
      </w:rPr>
      <w:fldChar w:fldCharType="begin"/>
    </w:r>
    <w:r w:rsidRPr="00456490">
      <w:rPr>
        <w:noProof/>
        <w:kern w:val="22"/>
      </w:rPr>
      <w:instrText xml:space="preserve"> PAGE   \* MERGEFORMAT </w:instrText>
    </w:r>
    <w:r w:rsidRPr="00456490">
      <w:rPr>
        <w:noProof/>
        <w:kern w:val="22"/>
      </w:rPr>
      <w:fldChar w:fldCharType="separate"/>
    </w:r>
    <w:r w:rsidR="009F452B" w:rsidRPr="00456490">
      <w:rPr>
        <w:noProof/>
        <w:kern w:val="22"/>
      </w:rPr>
      <w:t>7</w:t>
    </w:r>
    <w:r w:rsidRPr="00456490">
      <w:rPr>
        <w:noProof/>
        <w:kern w:val="22"/>
      </w:rPr>
      <w:fldChar w:fldCharType="end"/>
    </w:r>
  </w:p>
  <w:p w14:paraId="167E468C" w14:textId="77777777" w:rsidR="008349AF" w:rsidRPr="00456490" w:rsidRDefault="008349AF" w:rsidP="00456490">
    <w:pPr>
      <w:pStyle w:val="Header"/>
      <w:keepLines/>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A06"/>
    <w:multiLevelType w:val="hybridMultilevel"/>
    <w:tmpl w:val="4F10A3B6"/>
    <w:lvl w:ilvl="0" w:tplc="CA90A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B2B"/>
    <w:multiLevelType w:val="hybridMultilevel"/>
    <w:tmpl w:val="3D1CE322"/>
    <w:lvl w:ilvl="0" w:tplc="F72282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D2E01"/>
    <w:multiLevelType w:val="hybridMultilevel"/>
    <w:tmpl w:val="4F10A3B6"/>
    <w:lvl w:ilvl="0" w:tplc="CA90AA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93925"/>
    <w:multiLevelType w:val="hybridMultilevel"/>
    <w:tmpl w:val="1B643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55F1B79"/>
    <w:multiLevelType w:val="hybridMultilevel"/>
    <w:tmpl w:val="47167C8A"/>
    <w:lvl w:ilvl="0" w:tplc="1FF68F0C">
      <w:start w:val="1"/>
      <w:numFmt w:val="upperRoman"/>
      <w:lvlText w:val="%1."/>
      <w:lvlJc w:val="left"/>
      <w:pPr>
        <w:ind w:left="766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24F19"/>
    <w:multiLevelType w:val="hybridMultilevel"/>
    <w:tmpl w:val="4F10A3B6"/>
    <w:lvl w:ilvl="0" w:tplc="CA90AA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F21822C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62B99"/>
    <w:multiLevelType w:val="hybridMultilevel"/>
    <w:tmpl w:val="829AE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E46A3"/>
    <w:multiLevelType w:val="hybridMultilevel"/>
    <w:tmpl w:val="8A542BA2"/>
    <w:lvl w:ilvl="0" w:tplc="5652EF34">
      <w:start w:val="1"/>
      <w:numFmt w:val="decimal"/>
      <w:lvlText w:val="%1."/>
      <w:lvlJc w:val="left"/>
      <w:pPr>
        <w:ind w:left="12292" w:hanging="360"/>
      </w:pPr>
      <w:rPr>
        <w:b w:val="0"/>
        <w:i w:val="0"/>
        <w:sz w:val="22"/>
      </w:rPr>
    </w:lvl>
    <w:lvl w:ilvl="1" w:tplc="645EF382">
      <w:start w:val="1"/>
      <w:numFmt w:val="lowerLetter"/>
      <w:lvlText w:val="(%2)"/>
      <w:lvlJc w:val="left"/>
      <w:pPr>
        <w:ind w:left="8078" w:hanging="360"/>
      </w:pPr>
      <w:rPr>
        <w:i w:val="0"/>
      </w:rPr>
    </w:lvl>
    <w:lvl w:ilvl="2" w:tplc="0409001B">
      <w:start w:val="1"/>
      <w:numFmt w:val="lowerRoman"/>
      <w:lvlText w:val="%3."/>
      <w:lvlJc w:val="right"/>
      <w:pPr>
        <w:ind w:left="8798" w:hanging="180"/>
      </w:pPr>
    </w:lvl>
    <w:lvl w:ilvl="3" w:tplc="0409000F">
      <w:start w:val="1"/>
      <w:numFmt w:val="decimal"/>
      <w:lvlText w:val="%4."/>
      <w:lvlJc w:val="left"/>
      <w:pPr>
        <w:ind w:left="9518" w:hanging="360"/>
      </w:pPr>
    </w:lvl>
    <w:lvl w:ilvl="4" w:tplc="04090019">
      <w:start w:val="1"/>
      <w:numFmt w:val="lowerLetter"/>
      <w:lvlText w:val="%5."/>
      <w:lvlJc w:val="left"/>
      <w:pPr>
        <w:ind w:left="10238" w:hanging="360"/>
      </w:pPr>
    </w:lvl>
    <w:lvl w:ilvl="5" w:tplc="0409001B">
      <w:start w:val="1"/>
      <w:numFmt w:val="lowerRoman"/>
      <w:lvlText w:val="%6."/>
      <w:lvlJc w:val="right"/>
      <w:pPr>
        <w:ind w:left="10958" w:hanging="180"/>
      </w:pPr>
    </w:lvl>
    <w:lvl w:ilvl="6" w:tplc="0409000F">
      <w:start w:val="1"/>
      <w:numFmt w:val="decimal"/>
      <w:lvlText w:val="%7."/>
      <w:lvlJc w:val="left"/>
      <w:pPr>
        <w:ind w:left="11678" w:hanging="360"/>
      </w:pPr>
    </w:lvl>
    <w:lvl w:ilvl="7" w:tplc="04090019">
      <w:start w:val="1"/>
      <w:numFmt w:val="lowerLetter"/>
      <w:lvlText w:val="%8."/>
      <w:lvlJc w:val="left"/>
      <w:pPr>
        <w:ind w:left="12398" w:hanging="360"/>
      </w:pPr>
    </w:lvl>
    <w:lvl w:ilvl="8" w:tplc="0409001B">
      <w:start w:val="1"/>
      <w:numFmt w:val="lowerRoman"/>
      <w:lvlText w:val="%9."/>
      <w:lvlJc w:val="right"/>
      <w:pPr>
        <w:ind w:left="13118"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971AD"/>
    <w:multiLevelType w:val="hybridMultilevel"/>
    <w:tmpl w:val="A7FAD47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14"/>
  </w:num>
  <w:num w:numId="5">
    <w:abstractNumId w:val="13"/>
  </w:num>
  <w:num w:numId="6">
    <w:abstractNumId w:val="2"/>
  </w:num>
  <w:num w:numId="7">
    <w:abstractNumId w:val="7"/>
  </w:num>
  <w:num w:numId="8">
    <w:abstractNumId w:val="10"/>
    <w:lvlOverride w:ilvl="0">
      <w:startOverride w:val="1"/>
    </w:lvlOverride>
  </w:num>
  <w:num w:numId="9">
    <w:abstractNumId w:val="19"/>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6"/>
  </w:num>
  <w:num w:numId="15">
    <w:abstractNumId w:val="15"/>
  </w:num>
  <w:num w:numId="16">
    <w:abstractNumId w:val="3"/>
  </w:num>
  <w:num w:numId="17">
    <w:abstractNumId w:val="21"/>
  </w:num>
  <w:num w:numId="18">
    <w:abstractNumId w:val="22"/>
  </w:num>
  <w:num w:numId="19">
    <w:abstractNumId w:val="4"/>
  </w:num>
  <w:num w:numId="20">
    <w:abstractNumId w:val="6"/>
  </w:num>
  <w:num w:numId="21">
    <w:abstractNumId w:val="11"/>
  </w:num>
  <w:num w:numId="22">
    <w:abstractNumId w:val="17"/>
  </w:num>
  <w:num w:numId="23">
    <w:abstractNumId w:val="14"/>
  </w:num>
  <w:num w:numId="24">
    <w:abstractNumId w:val="0"/>
  </w:num>
  <w:num w:numId="25">
    <w:abstractNumId w:val="1"/>
  </w:num>
  <w:num w:numId="26">
    <w:abstractNumId w:val="20"/>
  </w:num>
  <w:num w:numId="27">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num>
  <w:num w:numId="32">
    <w:abstractNumId w:val="12"/>
  </w:num>
  <w:num w:numId="33">
    <w:abstractNumId w:val="5"/>
  </w:num>
  <w:num w:numId="34">
    <w:abstractNumId w:val="8"/>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917"/>
    <w:rsid w:val="00006789"/>
    <w:rsid w:val="0000778F"/>
    <w:rsid w:val="00010F30"/>
    <w:rsid w:val="00020778"/>
    <w:rsid w:val="00025D54"/>
    <w:rsid w:val="000676EE"/>
    <w:rsid w:val="00080089"/>
    <w:rsid w:val="0008232D"/>
    <w:rsid w:val="00082B0B"/>
    <w:rsid w:val="00082FC9"/>
    <w:rsid w:val="000842C2"/>
    <w:rsid w:val="0009498B"/>
    <w:rsid w:val="000A4E80"/>
    <w:rsid w:val="000A5ADD"/>
    <w:rsid w:val="000A6525"/>
    <w:rsid w:val="000B13F9"/>
    <w:rsid w:val="000B4EFD"/>
    <w:rsid w:val="000B682B"/>
    <w:rsid w:val="000D3E14"/>
    <w:rsid w:val="000D41EF"/>
    <w:rsid w:val="000D4309"/>
    <w:rsid w:val="000D676E"/>
    <w:rsid w:val="000D719F"/>
    <w:rsid w:val="000E0202"/>
    <w:rsid w:val="000E389B"/>
    <w:rsid w:val="000E673A"/>
    <w:rsid w:val="000F218E"/>
    <w:rsid w:val="000F72FC"/>
    <w:rsid w:val="000F74F5"/>
    <w:rsid w:val="0010370F"/>
    <w:rsid w:val="00103C1F"/>
    <w:rsid w:val="00105372"/>
    <w:rsid w:val="001073B0"/>
    <w:rsid w:val="001133C5"/>
    <w:rsid w:val="00123290"/>
    <w:rsid w:val="001245CD"/>
    <w:rsid w:val="00126394"/>
    <w:rsid w:val="0012750E"/>
    <w:rsid w:val="00131E7A"/>
    <w:rsid w:val="00132A1D"/>
    <w:rsid w:val="00134690"/>
    <w:rsid w:val="00136620"/>
    <w:rsid w:val="00136F54"/>
    <w:rsid w:val="0014085B"/>
    <w:rsid w:val="00142E5C"/>
    <w:rsid w:val="0014432B"/>
    <w:rsid w:val="00145180"/>
    <w:rsid w:val="00152DBC"/>
    <w:rsid w:val="001574FC"/>
    <w:rsid w:val="001622FF"/>
    <w:rsid w:val="00172929"/>
    <w:rsid w:val="00172AF6"/>
    <w:rsid w:val="00176CEE"/>
    <w:rsid w:val="001771EE"/>
    <w:rsid w:val="001775F6"/>
    <w:rsid w:val="0018097E"/>
    <w:rsid w:val="0018302C"/>
    <w:rsid w:val="001838BA"/>
    <w:rsid w:val="00186DD8"/>
    <w:rsid w:val="001919E2"/>
    <w:rsid w:val="00196DF6"/>
    <w:rsid w:val="001A3C47"/>
    <w:rsid w:val="001A4731"/>
    <w:rsid w:val="001B3C6B"/>
    <w:rsid w:val="001B6439"/>
    <w:rsid w:val="001C1CE7"/>
    <w:rsid w:val="001C2E16"/>
    <w:rsid w:val="001C4102"/>
    <w:rsid w:val="001C659D"/>
    <w:rsid w:val="001C68B8"/>
    <w:rsid w:val="001D0565"/>
    <w:rsid w:val="001D1F36"/>
    <w:rsid w:val="001D2A77"/>
    <w:rsid w:val="001D4121"/>
    <w:rsid w:val="001D508F"/>
    <w:rsid w:val="001E5A69"/>
    <w:rsid w:val="001F62DD"/>
    <w:rsid w:val="001F721E"/>
    <w:rsid w:val="002003C6"/>
    <w:rsid w:val="00211C74"/>
    <w:rsid w:val="00213E79"/>
    <w:rsid w:val="00214BB0"/>
    <w:rsid w:val="00215210"/>
    <w:rsid w:val="00216809"/>
    <w:rsid w:val="00220E64"/>
    <w:rsid w:val="002226A5"/>
    <w:rsid w:val="00225B50"/>
    <w:rsid w:val="00230E1D"/>
    <w:rsid w:val="00237274"/>
    <w:rsid w:val="0024216F"/>
    <w:rsid w:val="0024504E"/>
    <w:rsid w:val="00254CC6"/>
    <w:rsid w:val="002553A6"/>
    <w:rsid w:val="00261D25"/>
    <w:rsid w:val="002644FE"/>
    <w:rsid w:val="002678A4"/>
    <w:rsid w:val="00272748"/>
    <w:rsid w:val="00275B5A"/>
    <w:rsid w:val="0028116C"/>
    <w:rsid w:val="0028134A"/>
    <w:rsid w:val="00281BA1"/>
    <w:rsid w:val="00281FD9"/>
    <w:rsid w:val="00284AD2"/>
    <w:rsid w:val="00286242"/>
    <w:rsid w:val="00292E23"/>
    <w:rsid w:val="00297762"/>
    <w:rsid w:val="002A6923"/>
    <w:rsid w:val="002B0A2B"/>
    <w:rsid w:val="002B1C02"/>
    <w:rsid w:val="002B35A6"/>
    <w:rsid w:val="002B6A79"/>
    <w:rsid w:val="002B73F5"/>
    <w:rsid w:val="002C048D"/>
    <w:rsid w:val="002C0FCC"/>
    <w:rsid w:val="002C1BAA"/>
    <w:rsid w:val="002C2C9E"/>
    <w:rsid w:val="002D1B66"/>
    <w:rsid w:val="002D79DD"/>
    <w:rsid w:val="002E1F35"/>
    <w:rsid w:val="002E69BB"/>
    <w:rsid w:val="002F6CCC"/>
    <w:rsid w:val="002F7C2F"/>
    <w:rsid w:val="00301637"/>
    <w:rsid w:val="00301F6F"/>
    <w:rsid w:val="003216A9"/>
    <w:rsid w:val="00322E9A"/>
    <w:rsid w:val="003261BC"/>
    <w:rsid w:val="0032638F"/>
    <w:rsid w:val="00326A33"/>
    <w:rsid w:val="00327A93"/>
    <w:rsid w:val="00331908"/>
    <w:rsid w:val="00332F1F"/>
    <w:rsid w:val="0033448F"/>
    <w:rsid w:val="00335016"/>
    <w:rsid w:val="003362BA"/>
    <w:rsid w:val="003424CC"/>
    <w:rsid w:val="003452D6"/>
    <w:rsid w:val="00354D98"/>
    <w:rsid w:val="0035714A"/>
    <w:rsid w:val="0035737F"/>
    <w:rsid w:val="003623AE"/>
    <w:rsid w:val="00372E06"/>
    <w:rsid w:val="00372F74"/>
    <w:rsid w:val="0037498D"/>
    <w:rsid w:val="00383181"/>
    <w:rsid w:val="0038647E"/>
    <w:rsid w:val="00390265"/>
    <w:rsid w:val="00391B45"/>
    <w:rsid w:val="003A1256"/>
    <w:rsid w:val="003A313B"/>
    <w:rsid w:val="003A4684"/>
    <w:rsid w:val="003A5628"/>
    <w:rsid w:val="003A5FD2"/>
    <w:rsid w:val="003B0DB0"/>
    <w:rsid w:val="003B0E8D"/>
    <w:rsid w:val="003B41D3"/>
    <w:rsid w:val="003B5412"/>
    <w:rsid w:val="003C0936"/>
    <w:rsid w:val="003C39DB"/>
    <w:rsid w:val="003C6AD8"/>
    <w:rsid w:val="003D2FE0"/>
    <w:rsid w:val="003D38C0"/>
    <w:rsid w:val="003D3D56"/>
    <w:rsid w:val="003D3DC8"/>
    <w:rsid w:val="003D4AF0"/>
    <w:rsid w:val="003E46CE"/>
    <w:rsid w:val="003E67E1"/>
    <w:rsid w:val="003E785E"/>
    <w:rsid w:val="003F16D5"/>
    <w:rsid w:val="003F6683"/>
    <w:rsid w:val="003F7224"/>
    <w:rsid w:val="004007D7"/>
    <w:rsid w:val="00400EC7"/>
    <w:rsid w:val="00412C25"/>
    <w:rsid w:val="00413944"/>
    <w:rsid w:val="004161EE"/>
    <w:rsid w:val="00424981"/>
    <w:rsid w:val="00426D9C"/>
    <w:rsid w:val="00427D21"/>
    <w:rsid w:val="004308DD"/>
    <w:rsid w:val="004310AF"/>
    <w:rsid w:val="00442AA5"/>
    <w:rsid w:val="00446399"/>
    <w:rsid w:val="00450078"/>
    <w:rsid w:val="0045247B"/>
    <w:rsid w:val="00456490"/>
    <w:rsid w:val="004644C2"/>
    <w:rsid w:val="00467AA1"/>
    <w:rsid w:val="00467F9C"/>
    <w:rsid w:val="00473720"/>
    <w:rsid w:val="004740E3"/>
    <w:rsid w:val="00474BB9"/>
    <w:rsid w:val="00480F8C"/>
    <w:rsid w:val="00485439"/>
    <w:rsid w:val="004A21D1"/>
    <w:rsid w:val="004A3930"/>
    <w:rsid w:val="004A4AB6"/>
    <w:rsid w:val="004A5AB9"/>
    <w:rsid w:val="004B3141"/>
    <w:rsid w:val="004B7230"/>
    <w:rsid w:val="004C2683"/>
    <w:rsid w:val="004C2E08"/>
    <w:rsid w:val="004C4E04"/>
    <w:rsid w:val="004C4E37"/>
    <w:rsid w:val="004D0E92"/>
    <w:rsid w:val="004D4AC7"/>
    <w:rsid w:val="004D4B15"/>
    <w:rsid w:val="004E7068"/>
    <w:rsid w:val="004F3F54"/>
    <w:rsid w:val="004F6390"/>
    <w:rsid w:val="00500A7A"/>
    <w:rsid w:val="00501F2A"/>
    <w:rsid w:val="005034C9"/>
    <w:rsid w:val="00503772"/>
    <w:rsid w:val="005245F5"/>
    <w:rsid w:val="0052664C"/>
    <w:rsid w:val="00534681"/>
    <w:rsid w:val="00540964"/>
    <w:rsid w:val="005457CC"/>
    <w:rsid w:val="0055304B"/>
    <w:rsid w:val="00556657"/>
    <w:rsid w:val="00560749"/>
    <w:rsid w:val="005615E6"/>
    <w:rsid w:val="00565E1B"/>
    <w:rsid w:val="0056652B"/>
    <w:rsid w:val="005725D6"/>
    <w:rsid w:val="00575E74"/>
    <w:rsid w:val="00576A85"/>
    <w:rsid w:val="0058244B"/>
    <w:rsid w:val="0058283D"/>
    <w:rsid w:val="00592EA8"/>
    <w:rsid w:val="00593971"/>
    <w:rsid w:val="005976B4"/>
    <w:rsid w:val="005A3C5F"/>
    <w:rsid w:val="005A49FF"/>
    <w:rsid w:val="005A509B"/>
    <w:rsid w:val="005A5A3B"/>
    <w:rsid w:val="005A6CD5"/>
    <w:rsid w:val="005B09E9"/>
    <w:rsid w:val="005B206A"/>
    <w:rsid w:val="005B2D1F"/>
    <w:rsid w:val="005D6B2D"/>
    <w:rsid w:val="005E1DF4"/>
    <w:rsid w:val="005E30C7"/>
    <w:rsid w:val="005E540D"/>
    <w:rsid w:val="005E6302"/>
    <w:rsid w:val="005F5109"/>
    <w:rsid w:val="00602355"/>
    <w:rsid w:val="00605B0B"/>
    <w:rsid w:val="00610752"/>
    <w:rsid w:val="006122BA"/>
    <w:rsid w:val="006171D5"/>
    <w:rsid w:val="00617D8C"/>
    <w:rsid w:val="00623269"/>
    <w:rsid w:val="00626ADC"/>
    <w:rsid w:val="0063790F"/>
    <w:rsid w:val="00637C51"/>
    <w:rsid w:val="00641E63"/>
    <w:rsid w:val="00646BEE"/>
    <w:rsid w:val="0066539C"/>
    <w:rsid w:val="00665AD1"/>
    <w:rsid w:val="006670A9"/>
    <w:rsid w:val="0068002A"/>
    <w:rsid w:val="00681AD8"/>
    <w:rsid w:val="00686291"/>
    <w:rsid w:val="00686293"/>
    <w:rsid w:val="00686CE3"/>
    <w:rsid w:val="006903A5"/>
    <w:rsid w:val="00691434"/>
    <w:rsid w:val="006A1A1B"/>
    <w:rsid w:val="006A1FD3"/>
    <w:rsid w:val="006B2290"/>
    <w:rsid w:val="006B2314"/>
    <w:rsid w:val="006B292D"/>
    <w:rsid w:val="006B4055"/>
    <w:rsid w:val="006B7C0C"/>
    <w:rsid w:val="006C09A1"/>
    <w:rsid w:val="006C4FC7"/>
    <w:rsid w:val="006D1747"/>
    <w:rsid w:val="006D2FBF"/>
    <w:rsid w:val="006D3187"/>
    <w:rsid w:val="006D3405"/>
    <w:rsid w:val="006D58A6"/>
    <w:rsid w:val="006D5CE9"/>
    <w:rsid w:val="006D6C94"/>
    <w:rsid w:val="006E5292"/>
    <w:rsid w:val="006E63FF"/>
    <w:rsid w:val="006F0DE2"/>
    <w:rsid w:val="006F6908"/>
    <w:rsid w:val="007056E4"/>
    <w:rsid w:val="00705A6C"/>
    <w:rsid w:val="00706A8D"/>
    <w:rsid w:val="00717D88"/>
    <w:rsid w:val="00727A3F"/>
    <w:rsid w:val="00732FC0"/>
    <w:rsid w:val="00735B46"/>
    <w:rsid w:val="00741136"/>
    <w:rsid w:val="00741AD2"/>
    <w:rsid w:val="007465C4"/>
    <w:rsid w:val="00750A63"/>
    <w:rsid w:val="007511EF"/>
    <w:rsid w:val="00752808"/>
    <w:rsid w:val="00753D7C"/>
    <w:rsid w:val="00761DBE"/>
    <w:rsid w:val="00767CDF"/>
    <w:rsid w:val="00772A4E"/>
    <w:rsid w:val="007731E5"/>
    <w:rsid w:val="00784448"/>
    <w:rsid w:val="00793A39"/>
    <w:rsid w:val="007942D3"/>
    <w:rsid w:val="007A1647"/>
    <w:rsid w:val="007A7067"/>
    <w:rsid w:val="007B6C09"/>
    <w:rsid w:val="007B79C8"/>
    <w:rsid w:val="007C4392"/>
    <w:rsid w:val="007C4969"/>
    <w:rsid w:val="007C5F60"/>
    <w:rsid w:val="007C6852"/>
    <w:rsid w:val="007C6CCA"/>
    <w:rsid w:val="007D1D1F"/>
    <w:rsid w:val="007D34B0"/>
    <w:rsid w:val="007E02CC"/>
    <w:rsid w:val="007E09DA"/>
    <w:rsid w:val="007F2356"/>
    <w:rsid w:val="007F5BA8"/>
    <w:rsid w:val="007F7DA2"/>
    <w:rsid w:val="00804BC8"/>
    <w:rsid w:val="0081337C"/>
    <w:rsid w:val="008168FC"/>
    <w:rsid w:val="008178B6"/>
    <w:rsid w:val="00817E63"/>
    <w:rsid w:val="00823BA2"/>
    <w:rsid w:val="00824F08"/>
    <w:rsid w:val="008320EB"/>
    <w:rsid w:val="00832C8D"/>
    <w:rsid w:val="008349AF"/>
    <w:rsid w:val="00845BC4"/>
    <w:rsid w:val="008642F5"/>
    <w:rsid w:val="0086500A"/>
    <w:rsid w:val="00865B74"/>
    <w:rsid w:val="008660E9"/>
    <w:rsid w:val="00866E40"/>
    <w:rsid w:val="00867876"/>
    <w:rsid w:val="00870C43"/>
    <w:rsid w:val="00880185"/>
    <w:rsid w:val="008900A5"/>
    <w:rsid w:val="008912A1"/>
    <w:rsid w:val="00891627"/>
    <w:rsid w:val="00897EA4"/>
    <w:rsid w:val="008A1648"/>
    <w:rsid w:val="008A4514"/>
    <w:rsid w:val="008B13CE"/>
    <w:rsid w:val="008B4533"/>
    <w:rsid w:val="008B7BFB"/>
    <w:rsid w:val="008C074D"/>
    <w:rsid w:val="008C1BF3"/>
    <w:rsid w:val="008C2E47"/>
    <w:rsid w:val="008C3030"/>
    <w:rsid w:val="008C5228"/>
    <w:rsid w:val="008D7494"/>
    <w:rsid w:val="008E53EA"/>
    <w:rsid w:val="008E7245"/>
    <w:rsid w:val="008F4D0B"/>
    <w:rsid w:val="009064E1"/>
    <w:rsid w:val="009066F7"/>
    <w:rsid w:val="009071DB"/>
    <w:rsid w:val="009111C1"/>
    <w:rsid w:val="009114B9"/>
    <w:rsid w:val="00922CEA"/>
    <w:rsid w:val="009237EF"/>
    <w:rsid w:val="00923BDA"/>
    <w:rsid w:val="009240D8"/>
    <w:rsid w:val="00930BA1"/>
    <w:rsid w:val="0093169E"/>
    <w:rsid w:val="00940DCC"/>
    <w:rsid w:val="00941AE6"/>
    <w:rsid w:val="00945290"/>
    <w:rsid w:val="009505C9"/>
    <w:rsid w:val="00950676"/>
    <w:rsid w:val="00951EB5"/>
    <w:rsid w:val="00953139"/>
    <w:rsid w:val="00954197"/>
    <w:rsid w:val="00966340"/>
    <w:rsid w:val="009758E5"/>
    <w:rsid w:val="009807D3"/>
    <w:rsid w:val="009902DA"/>
    <w:rsid w:val="00992BEE"/>
    <w:rsid w:val="009A720E"/>
    <w:rsid w:val="009B4696"/>
    <w:rsid w:val="009E10B8"/>
    <w:rsid w:val="009E2A12"/>
    <w:rsid w:val="009E37C1"/>
    <w:rsid w:val="009E4766"/>
    <w:rsid w:val="009E4FFD"/>
    <w:rsid w:val="009F123E"/>
    <w:rsid w:val="009F16EE"/>
    <w:rsid w:val="009F452B"/>
    <w:rsid w:val="009F5689"/>
    <w:rsid w:val="009F760D"/>
    <w:rsid w:val="00A06591"/>
    <w:rsid w:val="00A06EC0"/>
    <w:rsid w:val="00A14121"/>
    <w:rsid w:val="00A17577"/>
    <w:rsid w:val="00A26F22"/>
    <w:rsid w:val="00A32A4E"/>
    <w:rsid w:val="00A36E66"/>
    <w:rsid w:val="00A44845"/>
    <w:rsid w:val="00A5202D"/>
    <w:rsid w:val="00A5744C"/>
    <w:rsid w:val="00A6068D"/>
    <w:rsid w:val="00A65E02"/>
    <w:rsid w:val="00A71606"/>
    <w:rsid w:val="00A751C6"/>
    <w:rsid w:val="00A86BE5"/>
    <w:rsid w:val="00A87052"/>
    <w:rsid w:val="00A90ADC"/>
    <w:rsid w:val="00AA0AED"/>
    <w:rsid w:val="00AA4376"/>
    <w:rsid w:val="00AA5F32"/>
    <w:rsid w:val="00AA608D"/>
    <w:rsid w:val="00AB1691"/>
    <w:rsid w:val="00AB5BC2"/>
    <w:rsid w:val="00AC4CEA"/>
    <w:rsid w:val="00AC5409"/>
    <w:rsid w:val="00AC677D"/>
    <w:rsid w:val="00AC6EEF"/>
    <w:rsid w:val="00AD28B5"/>
    <w:rsid w:val="00AD2AB7"/>
    <w:rsid w:val="00AD6F9D"/>
    <w:rsid w:val="00AE21C3"/>
    <w:rsid w:val="00AE545D"/>
    <w:rsid w:val="00AE793F"/>
    <w:rsid w:val="00AF206A"/>
    <w:rsid w:val="00AF2852"/>
    <w:rsid w:val="00B03CD7"/>
    <w:rsid w:val="00B04909"/>
    <w:rsid w:val="00B130BB"/>
    <w:rsid w:val="00B13B0A"/>
    <w:rsid w:val="00B166CF"/>
    <w:rsid w:val="00B23DEB"/>
    <w:rsid w:val="00B31F58"/>
    <w:rsid w:val="00B33459"/>
    <w:rsid w:val="00B3369F"/>
    <w:rsid w:val="00B4170C"/>
    <w:rsid w:val="00B419C8"/>
    <w:rsid w:val="00B42F89"/>
    <w:rsid w:val="00B43F75"/>
    <w:rsid w:val="00B44733"/>
    <w:rsid w:val="00B46EA5"/>
    <w:rsid w:val="00B519A4"/>
    <w:rsid w:val="00B57330"/>
    <w:rsid w:val="00B6068C"/>
    <w:rsid w:val="00B62866"/>
    <w:rsid w:val="00B70D9E"/>
    <w:rsid w:val="00B756CA"/>
    <w:rsid w:val="00B808A0"/>
    <w:rsid w:val="00B84CF6"/>
    <w:rsid w:val="00B85DC5"/>
    <w:rsid w:val="00B92862"/>
    <w:rsid w:val="00B96B6A"/>
    <w:rsid w:val="00BA43EB"/>
    <w:rsid w:val="00BA4C57"/>
    <w:rsid w:val="00BB02E4"/>
    <w:rsid w:val="00BB1952"/>
    <w:rsid w:val="00BB2DE0"/>
    <w:rsid w:val="00BB36A3"/>
    <w:rsid w:val="00BC1C6B"/>
    <w:rsid w:val="00BC3B4A"/>
    <w:rsid w:val="00BD0EFF"/>
    <w:rsid w:val="00BD6C2E"/>
    <w:rsid w:val="00BD7B3F"/>
    <w:rsid w:val="00BE33AA"/>
    <w:rsid w:val="00BF2DBF"/>
    <w:rsid w:val="00BF43F0"/>
    <w:rsid w:val="00BF7764"/>
    <w:rsid w:val="00C14870"/>
    <w:rsid w:val="00C20AF8"/>
    <w:rsid w:val="00C443BD"/>
    <w:rsid w:val="00C45CC8"/>
    <w:rsid w:val="00C479E7"/>
    <w:rsid w:val="00C528FD"/>
    <w:rsid w:val="00C55F24"/>
    <w:rsid w:val="00C616AA"/>
    <w:rsid w:val="00C624D4"/>
    <w:rsid w:val="00C6775A"/>
    <w:rsid w:val="00C72470"/>
    <w:rsid w:val="00C74808"/>
    <w:rsid w:val="00C74A2B"/>
    <w:rsid w:val="00C769C1"/>
    <w:rsid w:val="00C835ED"/>
    <w:rsid w:val="00C835F9"/>
    <w:rsid w:val="00C9161D"/>
    <w:rsid w:val="00C91E4D"/>
    <w:rsid w:val="00C95331"/>
    <w:rsid w:val="00C968EE"/>
    <w:rsid w:val="00C9756C"/>
    <w:rsid w:val="00CA0E50"/>
    <w:rsid w:val="00CA62B4"/>
    <w:rsid w:val="00CB506B"/>
    <w:rsid w:val="00CC0F91"/>
    <w:rsid w:val="00CC3DFB"/>
    <w:rsid w:val="00CC67D0"/>
    <w:rsid w:val="00CD0CCF"/>
    <w:rsid w:val="00CD12C0"/>
    <w:rsid w:val="00CD7A42"/>
    <w:rsid w:val="00CE0BD4"/>
    <w:rsid w:val="00CE2A99"/>
    <w:rsid w:val="00CE411F"/>
    <w:rsid w:val="00CE42AB"/>
    <w:rsid w:val="00CE4D0E"/>
    <w:rsid w:val="00CF1848"/>
    <w:rsid w:val="00CF6D39"/>
    <w:rsid w:val="00D02ED1"/>
    <w:rsid w:val="00D03B8B"/>
    <w:rsid w:val="00D070F0"/>
    <w:rsid w:val="00D0779A"/>
    <w:rsid w:val="00D12044"/>
    <w:rsid w:val="00D1481C"/>
    <w:rsid w:val="00D20006"/>
    <w:rsid w:val="00D26752"/>
    <w:rsid w:val="00D364DB"/>
    <w:rsid w:val="00D45828"/>
    <w:rsid w:val="00D466C9"/>
    <w:rsid w:val="00D5591A"/>
    <w:rsid w:val="00D60E1B"/>
    <w:rsid w:val="00D7100B"/>
    <w:rsid w:val="00D71F92"/>
    <w:rsid w:val="00D72ADA"/>
    <w:rsid w:val="00D76A18"/>
    <w:rsid w:val="00D810E4"/>
    <w:rsid w:val="00D825BE"/>
    <w:rsid w:val="00D90B42"/>
    <w:rsid w:val="00D92227"/>
    <w:rsid w:val="00D92A52"/>
    <w:rsid w:val="00D937DD"/>
    <w:rsid w:val="00D95C53"/>
    <w:rsid w:val="00D9703C"/>
    <w:rsid w:val="00D971A7"/>
    <w:rsid w:val="00D97C4D"/>
    <w:rsid w:val="00DB4AFC"/>
    <w:rsid w:val="00DB73A6"/>
    <w:rsid w:val="00DC46EE"/>
    <w:rsid w:val="00DC50F8"/>
    <w:rsid w:val="00DD118C"/>
    <w:rsid w:val="00DD1475"/>
    <w:rsid w:val="00DD3FDE"/>
    <w:rsid w:val="00DE5874"/>
    <w:rsid w:val="00DE6915"/>
    <w:rsid w:val="00DF42A3"/>
    <w:rsid w:val="00DF55CF"/>
    <w:rsid w:val="00DF69DA"/>
    <w:rsid w:val="00E0383B"/>
    <w:rsid w:val="00E10D66"/>
    <w:rsid w:val="00E1225E"/>
    <w:rsid w:val="00E13495"/>
    <w:rsid w:val="00E14841"/>
    <w:rsid w:val="00E14D63"/>
    <w:rsid w:val="00E2033D"/>
    <w:rsid w:val="00E20358"/>
    <w:rsid w:val="00E20A41"/>
    <w:rsid w:val="00E20BBB"/>
    <w:rsid w:val="00E246CE"/>
    <w:rsid w:val="00E25C0E"/>
    <w:rsid w:val="00E27AF0"/>
    <w:rsid w:val="00E32046"/>
    <w:rsid w:val="00E3268A"/>
    <w:rsid w:val="00E34E26"/>
    <w:rsid w:val="00E4059C"/>
    <w:rsid w:val="00E4323A"/>
    <w:rsid w:val="00E542BE"/>
    <w:rsid w:val="00E64634"/>
    <w:rsid w:val="00E66235"/>
    <w:rsid w:val="00E668F1"/>
    <w:rsid w:val="00E67944"/>
    <w:rsid w:val="00E70BD3"/>
    <w:rsid w:val="00E83C24"/>
    <w:rsid w:val="00E855E5"/>
    <w:rsid w:val="00E8578A"/>
    <w:rsid w:val="00E860C5"/>
    <w:rsid w:val="00E90AC5"/>
    <w:rsid w:val="00E9157C"/>
    <w:rsid w:val="00E9318D"/>
    <w:rsid w:val="00E935D8"/>
    <w:rsid w:val="00E94D8E"/>
    <w:rsid w:val="00E96F95"/>
    <w:rsid w:val="00EA1BB1"/>
    <w:rsid w:val="00EA22EA"/>
    <w:rsid w:val="00EC566A"/>
    <w:rsid w:val="00EC5E40"/>
    <w:rsid w:val="00ED2F98"/>
    <w:rsid w:val="00ED4413"/>
    <w:rsid w:val="00ED4AD9"/>
    <w:rsid w:val="00ED5983"/>
    <w:rsid w:val="00ED66B8"/>
    <w:rsid w:val="00EE140C"/>
    <w:rsid w:val="00EE4C28"/>
    <w:rsid w:val="00EE7901"/>
    <w:rsid w:val="00EF10F0"/>
    <w:rsid w:val="00F05444"/>
    <w:rsid w:val="00F1118A"/>
    <w:rsid w:val="00F12F64"/>
    <w:rsid w:val="00F13881"/>
    <w:rsid w:val="00F14E02"/>
    <w:rsid w:val="00F3010C"/>
    <w:rsid w:val="00F30E9C"/>
    <w:rsid w:val="00F32057"/>
    <w:rsid w:val="00F43118"/>
    <w:rsid w:val="00F4581A"/>
    <w:rsid w:val="00F51F6D"/>
    <w:rsid w:val="00F56ECC"/>
    <w:rsid w:val="00F628C9"/>
    <w:rsid w:val="00F634CD"/>
    <w:rsid w:val="00F64DA1"/>
    <w:rsid w:val="00F64FE7"/>
    <w:rsid w:val="00F731D9"/>
    <w:rsid w:val="00F77C86"/>
    <w:rsid w:val="00F826D3"/>
    <w:rsid w:val="00F8317C"/>
    <w:rsid w:val="00F84857"/>
    <w:rsid w:val="00F863D7"/>
    <w:rsid w:val="00F94774"/>
    <w:rsid w:val="00FA077F"/>
    <w:rsid w:val="00FB3E47"/>
    <w:rsid w:val="00FB5378"/>
    <w:rsid w:val="00FC297D"/>
    <w:rsid w:val="00FC33AE"/>
    <w:rsid w:val="00FC53DB"/>
    <w:rsid w:val="00FD5AA7"/>
    <w:rsid w:val="00FD6307"/>
    <w:rsid w:val="00FD6FB4"/>
    <w:rsid w:val="00FE5D5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D574B2"/>
  <w15:docId w15:val="{30E9EAF1-D071-4A5E-B9B6-AD2367B0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rmalWeb">
    <w:name w:val="Normal (Web)"/>
    <w:basedOn w:val="Normal"/>
    <w:uiPriority w:val="99"/>
    <w:rsid w:val="009E4766"/>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Default">
    <w:name w:val="Default"/>
    <w:rsid w:val="001133C5"/>
    <w:pPr>
      <w:autoSpaceDE w:val="0"/>
      <w:autoSpaceDN w:val="0"/>
      <w:adjustRightInd w:val="0"/>
    </w:pPr>
    <w:rPr>
      <w:rFonts w:ascii="Times New Roman" w:eastAsia="Calibri" w:hAnsi="Times New Roman" w:cs="Times New Roman"/>
      <w:color w:val="000000"/>
      <w:lang w:val="pt-BR"/>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133C5"/>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1133C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C074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C074D"/>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CC3DFB"/>
    <w:rPr>
      <w:i/>
      <w:iCs/>
    </w:rPr>
  </w:style>
  <w:style w:type="paragraph" w:styleId="Revision">
    <w:name w:val="Revision"/>
    <w:hidden/>
    <w:uiPriority w:val="99"/>
    <w:semiHidden/>
    <w:rsid w:val="00C616AA"/>
    <w:rPr>
      <w:rFonts w:ascii="Times New Roman" w:eastAsia="Times New Roman" w:hAnsi="Times New Roman" w:cs="Times New Roman"/>
      <w:sz w:val="22"/>
      <w:lang w:val="en-GB"/>
    </w:rPr>
  </w:style>
  <w:style w:type="character" w:customStyle="1" w:styleId="UnresolvedMention2">
    <w:name w:val="Unresolved Mention2"/>
    <w:basedOn w:val="DefaultParagraphFont"/>
    <w:uiPriority w:val="99"/>
    <w:semiHidden/>
    <w:unhideWhenUsed/>
    <w:rsid w:val="00D97C4D"/>
    <w:rPr>
      <w:color w:val="605E5C"/>
      <w:shd w:val="clear" w:color="auto" w:fill="E1DFDD"/>
    </w:rPr>
  </w:style>
  <w:style w:type="character" w:styleId="UnresolvedMention">
    <w:name w:val="Unresolved Mention"/>
    <w:basedOn w:val="DefaultParagraphFont"/>
    <w:uiPriority w:val="99"/>
    <w:semiHidden/>
    <w:unhideWhenUsed/>
    <w:rsid w:val="00E860C5"/>
    <w:rPr>
      <w:color w:val="605E5C"/>
      <w:shd w:val="clear" w:color="auto" w:fill="E1DFDD"/>
    </w:rPr>
  </w:style>
  <w:style w:type="table" w:customStyle="1" w:styleId="TableGrid1">
    <w:name w:val="Table Grid1"/>
    <w:basedOn w:val="TableNormal"/>
    <w:next w:val="TableGrid"/>
    <w:uiPriority w:val="59"/>
    <w:rsid w:val="008E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38927">
      <w:bodyDiv w:val="1"/>
      <w:marLeft w:val="0"/>
      <w:marRight w:val="0"/>
      <w:marTop w:val="0"/>
      <w:marBottom w:val="0"/>
      <w:divBdr>
        <w:top w:val="none" w:sz="0" w:space="0" w:color="auto"/>
        <w:left w:val="none" w:sz="0" w:space="0" w:color="auto"/>
        <w:bottom w:val="none" w:sz="0" w:space="0" w:color="auto"/>
        <w:right w:val="none" w:sz="0" w:space="0" w:color="auto"/>
      </w:divBdr>
    </w:div>
    <w:div w:id="684601707">
      <w:bodyDiv w:val="1"/>
      <w:marLeft w:val="0"/>
      <w:marRight w:val="0"/>
      <w:marTop w:val="0"/>
      <w:marBottom w:val="0"/>
      <w:divBdr>
        <w:top w:val="none" w:sz="0" w:space="0" w:color="auto"/>
        <w:left w:val="none" w:sz="0" w:space="0" w:color="auto"/>
        <w:bottom w:val="none" w:sz="0" w:space="0" w:color="auto"/>
        <w:right w:val="none" w:sz="0" w:space="0" w:color="auto"/>
      </w:divBdr>
    </w:div>
    <w:div w:id="735978875">
      <w:bodyDiv w:val="1"/>
      <w:marLeft w:val="0"/>
      <w:marRight w:val="0"/>
      <w:marTop w:val="0"/>
      <w:marBottom w:val="0"/>
      <w:divBdr>
        <w:top w:val="none" w:sz="0" w:space="0" w:color="auto"/>
        <w:left w:val="none" w:sz="0" w:space="0" w:color="auto"/>
        <w:bottom w:val="none" w:sz="0" w:space="0" w:color="auto"/>
        <w:right w:val="none" w:sz="0" w:space="0" w:color="auto"/>
      </w:divBdr>
    </w:div>
    <w:div w:id="1178499283">
      <w:bodyDiv w:val="1"/>
      <w:marLeft w:val="0"/>
      <w:marRight w:val="0"/>
      <w:marTop w:val="0"/>
      <w:marBottom w:val="0"/>
      <w:divBdr>
        <w:top w:val="none" w:sz="0" w:space="0" w:color="auto"/>
        <w:left w:val="none" w:sz="0" w:space="0" w:color="auto"/>
        <w:bottom w:val="none" w:sz="0" w:space="0" w:color="auto"/>
        <w:right w:val="none" w:sz="0" w:space="0" w:color="auto"/>
      </w:divBdr>
    </w:div>
    <w:div w:id="1348563524">
      <w:bodyDiv w:val="1"/>
      <w:marLeft w:val="0"/>
      <w:marRight w:val="0"/>
      <w:marTop w:val="0"/>
      <w:marBottom w:val="0"/>
      <w:divBdr>
        <w:top w:val="none" w:sz="0" w:space="0" w:color="auto"/>
        <w:left w:val="none" w:sz="0" w:space="0" w:color="auto"/>
        <w:bottom w:val="none" w:sz="0" w:space="0" w:color="auto"/>
        <w:right w:val="none" w:sz="0" w:space="0" w:color="auto"/>
      </w:divBdr>
    </w:div>
    <w:div w:id="1383478770">
      <w:bodyDiv w:val="1"/>
      <w:marLeft w:val="0"/>
      <w:marRight w:val="0"/>
      <w:marTop w:val="0"/>
      <w:marBottom w:val="0"/>
      <w:divBdr>
        <w:top w:val="none" w:sz="0" w:space="0" w:color="auto"/>
        <w:left w:val="none" w:sz="0" w:space="0" w:color="auto"/>
        <w:bottom w:val="none" w:sz="0" w:space="0" w:color="auto"/>
        <w:right w:val="none" w:sz="0" w:space="0" w:color="auto"/>
      </w:divBdr>
    </w:div>
    <w:div w:id="1420328280">
      <w:bodyDiv w:val="1"/>
      <w:marLeft w:val="0"/>
      <w:marRight w:val="0"/>
      <w:marTop w:val="0"/>
      <w:marBottom w:val="0"/>
      <w:divBdr>
        <w:top w:val="none" w:sz="0" w:space="0" w:color="auto"/>
        <w:left w:val="none" w:sz="0" w:space="0" w:color="auto"/>
        <w:bottom w:val="none" w:sz="0" w:space="0" w:color="auto"/>
        <w:right w:val="none" w:sz="0" w:space="0" w:color="auto"/>
      </w:divBdr>
    </w:div>
    <w:div w:id="1561400576">
      <w:bodyDiv w:val="1"/>
      <w:marLeft w:val="0"/>
      <w:marRight w:val="0"/>
      <w:marTop w:val="0"/>
      <w:marBottom w:val="0"/>
      <w:divBdr>
        <w:top w:val="none" w:sz="0" w:space="0" w:color="auto"/>
        <w:left w:val="none" w:sz="0" w:space="0" w:color="auto"/>
        <w:bottom w:val="none" w:sz="0" w:space="0" w:color="auto"/>
        <w:right w:val="none" w:sz="0" w:space="0" w:color="auto"/>
      </w:divBdr>
    </w:div>
    <w:div w:id="2103597645">
      <w:bodyDiv w:val="1"/>
      <w:marLeft w:val="0"/>
      <w:marRight w:val="0"/>
      <w:marTop w:val="0"/>
      <w:marBottom w:val="0"/>
      <w:divBdr>
        <w:top w:val="none" w:sz="0" w:space="0" w:color="auto"/>
        <w:left w:val="none" w:sz="0" w:space="0" w:color="auto"/>
        <w:bottom w:val="none" w:sz="0" w:space="0" w:color="auto"/>
        <w:right w:val="none" w:sz="0" w:space="0" w:color="auto"/>
      </w:divBdr>
    </w:div>
    <w:div w:id="2125268748">
      <w:bodyDiv w:val="1"/>
      <w:marLeft w:val="0"/>
      <w:marRight w:val="0"/>
      <w:marTop w:val="0"/>
      <w:marBottom w:val="0"/>
      <w:divBdr>
        <w:top w:val="none" w:sz="0" w:space="0" w:color="auto"/>
        <w:left w:val="none" w:sz="0" w:space="0" w:color="auto"/>
        <w:bottom w:val="none" w:sz="0" w:space="0" w:color="auto"/>
        <w:right w:val="none" w:sz="0" w:space="0" w:color="auto"/>
      </w:divBdr>
      <w:divsChild>
        <w:div w:id="3433671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bd.int/doc/decisions/cop-10/cop-10-dec-02-e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cop-09/cop-09-dec-08-en.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bd.int/doc/decisions/cop-10/cop-10-dec-02-en.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cbd.int/doc/decisions/cop-14/cop-14-dec-18-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cbd.int/doc/decisions/cop-14/cop-14-dec-18-en.pdf"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yperlink" Target="https://www.cbd.int/doc/decisions/cop-14/cop-14-dec-01-en.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cbd.int/doc/decisions/cop-12/cop-12-dec-07-en.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sp/indicators/factsheets/?id=88" TargetMode="External"/><Relationship Id="rId3" Type="http://schemas.openxmlformats.org/officeDocument/2006/relationships/hyperlink" Target="http://archive.ias.unu.edu/resource_centre/UNU-IAS_Biodiversity_Planning_NBSAPs_Assessment_final_web_Oct_2010.pdf" TargetMode="External"/><Relationship Id="rId7" Type="http://schemas.openxmlformats.org/officeDocument/2006/relationships/hyperlink" Target="https://www.cbd.int/doc/c/7c28/274f/338c8e84ad6f03bf9636dcbf/cop-14-05-add2-en.pdf" TargetMode="External"/><Relationship Id="rId2" Type="http://schemas.openxmlformats.org/officeDocument/2006/relationships/hyperlink" Target="https://www.cbd.int/doc/decisions/cop-12/cop-12-dec-31-en.pdf" TargetMode="External"/><Relationship Id="rId1" Type="http://schemas.openxmlformats.org/officeDocument/2006/relationships/hyperlink" Target="https://www.cbd.int/doc/c/2741/8770/7e40b4122c595e106d217c5d/sbi-03-01-en.pdf" TargetMode="External"/><Relationship Id="rId6" Type="http://schemas.openxmlformats.org/officeDocument/2006/relationships/hyperlink" Target="https://www.cbd.int/doc/meetings/cop/cop-13/official/cop-13-08-add2-rev1-en.pdf" TargetMode="External"/><Relationship Id="rId11" Type="http://schemas.openxmlformats.org/officeDocument/2006/relationships/hyperlink" Target="https://www.cbd.int/sp/indicators/factsheets/?id=87" TargetMode="External"/><Relationship Id="rId5" Type="http://schemas.openxmlformats.org/officeDocument/2006/relationships/hyperlink" Target="https://www.cbd.int/doc/c/e24a/347c/a8b84521f326b90a198b1601/sbi-02-02-add2-en.pdf" TargetMode="External"/><Relationship Id="rId10" Type="http://schemas.openxmlformats.org/officeDocument/2006/relationships/hyperlink" Target="https://www.cbd.int/sp/indicators/factsheets/?id=71" TargetMode="External"/><Relationship Id="rId4" Type="http://schemas.openxmlformats.org/officeDocument/2006/relationships/hyperlink" Target="https://www.cbd.int/doc/meetings/sbi/sbi-01/official/sbi-01-02-add2-en.pdf" TargetMode="External"/><Relationship Id="rId9" Type="http://schemas.openxmlformats.org/officeDocument/2006/relationships/hyperlink" Target="https://www.cbd.int/sp/indicators/factsheets/?id=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0D42"/>
    <w:rsid w:val="00101ADA"/>
    <w:rsid w:val="00120A03"/>
    <w:rsid w:val="001705FB"/>
    <w:rsid w:val="00220623"/>
    <w:rsid w:val="002B0676"/>
    <w:rsid w:val="002B7779"/>
    <w:rsid w:val="004400CB"/>
    <w:rsid w:val="004B1301"/>
    <w:rsid w:val="004B7B92"/>
    <w:rsid w:val="00500A2B"/>
    <w:rsid w:val="0058288D"/>
    <w:rsid w:val="005E7DD7"/>
    <w:rsid w:val="006801B3"/>
    <w:rsid w:val="006C6EC7"/>
    <w:rsid w:val="006F1C2A"/>
    <w:rsid w:val="007556B5"/>
    <w:rsid w:val="00810A55"/>
    <w:rsid w:val="0087299E"/>
    <w:rsid w:val="008C6619"/>
    <w:rsid w:val="008D420E"/>
    <w:rsid w:val="008E2604"/>
    <w:rsid w:val="00904156"/>
    <w:rsid w:val="009115FC"/>
    <w:rsid w:val="0098642F"/>
    <w:rsid w:val="009B71C8"/>
    <w:rsid w:val="009C561D"/>
    <w:rsid w:val="00A0557D"/>
    <w:rsid w:val="00A21731"/>
    <w:rsid w:val="00AE7E51"/>
    <w:rsid w:val="00BD525F"/>
    <w:rsid w:val="00BD75D4"/>
    <w:rsid w:val="00C15F16"/>
    <w:rsid w:val="00EE5926"/>
    <w:rsid w:val="00F228CA"/>
    <w:rsid w:val="00F301C7"/>
    <w:rsid w:val="00F7382E"/>
    <w:rsid w:val="00F96B61"/>
    <w:rsid w:val="00FC6C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E51"/>
  </w:style>
  <w:style w:type="paragraph" w:customStyle="1" w:styleId="3DF1382356CA47B0AFB3464F6F1CC17E">
    <w:name w:val="3DF1382356CA47B0AFB3464F6F1CC17E"/>
    <w:rsid w:val="00220623"/>
    <w:pPr>
      <w:spacing w:after="160" w:line="259" w:lineRule="auto"/>
    </w:pPr>
    <w:rPr>
      <w:lang w:val="en-CA" w:eastAsia="en-CA"/>
    </w:rPr>
  </w:style>
  <w:style w:type="paragraph" w:customStyle="1" w:styleId="59B8E5AC4E5C45C1930E5AAFEF6E76E0">
    <w:name w:val="59B8E5AC4E5C45C1930E5AAFEF6E76E0"/>
    <w:rsid w:val="00AE7E5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2020-06-26T00:00:00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E0D41F-E5A7-4D3D-BE11-E493503275AE}">
  <ds:schemaRefs>
    <ds:schemaRef ds:uri="http://schemas.microsoft.com/sharepoint/v3/contenttype/forms"/>
  </ds:schemaRefs>
</ds:datastoreItem>
</file>

<file path=customXml/itemProps3.xml><?xml version="1.0" encoding="utf-8"?>
<ds:datastoreItem xmlns:ds="http://schemas.openxmlformats.org/officeDocument/2006/customXml" ds:itemID="{C90C2294-B5CC-43C6-9146-5007E6911779}">
  <ds:schemaRefs>
    <ds:schemaRef ds:uri="http://schemas.microsoft.com/office/2006/metadata/properties"/>
    <ds:schemaRef ds:uri="13ad741f-c0db-4e29-b5a6-03b4a1bc18ba"/>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358298e0-1b7e-4ebe-8695-94439b74f0d1"/>
    <ds:schemaRef ds:uri="http://purl.org/dc/terms/"/>
  </ds:schemaRefs>
</ds:datastoreItem>
</file>

<file path=customXml/itemProps4.xml><?xml version="1.0" encoding="utf-8"?>
<ds:datastoreItem xmlns:ds="http://schemas.openxmlformats.org/officeDocument/2006/customXml" ds:itemID="{5C07547E-DF1E-4902-8B41-9DE2203D31CC}">
  <ds:schemaRefs>
    <ds:schemaRef ds:uri="http://schemas.microsoft.com/sharepoint/v3/contenttype/forms"/>
  </ds:schemaRefs>
</ds:datastoreItem>
</file>

<file path=customXml/itemProps5.xml><?xml version="1.0" encoding="utf-8"?>
<ds:datastoreItem xmlns:ds="http://schemas.openxmlformats.org/officeDocument/2006/customXml" ds:itemID="{2A066405-481B-4379-A19D-96FD43F4247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2AB4808-21FF-4C33-A845-B188997D7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2AFCAE-7D43-4863-A178-BA9E1712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8</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Review of progress in the implementation of the Convention and the Strategic Plan for Biodiversity 2011-2020</vt:lpstr>
    </vt:vector>
  </TitlesOfParts>
  <Company>SCBD</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progress in the implementation of the Convention and the Strategic Plan for Biodiversity 2011-2020</dc:title>
  <dc:subject>CBD/SBI/3/2</dc:subject>
  <dc:creator>SCBD</dc:creator>
  <cp:keywords>Subsidiary Body on Implementation, third meeting, Quebec City, Canada, 9-14 November 2020, Convention on Biological Diversity</cp:keywords>
  <cp:lastModifiedBy>Veronique Lefebvre</cp:lastModifiedBy>
  <cp:revision>174</cp:revision>
  <cp:lastPrinted>2018-05-10T15:01:00Z</cp:lastPrinted>
  <dcterms:created xsi:type="dcterms:W3CDTF">2020-06-26T13:54:00Z</dcterms:created>
  <dcterms:modified xsi:type="dcterms:W3CDTF">2020-06-30T12:55:00Z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