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4A62" w14:paraId="364D6D36" w14:textId="77777777" w:rsidTr="008A1499">
        <w:trPr>
          <w:trHeight w:val="850"/>
        </w:trPr>
        <w:tc>
          <w:tcPr>
            <w:tcW w:w="975" w:type="dxa"/>
            <w:vAlign w:val="bottom"/>
          </w:tcPr>
          <w:p w14:paraId="392518C6" w14:textId="77777777" w:rsidR="008A1499" w:rsidRPr="00A04A62" w:rsidRDefault="008A1499" w:rsidP="008A1499">
            <w:pPr>
              <w:pStyle w:val="AASmallLogo"/>
            </w:pPr>
            <w:r w:rsidRPr="00A04A62">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4A62">
              <w:t xml:space="preserve"> </w:t>
            </w:r>
          </w:p>
          <w:p w14:paraId="5F343D18" w14:textId="77777777" w:rsidR="008A1499" w:rsidRPr="00A04A62" w:rsidRDefault="008A1499" w:rsidP="008A1499">
            <w:pPr>
              <w:pStyle w:val="AASmallLogo"/>
            </w:pPr>
          </w:p>
        </w:tc>
        <w:tc>
          <w:tcPr>
            <w:tcW w:w="1434" w:type="dxa"/>
            <w:noWrap/>
            <w:vAlign w:val="bottom"/>
          </w:tcPr>
          <w:p w14:paraId="7218A166" w14:textId="77777777" w:rsidR="008A1499" w:rsidRPr="00A04A62" w:rsidRDefault="008A1499" w:rsidP="008A1499">
            <w:pPr>
              <w:pStyle w:val="AASmallLogo"/>
            </w:pPr>
            <w:r w:rsidRPr="00A04A62">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A04A62">
              <w:t xml:space="preserve"> </w:t>
            </w:r>
          </w:p>
          <w:p w14:paraId="35F4C489" w14:textId="77777777" w:rsidR="008A1499" w:rsidRPr="00A04A62" w:rsidRDefault="008A1499" w:rsidP="008A1499">
            <w:pPr>
              <w:pStyle w:val="AASmallLogo"/>
            </w:pPr>
          </w:p>
        </w:tc>
        <w:tc>
          <w:tcPr>
            <w:tcW w:w="8073" w:type="dxa"/>
            <w:vAlign w:val="bottom"/>
          </w:tcPr>
          <w:p w14:paraId="0A2486A0" w14:textId="20A9D2A0" w:rsidR="008A1499" w:rsidRPr="00A04A62" w:rsidRDefault="008A1499" w:rsidP="003F1A75">
            <w:pPr>
              <w:pStyle w:val="ABSymbol"/>
            </w:pPr>
            <w:r w:rsidRPr="00A04A62">
              <w:rPr>
                <w:sz w:val="40"/>
              </w:rPr>
              <w:t>CBD</w:t>
            </w:r>
            <w:r w:rsidRPr="00A04A62">
              <w:t>/</w:t>
            </w:r>
            <w:r w:rsidR="00975047" w:rsidRPr="00A04A62">
              <w:t>NP</w:t>
            </w:r>
            <w:r w:rsidRPr="00A04A62">
              <w:t>/</w:t>
            </w:r>
            <w:r w:rsidR="00975047" w:rsidRPr="00A04A62">
              <w:t>MOP/6/</w:t>
            </w:r>
            <w:r w:rsidR="00D30136">
              <w:t>2</w:t>
            </w:r>
          </w:p>
        </w:tc>
      </w:tr>
    </w:tbl>
    <w:p w14:paraId="5363763A" w14:textId="77777777" w:rsidR="008A1499" w:rsidRPr="00A04A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4A62" w14:paraId="35CC42C4" w14:textId="77777777" w:rsidTr="008A1499">
        <w:trPr>
          <w:trHeight w:val="1814"/>
        </w:trPr>
        <w:tc>
          <w:tcPr>
            <w:tcW w:w="7370" w:type="dxa"/>
          </w:tcPr>
          <w:p w14:paraId="29BB5F18" w14:textId="77777777" w:rsidR="008A1499" w:rsidRPr="00A04A62" w:rsidRDefault="008A1499" w:rsidP="008A1499">
            <w:pPr>
              <w:pStyle w:val="ACLargeLogo"/>
            </w:pPr>
            <w:r w:rsidRPr="00A04A62">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A04A62">
              <w:t xml:space="preserve"> </w:t>
            </w:r>
          </w:p>
          <w:p w14:paraId="143BF543" w14:textId="77777777" w:rsidR="008A1499" w:rsidRPr="00A04A62" w:rsidRDefault="008A1499" w:rsidP="008A1499">
            <w:pPr>
              <w:pStyle w:val="ACLargeLogo"/>
            </w:pPr>
          </w:p>
        </w:tc>
        <w:tc>
          <w:tcPr>
            <w:tcW w:w="3112" w:type="dxa"/>
          </w:tcPr>
          <w:p w14:paraId="5B3CC123" w14:textId="77777777" w:rsidR="008A1499" w:rsidRPr="00A04A62" w:rsidRDefault="008A1499" w:rsidP="008A1499">
            <w:pPr>
              <w:pStyle w:val="AEDistrNormal"/>
            </w:pPr>
            <w:r w:rsidRPr="00A04A62">
              <w:t xml:space="preserve">Distr.: General </w:t>
            </w:r>
          </w:p>
          <w:p w14:paraId="44CA4597" w14:textId="7EC74DB1" w:rsidR="008A1499" w:rsidRPr="00A04A62" w:rsidRDefault="00C82ADE" w:rsidP="008A1499">
            <w:pPr>
              <w:pStyle w:val="AEDistrNormal"/>
            </w:pPr>
            <w:r>
              <w:t>24 September</w:t>
            </w:r>
            <w:r w:rsidR="00E4286E" w:rsidRPr="00A04A62">
              <w:t xml:space="preserve"> 2026</w:t>
            </w:r>
          </w:p>
          <w:p w14:paraId="1EDC7E96" w14:textId="77777777" w:rsidR="008A1499" w:rsidRPr="00A04A62" w:rsidRDefault="008A1499" w:rsidP="008A1499">
            <w:pPr>
              <w:pStyle w:val="AEDistrNormal6pt"/>
            </w:pPr>
            <w:r w:rsidRPr="00A04A62">
              <w:t xml:space="preserve">Original: English </w:t>
            </w:r>
          </w:p>
          <w:p w14:paraId="0BF0F3F9" w14:textId="77777777" w:rsidR="008A1499" w:rsidRPr="00A04A62" w:rsidRDefault="008A1499" w:rsidP="008A1499">
            <w:pPr>
              <w:pStyle w:val="AEDistrNormal6pt"/>
            </w:pPr>
          </w:p>
        </w:tc>
      </w:tr>
    </w:tbl>
    <w:p w14:paraId="782A3297" w14:textId="77777777" w:rsidR="008A1499" w:rsidRPr="00A04A6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A04A62" w14:paraId="4148B4C5" w14:textId="77777777" w:rsidTr="00EE7CA8">
        <w:trPr>
          <w:trHeight w:val="57"/>
        </w:trPr>
        <w:tc>
          <w:tcPr>
            <w:tcW w:w="5670" w:type="dxa"/>
          </w:tcPr>
          <w:p w14:paraId="05E3BF73" w14:textId="77777777" w:rsidR="008A1499" w:rsidRPr="00A04A62" w:rsidRDefault="00975047" w:rsidP="008A1499">
            <w:pPr>
              <w:pStyle w:val="AFCorN12Bold"/>
            </w:pPr>
            <w:r w:rsidRPr="00A04A62">
              <w:t>Conference of the Parties to the Convention on Biological Diversity serving as the meeting of the Parties to the Nagoya Protocol on Access to Genetic Resources and the Fair and Equitable Sharing of Benefits Arising from Their Utilization</w:t>
            </w:r>
          </w:p>
          <w:p w14:paraId="0D34442C" w14:textId="77777777" w:rsidR="008A1499" w:rsidRPr="00A04A62" w:rsidRDefault="00975047" w:rsidP="008A1499">
            <w:pPr>
              <w:pStyle w:val="AFCorNBold"/>
            </w:pPr>
            <w:r w:rsidRPr="00A04A62">
              <w:t>Six</w:t>
            </w:r>
            <w:r w:rsidR="008A1499" w:rsidRPr="00A04A62">
              <w:t xml:space="preserve">th meeting </w:t>
            </w:r>
          </w:p>
          <w:p w14:paraId="2927F19A" w14:textId="77777777" w:rsidR="008A1499" w:rsidRPr="00A04A62" w:rsidRDefault="00975047" w:rsidP="008A1499">
            <w:pPr>
              <w:pStyle w:val="AFCorNNormal"/>
            </w:pPr>
            <w:r w:rsidRPr="00A04A62">
              <w:t>Yerevan, 19–30 October 2026</w:t>
            </w:r>
          </w:p>
          <w:p w14:paraId="63FDB8BF" w14:textId="7ED600EC" w:rsidR="008A1499" w:rsidRPr="00A04A62" w:rsidRDefault="008A1499" w:rsidP="00EE7CA8">
            <w:pPr>
              <w:pStyle w:val="AFCorNNormal"/>
            </w:pPr>
            <w:r w:rsidRPr="00A04A62">
              <w:t>Item</w:t>
            </w:r>
            <w:r w:rsidR="00D30136">
              <w:t>s</w:t>
            </w:r>
            <w:r w:rsidRPr="00A04A62">
              <w:t xml:space="preserve"> </w:t>
            </w:r>
            <w:r w:rsidR="00A04B9A">
              <w:t xml:space="preserve">5 to </w:t>
            </w:r>
            <w:r w:rsidR="001F73EC">
              <w:t>12</w:t>
            </w:r>
            <w:r w:rsidR="005F12CA">
              <w:t>, 14</w:t>
            </w:r>
            <w:r w:rsidR="00B463CC">
              <w:t xml:space="preserve"> and </w:t>
            </w:r>
            <w:r w:rsidR="00555701">
              <w:t>15</w:t>
            </w:r>
            <w:r w:rsidR="00A04B9A" w:rsidRPr="00A04A62">
              <w:t xml:space="preserve"> </w:t>
            </w:r>
            <w:r w:rsidRPr="00A04A62">
              <w:t>of the provisional agenda</w:t>
            </w:r>
            <w:r w:rsidRPr="00A04A62">
              <w:rPr>
                <w:rStyle w:val="FootnoteReference"/>
              </w:rPr>
              <w:footnoteReference w:customMarkFollows="1" w:id="1"/>
              <w:t>*</w:t>
            </w:r>
            <w:r w:rsidRPr="00A04A62">
              <w:t xml:space="preserve"> </w:t>
            </w:r>
          </w:p>
        </w:tc>
        <w:tc>
          <w:tcPr>
            <w:tcW w:w="4812" w:type="dxa"/>
          </w:tcPr>
          <w:p w14:paraId="17A57365" w14:textId="77777777" w:rsidR="008A1499" w:rsidRPr="00A04A62" w:rsidRDefault="008A1499" w:rsidP="008A1499">
            <w:pPr>
              <w:pStyle w:val="CBDNormal"/>
              <w:jc w:val="left"/>
            </w:pPr>
          </w:p>
        </w:tc>
      </w:tr>
      <w:tr w:rsidR="00BB52B8" w:rsidRPr="00A04A62" w14:paraId="16866313" w14:textId="77777777" w:rsidTr="00EE7CA8">
        <w:trPr>
          <w:trHeight w:val="57"/>
        </w:trPr>
        <w:tc>
          <w:tcPr>
            <w:tcW w:w="5670" w:type="dxa"/>
          </w:tcPr>
          <w:p w14:paraId="3AD92A73" w14:textId="77777777" w:rsidR="00BB52B8" w:rsidRPr="00EE7CA8" w:rsidRDefault="004716BD" w:rsidP="00EE7CA8">
            <w:pPr>
              <w:pStyle w:val="AFCorN12Bold"/>
              <w:spacing w:after="40"/>
              <w:ind w:right="176"/>
              <w:rPr>
                <w:sz w:val="20"/>
                <w:szCs w:val="20"/>
              </w:rPr>
            </w:pPr>
            <w:r w:rsidRPr="00EE7CA8">
              <w:rPr>
                <w:sz w:val="20"/>
                <w:szCs w:val="20"/>
              </w:rPr>
              <w:t>Report of the Compliance Committee</w:t>
            </w:r>
          </w:p>
          <w:p w14:paraId="069CF732" w14:textId="19126395" w:rsidR="004716BD" w:rsidRPr="00EE7CA8" w:rsidRDefault="00FF1554" w:rsidP="00EE7CA8">
            <w:pPr>
              <w:pStyle w:val="AFCorN12Bold"/>
              <w:spacing w:after="40"/>
              <w:ind w:right="176"/>
              <w:rPr>
                <w:sz w:val="20"/>
                <w:szCs w:val="20"/>
              </w:rPr>
            </w:pPr>
            <w:r w:rsidRPr="00EE7CA8">
              <w:rPr>
                <w:sz w:val="20"/>
                <w:szCs w:val="20"/>
              </w:rPr>
              <w:t>Administration of the Nagoya Protocol and budget for the trust funds</w:t>
            </w:r>
          </w:p>
          <w:p w14:paraId="310EFF51" w14:textId="77777777" w:rsidR="00FF1554" w:rsidRPr="00EE7CA8" w:rsidRDefault="001C2C78" w:rsidP="00EE7CA8">
            <w:pPr>
              <w:pStyle w:val="AFCorN12Bold"/>
              <w:spacing w:after="40"/>
              <w:ind w:right="176"/>
              <w:rPr>
                <w:sz w:val="20"/>
                <w:szCs w:val="20"/>
              </w:rPr>
            </w:pPr>
            <w:r w:rsidRPr="00EE7CA8">
              <w:rPr>
                <w:sz w:val="20"/>
                <w:szCs w:val="20"/>
              </w:rPr>
              <w:t>Monitoring and reporting</w:t>
            </w:r>
          </w:p>
          <w:p w14:paraId="7307F74F" w14:textId="79912E4F" w:rsidR="001C2C78" w:rsidRPr="00EE7CA8" w:rsidRDefault="005C4284" w:rsidP="00EE7CA8">
            <w:pPr>
              <w:pStyle w:val="AFCorN12Bold"/>
              <w:spacing w:after="40"/>
              <w:ind w:right="176"/>
              <w:rPr>
                <w:sz w:val="20"/>
                <w:szCs w:val="20"/>
              </w:rPr>
            </w:pPr>
            <w:r w:rsidRPr="00EE7CA8">
              <w:rPr>
                <w:sz w:val="20"/>
                <w:szCs w:val="20"/>
              </w:rPr>
              <w:t xml:space="preserve">Assessment and review of the effectiveness </w:t>
            </w:r>
            <w:r w:rsidR="008A442F" w:rsidRPr="00EE7CA8">
              <w:rPr>
                <w:sz w:val="20"/>
                <w:szCs w:val="20"/>
              </w:rPr>
              <w:br/>
            </w:r>
            <w:r w:rsidRPr="00EE7CA8">
              <w:rPr>
                <w:sz w:val="20"/>
                <w:szCs w:val="20"/>
              </w:rPr>
              <w:t>of the Nagoya Protocol</w:t>
            </w:r>
          </w:p>
          <w:p w14:paraId="536ABE20" w14:textId="3F93E1E0" w:rsidR="005C4284" w:rsidRPr="00EE7CA8" w:rsidRDefault="004A5E1D" w:rsidP="00EE7CA8">
            <w:pPr>
              <w:pStyle w:val="AFCorN12Bold"/>
              <w:spacing w:after="40"/>
              <w:ind w:right="176"/>
              <w:rPr>
                <w:sz w:val="20"/>
                <w:szCs w:val="20"/>
              </w:rPr>
            </w:pPr>
            <w:r w:rsidRPr="00EE7CA8">
              <w:rPr>
                <w:sz w:val="20"/>
                <w:szCs w:val="20"/>
              </w:rPr>
              <w:t>Enhancing the implementation of the Nagoya Protocol</w:t>
            </w:r>
          </w:p>
          <w:p w14:paraId="43DF2548" w14:textId="3743D407" w:rsidR="00122DD1" w:rsidRPr="00EE7CA8" w:rsidRDefault="00122DD1" w:rsidP="00EE7CA8">
            <w:pPr>
              <w:pStyle w:val="AFCorN12Bold"/>
              <w:spacing w:after="40"/>
              <w:ind w:right="176"/>
              <w:rPr>
                <w:sz w:val="22"/>
              </w:rPr>
            </w:pPr>
            <w:r w:rsidRPr="00EE7CA8">
              <w:rPr>
                <w:sz w:val="20"/>
                <w:szCs w:val="20"/>
              </w:rPr>
              <w:t>Financial mechanism and resources</w:t>
            </w:r>
          </w:p>
        </w:tc>
        <w:tc>
          <w:tcPr>
            <w:tcW w:w="4812" w:type="dxa"/>
          </w:tcPr>
          <w:p w14:paraId="44847D82" w14:textId="105E4A09" w:rsidR="00B0746E" w:rsidRPr="00EE7CA8" w:rsidRDefault="00B0746E" w:rsidP="00EE7CA8">
            <w:pPr>
              <w:pStyle w:val="AFCorN12Bold"/>
              <w:spacing w:after="40"/>
              <w:ind w:left="-141" w:right="175"/>
              <w:rPr>
                <w:sz w:val="20"/>
                <w:szCs w:val="20"/>
              </w:rPr>
            </w:pPr>
            <w:r w:rsidRPr="00EE7CA8">
              <w:rPr>
                <w:sz w:val="20"/>
                <w:szCs w:val="20"/>
              </w:rPr>
              <w:t>Specialized international access and benefit-sharing instruments in the context of Article 4, paragraph 4, of the Nagoya Protocol</w:t>
            </w:r>
          </w:p>
          <w:p w14:paraId="2EEFDE3D" w14:textId="0EF8A6B7" w:rsidR="00487499" w:rsidRPr="00EE7CA8" w:rsidRDefault="00487499" w:rsidP="00EE7CA8">
            <w:pPr>
              <w:pStyle w:val="AFCorN12Bold"/>
              <w:spacing w:after="40"/>
              <w:ind w:left="-141"/>
              <w:rPr>
                <w:sz w:val="20"/>
                <w:szCs w:val="20"/>
              </w:rPr>
            </w:pPr>
            <w:r w:rsidRPr="00EE7CA8">
              <w:rPr>
                <w:sz w:val="20"/>
                <w:szCs w:val="20"/>
              </w:rPr>
              <w:t>Global multilateral benefit-sharing mechanism</w:t>
            </w:r>
          </w:p>
          <w:p w14:paraId="45D1AA03" w14:textId="7425C4BF" w:rsidR="00487499" w:rsidRPr="00EE7CA8" w:rsidRDefault="00487499" w:rsidP="00EE7CA8">
            <w:pPr>
              <w:pStyle w:val="AFCorN12Bold"/>
              <w:spacing w:after="40"/>
              <w:ind w:left="-141"/>
              <w:rPr>
                <w:sz w:val="20"/>
                <w:szCs w:val="20"/>
              </w:rPr>
            </w:pPr>
            <w:r w:rsidRPr="00EE7CA8">
              <w:rPr>
                <w:sz w:val="20"/>
                <w:szCs w:val="20"/>
              </w:rPr>
              <w:t>Review of the effectiveness of processes under the Convention on Biological Diversity and its Protocols</w:t>
            </w:r>
          </w:p>
          <w:p w14:paraId="62A607CE" w14:textId="49B19C53" w:rsidR="00BB52B8" w:rsidRPr="00A8220B" w:rsidRDefault="00487499" w:rsidP="00EE7CA8">
            <w:pPr>
              <w:pStyle w:val="AFCorN12Bold"/>
              <w:spacing w:after="40"/>
              <w:ind w:left="-141"/>
            </w:pPr>
            <w:r w:rsidRPr="00EE7CA8">
              <w:rPr>
                <w:sz w:val="20"/>
                <w:szCs w:val="20"/>
              </w:rPr>
              <w:t>Digital sequence information on genetic resources</w:t>
            </w:r>
          </w:p>
        </w:tc>
      </w:tr>
    </w:tbl>
    <w:p w14:paraId="1D4BC38F" w14:textId="4029D135" w:rsidR="00C9161D" w:rsidRPr="00A04A62" w:rsidRDefault="00BC5BB6" w:rsidP="00A111D1">
      <w:pPr>
        <w:pStyle w:val="CBDTitle"/>
        <w:rPr>
          <w:caps/>
        </w:rPr>
      </w:pPr>
      <w:sdt>
        <w:sdt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EndPr/>
        <w:sdtContent>
          <w:r w:rsidR="00DE1421" w:rsidRPr="00161F2E">
            <w:t xml:space="preserve">Compilation of draft decisions for the </w:t>
          </w:r>
          <w:r w:rsidR="00DE1421">
            <w:t>sixth</w:t>
          </w:r>
          <w:r w:rsidR="00DE1421" w:rsidRPr="00161F2E">
            <w:t xml:space="preserve"> meeting of the Conference of the Parties serving as the meeting of the Parties to the Nagoya Protocol on Access to Genetic Resources and the Fair and Equitable Sharing of Benefits Arising from Their Utilization</w:t>
          </w:r>
        </w:sdtContent>
      </w:sdt>
      <w:r w:rsidR="00105372" w:rsidRPr="00A04A62">
        <w:rPr>
          <w:caps/>
        </w:rPr>
        <w:t xml:space="preserve"> </w:t>
      </w:r>
    </w:p>
    <w:p w14:paraId="32FD1255" w14:textId="77777777" w:rsidR="00B70DC0" w:rsidRPr="00A04A62" w:rsidRDefault="00B70DC0" w:rsidP="00B70DC0">
      <w:pPr>
        <w:pStyle w:val="CBDH1"/>
      </w:pPr>
      <w:r w:rsidRPr="00A04A62">
        <w:t>Introduction</w:t>
      </w:r>
    </w:p>
    <w:p w14:paraId="50D4016D" w14:textId="1F4BAEBB" w:rsidR="0044267D" w:rsidRDefault="00431E49" w:rsidP="00EE7CA8">
      <w:pPr>
        <w:pStyle w:val="CBDNormalNumber"/>
        <w:numPr>
          <w:ilvl w:val="0"/>
          <w:numId w:val="0"/>
        </w:numPr>
        <w:ind w:left="567"/>
      </w:pPr>
      <w:r>
        <w:tab/>
      </w:r>
      <w:r w:rsidR="0044267D">
        <w:t xml:space="preserve">The present note contains a compilation of draft decisions for the consideration of the Conference of the Parties </w:t>
      </w:r>
      <w:r w:rsidR="00991CBB">
        <w:t xml:space="preserve">serving as the meeting of the Parties to the Nagoya Protocol on </w:t>
      </w:r>
      <w:r w:rsidR="00991CBB" w:rsidRPr="00991CBB">
        <w:t>Access to Genetic Resources and the Fair and Equitable Sharing of Benefits Arising from Their Utilization</w:t>
      </w:r>
      <w:r w:rsidR="0044267D">
        <w:t xml:space="preserve">. The compilation comprises the draft decisions contained in the various recommendations from the </w:t>
      </w:r>
      <w:r w:rsidR="0044267D" w:rsidRPr="00A7145F">
        <w:t xml:space="preserve">sixth and seventh meetings </w:t>
      </w:r>
      <w:r w:rsidR="0044267D">
        <w:t xml:space="preserve">of the </w:t>
      </w:r>
      <w:r w:rsidR="0044267D" w:rsidRPr="00A7145F">
        <w:t>Subsidiary Body on Implementation</w:t>
      </w:r>
      <w:r w:rsidR="0044267D">
        <w:t>, as well as additional elements developed by the Executive Secretary in the light of, inter alia, previous decisions of the Conference of the Parties serving as the meeting of the Parties to the Nagoya Protocol or recommendations of its subsidiary bodies. The mandates for such additional elements are provided in the documents prepared under each relevant agenda item of the present meeting. Items for which no draft decision is envisaged or has been prepared are also indicated in the compilation, with an explanatory note, for the sake of providing an exhaustive list of items</w:t>
      </w:r>
      <w:r w:rsidR="000F5B8B">
        <w:t>.</w:t>
      </w:r>
    </w:p>
    <w:p w14:paraId="25F99457" w14:textId="77777777" w:rsidR="00363237" w:rsidRDefault="00363237" w:rsidP="008C02D0">
      <w:pPr>
        <w:pStyle w:val="CBDAgendaItem"/>
        <w:rPr>
          <w:rFonts w:hint="eastAsia"/>
          <w:sz w:val="26"/>
          <w:szCs w:val="26"/>
        </w:rPr>
        <w:sectPr w:rsidR="00363237" w:rsidSect="00A71031">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763D6CD8" w14:textId="27AECBD7" w:rsidR="00363237" w:rsidRPr="001547F3" w:rsidRDefault="00363237" w:rsidP="003211D7">
      <w:pPr>
        <w:pStyle w:val="TOC1"/>
      </w:pPr>
      <w:bookmarkStart w:id="0" w:name="_Toc236301302"/>
      <w:r w:rsidRPr="001547F3">
        <w:rPr>
          <w:rFonts w:hint="eastAsia"/>
        </w:rPr>
        <w:lastRenderedPageBreak/>
        <w:t>Contents</w:t>
      </w:r>
      <w:bookmarkEnd w:id="0"/>
    </w:p>
    <w:p w14:paraId="721A0A8F" w14:textId="28E04C88" w:rsidR="00C2486B" w:rsidRPr="00EE7CA8" w:rsidRDefault="00C2486B" w:rsidP="00EE7CA8">
      <w:pPr>
        <w:jc w:val="right"/>
        <w:rPr>
          <w:rFonts w:hint="eastAsia"/>
          <w:i/>
          <w:iCs/>
          <w:sz w:val="18"/>
          <w:szCs w:val="18"/>
        </w:rPr>
      </w:pPr>
      <w:r w:rsidRPr="00EE7CA8">
        <w:rPr>
          <w:rFonts w:hint="eastAsia"/>
          <w:i/>
          <w:iCs/>
          <w:sz w:val="18"/>
          <w:szCs w:val="18"/>
        </w:rPr>
        <w:t>Page</w:t>
      </w:r>
    </w:p>
    <w:p w14:paraId="2D96E19D" w14:textId="5816F797" w:rsidR="00C27F09" w:rsidRPr="00EE7CA8" w:rsidRDefault="00363237"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sz w:val="22"/>
          <w:szCs w:val="22"/>
        </w:rPr>
        <w:fldChar w:fldCharType="begin"/>
      </w:r>
      <w:r w:rsidRPr="00EE7CA8">
        <w:rPr>
          <w:sz w:val="22"/>
          <w:szCs w:val="22"/>
        </w:rPr>
        <w:instrText xml:space="preserve"> TOC \h \z \t "CBD_AgendaItem,1" </w:instrText>
      </w:r>
      <w:r w:rsidRPr="00EE7CA8">
        <w:rPr>
          <w:sz w:val="22"/>
          <w:szCs w:val="22"/>
        </w:rPr>
        <w:fldChar w:fldCharType="separate"/>
      </w:r>
      <w:r w:rsidR="00C27F09" w:rsidRPr="00EE7CA8">
        <w:rPr>
          <w:rStyle w:val="Hyperlink"/>
          <w:noProof/>
          <w:sz w:val="22"/>
          <w:szCs w:val="22"/>
        </w:rPr>
        <w:fldChar w:fldCharType="begin"/>
      </w:r>
      <w:r w:rsidR="00C27F09" w:rsidRPr="00EE7CA8">
        <w:rPr>
          <w:rStyle w:val="Hyperlink"/>
          <w:noProof/>
          <w:sz w:val="22"/>
          <w:szCs w:val="22"/>
        </w:rPr>
        <w:instrText xml:space="preserve"> </w:instrText>
      </w:r>
      <w:r w:rsidR="00C27F09" w:rsidRPr="00EE7CA8">
        <w:rPr>
          <w:noProof/>
          <w:sz w:val="22"/>
          <w:szCs w:val="22"/>
        </w:rPr>
        <w:instrText>HYPERLINK \l "_Toc241588357"</w:instrText>
      </w:r>
      <w:r w:rsidR="00C27F09" w:rsidRPr="00EE7CA8">
        <w:rPr>
          <w:rStyle w:val="Hyperlink"/>
          <w:noProof/>
          <w:sz w:val="22"/>
          <w:szCs w:val="22"/>
        </w:rPr>
        <w:instrText xml:space="preserve"> </w:instrText>
      </w:r>
      <w:r w:rsidR="00C27F09" w:rsidRPr="008A442F">
        <w:rPr>
          <w:rStyle w:val="Hyperlink"/>
          <w:noProof/>
          <w:sz w:val="22"/>
          <w:szCs w:val="22"/>
        </w:rPr>
      </w:r>
      <w:r w:rsidR="00C27F09" w:rsidRPr="00EE7CA8">
        <w:rPr>
          <w:rStyle w:val="Hyperlink"/>
          <w:noProof/>
          <w:sz w:val="22"/>
          <w:szCs w:val="22"/>
        </w:rPr>
        <w:fldChar w:fldCharType="separate"/>
      </w:r>
      <w:r w:rsidR="00C27F09" w:rsidRPr="00EE7CA8">
        <w:rPr>
          <w:rStyle w:val="Hyperlink"/>
          <w:noProof/>
          <w:sz w:val="22"/>
          <w:szCs w:val="22"/>
        </w:rPr>
        <w:t>Items 1 to 4</w:t>
      </w:r>
      <w:r w:rsidR="00C27F09" w:rsidRPr="00EE7CA8">
        <w:rPr>
          <w:noProof/>
          <w:webHidden/>
          <w:sz w:val="22"/>
          <w:szCs w:val="22"/>
        </w:rPr>
        <w:tab/>
      </w:r>
      <w:r w:rsidR="00C27F09" w:rsidRPr="00EE7CA8">
        <w:rPr>
          <w:noProof/>
          <w:webHidden/>
          <w:sz w:val="22"/>
          <w:szCs w:val="22"/>
        </w:rPr>
        <w:fldChar w:fldCharType="begin"/>
      </w:r>
      <w:r w:rsidR="00C27F09" w:rsidRPr="00EE7CA8">
        <w:rPr>
          <w:noProof/>
          <w:webHidden/>
          <w:sz w:val="22"/>
          <w:szCs w:val="22"/>
        </w:rPr>
        <w:instrText xml:space="preserve"> PAGEREF _Toc241588357 \h </w:instrText>
      </w:r>
      <w:r w:rsidR="00C27F09" w:rsidRPr="008A442F">
        <w:rPr>
          <w:noProof/>
          <w:webHidden/>
          <w:sz w:val="22"/>
          <w:szCs w:val="22"/>
        </w:rPr>
      </w:r>
      <w:r w:rsidR="00C27F09" w:rsidRPr="00EE7CA8">
        <w:rPr>
          <w:noProof/>
          <w:webHidden/>
          <w:sz w:val="22"/>
          <w:szCs w:val="22"/>
        </w:rPr>
        <w:fldChar w:fldCharType="separate"/>
      </w:r>
      <w:r w:rsidR="00C27F09" w:rsidRPr="00EE7CA8">
        <w:rPr>
          <w:noProof/>
          <w:webHidden/>
          <w:sz w:val="22"/>
          <w:szCs w:val="22"/>
        </w:rPr>
        <w:t>3</w:t>
      </w:r>
      <w:r w:rsidR="00C27F09" w:rsidRPr="00EE7CA8">
        <w:rPr>
          <w:noProof/>
          <w:webHidden/>
          <w:sz w:val="22"/>
          <w:szCs w:val="22"/>
        </w:rPr>
        <w:fldChar w:fldCharType="end"/>
      </w:r>
      <w:r w:rsidR="00C27F09" w:rsidRPr="00EE7CA8">
        <w:rPr>
          <w:rStyle w:val="Hyperlink"/>
          <w:noProof/>
          <w:sz w:val="22"/>
          <w:szCs w:val="22"/>
        </w:rPr>
        <w:fldChar w:fldCharType="end"/>
      </w:r>
    </w:p>
    <w:p w14:paraId="105A0B38" w14:textId="26A1A4A1"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"_Toc241588358"</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5</w:t>
      </w:r>
      <w:r w:rsidRPr="001547F3">
        <w:rPr>
          <w:rStyle w:val="Hyperlink"/>
          <w:noProof/>
          <w:sz w:val="22"/>
          <w:szCs w:val="22"/>
        </w:rPr>
        <w:t>.</w:t>
      </w:r>
      <w:r w:rsidRPr="001547F3">
        <w:rPr>
          <w:rStyle w:val="Hyperlink"/>
          <w:noProof/>
          <w:sz w:val="22"/>
          <w:szCs w:val="22"/>
        </w:rPr>
        <w:tab/>
      </w:r>
      <w:r w:rsidRPr="00EE7CA8">
        <w:rPr>
          <w:rStyle w:val="Hyperlink"/>
          <w:noProof/>
          <w:sz w:val="22"/>
          <w:szCs w:val="22"/>
        </w:rPr>
        <w:t>Report of the Compliance Committee</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_Toc241588358 \h </w:instrText>
      </w:r>
      <w:r w:rsidRPr="008A442F">
        <w:rPr>
          <w:noProof/>
          <w:webHidden/>
          <w:sz w:val="22"/>
          <w:szCs w:val="22"/>
        </w:rPr>
      </w:r>
      <w:r w:rsidRPr="00EE7CA8">
        <w:rPr>
          <w:noProof/>
          <w:webHidden/>
          <w:sz w:val="22"/>
          <w:szCs w:val="22"/>
        </w:rPr>
        <w:fldChar w:fldCharType="separate"/>
      </w:r>
      <w:r w:rsidRPr="00EE7CA8">
        <w:rPr>
          <w:noProof/>
          <w:webHidden/>
          <w:sz w:val="22"/>
          <w:szCs w:val="22"/>
        </w:rPr>
        <w:t>4</w:t>
      </w:r>
      <w:r w:rsidRPr="00EE7CA8">
        <w:rPr>
          <w:noProof/>
          <w:webHidden/>
          <w:sz w:val="22"/>
          <w:szCs w:val="22"/>
        </w:rPr>
        <w:fldChar w:fldCharType="end"/>
      </w:r>
      <w:r w:rsidRPr="00EE7CA8">
        <w:rPr>
          <w:rStyle w:val="Hyperlink"/>
          <w:noProof/>
          <w:sz w:val="22"/>
          <w:szCs w:val="22"/>
        </w:rPr>
        <w:fldChar w:fldCharType="end"/>
      </w:r>
    </w:p>
    <w:p w14:paraId="696D2C3F" w14:textId="1357C8F8"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"_Toc241588359"</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6</w:t>
      </w:r>
      <w:r w:rsidRPr="001547F3">
        <w:rPr>
          <w:rStyle w:val="Hyperlink"/>
          <w:noProof/>
          <w:sz w:val="22"/>
          <w:szCs w:val="22"/>
        </w:rPr>
        <w:t>.</w:t>
      </w:r>
      <w:r w:rsidRPr="001547F3">
        <w:rPr>
          <w:rStyle w:val="Hyperlink"/>
          <w:noProof/>
          <w:sz w:val="22"/>
          <w:szCs w:val="22"/>
        </w:rPr>
        <w:tab/>
      </w:r>
      <w:r w:rsidRPr="00EE7CA8">
        <w:rPr>
          <w:rStyle w:val="Hyperlink"/>
          <w:noProof/>
          <w:sz w:val="22"/>
          <w:szCs w:val="22"/>
        </w:rPr>
        <w:t>Administration of the Nagoya Protocol and budget for the trust funds</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_Toc241588359 \h </w:instrText>
      </w:r>
      <w:r w:rsidRPr="008A442F">
        <w:rPr>
          <w:noProof/>
          <w:webHidden/>
          <w:sz w:val="22"/>
          <w:szCs w:val="22"/>
        </w:rPr>
      </w:r>
      <w:r w:rsidRPr="00EE7CA8">
        <w:rPr>
          <w:noProof/>
          <w:webHidden/>
          <w:sz w:val="22"/>
          <w:szCs w:val="22"/>
        </w:rPr>
        <w:fldChar w:fldCharType="separate"/>
      </w:r>
      <w:r w:rsidRPr="00EE7CA8">
        <w:rPr>
          <w:noProof/>
          <w:webHidden/>
          <w:sz w:val="22"/>
          <w:szCs w:val="22"/>
        </w:rPr>
        <w:t>5</w:t>
      </w:r>
      <w:r w:rsidRPr="00EE7CA8">
        <w:rPr>
          <w:noProof/>
          <w:webHidden/>
          <w:sz w:val="22"/>
          <w:szCs w:val="22"/>
        </w:rPr>
        <w:fldChar w:fldCharType="end"/>
      </w:r>
      <w:r w:rsidRPr="00EE7CA8">
        <w:rPr>
          <w:rStyle w:val="Hyperlink"/>
          <w:noProof/>
          <w:sz w:val="22"/>
          <w:szCs w:val="22"/>
        </w:rPr>
        <w:fldChar w:fldCharType="end"/>
      </w:r>
    </w:p>
    <w:p w14:paraId="1C4762FA" w14:textId="6EA6C391"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"_Toc241588360"</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7</w:t>
      </w:r>
      <w:r w:rsidRPr="001547F3">
        <w:rPr>
          <w:rStyle w:val="Hyperlink"/>
          <w:noProof/>
          <w:sz w:val="22"/>
          <w:szCs w:val="22"/>
        </w:rPr>
        <w:t>.</w:t>
      </w:r>
      <w:r w:rsidRPr="001547F3">
        <w:rPr>
          <w:rStyle w:val="Hyperlink"/>
          <w:noProof/>
          <w:sz w:val="22"/>
          <w:szCs w:val="22"/>
        </w:rPr>
        <w:tab/>
      </w:r>
      <w:r w:rsidRPr="00EE7CA8">
        <w:rPr>
          <w:rStyle w:val="Hyperlink"/>
          <w:noProof/>
          <w:sz w:val="22"/>
          <w:szCs w:val="22"/>
        </w:rPr>
        <w:t>Monitoring and reporting</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_Toc241588360 \h </w:instrText>
      </w:r>
      <w:r w:rsidRPr="008A442F">
        <w:rPr>
          <w:noProof/>
          <w:webHidden/>
          <w:sz w:val="22"/>
          <w:szCs w:val="22"/>
        </w:rPr>
      </w:r>
      <w:r w:rsidRPr="00EE7CA8">
        <w:rPr>
          <w:noProof/>
          <w:webHidden/>
          <w:sz w:val="22"/>
          <w:szCs w:val="22"/>
        </w:rPr>
        <w:fldChar w:fldCharType="separate"/>
      </w:r>
      <w:r w:rsidRPr="00EE7CA8">
        <w:rPr>
          <w:noProof/>
          <w:webHidden/>
          <w:sz w:val="22"/>
          <w:szCs w:val="22"/>
        </w:rPr>
        <w:t>7</w:t>
      </w:r>
      <w:r w:rsidRPr="00EE7CA8">
        <w:rPr>
          <w:noProof/>
          <w:webHidden/>
          <w:sz w:val="22"/>
          <w:szCs w:val="22"/>
        </w:rPr>
        <w:fldChar w:fldCharType="end"/>
      </w:r>
      <w:r w:rsidRPr="00EE7CA8">
        <w:rPr>
          <w:rStyle w:val="Hyperlink"/>
          <w:noProof/>
          <w:sz w:val="22"/>
          <w:szCs w:val="22"/>
        </w:rPr>
        <w:fldChar w:fldCharType="end"/>
      </w:r>
    </w:p>
    <w:p w14:paraId="79ACCE7C" w14:textId="3C872B56"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"_Toc241588361"</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8</w:t>
      </w:r>
      <w:r w:rsidRPr="001547F3">
        <w:rPr>
          <w:rStyle w:val="Hyperlink"/>
          <w:noProof/>
          <w:sz w:val="22"/>
          <w:szCs w:val="22"/>
        </w:rPr>
        <w:t>.</w:t>
      </w:r>
      <w:r w:rsidRPr="001547F3">
        <w:rPr>
          <w:rStyle w:val="Hyperlink"/>
          <w:noProof/>
          <w:sz w:val="22"/>
          <w:szCs w:val="22"/>
        </w:rPr>
        <w:tab/>
      </w:r>
      <w:r w:rsidRPr="00EE7CA8">
        <w:rPr>
          <w:rStyle w:val="Hyperlink"/>
          <w:noProof/>
          <w:sz w:val="22"/>
          <w:szCs w:val="22"/>
        </w:rPr>
        <w:t>Assessment and review of the effectiveness of the Nagoya Protocol</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_Toc241588361 \h </w:instrText>
      </w:r>
      <w:r w:rsidRPr="008A442F">
        <w:rPr>
          <w:noProof/>
          <w:webHidden/>
          <w:sz w:val="22"/>
          <w:szCs w:val="22"/>
        </w:rPr>
      </w:r>
      <w:r w:rsidRPr="00EE7CA8">
        <w:rPr>
          <w:noProof/>
          <w:webHidden/>
          <w:sz w:val="22"/>
          <w:szCs w:val="22"/>
        </w:rPr>
        <w:fldChar w:fldCharType="separate"/>
      </w:r>
      <w:r w:rsidRPr="00EE7CA8">
        <w:rPr>
          <w:noProof/>
          <w:webHidden/>
          <w:sz w:val="22"/>
          <w:szCs w:val="22"/>
        </w:rPr>
        <w:t>8</w:t>
      </w:r>
      <w:r w:rsidRPr="00EE7CA8">
        <w:rPr>
          <w:noProof/>
          <w:webHidden/>
          <w:sz w:val="22"/>
          <w:szCs w:val="22"/>
        </w:rPr>
        <w:fldChar w:fldCharType="end"/>
      </w:r>
      <w:r w:rsidRPr="00EE7CA8">
        <w:rPr>
          <w:rStyle w:val="Hyperlink"/>
          <w:noProof/>
          <w:sz w:val="22"/>
          <w:szCs w:val="22"/>
        </w:rPr>
        <w:fldChar w:fldCharType="end"/>
      </w:r>
    </w:p>
    <w:p w14:paraId="757A57B1" w14:textId="34C70A2A"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"_Toc241588362"</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sz w:val="22"/>
          <w:szCs w:val="22"/>
        </w:rPr>
        <w:t>Item 9.</w:t>
      </w:r>
      <w:r w:rsidRPr="00EE7CA8">
        <w:rPr>
          <w:rStyle w:val="Hyperlink"/>
          <w:sz w:val="22"/>
          <w:szCs w:val="22"/>
        </w:rPr>
        <w:tab/>
        <w:t>Enhancing the implementation of the Nagoya Protocol</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_Toc241588362 \h </w:instrText>
      </w:r>
      <w:r w:rsidRPr="008A442F">
        <w:rPr>
          <w:noProof/>
          <w:webHidden/>
          <w:sz w:val="22"/>
          <w:szCs w:val="22"/>
        </w:rPr>
      </w:r>
      <w:r w:rsidRPr="00EE7CA8">
        <w:rPr>
          <w:noProof/>
          <w:webHidden/>
          <w:sz w:val="22"/>
          <w:szCs w:val="22"/>
        </w:rPr>
        <w:fldChar w:fldCharType="separate"/>
      </w:r>
      <w:r w:rsidRPr="00EE7CA8">
        <w:rPr>
          <w:noProof/>
          <w:webHidden/>
          <w:sz w:val="22"/>
          <w:szCs w:val="22"/>
        </w:rPr>
        <w:t>12</w:t>
      </w:r>
      <w:r w:rsidRPr="00EE7CA8">
        <w:rPr>
          <w:noProof/>
          <w:webHidden/>
          <w:sz w:val="22"/>
          <w:szCs w:val="22"/>
        </w:rPr>
        <w:fldChar w:fldCharType="end"/>
      </w:r>
      <w:r w:rsidRPr="00EE7CA8">
        <w:rPr>
          <w:rStyle w:val="Hyperlink"/>
          <w:noProof/>
          <w:sz w:val="22"/>
          <w:szCs w:val="22"/>
        </w:rPr>
        <w:fldChar w:fldCharType="end"/>
      </w:r>
    </w:p>
    <w:p w14:paraId="718309D3" w14:textId="7ACB0522"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"_Toc241588363"</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10</w:t>
      </w:r>
      <w:r w:rsidRPr="001547F3">
        <w:rPr>
          <w:rStyle w:val="Hyperlink"/>
          <w:noProof/>
          <w:sz w:val="22"/>
          <w:szCs w:val="22"/>
        </w:rPr>
        <w:t>.</w:t>
      </w:r>
      <w:r w:rsidR="00897905" w:rsidRPr="001547F3">
        <w:rPr>
          <w:rStyle w:val="Hyperlink"/>
          <w:noProof/>
          <w:sz w:val="22"/>
          <w:szCs w:val="22"/>
        </w:rPr>
        <w:tab/>
      </w:r>
      <w:r w:rsidRPr="00EE7CA8">
        <w:rPr>
          <w:rStyle w:val="Hyperlink"/>
          <w:noProof/>
          <w:sz w:val="22"/>
          <w:szCs w:val="22"/>
        </w:rPr>
        <w:t>Financial mechanism and resources</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_Toc241588363 \h </w:instrText>
      </w:r>
      <w:r w:rsidRPr="008A442F">
        <w:rPr>
          <w:noProof/>
          <w:webHidden/>
          <w:sz w:val="22"/>
          <w:szCs w:val="22"/>
        </w:rPr>
      </w:r>
      <w:r w:rsidRPr="00EE7CA8">
        <w:rPr>
          <w:noProof/>
          <w:webHidden/>
          <w:sz w:val="22"/>
          <w:szCs w:val="22"/>
        </w:rPr>
        <w:fldChar w:fldCharType="separate"/>
      </w:r>
      <w:r w:rsidRPr="00EE7CA8">
        <w:rPr>
          <w:noProof/>
          <w:webHidden/>
          <w:sz w:val="22"/>
          <w:szCs w:val="22"/>
        </w:rPr>
        <w:t>15</w:t>
      </w:r>
      <w:r w:rsidRPr="00EE7CA8">
        <w:rPr>
          <w:noProof/>
          <w:webHidden/>
          <w:sz w:val="22"/>
          <w:szCs w:val="22"/>
        </w:rPr>
        <w:fldChar w:fldCharType="end"/>
      </w:r>
      <w:r w:rsidRPr="00EE7CA8">
        <w:rPr>
          <w:rStyle w:val="Hyperlink"/>
          <w:noProof/>
          <w:sz w:val="22"/>
          <w:szCs w:val="22"/>
        </w:rPr>
        <w:fldChar w:fldCharType="end"/>
      </w:r>
    </w:p>
    <w:p w14:paraId="4B1CCC7A" w14:textId="3BEF6FEC"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"_Toc241588364"</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11</w:t>
      </w:r>
      <w:r w:rsidRPr="001547F3">
        <w:rPr>
          <w:rStyle w:val="Hyperlink"/>
          <w:noProof/>
          <w:sz w:val="22"/>
          <w:szCs w:val="22"/>
        </w:rPr>
        <w:t>.</w:t>
      </w:r>
      <w:r w:rsidR="001547F3" w:rsidRPr="001547F3">
        <w:rPr>
          <w:rStyle w:val="Hyperlink"/>
          <w:noProof/>
          <w:sz w:val="22"/>
          <w:szCs w:val="22"/>
        </w:rPr>
        <w:tab/>
      </w:r>
      <w:r w:rsidRPr="00EE7CA8">
        <w:rPr>
          <w:rStyle w:val="Hyperlink"/>
          <w:noProof/>
          <w:sz w:val="22"/>
          <w:szCs w:val="22"/>
        </w:rPr>
        <w:t>Specialized international access and benefit-sharing instruments  in the context of Article 4, paragraph 4, of the Nagoya Protocol</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_Toc241588364 \h </w:instrText>
      </w:r>
      <w:r w:rsidRPr="008A442F">
        <w:rPr>
          <w:noProof/>
          <w:webHidden/>
          <w:sz w:val="22"/>
          <w:szCs w:val="22"/>
        </w:rPr>
      </w:r>
      <w:r w:rsidRPr="00EE7CA8">
        <w:rPr>
          <w:noProof/>
          <w:webHidden/>
          <w:sz w:val="22"/>
          <w:szCs w:val="22"/>
        </w:rPr>
        <w:fldChar w:fldCharType="separate"/>
      </w:r>
      <w:r w:rsidRPr="00EE7CA8">
        <w:rPr>
          <w:noProof/>
          <w:webHidden/>
          <w:sz w:val="22"/>
          <w:szCs w:val="22"/>
        </w:rPr>
        <w:t>18</w:t>
      </w:r>
      <w:r w:rsidRPr="00EE7CA8">
        <w:rPr>
          <w:noProof/>
          <w:webHidden/>
          <w:sz w:val="22"/>
          <w:szCs w:val="22"/>
        </w:rPr>
        <w:fldChar w:fldCharType="end"/>
      </w:r>
      <w:r w:rsidRPr="00EE7CA8">
        <w:rPr>
          <w:rStyle w:val="Hyperlink"/>
          <w:noProof/>
          <w:sz w:val="22"/>
          <w:szCs w:val="22"/>
        </w:rPr>
        <w:fldChar w:fldCharType="end"/>
      </w:r>
    </w:p>
    <w:p w14:paraId="2ADD42A8" w14:textId="56303B7E"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"_Toc241588365"</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12</w:t>
      </w:r>
      <w:r w:rsidRPr="001547F3">
        <w:rPr>
          <w:rStyle w:val="Hyperlink"/>
          <w:noProof/>
          <w:sz w:val="22"/>
          <w:szCs w:val="22"/>
        </w:rPr>
        <w:t>.</w:t>
      </w:r>
      <w:r w:rsidR="001547F3" w:rsidRPr="001547F3">
        <w:rPr>
          <w:rStyle w:val="Hyperlink"/>
          <w:noProof/>
          <w:sz w:val="22"/>
          <w:szCs w:val="22"/>
        </w:rPr>
        <w:tab/>
      </w:r>
      <w:r w:rsidRPr="00EE7CA8">
        <w:rPr>
          <w:rStyle w:val="Hyperlink"/>
          <w:noProof/>
          <w:sz w:val="22"/>
          <w:szCs w:val="22"/>
        </w:rPr>
        <w:t>Global multilateral benefit-sharing mechanism</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_Toc241588365 \h </w:instrText>
      </w:r>
      <w:r w:rsidRPr="008A442F">
        <w:rPr>
          <w:noProof/>
          <w:webHidden/>
          <w:sz w:val="22"/>
          <w:szCs w:val="22"/>
        </w:rPr>
      </w:r>
      <w:r w:rsidRPr="00EE7CA8">
        <w:rPr>
          <w:noProof/>
          <w:webHidden/>
          <w:sz w:val="22"/>
          <w:szCs w:val="22"/>
        </w:rPr>
        <w:fldChar w:fldCharType="separate"/>
      </w:r>
      <w:r w:rsidRPr="00EE7CA8">
        <w:rPr>
          <w:noProof/>
          <w:webHidden/>
          <w:sz w:val="22"/>
          <w:szCs w:val="22"/>
        </w:rPr>
        <w:t>22</w:t>
      </w:r>
      <w:r w:rsidRPr="00EE7CA8">
        <w:rPr>
          <w:noProof/>
          <w:webHidden/>
          <w:sz w:val="22"/>
          <w:szCs w:val="22"/>
        </w:rPr>
        <w:fldChar w:fldCharType="end"/>
      </w:r>
      <w:r w:rsidRPr="00EE7CA8">
        <w:rPr>
          <w:rStyle w:val="Hyperlink"/>
          <w:noProof/>
          <w:sz w:val="22"/>
          <w:szCs w:val="22"/>
        </w:rPr>
        <w:fldChar w:fldCharType="end"/>
      </w:r>
    </w:p>
    <w:p w14:paraId="0552F4D0" w14:textId="3D3C77E0"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"_Toc241588366"</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13</w:t>
      </w:r>
      <w:r w:rsidRPr="001547F3">
        <w:rPr>
          <w:rStyle w:val="Hyperlink"/>
          <w:noProof/>
          <w:sz w:val="22"/>
          <w:szCs w:val="22"/>
        </w:rPr>
        <w:t>.</w:t>
      </w:r>
      <w:r w:rsidR="001547F3" w:rsidRPr="001547F3">
        <w:rPr>
          <w:rStyle w:val="Hyperlink"/>
          <w:noProof/>
          <w:sz w:val="22"/>
          <w:szCs w:val="22"/>
        </w:rPr>
        <w:tab/>
      </w:r>
      <w:r w:rsidRPr="00EE7CA8">
        <w:rPr>
          <w:rStyle w:val="Hyperlink"/>
          <w:noProof/>
          <w:sz w:val="22"/>
          <w:szCs w:val="22"/>
        </w:rPr>
        <w:t>Cooperation with international organizations,  bodies established under other conventions, and initiatives</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_Toc241588366 \h </w:instrText>
      </w:r>
      <w:r w:rsidRPr="008A442F">
        <w:rPr>
          <w:noProof/>
          <w:webHidden/>
          <w:sz w:val="22"/>
          <w:szCs w:val="22"/>
        </w:rPr>
      </w:r>
      <w:r w:rsidRPr="00EE7CA8">
        <w:rPr>
          <w:noProof/>
          <w:webHidden/>
          <w:sz w:val="22"/>
          <w:szCs w:val="22"/>
        </w:rPr>
        <w:fldChar w:fldCharType="separate"/>
      </w:r>
      <w:r w:rsidRPr="00EE7CA8">
        <w:rPr>
          <w:noProof/>
          <w:webHidden/>
          <w:sz w:val="22"/>
          <w:szCs w:val="22"/>
        </w:rPr>
        <w:t>23</w:t>
      </w:r>
      <w:r w:rsidRPr="00EE7CA8">
        <w:rPr>
          <w:noProof/>
          <w:webHidden/>
          <w:sz w:val="22"/>
          <w:szCs w:val="22"/>
        </w:rPr>
        <w:fldChar w:fldCharType="end"/>
      </w:r>
      <w:r w:rsidRPr="00EE7CA8">
        <w:rPr>
          <w:rStyle w:val="Hyperlink"/>
          <w:noProof/>
          <w:sz w:val="22"/>
          <w:szCs w:val="22"/>
        </w:rPr>
        <w:fldChar w:fldCharType="end"/>
      </w:r>
    </w:p>
    <w:p w14:paraId="5A867181" w14:textId="4091FE49"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"_Toc241588367"</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14</w:t>
      </w:r>
      <w:r w:rsidRPr="001547F3">
        <w:rPr>
          <w:rStyle w:val="Hyperlink"/>
          <w:noProof/>
          <w:sz w:val="22"/>
          <w:szCs w:val="22"/>
        </w:rPr>
        <w:t>.</w:t>
      </w:r>
      <w:r w:rsidR="001547F3" w:rsidRPr="001547F3">
        <w:rPr>
          <w:rStyle w:val="Hyperlink"/>
          <w:noProof/>
          <w:sz w:val="22"/>
          <w:szCs w:val="22"/>
        </w:rPr>
        <w:tab/>
      </w:r>
      <w:r w:rsidRPr="00EE7CA8">
        <w:rPr>
          <w:rStyle w:val="Hyperlink"/>
          <w:noProof/>
          <w:sz w:val="22"/>
          <w:szCs w:val="22"/>
        </w:rPr>
        <w:t>Review of the effectiveness of processes under  the Convention on Biological Diversity and its Protocols</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_Toc241588367 \h </w:instrText>
      </w:r>
      <w:r w:rsidRPr="008A442F">
        <w:rPr>
          <w:noProof/>
          <w:webHidden/>
          <w:sz w:val="22"/>
          <w:szCs w:val="22"/>
        </w:rPr>
      </w:r>
      <w:r w:rsidRPr="00EE7CA8">
        <w:rPr>
          <w:noProof/>
          <w:webHidden/>
          <w:sz w:val="22"/>
          <w:szCs w:val="22"/>
        </w:rPr>
        <w:fldChar w:fldCharType="separate"/>
      </w:r>
      <w:r w:rsidRPr="00EE7CA8">
        <w:rPr>
          <w:noProof/>
          <w:webHidden/>
          <w:sz w:val="22"/>
          <w:szCs w:val="22"/>
        </w:rPr>
        <w:t>24</w:t>
      </w:r>
      <w:r w:rsidRPr="00EE7CA8">
        <w:rPr>
          <w:noProof/>
          <w:webHidden/>
          <w:sz w:val="22"/>
          <w:szCs w:val="22"/>
        </w:rPr>
        <w:fldChar w:fldCharType="end"/>
      </w:r>
      <w:r w:rsidRPr="00EE7CA8">
        <w:rPr>
          <w:rStyle w:val="Hyperlink"/>
          <w:noProof/>
          <w:sz w:val="22"/>
          <w:szCs w:val="22"/>
        </w:rPr>
        <w:fldChar w:fldCharType="end"/>
      </w:r>
    </w:p>
    <w:p w14:paraId="72BD4690" w14:textId="4FC41716"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"_Toc241588368"</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 15</w:t>
      </w:r>
      <w:r w:rsidRPr="001547F3">
        <w:rPr>
          <w:rStyle w:val="Hyperlink"/>
          <w:noProof/>
          <w:sz w:val="22"/>
          <w:szCs w:val="22"/>
        </w:rPr>
        <w:t>.</w:t>
      </w:r>
      <w:r w:rsidR="001547F3" w:rsidRPr="001547F3">
        <w:rPr>
          <w:rStyle w:val="Hyperlink"/>
          <w:noProof/>
          <w:sz w:val="22"/>
          <w:szCs w:val="22"/>
        </w:rPr>
        <w:tab/>
      </w:r>
      <w:r w:rsidRPr="00EE7CA8">
        <w:rPr>
          <w:rStyle w:val="Hyperlink"/>
          <w:noProof/>
          <w:sz w:val="22"/>
          <w:szCs w:val="22"/>
        </w:rPr>
        <w:t>Digital sequence information on genetic resources</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_Toc241588368 \h </w:instrText>
      </w:r>
      <w:r w:rsidRPr="008A442F">
        <w:rPr>
          <w:noProof/>
          <w:webHidden/>
          <w:sz w:val="22"/>
          <w:szCs w:val="22"/>
        </w:rPr>
      </w:r>
      <w:r w:rsidRPr="00EE7CA8">
        <w:rPr>
          <w:noProof/>
          <w:webHidden/>
          <w:sz w:val="22"/>
          <w:szCs w:val="22"/>
        </w:rPr>
        <w:fldChar w:fldCharType="separate"/>
      </w:r>
      <w:r w:rsidRPr="00EE7CA8">
        <w:rPr>
          <w:noProof/>
          <w:webHidden/>
          <w:sz w:val="22"/>
          <w:szCs w:val="22"/>
        </w:rPr>
        <w:t>25</w:t>
      </w:r>
      <w:r w:rsidRPr="00EE7CA8">
        <w:rPr>
          <w:noProof/>
          <w:webHidden/>
          <w:sz w:val="22"/>
          <w:szCs w:val="22"/>
        </w:rPr>
        <w:fldChar w:fldCharType="end"/>
      </w:r>
      <w:r w:rsidRPr="00EE7CA8">
        <w:rPr>
          <w:rStyle w:val="Hyperlink"/>
          <w:noProof/>
          <w:sz w:val="22"/>
          <w:szCs w:val="22"/>
        </w:rPr>
        <w:fldChar w:fldCharType="end"/>
      </w:r>
    </w:p>
    <w:p w14:paraId="6249074F" w14:textId="3107979C" w:rsidR="00C27F09" w:rsidRPr="00EE7CA8" w:rsidRDefault="00C27F09" w:rsidP="001547F3">
      <w:pPr>
        <w:pStyle w:val="TOC1"/>
        <w:rPr>
          <w:rFonts w:asciiTheme="minorHAnsi" w:eastAsiaTheme="minorEastAsia" w:hAnsiTheme="minorHAnsi" w:cstheme="minorBidi"/>
          <w:noProof/>
          <w:kern w:val="2"/>
          <w:sz w:val="22"/>
          <w:szCs w:val="22"/>
          <w:lang w:val="en-US" w:eastAsia="zh-CN"/>
          <w14:ligatures w14:val="standardContextual"/>
        </w:rPr>
      </w:pPr>
      <w:r w:rsidRPr="00EE7CA8">
        <w:rPr>
          <w:rStyle w:val="Hyperlink"/>
          <w:noProof/>
          <w:sz w:val="22"/>
          <w:szCs w:val="22"/>
        </w:rPr>
        <w:fldChar w:fldCharType="begin"/>
      </w:r>
      <w:r w:rsidRPr="00EE7CA8">
        <w:rPr>
          <w:rStyle w:val="Hyperlink"/>
          <w:noProof/>
          <w:sz w:val="22"/>
          <w:szCs w:val="22"/>
        </w:rPr>
        <w:instrText xml:space="preserve"> </w:instrText>
      </w:r>
      <w:r w:rsidRPr="00EE7CA8">
        <w:rPr>
          <w:noProof/>
          <w:sz w:val="22"/>
          <w:szCs w:val="22"/>
        </w:rPr>
        <w:instrText>HYPERLINK \l "_Toc241588369"</w:instrText>
      </w:r>
      <w:r w:rsidRPr="00EE7CA8">
        <w:rPr>
          <w:rStyle w:val="Hyperlink"/>
          <w:noProof/>
          <w:sz w:val="22"/>
          <w:szCs w:val="22"/>
        </w:rPr>
        <w:instrText xml:space="preserve"> </w:instrText>
      </w:r>
      <w:r w:rsidRPr="008A442F">
        <w:rPr>
          <w:rStyle w:val="Hyperlink"/>
          <w:noProof/>
          <w:sz w:val="22"/>
          <w:szCs w:val="22"/>
        </w:rPr>
      </w:r>
      <w:r w:rsidRPr="00EE7CA8">
        <w:rPr>
          <w:rStyle w:val="Hyperlink"/>
          <w:noProof/>
          <w:sz w:val="22"/>
          <w:szCs w:val="22"/>
        </w:rPr>
        <w:fldChar w:fldCharType="separate"/>
      </w:r>
      <w:r w:rsidRPr="00EE7CA8">
        <w:rPr>
          <w:rStyle w:val="Hyperlink"/>
          <w:noProof/>
          <w:sz w:val="22"/>
          <w:szCs w:val="22"/>
        </w:rPr>
        <w:t>Items 16 to 18</w:t>
      </w:r>
      <w:r w:rsidRPr="00EE7CA8">
        <w:rPr>
          <w:noProof/>
          <w:webHidden/>
          <w:sz w:val="22"/>
          <w:szCs w:val="22"/>
        </w:rPr>
        <w:tab/>
      </w:r>
      <w:r w:rsidRPr="00EE7CA8">
        <w:rPr>
          <w:noProof/>
          <w:webHidden/>
          <w:sz w:val="22"/>
          <w:szCs w:val="22"/>
        </w:rPr>
        <w:fldChar w:fldCharType="begin"/>
      </w:r>
      <w:r w:rsidRPr="00EE7CA8">
        <w:rPr>
          <w:noProof/>
          <w:webHidden/>
          <w:sz w:val="22"/>
          <w:szCs w:val="22"/>
        </w:rPr>
        <w:instrText xml:space="preserve"> PAGEREF _Toc241588369 \h </w:instrText>
      </w:r>
      <w:r w:rsidRPr="008A442F">
        <w:rPr>
          <w:noProof/>
          <w:webHidden/>
          <w:sz w:val="22"/>
          <w:szCs w:val="22"/>
        </w:rPr>
      </w:r>
      <w:r w:rsidRPr="00EE7CA8">
        <w:rPr>
          <w:noProof/>
          <w:webHidden/>
          <w:sz w:val="22"/>
          <w:szCs w:val="22"/>
        </w:rPr>
        <w:fldChar w:fldCharType="separate"/>
      </w:r>
      <w:r w:rsidRPr="00EE7CA8">
        <w:rPr>
          <w:noProof/>
          <w:webHidden/>
          <w:sz w:val="22"/>
          <w:szCs w:val="22"/>
        </w:rPr>
        <w:t>26</w:t>
      </w:r>
      <w:r w:rsidRPr="00EE7CA8">
        <w:rPr>
          <w:noProof/>
          <w:webHidden/>
          <w:sz w:val="22"/>
          <w:szCs w:val="22"/>
        </w:rPr>
        <w:fldChar w:fldCharType="end"/>
      </w:r>
      <w:r w:rsidRPr="00EE7CA8">
        <w:rPr>
          <w:rStyle w:val="Hyperlink"/>
          <w:noProof/>
          <w:sz w:val="22"/>
          <w:szCs w:val="22"/>
        </w:rPr>
        <w:fldChar w:fldCharType="end"/>
      </w:r>
    </w:p>
    <w:p w14:paraId="29270A87" w14:textId="6B21AF48" w:rsidR="00363237" w:rsidRDefault="00363237" w:rsidP="00EE7CA8">
      <w:pPr>
        <w:pStyle w:val="CBDAgendaItem"/>
        <w:spacing w:before="120"/>
        <w:ind w:left="2127" w:hanging="991"/>
        <w:rPr>
          <w:rFonts w:hint="eastAsia"/>
          <w:sz w:val="26"/>
          <w:szCs w:val="26"/>
        </w:rPr>
      </w:pPr>
      <w:r w:rsidRPr="00EE7CA8">
        <w:rPr>
          <w:b w:val="0"/>
          <w:sz w:val="22"/>
          <w:szCs w:val="22"/>
        </w:rPr>
        <w:fldChar w:fldCharType="end"/>
      </w:r>
    </w:p>
    <w:p w14:paraId="0954CA53" w14:textId="77777777" w:rsidR="00363237" w:rsidRDefault="00363237" w:rsidP="008C02D0">
      <w:pPr>
        <w:pStyle w:val="CBDAgendaItem"/>
        <w:rPr>
          <w:rFonts w:hint="eastAsia"/>
          <w:sz w:val="26"/>
          <w:szCs w:val="26"/>
        </w:rPr>
      </w:pPr>
    </w:p>
    <w:p w14:paraId="2E3767F8" w14:textId="77777777" w:rsidR="00363237" w:rsidRDefault="00363237" w:rsidP="008C02D0">
      <w:pPr>
        <w:pStyle w:val="CBDAgendaItem"/>
        <w:rPr>
          <w:rFonts w:hint="eastAsia"/>
          <w:sz w:val="26"/>
          <w:szCs w:val="26"/>
        </w:rPr>
        <w:sectPr w:rsidR="00363237" w:rsidSect="00EE7CA8">
          <w:pgSz w:w="12240" w:h="15840"/>
          <w:pgMar w:top="567" w:right="1440" w:bottom="1134" w:left="1440" w:header="709" w:footer="709" w:gutter="0"/>
          <w:cols w:space="708"/>
          <w:docGrid w:linePitch="360"/>
        </w:sectPr>
      </w:pPr>
    </w:p>
    <w:p w14:paraId="42EBA2BC" w14:textId="216CFEA3" w:rsidR="00B70DC0" w:rsidRPr="00363237" w:rsidRDefault="00B70DC0" w:rsidP="008C02D0">
      <w:pPr>
        <w:pStyle w:val="CBDAgendaItem"/>
        <w:rPr>
          <w:rFonts w:hint="eastAsia"/>
          <w:sz w:val="26"/>
          <w:szCs w:val="26"/>
        </w:rPr>
      </w:pPr>
      <w:bookmarkStart w:id="1" w:name="_Toc241588357"/>
      <w:r w:rsidRPr="00363237">
        <w:rPr>
          <w:sz w:val="26"/>
          <w:szCs w:val="26"/>
        </w:rPr>
        <w:lastRenderedPageBreak/>
        <w:t>Item</w:t>
      </w:r>
      <w:r w:rsidR="000F5B8B" w:rsidRPr="00363237">
        <w:rPr>
          <w:sz w:val="26"/>
          <w:szCs w:val="26"/>
        </w:rPr>
        <w:t>s</w:t>
      </w:r>
      <w:r w:rsidRPr="00363237">
        <w:rPr>
          <w:sz w:val="26"/>
          <w:szCs w:val="26"/>
        </w:rPr>
        <w:t xml:space="preserve"> 1</w:t>
      </w:r>
      <w:r w:rsidR="000F5B8B" w:rsidRPr="00363237">
        <w:rPr>
          <w:sz w:val="26"/>
          <w:szCs w:val="26"/>
        </w:rPr>
        <w:t xml:space="preserve"> to 4</w:t>
      </w:r>
      <w:bookmarkEnd w:id="1"/>
      <w:r w:rsidRPr="00363237">
        <w:rPr>
          <w:sz w:val="26"/>
          <w:szCs w:val="26"/>
        </w:rPr>
        <w:t xml:space="preserve"> </w:t>
      </w:r>
    </w:p>
    <w:p w14:paraId="64CEEB13" w14:textId="56E3209D" w:rsidR="00B70DC0" w:rsidRPr="00A04A62" w:rsidRDefault="000833D8" w:rsidP="00EE7CA8">
      <w:pPr>
        <w:pStyle w:val="CBDNormalNumber"/>
        <w:numPr>
          <w:ilvl w:val="0"/>
          <w:numId w:val="0"/>
        </w:numPr>
        <w:ind w:left="567"/>
      </w:pPr>
      <w:r w:rsidRPr="00D571FD">
        <w:t xml:space="preserve">No draft decisions are envisaged under items 1 to 4, owing to the nature of those items. The actions required on the part of the Conference of the Parties </w:t>
      </w:r>
      <w:r>
        <w:t xml:space="preserve">serving as the meeting of the Parties to the Protocol </w:t>
      </w:r>
      <w:r w:rsidRPr="00D571FD">
        <w:t>for those items are reflected in the annotated provisional agenda</w:t>
      </w:r>
      <w:r>
        <w:t>.</w:t>
      </w:r>
      <w:r w:rsidR="003E5423">
        <w:rPr>
          <w:rStyle w:val="FootnoteReference"/>
        </w:rPr>
        <w:footnoteReference w:id="2"/>
      </w:r>
      <w:r>
        <w:t xml:space="preserve"> </w:t>
      </w:r>
    </w:p>
    <w:p w14:paraId="1FF2C49D" w14:textId="77777777" w:rsidR="00A71031" w:rsidRDefault="00A71031" w:rsidP="008C02D0">
      <w:pPr>
        <w:pStyle w:val="CBDAgendaItem"/>
        <w:rPr>
          <w:rFonts w:hint="eastAsia"/>
        </w:rPr>
        <w:sectPr w:rsidR="00A71031" w:rsidSect="00EE7CA8">
          <w:pgSz w:w="12240" w:h="15840"/>
          <w:pgMar w:top="567" w:right="1440" w:bottom="1134" w:left="1440" w:header="709" w:footer="709" w:gutter="0"/>
          <w:cols w:space="708"/>
          <w:docGrid w:linePitch="360"/>
        </w:sectPr>
      </w:pPr>
    </w:p>
    <w:p w14:paraId="1AB05450" w14:textId="476EC2DA" w:rsidR="00B70DC0" w:rsidRPr="00363237" w:rsidRDefault="00B70DC0" w:rsidP="008C02D0">
      <w:pPr>
        <w:pStyle w:val="CBDAgendaItem"/>
        <w:rPr>
          <w:rFonts w:hint="eastAsia"/>
          <w:sz w:val="26"/>
          <w:szCs w:val="26"/>
        </w:rPr>
      </w:pPr>
      <w:bookmarkStart w:id="2" w:name="_Toc241588358"/>
      <w:r w:rsidRPr="00363237">
        <w:rPr>
          <w:sz w:val="26"/>
          <w:szCs w:val="26"/>
        </w:rPr>
        <w:lastRenderedPageBreak/>
        <w:t xml:space="preserve">Item 5 </w:t>
      </w:r>
      <w:r w:rsidR="008C02D0" w:rsidRPr="00363237">
        <w:rPr>
          <w:sz w:val="26"/>
          <w:szCs w:val="26"/>
        </w:rPr>
        <w:br/>
      </w:r>
      <w:r w:rsidRPr="00363237">
        <w:rPr>
          <w:sz w:val="26"/>
          <w:szCs w:val="26"/>
        </w:rPr>
        <w:t>Report of the Compliance Committee</w:t>
      </w:r>
      <w:bookmarkEnd w:id="2"/>
    </w:p>
    <w:tbl>
      <w:tblPr>
        <w:tblStyle w:val="TableGrid"/>
        <w:tblW w:w="0" w:type="auto"/>
        <w:tblLook w:val="04A0" w:firstRow="1" w:lastRow="0" w:firstColumn="1" w:lastColumn="0" w:noHBand="0" w:noVBand="1"/>
      </w:tblPr>
      <w:tblGrid>
        <w:gridCol w:w="9360"/>
      </w:tblGrid>
      <w:tr w:rsidR="00E67A4E" w:rsidRPr="006E0A47" w14:paraId="1BED8B20" w14:textId="77777777" w:rsidTr="00E44EC1">
        <w:tc>
          <w:tcPr>
            <w:tcW w:w="9360" w:type="dxa"/>
            <w:tcBorders>
              <w:left w:val="nil"/>
              <w:right w:val="nil"/>
            </w:tcBorders>
          </w:tcPr>
          <w:p w14:paraId="01D9CF2C" w14:textId="3E7CCF85" w:rsidR="00E67A4E" w:rsidRPr="001F3F2E" w:rsidRDefault="00E67A4E" w:rsidP="00EE7CA8">
            <w:pPr>
              <w:pStyle w:val="CBDcompilation-blurb"/>
              <w:tabs>
                <w:tab w:val="clear" w:pos="567"/>
              </w:tabs>
              <w:ind w:left="0" w:firstLine="567"/>
            </w:pPr>
            <w:r w:rsidRPr="00EE7CA8">
              <w:t>The following draft decision ha</w:t>
            </w:r>
            <w:r w:rsidR="00FE2661" w:rsidRPr="00EE7CA8">
              <w:t>s</w:t>
            </w:r>
            <w:r w:rsidRPr="00EE7CA8">
              <w:t xml:space="preserve"> been reproduced from </w:t>
            </w:r>
            <w:r w:rsidR="007C0A7C" w:rsidRPr="00EE7CA8">
              <w:t xml:space="preserve">document </w:t>
            </w:r>
            <w:hyperlink r:id="rId19" w:history="1">
              <w:r w:rsidR="007C0A7C" w:rsidRPr="00EE7CA8">
                <w:rPr>
                  <w:rStyle w:val="Hyperlink"/>
                </w:rPr>
                <w:t>CBD/NP/MOP/6/3</w:t>
              </w:r>
            </w:hyperlink>
            <w:r w:rsidR="00A76C36" w:rsidRPr="00EE7CA8">
              <w:t xml:space="preserve"> (annex</w:t>
            </w:r>
            <w:r w:rsidR="00D82D8E" w:rsidRPr="00EE7CA8">
              <w:t> </w:t>
            </w:r>
            <w:r w:rsidR="00A76C36" w:rsidRPr="00EE7CA8">
              <w:t>I, sect.</w:t>
            </w:r>
            <w:r w:rsidR="00D82D8E" w:rsidRPr="00EE7CA8">
              <w:t> </w:t>
            </w:r>
            <w:r w:rsidR="00A76C36" w:rsidRPr="00EE7CA8">
              <w:t>I, para.</w:t>
            </w:r>
            <w:r w:rsidR="00D82D8E" w:rsidRPr="00EE7CA8">
              <w:t> </w:t>
            </w:r>
            <w:r w:rsidR="00A76C36" w:rsidRPr="00EE7CA8">
              <w:t>1)</w:t>
            </w:r>
            <w:r w:rsidR="003A7D87" w:rsidRPr="00EE7CA8">
              <w:t>.</w:t>
            </w:r>
          </w:p>
        </w:tc>
      </w:tr>
    </w:tbl>
    <w:p w14:paraId="24DE0F29" w14:textId="02B9ED5A" w:rsidR="004A5B36" w:rsidRDefault="00444B79" w:rsidP="00EE7CA8">
      <w:pPr>
        <w:pStyle w:val="CBDcompilationH2"/>
      </w:pPr>
      <w:r>
        <w:t>Compliance</w:t>
      </w:r>
    </w:p>
    <w:p w14:paraId="4CBACF15" w14:textId="77777777" w:rsidR="004A5B36" w:rsidRPr="008C0E03" w:rsidRDefault="004A5B36" w:rsidP="004A5B36">
      <w:pPr>
        <w:pStyle w:val="CBDSubTitle"/>
        <w:keepNext w:val="0"/>
        <w:keepLines w:val="0"/>
        <w:tabs>
          <w:tab w:val="clear" w:pos="567"/>
          <w:tab w:val="left" w:pos="540"/>
        </w:tabs>
        <w:ind w:left="0" w:firstLine="567"/>
        <w:rPr>
          <w:b w:val="0"/>
          <w:bCs/>
          <w:i/>
          <w:iCs/>
          <w:lang w:bidi="ar-SY"/>
        </w:rPr>
      </w:pPr>
      <w:r w:rsidRPr="008C0E03">
        <w:rPr>
          <w:b w:val="0"/>
          <w:bCs/>
          <w:i/>
          <w:iCs/>
          <w:lang w:bidi="ar-SY"/>
        </w:rPr>
        <w:t>The Conference of the Parties serving as the meeting of the Parties to the Nagoya Protocol</w:t>
      </w:r>
    </w:p>
    <w:p w14:paraId="35A73398" w14:textId="77777777" w:rsidR="004A5B36" w:rsidRPr="008C0E03" w:rsidRDefault="004A5B36" w:rsidP="008E7C8B">
      <w:pPr>
        <w:pStyle w:val="CBDNormalNoNumber"/>
        <w:ind w:firstLine="567"/>
        <w:rPr>
          <w:b/>
          <w:lang w:bidi="ar-SY"/>
        </w:rPr>
      </w:pPr>
      <w:r w:rsidRPr="008C0E03">
        <w:rPr>
          <w:lang w:bidi="ar-SY"/>
        </w:rPr>
        <w:t>1.</w:t>
      </w:r>
      <w:r w:rsidRPr="008C0E03">
        <w:rPr>
          <w:lang w:bidi="ar-SY"/>
        </w:rPr>
        <w:tab/>
      </w:r>
      <w:r w:rsidRPr="008C0E03">
        <w:rPr>
          <w:i/>
          <w:iCs/>
          <w:lang w:bidi="ar-SY"/>
        </w:rPr>
        <w:t>Welcomes</w:t>
      </w:r>
      <w:r w:rsidRPr="008C0E03">
        <w:rPr>
          <w:lang w:bidi="ar-SY"/>
        </w:rPr>
        <w:t xml:space="preserve"> the progress made by Parties in the implementation of the Nagoya Protocol on Access to Genetic Resources and the Fair and Equitable Sharing of Benefits Arising from Their Utilization to the Convention on Biological Diversity;</w:t>
      </w:r>
      <w:r w:rsidRPr="008C0E03">
        <w:rPr>
          <w:rStyle w:val="FootnoteReference"/>
          <w:lang w:bidi="ar-SY"/>
        </w:rPr>
        <w:footnoteReference w:id="3"/>
      </w:r>
    </w:p>
    <w:p w14:paraId="6A731553" w14:textId="77777777" w:rsidR="004A5B36" w:rsidRPr="008C0E03" w:rsidRDefault="004A5B36" w:rsidP="008E7C8B">
      <w:pPr>
        <w:pStyle w:val="CBDNormalNoNumber"/>
        <w:ind w:firstLine="567"/>
        <w:rPr>
          <w:b/>
          <w:lang w:bidi="ar-SY"/>
        </w:rPr>
      </w:pPr>
      <w:r w:rsidRPr="008C0E03">
        <w:rPr>
          <w:lang w:bidi="ar-SY"/>
        </w:rPr>
        <w:t>2.</w:t>
      </w:r>
      <w:r w:rsidRPr="008C0E03">
        <w:rPr>
          <w:lang w:bidi="ar-SY"/>
        </w:rPr>
        <w:tab/>
      </w:r>
      <w:r w:rsidRPr="008C0E03">
        <w:rPr>
          <w:i/>
          <w:iCs/>
          <w:lang w:bidi="ar-SY"/>
        </w:rPr>
        <w:t>Recognizes</w:t>
      </w:r>
      <w:r w:rsidRPr="008C0E03">
        <w:rPr>
          <w:lang w:bidi="ar-SY"/>
        </w:rPr>
        <w:t xml:space="preserve"> that further work is needed to advance the implementation of the Protocol;</w:t>
      </w:r>
    </w:p>
    <w:p w14:paraId="5C05F973" w14:textId="77777777" w:rsidR="004A5B36" w:rsidRPr="008C0E03" w:rsidRDefault="004A5B36" w:rsidP="008E7C8B">
      <w:pPr>
        <w:pStyle w:val="CBDNormalNoNumber"/>
        <w:ind w:firstLine="567"/>
        <w:rPr>
          <w:b/>
          <w:lang w:bidi="ar-SY"/>
        </w:rPr>
      </w:pPr>
      <w:r w:rsidRPr="008C0E03">
        <w:rPr>
          <w:lang w:bidi="ar-SY"/>
        </w:rPr>
        <w:t>3.</w:t>
      </w:r>
      <w:r w:rsidRPr="008C0E03">
        <w:rPr>
          <w:lang w:bidi="ar-SY"/>
        </w:rPr>
        <w:tab/>
      </w:r>
      <w:r w:rsidRPr="008C0E03">
        <w:rPr>
          <w:i/>
          <w:iCs/>
          <w:lang w:bidi="ar-SY"/>
        </w:rPr>
        <w:t>Expresses</w:t>
      </w:r>
      <w:r w:rsidRPr="00EE7CA8">
        <w:rPr>
          <w:i/>
          <w:iCs/>
          <w:lang w:bidi="ar-SY"/>
        </w:rPr>
        <w:t xml:space="preserve"> concern </w:t>
      </w:r>
      <w:r w:rsidRPr="008C0E03">
        <w:rPr>
          <w:lang w:bidi="ar-SY"/>
        </w:rPr>
        <w:t>that:</w:t>
      </w:r>
    </w:p>
    <w:p w14:paraId="6C3FAAFC" w14:textId="77777777" w:rsidR="004A5B36" w:rsidRPr="008C0E03" w:rsidRDefault="004A5B36" w:rsidP="008E7C8B">
      <w:pPr>
        <w:pStyle w:val="CBDNormalNoNumber"/>
        <w:ind w:firstLine="567"/>
        <w:rPr>
          <w:b/>
          <w:lang w:bidi="ar-SY"/>
        </w:rPr>
      </w:pPr>
      <w:r w:rsidRPr="008C0E03">
        <w:rPr>
          <w:lang w:bidi="ar-SY"/>
        </w:rPr>
        <w:t>(a)</w:t>
      </w:r>
      <w:r w:rsidRPr="008C0E03">
        <w:rPr>
          <w:lang w:bidi="ar-SY"/>
        </w:rPr>
        <w:tab/>
        <w:t>Twenty-six per cent of Parties have not yet designated one or more competent national authorities and 54 per cent of Parties have not yet designated one or more checkpoints, indicating significant gaps in the institutional and monitoring architecture of the Protocol;</w:t>
      </w:r>
      <w:r w:rsidRPr="008C0E03">
        <w:rPr>
          <w:rStyle w:val="FootnoteReference"/>
          <w:lang w:bidi="ar-SY"/>
        </w:rPr>
        <w:footnoteReference w:id="4"/>
      </w:r>
    </w:p>
    <w:p w14:paraId="618F6933" w14:textId="77777777" w:rsidR="004A5B36" w:rsidRPr="008C0E03" w:rsidRDefault="004A5B36" w:rsidP="008E7C8B">
      <w:pPr>
        <w:pStyle w:val="CBDNormalNoNumber"/>
        <w:ind w:firstLine="567"/>
        <w:rPr>
          <w:b/>
          <w:lang w:bidi="ar-SY"/>
        </w:rPr>
      </w:pPr>
      <w:r w:rsidRPr="008C0E03">
        <w:rPr>
          <w:lang w:bidi="ar-SY"/>
        </w:rPr>
        <w:t>(b)</w:t>
      </w:r>
      <w:r w:rsidRPr="008C0E03">
        <w:rPr>
          <w:lang w:bidi="ar-SY"/>
        </w:rPr>
        <w:tab/>
        <w:t>Nearly 50 per cent of Parties indicated that they had information that had not yet been published on the Access and Benefit-sharing Clearing-House, pointing to a gap in fulfilling the requirements under Article 14 of the Protocol;</w:t>
      </w:r>
      <w:r w:rsidRPr="008C0E03">
        <w:rPr>
          <w:rStyle w:val="FootnoteReference"/>
          <w:lang w:bidi="ar-SY"/>
        </w:rPr>
        <w:footnoteReference w:id="5"/>
      </w:r>
    </w:p>
    <w:p w14:paraId="55C3B9D8" w14:textId="77777777" w:rsidR="004A5B36" w:rsidRPr="008C0E03" w:rsidRDefault="004A5B36" w:rsidP="008E7C8B">
      <w:pPr>
        <w:pStyle w:val="CBDNormalNoNumber"/>
        <w:tabs>
          <w:tab w:val="clear" w:pos="567"/>
        </w:tabs>
        <w:ind w:firstLine="567"/>
        <w:rPr>
          <w:b/>
          <w:lang w:bidi="ar-SY"/>
        </w:rPr>
      </w:pPr>
      <w:r w:rsidRPr="008C0E03">
        <w:rPr>
          <w:lang w:bidi="ar-SY"/>
        </w:rPr>
        <w:t>4.</w:t>
      </w:r>
      <w:r w:rsidRPr="008C0E03">
        <w:rPr>
          <w:lang w:bidi="ar-SY"/>
        </w:rPr>
        <w:tab/>
      </w:r>
      <w:r w:rsidRPr="008C0E03">
        <w:rPr>
          <w:i/>
          <w:iCs/>
          <w:lang w:bidi="ar-SY"/>
        </w:rPr>
        <w:t>Urges</w:t>
      </w:r>
      <w:r w:rsidRPr="008C0E03">
        <w:rPr>
          <w:lang w:bidi="ar-SY"/>
        </w:rPr>
        <w:t xml:space="preserve"> Parties that have not yet done so to establish legislative, administrative and policy measures and institutional arrangements for implementing the Protocol, publish as soon as possible all available information required under Article 14 of the Protocol through the </w:t>
      </w:r>
      <w:proofErr w:type="gramStart"/>
      <w:r w:rsidRPr="008C0E03">
        <w:rPr>
          <w:lang w:bidi="ar-SY"/>
        </w:rPr>
        <w:t>Clearing-House</w:t>
      </w:r>
      <w:proofErr w:type="gramEnd"/>
      <w:r w:rsidRPr="008C0E03">
        <w:rPr>
          <w:lang w:bidi="ar-SY"/>
        </w:rPr>
        <w:t xml:space="preserve"> and keep such information updated as required;</w:t>
      </w:r>
    </w:p>
    <w:p w14:paraId="50BD7806" w14:textId="77777777" w:rsidR="004A5B36" w:rsidRPr="008C0E03" w:rsidRDefault="004A5B36" w:rsidP="008E7C8B">
      <w:pPr>
        <w:pStyle w:val="CBDNormalNoNumber"/>
        <w:tabs>
          <w:tab w:val="clear" w:pos="567"/>
        </w:tabs>
        <w:ind w:firstLine="567"/>
        <w:rPr>
          <w:b/>
          <w:bCs/>
          <w:lang w:bidi="ar-SY"/>
        </w:rPr>
      </w:pPr>
      <w:r w:rsidRPr="008C0E03">
        <w:rPr>
          <w:bCs/>
          <w:lang w:bidi="ar-SY"/>
        </w:rPr>
        <w:t>5.</w:t>
      </w:r>
      <w:r w:rsidRPr="008C0E03">
        <w:rPr>
          <w:bCs/>
          <w:lang w:bidi="ar-SY"/>
        </w:rPr>
        <w:tab/>
      </w:r>
      <w:r w:rsidRPr="008C0E03">
        <w:rPr>
          <w:i/>
          <w:iCs/>
          <w:lang w:bidi="ar-SY"/>
        </w:rPr>
        <w:t>Requests</w:t>
      </w:r>
      <w:r w:rsidRPr="008C0E03">
        <w:rPr>
          <w:lang w:bidi="ar-SY"/>
        </w:rPr>
        <w:t xml:space="preserve"> that Parties collaborate fully when requested to provide information related to their compliance with obligations under the Protocol</w:t>
      </w:r>
      <w:r w:rsidRPr="008C0E03">
        <w:rPr>
          <w:bCs/>
          <w:lang w:bidi="ar-SY"/>
        </w:rPr>
        <w:t>;</w:t>
      </w:r>
    </w:p>
    <w:p w14:paraId="0FB24EE1" w14:textId="77777777" w:rsidR="004A5B36" w:rsidRPr="008C0E03" w:rsidRDefault="004A5B36" w:rsidP="008E7C8B">
      <w:pPr>
        <w:pStyle w:val="CBDNormalNoNumber"/>
        <w:tabs>
          <w:tab w:val="clear" w:pos="567"/>
        </w:tabs>
        <w:ind w:firstLine="567"/>
        <w:rPr>
          <w:b/>
          <w:lang w:bidi="ar-SY"/>
        </w:rPr>
      </w:pPr>
      <w:r w:rsidRPr="008C0E03">
        <w:rPr>
          <w:lang w:bidi="ar-SY"/>
        </w:rPr>
        <w:t>6.</w:t>
      </w:r>
      <w:r w:rsidRPr="008C0E03">
        <w:rPr>
          <w:lang w:bidi="ar-SY"/>
        </w:rPr>
        <w:tab/>
      </w:r>
      <w:r w:rsidRPr="008C0E03">
        <w:rPr>
          <w:i/>
          <w:iCs/>
          <w:lang w:bidi="ar-SY"/>
        </w:rPr>
        <w:t>Welcomes</w:t>
      </w:r>
      <w:r w:rsidRPr="008C0E03">
        <w:rPr>
          <w:lang w:bidi="ar-SY"/>
        </w:rPr>
        <w:t xml:space="preserve"> the contribution of the Compliance Committee </w:t>
      </w:r>
      <w:r w:rsidRPr="008C0E03">
        <w:t xml:space="preserve">under the Nagoya Protocol </w:t>
      </w:r>
      <w:r w:rsidRPr="008C0E03">
        <w:rPr>
          <w:lang w:bidi="ar-SY"/>
        </w:rPr>
        <w:t>to the second assessment and review of the effectiveness of the Protocol.</w:t>
      </w:r>
    </w:p>
    <w:p w14:paraId="26EFFB83" w14:textId="77777777" w:rsidR="004A5B36" w:rsidRDefault="004A5B36" w:rsidP="004A5B36">
      <w:pPr>
        <w:pStyle w:val="CBDNormalNumber"/>
        <w:numPr>
          <w:ilvl w:val="0"/>
          <w:numId w:val="0"/>
        </w:numPr>
        <w:ind w:left="567"/>
      </w:pPr>
    </w:p>
    <w:p w14:paraId="518D9586" w14:textId="18C6EAAD" w:rsidR="00B70DC0" w:rsidRPr="00A04A62" w:rsidRDefault="00B70DC0" w:rsidP="00DA5B36">
      <w:pPr>
        <w:pStyle w:val="CBDNormalNumber"/>
        <w:numPr>
          <w:ilvl w:val="0"/>
          <w:numId w:val="0"/>
        </w:numPr>
        <w:ind w:left="567"/>
      </w:pPr>
      <w:r w:rsidRPr="00A04A62">
        <w:t xml:space="preserve"> </w:t>
      </w:r>
    </w:p>
    <w:p w14:paraId="35B0690A"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1254417A" w14:textId="6DB21A8C" w:rsidR="00B70DC0" w:rsidRPr="001A3154" w:rsidRDefault="00B70DC0" w:rsidP="008C02D0">
      <w:pPr>
        <w:pStyle w:val="CBDAgendaItem"/>
        <w:rPr>
          <w:rFonts w:hint="eastAsia"/>
          <w:sz w:val="26"/>
          <w:szCs w:val="26"/>
        </w:rPr>
      </w:pPr>
      <w:bookmarkStart w:id="3" w:name="_Toc241588359"/>
      <w:r w:rsidRPr="001A3154">
        <w:rPr>
          <w:sz w:val="26"/>
          <w:szCs w:val="26"/>
        </w:rPr>
        <w:lastRenderedPageBreak/>
        <w:t xml:space="preserve">Item 6 </w:t>
      </w:r>
      <w:r w:rsidR="008C02D0" w:rsidRPr="001A3154">
        <w:rPr>
          <w:sz w:val="26"/>
          <w:szCs w:val="26"/>
        </w:rPr>
        <w:br/>
      </w:r>
      <w:r w:rsidRPr="001A3154">
        <w:rPr>
          <w:sz w:val="26"/>
          <w:szCs w:val="26"/>
        </w:rPr>
        <w:t>Administration of the Nagoya Protocol and budget for the trust funds</w:t>
      </w:r>
      <w:bookmarkEnd w:id="3"/>
    </w:p>
    <w:tbl>
      <w:tblPr>
        <w:tblStyle w:val="TableGrid"/>
        <w:tblW w:w="0" w:type="auto"/>
        <w:tblLook w:val="04A0" w:firstRow="1" w:lastRow="0" w:firstColumn="1" w:lastColumn="0" w:noHBand="0" w:noVBand="1"/>
      </w:tblPr>
      <w:tblGrid>
        <w:gridCol w:w="9360"/>
      </w:tblGrid>
      <w:tr w:rsidR="0016178B" w:rsidRPr="006E0A47" w14:paraId="51D7DDD2" w14:textId="77777777" w:rsidTr="00E44EC1">
        <w:tc>
          <w:tcPr>
            <w:tcW w:w="9360" w:type="dxa"/>
            <w:tcBorders>
              <w:left w:val="nil"/>
              <w:right w:val="nil"/>
            </w:tcBorders>
          </w:tcPr>
          <w:p w14:paraId="11E3238F" w14:textId="50329263" w:rsidR="0016178B" w:rsidRPr="006E0A47" w:rsidRDefault="005B2B14" w:rsidP="00E44EC1">
            <w:pPr>
              <w:pStyle w:val="CBDNormalNumber"/>
              <w:numPr>
                <w:ilvl w:val="0"/>
                <w:numId w:val="0"/>
              </w:numPr>
              <w:ind w:firstLine="596"/>
              <w:rPr>
                <w:i/>
                <w:iCs/>
              </w:rPr>
            </w:pPr>
            <w:r>
              <w:rPr>
                <w:i/>
                <w:iCs/>
              </w:rPr>
              <w:t>Elements of t</w:t>
            </w:r>
            <w:r w:rsidR="0016178B" w:rsidRPr="006E0A47">
              <w:rPr>
                <w:i/>
                <w:iCs/>
              </w:rPr>
              <w:t>he following draft decision ha</w:t>
            </w:r>
            <w:r>
              <w:rPr>
                <w:i/>
                <w:iCs/>
              </w:rPr>
              <w:t>ve</w:t>
            </w:r>
            <w:r w:rsidR="0016178B" w:rsidRPr="006E0A47">
              <w:rPr>
                <w:i/>
                <w:iCs/>
              </w:rPr>
              <w:t xml:space="preserve"> been </w:t>
            </w:r>
            <w:r>
              <w:rPr>
                <w:i/>
                <w:iCs/>
              </w:rPr>
              <w:t xml:space="preserve">adapted </w:t>
            </w:r>
            <w:r w:rsidR="0016178B" w:rsidRPr="006E0A47">
              <w:rPr>
                <w:i/>
                <w:iCs/>
              </w:rPr>
              <w:t xml:space="preserve">from </w:t>
            </w:r>
            <w:r>
              <w:rPr>
                <w:i/>
                <w:iCs/>
              </w:rPr>
              <w:t xml:space="preserve">document </w:t>
            </w:r>
            <w:hyperlink r:id="rId20" w:history="1">
              <w:r w:rsidR="001B4522" w:rsidRPr="00A813DD">
                <w:rPr>
                  <w:rStyle w:val="Hyperlink"/>
                  <w:i/>
                  <w:iCs/>
                </w:rPr>
                <w:t>CBD/NP/MOP/6/5</w:t>
              </w:r>
            </w:hyperlink>
            <w:r w:rsidR="00A813DD">
              <w:rPr>
                <w:i/>
                <w:iCs/>
              </w:rPr>
              <w:t xml:space="preserve">. </w:t>
            </w:r>
            <w:r w:rsidR="008D71A3" w:rsidRPr="008D71A3">
              <w:rPr>
                <w:i/>
                <w:iCs/>
              </w:rPr>
              <w:t>Paragraphs</w:t>
            </w:r>
            <w:r w:rsidR="008D71A3">
              <w:rPr>
                <w:i/>
                <w:iCs/>
              </w:rPr>
              <w:t> </w:t>
            </w:r>
            <w:r w:rsidR="008D71A3" w:rsidRPr="008D71A3">
              <w:rPr>
                <w:i/>
                <w:iCs/>
              </w:rPr>
              <w:t>5 and 6 have been adapted from paragraph</w:t>
            </w:r>
            <w:r w:rsidR="008D71A3">
              <w:rPr>
                <w:i/>
                <w:iCs/>
              </w:rPr>
              <w:t> </w:t>
            </w:r>
            <w:r w:rsidR="008D71A3" w:rsidRPr="008D71A3">
              <w:rPr>
                <w:i/>
                <w:iCs/>
              </w:rPr>
              <w:t>6 of recommendation</w:t>
            </w:r>
            <w:r w:rsidR="008D71A3">
              <w:rPr>
                <w:i/>
                <w:iCs/>
              </w:rPr>
              <w:t> </w:t>
            </w:r>
            <w:hyperlink r:id="rId21" w:history="1">
              <w:r w:rsidR="008D71A3" w:rsidRPr="000B2E28">
                <w:rPr>
                  <w:rStyle w:val="Hyperlink"/>
                  <w:i/>
                  <w:iCs/>
                </w:rPr>
                <w:t>6/9</w:t>
              </w:r>
            </w:hyperlink>
            <w:r w:rsidR="008D71A3" w:rsidRPr="008D71A3">
              <w:rPr>
                <w:i/>
                <w:iCs/>
              </w:rPr>
              <w:t xml:space="preserve"> of the Subsidiary Body on Implementation</w:t>
            </w:r>
            <w:r w:rsidR="00F45853">
              <w:rPr>
                <w:i/>
                <w:iCs/>
              </w:rPr>
              <w:t>.</w:t>
            </w:r>
          </w:p>
        </w:tc>
      </w:tr>
    </w:tbl>
    <w:p w14:paraId="4E332477" w14:textId="433CBAA5" w:rsidR="009824CC" w:rsidRDefault="009824CC" w:rsidP="009824CC">
      <w:pPr>
        <w:pStyle w:val="CBDcompilationH2"/>
        <w:rPr>
          <w:snapToGrid w:val="0"/>
        </w:rPr>
      </w:pPr>
      <w:r w:rsidRPr="003F6A68">
        <w:rPr>
          <w:snapToGrid w:val="0"/>
        </w:rPr>
        <w:t xml:space="preserve">Administration of the </w:t>
      </w:r>
      <w:r>
        <w:rPr>
          <w:snapToGrid w:val="0"/>
        </w:rPr>
        <w:t>Nagoya</w:t>
      </w:r>
      <w:r w:rsidRPr="003F6A68">
        <w:rPr>
          <w:snapToGrid w:val="0"/>
        </w:rPr>
        <w:t xml:space="preserve"> Protocol and budget for the trust funds</w:t>
      </w:r>
    </w:p>
    <w:p w14:paraId="7618EA80" w14:textId="2981CDD8" w:rsidR="00C83DB9" w:rsidRPr="00561C4F" w:rsidRDefault="00C83DB9" w:rsidP="00EE7CA8">
      <w:pPr>
        <w:pStyle w:val="CBDNormalNoNumber"/>
        <w:tabs>
          <w:tab w:val="clear" w:pos="567"/>
          <w:tab w:val="clear" w:pos="1134"/>
        </w:tabs>
        <w:ind w:firstLine="567"/>
      </w:pPr>
      <w:r w:rsidRPr="00561C4F">
        <w:rPr>
          <w:i/>
          <w:iCs/>
        </w:rPr>
        <w:t>The Conference of the Parties</w:t>
      </w:r>
      <w:r w:rsidR="00CE26ED" w:rsidRPr="00CE26ED">
        <w:t xml:space="preserve"> </w:t>
      </w:r>
      <w:r w:rsidR="00CE26ED" w:rsidRPr="00CE26ED">
        <w:rPr>
          <w:i/>
          <w:iCs/>
        </w:rPr>
        <w:t>serving as the meeting of the Parties to the Nagoya Protocol</w:t>
      </w:r>
      <w:r w:rsidRPr="00561C4F">
        <w:t>,</w:t>
      </w:r>
    </w:p>
    <w:p w14:paraId="34E9216B" w14:textId="1F3BB9FA" w:rsidR="00C83DB9" w:rsidRPr="00561C4F" w:rsidRDefault="00C83DB9" w:rsidP="00EE7CA8">
      <w:pPr>
        <w:pStyle w:val="CBDNormalNoNumber"/>
        <w:tabs>
          <w:tab w:val="clear" w:pos="567"/>
          <w:tab w:val="clear" w:pos="1134"/>
        </w:tabs>
        <w:ind w:firstLine="567"/>
      </w:pPr>
      <w:r w:rsidRPr="00561C4F">
        <w:rPr>
          <w:i/>
          <w:iCs/>
        </w:rPr>
        <w:t>Recalling</w:t>
      </w:r>
      <w:r w:rsidRPr="00561C4F">
        <w:t xml:space="preserve"> decision </w:t>
      </w:r>
      <w:hyperlink r:id="rId22" w:history="1">
        <w:r w:rsidRPr="00CE26ED">
          <w:rPr>
            <w:rStyle w:val="Hyperlink"/>
          </w:rPr>
          <w:t>NP-5</w:t>
        </w:r>
        <w:r w:rsidR="009A0AC1" w:rsidRPr="00CE26ED">
          <w:rPr>
            <w:rStyle w:val="Hyperlink"/>
          </w:rPr>
          <w:t>/12</w:t>
        </w:r>
      </w:hyperlink>
      <w:r w:rsidRPr="00C83DB9">
        <w:t xml:space="preserve"> </w:t>
      </w:r>
      <w:r w:rsidRPr="00561C4F">
        <w:t>of 6 December 2024,</w:t>
      </w:r>
    </w:p>
    <w:p w14:paraId="6EB3D584" w14:textId="4A3AE5F2" w:rsidR="00C83DB9" w:rsidRPr="00561C4F" w:rsidRDefault="00C83DB9" w:rsidP="00EE7CA8">
      <w:pPr>
        <w:pStyle w:val="CBDNormalNoNumber"/>
        <w:tabs>
          <w:tab w:val="clear" w:pos="567"/>
          <w:tab w:val="clear" w:pos="1134"/>
        </w:tabs>
        <w:ind w:firstLine="567"/>
      </w:pPr>
      <w:r w:rsidRPr="00561C4F">
        <w:rPr>
          <w:i/>
          <w:iCs/>
        </w:rPr>
        <w:t>Having considered</w:t>
      </w:r>
      <w:r w:rsidRPr="00561C4F">
        <w:t xml:space="preserve"> the information contained in documents prepared by the Secretariat of the Convention on Biological Diversity</w:t>
      </w:r>
      <w:r w:rsidRPr="00561C4F">
        <w:rPr>
          <w:rStyle w:val="FootnoteReference"/>
        </w:rPr>
        <w:footnoteReference w:id="6"/>
      </w:r>
      <w:r w:rsidRPr="00561C4F">
        <w:t xml:space="preserve"> related to the item on the administration of the </w:t>
      </w:r>
      <w:r w:rsidR="00045A3A">
        <w:t>Nagoya</w:t>
      </w:r>
      <w:r>
        <w:t xml:space="preserve"> Protocol</w:t>
      </w:r>
      <w:r w:rsidRPr="00561C4F">
        <w:t xml:space="preserve"> </w:t>
      </w:r>
      <w:r w:rsidR="00B50B7A" w:rsidRPr="00561C4F">
        <w:t>on Access to Genetic Resources and the Fair and Equitable Sharing of Benefits Arising from Their Utilization</w:t>
      </w:r>
      <w:r w:rsidR="00B50B7A" w:rsidRPr="00561C4F">
        <w:rPr>
          <w:rStyle w:val="FootnoteReference"/>
        </w:rPr>
        <w:footnoteReference w:id="7"/>
      </w:r>
      <w:r w:rsidR="00B50B7A" w:rsidRPr="00561C4F">
        <w:t xml:space="preserve"> </w:t>
      </w:r>
      <w:r w:rsidRPr="00561C4F">
        <w:t>and budget for the trust funds on the agenda of its s</w:t>
      </w:r>
      <w:r>
        <w:t xml:space="preserve">ixth </w:t>
      </w:r>
      <w:r w:rsidRPr="00561C4F">
        <w:t>meeting,</w:t>
      </w:r>
      <w:r w:rsidRPr="00561C4F">
        <w:rPr>
          <w:rStyle w:val="FootnoteReference"/>
        </w:rPr>
        <w:footnoteReference w:id="8"/>
      </w:r>
    </w:p>
    <w:p w14:paraId="6E9A4FCA" w14:textId="06131F08" w:rsidR="00C83DB9" w:rsidRPr="00561C4F" w:rsidRDefault="00C83DB9" w:rsidP="00EE7CA8">
      <w:pPr>
        <w:pStyle w:val="CBDNormalNoNumber"/>
        <w:tabs>
          <w:tab w:val="clear" w:pos="567"/>
          <w:tab w:val="clear" w:pos="1134"/>
        </w:tabs>
        <w:ind w:firstLine="567"/>
        <w:rPr>
          <w:color w:val="000000" w:themeColor="text1"/>
        </w:rPr>
      </w:pPr>
      <w:r w:rsidRPr="00561C4F">
        <w:rPr>
          <w:i/>
          <w:iCs/>
        </w:rPr>
        <w:t>Recognizing</w:t>
      </w:r>
      <w:r w:rsidRPr="00561C4F">
        <w:t xml:space="preserve"> the efforts of the Secretariat to strengthen the long-term and strategic alignment of its functions and structure through </w:t>
      </w:r>
      <w:r w:rsidR="00630011">
        <w:t>its</w:t>
      </w:r>
      <w:r w:rsidR="00630011" w:rsidRPr="00561C4F">
        <w:t xml:space="preserve"> </w:t>
      </w:r>
      <w:r w:rsidR="00A14F34">
        <w:t xml:space="preserve">external </w:t>
      </w:r>
      <w:r w:rsidR="007042BA">
        <w:t xml:space="preserve">in-depth </w:t>
      </w:r>
      <w:r w:rsidRPr="00561C4F">
        <w:t>functional review, and noting</w:t>
      </w:r>
      <w:r w:rsidRPr="00561C4F">
        <w:rPr>
          <w:color w:val="000000" w:themeColor="text1"/>
        </w:rPr>
        <w:t xml:space="preserve"> the associated staffing and resource gap for the Secretariat to be fully operational in line with the core mandates of the Convention and its Protocols, as well as priorities determined by the Conference of the Parties</w:t>
      </w:r>
      <w:r w:rsidR="00CE26ED">
        <w:rPr>
          <w:color w:val="000000" w:themeColor="text1"/>
        </w:rPr>
        <w:t xml:space="preserve"> </w:t>
      </w:r>
      <w:r w:rsidR="00317432">
        <w:rPr>
          <w:color w:val="000000" w:themeColor="text1"/>
        </w:rPr>
        <w:t xml:space="preserve">to the Convention </w:t>
      </w:r>
      <w:r w:rsidR="00CE26ED">
        <w:rPr>
          <w:color w:val="000000" w:themeColor="text1"/>
        </w:rPr>
        <w:t>and t</w:t>
      </w:r>
      <w:r w:rsidR="00CE26ED" w:rsidRPr="00CE26ED">
        <w:rPr>
          <w:color w:val="000000" w:themeColor="text1"/>
        </w:rPr>
        <w:t>he Conference of the Parties serving as the meeting of the Parties to the Nagoya Protocol</w:t>
      </w:r>
      <w:r w:rsidRPr="00561C4F">
        <w:rPr>
          <w:color w:val="000000" w:themeColor="text1"/>
        </w:rPr>
        <w:t>, in particular the provision of support for the implementation of the Kunming-Montreal Global Biodiversity Framework,</w:t>
      </w:r>
      <w:r w:rsidRPr="00561C4F">
        <w:rPr>
          <w:rStyle w:val="FootnoteReference"/>
          <w:color w:val="000000" w:themeColor="text1"/>
        </w:rPr>
        <w:footnoteReference w:id="9"/>
      </w:r>
    </w:p>
    <w:p w14:paraId="30F3EE52" w14:textId="77777777" w:rsidR="00C83DB9" w:rsidRPr="00561C4F" w:rsidRDefault="00C83DB9" w:rsidP="00EE7CA8">
      <w:pPr>
        <w:pStyle w:val="CBDNormalNoNumber"/>
        <w:tabs>
          <w:tab w:val="clear" w:pos="567"/>
          <w:tab w:val="clear" w:pos="1134"/>
        </w:tabs>
        <w:ind w:firstLine="567"/>
      </w:pPr>
      <w:r w:rsidRPr="00561C4F">
        <w:rPr>
          <w:i/>
          <w:iCs/>
        </w:rPr>
        <w:t>Welcoming with appreciation</w:t>
      </w:r>
      <w:r w:rsidRPr="00561C4F">
        <w:t xml:space="preserve"> the financial contributions from developed country Parties to the special voluntary trust funds to facilitate the participation of Parties and indigenous peoples and local communities in the processes of the Convention and its Protocols,</w:t>
      </w:r>
      <w:r w:rsidRPr="00561C4F">
        <w:rPr>
          <w:i/>
          <w:iCs/>
        </w:rPr>
        <w:t xml:space="preserve"> </w:t>
      </w:r>
    </w:p>
    <w:p w14:paraId="190A9609" w14:textId="6362DFF7" w:rsidR="00C83DB9" w:rsidRPr="00561C4F" w:rsidRDefault="00C83DB9" w:rsidP="00EE7CA8">
      <w:pPr>
        <w:pStyle w:val="CBDNormalNoNumber"/>
        <w:tabs>
          <w:tab w:val="clear" w:pos="567"/>
          <w:tab w:val="clear" w:pos="1134"/>
        </w:tabs>
        <w:ind w:firstLine="567"/>
      </w:pPr>
      <w:r w:rsidRPr="00561C4F">
        <w:rPr>
          <w:i/>
          <w:iCs/>
        </w:rPr>
        <w:t>Recognizing</w:t>
      </w:r>
      <w:r w:rsidRPr="00561C4F">
        <w:t xml:space="preserve"> the fiscal constraints on Parties, and noting with concern that the participation of developing country Parties, in particular the least developed countries and </w:t>
      </w:r>
      <w:r w:rsidR="00A971CC">
        <w:t xml:space="preserve">the </w:t>
      </w:r>
      <w:r w:rsidRPr="00561C4F">
        <w:t>small island developing States among them, and Parties with economies in transition in meetings held under the Convention and its Protocols has been adversely affected by the lack of predictable and sustainable funding,</w:t>
      </w:r>
    </w:p>
    <w:p w14:paraId="462A8D5E" w14:textId="6541CC6C" w:rsidR="00C83DB9" w:rsidRPr="00561C4F" w:rsidRDefault="00C83DB9" w:rsidP="00EE7CA8">
      <w:pPr>
        <w:pStyle w:val="CBDNormalNoNumber"/>
        <w:tabs>
          <w:tab w:val="clear" w:pos="567"/>
          <w:tab w:val="clear" w:pos="1134"/>
        </w:tabs>
        <w:ind w:firstLine="567"/>
      </w:pPr>
      <w:r w:rsidRPr="00561C4F">
        <w:t>1.</w:t>
      </w:r>
      <w:r w:rsidRPr="00561C4F">
        <w:tab/>
      </w:r>
      <w:r w:rsidRPr="00561C4F">
        <w:rPr>
          <w:i/>
          <w:iCs/>
        </w:rPr>
        <w:t>Decides</w:t>
      </w:r>
      <w:r w:rsidRPr="00561C4F">
        <w:t xml:space="preserve"> to adopt an integrated programme of work and budget for the Convention on Biological Diversity, the Cartagena Protocol on Biosafety</w:t>
      </w:r>
      <w:r w:rsidRPr="00561C4F">
        <w:rPr>
          <w:rStyle w:val="FootnoteReference"/>
        </w:rPr>
        <w:footnoteReference w:id="10"/>
      </w:r>
      <w:r w:rsidRPr="00561C4F">
        <w:t xml:space="preserve"> and the Nagoya Protocol on Access to Genetic Resources and the Fair and Equitable Sharing of Benefits Arising from Their Utilization for the biennium 2027–2028;</w:t>
      </w:r>
    </w:p>
    <w:p w14:paraId="697E2E88" w14:textId="77777777" w:rsidR="00C83DB9" w:rsidRPr="00561C4F" w:rsidRDefault="00C83DB9" w:rsidP="00EE7CA8">
      <w:pPr>
        <w:pStyle w:val="CBDNormalNoNumber"/>
        <w:tabs>
          <w:tab w:val="clear" w:pos="567"/>
          <w:tab w:val="clear" w:pos="1134"/>
        </w:tabs>
        <w:ind w:firstLine="567"/>
      </w:pPr>
      <w:r w:rsidRPr="00561C4F">
        <w:t>2.</w:t>
      </w:r>
      <w:r w:rsidRPr="00561C4F">
        <w:rPr>
          <w:i/>
          <w:iCs/>
        </w:rPr>
        <w:tab/>
        <w:t>Also decides</w:t>
      </w:r>
      <w:r w:rsidRPr="00561C4F">
        <w:t xml:space="preserve"> to share all costs for secretariat services among the Convention, the Cartagena Protocol and the Nagoya Protocol on a ratio of 72 to 15 to 13 for the biennium 2027–2028;</w:t>
      </w:r>
    </w:p>
    <w:p w14:paraId="28CBFA03" w14:textId="4A732338" w:rsidR="00C83DB9" w:rsidRPr="00561C4F" w:rsidRDefault="00C83DB9" w:rsidP="00EE7CA8">
      <w:pPr>
        <w:pStyle w:val="CBDNormalNoNumber"/>
        <w:tabs>
          <w:tab w:val="clear" w:pos="567"/>
          <w:tab w:val="clear" w:pos="1134"/>
        </w:tabs>
        <w:ind w:firstLine="567"/>
      </w:pPr>
      <w:r w:rsidRPr="00561C4F">
        <w:rPr>
          <w:rFonts w:asciiTheme="majorBidi" w:hAnsiTheme="majorBidi" w:cstheme="majorBidi"/>
        </w:rPr>
        <w:t>3.</w:t>
      </w:r>
      <w:r w:rsidRPr="00561C4F">
        <w:rPr>
          <w:rFonts w:asciiTheme="majorBidi" w:hAnsiTheme="majorBidi" w:cstheme="majorBidi"/>
          <w:i/>
          <w:iCs/>
        </w:rPr>
        <w:tab/>
        <w:t>Approves</w:t>
      </w:r>
      <w:r w:rsidRPr="00561C4F">
        <w:rPr>
          <w:rFonts w:asciiTheme="majorBidi" w:hAnsiTheme="majorBidi" w:cstheme="majorBidi"/>
        </w:rPr>
        <w:t xml:space="preserve"> </w:t>
      </w:r>
      <w:r w:rsidRPr="00561C4F">
        <w:t xml:space="preserve">a core programme budget for the General Trust Fund for the </w:t>
      </w:r>
      <w:r>
        <w:t>Nagoya Protocol</w:t>
      </w:r>
      <w:r w:rsidRPr="00561C4F">
        <w:t xml:space="preserve"> of </w:t>
      </w:r>
      <w:r w:rsidRPr="00561C4F">
        <w:rPr>
          <w:rFonts w:asciiTheme="majorBidi" w:hAnsiTheme="majorBidi" w:cstheme="majorBidi"/>
        </w:rPr>
        <w:t>XX </w:t>
      </w:r>
      <w:r w:rsidRPr="00561C4F">
        <w:t xml:space="preserve">United States dollars for 2027 and </w:t>
      </w:r>
      <w:r w:rsidRPr="00561C4F">
        <w:rPr>
          <w:rFonts w:asciiTheme="majorBidi" w:hAnsiTheme="majorBidi" w:cstheme="majorBidi"/>
        </w:rPr>
        <w:t>XX </w:t>
      </w:r>
      <w:r w:rsidRPr="00561C4F">
        <w:t xml:space="preserve">dollars for 2028, representing </w:t>
      </w:r>
      <w:r>
        <w:t>13</w:t>
      </w:r>
      <w:r w:rsidRPr="00561C4F">
        <w:t xml:space="preserve"> per cent of the integrated budget of </w:t>
      </w:r>
      <w:r w:rsidRPr="00561C4F">
        <w:rPr>
          <w:rFonts w:asciiTheme="majorBidi" w:hAnsiTheme="majorBidi" w:cstheme="majorBidi"/>
        </w:rPr>
        <w:t>XX</w:t>
      </w:r>
      <w:r w:rsidRPr="00561C4F">
        <w:t xml:space="preserve"> dollars for 2027 and </w:t>
      </w:r>
      <w:r w:rsidRPr="00561C4F">
        <w:rPr>
          <w:rFonts w:asciiTheme="majorBidi" w:hAnsiTheme="majorBidi" w:cstheme="majorBidi"/>
        </w:rPr>
        <w:t>XX</w:t>
      </w:r>
      <w:r w:rsidRPr="00561C4F">
        <w:t> dollars for 2028 for the Convention and its Protocols, for the purposes listed in tables </w:t>
      </w:r>
      <w:r w:rsidR="0091533F">
        <w:t>xx</w:t>
      </w:r>
      <w:r w:rsidR="0091533F" w:rsidRPr="00561C4F">
        <w:t xml:space="preserve"> </w:t>
      </w:r>
      <w:r w:rsidRPr="00561C4F">
        <w:t xml:space="preserve">and </w:t>
      </w:r>
      <w:r w:rsidR="0091533F">
        <w:t>xx</w:t>
      </w:r>
      <w:r w:rsidRPr="00561C4F">
        <w:t xml:space="preserve"> below;</w:t>
      </w:r>
    </w:p>
    <w:p w14:paraId="0E3FDF8D" w14:textId="65845337" w:rsidR="00C83DB9" w:rsidRDefault="00C83DB9" w:rsidP="00EE7CA8">
      <w:pPr>
        <w:pStyle w:val="CBDNormalNoNumber"/>
        <w:tabs>
          <w:tab w:val="clear" w:pos="1134"/>
        </w:tabs>
        <w:ind w:firstLine="567"/>
      </w:pPr>
      <w:r w:rsidRPr="00561C4F">
        <w:lastRenderedPageBreak/>
        <w:t>4.</w:t>
      </w:r>
      <w:r w:rsidRPr="00EE7CA8">
        <w:rPr>
          <w:i/>
        </w:rPr>
        <w:tab/>
      </w:r>
      <w:r w:rsidRPr="00561C4F">
        <w:rPr>
          <w:i/>
          <w:iCs/>
        </w:rPr>
        <w:t>Adopts</w:t>
      </w:r>
      <w:r w:rsidRPr="00561C4F">
        <w:t xml:space="preserve"> the scale of assessments for the apportionment of expenses for 2027 and 2028, in accordance with the scale of assessments of the United Nations,</w:t>
      </w:r>
      <w:r w:rsidRPr="00561C4F">
        <w:rPr>
          <w:rStyle w:val="FootnoteReference"/>
          <w:rFonts w:asciiTheme="majorBidi" w:hAnsiTheme="majorBidi" w:cstheme="majorBidi"/>
        </w:rPr>
        <w:footnoteReference w:id="11"/>
      </w:r>
      <w:r w:rsidRPr="00561C4F">
        <w:t xml:space="preserve"> as contained in the annex to the present decision</w:t>
      </w:r>
      <w:r>
        <w:t>;</w:t>
      </w:r>
      <w:r w:rsidR="005C267F">
        <w:rPr>
          <w:rStyle w:val="FootnoteReference"/>
        </w:rPr>
        <w:footnoteReference w:id="12"/>
      </w:r>
    </w:p>
    <w:p w14:paraId="436FD18E" w14:textId="77E5DDD2" w:rsidR="00C83DB9" w:rsidRPr="00EE7CA8" w:rsidRDefault="00C83DB9" w:rsidP="00EE7CA8">
      <w:pPr>
        <w:pStyle w:val="CBDNormalNoNumber"/>
        <w:tabs>
          <w:tab w:val="clear" w:pos="1134"/>
        </w:tabs>
        <w:ind w:firstLine="567"/>
      </w:pPr>
      <w:r w:rsidRPr="00EE7CA8">
        <w:t>5.</w:t>
      </w:r>
      <w:r w:rsidR="00D84068" w:rsidRPr="00EE7CA8">
        <w:tab/>
      </w:r>
      <w:r w:rsidRPr="00EE7CA8">
        <w:rPr>
          <w:i/>
          <w:iCs/>
        </w:rPr>
        <w:t>T</w:t>
      </w:r>
      <w:r w:rsidRPr="00EE7CA8">
        <w:rPr>
          <w:i/>
        </w:rPr>
        <w:t xml:space="preserve">akes note </w:t>
      </w:r>
      <w:r w:rsidRPr="00EE7CA8">
        <w:t>of the executive summary of the report on the external in-depth functional review of the Secretariat</w:t>
      </w:r>
      <w:r w:rsidR="00B334E7" w:rsidRPr="00EE7CA8">
        <w:rPr>
          <w:rStyle w:val="FootnoteReference"/>
        </w:rPr>
        <w:footnoteReference w:id="13"/>
      </w:r>
      <w:r w:rsidRPr="00EE7CA8">
        <w:t xml:space="preserve"> and the progress report</w:t>
      </w:r>
      <w:r w:rsidR="000B5F20" w:rsidRPr="00EE7CA8">
        <w:t xml:space="preserve"> on the functional review</w:t>
      </w:r>
      <w:r w:rsidRPr="00EE7CA8">
        <w:t>;</w:t>
      </w:r>
      <w:r w:rsidR="00790843" w:rsidRPr="00EE7CA8">
        <w:rPr>
          <w:rStyle w:val="FootnoteReference"/>
        </w:rPr>
        <w:footnoteReference w:id="14"/>
      </w:r>
    </w:p>
    <w:p w14:paraId="33C70A4E" w14:textId="42F6C9BC" w:rsidR="00C83DB9" w:rsidRPr="00EE7CA8" w:rsidRDefault="00C83DB9" w:rsidP="00EE7CA8">
      <w:pPr>
        <w:pStyle w:val="CBDNormalNoNumber"/>
        <w:tabs>
          <w:tab w:val="clear" w:pos="567"/>
          <w:tab w:val="clear" w:pos="1134"/>
        </w:tabs>
        <w:ind w:firstLine="567"/>
      </w:pPr>
      <w:r w:rsidRPr="00EE7CA8">
        <w:rPr>
          <w:iCs/>
        </w:rPr>
        <w:t>6.</w:t>
      </w:r>
      <w:r w:rsidR="00FB1BD2" w:rsidRPr="00EE7CA8">
        <w:rPr>
          <w:iCs/>
        </w:rPr>
        <w:tab/>
      </w:r>
      <w:r w:rsidRPr="00EE7CA8">
        <w:rPr>
          <w:i/>
          <w:lang w:val="en-CA"/>
        </w:rPr>
        <w:t xml:space="preserve">Decides </w:t>
      </w:r>
      <w:r w:rsidRPr="00EE7CA8">
        <w:rPr>
          <w:lang w:val="en-CA"/>
        </w:rPr>
        <w:t>to apply paragraphs 4</w:t>
      </w:r>
      <w:r w:rsidR="009C6184" w:rsidRPr="00EE7CA8">
        <w:rPr>
          <w:lang w:val="en-CA"/>
        </w:rPr>
        <w:t>,</w:t>
      </w:r>
      <w:r w:rsidRPr="00EE7CA8">
        <w:rPr>
          <w:lang w:val="en-CA"/>
        </w:rPr>
        <w:t xml:space="preserve"> 5 and 7 to 36 of decision 17/</w:t>
      </w:r>
      <w:r w:rsidR="00F2402F" w:rsidRPr="00EE7CA8">
        <w:rPr>
          <w:lang w:val="en-CA"/>
        </w:rPr>
        <w:t>--</w:t>
      </w:r>
      <w:r w:rsidRPr="00EE7CA8">
        <w:rPr>
          <w:lang w:val="en-CA"/>
        </w:rPr>
        <w:t xml:space="preserve"> of the Conference of </w:t>
      </w:r>
      <w:r w:rsidR="001854CB" w:rsidRPr="00EE7CA8">
        <w:rPr>
          <w:lang w:val="en-CA"/>
        </w:rPr>
        <w:t xml:space="preserve">the </w:t>
      </w:r>
      <w:r w:rsidRPr="00EE7CA8">
        <w:rPr>
          <w:lang w:val="en-CA"/>
        </w:rPr>
        <w:t>Parties to the Convention</w:t>
      </w:r>
      <w:r w:rsidR="00CF3E7B" w:rsidRPr="00EE7CA8">
        <w:rPr>
          <w:lang w:val="en-CA"/>
        </w:rPr>
        <w:t xml:space="preserve"> on the a</w:t>
      </w:r>
      <w:r w:rsidRPr="00EE7CA8">
        <w:rPr>
          <w:lang w:val="en-CA"/>
        </w:rPr>
        <w:t xml:space="preserve">dministration of the Convention and budget for </w:t>
      </w:r>
      <w:r w:rsidR="00007E42" w:rsidRPr="00EE7CA8">
        <w:rPr>
          <w:lang w:val="en-CA"/>
        </w:rPr>
        <w:t xml:space="preserve">the </w:t>
      </w:r>
      <w:r w:rsidRPr="00EE7CA8">
        <w:rPr>
          <w:lang w:val="en-CA"/>
        </w:rPr>
        <w:t>trust funds, mutatis mutandis</w:t>
      </w:r>
      <w:r w:rsidR="00413A1B" w:rsidRPr="00EE7CA8">
        <w:rPr>
          <w:lang w:val="en-CA"/>
        </w:rPr>
        <w:t>.</w:t>
      </w:r>
    </w:p>
    <w:p w14:paraId="489B222D" w14:textId="262D518B" w:rsidR="00A71031" w:rsidRPr="007B3D29" w:rsidRDefault="00EE08F9" w:rsidP="00EE7CA8">
      <w:pPr>
        <w:pStyle w:val="CBDNormalNoNumber"/>
        <w:sectPr w:rsidR="00A71031" w:rsidRPr="007B3D29" w:rsidSect="00A71031">
          <w:headerReference w:type="even" r:id="rId23"/>
          <w:headerReference w:type="default" r:id="rId24"/>
          <w:footerReference w:type="even" r:id="rId25"/>
          <w:footerReference w:type="default" r:id="rId26"/>
          <w:headerReference w:type="first" r:id="rId27"/>
          <w:pgSz w:w="12240" w:h="15840"/>
          <w:pgMar w:top="567" w:right="1440" w:bottom="1134" w:left="1440" w:header="709" w:footer="709" w:gutter="0"/>
          <w:cols w:space="708"/>
          <w:docGrid w:linePitch="360"/>
        </w:sectPr>
      </w:pPr>
      <w:r w:rsidRPr="007B3D29">
        <w:t>[Placeholder for the tables mentioned in paragraph 3]</w:t>
      </w:r>
    </w:p>
    <w:p w14:paraId="6A6F43F3" w14:textId="118DB4FB" w:rsidR="00B70DC0" w:rsidRPr="001A3154" w:rsidRDefault="00B70DC0" w:rsidP="008C02D0">
      <w:pPr>
        <w:pStyle w:val="CBDAgendaItem"/>
        <w:rPr>
          <w:rFonts w:hint="eastAsia"/>
          <w:sz w:val="26"/>
          <w:szCs w:val="26"/>
        </w:rPr>
      </w:pPr>
      <w:bookmarkStart w:id="4" w:name="_Toc241588360"/>
      <w:r w:rsidRPr="001A3154">
        <w:rPr>
          <w:sz w:val="26"/>
          <w:szCs w:val="26"/>
        </w:rPr>
        <w:lastRenderedPageBreak/>
        <w:t xml:space="preserve">Item 7 </w:t>
      </w:r>
      <w:r w:rsidR="008C02D0" w:rsidRPr="001A3154">
        <w:rPr>
          <w:sz w:val="26"/>
          <w:szCs w:val="26"/>
        </w:rPr>
        <w:br/>
      </w:r>
      <w:r w:rsidRPr="001A3154">
        <w:rPr>
          <w:sz w:val="26"/>
          <w:szCs w:val="26"/>
        </w:rPr>
        <w:t>Monitoring and reporting</w:t>
      </w:r>
      <w:bookmarkEnd w:id="4"/>
    </w:p>
    <w:tbl>
      <w:tblPr>
        <w:tblStyle w:val="TableGrid"/>
        <w:tblW w:w="0" w:type="auto"/>
        <w:tblLook w:val="04A0" w:firstRow="1" w:lastRow="0" w:firstColumn="1" w:lastColumn="0" w:noHBand="0" w:noVBand="1"/>
      </w:tblPr>
      <w:tblGrid>
        <w:gridCol w:w="9360"/>
      </w:tblGrid>
      <w:tr w:rsidR="002E2FB5" w:rsidRPr="006E0A47" w14:paraId="6DF4CAA1" w14:textId="77777777" w:rsidTr="00E44EC1">
        <w:tc>
          <w:tcPr>
            <w:tcW w:w="9360" w:type="dxa"/>
            <w:tcBorders>
              <w:left w:val="nil"/>
              <w:right w:val="nil"/>
            </w:tcBorders>
          </w:tcPr>
          <w:p w14:paraId="3E6619B3" w14:textId="41EBA97A" w:rsidR="002E2FB5" w:rsidRPr="006E0A47" w:rsidRDefault="002E2FB5" w:rsidP="00EE7CA8">
            <w:pPr>
              <w:pStyle w:val="CBDcompilation-blurb"/>
              <w:tabs>
                <w:tab w:val="clear" w:pos="567"/>
              </w:tabs>
              <w:ind w:left="0" w:firstLine="602"/>
            </w:pPr>
            <w:r w:rsidRPr="006E0A47">
              <w:t>The following draft decision ha</w:t>
            </w:r>
            <w:r>
              <w:t>s</w:t>
            </w:r>
            <w:r w:rsidRPr="006E0A47">
              <w:t xml:space="preserve"> been reproduced from </w:t>
            </w:r>
            <w:r w:rsidR="00A53858">
              <w:t xml:space="preserve">document </w:t>
            </w:r>
            <w:hyperlink r:id="rId28" w:history="1">
              <w:r w:rsidR="00A53858" w:rsidRPr="00CD6F71">
                <w:rPr>
                  <w:rStyle w:val="Hyperlink"/>
                </w:rPr>
                <w:t>CBD/NP/MOP/6/6</w:t>
              </w:r>
            </w:hyperlink>
            <w:r w:rsidR="00A53858">
              <w:t>.</w:t>
            </w:r>
          </w:p>
        </w:tc>
      </w:tr>
    </w:tbl>
    <w:p w14:paraId="2ABCE578" w14:textId="12452FA7" w:rsidR="008E7C8B" w:rsidRDefault="00486F62" w:rsidP="00486F62">
      <w:pPr>
        <w:pStyle w:val="CBDcompilationH2"/>
      </w:pPr>
      <w:r w:rsidRPr="001A3154">
        <w:t>Monitoring and reporting</w:t>
      </w:r>
    </w:p>
    <w:p w14:paraId="3FEFE5A8" w14:textId="77777777" w:rsidR="00486F62" w:rsidRDefault="00486F62" w:rsidP="00486F62">
      <w:pPr>
        <w:tabs>
          <w:tab w:val="clear" w:pos="1134"/>
        </w:tabs>
        <w:spacing w:before="120" w:after="120"/>
        <w:ind w:left="567" w:firstLine="567"/>
        <w:rPr>
          <w:i/>
          <w:iCs/>
        </w:rPr>
      </w:pPr>
      <w:r w:rsidRPr="00C31946">
        <w:rPr>
          <w:i/>
          <w:iCs/>
        </w:rPr>
        <w:t>The Conference of the Parties serving as the meeting of the Parties to the Nagoya Protocol</w:t>
      </w:r>
    </w:p>
    <w:p w14:paraId="714A33BF" w14:textId="77777777" w:rsidR="00486F62" w:rsidRPr="007D7461" w:rsidRDefault="00486F62" w:rsidP="00486F62">
      <w:pPr>
        <w:tabs>
          <w:tab w:val="clear" w:pos="567"/>
          <w:tab w:val="clear" w:pos="1134"/>
        </w:tabs>
        <w:spacing w:before="120" w:after="120"/>
        <w:ind w:left="567" w:firstLine="567"/>
        <w:rPr>
          <w:iCs/>
        </w:rPr>
      </w:pPr>
      <w:r w:rsidRPr="007D7461">
        <w:rPr>
          <w:iCs/>
        </w:rPr>
        <w:t>1.</w:t>
      </w:r>
      <w:r>
        <w:rPr>
          <w:iCs/>
        </w:rPr>
        <w:tab/>
      </w:r>
      <w:r w:rsidRPr="007D7461">
        <w:rPr>
          <w:i/>
        </w:rPr>
        <w:t>Welcomes</w:t>
      </w:r>
      <w:r w:rsidRPr="007D7461">
        <w:rPr>
          <w:iCs/>
        </w:rPr>
        <w:t xml:space="preserve"> the first national reports </w:t>
      </w:r>
      <w:r>
        <w:rPr>
          <w:iCs/>
        </w:rPr>
        <w:t xml:space="preserve">on the implementation of the Nagoya Protocol </w:t>
      </w:r>
      <w:r w:rsidRPr="00C12C72">
        <w:rPr>
          <w:iCs/>
        </w:rPr>
        <w:t>on Access to Genetic Resources and the Fair and Equitable Sharing of Benefits Arising from Their Utilization</w:t>
      </w:r>
      <w:r>
        <w:rPr>
          <w:rStyle w:val="FootnoteReference"/>
          <w:iCs/>
        </w:rPr>
        <w:footnoteReference w:id="15"/>
      </w:r>
      <w:r>
        <w:rPr>
          <w:iCs/>
        </w:rPr>
        <w:t xml:space="preserve"> that have been</w:t>
      </w:r>
      <w:r w:rsidRPr="00C12C72">
        <w:rPr>
          <w:iCs/>
        </w:rPr>
        <w:t xml:space="preserve"> </w:t>
      </w:r>
      <w:r w:rsidRPr="007D7461">
        <w:rPr>
          <w:iCs/>
        </w:rPr>
        <w:t>submitted;</w:t>
      </w:r>
    </w:p>
    <w:p w14:paraId="46B01ECC" w14:textId="77777777" w:rsidR="00486F62" w:rsidRPr="007D7461" w:rsidRDefault="00486F62" w:rsidP="00486F62">
      <w:pPr>
        <w:tabs>
          <w:tab w:val="clear" w:pos="567"/>
          <w:tab w:val="clear" w:pos="1134"/>
        </w:tabs>
        <w:spacing w:before="120" w:after="120"/>
        <w:ind w:left="567" w:firstLine="567"/>
        <w:rPr>
          <w:iCs/>
        </w:rPr>
      </w:pPr>
      <w:r w:rsidRPr="007D7461">
        <w:rPr>
          <w:iCs/>
        </w:rPr>
        <w:t>2.</w:t>
      </w:r>
      <w:r w:rsidRPr="007D7461">
        <w:rPr>
          <w:iCs/>
        </w:rPr>
        <w:tab/>
      </w:r>
      <w:r w:rsidRPr="007D7461">
        <w:rPr>
          <w:i/>
        </w:rPr>
        <w:t>Urges</w:t>
      </w:r>
      <w:r w:rsidRPr="007D7461">
        <w:rPr>
          <w:iCs/>
        </w:rPr>
        <w:t xml:space="preserve"> Parties that have not yet submitted their first national reports to do so as soon as possible;</w:t>
      </w:r>
    </w:p>
    <w:p w14:paraId="6D9A4E0D" w14:textId="77777777" w:rsidR="00486F62" w:rsidRPr="007D7461" w:rsidRDefault="00486F62" w:rsidP="00486F62">
      <w:pPr>
        <w:tabs>
          <w:tab w:val="clear" w:pos="567"/>
          <w:tab w:val="clear" w:pos="1134"/>
        </w:tabs>
        <w:spacing w:before="120" w:after="120"/>
        <w:ind w:left="567" w:firstLine="567"/>
        <w:rPr>
          <w:iCs/>
        </w:rPr>
      </w:pPr>
      <w:r w:rsidRPr="007D7461">
        <w:rPr>
          <w:iCs/>
        </w:rPr>
        <w:t>3.</w:t>
      </w:r>
      <w:r w:rsidRPr="007D7461">
        <w:rPr>
          <w:iCs/>
        </w:rPr>
        <w:tab/>
      </w:r>
      <w:r w:rsidRPr="007D7461">
        <w:rPr>
          <w:i/>
        </w:rPr>
        <w:t>Expresses</w:t>
      </w:r>
      <w:r w:rsidRPr="007D7461">
        <w:rPr>
          <w:iCs/>
        </w:rPr>
        <w:t xml:space="preserve"> its appreciation to the Global Environment Facility and the United Nations Environment Programme for the support provided to eligible Parties in the preparation and submission of their first national reports, and acknowledges the administrative challenges associated with the project development process and the resulting significant delay in the distribution of funds;</w:t>
      </w:r>
    </w:p>
    <w:p w14:paraId="53B12FAC" w14:textId="77777777" w:rsidR="00486F62" w:rsidRPr="007D7461" w:rsidRDefault="00486F62" w:rsidP="00486F62">
      <w:pPr>
        <w:tabs>
          <w:tab w:val="clear" w:pos="567"/>
          <w:tab w:val="clear" w:pos="1134"/>
        </w:tabs>
        <w:spacing w:before="120" w:after="120"/>
        <w:ind w:left="567" w:firstLine="567"/>
        <w:rPr>
          <w:iCs/>
        </w:rPr>
      </w:pPr>
      <w:r w:rsidRPr="007D7461">
        <w:rPr>
          <w:iCs/>
        </w:rPr>
        <w:t>4.</w:t>
      </w:r>
      <w:r w:rsidRPr="007D7461">
        <w:rPr>
          <w:iCs/>
        </w:rPr>
        <w:tab/>
      </w:r>
      <w:r w:rsidRPr="007D7461">
        <w:rPr>
          <w:i/>
        </w:rPr>
        <w:t>Commends</w:t>
      </w:r>
      <w:r w:rsidRPr="007D7461">
        <w:rPr>
          <w:iCs/>
        </w:rPr>
        <w:t xml:space="preserve"> the efforts made by the Secretariat of the Convention on Biological Diversity</w:t>
      </w:r>
      <w:r w:rsidRPr="007D7461">
        <w:rPr>
          <w:rStyle w:val="FootnoteReference"/>
        </w:rPr>
        <w:footnoteReference w:id="16"/>
      </w:r>
      <w:r w:rsidRPr="007D7461">
        <w:rPr>
          <w:rStyle w:val="FootnoteReference"/>
        </w:rPr>
        <w:t xml:space="preserve"> </w:t>
      </w:r>
      <w:r>
        <w:rPr>
          <w:iCs/>
        </w:rPr>
        <w:t xml:space="preserve">to </w:t>
      </w:r>
      <w:r w:rsidRPr="007D7461">
        <w:rPr>
          <w:iCs/>
        </w:rPr>
        <w:t>assist Parties in submitting their first national report</w:t>
      </w:r>
      <w:r>
        <w:rPr>
          <w:iCs/>
        </w:rPr>
        <w:t>s</w:t>
      </w:r>
      <w:r w:rsidRPr="007D7461">
        <w:rPr>
          <w:iCs/>
        </w:rPr>
        <w:t>;</w:t>
      </w:r>
    </w:p>
    <w:p w14:paraId="4F7EC980" w14:textId="77777777" w:rsidR="00486F62" w:rsidRDefault="00486F62" w:rsidP="00486F62">
      <w:pPr>
        <w:tabs>
          <w:tab w:val="clear" w:pos="567"/>
          <w:tab w:val="clear" w:pos="1134"/>
        </w:tabs>
        <w:spacing w:before="120" w:after="120"/>
        <w:ind w:left="567" w:firstLine="567"/>
        <w:rPr>
          <w:iCs/>
        </w:rPr>
      </w:pPr>
      <w:r w:rsidRPr="007D7461">
        <w:rPr>
          <w:iCs/>
        </w:rPr>
        <w:t>5.</w:t>
      </w:r>
      <w:r w:rsidRPr="007D7461">
        <w:rPr>
          <w:iCs/>
        </w:rPr>
        <w:tab/>
      </w:r>
      <w:r w:rsidRPr="007D7461">
        <w:rPr>
          <w:i/>
        </w:rPr>
        <w:t>Urges</w:t>
      </w:r>
      <w:r w:rsidRPr="007D7461">
        <w:rPr>
          <w:iCs/>
        </w:rPr>
        <w:t xml:space="preserve"> Parties to monitor the implementation of their obligations under the </w:t>
      </w:r>
      <w:r>
        <w:rPr>
          <w:iCs/>
        </w:rPr>
        <w:t xml:space="preserve">Nagoya </w:t>
      </w:r>
      <w:r w:rsidRPr="007D7461">
        <w:rPr>
          <w:iCs/>
        </w:rPr>
        <w:t>Protocol</w:t>
      </w:r>
      <w:r>
        <w:rPr>
          <w:iCs/>
        </w:rPr>
        <w:t>,</w:t>
      </w:r>
      <w:r w:rsidRPr="007D7461">
        <w:rPr>
          <w:iCs/>
        </w:rPr>
        <w:t xml:space="preserve"> </w:t>
      </w:r>
      <w:r>
        <w:rPr>
          <w:iCs/>
        </w:rPr>
        <w:t xml:space="preserve">in compliance with its </w:t>
      </w:r>
      <w:r w:rsidRPr="007D7461">
        <w:rPr>
          <w:iCs/>
        </w:rPr>
        <w:t>Article 29</w:t>
      </w:r>
      <w:r>
        <w:rPr>
          <w:iCs/>
        </w:rPr>
        <w:t>,</w:t>
      </w:r>
      <w:r w:rsidRPr="007D7461">
        <w:rPr>
          <w:iCs/>
        </w:rPr>
        <w:t xml:space="preserve"> with respect to facilitating the preparation and timely submission of the</w:t>
      </w:r>
      <w:r>
        <w:rPr>
          <w:iCs/>
        </w:rPr>
        <w:t>ir</w:t>
      </w:r>
      <w:r w:rsidRPr="007D7461">
        <w:rPr>
          <w:iCs/>
        </w:rPr>
        <w:t xml:space="preserve"> second national reports</w:t>
      </w:r>
      <w:r>
        <w:rPr>
          <w:iCs/>
        </w:rPr>
        <w:t>,</w:t>
      </w:r>
      <w:r w:rsidRPr="007D7461">
        <w:rPr>
          <w:iCs/>
        </w:rPr>
        <w:t xml:space="preserve"> and explore opportunities for mobilizing resources in support of those activities;</w:t>
      </w:r>
    </w:p>
    <w:p w14:paraId="4E05228B" w14:textId="77777777" w:rsidR="00486F62" w:rsidRPr="007D7461" w:rsidRDefault="00486F62" w:rsidP="00486F62">
      <w:pPr>
        <w:tabs>
          <w:tab w:val="clear" w:pos="567"/>
          <w:tab w:val="clear" w:pos="1134"/>
        </w:tabs>
        <w:spacing w:before="120" w:after="120"/>
        <w:ind w:left="567" w:firstLine="567"/>
        <w:rPr>
          <w:iCs/>
        </w:rPr>
      </w:pPr>
      <w:r>
        <w:rPr>
          <w:iCs/>
        </w:rPr>
        <w:t>6.</w:t>
      </w:r>
      <w:r>
        <w:rPr>
          <w:i/>
        </w:rPr>
        <w:tab/>
      </w:r>
      <w:r w:rsidRPr="00EB7980">
        <w:rPr>
          <w:i/>
        </w:rPr>
        <w:t>Notes</w:t>
      </w:r>
      <w:r>
        <w:rPr>
          <w:iCs/>
        </w:rPr>
        <w:t xml:space="preserve"> that the second national reports will be due by 30 </w:t>
      </w:r>
      <w:r w:rsidRPr="00E37050">
        <w:rPr>
          <w:iCs/>
        </w:rPr>
        <w:t>June 2029;</w:t>
      </w:r>
    </w:p>
    <w:p w14:paraId="360B0FAE" w14:textId="77777777" w:rsidR="00486F62" w:rsidRDefault="00486F62" w:rsidP="00486F62">
      <w:pPr>
        <w:tabs>
          <w:tab w:val="clear" w:pos="567"/>
          <w:tab w:val="clear" w:pos="1134"/>
        </w:tabs>
        <w:spacing w:before="120" w:after="120"/>
        <w:ind w:left="567" w:firstLine="567"/>
      </w:pPr>
      <w:r>
        <w:rPr>
          <w:iCs/>
        </w:rPr>
        <w:t>7</w:t>
      </w:r>
      <w:r w:rsidRPr="007D7461">
        <w:rPr>
          <w:iCs/>
        </w:rPr>
        <w:t>.</w:t>
      </w:r>
      <w:r>
        <w:rPr>
          <w:iCs/>
        </w:rPr>
        <w:tab/>
      </w:r>
      <w:r w:rsidRPr="00C07426">
        <w:rPr>
          <w:i/>
        </w:rPr>
        <w:t>Requests</w:t>
      </w:r>
      <w:r w:rsidRPr="00C07426">
        <w:t xml:space="preserve"> the Executive Secretary to </w:t>
      </w:r>
      <w:r>
        <w:t>prepare</w:t>
      </w:r>
      <w:r w:rsidRPr="00C07426">
        <w:t xml:space="preserve"> the format </w:t>
      </w:r>
      <w:r>
        <w:t xml:space="preserve">for the second national report, </w:t>
      </w:r>
      <w:r w:rsidRPr="00C07426">
        <w:t xml:space="preserve">taking into account the comments </w:t>
      </w:r>
      <w:r>
        <w:t xml:space="preserve">provided by Parties in the first national reports, </w:t>
      </w:r>
      <w:r w:rsidRPr="00530FC2">
        <w:t xml:space="preserve">while maintaining continuity in the questions in order to facilitate the measurement of progress against the </w:t>
      </w:r>
      <w:r>
        <w:t xml:space="preserve">reference points in the </w:t>
      </w:r>
      <w:r w:rsidRPr="00530FC2">
        <w:t xml:space="preserve">framework of indicators </w:t>
      </w:r>
      <w:r>
        <w:t>set out in annex II to</w:t>
      </w:r>
      <w:r w:rsidRPr="00530FC2">
        <w:t xml:space="preserve"> decision</w:t>
      </w:r>
      <w:r>
        <w:t> </w:t>
      </w:r>
      <w:hyperlink r:id="rId29" w:history="1">
        <w:r w:rsidRPr="00E5469A">
          <w:rPr>
            <w:rStyle w:val="Hyperlink"/>
          </w:rPr>
          <w:t>NP-3/1 A</w:t>
        </w:r>
      </w:hyperlink>
      <w:r>
        <w:t xml:space="preserve"> of 25 November 2018,</w:t>
      </w:r>
      <w:r w:rsidRPr="00C07426">
        <w:t xml:space="preserve"> </w:t>
      </w:r>
      <w:r>
        <w:t>and to submit the format for</w:t>
      </w:r>
      <w:r w:rsidRPr="00C07426">
        <w:t xml:space="preserve"> consideration by the Conference of the Parties serving as the meeting of the Parties to the Protocol at its seventh meeting</w:t>
      </w:r>
      <w:r>
        <w:t>.</w:t>
      </w:r>
    </w:p>
    <w:p w14:paraId="660BD32F" w14:textId="77777777" w:rsidR="008E7C8B" w:rsidRDefault="008E7C8B" w:rsidP="00A53858">
      <w:pPr>
        <w:pStyle w:val="CBDNormalNumber"/>
        <w:numPr>
          <w:ilvl w:val="0"/>
          <w:numId w:val="0"/>
        </w:numPr>
        <w:ind w:left="567"/>
      </w:pPr>
    </w:p>
    <w:p w14:paraId="02A5D6EF" w14:textId="6B8D904E" w:rsidR="00B70DC0" w:rsidRPr="00A04A62" w:rsidRDefault="00B70DC0" w:rsidP="00A53858">
      <w:pPr>
        <w:pStyle w:val="CBDNormalNumber"/>
        <w:numPr>
          <w:ilvl w:val="0"/>
          <w:numId w:val="0"/>
        </w:numPr>
        <w:ind w:left="567"/>
      </w:pPr>
    </w:p>
    <w:p w14:paraId="23B7B3B1"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5AA06B5F" w14:textId="5A0E8905" w:rsidR="00B70DC0" w:rsidRPr="001A3154" w:rsidRDefault="00B70DC0" w:rsidP="008C02D0">
      <w:pPr>
        <w:pStyle w:val="CBDAgendaItem"/>
        <w:rPr>
          <w:rFonts w:hint="eastAsia"/>
          <w:sz w:val="26"/>
          <w:szCs w:val="26"/>
        </w:rPr>
      </w:pPr>
      <w:bookmarkStart w:id="5" w:name="_Toc241588361"/>
      <w:r w:rsidRPr="001A3154">
        <w:rPr>
          <w:sz w:val="26"/>
          <w:szCs w:val="26"/>
        </w:rPr>
        <w:lastRenderedPageBreak/>
        <w:t xml:space="preserve">Item 8 </w:t>
      </w:r>
      <w:r w:rsidR="008C02D0" w:rsidRPr="001A3154">
        <w:rPr>
          <w:sz w:val="26"/>
          <w:szCs w:val="26"/>
        </w:rPr>
        <w:br/>
      </w:r>
      <w:r w:rsidRPr="001A3154">
        <w:rPr>
          <w:sz w:val="26"/>
          <w:szCs w:val="26"/>
        </w:rPr>
        <w:t xml:space="preserve">Assessment and review of the effectiveness of the </w:t>
      </w:r>
      <w:r w:rsidR="0088358E" w:rsidRPr="001A3154">
        <w:rPr>
          <w:sz w:val="26"/>
          <w:szCs w:val="26"/>
        </w:rPr>
        <w:t xml:space="preserve">Nagoya </w:t>
      </w:r>
      <w:r w:rsidRPr="001A3154">
        <w:rPr>
          <w:sz w:val="26"/>
          <w:szCs w:val="26"/>
        </w:rPr>
        <w:t>Protocol</w:t>
      </w:r>
      <w:bookmarkEnd w:id="5"/>
    </w:p>
    <w:tbl>
      <w:tblPr>
        <w:tblStyle w:val="TableGrid"/>
        <w:tblW w:w="0" w:type="auto"/>
        <w:tblLook w:val="04A0" w:firstRow="1" w:lastRow="0" w:firstColumn="1" w:lastColumn="0" w:noHBand="0" w:noVBand="1"/>
      </w:tblPr>
      <w:tblGrid>
        <w:gridCol w:w="9360"/>
      </w:tblGrid>
      <w:tr w:rsidR="002E2FB5" w:rsidRPr="006E0A47" w14:paraId="7B154452" w14:textId="77777777" w:rsidTr="00E44EC1">
        <w:tc>
          <w:tcPr>
            <w:tcW w:w="9360" w:type="dxa"/>
            <w:tcBorders>
              <w:left w:val="nil"/>
              <w:right w:val="nil"/>
            </w:tcBorders>
          </w:tcPr>
          <w:p w14:paraId="6215D83B" w14:textId="403676B3" w:rsidR="002E2FB5" w:rsidRPr="006E0A47" w:rsidRDefault="002E2FB5" w:rsidP="00EE7CA8">
            <w:pPr>
              <w:pStyle w:val="CBDcompilation-blurb"/>
              <w:tabs>
                <w:tab w:val="clear" w:pos="567"/>
              </w:tabs>
              <w:ind w:left="0" w:firstLine="319"/>
            </w:pPr>
            <w:r w:rsidRPr="006E0A47">
              <w:t>The following draft decision ha</w:t>
            </w:r>
            <w:r>
              <w:t>s</w:t>
            </w:r>
            <w:r w:rsidRPr="006E0A47">
              <w:t xml:space="preserve"> been reproduced from </w:t>
            </w:r>
            <w:r w:rsidR="00097E06">
              <w:t xml:space="preserve">recommendation </w:t>
            </w:r>
            <w:hyperlink r:id="rId30" w:history="1">
              <w:r w:rsidR="00097E06" w:rsidRPr="00097711">
                <w:rPr>
                  <w:rStyle w:val="Hyperlink"/>
                </w:rPr>
                <w:t>7/</w:t>
              </w:r>
              <w:r w:rsidR="00104B26" w:rsidRPr="00097711">
                <w:rPr>
                  <w:rStyle w:val="Hyperlink"/>
                </w:rPr>
                <w:t>6</w:t>
              </w:r>
              <w:r w:rsidR="00FF7AF3" w:rsidRPr="00097711">
                <w:rPr>
                  <w:rStyle w:val="Hyperlink"/>
                </w:rPr>
                <w:t xml:space="preserve"> A</w:t>
              </w:r>
            </w:hyperlink>
            <w:r w:rsidR="00104B26">
              <w:t xml:space="preserve"> of the Subsidiary Body on Implementation</w:t>
            </w:r>
            <w:r w:rsidR="00DB0E9A">
              <w:t>.</w:t>
            </w:r>
          </w:p>
        </w:tc>
      </w:tr>
    </w:tbl>
    <w:p w14:paraId="7E66D6DE" w14:textId="7B92B7F9" w:rsidR="00622408" w:rsidRPr="00622408" w:rsidRDefault="00622408" w:rsidP="00EE7CA8">
      <w:pPr>
        <w:pStyle w:val="CBDcompilationH2"/>
      </w:pPr>
      <w:r w:rsidRPr="006B144A">
        <w:t>Assessment and review</w:t>
      </w:r>
      <w:r w:rsidRPr="0093372E">
        <w:t xml:space="preserve"> </w:t>
      </w:r>
      <w:r w:rsidRPr="006B144A">
        <w:t>of the effectiveness of the Nagoya Protocol</w:t>
      </w:r>
    </w:p>
    <w:p w14:paraId="4D480EB0" w14:textId="6AB6B5BC" w:rsidR="00095629" w:rsidRPr="006B144A" w:rsidRDefault="00095629" w:rsidP="00B571BC">
      <w:pPr>
        <w:pStyle w:val="Para20"/>
        <w:ind w:left="567" w:firstLine="567"/>
        <w:rPr>
          <w:i/>
          <w:iCs/>
        </w:rPr>
      </w:pPr>
      <w:r w:rsidRPr="006B144A">
        <w:rPr>
          <w:i/>
          <w:iCs/>
        </w:rPr>
        <w:t>The Conference of the Parties serving as the meeting of the Parties to the Nagoya Protocol</w:t>
      </w:r>
    </w:p>
    <w:p w14:paraId="60684356" w14:textId="5B02AF57" w:rsidR="00095629" w:rsidRPr="006B144A" w:rsidRDefault="00095629" w:rsidP="00B571BC">
      <w:pPr>
        <w:pStyle w:val="CBDNormalNoNumber"/>
        <w:tabs>
          <w:tab w:val="clear" w:pos="567"/>
        </w:tabs>
        <w:ind w:firstLine="567"/>
      </w:pPr>
      <w:r w:rsidRPr="006B144A">
        <w:t>1.</w:t>
      </w:r>
      <w:r w:rsidRPr="006B144A">
        <w:tab/>
      </w:r>
      <w:r w:rsidRPr="006B144A">
        <w:rPr>
          <w:i/>
        </w:rPr>
        <w:t>Welcomes</w:t>
      </w:r>
      <w:r w:rsidRPr="006B144A">
        <w:t xml:space="preserve"> the input to the second assessment and review of the effectiveness of the Nagoya Protocol on Access to Genetic Resources and the Fair and Equitable Sharing of Benefits Arising from Their Utilization</w:t>
      </w:r>
      <w:r w:rsidR="00520698" w:rsidRPr="0093372E">
        <w:rPr>
          <w:rStyle w:val="FootnoteReference"/>
        </w:rPr>
        <w:footnoteReference w:id="17"/>
      </w:r>
      <w:r w:rsidRPr="006B144A">
        <w:t xml:space="preserve"> provided by the Compliance Committee </w:t>
      </w:r>
      <w:r w:rsidRPr="0093372E">
        <w:t>under the Nagoya Protocol</w:t>
      </w:r>
      <w:r w:rsidRPr="006B144A">
        <w:t xml:space="preserve"> and the Informal Advisory Committee on Capacity-building for the Implementation of the Nagoya Protocol</w:t>
      </w:r>
      <w:r>
        <w:t>,</w:t>
      </w:r>
      <w:r w:rsidRPr="006B144A">
        <w:t xml:space="preserve"> in the form of key findings and messages and </w:t>
      </w:r>
      <w:r>
        <w:t>indicative</w:t>
      </w:r>
      <w:r w:rsidRPr="006B144A">
        <w:t xml:space="preserve"> actions that could be taken at the national, regional and global levels to enhance the implementation of the Protocol;</w:t>
      </w:r>
      <w:r w:rsidRPr="006B144A">
        <w:rPr>
          <w:vertAlign w:val="superscript"/>
        </w:rPr>
        <w:footnoteReference w:id="18"/>
      </w:r>
    </w:p>
    <w:p w14:paraId="1AEC2C6F" w14:textId="77777777" w:rsidR="00095629" w:rsidRPr="006B144A" w:rsidRDefault="00095629" w:rsidP="00B571BC">
      <w:pPr>
        <w:pStyle w:val="CBDNormalNoNumber"/>
        <w:tabs>
          <w:tab w:val="clear" w:pos="567"/>
        </w:tabs>
        <w:ind w:firstLine="567"/>
        <w:rPr>
          <w:rFonts w:eastAsia="Times New Roman"/>
          <w:iCs/>
          <w:szCs w:val="24"/>
        </w:rPr>
      </w:pPr>
      <w:r w:rsidRPr="006B144A">
        <w:rPr>
          <w:rFonts w:eastAsia="Times New Roman"/>
          <w:szCs w:val="24"/>
        </w:rPr>
        <w:t>2.</w:t>
      </w:r>
      <w:r w:rsidRPr="006B144A">
        <w:rPr>
          <w:rFonts w:eastAsia="Times New Roman"/>
          <w:szCs w:val="24"/>
        </w:rPr>
        <w:tab/>
      </w:r>
      <w:r w:rsidRPr="006B144A">
        <w:rPr>
          <w:i/>
          <w:iCs/>
        </w:rPr>
        <w:t>Also</w:t>
      </w:r>
      <w:r w:rsidRPr="006B144A">
        <w:t xml:space="preserve"> </w:t>
      </w:r>
      <w:r w:rsidRPr="006B144A">
        <w:rPr>
          <w:i/>
        </w:rPr>
        <w:t>welcomes</w:t>
      </w:r>
      <w:r w:rsidRPr="006B144A">
        <w:t xml:space="preserve"> </w:t>
      </w:r>
      <w:r w:rsidRPr="006B144A">
        <w:rPr>
          <w:rFonts w:eastAsia="Times New Roman"/>
          <w:iCs/>
          <w:szCs w:val="24"/>
        </w:rPr>
        <w:t xml:space="preserve">the </w:t>
      </w:r>
      <w:r w:rsidRPr="006B144A">
        <w:rPr>
          <w:iCs/>
        </w:rPr>
        <w:t>s</w:t>
      </w:r>
      <w:r w:rsidRPr="006B144A">
        <w:rPr>
          <w:rFonts w:eastAsia="Times New Roman"/>
          <w:iCs/>
          <w:szCs w:val="24"/>
        </w:rPr>
        <w:t xml:space="preserve">coping study on the possible reasons and underlying root causes for the challenges to effective </w:t>
      </w:r>
      <w:r w:rsidRPr="006B144A">
        <w:t>implementation</w:t>
      </w:r>
      <w:r w:rsidRPr="006B144A">
        <w:rPr>
          <w:rFonts w:eastAsia="Times New Roman"/>
          <w:iCs/>
          <w:szCs w:val="24"/>
        </w:rPr>
        <w:t xml:space="preserve"> and compliance</w:t>
      </w:r>
      <w:r>
        <w:rPr>
          <w:rFonts w:eastAsia="Times New Roman"/>
          <w:iCs/>
          <w:szCs w:val="24"/>
        </w:rPr>
        <w:t>,</w:t>
      </w:r>
      <w:r w:rsidRPr="006B144A">
        <w:rPr>
          <w:rFonts w:eastAsia="Times New Roman"/>
          <w:iCs/>
          <w:szCs w:val="24"/>
        </w:rPr>
        <w:t xml:space="preserve"> and on possible ways to enhance implementation;</w:t>
      </w:r>
      <w:r w:rsidRPr="006B144A">
        <w:rPr>
          <w:vertAlign w:val="superscript"/>
        </w:rPr>
        <w:footnoteReference w:id="19"/>
      </w:r>
    </w:p>
    <w:p w14:paraId="71717144" w14:textId="77777777" w:rsidR="00095629" w:rsidRPr="006B144A" w:rsidRDefault="00095629" w:rsidP="00B571BC">
      <w:pPr>
        <w:pStyle w:val="CBDNormalNoNumber"/>
        <w:tabs>
          <w:tab w:val="clear" w:pos="567"/>
        </w:tabs>
        <w:ind w:firstLine="567"/>
      </w:pPr>
      <w:r w:rsidRPr="006B144A">
        <w:rPr>
          <w:rFonts w:eastAsia="Times New Roman"/>
        </w:rPr>
        <w:t>3.</w:t>
      </w:r>
      <w:r w:rsidRPr="006B144A">
        <w:rPr>
          <w:rFonts w:eastAsia="Times New Roman"/>
        </w:rPr>
        <w:tab/>
      </w:r>
      <w:r w:rsidRPr="006B144A">
        <w:rPr>
          <w:i/>
          <w:iCs/>
        </w:rPr>
        <w:t>Further</w:t>
      </w:r>
      <w:r w:rsidRPr="006B144A">
        <w:t xml:space="preserve"> </w:t>
      </w:r>
      <w:r w:rsidRPr="006B144A">
        <w:rPr>
          <w:i/>
        </w:rPr>
        <w:t>welcomes</w:t>
      </w:r>
      <w:r w:rsidRPr="006B144A">
        <w:t xml:space="preserve"> the updated indicator data produced further to the framework of indicators provided in annex II to decision </w:t>
      </w:r>
      <w:hyperlink r:id="rId31" w:history="1">
        <w:r w:rsidRPr="006B144A">
          <w:rPr>
            <w:rStyle w:val="Hyperlink"/>
          </w:rPr>
          <w:t>NP-3/1 A</w:t>
        </w:r>
      </w:hyperlink>
      <w:r w:rsidRPr="006B144A">
        <w:t xml:space="preserve"> of 25 November 2018;</w:t>
      </w:r>
      <w:r>
        <w:rPr>
          <w:rStyle w:val="FootnoteReference"/>
        </w:rPr>
        <w:footnoteReference w:id="20"/>
      </w:r>
    </w:p>
    <w:p w14:paraId="281340D4" w14:textId="77777777" w:rsidR="00095629" w:rsidRDefault="00095629" w:rsidP="00B571BC">
      <w:pPr>
        <w:pStyle w:val="CBDNormalNoNumber"/>
        <w:tabs>
          <w:tab w:val="clear" w:pos="567"/>
        </w:tabs>
        <w:ind w:firstLine="567"/>
        <w:rPr>
          <w:rFonts w:eastAsia="Times New Roman"/>
        </w:rPr>
      </w:pPr>
      <w:r w:rsidRPr="6B85559C">
        <w:rPr>
          <w:rFonts w:eastAsia="Times New Roman"/>
        </w:rPr>
        <w:t>4.</w:t>
      </w:r>
      <w:r w:rsidRPr="006B144A">
        <w:rPr>
          <w:rFonts w:eastAsia="Times New Roman"/>
          <w:szCs w:val="24"/>
        </w:rPr>
        <w:tab/>
      </w:r>
      <w:r w:rsidRPr="6B85559C">
        <w:rPr>
          <w:i/>
          <w:iCs/>
        </w:rPr>
        <w:t>Takes note</w:t>
      </w:r>
      <w:r w:rsidRPr="006B144A">
        <w:t xml:space="preserve"> </w:t>
      </w:r>
      <w:r w:rsidRPr="6B85559C">
        <w:rPr>
          <w:rFonts w:eastAsia="Times New Roman"/>
        </w:rPr>
        <w:t>of the outcomes of the second assessment and review, in the form of key findings and messages and indicative actions that could be taken at the national level to enhance the implementation of the Nagoya Protocol,</w:t>
      </w:r>
      <w:r w:rsidRPr="6B85559C">
        <w:rPr>
          <w:rStyle w:val="FootnoteReference"/>
          <w:rFonts w:eastAsia="Times New Roman"/>
        </w:rPr>
        <w:footnoteReference w:id="21"/>
      </w:r>
      <w:r w:rsidRPr="6B85559C">
        <w:rPr>
          <w:rFonts w:eastAsia="Times New Roman"/>
        </w:rPr>
        <w:t xml:space="preserve"> and of related decisions of the Conference of the Parties serving as the meeting of the Parties to the Protocol;</w:t>
      </w:r>
      <w:r w:rsidRPr="6B85559C">
        <w:rPr>
          <w:rStyle w:val="FootnoteReference"/>
          <w:rFonts w:eastAsia="Times New Roman"/>
        </w:rPr>
        <w:footnoteReference w:id="22"/>
      </w:r>
      <w:r w:rsidRPr="6B85559C">
        <w:rPr>
          <w:rFonts w:eastAsia="Times New Roman"/>
        </w:rPr>
        <w:t xml:space="preserve"> </w:t>
      </w:r>
    </w:p>
    <w:p w14:paraId="05AADA10" w14:textId="77777777" w:rsidR="00095629" w:rsidRDefault="00095629" w:rsidP="00B571BC">
      <w:pPr>
        <w:pStyle w:val="CBDNormalNoNumber"/>
        <w:tabs>
          <w:tab w:val="clear" w:pos="567"/>
        </w:tabs>
        <w:ind w:firstLine="567"/>
      </w:pPr>
      <w:r>
        <w:rPr>
          <w:rFonts w:eastAsia="Times New Roman"/>
          <w:iCs/>
          <w:szCs w:val="24"/>
        </w:rPr>
        <w:t>5.</w:t>
      </w:r>
      <w:r>
        <w:rPr>
          <w:rFonts w:eastAsia="Times New Roman"/>
          <w:iCs/>
          <w:szCs w:val="24"/>
        </w:rPr>
        <w:tab/>
      </w:r>
      <w:r w:rsidRPr="007A4CE9">
        <w:rPr>
          <w:rFonts w:eastAsia="Times New Roman"/>
          <w:i/>
          <w:szCs w:val="24"/>
        </w:rPr>
        <w:t xml:space="preserve">Welcomes </w:t>
      </w:r>
      <w:r w:rsidRPr="00A91880">
        <w:rPr>
          <w:rFonts w:eastAsia="Times New Roman"/>
          <w:iCs/>
          <w:szCs w:val="24"/>
        </w:rPr>
        <w:t>the progress made by Parties in the implementation of the Nagoya Protocol</w:t>
      </w:r>
      <w:r>
        <w:rPr>
          <w:rFonts w:eastAsia="Times New Roman"/>
          <w:iCs/>
          <w:szCs w:val="24"/>
        </w:rPr>
        <w:t xml:space="preserve">, and recognizes that </w:t>
      </w:r>
      <w:r w:rsidRPr="00A91880">
        <w:rPr>
          <w:rFonts w:eastAsia="Times New Roman"/>
          <w:iCs/>
          <w:szCs w:val="24"/>
        </w:rPr>
        <w:t xml:space="preserve">further work is needed </w:t>
      </w:r>
      <w:r>
        <w:rPr>
          <w:rFonts w:eastAsia="Times New Roman"/>
          <w:iCs/>
          <w:szCs w:val="24"/>
        </w:rPr>
        <w:t>to support the effective implementation of the Protocol, as identified in the key findings and messages and indicative actions, and to make access and benefit-sharing systems fully operational and effective to achieve the objective of the Protocol;</w:t>
      </w:r>
    </w:p>
    <w:p w14:paraId="067C5183" w14:textId="77777777" w:rsidR="00095629" w:rsidRPr="006B144A" w:rsidRDefault="00095629" w:rsidP="00B571BC">
      <w:pPr>
        <w:pStyle w:val="CBDNormalNoNumber"/>
        <w:tabs>
          <w:tab w:val="clear" w:pos="567"/>
        </w:tabs>
        <w:ind w:firstLine="567"/>
        <w:rPr>
          <w:rFonts w:eastAsia="Times New Roman"/>
          <w:iCs/>
          <w:szCs w:val="24"/>
        </w:rPr>
      </w:pPr>
      <w:r>
        <w:rPr>
          <w:rFonts w:eastAsia="Times New Roman"/>
          <w:szCs w:val="24"/>
        </w:rPr>
        <w:t>6</w:t>
      </w:r>
      <w:r w:rsidRPr="006B144A">
        <w:rPr>
          <w:rFonts w:eastAsia="Times New Roman"/>
          <w:szCs w:val="24"/>
        </w:rPr>
        <w:t>.</w:t>
      </w:r>
      <w:r w:rsidRPr="006B144A">
        <w:rPr>
          <w:rFonts w:eastAsia="Times New Roman"/>
          <w:szCs w:val="24"/>
        </w:rPr>
        <w:tab/>
      </w:r>
      <w:r w:rsidRPr="006B144A">
        <w:rPr>
          <w:i/>
        </w:rPr>
        <w:t>Invites</w:t>
      </w:r>
      <w:r w:rsidRPr="006B144A">
        <w:rPr>
          <w:rFonts w:eastAsia="Times New Roman"/>
          <w:iCs/>
          <w:szCs w:val="24"/>
        </w:rPr>
        <w:t xml:space="preserve"> </w:t>
      </w:r>
      <w:r w:rsidRPr="006B144A">
        <w:t>Parties</w:t>
      </w:r>
      <w:r w:rsidRPr="006B144A">
        <w:rPr>
          <w:rFonts w:eastAsia="Times New Roman"/>
          <w:iCs/>
          <w:szCs w:val="24"/>
        </w:rPr>
        <w:t xml:space="preserve">, other Governments, indigenous peoples and local communities and relevant stakeholders and organizations, including, </w:t>
      </w:r>
      <w:r w:rsidRPr="006B144A">
        <w:t>as</w:t>
      </w:r>
      <w:r w:rsidRPr="006B144A">
        <w:rPr>
          <w:rFonts w:eastAsia="Times New Roman"/>
          <w:iCs/>
          <w:szCs w:val="24"/>
        </w:rPr>
        <w:t xml:space="preserve"> appropriate, the regional and subregional technical and scientific cooperation support centres, to </w:t>
      </w:r>
      <w:proofErr w:type="gramStart"/>
      <w:r w:rsidRPr="006B144A">
        <w:rPr>
          <w:rFonts w:eastAsia="Times New Roman"/>
          <w:szCs w:val="24"/>
        </w:rPr>
        <w:t>take into account</w:t>
      </w:r>
      <w:proofErr w:type="gramEnd"/>
      <w:r w:rsidRPr="006B144A">
        <w:rPr>
          <w:rFonts w:eastAsia="Times New Roman"/>
          <w:szCs w:val="24"/>
        </w:rPr>
        <w:t xml:space="preserve"> the outcomes of the second assessment and review</w:t>
      </w:r>
      <w:r w:rsidRPr="006B144A">
        <w:rPr>
          <w:rFonts w:eastAsia="Times New Roman"/>
          <w:iCs/>
          <w:szCs w:val="24"/>
        </w:rPr>
        <w:t xml:space="preserve"> in their efforts to support the effective implementation of the Nagoya Protocol; </w:t>
      </w:r>
    </w:p>
    <w:p w14:paraId="6A4FBCD1" w14:textId="77777777" w:rsidR="00095629" w:rsidRPr="006B144A" w:rsidRDefault="00095629" w:rsidP="00B571BC">
      <w:pPr>
        <w:pStyle w:val="CBDNormalNoNumber"/>
        <w:tabs>
          <w:tab w:val="clear" w:pos="567"/>
        </w:tabs>
        <w:ind w:firstLine="567"/>
        <w:rPr>
          <w:rFonts w:eastAsia="Times New Roman"/>
          <w:iCs/>
          <w:szCs w:val="24"/>
        </w:rPr>
      </w:pPr>
      <w:r>
        <w:rPr>
          <w:rFonts w:eastAsia="Times New Roman"/>
          <w:szCs w:val="24"/>
        </w:rPr>
        <w:t>7</w:t>
      </w:r>
      <w:r w:rsidRPr="006B144A">
        <w:rPr>
          <w:rFonts w:eastAsia="Times New Roman"/>
          <w:szCs w:val="24"/>
        </w:rPr>
        <w:t>.</w:t>
      </w:r>
      <w:r w:rsidRPr="006B144A">
        <w:rPr>
          <w:rFonts w:eastAsia="Times New Roman"/>
          <w:szCs w:val="24"/>
        </w:rPr>
        <w:tab/>
      </w:r>
      <w:r w:rsidRPr="007A4CE9">
        <w:rPr>
          <w:rFonts w:eastAsia="Times New Roman"/>
          <w:i/>
          <w:iCs/>
          <w:szCs w:val="24"/>
        </w:rPr>
        <w:t>Underlines</w:t>
      </w:r>
      <w:r>
        <w:rPr>
          <w:i/>
        </w:rPr>
        <w:t xml:space="preserve"> </w:t>
      </w:r>
      <w:r w:rsidRPr="006B144A">
        <w:rPr>
          <w:rFonts w:eastAsia="Times New Roman"/>
          <w:iCs/>
          <w:szCs w:val="24"/>
        </w:rPr>
        <w:t>that all Parties need to fulfil their obligations under the Nagoya Protocol;</w:t>
      </w:r>
    </w:p>
    <w:p w14:paraId="100BA0E7" w14:textId="77777777" w:rsidR="00095629" w:rsidRPr="006B144A" w:rsidRDefault="00095629" w:rsidP="00B571BC">
      <w:pPr>
        <w:pStyle w:val="CBDNormalNoNumber"/>
        <w:tabs>
          <w:tab w:val="clear" w:pos="567"/>
        </w:tabs>
        <w:ind w:firstLine="567"/>
      </w:pPr>
      <w:r>
        <w:rPr>
          <w:rFonts w:eastAsia="Times New Roman"/>
        </w:rPr>
        <w:t>8</w:t>
      </w:r>
      <w:r w:rsidRPr="006B144A">
        <w:rPr>
          <w:rFonts w:eastAsia="Times New Roman"/>
        </w:rPr>
        <w:t>.</w:t>
      </w:r>
      <w:r w:rsidRPr="006B144A">
        <w:rPr>
          <w:rFonts w:eastAsia="Times New Roman"/>
        </w:rPr>
        <w:tab/>
      </w:r>
      <w:r w:rsidRPr="006B144A">
        <w:rPr>
          <w:i/>
        </w:rPr>
        <w:t>Urges</w:t>
      </w:r>
      <w:r w:rsidRPr="006B144A">
        <w:t xml:space="preserve"> Parties that </w:t>
      </w:r>
      <w:r w:rsidRPr="006B144A">
        <w:rPr>
          <w:rFonts w:eastAsia="Times New Roman"/>
          <w:iCs/>
          <w:szCs w:val="24"/>
        </w:rPr>
        <w:t xml:space="preserve">have not yet done so </w:t>
      </w:r>
      <w:r w:rsidRPr="006B144A">
        <w:t xml:space="preserve">to take the steps necessary to </w:t>
      </w:r>
      <w:r w:rsidRPr="00317A56">
        <w:t xml:space="preserve">ensure the full and </w:t>
      </w:r>
      <w:r w:rsidRPr="006B144A">
        <w:t xml:space="preserve">effective </w:t>
      </w:r>
      <w:r w:rsidRPr="003A7D36">
        <w:t>implementation of the Nagoya Protocol</w:t>
      </w:r>
      <w:r w:rsidRPr="00076A2F">
        <w:t xml:space="preserve"> </w:t>
      </w:r>
      <w:r>
        <w:t xml:space="preserve">and </w:t>
      </w:r>
      <w:r w:rsidRPr="006B144A">
        <w:t>achiev</w:t>
      </w:r>
      <w:r>
        <w:t>e</w:t>
      </w:r>
      <w:r w:rsidRPr="006B144A">
        <w:t xml:space="preserve"> </w:t>
      </w:r>
      <w:r>
        <w:t xml:space="preserve">its </w:t>
      </w:r>
      <w:r w:rsidRPr="006B144A">
        <w:t>objective</w:t>
      </w:r>
      <w:r>
        <w:t>;</w:t>
      </w:r>
    </w:p>
    <w:p w14:paraId="292884E0" w14:textId="77777777" w:rsidR="00095629" w:rsidRPr="006B144A" w:rsidRDefault="00095629" w:rsidP="00B571BC">
      <w:pPr>
        <w:pStyle w:val="CBDNormalNoNumber"/>
        <w:tabs>
          <w:tab w:val="clear" w:pos="567"/>
          <w:tab w:val="clear" w:pos="1134"/>
        </w:tabs>
        <w:ind w:firstLine="567"/>
      </w:pPr>
      <w:r>
        <w:rPr>
          <w:rFonts w:eastAsia="Times New Roman"/>
        </w:rPr>
        <w:t>9</w:t>
      </w:r>
      <w:r w:rsidRPr="006B144A">
        <w:rPr>
          <w:rFonts w:eastAsia="Times New Roman"/>
        </w:rPr>
        <w:t>.</w:t>
      </w:r>
      <w:r w:rsidRPr="006B144A">
        <w:rPr>
          <w:rFonts w:eastAsia="Times New Roman"/>
        </w:rPr>
        <w:tab/>
      </w:r>
      <w:r w:rsidRPr="006B144A">
        <w:rPr>
          <w:i/>
        </w:rPr>
        <w:t>Invites</w:t>
      </w:r>
      <w:r w:rsidRPr="006B144A">
        <w:t xml:space="preserve"> Parties to </w:t>
      </w:r>
      <w:proofErr w:type="gramStart"/>
      <w:r w:rsidRPr="006B144A">
        <w:t>take into account</w:t>
      </w:r>
      <w:proofErr w:type="gramEnd"/>
      <w:r w:rsidRPr="006B144A">
        <w:t xml:space="preserve"> the indicative actions referred to in paragraph 4 above in their efforts to implement the </w:t>
      </w:r>
      <w:r w:rsidRPr="006B144A">
        <w:rPr>
          <w:rFonts w:eastAsia="Times New Roman"/>
          <w:iCs/>
          <w:szCs w:val="24"/>
        </w:rPr>
        <w:t xml:space="preserve">Nagoya </w:t>
      </w:r>
      <w:r w:rsidRPr="006B144A">
        <w:t>Protocol</w:t>
      </w:r>
      <w:r w:rsidRPr="00186D37">
        <w:t>, as appropriate and in accordance with national circumstances and priorities</w:t>
      </w:r>
      <w:r w:rsidRPr="006B144A">
        <w:t>;</w:t>
      </w:r>
    </w:p>
    <w:p w14:paraId="127E5FBE" w14:textId="77777777" w:rsidR="00095629" w:rsidRPr="006B144A" w:rsidRDefault="00095629" w:rsidP="00B571BC">
      <w:pPr>
        <w:pStyle w:val="CBDNormalNoNumber"/>
        <w:keepNext/>
        <w:tabs>
          <w:tab w:val="clear" w:pos="567"/>
          <w:tab w:val="clear" w:pos="1134"/>
        </w:tabs>
        <w:ind w:firstLine="567"/>
      </w:pPr>
      <w:r>
        <w:rPr>
          <w:rFonts w:eastAsia="Times New Roman"/>
        </w:rPr>
        <w:lastRenderedPageBreak/>
        <w:t>10</w:t>
      </w:r>
      <w:r w:rsidRPr="006B144A">
        <w:rPr>
          <w:rFonts w:eastAsia="Times New Roman"/>
        </w:rPr>
        <w:t>.</w:t>
      </w:r>
      <w:r w:rsidRPr="006B144A">
        <w:rPr>
          <w:rFonts w:eastAsia="Times New Roman"/>
        </w:rPr>
        <w:tab/>
      </w:r>
      <w:r w:rsidRPr="00632625">
        <w:rPr>
          <w:rFonts w:eastAsia="Times New Roman"/>
          <w:i/>
          <w:iCs/>
        </w:rPr>
        <w:t>Encourages</w:t>
      </w:r>
      <w:r>
        <w:rPr>
          <w:rFonts w:eastAsia="Times New Roman"/>
        </w:rPr>
        <w:t xml:space="preserve"> </w:t>
      </w:r>
      <w:r w:rsidRPr="006B144A">
        <w:t>Parties</w:t>
      </w:r>
      <w:r>
        <w:t xml:space="preserve"> that have not yet done so</w:t>
      </w:r>
      <w:r w:rsidRPr="006B144A">
        <w:t xml:space="preserve">: </w:t>
      </w:r>
    </w:p>
    <w:p w14:paraId="152BB1C0" w14:textId="77777777" w:rsidR="00095629" w:rsidRDefault="00095629" w:rsidP="00B571BC">
      <w:pPr>
        <w:pStyle w:val="CBDNormalNoNumber"/>
        <w:tabs>
          <w:tab w:val="clear" w:pos="567"/>
          <w:tab w:val="clear" w:pos="1134"/>
        </w:tabs>
        <w:ind w:firstLine="567"/>
      </w:pPr>
      <w:r w:rsidRPr="006B144A">
        <w:t>(a)</w:t>
      </w:r>
      <w:r w:rsidRPr="006B144A">
        <w:tab/>
      </w:r>
      <w:r w:rsidRPr="00681C5E">
        <w:t xml:space="preserve">To develop and publish through the Access and Benefit-sharing Clearing-House clear and streamlined step-by-step access and benefit-sharing procedures, </w:t>
      </w:r>
      <w:r w:rsidRPr="005A0F85">
        <w:t xml:space="preserve">as appropriate and in accordance with national legislation and circumstances, </w:t>
      </w:r>
      <w:r w:rsidRPr="00632625">
        <w:t xml:space="preserve">that </w:t>
      </w:r>
      <w:proofErr w:type="gramStart"/>
      <w:r w:rsidRPr="005A0F85">
        <w:t>includ</w:t>
      </w:r>
      <w:r w:rsidRPr="00632625">
        <w:t>e</w:t>
      </w:r>
      <w:r>
        <w:t>:</w:t>
      </w:r>
      <w:proofErr w:type="gramEnd"/>
      <w:r w:rsidRPr="005A0F85">
        <w:t xml:space="preserve"> clear information on their scope of application, responsible authorities, </w:t>
      </w:r>
      <w:r w:rsidRPr="00632625">
        <w:t xml:space="preserve">the documentation </w:t>
      </w:r>
      <w:r w:rsidRPr="005A0F85">
        <w:t>required</w:t>
      </w:r>
      <w:r w:rsidRPr="00632625">
        <w:t xml:space="preserve"> thereunder,</w:t>
      </w:r>
      <w:r w:rsidRPr="005A0F85">
        <w:t xml:space="preserve"> procedural steps and any existing exemptions</w:t>
      </w:r>
      <w:r w:rsidRPr="00632625">
        <w:t>;</w:t>
      </w:r>
      <w:r>
        <w:t xml:space="preserve"> and</w:t>
      </w:r>
      <w:r w:rsidRPr="00681C5E">
        <w:t xml:space="preserve"> standardized templates, forms and checklists for commercial and non-commercial users;</w:t>
      </w:r>
    </w:p>
    <w:p w14:paraId="484ECF4B" w14:textId="77777777" w:rsidR="00095629" w:rsidRDefault="00095629" w:rsidP="00B571BC">
      <w:pPr>
        <w:pStyle w:val="CBDNormalNoNumber"/>
        <w:tabs>
          <w:tab w:val="clear" w:pos="567"/>
          <w:tab w:val="clear" w:pos="1134"/>
        </w:tabs>
        <w:ind w:firstLine="567"/>
      </w:pPr>
      <w:r w:rsidRPr="00922478">
        <w:t>[(b)</w:t>
      </w:r>
      <w:r w:rsidRPr="00922478">
        <w:tab/>
      </w:r>
      <w:r>
        <w:t xml:space="preserve">To develop user measures, including guidelines, as appropriate </w:t>
      </w:r>
      <w:r w:rsidRPr="00ED2193">
        <w:t xml:space="preserve">and in accordance with national </w:t>
      </w:r>
      <w:r>
        <w:t>measures, and to publish them through</w:t>
      </w:r>
      <w:r w:rsidRPr="006B144A">
        <w:t xml:space="preserve"> the Access and Benefit-sharing Clearing-House</w:t>
      </w:r>
      <w:r>
        <w:t>;]</w:t>
      </w:r>
    </w:p>
    <w:p w14:paraId="12734119" w14:textId="77777777" w:rsidR="00095629" w:rsidRDefault="00095629" w:rsidP="00B571BC">
      <w:pPr>
        <w:pStyle w:val="CBDNormalNoNumber"/>
        <w:tabs>
          <w:tab w:val="clear" w:pos="567"/>
          <w:tab w:val="clear" w:pos="1134"/>
        </w:tabs>
        <w:ind w:firstLine="567"/>
      </w:pPr>
      <w:r>
        <w:t>(c)</w:t>
      </w:r>
      <w:r>
        <w:tab/>
        <w:t>To c</w:t>
      </w:r>
      <w:r w:rsidRPr="003B3E09">
        <w:t xml:space="preserve">reate conditions to promote and encourage research </w:t>
      </w:r>
      <w:r>
        <w:t>that</w:t>
      </w:r>
      <w:r w:rsidRPr="003B3E09">
        <w:t xml:space="preserve"> contributes to the conservation and sustainable use of biological diversity, including through simplified measures on access for non-commercial research purposes, taking into account the need to address a change of intent for such research</w:t>
      </w:r>
      <w:r>
        <w:t>, in accordance with Article 8 (a) of the Nagoya Protocol;</w:t>
      </w:r>
    </w:p>
    <w:p w14:paraId="6A950F2E" w14:textId="77777777" w:rsidR="00095629" w:rsidRPr="006B144A" w:rsidRDefault="00095629" w:rsidP="00B571BC">
      <w:pPr>
        <w:pStyle w:val="CBDNormalNoNumber"/>
        <w:tabs>
          <w:tab w:val="clear" w:pos="567"/>
          <w:tab w:val="clear" w:pos="1134"/>
        </w:tabs>
        <w:ind w:firstLine="567"/>
      </w:pPr>
      <w:r w:rsidRPr="006B144A">
        <w:t>(</w:t>
      </w:r>
      <w:r>
        <w:t>d</w:t>
      </w:r>
      <w:r w:rsidRPr="006B144A">
        <w:t>)</w:t>
      </w:r>
      <w:r>
        <w:tab/>
      </w:r>
      <w:r w:rsidRPr="006B144A">
        <w:t>To establish and</w:t>
      </w:r>
      <w:r>
        <w:t xml:space="preserve"> progressively implement, with a view to </w:t>
      </w:r>
      <w:r w:rsidRPr="006B144A">
        <w:t>fully</w:t>
      </w:r>
      <w:r>
        <w:t xml:space="preserve"> operationaliz</w:t>
      </w:r>
      <w:r w:rsidRPr="00B7317A">
        <w:t>ing</w:t>
      </w:r>
      <w:r>
        <w:t xml:space="preserve">, </w:t>
      </w:r>
      <w:r w:rsidRPr="006B144A">
        <w:t xml:space="preserve">their checkpoints and to publish information collected or received by the checkpoints </w:t>
      </w:r>
      <w:r>
        <w:t>through</w:t>
      </w:r>
      <w:r w:rsidRPr="00186D37">
        <w:t xml:space="preserve"> </w:t>
      </w:r>
      <w:r w:rsidRPr="006B144A">
        <w:t xml:space="preserve">the Access and Benefit-sharing Clearing-House, </w:t>
      </w:r>
      <w:r w:rsidRPr="00102B75">
        <w:t>without prejudice to the protection of confidential information and in accordance with Article</w:t>
      </w:r>
      <w:r>
        <w:t>s</w:t>
      </w:r>
      <w:r w:rsidRPr="00102B75">
        <w:t> </w:t>
      </w:r>
      <w:r>
        <w:t>15 to 18</w:t>
      </w:r>
      <w:r w:rsidRPr="00102B75">
        <w:t xml:space="preserve"> of the </w:t>
      </w:r>
      <w:r w:rsidRPr="00102B75">
        <w:rPr>
          <w:rFonts w:eastAsia="Times New Roman"/>
          <w:iCs/>
          <w:szCs w:val="24"/>
        </w:rPr>
        <w:t xml:space="preserve">Nagoya </w:t>
      </w:r>
      <w:r w:rsidRPr="00102B75">
        <w:t>Protocol</w:t>
      </w:r>
      <w:r>
        <w:t>;</w:t>
      </w:r>
    </w:p>
    <w:p w14:paraId="73745344" w14:textId="77777777" w:rsidR="00095629" w:rsidRDefault="00095629" w:rsidP="00B571BC">
      <w:pPr>
        <w:pStyle w:val="CBDNormalNoNumber"/>
        <w:keepNext/>
        <w:tabs>
          <w:tab w:val="clear" w:pos="567"/>
          <w:tab w:val="clear" w:pos="1134"/>
        </w:tabs>
        <w:ind w:firstLine="567"/>
      </w:pPr>
      <w:r w:rsidRPr="006B144A">
        <w:rPr>
          <w:rFonts w:eastAsia="Times New Roman"/>
        </w:rPr>
        <w:t>1</w:t>
      </w:r>
      <w:r>
        <w:rPr>
          <w:rFonts w:eastAsia="Times New Roman"/>
        </w:rPr>
        <w:t>1</w:t>
      </w:r>
      <w:r w:rsidRPr="006B144A">
        <w:rPr>
          <w:rFonts w:eastAsia="Times New Roman"/>
        </w:rPr>
        <w:t>.</w:t>
      </w:r>
      <w:r w:rsidRPr="006B144A">
        <w:rPr>
          <w:rFonts w:eastAsia="Times New Roman"/>
        </w:rPr>
        <w:tab/>
      </w:r>
      <w:r w:rsidRPr="006B144A">
        <w:rPr>
          <w:i/>
        </w:rPr>
        <w:t>Invites</w:t>
      </w:r>
      <w:r>
        <w:t xml:space="preserve"> </w:t>
      </w:r>
      <w:r w:rsidRPr="006B144A">
        <w:t>Parties</w:t>
      </w:r>
      <w:r>
        <w:t>, as applicable, and in accordance with domestic law:</w:t>
      </w:r>
    </w:p>
    <w:p w14:paraId="50AB45B2" w14:textId="77777777" w:rsidR="00095629" w:rsidRPr="00265AD2" w:rsidRDefault="00095629" w:rsidP="00B571BC">
      <w:pPr>
        <w:pStyle w:val="CBDNormalNoNumber"/>
        <w:tabs>
          <w:tab w:val="clear" w:pos="567"/>
          <w:tab w:val="clear" w:pos="1134"/>
        </w:tabs>
        <w:ind w:firstLine="567"/>
      </w:pPr>
      <w:r>
        <w:rPr>
          <w:rFonts w:eastAsia="Times New Roman"/>
        </w:rPr>
        <w:t>(a)</w:t>
      </w:r>
      <w:r>
        <w:tab/>
        <w:t>T</w:t>
      </w:r>
      <w:r w:rsidRPr="006B144A">
        <w:t>o ensure the full and effective participation of indigenous peoples and local communities</w:t>
      </w:r>
      <w:r>
        <w:t>, including women and youth among them,</w:t>
      </w:r>
      <w:r w:rsidRPr="006B144A">
        <w:t xml:space="preserve"> in access and benefit-sharing processes, including by </w:t>
      </w:r>
      <w:r>
        <w:t>facilitating the development by indigenous peoples and local communities of</w:t>
      </w:r>
      <w:r w:rsidRPr="006B144A">
        <w:t xml:space="preserve"> community protocols and procedures for access and benefit-sharing</w:t>
      </w:r>
      <w:r>
        <w:t>,</w:t>
      </w:r>
      <w:r w:rsidRPr="006B144A">
        <w:t xml:space="preserve"> in accordance with Article 12 of the </w:t>
      </w:r>
      <w:r w:rsidRPr="006B144A">
        <w:rPr>
          <w:rFonts w:eastAsia="Times New Roman"/>
          <w:iCs/>
          <w:szCs w:val="24"/>
        </w:rPr>
        <w:t xml:space="preserve">Nagoya </w:t>
      </w:r>
      <w:r w:rsidRPr="00265AD2">
        <w:t xml:space="preserve">Protocol; </w:t>
      </w:r>
    </w:p>
    <w:p w14:paraId="559DB061" w14:textId="77777777" w:rsidR="00095629" w:rsidRPr="00CD774B" w:rsidRDefault="00095629" w:rsidP="00B571BC">
      <w:pPr>
        <w:pStyle w:val="CBDNormalNoNumber"/>
        <w:tabs>
          <w:tab w:val="clear" w:pos="567"/>
          <w:tab w:val="clear" w:pos="1134"/>
        </w:tabs>
        <w:ind w:firstLine="567"/>
      </w:pPr>
      <w:r w:rsidRPr="00265AD2">
        <w:rPr>
          <w:rFonts w:eastAsia="Times New Roman"/>
        </w:rPr>
        <w:t>(b)</w:t>
      </w:r>
      <w:r w:rsidRPr="00265AD2">
        <w:tab/>
        <w:t>To make such protocols and procedures available through the Access and Benefit-sharing Clearing-House</w:t>
      </w:r>
      <w:r w:rsidRPr="00265AD2">
        <w:rPr>
          <w:iCs/>
        </w:rPr>
        <w:t xml:space="preserve"> as part of the national records</w:t>
      </w:r>
      <w:r w:rsidRPr="00265AD2">
        <w:t xml:space="preserve">, </w:t>
      </w:r>
      <w:r w:rsidRPr="00CD774B">
        <w:t>[if the indigenous peoples and local communities concerned so agree and]</w:t>
      </w:r>
      <w:r w:rsidRPr="00265AD2">
        <w:t xml:space="preserve"> without prejudice to the protection of confidential information</w:t>
      </w:r>
      <w:r w:rsidRPr="00D8558C">
        <w:t>;</w:t>
      </w:r>
    </w:p>
    <w:p w14:paraId="1D84569A" w14:textId="77777777" w:rsidR="00095629" w:rsidRPr="00265AD2" w:rsidRDefault="00095629" w:rsidP="00B571BC">
      <w:pPr>
        <w:pStyle w:val="CBDNormalNoNumber"/>
        <w:tabs>
          <w:tab w:val="clear" w:pos="567"/>
          <w:tab w:val="clear" w:pos="1134"/>
        </w:tabs>
        <w:ind w:firstLine="567"/>
      </w:pPr>
      <w:r>
        <w:rPr>
          <w:rFonts w:eastAsia="Times New Roman"/>
        </w:rPr>
        <w:t>12.</w:t>
      </w:r>
      <w:r>
        <w:rPr>
          <w:i/>
          <w:iCs/>
        </w:rPr>
        <w:tab/>
      </w:r>
      <w:r w:rsidRPr="007A4CE9">
        <w:rPr>
          <w:i/>
          <w:iCs/>
        </w:rPr>
        <w:t>Invites</w:t>
      </w:r>
      <w:r w:rsidRPr="006B144A">
        <w:t xml:space="preserve"> relevant organizations to support indigenous peoples and local communities</w:t>
      </w:r>
      <w:r>
        <w:t>,</w:t>
      </w:r>
      <w:r w:rsidRPr="006B144A">
        <w:t xml:space="preserve"> </w:t>
      </w:r>
      <w:r>
        <w:t>including women and youth among them, through their national focal points,</w:t>
      </w:r>
      <w:r w:rsidRPr="006B144A">
        <w:t xml:space="preserve"> in developing community protocols and procedures</w:t>
      </w:r>
      <w:r>
        <w:t>, in accordance with domestic law and in line with the programme of work on Article 8(j) and other provisions</w:t>
      </w:r>
      <w:r w:rsidRPr="002433D3">
        <w:t xml:space="preserve"> of the Convention on Biological Diversity</w:t>
      </w:r>
      <w:r>
        <w:rPr>
          <w:rStyle w:val="FootnoteReference"/>
        </w:rPr>
        <w:footnoteReference w:id="23"/>
      </w:r>
      <w:r w:rsidRPr="002433D3">
        <w:t xml:space="preserve"> related to indigenous peoples and local communities to 2030</w:t>
      </w:r>
      <w:r>
        <w:t xml:space="preserve"> adopted by the </w:t>
      </w:r>
      <w:r w:rsidRPr="00265AD2">
        <w:t xml:space="preserve">Conference of the Parties to the Convention in decision </w:t>
      </w:r>
      <w:hyperlink r:id="rId32" w:history="1">
        <w:r w:rsidRPr="00265AD2">
          <w:rPr>
            <w:rStyle w:val="Hyperlink"/>
          </w:rPr>
          <w:t>16/4</w:t>
        </w:r>
      </w:hyperlink>
      <w:r w:rsidRPr="00265AD2">
        <w:t xml:space="preserve"> of 30 October 2024;</w:t>
      </w:r>
    </w:p>
    <w:p w14:paraId="78FB11DB" w14:textId="77777777" w:rsidR="00095629" w:rsidRPr="00CD774B" w:rsidRDefault="00095629" w:rsidP="00B571BC">
      <w:pPr>
        <w:pStyle w:val="CBDNormalNoNumber"/>
        <w:tabs>
          <w:tab w:val="clear" w:pos="567"/>
          <w:tab w:val="clear" w:pos="1134"/>
        </w:tabs>
        <w:ind w:firstLine="567"/>
      </w:pPr>
      <w:r w:rsidRPr="00CD774B">
        <w:rPr>
          <w:rFonts w:eastAsia="Times New Roman"/>
          <w:szCs w:val="24"/>
        </w:rPr>
        <w:t>[13</w:t>
      </w:r>
      <w:r w:rsidRPr="00265AD2">
        <w:rPr>
          <w:rFonts w:eastAsia="Times New Roman"/>
          <w:szCs w:val="24"/>
        </w:rPr>
        <w:t>.</w:t>
      </w:r>
      <w:r w:rsidRPr="00265AD2">
        <w:rPr>
          <w:rFonts w:eastAsia="Times New Roman"/>
          <w:szCs w:val="24"/>
        </w:rPr>
        <w:tab/>
      </w:r>
      <w:r w:rsidRPr="00265AD2">
        <w:rPr>
          <w:rFonts w:eastAsia="Times New Roman"/>
          <w:i/>
          <w:iCs/>
          <w:szCs w:val="24"/>
        </w:rPr>
        <w:t>Urges</w:t>
      </w:r>
      <w:r w:rsidRPr="00265AD2">
        <w:rPr>
          <w:rFonts w:eastAsia="Times New Roman"/>
          <w:szCs w:val="24"/>
        </w:rPr>
        <w:t xml:space="preserve"> Parties to use existing tools developed in accordance with Articles 19 and 20 of the Nagoya Protocol and made available through the </w:t>
      </w:r>
      <w:r w:rsidRPr="00265AD2">
        <w:t>Access and Benefit-sharing Clearing-House</w:t>
      </w:r>
      <w:r w:rsidRPr="00A6215B">
        <w:rPr>
          <w:rFonts w:eastAsia="Times New Roman"/>
          <w:szCs w:val="24"/>
        </w:rPr>
        <w:t>;]</w:t>
      </w:r>
    </w:p>
    <w:p w14:paraId="52E8FC70" w14:textId="77777777" w:rsidR="00095629" w:rsidRDefault="00095629" w:rsidP="00B571BC">
      <w:pPr>
        <w:pStyle w:val="CBDNormalNoNumber"/>
        <w:tabs>
          <w:tab w:val="clear" w:pos="567"/>
          <w:tab w:val="clear" w:pos="1134"/>
        </w:tabs>
        <w:ind w:firstLine="567"/>
      </w:pPr>
      <w:r w:rsidRPr="006B144A">
        <w:rPr>
          <w:rFonts w:eastAsia="Times New Roman"/>
          <w:szCs w:val="24"/>
        </w:rPr>
        <w:t>1</w:t>
      </w:r>
      <w:r>
        <w:rPr>
          <w:rFonts w:eastAsia="Times New Roman"/>
          <w:szCs w:val="24"/>
        </w:rPr>
        <w:t>4</w:t>
      </w:r>
      <w:r w:rsidRPr="006B144A">
        <w:rPr>
          <w:rFonts w:eastAsia="Times New Roman"/>
          <w:szCs w:val="24"/>
        </w:rPr>
        <w:t>.</w:t>
      </w:r>
      <w:r w:rsidRPr="006B144A">
        <w:rPr>
          <w:rFonts w:eastAsia="Times New Roman"/>
          <w:szCs w:val="24"/>
        </w:rPr>
        <w:tab/>
      </w:r>
      <w:r>
        <w:rPr>
          <w:i/>
        </w:rPr>
        <w:t>I</w:t>
      </w:r>
      <w:r w:rsidRPr="006B144A">
        <w:rPr>
          <w:i/>
        </w:rPr>
        <w:t>nvites</w:t>
      </w:r>
      <w:r w:rsidRPr="006B144A">
        <w:t xml:space="preserve"> Parties to</w:t>
      </w:r>
      <w:r>
        <w:t xml:space="preserve"> continue to</w:t>
      </w:r>
      <w:r w:rsidRPr="006B144A">
        <w:t xml:space="preserve"> engage</w:t>
      </w:r>
      <w:r>
        <w:t xml:space="preserve"> indigenous peoples and local communities,</w:t>
      </w:r>
      <w:r w:rsidRPr="006B144A">
        <w:t xml:space="preserve"> user organizations and relevant stakeholders in access and benefit-sharing processes,</w:t>
      </w:r>
      <w:r>
        <w:t xml:space="preserve"> in accordance with national circumstances,</w:t>
      </w:r>
      <w:r w:rsidRPr="006B144A">
        <w:t xml:space="preserve"> and encourages user organizations and networks to</w:t>
      </w:r>
      <w:r>
        <w:t xml:space="preserve"> continue to</w:t>
      </w:r>
      <w:r w:rsidRPr="006B144A">
        <w:t xml:space="preserve"> facilitate user compliance with access and benefit-sharing requirements, including </w:t>
      </w:r>
      <w:r>
        <w:t>by [making use of such tools developed in accordance with][</w:t>
      </w:r>
      <w:r w:rsidRPr="006B144A">
        <w:t xml:space="preserve">developing such tools as </w:t>
      </w:r>
      <w:r>
        <w:t xml:space="preserve">those </w:t>
      </w:r>
      <w:r w:rsidRPr="006B144A">
        <w:t>provided in</w:t>
      </w:r>
      <w:r>
        <w:t xml:space="preserve">] </w:t>
      </w:r>
      <w:r w:rsidRPr="006B144A">
        <w:t>Article</w:t>
      </w:r>
      <w:r>
        <w:t>s</w:t>
      </w:r>
      <w:r w:rsidRPr="006B144A">
        <w:t> 19 and 20</w:t>
      </w:r>
      <w:r w:rsidRPr="00276D5F">
        <w:t xml:space="preserve"> </w:t>
      </w:r>
      <w:r w:rsidRPr="00186D37">
        <w:t xml:space="preserve">of the </w:t>
      </w:r>
      <w:r w:rsidRPr="00186D37">
        <w:rPr>
          <w:rFonts w:eastAsia="Times New Roman"/>
          <w:iCs/>
          <w:szCs w:val="24"/>
        </w:rPr>
        <w:t xml:space="preserve">Nagoya </w:t>
      </w:r>
      <w:r w:rsidRPr="00186D37">
        <w:t>Protocol</w:t>
      </w:r>
      <w:r>
        <w:t xml:space="preserve"> [and made available through the </w:t>
      </w:r>
      <w:r w:rsidRPr="0094402F">
        <w:t>Access and Benefit-sharing Clearing-House</w:t>
      </w:r>
      <w:r>
        <w:t>]</w:t>
      </w:r>
      <w:r w:rsidRPr="006B144A">
        <w:t xml:space="preserve"> and</w:t>
      </w:r>
      <w:r>
        <w:t xml:space="preserve"> [by continuing to develop the tools</w:t>
      </w:r>
      <w:r w:rsidRPr="006B144A">
        <w:t xml:space="preserve"> </w:t>
      </w:r>
      <w:r>
        <w:t>and make them][by making</w:t>
      </w:r>
      <w:r w:rsidRPr="006B144A">
        <w:t xml:space="preserve"> the tools</w:t>
      </w:r>
      <w:r>
        <w:t>]</w:t>
      </w:r>
      <w:r w:rsidRPr="006B144A">
        <w:t xml:space="preserve"> available through the Access and Benefit-sharing Clearing-House;</w:t>
      </w:r>
    </w:p>
    <w:p w14:paraId="4F293485" w14:textId="77777777" w:rsidR="00095629" w:rsidRPr="006B144A" w:rsidRDefault="00095629" w:rsidP="00B571BC">
      <w:pPr>
        <w:pStyle w:val="CBDNormalNoNumber"/>
        <w:tabs>
          <w:tab w:val="clear" w:pos="567"/>
          <w:tab w:val="clear" w:pos="1134"/>
        </w:tabs>
        <w:ind w:firstLine="567"/>
        <w:rPr>
          <w:rFonts w:eastAsia="Times New Roman"/>
          <w:iCs/>
          <w:szCs w:val="24"/>
        </w:rPr>
      </w:pPr>
      <w:r>
        <w:t>15.</w:t>
      </w:r>
      <w:r>
        <w:tab/>
      </w:r>
      <w:r w:rsidRPr="007A4CE9">
        <w:rPr>
          <w:i/>
          <w:iCs/>
        </w:rPr>
        <w:t>Encourages</w:t>
      </w:r>
      <w:r w:rsidRPr="00AE09AF">
        <w:t xml:space="preserve"> </w:t>
      </w:r>
      <w:r>
        <w:t>P</w:t>
      </w:r>
      <w:r w:rsidRPr="00AE09AF">
        <w:t>arties and relevant regional organizations to engage actively in processes that could support the development of regional approaches to access and benefit-sharing and enhance</w:t>
      </w:r>
      <w:r>
        <w:t xml:space="preserve"> transboundary</w:t>
      </w:r>
      <w:r w:rsidRPr="00AE09AF">
        <w:t xml:space="preserve"> cooperation</w:t>
      </w:r>
      <w:r>
        <w:t xml:space="preserve"> in accordance with Article 11 of the Nagoya Protocol</w:t>
      </w:r>
      <w:r w:rsidRPr="00AE09AF">
        <w:t>;</w:t>
      </w:r>
    </w:p>
    <w:p w14:paraId="7AD0B85E" w14:textId="77777777" w:rsidR="00095629" w:rsidRDefault="00095629" w:rsidP="00B571BC">
      <w:pPr>
        <w:pStyle w:val="CBDNormalNoNumber"/>
        <w:tabs>
          <w:tab w:val="clear" w:pos="567"/>
          <w:tab w:val="clear" w:pos="1134"/>
        </w:tabs>
        <w:ind w:firstLine="567"/>
        <w:rPr>
          <w:rFonts w:eastAsia="Times New Roman"/>
          <w:iCs/>
          <w:szCs w:val="24"/>
        </w:rPr>
      </w:pPr>
      <w:r w:rsidRPr="006B144A">
        <w:rPr>
          <w:rFonts w:eastAsia="Times New Roman"/>
          <w:szCs w:val="24"/>
        </w:rPr>
        <w:lastRenderedPageBreak/>
        <w:t>1</w:t>
      </w:r>
      <w:r>
        <w:rPr>
          <w:rFonts w:eastAsia="Times New Roman"/>
          <w:szCs w:val="24"/>
        </w:rPr>
        <w:t>6</w:t>
      </w:r>
      <w:r w:rsidRPr="006B144A">
        <w:rPr>
          <w:rFonts w:eastAsia="Times New Roman"/>
          <w:szCs w:val="24"/>
        </w:rPr>
        <w:t>.</w:t>
      </w:r>
      <w:r w:rsidRPr="006B144A">
        <w:rPr>
          <w:rFonts w:eastAsia="Times New Roman"/>
          <w:szCs w:val="24"/>
        </w:rPr>
        <w:tab/>
      </w:r>
      <w:r w:rsidRPr="006B144A">
        <w:rPr>
          <w:i/>
        </w:rPr>
        <w:t>Requests</w:t>
      </w:r>
      <w:r w:rsidRPr="006B144A">
        <w:rPr>
          <w:rFonts w:eastAsia="Times New Roman"/>
          <w:iCs/>
          <w:szCs w:val="24"/>
        </w:rPr>
        <w:t xml:space="preserve"> the Executive Secretary to disseminate and promote the outcomes of the second assessment and review among Parties, other Governments, indigenous peoples and local communities</w:t>
      </w:r>
      <w:r>
        <w:rPr>
          <w:rFonts w:eastAsia="Times New Roman"/>
          <w:iCs/>
          <w:szCs w:val="24"/>
        </w:rPr>
        <w:t>,</w:t>
      </w:r>
      <w:r w:rsidRPr="006B144A">
        <w:rPr>
          <w:rFonts w:eastAsia="Times New Roman"/>
          <w:iCs/>
          <w:szCs w:val="24"/>
        </w:rPr>
        <w:t xml:space="preserve"> and relevant stakeholders and organizations, including the </w:t>
      </w:r>
      <w:r>
        <w:rPr>
          <w:rFonts w:eastAsia="Times New Roman"/>
          <w:iCs/>
          <w:szCs w:val="24"/>
        </w:rPr>
        <w:t xml:space="preserve">technical and scientific </w:t>
      </w:r>
      <w:r w:rsidRPr="006B144A">
        <w:rPr>
          <w:rFonts w:eastAsia="Times New Roman"/>
          <w:iCs/>
          <w:szCs w:val="24"/>
        </w:rPr>
        <w:t>cooperation support centres;</w:t>
      </w:r>
    </w:p>
    <w:p w14:paraId="343DD720" w14:textId="77777777" w:rsidR="00095629" w:rsidRDefault="00095629" w:rsidP="00B571BC">
      <w:pPr>
        <w:pStyle w:val="CBDNormalNoNumber"/>
        <w:tabs>
          <w:tab w:val="clear" w:pos="567"/>
          <w:tab w:val="clear" w:pos="1134"/>
        </w:tabs>
        <w:ind w:firstLine="567"/>
        <w:rPr>
          <w:rFonts w:eastAsia="Times New Roman"/>
          <w:iCs/>
          <w:szCs w:val="24"/>
        </w:rPr>
      </w:pPr>
      <w:r w:rsidRPr="007A4CE9">
        <w:rPr>
          <w:rFonts w:eastAsia="Times New Roman"/>
          <w:iCs/>
          <w:szCs w:val="24"/>
        </w:rPr>
        <w:t>1</w:t>
      </w:r>
      <w:r>
        <w:rPr>
          <w:rFonts w:eastAsia="Times New Roman"/>
          <w:iCs/>
          <w:szCs w:val="24"/>
        </w:rPr>
        <w:t>7</w:t>
      </w:r>
      <w:r w:rsidRPr="007A4CE9">
        <w:rPr>
          <w:rFonts w:eastAsia="Times New Roman"/>
          <w:iCs/>
          <w:szCs w:val="24"/>
        </w:rPr>
        <w:t>.</w:t>
      </w:r>
      <w:r w:rsidRPr="007A4CE9">
        <w:rPr>
          <w:rFonts w:eastAsia="Times New Roman"/>
          <w:iCs/>
          <w:szCs w:val="24"/>
        </w:rPr>
        <w:tab/>
      </w:r>
      <w:r>
        <w:rPr>
          <w:rFonts w:eastAsia="Times New Roman"/>
          <w:i/>
          <w:szCs w:val="24"/>
        </w:rPr>
        <w:t>Decides</w:t>
      </w:r>
      <w:r w:rsidRPr="007A4CE9">
        <w:rPr>
          <w:rFonts w:eastAsia="Times New Roman"/>
          <w:i/>
          <w:szCs w:val="24"/>
        </w:rPr>
        <w:t xml:space="preserve"> </w:t>
      </w:r>
      <w:r w:rsidRPr="007A4CE9">
        <w:rPr>
          <w:rFonts w:eastAsia="Times New Roman"/>
          <w:iCs/>
          <w:szCs w:val="24"/>
        </w:rPr>
        <w:t>that, given the limited practical experience with the compliance procedures and mechanisms</w:t>
      </w:r>
      <w:r>
        <w:rPr>
          <w:rStyle w:val="FootnoteReference"/>
          <w:rFonts w:eastAsia="Times New Roman"/>
          <w:iCs/>
          <w:szCs w:val="24"/>
        </w:rPr>
        <w:footnoteReference w:id="24"/>
      </w:r>
      <w:r w:rsidRPr="007A4CE9">
        <w:rPr>
          <w:rFonts w:eastAsia="Times New Roman"/>
          <w:iCs/>
          <w:szCs w:val="24"/>
        </w:rPr>
        <w:t xml:space="preserve"> and </w:t>
      </w:r>
      <w:r>
        <w:rPr>
          <w:rFonts w:eastAsia="Times New Roman"/>
          <w:iCs/>
          <w:szCs w:val="24"/>
        </w:rPr>
        <w:t xml:space="preserve">the fact </w:t>
      </w:r>
      <w:r w:rsidRPr="007A4CE9">
        <w:rPr>
          <w:rFonts w:eastAsia="Times New Roman"/>
          <w:iCs/>
          <w:szCs w:val="24"/>
        </w:rPr>
        <w:t>that the</w:t>
      </w:r>
      <w:r>
        <w:rPr>
          <w:rFonts w:eastAsia="Times New Roman"/>
          <w:iCs/>
          <w:szCs w:val="24"/>
        </w:rPr>
        <w:t>y</w:t>
      </w:r>
      <w:r w:rsidRPr="007A4CE9">
        <w:rPr>
          <w:rFonts w:eastAsia="Times New Roman"/>
          <w:iCs/>
          <w:szCs w:val="24"/>
        </w:rPr>
        <w:t xml:space="preserve"> are still being explored </w:t>
      </w:r>
      <w:r w:rsidRPr="000C1907">
        <w:rPr>
          <w:rFonts w:eastAsia="Times New Roman"/>
          <w:iCs/>
          <w:szCs w:val="24"/>
        </w:rPr>
        <w:t xml:space="preserve">as a tool for supporting Parties in complying with their obligations under the </w:t>
      </w:r>
      <w:r>
        <w:rPr>
          <w:rFonts w:eastAsia="Times New Roman"/>
          <w:iCs/>
          <w:szCs w:val="24"/>
        </w:rPr>
        <w:t xml:space="preserve">Nagoya </w:t>
      </w:r>
      <w:r w:rsidRPr="000C1907">
        <w:rPr>
          <w:rFonts w:eastAsia="Times New Roman"/>
          <w:iCs/>
          <w:szCs w:val="24"/>
        </w:rPr>
        <w:t>Protocol</w:t>
      </w:r>
      <w:r w:rsidRPr="007A4CE9">
        <w:rPr>
          <w:rFonts w:eastAsia="Times New Roman"/>
          <w:iCs/>
          <w:szCs w:val="24"/>
        </w:rPr>
        <w:t xml:space="preserve">, it </w:t>
      </w:r>
      <w:r>
        <w:rPr>
          <w:rFonts w:eastAsia="Times New Roman"/>
          <w:iCs/>
          <w:szCs w:val="24"/>
        </w:rPr>
        <w:t>is</w:t>
      </w:r>
      <w:r w:rsidRPr="007A4CE9">
        <w:rPr>
          <w:rFonts w:eastAsia="Times New Roman"/>
          <w:iCs/>
          <w:szCs w:val="24"/>
        </w:rPr>
        <w:t xml:space="preserve"> premature to revise them at </w:t>
      </w:r>
      <w:r>
        <w:rPr>
          <w:rFonts w:eastAsia="Times New Roman"/>
          <w:iCs/>
          <w:szCs w:val="24"/>
        </w:rPr>
        <w:t>the present</w:t>
      </w:r>
      <w:r w:rsidRPr="000C1907">
        <w:rPr>
          <w:rFonts w:eastAsia="Times New Roman"/>
          <w:iCs/>
          <w:szCs w:val="24"/>
        </w:rPr>
        <w:t xml:space="preserve"> time</w:t>
      </w:r>
      <w:r w:rsidRPr="007A4CE9">
        <w:rPr>
          <w:rFonts w:eastAsia="Times New Roman"/>
          <w:iCs/>
          <w:szCs w:val="24"/>
        </w:rPr>
        <w:t xml:space="preserve">, </w:t>
      </w:r>
      <w:r>
        <w:rPr>
          <w:rFonts w:eastAsia="Times New Roman"/>
          <w:iCs/>
          <w:szCs w:val="24"/>
        </w:rPr>
        <w:t xml:space="preserve">without prejudice to </w:t>
      </w:r>
      <w:r w:rsidRPr="007A4CE9">
        <w:rPr>
          <w:rFonts w:eastAsia="Times New Roman"/>
          <w:iCs/>
          <w:szCs w:val="24"/>
        </w:rPr>
        <w:t>any future review based on sufficient practical experience</w:t>
      </w:r>
      <w:r>
        <w:rPr>
          <w:rFonts w:eastAsia="Times New Roman"/>
          <w:iCs/>
          <w:szCs w:val="24"/>
        </w:rPr>
        <w:t>, and notes that the limited number of cases brought to the attention of the Compliance Committee does not in itself constitute evidence of compliance with the Protocol;</w:t>
      </w:r>
    </w:p>
    <w:p w14:paraId="4372AC89" w14:textId="77777777" w:rsidR="00095629" w:rsidRDefault="00095629" w:rsidP="00B571BC">
      <w:pPr>
        <w:pStyle w:val="CBDNormalNoNumber"/>
        <w:tabs>
          <w:tab w:val="clear" w:pos="567"/>
          <w:tab w:val="clear" w:pos="1134"/>
        </w:tabs>
        <w:ind w:firstLine="567"/>
        <w:rPr>
          <w:rFonts w:eastAsia="Times New Roman"/>
          <w:iCs/>
          <w:szCs w:val="24"/>
        </w:rPr>
      </w:pPr>
      <w:r w:rsidRPr="00CD774B">
        <w:rPr>
          <w:rFonts w:eastAsia="Times New Roman"/>
          <w:iCs/>
          <w:szCs w:val="24"/>
        </w:rPr>
        <w:t>[18.</w:t>
      </w:r>
      <w:r w:rsidRPr="00EE2372">
        <w:rPr>
          <w:rFonts w:eastAsia="Times New Roman"/>
          <w:iCs/>
          <w:szCs w:val="24"/>
        </w:rPr>
        <w:tab/>
      </w:r>
      <w:r w:rsidRPr="00EE2372">
        <w:rPr>
          <w:rFonts w:eastAsia="Times New Roman"/>
          <w:i/>
          <w:szCs w:val="24"/>
        </w:rPr>
        <w:t>Requests</w:t>
      </w:r>
      <w:r w:rsidRPr="00EE2372">
        <w:rPr>
          <w:rFonts w:eastAsia="Times New Roman"/>
          <w:iCs/>
          <w:szCs w:val="24"/>
        </w:rPr>
        <w:t xml:space="preserve"> the Executive Secretary to propose indicators of sufficient practical experience that would trigger reconsideration of the compliance procedures and mechanisms at a future meeting of the Conference of the Parties</w:t>
      </w:r>
      <w:r w:rsidRPr="00EE2372">
        <w:t xml:space="preserve"> </w:t>
      </w:r>
      <w:r w:rsidRPr="00EE2372">
        <w:rPr>
          <w:rFonts w:eastAsia="Times New Roman"/>
          <w:iCs/>
          <w:szCs w:val="24"/>
        </w:rPr>
        <w:t>serving as the meeting of the Parties to the Nagoya Protocol</w:t>
      </w:r>
      <w:r>
        <w:rPr>
          <w:rFonts w:eastAsia="Times New Roman"/>
          <w:iCs/>
          <w:szCs w:val="24"/>
        </w:rPr>
        <w:t>;</w:t>
      </w:r>
      <w:r w:rsidRPr="00CD774B">
        <w:rPr>
          <w:rFonts w:eastAsia="Times New Roman"/>
          <w:iCs/>
          <w:szCs w:val="24"/>
        </w:rPr>
        <w:t xml:space="preserve">] </w:t>
      </w:r>
    </w:p>
    <w:p w14:paraId="2151C94E" w14:textId="77777777" w:rsidR="00095629" w:rsidRDefault="00095629" w:rsidP="00B571BC">
      <w:pPr>
        <w:pStyle w:val="CBDNormalNoNumber"/>
        <w:tabs>
          <w:tab w:val="clear" w:pos="567"/>
          <w:tab w:val="clear" w:pos="1134"/>
        </w:tabs>
        <w:ind w:firstLine="567"/>
        <w:rPr>
          <w:rFonts w:eastAsia="Times New Roman"/>
          <w:iCs/>
          <w:szCs w:val="24"/>
        </w:rPr>
      </w:pPr>
      <w:r w:rsidRPr="00CD774B">
        <w:rPr>
          <w:rFonts w:eastAsia="Times New Roman"/>
          <w:iCs/>
          <w:szCs w:val="24"/>
        </w:rPr>
        <w:t>[19.</w:t>
      </w:r>
      <w:r w:rsidRPr="00EE2372">
        <w:rPr>
          <w:rFonts w:eastAsia="Times New Roman"/>
          <w:iCs/>
          <w:szCs w:val="24"/>
        </w:rPr>
        <w:tab/>
      </w:r>
      <w:r w:rsidRPr="00EE2372">
        <w:rPr>
          <w:rFonts w:eastAsia="Times New Roman"/>
          <w:i/>
          <w:szCs w:val="24"/>
        </w:rPr>
        <w:t>Also requests</w:t>
      </w:r>
      <w:r w:rsidRPr="00EE2372">
        <w:rPr>
          <w:rFonts w:eastAsia="Times New Roman"/>
          <w:iCs/>
          <w:szCs w:val="24"/>
        </w:rPr>
        <w:t xml:space="preserve"> the Executive Secretary to assess, in coordination with the Compliance Committee, the reasons for which the compliance procedures and mechanisms under the Nagoya Protocol have not been triggered through submissions, including whether Parties and relevant stakeholders are sufficiently aware of and are able to access and use the procedures, and to identify any procedural, institutional or practical barriers and options to address them;]</w:t>
      </w:r>
    </w:p>
    <w:p w14:paraId="59A47E64" w14:textId="77777777" w:rsidR="00095629" w:rsidRDefault="00095629" w:rsidP="00B571BC">
      <w:pPr>
        <w:pStyle w:val="CBDNormalNoNumber"/>
        <w:tabs>
          <w:tab w:val="clear" w:pos="567"/>
          <w:tab w:val="clear" w:pos="1134"/>
        </w:tabs>
        <w:ind w:firstLine="567"/>
        <w:rPr>
          <w:rFonts w:eastAsia="Times New Roman"/>
          <w:iCs/>
          <w:szCs w:val="24"/>
        </w:rPr>
      </w:pPr>
      <w:r>
        <w:rPr>
          <w:rFonts w:eastAsia="Times New Roman"/>
          <w:iCs/>
          <w:szCs w:val="24"/>
        </w:rPr>
        <w:t>[20.</w:t>
      </w:r>
      <w:r>
        <w:rPr>
          <w:rFonts w:eastAsia="Times New Roman"/>
          <w:iCs/>
          <w:szCs w:val="24"/>
        </w:rPr>
        <w:tab/>
      </w:r>
      <w:r w:rsidRPr="00632625">
        <w:rPr>
          <w:rFonts w:eastAsia="Times New Roman"/>
          <w:i/>
          <w:szCs w:val="24"/>
        </w:rPr>
        <w:t>Decides</w:t>
      </w:r>
      <w:r>
        <w:rPr>
          <w:rFonts w:eastAsia="Times New Roman"/>
          <w:iCs/>
          <w:szCs w:val="24"/>
        </w:rPr>
        <w:t xml:space="preserve"> to establish a Party-driven intersessional process to advance the development of the modalities of the global multilateral benefit-sharing mechanism under Article 10 of the Nagoya Protocol, building on the work already undertaken pursuant to decision </w:t>
      </w:r>
      <w:hyperlink r:id="rId33" w:history="1">
        <w:r w:rsidRPr="00F64F22">
          <w:rPr>
            <w:rStyle w:val="Hyperlink"/>
            <w:rFonts w:eastAsia="Times New Roman"/>
            <w:szCs w:val="24"/>
          </w:rPr>
          <w:t>XI</w:t>
        </w:r>
        <w:r w:rsidRPr="00F64F22">
          <w:rPr>
            <w:rStyle w:val="Hyperlink"/>
            <w:rFonts w:eastAsia="Times New Roman"/>
            <w:iCs/>
            <w:szCs w:val="24"/>
          </w:rPr>
          <w:t>/1 B</w:t>
        </w:r>
      </w:hyperlink>
      <w:r w:rsidRPr="00760318">
        <w:rPr>
          <w:rFonts w:eastAsia="Times New Roman"/>
          <w:iCs/>
          <w:szCs w:val="24"/>
        </w:rPr>
        <w:t xml:space="preserve"> </w:t>
      </w:r>
      <w:r w:rsidRPr="00760318">
        <w:rPr>
          <w:rFonts w:eastAsia="Times New Roman"/>
          <w:szCs w:val="24"/>
        </w:rPr>
        <w:t xml:space="preserve">of </w:t>
      </w:r>
      <w:r w:rsidRPr="00760318">
        <w:rPr>
          <w:rFonts w:eastAsia="Times New Roman"/>
          <w:iCs/>
          <w:szCs w:val="24"/>
        </w:rPr>
        <w:t>19</w:t>
      </w:r>
      <w:r>
        <w:rPr>
          <w:rFonts w:eastAsia="Times New Roman"/>
          <w:iCs/>
          <w:szCs w:val="24"/>
        </w:rPr>
        <w:t> </w:t>
      </w:r>
      <w:r w:rsidRPr="00760318">
        <w:rPr>
          <w:rFonts w:eastAsia="Times New Roman"/>
          <w:iCs/>
          <w:szCs w:val="24"/>
        </w:rPr>
        <w:t>October 2012</w:t>
      </w:r>
      <w:r w:rsidRPr="00C02B22">
        <w:rPr>
          <w:rFonts w:eastAsia="Times New Roman"/>
          <w:iCs/>
          <w:szCs w:val="24"/>
        </w:rPr>
        <w:t xml:space="preserve"> </w:t>
      </w:r>
      <w:r>
        <w:rPr>
          <w:rFonts w:eastAsia="Times New Roman"/>
          <w:iCs/>
          <w:szCs w:val="24"/>
        </w:rPr>
        <w:t xml:space="preserve">of the Conference of the Parties and decisions </w:t>
      </w:r>
      <w:hyperlink r:id="rId34" w:history="1">
        <w:r w:rsidRPr="00764F73">
          <w:rPr>
            <w:rStyle w:val="Hyperlink"/>
            <w:rFonts w:eastAsia="Times New Roman"/>
            <w:iCs/>
            <w:szCs w:val="24"/>
          </w:rPr>
          <w:t>NP-1/10</w:t>
        </w:r>
      </w:hyperlink>
      <w:r>
        <w:rPr>
          <w:rFonts w:eastAsia="Times New Roman"/>
          <w:iCs/>
          <w:szCs w:val="24"/>
        </w:rPr>
        <w:t xml:space="preserve"> </w:t>
      </w:r>
      <w:r w:rsidRPr="00764F73">
        <w:rPr>
          <w:rFonts w:eastAsia="Times New Roman"/>
          <w:iCs/>
          <w:szCs w:val="24"/>
        </w:rPr>
        <w:t>of</w:t>
      </w:r>
      <w:r w:rsidRPr="00764F73">
        <w:t xml:space="preserve"> </w:t>
      </w:r>
      <w:r w:rsidRPr="00764F73">
        <w:rPr>
          <w:rFonts w:eastAsia="Times New Roman"/>
          <w:iCs/>
          <w:szCs w:val="24"/>
        </w:rPr>
        <w:t>17</w:t>
      </w:r>
      <w:r>
        <w:rPr>
          <w:rFonts w:eastAsia="Times New Roman"/>
          <w:iCs/>
          <w:szCs w:val="24"/>
        </w:rPr>
        <w:t> </w:t>
      </w:r>
      <w:r w:rsidRPr="00764F73">
        <w:rPr>
          <w:rFonts w:eastAsia="Times New Roman"/>
          <w:iCs/>
          <w:szCs w:val="24"/>
        </w:rPr>
        <w:t>October 2014</w:t>
      </w:r>
      <w:r>
        <w:rPr>
          <w:rFonts w:eastAsia="Times New Roman"/>
          <w:iCs/>
          <w:szCs w:val="24"/>
        </w:rPr>
        <w:t xml:space="preserve">, </w:t>
      </w:r>
      <w:hyperlink r:id="rId35" w:history="1">
        <w:r w:rsidRPr="000F049D">
          <w:rPr>
            <w:rStyle w:val="Hyperlink"/>
            <w:rFonts w:eastAsia="Times New Roman"/>
            <w:iCs/>
            <w:szCs w:val="24"/>
          </w:rPr>
          <w:t>NP-2/10</w:t>
        </w:r>
      </w:hyperlink>
      <w:r>
        <w:rPr>
          <w:rFonts w:eastAsia="Times New Roman"/>
          <w:iCs/>
          <w:szCs w:val="24"/>
        </w:rPr>
        <w:t xml:space="preserve"> </w:t>
      </w:r>
      <w:r w:rsidRPr="000F049D">
        <w:rPr>
          <w:rFonts w:eastAsia="Times New Roman"/>
          <w:iCs/>
          <w:szCs w:val="24"/>
        </w:rPr>
        <w:t>of 17</w:t>
      </w:r>
      <w:r>
        <w:rPr>
          <w:rFonts w:eastAsia="Times New Roman"/>
          <w:iCs/>
          <w:szCs w:val="24"/>
        </w:rPr>
        <w:t> </w:t>
      </w:r>
      <w:r w:rsidRPr="000F049D">
        <w:rPr>
          <w:rFonts w:eastAsia="Times New Roman"/>
          <w:iCs/>
          <w:szCs w:val="24"/>
        </w:rPr>
        <w:t>December 2016</w:t>
      </w:r>
      <w:r>
        <w:rPr>
          <w:rFonts w:eastAsia="Times New Roman"/>
          <w:iCs/>
          <w:szCs w:val="24"/>
        </w:rPr>
        <w:t xml:space="preserve">, </w:t>
      </w:r>
      <w:hyperlink r:id="rId36" w:history="1">
        <w:r w:rsidRPr="00DE1EA3">
          <w:rPr>
            <w:rStyle w:val="Hyperlink"/>
            <w:rFonts w:eastAsia="Times New Roman"/>
            <w:iCs/>
            <w:szCs w:val="24"/>
          </w:rPr>
          <w:t>NP-3/13</w:t>
        </w:r>
      </w:hyperlink>
      <w:r>
        <w:rPr>
          <w:rFonts w:eastAsia="Times New Roman"/>
          <w:iCs/>
          <w:szCs w:val="24"/>
        </w:rPr>
        <w:t xml:space="preserve"> </w:t>
      </w:r>
      <w:r w:rsidRPr="00DE1EA3">
        <w:rPr>
          <w:rFonts w:eastAsia="Times New Roman"/>
          <w:iCs/>
          <w:szCs w:val="24"/>
        </w:rPr>
        <w:t>of 29</w:t>
      </w:r>
      <w:r>
        <w:rPr>
          <w:rFonts w:eastAsia="Times New Roman"/>
          <w:iCs/>
          <w:szCs w:val="24"/>
        </w:rPr>
        <w:t> </w:t>
      </w:r>
      <w:r w:rsidRPr="00DE1EA3">
        <w:rPr>
          <w:rFonts w:eastAsia="Times New Roman"/>
          <w:iCs/>
          <w:szCs w:val="24"/>
        </w:rPr>
        <w:t>November 2018</w:t>
      </w:r>
      <w:r>
        <w:rPr>
          <w:rFonts w:eastAsia="Times New Roman"/>
          <w:iCs/>
          <w:szCs w:val="24"/>
        </w:rPr>
        <w:t xml:space="preserve">, </w:t>
      </w:r>
      <w:hyperlink r:id="rId37" w:history="1">
        <w:r w:rsidRPr="006B2859">
          <w:rPr>
            <w:rStyle w:val="Hyperlink"/>
            <w:rFonts w:eastAsia="Times New Roman"/>
            <w:iCs/>
            <w:szCs w:val="24"/>
          </w:rPr>
          <w:t>NP-4/10</w:t>
        </w:r>
      </w:hyperlink>
      <w:r>
        <w:rPr>
          <w:rFonts w:eastAsia="Times New Roman"/>
          <w:iCs/>
          <w:szCs w:val="24"/>
        </w:rPr>
        <w:t xml:space="preserve"> </w:t>
      </w:r>
      <w:r w:rsidRPr="00A43E52">
        <w:rPr>
          <w:rFonts w:eastAsia="Times New Roman"/>
          <w:iCs/>
          <w:szCs w:val="24"/>
        </w:rPr>
        <w:t>of 19</w:t>
      </w:r>
      <w:r>
        <w:rPr>
          <w:rFonts w:eastAsia="Times New Roman"/>
          <w:iCs/>
          <w:szCs w:val="24"/>
        </w:rPr>
        <w:t> </w:t>
      </w:r>
      <w:r w:rsidRPr="00A43E52">
        <w:rPr>
          <w:rFonts w:eastAsia="Times New Roman"/>
          <w:iCs/>
          <w:szCs w:val="24"/>
        </w:rPr>
        <w:t>December 2022</w:t>
      </w:r>
      <w:r>
        <w:rPr>
          <w:rFonts w:eastAsia="Times New Roman"/>
          <w:iCs/>
          <w:szCs w:val="24"/>
        </w:rPr>
        <w:t xml:space="preserve"> and </w:t>
      </w:r>
      <w:hyperlink r:id="rId38" w:history="1">
        <w:r w:rsidRPr="00A43E52">
          <w:rPr>
            <w:rStyle w:val="Hyperlink"/>
            <w:rFonts w:eastAsia="Times New Roman"/>
            <w:iCs/>
            <w:szCs w:val="24"/>
          </w:rPr>
          <w:t>NP-5/7</w:t>
        </w:r>
      </w:hyperlink>
      <w:r>
        <w:rPr>
          <w:rFonts w:eastAsia="Times New Roman"/>
          <w:iCs/>
          <w:szCs w:val="24"/>
        </w:rPr>
        <w:t xml:space="preserve"> </w:t>
      </w:r>
      <w:r w:rsidRPr="007C0353">
        <w:rPr>
          <w:rFonts w:eastAsia="Times New Roman"/>
          <w:iCs/>
          <w:szCs w:val="24"/>
        </w:rPr>
        <w:t>of 25</w:t>
      </w:r>
      <w:r>
        <w:rPr>
          <w:rFonts w:eastAsia="Times New Roman"/>
          <w:iCs/>
          <w:szCs w:val="24"/>
        </w:rPr>
        <w:t> </w:t>
      </w:r>
      <w:r w:rsidRPr="007C0353">
        <w:rPr>
          <w:rFonts w:eastAsia="Times New Roman"/>
          <w:iCs/>
          <w:szCs w:val="24"/>
        </w:rPr>
        <w:t>October 2024</w:t>
      </w:r>
      <w:r>
        <w:rPr>
          <w:rFonts w:eastAsia="Times New Roman"/>
          <w:iCs/>
          <w:szCs w:val="24"/>
        </w:rPr>
        <w:t xml:space="preserve"> of the Conference of the Parties serving as the meeting of the Parties to the Protocol and taking into account the relevant findings of the second assessment and review of the effectiveness of the Protocol;</w:t>
      </w:r>
    </w:p>
    <w:p w14:paraId="16919FFE" w14:textId="77777777" w:rsidR="00095629" w:rsidRPr="006B144A" w:rsidRDefault="00095629" w:rsidP="00B571BC">
      <w:pPr>
        <w:pStyle w:val="CBDNormalNoNumber"/>
        <w:tabs>
          <w:tab w:val="clear" w:pos="567"/>
          <w:tab w:val="clear" w:pos="1134"/>
        </w:tabs>
        <w:ind w:firstLine="567"/>
        <w:rPr>
          <w:rFonts w:eastAsia="Times New Roman"/>
          <w:iCs/>
          <w:szCs w:val="24"/>
        </w:rPr>
      </w:pPr>
      <w:r>
        <w:rPr>
          <w:rFonts w:eastAsia="Times New Roman"/>
          <w:iCs/>
          <w:szCs w:val="24"/>
        </w:rPr>
        <w:t>21.</w:t>
      </w:r>
      <w:r>
        <w:rPr>
          <w:rFonts w:eastAsia="Times New Roman"/>
          <w:iCs/>
          <w:szCs w:val="24"/>
        </w:rPr>
        <w:tab/>
      </w:r>
      <w:r w:rsidRPr="00632625">
        <w:rPr>
          <w:rFonts w:eastAsia="Times New Roman"/>
          <w:i/>
          <w:szCs w:val="24"/>
        </w:rPr>
        <w:t>Requests</w:t>
      </w:r>
      <w:r>
        <w:rPr>
          <w:rFonts w:eastAsia="Times New Roman"/>
          <w:iCs/>
          <w:szCs w:val="24"/>
        </w:rPr>
        <w:t xml:space="preserve"> the Executive Secretary, subject to the availability of resources, to convene as part of the intersessional process referred to in paragraph </w:t>
      </w:r>
      <w:r w:rsidRPr="00632625">
        <w:rPr>
          <w:rFonts w:eastAsia="Times New Roman"/>
          <w:iCs/>
          <w:szCs w:val="24"/>
        </w:rPr>
        <w:t>20</w:t>
      </w:r>
      <w:r>
        <w:rPr>
          <w:rFonts w:eastAsia="Times New Roman"/>
          <w:iCs/>
          <w:szCs w:val="24"/>
        </w:rPr>
        <w:t xml:space="preserve"> above an open-ended intersessional meeting of Parties with the participation of indigenous peoples and local communities and relevant stakeholders, in order to develop specific elements of the modalities of the global multilateral benefit-sharing mechanism under Article 10 of the Nagoya Protocol, building on the work undertaken pursuant to the decisions referred to in paragraph 20 above, for consideration by the Conference of the Parties serving as the meeting of the Parties to the Protocol at its seventh meeting;] </w:t>
      </w:r>
    </w:p>
    <w:p w14:paraId="6BB388B2" w14:textId="77777777" w:rsidR="00095629" w:rsidRDefault="00095629" w:rsidP="00B571BC">
      <w:pPr>
        <w:pStyle w:val="CBDNormalNoNumber"/>
        <w:keepNext/>
        <w:tabs>
          <w:tab w:val="clear" w:pos="567"/>
          <w:tab w:val="clear" w:pos="1134"/>
        </w:tabs>
        <w:ind w:firstLine="567"/>
        <w:rPr>
          <w:rFonts w:eastAsia="Times New Roman"/>
          <w:iCs/>
          <w:szCs w:val="24"/>
        </w:rPr>
      </w:pPr>
      <w:r>
        <w:rPr>
          <w:rFonts w:eastAsia="Times New Roman"/>
          <w:szCs w:val="24"/>
        </w:rPr>
        <w:t>22</w:t>
      </w:r>
      <w:r w:rsidRPr="007A4CE9">
        <w:rPr>
          <w:rFonts w:eastAsia="Times New Roman"/>
          <w:szCs w:val="24"/>
        </w:rPr>
        <w:t>.</w:t>
      </w:r>
      <w:r w:rsidRPr="007A4CE9">
        <w:rPr>
          <w:rFonts w:eastAsia="Times New Roman"/>
          <w:szCs w:val="24"/>
        </w:rPr>
        <w:tab/>
      </w:r>
      <w:r>
        <w:rPr>
          <w:rFonts w:eastAsia="Times New Roman"/>
          <w:i/>
          <w:iCs/>
          <w:szCs w:val="24"/>
        </w:rPr>
        <w:t xml:space="preserve">Also </w:t>
      </w:r>
      <w:r>
        <w:rPr>
          <w:i/>
        </w:rPr>
        <w:t>r</w:t>
      </w:r>
      <w:r w:rsidRPr="007A4CE9">
        <w:rPr>
          <w:i/>
        </w:rPr>
        <w:t>equests</w:t>
      </w:r>
      <w:r w:rsidRPr="007A4CE9">
        <w:rPr>
          <w:rFonts w:eastAsia="Times New Roman"/>
          <w:iCs/>
          <w:szCs w:val="24"/>
        </w:rPr>
        <w:t xml:space="preserve"> the Executive Secretary to propose a methodology</w:t>
      </w:r>
      <w:r>
        <w:rPr>
          <w:rFonts w:eastAsia="Times New Roman"/>
          <w:iCs/>
          <w:szCs w:val="24"/>
        </w:rPr>
        <w:t>, in consultation with Parties,</w:t>
      </w:r>
      <w:r w:rsidRPr="007A4CE9">
        <w:rPr>
          <w:rFonts w:eastAsia="Times New Roman"/>
          <w:iCs/>
          <w:szCs w:val="24"/>
        </w:rPr>
        <w:t xml:space="preserve"> for conducting the third assessment and review of the effectiveness of </w:t>
      </w:r>
      <w:r w:rsidRPr="007A4CE9">
        <w:t>the</w:t>
      </w:r>
      <w:r w:rsidRPr="007A4CE9">
        <w:rPr>
          <w:rFonts w:eastAsia="Times New Roman"/>
          <w:iCs/>
          <w:szCs w:val="24"/>
        </w:rPr>
        <w:t xml:space="preserve"> Nagoya Protocol</w:t>
      </w:r>
      <w:r w:rsidRPr="00CC3159">
        <w:rPr>
          <w:rFonts w:eastAsia="Times New Roman"/>
          <w:iCs/>
          <w:szCs w:val="24"/>
        </w:rPr>
        <w:t xml:space="preserve">, </w:t>
      </w:r>
      <w:proofErr w:type="gramStart"/>
      <w:r w:rsidRPr="007A4CE9">
        <w:rPr>
          <w:rFonts w:eastAsia="Times New Roman"/>
          <w:iCs/>
          <w:szCs w:val="24"/>
        </w:rPr>
        <w:t>taking into account</w:t>
      </w:r>
      <w:proofErr w:type="gramEnd"/>
      <w:r>
        <w:rPr>
          <w:rFonts w:eastAsia="Times New Roman"/>
          <w:iCs/>
          <w:szCs w:val="24"/>
        </w:rPr>
        <w:t>:</w:t>
      </w:r>
      <w:r w:rsidRPr="007A4CE9">
        <w:rPr>
          <w:rFonts w:eastAsia="Times New Roman"/>
          <w:iCs/>
          <w:szCs w:val="24"/>
        </w:rPr>
        <w:t xml:space="preserve"> </w:t>
      </w:r>
    </w:p>
    <w:p w14:paraId="6190020F" w14:textId="77777777" w:rsidR="00095629" w:rsidRDefault="00095629" w:rsidP="00B571BC">
      <w:pPr>
        <w:pStyle w:val="CBDNormalNoNumber"/>
        <w:tabs>
          <w:tab w:val="clear" w:pos="567"/>
          <w:tab w:val="clear" w:pos="1134"/>
        </w:tabs>
        <w:ind w:firstLine="567"/>
        <w:rPr>
          <w:rFonts w:eastAsia="Times New Roman"/>
          <w:iCs/>
          <w:szCs w:val="24"/>
        </w:rPr>
      </w:pPr>
      <w:r>
        <w:rPr>
          <w:rFonts w:eastAsia="Times New Roman"/>
          <w:szCs w:val="24"/>
        </w:rPr>
        <w:t>(a)</w:t>
      </w:r>
      <w:r>
        <w:rPr>
          <w:rFonts w:eastAsia="Times New Roman"/>
          <w:szCs w:val="24"/>
        </w:rPr>
        <w:tab/>
      </w:r>
      <w:r>
        <w:rPr>
          <w:rFonts w:eastAsia="Times New Roman"/>
          <w:iCs/>
          <w:szCs w:val="24"/>
        </w:rPr>
        <w:t>T</w:t>
      </w:r>
      <w:r w:rsidRPr="007A4CE9">
        <w:rPr>
          <w:rFonts w:eastAsia="Times New Roman"/>
          <w:iCs/>
          <w:szCs w:val="24"/>
        </w:rPr>
        <w:t>he outcomes and lessons learned from the second assessment and review</w:t>
      </w:r>
      <w:r>
        <w:rPr>
          <w:rFonts w:eastAsia="Times New Roman"/>
          <w:iCs/>
          <w:szCs w:val="24"/>
        </w:rPr>
        <w:t>;</w:t>
      </w:r>
      <w:r w:rsidRPr="007A4CE9">
        <w:rPr>
          <w:rFonts w:eastAsia="Times New Roman"/>
          <w:iCs/>
          <w:szCs w:val="24"/>
        </w:rPr>
        <w:t xml:space="preserve"> </w:t>
      </w:r>
    </w:p>
    <w:p w14:paraId="6CABDAC7" w14:textId="77777777" w:rsidR="00095629" w:rsidRDefault="00095629" w:rsidP="00B571BC">
      <w:pPr>
        <w:pStyle w:val="CBDNormalNoNumber"/>
        <w:tabs>
          <w:tab w:val="clear" w:pos="567"/>
          <w:tab w:val="clear" w:pos="1134"/>
        </w:tabs>
        <w:ind w:firstLine="567"/>
        <w:rPr>
          <w:rFonts w:eastAsia="Times New Roman"/>
          <w:iCs/>
          <w:szCs w:val="24"/>
        </w:rPr>
      </w:pPr>
      <w:r>
        <w:rPr>
          <w:rFonts w:eastAsia="Times New Roman"/>
          <w:szCs w:val="24"/>
        </w:rPr>
        <w:t>(b)</w:t>
      </w:r>
      <w:r>
        <w:rPr>
          <w:rFonts w:eastAsia="Times New Roman"/>
          <w:szCs w:val="24"/>
        </w:rPr>
        <w:tab/>
      </w:r>
      <w:r>
        <w:rPr>
          <w:rFonts w:eastAsia="Times New Roman"/>
          <w:iCs/>
          <w:szCs w:val="24"/>
        </w:rPr>
        <w:t xml:space="preserve">The need to collect and analyse information that would enable an assessment of the level of operationalization of access and benefit-sharing systems and their effectiveness in achieving the objective of the Nagoya Protocol, </w:t>
      </w:r>
      <w:r w:rsidRPr="007A4CE9">
        <w:rPr>
          <w:rFonts w:eastAsia="Times New Roman"/>
          <w:iCs/>
          <w:szCs w:val="24"/>
        </w:rPr>
        <w:t>while avoiding additional reporting burdens</w:t>
      </w:r>
      <w:r>
        <w:rPr>
          <w:rFonts w:eastAsia="Times New Roman"/>
          <w:iCs/>
          <w:szCs w:val="24"/>
        </w:rPr>
        <w:t>;</w:t>
      </w:r>
    </w:p>
    <w:p w14:paraId="17F502A0" w14:textId="77777777" w:rsidR="00095629" w:rsidRDefault="00095629" w:rsidP="00B571BC">
      <w:pPr>
        <w:pStyle w:val="CBDNormalNoNumber"/>
        <w:tabs>
          <w:tab w:val="clear" w:pos="567"/>
          <w:tab w:val="clear" w:pos="1134"/>
        </w:tabs>
        <w:ind w:firstLine="567"/>
        <w:rPr>
          <w:rFonts w:eastAsia="Times New Roman"/>
          <w:iCs/>
          <w:szCs w:val="24"/>
        </w:rPr>
      </w:pPr>
      <w:r>
        <w:rPr>
          <w:rFonts w:eastAsia="Times New Roman"/>
          <w:szCs w:val="24"/>
        </w:rPr>
        <w:t>(c)</w:t>
      </w:r>
      <w:r>
        <w:rPr>
          <w:rFonts w:eastAsia="Times New Roman"/>
          <w:szCs w:val="24"/>
        </w:rPr>
        <w:tab/>
      </w:r>
      <w:r>
        <w:rPr>
          <w:rFonts w:eastAsia="Times New Roman"/>
          <w:iCs/>
          <w:szCs w:val="24"/>
        </w:rPr>
        <w:t xml:space="preserve">Input from the Compliance Committee under the Nagoya Protocol and the </w:t>
      </w:r>
      <w:r w:rsidRPr="000A5BF2">
        <w:rPr>
          <w:rFonts w:eastAsia="Times New Roman"/>
          <w:iCs/>
          <w:szCs w:val="24"/>
        </w:rPr>
        <w:t>Informal Advisory Committee on Capacity-building for the Implementation of the Nagoya Protocol</w:t>
      </w:r>
      <w:r w:rsidRPr="007A4CE9">
        <w:rPr>
          <w:rFonts w:eastAsia="Times New Roman"/>
          <w:iCs/>
          <w:szCs w:val="24"/>
        </w:rPr>
        <w:t>;</w:t>
      </w:r>
    </w:p>
    <w:p w14:paraId="2D727131" w14:textId="77777777" w:rsidR="00095629" w:rsidRDefault="00095629" w:rsidP="00B571BC">
      <w:pPr>
        <w:pStyle w:val="CBDNormalNoNumber"/>
        <w:tabs>
          <w:tab w:val="clear" w:pos="567"/>
          <w:tab w:val="clear" w:pos="1134"/>
        </w:tabs>
        <w:ind w:firstLine="567"/>
        <w:rPr>
          <w:rFonts w:eastAsia="Times New Roman"/>
          <w:iCs/>
          <w:szCs w:val="24"/>
        </w:rPr>
      </w:pPr>
      <w:r>
        <w:rPr>
          <w:rFonts w:eastAsia="Times New Roman"/>
          <w:iCs/>
          <w:szCs w:val="24"/>
        </w:rPr>
        <w:t>[(d)</w:t>
      </w:r>
      <w:r>
        <w:rPr>
          <w:rFonts w:eastAsia="Times New Roman"/>
          <w:iCs/>
          <w:szCs w:val="24"/>
        </w:rPr>
        <w:tab/>
        <w:t>The need to assess progress towards operationalization of Article 10 of the Nagoya Protocol and the experience of the Multilateral Mechanism f</w:t>
      </w:r>
      <w:r w:rsidRPr="00001DF8">
        <w:rPr>
          <w:rFonts w:eastAsia="Times New Roman"/>
          <w:iCs/>
          <w:szCs w:val="24"/>
        </w:rPr>
        <w:t xml:space="preserve">or the </w:t>
      </w:r>
      <w:r>
        <w:rPr>
          <w:rFonts w:eastAsia="Times New Roman"/>
          <w:iCs/>
          <w:szCs w:val="24"/>
        </w:rPr>
        <w:t>F</w:t>
      </w:r>
      <w:r w:rsidRPr="00001DF8">
        <w:rPr>
          <w:rFonts w:eastAsia="Times New Roman"/>
          <w:iCs/>
          <w:szCs w:val="24"/>
        </w:rPr>
        <w:t xml:space="preserve">air and </w:t>
      </w:r>
      <w:r>
        <w:rPr>
          <w:rFonts w:eastAsia="Times New Roman"/>
          <w:iCs/>
          <w:szCs w:val="24"/>
        </w:rPr>
        <w:t>E</w:t>
      </w:r>
      <w:r w:rsidRPr="00001DF8">
        <w:rPr>
          <w:rFonts w:eastAsia="Times New Roman"/>
          <w:iCs/>
          <w:szCs w:val="24"/>
        </w:rPr>
        <w:t>quitable</w:t>
      </w:r>
      <w:r>
        <w:rPr>
          <w:rFonts w:eastAsia="Times New Roman"/>
          <w:iCs/>
          <w:szCs w:val="24"/>
        </w:rPr>
        <w:t xml:space="preserve"> S</w:t>
      </w:r>
      <w:r w:rsidRPr="00001DF8">
        <w:rPr>
          <w:rFonts w:eastAsia="Times New Roman"/>
          <w:iCs/>
          <w:szCs w:val="24"/>
        </w:rPr>
        <w:t xml:space="preserve">haring of </w:t>
      </w:r>
      <w:r>
        <w:rPr>
          <w:rFonts w:eastAsia="Times New Roman"/>
          <w:iCs/>
          <w:szCs w:val="24"/>
        </w:rPr>
        <w:t>B</w:t>
      </w:r>
      <w:r w:rsidRPr="00001DF8">
        <w:rPr>
          <w:rFonts w:eastAsia="Times New Roman"/>
          <w:iCs/>
          <w:szCs w:val="24"/>
        </w:rPr>
        <w:t xml:space="preserve">enefits from the </w:t>
      </w:r>
      <w:r>
        <w:rPr>
          <w:rFonts w:eastAsia="Times New Roman"/>
          <w:iCs/>
          <w:szCs w:val="24"/>
        </w:rPr>
        <w:t>U</w:t>
      </w:r>
      <w:r w:rsidRPr="00001DF8">
        <w:rPr>
          <w:rFonts w:eastAsia="Times New Roman"/>
          <w:iCs/>
          <w:szCs w:val="24"/>
        </w:rPr>
        <w:t xml:space="preserve">se of </w:t>
      </w:r>
      <w:r>
        <w:rPr>
          <w:rFonts w:eastAsia="Times New Roman"/>
          <w:iCs/>
          <w:szCs w:val="24"/>
        </w:rPr>
        <w:t>D</w:t>
      </w:r>
      <w:r w:rsidRPr="00001DF8">
        <w:rPr>
          <w:rFonts w:eastAsia="Times New Roman"/>
          <w:iCs/>
          <w:szCs w:val="24"/>
        </w:rPr>
        <w:t xml:space="preserve">igital </w:t>
      </w:r>
      <w:r>
        <w:rPr>
          <w:rFonts w:eastAsia="Times New Roman"/>
          <w:iCs/>
          <w:szCs w:val="24"/>
        </w:rPr>
        <w:t>S</w:t>
      </w:r>
      <w:r w:rsidRPr="00001DF8">
        <w:rPr>
          <w:rFonts w:eastAsia="Times New Roman"/>
          <w:iCs/>
          <w:szCs w:val="24"/>
        </w:rPr>
        <w:t xml:space="preserve">equence </w:t>
      </w:r>
      <w:r>
        <w:rPr>
          <w:rFonts w:eastAsia="Times New Roman"/>
          <w:iCs/>
          <w:szCs w:val="24"/>
        </w:rPr>
        <w:t>I</w:t>
      </w:r>
      <w:r w:rsidRPr="00001DF8">
        <w:rPr>
          <w:rFonts w:eastAsia="Times New Roman"/>
          <w:iCs/>
          <w:szCs w:val="24"/>
        </w:rPr>
        <w:t xml:space="preserve">nformation on </w:t>
      </w:r>
      <w:r>
        <w:rPr>
          <w:rFonts w:eastAsia="Times New Roman"/>
          <w:iCs/>
          <w:szCs w:val="24"/>
        </w:rPr>
        <w:t>G</w:t>
      </w:r>
      <w:r w:rsidRPr="00001DF8">
        <w:rPr>
          <w:rFonts w:eastAsia="Times New Roman"/>
          <w:iCs/>
          <w:szCs w:val="24"/>
        </w:rPr>
        <w:t xml:space="preserve">enetic </w:t>
      </w:r>
      <w:r>
        <w:rPr>
          <w:rFonts w:eastAsia="Times New Roman"/>
          <w:iCs/>
          <w:szCs w:val="24"/>
        </w:rPr>
        <w:t>R</w:t>
      </w:r>
      <w:r w:rsidRPr="00001DF8">
        <w:rPr>
          <w:rFonts w:eastAsia="Times New Roman"/>
          <w:iCs/>
          <w:szCs w:val="24"/>
        </w:rPr>
        <w:t>esources,</w:t>
      </w:r>
      <w:r>
        <w:rPr>
          <w:rFonts w:eastAsia="Times New Roman"/>
          <w:iCs/>
          <w:szCs w:val="24"/>
        </w:rPr>
        <w:t xml:space="preserve"> </w:t>
      </w:r>
      <w:r w:rsidRPr="00001DF8">
        <w:rPr>
          <w:rFonts w:eastAsia="Times New Roman"/>
          <w:iCs/>
          <w:szCs w:val="24"/>
        </w:rPr>
        <w:t xml:space="preserve">including a global </w:t>
      </w:r>
      <w:r w:rsidRPr="00001DF8">
        <w:rPr>
          <w:rFonts w:eastAsia="Times New Roman"/>
          <w:iCs/>
          <w:szCs w:val="24"/>
        </w:rPr>
        <w:lastRenderedPageBreak/>
        <w:t>fund</w:t>
      </w:r>
      <w:r>
        <w:rPr>
          <w:rFonts w:eastAsia="Times New Roman"/>
          <w:iCs/>
          <w:szCs w:val="24"/>
        </w:rPr>
        <w:t>, now known as the Cali Fund,</w:t>
      </w:r>
      <w:r w:rsidRPr="00001DF8">
        <w:rPr>
          <w:rFonts w:eastAsia="Times New Roman"/>
          <w:iCs/>
          <w:szCs w:val="24"/>
        </w:rPr>
        <w:t xml:space="preserve"> </w:t>
      </w:r>
      <w:r>
        <w:rPr>
          <w:rFonts w:eastAsia="Times New Roman"/>
          <w:iCs/>
          <w:szCs w:val="24"/>
        </w:rPr>
        <w:t>established under decision </w:t>
      </w:r>
      <w:hyperlink r:id="rId39" w:history="1">
        <w:r>
          <w:rPr>
            <w:rStyle w:val="Hyperlink"/>
            <w:rFonts w:eastAsia="Times New Roman"/>
            <w:iCs/>
            <w:szCs w:val="24"/>
          </w:rPr>
          <w:t>15/9</w:t>
        </w:r>
      </w:hyperlink>
      <w:r>
        <w:rPr>
          <w:rFonts w:eastAsia="Times New Roman"/>
          <w:iCs/>
          <w:szCs w:val="24"/>
        </w:rPr>
        <w:t xml:space="preserve"> of 19 December 2022</w:t>
      </w:r>
      <w:r w:rsidRPr="006F6A1C">
        <w:rPr>
          <w:rFonts w:eastAsia="Times New Roman"/>
          <w:iCs/>
          <w:szCs w:val="24"/>
        </w:rPr>
        <w:t xml:space="preserve"> </w:t>
      </w:r>
      <w:r>
        <w:rPr>
          <w:rFonts w:eastAsia="Times New Roman"/>
          <w:iCs/>
          <w:szCs w:val="24"/>
        </w:rPr>
        <w:t>of the Conference of the Parties;]</w:t>
      </w:r>
    </w:p>
    <w:p w14:paraId="1A6D4011" w14:textId="77777777" w:rsidR="00095629" w:rsidRPr="006B144A" w:rsidRDefault="00095629" w:rsidP="00B571BC">
      <w:pPr>
        <w:pStyle w:val="CBDNormalNoNumber"/>
        <w:tabs>
          <w:tab w:val="clear" w:pos="567"/>
          <w:tab w:val="clear" w:pos="1134"/>
        </w:tabs>
        <w:ind w:firstLine="567"/>
        <w:rPr>
          <w:rFonts w:eastAsia="Times New Roman"/>
          <w:iCs/>
          <w:szCs w:val="24"/>
        </w:rPr>
      </w:pPr>
      <w:r w:rsidRPr="00CD774B">
        <w:rPr>
          <w:rFonts w:eastAsia="Times New Roman"/>
          <w:iCs/>
          <w:szCs w:val="24"/>
        </w:rPr>
        <w:t>[(e)</w:t>
      </w:r>
      <w:r>
        <w:rPr>
          <w:rFonts w:eastAsia="Times New Roman"/>
          <w:iCs/>
          <w:szCs w:val="24"/>
        </w:rPr>
        <w:tab/>
        <w:t xml:space="preserve">The need to review and, as appropriate, revise the framework of indicators contained in annex II to decision </w:t>
      </w:r>
      <w:hyperlink r:id="rId40" w:history="1">
        <w:r w:rsidRPr="000E5FAD">
          <w:rPr>
            <w:rStyle w:val="Hyperlink"/>
            <w:rFonts w:eastAsia="Times New Roman"/>
            <w:iCs/>
            <w:szCs w:val="24"/>
          </w:rPr>
          <w:t>NP-3/1</w:t>
        </w:r>
        <w:r>
          <w:rPr>
            <w:rStyle w:val="Hyperlink"/>
            <w:rFonts w:eastAsia="Times New Roman"/>
            <w:iCs/>
            <w:szCs w:val="24"/>
          </w:rPr>
          <w:t> </w:t>
        </w:r>
        <w:r w:rsidRPr="000E5FAD">
          <w:rPr>
            <w:rStyle w:val="Hyperlink"/>
            <w:rFonts w:eastAsia="Times New Roman"/>
            <w:iCs/>
            <w:szCs w:val="24"/>
          </w:rPr>
          <w:t>A</w:t>
        </w:r>
      </w:hyperlink>
      <w:r>
        <w:rPr>
          <w:rFonts w:eastAsia="Times New Roman"/>
          <w:iCs/>
          <w:szCs w:val="24"/>
        </w:rPr>
        <w:t xml:space="preserve">, taking into account the outcomes of the second assessment and review and submissions from Parties, with a view to incorporating indicators for use in measuring the operationalization of access and benefit-sharing systems and the outcomes achieved in terms of benefits shared, in addition to the existence of legislative, administrative and policy measures;] </w:t>
      </w:r>
    </w:p>
    <w:p w14:paraId="6C3F88CA" w14:textId="77777777" w:rsidR="00095629" w:rsidRDefault="00095629" w:rsidP="00B571BC">
      <w:pPr>
        <w:pStyle w:val="CBDNormalNoNumber"/>
        <w:tabs>
          <w:tab w:val="clear" w:pos="567"/>
          <w:tab w:val="clear" w:pos="1134"/>
        </w:tabs>
        <w:ind w:firstLine="567"/>
        <w:rPr>
          <w:rFonts w:eastAsia="Times New Roman"/>
          <w:iCs/>
          <w:szCs w:val="24"/>
        </w:rPr>
      </w:pPr>
      <w:r>
        <w:rPr>
          <w:rFonts w:eastAsia="Times New Roman"/>
          <w:szCs w:val="24"/>
        </w:rPr>
        <w:t>23</w:t>
      </w:r>
      <w:r w:rsidRPr="006B144A">
        <w:rPr>
          <w:rFonts w:eastAsia="Times New Roman"/>
          <w:szCs w:val="24"/>
        </w:rPr>
        <w:t>.</w:t>
      </w:r>
      <w:r w:rsidRPr="006B144A">
        <w:rPr>
          <w:rFonts w:eastAsia="Times New Roman"/>
          <w:szCs w:val="24"/>
        </w:rPr>
        <w:tab/>
      </w:r>
      <w:r w:rsidRPr="006B144A">
        <w:rPr>
          <w:i/>
        </w:rPr>
        <w:t>Requests</w:t>
      </w:r>
      <w:r w:rsidRPr="006B144A">
        <w:t xml:space="preserve"> </w:t>
      </w:r>
      <w:r w:rsidRPr="006B144A">
        <w:rPr>
          <w:rFonts w:eastAsia="Times New Roman"/>
          <w:iCs/>
          <w:szCs w:val="24"/>
        </w:rPr>
        <w:t xml:space="preserve">the Subsidiary Body on Implementation to consider the proposed methodology referred to </w:t>
      </w:r>
      <w:r w:rsidRPr="00750456">
        <w:rPr>
          <w:rFonts w:eastAsia="Times New Roman"/>
          <w:iCs/>
          <w:szCs w:val="24"/>
        </w:rPr>
        <w:t xml:space="preserve">in </w:t>
      </w:r>
      <w:r w:rsidRPr="00750456">
        <w:t>paragraph </w:t>
      </w:r>
      <w:r>
        <w:t>22</w:t>
      </w:r>
      <w:r w:rsidRPr="00750456">
        <w:rPr>
          <w:rFonts w:eastAsia="Times New Roman"/>
          <w:iCs/>
          <w:szCs w:val="24"/>
        </w:rPr>
        <w:t xml:space="preserve"> </w:t>
      </w:r>
      <w:r w:rsidRPr="00750456">
        <w:t>a</w:t>
      </w:r>
      <w:r w:rsidRPr="00750456">
        <w:rPr>
          <w:rFonts w:eastAsia="Times New Roman"/>
          <w:iCs/>
          <w:szCs w:val="24"/>
        </w:rPr>
        <w:t>bove</w:t>
      </w:r>
      <w:r w:rsidRPr="006B144A">
        <w:rPr>
          <w:rFonts w:eastAsia="Times New Roman"/>
          <w:iCs/>
          <w:szCs w:val="24"/>
        </w:rPr>
        <w:t xml:space="preserve"> at a meeting held before the seventh meeting of the Conference of the Parties serving as the meeting of the Parties to the Nagoya Protocol and to make recommendations for consideration by the Conference of the Parties serving as the meeting of the Parties to the Protocol at its seventh meeting</w:t>
      </w:r>
      <w:r>
        <w:rPr>
          <w:rFonts w:eastAsia="Times New Roman"/>
          <w:iCs/>
          <w:szCs w:val="24"/>
        </w:rPr>
        <w:t>;</w:t>
      </w:r>
    </w:p>
    <w:p w14:paraId="5C6FAB90" w14:textId="77777777" w:rsidR="00095629" w:rsidRPr="006B144A" w:rsidRDefault="00095629" w:rsidP="00B571BC">
      <w:pPr>
        <w:pStyle w:val="CBDNormalNoNumber"/>
        <w:tabs>
          <w:tab w:val="clear" w:pos="567"/>
          <w:tab w:val="clear" w:pos="1134"/>
        </w:tabs>
        <w:ind w:firstLine="567"/>
        <w:rPr>
          <w:rFonts w:eastAsia="Times New Roman"/>
          <w:iCs/>
          <w:szCs w:val="24"/>
        </w:rPr>
      </w:pPr>
      <w:r w:rsidRPr="00CD774B">
        <w:rPr>
          <w:rFonts w:eastAsia="Times New Roman"/>
          <w:szCs w:val="24"/>
        </w:rPr>
        <w:t>[24</w:t>
      </w:r>
      <w:r w:rsidRPr="00CD774B">
        <w:rPr>
          <w:rFonts w:eastAsia="Times New Roman"/>
          <w:iCs/>
          <w:szCs w:val="24"/>
        </w:rPr>
        <w:t>.</w:t>
      </w:r>
      <w:r>
        <w:rPr>
          <w:rFonts w:eastAsia="Times New Roman"/>
          <w:iCs/>
          <w:szCs w:val="24"/>
        </w:rPr>
        <w:tab/>
      </w:r>
      <w:r w:rsidRPr="00632625">
        <w:rPr>
          <w:rFonts w:eastAsia="Times New Roman"/>
          <w:i/>
          <w:szCs w:val="24"/>
        </w:rPr>
        <w:t>Requests</w:t>
      </w:r>
      <w:r w:rsidRPr="00B33A0F">
        <w:rPr>
          <w:rFonts w:eastAsia="Times New Roman"/>
          <w:iCs/>
          <w:szCs w:val="24"/>
        </w:rPr>
        <w:t xml:space="preserve"> the Executive Secretary to compile, on the basis of the second assessment and review and information available through the Access and Benefit-sharing Clearing-House, information on provisions of the </w:t>
      </w:r>
      <w:r>
        <w:rPr>
          <w:rFonts w:eastAsia="Times New Roman"/>
          <w:iCs/>
          <w:szCs w:val="24"/>
        </w:rPr>
        <w:t xml:space="preserve">Nagoya </w:t>
      </w:r>
      <w:r w:rsidRPr="00B33A0F">
        <w:rPr>
          <w:rFonts w:eastAsia="Times New Roman"/>
          <w:iCs/>
          <w:szCs w:val="24"/>
        </w:rPr>
        <w:t xml:space="preserve">Protocol for which limited or no implementation experience has been reported, including with respect to genetic resources occurring in transboundary situations, and to make that information available for consideration </w:t>
      </w:r>
      <w:r>
        <w:rPr>
          <w:rFonts w:eastAsia="Times New Roman"/>
          <w:iCs/>
          <w:szCs w:val="24"/>
        </w:rPr>
        <w:t>by</w:t>
      </w:r>
      <w:r w:rsidRPr="00B33A0F">
        <w:rPr>
          <w:rFonts w:eastAsia="Times New Roman"/>
          <w:iCs/>
          <w:szCs w:val="24"/>
        </w:rPr>
        <w:t xml:space="preserve"> the Conference of the Parties serving as the meeting of the Parties to the Protocol</w:t>
      </w:r>
      <w:r w:rsidRPr="006B144A">
        <w:rPr>
          <w:rFonts w:eastAsia="Times New Roman"/>
          <w:iCs/>
          <w:szCs w:val="24"/>
        </w:rPr>
        <w:t>.</w:t>
      </w:r>
      <w:r>
        <w:rPr>
          <w:rFonts w:eastAsia="Times New Roman"/>
          <w:iCs/>
          <w:szCs w:val="24"/>
        </w:rPr>
        <w:t xml:space="preserve">] </w:t>
      </w:r>
    </w:p>
    <w:p w14:paraId="22634954" w14:textId="77777777" w:rsidR="00095629" w:rsidRPr="0093372E" w:rsidRDefault="00095629" w:rsidP="00095629">
      <w:pPr>
        <w:pStyle w:val="AISpacer"/>
      </w:pPr>
    </w:p>
    <w:p w14:paraId="5600EBEA" w14:textId="77777777" w:rsidR="00095629" w:rsidRPr="0093372E" w:rsidRDefault="00095629" w:rsidP="00095629">
      <w:pPr>
        <w:pStyle w:val="AISpacer"/>
      </w:pPr>
    </w:p>
    <w:p w14:paraId="1416AE57" w14:textId="77777777" w:rsidR="00104B26" w:rsidRDefault="00104B26" w:rsidP="00104B26">
      <w:pPr>
        <w:pStyle w:val="CBDNormalNumber"/>
        <w:numPr>
          <w:ilvl w:val="0"/>
          <w:numId w:val="0"/>
        </w:numPr>
        <w:ind w:left="567"/>
      </w:pPr>
    </w:p>
    <w:p w14:paraId="71924E70" w14:textId="77777777" w:rsidR="00104B26" w:rsidRPr="00A04A62" w:rsidRDefault="00104B26" w:rsidP="00EE7CA8">
      <w:pPr>
        <w:pStyle w:val="CBDNormalNumber"/>
        <w:numPr>
          <w:ilvl w:val="0"/>
          <w:numId w:val="0"/>
        </w:numPr>
        <w:ind w:left="567"/>
      </w:pPr>
    </w:p>
    <w:p w14:paraId="5A4F7523" w14:textId="77777777" w:rsidR="00A71031" w:rsidRDefault="00A71031" w:rsidP="00F233A7">
      <w:pPr>
        <w:pStyle w:val="CBDAgendaItem"/>
        <w:rPr>
          <w:rFonts w:hint="eastAsia"/>
        </w:rPr>
        <w:sectPr w:rsidR="00A71031" w:rsidSect="00A71031">
          <w:pgSz w:w="12240" w:h="15840"/>
          <w:pgMar w:top="567" w:right="1440" w:bottom="1134" w:left="1440" w:header="709" w:footer="709" w:gutter="0"/>
          <w:cols w:space="708"/>
          <w:docGrid w:linePitch="360"/>
        </w:sectPr>
      </w:pPr>
    </w:p>
    <w:p w14:paraId="5D209BCC" w14:textId="51D6C3F4" w:rsidR="00B70DC0" w:rsidRPr="00EE7CA8" w:rsidRDefault="00B70DC0" w:rsidP="008C02D0">
      <w:pPr>
        <w:pStyle w:val="CBDAgendaItem"/>
        <w:rPr>
          <w:rFonts w:hint="eastAsia"/>
          <w:sz w:val="26"/>
          <w:szCs w:val="26"/>
        </w:rPr>
      </w:pPr>
      <w:bookmarkStart w:id="6" w:name="_Toc241588362"/>
      <w:r w:rsidRPr="00EE7CA8">
        <w:rPr>
          <w:sz w:val="26"/>
          <w:szCs w:val="26"/>
        </w:rPr>
        <w:lastRenderedPageBreak/>
        <w:t>Item 9</w:t>
      </w:r>
      <w:r w:rsidR="008C02D0" w:rsidRPr="00EE7CA8">
        <w:rPr>
          <w:sz w:val="26"/>
          <w:szCs w:val="26"/>
        </w:rPr>
        <w:br/>
      </w:r>
      <w:r w:rsidRPr="00EE7CA8">
        <w:rPr>
          <w:sz w:val="26"/>
          <w:szCs w:val="26"/>
        </w:rPr>
        <w:t xml:space="preserve">Enhancing </w:t>
      </w:r>
      <w:r w:rsidR="00713CF2" w:rsidRPr="00EE7CA8">
        <w:rPr>
          <w:sz w:val="26"/>
          <w:szCs w:val="26"/>
        </w:rPr>
        <w:t xml:space="preserve">the </w:t>
      </w:r>
      <w:r w:rsidRPr="00EE7CA8">
        <w:rPr>
          <w:sz w:val="26"/>
          <w:szCs w:val="26"/>
        </w:rPr>
        <w:t>implementation of the Nagoya Protocol</w:t>
      </w:r>
      <w:bookmarkEnd w:id="6"/>
    </w:p>
    <w:tbl>
      <w:tblPr>
        <w:tblStyle w:val="TableGrid"/>
        <w:tblW w:w="0" w:type="auto"/>
        <w:tblLook w:val="04A0" w:firstRow="1" w:lastRow="0" w:firstColumn="1" w:lastColumn="0" w:noHBand="0" w:noVBand="1"/>
      </w:tblPr>
      <w:tblGrid>
        <w:gridCol w:w="9360"/>
      </w:tblGrid>
      <w:tr w:rsidR="00A13F14" w:rsidRPr="006E0A47" w14:paraId="0BDF55F7" w14:textId="77777777" w:rsidTr="00E44EC1">
        <w:tc>
          <w:tcPr>
            <w:tcW w:w="9360" w:type="dxa"/>
            <w:tcBorders>
              <w:left w:val="nil"/>
              <w:right w:val="nil"/>
            </w:tcBorders>
          </w:tcPr>
          <w:p w14:paraId="3F0A5EB0" w14:textId="26F65634" w:rsidR="00A13F14" w:rsidRPr="006E0A47" w:rsidRDefault="00A13F14" w:rsidP="00E44EC1">
            <w:pPr>
              <w:pStyle w:val="CBDNormalNumber"/>
              <w:numPr>
                <w:ilvl w:val="0"/>
                <w:numId w:val="0"/>
              </w:numPr>
              <w:ind w:firstLine="596"/>
              <w:rPr>
                <w:i/>
                <w:iCs/>
              </w:rPr>
            </w:pPr>
            <w:r w:rsidRPr="00EE7CA8">
              <w:rPr>
                <w:i/>
                <w:iCs/>
              </w:rPr>
              <w:t xml:space="preserve">The following draft decision has been reproduced from </w:t>
            </w:r>
            <w:r w:rsidR="0085759E" w:rsidRPr="00EE7CA8">
              <w:rPr>
                <w:i/>
                <w:iCs/>
              </w:rPr>
              <w:t xml:space="preserve">recommendation </w:t>
            </w:r>
            <w:hyperlink r:id="rId41" w:history="1">
              <w:r w:rsidR="0085759E" w:rsidRPr="00EE7CA8">
                <w:rPr>
                  <w:rStyle w:val="Hyperlink"/>
                  <w:i/>
                  <w:iCs/>
                </w:rPr>
                <w:t>7/6 B</w:t>
              </w:r>
            </w:hyperlink>
            <w:r w:rsidR="006029F3" w:rsidRPr="00EE7CA8">
              <w:rPr>
                <w:i/>
                <w:iCs/>
              </w:rPr>
              <w:t xml:space="preserve"> of the Subsidiary Body on Implementation.</w:t>
            </w:r>
          </w:p>
        </w:tc>
      </w:tr>
    </w:tbl>
    <w:p w14:paraId="264BAA6D" w14:textId="724E8883" w:rsidR="00FF7AF3" w:rsidRPr="006B144A" w:rsidRDefault="00FF7AF3" w:rsidP="00EE7CA8">
      <w:pPr>
        <w:pStyle w:val="CBDcompilationH2"/>
        <w:rPr>
          <w:u w:color="000000"/>
          <w:bdr w:val="nil"/>
        </w:rPr>
      </w:pPr>
      <w:bookmarkStart w:id="7" w:name="_Toc236301309"/>
      <w:r w:rsidRPr="006B144A">
        <w:t>Enhancing</w:t>
      </w:r>
      <w:r w:rsidRPr="006B144A">
        <w:rPr>
          <w:u w:color="000000"/>
          <w:bdr w:val="nil"/>
        </w:rPr>
        <w:t xml:space="preserve"> the implementation of the Nagoya Protocol</w:t>
      </w:r>
    </w:p>
    <w:p w14:paraId="3FD5DBC8" w14:textId="77777777" w:rsidR="00FF7AF3" w:rsidRPr="006B144A" w:rsidRDefault="00FF7AF3" w:rsidP="00FF7AF3">
      <w:pPr>
        <w:pStyle w:val="Para20"/>
        <w:keepNext/>
        <w:ind w:left="567" w:firstLine="567"/>
        <w:rPr>
          <w:i/>
          <w:iCs/>
        </w:rPr>
      </w:pPr>
      <w:r w:rsidRPr="006B144A">
        <w:rPr>
          <w:i/>
          <w:iCs/>
        </w:rPr>
        <w:t>The Conference of the Parties serving as the meeting of the Parties to the Nagoya Protocol</w:t>
      </w:r>
    </w:p>
    <w:p w14:paraId="0A5D6CBD" w14:textId="77777777" w:rsidR="00FF7AF3" w:rsidRPr="006B144A" w:rsidRDefault="00FF7AF3" w:rsidP="00FF7AF3">
      <w:pPr>
        <w:pStyle w:val="CBDNormalNoNumber"/>
        <w:keepNext/>
        <w:rPr>
          <w:bCs/>
          <w:u w:color="000000"/>
          <w:bdr w:val="nil"/>
        </w:rPr>
      </w:pPr>
      <w:r w:rsidRPr="006B144A">
        <w:rPr>
          <w:b/>
          <w:bCs/>
          <w:u w:color="000000"/>
          <w:bdr w:val="nil"/>
        </w:rPr>
        <w:t>I</w:t>
      </w:r>
      <w:r w:rsidRPr="006B144A">
        <w:rPr>
          <w:b/>
          <w:bCs/>
          <w:u w:color="000000"/>
          <w:bdr w:val="nil"/>
        </w:rPr>
        <w:br/>
        <w:t>Capacity-building and development and awareness-raising</w:t>
      </w:r>
    </w:p>
    <w:p w14:paraId="3D214369" w14:textId="77777777" w:rsidR="00FF7AF3" w:rsidRPr="00095629" w:rsidRDefault="00FF7AF3" w:rsidP="00FF7AF3">
      <w:pPr>
        <w:pStyle w:val="CBDNormalNoNumber"/>
        <w:ind w:firstLine="567"/>
        <w:rPr>
          <w:rFonts w:eastAsia="Times New Roman"/>
          <w:color w:val="000000" w:themeColor="text1"/>
          <w:kern w:val="22"/>
        </w:rPr>
      </w:pPr>
      <w:r w:rsidRPr="00095629">
        <w:rPr>
          <w:rFonts w:eastAsia="Times New Roman"/>
          <w:kern w:val="22"/>
        </w:rPr>
        <w:t>1.</w:t>
      </w:r>
      <w:r w:rsidRPr="00095629">
        <w:rPr>
          <w:rFonts w:eastAsia="Times New Roman"/>
          <w:kern w:val="22"/>
        </w:rPr>
        <w:tab/>
      </w:r>
      <w:r w:rsidRPr="00095629">
        <w:rPr>
          <w:i/>
        </w:rPr>
        <w:t xml:space="preserve">Recalls </w:t>
      </w:r>
      <w:r w:rsidRPr="00095629">
        <w:rPr>
          <w:iCs/>
        </w:rPr>
        <w:t xml:space="preserve">its </w:t>
      </w:r>
      <w:r w:rsidRPr="00095629">
        <w:rPr>
          <w:rFonts w:eastAsia="Times New Roman"/>
          <w:color w:val="000000" w:themeColor="text1"/>
          <w:kern w:val="22"/>
        </w:rPr>
        <w:t xml:space="preserve">decision </w:t>
      </w:r>
      <w:hyperlink r:id="rId42" w:history="1">
        <w:r w:rsidRPr="00095629">
          <w:rPr>
            <w:rStyle w:val="Hyperlink"/>
            <w:rFonts w:eastAsia="Times New Roman"/>
            <w:kern w:val="22"/>
          </w:rPr>
          <w:t>NP-5/3</w:t>
        </w:r>
      </w:hyperlink>
      <w:r w:rsidRPr="0093372E">
        <w:t xml:space="preserve"> of 1 November 2024</w:t>
      </w:r>
      <w:r w:rsidRPr="00095629">
        <w:rPr>
          <w:rFonts w:eastAsia="Times New Roman"/>
          <w:color w:val="000000" w:themeColor="text1"/>
          <w:kern w:val="22"/>
        </w:rPr>
        <w:t xml:space="preserve">, by which </w:t>
      </w:r>
      <w:r w:rsidRPr="006B144A">
        <w:t xml:space="preserve">it </w:t>
      </w:r>
      <w:r w:rsidRPr="00095629">
        <w:rPr>
          <w:rFonts w:eastAsia="Times New Roman"/>
          <w:color w:val="000000" w:themeColor="text1"/>
          <w:kern w:val="22"/>
        </w:rPr>
        <w:t>adopted the capacity-building and development action plan for the Nagoya Protocol</w:t>
      </w:r>
      <w:r w:rsidRPr="006B144A">
        <w:t xml:space="preserve"> on Access to Genetic Resources and the Fair and Equitable Sharing of Benefits Arising from Their Utilization</w:t>
      </w:r>
      <w:r w:rsidRPr="00095629">
        <w:rPr>
          <w:rFonts w:eastAsia="Times New Roman"/>
          <w:color w:val="000000" w:themeColor="text1"/>
          <w:kern w:val="22"/>
        </w:rPr>
        <w:t>,</w:t>
      </w:r>
      <w:r w:rsidRPr="0003754D">
        <w:rPr>
          <w:rStyle w:val="FootnoteReference"/>
        </w:rPr>
        <w:t xml:space="preserve"> </w:t>
      </w:r>
      <w:r w:rsidRPr="0093372E">
        <w:rPr>
          <w:rStyle w:val="FootnoteReference"/>
        </w:rPr>
        <w:footnoteReference w:id="25"/>
      </w:r>
      <w:r w:rsidRPr="00095629">
        <w:rPr>
          <w:rFonts w:eastAsia="Times New Roman"/>
          <w:color w:val="000000" w:themeColor="text1"/>
          <w:kern w:val="22"/>
        </w:rPr>
        <w:t xml:space="preserve"> and its </w:t>
      </w:r>
      <w:r w:rsidRPr="006B144A">
        <w:t>decision</w:t>
      </w:r>
      <w:r w:rsidRPr="00095629">
        <w:rPr>
          <w:rFonts w:eastAsia="Times New Roman"/>
          <w:color w:val="000000" w:themeColor="text1"/>
          <w:kern w:val="22"/>
        </w:rPr>
        <w:t xml:space="preserve"> </w:t>
      </w:r>
      <w:hyperlink r:id="rId43" w:history="1">
        <w:r w:rsidRPr="00095629">
          <w:rPr>
            <w:rStyle w:val="Hyperlink"/>
            <w:rFonts w:eastAsia="Times New Roman"/>
            <w:kern w:val="22"/>
          </w:rPr>
          <w:t>NP-1/9</w:t>
        </w:r>
      </w:hyperlink>
      <w:r w:rsidRPr="00095629">
        <w:rPr>
          <w:rFonts w:eastAsia="Times New Roman"/>
          <w:color w:val="000000" w:themeColor="text1"/>
          <w:kern w:val="22"/>
        </w:rPr>
        <w:t xml:space="preserve"> of 17 October 2014, by which it adopted the awareness-raising strategy for the Protocol;</w:t>
      </w:r>
    </w:p>
    <w:p w14:paraId="4023E830" w14:textId="77777777" w:rsidR="00FF7AF3" w:rsidRPr="006B144A" w:rsidRDefault="00FF7AF3" w:rsidP="00FF7AF3">
      <w:pPr>
        <w:pStyle w:val="CBDNormalNoNumber"/>
        <w:keepNext/>
        <w:tabs>
          <w:tab w:val="clear" w:pos="567"/>
          <w:tab w:val="clear" w:pos="1134"/>
        </w:tabs>
        <w:ind w:firstLine="567"/>
        <w:rPr>
          <w:rFonts w:eastAsia="Times New Roman"/>
          <w:iCs/>
          <w:szCs w:val="24"/>
        </w:rPr>
      </w:pPr>
      <w:r w:rsidRPr="006B144A">
        <w:rPr>
          <w:rFonts w:eastAsia="Times New Roman"/>
          <w:szCs w:val="24"/>
        </w:rPr>
        <w:t>2.</w:t>
      </w:r>
      <w:r w:rsidRPr="006B144A">
        <w:rPr>
          <w:rFonts w:eastAsia="Times New Roman"/>
          <w:szCs w:val="24"/>
        </w:rPr>
        <w:tab/>
      </w:r>
      <w:r w:rsidRPr="006B144A">
        <w:rPr>
          <w:i/>
        </w:rPr>
        <w:t>Encourages</w:t>
      </w:r>
      <w:r w:rsidRPr="006B144A">
        <w:rPr>
          <w:rFonts w:eastAsia="Times New Roman"/>
          <w:color w:val="000000" w:themeColor="text1"/>
          <w:kern w:val="22"/>
        </w:rPr>
        <w:t xml:space="preserve"> Parties, other Governments and relevant </w:t>
      </w:r>
      <w:r>
        <w:rPr>
          <w:rFonts w:eastAsia="Times New Roman"/>
          <w:color w:val="000000" w:themeColor="text1"/>
          <w:kern w:val="22"/>
        </w:rPr>
        <w:t xml:space="preserve">stakeholders and </w:t>
      </w:r>
      <w:r w:rsidRPr="006B144A">
        <w:rPr>
          <w:rFonts w:eastAsia="Times New Roman"/>
          <w:color w:val="000000" w:themeColor="text1"/>
          <w:kern w:val="22"/>
        </w:rPr>
        <w:t xml:space="preserve">organizations, including the regional and subregional technical and </w:t>
      </w:r>
      <w:r w:rsidRPr="006B144A">
        <w:t>scientific</w:t>
      </w:r>
      <w:r w:rsidRPr="006B144A">
        <w:rPr>
          <w:rFonts w:eastAsia="Times New Roman"/>
          <w:color w:val="000000" w:themeColor="text1"/>
          <w:kern w:val="22"/>
        </w:rPr>
        <w:t xml:space="preserve"> cooperation support centres, in a position</w:t>
      </w:r>
      <w:r w:rsidRPr="006B144A">
        <w:rPr>
          <w:rFonts w:eastAsia="Times New Roman"/>
          <w:iCs/>
          <w:szCs w:val="24"/>
        </w:rPr>
        <w:t xml:space="preserve"> to do so</w:t>
      </w:r>
      <w:r>
        <w:rPr>
          <w:rFonts w:eastAsia="Times New Roman"/>
          <w:iCs/>
          <w:szCs w:val="24"/>
        </w:rPr>
        <w:t xml:space="preserve">, </w:t>
      </w:r>
      <w:proofErr w:type="gramStart"/>
      <w:r>
        <w:rPr>
          <w:rFonts w:eastAsia="Times New Roman"/>
          <w:iCs/>
          <w:szCs w:val="24"/>
        </w:rPr>
        <w:t>taking into account</w:t>
      </w:r>
      <w:proofErr w:type="gramEnd"/>
      <w:r>
        <w:rPr>
          <w:rFonts w:eastAsia="Times New Roman"/>
          <w:iCs/>
          <w:szCs w:val="24"/>
        </w:rPr>
        <w:t xml:space="preserve"> national circumstances, priorities, capabilities and legislation</w:t>
      </w:r>
      <w:r w:rsidRPr="006B144A">
        <w:rPr>
          <w:rFonts w:eastAsia="Times New Roman"/>
          <w:iCs/>
          <w:szCs w:val="24"/>
        </w:rPr>
        <w:t>:</w:t>
      </w:r>
    </w:p>
    <w:p w14:paraId="3C8F597F"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(a)</w:t>
      </w:r>
      <w:r w:rsidRPr="006B144A">
        <w:rPr>
          <w:rFonts w:eastAsia="Times New Roman"/>
          <w:iCs/>
          <w:szCs w:val="24"/>
        </w:rPr>
        <w:tab/>
        <w:t xml:space="preserve">To </w:t>
      </w:r>
      <w:r>
        <w:rPr>
          <w:rFonts w:eastAsia="Times New Roman"/>
          <w:iCs/>
          <w:szCs w:val="24"/>
        </w:rPr>
        <w:t>enhance</w:t>
      </w:r>
      <w:r w:rsidRPr="006B144A">
        <w:rPr>
          <w:rFonts w:eastAsia="Times New Roman"/>
          <w:iCs/>
          <w:szCs w:val="24"/>
        </w:rPr>
        <w:t xml:space="preserve"> their efforts to build</w:t>
      </w:r>
      <w:r>
        <w:rPr>
          <w:rFonts w:eastAsia="Times New Roman"/>
          <w:iCs/>
          <w:szCs w:val="24"/>
        </w:rPr>
        <w:t xml:space="preserve"> long-term</w:t>
      </w:r>
      <w:r w:rsidRPr="006B144A">
        <w:rPr>
          <w:rFonts w:eastAsia="Times New Roman"/>
          <w:iCs/>
          <w:szCs w:val="24"/>
        </w:rPr>
        <w:t xml:space="preserve"> </w:t>
      </w:r>
      <w:r w:rsidRPr="006B144A">
        <w:t>capacity</w:t>
      </w:r>
      <w:r w:rsidRPr="006B144A">
        <w:rPr>
          <w:rFonts w:eastAsia="Times New Roman"/>
          <w:iCs/>
          <w:szCs w:val="24"/>
        </w:rPr>
        <w:t xml:space="preserve"> </w:t>
      </w:r>
      <w:r>
        <w:rPr>
          <w:rFonts w:eastAsia="Times New Roman"/>
          <w:iCs/>
          <w:szCs w:val="24"/>
        </w:rPr>
        <w:t>for</w:t>
      </w:r>
      <w:r w:rsidRPr="006B144A">
        <w:rPr>
          <w:rFonts w:eastAsia="Times New Roman"/>
          <w:iCs/>
          <w:szCs w:val="24"/>
        </w:rPr>
        <w:t xml:space="preserve"> implement</w:t>
      </w:r>
      <w:r>
        <w:rPr>
          <w:rFonts w:eastAsia="Times New Roman"/>
          <w:iCs/>
          <w:szCs w:val="24"/>
        </w:rPr>
        <w:t>ing</w:t>
      </w:r>
      <w:r w:rsidRPr="006B144A">
        <w:rPr>
          <w:rFonts w:eastAsia="Times New Roman"/>
          <w:iCs/>
          <w:szCs w:val="24"/>
        </w:rPr>
        <w:t xml:space="preserve"> the Nagoya Protocol, in accordance with its Article 22</w:t>
      </w:r>
      <w:r>
        <w:rPr>
          <w:rFonts w:eastAsia="Times New Roman"/>
          <w:iCs/>
          <w:szCs w:val="24"/>
        </w:rPr>
        <w:t xml:space="preserve"> and the </w:t>
      </w:r>
      <w:r w:rsidRPr="006B144A">
        <w:rPr>
          <w:rFonts w:eastAsia="Times New Roman"/>
          <w:color w:val="000000" w:themeColor="text1"/>
          <w:kern w:val="22"/>
        </w:rPr>
        <w:t>capacity-building and development action plan</w:t>
      </w:r>
      <w:r w:rsidRPr="003D042C">
        <w:rPr>
          <w:rFonts w:eastAsia="Times New Roman"/>
          <w:color w:val="000000" w:themeColor="text1"/>
          <w:kern w:val="22"/>
        </w:rPr>
        <w:t xml:space="preserve"> </w:t>
      </w:r>
      <w:r w:rsidRPr="006B144A">
        <w:rPr>
          <w:rFonts w:eastAsia="Times New Roman"/>
          <w:color w:val="000000" w:themeColor="text1"/>
          <w:kern w:val="22"/>
        </w:rPr>
        <w:t>for the Protocol</w:t>
      </w:r>
      <w:r w:rsidRPr="006B144A">
        <w:rPr>
          <w:rFonts w:eastAsia="Times New Roman"/>
          <w:iCs/>
          <w:szCs w:val="24"/>
        </w:rPr>
        <w:t>;</w:t>
      </w:r>
    </w:p>
    <w:p w14:paraId="626931BB" w14:textId="77777777" w:rsidR="00FF7AF3" w:rsidRPr="00020787"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(b)</w:t>
      </w:r>
      <w:r w:rsidRPr="006B144A">
        <w:rPr>
          <w:rFonts w:eastAsia="Times New Roman"/>
          <w:iCs/>
          <w:szCs w:val="24"/>
        </w:rPr>
        <w:tab/>
        <w:t xml:space="preserve">To </w:t>
      </w:r>
      <w:proofErr w:type="gramStart"/>
      <w:r w:rsidRPr="006B144A">
        <w:rPr>
          <w:rFonts w:eastAsia="Times New Roman"/>
          <w:iCs/>
          <w:szCs w:val="24"/>
        </w:rPr>
        <w:t>take into account</w:t>
      </w:r>
      <w:proofErr w:type="gramEnd"/>
      <w:r w:rsidRPr="006B144A">
        <w:rPr>
          <w:rFonts w:eastAsia="Times New Roman"/>
          <w:iCs/>
          <w:szCs w:val="24"/>
        </w:rPr>
        <w:t xml:space="preserve"> the key findings and messages of the second assessment and review </w:t>
      </w:r>
      <w:r w:rsidRPr="0093372E">
        <w:t xml:space="preserve">of the effectiveness </w:t>
      </w:r>
      <w:r w:rsidRPr="006B144A">
        <w:rPr>
          <w:rFonts w:eastAsia="Times New Roman"/>
          <w:iCs/>
          <w:szCs w:val="24"/>
        </w:rPr>
        <w:t xml:space="preserve">of the Nagoya Protocol, which include areas where Parties require further support, and the indicative actions that </w:t>
      </w:r>
      <w:r>
        <w:rPr>
          <w:rFonts w:eastAsia="Times New Roman"/>
          <w:iCs/>
          <w:szCs w:val="24"/>
        </w:rPr>
        <w:t>could</w:t>
      </w:r>
      <w:r w:rsidRPr="006B144A">
        <w:rPr>
          <w:rFonts w:eastAsia="Times New Roman"/>
          <w:iCs/>
          <w:szCs w:val="24"/>
        </w:rPr>
        <w:t xml:space="preserve"> be taken at the national level to enhance the </w:t>
      </w:r>
      <w:r w:rsidRPr="00020787">
        <w:rPr>
          <w:rFonts w:eastAsia="Times New Roman"/>
          <w:iCs/>
          <w:szCs w:val="24"/>
        </w:rPr>
        <w:t>implementation of the Protocol;</w:t>
      </w:r>
      <w:r w:rsidRPr="00020787">
        <w:rPr>
          <w:rStyle w:val="FootnoteReference"/>
          <w:rFonts w:eastAsia="Times New Roman"/>
          <w:iCs/>
          <w:szCs w:val="24"/>
        </w:rPr>
        <w:footnoteReference w:id="26"/>
      </w:r>
    </w:p>
    <w:p w14:paraId="78A5AF8B"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020787">
        <w:rPr>
          <w:rFonts w:eastAsia="Times New Roman"/>
          <w:iCs/>
          <w:szCs w:val="24"/>
        </w:rPr>
        <w:t>(</w:t>
      </w:r>
      <w:r>
        <w:rPr>
          <w:rFonts w:eastAsia="Times New Roman"/>
          <w:iCs/>
          <w:szCs w:val="24"/>
        </w:rPr>
        <w:t>c)</w:t>
      </w:r>
      <w:r>
        <w:rPr>
          <w:rFonts w:eastAsia="Times New Roman"/>
          <w:iCs/>
          <w:szCs w:val="24"/>
        </w:rPr>
        <w:tab/>
      </w:r>
      <w:r w:rsidRPr="007A4CE9">
        <w:rPr>
          <w:rFonts w:eastAsia="Times New Roman"/>
          <w:iCs/>
          <w:szCs w:val="24"/>
        </w:rPr>
        <w:t xml:space="preserve">To strengthen </w:t>
      </w:r>
      <w:r>
        <w:rPr>
          <w:rFonts w:eastAsia="Times New Roman"/>
          <w:iCs/>
          <w:szCs w:val="24"/>
        </w:rPr>
        <w:t xml:space="preserve">the </w:t>
      </w:r>
      <w:r w:rsidRPr="007A4CE9">
        <w:rPr>
          <w:rFonts w:eastAsia="Times New Roman"/>
          <w:iCs/>
          <w:szCs w:val="24"/>
        </w:rPr>
        <w:t xml:space="preserve">capacities of national authorities to implement the </w:t>
      </w:r>
      <w:r>
        <w:rPr>
          <w:rFonts w:eastAsia="Times New Roman"/>
          <w:iCs/>
          <w:szCs w:val="24"/>
        </w:rPr>
        <w:t xml:space="preserve">Nagoya </w:t>
      </w:r>
      <w:r w:rsidRPr="007A4CE9">
        <w:rPr>
          <w:rFonts w:eastAsia="Times New Roman"/>
          <w:iCs/>
          <w:szCs w:val="24"/>
        </w:rPr>
        <w:t xml:space="preserve">Protocol and domestic access and benefit-sharing measures, including </w:t>
      </w:r>
      <w:r>
        <w:rPr>
          <w:rFonts w:eastAsia="Times New Roman"/>
          <w:iCs/>
          <w:szCs w:val="24"/>
        </w:rPr>
        <w:t xml:space="preserve">the </w:t>
      </w:r>
      <w:r w:rsidRPr="007A4CE9">
        <w:rPr>
          <w:rFonts w:eastAsia="Times New Roman"/>
          <w:iCs/>
          <w:szCs w:val="24"/>
        </w:rPr>
        <w:t xml:space="preserve">capacity </w:t>
      </w:r>
      <w:r>
        <w:rPr>
          <w:rFonts w:eastAsia="Times New Roman"/>
          <w:iCs/>
        </w:rPr>
        <w:t>for</w:t>
      </w:r>
      <w:r w:rsidRPr="006D09F9">
        <w:rPr>
          <w:rFonts w:eastAsia="Times New Roman"/>
          <w:iCs/>
          <w:szCs w:val="24"/>
        </w:rPr>
        <w:t xml:space="preserve"> </w:t>
      </w:r>
      <w:r>
        <w:rPr>
          <w:rFonts w:eastAsia="Times New Roman"/>
          <w:iCs/>
        </w:rPr>
        <w:t xml:space="preserve">undertaking the following in an </w:t>
      </w:r>
      <w:r w:rsidRPr="003F54B6">
        <w:rPr>
          <w:rFonts w:eastAsia="Times New Roman"/>
          <w:iCs/>
          <w:szCs w:val="24"/>
        </w:rPr>
        <w:t xml:space="preserve">efficient and effective </w:t>
      </w:r>
      <w:r>
        <w:rPr>
          <w:rFonts w:eastAsia="Times New Roman"/>
          <w:iCs/>
        </w:rPr>
        <w:t xml:space="preserve">manner: </w:t>
      </w:r>
      <w:r w:rsidRPr="007A4CE9">
        <w:rPr>
          <w:rFonts w:eastAsia="Times New Roman"/>
          <w:iCs/>
          <w:szCs w:val="24"/>
        </w:rPr>
        <w:t>manag</w:t>
      </w:r>
      <w:r>
        <w:rPr>
          <w:rFonts w:eastAsia="Times New Roman"/>
          <w:iCs/>
          <w:szCs w:val="24"/>
        </w:rPr>
        <w:t>ing</w:t>
      </w:r>
      <w:r w:rsidRPr="007A4CE9">
        <w:rPr>
          <w:rFonts w:eastAsia="Times New Roman"/>
          <w:iCs/>
          <w:szCs w:val="24"/>
        </w:rPr>
        <w:t xml:space="preserve"> processes for granting access,</w:t>
      </w:r>
      <w:r>
        <w:rPr>
          <w:rFonts w:eastAsia="Times New Roman"/>
          <w:iCs/>
          <w:szCs w:val="24"/>
        </w:rPr>
        <w:t xml:space="preserve"> providing timely responses to requests for information by users of genetic resources,</w:t>
      </w:r>
      <w:r w:rsidRPr="007A4CE9">
        <w:rPr>
          <w:rFonts w:eastAsia="Times New Roman"/>
          <w:iCs/>
          <w:szCs w:val="24"/>
        </w:rPr>
        <w:t xml:space="preserve"> negotiat</w:t>
      </w:r>
      <w:r>
        <w:rPr>
          <w:rFonts w:eastAsia="Times New Roman"/>
          <w:iCs/>
          <w:szCs w:val="24"/>
        </w:rPr>
        <w:t>ing</w:t>
      </w:r>
      <w:r w:rsidRPr="007A4CE9">
        <w:rPr>
          <w:rFonts w:eastAsia="Times New Roman"/>
          <w:iCs/>
          <w:szCs w:val="24"/>
        </w:rPr>
        <w:t xml:space="preserve"> </w:t>
      </w:r>
      <w:r>
        <w:rPr>
          <w:rFonts w:eastAsia="Times New Roman"/>
          <w:iCs/>
          <w:szCs w:val="24"/>
        </w:rPr>
        <w:t xml:space="preserve">mutually agreed terms </w:t>
      </w:r>
      <w:r w:rsidRPr="007A4CE9">
        <w:rPr>
          <w:rFonts w:eastAsia="Times New Roman"/>
          <w:iCs/>
          <w:szCs w:val="24"/>
        </w:rPr>
        <w:t>and ensur</w:t>
      </w:r>
      <w:r>
        <w:rPr>
          <w:rFonts w:eastAsia="Times New Roman"/>
          <w:iCs/>
          <w:szCs w:val="24"/>
        </w:rPr>
        <w:t>ing</w:t>
      </w:r>
      <w:r w:rsidRPr="007A4CE9">
        <w:rPr>
          <w:rFonts w:eastAsia="Times New Roman"/>
          <w:iCs/>
          <w:szCs w:val="24"/>
        </w:rPr>
        <w:t xml:space="preserve"> compliance </w:t>
      </w:r>
      <w:r>
        <w:rPr>
          <w:rFonts w:eastAsia="Times New Roman"/>
          <w:iCs/>
          <w:szCs w:val="24"/>
        </w:rPr>
        <w:t>in accordance with Articles [10,] 15, 16, 17 and 18 of the Protocol;</w:t>
      </w:r>
    </w:p>
    <w:p w14:paraId="074C54D2"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w:t>
      </w:r>
      <w:r>
        <w:rPr>
          <w:rFonts w:eastAsia="Times New Roman"/>
          <w:iCs/>
          <w:szCs w:val="24"/>
        </w:rPr>
        <w:t>d</w:t>
      </w:r>
      <w:r w:rsidRPr="006B144A">
        <w:rPr>
          <w:rFonts w:eastAsia="Times New Roman"/>
          <w:iCs/>
          <w:szCs w:val="24"/>
        </w:rPr>
        <w:t>)</w:t>
      </w:r>
      <w:r w:rsidRPr="006B144A">
        <w:rPr>
          <w:rFonts w:eastAsia="Times New Roman"/>
          <w:iCs/>
          <w:szCs w:val="24"/>
        </w:rPr>
        <w:tab/>
        <w:t xml:space="preserve">To promote the exchange of experiences, best practices, success stories and lessons learned in the implementation of the Nagoya Protocol </w:t>
      </w:r>
      <w:r w:rsidRPr="006B144A">
        <w:t>among</w:t>
      </w:r>
      <w:r w:rsidRPr="006B144A">
        <w:rPr>
          <w:rFonts w:eastAsia="Times New Roman"/>
          <w:iCs/>
          <w:szCs w:val="24"/>
        </w:rPr>
        <w:t xml:space="preserve"> a wide range of actors involved in access and benefit-sharing processes, </w:t>
      </w:r>
      <w:r>
        <w:rPr>
          <w:rFonts w:eastAsia="Times New Roman"/>
          <w:iCs/>
          <w:szCs w:val="24"/>
        </w:rPr>
        <w:t xml:space="preserve">and </w:t>
      </w:r>
      <w:r w:rsidRPr="006B144A">
        <w:rPr>
          <w:rFonts w:eastAsia="Times New Roman"/>
          <w:iCs/>
          <w:szCs w:val="24"/>
        </w:rPr>
        <w:t xml:space="preserve">develop guidance, </w:t>
      </w:r>
      <w:proofErr w:type="gramStart"/>
      <w:r w:rsidRPr="006B144A">
        <w:rPr>
          <w:rFonts w:eastAsia="Times New Roman"/>
          <w:iCs/>
          <w:szCs w:val="24"/>
        </w:rPr>
        <w:t>in particular on</w:t>
      </w:r>
      <w:proofErr w:type="gramEnd"/>
      <w:r w:rsidRPr="006B144A">
        <w:rPr>
          <w:rFonts w:eastAsia="Times New Roman"/>
          <w:iCs/>
          <w:szCs w:val="24"/>
        </w:rPr>
        <w:t xml:space="preserve"> the areas identified in the key findings and messages</w:t>
      </w:r>
      <w:r>
        <w:rPr>
          <w:rFonts w:eastAsia="Times New Roman"/>
          <w:iCs/>
          <w:szCs w:val="24"/>
        </w:rPr>
        <w:t>;</w:t>
      </w:r>
    </w:p>
    <w:p w14:paraId="165EB05E"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w:t>
      </w:r>
      <w:r>
        <w:rPr>
          <w:rFonts w:eastAsia="Times New Roman"/>
          <w:iCs/>
          <w:szCs w:val="24"/>
        </w:rPr>
        <w:t>e</w:t>
      </w:r>
      <w:r w:rsidRPr="006B144A">
        <w:rPr>
          <w:rFonts w:eastAsia="Times New Roman"/>
          <w:iCs/>
          <w:szCs w:val="24"/>
        </w:rPr>
        <w:t>)</w:t>
      </w:r>
      <w:r w:rsidRPr="006B144A">
        <w:rPr>
          <w:rFonts w:eastAsia="Times New Roman"/>
          <w:iCs/>
          <w:szCs w:val="24"/>
        </w:rPr>
        <w:tab/>
        <w:t xml:space="preserve">To promote the development of regional and </w:t>
      </w:r>
      <w:r w:rsidRPr="006B144A">
        <w:t>global</w:t>
      </w:r>
      <w:r w:rsidRPr="006B144A">
        <w:rPr>
          <w:rFonts w:eastAsia="Times New Roman"/>
          <w:iCs/>
          <w:szCs w:val="24"/>
        </w:rPr>
        <w:t xml:space="preserve"> initiatives to facilitate the exchange of experiences and lessons learned among different actors</w:t>
      </w:r>
      <w:r>
        <w:rPr>
          <w:rFonts w:eastAsia="Times New Roman"/>
          <w:iCs/>
          <w:szCs w:val="24"/>
        </w:rPr>
        <w:t>, including indigenous peoples and local communities</w:t>
      </w:r>
      <w:r w:rsidRPr="006B144A">
        <w:rPr>
          <w:rFonts w:eastAsia="Times New Roman"/>
          <w:iCs/>
          <w:szCs w:val="24"/>
        </w:rPr>
        <w:t>;</w:t>
      </w:r>
    </w:p>
    <w:p w14:paraId="49A0C2D7" w14:textId="77777777" w:rsidR="00FF7AF3" w:rsidRPr="006B144A" w:rsidRDefault="00FF7AF3" w:rsidP="00FF7AF3">
      <w:pPr>
        <w:pStyle w:val="CBDNormalNoNumber"/>
        <w:tabs>
          <w:tab w:val="clear" w:pos="567"/>
          <w:tab w:val="clear" w:pos="1134"/>
        </w:tabs>
        <w:ind w:firstLine="567"/>
        <w:rPr>
          <w:u w:color="000000"/>
          <w:bdr w:val="nil"/>
        </w:rPr>
      </w:pPr>
      <w:r w:rsidRPr="006B144A">
        <w:rPr>
          <w:u w:color="000000"/>
          <w:bdr w:val="nil"/>
        </w:rPr>
        <w:t>(</w:t>
      </w:r>
      <w:r>
        <w:rPr>
          <w:u w:color="000000"/>
          <w:bdr w:val="nil"/>
        </w:rPr>
        <w:t>f</w:t>
      </w:r>
      <w:r w:rsidRPr="006B144A">
        <w:rPr>
          <w:u w:color="000000"/>
          <w:bdr w:val="nil"/>
        </w:rPr>
        <w:t>)</w:t>
      </w:r>
      <w:r w:rsidRPr="006B144A">
        <w:rPr>
          <w:u w:color="000000"/>
          <w:bdr w:val="nil"/>
        </w:rPr>
        <w:tab/>
        <w:t xml:space="preserve">To establish or strengthen mechanisms that facilitate partnerships between users and providers of genetic resources and </w:t>
      </w:r>
      <w:r>
        <w:rPr>
          <w:u w:color="000000"/>
          <w:bdr w:val="nil"/>
        </w:rPr>
        <w:t xml:space="preserve">holders of </w:t>
      </w:r>
      <w:r w:rsidRPr="006B144A">
        <w:rPr>
          <w:u w:color="000000"/>
          <w:bdr w:val="nil"/>
        </w:rPr>
        <w:t xml:space="preserve">associated </w:t>
      </w:r>
      <w:r w:rsidRPr="006B144A">
        <w:t>traditional</w:t>
      </w:r>
      <w:r w:rsidRPr="006B144A">
        <w:rPr>
          <w:u w:color="000000"/>
          <w:bdr w:val="nil"/>
        </w:rPr>
        <w:t xml:space="preserve"> knowledge;</w:t>
      </w:r>
    </w:p>
    <w:p w14:paraId="375F90E4"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w:t>
      </w:r>
      <w:r>
        <w:rPr>
          <w:rFonts w:eastAsia="Times New Roman"/>
          <w:iCs/>
          <w:szCs w:val="24"/>
        </w:rPr>
        <w:t>g</w:t>
      </w:r>
      <w:r w:rsidRPr="006B144A">
        <w:rPr>
          <w:rFonts w:eastAsia="Times New Roman"/>
          <w:iCs/>
          <w:szCs w:val="24"/>
        </w:rPr>
        <w:t>)</w:t>
      </w:r>
      <w:r w:rsidRPr="006B144A">
        <w:rPr>
          <w:rFonts w:eastAsia="Times New Roman"/>
          <w:iCs/>
          <w:szCs w:val="24"/>
        </w:rPr>
        <w:tab/>
      </w:r>
      <w:r w:rsidRPr="006B144A">
        <w:rPr>
          <w:u w:color="000000"/>
          <w:bdr w:val="nil"/>
        </w:rPr>
        <w:t>To document and share</w:t>
      </w:r>
      <w:r w:rsidRPr="00C07E31">
        <w:rPr>
          <w:u w:color="000000"/>
          <w:bdr w:val="nil"/>
        </w:rPr>
        <w:t xml:space="preserve"> through the Access and Benefit-sharing Clearing‑House</w:t>
      </w:r>
      <w:r w:rsidRPr="006B144A">
        <w:rPr>
          <w:u w:color="000000"/>
          <w:bdr w:val="nil"/>
        </w:rPr>
        <w:t xml:space="preserve"> lessons learned</w:t>
      </w:r>
      <w:r>
        <w:rPr>
          <w:u w:color="000000"/>
          <w:bdr w:val="nil"/>
        </w:rPr>
        <w:t>,</w:t>
      </w:r>
      <w:r w:rsidRPr="006B144A">
        <w:rPr>
          <w:u w:color="000000"/>
          <w:bdr w:val="nil"/>
        </w:rPr>
        <w:t xml:space="preserve"> best practices and capacity-building and development resources for the implementation of the </w:t>
      </w:r>
      <w:r w:rsidRPr="006B144A">
        <w:rPr>
          <w:rFonts w:eastAsia="Times New Roman"/>
          <w:iCs/>
          <w:szCs w:val="24"/>
        </w:rPr>
        <w:t xml:space="preserve">Nagoya </w:t>
      </w:r>
      <w:r w:rsidRPr="006B144A">
        <w:t>Protocol</w:t>
      </w:r>
      <w:r>
        <w:t>;</w:t>
      </w:r>
    </w:p>
    <w:p w14:paraId="68464C0C" w14:textId="77777777" w:rsidR="00FF7AF3" w:rsidRPr="006B144A" w:rsidRDefault="00FF7AF3" w:rsidP="00FF7AF3">
      <w:pPr>
        <w:pStyle w:val="CBDNormalNoNumber"/>
        <w:tabs>
          <w:tab w:val="clear" w:pos="567"/>
          <w:tab w:val="clear" w:pos="1134"/>
        </w:tabs>
        <w:ind w:firstLine="567"/>
        <w:rPr>
          <w:u w:color="000000"/>
          <w:bdr w:val="nil"/>
        </w:rPr>
      </w:pPr>
      <w:r w:rsidRPr="006B144A">
        <w:rPr>
          <w:u w:color="000000"/>
          <w:bdr w:val="nil"/>
        </w:rPr>
        <w:lastRenderedPageBreak/>
        <w:t>(</w:t>
      </w:r>
      <w:r>
        <w:rPr>
          <w:u w:color="000000"/>
          <w:bdr w:val="nil"/>
        </w:rPr>
        <w:t>h</w:t>
      </w:r>
      <w:r w:rsidRPr="006B144A">
        <w:rPr>
          <w:u w:color="000000"/>
          <w:bdr w:val="nil"/>
        </w:rPr>
        <w:t>)</w:t>
      </w:r>
      <w:r w:rsidRPr="006B144A">
        <w:rPr>
          <w:u w:color="000000"/>
          <w:bdr w:val="nil"/>
        </w:rPr>
        <w:tab/>
        <w:t xml:space="preserve">To support work on information systems that facilitate access </w:t>
      </w:r>
      <w:r>
        <w:rPr>
          <w:u w:color="000000"/>
          <w:bdr w:val="nil"/>
        </w:rPr>
        <w:t xml:space="preserve">and </w:t>
      </w:r>
      <w:r w:rsidRPr="006B144A">
        <w:rPr>
          <w:u w:color="000000"/>
          <w:bdr w:val="nil"/>
        </w:rPr>
        <w:t xml:space="preserve">benefit-sharing and compliance with the Nagoya Protocol and to make those systems </w:t>
      </w:r>
      <w:r w:rsidRPr="006B144A">
        <w:t>interoperable</w:t>
      </w:r>
      <w:r w:rsidRPr="006B144A">
        <w:rPr>
          <w:u w:color="000000"/>
          <w:bdr w:val="nil"/>
        </w:rPr>
        <w:t xml:space="preserve"> with the Access and Benefit-sharing Clearing-House, as appropriate;</w:t>
      </w:r>
    </w:p>
    <w:p w14:paraId="6BE064AA" w14:textId="77777777" w:rsidR="00FF7AF3" w:rsidRPr="006B144A" w:rsidRDefault="00FF7AF3" w:rsidP="00FF7AF3">
      <w:pPr>
        <w:pStyle w:val="CBDNormalNoNumber"/>
        <w:tabs>
          <w:tab w:val="clear" w:pos="567"/>
          <w:tab w:val="clear" w:pos="1134"/>
        </w:tabs>
        <w:ind w:firstLine="567"/>
        <w:rPr>
          <w:u w:color="000000"/>
          <w:bdr w:val="nil"/>
        </w:rPr>
      </w:pPr>
      <w:r w:rsidRPr="006B144A">
        <w:rPr>
          <w:u w:color="000000"/>
          <w:bdr w:val="nil"/>
        </w:rPr>
        <w:t>(</w:t>
      </w:r>
      <w:proofErr w:type="spellStart"/>
      <w:r>
        <w:rPr>
          <w:u w:color="000000"/>
          <w:bdr w:val="nil"/>
        </w:rPr>
        <w:t>i</w:t>
      </w:r>
      <w:proofErr w:type="spellEnd"/>
      <w:r w:rsidRPr="006B144A">
        <w:rPr>
          <w:u w:color="000000"/>
          <w:bdr w:val="nil"/>
        </w:rPr>
        <w:t>)</w:t>
      </w:r>
      <w:r w:rsidRPr="006B144A">
        <w:rPr>
          <w:u w:color="000000"/>
          <w:bdr w:val="nil"/>
        </w:rPr>
        <w:tab/>
        <w:t xml:space="preserve">To support the publication </w:t>
      </w:r>
      <w:r>
        <w:rPr>
          <w:u w:color="000000"/>
          <w:bdr w:val="nil"/>
        </w:rPr>
        <w:t xml:space="preserve">and </w:t>
      </w:r>
      <w:r w:rsidRPr="006B144A">
        <w:rPr>
          <w:u w:color="000000"/>
          <w:bdr w:val="nil"/>
        </w:rPr>
        <w:t>use</w:t>
      </w:r>
      <w:r>
        <w:rPr>
          <w:u w:color="000000"/>
          <w:bdr w:val="nil"/>
        </w:rPr>
        <w:t xml:space="preserve"> </w:t>
      </w:r>
      <w:r w:rsidRPr="006B144A">
        <w:rPr>
          <w:u w:color="000000"/>
          <w:bdr w:val="nil"/>
        </w:rPr>
        <w:t xml:space="preserve">of information in the Access and Benefit-sharing Clearing-House by </w:t>
      </w:r>
      <w:r w:rsidRPr="006B144A">
        <w:t>indigenous</w:t>
      </w:r>
      <w:r w:rsidRPr="006B144A">
        <w:rPr>
          <w:u w:color="000000"/>
          <w:bdr w:val="nil"/>
        </w:rPr>
        <w:t xml:space="preserve"> peoples and local communities</w:t>
      </w:r>
      <w:r w:rsidRPr="0093372E">
        <w:t xml:space="preserve">, </w:t>
      </w:r>
      <w:r>
        <w:t xml:space="preserve">for example </w:t>
      </w:r>
      <w:r w:rsidRPr="0093372E">
        <w:t xml:space="preserve">by incorporating training on the </w:t>
      </w:r>
      <w:proofErr w:type="gramStart"/>
      <w:r w:rsidRPr="0093372E">
        <w:t>Clearing-House</w:t>
      </w:r>
      <w:proofErr w:type="gramEnd"/>
      <w:r w:rsidRPr="0093372E">
        <w:t xml:space="preserve"> into relevant capacity-building and development activities, as appropriate;</w:t>
      </w:r>
    </w:p>
    <w:p w14:paraId="1A82B4B6" w14:textId="77777777" w:rsidR="00FF7AF3" w:rsidRPr="006B144A" w:rsidRDefault="00FF7AF3" w:rsidP="00FF7AF3">
      <w:pPr>
        <w:pStyle w:val="CBDNormalNoNumber"/>
        <w:keepNext/>
        <w:tabs>
          <w:tab w:val="clear" w:pos="567"/>
          <w:tab w:val="clear" w:pos="1134"/>
        </w:tabs>
        <w:ind w:firstLine="567"/>
      </w:pPr>
      <w:r w:rsidRPr="006B144A">
        <w:rPr>
          <w:rFonts w:eastAsia="Times New Roman"/>
        </w:rPr>
        <w:t>3.</w:t>
      </w:r>
      <w:r w:rsidRPr="006B144A">
        <w:rPr>
          <w:rFonts w:eastAsia="Times New Roman"/>
        </w:rPr>
        <w:tab/>
      </w:r>
      <w:r w:rsidRPr="006B144A">
        <w:rPr>
          <w:i/>
          <w:iCs/>
        </w:rPr>
        <w:t xml:space="preserve">Invites </w:t>
      </w:r>
      <w:r w:rsidRPr="006B144A">
        <w:t>Parties, other Governments, indigenous peoples and local communities</w:t>
      </w:r>
      <w:r>
        <w:t>,</w:t>
      </w:r>
      <w:r w:rsidRPr="006B144A">
        <w:t xml:space="preserve"> and relevant stakeholders and organizations, including, as appropriate, the </w:t>
      </w:r>
      <w:r>
        <w:t xml:space="preserve">technical and scientific </w:t>
      </w:r>
      <w:r w:rsidRPr="006B144A">
        <w:t>cooperation support centres, to strengthen communication efforts,</w:t>
      </w:r>
      <w:r>
        <w:t xml:space="preserve"> subject to the availability of resources and national priorities,</w:t>
      </w:r>
      <w:r w:rsidRPr="006B144A">
        <w:t xml:space="preserve"> including through campaigns targeted at different access and benefit-sharing actors, and to consider:</w:t>
      </w:r>
    </w:p>
    <w:p w14:paraId="235B73C6"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(a)</w:t>
      </w:r>
      <w:r w:rsidRPr="006B144A">
        <w:rPr>
          <w:rFonts w:eastAsia="Times New Roman"/>
          <w:iCs/>
          <w:szCs w:val="24"/>
        </w:rPr>
        <w:tab/>
        <w:t>Promoting the third objective of the Convention on Biological Diversity,</w:t>
      </w:r>
      <w:r w:rsidRPr="0093372E">
        <w:rPr>
          <w:rStyle w:val="FootnoteReference"/>
          <w:rFonts w:eastAsia="Times New Roman"/>
          <w:iCs/>
          <w:szCs w:val="24"/>
        </w:rPr>
        <w:footnoteReference w:id="27"/>
      </w:r>
      <w:r w:rsidRPr="006B144A">
        <w:rPr>
          <w:rFonts w:eastAsia="Times New Roman"/>
          <w:iCs/>
          <w:szCs w:val="24"/>
        </w:rPr>
        <w:t xml:space="preserve"> that is, </w:t>
      </w:r>
      <w:r w:rsidRPr="0093372E">
        <w:rPr>
          <w:rFonts w:eastAsia="Times New Roman"/>
          <w:iCs/>
          <w:szCs w:val="24"/>
        </w:rPr>
        <w:t>the fair and equitable sharing of the benefits arising out of the utilization of genetic resources,</w:t>
      </w:r>
      <w:r w:rsidRPr="006B144A">
        <w:rPr>
          <w:rFonts w:eastAsia="Times New Roman"/>
          <w:iCs/>
          <w:szCs w:val="24"/>
        </w:rPr>
        <w:t xml:space="preserve"> so that it is </w:t>
      </w:r>
      <w:r w:rsidRPr="007A4CE9">
        <w:rPr>
          <w:rFonts w:eastAsia="Times New Roman"/>
          <w:szCs w:val="24"/>
        </w:rPr>
        <w:t>recognized and perceived</w:t>
      </w:r>
      <w:r>
        <w:rPr>
          <w:rFonts w:eastAsia="Times New Roman"/>
          <w:iCs/>
          <w:szCs w:val="24"/>
        </w:rPr>
        <w:t xml:space="preserve"> </w:t>
      </w:r>
      <w:r w:rsidRPr="006B144A">
        <w:rPr>
          <w:rFonts w:eastAsia="Times New Roman"/>
          <w:iCs/>
          <w:szCs w:val="24"/>
        </w:rPr>
        <w:t xml:space="preserve">as a strategy for </w:t>
      </w:r>
      <w:proofErr w:type="spellStart"/>
      <w:r w:rsidRPr="006B144A">
        <w:rPr>
          <w:rFonts w:eastAsia="Times New Roman"/>
          <w:iCs/>
          <w:szCs w:val="24"/>
        </w:rPr>
        <w:t>valorizing</w:t>
      </w:r>
      <w:proofErr w:type="spellEnd"/>
      <w:r w:rsidRPr="006B144A">
        <w:rPr>
          <w:rFonts w:eastAsia="Times New Roman"/>
          <w:iCs/>
          <w:szCs w:val="24"/>
        </w:rPr>
        <w:t xml:space="preserve"> biodiversity, </w:t>
      </w:r>
      <w:r w:rsidRPr="006B144A">
        <w:t>supporting</w:t>
      </w:r>
      <w:r w:rsidRPr="006B144A">
        <w:rPr>
          <w:rFonts w:eastAsia="Times New Roman"/>
          <w:iCs/>
          <w:szCs w:val="24"/>
        </w:rPr>
        <w:t xml:space="preserve"> its conservation and sustainable use and creating opportunities for sustainable development</w:t>
      </w:r>
      <w:r>
        <w:rPr>
          <w:rFonts w:eastAsia="Times New Roman"/>
          <w:iCs/>
          <w:szCs w:val="24"/>
        </w:rPr>
        <w:t>,</w:t>
      </w:r>
      <w:r w:rsidRPr="006B144A">
        <w:rPr>
          <w:rFonts w:eastAsia="Times New Roman"/>
          <w:iCs/>
          <w:szCs w:val="24"/>
        </w:rPr>
        <w:t xml:space="preserve"> in </w:t>
      </w:r>
      <w:r>
        <w:rPr>
          <w:rFonts w:eastAsia="Times New Roman"/>
          <w:iCs/>
          <w:szCs w:val="24"/>
        </w:rPr>
        <w:t xml:space="preserve">line </w:t>
      </w:r>
      <w:r w:rsidRPr="006B144A">
        <w:rPr>
          <w:rFonts w:eastAsia="Times New Roman"/>
          <w:iCs/>
          <w:szCs w:val="24"/>
        </w:rPr>
        <w:t>with the key findings and messages;</w:t>
      </w:r>
    </w:p>
    <w:p w14:paraId="06753B9D"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(b)</w:t>
      </w:r>
      <w:r w:rsidRPr="006B144A">
        <w:rPr>
          <w:rFonts w:eastAsia="Times New Roman"/>
          <w:iCs/>
          <w:szCs w:val="24"/>
        </w:rPr>
        <w:tab/>
      </w:r>
      <w:r>
        <w:rPr>
          <w:rFonts w:eastAsia="Times New Roman"/>
          <w:iCs/>
          <w:szCs w:val="24"/>
        </w:rPr>
        <w:t>Continuing the i</w:t>
      </w:r>
      <w:r w:rsidRPr="006B144A">
        <w:rPr>
          <w:rFonts w:eastAsia="Times New Roman"/>
          <w:iCs/>
          <w:szCs w:val="24"/>
        </w:rPr>
        <w:t>mplementa</w:t>
      </w:r>
      <w:r>
        <w:rPr>
          <w:rFonts w:eastAsia="Times New Roman"/>
          <w:iCs/>
          <w:szCs w:val="24"/>
        </w:rPr>
        <w:t>tion</w:t>
      </w:r>
      <w:r w:rsidRPr="006B144A">
        <w:rPr>
          <w:rFonts w:eastAsia="Times New Roman"/>
          <w:iCs/>
          <w:szCs w:val="24"/>
        </w:rPr>
        <w:t xml:space="preserve"> </w:t>
      </w:r>
      <w:r>
        <w:rPr>
          <w:rFonts w:eastAsia="Times New Roman"/>
          <w:iCs/>
          <w:szCs w:val="24"/>
        </w:rPr>
        <w:t xml:space="preserve">of </w:t>
      </w:r>
      <w:r w:rsidRPr="006B144A">
        <w:rPr>
          <w:rFonts w:eastAsia="Times New Roman"/>
          <w:iCs/>
          <w:szCs w:val="24"/>
        </w:rPr>
        <w:t>the awareness-raising strategy for the Nagoya Protocol;</w:t>
      </w:r>
    </w:p>
    <w:p w14:paraId="5A7CB0DA" w14:textId="77777777" w:rsidR="00FF7AF3" w:rsidRPr="006B144A" w:rsidRDefault="00FF7AF3" w:rsidP="00FF7AF3">
      <w:pPr>
        <w:pStyle w:val="CBDNormalNoNumber"/>
        <w:tabs>
          <w:tab w:val="clear" w:pos="567"/>
          <w:tab w:val="clear" w:pos="1134"/>
        </w:tabs>
        <w:ind w:firstLine="567"/>
        <w:rPr>
          <w:rFonts w:eastAsia="Times New Roman"/>
          <w:iCs/>
          <w:szCs w:val="24"/>
        </w:rPr>
      </w:pPr>
      <w:r w:rsidRPr="006B144A">
        <w:rPr>
          <w:rFonts w:eastAsia="Times New Roman"/>
          <w:iCs/>
          <w:szCs w:val="24"/>
        </w:rPr>
        <w:t>(c)</w:t>
      </w:r>
      <w:r w:rsidRPr="006B144A">
        <w:rPr>
          <w:rFonts w:eastAsia="Times New Roman"/>
          <w:iCs/>
          <w:szCs w:val="24"/>
        </w:rPr>
        <w:tab/>
        <w:t xml:space="preserve">Using existing tools, such as the communication, </w:t>
      </w:r>
      <w:r w:rsidRPr="006B144A">
        <w:t>education</w:t>
      </w:r>
      <w:r w:rsidRPr="006B144A">
        <w:rPr>
          <w:rFonts w:eastAsia="Times New Roman"/>
          <w:iCs/>
          <w:szCs w:val="24"/>
        </w:rPr>
        <w:t xml:space="preserve"> and public awareness toolkit</w:t>
      </w:r>
      <w:r>
        <w:rPr>
          <w:rFonts w:eastAsia="Times New Roman"/>
          <w:iCs/>
          <w:szCs w:val="24"/>
        </w:rPr>
        <w:t>,</w:t>
      </w:r>
      <w:r>
        <w:rPr>
          <w:rStyle w:val="FootnoteReference"/>
          <w:rFonts w:eastAsia="Times New Roman"/>
          <w:iCs/>
          <w:szCs w:val="24"/>
        </w:rPr>
        <w:footnoteReference w:id="28"/>
      </w:r>
      <w:r w:rsidRPr="006B144A">
        <w:rPr>
          <w:rFonts w:eastAsia="Times New Roman"/>
          <w:iCs/>
          <w:szCs w:val="24"/>
        </w:rPr>
        <w:t xml:space="preserve"> including considerations for access and benefit-sharing;</w:t>
      </w:r>
    </w:p>
    <w:p w14:paraId="7C998B96" w14:textId="77777777" w:rsidR="00FF7AF3" w:rsidRPr="006B144A" w:rsidRDefault="00FF7AF3" w:rsidP="00FF7AF3">
      <w:pPr>
        <w:pStyle w:val="CBDNormalNoNumber"/>
        <w:keepNext/>
        <w:tabs>
          <w:tab w:val="clear" w:pos="567"/>
          <w:tab w:val="clear" w:pos="1134"/>
        </w:tabs>
        <w:ind w:firstLine="567"/>
        <w:rPr>
          <w:rFonts w:eastAsia="Times New Roman"/>
          <w:kern w:val="22"/>
        </w:rPr>
      </w:pPr>
      <w:r w:rsidRPr="006B144A">
        <w:rPr>
          <w:rFonts w:eastAsia="Times New Roman"/>
          <w:kern w:val="22"/>
        </w:rPr>
        <w:t>4.</w:t>
      </w:r>
      <w:r w:rsidRPr="006B144A">
        <w:rPr>
          <w:rFonts w:eastAsia="Times New Roman"/>
          <w:kern w:val="22"/>
        </w:rPr>
        <w:tab/>
      </w:r>
      <w:r w:rsidRPr="006B144A">
        <w:rPr>
          <w:i/>
        </w:rPr>
        <w:t>Requests</w:t>
      </w:r>
      <w:r w:rsidRPr="006B144A">
        <w:rPr>
          <w:rFonts w:eastAsia="Times New Roman"/>
          <w:kern w:val="22"/>
        </w:rPr>
        <w:t xml:space="preserve"> the Executive Secretary, subject to the availability of resources:</w:t>
      </w:r>
    </w:p>
    <w:p w14:paraId="298CE504" w14:textId="77777777" w:rsidR="00FF7AF3" w:rsidRPr="006B144A" w:rsidRDefault="00FF7AF3" w:rsidP="00FF7AF3">
      <w:pPr>
        <w:pStyle w:val="CBDNormalNoNumber"/>
        <w:tabs>
          <w:tab w:val="clear" w:pos="567"/>
          <w:tab w:val="clear" w:pos="1134"/>
        </w:tabs>
        <w:ind w:firstLine="567"/>
        <w:rPr>
          <w:rFonts w:eastAsia="Times New Roman"/>
          <w:i/>
          <w:szCs w:val="24"/>
        </w:rPr>
      </w:pPr>
      <w:r w:rsidRPr="006B144A">
        <w:rPr>
          <w:rFonts w:eastAsia="Times New Roman"/>
          <w:szCs w:val="24"/>
        </w:rPr>
        <w:t>(a)</w:t>
      </w:r>
      <w:r w:rsidRPr="006B144A">
        <w:rPr>
          <w:rFonts w:eastAsia="Times New Roman"/>
          <w:szCs w:val="24"/>
        </w:rPr>
        <w:tab/>
        <w:t xml:space="preserve">To </w:t>
      </w:r>
      <w:r w:rsidRPr="006B144A">
        <w:rPr>
          <w:rFonts w:eastAsia="Times New Roman"/>
          <w:iCs/>
          <w:szCs w:val="24"/>
        </w:rPr>
        <w:t>contribute to and promote the communication efforts of the actors referred to in paragraph </w:t>
      </w:r>
      <w:r w:rsidRPr="006B144A">
        <w:rPr>
          <w:rFonts w:eastAsia="Times New Roman"/>
          <w:szCs w:val="24"/>
        </w:rPr>
        <w:t>3</w:t>
      </w:r>
      <w:r w:rsidRPr="006B144A">
        <w:rPr>
          <w:rFonts w:eastAsia="Times New Roman"/>
          <w:iCs/>
          <w:szCs w:val="24"/>
        </w:rPr>
        <w:t xml:space="preserve"> above by </w:t>
      </w:r>
      <w:r w:rsidRPr="002A56A3">
        <w:rPr>
          <w:rFonts w:eastAsia="Times New Roman"/>
          <w:iCs/>
          <w:szCs w:val="24"/>
        </w:rPr>
        <w:t xml:space="preserve">producing </w:t>
      </w:r>
      <w:r w:rsidRPr="006B144A">
        <w:rPr>
          <w:rFonts w:eastAsia="Times New Roman"/>
          <w:iCs/>
          <w:szCs w:val="24"/>
        </w:rPr>
        <w:t>targeted communication materials</w:t>
      </w:r>
      <w:r>
        <w:rPr>
          <w:rFonts w:eastAsia="Times New Roman"/>
          <w:iCs/>
          <w:szCs w:val="24"/>
        </w:rPr>
        <w:t xml:space="preserve"> </w:t>
      </w:r>
      <w:r w:rsidRPr="0047576C">
        <w:rPr>
          <w:rFonts w:eastAsia="Times New Roman"/>
          <w:iCs/>
          <w:szCs w:val="24"/>
        </w:rPr>
        <w:t>that highlight success stories and best practices</w:t>
      </w:r>
      <w:r w:rsidRPr="006B144A">
        <w:rPr>
          <w:rFonts w:eastAsia="Times New Roman"/>
          <w:iCs/>
          <w:szCs w:val="24"/>
        </w:rPr>
        <w:t xml:space="preserve"> and disseminating </w:t>
      </w:r>
      <w:r>
        <w:t>such</w:t>
      </w:r>
      <w:r w:rsidRPr="006B144A">
        <w:rPr>
          <w:rFonts w:eastAsia="Times New Roman"/>
          <w:iCs/>
          <w:szCs w:val="24"/>
        </w:rPr>
        <w:t xml:space="preserve"> information, including through the Access and Benefit-sharing Clearing-House;</w:t>
      </w:r>
    </w:p>
    <w:p w14:paraId="1D3A971B" w14:textId="77777777" w:rsidR="00FF7AF3" w:rsidRPr="006B144A" w:rsidRDefault="00FF7AF3" w:rsidP="00FF7AF3">
      <w:pPr>
        <w:pStyle w:val="CBDNormalNoNumber"/>
        <w:tabs>
          <w:tab w:val="clear" w:pos="567"/>
          <w:tab w:val="clear" w:pos="1134"/>
        </w:tabs>
        <w:ind w:firstLine="567"/>
        <w:rPr>
          <w:rFonts w:eastAsia="Times New Roman"/>
          <w:i/>
          <w:szCs w:val="24"/>
        </w:rPr>
      </w:pPr>
      <w:r w:rsidRPr="006B144A">
        <w:rPr>
          <w:rFonts w:eastAsia="Times New Roman"/>
          <w:szCs w:val="24"/>
        </w:rPr>
        <w:t>(b)</w:t>
      </w:r>
      <w:r w:rsidRPr="006B144A">
        <w:rPr>
          <w:rFonts w:eastAsia="Times New Roman"/>
          <w:szCs w:val="24"/>
        </w:rPr>
        <w:tab/>
        <w:t xml:space="preserve">To </w:t>
      </w:r>
      <w:r w:rsidRPr="006B144A">
        <w:rPr>
          <w:rFonts w:eastAsia="Times New Roman"/>
          <w:iCs/>
          <w:szCs w:val="24"/>
        </w:rPr>
        <w:t xml:space="preserve">facilitate and promote the exchanges referred to in </w:t>
      </w:r>
      <w:r w:rsidRPr="005439DD">
        <w:rPr>
          <w:rFonts w:eastAsia="Times New Roman"/>
          <w:iCs/>
          <w:szCs w:val="24"/>
        </w:rPr>
        <w:t>subparagraphs 2 (</w:t>
      </w:r>
      <w:r w:rsidRPr="007A4CE9">
        <w:rPr>
          <w:rFonts w:eastAsia="Times New Roman"/>
          <w:szCs w:val="24"/>
        </w:rPr>
        <w:t>d</w:t>
      </w:r>
      <w:r w:rsidRPr="005439DD">
        <w:rPr>
          <w:rFonts w:eastAsia="Times New Roman"/>
          <w:szCs w:val="24"/>
        </w:rPr>
        <w:t>) and</w:t>
      </w:r>
      <w:r>
        <w:rPr>
          <w:rFonts w:eastAsia="Times New Roman"/>
          <w:szCs w:val="24"/>
        </w:rPr>
        <w:t> </w:t>
      </w:r>
      <w:r w:rsidRPr="005439DD">
        <w:rPr>
          <w:rFonts w:eastAsia="Times New Roman"/>
          <w:szCs w:val="24"/>
        </w:rPr>
        <w:t>(</w:t>
      </w:r>
      <w:r w:rsidRPr="007A4CE9">
        <w:rPr>
          <w:rFonts w:eastAsia="Times New Roman"/>
          <w:szCs w:val="24"/>
        </w:rPr>
        <w:t>e</w:t>
      </w:r>
      <w:r w:rsidRPr="005439DD">
        <w:rPr>
          <w:rFonts w:eastAsia="Times New Roman"/>
          <w:szCs w:val="24"/>
        </w:rPr>
        <w:t>)</w:t>
      </w:r>
      <w:r w:rsidRPr="005439DD">
        <w:rPr>
          <w:rFonts w:eastAsia="Times New Roman"/>
          <w:iCs/>
          <w:szCs w:val="24"/>
        </w:rPr>
        <w:t xml:space="preserve"> above on the areas identified in the key findings and messages, includin</w:t>
      </w:r>
      <w:r>
        <w:rPr>
          <w:rFonts w:eastAsia="Times New Roman"/>
          <w:iCs/>
          <w:szCs w:val="24"/>
        </w:rPr>
        <w:t>g through the holding of regional workshops</w:t>
      </w:r>
      <w:r w:rsidRPr="006B144A">
        <w:rPr>
          <w:rFonts w:eastAsia="Times New Roman"/>
          <w:iCs/>
          <w:szCs w:val="24"/>
        </w:rPr>
        <w:t>;</w:t>
      </w:r>
    </w:p>
    <w:p w14:paraId="6BC3B9AD" w14:textId="77777777" w:rsidR="00FF7AF3" w:rsidRDefault="00FF7AF3" w:rsidP="00FF7AF3">
      <w:pPr>
        <w:pStyle w:val="CBDNormalNoNumber"/>
        <w:tabs>
          <w:tab w:val="clear" w:pos="567"/>
          <w:tab w:val="clear" w:pos="1134"/>
        </w:tabs>
        <w:ind w:firstLine="567"/>
        <w:rPr>
          <w:rFonts w:eastAsia="Times New Roman"/>
          <w:iCs/>
          <w:szCs w:val="24"/>
        </w:rPr>
      </w:pPr>
      <w:r w:rsidRPr="006B144A">
        <w:rPr>
          <w:rFonts w:eastAsia="Times New Roman"/>
          <w:szCs w:val="24"/>
        </w:rPr>
        <w:t>(c)</w:t>
      </w:r>
      <w:r w:rsidRPr="006B144A">
        <w:rPr>
          <w:rFonts w:eastAsia="Times New Roman"/>
          <w:szCs w:val="24"/>
        </w:rPr>
        <w:tab/>
        <w:t xml:space="preserve">To </w:t>
      </w:r>
      <w:r w:rsidRPr="006B144A">
        <w:rPr>
          <w:rFonts w:eastAsia="Times New Roman"/>
          <w:iCs/>
          <w:szCs w:val="24"/>
        </w:rPr>
        <w:t>promote the integration of access and benefit-sharing</w:t>
      </w:r>
      <w:r w:rsidRPr="0093372E">
        <w:t xml:space="preserve"> </w:t>
      </w:r>
      <w:r w:rsidRPr="006B144A">
        <w:rPr>
          <w:rFonts w:eastAsia="Times New Roman"/>
          <w:iCs/>
          <w:szCs w:val="24"/>
        </w:rPr>
        <w:t xml:space="preserve">in regional or subregional capacity-building </w:t>
      </w:r>
      <w:r>
        <w:rPr>
          <w:rFonts w:eastAsia="Times New Roman"/>
          <w:iCs/>
          <w:szCs w:val="24"/>
        </w:rPr>
        <w:t xml:space="preserve">and development </w:t>
      </w:r>
      <w:r w:rsidRPr="006B144A">
        <w:rPr>
          <w:rFonts w:eastAsia="Times New Roman"/>
          <w:iCs/>
          <w:szCs w:val="24"/>
        </w:rPr>
        <w:t xml:space="preserve">initiatives, existing cooperation </w:t>
      </w:r>
      <w:r w:rsidRPr="006B144A">
        <w:t>frameworks</w:t>
      </w:r>
      <w:r w:rsidRPr="006B144A">
        <w:rPr>
          <w:rFonts w:eastAsia="Times New Roman"/>
          <w:iCs/>
          <w:szCs w:val="24"/>
        </w:rPr>
        <w:t xml:space="preserve"> and the work of relevant regional and subregional institutions, including the </w:t>
      </w:r>
      <w:r w:rsidRPr="00892507">
        <w:rPr>
          <w:rFonts w:eastAsia="Times New Roman"/>
          <w:iCs/>
          <w:szCs w:val="24"/>
        </w:rPr>
        <w:t>technical and scientific cooperation support centres</w:t>
      </w:r>
      <w:r>
        <w:rPr>
          <w:rFonts w:eastAsia="Times New Roman"/>
          <w:iCs/>
          <w:szCs w:val="24"/>
        </w:rPr>
        <w:t>, and to support, through those centres, the establishment and operationalization of checkpoints under Article 17 of the Nagoya Protocol</w:t>
      </w:r>
      <w:r w:rsidRPr="006B144A">
        <w:rPr>
          <w:rFonts w:eastAsia="Times New Roman"/>
          <w:iCs/>
          <w:szCs w:val="24"/>
        </w:rPr>
        <w:t>;</w:t>
      </w:r>
    </w:p>
    <w:p w14:paraId="4EB71E01" w14:textId="77777777" w:rsidR="00FF7AF3" w:rsidRPr="006B144A" w:rsidRDefault="00FF7AF3" w:rsidP="00FF7AF3">
      <w:pPr>
        <w:pStyle w:val="CBDNormalNoNumber"/>
        <w:tabs>
          <w:tab w:val="clear" w:pos="567"/>
          <w:tab w:val="clear" w:pos="1134"/>
        </w:tabs>
        <w:ind w:firstLine="567"/>
        <w:rPr>
          <w:rFonts w:eastAsia="Times New Roman"/>
          <w:i/>
          <w:szCs w:val="24"/>
        </w:rPr>
      </w:pPr>
      <w:r w:rsidRPr="00CD774B">
        <w:rPr>
          <w:rFonts w:eastAsia="Times New Roman"/>
          <w:iCs/>
          <w:szCs w:val="24"/>
        </w:rPr>
        <w:t>[(d)</w:t>
      </w:r>
      <w:r w:rsidRPr="00705257">
        <w:rPr>
          <w:rFonts w:eastAsia="Times New Roman"/>
          <w:iCs/>
          <w:szCs w:val="24"/>
        </w:rPr>
        <w:tab/>
        <w:t>To</w:t>
      </w:r>
      <w:r>
        <w:rPr>
          <w:rFonts w:eastAsia="Times New Roman"/>
          <w:iCs/>
          <w:szCs w:val="24"/>
        </w:rPr>
        <w:t xml:space="preserve"> promote cooperation, collaboration and synergy among the secretariats of relevant multilateral environmental agreements addressing access and benefit-sharing, such as the </w:t>
      </w:r>
      <w:r w:rsidRPr="00C175BC">
        <w:rPr>
          <w:rFonts w:eastAsia="Times New Roman"/>
          <w:iCs/>
          <w:szCs w:val="24"/>
        </w:rPr>
        <w:t>Agreement under the United Nations Convention on the Law of the Sea on the Conservation and Sustainable Use of Marine Biological Diversity of Areas beyond National Jurisdiction</w:t>
      </w:r>
      <w:r>
        <w:rPr>
          <w:rFonts w:eastAsia="Times New Roman"/>
          <w:iCs/>
          <w:szCs w:val="24"/>
        </w:rPr>
        <w:t>;]</w:t>
      </w:r>
      <w:r w:rsidRPr="007D6598">
        <w:rPr>
          <w:rStyle w:val="FootnoteReference"/>
          <w:rFonts w:eastAsia="Times New Roman"/>
          <w:iCs/>
          <w:szCs w:val="24"/>
        </w:rPr>
        <w:footnoteReference w:id="29"/>
      </w:r>
    </w:p>
    <w:p w14:paraId="6206E574" w14:textId="77777777" w:rsidR="00FF7AF3" w:rsidRPr="006B144A" w:rsidRDefault="00FF7AF3" w:rsidP="00FF7AF3">
      <w:pPr>
        <w:pStyle w:val="CBDNormalNoNumber"/>
        <w:keepNext/>
        <w:rPr>
          <w:bCs/>
        </w:rPr>
      </w:pPr>
      <w:r w:rsidRPr="00EE7CA8">
        <w:rPr>
          <w:b/>
          <w:bCs/>
        </w:rPr>
        <w:t>II</w:t>
      </w:r>
      <w:r w:rsidRPr="00EE7CA8">
        <w:rPr>
          <w:b/>
          <w:bCs/>
        </w:rPr>
        <w:br/>
        <w:t>Access and Benefit-sharing Clearing-House and information-sharing</w:t>
      </w:r>
    </w:p>
    <w:p w14:paraId="3D9D6BDB" w14:textId="77777777" w:rsidR="00FF7AF3" w:rsidRPr="006B144A" w:rsidRDefault="00FF7AF3" w:rsidP="00FF7AF3">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5.</w:t>
      </w:r>
      <w:r w:rsidRPr="006B144A">
        <w:rPr>
          <w:rFonts w:eastAsia="Times New Roman"/>
          <w:kern w:val="22"/>
        </w:rPr>
        <w:tab/>
      </w:r>
      <w:r w:rsidRPr="006B144A">
        <w:rPr>
          <w:i/>
        </w:rPr>
        <w:t>Emphasizes</w:t>
      </w:r>
      <w:r w:rsidRPr="006B144A">
        <w:rPr>
          <w:rFonts w:eastAsia="Times New Roman"/>
          <w:color w:val="000000" w:themeColor="text1"/>
          <w:kern w:val="22"/>
        </w:rPr>
        <w:t xml:space="preserve"> the key role of the Access and Benefit-sharing Clearing-House in supporting the effective implementation of the Nagoya </w:t>
      </w:r>
      <w:r w:rsidRPr="006B144A">
        <w:t>Protocol</w:t>
      </w:r>
      <w:r w:rsidRPr="006B144A">
        <w:rPr>
          <w:rFonts w:eastAsia="Times New Roman"/>
          <w:color w:val="000000" w:themeColor="text1"/>
          <w:kern w:val="22"/>
        </w:rPr>
        <w:t>;</w:t>
      </w:r>
    </w:p>
    <w:p w14:paraId="5B3F8CCB" w14:textId="77777777" w:rsidR="00FF7AF3" w:rsidRPr="006B144A" w:rsidRDefault="00FF7AF3" w:rsidP="00FF7AF3">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lastRenderedPageBreak/>
        <w:t>6.</w:t>
      </w:r>
      <w:r w:rsidRPr="006B144A">
        <w:rPr>
          <w:rFonts w:eastAsia="Times New Roman"/>
          <w:kern w:val="22"/>
        </w:rPr>
        <w:tab/>
      </w:r>
      <w:r w:rsidRPr="006B144A">
        <w:rPr>
          <w:rFonts w:eastAsia="Times New Roman"/>
          <w:i/>
          <w:iCs/>
          <w:color w:val="000000" w:themeColor="text1"/>
          <w:kern w:val="22"/>
        </w:rPr>
        <w:t xml:space="preserve">Underscores </w:t>
      </w:r>
      <w:r>
        <w:rPr>
          <w:rFonts w:eastAsia="Times New Roman"/>
          <w:color w:val="000000" w:themeColor="text1"/>
          <w:kern w:val="22"/>
        </w:rPr>
        <w:t xml:space="preserve">that it is important </w:t>
      </w:r>
      <w:r w:rsidRPr="006B144A">
        <w:rPr>
          <w:rFonts w:eastAsia="Times New Roman"/>
          <w:color w:val="000000" w:themeColor="text1"/>
          <w:kern w:val="22"/>
        </w:rPr>
        <w:t xml:space="preserve">for Parties to publish all available mandatory information </w:t>
      </w:r>
      <w:r>
        <w:t>through</w:t>
      </w:r>
      <w:r w:rsidRPr="006B144A">
        <w:rPr>
          <w:rFonts w:eastAsia="Times New Roman"/>
          <w:color w:val="000000" w:themeColor="text1"/>
          <w:kern w:val="22"/>
        </w:rPr>
        <w:t xml:space="preserve"> the Access and Benefit-sharing Clearing-House and to ensure that such </w:t>
      </w:r>
      <w:r w:rsidRPr="006B144A">
        <w:t>information</w:t>
      </w:r>
      <w:r w:rsidRPr="006B144A">
        <w:rPr>
          <w:rFonts w:eastAsia="Times New Roman"/>
          <w:color w:val="000000" w:themeColor="text1"/>
          <w:kern w:val="22"/>
        </w:rPr>
        <w:t xml:space="preserve"> is kept up to date </w:t>
      </w:r>
      <w:proofErr w:type="gramStart"/>
      <w:r w:rsidRPr="006B144A">
        <w:rPr>
          <w:rFonts w:eastAsia="Times New Roman"/>
          <w:color w:val="000000" w:themeColor="text1"/>
          <w:kern w:val="22"/>
        </w:rPr>
        <w:t>in order to</w:t>
      </w:r>
      <w:proofErr w:type="gramEnd"/>
      <w:r w:rsidRPr="006B144A">
        <w:rPr>
          <w:rFonts w:eastAsia="Times New Roman"/>
          <w:color w:val="000000" w:themeColor="text1"/>
          <w:kern w:val="22"/>
        </w:rPr>
        <w:t xml:space="preserve"> enhance the effectiveness of the </w:t>
      </w:r>
      <w:r w:rsidRPr="006B144A">
        <w:rPr>
          <w:rFonts w:eastAsia="Times New Roman"/>
          <w:iCs/>
          <w:szCs w:val="24"/>
        </w:rPr>
        <w:t xml:space="preserve">Nagoya </w:t>
      </w:r>
      <w:r w:rsidRPr="006B144A">
        <w:rPr>
          <w:rFonts w:eastAsia="Times New Roman"/>
          <w:color w:val="000000" w:themeColor="text1"/>
          <w:kern w:val="22"/>
        </w:rPr>
        <w:t>Protocol;</w:t>
      </w:r>
    </w:p>
    <w:p w14:paraId="30093897" w14:textId="77777777" w:rsidR="00FF7AF3" w:rsidRPr="006B144A" w:rsidRDefault="00FF7AF3" w:rsidP="00FF7AF3">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7.</w:t>
      </w:r>
      <w:r w:rsidRPr="006B144A">
        <w:rPr>
          <w:rFonts w:eastAsia="Times New Roman"/>
          <w:kern w:val="22"/>
        </w:rPr>
        <w:tab/>
      </w:r>
      <w:r w:rsidRPr="006B144A">
        <w:rPr>
          <w:rFonts w:eastAsia="Times New Roman"/>
          <w:i/>
          <w:iCs/>
          <w:color w:val="000000" w:themeColor="text1"/>
          <w:kern w:val="22"/>
        </w:rPr>
        <w:t xml:space="preserve">Requests </w:t>
      </w:r>
      <w:r w:rsidRPr="006B144A">
        <w:rPr>
          <w:rFonts w:eastAsia="Times New Roman"/>
          <w:color w:val="000000" w:themeColor="text1"/>
          <w:kern w:val="22"/>
        </w:rPr>
        <w:t xml:space="preserve">Parties to provide up-to-date, </w:t>
      </w:r>
      <w:r w:rsidRPr="006B144A">
        <w:t>accurate</w:t>
      </w:r>
      <w:r w:rsidRPr="006B144A">
        <w:rPr>
          <w:rFonts w:eastAsia="Times New Roman"/>
          <w:color w:val="000000" w:themeColor="text1"/>
          <w:kern w:val="22"/>
        </w:rPr>
        <w:t xml:space="preserve"> and practical information on access and benefit-sharing procedures and national model contractual clauses in the Access and Benefit-sharing Clearing-House</w:t>
      </w:r>
      <w:r>
        <w:rPr>
          <w:rFonts w:eastAsia="Times New Roman"/>
          <w:color w:val="000000" w:themeColor="text1"/>
          <w:kern w:val="22"/>
        </w:rPr>
        <w:t>, in line with Article 14 of the Nagoya Protocol</w:t>
      </w:r>
      <w:r w:rsidRPr="006B144A">
        <w:rPr>
          <w:rFonts w:eastAsia="Times New Roman"/>
          <w:color w:val="000000" w:themeColor="text1"/>
          <w:kern w:val="22"/>
        </w:rPr>
        <w:t>;</w:t>
      </w:r>
    </w:p>
    <w:p w14:paraId="6CCCC175" w14:textId="77777777" w:rsidR="00FF7AF3" w:rsidRPr="006B144A" w:rsidRDefault="00FF7AF3" w:rsidP="00FF7AF3">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8.</w:t>
      </w:r>
      <w:r w:rsidRPr="006B144A">
        <w:rPr>
          <w:rFonts w:eastAsia="Times New Roman"/>
          <w:kern w:val="22"/>
        </w:rPr>
        <w:tab/>
      </w:r>
      <w:r w:rsidRPr="006B144A">
        <w:rPr>
          <w:i/>
        </w:rPr>
        <w:t>Notes</w:t>
      </w:r>
      <w:r w:rsidRPr="006B144A">
        <w:rPr>
          <w:rFonts w:eastAsia="Times New Roman"/>
          <w:i/>
          <w:iCs/>
          <w:color w:val="000000" w:themeColor="text1"/>
          <w:kern w:val="22"/>
        </w:rPr>
        <w:t xml:space="preserve"> with concern</w:t>
      </w:r>
      <w:r w:rsidRPr="006B144A">
        <w:rPr>
          <w:rFonts w:eastAsia="Times New Roman"/>
          <w:color w:val="000000" w:themeColor="text1"/>
          <w:kern w:val="22"/>
        </w:rPr>
        <w:t xml:space="preserve"> that many Parties have not yet published all available mandatory information </w:t>
      </w:r>
      <w:r>
        <w:t>through</w:t>
      </w:r>
      <w:r w:rsidRPr="006B144A">
        <w:rPr>
          <w:rFonts w:eastAsia="Times New Roman"/>
          <w:color w:val="000000" w:themeColor="text1"/>
          <w:kern w:val="22"/>
        </w:rPr>
        <w:t xml:space="preserve"> the Access and Benefit-sharing Clearing-House, and urges those Parties to publish such information, as required </w:t>
      </w:r>
      <w:r>
        <w:rPr>
          <w:rFonts w:eastAsia="Times New Roman"/>
          <w:color w:val="000000" w:themeColor="text1"/>
          <w:kern w:val="22"/>
        </w:rPr>
        <w:t>under</w:t>
      </w:r>
      <w:r w:rsidRPr="006B144A">
        <w:rPr>
          <w:rFonts w:eastAsia="Times New Roman"/>
          <w:color w:val="000000" w:themeColor="text1"/>
          <w:kern w:val="22"/>
        </w:rPr>
        <w:t xml:space="preserve"> Article 14 of the Nagoya Protocol, as soon as possible</w:t>
      </w:r>
      <w:r>
        <w:rPr>
          <w:rFonts w:eastAsia="Times New Roman"/>
          <w:color w:val="000000" w:themeColor="text1"/>
          <w:kern w:val="22"/>
        </w:rPr>
        <w:t>,</w:t>
      </w:r>
      <w:r w:rsidRPr="006B144A">
        <w:rPr>
          <w:rFonts w:eastAsia="Times New Roman"/>
          <w:color w:val="000000" w:themeColor="text1"/>
          <w:kern w:val="22"/>
        </w:rPr>
        <w:t xml:space="preserve"> and to keep it up to date;</w:t>
      </w:r>
    </w:p>
    <w:p w14:paraId="0626A616" w14:textId="77777777" w:rsidR="00FF7AF3" w:rsidRPr="006B144A" w:rsidRDefault="00FF7AF3" w:rsidP="00FF7AF3">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9.</w:t>
      </w:r>
      <w:r w:rsidRPr="006B144A">
        <w:rPr>
          <w:rFonts w:eastAsia="Times New Roman"/>
          <w:kern w:val="22"/>
        </w:rPr>
        <w:tab/>
      </w:r>
      <w:r w:rsidRPr="0093372E">
        <w:rPr>
          <w:i/>
          <w:iCs/>
        </w:rPr>
        <w:t xml:space="preserve">Encourages </w:t>
      </w:r>
      <w:r w:rsidRPr="0093372E">
        <w:t>Parties to make use of the interoperability of the Access and Benefit-sharing Clearing-House with relevant national information systems to facilitate the publication of information related to internationally recognized certificates of compliance and checkpoint communiqués;</w:t>
      </w:r>
    </w:p>
    <w:p w14:paraId="13BE41C8" w14:textId="77777777" w:rsidR="00FF7AF3" w:rsidRPr="006B144A" w:rsidRDefault="00FF7AF3" w:rsidP="00FF7AF3">
      <w:pPr>
        <w:pStyle w:val="CBDNormalNoNumber"/>
        <w:keepNext/>
        <w:tabs>
          <w:tab w:val="clear" w:pos="567"/>
          <w:tab w:val="clear" w:pos="1134"/>
        </w:tabs>
        <w:ind w:firstLine="567"/>
        <w:rPr>
          <w:rFonts w:eastAsia="Times New Roman"/>
          <w:color w:val="000000" w:themeColor="text1"/>
          <w:kern w:val="22"/>
        </w:rPr>
      </w:pPr>
      <w:r w:rsidRPr="006B144A">
        <w:rPr>
          <w:rFonts w:eastAsia="Times New Roman"/>
          <w:kern w:val="22"/>
        </w:rPr>
        <w:t>10.</w:t>
      </w:r>
      <w:r w:rsidRPr="006B144A">
        <w:rPr>
          <w:rFonts w:eastAsia="Times New Roman"/>
          <w:kern w:val="22"/>
        </w:rPr>
        <w:tab/>
      </w:r>
      <w:r w:rsidRPr="006B144A">
        <w:rPr>
          <w:i/>
        </w:rPr>
        <w:t>Requests</w:t>
      </w:r>
      <w:r w:rsidRPr="006B144A">
        <w:rPr>
          <w:rFonts w:eastAsia="Times New Roman"/>
          <w:color w:val="000000" w:themeColor="text1"/>
          <w:kern w:val="22"/>
        </w:rPr>
        <w:t xml:space="preserve"> the Executive Secretary, subject to the </w:t>
      </w:r>
      <w:r w:rsidRPr="006B144A">
        <w:t>availability</w:t>
      </w:r>
      <w:r w:rsidRPr="006B144A">
        <w:rPr>
          <w:rFonts w:eastAsia="Times New Roman"/>
          <w:color w:val="000000" w:themeColor="text1"/>
          <w:kern w:val="22"/>
        </w:rPr>
        <w:t xml:space="preserve"> of resources:</w:t>
      </w:r>
    </w:p>
    <w:p w14:paraId="04EE5A72" w14:textId="77777777" w:rsidR="00FF7AF3" w:rsidRPr="0093372E" w:rsidRDefault="00FF7AF3" w:rsidP="00FF7AF3">
      <w:pPr>
        <w:pStyle w:val="CBDNormalNoNumber"/>
        <w:keepNext/>
        <w:tabs>
          <w:tab w:val="clear" w:pos="567"/>
          <w:tab w:val="clear" w:pos="1134"/>
        </w:tabs>
        <w:ind w:firstLine="567"/>
      </w:pPr>
      <w:r w:rsidRPr="0093372E">
        <w:t>(a)</w:t>
      </w:r>
      <w:r w:rsidRPr="0093372E">
        <w:tab/>
        <w:t xml:space="preserve">To further develop the </w:t>
      </w:r>
      <w:r w:rsidRPr="006B144A">
        <w:rPr>
          <w:rFonts w:eastAsia="Times New Roman"/>
          <w:color w:val="000000" w:themeColor="text1"/>
          <w:kern w:val="22"/>
        </w:rPr>
        <w:t xml:space="preserve">Access and Benefit-sharing </w:t>
      </w:r>
      <w:r w:rsidRPr="0093372E">
        <w:t xml:space="preserve">Clearing-House, and to encourage the publication </w:t>
      </w:r>
      <w:r>
        <w:t xml:space="preserve">and use </w:t>
      </w:r>
      <w:r w:rsidRPr="0093372E">
        <w:t xml:space="preserve">of information through the </w:t>
      </w:r>
      <w:proofErr w:type="gramStart"/>
      <w:r w:rsidRPr="0093372E">
        <w:t>Clearing-House</w:t>
      </w:r>
      <w:proofErr w:type="gramEnd"/>
      <w:r>
        <w:t>,</w:t>
      </w:r>
      <w:r w:rsidRPr="0093372E">
        <w:t xml:space="preserve"> in accordance with its modalities of operation, and </w:t>
      </w:r>
      <w:proofErr w:type="gramStart"/>
      <w:r w:rsidRPr="0093372E">
        <w:t>taking into account</w:t>
      </w:r>
      <w:proofErr w:type="gramEnd"/>
      <w:r w:rsidRPr="0093372E">
        <w:t>:</w:t>
      </w:r>
    </w:p>
    <w:p w14:paraId="47107126" w14:textId="77777777" w:rsidR="00FF7AF3" w:rsidRPr="006B144A" w:rsidRDefault="00FF7AF3" w:rsidP="00FF7AF3">
      <w:pPr>
        <w:pStyle w:val="CBDNormalNoNumber"/>
        <w:tabs>
          <w:tab w:val="clear" w:pos="567"/>
          <w:tab w:val="clear" w:pos="2268"/>
        </w:tabs>
        <w:ind w:left="1701" w:hanging="567"/>
        <w:rPr>
          <w:rFonts w:eastAsia="Times New Roman"/>
          <w:szCs w:val="24"/>
        </w:rPr>
      </w:pPr>
      <w:r w:rsidRPr="006B144A">
        <w:rPr>
          <w:rFonts w:eastAsia="Times New Roman"/>
          <w:szCs w:val="24"/>
        </w:rPr>
        <w:t>(</w:t>
      </w:r>
      <w:proofErr w:type="spellStart"/>
      <w:r w:rsidRPr="006B144A">
        <w:rPr>
          <w:rFonts w:eastAsia="Times New Roman"/>
          <w:szCs w:val="24"/>
        </w:rPr>
        <w:t>i</w:t>
      </w:r>
      <w:proofErr w:type="spellEnd"/>
      <w:r w:rsidRPr="006B144A">
        <w:rPr>
          <w:rFonts w:eastAsia="Times New Roman"/>
          <w:szCs w:val="24"/>
        </w:rPr>
        <w:t>)</w:t>
      </w:r>
      <w:r w:rsidRPr="006B144A">
        <w:rPr>
          <w:rFonts w:eastAsia="Times New Roman"/>
          <w:szCs w:val="24"/>
        </w:rPr>
        <w:tab/>
      </w:r>
      <w:r w:rsidRPr="0093372E">
        <w:t xml:space="preserve">Feedback received, </w:t>
      </w:r>
      <w:proofErr w:type="gramStart"/>
      <w:r w:rsidRPr="0093372E">
        <w:t>in particular from</w:t>
      </w:r>
      <w:proofErr w:type="gramEnd"/>
      <w:r w:rsidRPr="0093372E">
        <w:t xml:space="preserve"> Parties and the Informal Advisory Committee to the Access and Benefit-sharing Clearing-House, including </w:t>
      </w:r>
      <w:bookmarkStart w:id="8" w:name="_Hlk180704686"/>
      <w:r>
        <w:t>on</w:t>
      </w:r>
      <w:r w:rsidRPr="0093372E">
        <w:t xml:space="preserve"> goals and priorities for the administration </w:t>
      </w:r>
      <w:r>
        <w:t xml:space="preserve">and </w:t>
      </w:r>
      <w:r w:rsidRPr="0093372E">
        <w:t xml:space="preserve">further development of the </w:t>
      </w:r>
      <w:proofErr w:type="gramStart"/>
      <w:r w:rsidRPr="0093372E">
        <w:t>Clearing-House</w:t>
      </w:r>
      <w:proofErr w:type="gramEnd"/>
      <w:r w:rsidRPr="0093372E">
        <w:t xml:space="preserve"> by the Secretariat</w:t>
      </w:r>
      <w:bookmarkEnd w:id="8"/>
      <w:r w:rsidRPr="006B144A">
        <w:rPr>
          <w:rFonts w:eastAsia="Times New Roman"/>
          <w:iCs/>
          <w:szCs w:val="24"/>
        </w:rPr>
        <w:t>;</w:t>
      </w:r>
      <w:r>
        <w:rPr>
          <w:rStyle w:val="FootnoteReference"/>
          <w:rFonts w:eastAsia="Times New Roman"/>
          <w:iCs/>
          <w:szCs w:val="24"/>
        </w:rPr>
        <w:footnoteReference w:id="30"/>
      </w:r>
    </w:p>
    <w:p w14:paraId="5CD19F50" w14:textId="77777777" w:rsidR="00FF7AF3" w:rsidRPr="006B144A" w:rsidRDefault="00FF7AF3" w:rsidP="00FF7AF3">
      <w:pPr>
        <w:pStyle w:val="CBDNormalNoNumber"/>
        <w:tabs>
          <w:tab w:val="clear" w:pos="567"/>
          <w:tab w:val="clear" w:pos="2268"/>
        </w:tabs>
        <w:ind w:left="1701" w:hanging="567"/>
      </w:pPr>
      <w:r w:rsidRPr="006B144A">
        <w:t>(ii)</w:t>
      </w:r>
      <w:r w:rsidRPr="006B144A">
        <w:tab/>
        <w:t xml:space="preserve">Relevant information from the second assessment and review; </w:t>
      </w:r>
    </w:p>
    <w:p w14:paraId="70D9981A" w14:textId="77777777" w:rsidR="00FF7AF3" w:rsidRPr="006B144A" w:rsidRDefault="00FF7AF3" w:rsidP="00FF7AF3">
      <w:pPr>
        <w:pStyle w:val="CBDNormalNoNumber"/>
        <w:tabs>
          <w:tab w:val="clear" w:pos="567"/>
          <w:tab w:val="clear" w:pos="1134"/>
        </w:tabs>
        <w:ind w:firstLine="567"/>
        <w:rPr>
          <w:rFonts w:eastAsia="Times New Roman"/>
          <w:szCs w:val="24"/>
        </w:rPr>
      </w:pPr>
      <w:r w:rsidRPr="006B144A">
        <w:rPr>
          <w:rFonts w:eastAsia="Times New Roman"/>
          <w:szCs w:val="24"/>
        </w:rPr>
        <w:t>(b)</w:t>
      </w:r>
      <w:r w:rsidRPr="006B144A">
        <w:rPr>
          <w:rFonts w:eastAsia="Times New Roman"/>
          <w:szCs w:val="24"/>
        </w:rPr>
        <w:tab/>
        <w:t xml:space="preserve">To hold a meeting of the Informal Advisory Committee to the Access and Benefit-sharing Clearing-House before the seventh meeting of the Conference of the Parties serving as the meeting of the Parties to the Nagoya </w:t>
      </w:r>
      <w:r w:rsidRPr="006B144A">
        <w:t>Protocol</w:t>
      </w:r>
      <w:r w:rsidRPr="006B144A">
        <w:rPr>
          <w:rFonts w:eastAsia="Times New Roman"/>
          <w:szCs w:val="24"/>
        </w:rPr>
        <w:t xml:space="preserve"> and, as needed, informal online discussions, and to report on the outcomes of the Committee’s work at the seventh meeting;</w:t>
      </w:r>
    </w:p>
    <w:p w14:paraId="66AD07B1" w14:textId="77777777" w:rsidR="00FF7AF3" w:rsidRPr="006B144A" w:rsidRDefault="00FF7AF3" w:rsidP="00FF7AF3">
      <w:pPr>
        <w:pStyle w:val="CBDNormalNoNumber"/>
        <w:keepNext/>
        <w:tabs>
          <w:tab w:val="clear" w:pos="567"/>
          <w:tab w:val="clear" w:pos="1134"/>
        </w:tabs>
        <w:jc w:val="left"/>
        <w:rPr>
          <w:bCs/>
          <w:u w:color="000000"/>
          <w:bdr w:val="nil"/>
        </w:rPr>
      </w:pPr>
      <w:r w:rsidRPr="00EE7CA8">
        <w:rPr>
          <w:b/>
          <w:bCs/>
          <w:u w:color="000000"/>
          <w:bdr w:val="nil"/>
        </w:rPr>
        <w:t>III</w:t>
      </w:r>
      <w:r w:rsidRPr="00EE7CA8">
        <w:rPr>
          <w:b/>
          <w:bCs/>
          <w:u w:color="000000"/>
          <w:bdr w:val="nil"/>
        </w:rPr>
        <w:br/>
        <w:t xml:space="preserve">The Nagoya Protocol in the context of the </w:t>
      </w:r>
      <w:r w:rsidRPr="00EE7CA8">
        <w:rPr>
          <w:b/>
          <w:bCs/>
          <w:u w:color="000000"/>
          <w:bdr w:val="nil"/>
        </w:rPr>
        <w:br/>
        <w:t>Kunming-Montreal Global Biodiversity Framework</w:t>
      </w:r>
    </w:p>
    <w:p w14:paraId="170D0106" w14:textId="77777777" w:rsidR="00FF7AF3" w:rsidRPr="006B144A" w:rsidRDefault="00FF7AF3" w:rsidP="00EE7CA8">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11.</w:t>
      </w:r>
      <w:r w:rsidRPr="006B144A">
        <w:rPr>
          <w:rFonts w:eastAsia="Times New Roman"/>
          <w:kern w:val="22"/>
        </w:rPr>
        <w:tab/>
      </w:r>
      <w:r w:rsidRPr="006B144A">
        <w:rPr>
          <w:i/>
          <w:iCs/>
        </w:rPr>
        <w:t>Recalls</w:t>
      </w:r>
      <w:r w:rsidRPr="006B144A">
        <w:rPr>
          <w:rFonts w:eastAsia="Times New Roman"/>
          <w:color w:val="000000" w:themeColor="text1"/>
          <w:kern w:val="22"/>
        </w:rPr>
        <w:t xml:space="preserve"> its </w:t>
      </w:r>
      <w:r w:rsidRPr="006B144A">
        <w:t>decision</w:t>
      </w:r>
      <w:r w:rsidRPr="006B144A">
        <w:rPr>
          <w:rFonts w:eastAsia="Times New Roman"/>
          <w:color w:val="000000" w:themeColor="text1"/>
          <w:kern w:val="22"/>
        </w:rPr>
        <w:t xml:space="preserve"> </w:t>
      </w:r>
      <w:hyperlink r:id="rId44" w:history="1">
        <w:r w:rsidRPr="006B144A">
          <w:rPr>
            <w:rStyle w:val="Hyperlink"/>
            <w:rFonts w:eastAsia="Times New Roman"/>
            <w:iCs/>
            <w:szCs w:val="24"/>
          </w:rPr>
          <w:t>NP-5/6</w:t>
        </w:r>
      </w:hyperlink>
      <w:r w:rsidRPr="0093372E">
        <w:t xml:space="preserve"> of 25 October 2024</w:t>
      </w:r>
      <w:r w:rsidRPr="006B144A">
        <w:rPr>
          <w:rFonts w:eastAsia="Times New Roman"/>
          <w:color w:val="000000" w:themeColor="text1"/>
          <w:kern w:val="22"/>
        </w:rPr>
        <w:t>;</w:t>
      </w:r>
    </w:p>
    <w:p w14:paraId="68ECEFFC" w14:textId="77777777" w:rsidR="00FF7AF3" w:rsidRDefault="00FF7AF3" w:rsidP="00EE7CA8">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12.</w:t>
      </w:r>
      <w:r w:rsidRPr="006B144A">
        <w:rPr>
          <w:rFonts w:eastAsia="Times New Roman"/>
          <w:kern w:val="22"/>
        </w:rPr>
        <w:tab/>
      </w:r>
      <w:r w:rsidRPr="006B144A">
        <w:rPr>
          <w:i/>
          <w:iCs/>
        </w:rPr>
        <w:t>Encourages</w:t>
      </w:r>
      <w:r w:rsidRPr="006B144A">
        <w:rPr>
          <w:rFonts w:eastAsia="Times New Roman"/>
          <w:color w:val="000000" w:themeColor="text1"/>
          <w:kern w:val="22"/>
        </w:rPr>
        <w:t xml:space="preserve"> Parties to provide </w:t>
      </w:r>
      <w:r w:rsidRPr="009E4445">
        <w:rPr>
          <w:rFonts w:eastAsia="Times New Roman"/>
          <w:color w:val="000000" w:themeColor="text1"/>
          <w:kern w:val="22"/>
        </w:rPr>
        <w:t>in their second national report</w:t>
      </w:r>
      <w:r>
        <w:rPr>
          <w:rFonts w:eastAsia="Times New Roman"/>
          <w:color w:val="000000" w:themeColor="text1"/>
          <w:kern w:val="22"/>
        </w:rPr>
        <w:t>s</w:t>
      </w:r>
      <w:r w:rsidRPr="009E4445">
        <w:rPr>
          <w:rFonts w:eastAsia="Times New Roman"/>
          <w:color w:val="000000" w:themeColor="text1"/>
          <w:kern w:val="22"/>
        </w:rPr>
        <w:t xml:space="preserve"> on the implementation of the Nagoya Protocol</w:t>
      </w:r>
      <w:r w:rsidRPr="007275F7">
        <w:rPr>
          <w:rFonts w:eastAsia="Times New Roman"/>
          <w:color w:val="000000" w:themeColor="text1"/>
          <w:kern w:val="22"/>
        </w:rPr>
        <w:t xml:space="preserve"> </w:t>
      </w:r>
      <w:r w:rsidRPr="006B144A">
        <w:rPr>
          <w:rFonts w:eastAsia="Times New Roman"/>
          <w:color w:val="000000" w:themeColor="text1"/>
          <w:kern w:val="22"/>
        </w:rPr>
        <w:t>complete and disaggregated information on benefits received</w:t>
      </w:r>
      <w:r>
        <w:rPr>
          <w:rFonts w:eastAsia="Times New Roman"/>
          <w:color w:val="000000" w:themeColor="text1"/>
          <w:kern w:val="22"/>
        </w:rPr>
        <w:t>,</w:t>
      </w:r>
      <w:r w:rsidRPr="006B144A">
        <w:rPr>
          <w:rFonts w:eastAsia="Times New Roman"/>
          <w:color w:val="000000" w:themeColor="text1"/>
          <w:kern w:val="22"/>
        </w:rPr>
        <w:t xml:space="preserve"> including</w:t>
      </w:r>
      <w:r w:rsidRPr="0014388E">
        <w:rPr>
          <w:rFonts w:eastAsia="Times New Roman"/>
          <w:color w:val="000000" w:themeColor="text1"/>
          <w:kern w:val="22"/>
        </w:rPr>
        <w:t xml:space="preserve">, </w:t>
      </w:r>
      <w:r w:rsidRPr="007A4CE9">
        <w:rPr>
          <w:rFonts w:eastAsia="Times New Roman"/>
          <w:color w:val="000000" w:themeColor="text1"/>
          <w:kern w:val="22"/>
        </w:rPr>
        <w:t xml:space="preserve">as </w:t>
      </w:r>
      <w:r w:rsidRPr="007A4CE9">
        <w:t>appropriate</w:t>
      </w:r>
      <w:r>
        <w:rPr>
          <w:rFonts w:eastAsia="Times New Roman"/>
          <w:color w:val="000000" w:themeColor="text1"/>
          <w:kern w:val="22"/>
        </w:rPr>
        <w:t xml:space="preserve">, the </w:t>
      </w:r>
      <w:r w:rsidRPr="006B144A">
        <w:rPr>
          <w:rFonts w:eastAsia="Times New Roman"/>
          <w:color w:val="000000" w:themeColor="text1"/>
          <w:kern w:val="22"/>
        </w:rPr>
        <w:t>details o</w:t>
      </w:r>
      <w:r>
        <w:rPr>
          <w:rFonts w:eastAsia="Times New Roman"/>
          <w:color w:val="000000" w:themeColor="text1"/>
          <w:kern w:val="22"/>
        </w:rPr>
        <w:t>f</w:t>
      </w:r>
      <w:r w:rsidRPr="006B144A">
        <w:rPr>
          <w:rFonts w:eastAsia="Times New Roman"/>
          <w:color w:val="000000" w:themeColor="text1"/>
          <w:kern w:val="22"/>
        </w:rPr>
        <w:t xml:space="preserve"> </w:t>
      </w:r>
      <w:r>
        <w:rPr>
          <w:rFonts w:eastAsia="Times New Roman"/>
          <w:color w:val="000000" w:themeColor="text1"/>
          <w:kern w:val="22"/>
        </w:rPr>
        <w:t>monetary and non-monetary</w:t>
      </w:r>
      <w:r w:rsidRPr="006B144A">
        <w:rPr>
          <w:rFonts w:eastAsia="Times New Roman"/>
          <w:color w:val="000000" w:themeColor="text1"/>
          <w:kern w:val="22"/>
        </w:rPr>
        <w:t xml:space="preserve"> benefits </w:t>
      </w:r>
      <w:r w:rsidRPr="006B144A">
        <w:t>received</w:t>
      </w:r>
      <w:r w:rsidRPr="006B144A">
        <w:rPr>
          <w:rFonts w:eastAsia="Times New Roman"/>
          <w:color w:val="000000" w:themeColor="text1"/>
          <w:kern w:val="22"/>
        </w:rPr>
        <w:t xml:space="preserve"> from the utilization of genetic resources and associated traditional knowledge, </w:t>
      </w:r>
      <w:r>
        <w:rPr>
          <w:rFonts w:eastAsia="Times New Roman"/>
          <w:color w:val="000000" w:themeColor="text1"/>
          <w:kern w:val="22"/>
        </w:rPr>
        <w:t>the</w:t>
      </w:r>
      <w:r w:rsidRPr="006B144A">
        <w:rPr>
          <w:rFonts w:eastAsia="Times New Roman"/>
          <w:color w:val="000000" w:themeColor="text1"/>
          <w:kern w:val="22"/>
        </w:rPr>
        <w:t xml:space="preserve"> recipients of the benefits, including indigenous peoples and local communities, </w:t>
      </w:r>
      <w:r>
        <w:rPr>
          <w:rFonts w:eastAsia="Times New Roman"/>
          <w:color w:val="000000" w:themeColor="text1"/>
          <w:kern w:val="22"/>
        </w:rPr>
        <w:t xml:space="preserve">and </w:t>
      </w:r>
      <w:r w:rsidRPr="006B144A">
        <w:rPr>
          <w:rFonts w:eastAsia="Times New Roman"/>
          <w:color w:val="000000" w:themeColor="text1"/>
          <w:kern w:val="22"/>
        </w:rPr>
        <w:t>the proportion of benefits directed towards the conservation and sustainable use of biodiversity</w:t>
      </w:r>
      <w:r>
        <w:rPr>
          <w:rFonts w:eastAsia="Times New Roman"/>
          <w:color w:val="000000" w:themeColor="text1"/>
          <w:kern w:val="22"/>
        </w:rPr>
        <w:t xml:space="preserve">, </w:t>
      </w:r>
      <w:r w:rsidRPr="006D09F9">
        <w:rPr>
          <w:rFonts w:eastAsia="Times New Roman"/>
          <w:color w:val="000000" w:themeColor="text1"/>
          <w:kern w:val="22"/>
        </w:rPr>
        <w:t xml:space="preserve">in accordance with </w:t>
      </w:r>
      <w:r w:rsidRPr="006D09F9">
        <w:t>national legislation</w:t>
      </w:r>
      <w:r>
        <w:t xml:space="preserve"> and without prejudice to the protection of confidential information</w:t>
      </w:r>
      <w:r>
        <w:rPr>
          <w:rFonts w:eastAsia="Times New Roman"/>
          <w:color w:val="000000" w:themeColor="text1"/>
          <w:kern w:val="22"/>
        </w:rPr>
        <w:t xml:space="preserve">; </w:t>
      </w:r>
    </w:p>
    <w:p w14:paraId="64BF8836" w14:textId="77777777" w:rsidR="00FF7AF3" w:rsidRPr="006B144A" w:rsidRDefault="00FF7AF3" w:rsidP="00EE7CA8">
      <w:pPr>
        <w:pStyle w:val="CBDNormalNoNumber"/>
        <w:tabs>
          <w:tab w:val="clear" w:pos="567"/>
          <w:tab w:val="clear" w:pos="1134"/>
        </w:tabs>
        <w:ind w:firstLine="567"/>
        <w:rPr>
          <w:rFonts w:eastAsia="Times New Roman"/>
          <w:color w:val="000000" w:themeColor="text1"/>
          <w:kern w:val="22"/>
        </w:rPr>
      </w:pPr>
      <w:r w:rsidRPr="007A4CE9">
        <w:rPr>
          <w:rFonts w:eastAsia="Times New Roman"/>
          <w:color w:val="000000" w:themeColor="text1"/>
          <w:kern w:val="22"/>
        </w:rPr>
        <w:t>1</w:t>
      </w:r>
      <w:r>
        <w:rPr>
          <w:rFonts w:eastAsia="Times New Roman"/>
          <w:color w:val="000000" w:themeColor="text1"/>
          <w:kern w:val="22"/>
        </w:rPr>
        <w:t>3</w:t>
      </w:r>
      <w:r w:rsidRPr="007A4CE9">
        <w:rPr>
          <w:rFonts w:eastAsia="Times New Roman"/>
          <w:color w:val="000000" w:themeColor="text1"/>
          <w:kern w:val="22"/>
        </w:rPr>
        <w:t>.</w:t>
      </w:r>
      <w:r w:rsidRPr="007A4CE9">
        <w:rPr>
          <w:rFonts w:eastAsia="Times New Roman"/>
          <w:color w:val="000000" w:themeColor="text1"/>
          <w:kern w:val="22"/>
        </w:rPr>
        <w:tab/>
      </w:r>
      <w:r w:rsidRPr="007A4CE9">
        <w:rPr>
          <w:rFonts w:eastAsia="Times New Roman"/>
          <w:i/>
          <w:iCs/>
          <w:color w:val="000000" w:themeColor="text1"/>
          <w:kern w:val="22"/>
        </w:rPr>
        <w:t xml:space="preserve">Notes </w:t>
      </w:r>
      <w:r w:rsidRPr="003C19A0">
        <w:rPr>
          <w:rFonts w:eastAsia="Times New Roman"/>
          <w:color w:val="000000" w:themeColor="text1"/>
          <w:kern w:val="22"/>
        </w:rPr>
        <w:t xml:space="preserve">that the outcomes of the second assessment and review are complemented </w:t>
      </w:r>
      <w:r w:rsidRPr="00AF1280">
        <w:rPr>
          <w:rFonts w:eastAsia="Times New Roman"/>
          <w:color w:val="000000" w:themeColor="text1"/>
          <w:kern w:val="22"/>
        </w:rPr>
        <w:t>by decision 17/</w:t>
      </w:r>
      <w:r>
        <w:rPr>
          <w:rFonts w:eastAsia="Times New Roman"/>
          <w:color w:val="000000" w:themeColor="text1"/>
          <w:kern w:val="22"/>
        </w:rPr>
        <w:t>--</w:t>
      </w:r>
      <w:r w:rsidRPr="003C19A0">
        <w:rPr>
          <w:rFonts w:eastAsia="Times New Roman"/>
          <w:color w:val="000000" w:themeColor="text1"/>
          <w:kern w:val="22"/>
        </w:rPr>
        <w:t xml:space="preserve"> </w:t>
      </w:r>
      <w:r>
        <w:rPr>
          <w:rFonts w:eastAsia="Times New Roman"/>
          <w:color w:val="000000" w:themeColor="text1"/>
          <w:kern w:val="22"/>
        </w:rPr>
        <w:t>of</w:t>
      </w:r>
      <w:r w:rsidRPr="003C19A0">
        <w:rPr>
          <w:rFonts w:eastAsia="Times New Roman"/>
          <w:color w:val="000000" w:themeColor="text1"/>
          <w:kern w:val="22"/>
        </w:rPr>
        <w:t xml:space="preserve"> the Conference of the Parties </w:t>
      </w:r>
      <w:r>
        <w:rPr>
          <w:rFonts w:eastAsia="Times New Roman"/>
          <w:color w:val="000000" w:themeColor="text1"/>
          <w:kern w:val="22"/>
        </w:rPr>
        <w:t xml:space="preserve">to the Convention </w:t>
      </w:r>
      <w:r w:rsidRPr="003C19A0">
        <w:rPr>
          <w:rFonts w:eastAsia="Times New Roman"/>
          <w:color w:val="000000" w:themeColor="text1"/>
          <w:kern w:val="22"/>
        </w:rPr>
        <w:t>on the global review of collective progress in the implementation of the Kunming-Montreal Global Biodiversity Framework,</w:t>
      </w:r>
      <w:r>
        <w:rPr>
          <w:rStyle w:val="FootnoteReference"/>
          <w:rFonts w:eastAsia="Times New Roman"/>
          <w:color w:val="000000" w:themeColor="text1"/>
          <w:kern w:val="22"/>
        </w:rPr>
        <w:footnoteReference w:id="31"/>
      </w:r>
      <w:r w:rsidRPr="003C19A0">
        <w:rPr>
          <w:rFonts w:eastAsia="Times New Roman"/>
          <w:color w:val="000000" w:themeColor="text1"/>
          <w:kern w:val="22"/>
        </w:rPr>
        <w:t xml:space="preserve"> in particular </w:t>
      </w:r>
      <w:proofErr w:type="gramStart"/>
      <w:r>
        <w:rPr>
          <w:rFonts w:eastAsia="Times New Roman"/>
          <w:color w:val="000000" w:themeColor="text1"/>
          <w:kern w:val="22"/>
        </w:rPr>
        <w:t xml:space="preserve">with </w:t>
      </w:r>
      <w:r w:rsidRPr="003C19A0">
        <w:rPr>
          <w:rFonts w:eastAsia="Times New Roman"/>
          <w:color w:val="000000" w:themeColor="text1"/>
          <w:kern w:val="22"/>
        </w:rPr>
        <w:t>regard to</w:t>
      </w:r>
      <w:proofErr w:type="gramEnd"/>
      <w:r w:rsidRPr="003C19A0">
        <w:rPr>
          <w:rFonts w:eastAsia="Times New Roman"/>
          <w:color w:val="000000" w:themeColor="text1"/>
          <w:kern w:val="22"/>
        </w:rPr>
        <w:t xml:space="preserve"> </w:t>
      </w:r>
      <w:r>
        <w:rPr>
          <w:rFonts w:eastAsia="Times New Roman"/>
          <w:color w:val="000000" w:themeColor="text1"/>
          <w:kern w:val="22"/>
        </w:rPr>
        <w:t xml:space="preserve">its </w:t>
      </w:r>
      <w:r w:rsidRPr="003C19A0">
        <w:rPr>
          <w:rFonts w:eastAsia="Times New Roman"/>
          <w:color w:val="000000" w:themeColor="text1"/>
          <w:kern w:val="22"/>
        </w:rPr>
        <w:t>Goal</w:t>
      </w:r>
      <w:r>
        <w:rPr>
          <w:rFonts w:eastAsia="Times New Roman"/>
          <w:color w:val="000000" w:themeColor="text1"/>
          <w:kern w:val="22"/>
        </w:rPr>
        <w:t> </w:t>
      </w:r>
      <w:r w:rsidRPr="003C19A0">
        <w:rPr>
          <w:rFonts w:eastAsia="Times New Roman"/>
          <w:color w:val="000000" w:themeColor="text1"/>
          <w:kern w:val="22"/>
        </w:rPr>
        <w:t>C and Target</w:t>
      </w:r>
      <w:r>
        <w:rPr>
          <w:rFonts w:eastAsia="Times New Roman"/>
          <w:color w:val="000000" w:themeColor="text1"/>
          <w:kern w:val="22"/>
        </w:rPr>
        <w:t> </w:t>
      </w:r>
      <w:r w:rsidRPr="003C19A0">
        <w:rPr>
          <w:rFonts w:eastAsia="Times New Roman"/>
          <w:color w:val="000000" w:themeColor="text1"/>
          <w:kern w:val="22"/>
        </w:rPr>
        <w:t>13</w:t>
      </w:r>
      <w:r>
        <w:rPr>
          <w:rFonts w:eastAsia="Times New Roman"/>
          <w:color w:val="000000" w:themeColor="text1"/>
          <w:kern w:val="22"/>
        </w:rPr>
        <w:t>.</w:t>
      </w:r>
    </w:p>
    <w:bookmarkEnd w:id="7"/>
    <w:p w14:paraId="79228F6E" w14:textId="66D4C137" w:rsidR="00A13F14" w:rsidRPr="00A04A62" w:rsidRDefault="00A13F14" w:rsidP="008C02D0">
      <w:pPr>
        <w:pStyle w:val="CBDAgendaItem"/>
        <w:rPr>
          <w:rFonts w:hint="eastAsia"/>
        </w:rPr>
      </w:pPr>
    </w:p>
    <w:p w14:paraId="1E4B3A57" w14:textId="77777777" w:rsidR="00B40F43" w:rsidRDefault="00B40F43" w:rsidP="008C02D0">
      <w:pPr>
        <w:pStyle w:val="CBDAgendaItem"/>
        <w:rPr>
          <w:rFonts w:hint="eastAsia"/>
        </w:rPr>
        <w:sectPr w:rsidR="00B40F43" w:rsidSect="00A71031">
          <w:pgSz w:w="12240" w:h="15840"/>
          <w:pgMar w:top="567" w:right="1440" w:bottom="1134" w:left="1440" w:header="709" w:footer="709" w:gutter="0"/>
          <w:cols w:space="708"/>
          <w:docGrid w:linePitch="360"/>
        </w:sectPr>
      </w:pPr>
    </w:p>
    <w:p w14:paraId="02D506F0" w14:textId="10304142" w:rsidR="00B70DC0" w:rsidRPr="00EE7CA8" w:rsidRDefault="00B70DC0" w:rsidP="008C02D0">
      <w:pPr>
        <w:pStyle w:val="CBDAgendaItem"/>
        <w:rPr>
          <w:rFonts w:hint="eastAsia"/>
          <w:sz w:val="26"/>
          <w:szCs w:val="26"/>
        </w:rPr>
      </w:pPr>
      <w:bookmarkStart w:id="9" w:name="_Toc241588363"/>
      <w:r w:rsidRPr="00EE7CA8">
        <w:rPr>
          <w:rFonts w:hint="eastAsia"/>
          <w:sz w:val="26"/>
          <w:szCs w:val="26"/>
        </w:rPr>
        <w:lastRenderedPageBreak/>
        <w:t xml:space="preserve">Item 10 </w:t>
      </w:r>
      <w:r w:rsidR="008C02D0" w:rsidRPr="00EE7CA8">
        <w:rPr>
          <w:rFonts w:hint="eastAsia"/>
          <w:sz w:val="26"/>
          <w:szCs w:val="26"/>
        </w:rPr>
        <w:br/>
      </w:r>
      <w:r w:rsidRPr="00EE7CA8">
        <w:rPr>
          <w:rFonts w:hint="eastAsia"/>
          <w:sz w:val="26"/>
          <w:szCs w:val="26"/>
        </w:rPr>
        <w:t>Financial mechanism and resources</w:t>
      </w:r>
      <w:bookmarkEnd w:id="9"/>
    </w:p>
    <w:tbl>
      <w:tblPr>
        <w:tblStyle w:val="TableGrid"/>
        <w:tblW w:w="0" w:type="auto"/>
        <w:tblLook w:val="04A0" w:firstRow="1" w:lastRow="0" w:firstColumn="1" w:lastColumn="0" w:noHBand="0" w:noVBand="1"/>
      </w:tblPr>
      <w:tblGrid>
        <w:gridCol w:w="9360"/>
      </w:tblGrid>
      <w:tr w:rsidR="00A13F14" w:rsidRPr="00EE7CA8" w14:paraId="4F127CC4" w14:textId="77777777" w:rsidTr="00E44EC1">
        <w:tc>
          <w:tcPr>
            <w:tcW w:w="9360" w:type="dxa"/>
            <w:tcBorders>
              <w:left w:val="nil"/>
              <w:right w:val="nil"/>
            </w:tcBorders>
          </w:tcPr>
          <w:p w14:paraId="3891DE86" w14:textId="4DC0A270" w:rsidR="00A13F14" w:rsidRPr="00EE7CA8" w:rsidRDefault="00A13F14" w:rsidP="00EE7CA8">
            <w:pPr>
              <w:pStyle w:val="CBDcompilation-blurb"/>
              <w:tabs>
                <w:tab w:val="clear" w:pos="567"/>
              </w:tabs>
              <w:ind w:left="0" w:firstLine="602"/>
            </w:pPr>
            <w:r w:rsidRPr="00EE7CA8">
              <w:t xml:space="preserve">The following draft decision </w:t>
            </w:r>
            <w:r w:rsidR="003959CA" w:rsidRPr="00EE7CA8">
              <w:t>co</w:t>
            </w:r>
            <w:r w:rsidR="00D10060" w:rsidRPr="00EE7CA8">
              <w:t>mes</w:t>
            </w:r>
            <w:r w:rsidRPr="00EE7CA8">
              <w:t xml:space="preserve"> from </w:t>
            </w:r>
            <w:r w:rsidR="004260DF" w:rsidRPr="00EE7CA8">
              <w:t xml:space="preserve">recommendation </w:t>
            </w:r>
            <w:hyperlink r:id="rId45" w:history="1">
              <w:r w:rsidR="004260DF" w:rsidRPr="00EE7CA8">
                <w:rPr>
                  <w:rStyle w:val="Hyperlink"/>
                </w:rPr>
                <w:t>7/6 C</w:t>
              </w:r>
            </w:hyperlink>
            <w:r w:rsidR="004260DF" w:rsidRPr="00EE7CA8">
              <w:t xml:space="preserve"> of the Subsidiary Body on Implementation</w:t>
            </w:r>
            <w:r w:rsidR="008C16E7" w:rsidRPr="00EE7CA8">
              <w:t xml:space="preserve"> and document </w:t>
            </w:r>
            <w:hyperlink r:id="rId46" w:history="1">
              <w:r w:rsidR="008C16E7" w:rsidRPr="00EE7CA8">
                <w:rPr>
                  <w:rStyle w:val="Hyperlink"/>
                </w:rPr>
                <w:t>CBD/NP/MOP/6/8</w:t>
              </w:r>
            </w:hyperlink>
            <w:r w:rsidR="00C30CDA" w:rsidRPr="00EE7CA8">
              <w:t>.</w:t>
            </w:r>
            <w:r w:rsidR="00B45D49" w:rsidRPr="00EE7CA8">
              <w:t xml:space="preserve"> The preamble</w:t>
            </w:r>
            <w:r w:rsidR="00A401BB" w:rsidRPr="00EE7CA8">
              <w:t xml:space="preserve"> and</w:t>
            </w:r>
            <w:r w:rsidR="00AA1BA1" w:rsidRPr="00EE7CA8">
              <w:t xml:space="preserve"> paragraphs </w:t>
            </w:r>
            <w:r w:rsidR="00494572" w:rsidRPr="00EE7CA8">
              <w:t>1 to 4, 10</w:t>
            </w:r>
            <w:r w:rsidR="00A401BB" w:rsidRPr="00EE7CA8">
              <w:t>,</w:t>
            </w:r>
            <w:r w:rsidR="00494572" w:rsidRPr="00EE7CA8">
              <w:t xml:space="preserve"> 11</w:t>
            </w:r>
            <w:r w:rsidR="00A401BB" w:rsidRPr="00EE7CA8">
              <w:t>,</w:t>
            </w:r>
            <w:r w:rsidR="00494572" w:rsidRPr="00EE7CA8">
              <w:t xml:space="preserve"> 13 and 14 come from </w:t>
            </w:r>
            <w:r w:rsidR="00321656" w:rsidRPr="00EE7CA8">
              <w:t xml:space="preserve">document </w:t>
            </w:r>
            <w:hyperlink r:id="rId47" w:history="1">
              <w:r w:rsidR="00321656" w:rsidRPr="00EE7CA8">
                <w:rPr>
                  <w:rStyle w:val="Hyperlink"/>
                </w:rPr>
                <w:t>CBD/NP/MOP/6/8</w:t>
              </w:r>
            </w:hyperlink>
            <w:r w:rsidR="00835AD1" w:rsidRPr="00EE7CA8">
              <w:t xml:space="preserve">, while paragraphs 5 to 9, 12 and 15 come from recommendation </w:t>
            </w:r>
            <w:hyperlink r:id="rId48" w:history="1">
              <w:r w:rsidR="00835AD1" w:rsidRPr="00EE7CA8">
                <w:rPr>
                  <w:rStyle w:val="Hyperlink"/>
                </w:rPr>
                <w:t>7/6 C</w:t>
              </w:r>
            </w:hyperlink>
            <w:r w:rsidR="00835AD1" w:rsidRPr="00EE7CA8">
              <w:t>.</w:t>
            </w:r>
            <w:r w:rsidR="00B9503A" w:rsidRPr="00EE7CA8">
              <w:t xml:space="preserve"> The element of a draft decision on the financial mechanism recommended by the Compliance Committee under the Nagoya Protocol, as contained in section III of document </w:t>
            </w:r>
            <w:hyperlink r:id="rId49" w:history="1">
              <w:r w:rsidR="00B9503A" w:rsidRPr="00EE7CA8">
                <w:rPr>
                  <w:rStyle w:val="Hyperlink"/>
                </w:rPr>
                <w:t>CBD/NP/MOP/6/3</w:t>
              </w:r>
            </w:hyperlink>
            <w:r w:rsidR="00B9503A" w:rsidRPr="00EE7CA8">
              <w:t>, is reflected in paragraph 8.</w:t>
            </w:r>
          </w:p>
        </w:tc>
      </w:tr>
    </w:tbl>
    <w:p w14:paraId="16058FF5" w14:textId="38F271A0" w:rsidR="004260DF" w:rsidRPr="006B144A" w:rsidRDefault="004260DF" w:rsidP="00EE7CA8">
      <w:pPr>
        <w:pStyle w:val="CBDcompilationH2"/>
        <w:rPr>
          <w:bCs/>
          <w:u w:color="000000"/>
          <w:bdr w:val="nil"/>
        </w:rPr>
      </w:pPr>
      <w:r w:rsidRPr="00EE7CA8">
        <w:rPr>
          <w:u w:color="000000"/>
          <w:bdr w:val="nil"/>
        </w:rPr>
        <w:t xml:space="preserve">Financial </w:t>
      </w:r>
      <w:r w:rsidRPr="00EE7CA8">
        <w:t>mechanism</w:t>
      </w:r>
      <w:r w:rsidRPr="00EE7CA8">
        <w:rPr>
          <w:u w:color="000000"/>
          <w:bdr w:val="nil"/>
        </w:rPr>
        <w:t xml:space="preserve"> and resources</w:t>
      </w:r>
    </w:p>
    <w:p w14:paraId="6E705E9A" w14:textId="011ED1AD" w:rsidR="004260DF" w:rsidRPr="00EE7CA8" w:rsidRDefault="004260DF" w:rsidP="004260DF">
      <w:pPr>
        <w:pStyle w:val="CBDNormalNoNumber"/>
        <w:ind w:firstLine="567"/>
        <w:rPr>
          <w:i/>
          <w:iCs/>
        </w:rPr>
      </w:pPr>
      <w:r w:rsidRPr="00EE7CA8">
        <w:rPr>
          <w:i/>
          <w:iCs/>
        </w:rPr>
        <w:t>The Conference of the Parties serving as the meeting of the Parties to the Nagoya Protocol</w:t>
      </w:r>
      <w:r w:rsidR="0029342E" w:rsidRPr="00EE7CA8">
        <w:t>,</w:t>
      </w:r>
    </w:p>
    <w:p w14:paraId="67E48340" w14:textId="77777777" w:rsidR="00235BB8" w:rsidRPr="00EE7CA8" w:rsidRDefault="00235BB8" w:rsidP="00235BB8">
      <w:pPr>
        <w:pStyle w:val="CBDNormalNumber"/>
        <w:numPr>
          <w:ilvl w:val="0"/>
          <w:numId w:val="0"/>
        </w:numPr>
        <w:ind w:left="567" w:firstLine="567"/>
      </w:pPr>
      <w:r w:rsidRPr="00EE7CA8">
        <w:rPr>
          <w:i/>
          <w:iCs/>
        </w:rPr>
        <w:t xml:space="preserve">Recalling </w:t>
      </w:r>
      <w:r w:rsidRPr="00EE7CA8">
        <w:t>Article 25 of the Nagoya Protocol on Access to Genetic Resources and the Fair and Equitable Sharing of Benefits Arising from Their Utilization,</w:t>
      </w:r>
      <w:r w:rsidRPr="00EE7CA8">
        <w:rPr>
          <w:rStyle w:val="FootnoteReference"/>
        </w:rPr>
        <w:footnoteReference w:id="32"/>
      </w:r>
    </w:p>
    <w:p w14:paraId="448C1E0B" w14:textId="77777777" w:rsidR="00235BB8" w:rsidRPr="00EE7CA8" w:rsidRDefault="00235BB8" w:rsidP="00235BB8">
      <w:pPr>
        <w:pStyle w:val="CBDNormalNumber"/>
        <w:numPr>
          <w:ilvl w:val="0"/>
          <w:numId w:val="0"/>
        </w:numPr>
        <w:ind w:left="567" w:firstLine="567"/>
        <w:rPr>
          <w:i/>
          <w:iCs/>
        </w:rPr>
      </w:pPr>
      <w:r w:rsidRPr="00EE7CA8">
        <w:rPr>
          <w:i/>
          <w:iCs/>
        </w:rPr>
        <w:t xml:space="preserve">Having considered </w:t>
      </w:r>
      <w:r w:rsidRPr="00EE7CA8">
        <w:t>the information on the Nagoya Protocol in the report of the Council of the Global Environment Facility for the seventeenth meeting of the Conference of the Parties to the Convention on Biological Diversity,</w:t>
      </w:r>
      <w:r w:rsidRPr="00EE7CA8">
        <w:rPr>
          <w:rStyle w:val="FootnoteReference"/>
        </w:rPr>
        <w:footnoteReference w:id="33"/>
      </w:r>
      <w:r w:rsidRPr="00EE7CA8">
        <w:rPr>
          <w:vertAlign w:val="superscript"/>
        </w:rPr>
        <w:t>,</w:t>
      </w:r>
      <w:r w:rsidRPr="00EE7CA8">
        <w:rPr>
          <w:rStyle w:val="FootnoteReference"/>
        </w:rPr>
        <w:footnoteReference w:id="34"/>
      </w:r>
    </w:p>
    <w:p w14:paraId="19CBE259" w14:textId="6EE91537" w:rsidR="002811B3" w:rsidRPr="00EE7CA8" w:rsidRDefault="0029342E" w:rsidP="002811B3">
      <w:pPr>
        <w:pStyle w:val="CBDsubpara-item"/>
        <w:ind w:left="567" w:firstLine="564"/>
        <w:jc w:val="both"/>
        <w:rPr>
          <w:lang w:val="en-ZA" w:eastAsia="en-GB"/>
        </w:rPr>
      </w:pPr>
      <w:r w:rsidRPr="00EE7CA8">
        <w:rPr>
          <w:lang w:val="en-ZA" w:eastAsia="en-GB"/>
        </w:rPr>
        <w:t>1</w:t>
      </w:r>
      <w:r w:rsidR="002811B3" w:rsidRPr="00EE7CA8">
        <w:rPr>
          <w:lang w:val="en-ZA" w:eastAsia="en-GB"/>
        </w:rPr>
        <w:t>.</w:t>
      </w:r>
      <w:r w:rsidR="002811B3" w:rsidRPr="00EE7CA8">
        <w:rPr>
          <w:lang w:val="en-ZA" w:eastAsia="en-GB"/>
        </w:rPr>
        <w:tab/>
      </w:r>
      <w:r w:rsidR="00572811" w:rsidRPr="00EE7CA8">
        <w:rPr>
          <w:i/>
          <w:iCs/>
          <w:lang w:val="en-ZA" w:eastAsia="en-GB"/>
        </w:rPr>
        <w:t>W</w:t>
      </w:r>
      <w:r w:rsidR="002811B3" w:rsidRPr="00EE7CA8">
        <w:rPr>
          <w:i/>
          <w:iCs/>
          <w:lang w:val="en-ZA" w:eastAsia="en-GB"/>
        </w:rPr>
        <w:t xml:space="preserve">elcomes </w:t>
      </w:r>
      <w:r w:rsidR="002811B3" w:rsidRPr="00EE7CA8">
        <w:rPr>
          <w:lang w:val="en-ZA" w:eastAsia="en-GB"/>
        </w:rPr>
        <w:t>the report of the Council of the Global Environment Facility for the seventeenth meeting of the Conference of the Parties to the Convention on Biological Diversity;</w:t>
      </w:r>
    </w:p>
    <w:p w14:paraId="7D7FA871" w14:textId="6A23869E" w:rsidR="00BC25D6" w:rsidRPr="00EE7CA8" w:rsidRDefault="0029342E" w:rsidP="00BC25D6">
      <w:pPr>
        <w:pStyle w:val="CBDsubpara-item"/>
        <w:ind w:left="567" w:firstLine="564"/>
        <w:jc w:val="both"/>
        <w:rPr>
          <w:lang w:val="en-ZA" w:eastAsia="en-GB"/>
        </w:rPr>
      </w:pPr>
      <w:r w:rsidRPr="00EE7CA8">
        <w:rPr>
          <w:lang w:val="en-ZA" w:eastAsia="en-GB"/>
        </w:rPr>
        <w:t>2</w:t>
      </w:r>
      <w:r w:rsidR="00BC25D6" w:rsidRPr="00EE7CA8">
        <w:rPr>
          <w:lang w:val="en-ZA" w:eastAsia="en-GB"/>
        </w:rPr>
        <w:t>.</w:t>
      </w:r>
      <w:r w:rsidR="00BC25D6" w:rsidRPr="00EE7CA8">
        <w:rPr>
          <w:lang w:val="en-ZA" w:eastAsia="en-GB"/>
        </w:rPr>
        <w:tab/>
      </w:r>
      <w:r w:rsidR="00326ED1" w:rsidRPr="00EE7CA8">
        <w:rPr>
          <w:i/>
          <w:iCs/>
          <w:lang w:val="en-ZA" w:eastAsia="en-GB"/>
        </w:rPr>
        <w:t>Also</w:t>
      </w:r>
      <w:r w:rsidR="00326ED1" w:rsidRPr="00EE7CA8">
        <w:rPr>
          <w:lang w:val="en-ZA" w:eastAsia="en-GB"/>
        </w:rPr>
        <w:t xml:space="preserve"> </w:t>
      </w:r>
      <w:r w:rsidR="00326ED1" w:rsidRPr="00EE7CA8">
        <w:rPr>
          <w:i/>
          <w:iCs/>
          <w:lang w:val="en-ZA" w:eastAsia="en-GB"/>
        </w:rPr>
        <w:t>w</w:t>
      </w:r>
      <w:r w:rsidR="00BC25D6" w:rsidRPr="00EE7CA8">
        <w:rPr>
          <w:i/>
          <w:iCs/>
          <w:lang w:val="en-ZA" w:eastAsia="en-GB"/>
        </w:rPr>
        <w:t>elcomes</w:t>
      </w:r>
      <w:r w:rsidR="00BC25D6" w:rsidRPr="00EE7CA8">
        <w:rPr>
          <w:lang w:val="en-ZA" w:eastAsia="en-GB"/>
        </w:rPr>
        <w:t xml:space="preserve"> the </w:t>
      </w:r>
      <w:r w:rsidR="00BC25D6" w:rsidRPr="00EE7CA8">
        <w:rPr>
          <w:rFonts w:eastAsia="MS Mincho"/>
          <w:iCs/>
          <w:lang w:val="en-ZA"/>
        </w:rPr>
        <w:t>ninth</w:t>
      </w:r>
      <w:r w:rsidR="00BC25D6" w:rsidRPr="00EE7CA8">
        <w:rPr>
          <w:lang w:val="en-ZA" w:eastAsia="en-GB"/>
        </w:rPr>
        <w:t xml:space="preserve"> replenishment of the Global Environment Facility Trust Fund and its programming directions and the support thereby made available to Parties for the implementation of the Nagoya Protocol</w:t>
      </w:r>
      <w:r w:rsidR="00444DF5" w:rsidRPr="00EE7CA8">
        <w:t xml:space="preserve"> on Access to Genetic Resources and the Fair and Equitable Sharing of Benefits Arising from Their Utilization</w:t>
      </w:r>
      <w:r w:rsidR="00BC25D6" w:rsidRPr="00EE7CA8">
        <w:rPr>
          <w:lang w:val="en-ZA" w:eastAsia="en-GB"/>
        </w:rPr>
        <w:t>,</w:t>
      </w:r>
      <w:r w:rsidR="00BC25D6" w:rsidRPr="00EE7CA8">
        <w:t xml:space="preserve"> </w:t>
      </w:r>
      <w:r w:rsidR="00BC25D6" w:rsidRPr="00EE7CA8">
        <w:rPr>
          <w:lang w:val="en-ZA" w:eastAsia="en-GB"/>
        </w:rPr>
        <w:t>and expresses its appreciation to the countries that contributed to the replenishment;</w:t>
      </w:r>
    </w:p>
    <w:p w14:paraId="52EBF082" w14:textId="77777777" w:rsidR="00162059" w:rsidRPr="00EE7CA8" w:rsidRDefault="00162059" w:rsidP="00162059">
      <w:pPr>
        <w:pStyle w:val="CBDsubpara-item"/>
        <w:ind w:left="567" w:firstLine="564"/>
        <w:jc w:val="both"/>
        <w:rPr>
          <w:lang w:val="en-ZA" w:eastAsia="en-GB"/>
        </w:rPr>
      </w:pPr>
      <w:r w:rsidRPr="00EE7CA8">
        <w:rPr>
          <w:lang w:val="en-ZA" w:eastAsia="en-GB"/>
        </w:rPr>
        <w:t>3.</w:t>
      </w:r>
      <w:r w:rsidRPr="00EE7CA8">
        <w:rPr>
          <w:lang w:val="en-ZA" w:eastAsia="en-GB"/>
        </w:rPr>
        <w:tab/>
      </w:r>
      <w:r w:rsidRPr="00EE7CA8">
        <w:rPr>
          <w:i/>
          <w:iCs/>
          <w:lang w:val="en-ZA" w:eastAsia="en-GB"/>
        </w:rPr>
        <w:t xml:space="preserve">Welcomes with appreciation </w:t>
      </w:r>
      <w:r w:rsidRPr="00EE7CA8">
        <w:t xml:space="preserve">the measures taken by the Global Environment Facility to enhance </w:t>
      </w:r>
      <w:r w:rsidRPr="00EE7CA8">
        <w:rPr>
          <w:lang w:val="en-ZA" w:eastAsia="en-GB"/>
        </w:rPr>
        <w:t>the financial mechanism with respect to the Nagoya Protocol;</w:t>
      </w:r>
    </w:p>
    <w:p w14:paraId="749769BA" w14:textId="77777777" w:rsidR="00162059" w:rsidRPr="00EE7CA8" w:rsidRDefault="00162059" w:rsidP="00162059">
      <w:pPr>
        <w:pStyle w:val="CBDsubpara-item"/>
        <w:ind w:left="567" w:firstLine="564"/>
        <w:jc w:val="both"/>
        <w:rPr>
          <w:lang w:val="en-ZA" w:eastAsia="en-GB"/>
        </w:rPr>
      </w:pPr>
      <w:r w:rsidRPr="00EE7CA8">
        <w:rPr>
          <w:lang w:val="en-ZA" w:eastAsia="en-GB"/>
        </w:rPr>
        <w:t>4.</w:t>
      </w:r>
      <w:r w:rsidRPr="00EE7CA8">
        <w:rPr>
          <w:lang w:val="en-ZA" w:eastAsia="en-GB"/>
        </w:rPr>
        <w:tab/>
      </w:r>
      <w:r w:rsidRPr="00EE7CA8">
        <w:rPr>
          <w:i/>
          <w:iCs/>
          <w:lang w:val="en-ZA" w:eastAsia="en-GB"/>
        </w:rPr>
        <w:t>Notes with appreciation</w:t>
      </w:r>
      <w:r w:rsidRPr="00EE7CA8">
        <w:rPr>
          <w:lang w:val="en-ZA" w:eastAsia="en-GB"/>
        </w:rPr>
        <w:t xml:space="preserve"> that the programming directions for the ninth replenishment period of the Global Environment Facility Trust Fund reflect all elements of the four-year outcome-oriented framework of biodiversity programme priorities of the Convention on Biological Diversity and its Protocols adopted by the Conference of the Parties at its sixteenth meeting</w:t>
      </w:r>
      <w:r w:rsidRPr="00EE7CA8">
        <w:rPr>
          <w:rStyle w:val="FootnoteReference"/>
          <w:lang w:eastAsia="en-GB"/>
        </w:rPr>
        <w:footnoteReference w:id="35"/>
      </w:r>
      <w:r w:rsidRPr="00EE7CA8">
        <w:rPr>
          <w:lang w:val="en-ZA" w:eastAsia="en-GB"/>
        </w:rPr>
        <w:t xml:space="preserve"> and thus demonstrate an effective response to the guidance provided by the Conference of the Parties;</w:t>
      </w:r>
    </w:p>
    <w:p w14:paraId="67EA276A" w14:textId="6FF04485" w:rsidR="004260DF" w:rsidRPr="00EE7CA8" w:rsidRDefault="0043481F" w:rsidP="004260DF">
      <w:pPr>
        <w:pStyle w:val="CBDNormalNoNumber"/>
        <w:tabs>
          <w:tab w:val="clear" w:pos="567"/>
        </w:tabs>
        <w:ind w:firstLine="567"/>
        <w:rPr>
          <w:rFonts w:eastAsia="Times New Roman"/>
          <w:szCs w:val="24"/>
        </w:rPr>
      </w:pPr>
      <w:r w:rsidRPr="00EE7CA8">
        <w:rPr>
          <w:rFonts w:eastAsia="Times New Roman"/>
          <w:szCs w:val="24"/>
        </w:rPr>
        <w:t>5</w:t>
      </w:r>
      <w:r w:rsidR="004260DF" w:rsidRPr="00EE7CA8">
        <w:rPr>
          <w:rFonts w:eastAsia="Times New Roman"/>
          <w:szCs w:val="24"/>
        </w:rPr>
        <w:t>.</w:t>
      </w:r>
      <w:r w:rsidR="004260DF" w:rsidRPr="00EE7CA8">
        <w:rPr>
          <w:rFonts w:eastAsia="Times New Roman"/>
          <w:szCs w:val="24"/>
        </w:rPr>
        <w:tab/>
      </w:r>
      <w:r w:rsidR="004260DF" w:rsidRPr="00EE7CA8">
        <w:rPr>
          <w:rFonts w:eastAsia="Times New Roman"/>
          <w:i/>
          <w:szCs w:val="24"/>
        </w:rPr>
        <w:t>Recalls</w:t>
      </w:r>
      <w:r w:rsidR="004260DF" w:rsidRPr="00EE7CA8">
        <w:rPr>
          <w:rFonts w:eastAsia="Times New Roman"/>
          <w:iCs/>
          <w:szCs w:val="24"/>
        </w:rPr>
        <w:t xml:space="preserve"> its </w:t>
      </w:r>
      <w:r w:rsidR="004260DF" w:rsidRPr="00EE7CA8">
        <w:t>decisions</w:t>
      </w:r>
      <w:r w:rsidR="004260DF" w:rsidRPr="00EE7CA8">
        <w:rPr>
          <w:rFonts w:eastAsia="Times New Roman"/>
          <w:iCs/>
          <w:szCs w:val="24"/>
        </w:rPr>
        <w:t xml:space="preserve"> </w:t>
      </w:r>
      <w:hyperlink r:id="rId50" w:history="1">
        <w:r w:rsidR="004260DF" w:rsidRPr="00EE7CA8">
          <w:rPr>
            <w:rStyle w:val="Hyperlink"/>
            <w:rFonts w:eastAsia="Times New Roman"/>
            <w:iCs/>
            <w:szCs w:val="24"/>
          </w:rPr>
          <w:t>NP-4/8</w:t>
        </w:r>
      </w:hyperlink>
      <w:r w:rsidR="004260DF" w:rsidRPr="00EE7CA8">
        <w:rPr>
          <w:rFonts w:eastAsia="Times New Roman"/>
          <w:iCs/>
          <w:szCs w:val="24"/>
        </w:rPr>
        <w:t xml:space="preserve"> of 10 December 2022 and </w:t>
      </w:r>
      <w:hyperlink r:id="rId51" w:history="1">
        <w:r w:rsidR="004260DF" w:rsidRPr="00EE7CA8">
          <w:rPr>
            <w:rStyle w:val="Hyperlink"/>
            <w:rFonts w:eastAsia="Times New Roman"/>
            <w:iCs/>
            <w:szCs w:val="24"/>
          </w:rPr>
          <w:t>NP-5/2</w:t>
        </w:r>
      </w:hyperlink>
      <w:r w:rsidR="004260DF" w:rsidRPr="00EE7CA8">
        <w:t xml:space="preserve"> of 1 November 2024;</w:t>
      </w:r>
      <w:r w:rsidR="004260DF" w:rsidRPr="00EE7CA8">
        <w:rPr>
          <w:rFonts w:eastAsia="Times New Roman"/>
          <w:szCs w:val="24"/>
        </w:rPr>
        <w:t xml:space="preserve"> </w:t>
      </w:r>
    </w:p>
    <w:p w14:paraId="1CF6F5E3" w14:textId="2F51E9A7" w:rsidR="004260DF" w:rsidRPr="00EE7CA8" w:rsidRDefault="004260DF" w:rsidP="004260DF">
      <w:pPr>
        <w:pStyle w:val="CBDNormalNoNumber"/>
        <w:tabs>
          <w:tab w:val="clear" w:pos="567"/>
        </w:tabs>
        <w:ind w:firstLine="567"/>
        <w:rPr>
          <w:rFonts w:eastAsia="Times New Roman"/>
          <w:szCs w:val="24"/>
        </w:rPr>
      </w:pPr>
      <w:r w:rsidRPr="00EE7CA8">
        <w:rPr>
          <w:rFonts w:eastAsia="Times New Roman"/>
          <w:szCs w:val="24"/>
        </w:rPr>
        <w:t>[</w:t>
      </w:r>
      <w:r w:rsidR="0043481F" w:rsidRPr="00EE7CA8">
        <w:rPr>
          <w:rFonts w:eastAsia="Times New Roman"/>
          <w:szCs w:val="24"/>
        </w:rPr>
        <w:t>6</w:t>
      </w:r>
      <w:r w:rsidRPr="00EE7CA8">
        <w:rPr>
          <w:rFonts w:eastAsia="Times New Roman"/>
          <w:szCs w:val="24"/>
        </w:rPr>
        <w:t>.</w:t>
      </w:r>
      <w:r w:rsidRPr="00EE7CA8">
        <w:rPr>
          <w:rFonts w:eastAsia="Times New Roman"/>
          <w:szCs w:val="24"/>
        </w:rPr>
        <w:tab/>
      </w:r>
      <w:r w:rsidRPr="00EE7CA8">
        <w:rPr>
          <w:rFonts w:eastAsia="Times New Roman"/>
          <w:i/>
          <w:iCs/>
          <w:szCs w:val="24"/>
        </w:rPr>
        <w:t>Urges</w:t>
      </w:r>
      <w:r w:rsidRPr="00EE7CA8">
        <w:rPr>
          <w:rFonts w:eastAsia="Times New Roman"/>
          <w:szCs w:val="24"/>
        </w:rPr>
        <w:t xml:space="preserve"> developed country Parties and other Parties that voluntarily assume the obligations of developed country Parties to provide new and additional, adequate, predictable and timely financial resources to developing country Parties, in particular the least developed countries and the small island developing States among them, and Parties with economies in transition for the implementation of the Nagoya Protocol, in accordance with Article 25 of the Protocol and Article 20 of the Convention;]</w:t>
      </w:r>
      <w:r w:rsidRPr="00EE7CA8" w:rsidDel="00466623">
        <w:rPr>
          <w:rFonts w:eastAsia="Times New Roman"/>
          <w:szCs w:val="24"/>
        </w:rPr>
        <w:t xml:space="preserve"> </w:t>
      </w:r>
    </w:p>
    <w:p w14:paraId="4943B9EA" w14:textId="747D87E7" w:rsidR="004260DF" w:rsidRPr="00EE7CA8" w:rsidRDefault="0043481F" w:rsidP="004260DF">
      <w:pPr>
        <w:pStyle w:val="CBDNormalNoNumber"/>
        <w:keepNext/>
        <w:tabs>
          <w:tab w:val="clear" w:pos="567"/>
        </w:tabs>
        <w:ind w:firstLine="567"/>
        <w:rPr>
          <w:rFonts w:eastAsia="Times New Roman"/>
          <w:iCs/>
          <w:szCs w:val="24"/>
        </w:rPr>
      </w:pPr>
      <w:r w:rsidRPr="00EE7CA8">
        <w:rPr>
          <w:rFonts w:eastAsia="Times New Roman"/>
          <w:szCs w:val="24"/>
        </w:rPr>
        <w:lastRenderedPageBreak/>
        <w:t>7</w:t>
      </w:r>
      <w:r w:rsidR="004260DF" w:rsidRPr="00EE7CA8">
        <w:rPr>
          <w:rFonts w:eastAsia="Times New Roman"/>
          <w:szCs w:val="24"/>
        </w:rPr>
        <w:t>.</w:t>
      </w:r>
      <w:r w:rsidR="004260DF" w:rsidRPr="00EE7CA8">
        <w:rPr>
          <w:rFonts w:eastAsia="Times New Roman"/>
          <w:szCs w:val="24"/>
        </w:rPr>
        <w:tab/>
      </w:r>
      <w:r w:rsidR="004260DF" w:rsidRPr="00EE7CA8">
        <w:rPr>
          <w:rFonts w:eastAsia="Times New Roman"/>
          <w:i/>
          <w:szCs w:val="24"/>
        </w:rPr>
        <w:t xml:space="preserve">Invites </w:t>
      </w:r>
      <w:r w:rsidR="004260DF" w:rsidRPr="00EE7CA8">
        <w:rPr>
          <w:rFonts w:eastAsia="Times New Roman"/>
          <w:iCs/>
          <w:szCs w:val="24"/>
        </w:rPr>
        <w:t>Parties,</w:t>
      </w:r>
      <w:r w:rsidR="004260DF" w:rsidRPr="00EE7CA8">
        <w:rPr>
          <w:rFonts w:eastAsia="Times New Roman"/>
          <w:i/>
          <w:szCs w:val="24"/>
        </w:rPr>
        <w:t xml:space="preserve"> </w:t>
      </w:r>
      <w:r w:rsidR="004260DF" w:rsidRPr="00EE7CA8">
        <w:t>international</w:t>
      </w:r>
      <w:r w:rsidR="004260DF" w:rsidRPr="00EE7CA8">
        <w:rPr>
          <w:rFonts w:eastAsia="Times New Roman"/>
          <w:iCs/>
          <w:szCs w:val="24"/>
        </w:rPr>
        <w:t xml:space="preserve"> organizations, regional development banks, other programmes and initiatives, and the private sector:</w:t>
      </w:r>
    </w:p>
    <w:p w14:paraId="4640258B" w14:textId="77777777" w:rsidR="004260DF" w:rsidRPr="00EE7CA8" w:rsidRDefault="004260DF" w:rsidP="004260DF">
      <w:pPr>
        <w:pStyle w:val="CBDNormalNoNumber"/>
        <w:tabs>
          <w:tab w:val="clear" w:pos="567"/>
        </w:tabs>
        <w:ind w:firstLine="567"/>
        <w:rPr>
          <w:rFonts w:eastAsia="Arial Unicode MS"/>
          <w:color w:val="000000"/>
          <w:kern w:val="22"/>
          <w:u w:color="000000"/>
          <w:bdr w:val="nil"/>
        </w:rPr>
      </w:pPr>
      <w:r w:rsidRPr="00EE7CA8">
        <w:rPr>
          <w:rFonts w:eastAsia="Arial Unicode MS"/>
          <w:color w:val="000000"/>
          <w:kern w:val="22"/>
          <w:u w:color="000000"/>
          <w:bdr w:val="nil"/>
        </w:rPr>
        <w:t>(a)</w:t>
      </w:r>
      <w:r w:rsidRPr="00EE7CA8">
        <w:rPr>
          <w:rFonts w:eastAsia="Arial Unicode MS"/>
          <w:color w:val="000000"/>
          <w:kern w:val="22"/>
          <w:u w:color="000000"/>
          <w:bdr w:val="nil"/>
        </w:rPr>
        <w:tab/>
      </w:r>
      <w:r w:rsidRPr="00EE7CA8">
        <w:rPr>
          <w:rFonts w:eastAsia="Arial Unicode MS"/>
          <w:bCs/>
          <w:color w:val="000000"/>
          <w:kern w:val="22"/>
          <w:u w:color="000000"/>
          <w:bdr w:val="nil"/>
        </w:rPr>
        <w:t>To</w:t>
      </w:r>
      <w:r w:rsidRPr="00EE7CA8">
        <w:rPr>
          <w:rFonts w:eastAsia="Arial Unicode MS"/>
          <w:color w:val="000000"/>
          <w:kern w:val="22"/>
          <w:u w:color="000000"/>
          <w:bdr w:val="nil"/>
        </w:rPr>
        <w:t xml:space="preserve"> provide </w:t>
      </w:r>
      <w:r w:rsidRPr="00EE7CA8">
        <w:t>additional</w:t>
      </w:r>
      <w:r w:rsidRPr="00EE7CA8">
        <w:rPr>
          <w:rFonts w:eastAsia="Arial Unicode MS"/>
          <w:color w:val="000000"/>
          <w:kern w:val="22"/>
          <w:u w:color="000000"/>
          <w:bdr w:val="nil"/>
        </w:rPr>
        <w:t xml:space="preserve"> financial resources, as appropriate and, where relevant, in line with their respective mandates, to support the implementation of the Nagoya Protocol;</w:t>
      </w:r>
    </w:p>
    <w:p w14:paraId="25ED0FAD" w14:textId="77777777" w:rsidR="004260DF" w:rsidRPr="00EE7CA8" w:rsidRDefault="004260DF" w:rsidP="004260DF">
      <w:pPr>
        <w:pStyle w:val="CBDNormalNoNumber"/>
        <w:tabs>
          <w:tab w:val="clear" w:pos="567"/>
        </w:tabs>
        <w:ind w:firstLine="567"/>
        <w:rPr>
          <w:rFonts w:eastAsia="Arial Unicode MS"/>
          <w:color w:val="000000"/>
          <w:kern w:val="22"/>
          <w:u w:color="000000"/>
          <w:bdr w:val="nil"/>
        </w:rPr>
      </w:pPr>
      <w:r w:rsidRPr="00EE7CA8">
        <w:rPr>
          <w:rFonts w:eastAsia="Arial Unicode MS"/>
          <w:color w:val="000000"/>
          <w:kern w:val="22"/>
          <w:u w:color="000000"/>
          <w:bdr w:val="nil"/>
        </w:rPr>
        <w:t>(b)</w:t>
      </w:r>
      <w:r w:rsidRPr="00EE7CA8">
        <w:rPr>
          <w:rFonts w:eastAsia="Arial Unicode MS"/>
          <w:color w:val="000000"/>
          <w:kern w:val="22"/>
          <w:u w:color="000000"/>
          <w:bdr w:val="nil"/>
        </w:rPr>
        <w:tab/>
      </w:r>
      <w:r w:rsidRPr="00EE7CA8">
        <w:rPr>
          <w:rFonts w:eastAsia="Arial Unicode MS"/>
          <w:bCs/>
          <w:color w:val="000000"/>
          <w:kern w:val="22"/>
          <w:u w:color="000000"/>
          <w:bdr w:val="nil"/>
        </w:rPr>
        <w:t>To</w:t>
      </w:r>
      <w:r w:rsidRPr="00EE7CA8">
        <w:rPr>
          <w:rFonts w:eastAsia="Arial Unicode MS"/>
          <w:color w:val="000000"/>
          <w:kern w:val="22"/>
          <w:u w:color="000000"/>
          <w:bdr w:val="nil"/>
        </w:rPr>
        <w:t xml:space="preserve"> </w:t>
      </w:r>
      <w:proofErr w:type="gramStart"/>
      <w:r w:rsidRPr="00EE7CA8">
        <w:rPr>
          <w:rFonts w:eastAsia="Arial Unicode MS"/>
          <w:color w:val="000000"/>
          <w:kern w:val="22"/>
          <w:u w:color="000000"/>
          <w:bdr w:val="nil"/>
        </w:rPr>
        <w:t>take into account</w:t>
      </w:r>
      <w:proofErr w:type="gramEnd"/>
      <w:r w:rsidRPr="00EE7CA8">
        <w:rPr>
          <w:rFonts w:eastAsia="Arial Unicode MS"/>
          <w:color w:val="000000"/>
          <w:kern w:val="22"/>
          <w:u w:color="000000"/>
          <w:bdr w:val="nil"/>
        </w:rPr>
        <w:t xml:space="preserve"> the key findings and messages </w:t>
      </w:r>
      <w:r w:rsidRPr="00EE7CA8">
        <w:rPr>
          <w:rFonts w:eastAsia="Times New Roman"/>
          <w:iCs/>
          <w:szCs w:val="24"/>
        </w:rPr>
        <w:t xml:space="preserve">of the second assessment and review </w:t>
      </w:r>
      <w:r w:rsidRPr="00EE7CA8">
        <w:t xml:space="preserve">of the effectiveness </w:t>
      </w:r>
      <w:r w:rsidRPr="00EE7CA8">
        <w:rPr>
          <w:rFonts w:eastAsia="Times New Roman"/>
          <w:iCs/>
          <w:szCs w:val="24"/>
        </w:rPr>
        <w:t xml:space="preserve">of the Nagoya Protocol, which include areas where Parties require further support, </w:t>
      </w:r>
      <w:r w:rsidRPr="00EE7CA8">
        <w:rPr>
          <w:rFonts w:eastAsia="Arial Unicode MS"/>
          <w:color w:val="000000"/>
          <w:kern w:val="22"/>
          <w:u w:color="000000"/>
          <w:bdr w:val="nil"/>
        </w:rPr>
        <w:t xml:space="preserve">and the indicative actions </w:t>
      </w:r>
      <w:r w:rsidRPr="00EE7CA8">
        <w:t>that could be taken at the national level to enhance the implementation of the Protocol</w:t>
      </w:r>
      <w:r w:rsidRPr="00EE7CA8">
        <w:rPr>
          <w:rFonts w:eastAsia="Arial Unicode MS"/>
          <w:color w:val="000000"/>
          <w:kern w:val="22"/>
          <w:u w:color="000000"/>
          <w:bdr w:val="nil"/>
        </w:rPr>
        <w:t>;</w:t>
      </w:r>
      <w:r w:rsidRPr="00EE7CA8">
        <w:rPr>
          <w:rStyle w:val="FootnoteReference"/>
          <w:rFonts w:eastAsia="Arial Unicode MS"/>
          <w:color w:val="000000"/>
          <w:kern w:val="22"/>
          <w:u w:color="000000"/>
          <w:bdr w:val="nil"/>
        </w:rPr>
        <w:footnoteReference w:id="36"/>
      </w:r>
      <w:r w:rsidRPr="00EE7CA8">
        <w:rPr>
          <w:rFonts w:eastAsia="Arial Unicode MS"/>
          <w:color w:val="000000"/>
          <w:kern w:val="22"/>
          <w:u w:color="000000"/>
          <w:bdr w:val="nil"/>
        </w:rPr>
        <w:t xml:space="preserve"> </w:t>
      </w:r>
    </w:p>
    <w:p w14:paraId="127F32F2" w14:textId="0ED399C3" w:rsidR="004260DF" w:rsidRPr="00EE7CA8" w:rsidRDefault="0043481F" w:rsidP="004260DF">
      <w:pPr>
        <w:pStyle w:val="CBDNormalNoNumber"/>
        <w:keepNext/>
        <w:tabs>
          <w:tab w:val="clear" w:pos="567"/>
        </w:tabs>
        <w:ind w:firstLine="567"/>
        <w:rPr>
          <w:rFonts w:eastAsia="Times New Roman"/>
          <w:szCs w:val="24"/>
        </w:rPr>
      </w:pPr>
      <w:r w:rsidRPr="00EE7CA8">
        <w:rPr>
          <w:rFonts w:eastAsia="Times New Roman"/>
          <w:szCs w:val="24"/>
        </w:rPr>
        <w:t>8</w:t>
      </w:r>
      <w:r w:rsidR="004260DF" w:rsidRPr="00EE7CA8">
        <w:rPr>
          <w:rFonts w:eastAsia="Times New Roman"/>
          <w:szCs w:val="24"/>
        </w:rPr>
        <w:t>.</w:t>
      </w:r>
      <w:r w:rsidR="004260DF" w:rsidRPr="00EE7CA8">
        <w:rPr>
          <w:rFonts w:eastAsia="Times New Roman"/>
          <w:szCs w:val="24"/>
        </w:rPr>
        <w:tab/>
      </w:r>
      <w:r w:rsidR="004260DF" w:rsidRPr="00EE7CA8">
        <w:rPr>
          <w:rFonts w:eastAsia="Times New Roman"/>
          <w:i/>
          <w:szCs w:val="24"/>
        </w:rPr>
        <w:t xml:space="preserve">Recommends </w:t>
      </w:r>
      <w:r w:rsidR="004260DF" w:rsidRPr="00EE7CA8">
        <w:rPr>
          <w:rFonts w:eastAsia="Times New Roman"/>
          <w:szCs w:val="24"/>
        </w:rPr>
        <w:t xml:space="preserve">that, in adopting its guidance to the Global Environment Facility, </w:t>
      </w:r>
      <w:r w:rsidR="004260DF" w:rsidRPr="00EE7CA8">
        <w:rPr>
          <w:rFonts w:eastAsia="Times New Roman"/>
          <w:iCs/>
          <w:szCs w:val="24"/>
        </w:rPr>
        <w:t>t</w:t>
      </w:r>
      <w:r w:rsidR="004260DF" w:rsidRPr="00EE7CA8">
        <w:rPr>
          <w:rFonts w:eastAsia="Times New Roman"/>
          <w:szCs w:val="24"/>
        </w:rPr>
        <w:t>he Conference of the Parties to the Convention</w:t>
      </w:r>
      <w:r w:rsidR="004260DF" w:rsidRPr="00EE7CA8" w:rsidDel="00926765">
        <w:rPr>
          <w:rFonts w:eastAsia="Times New Roman"/>
          <w:szCs w:val="24"/>
        </w:rPr>
        <w:t xml:space="preserve"> </w:t>
      </w:r>
      <w:r w:rsidR="004260DF" w:rsidRPr="00EE7CA8">
        <w:rPr>
          <w:rFonts w:eastAsia="Times New Roman"/>
          <w:color w:val="000000" w:themeColor="text1"/>
          <w:szCs w:val="24"/>
        </w:rPr>
        <w:t xml:space="preserve">request </w:t>
      </w:r>
      <w:r w:rsidR="004260DF" w:rsidRPr="00EE7CA8">
        <w:rPr>
          <w:rFonts w:eastAsia="Times New Roman"/>
          <w:szCs w:val="24"/>
        </w:rPr>
        <w:t xml:space="preserve">the Facility: </w:t>
      </w:r>
    </w:p>
    <w:p w14:paraId="34D23240" w14:textId="77777777" w:rsidR="004260DF" w:rsidRPr="00EE7CA8" w:rsidRDefault="004260DF" w:rsidP="004260DF">
      <w:pPr>
        <w:pStyle w:val="CBDNormalNoNumber"/>
        <w:tabs>
          <w:tab w:val="clear" w:pos="567"/>
        </w:tabs>
        <w:ind w:firstLine="567"/>
        <w:rPr>
          <w:rFonts w:eastAsia="Times New Roman"/>
          <w:iCs/>
          <w:szCs w:val="24"/>
        </w:rPr>
      </w:pPr>
      <w:r w:rsidRPr="00EE7CA8">
        <w:rPr>
          <w:rFonts w:eastAsia="Times New Roman"/>
          <w:szCs w:val="24"/>
        </w:rPr>
        <w:t>(a)</w:t>
      </w:r>
      <w:r w:rsidRPr="00EE7CA8">
        <w:rPr>
          <w:rFonts w:eastAsia="Times New Roman"/>
          <w:szCs w:val="24"/>
        </w:rPr>
        <w:tab/>
        <w:t xml:space="preserve">To continue to </w:t>
      </w:r>
      <w:r w:rsidRPr="00EE7CA8">
        <w:t>assist</w:t>
      </w:r>
      <w:r w:rsidRPr="00EE7CA8">
        <w:rPr>
          <w:rFonts w:eastAsia="Times New Roman"/>
          <w:szCs w:val="24"/>
        </w:rPr>
        <w:t xml:space="preserve"> developing country Parties, in particular the least developed countries and the small island developing States among them, and Parties with economies in transition in implementing the </w:t>
      </w:r>
      <w:r w:rsidRPr="00EE7CA8">
        <w:rPr>
          <w:rFonts w:eastAsia="Times New Roman"/>
          <w:iCs/>
          <w:szCs w:val="24"/>
        </w:rPr>
        <w:t xml:space="preserve">Nagoya </w:t>
      </w:r>
      <w:r w:rsidRPr="00EE7CA8">
        <w:rPr>
          <w:rFonts w:eastAsia="Times New Roman"/>
          <w:szCs w:val="24"/>
        </w:rPr>
        <w:t xml:space="preserve">Protocol, taking into account the outcomes of the second assessment and review, including the support for the establishment and operationalization of checkpoints and the publication of checkpoint information through the Access and Benefit-sharing Clearing-House, encourage the </w:t>
      </w:r>
      <w:r w:rsidRPr="00EE7CA8">
        <w:rPr>
          <w:rFonts w:eastAsia="Times New Roman"/>
          <w:iCs/>
          <w:szCs w:val="24"/>
        </w:rPr>
        <w:t xml:space="preserve">use of global and regional projects and make </w:t>
      </w:r>
      <w:r w:rsidRPr="00EE7CA8">
        <w:rPr>
          <w:rFonts w:eastAsia="Times New Roman"/>
          <w:szCs w:val="24"/>
        </w:rPr>
        <w:t>funds available to that end</w:t>
      </w:r>
      <w:r w:rsidRPr="00EE7CA8">
        <w:rPr>
          <w:rFonts w:eastAsia="Times New Roman"/>
          <w:iCs/>
          <w:szCs w:val="24"/>
        </w:rPr>
        <w:t>;</w:t>
      </w:r>
    </w:p>
    <w:p w14:paraId="7EDE8DE6" w14:textId="77777777" w:rsidR="004260DF" w:rsidRPr="00EE7CA8" w:rsidRDefault="004260DF" w:rsidP="004260DF">
      <w:pPr>
        <w:pStyle w:val="CBDNormalNoNumber"/>
        <w:tabs>
          <w:tab w:val="clear" w:pos="567"/>
          <w:tab w:val="clear" w:pos="1134"/>
        </w:tabs>
        <w:ind w:firstLine="567"/>
        <w:rPr>
          <w:rFonts w:eastAsia="Times New Roman"/>
          <w:szCs w:val="24"/>
        </w:rPr>
      </w:pPr>
      <w:r w:rsidRPr="00EE7CA8">
        <w:rPr>
          <w:rFonts w:eastAsia="Times New Roman"/>
          <w:szCs w:val="24"/>
        </w:rPr>
        <w:t>(b)</w:t>
      </w:r>
      <w:r w:rsidRPr="00EE7CA8">
        <w:rPr>
          <w:rFonts w:eastAsia="Times New Roman"/>
          <w:szCs w:val="24"/>
        </w:rPr>
        <w:tab/>
        <w:t>To make funds available in a timely manner to support eligible Parties in the preparation and submission of their second national reports on the implementation of the Nagoya Protocol, with a view to ensuring that resources are made available well in advance of the expected reporting deadline, without creating additional reporting requirements;</w:t>
      </w:r>
    </w:p>
    <w:p w14:paraId="3AF6A9CA" w14:textId="77777777" w:rsidR="004260DF" w:rsidRPr="00EE7CA8" w:rsidRDefault="004260DF" w:rsidP="004260DF">
      <w:pPr>
        <w:pStyle w:val="CBDNormalNoNumber"/>
        <w:tabs>
          <w:tab w:val="clear" w:pos="567"/>
          <w:tab w:val="clear" w:pos="1134"/>
        </w:tabs>
        <w:ind w:firstLine="567"/>
        <w:rPr>
          <w:rFonts w:eastAsia="Times New Roman"/>
          <w:szCs w:val="24"/>
        </w:rPr>
      </w:pPr>
      <w:r w:rsidRPr="00EE7CA8">
        <w:rPr>
          <w:rFonts w:eastAsia="Times New Roman"/>
          <w:szCs w:val="24"/>
        </w:rPr>
        <w:t>[(c)</w:t>
      </w:r>
      <w:r w:rsidRPr="00EE7CA8">
        <w:rPr>
          <w:rFonts w:eastAsia="Times New Roman"/>
          <w:szCs w:val="24"/>
        </w:rPr>
        <w:tab/>
        <w:t xml:space="preserve">To consider establishing, within its biodiversity focal area, a dedicated funding window on access and benefit-sharing, including for the implementation of the Nagoya Protocol, with adequate and predictable resources, taking into account the national priorities and needs of eligible Parties and without reducing the availability of resources for other national biodiversity priorities;] </w:t>
      </w:r>
    </w:p>
    <w:p w14:paraId="23DC8054" w14:textId="66BE9698" w:rsidR="004260DF" w:rsidRPr="00EE7CA8" w:rsidRDefault="0043481F" w:rsidP="004260DF">
      <w:pPr>
        <w:pStyle w:val="CBDNormalNoNumber"/>
        <w:tabs>
          <w:tab w:val="clear" w:pos="567"/>
          <w:tab w:val="clear" w:pos="1134"/>
        </w:tabs>
        <w:ind w:firstLine="567"/>
        <w:rPr>
          <w:rFonts w:eastAsia="Times New Roman"/>
          <w:iCs/>
          <w:szCs w:val="24"/>
          <w:lang w:val="en-CA"/>
        </w:rPr>
      </w:pPr>
      <w:r w:rsidRPr="00EE7CA8">
        <w:rPr>
          <w:rFonts w:eastAsia="Times New Roman"/>
          <w:iCs/>
          <w:szCs w:val="24"/>
          <w:lang w:val="en-CA"/>
        </w:rPr>
        <w:t>9</w:t>
      </w:r>
      <w:r w:rsidR="004260DF" w:rsidRPr="00EE7CA8">
        <w:rPr>
          <w:rFonts w:eastAsia="Times New Roman"/>
          <w:iCs/>
          <w:szCs w:val="24"/>
          <w:lang w:val="en-CA"/>
        </w:rPr>
        <w:t>.</w:t>
      </w:r>
      <w:r w:rsidR="004260DF" w:rsidRPr="00EE7CA8">
        <w:rPr>
          <w:rFonts w:eastAsia="Times New Roman"/>
          <w:iCs/>
          <w:szCs w:val="24"/>
          <w:lang w:val="en-CA"/>
        </w:rPr>
        <w:tab/>
      </w:r>
      <w:r w:rsidR="004260DF" w:rsidRPr="00EE7CA8">
        <w:rPr>
          <w:rFonts w:eastAsia="Times New Roman"/>
          <w:i/>
          <w:szCs w:val="24"/>
          <w:lang w:val="en-CA"/>
        </w:rPr>
        <w:t>Underlines</w:t>
      </w:r>
      <w:r w:rsidR="004260DF" w:rsidRPr="00EE7CA8">
        <w:rPr>
          <w:rFonts w:eastAsia="Times New Roman"/>
          <w:iCs/>
          <w:szCs w:val="24"/>
          <w:lang w:val="en-CA"/>
        </w:rPr>
        <w:t xml:space="preserve"> that it is important for eligible Parties to submit their letters of endorsement for the Global Environment Facility project to support the preparation of the second national reports in a timely manner, and recommends that implementing agencies involved in the project take steps to minimize administrative, procedural and operational delays in order to facilitate the expeditious disbursement of funding;</w:t>
      </w:r>
    </w:p>
    <w:p w14:paraId="7E70D549" w14:textId="38A42D5F" w:rsidR="00A2718E" w:rsidRPr="00EE7CA8" w:rsidRDefault="0043481F" w:rsidP="00A2718E">
      <w:pPr>
        <w:pStyle w:val="CBDsubpara-item"/>
        <w:ind w:left="567" w:firstLine="564"/>
        <w:jc w:val="both"/>
        <w:rPr>
          <w:lang w:val="en-ZA" w:eastAsia="en-GB"/>
        </w:rPr>
      </w:pPr>
      <w:r w:rsidRPr="00EE7CA8">
        <w:rPr>
          <w:lang w:val="en-ZA" w:eastAsia="en-GB"/>
        </w:rPr>
        <w:t>10</w:t>
      </w:r>
      <w:r w:rsidR="00A2718E" w:rsidRPr="00EE7CA8">
        <w:rPr>
          <w:lang w:val="en-ZA" w:eastAsia="en-GB"/>
        </w:rPr>
        <w:t>.</w:t>
      </w:r>
      <w:r w:rsidR="00A2718E" w:rsidRPr="00EE7CA8">
        <w:rPr>
          <w:lang w:val="en-ZA" w:eastAsia="en-GB"/>
        </w:rPr>
        <w:tab/>
      </w:r>
      <w:r w:rsidR="00A2718E" w:rsidRPr="00EE7CA8">
        <w:rPr>
          <w:i/>
          <w:iCs/>
          <w:lang w:val="en-ZA" w:eastAsia="en-GB"/>
        </w:rPr>
        <w:t>Recognizes</w:t>
      </w:r>
      <w:r w:rsidR="00A2718E" w:rsidRPr="00EE7CA8">
        <w:rPr>
          <w:lang w:val="en-ZA" w:eastAsia="en-GB"/>
        </w:rPr>
        <w:t xml:space="preserve"> the importance of ensuring the timely availability of financial resources for the preparation of national reports under the Nagoya Protocol;</w:t>
      </w:r>
    </w:p>
    <w:p w14:paraId="49B349DB" w14:textId="0D6D5B6C" w:rsidR="00A2718E" w:rsidRPr="00EE7CA8" w:rsidRDefault="0043481F" w:rsidP="00A2718E">
      <w:pPr>
        <w:pStyle w:val="CBDsubpara-item"/>
        <w:ind w:left="567" w:firstLine="564"/>
        <w:jc w:val="both"/>
        <w:rPr>
          <w:lang w:val="en-ZA" w:eastAsia="en-GB"/>
        </w:rPr>
      </w:pPr>
      <w:r w:rsidRPr="00EE7CA8">
        <w:rPr>
          <w:lang w:val="en-ZA" w:eastAsia="en-GB"/>
        </w:rPr>
        <w:t>11</w:t>
      </w:r>
      <w:r w:rsidR="00A2718E" w:rsidRPr="00EE7CA8">
        <w:rPr>
          <w:lang w:val="en-ZA" w:eastAsia="en-GB"/>
        </w:rPr>
        <w:t>.</w:t>
      </w:r>
      <w:r w:rsidR="00A2718E" w:rsidRPr="00EE7CA8">
        <w:rPr>
          <w:lang w:val="en-ZA" w:eastAsia="en-GB"/>
        </w:rPr>
        <w:tab/>
      </w:r>
      <w:r w:rsidR="00A2718E" w:rsidRPr="00EE7CA8">
        <w:rPr>
          <w:i/>
          <w:iCs/>
          <w:lang w:val="en-ZA" w:eastAsia="en-GB"/>
        </w:rPr>
        <w:t>Encourages</w:t>
      </w:r>
      <w:r w:rsidR="00A2718E" w:rsidRPr="00EE7CA8">
        <w:rPr>
          <w:lang w:val="en-ZA" w:eastAsia="en-GB"/>
        </w:rPr>
        <w:t xml:space="preserve"> efforts to facilitate early project development and implementation arrangements to support the preparation and submission of second national reports under the Nagoya Protocol;</w:t>
      </w:r>
    </w:p>
    <w:p w14:paraId="5D33D71A" w14:textId="375903C5" w:rsidR="004260DF" w:rsidRPr="00EE7CA8" w:rsidRDefault="0043481F" w:rsidP="004260DF">
      <w:pPr>
        <w:pStyle w:val="CBDNormalNoNumber"/>
        <w:keepNext/>
        <w:tabs>
          <w:tab w:val="clear" w:pos="567"/>
          <w:tab w:val="clear" w:pos="1134"/>
        </w:tabs>
        <w:ind w:firstLine="567"/>
        <w:rPr>
          <w:rFonts w:eastAsia="Times New Roman"/>
          <w:iCs/>
          <w:szCs w:val="24"/>
        </w:rPr>
      </w:pPr>
      <w:r w:rsidRPr="00EE7CA8">
        <w:rPr>
          <w:rFonts w:eastAsia="Times New Roman"/>
          <w:szCs w:val="24"/>
        </w:rPr>
        <w:t>12</w:t>
      </w:r>
      <w:r w:rsidR="004260DF" w:rsidRPr="00EE7CA8">
        <w:rPr>
          <w:rFonts w:eastAsia="Times New Roman"/>
          <w:szCs w:val="24"/>
        </w:rPr>
        <w:t>.</w:t>
      </w:r>
      <w:r w:rsidR="004260DF" w:rsidRPr="00EE7CA8">
        <w:rPr>
          <w:rFonts w:eastAsia="Times New Roman"/>
          <w:szCs w:val="24"/>
        </w:rPr>
        <w:tab/>
      </w:r>
      <w:r w:rsidR="004260DF" w:rsidRPr="00EE7CA8">
        <w:rPr>
          <w:rFonts w:eastAsia="Times New Roman"/>
          <w:i/>
          <w:szCs w:val="24"/>
        </w:rPr>
        <w:t xml:space="preserve">Requests </w:t>
      </w:r>
      <w:r w:rsidR="004260DF" w:rsidRPr="00EE7CA8">
        <w:rPr>
          <w:rFonts w:eastAsia="Times New Roman"/>
          <w:iCs/>
          <w:szCs w:val="24"/>
        </w:rPr>
        <w:t xml:space="preserve">the Executive </w:t>
      </w:r>
      <w:r w:rsidR="004260DF" w:rsidRPr="00EE7CA8">
        <w:t>Secretary</w:t>
      </w:r>
      <w:r w:rsidR="004260DF" w:rsidRPr="00EE7CA8">
        <w:rPr>
          <w:rFonts w:eastAsia="Times New Roman"/>
          <w:iCs/>
          <w:szCs w:val="24"/>
        </w:rPr>
        <w:t>:</w:t>
      </w:r>
    </w:p>
    <w:p w14:paraId="28CFF051" w14:textId="77777777" w:rsidR="004260DF" w:rsidRPr="00EE7CA8" w:rsidRDefault="004260DF" w:rsidP="004260DF">
      <w:pPr>
        <w:pStyle w:val="CBDNormalNoNumber"/>
        <w:tabs>
          <w:tab w:val="clear" w:pos="567"/>
          <w:tab w:val="clear" w:pos="1134"/>
        </w:tabs>
        <w:ind w:firstLine="567"/>
        <w:rPr>
          <w:rFonts w:eastAsia="Arial Unicode MS"/>
          <w:bCs/>
          <w:color w:val="000000"/>
          <w:kern w:val="22"/>
          <w:u w:color="000000"/>
          <w:bdr w:val="nil"/>
        </w:rPr>
      </w:pPr>
      <w:r w:rsidRPr="00EE7CA8">
        <w:rPr>
          <w:rFonts w:eastAsia="Arial Unicode MS"/>
          <w:bCs/>
          <w:color w:val="000000"/>
          <w:kern w:val="22"/>
          <w:u w:color="000000"/>
          <w:bdr w:val="nil"/>
        </w:rPr>
        <w:t>(a)</w:t>
      </w:r>
      <w:r w:rsidRPr="00EE7CA8">
        <w:rPr>
          <w:rFonts w:eastAsia="Arial Unicode MS"/>
          <w:bCs/>
          <w:color w:val="000000"/>
          <w:kern w:val="22"/>
          <w:u w:color="000000"/>
          <w:bdr w:val="nil"/>
        </w:rPr>
        <w:tab/>
        <w:t xml:space="preserve">To disseminate information on existing financial resources and funding opportunities to Parties and indigenous </w:t>
      </w:r>
      <w:r w:rsidRPr="00EE7CA8">
        <w:t>peoples</w:t>
      </w:r>
      <w:r w:rsidRPr="00EE7CA8">
        <w:rPr>
          <w:rFonts w:eastAsia="Arial Unicode MS"/>
          <w:bCs/>
          <w:color w:val="000000"/>
          <w:kern w:val="22"/>
          <w:u w:color="000000"/>
          <w:bdr w:val="nil"/>
        </w:rPr>
        <w:t xml:space="preserve"> and local communities, women and youth for the implementation of the </w:t>
      </w:r>
      <w:r w:rsidRPr="00EE7CA8">
        <w:rPr>
          <w:rFonts w:eastAsia="Times New Roman"/>
          <w:iCs/>
          <w:szCs w:val="24"/>
        </w:rPr>
        <w:t xml:space="preserve">Nagoya </w:t>
      </w:r>
      <w:r w:rsidRPr="00EE7CA8">
        <w:rPr>
          <w:rFonts w:eastAsia="Arial Unicode MS"/>
          <w:bCs/>
          <w:color w:val="000000"/>
          <w:kern w:val="22"/>
          <w:u w:color="000000"/>
          <w:bdr w:val="nil"/>
        </w:rPr>
        <w:t>Protocol;</w:t>
      </w:r>
    </w:p>
    <w:p w14:paraId="4C430E2B" w14:textId="77777777" w:rsidR="004260DF" w:rsidRPr="00EE7CA8" w:rsidRDefault="004260DF" w:rsidP="004260DF">
      <w:pPr>
        <w:pStyle w:val="CBDNormalNoNumber"/>
        <w:tabs>
          <w:tab w:val="clear" w:pos="567"/>
          <w:tab w:val="clear" w:pos="1134"/>
        </w:tabs>
        <w:ind w:firstLine="567"/>
        <w:rPr>
          <w:rFonts w:eastAsia="Times New Roman"/>
          <w:iCs/>
          <w:szCs w:val="24"/>
        </w:rPr>
      </w:pPr>
      <w:r w:rsidRPr="00EE7CA8">
        <w:rPr>
          <w:rFonts w:eastAsia="Arial Unicode MS"/>
          <w:bCs/>
          <w:color w:val="000000"/>
          <w:kern w:val="22"/>
          <w:u w:color="000000"/>
          <w:bdr w:val="nil"/>
        </w:rPr>
        <w:t>(b)</w:t>
      </w:r>
      <w:r w:rsidRPr="00EE7CA8">
        <w:rPr>
          <w:rFonts w:eastAsia="Arial Unicode MS"/>
          <w:bCs/>
          <w:color w:val="000000"/>
          <w:kern w:val="22"/>
          <w:u w:color="000000"/>
          <w:bdr w:val="nil"/>
        </w:rPr>
        <w:tab/>
        <w:t xml:space="preserve">To take </w:t>
      </w:r>
      <w:r w:rsidRPr="00EE7CA8">
        <w:rPr>
          <w:rFonts w:eastAsia="Times New Roman"/>
          <w:iCs/>
          <w:szCs w:val="24"/>
        </w:rPr>
        <w:t xml:space="preserve">into account the </w:t>
      </w:r>
      <w:r w:rsidRPr="00EE7CA8">
        <w:t>outcomes</w:t>
      </w:r>
      <w:r w:rsidRPr="00EE7CA8">
        <w:rPr>
          <w:rFonts w:eastAsia="Times New Roman"/>
          <w:iCs/>
          <w:szCs w:val="24"/>
        </w:rPr>
        <w:t xml:space="preserve"> of the second assessment and review, including the needs of </w:t>
      </w:r>
      <w:r w:rsidRPr="00EE7CA8">
        <w:rPr>
          <w:rFonts w:eastAsia="Times New Roman"/>
          <w:szCs w:val="24"/>
        </w:rPr>
        <w:t>developing country Parties, in particular the least developed countries and the small island developing States among them, and Parties with economies in transition,</w:t>
      </w:r>
      <w:r w:rsidRPr="00EE7CA8">
        <w:rPr>
          <w:rFonts w:eastAsia="Times New Roman"/>
          <w:iCs/>
          <w:szCs w:val="24"/>
        </w:rPr>
        <w:t xml:space="preserve"> when preparing the documentation related to the four-year outcome-oriented framework of programme priorities for the tenth replenishment period of the Global Environment Facility Trust Fund that will be submitted for </w:t>
      </w:r>
      <w:r w:rsidRPr="00EE7CA8">
        <w:rPr>
          <w:rFonts w:eastAsia="Times New Roman"/>
          <w:iCs/>
          <w:szCs w:val="24"/>
        </w:rPr>
        <w:lastRenderedPageBreak/>
        <w:t>consideration by the Conference of the Parties serving as the meeting of the Parties to the Nagoya Protocol at its seventh meeting;</w:t>
      </w:r>
    </w:p>
    <w:p w14:paraId="1C6BFB0F" w14:textId="6CF2659E" w:rsidR="00A2718E" w:rsidRPr="00EE7CA8" w:rsidRDefault="0043481F" w:rsidP="00A2718E">
      <w:pPr>
        <w:pStyle w:val="CBDsubpara-item"/>
        <w:ind w:left="567" w:firstLine="564"/>
        <w:jc w:val="both"/>
        <w:rPr>
          <w:lang w:val="en-ZA" w:eastAsia="en-GB"/>
        </w:rPr>
      </w:pPr>
      <w:r w:rsidRPr="00EE7CA8">
        <w:rPr>
          <w:lang w:val="en-ZA" w:eastAsia="en-GB"/>
        </w:rPr>
        <w:t>13</w:t>
      </w:r>
      <w:r w:rsidR="00A2718E" w:rsidRPr="00EE7CA8">
        <w:rPr>
          <w:lang w:val="en-ZA" w:eastAsia="en-GB"/>
        </w:rPr>
        <w:t>.</w:t>
      </w:r>
      <w:r w:rsidR="00A2718E" w:rsidRPr="00EE7CA8">
        <w:rPr>
          <w:lang w:val="en-ZA" w:eastAsia="en-GB"/>
        </w:rPr>
        <w:tab/>
      </w:r>
      <w:r w:rsidR="00A2718E" w:rsidRPr="00EE7CA8">
        <w:rPr>
          <w:i/>
          <w:iCs/>
          <w:lang w:val="en-ZA" w:eastAsia="en-GB"/>
        </w:rPr>
        <w:t xml:space="preserve">Recommends </w:t>
      </w:r>
      <w:r w:rsidR="00A2718E" w:rsidRPr="00EE7CA8">
        <w:rPr>
          <w:lang w:val="en-ZA" w:eastAsia="en-GB"/>
        </w:rPr>
        <w:t xml:space="preserve">that the Conference of the Parties to the Convention </w:t>
      </w:r>
      <w:proofErr w:type="gramStart"/>
      <w:r w:rsidR="00A2718E" w:rsidRPr="00EE7CA8">
        <w:rPr>
          <w:lang w:val="en-ZA" w:eastAsia="en-GB"/>
        </w:rPr>
        <w:t>give full consideration to</w:t>
      </w:r>
      <w:proofErr w:type="gramEnd"/>
      <w:r w:rsidR="00A2718E" w:rsidRPr="00EE7CA8">
        <w:rPr>
          <w:lang w:val="en-ZA" w:eastAsia="en-GB"/>
        </w:rPr>
        <w:t xml:space="preserve"> the Nagoya Protocol in the terms of reference to be adopted for the seventh quadrennial review of the effectiveness of the financial mechanism under the Convention;</w:t>
      </w:r>
    </w:p>
    <w:p w14:paraId="758B322E" w14:textId="4399A52C" w:rsidR="00A2718E" w:rsidRPr="00EE7CA8" w:rsidRDefault="0043481F" w:rsidP="00A2718E">
      <w:pPr>
        <w:pStyle w:val="CBDsubpara-item"/>
        <w:ind w:left="567" w:firstLine="564"/>
        <w:jc w:val="both"/>
        <w:rPr>
          <w:i/>
          <w:iCs/>
          <w:lang w:val="en-ZA" w:eastAsia="en-GB"/>
        </w:rPr>
      </w:pPr>
      <w:r w:rsidRPr="00EE7CA8">
        <w:rPr>
          <w:lang w:val="en-ZA" w:eastAsia="en-GB"/>
        </w:rPr>
        <w:t>14</w:t>
      </w:r>
      <w:r w:rsidR="00A2718E" w:rsidRPr="00EE7CA8">
        <w:rPr>
          <w:lang w:val="en-ZA" w:eastAsia="en-GB"/>
        </w:rPr>
        <w:t>.</w:t>
      </w:r>
      <w:r w:rsidR="00A2718E" w:rsidRPr="00EE7CA8">
        <w:rPr>
          <w:lang w:val="en-ZA" w:eastAsia="en-GB"/>
        </w:rPr>
        <w:tab/>
      </w:r>
      <w:r w:rsidR="00A2718E" w:rsidRPr="00EE7CA8">
        <w:rPr>
          <w:i/>
          <w:iCs/>
          <w:lang w:val="en-ZA" w:eastAsia="en-GB"/>
        </w:rPr>
        <w:t xml:space="preserve">Invites </w:t>
      </w:r>
      <w:r w:rsidR="00A2718E" w:rsidRPr="00EE7CA8">
        <w:rPr>
          <w:lang w:val="en-ZA" w:eastAsia="en-GB"/>
        </w:rPr>
        <w:t>Parties to the Nagoya Protocol to contribute to and participate in the seventh quadrennial review of the effectiveness of the financial mechanism</w:t>
      </w:r>
      <w:r w:rsidR="00577365" w:rsidRPr="00EE7CA8">
        <w:rPr>
          <w:lang w:val="en-ZA" w:eastAsia="en-GB"/>
        </w:rPr>
        <w:t>;</w:t>
      </w:r>
    </w:p>
    <w:p w14:paraId="4383710C" w14:textId="78625DF3" w:rsidR="004260DF" w:rsidRPr="006B144A" w:rsidRDefault="004260DF" w:rsidP="004260DF">
      <w:pPr>
        <w:pStyle w:val="CBDNormalNoNumber"/>
        <w:tabs>
          <w:tab w:val="clear" w:pos="567"/>
          <w:tab w:val="clear" w:pos="1134"/>
        </w:tabs>
        <w:ind w:firstLine="567"/>
        <w:rPr>
          <w:rFonts w:eastAsia="Arial Unicode MS"/>
          <w:bCs/>
          <w:color w:val="000000"/>
          <w:kern w:val="22"/>
          <w:u w:color="000000"/>
          <w:bdr w:val="nil"/>
        </w:rPr>
      </w:pPr>
      <w:r w:rsidRPr="00EE7CA8">
        <w:rPr>
          <w:rFonts w:eastAsia="Times New Roman"/>
          <w:iCs/>
          <w:szCs w:val="24"/>
        </w:rPr>
        <w:t>[</w:t>
      </w:r>
      <w:r w:rsidR="0043481F" w:rsidRPr="00EE7CA8">
        <w:rPr>
          <w:rFonts w:eastAsia="Times New Roman"/>
          <w:iCs/>
          <w:szCs w:val="24"/>
        </w:rPr>
        <w:t>15</w:t>
      </w:r>
      <w:r w:rsidRPr="00EE7CA8">
        <w:rPr>
          <w:rFonts w:eastAsia="Times New Roman"/>
          <w:iCs/>
          <w:szCs w:val="24"/>
        </w:rPr>
        <w:t>.</w:t>
      </w:r>
      <w:r w:rsidRPr="00EE7CA8">
        <w:rPr>
          <w:rFonts w:eastAsia="Times New Roman"/>
          <w:iCs/>
          <w:szCs w:val="24"/>
        </w:rPr>
        <w:tab/>
      </w:r>
      <w:r w:rsidRPr="00EE7CA8">
        <w:rPr>
          <w:rFonts w:eastAsia="Times New Roman"/>
          <w:i/>
          <w:szCs w:val="24"/>
        </w:rPr>
        <w:t>Invites</w:t>
      </w:r>
      <w:r w:rsidRPr="00EE7CA8">
        <w:rPr>
          <w:rFonts w:eastAsia="Times New Roman"/>
          <w:iCs/>
          <w:szCs w:val="24"/>
        </w:rPr>
        <w:t xml:space="preserve"> the Conference of the Parties to the Convention to ensure that, when it adopts the integrated programme of work and budget for the biennium 2027–2028, the core functions of the Secretariat related to the Nagoya Protocol, including the Access and Benefit-sharing Clearing-House and the compliance mechanism, are provided for in the core programme budget.]</w:t>
      </w:r>
    </w:p>
    <w:p w14:paraId="45239E9E" w14:textId="77777777" w:rsidR="00511703" w:rsidRDefault="00511703" w:rsidP="00295B08">
      <w:pPr>
        <w:pStyle w:val="CBDNormalNumber"/>
        <w:numPr>
          <w:ilvl w:val="0"/>
          <w:numId w:val="0"/>
        </w:numPr>
        <w:ind w:left="567"/>
      </w:pPr>
    </w:p>
    <w:p w14:paraId="68C555DE" w14:textId="6395456D" w:rsidR="00295B08" w:rsidRDefault="00295B08" w:rsidP="000404F6">
      <w:pPr>
        <w:pStyle w:val="CBDNormalNumber"/>
        <w:numPr>
          <w:ilvl w:val="0"/>
          <w:numId w:val="0"/>
        </w:numPr>
      </w:pPr>
    </w:p>
    <w:p w14:paraId="3B04DD3F" w14:textId="70BB32BA" w:rsidR="00B70DC0" w:rsidRPr="00A04A62" w:rsidRDefault="00B70DC0" w:rsidP="00295B08">
      <w:pPr>
        <w:pStyle w:val="CBDNormalNumber"/>
        <w:numPr>
          <w:ilvl w:val="0"/>
          <w:numId w:val="0"/>
        </w:numPr>
        <w:ind w:left="567"/>
      </w:pPr>
    </w:p>
    <w:p w14:paraId="448E9217"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112FA425" w14:textId="0AFB28CB" w:rsidR="00B70DC0" w:rsidRPr="00EE7CA8" w:rsidRDefault="00B70DC0" w:rsidP="008C02D0">
      <w:pPr>
        <w:pStyle w:val="CBDAgendaItem"/>
        <w:rPr>
          <w:rFonts w:hint="eastAsia"/>
          <w:sz w:val="26"/>
          <w:szCs w:val="26"/>
        </w:rPr>
      </w:pPr>
      <w:bookmarkStart w:id="10" w:name="_Toc241588364"/>
      <w:r w:rsidRPr="00EE7CA8">
        <w:rPr>
          <w:rFonts w:hint="eastAsia"/>
          <w:sz w:val="26"/>
          <w:szCs w:val="26"/>
        </w:rPr>
        <w:lastRenderedPageBreak/>
        <w:t xml:space="preserve">Item 11 </w:t>
      </w:r>
      <w:r w:rsidR="00BE6CBC" w:rsidRPr="00EE7CA8">
        <w:rPr>
          <w:rFonts w:hint="eastAsia"/>
          <w:sz w:val="26"/>
          <w:szCs w:val="26"/>
        </w:rPr>
        <w:br/>
      </w:r>
      <w:r w:rsidRPr="00EE7CA8">
        <w:rPr>
          <w:rFonts w:hint="eastAsia"/>
          <w:sz w:val="26"/>
          <w:szCs w:val="26"/>
        </w:rPr>
        <w:t xml:space="preserve">Specialized international access and benefit-sharing instruments </w:t>
      </w:r>
      <w:r w:rsidR="00A91062" w:rsidRPr="00EE7CA8">
        <w:rPr>
          <w:rFonts w:hint="eastAsia"/>
          <w:sz w:val="26"/>
          <w:szCs w:val="26"/>
        </w:rPr>
        <w:br/>
      </w:r>
      <w:r w:rsidRPr="00EE7CA8">
        <w:rPr>
          <w:rFonts w:hint="eastAsia"/>
          <w:sz w:val="26"/>
          <w:szCs w:val="26"/>
        </w:rPr>
        <w:t>in the context of Article</w:t>
      </w:r>
      <w:r w:rsidR="00B52453" w:rsidRPr="00EE7CA8">
        <w:rPr>
          <w:rFonts w:hint="eastAsia"/>
          <w:sz w:val="26"/>
          <w:szCs w:val="26"/>
        </w:rPr>
        <w:t> </w:t>
      </w:r>
      <w:r w:rsidRPr="00EE7CA8">
        <w:rPr>
          <w:rFonts w:hint="eastAsia"/>
          <w:sz w:val="26"/>
          <w:szCs w:val="26"/>
        </w:rPr>
        <w:t>4, paragraph</w:t>
      </w:r>
      <w:r w:rsidR="00B52453" w:rsidRPr="00EE7CA8">
        <w:rPr>
          <w:rFonts w:hint="eastAsia"/>
          <w:sz w:val="26"/>
          <w:szCs w:val="26"/>
        </w:rPr>
        <w:t> </w:t>
      </w:r>
      <w:r w:rsidRPr="00EE7CA8">
        <w:rPr>
          <w:rFonts w:hint="eastAsia"/>
          <w:sz w:val="26"/>
          <w:szCs w:val="26"/>
        </w:rPr>
        <w:t>4, of the Nagoya Protocol</w:t>
      </w:r>
      <w:bookmarkEnd w:id="10"/>
    </w:p>
    <w:tbl>
      <w:tblPr>
        <w:tblStyle w:val="TableGrid"/>
        <w:tblW w:w="0" w:type="auto"/>
        <w:tblLook w:val="04A0" w:firstRow="1" w:lastRow="0" w:firstColumn="1" w:lastColumn="0" w:noHBand="0" w:noVBand="1"/>
      </w:tblPr>
      <w:tblGrid>
        <w:gridCol w:w="9360"/>
      </w:tblGrid>
      <w:tr w:rsidR="00A13F14" w:rsidRPr="006E0A47" w14:paraId="30AC2866" w14:textId="77777777" w:rsidTr="00E44EC1">
        <w:tc>
          <w:tcPr>
            <w:tcW w:w="9360" w:type="dxa"/>
            <w:tcBorders>
              <w:left w:val="nil"/>
              <w:right w:val="nil"/>
            </w:tcBorders>
          </w:tcPr>
          <w:p w14:paraId="5B17873D" w14:textId="69AB8B28" w:rsidR="00A13F14" w:rsidRPr="006E0A47" w:rsidRDefault="00A13F14" w:rsidP="00EE7CA8">
            <w:pPr>
              <w:pStyle w:val="CBDcompilation-blurb"/>
              <w:tabs>
                <w:tab w:val="clear" w:pos="567"/>
              </w:tabs>
              <w:ind w:left="0" w:firstLine="602"/>
            </w:pPr>
            <w:r w:rsidRPr="006E0A47">
              <w:t>The following draft decision ha</w:t>
            </w:r>
            <w:r>
              <w:t>s</w:t>
            </w:r>
            <w:r w:rsidRPr="006E0A47">
              <w:t xml:space="preserve"> been reproduced from </w:t>
            </w:r>
            <w:r w:rsidR="003956DB">
              <w:t xml:space="preserve">recommendation </w:t>
            </w:r>
            <w:hyperlink r:id="rId52" w:history="1">
              <w:r w:rsidR="003956DB" w:rsidRPr="00B7499D">
                <w:rPr>
                  <w:rStyle w:val="Hyperlink"/>
                </w:rPr>
                <w:t>6/7</w:t>
              </w:r>
            </w:hyperlink>
            <w:r w:rsidR="003956DB">
              <w:t xml:space="preserve"> of the Subsidiary Body on Implementation</w:t>
            </w:r>
            <w:r w:rsidR="00B7499D">
              <w:t>.</w:t>
            </w:r>
          </w:p>
        </w:tc>
      </w:tr>
    </w:tbl>
    <w:p w14:paraId="67A8E1E7" w14:textId="3FB7F29D" w:rsidR="001A111A" w:rsidRPr="000065BF" w:rsidRDefault="000065BF" w:rsidP="000065BF">
      <w:pPr>
        <w:pStyle w:val="CBDSubTitle"/>
        <w:rPr>
          <w:i/>
          <w:iCs/>
          <w:sz w:val="24"/>
          <w:szCs w:val="24"/>
        </w:rPr>
      </w:pPr>
      <w:r w:rsidRPr="000065BF">
        <w:rPr>
          <w:sz w:val="24"/>
          <w:szCs w:val="24"/>
        </w:rPr>
        <w:t>Specialized international access and benefit-sharing instruments in the context of Article 4, paragraph 4, of the Nagoya Protocol</w:t>
      </w:r>
    </w:p>
    <w:p w14:paraId="364FFB66" w14:textId="3D25A146" w:rsidR="00BA61B1" w:rsidRPr="00211E35" w:rsidRDefault="00BA61B1" w:rsidP="001A111A">
      <w:pPr>
        <w:pStyle w:val="CBDDesicionText"/>
        <w:tabs>
          <w:tab w:val="clear" w:pos="567"/>
          <w:tab w:val="clear" w:pos="1134"/>
        </w:tabs>
        <w:ind w:left="567"/>
        <w:rPr>
          <w:i/>
          <w:iCs/>
        </w:rPr>
      </w:pPr>
      <w:r w:rsidRPr="00211E35">
        <w:rPr>
          <w:i/>
          <w:iCs/>
        </w:rPr>
        <w:t>The Conference of the Parties serving as the meeting of the Parties to the Nagoya Protocol</w:t>
      </w:r>
      <w:r w:rsidRPr="00211E35">
        <w:t>,</w:t>
      </w:r>
    </w:p>
    <w:p w14:paraId="356C4E86" w14:textId="77777777" w:rsidR="00BA61B1" w:rsidRPr="00E86195" w:rsidRDefault="00BA61B1" w:rsidP="001A111A">
      <w:pPr>
        <w:pStyle w:val="CBDDesicionText"/>
        <w:tabs>
          <w:tab w:val="clear" w:pos="567"/>
          <w:tab w:val="clear" w:pos="1134"/>
        </w:tabs>
        <w:ind w:left="567"/>
      </w:pPr>
      <w:r w:rsidRPr="002A27FE">
        <w:t>[</w:t>
      </w:r>
      <w:r w:rsidRPr="00211E35">
        <w:rPr>
          <w:i/>
          <w:iCs/>
        </w:rPr>
        <w:t>Recalling</w:t>
      </w:r>
      <w:r w:rsidRPr="00E86195">
        <w:rPr>
          <w:i/>
          <w:iCs/>
        </w:rPr>
        <w:t xml:space="preserve"> </w:t>
      </w:r>
      <w:hyperlink r:id="rId53" w:history="1">
        <w:r w:rsidRPr="009B5624">
          <w:t xml:space="preserve">paragraph 4 of </w:t>
        </w:r>
        <w:r>
          <w:t xml:space="preserve">Article 4 of </w:t>
        </w:r>
        <w:r w:rsidRPr="009B5624">
          <w:t>the Nagoya Protocol</w:t>
        </w:r>
      </w:hyperlink>
      <w:bookmarkStart w:id="11" w:name="_Hlk216706052"/>
      <w:r>
        <w:t xml:space="preserve"> </w:t>
      </w:r>
      <w:r w:rsidRPr="002F479E">
        <w:t>on Access to Genetic Resources and the Fair and Equitable Sharing of Benefits Arising from Their Utilization</w:t>
      </w:r>
      <w:bookmarkEnd w:id="11"/>
      <w:r>
        <w:t>,</w:t>
      </w:r>
      <w:r>
        <w:rPr>
          <w:rStyle w:val="FootnoteReference"/>
        </w:rPr>
        <w:footnoteReference w:id="37"/>
      </w:r>
    </w:p>
    <w:p w14:paraId="170D35B0" w14:textId="77777777" w:rsidR="00BA61B1" w:rsidRPr="00E86195" w:rsidRDefault="00BA61B1" w:rsidP="001A111A">
      <w:pPr>
        <w:pStyle w:val="CBDDesicionText"/>
        <w:tabs>
          <w:tab w:val="clear" w:pos="567"/>
          <w:tab w:val="clear" w:pos="1134"/>
        </w:tabs>
        <w:ind w:left="567"/>
      </w:pPr>
      <w:r w:rsidRPr="00E86195">
        <w:rPr>
          <w:i/>
          <w:iCs/>
        </w:rPr>
        <w:t>Recognizing</w:t>
      </w:r>
      <w:r w:rsidRPr="00E86195">
        <w:t xml:space="preserve"> the need to enhance legal clarity, equity and coherence in the implementation of </w:t>
      </w:r>
      <w:r>
        <w:t xml:space="preserve">paragraph </w:t>
      </w:r>
      <w:r w:rsidRPr="00E86195">
        <w:t>4</w:t>
      </w:r>
      <w:r>
        <w:t xml:space="preserve"> of </w:t>
      </w:r>
      <w:r w:rsidRPr="00E86195">
        <w:t>Article 4</w:t>
      </w:r>
      <w:r>
        <w:t xml:space="preserve"> of the Nagoya Protocol</w:t>
      </w:r>
      <w:r w:rsidRPr="00E86195">
        <w:t xml:space="preserve"> and to avoid duplication and fragmentation across access and benefit-sharing regimes,</w:t>
      </w:r>
    </w:p>
    <w:p w14:paraId="70D14D98" w14:textId="77777777" w:rsidR="00BA61B1" w:rsidRPr="00E1694B" w:rsidRDefault="00BA61B1" w:rsidP="001A111A">
      <w:pPr>
        <w:pStyle w:val="CBDDesicionText"/>
        <w:tabs>
          <w:tab w:val="clear" w:pos="567"/>
          <w:tab w:val="clear" w:pos="1134"/>
        </w:tabs>
        <w:ind w:left="567"/>
      </w:pPr>
      <w:r w:rsidRPr="00E86195">
        <w:rPr>
          <w:i/>
          <w:iCs/>
        </w:rPr>
        <w:t xml:space="preserve">Affirming </w:t>
      </w:r>
      <w:r w:rsidRPr="00E86195">
        <w:t>the importance of maintaining mutual supportiveness among international instruments</w:t>
      </w:r>
      <w:r>
        <w:t>, in accordance with paragraph 3 of Article 4 of the Nagoya Protocol,</w:t>
      </w:r>
      <w:r w:rsidRPr="00E86195">
        <w:t xml:space="preserve"> and </w:t>
      </w:r>
      <w:r>
        <w:t xml:space="preserve">of </w:t>
      </w:r>
      <w:r w:rsidRPr="00E86195">
        <w:t>respecting the sovereign rights of Parties,</w:t>
      </w:r>
    </w:p>
    <w:p w14:paraId="289AA3F3" w14:textId="77777777" w:rsidR="00BA61B1" w:rsidRPr="00E1694B" w:rsidRDefault="00BA61B1" w:rsidP="001A111A">
      <w:pPr>
        <w:pStyle w:val="CBDDesicionText"/>
        <w:tabs>
          <w:tab w:val="clear" w:pos="567"/>
          <w:tab w:val="clear" w:pos="1134"/>
        </w:tabs>
        <w:ind w:left="567"/>
      </w:pPr>
      <w:r w:rsidRPr="00E1694B">
        <w:rPr>
          <w:i/>
        </w:rPr>
        <w:t>Recalling</w:t>
      </w:r>
      <w:r w:rsidRPr="00E1694B">
        <w:t xml:space="preserve"> </w:t>
      </w:r>
      <w:hyperlink r:id="rId54" w:history="1">
        <w:r w:rsidRPr="00E1694B">
          <w:t>Article 10 of the Nagoya Protocol</w:t>
        </w:r>
      </w:hyperlink>
      <w:r w:rsidRPr="00E1694B">
        <w:t>,</w:t>
      </w:r>
      <w:r>
        <w:t>]</w:t>
      </w:r>
    </w:p>
    <w:p w14:paraId="4F907220" w14:textId="49BC7CBC" w:rsidR="00BA61B1" w:rsidRPr="00FD0C46" w:rsidRDefault="00BA61B1" w:rsidP="001A111A">
      <w:pPr>
        <w:pStyle w:val="CBDDesicionText"/>
        <w:tabs>
          <w:tab w:val="clear" w:pos="567"/>
          <w:tab w:val="clear" w:pos="1134"/>
        </w:tabs>
        <w:ind w:left="567"/>
      </w:pPr>
      <w:r>
        <w:t>[</w:t>
      </w:r>
      <w:r w:rsidRPr="00FD0C46">
        <w:t>1.</w:t>
      </w:r>
      <w:r w:rsidRPr="00FD0C46">
        <w:rPr>
          <w:i/>
          <w:iCs/>
        </w:rPr>
        <w:tab/>
        <w:t>Takes note</w:t>
      </w:r>
      <w:r w:rsidRPr="00FD0C46">
        <w:t xml:space="preserve"> of the </w:t>
      </w:r>
      <w:r>
        <w:t xml:space="preserve">synthesis </w:t>
      </w:r>
      <w:r w:rsidRPr="00FD0C46">
        <w:t>of submissions received pursuant to decision</w:t>
      </w:r>
      <w:r w:rsidR="00BF0EB8">
        <w:t> </w:t>
      </w:r>
      <w:hyperlink r:id="rId55" w:history="1">
        <w:r w:rsidRPr="00FD0C46">
          <w:rPr>
            <w:rStyle w:val="Hyperlink"/>
          </w:rPr>
          <w:t>NP-5/8</w:t>
        </w:r>
      </w:hyperlink>
      <w:r w:rsidRPr="00FD0C46">
        <w:t xml:space="preserve"> of 25</w:t>
      </w:r>
      <w:r w:rsidR="009C4033">
        <w:t> </w:t>
      </w:r>
      <w:r w:rsidRPr="00FD0C46">
        <w:t>October 2024, as contained in document</w:t>
      </w:r>
      <w:r w:rsidR="00BF0EB8">
        <w:t> </w:t>
      </w:r>
      <w:hyperlink r:id="rId56" w:history="1">
        <w:r w:rsidRPr="00657870">
          <w:rPr>
            <w:rStyle w:val="Hyperlink"/>
          </w:rPr>
          <w:t>CBD/SBI/6/8</w:t>
        </w:r>
      </w:hyperlink>
      <w:r w:rsidRPr="00FD0C46">
        <w:t>, which provides a basis for further consideration of the process for recognizing specialized international access and benefit-sharing instruments under paragraph 4 of Article 4 of the Nagoya Protocol on Access to Genetic Resources and the Fair and Equitable Sharing of Benefits Arising from Their Utilization;</w:t>
      </w:r>
    </w:p>
    <w:p w14:paraId="73770F16" w14:textId="77777777" w:rsidR="00BA61B1" w:rsidRDefault="00BA61B1" w:rsidP="001A111A">
      <w:pPr>
        <w:pStyle w:val="CBDDesicionText"/>
        <w:tabs>
          <w:tab w:val="clear" w:pos="567"/>
          <w:tab w:val="clear" w:pos="1134"/>
        </w:tabs>
        <w:ind w:left="567"/>
      </w:pPr>
      <w:r w:rsidRPr="00FD0C46">
        <w:t>2.</w:t>
      </w:r>
      <w:r w:rsidRPr="00FD0C46">
        <w:rPr>
          <w:i/>
          <w:iCs/>
        </w:rPr>
        <w:tab/>
      </w:r>
      <w:r>
        <w:rPr>
          <w:i/>
          <w:iCs/>
        </w:rPr>
        <w:t>Also t</w:t>
      </w:r>
      <w:r w:rsidRPr="00FD0C46">
        <w:rPr>
          <w:i/>
          <w:iCs/>
        </w:rPr>
        <w:t xml:space="preserve">akes note </w:t>
      </w:r>
      <w:r w:rsidRPr="00FD0C46">
        <w:t>of the options proposed in section I of annex</w:t>
      </w:r>
      <w:r>
        <w:t> I</w:t>
      </w:r>
      <w:r w:rsidRPr="00FD0C46">
        <w:t xml:space="preserve"> to the present decision as potential pathways to address the process for recognizing a specialized international access and benefit-sharing instrument under paragraph 4 of Article 4 of the Nagoya Protocol;</w:t>
      </w:r>
      <w:r>
        <w:t>]</w:t>
      </w:r>
    </w:p>
    <w:p w14:paraId="398ABA8D" w14:textId="77777777" w:rsidR="00BA61B1" w:rsidRDefault="00BA61B1" w:rsidP="001A111A">
      <w:pPr>
        <w:pStyle w:val="CBDDesicionText"/>
        <w:tabs>
          <w:tab w:val="clear" w:pos="567"/>
          <w:tab w:val="clear" w:pos="1134"/>
        </w:tabs>
        <w:ind w:left="567"/>
      </w:pPr>
      <w:r w:rsidRPr="00222B9B">
        <w:t>3</w:t>
      </w:r>
      <w:r>
        <w:t>.</w:t>
      </w:r>
      <w:r>
        <w:tab/>
      </w:r>
      <w:r w:rsidRPr="00222B9B">
        <w:rPr>
          <w:i/>
          <w:iCs/>
        </w:rPr>
        <w:t>Invites</w:t>
      </w:r>
      <w:r w:rsidRPr="00222B9B">
        <w:t xml:space="preserve"> Parties, other Governments, indigenous peoples and local communities, relevant stakeholders and international organizations and processes to submit views on the options and indicative criteria</w:t>
      </w:r>
      <w:r>
        <w:t>,</w:t>
      </w:r>
      <w:r w:rsidRPr="00222B9B">
        <w:t xml:space="preserve"> including additional proposals, </w:t>
      </w:r>
      <w:r>
        <w:t>for</w:t>
      </w:r>
      <w:r w:rsidRPr="00222B9B">
        <w:t xml:space="preserve"> specialized international access and benefit</w:t>
      </w:r>
      <w:r w:rsidRPr="00222B9B">
        <w:noBreakHyphen/>
        <w:t>sharing instruments, as set out in sections I and II of annex </w:t>
      </w:r>
      <w:r>
        <w:t>I</w:t>
      </w:r>
      <w:r w:rsidRPr="00222B9B">
        <w:t xml:space="preserve"> to the present </w:t>
      </w:r>
      <w:r>
        <w:t>decision, respectively;</w:t>
      </w:r>
    </w:p>
    <w:p w14:paraId="1A237AEF" w14:textId="77777777" w:rsidR="00BA61B1" w:rsidRPr="00222B9B" w:rsidRDefault="00BA61B1" w:rsidP="001A111A">
      <w:pPr>
        <w:pStyle w:val="CBDDesicionText"/>
        <w:tabs>
          <w:tab w:val="clear" w:pos="567"/>
          <w:tab w:val="clear" w:pos="1134"/>
        </w:tabs>
        <w:ind w:left="567"/>
      </w:pPr>
      <w:r w:rsidRPr="00844AE7">
        <w:t>4.</w:t>
      </w:r>
      <w:r w:rsidRPr="00844AE7">
        <w:tab/>
      </w:r>
      <w:r w:rsidRPr="00844AE7">
        <w:rPr>
          <w:i/>
          <w:iCs/>
        </w:rPr>
        <w:t>Decides</w:t>
      </w:r>
      <w:r w:rsidRPr="00844AE7">
        <w:t xml:space="preserve"> to establish an informal group</w:t>
      </w:r>
      <w:r w:rsidRPr="00844AE7">
        <w:rPr>
          <w:rStyle w:val="FootnoteReference"/>
        </w:rPr>
        <w:footnoteReference w:id="38"/>
      </w:r>
      <w:r w:rsidRPr="00844AE7">
        <w:t xml:space="preserve"> to advance work </w:t>
      </w:r>
      <w:r>
        <w:t>[</w:t>
      </w:r>
      <w:r w:rsidRPr="00844AE7">
        <w:t>on paragraph</w:t>
      </w:r>
      <w:r>
        <w:t> </w:t>
      </w:r>
      <w:r w:rsidRPr="00844AE7">
        <w:t>4 of Article</w:t>
      </w:r>
      <w:r>
        <w:t> </w:t>
      </w:r>
      <w:r w:rsidRPr="00844AE7">
        <w:t>4</w:t>
      </w:r>
      <w:r>
        <w:t>,</w:t>
      </w:r>
      <w:r w:rsidRPr="00844AE7">
        <w:t xml:space="preserve">] through </w:t>
      </w:r>
      <w:r>
        <w:t>[</w:t>
      </w:r>
      <w:r w:rsidRPr="00844AE7">
        <w:t>a</w:t>
      </w:r>
      <w:r>
        <w:t>][a</w:t>
      </w:r>
      <w:r w:rsidRPr="00844AE7">
        <w:t>n online</w:t>
      </w:r>
      <w:r w:rsidRPr="002A27FE">
        <w:t xml:space="preserve"> </w:t>
      </w:r>
      <w:r w:rsidRPr="00844AE7">
        <w:t>and</w:t>
      </w:r>
      <w:r>
        <w:t>]</w:t>
      </w:r>
      <w:r w:rsidRPr="00844AE7">
        <w:t xml:space="preserve"> fully inclusive process open to all Parties, indigenous peoples and local communities, relevant international organizations and stakeholders</w:t>
      </w:r>
      <w:r>
        <w:t>,</w:t>
      </w:r>
      <w:r w:rsidRPr="00844AE7">
        <w:t xml:space="preserve"> to inform the Subsidiary Body on Implementation at its eighth meeting [and to conclude the agenda item on specialized international access and benefit-sharing instruments in the context of Article</w:t>
      </w:r>
      <w:r>
        <w:t> </w:t>
      </w:r>
      <w:r w:rsidRPr="00844AE7">
        <w:t>4, paragraph</w:t>
      </w:r>
      <w:r>
        <w:t> </w:t>
      </w:r>
      <w:r w:rsidRPr="00844AE7">
        <w:t>4, of the Nagoya Protocol at the seventh meeting of the Conference of the Parties serving as the meeting of the Parties to the Nagoya Protocol];</w:t>
      </w:r>
    </w:p>
    <w:p w14:paraId="5E2FCFC8" w14:textId="77777777" w:rsidR="00BA61B1" w:rsidRPr="00222B9B" w:rsidRDefault="00BA61B1" w:rsidP="001A111A">
      <w:pPr>
        <w:pStyle w:val="CBDDesicionText"/>
        <w:tabs>
          <w:tab w:val="clear" w:pos="567"/>
          <w:tab w:val="clear" w:pos="1134"/>
        </w:tabs>
        <w:ind w:left="567"/>
      </w:pPr>
      <w:r w:rsidRPr="00222B9B">
        <w:t>5.</w:t>
      </w:r>
      <w:r>
        <w:tab/>
      </w:r>
      <w:r w:rsidRPr="00222B9B">
        <w:rPr>
          <w:i/>
          <w:iCs/>
        </w:rPr>
        <w:t>Requests</w:t>
      </w:r>
      <w:r w:rsidRPr="00222B9B">
        <w:t xml:space="preserve"> the Executive Secretary, subject to the availability of resources</w:t>
      </w:r>
      <w:r>
        <w:t>:</w:t>
      </w:r>
      <w:r w:rsidRPr="00222B9B">
        <w:t xml:space="preserve"> </w:t>
      </w:r>
    </w:p>
    <w:p w14:paraId="6B4304E5" w14:textId="77777777" w:rsidR="00BA61B1" w:rsidRPr="00222B9B" w:rsidRDefault="00BA61B1" w:rsidP="001A111A">
      <w:pPr>
        <w:pStyle w:val="CBDDesicionText"/>
        <w:tabs>
          <w:tab w:val="clear" w:pos="567"/>
          <w:tab w:val="clear" w:pos="1134"/>
        </w:tabs>
        <w:ind w:left="567"/>
      </w:pPr>
      <w:r w:rsidRPr="00222B9B">
        <w:t>(a)</w:t>
      </w:r>
      <w:r>
        <w:tab/>
        <w:t>To c</w:t>
      </w:r>
      <w:r w:rsidRPr="00222B9B">
        <w:t xml:space="preserve">ompile a synthesis of </w:t>
      </w:r>
      <w:r>
        <w:t xml:space="preserve">the </w:t>
      </w:r>
      <w:r w:rsidRPr="00222B9B">
        <w:t>views referred to in paragraph</w:t>
      </w:r>
      <w:r>
        <w:t> 3</w:t>
      </w:r>
      <w:r w:rsidRPr="00222B9B">
        <w:t xml:space="preserve"> above, for consideration by the </w:t>
      </w:r>
      <w:r>
        <w:rPr>
          <w:bCs/>
        </w:rPr>
        <w:t>Informal Group;</w:t>
      </w:r>
    </w:p>
    <w:p w14:paraId="051FABD9" w14:textId="77777777" w:rsidR="00BA61B1" w:rsidRDefault="00BA61B1" w:rsidP="001A111A">
      <w:pPr>
        <w:pStyle w:val="CBDDesicionText"/>
        <w:tabs>
          <w:tab w:val="clear" w:pos="567"/>
          <w:tab w:val="clear" w:pos="1134"/>
        </w:tabs>
        <w:ind w:left="567"/>
      </w:pPr>
      <w:r w:rsidRPr="00222B9B">
        <w:lastRenderedPageBreak/>
        <w:t>(b)</w:t>
      </w:r>
      <w:r>
        <w:tab/>
        <w:t>To a</w:t>
      </w:r>
      <w:r w:rsidRPr="00222B9B">
        <w:t xml:space="preserve">ssist the </w:t>
      </w:r>
      <w:r>
        <w:t>C</w:t>
      </w:r>
      <w:r w:rsidRPr="00222B9B">
        <w:t>o-</w:t>
      </w:r>
      <w:r>
        <w:t>C</w:t>
      </w:r>
      <w:r w:rsidRPr="00222B9B">
        <w:t>hairs</w:t>
      </w:r>
      <w:r>
        <w:t xml:space="preserve"> of the Informal Group</w:t>
      </w:r>
      <w:r w:rsidRPr="00222B9B">
        <w:t xml:space="preserve"> in </w:t>
      </w:r>
      <w:r w:rsidRPr="00836813">
        <w:t>organizing and conducting the</w:t>
      </w:r>
      <w:r w:rsidRPr="00222B9B">
        <w:t xml:space="preserve"> </w:t>
      </w:r>
      <w:r w:rsidRPr="00DC52DE">
        <w:t>[online</w:t>
      </w:r>
      <w:r>
        <w:t>]</w:t>
      </w:r>
      <w:r w:rsidRPr="00222B9B">
        <w:t xml:space="preserve"> meetings </w:t>
      </w:r>
      <w:r>
        <w:t xml:space="preserve">of the Group </w:t>
      </w:r>
      <w:r w:rsidRPr="00222B9B">
        <w:t>and the preparation of the</w:t>
      </w:r>
      <w:r>
        <w:t>ir</w:t>
      </w:r>
      <w:r w:rsidRPr="00222B9B">
        <w:t xml:space="preserve"> report</w:t>
      </w:r>
      <w:r>
        <w:t>;</w:t>
      </w:r>
    </w:p>
    <w:p w14:paraId="2B10519D" w14:textId="77777777" w:rsidR="00BA61B1" w:rsidRDefault="00BA61B1" w:rsidP="001A111A">
      <w:pPr>
        <w:pStyle w:val="CBDDesicionText"/>
        <w:tabs>
          <w:tab w:val="clear" w:pos="567"/>
          <w:tab w:val="clear" w:pos="1134"/>
        </w:tabs>
        <w:ind w:left="567"/>
      </w:pPr>
      <w:r w:rsidRPr="000339B6">
        <w:t>[6</w:t>
      </w:r>
      <w:r>
        <w:rPr>
          <w:i/>
          <w:iCs/>
        </w:rPr>
        <w:t>.</w:t>
      </w:r>
      <w:r>
        <w:rPr>
          <w:i/>
          <w:iCs/>
        </w:rPr>
        <w:tab/>
      </w:r>
      <w:r w:rsidRPr="00E17E78">
        <w:rPr>
          <w:i/>
          <w:iCs/>
        </w:rPr>
        <w:t>Recommends</w:t>
      </w:r>
      <w:r w:rsidRPr="00E17E78">
        <w:t xml:space="preserve"> the inclusion of “cooperation with other international organizations and the governing bodies and secretariats of international instruments” as a standing item in the agendas for future meetings of the Conference of the Parties serving as the meeting of the Parties to the Nagoya Protocol, to monitor developments relevant to paragraph</w:t>
      </w:r>
      <w:r>
        <w:t> </w:t>
      </w:r>
      <w:r w:rsidRPr="00E17E78">
        <w:t>4 of Article</w:t>
      </w:r>
      <w:r>
        <w:t> </w:t>
      </w:r>
      <w:r w:rsidRPr="00E17E78">
        <w:t>4 of the Protocol and promote mutual supportiveness.</w:t>
      </w:r>
      <w:r>
        <w:t>]</w:t>
      </w:r>
    </w:p>
    <w:p w14:paraId="2C17CD34" w14:textId="77777777" w:rsidR="00BA61B1" w:rsidRDefault="00BA61B1" w:rsidP="00F91D23">
      <w:pPr>
        <w:pStyle w:val="CBDDesicionAnnex"/>
      </w:pPr>
      <w:r>
        <w:t xml:space="preserve">Annex </w:t>
      </w:r>
      <w:r w:rsidRPr="00CE3DC0">
        <w:t>I</w:t>
      </w:r>
    </w:p>
    <w:p w14:paraId="2827FD36" w14:textId="77777777" w:rsidR="00BA61B1" w:rsidRDefault="00BA61B1" w:rsidP="00EE7CA8">
      <w:pPr>
        <w:pStyle w:val="CBDDesicionAnnex"/>
        <w:spacing w:before="120"/>
      </w:pPr>
      <w:r w:rsidRPr="00A348D0">
        <w:t>[P</w:t>
      </w:r>
      <w:r>
        <w:t>roposed options for determining the status of or recognizing specialized international access and benefit sharing instruments</w:t>
      </w:r>
    </w:p>
    <w:p w14:paraId="2129D8BC" w14:textId="77777777" w:rsidR="00BA61B1" w:rsidRDefault="00BA61B1" w:rsidP="00BA61B1">
      <w:pPr>
        <w:pStyle w:val="CBDH2"/>
        <w:tabs>
          <w:tab w:val="clear" w:pos="567"/>
        </w:tabs>
        <w:ind w:left="1134"/>
        <w:jc w:val="left"/>
      </w:pPr>
      <w:r>
        <w:t>I.</w:t>
      </w:r>
      <w:r>
        <w:tab/>
        <w:t xml:space="preserve">Options for recognizing specialized international access </w:t>
      </w:r>
      <w:r>
        <w:br/>
        <w:t xml:space="preserve">and benefit-sharing instruments </w:t>
      </w:r>
    </w:p>
    <w:p w14:paraId="5D6C6F26" w14:textId="77777777" w:rsidR="00BA61B1" w:rsidRDefault="00BA61B1" w:rsidP="00726214">
      <w:pPr>
        <w:pStyle w:val="CBDH3"/>
        <w:tabs>
          <w:tab w:val="clear" w:pos="567"/>
          <w:tab w:val="clear" w:pos="1134"/>
        </w:tabs>
        <w:ind w:firstLine="0"/>
      </w:pPr>
      <w:r>
        <w:t xml:space="preserve">Option A </w:t>
      </w:r>
      <w:r>
        <w:br/>
        <w:t xml:space="preserve">Recognition by the Conference of the Parties serving as the meeting of the Parties to the Nagoya Protocol on Access to Genetic Resources and the Fair and Equitable Sharing of Benefits Arising from Their Utilization </w:t>
      </w:r>
    </w:p>
    <w:p w14:paraId="23F0F041" w14:textId="77777777" w:rsidR="00BA61B1" w:rsidRDefault="00BA61B1" w:rsidP="00B713FA">
      <w:pPr>
        <w:pStyle w:val="CBDNormalNoNumber"/>
        <w:tabs>
          <w:tab w:val="clear" w:pos="567"/>
        </w:tabs>
      </w:pPr>
      <w:r>
        <w:t>1.</w:t>
      </w:r>
      <w:r>
        <w:tab/>
        <w:t>The objective of option A is to establish a formal, Party-led mechanism for recognizing specialized international access and benefit-sharing instruments through the Conference of the Parties serving as the meeting of the Parties of the Nagoya Protocol on Access to Genetic Resources and the Fair and Equitable Sharing of Benefits Arising from Their Utilization</w:t>
      </w:r>
      <w:r w:rsidRPr="00460A58">
        <w:rPr>
          <w:rStyle w:val="FootnoteReference"/>
        </w:rPr>
        <w:footnoteReference w:id="39"/>
      </w:r>
      <w:r w:rsidRPr="00460A58">
        <w:t xml:space="preserve"> o</w:t>
      </w:r>
      <w:r>
        <w:t>n the basis of the indicative criteria set forth in section II. The option may include the following elements:</w:t>
      </w:r>
    </w:p>
    <w:p w14:paraId="6D3DB338" w14:textId="77777777" w:rsidR="00BA61B1" w:rsidRDefault="00BA61B1" w:rsidP="00726214">
      <w:pPr>
        <w:pStyle w:val="CBDNormalNoNumber"/>
        <w:tabs>
          <w:tab w:val="clear" w:pos="567"/>
          <w:tab w:val="clear" w:pos="1134"/>
        </w:tabs>
        <w:ind w:firstLine="567"/>
      </w:pPr>
      <w:r>
        <w:t>(a)</w:t>
      </w:r>
      <w:r>
        <w:tab/>
        <w:t>Indicative criteria agreed by the Conference of the Parties serving as the meeting of the Parties to the Nagoya Protocol (see sect. II);</w:t>
      </w:r>
    </w:p>
    <w:p w14:paraId="731161BA" w14:textId="77777777" w:rsidR="00BA61B1" w:rsidRDefault="00BA61B1" w:rsidP="00726214">
      <w:pPr>
        <w:pStyle w:val="CBDNormalNoNumber"/>
        <w:tabs>
          <w:tab w:val="clear" w:pos="567"/>
          <w:tab w:val="clear" w:pos="1134"/>
        </w:tabs>
        <w:ind w:firstLine="567"/>
      </w:pPr>
      <w:r>
        <w:t>(b)</w:t>
      </w:r>
      <w:r>
        <w:tab/>
        <w:t>The submission of dossiers by Parties;</w:t>
      </w:r>
    </w:p>
    <w:p w14:paraId="7CDF1C78" w14:textId="77777777" w:rsidR="00BA61B1" w:rsidRDefault="00BA61B1" w:rsidP="00726214">
      <w:pPr>
        <w:pStyle w:val="CBDNormalNoNumber"/>
        <w:tabs>
          <w:tab w:val="clear" w:pos="567"/>
          <w:tab w:val="clear" w:pos="1134"/>
        </w:tabs>
        <w:ind w:firstLine="567"/>
      </w:pPr>
      <w:r>
        <w:t>(c)</w:t>
      </w:r>
      <w:r>
        <w:tab/>
        <w:t>Inclusive consultations with stakeholders;</w:t>
      </w:r>
    </w:p>
    <w:p w14:paraId="16542A32" w14:textId="77777777" w:rsidR="00BA61B1" w:rsidRDefault="00BA61B1" w:rsidP="00726214">
      <w:pPr>
        <w:pStyle w:val="CBDNormalNoNumber"/>
        <w:tabs>
          <w:tab w:val="clear" w:pos="567"/>
          <w:tab w:val="clear" w:pos="1134"/>
        </w:tabs>
        <w:ind w:firstLine="567"/>
      </w:pPr>
      <w:r>
        <w:t>(d)</w:t>
      </w:r>
      <w:r>
        <w:tab/>
        <w:t>A time-limited recognition subject to periodic review;</w:t>
      </w:r>
    </w:p>
    <w:p w14:paraId="35E38AB8" w14:textId="77777777" w:rsidR="00BA61B1" w:rsidRDefault="00BA61B1" w:rsidP="00726214">
      <w:pPr>
        <w:pStyle w:val="CBDNormalNoNumber"/>
        <w:tabs>
          <w:tab w:val="clear" w:pos="567"/>
          <w:tab w:val="clear" w:pos="1134"/>
        </w:tabs>
        <w:ind w:firstLine="567"/>
      </w:pPr>
      <w:r>
        <w:t>(e)</w:t>
      </w:r>
      <w:r>
        <w:tab/>
        <w:t>A dispute-resolution mechanism;</w:t>
      </w:r>
    </w:p>
    <w:p w14:paraId="754D846A" w14:textId="77777777" w:rsidR="00BA61B1" w:rsidRDefault="00BA61B1" w:rsidP="00726214">
      <w:pPr>
        <w:pStyle w:val="CBDNormalNoNumber"/>
        <w:tabs>
          <w:tab w:val="clear" w:pos="567"/>
          <w:tab w:val="clear" w:pos="1134"/>
        </w:tabs>
        <w:ind w:firstLine="567"/>
      </w:pPr>
      <w:r>
        <w:t>(f)</w:t>
      </w:r>
      <w:r>
        <w:tab/>
        <w:t>A registry in the Access and Benefit-sharing Clearing-House.</w:t>
      </w:r>
    </w:p>
    <w:p w14:paraId="39DDD2F7" w14:textId="77777777" w:rsidR="00BA61B1" w:rsidRDefault="00BA61B1" w:rsidP="00726214">
      <w:pPr>
        <w:pStyle w:val="CBDH3"/>
        <w:tabs>
          <w:tab w:val="clear" w:pos="567"/>
        </w:tabs>
        <w:ind w:firstLine="0"/>
      </w:pPr>
      <w:r>
        <w:t xml:space="preserve">Option B </w:t>
      </w:r>
      <w:r>
        <w:br/>
        <w:t>Approach based on initial coordination without formal recognition</w:t>
      </w:r>
    </w:p>
    <w:p w14:paraId="0DF31C55" w14:textId="77777777" w:rsidR="00BA61B1" w:rsidRDefault="00BA61B1" w:rsidP="00726214">
      <w:pPr>
        <w:pStyle w:val="CBDNormalNoNumber"/>
        <w:tabs>
          <w:tab w:val="clear" w:pos="567"/>
        </w:tabs>
      </w:pPr>
      <w:r>
        <w:t>2.</w:t>
      </w:r>
      <w:r>
        <w:tab/>
        <w:t>The objective of option B is to promote structured coordination and mutual supportiveness without formal recognition. The option is defined by the following elements:</w:t>
      </w:r>
    </w:p>
    <w:p w14:paraId="4292B11C" w14:textId="77777777" w:rsidR="00BA61B1" w:rsidRDefault="00BA61B1" w:rsidP="00726214">
      <w:pPr>
        <w:pStyle w:val="CBDNormalNoNumber"/>
        <w:tabs>
          <w:tab w:val="clear" w:pos="567"/>
          <w:tab w:val="clear" w:pos="1134"/>
        </w:tabs>
        <w:ind w:firstLine="567"/>
      </w:pPr>
      <w:r>
        <w:t>(a)</w:t>
      </w:r>
      <w:r>
        <w:tab/>
        <w:t>Structured cooperation with other international organizations;</w:t>
      </w:r>
    </w:p>
    <w:p w14:paraId="10A15CE9" w14:textId="77777777" w:rsidR="00BA61B1" w:rsidRDefault="00BA61B1" w:rsidP="00726214">
      <w:pPr>
        <w:pStyle w:val="CBDNormalNoNumber"/>
        <w:tabs>
          <w:tab w:val="clear" w:pos="567"/>
          <w:tab w:val="clear" w:pos="1134"/>
        </w:tabs>
        <w:ind w:firstLine="567"/>
      </w:pPr>
      <w:r>
        <w:t>(b)</w:t>
      </w:r>
      <w:r>
        <w:tab/>
        <w:t>Information exchange and transparency;</w:t>
      </w:r>
    </w:p>
    <w:p w14:paraId="1976130A" w14:textId="77777777" w:rsidR="00BA61B1" w:rsidRDefault="00BA61B1" w:rsidP="00726214">
      <w:pPr>
        <w:pStyle w:val="CBDNormalNoNumber"/>
        <w:tabs>
          <w:tab w:val="clear" w:pos="567"/>
          <w:tab w:val="clear" w:pos="1134"/>
        </w:tabs>
        <w:ind w:firstLine="567"/>
      </w:pPr>
      <w:r>
        <w:t>(c)</w:t>
      </w:r>
      <w:r>
        <w:tab/>
        <w:t xml:space="preserve">National reporting on practices related to specialized international access and benefit-sharing instruments; </w:t>
      </w:r>
    </w:p>
    <w:p w14:paraId="61C5298B" w14:textId="77777777" w:rsidR="00BA61B1" w:rsidRDefault="00BA61B1" w:rsidP="00726214">
      <w:pPr>
        <w:pStyle w:val="CBDNormalNoNumber"/>
        <w:tabs>
          <w:tab w:val="clear" w:pos="567"/>
          <w:tab w:val="clear" w:pos="1134"/>
        </w:tabs>
        <w:ind w:firstLine="567"/>
      </w:pPr>
      <w:r>
        <w:t>(d)</w:t>
      </w:r>
      <w:r>
        <w:tab/>
        <w:t>Assessments based on the Nagoya Protocol;</w:t>
      </w:r>
    </w:p>
    <w:p w14:paraId="63D79B33" w14:textId="77777777" w:rsidR="00BA61B1" w:rsidRDefault="00BA61B1" w:rsidP="00726214">
      <w:pPr>
        <w:pStyle w:val="CBDNormalNoNumber"/>
        <w:tabs>
          <w:tab w:val="clear" w:pos="567"/>
          <w:tab w:val="clear" w:pos="1134"/>
        </w:tabs>
        <w:ind w:firstLine="567"/>
      </w:pPr>
      <w:r>
        <w:t>(e)</w:t>
      </w:r>
      <w:r>
        <w:tab/>
        <w:t>Review processes;</w:t>
      </w:r>
    </w:p>
    <w:p w14:paraId="6169EE55" w14:textId="77777777" w:rsidR="00BA61B1" w:rsidRDefault="00BA61B1" w:rsidP="00726214">
      <w:pPr>
        <w:pStyle w:val="CBDNormalNoNumber"/>
        <w:tabs>
          <w:tab w:val="clear" w:pos="567"/>
          <w:tab w:val="clear" w:pos="1134"/>
        </w:tabs>
        <w:ind w:firstLine="567"/>
        <w:rPr>
          <w:b/>
          <w:bCs/>
        </w:rPr>
      </w:pPr>
      <w:r>
        <w:t>(f)</w:t>
      </w:r>
      <w:r>
        <w:tab/>
        <w:t>No formal recognition or accreditation step.</w:t>
      </w:r>
    </w:p>
    <w:p w14:paraId="37E927EB" w14:textId="77777777" w:rsidR="00BA61B1" w:rsidRDefault="00BA61B1" w:rsidP="00BA61B1">
      <w:pPr>
        <w:pStyle w:val="CBDH3"/>
        <w:tabs>
          <w:tab w:val="clear" w:pos="567"/>
          <w:tab w:val="clear" w:pos="1134"/>
        </w:tabs>
        <w:ind w:firstLine="0"/>
      </w:pPr>
      <w:r>
        <w:lastRenderedPageBreak/>
        <w:t xml:space="preserve">Option C </w:t>
      </w:r>
      <w:r>
        <w:br/>
        <w:t>Hybrid “deference and docket” model</w:t>
      </w:r>
      <w:r>
        <w:rPr>
          <w:rStyle w:val="FootnoteReference"/>
          <w:bCs/>
        </w:rPr>
        <w:footnoteReference w:id="40"/>
      </w:r>
    </w:p>
    <w:p w14:paraId="06AD3193" w14:textId="77777777" w:rsidR="00BA61B1" w:rsidRDefault="00BA61B1" w:rsidP="00BA61B1">
      <w:pPr>
        <w:pStyle w:val="CBDNormalNoNumber"/>
        <w:tabs>
          <w:tab w:val="clear" w:pos="567"/>
          <w:tab w:val="clear" w:pos="1134"/>
        </w:tabs>
      </w:pPr>
      <w:r>
        <w:t>3.</w:t>
      </w:r>
      <w:r>
        <w:tab/>
        <w:t>The objective of option C is to combine self-declarations by the governing bodies and secretariats of specialized international access and benefit-sharing instruments that would be recorded by the Conference of the Parties serving as the meeting of the Parties to the Nagoya Protocol with a minimal review. The option is defined by the following elements:</w:t>
      </w:r>
    </w:p>
    <w:p w14:paraId="3D5387A7" w14:textId="77777777" w:rsidR="00BA61B1" w:rsidRDefault="00BA61B1" w:rsidP="00BA61B1">
      <w:pPr>
        <w:pStyle w:val="CBDNormalNoNumber"/>
        <w:tabs>
          <w:tab w:val="clear" w:pos="567"/>
          <w:tab w:val="clear" w:pos="1134"/>
        </w:tabs>
        <w:ind w:firstLine="567"/>
      </w:pPr>
      <w:r>
        <w:t>(a)</w:t>
      </w:r>
      <w:r>
        <w:tab/>
        <w:t>Primary self-declarations by the governing bodies or secretariats of specialized international access and benefit-sharing instruments;</w:t>
      </w:r>
    </w:p>
    <w:p w14:paraId="4887F4CC" w14:textId="77777777" w:rsidR="00BA61B1" w:rsidRDefault="00BA61B1" w:rsidP="00BA61B1">
      <w:pPr>
        <w:pStyle w:val="CBDNormalNoNumber"/>
        <w:tabs>
          <w:tab w:val="clear" w:pos="567"/>
          <w:tab w:val="clear" w:pos="1134"/>
        </w:tabs>
        <w:ind w:firstLine="567"/>
      </w:pPr>
      <w:r>
        <w:t>(b)</w:t>
      </w:r>
      <w:r>
        <w:tab/>
        <w:t>The recording or noting of self-declarations by the Conference of the Parties serving as the meeting of the Parties to the Nagoya Protocol;</w:t>
      </w:r>
    </w:p>
    <w:p w14:paraId="22C71BDD" w14:textId="77777777" w:rsidR="00BA61B1" w:rsidRDefault="00BA61B1" w:rsidP="00BA61B1">
      <w:pPr>
        <w:pStyle w:val="CBDNormalNoNumber"/>
        <w:tabs>
          <w:tab w:val="clear" w:pos="567"/>
          <w:tab w:val="clear" w:pos="1134"/>
        </w:tabs>
        <w:ind w:firstLine="567"/>
      </w:pPr>
      <w:r>
        <w:t>(c)</w:t>
      </w:r>
      <w:r>
        <w:tab/>
        <w:t>Use of voluntary criteria by the governing bodies or secretariats of specialized international access and benefit-sharing instruments to determine the status of those instruments in relation to paragraph 4 of Article 4 of the Protocol;</w:t>
      </w:r>
    </w:p>
    <w:p w14:paraId="4B84BA63" w14:textId="77777777" w:rsidR="00BA61B1" w:rsidRDefault="00BA61B1" w:rsidP="00BA61B1">
      <w:pPr>
        <w:pStyle w:val="CBDNormalNoNumber"/>
        <w:tabs>
          <w:tab w:val="clear" w:pos="567"/>
          <w:tab w:val="clear" w:pos="1134"/>
        </w:tabs>
        <w:ind w:firstLine="567"/>
      </w:pPr>
      <w:r>
        <w:t>(d)</w:t>
      </w:r>
      <w:r>
        <w:tab/>
        <w:t>Rolling intersessional listings;</w:t>
      </w:r>
    </w:p>
    <w:p w14:paraId="3DEF3E48" w14:textId="77777777" w:rsidR="00BA61B1" w:rsidRDefault="00BA61B1" w:rsidP="00BA61B1">
      <w:pPr>
        <w:pStyle w:val="CBDNormalNoNumber"/>
        <w:tabs>
          <w:tab w:val="clear" w:pos="567"/>
          <w:tab w:val="clear" w:pos="1134"/>
        </w:tabs>
        <w:ind w:firstLine="567"/>
      </w:pPr>
      <w:r>
        <w:t>(e)</w:t>
      </w:r>
      <w:r>
        <w:tab/>
        <w:t>The creation of a registry in the Access and Benefit-sharing Clearing-House;</w:t>
      </w:r>
    </w:p>
    <w:p w14:paraId="1E353397" w14:textId="77777777" w:rsidR="00BA61B1" w:rsidRDefault="00BA61B1" w:rsidP="00BA61B1">
      <w:pPr>
        <w:pStyle w:val="CBDNormalNoNumber"/>
        <w:tabs>
          <w:tab w:val="clear" w:pos="567"/>
          <w:tab w:val="clear" w:pos="1134"/>
        </w:tabs>
        <w:ind w:firstLine="567"/>
      </w:pPr>
      <w:r>
        <w:t>(f)</w:t>
      </w:r>
      <w:r>
        <w:tab/>
        <w:t>A cross-regime help desk for Parties and stakeholders.</w:t>
      </w:r>
    </w:p>
    <w:p w14:paraId="7A08DCC0" w14:textId="77777777" w:rsidR="00BA61B1" w:rsidRDefault="00BA61B1" w:rsidP="00726214">
      <w:pPr>
        <w:pStyle w:val="CBDH2"/>
        <w:tabs>
          <w:tab w:val="clear" w:pos="567"/>
          <w:tab w:val="clear" w:pos="1134"/>
        </w:tabs>
        <w:ind w:left="1134"/>
        <w:jc w:val="left"/>
      </w:pPr>
      <w:r>
        <w:t>II.</w:t>
      </w:r>
      <w:r>
        <w:tab/>
        <w:t>Proposed indicative criteria for determining the status of or recognizing specialized international access and benefit-sharing instruments (applicable to options I.A and I.C)</w:t>
      </w:r>
    </w:p>
    <w:p w14:paraId="4109BB18" w14:textId="77777777" w:rsidR="00BA61B1" w:rsidRDefault="00BA61B1" w:rsidP="00BA61B1">
      <w:pPr>
        <w:pStyle w:val="CBDNormalNoNumber"/>
        <w:tabs>
          <w:tab w:val="clear" w:pos="567"/>
          <w:tab w:val="clear" w:pos="1134"/>
        </w:tabs>
      </w:pPr>
      <w:r>
        <w:t>4.</w:t>
      </w:r>
      <w:r>
        <w:tab/>
        <w:t>Indicative criteria for recognition include:</w:t>
      </w:r>
    </w:p>
    <w:p w14:paraId="2D5B5F9C" w14:textId="77777777" w:rsidR="00BA61B1" w:rsidRDefault="00BA61B1" w:rsidP="00BA61B1">
      <w:pPr>
        <w:pStyle w:val="CBDNormalNoNumber"/>
        <w:tabs>
          <w:tab w:val="clear" w:pos="567"/>
          <w:tab w:val="clear" w:pos="1134"/>
        </w:tabs>
        <w:ind w:firstLine="567"/>
      </w:pPr>
      <w:r>
        <w:t>(a)</w:t>
      </w:r>
      <w:r>
        <w:tab/>
        <w:t>A legal basis provided through intergovernmental adoption or endorsement;</w:t>
      </w:r>
    </w:p>
    <w:p w14:paraId="256FBFFC" w14:textId="77777777" w:rsidR="00BA61B1" w:rsidRDefault="00BA61B1" w:rsidP="00BA61B1">
      <w:pPr>
        <w:pStyle w:val="CBDNormalNoNumber"/>
        <w:tabs>
          <w:tab w:val="clear" w:pos="567"/>
          <w:tab w:val="clear" w:pos="1134"/>
        </w:tabs>
        <w:ind w:firstLine="567"/>
      </w:pPr>
      <w:r>
        <w:t>(b)</w:t>
      </w:r>
      <w:r>
        <w:tab/>
        <w:t>A specialization in scope and purpose;</w:t>
      </w:r>
    </w:p>
    <w:p w14:paraId="4B24F7FE" w14:textId="77777777" w:rsidR="00BA61B1" w:rsidRDefault="00BA61B1" w:rsidP="00BA61B1">
      <w:pPr>
        <w:pStyle w:val="CBDNormalNoNumber"/>
        <w:tabs>
          <w:tab w:val="clear" w:pos="567"/>
          <w:tab w:val="clear" w:pos="1134"/>
        </w:tabs>
        <w:ind w:firstLine="567"/>
      </w:pPr>
      <w:r>
        <w:t>(c)</w:t>
      </w:r>
      <w:r>
        <w:tab/>
        <w:t>The alignment with the objectives of the Convention on Biological Diversity</w:t>
      </w:r>
      <w:r>
        <w:rPr>
          <w:rStyle w:val="FootnoteReference"/>
        </w:rPr>
        <w:footnoteReference w:id="41"/>
      </w:r>
      <w:r>
        <w:t xml:space="preserve"> and the Nagoya Protocol; </w:t>
      </w:r>
    </w:p>
    <w:p w14:paraId="644AB61F" w14:textId="77777777" w:rsidR="00BA61B1" w:rsidRDefault="00BA61B1" w:rsidP="00BA61B1">
      <w:pPr>
        <w:pStyle w:val="CBDNormalNoNumber"/>
        <w:tabs>
          <w:tab w:val="clear" w:pos="567"/>
          <w:tab w:val="clear" w:pos="1134"/>
        </w:tabs>
        <w:ind w:firstLine="567"/>
      </w:pPr>
      <w:r>
        <w:t>(d)</w:t>
      </w:r>
      <w:r>
        <w:tab/>
        <w:t>Fair and equitable benefit-sharing mechanisms;</w:t>
      </w:r>
    </w:p>
    <w:p w14:paraId="21399DDA" w14:textId="77777777" w:rsidR="00BA61B1" w:rsidRDefault="00BA61B1" w:rsidP="00BA61B1">
      <w:pPr>
        <w:pStyle w:val="CBDNormalNoNumber"/>
        <w:tabs>
          <w:tab w:val="clear" w:pos="567"/>
          <w:tab w:val="clear" w:pos="1134"/>
        </w:tabs>
        <w:ind w:firstLine="567"/>
      </w:pPr>
      <w:r>
        <w:t>(e)</w:t>
      </w:r>
      <w:r>
        <w:tab/>
        <w:t xml:space="preserve">The effective participation of indigenous peoples and local communities; </w:t>
      </w:r>
    </w:p>
    <w:p w14:paraId="3A697ED3" w14:textId="77777777" w:rsidR="00BA61B1" w:rsidRDefault="00BA61B1" w:rsidP="00BA61B1">
      <w:pPr>
        <w:pStyle w:val="CBDNormalNoNumber"/>
        <w:tabs>
          <w:tab w:val="clear" w:pos="567"/>
          <w:tab w:val="clear" w:pos="1134"/>
        </w:tabs>
        <w:ind w:firstLine="567"/>
      </w:pPr>
      <w:r>
        <w:t>(f)</w:t>
      </w:r>
      <w:r>
        <w:tab/>
        <w:t>Transparency, monitoring and accountability provisions;</w:t>
      </w:r>
    </w:p>
    <w:p w14:paraId="7C333B31" w14:textId="77777777" w:rsidR="00BA61B1" w:rsidRPr="00991063" w:rsidRDefault="00BA61B1" w:rsidP="00BA61B1">
      <w:pPr>
        <w:pStyle w:val="CBDNormalNoNumber"/>
        <w:tabs>
          <w:tab w:val="clear" w:pos="567"/>
          <w:tab w:val="clear" w:pos="1134"/>
        </w:tabs>
        <w:ind w:firstLine="567"/>
      </w:pPr>
      <w:r>
        <w:t>(g)</w:t>
      </w:r>
      <w:r>
        <w:tab/>
        <w:t>The promotion of mutual supportiveness and the avoidance of duplication.]</w:t>
      </w:r>
    </w:p>
    <w:p w14:paraId="5472BF22" w14:textId="77777777" w:rsidR="00BA61B1" w:rsidRPr="00352DA6" w:rsidRDefault="00BA61B1" w:rsidP="00BA61B1">
      <w:pPr>
        <w:pStyle w:val="CBDDesicionAnnex"/>
        <w:rPr>
          <w:lang w:val="en-CA"/>
        </w:rPr>
      </w:pPr>
      <w:r w:rsidRPr="00352DA6">
        <w:rPr>
          <w:lang w:val="en-CA"/>
        </w:rPr>
        <w:t xml:space="preserve">Annex </w:t>
      </w:r>
      <w:r>
        <w:rPr>
          <w:lang w:val="en-CA"/>
        </w:rPr>
        <w:t>II</w:t>
      </w:r>
    </w:p>
    <w:p w14:paraId="511B70C3" w14:textId="77777777" w:rsidR="00BA61B1" w:rsidRPr="00BF6AEA" w:rsidRDefault="00BA61B1" w:rsidP="00BA61B1">
      <w:pPr>
        <w:pStyle w:val="CBDDesicionAnnex"/>
        <w:spacing w:before="120"/>
        <w:rPr>
          <w:lang w:val="en-US"/>
        </w:rPr>
      </w:pPr>
      <w:r w:rsidRPr="008A1537">
        <w:t xml:space="preserve">Terms of reference of the </w:t>
      </w:r>
      <w:r>
        <w:t>Informal Group</w:t>
      </w:r>
      <w:r w:rsidRPr="00BF6AEA">
        <w:t xml:space="preserve"> </w:t>
      </w:r>
      <w:r w:rsidRPr="00844AE7">
        <w:t xml:space="preserve">to </w:t>
      </w:r>
      <w:r>
        <w:t>A</w:t>
      </w:r>
      <w:r w:rsidRPr="00844AE7">
        <w:t xml:space="preserve">dvance </w:t>
      </w:r>
      <w:r>
        <w:t>W</w:t>
      </w:r>
      <w:r w:rsidRPr="00844AE7">
        <w:t xml:space="preserve">ork on </w:t>
      </w:r>
      <w:r>
        <w:t>P</w:t>
      </w:r>
      <w:r w:rsidRPr="00844AE7">
        <w:t>aragraph</w:t>
      </w:r>
      <w:r>
        <w:t> </w:t>
      </w:r>
      <w:r w:rsidRPr="00844AE7">
        <w:t>4 of Article</w:t>
      </w:r>
      <w:r>
        <w:t> </w:t>
      </w:r>
      <w:r w:rsidRPr="00844AE7">
        <w:t>4</w:t>
      </w:r>
      <w:r>
        <w:t xml:space="preserve"> </w:t>
      </w:r>
      <w:hyperlink r:id="rId57" w:history="1">
        <w:r>
          <w:t xml:space="preserve">of </w:t>
        </w:r>
        <w:r w:rsidRPr="009B5624">
          <w:t>the Nagoya Protocol</w:t>
        </w:r>
      </w:hyperlink>
    </w:p>
    <w:p w14:paraId="24C1DAE2" w14:textId="77777777" w:rsidR="00BA61B1" w:rsidRPr="00BF6AEA" w:rsidRDefault="00BA61B1" w:rsidP="00BA61B1">
      <w:pPr>
        <w:pStyle w:val="CBDNormalNoNumber"/>
        <w:tabs>
          <w:tab w:val="clear" w:pos="567"/>
        </w:tabs>
      </w:pPr>
      <w:r w:rsidRPr="00BF6AEA">
        <w:t>1.</w:t>
      </w:r>
      <w:r>
        <w:tab/>
      </w:r>
      <w:r w:rsidRPr="00BF6AEA">
        <w:t xml:space="preserve">The </w:t>
      </w:r>
      <w:r>
        <w:t>Informal Group</w:t>
      </w:r>
      <w:r w:rsidRPr="00D15882">
        <w:t xml:space="preserve"> </w:t>
      </w:r>
      <w:r w:rsidRPr="00844AE7">
        <w:t xml:space="preserve">to </w:t>
      </w:r>
      <w:r>
        <w:t>A</w:t>
      </w:r>
      <w:r w:rsidRPr="00844AE7">
        <w:t xml:space="preserve">dvance </w:t>
      </w:r>
      <w:r>
        <w:t>W</w:t>
      </w:r>
      <w:r w:rsidRPr="00844AE7">
        <w:t xml:space="preserve">ork on </w:t>
      </w:r>
      <w:r>
        <w:t>P</w:t>
      </w:r>
      <w:r w:rsidRPr="00844AE7">
        <w:t>aragraph</w:t>
      </w:r>
      <w:r>
        <w:t> </w:t>
      </w:r>
      <w:r w:rsidRPr="00844AE7">
        <w:t>4 of Article</w:t>
      </w:r>
      <w:r>
        <w:t> </w:t>
      </w:r>
      <w:r w:rsidRPr="00844AE7">
        <w:t>4</w:t>
      </w:r>
      <w:r>
        <w:t xml:space="preserve"> </w:t>
      </w:r>
      <w:hyperlink r:id="rId58" w:history="1">
        <w:r>
          <w:t xml:space="preserve">of </w:t>
        </w:r>
        <w:r w:rsidRPr="009B5624">
          <w:t>the Nagoya Protocol</w:t>
        </w:r>
      </w:hyperlink>
      <w:r>
        <w:t xml:space="preserve"> </w:t>
      </w:r>
      <w:r w:rsidRPr="002F479E">
        <w:t>on Access to Genetic Resources and the Fair and Equitable Sharing of Benefits Arising from Their Utilization</w:t>
      </w:r>
      <w:r>
        <w:rPr>
          <w:rStyle w:val="FootnoteReference"/>
        </w:rPr>
        <w:footnoteReference w:id="42"/>
      </w:r>
      <w:r>
        <w:t xml:space="preserve"> shall</w:t>
      </w:r>
      <w:r w:rsidRPr="00BF6AEA">
        <w:t xml:space="preserve"> consider:</w:t>
      </w:r>
    </w:p>
    <w:p w14:paraId="3BF6D51C" w14:textId="77777777" w:rsidR="00BA61B1" w:rsidRPr="00BF6AEA" w:rsidRDefault="00BA61B1" w:rsidP="00BA61B1">
      <w:pPr>
        <w:pStyle w:val="CBDDesicionText"/>
        <w:ind w:left="567"/>
        <w:rPr>
          <w:lang w:val="en-US"/>
        </w:rPr>
      </w:pPr>
      <w:r w:rsidRPr="00BF6AEA">
        <w:t>(a)</w:t>
      </w:r>
      <w:r w:rsidRPr="00D15882">
        <w:tab/>
        <w:t>T</w:t>
      </w:r>
      <w:r w:rsidRPr="00BF6AEA">
        <w:t xml:space="preserve">he synthesis of views </w:t>
      </w:r>
      <w:r>
        <w:t>referred to in paragraph 5 (a) of the present decision,</w:t>
      </w:r>
      <w:r w:rsidRPr="00BF6AEA">
        <w:t xml:space="preserve"> with a view to identify</w:t>
      </w:r>
      <w:r>
        <w:t>ing</w:t>
      </w:r>
      <w:r w:rsidRPr="00BF6AEA">
        <w:t xml:space="preserve"> areas of divergence and convergence; </w:t>
      </w:r>
    </w:p>
    <w:p w14:paraId="075A782E" w14:textId="77777777" w:rsidR="00BA61B1" w:rsidRPr="00E1694B" w:rsidRDefault="00BA61B1" w:rsidP="00BA61B1">
      <w:pPr>
        <w:pStyle w:val="CBDDesicionText"/>
        <w:ind w:left="567"/>
        <w:rPr>
          <w:lang w:val="en-US"/>
        </w:rPr>
      </w:pPr>
      <w:r w:rsidRPr="00BF6AEA">
        <w:lastRenderedPageBreak/>
        <w:t>(b)</w:t>
      </w:r>
      <w:r w:rsidRPr="00D15882">
        <w:tab/>
        <w:t>T</w:t>
      </w:r>
      <w:r w:rsidRPr="00BF6AEA">
        <w:t xml:space="preserve">he information described in </w:t>
      </w:r>
      <w:r>
        <w:t>the f</w:t>
      </w:r>
      <w:r w:rsidRPr="00BF6AEA">
        <w:t xml:space="preserve">irst </w:t>
      </w:r>
      <w:r>
        <w:t>n</w:t>
      </w:r>
      <w:r w:rsidRPr="00BF6AEA">
        <w:t xml:space="preserve">ational </w:t>
      </w:r>
      <w:r>
        <w:t>r</w:t>
      </w:r>
      <w:r w:rsidRPr="00BF6AEA">
        <w:t xml:space="preserve">eports on the </w:t>
      </w:r>
      <w:r>
        <w:t>i</w:t>
      </w:r>
      <w:r w:rsidRPr="00BF6AEA">
        <w:t>mplementation of the Nagoya Protocol</w:t>
      </w:r>
      <w:r>
        <w:t xml:space="preserve"> </w:t>
      </w:r>
      <w:r w:rsidRPr="00BF6AEA">
        <w:t>and the second assessment and review of the Protocol.</w:t>
      </w:r>
    </w:p>
    <w:p w14:paraId="34C12A7E" w14:textId="77777777" w:rsidR="00BA61B1" w:rsidRPr="00BF6AEA" w:rsidRDefault="00BA61B1" w:rsidP="00BA61B1">
      <w:pPr>
        <w:pStyle w:val="CBDNormalNoNumber"/>
        <w:tabs>
          <w:tab w:val="clear" w:pos="567"/>
        </w:tabs>
      </w:pPr>
      <w:r w:rsidRPr="00BF6AEA">
        <w:t>2.</w:t>
      </w:r>
      <w:r w:rsidRPr="00D15882">
        <w:tab/>
      </w:r>
      <w:r w:rsidRPr="00BF6AEA">
        <w:t xml:space="preserve">The </w:t>
      </w:r>
      <w:r>
        <w:t>Informal Group</w:t>
      </w:r>
      <w:r w:rsidRPr="009859CC">
        <w:t xml:space="preserve"> </w:t>
      </w:r>
      <w:r>
        <w:t xml:space="preserve">shall </w:t>
      </w:r>
      <w:r w:rsidRPr="009859CC">
        <w:t>meet up to three times</w:t>
      </w:r>
      <w:r>
        <w:t xml:space="preserve"> over the intersessional period</w:t>
      </w:r>
      <w:r w:rsidRPr="009859CC">
        <w:t xml:space="preserve">, </w:t>
      </w:r>
      <w:r>
        <w:t>[</w:t>
      </w:r>
      <w:r w:rsidRPr="00547F9F">
        <w:t>online</w:t>
      </w:r>
      <w:r>
        <w:t xml:space="preserve"> and]</w:t>
      </w:r>
      <w:r w:rsidRPr="009859CC">
        <w:t xml:space="preserve"> </w:t>
      </w:r>
      <w:r>
        <w:t xml:space="preserve">in a manner that will </w:t>
      </w:r>
      <w:r w:rsidRPr="009859CC">
        <w:t>accommodat</w:t>
      </w:r>
      <w:r>
        <w:t>e</w:t>
      </w:r>
      <w:r w:rsidRPr="009859CC">
        <w:t xml:space="preserve"> different time zones. </w:t>
      </w:r>
      <w:r>
        <w:t>Each m</w:t>
      </w:r>
      <w:r w:rsidRPr="009859CC">
        <w:t xml:space="preserve">eeting </w:t>
      </w:r>
      <w:r>
        <w:t xml:space="preserve">is </w:t>
      </w:r>
      <w:r w:rsidRPr="00E1694B">
        <w:t>expected</w:t>
      </w:r>
      <w:r w:rsidRPr="009859CC">
        <w:t xml:space="preserve"> to </w:t>
      </w:r>
      <w:r>
        <w:t xml:space="preserve">last </w:t>
      </w:r>
      <w:r w:rsidRPr="009859CC">
        <w:t>approximately three hours</w:t>
      </w:r>
      <w:r>
        <w:t>.</w:t>
      </w:r>
      <w:r w:rsidRPr="009859CC">
        <w:t xml:space="preserve"> The</w:t>
      </w:r>
      <w:r w:rsidRPr="00BF6AEA">
        <w:t xml:space="preserve"> working language will be English. </w:t>
      </w:r>
    </w:p>
    <w:p w14:paraId="7187FCEF" w14:textId="77777777" w:rsidR="00BA61B1" w:rsidRPr="00BF6AEA" w:rsidRDefault="00BA61B1" w:rsidP="00BA61B1">
      <w:pPr>
        <w:pStyle w:val="CBDNormalNoNumber"/>
        <w:tabs>
          <w:tab w:val="clear" w:pos="567"/>
        </w:tabs>
      </w:pPr>
      <w:r w:rsidRPr="00BF6AEA">
        <w:t>3.</w:t>
      </w:r>
      <w:r w:rsidRPr="00D15882">
        <w:tab/>
      </w:r>
      <w:r w:rsidRPr="00BF6AEA">
        <w:t xml:space="preserve">The </w:t>
      </w:r>
      <w:r>
        <w:t>Informal Group</w:t>
      </w:r>
      <w:r w:rsidRPr="00BF6AEA">
        <w:t xml:space="preserve"> </w:t>
      </w:r>
      <w:r>
        <w:t>shall</w:t>
      </w:r>
      <w:r w:rsidRPr="00BF6AEA">
        <w:t xml:space="preserve"> be guided by two </w:t>
      </w:r>
      <w:r>
        <w:t>c</w:t>
      </w:r>
      <w:r w:rsidRPr="00BF6AEA">
        <w:t>o</w:t>
      </w:r>
      <w:r w:rsidRPr="00BF6AEA">
        <w:noBreakHyphen/>
      </w:r>
      <w:r>
        <w:t>c</w:t>
      </w:r>
      <w:r w:rsidRPr="00BF6AEA">
        <w:t xml:space="preserve">hairs. </w:t>
      </w:r>
      <w:r>
        <w:t>One</w:t>
      </w:r>
      <w:r w:rsidRPr="00BF6AEA">
        <w:t xml:space="preserve"> </w:t>
      </w:r>
      <w:r>
        <w:t>c</w:t>
      </w:r>
      <w:r w:rsidRPr="00BF6AEA">
        <w:t>o-</w:t>
      </w:r>
      <w:r>
        <w:t>c</w:t>
      </w:r>
      <w:r w:rsidRPr="00BF6AEA">
        <w:t xml:space="preserve">hair </w:t>
      </w:r>
      <w:r>
        <w:t>sha</w:t>
      </w:r>
      <w:r w:rsidRPr="00BF6AEA">
        <w:t>ll b</w:t>
      </w:r>
      <w:r>
        <w:t xml:space="preserve">e </w:t>
      </w:r>
      <w:r w:rsidRPr="00BF6AEA">
        <w:t xml:space="preserve">from a developed </w:t>
      </w:r>
      <w:r>
        <w:t xml:space="preserve">country </w:t>
      </w:r>
      <w:r w:rsidRPr="00BF6AEA">
        <w:t xml:space="preserve">and one from a developing country. The </w:t>
      </w:r>
      <w:r>
        <w:t>C</w:t>
      </w:r>
      <w:r w:rsidRPr="00BF6AEA">
        <w:t>o-</w:t>
      </w:r>
      <w:r>
        <w:t>C</w:t>
      </w:r>
      <w:r w:rsidRPr="00BF6AEA">
        <w:t>hairs are XXX and XXX</w:t>
      </w:r>
      <w:r>
        <w:t>.</w:t>
      </w:r>
      <w:r w:rsidRPr="00D15882">
        <w:rPr>
          <w:rStyle w:val="FootnoteReference"/>
        </w:rPr>
        <w:footnoteReference w:id="43"/>
      </w:r>
      <w:r w:rsidRPr="00BF6AEA">
        <w:t xml:space="preserve"> </w:t>
      </w:r>
    </w:p>
    <w:p w14:paraId="08FF62E0" w14:textId="77777777" w:rsidR="00BA61B1" w:rsidRPr="00BF6AEA" w:rsidRDefault="00BA61B1" w:rsidP="00BA61B1">
      <w:pPr>
        <w:pStyle w:val="CBDNormalNoNumber"/>
        <w:tabs>
          <w:tab w:val="clear" w:pos="567"/>
        </w:tabs>
      </w:pPr>
      <w:r w:rsidRPr="00BF6AEA">
        <w:t>4.</w:t>
      </w:r>
      <w:r w:rsidRPr="00D15882">
        <w:tab/>
      </w:r>
      <w:r w:rsidRPr="00BF6AEA">
        <w:t xml:space="preserve">The </w:t>
      </w:r>
      <w:r>
        <w:t>C</w:t>
      </w:r>
      <w:r w:rsidRPr="00BF6AEA">
        <w:t>o-</w:t>
      </w:r>
      <w:r>
        <w:t>C</w:t>
      </w:r>
      <w:r w:rsidRPr="00BF6AEA">
        <w:t xml:space="preserve">hairs will </w:t>
      </w:r>
      <w:r>
        <w:t xml:space="preserve">prepare </w:t>
      </w:r>
      <w:r w:rsidRPr="00BF6AEA">
        <w:t>a report on the following elements, among others:</w:t>
      </w:r>
    </w:p>
    <w:p w14:paraId="4880DD34" w14:textId="77777777" w:rsidR="00BA61B1" w:rsidRPr="00BF6AEA" w:rsidRDefault="00BA61B1" w:rsidP="00BA61B1">
      <w:pPr>
        <w:pStyle w:val="CBDDesicionText"/>
        <w:ind w:left="567"/>
      </w:pPr>
      <w:r w:rsidRPr="00BF6AEA">
        <w:t>(a)</w:t>
      </w:r>
      <w:r w:rsidRPr="00D15882">
        <w:tab/>
        <w:t>L</w:t>
      </w:r>
      <w:r w:rsidRPr="00BF6AEA">
        <w:t>egal and institutional implications</w:t>
      </w:r>
      <w:r w:rsidRPr="00D15882">
        <w:t xml:space="preserve"> </w:t>
      </w:r>
      <w:r w:rsidRPr="00BF6AEA">
        <w:t>of options for implementing paragraph</w:t>
      </w:r>
      <w:r>
        <w:t> </w:t>
      </w:r>
      <w:r w:rsidRPr="00BF6AEA">
        <w:t>4 of Article</w:t>
      </w:r>
      <w:r>
        <w:t> </w:t>
      </w:r>
      <w:r w:rsidRPr="00BF6AEA">
        <w:t>4</w:t>
      </w:r>
      <w:r>
        <w:t xml:space="preserve"> of the Protocol</w:t>
      </w:r>
      <w:r w:rsidRPr="00BF6AEA">
        <w:t>;</w:t>
      </w:r>
    </w:p>
    <w:p w14:paraId="12B2E5B7" w14:textId="77777777" w:rsidR="00BA61B1" w:rsidRPr="00BF6AEA" w:rsidRDefault="00BA61B1" w:rsidP="00BA61B1">
      <w:pPr>
        <w:pStyle w:val="CBDDesicionText"/>
        <w:ind w:left="567"/>
      </w:pPr>
      <w:r w:rsidRPr="00BF6AEA">
        <w:t>(b)</w:t>
      </w:r>
      <w:r w:rsidRPr="00D15882">
        <w:tab/>
        <w:t>D</w:t>
      </w:r>
      <w:r w:rsidRPr="00BF6AEA">
        <w:t>raft indicative criteria for specialized international access and benefit-sharing instruments.</w:t>
      </w:r>
    </w:p>
    <w:p w14:paraId="74235E71" w14:textId="77777777" w:rsidR="00BA61B1" w:rsidRPr="00D15882" w:rsidRDefault="00BA61B1" w:rsidP="00BA61B1">
      <w:pPr>
        <w:pStyle w:val="CBDNormalNoNumber"/>
        <w:tabs>
          <w:tab w:val="clear" w:pos="567"/>
        </w:tabs>
      </w:pPr>
      <w:r w:rsidRPr="00BF6AEA">
        <w:t>5.</w:t>
      </w:r>
      <w:r w:rsidRPr="00D15882">
        <w:tab/>
      </w:r>
      <w:r w:rsidRPr="00BF6AEA">
        <w:t>Other Governments</w:t>
      </w:r>
      <w:r>
        <w:t>,</w:t>
      </w:r>
      <w:r w:rsidRPr="00BF6AEA">
        <w:t xml:space="preserve"> observers </w:t>
      </w:r>
      <w:r>
        <w:t xml:space="preserve">and </w:t>
      </w:r>
      <w:r w:rsidRPr="00BF6AEA">
        <w:t xml:space="preserve">experts from Parties </w:t>
      </w:r>
      <w:r>
        <w:t>and</w:t>
      </w:r>
      <w:r w:rsidRPr="00BF6AEA">
        <w:t xml:space="preserve"> relevant organizations</w:t>
      </w:r>
      <w:r>
        <w:t xml:space="preserve"> </w:t>
      </w:r>
      <w:r w:rsidRPr="00BF6AEA">
        <w:t xml:space="preserve">may be invited to participate in meetings </w:t>
      </w:r>
      <w:r>
        <w:t xml:space="preserve">of the Informal Group, </w:t>
      </w:r>
      <w:r w:rsidRPr="00BF6AEA">
        <w:t>or parts thereof</w:t>
      </w:r>
      <w:r>
        <w:t>,</w:t>
      </w:r>
      <w:r w:rsidRPr="00BF6AEA">
        <w:t xml:space="preserve"> at the discretion of the Co</w:t>
      </w:r>
      <w:r w:rsidRPr="00BF6AEA">
        <w:noBreakHyphen/>
        <w:t>Chairs.</w:t>
      </w:r>
    </w:p>
    <w:p w14:paraId="6A03860A" w14:textId="77777777" w:rsidR="00A13F14" w:rsidRDefault="00A13F14" w:rsidP="000A27B1">
      <w:pPr>
        <w:pStyle w:val="CBDNormalNumber"/>
        <w:numPr>
          <w:ilvl w:val="0"/>
          <w:numId w:val="0"/>
        </w:numPr>
        <w:ind w:left="567"/>
      </w:pPr>
    </w:p>
    <w:p w14:paraId="579544CE" w14:textId="26410A46" w:rsidR="00B70DC0" w:rsidRPr="00A04A62" w:rsidRDefault="00B70DC0" w:rsidP="000A27B1">
      <w:pPr>
        <w:pStyle w:val="CBDNormalNumber"/>
        <w:numPr>
          <w:ilvl w:val="0"/>
          <w:numId w:val="0"/>
        </w:numPr>
        <w:ind w:left="567"/>
      </w:pPr>
    </w:p>
    <w:p w14:paraId="0B60FF1C"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2EB88CBD" w14:textId="29850DA6" w:rsidR="00B70DC0" w:rsidRPr="00EE7CA8" w:rsidRDefault="00B70DC0" w:rsidP="008C02D0">
      <w:pPr>
        <w:pStyle w:val="CBDAgendaItem"/>
        <w:rPr>
          <w:rFonts w:hint="eastAsia"/>
          <w:sz w:val="26"/>
          <w:szCs w:val="26"/>
        </w:rPr>
      </w:pPr>
      <w:bookmarkStart w:id="12" w:name="_Toc241588365"/>
      <w:r w:rsidRPr="00EE7CA8">
        <w:rPr>
          <w:rFonts w:hint="eastAsia"/>
          <w:sz w:val="26"/>
          <w:szCs w:val="26"/>
        </w:rPr>
        <w:lastRenderedPageBreak/>
        <w:t xml:space="preserve">Item 12 </w:t>
      </w:r>
      <w:r w:rsidR="00BE6CBC" w:rsidRPr="00EE7CA8">
        <w:rPr>
          <w:rFonts w:hint="eastAsia"/>
          <w:sz w:val="26"/>
          <w:szCs w:val="26"/>
        </w:rPr>
        <w:br/>
      </w:r>
      <w:r w:rsidRPr="00EE7CA8">
        <w:rPr>
          <w:rFonts w:hint="eastAsia"/>
          <w:sz w:val="26"/>
          <w:szCs w:val="26"/>
        </w:rPr>
        <w:t>Global multilateral benefit-sharing mechanism</w:t>
      </w:r>
      <w:bookmarkEnd w:id="12"/>
    </w:p>
    <w:tbl>
      <w:tblPr>
        <w:tblStyle w:val="TableGrid"/>
        <w:tblW w:w="0" w:type="auto"/>
        <w:tblLook w:val="04A0" w:firstRow="1" w:lastRow="0" w:firstColumn="1" w:lastColumn="0" w:noHBand="0" w:noVBand="1"/>
      </w:tblPr>
      <w:tblGrid>
        <w:gridCol w:w="9360"/>
      </w:tblGrid>
      <w:tr w:rsidR="00A13F14" w:rsidRPr="006E0A47" w14:paraId="10F567EB" w14:textId="77777777" w:rsidTr="00E44EC1">
        <w:tc>
          <w:tcPr>
            <w:tcW w:w="9360" w:type="dxa"/>
            <w:tcBorders>
              <w:left w:val="nil"/>
              <w:right w:val="nil"/>
            </w:tcBorders>
          </w:tcPr>
          <w:p w14:paraId="0F60D5C4" w14:textId="23017C63" w:rsidR="00A13F14" w:rsidRPr="006E0A47" w:rsidRDefault="00A13F14" w:rsidP="00E44EC1">
            <w:pPr>
              <w:pStyle w:val="CBDNormalNumber"/>
              <w:numPr>
                <w:ilvl w:val="0"/>
                <w:numId w:val="0"/>
              </w:numPr>
              <w:ind w:firstLine="596"/>
              <w:rPr>
                <w:i/>
                <w:iCs/>
              </w:rPr>
            </w:pPr>
            <w:r w:rsidRPr="006E0A47">
              <w:rPr>
                <w:i/>
                <w:iCs/>
              </w:rPr>
              <w:t xml:space="preserve">The </w:t>
            </w:r>
            <w:r w:rsidR="0071462A">
              <w:rPr>
                <w:i/>
                <w:iCs/>
              </w:rPr>
              <w:t xml:space="preserve">Conference of the Parties serving as the meeting of the Parties to the Nagoya Protocol </w:t>
            </w:r>
            <w:r w:rsidR="00113B4D">
              <w:rPr>
                <w:i/>
                <w:iCs/>
              </w:rPr>
              <w:t>is expected to</w:t>
            </w:r>
            <w:r w:rsidRPr="006E0A47">
              <w:rPr>
                <w:i/>
                <w:iCs/>
              </w:rPr>
              <w:t xml:space="preserve"> </w:t>
            </w:r>
            <w:r w:rsidR="00F7651C">
              <w:rPr>
                <w:i/>
                <w:iCs/>
              </w:rPr>
              <w:t xml:space="preserve">develop </w:t>
            </w:r>
            <w:r w:rsidR="0093118F">
              <w:rPr>
                <w:i/>
                <w:iCs/>
              </w:rPr>
              <w:t>a decision on agenda item 12 in session</w:t>
            </w:r>
            <w:r w:rsidR="00B545BA">
              <w:rPr>
                <w:i/>
                <w:iCs/>
              </w:rPr>
              <w:t xml:space="preserve">, </w:t>
            </w:r>
            <w:proofErr w:type="gramStart"/>
            <w:r w:rsidR="00B545BA">
              <w:rPr>
                <w:i/>
                <w:iCs/>
              </w:rPr>
              <w:t>t</w:t>
            </w:r>
            <w:r w:rsidR="004B0647">
              <w:rPr>
                <w:i/>
                <w:iCs/>
              </w:rPr>
              <w:t xml:space="preserve">aking into </w:t>
            </w:r>
            <w:r w:rsidR="009F3902">
              <w:rPr>
                <w:i/>
                <w:iCs/>
              </w:rPr>
              <w:t>account</w:t>
            </w:r>
            <w:proofErr w:type="gramEnd"/>
            <w:r w:rsidR="004B0647">
              <w:rPr>
                <w:i/>
                <w:iCs/>
              </w:rPr>
              <w:t xml:space="preserve"> </w:t>
            </w:r>
            <w:r w:rsidR="00F165DF">
              <w:rPr>
                <w:i/>
                <w:iCs/>
              </w:rPr>
              <w:t xml:space="preserve">information contained in document </w:t>
            </w:r>
            <w:hyperlink r:id="rId59" w:history="1">
              <w:r w:rsidR="00F165DF" w:rsidRPr="00F74157">
                <w:rPr>
                  <w:rStyle w:val="Hyperlink"/>
                  <w:i/>
                  <w:iCs/>
                </w:rPr>
                <w:t>CBD/NP/MOP/6/10</w:t>
              </w:r>
            </w:hyperlink>
            <w:r w:rsidR="00B545BA">
              <w:rPr>
                <w:i/>
                <w:iCs/>
              </w:rPr>
              <w:t>.</w:t>
            </w:r>
          </w:p>
        </w:tc>
      </w:tr>
    </w:tbl>
    <w:p w14:paraId="77A56AC1" w14:textId="65270C49" w:rsidR="00B70DC0" w:rsidRPr="001142D7" w:rsidRDefault="00B70DC0" w:rsidP="000A27B1">
      <w:pPr>
        <w:pStyle w:val="CBDNormalNumber"/>
        <w:numPr>
          <w:ilvl w:val="0"/>
          <w:numId w:val="0"/>
        </w:numPr>
        <w:ind w:left="567"/>
      </w:pPr>
    </w:p>
    <w:p w14:paraId="6BF70622"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594CE1DC" w14:textId="1D8D84E1" w:rsidR="00B70DC0" w:rsidRPr="00EE7CA8" w:rsidRDefault="00B70DC0" w:rsidP="008C02D0">
      <w:pPr>
        <w:pStyle w:val="CBDAgendaItem"/>
        <w:rPr>
          <w:rFonts w:hint="eastAsia"/>
          <w:sz w:val="26"/>
          <w:szCs w:val="26"/>
        </w:rPr>
      </w:pPr>
      <w:bookmarkStart w:id="13" w:name="_Toc241588366"/>
      <w:r w:rsidRPr="00EE7CA8">
        <w:rPr>
          <w:rFonts w:hint="eastAsia"/>
          <w:sz w:val="26"/>
          <w:szCs w:val="26"/>
        </w:rPr>
        <w:lastRenderedPageBreak/>
        <w:t xml:space="preserve">Item 13 </w:t>
      </w:r>
      <w:r w:rsidR="00BE6CBC" w:rsidRPr="00EE7CA8">
        <w:rPr>
          <w:rFonts w:hint="eastAsia"/>
          <w:sz w:val="26"/>
          <w:szCs w:val="26"/>
        </w:rPr>
        <w:br/>
      </w:r>
      <w:r w:rsidRPr="00EE7CA8">
        <w:rPr>
          <w:rFonts w:hint="eastAsia"/>
          <w:sz w:val="26"/>
          <w:szCs w:val="26"/>
        </w:rPr>
        <w:t xml:space="preserve">Cooperation with international organizations, </w:t>
      </w:r>
      <w:r w:rsidR="00A91062" w:rsidRPr="00EE7CA8">
        <w:rPr>
          <w:rFonts w:hint="eastAsia"/>
          <w:sz w:val="26"/>
          <w:szCs w:val="26"/>
        </w:rPr>
        <w:br/>
      </w:r>
      <w:r w:rsidRPr="00EE7CA8">
        <w:rPr>
          <w:rFonts w:hint="eastAsia"/>
          <w:sz w:val="26"/>
          <w:szCs w:val="26"/>
        </w:rPr>
        <w:t>bodies established under other conventions, and initiatives</w:t>
      </w:r>
      <w:bookmarkEnd w:id="13"/>
    </w:p>
    <w:tbl>
      <w:tblPr>
        <w:tblStyle w:val="TableGrid"/>
        <w:tblW w:w="0" w:type="auto"/>
        <w:tblLook w:val="04A0" w:firstRow="1" w:lastRow="0" w:firstColumn="1" w:lastColumn="0" w:noHBand="0" w:noVBand="1"/>
      </w:tblPr>
      <w:tblGrid>
        <w:gridCol w:w="9360"/>
      </w:tblGrid>
      <w:tr w:rsidR="00A13F14" w:rsidRPr="006E0A47" w14:paraId="7E281DF3" w14:textId="77777777" w:rsidTr="00E44EC1">
        <w:tc>
          <w:tcPr>
            <w:tcW w:w="9360" w:type="dxa"/>
            <w:tcBorders>
              <w:left w:val="nil"/>
              <w:right w:val="nil"/>
            </w:tcBorders>
          </w:tcPr>
          <w:p w14:paraId="1C2CCFAF" w14:textId="755D752C" w:rsidR="00A13F14" w:rsidRPr="006E0A47" w:rsidRDefault="00EF1478" w:rsidP="00E44EC1">
            <w:pPr>
              <w:pStyle w:val="CBDNormalNumber"/>
              <w:numPr>
                <w:ilvl w:val="0"/>
                <w:numId w:val="0"/>
              </w:numPr>
              <w:ind w:firstLine="596"/>
              <w:rPr>
                <w:i/>
                <w:iCs/>
              </w:rPr>
            </w:pPr>
            <w:r w:rsidRPr="00EF1478">
              <w:rPr>
                <w:i/>
                <w:iCs/>
              </w:rPr>
              <w:t xml:space="preserve">The Conference of the Parties serving as the meeting of the Parties to the </w:t>
            </w:r>
            <w:r>
              <w:rPr>
                <w:i/>
                <w:iCs/>
              </w:rPr>
              <w:t>Nagoya</w:t>
            </w:r>
            <w:r w:rsidRPr="00EF1478">
              <w:rPr>
                <w:i/>
                <w:iCs/>
              </w:rPr>
              <w:t xml:space="preserve"> Protocol is expected to take note of the information contained in document </w:t>
            </w:r>
            <w:hyperlink r:id="rId60" w:history="1">
              <w:r w:rsidRPr="009520E6">
                <w:rPr>
                  <w:rStyle w:val="Hyperlink"/>
                  <w:i/>
                  <w:iCs/>
                </w:rPr>
                <w:t>CBD/NP/MOP/6/11</w:t>
              </w:r>
            </w:hyperlink>
            <w:r w:rsidRPr="00EF1478">
              <w:rPr>
                <w:i/>
                <w:iCs/>
              </w:rPr>
              <w:t>. No decision is expected under agenda item 1</w:t>
            </w:r>
            <w:r w:rsidR="008066F8">
              <w:rPr>
                <w:i/>
                <w:iCs/>
              </w:rPr>
              <w:t>3</w:t>
            </w:r>
            <w:r w:rsidRPr="00EF1478">
              <w:rPr>
                <w:i/>
                <w:iCs/>
              </w:rPr>
              <w:t>.</w:t>
            </w:r>
          </w:p>
        </w:tc>
      </w:tr>
    </w:tbl>
    <w:p w14:paraId="3D229865" w14:textId="77777777" w:rsidR="00A13F14" w:rsidRDefault="00A13F14" w:rsidP="008066F8">
      <w:pPr>
        <w:pStyle w:val="CBDNormalNumber"/>
        <w:numPr>
          <w:ilvl w:val="0"/>
          <w:numId w:val="0"/>
        </w:numPr>
        <w:ind w:left="567"/>
      </w:pPr>
    </w:p>
    <w:p w14:paraId="20C6D8AD" w14:textId="34636586" w:rsidR="00B70DC0" w:rsidRPr="006445FB" w:rsidRDefault="00B70DC0" w:rsidP="008066F8">
      <w:pPr>
        <w:pStyle w:val="CBDNormalNumber"/>
        <w:numPr>
          <w:ilvl w:val="0"/>
          <w:numId w:val="0"/>
        </w:numPr>
        <w:ind w:left="567"/>
      </w:pPr>
    </w:p>
    <w:p w14:paraId="725A434B"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65CC5612" w14:textId="7B08B25B" w:rsidR="00B70DC0" w:rsidRPr="00EE7CA8" w:rsidRDefault="00B70DC0" w:rsidP="008C02D0">
      <w:pPr>
        <w:pStyle w:val="CBDAgendaItem"/>
        <w:rPr>
          <w:rFonts w:hint="eastAsia"/>
          <w:sz w:val="26"/>
          <w:szCs w:val="26"/>
        </w:rPr>
      </w:pPr>
      <w:bookmarkStart w:id="14" w:name="_Toc241588367"/>
      <w:r w:rsidRPr="00EE7CA8">
        <w:rPr>
          <w:rFonts w:hint="eastAsia"/>
          <w:sz w:val="26"/>
          <w:szCs w:val="26"/>
        </w:rPr>
        <w:lastRenderedPageBreak/>
        <w:t xml:space="preserve">Item 14 </w:t>
      </w:r>
      <w:r w:rsidR="00BE6CBC" w:rsidRPr="00EE7CA8">
        <w:rPr>
          <w:rFonts w:hint="eastAsia"/>
          <w:sz w:val="26"/>
          <w:szCs w:val="26"/>
        </w:rPr>
        <w:br/>
      </w:r>
      <w:r w:rsidRPr="00EE7CA8">
        <w:rPr>
          <w:rFonts w:hint="eastAsia"/>
          <w:sz w:val="26"/>
          <w:szCs w:val="26"/>
        </w:rPr>
        <w:t xml:space="preserve">Review of </w:t>
      </w:r>
      <w:r w:rsidR="00A91062" w:rsidRPr="00EE7CA8">
        <w:rPr>
          <w:rFonts w:hint="eastAsia"/>
          <w:sz w:val="26"/>
          <w:szCs w:val="26"/>
        </w:rPr>
        <w:t xml:space="preserve">the </w:t>
      </w:r>
      <w:r w:rsidRPr="00EE7CA8">
        <w:rPr>
          <w:rFonts w:hint="eastAsia"/>
          <w:sz w:val="26"/>
          <w:szCs w:val="26"/>
        </w:rPr>
        <w:t xml:space="preserve">effectiveness of processes under </w:t>
      </w:r>
      <w:r w:rsidR="00A91062" w:rsidRPr="00EE7CA8">
        <w:rPr>
          <w:rFonts w:hint="eastAsia"/>
          <w:sz w:val="26"/>
          <w:szCs w:val="26"/>
        </w:rPr>
        <w:br/>
      </w:r>
      <w:r w:rsidRPr="00EE7CA8">
        <w:rPr>
          <w:rFonts w:hint="eastAsia"/>
          <w:sz w:val="26"/>
          <w:szCs w:val="26"/>
        </w:rPr>
        <w:t>the Convention on Biological Diversity and its Protocols</w:t>
      </w:r>
      <w:bookmarkEnd w:id="14"/>
    </w:p>
    <w:tbl>
      <w:tblPr>
        <w:tblStyle w:val="TableGrid"/>
        <w:tblW w:w="0" w:type="auto"/>
        <w:tblLook w:val="04A0" w:firstRow="1" w:lastRow="0" w:firstColumn="1" w:lastColumn="0" w:noHBand="0" w:noVBand="1"/>
      </w:tblPr>
      <w:tblGrid>
        <w:gridCol w:w="9360"/>
      </w:tblGrid>
      <w:tr w:rsidR="00A13F14" w:rsidRPr="006E0A47" w14:paraId="2C0EC536" w14:textId="77777777" w:rsidTr="00E44EC1">
        <w:tc>
          <w:tcPr>
            <w:tcW w:w="9360" w:type="dxa"/>
            <w:tcBorders>
              <w:left w:val="nil"/>
              <w:right w:val="nil"/>
            </w:tcBorders>
          </w:tcPr>
          <w:p w14:paraId="585ABCED" w14:textId="01776E66" w:rsidR="00A13F14" w:rsidRPr="006E0A47" w:rsidRDefault="00A13F14" w:rsidP="00E44EC1">
            <w:pPr>
              <w:pStyle w:val="CBDNormalNumber"/>
              <w:numPr>
                <w:ilvl w:val="0"/>
                <w:numId w:val="0"/>
              </w:numPr>
              <w:ind w:firstLine="596"/>
              <w:rPr>
                <w:i/>
                <w:iCs/>
              </w:rPr>
            </w:pPr>
            <w:r w:rsidRPr="006E0A47">
              <w:rPr>
                <w:i/>
                <w:iCs/>
              </w:rPr>
              <w:t>The following draft decision ha</w:t>
            </w:r>
            <w:r>
              <w:rPr>
                <w:i/>
                <w:iCs/>
              </w:rPr>
              <w:t>s</w:t>
            </w:r>
            <w:r w:rsidRPr="006E0A47">
              <w:rPr>
                <w:i/>
                <w:iCs/>
              </w:rPr>
              <w:t xml:space="preserve"> been reproduced from </w:t>
            </w:r>
            <w:r w:rsidR="008066F8">
              <w:rPr>
                <w:i/>
                <w:iCs/>
              </w:rPr>
              <w:t xml:space="preserve">recommendation </w:t>
            </w:r>
            <w:hyperlink r:id="rId61" w:history="1">
              <w:r w:rsidR="000A37F5" w:rsidRPr="00405CBA">
                <w:rPr>
                  <w:rStyle w:val="Hyperlink"/>
                  <w:i/>
                  <w:iCs/>
                </w:rPr>
                <w:t>6/8</w:t>
              </w:r>
            </w:hyperlink>
            <w:r w:rsidR="000A37F5">
              <w:rPr>
                <w:i/>
                <w:iCs/>
              </w:rPr>
              <w:t xml:space="preserve"> of the Subsidiary Body on Implementation.</w:t>
            </w:r>
          </w:p>
        </w:tc>
      </w:tr>
    </w:tbl>
    <w:p w14:paraId="47F1B7E7" w14:textId="297CC3B4" w:rsidR="00852DEE" w:rsidRPr="00195AA3" w:rsidRDefault="00195AA3" w:rsidP="00195AA3">
      <w:pPr>
        <w:pStyle w:val="CBDSubTitle"/>
        <w:rPr>
          <w:i/>
          <w:iCs/>
          <w:sz w:val="24"/>
          <w:szCs w:val="24"/>
        </w:rPr>
      </w:pPr>
      <w:r w:rsidRPr="00195AA3">
        <w:rPr>
          <w:sz w:val="24"/>
          <w:szCs w:val="24"/>
        </w:rPr>
        <w:t>Options for further improving the effectiveness of meetings under the Convention and its Protocols</w:t>
      </w:r>
    </w:p>
    <w:p w14:paraId="2C943A3C" w14:textId="3A757AB8" w:rsidR="00852DEE" w:rsidRPr="0017781F" w:rsidRDefault="00852DEE" w:rsidP="00852DEE">
      <w:pPr>
        <w:pStyle w:val="CBDDesicionText"/>
        <w:keepNext/>
        <w:tabs>
          <w:tab w:val="clear" w:pos="1134"/>
        </w:tabs>
        <w:ind w:left="567"/>
      </w:pPr>
      <w:r w:rsidRPr="0017781F">
        <w:rPr>
          <w:i/>
          <w:iCs/>
        </w:rPr>
        <w:t>The Conference of the Parties serving as the meeting of the Parties to the Nagoya Protocol</w:t>
      </w:r>
      <w:r w:rsidRPr="0092087F">
        <w:t>,</w:t>
      </w:r>
      <w:r w:rsidRPr="0017781F">
        <w:rPr>
          <w:i/>
          <w:iCs/>
        </w:rPr>
        <w:t xml:space="preserve"> </w:t>
      </w:r>
    </w:p>
    <w:p w14:paraId="4D8AE178" w14:textId="369D27EB" w:rsidR="00852DEE" w:rsidRDefault="00852DEE" w:rsidP="00852DEE">
      <w:pPr>
        <w:pStyle w:val="CBDDesicionText"/>
        <w:tabs>
          <w:tab w:val="clear" w:pos="1134"/>
        </w:tabs>
        <w:ind w:left="567"/>
      </w:pPr>
      <w:r w:rsidRPr="0017781F">
        <w:rPr>
          <w:i/>
          <w:iCs/>
        </w:rPr>
        <w:t>Recognizing</w:t>
      </w:r>
      <w:r w:rsidRPr="0017781F">
        <w:t xml:space="preserve"> the need to ensure </w:t>
      </w:r>
      <w:r>
        <w:t>[</w:t>
      </w:r>
      <w:r w:rsidRPr="0078285D">
        <w:t xml:space="preserve">the inclusiveness, transparency and </w:t>
      </w:r>
      <w:proofErr w:type="gramStart"/>
      <w:r w:rsidRPr="0078285D">
        <w:t>equity</w:t>
      </w:r>
      <w:r>
        <w:t>][</w:t>
      </w:r>
      <w:proofErr w:type="gramEnd"/>
      <w:r w:rsidRPr="0017781F">
        <w:t>the integrity</w:t>
      </w:r>
      <w:r>
        <w:t>]</w:t>
      </w:r>
      <w:r w:rsidRPr="0017781F">
        <w:t xml:space="preserve"> of the </w:t>
      </w:r>
      <w:bookmarkStart w:id="15" w:name="_Hlk214277284"/>
      <w:r w:rsidRPr="0017781F">
        <w:t>Nagoya Protocol on Access to Genetic Resources and the Fair and Equitable Sharing of Benefits Arising from Their Utilization</w:t>
      </w:r>
      <w:r w:rsidR="00B40AE2">
        <w:rPr>
          <w:rStyle w:val="FootnoteReference"/>
        </w:rPr>
        <w:footnoteReference w:id="44"/>
      </w:r>
      <w:r w:rsidRPr="0017781F">
        <w:t xml:space="preserve"> </w:t>
      </w:r>
      <w:bookmarkEnd w:id="15"/>
      <w:r w:rsidRPr="0017781F">
        <w:t>while pursuing efficiencies and</w:t>
      </w:r>
      <w:r>
        <w:t>, where appropriate,</w:t>
      </w:r>
      <w:r w:rsidRPr="0017781F">
        <w:t xml:space="preserve"> the integration of processes with the </w:t>
      </w:r>
      <w:r w:rsidRPr="0092087F">
        <w:t>Convention on Biological Diversity</w:t>
      </w:r>
      <w:r w:rsidR="00D00CC5">
        <w:rPr>
          <w:rStyle w:val="FootnoteReference"/>
        </w:rPr>
        <w:footnoteReference w:id="45"/>
      </w:r>
      <w:r w:rsidRPr="0017781F">
        <w:t xml:space="preserve"> and the Cartagena Protocol on Biosafety,</w:t>
      </w:r>
      <w:r w:rsidR="001D4A17">
        <w:rPr>
          <w:rStyle w:val="FootnoteReference"/>
        </w:rPr>
        <w:footnoteReference w:id="46"/>
      </w:r>
    </w:p>
    <w:p w14:paraId="63F891FB" w14:textId="77777777" w:rsidR="00852DEE" w:rsidRPr="00507B24" w:rsidRDefault="00852DEE" w:rsidP="00852DEE">
      <w:pPr>
        <w:pStyle w:val="CBDDesicionText"/>
        <w:tabs>
          <w:tab w:val="clear" w:pos="1134"/>
        </w:tabs>
        <w:ind w:left="567"/>
        <w:rPr>
          <w:lang w:val="en-US"/>
        </w:rPr>
      </w:pPr>
      <w:r w:rsidRPr="00640DE9">
        <w:rPr>
          <w:rFonts w:eastAsia="Times New Roman"/>
          <w:i/>
          <w:lang w:val="en-US"/>
        </w:rPr>
        <w:t xml:space="preserve">Reaffirming </w:t>
      </w:r>
      <w:r w:rsidRPr="00640DE9">
        <w:rPr>
          <w:rFonts w:eastAsia="Times New Roman"/>
          <w:lang w:val="en-US"/>
        </w:rPr>
        <w:t xml:space="preserve">the important role of </w:t>
      </w:r>
      <w:r w:rsidRPr="00640DE9">
        <w:t>technology</w:t>
      </w:r>
      <w:r w:rsidRPr="00640DE9">
        <w:rPr>
          <w:rFonts w:eastAsia="Times New Roman"/>
          <w:lang w:val="en-US"/>
        </w:rPr>
        <w:t xml:space="preserve"> in supporting the efficiency and effectiveness of meetings, without prejudice to decision-making by consensus,</w:t>
      </w:r>
    </w:p>
    <w:p w14:paraId="52053EC5" w14:textId="77777777" w:rsidR="00852DEE" w:rsidRPr="0017781F" w:rsidRDefault="00852DEE" w:rsidP="00852DEE">
      <w:pPr>
        <w:pStyle w:val="CBDDesicionText"/>
        <w:tabs>
          <w:tab w:val="clear" w:pos="1134"/>
        </w:tabs>
        <w:ind w:left="567"/>
        <w:rPr>
          <w:i/>
          <w:iCs/>
        </w:rPr>
      </w:pPr>
      <w:r w:rsidRPr="003E656B">
        <w:rPr>
          <w:rFonts w:eastAsia="Times New Roman"/>
          <w:color w:val="000000"/>
        </w:rPr>
        <w:t>1.</w:t>
      </w:r>
      <w:r w:rsidRPr="003E656B">
        <w:rPr>
          <w:rFonts w:eastAsia="Times New Roman"/>
          <w:color w:val="000000"/>
        </w:rPr>
        <w:tab/>
      </w:r>
      <w:r w:rsidRPr="003E656B">
        <w:rPr>
          <w:rFonts w:eastAsia="Times New Roman"/>
          <w:i/>
          <w:iCs/>
          <w:color w:val="000000"/>
        </w:rPr>
        <w:t>Takes</w:t>
      </w:r>
      <w:r w:rsidRPr="003E656B">
        <w:rPr>
          <w:rFonts w:eastAsia="Times New Roman"/>
          <w:color w:val="000000"/>
        </w:rPr>
        <w:t xml:space="preserve"> </w:t>
      </w:r>
      <w:r w:rsidRPr="003E656B">
        <w:rPr>
          <w:i/>
          <w:iCs/>
        </w:rPr>
        <w:t>note</w:t>
      </w:r>
      <w:r w:rsidRPr="003E656B">
        <w:t xml:space="preserve"> of</w:t>
      </w:r>
      <w:r w:rsidRPr="003E656B">
        <w:rPr>
          <w:i/>
          <w:iCs/>
        </w:rPr>
        <w:t xml:space="preserve"> </w:t>
      </w:r>
      <w:r w:rsidRPr="003E656B">
        <w:t>decision 17/-- of the Conference of the Parties to the Convention</w:t>
      </w:r>
      <w:r w:rsidRPr="00791CEA">
        <w:t xml:space="preserve"> </w:t>
      </w:r>
      <w:r w:rsidRPr="0092087F">
        <w:t>on Biological Diversity</w:t>
      </w:r>
      <w:r w:rsidRPr="003E656B">
        <w:t>;</w:t>
      </w:r>
    </w:p>
    <w:p w14:paraId="2E45FDAF" w14:textId="77777777" w:rsidR="00852DEE" w:rsidRPr="0067077A" w:rsidRDefault="00852DEE" w:rsidP="00852DEE">
      <w:pPr>
        <w:pStyle w:val="CBDDesicionText"/>
        <w:tabs>
          <w:tab w:val="clear" w:pos="1134"/>
        </w:tabs>
        <w:ind w:left="567"/>
      </w:pPr>
      <w:r w:rsidRPr="0017781F">
        <w:rPr>
          <w:rFonts w:eastAsia="Times New Roman"/>
          <w:color w:val="000000"/>
        </w:rPr>
        <w:t>2.</w:t>
      </w:r>
      <w:r w:rsidRPr="0017781F">
        <w:rPr>
          <w:rFonts w:eastAsia="Times New Roman"/>
          <w:color w:val="000000"/>
        </w:rPr>
        <w:tab/>
      </w:r>
      <w:r w:rsidRPr="0017781F">
        <w:rPr>
          <w:i/>
          <w:iCs/>
        </w:rPr>
        <w:t xml:space="preserve">Welcomes </w:t>
      </w:r>
      <w:r w:rsidRPr="0017781F">
        <w:t>the progress made with the decision-tracking tool developed further to decision </w:t>
      </w:r>
      <w:hyperlink r:id="rId62" w:history="1">
        <w:r w:rsidRPr="0092087F">
          <w:rPr>
            <w:rStyle w:val="Hyperlink"/>
          </w:rPr>
          <w:t>XII/28</w:t>
        </w:r>
      </w:hyperlink>
      <w:r w:rsidRPr="0017781F">
        <w:t xml:space="preserve"> </w:t>
      </w:r>
      <w:r w:rsidRPr="0092087F">
        <w:t>of 17 October 2014</w:t>
      </w:r>
      <w:r w:rsidRPr="0017781F">
        <w:t xml:space="preserve"> of the Conference of the Parties to the Convention, as described in document </w:t>
      </w:r>
      <w:hyperlink r:id="rId63" w:history="1">
        <w:r w:rsidRPr="009557B7">
          <w:rPr>
            <w:rStyle w:val="Hyperlink"/>
          </w:rPr>
          <w:t>CBD/SBI/6/INF/11</w:t>
        </w:r>
      </w:hyperlink>
      <w:r w:rsidRPr="0017781F">
        <w:t>;</w:t>
      </w:r>
    </w:p>
    <w:p w14:paraId="4E21EE8D" w14:textId="77777777" w:rsidR="00852DEE" w:rsidRPr="0017781F" w:rsidRDefault="00852DEE" w:rsidP="00852DEE">
      <w:pPr>
        <w:pStyle w:val="CBDDesicionText"/>
        <w:tabs>
          <w:tab w:val="clear" w:pos="1134"/>
        </w:tabs>
        <w:ind w:left="567"/>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w:t>
      </w:r>
      <w:r>
        <w:t xml:space="preserve">the </w:t>
      </w:r>
      <w:r w:rsidRPr="0017781F">
        <w:t>decisions of the Conference of the Parties serving as the meeting of the Parties to the Nagoya Protocol on Access to Genetic Resources and the Fair and Equitable Sharing of Benefits Arising from Their Utilization should be included in the decision</w:t>
      </w:r>
      <w:r>
        <w:t>-</w:t>
      </w:r>
      <w:r w:rsidRPr="0017781F">
        <w:t>tracking</w:t>
      </w:r>
      <w:r>
        <w:t xml:space="preserve"> </w:t>
      </w:r>
      <w:r w:rsidRPr="0017781F">
        <w:t>tool;</w:t>
      </w:r>
      <w:r w:rsidRPr="0092087F">
        <w:t xml:space="preserve"> </w:t>
      </w:r>
    </w:p>
    <w:p w14:paraId="06C9781C" w14:textId="77777777" w:rsidR="00852DEE" w:rsidRPr="005665DD" w:rsidRDefault="00852DEE" w:rsidP="00852DEE">
      <w:pPr>
        <w:pStyle w:val="CBDDesicionText"/>
        <w:tabs>
          <w:tab w:val="clear" w:pos="1134"/>
        </w:tabs>
        <w:ind w:left="567"/>
        <w:rPr>
          <w:i/>
          <w:iCs/>
        </w:rPr>
      </w:pPr>
      <w:r w:rsidRPr="0017781F">
        <w:rPr>
          <w:rFonts w:eastAsia="Times New Roman"/>
          <w:color w:val="000000"/>
        </w:rPr>
        <w:t>4.</w:t>
      </w:r>
      <w:r w:rsidRPr="0017781F">
        <w:rPr>
          <w:rFonts w:eastAsia="Times New Roman"/>
          <w:color w:val="000000"/>
        </w:rPr>
        <w:tab/>
      </w:r>
      <w:r w:rsidRPr="0092087F">
        <w:rPr>
          <w:i/>
          <w:iCs/>
        </w:rPr>
        <w:t>Requests</w:t>
      </w:r>
      <w:r w:rsidRPr="0017781F">
        <w:t xml:space="preserve"> the Executive Secretary to take the necessary steps in that regard, </w:t>
      </w:r>
      <w:r w:rsidRPr="005665DD">
        <w:t>beginning with decisions of its fourth and fifth meetings;</w:t>
      </w:r>
    </w:p>
    <w:p w14:paraId="7A117853" w14:textId="77777777" w:rsidR="00852DEE" w:rsidRPr="0017781F" w:rsidRDefault="00852DEE" w:rsidP="00852DEE">
      <w:pPr>
        <w:pStyle w:val="CBDDesicionText"/>
        <w:tabs>
          <w:tab w:val="clear" w:pos="1134"/>
        </w:tabs>
        <w:ind w:left="567"/>
      </w:pPr>
      <w:r w:rsidRPr="005665DD">
        <w:rPr>
          <w:rFonts w:eastAsia="Times New Roman"/>
          <w:color w:val="000000"/>
        </w:rPr>
        <w:t>5.</w:t>
      </w:r>
      <w:r w:rsidRPr="005665DD">
        <w:rPr>
          <w:rFonts w:eastAsia="Times New Roman"/>
          <w:color w:val="000000"/>
        </w:rPr>
        <w:tab/>
      </w:r>
      <w:r w:rsidRPr="005665DD">
        <w:rPr>
          <w:i/>
          <w:iCs/>
        </w:rPr>
        <w:t xml:space="preserve">Recalls </w:t>
      </w:r>
      <w:r w:rsidRPr="005665DD">
        <w:t xml:space="preserve">its decision </w:t>
      </w:r>
      <w:hyperlink r:id="rId64" w:history="1">
        <w:r w:rsidRPr="005665DD">
          <w:rPr>
            <w:rStyle w:val="Hyperlink"/>
          </w:rPr>
          <w:t>NP-1/12</w:t>
        </w:r>
      </w:hyperlink>
      <w:r w:rsidRPr="005665DD">
        <w:t xml:space="preserve"> of 14 October 2014, by which it decided to hold its ordinary meetings concurrently with the meetings of the Conference of the Parties to the Convention and the meetings of the Conference of the Parties serving as the meeting of the Parties to the Cartagena Protocol on Biosafety within a two-week period;</w:t>
      </w:r>
      <w:r w:rsidRPr="0092087F">
        <w:t xml:space="preserve"> </w:t>
      </w:r>
    </w:p>
    <w:p w14:paraId="0B42042A" w14:textId="77777777" w:rsidR="00852DEE" w:rsidRPr="0017781F" w:rsidRDefault="00852DEE" w:rsidP="00852DEE">
      <w:pPr>
        <w:pStyle w:val="CBDDesicionText"/>
        <w:tabs>
          <w:tab w:val="clear" w:pos="1134"/>
        </w:tabs>
        <w:ind w:left="567"/>
        <w:rPr>
          <w:i/>
          <w:iCs/>
        </w:rPr>
      </w:pPr>
      <w:r>
        <w:t>[</w:t>
      </w:r>
      <w:r w:rsidRPr="0017781F">
        <w:t>6.</w:t>
      </w:r>
      <w:r w:rsidRPr="0017781F">
        <w:tab/>
      </w:r>
      <w:r w:rsidRPr="0092087F">
        <w:rPr>
          <w:i/>
          <w:iCs/>
        </w:rPr>
        <w:t>Reiterates</w:t>
      </w:r>
      <w:r w:rsidRPr="0017781F">
        <w:t xml:space="preserve"> its call upon </w:t>
      </w:r>
      <w:r>
        <w:t>[</w:t>
      </w:r>
      <w:r w:rsidRPr="0017781F">
        <w:t>developed country</w:t>
      </w:r>
      <w:r>
        <w:t>]</w:t>
      </w:r>
      <w:r w:rsidRPr="0017781F">
        <w:t xml:space="preserve"> Parties</w:t>
      </w:r>
      <w:r>
        <w:t>[, and other Parties in a position to do so,]</w:t>
      </w:r>
      <w:r w:rsidRPr="0017781F">
        <w:t xml:space="preserve"> </w:t>
      </w:r>
      <w:r>
        <w:t>[</w:t>
      </w:r>
      <w:r w:rsidRPr="0017781F">
        <w:t>to increase their contributions</w:t>
      </w:r>
      <w:r>
        <w:t>][to contribute]</w:t>
      </w:r>
      <w:r w:rsidRPr="0017781F">
        <w:t xml:space="preserve"> to the relevant voluntary trust fund to ensure the full and effective participation of representatives of developing country Parties, in particular the least developed and </w:t>
      </w:r>
      <w:r w:rsidRPr="0092087F">
        <w:t>small island developing States</w:t>
      </w:r>
      <w:r w:rsidRPr="0017781F">
        <w:t xml:space="preserve"> among them</w:t>
      </w:r>
      <w:r w:rsidRPr="0092087F">
        <w:t xml:space="preserve">, and </w:t>
      </w:r>
      <w:r w:rsidRPr="0017781F">
        <w:t>Parties with economies in transition</w:t>
      </w:r>
      <w:r w:rsidRPr="003161F3">
        <w:t xml:space="preserve"> </w:t>
      </w:r>
      <w:r w:rsidRPr="0017781F">
        <w:t>in the concurrent meetings,</w:t>
      </w:r>
      <w:r>
        <w:t xml:space="preserve"> and</w:t>
      </w:r>
      <w:r w:rsidRPr="0017781F">
        <w:t xml:space="preserve"> </w:t>
      </w:r>
      <w:r>
        <w:t>to increase their contribution to the</w:t>
      </w:r>
      <w:r w:rsidRPr="00890E0E">
        <w:t xml:space="preserve"> </w:t>
      </w:r>
      <w:r w:rsidRPr="00D35B2D">
        <w:t>Special Voluntary Trust Fund for Facilitating the Participation of Indigenous Peoples and Local Communitie</w:t>
      </w:r>
      <w:r>
        <w:t>s</w:t>
      </w:r>
      <w:r w:rsidRPr="0017781F">
        <w:t>;</w:t>
      </w:r>
      <w:r>
        <w:t>]</w:t>
      </w:r>
    </w:p>
    <w:p w14:paraId="7EA6640B" w14:textId="77777777" w:rsidR="00852DEE" w:rsidRPr="00444CD0" w:rsidRDefault="00852DEE" w:rsidP="00195AA3">
      <w:pPr>
        <w:tabs>
          <w:tab w:val="clear" w:pos="567"/>
          <w:tab w:val="clear" w:pos="1134"/>
          <w:tab w:val="clear" w:pos="2268"/>
        </w:tabs>
        <w:ind w:left="567" w:firstLine="567"/>
        <w:rPr>
          <w:rFonts w:ascii="Arial" w:eastAsia="Arial" w:hAnsi="Arial" w:cs="Arial"/>
          <w:sz w:val="20"/>
          <w:szCs w:val="20"/>
          <w:lang w:val="en-US" w:eastAsia="es-PE"/>
        </w:rPr>
      </w:pPr>
      <w:r w:rsidRPr="0017781F">
        <w:rPr>
          <w:rFonts w:eastAsia="Times New Roman"/>
          <w:color w:val="000000"/>
        </w:rPr>
        <w:t>7.</w:t>
      </w:r>
      <w:r w:rsidRPr="0017781F">
        <w:rPr>
          <w:rFonts w:eastAsia="Times New Roman"/>
          <w:color w:val="000000"/>
        </w:rPr>
        <w:tab/>
      </w:r>
      <w:r w:rsidRPr="0017781F">
        <w:rPr>
          <w:i/>
          <w:iCs/>
        </w:rPr>
        <w:t xml:space="preserve">Notes </w:t>
      </w:r>
      <w:r w:rsidRPr="0017781F">
        <w:t>that chairs of groups considering matters under the Nagoya Protocol are to be selected from among the Parties to the Protocol.</w:t>
      </w:r>
    </w:p>
    <w:p w14:paraId="465F7213" w14:textId="77777777" w:rsidR="00A13F14" w:rsidRPr="00852DEE" w:rsidRDefault="00A13F14" w:rsidP="000A37F5">
      <w:pPr>
        <w:pStyle w:val="CBDNormalNumber"/>
        <w:numPr>
          <w:ilvl w:val="0"/>
          <w:numId w:val="0"/>
        </w:numPr>
        <w:ind w:left="567"/>
        <w:rPr>
          <w:lang w:val="en-US"/>
        </w:rPr>
      </w:pPr>
    </w:p>
    <w:p w14:paraId="402CF53C" w14:textId="35DAD20F" w:rsidR="00B70DC0" w:rsidRPr="00A04A62" w:rsidRDefault="00B70DC0" w:rsidP="000A37F5">
      <w:pPr>
        <w:pStyle w:val="CBDNormalNumber"/>
        <w:numPr>
          <w:ilvl w:val="0"/>
          <w:numId w:val="0"/>
        </w:numPr>
        <w:ind w:left="567"/>
      </w:pPr>
      <w:r w:rsidRPr="00A04A62">
        <w:t xml:space="preserve"> </w:t>
      </w:r>
    </w:p>
    <w:p w14:paraId="4E796AE9"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109306B9" w14:textId="76036F0C" w:rsidR="00B70DC0" w:rsidRPr="00EE7CA8" w:rsidRDefault="00B70DC0" w:rsidP="008C02D0">
      <w:pPr>
        <w:pStyle w:val="CBDAgendaItem"/>
        <w:rPr>
          <w:rFonts w:hint="eastAsia"/>
          <w:sz w:val="26"/>
          <w:szCs w:val="26"/>
        </w:rPr>
      </w:pPr>
      <w:bookmarkStart w:id="16" w:name="_Toc241588368"/>
      <w:r w:rsidRPr="00EE7CA8">
        <w:rPr>
          <w:rFonts w:hint="eastAsia"/>
          <w:sz w:val="26"/>
          <w:szCs w:val="26"/>
        </w:rPr>
        <w:lastRenderedPageBreak/>
        <w:t xml:space="preserve">Item 15 </w:t>
      </w:r>
      <w:r w:rsidR="00BE6CBC" w:rsidRPr="00EE7CA8">
        <w:rPr>
          <w:rFonts w:hint="eastAsia"/>
          <w:sz w:val="26"/>
          <w:szCs w:val="26"/>
        </w:rPr>
        <w:br/>
      </w:r>
      <w:r w:rsidRPr="00EE7CA8">
        <w:rPr>
          <w:rFonts w:hint="eastAsia"/>
          <w:sz w:val="26"/>
          <w:szCs w:val="26"/>
        </w:rPr>
        <w:t>Digital sequence information on genetic resources</w:t>
      </w:r>
      <w:bookmarkEnd w:id="16"/>
    </w:p>
    <w:tbl>
      <w:tblPr>
        <w:tblStyle w:val="TableGrid"/>
        <w:tblW w:w="0" w:type="auto"/>
        <w:tblLook w:val="04A0" w:firstRow="1" w:lastRow="0" w:firstColumn="1" w:lastColumn="0" w:noHBand="0" w:noVBand="1"/>
      </w:tblPr>
      <w:tblGrid>
        <w:gridCol w:w="9360"/>
      </w:tblGrid>
      <w:tr w:rsidR="00A13F14" w:rsidRPr="006E0A47" w14:paraId="76DAAE46" w14:textId="77777777" w:rsidTr="00E44EC1">
        <w:tc>
          <w:tcPr>
            <w:tcW w:w="9360" w:type="dxa"/>
            <w:tcBorders>
              <w:left w:val="nil"/>
              <w:right w:val="nil"/>
            </w:tcBorders>
          </w:tcPr>
          <w:p w14:paraId="54CDD113" w14:textId="1017C1A9" w:rsidR="00A13F14" w:rsidRPr="006E0A47" w:rsidRDefault="00FF5B18" w:rsidP="00E44EC1">
            <w:pPr>
              <w:pStyle w:val="CBDNormalNumber"/>
              <w:numPr>
                <w:ilvl w:val="0"/>
                <w:numId w:val="0"/>
              </w:numPr>
              <w:ind w:firstLine="596"/>
              <w:rPr>
                <w:i/>
                <w:iCs/>
              </w:rPr>
            </w:pPr>
            <w:r w:rsidRPr="00EE7CA8">
              <w:rPr>
                <w:i/>
                <w:iCs/>
              </w:rPr>
              <w:t xml:space="preserve">The present agenda item will be considered </w:t>
            </w:r>
            <w:r w:rsidR="00CC221A">
              <w:rPr>
                <w:i/>
                <w:iCs/>
              </w:rPr>
              <w:t xml:space="preserve">in conjunction with item 11 of the </w:t>
            </w:r>
            <w:r w:rsidR="004F2961">
              <w:rPr>
                <w:i/>
                <w:iCs/>
              </w:rPr>
              <w:t>seventeenth meeting of the Conference of the Parties to the Convention (see document CBD/COP/17/2, item 11).</w:t>
            </w:r>
          </w:p>
        </w:tc>
      </w:tr>
    </w:tbl>
    <w:p w14:paraId="49C42B96" w14:textId="77777777" w:rsidR="00A13F14" w:rsidRDefault="00A13F14" w:rsidP="00EE7CA8">
      <w:pPr>
        <w:pStyle w:val="CBDNormalNumber"/>
        <w:numPr>
          <w:ilvl w:val="0"/>
          <w:numId w:val="0"/>
        </w:numPr>
        <w:ind w:left="567"/>
      </w:pPr>
    </w:p>
    <w:p w14:paraId="0FB56612" w14:textId="49506710" w:rsidR="00BB4ACE" w:rsidRPr="00A04A62" w:rsidRDefault="00BB4ACE" w:rsidP="00A526A1">
      <w:pPr>
        <w:pStyle w:val="CBDNormalNumber"/>
        <w:numPr>
          <w:ilvl w:val="0"/>
          <w:numId w:val="0"/>
        </w:numPr>
        <w:ind w:left="567"/>
      </w:pPr>
    </w:p>
    <w:p w14:paraId="1556A83B" w14:textId="7F8DF6E7" w:rsidR="003206E8" w:rsidRPr="006445FB" w:rsidRDefault="003206E8" w:rsidP="00EE7CA8">
      <w:pPr>
        <w:pStyle w:val="CBDNormalNumber"/>
        <w:numPr>
          <w:ilvl w:val="0"/>
          <w:numId w:val="0"/>
        </w:numPr>
      </w:pPr>
    </w:p>
    <w:p w14:paraId="30281988" w14:textId="77777777" w:rsidR="00A71031" w:rsidRDefault="00A71031" w:rsidP="008C02D0">
      <w:pPr>
        <w:pStyle w:val="CBDAgendaItem"/>
        <w:rPr>
          <w:rFonts w:hint="eastAsia"/>
        </w:rPr>
        <w:sectPr w:rsidR="00A71031" w:rsidSect="00A71031">
          <w:pgSz w:w="12240" w:h="15840"/>
          <w:pgMar w:top="567" w:right="1440" w:bottom="1134" w:left="1440" w:header="709" w:footer="709" w:gutter="0"/>
          <w:cols w:space="708"/>
          <w:docGrid w:linePitch="360"/>
        </w:sectPr>
      </w:pPr>
    </w:p>
    <w:p w14:paraId="77E6929B" w14:textId="7CC18675" w:rsidR="00B70DC0" w:rsidRPr="00EE7CA8" w:rsidRDefault="00B70DC0" w:rsidP="008C02D0">
      <w:pPr>
        <w:pStyle w:val="CBDAgendaItem"/>
        <w:rPr>
          <w:rFonts w:hint="eastAsia"/>
          <w:sz w:val="26"/>
          <w:szCs w:val="26"/>
        </w:rPr>
      </w:pPr>
      <w:bookmarkStart w:id="17" w:name="_Toc241588369"/>
      <w:r w:rsidRPr="00EE7CA8">
        <w:rPr>
          <w:rFonts w:hint="eastAsia"/>
          <w:sz w:val="26"/>
          <w:szCs w:val="26"/>
        </w:rPr>
        <w:lastRenderedPageBreak/>
        <w:t>Item</w:t>
      </w:r>
      <w:r w:rsidR="002F1DF8" w:rsidRPr="00EE7CA8">
        <w:rPr>
          <w:rFonts w:hint="eastAsia"/>
          <w:sz w:val="26"/>
          <w:szCs w:val="26"/>
        </w:rPr>
        <w:t>s</w:t>
      </w:r>
      <w:r w:rsidRPr="00EE7CA8">
        <w:rPr>
          <w:rFonts w:hint="eastAsia"/>
          <w:sz w:val="26"/>
          <w:szCs w:val="26"/>
        </w:rPr>
        <w:t xml:space="preserve"> 16 </w:t>
      </w:r>
      <w:r w:rsidR="002F1DF8" w:rsidRPr="00EE7CA8">
        <w:rPr>
          <w:rFonts w:hint="eastAsia"/>
          <w:sz w:val="26"/>
          <w:szCs w:val="26"/>
        </w:rPr>
        <w:t>to 18</w:t>
      </w:r>
      <w:bookmarkEnd w:id="17"/>
    </w:p>
    <w:p w14:paraId="639334B3" w14:textId="0445FB9A" w:rsidR="00B70DC0" w:rsidRPr="00A04A62" w:rsidRDefault="00F848B3" w:rsidP="00F848B3">
      <w:pPr>
        <w:pStyle w:val="CBDNormalNumber"/>
        <w:numPr>
          <w:ilvl w:val="0"/>
          <w:numId w:val="0"/>
        </w:numPr>
        <w:ind w:left="567"/>
      </w:pPr>
      <w:r>
        <w:t>No draft decisions are envisaged under items 18 to 20, owing to the nature of those items. The actions required on the part of the Conference of the Parties serving as the meeting of the Parties to the Protocol under those items a</w:t>
      </w:r>
      <w:r w:rsidR="000C4E72">
        <w:t>r</w:t>
      </w:r>
      <w:r>
        <w:t>e reflected in the annotated provisional agenda.</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A7103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920A7" w14:textId="77777777" w:rsidR="00BC5BB6" w:rsidRPr="003F1A75" w:rsidRDefault="00BC5BB6" w:rsidP="00CF1848">
      <w:r w:rsidRPr="003F1A75">
        <w:separator/>
      </w:r>
    </w:p>
  </w:endnote>
  <w:endnote w:type="continuationSeparator" w:id="0">
    <w:p w14:paraId="0A241EA3" w14:textId="77777777" w:rsidR="00BC5BB6" w:rsidRPr="003F1A75" w:rsidRDefault="00BC5BB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A0011FE" w14:textId="77777777" w:rsidR="00D75CA6" w:rsidRPr="003F1A75" w:rsidRDefault="00D75CA6" w:rsidP="00D75CA6">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192FD72" w14:textId="77777777" w:rsidR="00D75CA6" w:rsidRPr="00F2740F" w:rsidRDefault="00D75CA6" w:rsidP="00C66C34">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EndPr/>
    <w:sdtContent>
      <w:sdt>
        <w:sdtPr>
          <w:id w:val="-690691589"/>
          <w:docPartObj>
            <w:docPartGallery w:val="Page Numbers (Top of Page)"/>
            <w:docPartUnique/>
          </w:docPartObj>
        </w:sdtPr>
        <w:sdtEndPr/>
        <w:sdtContent>
          <w:p w14:paraId="63103574" w14:textId="77777777" w:rsidR="00C83DB9" w:rsidRPr="00D12B34" w:rsidRDefault="00C83DB9"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EndPr/>
    <w:sdtContent>
      <w:p w14:paraId="333E3349" w14:textId="77777777" w:rsidR="00C83DB9" w:rsidRPr="00866063" w:rsidRDefault="00C83DB9"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37CA9" w14:textId="77777777" w:rsidR="00BC5BB6" w:rsidRPr="003F1A75" w:rsidRDefault="00BC5BB6" w:rsidP="00CF1848">
      <w:r w:rsidRPr="003F1A75">
        <w:separator/>
      </w:r>
    </w:p>
  </w:footnote>
  <w:footnote w:type="continuationSeparator" w:id="0">
    <w:p w14:paraId="69B92A49" w14:textId="77777777" w:rsidR="00BC5BB6" w:rsidRPr="003F1A75" w:rsidRDefault="00BC5BB6" w:rsidP="00CF1848">
      <w:r w:rsidRPr="003F1A75">
        <w:continuationSeparator/>
      </w:r>
    </w:p>
  </w:footnote>
  <w:footnote w:id="1">
    <w:p w14:paraId="55783262" w14:textId="6891011E" w:rsidR="008A1499" w:rsidRPr="003F1A75" w:rsidRDefault="008A1499">
      <w:pPr>
        <w:pStyle w:val="FootnoteText"/>
      </w:pPr>
      <w:r w:rsidRPr="003F1A75">
        <w:rPr>
          <w:rStyle w:val="FootnoteReference"/>
        </w:rPr>
        <w:t>*</w:t>
      </w:r>
      <w:r w:rsidRPr="003F1A75">
        <w:t xml:space="preserve"> </w:t>
      </w:r>
      <w:hyperlink r:id="rId1" w:history="1">
        <w:r w:rsidRPr="00FB3F55">
          <w:rPr>
            <w:rStyle w:val="Hyperlink"/>
          </w:rPr>
          <w:t>CBD/</w:t>
        </w:r>
        <w:r w:rsidR="00975047" w:rsidRPr="00FB3F55">
          <w:rPr>
            <w:rStyle w:val="Hyperlink"/>
          </w:rPr>
          <w:t>NP/MOP/6</w:t>
        </w:r>
        <w:r w:rsidRPr="00FB3F55">
          <w:rPr>
            <w:rStyle w:val="Hyperlink"/>
          </w:rPr>
          <w:t>/1</w:t>
        </w:r>
      </w:hyperlink>
      <w:r w:rsidRPr="003F1A75">
        <w:t>.</w:t>
      </w:r>
    </w:p>
  </w:footnote>
  <w:footnote w:id="2">
    <w:p w14:paraId="62670E0F" w14:textId="113D7BCA" w:rsidR="003E5423" w:rsidRDefault="003E5423">
      <w:pPr>
        <w:pStyle w:val="FootnoteText"/>
      </w:pPr>
      <w:r>
        <w:rPr>
          <w:rStyle w:val="FootnoteReference"/>
        </w:rPr>
        <w:footnoteRef/>
      </w:r>
      <w:r>
        <w:t xml:space="preserve"> </w:t>
      </w:r>
      <w:hyperlink r:id="rId2" w:history="1">
        <w:r w:rsidR="001068B4" w:rsidRPr="00FB3F55">
          <w:rPr>
            <w:rStyle w:val="Hyperlink"/>
          </w:rPr>
          <w:t>CBD/NP/MOP/6/1</w:t>
        </w:r>
      </w:hyperlink>
      <w:r w:rsidR="001068B4" w:rsidRPr="003F1A75">
        <w:t>.</w:t>
      </w:r>
    </w:p>
  </w:footnote>
  <w:footnote w:id="3">
    <w:p w14:paraId="4688D944" w14:textId="77777777" w:rsidR="004A5B36" w:rsidRPr="009B0DCF" w:rsidRDefault="004A5B36" w:rsidP="004A5B36">
      <w:pPr>
        <w:pStyle w:val="FootnoteText"/>
      </w:pPr>
      <w:r>
        <w:rPr>
          <w:rStyle w:val="FootnoteReference"/>
        </w:rPr>
        <w:footnoteRef/>
      </w:r>
      <w:r>
        <w:t xml:space="preserve"> </w:t>
      </w:r>
      <w:r w:rsidRPr="009B0DCF">
        <w:t xml:space="preserve">United Nations, </w:t>
      </w:r>
      <w:r w:rsidRPr="005D6125">
        <w:rPr>
          <w:i/>
          <w:iCs/>
        </w:rPr>
        <w:t>Treaty Series</w:t>
      </w:r>
      <w:r w:rsidRPr="009B0DCF">
        <w:t>, vol. 3008, No. 30619.</w:t>
      </w:r>
    </w:p>
  </w:footnote>
  <w:footnote w:id="4">
    <w:p w14:paraId="0B03E324" w14:textId="77777777" w:rsidR="004A5B36" w:rsidRPr="005D6125" w:rsidRDefault="004A5B36" w:rsidP="004A5B36">
      <w:pPr>
        <w:pStyle w:val="FootnoteText"/>
        <w:rPr>
          <w:lang w:val="en-US"/>
        </w:rPr>
      </w:pPr>
      <w:r>
        <w:rPr>
          <w:rStyle w:val="FootnoteReference"/>
        </w:rPr>
        <w:footnoteRef/>
      </w:r>
      <w:r>
        <w:t xml:space="preserve"> See </w:t>
      </w:r>
      <w:hyperlink r:id="rId3" w:history="1">
        <w:r w:rsidRPr="00D37993">
          <w:rPr>
            <w:rStyle w:val="Hyperlink"/>
          </w:rPr>
          <w:t>CBD/SBI/7/7/Add.1</w:t>
        </w:r>
      </w:hyperlink>
      <w:r>
        <w:t>.</w:t>
      </w:r>
    </w:p>
  </w:footnote>
  <w:footnote w:id="5">
    <w:p w14:paraId="2F2DA2F6" w14:textId="77777777" w:rsidR="004A5B36" w:rsidRPr="005D6125" w:rsidRDefault="004A5B36" w:rsidP="004A5B36">
      <w:pPr>
        <w:pStyle w:val="FootnoteText"/>
        <w:rPr>
          <w:lang w:val="en-US"/>
        </w:rPr>
      </w:pPr>
      <w:r>
        <w:rPr>
          <w:rStyle w:val="FootnoteReference"/>
        </w:rPr>
        <w:footnoteRef/>
      </w:r>
      <w:r>
        <w:t xml:space="preserve"> </w:t>
      </w:r>
      <w:r>
        <w:rPr>
          <w:lang w:val="en-US"/>
        </w:rPr>
        <w:t>Ibid.</w:t>
      </w:r>
    </w:p>
  </w:footnote>
  <w:footnote w:id="6">
    <w:p w14:paraId="65C058CC" w14:textId="77777777" w:rsidR="00C83DB9" w:rsidRPr="007E7E8E" w:rsidRDefault="00C83DB9">
      <w:pPr>
        <w:pStyle w:val="FootnoteText"/>
      </w:pPr>
      <w:r>
        <w:rPr>
          <w:rStyle w:val="FootnoteReference"/>
        </w:rPr>
        <w:footnoteRef/>
      </w:r>
      <w:r>
        <w:t xml:space="preserve"> </w:t>
      </w:r>
      <w:r w:rsidRPr="007E7E8E">
        <w:t xml:space="preserve">United Nations, </w:t>
      </w:r>
      <w:r w:rsidRPr="00356880">
        <w:rPr>
          <w:i/>
          <w:iCs/>
        </w:rPr>
        <w:t>Treaty Series</w:t>
      </w:r>
      <w:r w:rsidRPr="007E7E8E">
        <w:t>, vol. 1760, No. 30619.</w:t>
      </w:r>
    </w:p>
  </w:footnote>
  <w:footnote w:id="7">
    <w:p w14:paraId="3A3848CA" w14:textId="77777777" w:rsidR="00B50B7A" w:rsidRPr="0076397B" w:rsidRDefault="00B50B7A" w:rsidP="00B50B7A">
      <w:pPr>
        <w:pStyle w:val="FootnoteText"/>
        <w:rPr>
          <w:szCs w:val="18"/>
        </w:rPr>
      </w:pPr>
      <w:r w:rsidRPr="00CE7F69">
        <w:rPr>
          <w:rStyle w:val="FootnoteReference"/>
          <w:szCs w:val="18"/>
        </w:rPr>
        <w:footnoteRef/>
      </w:r>
      <w:r w:rsidRPr="00CE7F69">
        <w:rPr>
          <w:szCs w:val="18"/>
        </w:rPr>
        <w:t xml:space="preserve"> </w:t>
      </w:r>
      <w:r>
        <w:rPr>
          <w:szCs w:val="18"/>
        </w:rPr>
        <w:t>Ibid.</w:t>
      </w:r>
      <w:r w:rsidRPr="0076397B">
        <w:rPr>
          <w:szCs w:val="18"/>
        </w:rPr>
        <w:t>, vol. 3008, No. 30619.</w:t>
      </w:r>
    </w:p>
  </w:footnote>
  <w:footnote w:id="8">
    <w:p w14:paraId="1F1B8751" w14:textId="31598245" w:rsidR="00C83DB9" w:rsidRPr="00356880" w:rsidRDefault="00C83DB9" w:rsidP="00E44EC1">
      <w:pPr>
        <w:pStyle w:val="FootnoteText"/>
        <w:rPr>
          <w:lang w:val="en-CA"/>
        </w:rPr>
      </w:pPr>
      <w:r>
        <w:rPr>
          <w:rStyle w:val="FootnoteReference"/>
        </w:rPr>
        <w:footnoteRef/>
      </w:r>
      <w:r>
        <w:t xml:space="preserve"> </w:t>
      </w:r>
      <w:hyperlink r:id="rId4" w:history="1">
        <w:r w:rsidR="00C24D0A" w:rsidRPr="00AB1750">
          <w:rPr>
            <w:rStyle w:val="Hyperlink"/>
          </w:rPr>
          <w:t>CBD/NP/MOP/6/</w:t>
        </w:r>
        <w:r w:rsidR="003943D6">
          <w:rPr>
            <w:rStyle w:val="Hyperlink"/>
          </w:rPr>
          <w:t>4</w:t>
        </w:r>
      </w:hyperlink>
      <w:r>
        <w:t xml:space="preserve">, </w:t>
      </w:r>
      <w:hyperlink r:id="rId5" w:history="1">
        <w:r w:rsidR="00366844" w:rsidRPr="00366844">
          <w:rPr>
            <w:rStyle w:val="Hyperlink"/>
          </w:rPr>
          <w:t>CBD/NP/MOP/6/5</w:t>
        </w:r>
      </w:hyperlink>
      <w:r>
        <w:t xml:space="preserve"> </w:t>
      </w:r>
      <w:r w:rsidR="00036F6A">
        <w:t xml:space="preserve">and </w:t>
      </w:r>
      <w:r w:rsidR="00FD5708" w:rsidRPr="00FD5708">
        <w:t>CBD/NP/MOP/6/5/Add.1</w:t>
      </w:r>
      <w:r w:rsidR="00036F6A">
        <w:t>.</w:t>
      </w:r>
    </w:p>
  </w:footnote>
  <w:footnote w:id="9">
    <w:p w14:paraId="7E22F5E7" w14:textId="77777777" w:rsidR="00C83DB9" w:rsidRPr="00356880" w:rsidRDefault="00C83DB9">
      <w:pPr>
        <w:pStyle w:val="FootnoteText"/>
        <w:rPr>
          <w:lang w:val="en-CA"/>
        </w:rPr>
      </w:pPr>
      <w:r>
        <w:rPr>
          <w:rStyle w:val="FootnoteReference"/>
        </w:rPr>
        <w:footnoteRef/>
      </w:r>
      <w:r>
        <w:t xml:space="preserve"> </w:t>
      </w:r>
      <w:r>
        <w:rPr>
          <w:lang w:val="en-CA"/>
        </w:rPr>
        <w:t xml:space="preserve">Decision </w:t>
      </w:r>
      <w:hyperlink r:id="rId6" w:history="1">
        <w:r w:rsidRPr="00CA34CD">
          <w:rPr>
            <w:rStyle w:val="Hyperlink"/>
            <w:lang w:val="en-CA"/>
          </w:rPr>
          <w:t>15/4</w:t>
        </w:r>
      </w:hyperlink>
      <w:r>
        <w:rPr>
          <w:lang w:val="en-CA"/>
        </w:rPr>
        <w:t>, annex.</w:t>
      </w:r>
    </w:p>
  </w:footnote>
  <w:footnote w:id="10">
    <w:p w14:paraId="1E40AA10" w14:textId="77777777" w:rsidR="00C83DB9" w:rsidRPr="0076397B" w:rsidRDefault="00C83DB9" w:rsidP="00E44EC1">
      <w:pPr>
        <w:pStyle w:val="FootnoteText"/>
      </w:pPr>
      <w:r w:rsidRPr="6D5F172A">
        <w:rPr>
          <w:rStyle w:val="FootnoteReference"/>
        </w:rPr>
        <w:footnoteRef/>
      </w:r>
      <w:r w:rsidRPr="00CE7F69">
        <w:rPr>
          <w:szCs w:val="18"/>
        </w:rPr>
        <w:t xml:space="preserve"> </w:t>
      </w:r>
      <w:r w:rsidRPr="6D5F172A">
        <w:rPr>
          <w:color w:val="000000"/>
        </w:rPr>
        <w:t xml:space="preserve">United Nations, </w:t>
      </w:r>
      <w:r w:rsidRPr="6D5F172A">
        <w:rPr>
          <w:i/>
          <w:iCs/>
          <w:color w:val="000000"/>
        </w:rPr>
        <w:t>Treaty Series</w:t>
      </w:r>
      <w:r w:rsidRPr="6D5F172A">
        <w:rPr>
          <w:color w:val="000000"/>
        </w:rPr>
        <w:t>,</w:t>
      </w:r>
      <w:r w:rsidRPr="6D5F172A">
        <w:rPr>
          <w:i/>
          <w:iCs/>
          <w:color w:val="000000"/>
        </w:rPr>
        <w:t xml:space="preserve"> </w:t>
      </w:r>
      <w:r w:rsidRPr="6D5F172A">
        <w:rPr>
          <w:color w:val="000000"/>
        </w:rPr>
        <w:t>vol. 2226, No. 30619.</w:t>
      </w:r>
    </w:p>
  </w:footnote>
  <w:footnote w:id="11">
    <w:p w14:paraId="0357A320" w14:textId="77777777" w:rsidR="00C83DB9" w:rsidRPr="00EE7CA8" w:rsidRDefault="00C83DB9" w:rsidP="00EE7CA8">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Pr="00487714">
        <w:rPr>
          <w:rFonts w:asciiTheme="majorBidi" w:hAnsiTheme="majorBidi" w:cstheme="majorBidi"/>
          <w:sz w:val="18"/>
          <w:szCs w:val="18"/>
        </w:rPr>
        <w:t xml:space="preserve">As contained in General Assembly resolution </w:t>
      </w:r>
      <w:r>
        <w:rPr>
          <w:rFonts w:asciiTheme="majorBidi" w:hAnsiTheme="majorBidi" w:cstheme="majorBidi"/>
          <w:sz w:val="18"/>
          <w:szCs w:val="18"/>
        </w:rPr>
        <w:t>79/249</w:t>
      </w:r>
      <w:r w:rsidRPr="00487714">
        <w:rPr>
          <w:rFonts w:asciiTheme="majorBidi" w:hAnsiTheme="majorBidi" w:cstheme="majorBidi"/>
          <w:sz w:val="18"/>
          <w:szCs w:val="18"/>
        </w:rPr>
        <w:t xml:space="preserve">. </w:t>
      </w:r>
    </w:p>
  </w:footnote>
  <w:footnote w:id="12">
    <w:p w14:paraId="2079468A" w14:textId="665AF3A6" w:rsidR="005C267F" w:rsidRPr="00262968" w:rsidRDefault="005C267F" w:rsidP="00262968">
      <w:pPr>
        <w:pStyle w:val="FootnoteText"/>
      </w:pPr>
      <w:r>
        <w:rPr>
          <w:rStyle w:val="FootnoteReference"/>
        </w:rPr>
        <w:footnoteRef/>
      </w:r>
      <w:r>
        <w:t xml:space="preserve"> </w:t>
      </w:r>
      <w:r w:rsidR="00262968">
        <w:t xml:space="preserve">See </w:t>
      </w:r>
      <w:hyperlink r:id="rId7" w:history="1">
        <w:r w:rsidR="00262968" w:rsidRPr="00262968">
          <w:rPr>
            <w:rStyle w:val="Hyperlink"/>
          </w:rPr>
          <w:t>CBD/NP/MOP/6/5</w:t>
        </w:r>
      </w:hyperlink>
      <w:r w:rsidR="00262968">
        <w:t>, annex, table 3. The scale of assessment will be integrated into the decision after a single scale of contributions for the Convention and its Protocols has been adopted.</w:t>
      </w:r>
    </w:p>
  </w:footnote>
  <w:footnote w:id="13">
    <w:p w14:paraId="001830BE" w14:textId="77777777" w:rsidR="00B334E7" w:rsidRPr="005D7BE5" w:rsidRDefault="00B334E7" w:rsidP="00B334E7">
      <w:pPr>
        <w:pStyle w:val="FootnoteText"/>
      </w:pPr>
      <w:r>
        <w:rPr>
          <w:rStyle w:val="FootnoteReference"/>
        </w:rPr>
        <w:footnoteRef/>
      </w:r>
      <w:r>
        <w:t xml:space="preserve"> </w:t>
      </w:r>
      <w:hyperlink r:id="rId8" w:history="1">
        <w:r w:rsidRPr="00051E3D">
          <w:rPr>
            <w:rStyle w:val="Hyperlink"/>
          </w:rPr>
          <w:t>CBD/SBI/6/10</w:t>
        </w:r>
      </w:hyperlink>
      <w:r>
        <w:t>, annex.</w:t>
      </w:r>
    </w:p>
  </w:footnote>
  <w:footnote w:id="14">
    <w:p w14:paraId="71C561EF" w14:textId="77777777" w:rsidR="00790843" w:rsidRPr="00010516" w:rsidRDefault="00790843" w:rsidP="00790843">
      <w:pPr>
        <w:pStyle w:val="FootnoteText"/>
        <w:rPr>
          <w:lang w:val="en-CA"/>
        </w:rPr>
      </w:pPr>
      <w:r>
        <w:rPr>
          <w:rStyle w:val="FootnoteReference"/>
        </w:rPr>
        <w:footnoteRef/>
      </w:r>
      <w:r>
        <w:t xml:space="preserve"> </w:t>
      </w:r>
      <w:hyperlink r:id="rId9" w:history="1">
        <w:r w:rsidRPr="00845480">
          <w:rPr>
            <w:rStyle w:val="Hyperlink"/>
          </w:rPr>
          <w:t>CBD/COP/17/4/Add.4</w:t>
        </w:r>
      </w:hyperlink>
      <w:r>
        <w:t>.</w:t>
      </w:r>
    </w:p>
  </w:footnote>
  <w:footnote w:id="15">
    <w:p w14:paraId="6165503D" w14:textId="51E74F7B" w:rsidR="00486F62" w:rsidRDefault="00486F62" w:rsidP="00486F62">
      <w:pPr>
        <w:pStyle w:val="FootnoteText"/>
      </w:pPr>
      <w:r>
        <w:rPr>
          <w:rStyle w:val="FootnoteReference"/>
        </w:rPr>
        <w:footnoteRef/>
      </w:r>
      <w:r>
        <w:t xml:space="preserve"> </w:t>
      </w:r>
      <w:r w:rsidR="00DF61B5" w:rsidRPr="009446AA">
        <w:t xml:space="preserve">United Nations, </w:t>
      </w:r>
      <w:r w:rsidR="00DF61B5" w:rsidRPr="005D6125">
        <w:rPr>
          <w:i/>
          <w:iCs/>
        </w:rPr>
        <w:t>Treaty Series</w:t>
      </w:r>
      <w:r w:rsidRPr="002A3345">
        <w:t>, vol. 3008, No. 30619.</w:t>
      </w:r>
    </w:p>
  </w:footnote>
  <w:footnote w:id="16">
    <w:p w14:paraId="06C41FB0" w14:textId="0154E7EC" w:rsidR="00486F62" w:rsidRPr="009446AA" w:rsidRDefault="00486F62" w:rsidP="00486F62">
      <w:pPr>
        <w:pStyle w:val="FootnoteText"/>
      </w:pPr>
      <w:r>
        <w:rPr>
          <w:rStyle w:val="FootnoteReference"/>
        </w:rPr>
        <w:footnoteRef/>
      </w:r>
      <w:r w:rsidR="00DF61B5">
        <w:t xml:space="preserve"> Ibid.</w:t>
      </w:r>
      <w:r w:rsidRPr="009446AA">
        <w:t>, vol. 1760, No. 30619.</w:t>
      </w:r>
    </w:p>
  </w:footnote>
  <w:footnote w:id="17">
    <w:p w14:paraId="110D8F9D" w14:textId="77777777" w:rsidR="00520698" w:rsidRPr="000C0990" w:rsidRDefault="00520698" w:rsidP="00520698">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18">
    <w:p w14:paraId="7B99AE7C" w14:textId="77777777" w:rsidR="00095629" w:rsidRPr="006B144A" w:rsidRDefault="00095629" w:rsidP="00095629">
      <w:pPr>
        <w:pStyle w:val="FootnoteText"/>
      </w:pPr>
      <w:r w:rsidRPr="005E0E9C">
        <w:rPr>
          <w:rStyle w:val="FootnoteReference"/>
        </w:rPr>
        <w:footnoteRef/>
      </w:r>
      <w:r w:rsidRPr="006B144A">
        <w:t xml:space="preserve"> See </w:t>
      </w:r>
      <w:hyperlink r:id="rId10" w:history="1">
        <w:r w:rsidRPr="003D07C8">
          <w:rPr>
            <w:rStyle w:val="Hyperlink"/>
          </w:rPr>
          <w:t>CBD/NP/MOP/6/3</w:t>
        </w:r>
      </w:hyperlink>
      <w:r>
        <w:t xml:space="preserve"> and </w:t>
      </w:r>
      <w:hyperlink r:id="rId11" w:history="1">
        <w:r w:rsidRPr="00B96DDE">
          <w:rPr>
            <w:rStyle w:val="Hyperlink"/>
          </w:rPr>
          <w:t>CBD/NP/CB-IAC/2026/1/4</w:t>
        </w:r>
      </w:hyperlink>
      <w:r>
        <w:t xml:space="preserve">, </w:t>
      </w:r>
      <w:r w:rsidRPr="006B144A">
        <w:t>respectively.</w:t>
      </w:r>
    </w:p>
  </w:footnote>
  <w:footnote w:id="19">
    <w:p w14:paraId="51C7D48A" w14:textId="77777777" w:rsidR="00095629" w:rsidRPr="006B144A" w:rsidRDefault="00095629" w:rsidP="00095629">
      <w:pPr>
        <w:pStyle w:val="FootnoteText"/>
      </w:pPr>
      <w:r w:rsidRPr="005E0E9C">
        <w:rPr>
          <w:rStyle w:val="FootnoteReference"/>
        </w:rPr>
        <w:footnoteRef/>
      </w:r>
      <w:r w:rsidRPr="006B144A">
        <w:t xml:space="preserve"> </w:t>
      </w:r>
      <w:hyperlink r:id="rId12" w:history="1">
        <w:r w:rsidRPr="006B144A">
          <w:rPr>
            <w:rStyle w:val="Hyperlink"/>
          </w:rPr>
          <w:t>CBD/SBI/7/INF/3/Rev.1</w:t>
        </w:r>
      </w:hyperlink>
      <w:r>
        <w:t>.</w:t>
      </w:r>
      <w:r w:rsidRPr="006B144A">
        <w:t xml:space="preserve"> </w:t>
      </w:r>
    </w:p>
  </w:footnote>
  <w:footnote w:id="20">
    <w:p w14:paraId="7A3197F5" w14:textId="77777777" w:rsidR="00095629" w:rsidRPr="006B144A" w:rsidRDefault="00095629" w:rsidP="00095629">
      <w:pPr>
        <w:pStyle w:val="FootnoteText"/>
        <w:rPr>
          <w:lang w:val="en-CA"/>
        </w:rPr>
      </w:pPr>
      <w:r>
        <w:rPr>
          <w:rStyle w:val="FootnoteReference"/>
        </w:rPr>
        <w:footnoteRef/>
      </w:r>
      <w:r>
        <w:t xml:space="preserve"> </w:t>
      </w:r>
      <w:r>
        <w:rPr>
          <w:lang w:val="en-CA"/>
        </w:rPr>
        <w:t xml:space="preserve">See </w:t>
      </w:r>
      <w:hyperlink r:id="rId13" w:history="1">
        <w:r w:rsidRPr="00186D37">
          <w:rPr>
            <w:rStyle w:val="Hyperlink"/>
          </w:rPr>
          <w:t>CBD/SBI/7/7/Add.1</w:t>
        </w:r>
      </w:hyperlink>
      <w:r>
        <w:t>.</w:t>
      </w:r>
    </w:p>
  </w:footnote>
  <w:footnote w:id="21">
    <w:p w14:paraId="5B9F8C6F" w14:textId="77777777" w:rsidR="00095629" w:rsidRPr="009562FA" w:rsidRDefault="00095629" w:rsidP="00095629">
      <w:pPr>
        <w:pStyle w:val="FootnoteText"/>
      </w:pPr>
      <w:r>
        <w:rPr>
          <w:rStyle w:val="FootnoteReference"/>
        </w:rPr>
        <w:footnoteRef/>
      </w:r>
      <w:r>
        <w:t xml:space="preserve"> </w:t>
      </w:r>
      <w:hyperlink r:id="rId14" w:history="1">
        <w:r w:rsidRPr="003B6772">
          <w:rPr>
            <w:rStyle w:val="Hyperlink"/>
            <w:rFonts w:eastAsia="Times New Roman"/>
            <w:iCs/>
            <w:szCs w:val="24"/>
          </w:rPr>
          <w:t>CBD/SBI/7/7</w:t>
        </w:r>
      </w:hyperlink>
      <w:r>
        <w:rPr>
          <w:rFonts w:eastAsia="Times New Roman"/>
          <w:iCs/>
          <w:szCs w:val="24"/>
        </w:rPr>
        <w:t xml:space="preserve">, </w:t>
      </w:r>
      <w:r w:rsidRPr="00186D37">
        <w:rPr>
          <w:rFonts w:eastAsia="Times New Roman"/>
          <w:iCs/>
          <w:szCs w:val="24"/>
        </w:rPr>
        <w:t>annexes I and II, respectively</w:t>
      </w:r>
      <w:r>
        <w:rPr>
          <w:rFonts w:eastAsia="Times New Roman"/>
          <w:iCs/>
          <w:szCs w:val="24"/>
        </w:rPr>
        <w:t>.</w:t>
      </w:r>
    </w:p>
  </w:footnote>
  <w:footnote w:id="22">
    <w:p w14:paraId="12DB7709" w14:textId="77777777" w:rsidR="00095629" w:rsidRPr="00186D37" w:rsidRDefault="00095629" w:rsidP="00095629">
      <w:pPr>
        <w:pStyle w:val="FootnoteText"/>
      </w:pPr>
      <w:r w:rsidRPr="00162706">
        <w:rPr>
          <w:rStyle w:val="FootnoteReference"/>
        </w:rPr>
        <w:footnoteRef/>
      </w:r>
      <w:r w:rsidRPr="00162706">
        <w:t xml:space="preserve"> See decisions NP-6/-- on </w:t>
      </w:r>
      <w:r w:rsidRPr="006B144A">
        <w:t>enhancing the implementation of the Nagoya Protocol</w:t>
      </w:r>
      <w:r w:rsidRPr="00186D37">
        <w:t xml:space="preserve"> and </w:t>
      </w:r>
      <w:r w:rsidRPr="00370A5E">
        <w:t>NP-</w:t>
      </w:r>
      <w:r>
        <w:t>6</w:t>
      </w:r>
      <w:r w:rsidRPr="00370A5E">
        <w:t>/</w:t>
      </w:r>
      <w:r>
        <w:t>-- on the</w:t>
      </w:r>
      <w:r w:rsidRPr="00370A5E">
        <w:t xml:space="preserve"> </w:t>
      </w:r>
      <w:r w:rsidRPr="00186D37">
        <w:t>financial mechanism and resources</w:t>
      </w:r>
      <w:r>
        <w:t>.</w:t>
      </w:r>
    </w:p>
  </w:footnote>
  <w:footnote w:id="23">
    <w:p w14:paraId="08725FA7" w14:textId="77777777" w:rsidR="00095629" w:rsidRDefault="00095629" w:rsidP="00095629">
      <w:pPr>
        <w:pStyle w:val="FootnoteText"/>
      </w:pPr>
      <w:r>
        <w:rPr>
          <w:rStyle w:val="FootnoteReference"/>
        </w:rPr>
        <w:footnoteRef/>
      </w:r>
      <w:r>
        <w:t xml:space="preserve"> </w:t>
      </w:r>
      <w:r w:rsidRPr="001E4C31">
        <w:t xml:space="preserve">United Nations, </w:t>
      </w:r>
      <w:r w:rsidRPr="006B144A">
        <w:rPr>
          <w:i/>
          <w:iCs/>
        </w:rPr>
        <w:t>Treaty Series</w:t>
      </w:r>
      <w:r w:rsidRPr="001E4C31">
        <w:t>, vol. 1760, No. 30619.</w:t>
      </w:r>
    </w:p>
  </w:footnote>
  <w:footnote w:id="24">
    <w:p w14:paraId="26CC32CE" w14:textId="77777777" w:rsidR="00095629" w:rsidRPr="0057647C" w:rsidRDefault="00095629" w:rsidP="00095629">
      <w:pPr>
        <w:pStyle w:val="FootnoteText"/>
      </w:pPr>
      <w:r>
        <w:rPr>
          <w:rStyle w:val="FootnoteReference"/>
        </w:rPr>
        <w:footnoteRef/>
      </w:r>
      <w:r>
        <w:t xml:space="preserve"> Decision </w:t>
      </w:r>
      <w:hyperlink r:id="rId15" w:history="1">
        <w:r w:rsidRPr="0057647C">
          <w:rPr>
            <w:rStyle w:val="Hyperlink"/>
          </w:rPr>
          <w:t>NP-1/4</w:t>
        </w:r>
      </w:hyperlink>
      <w:r>
        <w:t>, annex.</w:t>
      </w:r>
    </w:p>
  </w:footnote>
  <w:footnote w:id="25">
    <w:p w14:paraId="0A716AD7" w14:textId="77777777" w:rsidR="00FF7AF3" w:rsidRPr="000C0990" w:rsidRDefault="00FF7AF3" w:rsidP="00FF7AF3">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26">
    <w:p w14:paraId="3C1C6604" w14:textId="77777777" w:rsidR="00FF7AF3" w:rsidRPr="000C0990" w:rsidRDefault="00FF7AF3" w:rsidP="00FF7AF3">
      <w:pPr>
        <w:pStyle w:val="FootnoteText"/>
      </w:pPr>
      <w:r w:rsidRPr="005E0E9C">
        <w:rPr>
          <w:rStyle w:val="FootnoteReference"/>
        </w:rPr>
        <w:footnoteRef/>
      </w:r>
      <w:r w:rsidRPr="005E0E9C">
        <w:t xml:space="preserve"> </w:t>
      </w:r>
      <w:r>
        <w:t xml:space="preserve">See </w:t>
      </w:r>
      <w:hyperlink r:id="rId16" w:history="1">
        <w:r w:rsidRPr="003B6772">
          <w:rPr>
            <w:rStyle w:val="Hyperlink"/>
            <w:rFonts w:eastAsia="Times New Roman"/>
            <w:iCs/>
            <w:szCs w:val="24"/>
          </w:rPr>
          <w:t>CBD/SBI/7/7</w:t>
        </w:r>
      </w:hyperlink>
      <w:r w:rsidRPr="000C0990">
        <w:rPr>
          <w:rFonts w:eastAsia="Times New Roman"/>
          <w:iCs/>
          <w:szCs w:val="24"/>
        </w:rPr>
        <w:t>, annexes I and II.</w:t>
      </w:r>
    </w:p>
  </w:footnote>
  <w:footnote w:id="27">
    <w:p w14:paraId="28826BDD" w14:textId="77777777" w:rsidR="00FF7AF3" w:rsidRPr="001E4C31" w:rsidRDefault="00FF7AF3" w:rsidP="00FF7AF3">
      <w:pPr>
        <w:pStyle w:val="FootnoteText"/>
      </w:pPr>
      <w:r>
        <w:rPr>
          <w:rStyle w:val="FootnoteReference"/>
        </w:rPr>
        <w:footnoteRef/>
      </w:r>
      <w:r>
        <w:t xml:space="preserve"> </w:t>
      </w:r>
      <w:r w:rsidRPr="001E4C31">
        <w:t xml:space="preserve">United Nations, </w:t>
      </w:r>
      <w:r w:rsidRPr="006B144A">
        <w:rPr>
          <w:i/>
          <w:iCs/>
        </w:rPr>
        <w:t>Treaty Series</w:t>
      </w:r>
      <w:r w:rsidRPr="001E4C31">
        <w:t>, vol. 1760, No. 30619.</w:t>
      </w:r>
    </w:p>
  </w:footnote>
  <w:footnote w:id="28">
    <w:p w14:paraId="2E70D0E8" w14:textId="77777777" w:rsidR="00FF7AF3" w:rsidRPr="0038752D" w:rsidRDefault="00FF7AF3" w:rsidP="00FF7AF3">
      <w:pPr>
        <w:pStyle w:val="FootnoteText"/>
      </w:pPr>
      <w:r>
        <w:rPr>
          <w:rStyle w:val="FootnoteReference"/>
        </w:rPr>
        <w:footnoteRef/>
      </w:r>
      <w:r>
        <w:t xml:space="preserve"> </w:t>
      </w:r>
      <w:hyperlink r:id="rId17" w:history="1">
        <w:r w:rsidRPr="0038752D">
          <w:rPr>
            <w:rStyle w:val="Hyperlink"/>
          </w:rPr>
          <w:t>www.cbd.int/abs/doc/cepa-toolkit-en.pdf</w:t>
        </w:r>
      </w:hyperlink>
      <w:r>
        <w:t xml:space="preserve">. </w:t>
      </w:r>
    </w:p>
  </w:footnote>
  <w:footnote w:id="29">
    <w:p w14:paraId="390B2308" w14:textId="77777777" w:rsidR="00FF7AF3" w:rsidRPr="002B61F8" w:rsidRDefault="00FF7AF3" w:rsidP="00FF7AF3">
      <w:pPr>
        <w:pStyle w:val="FootnoteText"/>
      </w:pPr>
      <w:r>
        <w:rPr>
          <w:rStyle w:val="FootnoteReference"/>
        </w:rPr>
        <w:footnoteRef/>
      </w:r>
      <w:r>
        <w:t xml:space="preserve"> </w:t>
      </w:r>
      <w:r w:rsidRPr="000B6EDE">
        <w:t>A/CONF.232/2023/4.</w:t>
      </w:r>
    </w:p>
  </w:footnote>
  <w:footnote w:id="30">
    <w:p w14:paraId="7B4BC012" w14:textId="77777777" w:rsidR="00FF7AF3" w:rsidRPr="006B144A" w:rsidRDefault="00FF7AF3" w:rsidP="00FF7AF3">
      <w:pPr>
        <w:pStyle w:val="FootnoteText"/>
        <w:rPr>
          <w:lang w:val="en-CA"/>
        </w:rPr>
      </w:pPr>
      <w:r>
        <w:rPr>
          <w:rStyle w:val="FootnoteReference"/>
        </w:rPr>
        <w:footnoteRef/>
      </w:r>
      <w:r>
        <w:t xml:space="preserve"> </w:t>
      </w:r>
      <w:r>
        <w:rPr>
          <w:lang w:val="en-CA"/>
        </w:rPr>
        <w:t xml:space="preserve">See </w:t>
      </w:r>
      <w:hyperlink r:id="rId18" w:history="1">
        <w:r w:rsidRPr="008A03B6">
          <w:rPr>
            <w:rStyle w:val="Hyperlink"/>
            <w:lang w:val="en-CA"/>
          </w:rPr>
          <w:t>CBD/NP/ABSCH-IAC/6/3</w:t>
        </w:r>
      </w:hyperlink>
      <w:r>
        <w:rPr>
          <w:lang w:val="en-CA"/>
        </w:rPr>
        <w:t>.</w:t>
      </w:r>
    </w:p>
  </w:footnote>
  <w:footnote w:id="31">
    <w:p w14:paraId="24146E66" w14:textId="77777777" w:rsidR="00FF7AF3" w:rsidRPr="00D169DD" w:rsidRDefault="00FF7AF3" w:rsidP="00FF7AF3">
      <w:pPr>
        <w:pStyle w:val="FootnoteText"/>
      </w:pPr>
      <w:r>
        <w:rPr>
          <w:rStyle w:val="FootnoteReference"/>
        </w:rPr>
        <w:footnoteRef/>
      </w:r>
      <w:r>
        <w:t xml:space="preserve"> Decision </w:t>
      </w:r>
      <w:hyperlink r:id="rId19" w:history="1">
        <w:r w:rsidRPr="00946336">
          <w:rPr>
            <w:rStyle w:val="Hyperlink"/>
          </w:rPr>
          <w:t>15/4</w:t>
        </w:r>
      </w:hyperlink>
      <w:r>
        <w:t>, annex.</w:t>
      </w:r>
    </w:p>
  </w:footnote>
  <w:footnote w:id="32">
    <w:p w14:paraId="4E696622" w14:textId="77777777" w:rsidR="00235BB8" w:rsidRDefault="00235BB8" w:rsidP="00235BB8">
      <w:pPr>
        <w:pStyle w:val="FootnoteText"/>
      </w:pPr>
      <w:r>
        <w:rPr>
          <w:rStyle w:val="FootnoteReference"/>
        </w:rPr>
        <w:footnoteRef/>
      </w:r>
      <w:r>
        <w:t xml:space="preserve"> </w:t>
      </w:r>
      <w:r w:rsidRPr="00DD5F31">
        <w:t xml:space="preserve">United Nations, </w:t>
      </w:r>
      <w:r w:rsidRPr="00193F4E">
        <w:rPr>
          <w:i/>
          <w:iCs/>
        </w:rPr>
        <w:t>Treaty Series</w:t>
      </w:r>
      <w:r w:rsidRPr="00DD5F31">
        <w:t>, vol. 3008, No. 30619</w:t>
      </w:r>
      <w:r>
        <w:t>.</w:t>
      </w:r>
    </w:p>
  </w:footnote>
  <w:footnote w:id="33">
    <w:p w14:paraId="3C8013E6" w14:textId="77777777" w:rsidR="00235BB8" w:rsidRDefault="00235BB8" w:rsidP="00235BB8">
      <w:pPr>
        <w:pStyle w:val="FootnoteText"/>
      </w:pPr>
      <w:r>
        <w:rPr>
          <w:rStyle w:val="FootnoteReference"/>
        </w:rPr>
        <w:footnoteRef/>
      </w:r>
      <w:r>
        <w:t xml:space="preserve"> Ibid.</w:t>
      </w:r>
      <w:r w:rsidRPr="007E0D80">
        <w:t>, vol. 1760, No. 30619</w:t>
      </w:r>
      <w:r>
        <w:t>.</w:t>
      </w:r>
    </w:p>
  </w:footnote>
  <w:footnote w:id="34">
    <w:p w14:paraId="18882776" w14:textId="77777777" w:rsidR="00235BB8" w:rsidRDefault="00235BB8" w:rsidP="00235BB8">
      <w:pPr>
        <w:pStyle w:val="FootnoteText"/>
      </w:pPr>
      <w:r>
        <w:rPr>
          <w:rStyle w:val="FootnoteReference"/>
        </w:rPr>
        <w:footnoteRef/>
      </w:r>
      <w:r>
        <w:t xml:space="preserve"> </w:t>
      </w:r>
      <w:hyperlink r:id="rId20" w:history="1">
        <w:r w:rsidRPr="00DC3C3A">
          <w:rPr>
            <w:rStyle w:val="Hyperlink"/>
          </w:rPr>
          <w:t>CBD/COP/17/5/Add.1</w:t>
        </w:r>
      </w:hyperlink>
      <w:r>
        <w:t>.</w:t>
      </w:r>
    </w:p>
  </w:footnote>
  <w:footnote w:id="35">
    <w:p w14:paraId="6FBFFCAE" w14:textId="77777777" w:rsidR="00162059" w:rsidRDefault="00162059" w:rsidP="00162059">
      <w:pPr>
        <w:pStyle w:val="FootnoteText"/>
      </w:pPr>
      <w:r>
        <w:rPr>
          <w:rStyle w:val="FootnoteReference"/>
        </w:rPr>
        <w:footnoteRef/>
      </w:r>
      <w:r>
        <w:t xml:space="preserve"> Decision </w:t>
      </w:r>
      <w:hyperlink r:id="rId21" w:history="1">
        <w:r w:rsidRPr="000F4C2A">
          <w:rPr>
            <w:rStyle w:val="Hyperlink"/>
          </w:rPr>
          <w:t>16/33</w:t>
        </w:r>
      </w:hyperlink>
      <w:r>
        <w:t>, annex I.</w:t>
      </w:r>
    </w:p>
  </w:footnote>
  <w:footnote w:id="36">
    <w:p w14:paraId="773C56C8" w14:textId="77777777" w:rsidR="004260DF" w:rsidRPr="005E0E9C" w:rsidRDefault="004260DF" w:rsidP="004260DF">
      <w:pPr>
        <w:pStyle w:val="FootnoteText"/>
      </w:pPr>
      <w:r w:rsidRPr="005E0E9C">
        <w:rPr>
          <w:rStyle w:val="FootnoteReference"/>
        </w:rPr>
        <w:footnoteRef/>
      </w:r>
      <w:r w:rsidRPr="005E0E9C">
        <w:t xml:space="preserve"> </w:t>
      </w:r>
      <w:hyperlink r:id="rId22" w:history="1">
        <w:r w:rsidRPr="003B6772">
          <w:rPr>
            <w:rStyle w:val="Hyperlink"/>
            <w:rFonts w:eastAsia="Arial Unicode MS"/>
            <w:kern w:val="22"/>
            <w:bdr w:val="nil"/>
          </w:rPr>
          <w:t>CBD/SBI/7/7</w:t>
        </w:r>
      </w:hyperlink>
      <w:r w:rsidRPr="000C0990">
        <w:rPr>
          <w:rFonts w:eastAsia="Times New Roman"/>
          <w:iCs/>
          <w:szCs w:val="24"/>
        </w:rPr>
        <w:t>, annexes I and II</w:t>
      </w:r>
      <w:r w:rsidRPr="006B144A">
        <w:rPr>
          <w:rFonts w:eastAsia="Arial Unicode MS"/>
          <w:color w:val="000000"/>
          <w:kern w:val="22"/>
          <w:u w:color="000000"/>
          <w:bdr w:val="nil"/>
        </w:rPr>
        <w:t>.</w:t>
      </w:r>
    </w:p>
  </w:footnote>
  <w:footnote w:id="37">
    <w:p w14:paraId="0BEB0167" w14:textId="3152050E" w:rsidR="00BA61B1" w:rsidRPr="009B5624" w:rsidRDefault="00BA61B1" w:rsidP="00BA61B1">
      <w:pPr>
        <w:pStyle w:val="FootnoteText"/>
        <w:rPr>
          <w:lang w:val="en-US"/>
        </w:rPr>
      </w:pPr>
      <w:r>
        <w:rPr>
          <w:rStyle w:val="FootnoteReference"/>
        </w:rPr>
        <w:footnoteRef/>
      </w:r>
      <w:r>
        <w:t xml:space="preserve"> </w:t>
      </w:r>
      <w:r w:rsidR="00616D65" w:rsidRPr="00616D65">
        <w:t xml:space="preserve">United Nations, </w:t>
      </w:r>
      <w:r w:rsidR="00616D65" w:rsidRPr="00EE7CA8">
        <w:rPr>
          <w:i/>
          <w:iCs/>
        </w:rPr>
        <w:t>Treaty Series</w:t>
      </w:r>
      <w:r w:rsidR="00616D65" w:rsidRPr="00616D65">
        <w:t>, vol. 3008, No. 30619</w:t>
      </w:r>
      <w:r w:rsidRPr="009C2A69">
        <w:t>.</w:t>
      </w:r>
    </w:p>
  </w:footnote>
  <w:footnote w:id="38">
    <w:p w14:paraId="51A172B5" w14:textId="3298A608" w:rsidR="00BA61B1" w:rsidRPr="003E7646" w:rsidRDefault="00BA61B1" w:rsidP="00BA61B1">
      <w:pPr>
        <w:pStyle w:val="FootnoteText"/>
        <w:rPr>
          <w:lang w:val="en-US"/>
        </w:rPr>
      </w:pPr>
      <w:r>
        <w:rPr>
          <w:rStyle w:val="FootnoteReference"/>
        </w:rPr>
        <w:footnoteRef/>
      </w:r>
      <w:r>
        <w:t xml:space="preserve"> The </w:t>
      </w:r>
      <w:r w:rsidR="00EE08F9">
        <w:t xml:space="preserve">term </w:t>
      </w:r>
      <w:r>
        <w:t>“informal group” is a placeholder until the Parties decide what to name the group. Options suggested at the sixth meeting of the Subsidiary Body on Implementation include “o</w:t>
      </w:r>
      <w:r w:rsidRPr="00222B9B">
        <w:t xml:space="preserve">pen-ended </w:t>
      </w:r>
      <w:r>
        <w:t>i</w:t>
      </w:r>
      <w:r w:rsidRPr="00222B9B">
        <w:t xml:space="preserve">nformal </w:t>
      </w:r>
      <w:r>
        <w:t>a</w:t>
      </w:r>
      <w:r w:rsidRPr="00222B9B">
        <w:t xml:space="preserve">dvisory </w:t>
      </w:r>
      <w:r>
        <w:t>g</w:t>
      </w:r>
      <w:r w:rsidRPr="00222B9B">
        <w:t>roup</w:t>
      </w:r>
      <w:r>
        <w:t>” and “d</w:t>
      </w:r>
      <w:r w:rsidRPr="00222B9B">
        <w:t xml:space="preserve">iscussion </w:t>
      </w:r>
      <w:r>
        <w:t>f</w:t>
      </w:r>
      <w:r w:rsidRPr="00222B9B">
        <w:t>orum</w:t>
      </w:r>
      <w:r>
        <w:t>”.</w:t>
      </w:r>
    </w:p>
  </w:footnote>
  <w:footnote w:id="39">
    <w:p w14:paraId="39BA5CA0" w14:textId="77777777" w:rsidR="00BA61B1" w:rsidRPr="002A27FE" w:rsidRDefault="00BA61B1" w:rsidP="00BA61B1">
      <w:pPr>
        <w:pStyle w:val="FootnoteText"/>
        <w:rPr>
          <w:lang w:val="en-US"/>
        </w:rPr>
      </w:pPr>
      <w:r w:rsidRPr="00460A58">
        <w:rPr>
          <w:rStyle w:val="FootnoteReference"/>
        </w:rPr>
        <w:footnoteRef/>
      </w:r>
      <w:r w:rsidRPr="00460A58">
        <w:t xml:space="preserve"> United Nations, </w:t>
      </w:r>
      <w:r w:rsidRPr="002A27FE">
        <w:rPr>
          <w:i/>
          <w:iCs/>
        </w:rPr>
        <w:t>Treaty Series</w:t>
      </w:r>
      <w:r w:rsidRPr="00460A58">
        <w:t>, vol. 3008, No. 30619.</w:t>
      </w:r>
    </w:p>
  </w:footnote>
  <w:footnote w:id="40">
    <w:p w14:paraId="3D803BEB" w14:textId="77777777" w:rsidR="00BA61B1" w:rsidRDefault="00BA61B1" w:rsidP="00BA61B1">
      <w:pPr>
        <w:pStyle w:val="FootnoteText"/>
        <w:rPr>
          <w:lang w:val="en-CA"/>
        </w:rPr>
      </w:pPr>
      <w:r>
        <w:rPr>
          <w:rStyle w:val="FootnoteReference"/>
        </w:rPr>
        <w:footnoteRef/>
      </w:r>
      <w:r>
        <w:t xml:space="preserve"> </w:t>
      </w:r>
      <w:r>
        <w:rPr>
          <w:lang w:val="en-CA"/>
        </w:rPr>
        <w:t>A hybrid “deference and docket” model refers to a strategic governance approach that blends Party-led discretion (deference) with a structured, transparent process (docket) that can be used for reviewing and recognizing specialized international access and benefit-sharing instruments under paragraph 4 of Article 4 of the Nagoya Protocol.</w:t>
      </w:r>
    </w:p>
  </w:footnote>
  <w:footnote w:id="41">
    <w:p w14:paraId="7B877F62" w14:textId="77777777" w:rsidR="00BA61B1" w:rsidRDefault="00BA61B1" w:rsidP="00BA61B1">
      <w:pPr>
        <w:pStyle w:val="FootnoteText"/>
        <w:rPr>
          <w:lang w:val="en-CA"/>
        </w:rPr>
      </w:pPr>
      <w:r>
        <w:rPr>
          <w:rStyle w:val="FootnoteReference"/>
        </w:rPr>
        <w:footnoteRef/>
      </w:r>
      <w:r>
        <w:t xml:space="preserve"> United Nations, </w:t>
      </w:r>
      <w:r>
        <w:rPr>
          <w:i/>
          <w:iCs/>
        </w:rPr>
        <w:t>Treaty Series</w:t>
      </w:r>
      <w:r>
        <w:t>, vol. 1760, No. 30619.</w:t>
      </w:r>
    </w:p>
  </w:footnote>
  <w:footnote w:id="42">
    <w:p w14:paraId="182ECAB7" w14:textId="77777777" w:rsidR="00BA61B1" w:rsidRPr="00CB4955" w:rsidRDefault="00BA61B1" w:rsidP="00BA61B1">
      <w:pPr>
        <w:pStyle w:val="FootnoteText"/>
        <w:rPr>
          <w:lang w:val="en-CA"/>
        </w:rPr>
      </w:pPr>
      <w:r>
        <w:rPr>
          <w:rStyle w:val="FootnoteReference"/>
        </w:rPr>
        <w:footnoteRef/>
      </w:r>
      <w:r w:rsidRPr="00CB4955">
        <w:rPr>
          <w:i/>
          <w:lang w:val="en-CA"/>
        </w:rPr>
        <w:t xml:space="preserve"> </w:t>
      </w:r>
      <w:r w:rsidRPr="00CB4955">
        <w:rPr>
          <w:lang w:val="en-CA"/>
        </w:rPr>
        <w:t>Ibid., vol. 3008, No. 30619.</w:t>
      </w:r>
    </w:p>
  </w:footnote>
  <w:footnote w:id="43">
    <w:p w14:paraId="5623888D" w14:textId="77777777" w:rsidR="00BA61B1" w:rsidRPr="00395931" w:rsidRDefault="00BA61B1" w:rsidP="00BA61B1">
      <w:pPr>
        <w:pStyle w:val="FootnoteText"/>
        <w:rPr>
          <w:lang w:val="en-US"/>
        </w:rPr>
      </w:pPr>
      <w:r>
        <w:rPr>
          <w:rStyle w:val="FootnoteReference"/>
        </w:rPr>
        <w:footnoteRef/>
      </w:r>
      <w:r>
        <w:t xml:space="preserve"> It is expected that </w:t>
      </w:r>
      <w:r>
        <w:rPr>
          <w:lang w:val="en-US"/>
        </w:rPr>
        <w:t xml:space="preserve">the co-chairs will be selected at the sixth meeting </w:t>
      </w:r>
      <w:r>
        <w:t xml:space="preserve">of </w:t>
      </w:r>
      <w:r w:rsidRPr="009B5624">
        <w:t xml:space="preserve">the </w:t>
      </w:r>
      <w:r>
        <w:t>Conference of the Parties serving as the meeting of the Parties to the Nagoya Protocol</w:t>
      </w:r>
      <w:r>
        <w:rPr>
          <w:lang w:val="en-US"/>
        </w:rPr>
        <w:t>.</w:t>
      </w:r>
    </w:p>
  </w:footnote>
  <w:footnote w:id="44">
    <w:p w14:paraId="40AE36D0" w14:textId="5B3102FF" w:rsidR="00B40AE2" w:rsidRPr="00EE7CA8" w:rsidRDefault="00B40AE2">
      <w:pPr>
        <w:pStyle w:val="FootnoteText"/>
        <w:rPr>
          <w:lang w:val="en-US"/>
        </w:rPr>
      </w:pPr>
      <w:r>
        <w:rPr>
          <w:rStyle w:val="FootnoteReference"/>
        </w:rPr>
        <w:footnoteRef/>
      </w:r>
      <w:r>
        <w:t xml:space="preserve"> </w:t>
      </w:r>
      <w:r w:rsidR="00DC6A55" w:rsidRPr="00DC6A55">
        <w:t xml:space="preserve">United Nations, </w:t>
      </w:r>
      <w:r w:rsidR="00DC6A55" w:rsidRPr="00EE7CA8">
        <w:rPr>
          <w:i/>
          <w:iCs/>
        </w:rPr>
        <w:t>Treaty Series</w:t>
      </w:r>
      <w:r w:rsidRPr="00B40AE2">
        <w:t>, vol. 3008, No. 30619.</w:t>
      </w:r>
    </w:p>
  </w:footnote>
  <w:footnote w:id="45">
    <w:p w14:paraId="1DA13C28" w14:textId="10214498" w:rsidR="00D00CC5" w:rsidRPr="00EE7CA8" w:rsidRDefault="00D00CC5">
      <w:pPr>
        <w:pStyle w:val="FootnoteText"/>
        <w:rPr>
          <w:lang w:val="es-ES"/>
        </w:rPr>
      </w:pPr>
      <w:r>
        <w:rPr>
          <w:rStyle w:val="FootnoteReference"/>
        </w:rPr>
        <w:footnoteRef/>
      </w:r>
      <w:r w:rsidRPr="00EE7CA8">
        <w:rPr>
          <w:lang w:val="es-ES"/>
        </w:rPr>
        <w:t xml:space="preserve"> Ibid., vol. 1760, No. 30619.</w:t>
      </w:r>
    </w:p>
  </w:footnote>
  <w:footnote w:id="46">
    <w:p w14:paraId="461122BC" w14:textId="3C5FDD71" w:rsidR="001D4A17" w:rsidRPr="00EE7CA8" w:rsidRDefault="001D4A17">
      <w:pPr>
        <w:pStyle w:val="FootnoteText"/>
        <w:rPr>
          <w:lang w:val="es-ES"/>
        </w:rPr>
      </w:pPr>
      <w:r>
        <w:rPr>
          <w:rStyle w:val="FootnoteReference"/>
        </w:rPr>
        <w:footnoteRef/>
      </w:r>
      <w:r w:rsidRPr="00EE7CA8">
        <w:rPr>
          <w:lang w:val="es-ES"/>
        </w:rPr>
        <w:t xml:space="preserve"> Ibid., vol. 2226,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8832B5" w14:textId="3B5CC348" w:rsidR="00534681" w:rsidRPr="003F1A75" w:rsidRDefault="00A53858" w:rsidP="007C4951">
        <w:pPr>
          <w:pStyle w:val="Header"/>
          <w:spacing w:after="240"/>
          <w:rPr>
            <w:szCs w:val="20"/>
          </w:rPr>
        </w:pPr>
        <w:r>
          <w:rPr>
            <w:szCs w:val="20"/>
          </w:rPr>
          <w:t>CBD/NP/MOP/6/2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9F1617A" w14:textId="371C7377" w:rsidR="009505C9" w:rsidRPr="003F1A75" w:rsidRDefault="00A53858" w:rsidP="007C4951">
        <w:pPr>
          <w:pStyle w:val="Header"/>
          <w:spacing w:after="240"/>
          <w:jc w:val="right"/>
        </w:pPr>
        <w:r>
          <w:t>CBD/NP/MOP/6/2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EndPr/>
    <w:sdtContent>
      <w:p w14:paraId="2B0F086A" w14:textId="353DC0AF" w:rsidR="00C83DB9" w:rsidRPr="00866063" w:rsidRDefault="00C83DB9" w:rsidP="007C4951">
        <w:pPr>
          <w:pStyle w:val="Header"/>
          <w:spacing w:after="240"/>
          <w:rPr>
            <w:szCs w:val="20"/>
          </w:rPr>
        </w:pPr>
        <w:r>
          <w:rPr>
            <w:szCs w:val="20"/>
          </w:rPr>
          <w:t>CBD/NP/MOP/6/2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767514641"/>
      <w:dataBinding w:prefixMappings="xmlns:ns0='http://purl.org/dc/elements/1.1/' xmlns:ns1='http://schemas.openxmlformats.org/package/2006/metadata/core-properties' " w:xpath="/ns1:coreProperties[1]/ns0:subject[1]" w:storeItemID="{6C3C8BC8-F283-45AE-878A-BAB7291924A1}"/>
      <w:text/>
    </w:sdtPr>
    <w:sdtEndPr/>
    <w:sdtContent>
      <w:p w14:paraId="75BF4238" w14:textId="32065E04" w:rsidR="00C83DB9" w:rsidRPr="00866063" w:rsidRDefault="00C83DB9" w:rsidP="00EE7CA8">
        <w:pPr>
          <w:pStyle w:val="Header"/>
          <w:spacing w:after="240"/>
          <w:jc w:val="right"/>
        </w:pPr>
        <w:r>
          <w:t>CBD/NP/MOP/6/2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014" w14:textId="77777777" w:rsidR="00C83DB9" w:rsidRDefault="00C83DB9"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24"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5D943BEE"/>
    <w:multiLevelType w:val="multilevel"/>
    <w:tmpl w:val="222A08B4"/>
    <w:numStyleLink w:val="ListCBD"/>
  </w:abstractNum>
  <w:abstractNum w:abstractNumId="29"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31"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21"/>
  </w:num>
  <w:num w:numId="2" w16cid:durableId="1858829">
    <w:abstractNumId w:val="16"/>
  </w:num>
  <w:num w:numId="3" w16cid:durableId="1333221471">
    <w:abstractNumId w:val="34"/>
  </w:num>
  <w:num w:numId="4" w16cid:durableId="1072390599">
    <w:abstractNumId w:val="35"/>
  </w:num>
  <w:num w:numId="5" w16cid:durableId="960385107">
    <w:abstractNumId w:val="17"/>
  </w:num>
  <w:num w:numId="6" w16cid:durableId="893932166">
    <w:abstractNumId w:val="33"/>
  </w:num>
  <w:num w:numId="7" w16cid:durableId="323945383">
    <w:abstractNumId w:val="28"/>
  </w:num>
  <w:num w:numId="8" w16cid:durableId="1973365333">
    <w:abstractNumId w:val="36"/>
  </w:num>
  <w:num w:numId="9" w16cid:durableId="14808070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28"/>
  </w:num>
  <w:num w:numId="11" w16cid:durableId="7032136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30"/>
  </w:num>
  <w:num w:numId="13" w16cid:durableId="368343376">
    <w:abstractNumId w:val="28"/>
  </w:num>
  <w:num w:numId="14" w16cid:durableId="102961897">
    <w:abstractNumId w:val="28"/>
  </w:num>
  <w:num w:numId="15" w16cid:durableId="1161580870">
    <w:abstractNumId w:val="28"/>
  </w:num>
  <w:num w:numId="16" w16cid:durableId="5747518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28"/>
  </w:num>
  <w:num w:numId="18" w16cid:durableId="1480611021">
    <w:abstractNumId w:val="37"/>
  </w:num>
  <w:num w:numId="19" w16cid:durableId="1707946535">
    <w:abstractNumId w:val="14"/>
  </w:num>
  <w:num w:numId="20" w16cid:durableId="1930844236">
    <w:abstractNumId w:val="28"/>
    <w:lvlOverride w:ilvl="0">
      <w:startOverride w:val="13"/>
    </w:lvlOverride>
  </w:num>
  <w:num w:numId="21" w16cid:durableId="102500802">
    <w:abstractNumId w:val="32"/>
  </w:num>
  <w:num w:numId="22" w16cid:durableId="1657562663">
    <w:abstractNumId w:val="12"/>
  </w:num>
  <w:num w:numId="23" w16cid:durableId="1267542894">
    <w:abstractNumId w:val="20"/>
  </w:num>
  <w:num w:numId="24" w16cid:durableId="373769626">
    <w:abstractNumId w:val="22"/>
  </w:num>
  <w:num w:numId="25" w16cid:durableId="1715276354">
    <w:abstractNumId w:val="3"/>
  </w:num>
  <w:num w:numId="26" w16cid:durableId="1065908095">
    <w:abstractNumId w:val="7"/>
  </w:num>
  <w:num w:numId="27" w16cid:durableId="1501698581">
    <w:abstractNumId w:val="27"/>
  </w:num>
  <w:num w:numId="28" w16cid:durableId="1787430012">
    <w:abstractNumId w:val="10"/>
  </w:num>
  <w:num w:numId="29" w16cid:durableId="113913808">
    <w:abstractNumId w:val="5"/>
  </w:num>
  <w:num w:numId="30" w16cid:durableId="1862475306">
    <w:abstractNumId w:val="1"/>
  </w:num>
  <w:num w:numId="31" w16cid:durableId="1158420971">
    <w:abstractNumId w:val="4"/>
  </w:num>
  <w:num w:numId="32" w16cid:durableId="1038697703">
    <w:abstractNumId w:val="13"/>
  </w:num>
  <w:num w:numId="33" w16cid:durableId="1201283915">
    <w:abstractNumId w:val="8"/>
  </w:num>
  <w:num w:numId="34" w16cid:durableId="1875730947">
    <w:abstractNumId w:val="9"/>
  </w:num>
  <w:num w:numId="35" w16cid:durableId="1474904090">
    <w:abstractNumId w:val="31"/>
  </w:num>
  <w:num w:numId="36" w16cid:durableId="7489629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1997603">
    <w:abstractNumId w:val="25"/>
  </w:num>
  <w:num w:numId="38" w16cid:durableId="1221984922">
    <w:abstractNumId w:val="11"/>
  </w:num>
  <w:num w:numId="39" w16cid:durableId="10886201">
    <w:abstractNumId w:val="26"/>
  </w:num>
  <w:num w:numId="40" w16cid:durableId="1243683090">
    <w:abstractNumId w:val="0"/>
  </w:num>
  <w:num w:numId="41" w16cid:durableId="1790853897">
    <w:abstractNumId w:val="24"/>
  </w:num>
  <w:num w:numId="42" w16cid:durableId="1417172891">
    <w:abstractNumId w:val="29"/>
  </w:num>
  <w:num w:numId="43" w16cid:durableId="145128126">
    <w:abstractNumId w:val="2"/>
  </w:num>
  <w:num w:numId="44" w16cid:durableId="995885938">
    <w:abstractNumId w:val="18"/>
  </w:num>
  <w:num w:numId="45" w16cid:durableId="178393729">
    <w:abstractNumId w:val="19"/>
  </w:num>
  <w:num w:numId="46" w16cid:durableId="1300259377">
    <w:abstractNumId w:val="6"/>
  </w:num>
  <w:num w:numId="47" w16cid:durableId="1509707552">
    <w:abstractNumId w:val="23"/>
  </w:num>
  <w:num w:numId="48" w16cid:durableId="2078164084">
    <w:abstractNumId w:val="15"/>
  </w:num>
  <w:num w:numId="49" w16cid:durableId="13133633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3004"/>
    <w:rsid w:val="00004607"/>
    <w:rsid w:val="00005927"/>
    <w:rsid w:val="000065BF"/>
    <w:rsid w:val="00006A25"/>
    <w:rsid w:val="00007E42"/>
    <w:rsid w:val="00012921"/>
    <w:rsid w:val="00016684"/>
    <w:rsid w:val="00023A6D"/>
    <w:rsid w:val="00023B2A"/>
    <w:rsid w:val="000245FC"/>
    <w:rsid w:val="00025CC6"/>
    <w:rsid w:val="00025EBC"/>
    <w:rsid w:val="000269B4"/>
    <w:rsid w:val="00026C58"/>
    <w:rsid w:val="00026F58"/>
    <w:rsid w:val="00027803"/>
    <w:rsid w:val="000305DB"/>
    <w:rsid w:val="00030BFA"/>
    <w:rsid w:val="00030C25"/>
    <w:rsid w:val="00032138"/>
    <w:rsid w:val="00033149"/>
    <w:rsid w:val="0003361C"/>
    <w:rsid w:val="00033673"/>
    <w:rsid w:val="00033DC5"/>
    <w:rsid w:val="00036F6A"/>
    <w:rsid w:val="0003754D"/>
    <w:rsid w:val="000378CB"/>
    <w:rsid w:val="000379AA"/>
    <w:rsid w:val="000404F6"/>
    <w:rsid w:val="00040A03"/>
    <w:rsid w:val="00042E95"/>
    <w:rsid w:val="000434FD"/>
    <w:rsid w:val="00044583"/>
    <w:rsid w:val="000449FC"/>
    <w:rsid w:val="00045A3A"/>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B00F8"/>
    <w:rsid w:val="000B0256"/>
    <w:rsid w:val="000B107B"/>
    <w:rsid w:val="000B12C1"/>
    <w:rsid w:val="000B162E"/>
    <w:rsid w:val="000B1948"/>
    <w:rsid w:val="000B2E28"/>
    <w:rsid w:val="000B3215"/>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4493"/>
    <w:rsid w:val="000E4C3F"/>
    <w:rsid w:val="000E673A"/>
    <w:rsid w:val="000E754C"/>
    <w:rsid w:val="000F1B1A"/>
    <w:rsid w:val="000F2FE1"/>
    <w:rsid w:val="000F45D6"/>
    <w:rsid w:val="000F5B8B"/>
    <w:rsid w:val="000F61D0"/>
    <w:rsid w:val="000F6945"/>
    <w:rsid w:val="000F74F5"/>
    <w:rsid w:val="000F76B3"/>
    <w:rsid w:val="000F777D"/>
    <w:rsid w:val="000F78FC"/>
    <w:rsid w:val="000F7C49"/>
    <w:rsid w:val="001021D2"/>
    <w:rsid w:val="00102FD9"/>
    <w:rsid w:val="001031DF"/>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5664"/>
    <w:rsid w:val="00176CEE"/>
    <w:rsid w:val="00176E1B"/>
    <w:rsid w:val="001777DD"/>
    <w:rsid w:val="00177DE3"/>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7B61"/>
    <w:rsid w:val="00207C62"/>
    <w:rsid w:val="00207DA8"/>
    <w:rsid w:val="002118EC"/>
    <w:rsid w:val="0021233F"/>
    <w:rsid w:val="00213055"/>
    <w:rsid w:val="00213DDE"/>
    <w:rsid w:val="002142B2"/>
    <w:rsid w:val="00215C7F"/>
    <w:rsid w:val="0021614F"/>
    <w:rsid w:val="00217747"/>
    <w:rsid w:val="00220E04"/>
    <w:rsid w:val="00225275"/>
    <w:rsid w:val="00226808"/>
    <w:rsid w:val="00226E3D"/>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2B01"/>
    <w:rsid w:val="002747B4"/>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511"/>
    <w:rsid w:val="002B26B0"/>
    <w:rsid w:val="002B4E94"/>
    <w:rsid w:val="002B62B1"/>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DF8"/>
    <w:rsid w:val="002F1E01"/>
    <w:rsid w:val="002F3F78"/>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5605"/>
    <w:rsid w:val="00325C23"/>
    <w:rsid w:val="003268FF"/>
    <w:rsid w:val="00326ED1"/>
    <w:rsid w:val="0032755E"/>
    <w:rsid w:val="00327955"/>
    <w:rsid w:val="003306D4"/>
    <w:rsid w:val="00332934"/>
    <w:rsid w:val="00332CC6"/>
    <w:rsid w:val="00332D6E"/>
    <w:rsid w:val="003355DC"/>
    <w:rsid w:val="003403FF"/>
    <w:rsid w:val="003421C7"/>
    <w:rsid w:val="003433D5"/>
    <w:rsid w:val="00343631"/>
    <w:rsid w:val="00343F47"/>
    <w:rsid w:val="00345AC8"/>
    <w:rsid w:val="003500B3"/>
    <w:rsid w:val="00351205"/>
    <w:rsid w:val="0035134A"/>
    <w:rsid w:val="00351CF5"/>
    <w:rsid w:val="00352582"/>
    <w:rsid w:val="0035356E"/>
    <w:rsid w:val="003552EC"/>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1131"/>
    <w:rsid w:val="003D1DBC"/>
    <w:rsid w:val="003D41E0"/>
    <w:rsid w:val="003D4B9B"/>
    <w:rsid w:val="003D4E1C"/>
    <w:rsid w:val="003E11E9"/>
    <w:rsid w:val="003E166C"/>
    <w:rsid w:val="003E3FB7"/>
    <w:rsid w:val="003E5423"/>
    <w:rsid w:val="003E6D5E"/>
    <w:rsid w:val="003E7962"/>
    <w:rsid w:val="003F1A75"/>
    <w:rsid w:val="003F3A5F"/>
    <w:rsid w:val="003F3E0E"/>
    <w:rsid w:val="003F7224"/>
    <w:rsid w:val="00403783"/>
    <w:rsid w:val="00403CF1"/>
    <w:rsid w:val="0040527A"/>
    <w:rsid w:val="00405974"/>
    <w:rsid w:val="00405CBA"/>
    <w:rsid w:val="00407DFE"/>
    <w:rsid w:val="00410233"/>
    <w:rsid w:val="004105D4"/>
    <w:rsid w:val="00411AA4"/>
    <w:rsid w:val="00413A1B"/>
    <w:rsid w:val="00415182"/>
    <w:rsid w:val="004152C9"/>
    <w:rsid w:val="00417384"/>
    <w:rsid w:val="0042191F"/>
    <w:rsid w:val="004229E8"/>
    <w:rsid w:val="00422CE9"/>
    <w:rsid w:val="00422F14"/>
    <w:rsid w:val="00423DD3"/>
    <w:rsid w:val="00424363"/>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626B"/>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E92"/>
    <w:rsid w:val="004B22DD"/>
    <w:rsid w:val="004B2E03"/>
    <w:rsid w:val="004B39EA"/>
    <w:rsid w:val="004B6A84"/>
    <w:rsid w:val="004B70E5"/>
    <w:rsid w:val="004B7920"/>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E2254"/>
    <w:rsid w:val="004E488D"/>
    <w:rsid w:val="004E5386"/>
    <w:rsid w:val="004F09EC"/>
    <w:rsid w:val="004F2961"/>
    <w:rsid w:val="004F2C1D"/>
    <w:rsid w:val="004F454F"/>
    <w:rsid w:val="004F5B2E"/>
    <w:rsid w:val="004F5E80"/>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7BB3"/>
    <w:rsid w:val="00530349"/>
    <w:rsid w:val="00534681"/>
    <w:rsid w:val="00535495"/>
    <w:rsid w:val="00536E84"/>
    <w:rsid w:val="00537E4F"/>
    <w:rsid w:val="0054046E"/>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7365"/>
    <w:rsid w:val="00580C60"/>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73B9"/>
    <w:rsid w:val="005F12CA"/>
    <w:rsid w:val="005F383B"/>
    <w:rsid w:val="005F3CC5"/>
    <w:rsid w:val="005F42EF"/>
    <w:rsid w:val="005F7743"/>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30011"/>
    <w:rsid w:val="00631064"/>
    <w:rsid w:val="006310B9"/>
    <w:rsid w:val="006317B8"/>
    <w:rsid w:val="00632C40"/>
    <w:rsid w:val="00633D6B"/>
    <w:rsid w:val="0063523E"/>
    <w:rsid w:val="006354DD"/>
    <w:rsid w:val="006364DD"/>
    <w:rsid w:val="00641C24"/>
    <w:rsid w:val="00643FD9"/>
    <w:rsid w:val="00644381"/>
    <w:rsid w:val="00644502"/>
    <w:rsid w:val="006445FB"/>
    <w:rsid w:val="00645D24"/>
    <w:rsid w:val="006474D1"/>
    <w:rsid w:val="006478BF"/>
    <w:rsid w:val="00650521"/>
    <w:rsid w:val="006508C2"/>
    <w:rsid w:val="00652819"/>
    <w:rsid w:val="00653DE7"/>
    <w:rsid w:val="006578F5"/>
    <w:rsid w:val="00661EF1"/>
    <w:rsid w:val="00663768"/>
    <w:rsid w:val="00663F58"/>
    <w:rsid w:val="0066455A"/>
    <w:rsid w:val="00664950"/>
    <w:rsid w:val="006652A1"/>
    <w:rsid w:val="0066600E"/>
    <w:rsid w:val="00671CAC"/>
    <w:rsid w:val="006725FE"/>
    <w:rsid w:val="00672B9E"/>
    <w:rsid w:val="006740A5"/>
    <w:rsid w:val="00674999"/>
    <w:rsid w:val="00677028"/>
    <w:rsid w:val="006810B1"/>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818"/>
    <w:rsid w:val="006C343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71A9"/>
    <w:rsid w:val="006F206F"/>
    <w:rsid w:val="006F3134"/>
    <w:rsid w:val="006F4C8A"/>
    <w:rsid w:val="006F4FF1"/>
    <w:rsid w:val="006F531E"/>
    <w:rsid w:val="006F788E"/>
    <w:rsid w:val="007016D3"/>
    <w:rsid w:val="00702A2A"/>
    <w:rsid w:val="00702C55"/>
    <w:rsid w:val="00702CF5"/>
    <w:rsid w:val="007031F0"/>
    <w:rsid w:val="00703684"/>
    <w:rsid w:val="007042BA"/>
    <w:rsid w:val="00704904"/>
    <w:rsid w:val="007102D9"/>
    <w:rsid w:val="00713CB9"/>
    <w:rsid w:val="00713CF2"/>
    <w:rsid w:val="0071437B"/>
    <w:rsid w:val="0071462A"/>
    <w:rsid w:val="00714CDA"/>
    <w:rsid w:val="00715C2C"/>
    <w:rsid w:val="00717059"/>
    <w:rsid w:val="007171AF"/>
    <w:rsid w:val="00717D88"/>
    <w:rsid w:val="0072370F"/>
    <w:rsid w:val="007242E8"/>
    <w:rsid w:val="00724B91"/>
    <w:rsid w:val="00725B96"/>
    <w:rsid w:val="00726214"/>
    <w:rsid w:val="00726A43"/>
    <w:rsid w:val="00735550"/>
    <w:rsid w:val="007357B3"/>
    <w:rsid w:val="00736B6F"/>
    <w:rsid w:val="00737238"/>
    <w:rsid w:val="00737270"/>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73F0"/>
    <w:rsid w:val="007779E8"/>
    <w:rsid w:val="00782143"/>
    <w:rsid w:val="00783ADD"/>
    <w:rsid w:val="007847CF"/>
    <w:rsid w:val="0078503D"/>
    <w:rsid w:val="00785460"/>
    <w:rsid w:val="00785A01"/>
    <w:rsid w:val="00786056"/>
    <w:rsid w:val="00790843"/>
    <w:rsid w:val="00792CE5"/>
    <w:rsid w:val="00792EE4"/>
    <w:rsid w:val="00793244"/>
    <w:rsid w:val="007942D3"/>
    <w:rsid w:val="007960B7"/>
    <w:rsid w:val="007A0F21"/>
    <w:rsid w:val="007A2EA5"/>
    <w:rsid w:val="007A485B"/>
    <w:rsid w:val="007A4E3B"/>
    <w:rsid w:val="007A5ACF"/>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761D"/>
    <w:rsid w:val="007C786D"/>
    <w:rsid w:val="007D02F8"/>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66F8"/>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E8F"/>
    <w:rsid w:val="00837E92"/>
    <w:rsid w:val="0084323D"/>
    <w:rsid w:val="0084650B"/>
    <w:rsid w:val="008514C9"/>
    <w:rsid w:val="00851E4B"/>
    <w:rsid w:val="00851E99"/>
    <w:rsid w:val="008528D9"/>
    <w:rsid w:val="00852D60"/>
    <w:rsid w:val="00852DEE"/>
    <w:rsid w:val="00853A28"/>
    <w:rsid w:val="008542C5"/>
    <w:rsid w:val="008549AE"/>
    <w:rsid w:val="008557D6"/>
    <w:rsid w:val="00855BD5"/>
    <w:rsid w:val="0085759E"/>
    <w:rsid w:val="008609A5"/>
    <w:rsid w:val="00865B74"/>
    <w:rsid w:val="00866063"/>
    <w:rsid w:val="00870510"/>
    <w:rsid w:val="00871AD5"/>
    <w:rsid w:val="008746C7"/>
    <w:rsid w:val="00875395"/>
    <w:rsid w:val="008760D8"/>
    <w:rsid w:val="008762B2"/>
    <w:rsid w:val="00876D13"/>
    <w:rsid w:val="0087799B"/>
    <w:rsid w:val="00877B38"/>
    <w:rsid w:val="0088358E"/>
    <w:rsid w:val="0088368F"/>
    <w:rsid w:val="00884997"/>
    <w:rsid w:val="00887BB0"/>
    <w:rsid w:val="008936F3"/>
    <w:rsid w:val="008974F0"/>
    <w:rsid w:val="00897549"/>
    <w:rsid w:val="00897905"/>
    <w:rsid w:val="008A030A"/>
    <w:rsid w:val="008A055F"/>
    <w:rsid w:val="008A083B"/>
    <w:rsid w:val="008A1499"/>
    <w:rsid w:val="008A20E8"/>
    <w:rsid w:val="008A442F"/>
    <w:rsid w:val="008A5B86"/>
    <w:rsid w:val="008A62C0"/>
    <w:rsid w:val="008B012A"/>
    <w:rsid w:val="008B0E82"/>
    <w:rsid w:val="008B0F75"/>
    <w:rsid w:val="008B25EA"/>
    <w:rsid w:val="008B48D0"/>
    <w:rsid w:val="008B51D1"/>
    <w:rsid w:val="008B5FD7"/>
    <w:rsid w:val="008B6215"/>
    <w:rsid w:val="008B703E"/>
    <w:rsid w:val="008C02D0"/>
    <w:rsid w:val="008C16E7"/>
    <w:rsid w:val="008C1E1C"/>
    <w:rsid w:val="008C7E2A"/>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6003"/>
    <w:rsid w:val="00930BA1"/>
    <w:rsid w:val="0093118F"/>
    <w:rsid w:val="0093169E"/>
    <w:rsid w:val="00933693"/>
    <w:rsid w:val="00933811"/>
    <w:rsid w:val="0093677E"/>
    <w:rsid w:val="0093711D"/>
    <w:rsid w:val="009379FB"/>
    <w:rsid w:val="0094196C"/>
    <w:rsid w:val="00943741"/>
    <w:rsid w:val="00943C55"/>
    <w:rsid w:val="0094621A"/>
    <w:rsid w:val="00946F4B"/>
    <w:rsid w:val="00947135"/>
    <w:rsid w:val="00947A9D"/>
    <w:rsid w:val="009505C9"/>
    <w:rsid w:val="00950752"/>
    <w:rsid w:val="00951038"/>
    <w:rsid w:val="00951C24"/>
    <w:rsid w:val="00951FEC"/>
    <w:rsid w:val="009520E6"/>
    <w:rsid w:val="00952B5B"/>
    <w:rsid w:val="00953C39"/>
    <w:rsid w:val="00953F9C"/>
    <w:rsid w:val="00954A53"/>
    <w:rsid w:val="009614EC"/>
    <w:rsid w:val="009644F6"/>
    <w:rsid w:val="00964A45"/>
    <w:rsid w:val="00965512"/>
    <w:rsid w:val="009661B3"/>
    <w:rsid w:val="00966424"/>
    <w:rsid w:val="00967C4C"/>
    <w:rsid w:val="009703D2"/>
    <w:rsid w:val="00972B8D"/>
    <w:rsid w:val="00972D5E"/>
    <w:rsid w:val="00973B3B"/>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FA2"/>
    <w:rsid w:val="00A04A62"/>
    <w:rsid w:val="00A04B9A"/>
    <w:rsid w:val="00A04CDA"/>
    <w:rsid w:val="00A05202"/>
    <w:rsid w:val="00A0621E"/>
    <w:rsid w:val="00A069A1"/>
    <w:rsid w:val="00A07F89"/>
    <w:rsid w:val="00A10E18"/>
    <w:rsid w:val="00A111D1"/>
    <w:rsid w:val="00A12297"/>
    <w:rsid w:val="00A122D6"/>
    <w:rsid w:val="00A12C75"/>
    <w:rsid w:val="00A1374F"/>
    <w:rsid w:val="00A13F14"/>
    <w:rsid w:val="00A1486D"/>
    <w:rsid w:val="00A14E27"/>
    <w:rsid w:val="00A14E2F"/>
    <w:rsid w:val="00A14F34"/>
    <w:rsid w:val="00A20350"/>
    <w:rsid w:val="00A213EE"/>
    <w:rsid w:val="00A22D73"/>
    <w:rsid w:val="00A24571"/>
    <w:rsid w:val="00A26381"/>
    <w:rsid w:val="00A26F6F"/>
    <w:rsid w:val="00A27178"/>
    <w:rsid w:val="00A2718E"/>
    <w:rsid w:val="00A27EF2"/>
    <w:rsid w:val="00A362C1"/>
    <w:rsid w:val="00A3775A"/>
    <w:rsid w:val="00A401BB"/>
    <w:rsid w:val="00A47003"/>
    <w:rsid w:val="00A51CAD"/>
    <w:rsid w:val="00A51D24"/>
    <w:rsid w:val="00A526A1"/>
    <w:rsid w:val="00A53858"/>
    <w:rsid w:val="00A5485B"/>
    <w:rsid w:val="00A549BF"/>
    <w:rsid w:val="00A54AD7"/>
    <w:rsid w:val="00A54E9B"/>
    <w:rsid w:val="00A55252"/>
    <w:rsid w:val="00A558DB"/>
    <w:rsid w:val="00A56EFF"/>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13DD"/>
    <w:rsid w:val="00A81E33"/>
    <w:rsid w:val="00A8220B"/>
    <w:rsid w:val="00A83079"/>
    <w:rsid w:val="00A8398D"/>
    <w:rsid w:val="00A84514"/>
    <w:rsid w:val="00A850CF"/>
    <w:rsid w:val="00A8649F"/>
    <w:rsid w:val="00A91062"/>
    <w:rsid w:val="00A92257"/>
    <w:rsid w:val="00A9283D"/>
    <w:rsid w:val="00A95452"/>
    <w:rsid w:val="00A971CC"/>
    <w:rsid w:val="00AA0558"/>
    <w:rsid w:val="00AA1BA1"/>
    <w:rsid w:val="00AA435B"/>
    <w:rsid w:val="00AA48D4"/>
    <w:rsid w:val="00AA6F92"/>
    <w:rsid w:val="00AA71F1"/>
    <w:rsid w:val="00AA74AD"/>
    <w:rsid w:val="00AB0534"/>
    <w:rsid w:val="00AB1750"/>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9C7"/>
    <w:rsid w:val="00B141F8"/>
    <w:rsid w:val="00B143F0"/>
    <w:rsid w:val="00B14EE8"/>
    <w:rsid w:val="00B2117B"/>
    <w:rsid w:val="00B21D8C"/>
    <w:rsid w:val="00B22254"/>
    <w:rsid w:val="00B22653"/>
    <w:rsid w:val="00B23282"/>
    <w:rsid w:val="00B2573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45BA"/>
    <w:rsid w:val="00B5637B"/>
    <w:rsid w:val="00B571BC"/>
    <w:rsid w:val="00B57DB5"/>
    <w:rsid w:val="00B60211"/>
    <w:rsid w:val="00B61246"/>
    <w:rsid w:val="00B625E3"/>
    <w:rsid w:val="00B634AB"/>
    <w:rsid w:val="00B63BCE"/>
    <w:rsid w:val="00B642CA"/>
    <w:rsid w:val="00B649CD"/>
    <w:rsid w:val="00B6578C"/>
    <w:rsid w:val="00B66ACD"/>
    <w:rsid w:val="00B67586"/>
    <w:rsid w:val="00B70DC0"/>
    <w:rsid w:val="00B713FA"/>
    <w:rsid w:val="00B71646"/>
    <w:rsid w:val="00B71708"/>
    <w:rsid w:val="00B73B2F"/>
    <w:rsid w:val="00B7499D"/>
    <w:rsid w:val="00B7613F"/>
    <w:rsid w:val="00B8198B"/>
    <w:rsid w:val="00B83598"/>
    <w:rsid w:val="00B8403F"/>
    <w:rsid w:val="00B843D8"/>
    <w:rsid w:val="00B8444C"/>
    <w:rsid w:val="00B858D3"/>
    <w:rsid w:val="00B86C10"/>
    <w:rsid w:val="00B86D63"/>
    <w:rsid w:val="00B94253"/>
    <w:rsid w:val="00B94953"/>
    <w:rsid w:val="00B94E6C"/>
    <w:rsid w:val="00B9503A"/>
    <w:rsid w:val="00B964C6"/>
    <w:rsid w:val="00B9783F"/>
    <w:rsid w:val="00BA210E"/>
    <w:rsid w:val="00BA388C"/>
    <w:rsid w:val="00BA3B98"/>
    <w:rsid w:val="00BA4764"/>
    <w:rsid w:val="00BA4FAC"/>
    <w:rsid w:val="00BA61B1"/>
    <w:rsid w:val="00BB214D"/>
    <w:rsid w:val="00BB2651"/>
    <w:rsid w:val="00BB4606"/>
    <w:rsid w:val="00BB4ACE"/>
    <w:rsid w:val="00BB52B8"/>
    <w:rsid w:val="00BC25D6"/>
    <w:rsid w:val="00BC3293"/>
    <w:rsid w:val="00BC52C6"/>
    <w:rsid w:val="00BC5BB6"/>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2ADE"/>
    <w:rsid w:val="00C83D63"/>
    <w:rsid w:val="00C83DB9"/>
    <w:rsid w:val="00C86E21"/>
    <w:rsid w:val="00C86E83"/>
    <w:rsid w:val="00C90616"/>
    <w:rsid w:val="00C9070A"/>
    <w:rsid w:val="00C9161D"/>
    <w:rsid w:val="00C94AFD"/>
    <w:rsid w:val="00C94F81"/>
    <w:rsid w:val="00C97FE3"/>
    <w:rsid w:val="00CA0C1D"/>
    <w:rsid w:val="00CA2F6E"/>
    <w:rsid w:val="00CA6395"/>
    <w:rsid w:val="00CB0345"/>
    <w:rsid w:val="00CB2B97"/>
    <w:rsid w:val="00CB411F"/>
    <w:rsid w:val="00CB437A"/>
    <w:rsid w:val="00CB4955"/>
    <w:rsid w:val="00CB62D0"/>
    <w:rsid w:val="00CB6AF7"/>
    <w:rsid w:val="00CB6C2C"/>
    <w:rsid w:val="00CB6D57"/>
    <w:rsid w:val="00CC0690"/>
    <w:rsid w:val="00CC0BA8"/>
    <w:rsid w:val="00CC1C2A"/>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A15"/>
    <w:rsid w:val="00CF1848"/>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6684"/>
    <w:rsid w:val="00D73A55"/>
    <w:rsid w:val="00D744FF"/>
    <w:rsid w:val="00D75CA6"/>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5E0F"/>
    <w:rsid w:val="00DB7910"/>
    <w:rsid w:val="00DB7F97"/>
    <w:rsid w:val="00DB7F99"/>
    <w:rsid w:val="00DC03B8"/>
    <w:rsid w:val="00DC427A"/>
    <w:rsid w:val="00DC43E1"/>
    <w:rsid w:val="00DC49E4"/>
    <w:rsid w:val="00DC6A55"/>
    <w:rsid w:val="00DC6F89"/>
    <w:rsid w:val="00DC7E6A"/>
    <w:rsid w:val="00DD118C"/>
    <w:rsid w:val="00DD155E"/>
    <w:rsid w:val="00DD417A"/>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10C86"/>
    <w:rsid w:val="00E2053E"/>
    <w:rsid w:val="00E21377"/>
    <w:rsid w:val="00E26562"/>
    <w:rsid w:val="00E27B4C"/>
    <w:rsid w:val="00E30044"/>
    <w:rsid w:val="00E30D20"/>
    <w:rsid w:val="00E3280E"/>
    <w:rsid w:val="00E34543"/>
    <w:rsid w:val="00E35466"/>
    <w:rsid w:val="00E4286E"/>
    <w:rsid w:val="00E433CC"/>
    <w:rsid w:val="00E44C36"/>
    <w:rsid w:val="00E44EC1"/>
    <w:rsid w:val="00E455C5"/>
    <w:rsid w:val="00E463CC"/>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55BA"/>
    <w:rsid w:val="00EB1043"/>
    <w:rsid w:val="00EB1A8A"/>
    <w:rsid w:val="00EB2CAA"/>
    <w:rsid w:val="00EB64A7"/>
    <w:rsid w:val="00EC05D8"/>
    <w:rsid w:val="00EC34C8"/>
    <w:rsid w:val="00EC35E0"/>
    <w:rsid w:val="00EC49ED"/>
    <w:rsid w:val="00EC4E85"/>
    <w:rsid w:val="00EC50CF"/>
    <w:rsid w:val="00EC596E"/>
    <w:rsid w:val="00EC5B18"/>
    <w:rsid w:val="00EC632F"/>
    <w:rsid w:val="00ED2E12"/>
    <w:rsid w:val="00ED3572"/>
    <w:rsid w:val="00ED441E"/>
    <w:rsid w:val="00ED467A"/>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4B67"/>
    <w:rsid w:val="00F063C2"/>
    <w:rsid w:val="00F06B81"/>
    <w:rsid w:val="00F07249"/>
    <w:rsid w:val="00F165DF"/>
    <w:rsid w:val="00F1716C"/>
    <w:rsid w:val="00F2029C"/>
    <w:rsid w:val="00F2067D"/>
    <w:rsid w:val="00F23119"/>
    <w:rsid w:val="00F233A7"/>
    <w:rsid w:val="00F239F0"/>
    <w:rsid w:val="00F2402F"/>
    <w:rsid w:val="00F271C6"/>
    <w:rsid w:val="00F2740F"/>
    <w:rsid w:val="00F34926"/>
    <w:rsid w:val="00F4040B"/>
    <w:rsid w:val="00F42DAE"/>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1C"/>
    <w:rsid w:val="00F76A85"/>
    <w:rsid w:val="00F809EC"/>
    <w:rsid w:val="00F813CA"/>
    <w:rsid w:val="00F82016"/>
    <w:rsid w:val="00F83E02"/>
    <w:rsid w:val="00F848B3"/>
    <w:rsid w:val="00F86BED"/>
    <w:rsid w:val="00F9038B"/>
    <w:rsid w:val="00F910BB"/>
    <w:rsid w:val="00F91D23"/>
    <w:rsid w:val="00F93327"/>
    <w:rsid w:val="00F94774"/>
    <w:rsid w:val="00F97640"/>
    <w:rsid w:val="00FA0C66"/>
    <w:rsid w:val="00FA0CE6"/>
    <w:rsid w:val="00FA31FC"/>
    <w:rsid w:val="00FA5F25"/>
    <w:rsid w:val="00FA663B"/>
    <w:rsid w:val="00FB0EEC"/>
    <w:rsid w:val="00FB1BD2"/>
    <w:rsid w:val="00FB2A77"/>
    <w:rsid w:val="00FB3CAE"/>
    <w:rsid w:val="00FB3F55"/>
    <w:rsid w:val="00FB72F4"/>
    <w:rsid w:val="00FC05A0"/>
    <w:rsid w:val="00FC3A24"/>
    <w:rsid w:val="00FC4377"/>
    <w:rsid w:val="00FC53DB"/>
    <w:rsid w:val="00FC6A4C"/>
    <w:rsid w:val="00FD1142"/>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F1554"/>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1547F3"/>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2127" w:hanging="991"/>
      <w:jc w:val="left"/>
    </w:pPr>
    <w:rPr>
      <w:rFonts w:eastAsia="Times New Roman"/>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1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footer" Target="footer4.xml"/><Relationship Id="rId21" Type="http://schemas.openxmlformats.org/officeDocument/2006/relationships/hyperlink" Target="https://www.cbd.int/recommendations/sbi/?m=sbi-06" TargetMode="External"/><Relationship Id="rId34" Type="http://schemas.openxmlformats.org/officeDocument/2006/relationships/hyperlink" Target="https://www.cbd.int/decisions/np-mop?m=np-mop-01" TargetMode="External"/><Relationship Id="rId42" Type="http://schemas.openxmlformats.org/officeDocument/2006/relationships/hyperlink" Target="https://www.cbd.int/decisions/np-mop/?m=np-mop-05" TargetMode="External"/><Relationship Id="rId47" Type="http://schemas.openxmlformats.org/officeDocument/2006/relationships/hyperlink" Target="https://www.cbd.int/documents/CBD/NP/MOP/6/8" TargetMode="External"/><Relationship Id="rId50" Type="http://schemas.openxmlformats.org/officeDocument/2006/relationships/hyperlink" Target="https://www.cbd.int/decisions/np-mop?m=np-mop-04" TargetMode="External"/><Relationship Id="rId55" Type="http://schemas.openxmlformats.org/officeDocument/2006/relationships/hyperlink" Target="https://www.cbd.int/decisions/np-mop/?m=np-mop-05" TargetMode="External"/><Relationship Id="rId63" Type="http://schemas.openxmlformats.org/officeDocument/2006/relationships/hyperlink" Target="https://www.cbd.int/documents/CBD/SBI/6/INF/11"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ecisions/np-mop?m=np-mop-03" TargetMode="Externa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hyperlink" Target="https://www.cbd.int/decisions/cop?m=cop-16" TargetMode="External"/><Relationship Id="rId37" Type="http://schemas.openxmlformats.org/officeDocument/2006/relationships/hyperlink" Target="https://www.cbd.int/decisions/np-mop?m=np-mop-04" TargetMode="External"/><Relationship Id="rId40" Type="http://schemas.openxmlformats.org/officeDocument/2006/relationships/hyperlink" Target="https://www.cbd.int/decisions/np-mop?m=np-mop-03" TargetMode="External"/><Relationship Id="rId45" Type="http://schemas.openxmlformats.org/officeDocument/2006/relationships/hyperlink" Target="https://www.cbd.int/recommendations/sbi/?m=sbi-07" TargetMode="External"/><Relationship Id="rId53" Type="http://schemas.openxmlformats.org/officeDocument/2006/relationships/hyperlink" Target="https://www.cbd.int/abs/text/articles/default.shtml?sec=abs-04" TargetMode="External"/><Relationship Id="rId58" Type="http://schemas.openxmlformats.org/officeDocument/2006/relationships/hyperlink" Target="https://www.cbd.int/abs/text/articles/default.shtml?sec=abs-04" TargetMode="External"/><Relationship Id="rId66" Type="http://schemas.openxmlformats.org/officeDocument/2006/relationships/glossaryDocument" Target="glossary/document.xml"/><Relationship Id="rId5" Type="http://schemas.openxmlformats.org/officeDocument/2006/relationships/customXml" Target="../customXml/item5.xml"/><Relationship Id="rId61" Type="http://schemas.openxmlformats.org/officeDocument/2006/relationships/hyperlink" Target="https://www.cbd.int/recommendations/sbi/?m=sbi-06" TargetMode="External"/><Relationship Id="rId19" Type="http://schemas.openxmlformats.org/officeDocument/2006/relationships/hyperlink" Target="https://www.cbd.int/documents/CBD/NP/MOP/6/3" TargetMode="Externa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header" Target="header5.xml"/><Relationship Id="rId30" Type="http://schemas.openxmlformats.org/officeDocument/2006/relationships/hyperlink" Target="https://www.cbd.int/recommendations/sbi/?m=sbi-07" TargetMode="External"/><Relationship Id="rId35" Type="http://schemas.openxmlformats.org/officeDocument/2006/relationships/hyperlink" Target="https://www.cbd.int/decisions/np-mop?m=np-mop-02" TargetMode="External"/><Relationship Id="rId43" Type="http://schemas.openxmlformats.org/officeDocument/2006/relationships/hyperlink" Target="https://www.cbd.int/decisions/np-mop?m=np-mop-01" TargetMode="External"/><Relationship Id="rId48" Type="http://schemas.openxmlformats.org/officeDocument/2006/relationships/hyperlink" Target="https://www.cbd.int/recommendations/sbi/?m=sbi-07" TargetMode="External"/><Relationship Id="rId56" Type="http://schemas.openxmlformats.org/officeDocument/2006/relationships/hyperlink" Target="https://www.cbd.int/documents/CBD/SBI/6/8" TargetMode="External"/><Relationship Id="rId64" Type="http://schemas.openxmlformats.org/officeDocument/2006/relationships/hyperlink" Target="https://www.cbd.int/decisions/np-mop?m=np-mop-01" TargetMode="Externa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footer" Target="footer3.xml"/><Relationship Id="rId33" Type="http://schemas.openxmlformats.org/officeDocument/2006/relationships/hyperlink" Target="https://www.cbd.int/decisions/cop?m=cop-11" TargetMode="External"/><Relationship Id="rId38" Type="http://schemas.openxmlformats.org/officeDocument/2006/relationships/hyperlink" Target="https://www.cbd.int/decisions/np-mop?m=np-mop-05" TargetMode="External"/><Relationship Id="rId46" Type="http://schemas.openxmlformats.org/officeDocument/2006/relationships/hyperlink" Target="https://www.cbd.int/documents/CBD/NP/MOP/6/8" TargetMode="External"/><Relationship Id="rId59" Type="http://schemas.openxmlformats.org/officeDocument/2006/relationships/hyperlink" Target="https://www.cbd.int/documents/CBD/NP/MOP/6/10" TargetMode="External"/><Relationship Id="rId67" Type="http://schemas.openxmlformats.org/officeDocument/2006/relationships/theme" Target="theme/theme1.xml"/><Relationship Id="rId20" Type="http://schemas.openxmlformats.org/officeDocument/2006/relationships/hyperlink" Target="https://www.cbd.int/documents/CBD/NP/MOP/6/5" TargetMode="External"/><Relationship Id="rId41" Type="http://schemas.openxmlformats.org/officeDocument/2006/relationships/hyperlink" Target="https://www.cbd.int/recommendations/sbi/?m=sbi-07" TargetMode="External"/><Relationship Id="rId54" Type="http://schemas.openxmlformats.org/officeDocument/2006/relationships/hyperlink" Target="https://www.cbd.int/abs/text/articles/default.shtml?sec=abs-10" TargetMode="External"/><Relationship Id="rId62" Type="http://schemas.openxmlformats.org/officeDocument/2006/relationships/hyperlink" Target="https://www.cbd.int/decisions/cop?m=cop-12"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https://www.cbd.int/documents/CBD/NP/MOP/6/6" TargetMode="External"/><Relationship Id="rId36" Type="http://schemas.openxmlformats.org/officeDocument/2006/relationships/hyperlink" Target="https://www.cbd.int/decisions/np-mop?m=np-mop-03" TargetMode="External"/><Relationship Id="rId49" Type="http://schemas.openxmlformats.org/officeDocument/2006/relationships/hyperlink" Target="https://www.cbd.int/documents/CBD/NP/MOP/6/3" TargetMode="External"/><Relationship Id="rId57" Type="http://schemas.openxmlformats.org/officeDocument/2006/relationships/hyperlink" Target="https://www.cbd.int/abs/text/articles/default.shtml?sec=abs-04" TargetMode="External"/><Relationship Id="rId10" Type="http://schemas.openxmlformats.org/officeDocument/2006/relationships/footnotes" Target="footnotes.xml"/><Relationship Id="rId31" Type="http://schemas.openxmlformats.org/officeDocument/2006/relationships/hyperlink" Target="https://www.cbd.int/decisions/np-mop?m=np-mop-03" TargetMode="External"/><Relationship Id="rId44" Type="http://schemas.openxmlformats.org/officeDocument/2006/relationships/hyperlink" Target="https://www.cbd.int/decisions/np-mop/?m=np-mop-05" TargetMode="External"/><Relationship Id="rId52" Type="http://schemas.openxmlformats.org/officeDocument/2006/relationships/hyperlink" Target="https://www.cbd.int/recommendations/sbi/?m=sbi-06" TargetMode="External"/><Relationship Id="rId60" Type="http://schemas.openxmlformats.org/officeDocument/2006/relationships/hyperlink" Target="https://www.cbd.int/documents/CBD/NP/MOP/6/11"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0" TargetMode="External"/><Relationship Id="rId13" Type="http://schemas.openxmlformats.org/officeDocument/2006/relationships/hyperlink" Target="https://www.cbd.int/documents/CBD/SBI/7/7/ADD1" TargetMode="External"/><Relationship Id="rId18" Type="http://schemas.openxmlformats.org/officeDocument/2006/relationships/hyperlink" Target="https://www.cbd.int/documents/CBD/NP/ABSCH-IAC/6/3" TargetMode="External"/><Relationship Id="rId3" Type="http://schemas.openxmlformats.org/officeDocument/2006/relationships/hyperlink" Target="https://www.cbd.int/documents/CBD/SBI/7/7/ADD1" TargetMode="External"/><Relationship Id="rId21" Type="http://schemas.openxmlformats.org/officeDocument/2006/relationships/hyperlink" Target="https://www.cbd.int/decisions/cop?m=cop-16" TargetMode="External"/><Relationship Id="rId7" Type="http://schemas.openxmlformats.org/officeDocument/2006/relationships/hyperlink" Target="https://www.cbd.int/documents/CBD/NP/MOP/6/5" TargetMode="External"/><Relationship Id="rId12" Type="http://schemas.openxmlformats.org/officeDocument/2006/relationships/hyperlink" Target="https://www.cbd.int/documents/CBD/SBI/7/INF/3/REV1" TargetMode="External"/><Relationship Id="rId17" Type="http://schemas.openxmlformats.org/officeDocument/2006/relationships/hyperlink" Target="https://www.cbd.int/abs/doc/cepa-toolkit-en.pdf" TargetMode="External"/><Relationship Id="rId2" Type="http://schemas.openxmlformats.org/officeDocument/2006/relationships/hyperlink" Target="https://www.cbd.int/documents/CBD/NP/MOP/6/1" TargetMode="External"/><Relationship Id="rId16" Type="http://schemas.openxmlformats.org/officeDocument/2006/relationships/hyperlink" Target="https://www.cbd.int/documents/CBD/SBI/7/7" TargetMode="External"/><Relationship Id="rId20"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NP/CB-IAC/2026/1/4" TargetMode="External"/><Relationship Id="rId5" Type="http://schemas.openxmlformats.org/officeDocument/2006/relationships/hyperlink" Target="https://www.cbd.int/documents/CBD/NP/MOP/6/5" TargetMode="External"/><Relationship Id="rId15" Type="http://schemas.openxmlformats.org/officeDocument/2006/relationships/hyperlink" Target="https://www.cbd.int/decisions/np-mop?m=np-mop-01" TargetMode="External"/><Relationship Id="rId10" Type="http://schemas.openxmlformats.org/officeDocument/2006/relationships/hyperlink" Target="https://www.cbd.int/documents/CBD/NP/MOP/6/3"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NP/MOP/6/4" TargetMode="External"/><Relationship Id="rId9" Type="http://schemas.openxmlformats.org/officeDocument/2006/relationships/hyperlink" Target="https://www.cbd.int/documents/CBD/COP/17/4/ADD4" TargetMode="External"/><Relationship Id="rId14" Type="http://schemas.openxmlformats.org/officeDocument/2006/relationships/hyperlink" Target="https://www.cbd.int/documents/CBD/SBI/7/7" TargetMode="External"/><Relationship Id="rId22"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66588"/>
    <w:rsid w:val="00076B35"/>
    <w:rsid w:val="000D40CE"/>
    <w:rsid w:val="000D65F6"/>
    <w:rsid w:val="000E3CFC"/>
    <w:rsid w:val="000F2505"/>
    <w:rsid w:val="0010733F"/>
    <w:rsid w:val="00135893"/>
    <w:rsid w:val="001400AB"/>
    <w:rsid w:val="00145EB7"/>
    <w:rsid w:val="00161B75"/>
    <w:rsid w:val="001829FD"/>
    <w:rsid w:val="00191204"/>
    <w:rsid w:val="001C2E85"/>
    <w:rsid w:val="001E78FA"/>
    <w:rsid w:val="001F15A6"/>
    <w:rsid w:val="0024605D"/>
    <w:rsid w:val="002471E4"/>
    <w:rsid w:val="00252B4A"/>
    <w:rsid w:val="00254EB5"/>
    <w:rsid w:val="00303D91"/>
    <w:rsid w:val="00317F8A"/>
    <w:rsid w:val="003F5695"/>
    <w:rsid w:val="0047626B"/>
    <w:rsid w:val="00492D05"/>
    <w:rsid w:val="004B0204"/>
    <w:rsid w:val="004B07DC"/>
    <w:rsid w:val="005027BF"/>
    <w:rsid w:val="005071E9"/>
    <w:rsid w:val="00512D11"/>
    <w:rsid w:val="00593D24"/>
    <w:rsid w:val="005B62CC"/>
    <w:rsid w:val="005C352A"/>
    <w:rsid w:val="005F74AB"/>
    <w:rsid w:val="00632C40"/>
    <w:rsid w:val="00651A44"/>
    <w:rsid w:val="006A0312"/>
    <w:rsid w:val="006A12B6"/>
    <w:rsid w:val="006A1847"/>
    <w:rsid w:val="006A4FC5"/>
    <w:rsid w:val="006A5D65"/>
    <w:rsid w:val="006B47C4"/>
    <w:rsid w:val="00723FD0"/>
    <w:rsid w:val="0076386E"/>
    <w:rsid w:val="00782143"/>
    <w:rsid w:val="0079657F"/>
    <w:rsid w:val="007D5EDB"/>
    <w:rsid w:val="007F441B"/>
    <w:rsid w:val="00814103"/>
    <w:rsid w:val="00897549"/>
    <w:rsid w:val="008A326E"/>
    <w:rsid w:val="008B48D0"/>
    <w:rsid w:val="008C56F0"/>
    <w:rsid w:val="008C7876"/>
    <w:rsid w:val="008E4AEF"/>
    <w:rsid w:val="009100F9"/>
    <w:rsid w:val="00940A06"/>
    <w:rsid w:val="009837A3"/>
    <w:rsid w:val="00987A0D"/>
    <w:rsid w:val="009E37FA"/>
    <w:rsid w:val="00A14E27"/>
    <w:rsid w:val="00A26381"/>
    <w:rsid w:val="00A51CAD"/>
    <w:rsid w:val="00A6062F"/>
    <w:rsid w:val="00A65C0C"/>
    <w:rsid w:val="00A9647E"/>
    <w:rsid w:val="00AE0331"/>
    <w:rsid w:val="00AF2B1D"/>
    <w:rsid w:val="00B60211"/>
    <w:rsid w:val="00BA5DFE"/>
    <w:rsid w:val="00BA7E0C"/>
    <w:rsid w:val="00C62B41"/>
    <w:rsid w:val="00C67541"/>
    <w:rsid w:val="00CC0E2F"/>
    <w:rsid w:val="00CD0120"/>
    <w:rsid w:val="00CE2E1B"/>
    <w:rsid w:val="00D33297"/>
    <w:rsid w:val="00D545D8"/>
    <w:rsid w:val="00D751B2"/>
    <w:rsid w:val="00D76775"/>
    <w:rsid w:val="00DF2DFC"/>
    <w:rsid w:val="00DF7C27"/>
    <w:rsid w:val="00E66161"/>
    <w:rsid w:val="00EE4F5E"/>
    <w:rsid w:val="00F231B3"/>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C404A4F3-15AB-4938-97F5-3D5240092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6</TotalTime>
  <Pages>26</Pages>
  <Words>8398</Words>
  <Characters>47874</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Compilation of draft decisions for the sixth meeting of the Conference of the Parties serving as the meeting of the Parties to the Nagoya Protocol on Access to Genetic Resources and the Fair and Equitable Sharing of Benefits Arising from Their Utilization</vt:lpstr>
    </vt:vector>
  </TitlesOfParts>
  <Company>SCBD</Company>
  <LinksUpToDate>false</LinksUpToDate>
  <CharactersWithSpaces>56160</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sixth meeting of the Conference of the Parties serving as the meeting of the Parties to the Nagoya Protocol on Access to Genetic Resources and the Fair and Equitable Sharing of Benefits Arising from Their Utilization</dc:title>
  <dc:subject>CBD/NP/MOP/6/2</dc:subject>
  <dc:creator>Secretariat of the Convention on Biological Diversity</dc:creator>
  <cp:keywords>Convention on Biological Diversity</cp:keywords>
  <cp:lastModifiedBy>Veronique Lefebvre</cp:lastModifiedBy>
  <cp:revision>7</cp:revision>
  <cp:lastPrinted>2020-01-22T07:56:00Z</cp:lastPrinted>
  <dcterms:created xsi:type="dcterms:W3CDTF">2026-09-29T23:59:00Z</dcterms:created>
  <dcterms:modified xsi:type="dcterms:W3CDTF">2026-09-30T00:04:00Z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