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0B2BF0"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0B2BF0"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60370" w:rsidRPr="00660370">
                  <w:rPr>
                    <w:bCs/>
                  </w:rPr>
                  <w:t>CBD/</w:t>
                </w:r>
                <w:r w:rsidR="007C4DDE">
                  <w:rPr>
                    <w:bCs/>
                  </w:rPr>
                  <w:t>ABS/CC/2/1</w:t>
                </w:r>
                <w:r w:rsidR="00F4157A">
                  <w:rPr>
                    <w:bCs/>
                  </w:rPr>
                  <w:t>/Add.1</w:t>
                </w:r>
              </w:sdtContent>
            </w:sdt>
          </w:p>
          <w:p w:rsidR="00C9161D" w:rsidRPr="00C9161D" w:rsidRDefault="000B2BF0"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3-16T00:00:00Z">
                  <w:dateFormat w:val="d MMMM yyyy"/>
                  <w:lid w:val="en-US"/>
                  <w:storeMappedDataAs w:val="dateTime"/>
                  <w:calendar w:val="gregorian"/>
                </w:date>
              </w:sdtPr>
              <w:sdtEndPr/>
              <w:sdtContent>
                <w:r w:rsidR="007C4DDE">
                  <w:rPr>
                    <w:szCs w:val="22"/>
                  </w:rPr>
                  <w:t>16</w:t>
                </w:r>
                <w:r w:rsidR="007E09DA">
                  <w:rPr>
                    <w:szCs w:val="22"/>
                    <w:lang w:val="en-US"/>
                  </w:rPr>
                  <w:t xml:space="preserve"> </w:t>
                </w:r>
                <w:r w:rsidR="007C4DDE">
                  <w:rPr>
                    <w:szCs w:val="22"/>
                    <w:lang w:val="en-US"/>
                  </w:rPr>
                  <w:t>March</w:t>
                </w:r>
                <w:r w:rsidR="00660370">
                  <w:rPr>
                    <w:szCs w:val="22"/>
                    <w:lang w:val="en-US"/>
                  </w:rPr>
                  <w:t xml:space="preserve"> 2018</w:t>
                </w:r>
              </w:sdtContent>
            </w:sdt>
          </w:p>
          <w:p w:rsidR="00C9161D" w:rsidRPr="00C9161D" w:rsidRDefault="00C9161D" w:rsidP="00176CEE">
            <w:pPr>
              <w:ind w:left="1215"/>
              <w:rPr>
                <w:szCs w:val="22"/>
              </w:rPr>
            </w:pPr>
          </w:p>
          <w:p w:rsidR="00C9161D" w:rsidRPr="00C9161D" w:rsidRDefault="00C9161D" w:rsidP="00176CEE">
            <w:pPr>
              <w:ind w:left="1215"/>
              <w:rPr>
                <w:szCs w:val="22"/>
              </w:rPr>
            </w:pPr>
            <w:r w:rsidRPr="00C9161D">
              <w:rPr>
                <w:szCs w:val="22"/>
              </w:rPr>
              <w:t>ENGLISH</w:t>
            </w:r>
            <w:r w:rsidR="00172AF6">
              <w:rPr>
                <w:szCs w:val="22"/>
              </w:rPr>
              <w:t xml:space="preserve"> ONLY</w:t>
            </w:r>
          </w:p>
          <w:p w:rsidR="00C9161D" w:rsidRDefault="00C9161D"/>
        </w:tc>
      </w:tr>
    </w:tbl>
    <w:p w:rsidR="007C4DDE" w:rsidRPr="00286621" w:rsidRDefault="007C4DDE" w:rsidP="007C4DDE">
      <w:pPr>
        <w:pStyle w:val="Cornernotation"/>
        <w:ind w:left="173" w:right="5532" w:hanging="173"/>
        <w:rPr>
          <w:kern w:val="22"/>
        </w:rPr>
      </w:pPr>
      <w:r>
        <w:rPr>
          <w:kern w:val="22"/>
        </w:rPr>
        <w:t>COMPLIANCE</w:t>
      </w:r>
      <w:r w:rsidRPr="00286621">
        <w:rPr>
          <w:kern w:val="22"/>
        </w:rPr>
        <w:t xml:space="preserve"> COMMITTEE </w:t>
      </w:r>
      <w:r w:rsidRPr="008537F9">
        <w:rPr>
          <w:kern w:val="22"/>
        </w:rPr>
        <w:t xml:space="preserve">UNDER </w:t>
      </w:r>
      <w:r w:rsidRPr="00A9021C">
        <w:rPr>
          <w:kern w:val="22"/>
        </w:rPr>
        <w:t>THE NAGOYA PROTOCOL</w:t>
      </w:r>
    </w:p>
    <w:p w:rsidR="007C4DDE" w:rsidRPr="00286621" w:rsidRDefault="007C4DDE" w:rsidP="007C4DDE">
      <w:pPr>
        <w:pStyle w:val="Cornernotation"/>
        <w:ind w:left="173" w:right="3640" w:hanging="173"/>
        <w:rPr>
          <w:kern w:val="22"/>
        </w:rPr>
      </w:pPr>
      <w:r>
        <w:rPr>
          <w:kern w:val="22"/>
        </w:rPr>
        <w:t>Second</w:t>
      </w:r>
      <w:r w:rsidRPr="00286621">
        <w:rPr>
          <w:kern w:val="22"/>
        </w:rPr>
        <w:t xml:space="preserve"> meeting</w:t>
      </w:r>
    </w:p>
    <w:p w:rsidR="00C9161D" w:rsidRPr="00660370" w:rsidRDefault="007C4DDE" w:rsidP="007C4DDE">
      <w:pPr>
        <w:pStyle w:val="Cornernotation"/>
        <w:ind w:left="227" w:right="3548" w:hanging="227"/>
        <w:rPr>
          <w:szCs w:val="22"/>
        </w:rPr>
      </w:pPr>
      <w:r w:rsidRPr="00286621">
        <w:rPr>
          <w:kern w:val="22"/>
        </w:rPr>
        <w:t xml:space="preserve">Montreal, </w:t>
      </w:r>
      <w:r>
        <w:rPr>
          <w:kern w:val="22"/>
        </w:rPr>
        <w:t>Canada, 24-26</w:t>
      </w:r>
      <w:r w:rsidRPr="00286621">
        <w:rPr>
          <w:kern w:val="22"/>
          <w:szCs w:val="22"/>
        </w:rPr>
        <w:t xml:space="preserve"> </w:t>
      </w:r>
      <w:r>
        <w:rPr>
          <w:kern w:val="22"/>
          <w:szCs w:val="22"/>
        </w:rPr>
        <w:t>April</w:t>
      </w:r>
      <w:r w:rsidRPr="00286621">
        <w:rPr>
          <w:kern w:val="22"/>
          <w:szCs w:val="22"/>
        </w:rPr>
        <w:t xml:space="preserve"> </w:t>
      </w:r>
      <w:r w:rsidRPr="00286621">
        <w:rPr>
          <w:kern w:val="22"/>
        </w:rPr>
        <w:t>201</w:t>
      </w:r>
      <w:r>
        <w:rPr>
          <w:kern w:val="22"/>
        </w:rPr>
        <w:t>8</w:t>
      </w:r>
    </w:p>
    <w:p w:rsidR="00176CEE" w:rsidRDefault="000B2BF0" w:rsidP="00660370">
      <w:pPr>
        <w:spacing w:before="120" w:after="240"/>
        <w:jc w:val="center"/>
        <w:rPr>
          <w:b/>
          <w:caps/>
        </w:rPr>
      </w:pPr>
      <w:sdt>
        <w:sdtPr>
          <w:rPr>
            <w:b/>
            <w:caps/>
            <w:szCs w:val="22"/>
            <w:lang w:val="en-US" w:eastAsia="ko-K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4157A">
            <w:rPr>
              <w:b/>
              <w:caps/>
              <w:szCs w:val="22"/>
              <w:lang w:val="en-US" w:eastAsia="ko-KR"/>
            </w:rPr>
            <w:t xml:space="preserve">ANNOTATIONS TO THE </w:t>
          </w:r>
          <w:r w:rsidR="007C4DDE">
            <w:rPr>
              <w:b/>
              <w:caps/>
              <w:szCs w:val="22"/>
              <w:lang w:val="en-US" w:eastAsia="ko-KR"/>
            </w:rPr>
            <w:t>Provisional agenda</w:t>
          </w:r>
        </w:sdtContent>
      </w:sdt>
      <w:r w:rsidR="00105372" w:rsidRPr="00105372">
        <w:rPr>
          <w:b/>
          <w:caps/>
        </w:rPr>
        <w:t xml:space="preserve"> </w:t>
      </w:r>
    </w:p>
    <w:p w:rsidR="00F4157A" w:rsidRPr="00AB0950" w:rsidRDefault="00F4157A" w:rsidP="00F4157A">
      <w:pPr>
        <w:pStyle w:val="Heading1"/>
        <w:suppressLineNumbers/>
        <w:tabs>
          <w:tab w:val="clear" w:pos="720"/>
        </w:tabs>
        <w:suppressAutoHyphens/>
        <w:spacing w:before="120"/>
        <w:rPr>
          <w:kern w:val="22"/>
        </w:rPr>
      </w:pPr>
      <w:r w:rsidRPr="00AB0950">
        <w:rPr>
          <w:kern w:val="22"/>
        </w:rPr>
        <w:t>INTRODUCTION</w:t>
      </w:r>
    </w:p>
    <w:p w:rsidR="00F4157A" w:rsidRDefault="00F4157A" w:rsidP="00F4157A">
      <w:pPr>
        <w:pStyle w:val="Para1"/>
        <w:numPr>
          <w:ilvl w:val="0"/>
          <w:numId w:val="2"/>
        </w:numPr>
        <w:suppressLineNumbers/>
        <w:tabs>
          <w:tab w:val="clear" w:pos="360"/>
        </w:tabs>
        <w:suppressAutoHyphens/>
        <w:rPr>
          <w:rFonts w:eastAsia="SimSun"/>
          <w:snapToGrid/>
          <w:kern w:val="22"/>
        </w:rPr>
      </w:pPr>
      <w:r>
        <w:rPr>
          <w:rFonts w:eastAsia="SimSun"/>
          <w:snapToGrid/>
          <w:kern w:val="22"/>
        </w:rPr>
        <w:t xml:space="preserve">The Conference of the Parties serving as the meeting of the Parties to the Nagoya Protocol, at its first meeting, adopted decision NP-1/4 which includes procedures and mechanisms on compliance with the Protocol and establishes a Compliance Committee. </w:t>
      </w:r>
    </w:p>
    <w:p w:rsidR="00F4157A" w:rsidRDefault="00F4157A" w:rsidP="00F4157A">
      <w:pPr>
        <w:pStyle w:val="Para1"/>
        <w:numPr>
          <w:ilvl w:val="0"/>
          <w:numId w:val="2"/>
        </w:numPr>
        <w:suppressLineNumbers/>
        <w:tabs>
          <w:tab w:val="clear" w:pos="360"/>
        </w:tabs>
        <w:suppressAutoHyphens/>
        <w:rPr>
          <w:rFonts w:eastAsia="SimSun"/>
          <w:snapToGrid/>
          <w:kern w:val="22"/>
        </w:rPr>
      </w:pPr>
      <w:r>
        <w:rPr>
          <w:rFonts w:eastAsia="SimSun"/>
          <w:snapToGrid/>
          <w:kern w:val="22"/>
        </w:rPr>
        <w:t xml:space="preserve">According to the procedures and mechanisms on compliance, the Committee is to meet at least once in each intersessional period. Accordingly, the first meeting of the Compliance Committee was held from 6 to 8 April 2016 in Montreal. The Committee developed draft rules of procedure for its meetings, which were submitted to the Conference of the Parties serving as the meeting of the Parties to the Protocol at its second meeting in </w:t>
      </w:r>
      <w:r w:rsidRPr="009639B3">
        <w:rPr>
          <w:rFonts w:eastAsia="SimSun"/>
          <w:snapToGrid/>
          <w:kern w:val="22"/>
        </w:rPr>
        <w:t>December</w:t>
      </w:r>
      <w:r>
        <w:rPr>
          <w:rFonts w:eastAsia="SimSun"/>
          <w:snapToGrid/>
          <w:kern w:val="22"/>
        </w:rPr>
        <w:t xml:space="preserve"> 2016. The rules of procedure were approved by the meeting of the Parties, with some amendments, and can be found in the annex to decision NP-2/3.</w:t>
      </w:r>
    </w:p>
    <w:p w:rsidR="00F4157A" w:rsidRDefault="00F4157A" w:rsidP="00F4157A">
      <w:pPr>
        <w:pStyle w:val="Para1"/>
        <w:numPr>
          <w:ilvl w:val="0"/>
          <w:numId w:val="2"/>
        </w:numPr>
        <w:suppressLineNumbers/>
        <w:tabs>
          <w:tab w:val="clear" w:pos="360"/>
        </w:tabs>
        <w:suppressAutoHyphens/>
        <w:rPr>
          <w:rFonts w:eastAsia="SimSun"/>
          <w:snapToGrid/>
          <w:kern w:val="22"/>
        </w:rPr>
      </w:pPr>
      <w:r>
        <w:rPr>
          <w:rFonts w:eastAsia="SimSun"/>
          <w:snapToGrid/>
          <w:kern w:val="22"/>
        </w:rPr>
        <w:t xml:space="preserve">At its first meeting, the Committee </w:t>
      </w:r>
      <w:r w:rsidRPr="00242370">
        <w:rPr>
          <w:rFonts w:eastAsia="SimSun"/>
          <w:snapToGrid/>
          <w:kern w:val="22"/>
        </w:rPr>
        <w:t xml:space="preserve">also </w:t>
      </w:r>
      <w:r>
        <w:rPr>
          <w:rFonts w:eastAsia="SimSun"/>
          <w:snapToGrid/>
          <w:kern w:val="22"/>
        </w:rPr>
        <w:t xml:space="preserve">considered the need for and modalities of support to address challenges related to compliance with the provisions of the Protocol with a view to making effective use of the compliance mechanism as well as future work the Committee could undertake. In its report, the Committee made </w:t>
      </w:r>
      <w:proofErr w:type="gramStart"/>
      <w:r>
        <w:rPr>
          <w:rFonts w:eastAsia="SimSun"/>
          <w:snapToGrid/>
          <w:kern w:val="22"/>
        </w:rPr>
        <w:t>a number of</w:t>
      </w:r>
      <w:proofErr w:type="gramEnd"/>
      <w:r>
        <w:rPr>
          <w:rFonts w:eastAsia="SimSun"/>
          <w:snapToGrid/>
          <w:kern w:val="22"/>
        </w:rPr>
        <w:t xml:space="preserve"> recommendations to the second meeting of the Parties to the Protocol. </w:t>
      </w:r>
    </w:p>
    <w:p w:rsidR="00F4157A" w:rsidRPr="003333EA" w:rsidRDefault="00F4157A" w:rsidP="00F4157A">
      <w:pPr>
        <w:pStyle w:val="Para1"/>
        <w:numPr>
          <w:ilvl w:val="0"/>
          <w:numId w:val="2"/>
        </w:numPr>
        <w:suppressLineNumbers/>
        <w:tabs>
          <w:tab w:val="clear" w:pos="360"/>
        </w:tabs>
        <w:suppressAutoHyphens/>
        <w:rPr>
          <w:rFonts w:eastAsia="SimSun"/>
          <w:snapToGrid/>
          <w:kern w:val="22"/>
        </w:rPr>
      </w:pPr>
      <w:r>
        <w:rPr>
          <w:rFonts w:eastAsia="SimSun"/>
          <w:snapToGrid/>
          <w:kern w:val="22"/>
        </w:rPr>
        <w:t xml:space="preserve">Further to section B, paragraph 7, of the compliance procedures and mechanisms, the second meeting of the Compliance Committee </w:t>
      </w:r>
      <w:r w:rsidRPr="003333EA">
        <w:rPr>
          <w:rFonts w:eastAsia="SimSun"/>
          <w:snapToGrid/>
          <w:kern w:val="22"/>
        </w:rPr>
        <w:t xml:space="preserve">will be held </w:t>
      </w:r>
      <w:r w:rsidR="005B5386" w:rsidRPr="003333EA">
        <w:rPr>
          <w:rFonts w:eastAsia="SimSun"/>
          <w:snapToGrid/>
          <w:kern w:val="22"/>
        </w:rPr>
        <w:t>at the offices of the Secretariat of the Convention on Biological Diversity</w:t>
      </w:r>
      <w:r w:rsidR="005B5386" w:rsidRPr="003333EA">
        <w:rPr>
          <w:rFonts w:eastAsia="SimSun"/>
          <w:snapToGrid/>
          <w:kern w:val="22"/>
        </w:rPr>
        <w:t xml:space="preserve"> </w:t>
      </w:r>
      <w:r w:rsidRPr="003333EA">
        <w:rPr>
          <w:rFonts w:eastAsia="SimSun"/>
          <w:snapToGrid/>
          <w:kern w:val="22"/>
        </w:rPr>
        <w:t xml:space="preserve">from </w:t>
      </w:r>
      <w:r>
        <w:rPr>
          <w:rFonts w:eastAsia="SimSun"/>
          <w:snapToGrid/>
          <w:kern w:val="22"/>
        </w:rPr>
        <w:t>24</w:t>
      </w:r>
      <w:r w:rsidRPr="003333EA">
        <w:rPr>
          <w:rFonts w:eastAsia="SimSun"/>
          <w:snapToGrid/>
          <w:kern w:val="22"/>
        </w:rPr>
        <w:t xml:space="preserve"> to </w:t>
      </w:r>
      <w:r>
        <w:rPr>
          <w:rFonts w:eastAsia="SimSun"/>
          <w:snapToGrid/>
          <w:kern w:val="22"/>
        </w:rPr>
        <w:t>26</w:t>
      </w:r>
      <w:r w:rsidRPr="003333EA">
        <w:rPr>
          <w:rFonts w:eastAsia="SimSun"/>
          <w:snapToGrid/>
          <w:kern w:val="22"/>
        </w:rPr>
        <w:t xml:space="preserve"> April 201</w:t>
      </w:r>
      <w:r>
        <w:rPr>
          <w:rFonts w:eastAsia="SimSun"/>
          <w:snapToGrid/>
          <w:kern w:val="22"/>
        </w:rPr>
        <w:t>8</w:t>
      </w:r>
      <w:r w:rsidRPr="003333EA">
        <w:rPr>
          <w:rFonts w:eastAsia="SimSun"/>
          <w:snapToGrid/>
          <w:kern w:val="22"/>
        </w:rPr>
        <w:t xml:space="preserve">. </w:t>
      </w:r>
    </w:p>
    <w:p w:rsidR="00F4157A" w:rsidRPr="00AB0950" w:rsidRDefault="00F4157A" w:rsidP="00F4157A">
      <w:pPr>
        <w:pStyle w:val="Heading1"/>
        <w:suppressLineNumbers/>
        <w:suppressAutoHyphens/>
        <w:spacing w:before="120"/>
        <w:rPr>
          <w:kern w:val="22"/>
        </w:rPr>
      </w:pPr>
      <w:r w:rsidRPr="00AB0950">
        <w:rPr>
          <w:kern w:val="22"/>
        </w:rPr>
        <w:t>ITEM 1.</w:t>
      </w:r>
      <w:r w:rsidRPr="00AB0950">
        <w:rPr>
          <w:kern w:val="22"/>
        </w:rPr>
        <w:tab/>
        <w:t>OPENING OF THE MEETING</w:t>
      </w:r>
    </w:p>
    <w:p w:rsidR="00F4157A" w:rsidRPr="00AB0950" w:rsidRDefault="00F4157A" w:rsidP="00F4157A">
      <w:pPr>
        <w:pStyle w:val="Para1"/>
        <w:numPr>
          <w:ilvl w:val="0"/>
          <w:numId w:val="2"/>
        </w:numPr>
        <w:suppressLineNumbers/>
        <w:tabs>
          <w:tab w:val="clear" w:pos="360"/>
        </w:tabs>
        <w:suppressAutoHyphens/>
        <w:rPr>
          <w:snapToGrid/>
          <w:kern w:val="22"/>
        </w:rPr>
      </w:pPr>
      <w:r w:rsidRPr="00AB0950">
        <w:rPr>
          <w:snapToGrid/>
          <w:kern w:val="22"/>
        </w:rPr>
        <w:t xml:space="preserve">The meeting will be opened at 9.30 a.m. on </w:t>
      </w:r>
      <w:r>
        <w:rPr>
          <w:snapToGrid/>
          <w:kern w:val="22"/>
        </w:rPr>
        <w:t>Tuesday</w:t>
      </w:r>
      <w:r w:rsidRPr="00AB0950">
        <w:rPr>
          <w:snapToGrid/>
          <w:kern w:val="22"/>
        </w:rPr>
        <w:t xml:space="preserve">, </w:t>
      </w:r>
      <w:r>
        <w:rPr>
          <w:snapToGrid/>
          <w:kern w:val="22"/>
        </w:rPr>
        <w:t>24</w:t>
      </w:r>
      <w:r w:rsidRPr="00AB0950">
        <w:rPr>
          <w:snapToGrid/>
          <w:kern w:val="22"/>
        </w:rPr>
        <w:t xml:space="preserve"> April 201</w:t>
      </w:r>
      <w:r>
        <w:rPr>
          <w:snapToGrid/>
          <w:kern w:val="22"/>
        </w:rPr>
        <w:t>8</w:t>
      </w:r>
      <w:r w:rsidRPr="00AB0950">
        <w:rPr>
          <w:snapToGrid/>
          <w:kern w:val="22"/>
        </w:rPr>
        <w:t>.</w:t>
      </w:r>
    </w:p>
    <w:p w:rsidR="00F4157A" w:rsidRPr="00AB0950" w:rsidRDefault="00F4157A" w:rsidP="00F4157A">
      <w:pPr>
        <w:pStyle w:val="Heading1"/>
        <w:suppressLineNumbers/>
        <w:suppressAutoHyphens/>
        <w:spacing w:before="120"/>
        <w:rPr>
          <w:kern w:val="22"/>
        </w:rPr>
      </w:pPr>
      <w:r w:rsidRPr="00EE57F2">
        <w:rPr>
          <w:kern w:val="22"/>
        </w:rPr>
        <w:t>ITEM 2.</w:t>
      </w:r>
      <w:r w:rsidRPr="00EE57F2">
        <w:rPr>
          <w:kern w:val="22"/>
        </w:rPr>
        <w:tab/>
        <w:t>ORGANIZATIONAL MATTERS</w:t>
      </w:r>
    </w:p>
    <w:p w:rsidR="00F4157A" w:rsidRPr="00AB0950" w:rsidRDefault="00F4157A" w:rsidP="00F4157A">
      <w:pPr>
        <w:pStyle w:val="Para1"/>
        <w:keepNext/>
        <w:numPr>
          <w:ilvl w:val="0"/>
          <w:numId w:val="0"/>
        </w:numPr>
        <w:suppressLineNumbers/>
        <w:suppressAutoHyphens/>
        <w:jc w:val="center"/>
        <w:rPr>
          <w:b/>
          <w:i/>
          <w:snapToGrid/>
          <w:kern w:val="22"/>
        </w:rPr>
      </w:pPr>
      <w:r w:rsidRPr="00AB0950">
        <w:rPr>
          <w:b/>
          <w:snapToGrid/>
          <w:kern w:val="22"/>
        </w:rPr>
        <w:t>2.1.</w:t>
      </w:r>
      <w:r w:rsidRPr="00AB0950">
        <w:rPr>
          <w:b/>
          <w:snapToGrid/>
          <w:kern w:val="22"/>
        </w:rPr>
        <w:tab/>
      </w:r>
      <w:r w:rsidRPr="00AB0950">
        <w:rPr>
          <w:b/>
          <w:iCs/>
          <w:snapToGrid/>
          <w:kern w:val="22"/>
        </w:rPr>
        <w:t>Election of officers</w:t>
      </w:r>
    </w:p>
    <w:p w:rsidR="00F4157A" w:rsidRDefault="00F4157A" w:rsidP="00F4157A">
      <w:pPr>
        <w:pStyle w:val="Para1"/>
        <w:numPr>
          <w:ilvl w:val="0"/>
          <w:numId w:val="2"/>
        </w:numPr>
        <w:suppressLineNumbers/>
        <w:tabs>
          <w:tab w:val="clear" w:pos="360"/>
        </w:tabs>
        <w:suppressAutoHyphens/>
        <w:rPr>
          <w:snapToGrid/>
          <w:kern w:val="22"/>
        </w:rPr>
      </w:pPr>
      <w:r w:rsidRPr="00AB0950">
        <w:rPr>
          <w:snapToGrid/>
          <w:kern w:val="22"/>
        </w:rPr>
        <w:t>Section B, paragraph 9, of the compliance procedures and mechanisms (annex to decision NP</w:t>
      </w:r>
      <w:r w:rsidRPr="00AB0950">
        <w:rPr>
          <w:snapToGrid/>
          <w:kern w:val="22"/>
        </w:rPr>
        <w:noBreakHyphen/>
        <w:t>1/4) provides that the Committee shall elect a Chair and a Vice-Chair who will rotate among the five regional groups of the United Nations.</w:t>
      </w:r>
    </w:p>
    <w:p w:rsidR="00F4157A" w:rsidRDefault="00F4157A" w:rsidP="00F4157A">
      <w:pPr>
        <w:pStyle w:val="Para1"/>
        <w:numPr>
          <w:ilvl w:val="0"/>
          <w:numId w:val="2"/>
        </w:numPr>
        <w:suppressLineNumbers/>
        <w:tabs>
          <w:tab w:val="clear" w:pos="360"/>
        </w:tabs>
        <w:suppressAutoHyphens/>
        <w:rPr>
          <w:snapToGrid/>
          <w:kern w:val="22"/>
        </w:rPr>
      </w:pPr>
      <w:r>
        <w:rPr>
          <w:snapToGrid/>
          <w:kern w:val="22"/>
        </w:rPr>
        <w:t>Rule 12 of the rules of procedure for the Committee (annex to decision NP-2/3) provides that the Chair and Vice-Chair shall be elected for a period of two years and no officer shall serve for more than two consecutive terms.</w:t>
      </w:r>
    </w:p>
    <w:p w:rsidR="00F4157A" w:rsidRDefault="00F4157A" w:rsidP="00F4157A">
      <w:pPr>
        <w:pStyle w:val="Para1"/>
        <w:numPr>
          <w:ilvl w:val="0"/>
          <w:numId w:val="2"/>
        </w:numPr>
        <w:suppressLineNumbers/>
        <w:tabs>
          <w:tab w:val="clear" w:pos="360"/>
        </w:tabs>
        <w:suppressAutoHyphens/>
        <w:rPr>
          <w:snapToGrid/>
          <w:kern w:val="22"/>
        </w:rPr>
      </w:pPr>
      <w:r w:rsidRPr="00AB0950">
        <w:rPr>
          <w:snapToGrid/>
          <w:kern w:val="22"/>
        </w:rPr>
        <w:t>Accordingly, the members of the Compliance Committee will be invited to elect a Chair and a Vice-Chair.</w:t>
      </w:r>
    </w:p>
    <w:p w:rsidR="00F4157A" w:rsidRPr="00AB0950" w:rsidRDefault="00F4157A" w:rsidP="00F4157A">
      <w:pPr>
        <w:pStyle w:val="Para1"/>
        <w:keepNext/>
        <w:numPr>
          <w:ilvl w:val="0"/>
          <w:numId w:val="0"/>
        </w:numPr>
        <w:suppressLineNumbers/>
        <w:suppressAutoHyphens/>
        <w:jc w:val="center"/>
        <w:rPr>
          <w:b/>
          <w:iCs/>
          <w:snapToGrid/>
          <w:kern w:val="22"/>
        </w:rPr>
      </w:pPr>
      <w:r w:rsidRPr="00AB0950">
        <w:rPr>
          <w:b/>
          <w:iCs/>
          <w:snapToGrid/>
          <w:kern w:val="22"/>
        </w:rPr>
        <w:t>2.2.</w:t>
      </w:r>
      <w:r w:rsidR="00633D67">
        <w:rPr>
          <w:iCs/>
          <w:snapToGrid/>
          <w:kern w:val="22"/>
        </w:rPr>
        <w:tab/>
      </w:r>
      <w:r w:rsidRPr="00AB0950">
        <w:rPr>
          <w:b/>
          <w:iCs/>
          <w:snapToGrid/>
          <w:kern w:val="22"/>
        </w:rPr>
        <w:t>Adoption of the agenda</w:t>
      </w:r>
    </w:p>
    <w:p w:rsidR="00F4157A" w:rsidRDefault="00F4157A" w:rsidP="00F4157A">
      <w:pPr>
        <w:pStyle w:val="Para1"/>
        <w:numPr>
          <w:ilvl w:val="0"/>
          <w:numId w:val="2"/>
        </w:numPr>
        <w:suppressLineNumbers/>
        <w:tabs>
          <w:tab w:val="clear" w:pos="360"/>
        </w:tabs>
        <w:suppressAutoHyphens/>
        <w:rPr>
          <w:snapToGrid/>
          <w:kern w:val="22"/>
        </w:rPr>
      </w:pPr>
      <w:r>
        <w:rPr>
          <w:snapToGrid/>
          <w:kern w:val="22"/>
        </w:rPr>
        <w:t xml:space="preserve">The agenda for this meeting has been developed </w:t>
      </w:r>
      <w:proofErr w:type="gramStart"/>
      <w:r>
        <w:rPr>
          <w:snapToGrid/>
          <w:kern w:val="22"/>
        </w:rPr>
        <w:t>on the basis of</w:t>
      </w:r>
      <w:proofErr w:type="gramEnd"/>
      <w:r>
        <w:rPr>
          <w:snapToGrid/>
          <w:kern w:val="22"/>
        </w:rPr>
        <w:t xml:space="preserve"> the Committee’s deliberations as its first meeting</w:t>
      </w:r>
      <w:r w:rsidRPr="000B2BF0">
        <w:rPr>
          <w:rStyle w:val="FootnoteReference"/>
          <w:rFonts w:eastAsiaTheme="majorEastAsia"/>
          <w:snapToGrid/>
          <w:kern w:val="22"/>
          <w:u w:val="none"/>
          <w:vertAlign w:val="superscript"/>
        </w:rPr>
        <w:footnoteReference w:id="1"/>
      </w:r>
      <w:r>
        <w:rPr>
          <w:snapToGrid/>
          <w:kern w:val="22"/>
        </w:rPr>
        <w:t xml:space="preserve"> as well as requests to the Committee made in decisions from the second meeting of the Parties to the Protocol.</w:t>
      </w:r>
    </w:p>
    <w:p w:rsidR="00F4157A" w:rsidRPr="00AB0950" w:rsidRDefault="00F4157A" w:rsidP="00F4157A">
      <w:pPr>
        <w:pStyle w:val="Para1"/>
        <w:numPr>
          <w:ilvl w:val="0"/>
          <w:numId w:val="2"/>
        </w:numPr>
        <w:suppressLineNumbers/>
        <w:tabs>
          <w:tab w:val="clear" w:pos="360"/>
        </w:tabs>
        <w:suppressAutoHyphens/>
        <w:rPr>
          <w:snapToGrid/>
          <w:kern w:val="22"/>
        </w:rPr>
      </w:pPr>
      <w:r w:rsidRPr="00AB0950">
        <w:rPr>
          <w:snapToGrid/>
          <w:kern w:val="22"/>
        </w:rPr>
        <w:t xml:space="preserve">The Committee may wish to adopt its agenda </w:t>
      </w:r>
      <w:proofErr w:type="gramStart"/>
      <w:r w:rsidRPr="00AB0950">
        <w:rPr>
          <w:snapToGrid/>
          <w:kern w:val="22"/>
        </w:rPr>
        <w:t>on the basis of</w:t>
      </w:r>
      <w:proofErr w:type="gramEnd"/>
      <w:r w:rsidRPr="00AB0950">
        <w:rPr>
          <w:snapToGrid/>
          <w:kern w:val="22"/>
        </w:rPr>
        <w:t xml:space="preserve"> the provisional agenda proposed by the Executive Secretary (CBD/ABS/CC/</w:t>
      </w:r>
      <w:r>
        <w:rPr>
          <w:snapToGrid/>
          <w:kern w:val="22"/>
        </w:rPr>
        <w:t>2</w:t>
      </w:r>
      <w:r w:rsidRPr="00AB0950">
        <w:rPr>
          <w:snapToGrid/>
          <w:kern w:val="22"/>
        </w:rPr>
        <w:t>/1).</w:t>
      </w:r>
    </w:p>
    <w:p w:rsidR="00F4157A" w:rsidRPr="00AB0950" w:rsidRDefault="00F4157A" w:rsidP="00F4157A">
      <w:pPr>
        <w:pStyle w:val="headingoneline"/>
        <w:suppressLineNumbers/>
        <w:suppressAutoHyphens/>
        <w:rPr>
          <w:i w:val="0"/>
          <w:kern w:val="22"/>
        </w:rPr>
      </w:pPr>
      <w:r w:rsidRPr="00AB0950">
        <w:rPr>
          <w:i w:val="0"/>
          <w:kern w:val="22"/>
        </w:rPr>
        <w:t>2.3.</w:t>
      </w:r>
      <w:r w:rsidRPr="00AB0950">
        <w:rPr>
          <w:i w:val="0"/>
          <w:kern w:val="22"/>
        </w:rPr>
        <w:tab/>
        <w:t>Organization of work</w:t>
      </w:r>
    </w:p>
    <w:p w:rsidR="00F4157A" w:rsidRPr="00AB0950" w:rsidRDefault="00F4157A" w:rsidP="00F4157A">
      <w:pPr>
        <w:pStyle w:val="Para1"/>
        <w:numPr>
          <w:ilvl w:val="0"/>
          <w:numId w:val="2"/>
        </w:numPr>
        <w:suppressLineNumbers/>
        <w:tabs>
          <w:tab w:val="clear" w:pos="360"/>
        </w:tabs>
        <w:suppressAutoHyphens/>
        <w:rPr>
          <w:snapToGrid/>
          <w:kern w:val="22"/>
        </w:rPr>
      </w:pPr>
      <w:r w:rsidRPr="00AB0950">
        <w:rPr>
          <w:snapToGrid/>
          <w:kern w:val="22"/>
        </w:rPr>
        <w:t>The Committee may wish to consider the proposed organization of work as contained in annex I below. The language of the meeting will be English.</w:t>
      </w:r>
    </w:p>
    <w:p w:rsidR="00F4157A" w:rsidRPr="00AB0950" w:rsidRDefault="00F4157A" w:rsidP="00F4157A">
      <w:pPr>
        <w:pStyle w:val="Para1"/>
        <w:numPr>
          <w:ilvl w:val="0"/>
          <w:numId w:val="2"/>
        </w:numPr>
        <w:tabs>
          <w:tab w:val="clear" w:pos="360"/>
        </w:tabs>
        <w:rPr>
          <w:snapToGrid/>
        </w:rPr>
      </w:pPr>
      <w:r w:rsidRPr="00AB0950">
        <w:rPr>
          <w:snapToGrid/>
        </w:rPr>
        <w:t xml:space="preserve">A list of documents for the meeting is contained in annex II below. The documents will be made available on the Secretariat’s website at </w:t>
      </w:r>
      <w:hyperlink r:id="rId12" w:history="1">
        <w:r w:rsidRPr="0077690E">
          <w:rPr>
            <w:rStyle w:val="Hyperlink"/>
            <w:snapToGrid/>
            <w:kern w:val="22"/>
          </w:rPr>
          <w:t>https://www.cbd.int/meetings/ABSCC-02</w:t>
        </w:r>
      </w:hyperlink>
      <w:r w:rsidRPr="00AB0950">
        <w:rPr>
          <w:snapToGrid/>
        </w:rPr>
        <w:t>.</w:t>
      </w:r>
    </w:p>
    <w:p w:rsidR="00F4157A" w:rsidRPr="00AB0950" w:rsidRDefault="00F4157A" w:rsidP="00F4157A">
      <w:pPr>
        <w:pStyle w:val="Para1"/>
        <w:numPr>
          <w:ilvl w:val="0"/>
          <w:numId w:val="2"/>
        </w:numPr>
        <w:suppressLineNumbers/>
        <w:tabs>
          <w:tab w:val="clear" w:pos="360"/>
        </w:tabs>
        <w:suppressAutoHyphens/>
        <w:rPr>
          <w:snapToGrid/>
          <w:kern w:val="22"/>
        </w:rPr>
      </w:pPr>
      <w:r w:rsidRPr="00AB0950">
        <w:rPr>
          <w:snapToGrid/>
          <w:kern w:val="22"/>
        </w:rPr>
        <w:t>An information note has been made available containing details of logistical arrangements for the meeting, including information on travel, visa requirements, accommodation and other similar matters.</w:t>
      </w:r>
    </w:p>
    <w:p w:rsidR="00F4157A" w:rsidRPr="00AB0950" w:rsidRDefault="00F4157A" w:rsidP="00904A96">
      <w:pPr>
        <w:pStyle w:val="Heading1"/>
        <w:suppressLineNumbers/>
        <w:suppressAutoHyphens/>
        <w:spacing w:before="120"/>
        <w:ind w:left="1800" w:hanging="1080"/>
        <w:jc w:val="left"/>
        <w:rPr>
          <w:kern w:val="22"/>
        </w:rPr>
      </w:pPr>
      <w:r w:rsidRPr="00AB0950">
        <w:rPr>
          <w:kern w:val="22"/>
        </w:rPr>
        <w:t>ITEM 3.</w:t>
      </w:r>
      <w:r w:rsidRPr="00AB0950">
        <w:rPr>
          <w:kern w:val="22"/>
        </w:rPr>
        <w:tab/>
      </w:r>
      <w:r>
        <w:rPr>
          <w:bCs/>
          <w:snapToGrid w:val="0"/>
          <w:kern w:val="22"/>
          <w:szCs w:val="22"/>
        </w:rPr>
        <w:t>Review of the outcomes of the second meeting of the Parties to the Nagoya Protocol regarding items relevant to compliance</w:t>
      </w:r>
    </w:p>
    <w:p w:rsidR="00F4157A" w:rsidRPr="00AB0950" w:rsidRDefault="00F4157A" w:rsidP="00F4157A">
      <w:pPr>
        <w:pStyle w:val="Para1"/>
        <w:numPr>
          <w:ilvl w:val="0"/>
          <w:numId w:val="2"/>
        </w:numPr>
        <w:suppressLineNumbers/>
        <w:tabs>
          <w:tab w:val="clear" w:pos="360"/>
        </w:tabs>
        <w:suppressAutoHyphens/>
        <w:rPr>
          <w:snapToGrid/>
          <w:kern w:val="22"/>
        </w:rPr>
      </w:pPr>
      <w:r>
        <w:rPr>
          <w:snapToGrid/>
          <w:kern w:val="22"/>
        </w:rPr>
        <w:t xml:space="preserve">At its first meeting, the Compliance Committee made </w:t>
      </w:r>
      <w:proofErr w:type="gramStart"/>
      <w:r>
        <w:rPr>
          <w:snapToGrid/>
          <w:kern w:val="22"/>
        </w:rPr>
        <w:t>a number of</w:t>
      </w:r>
      <w:proofErr w:type="gramEnd"/>
      <w:r>
        <w:rPr>
          <w:snapToGrid/>
          <w:kern w:val="22"/>
        </w:rPr>
        <w:t xml:space="preserve"> recommendations to the Conference of the Parties serving as the meeting of the Parties to the Nagoya Protocol for consideration at its second meeting.</w:t>
      </w:r>
    </w:p>
    <w:p w:rsidR="00F4157A" w:rsidRDefault="00F4157A" w:rsidP="00F4157A">
      <w:pPr>
        <w:pStyle w:val="Para1"/>
        <w:numPr>
          <w:ilvl w:val="0"/>
          <w:numId w:val="2"/>
        </w:numPr>
        <w:suppressLineNumbers/>
        <w:tabs>
          <w:tab w:val="clear" w:pos="360"/>
        </w:tabs>
        <w:suppressAutoHyphens/>
        <w:rPr>
          <w:snapToGrid/>
          <w:kern w:val="22"/>
        </w:rPr>
      </w:pPr>
      <w:r>
        <w:rPr>
          <w:snapToGrid/>
          <w:kern w:val="22"/>
        </w:rPr>
        <w:t xml:space="preserve">Under this item, the Committee will have before it document CBD/ABS/CC/2/2 presenting a review of the outcomes of the second meeting of the Parties to the Protocol regarding items relevant to compliance. This includes a review of decisions by the meeting of the Parties that </w:t>
      </w:r>
      <w:proofErr w:type="gramStart"/>
      <w:r>
        <w:rPr>
          <w:snapToGrid/>
          <w:kern w:val="22"/>
        </w:rPr>
        <w:t>take into account</w:t>
      </w:r>
      <w:proofErr w:type="gramEnd"/>
      <w:r>
        <w:rPr>
          <w:snapToGrid/>
          <w:kern w:val="22"/>
        </w:rPr>
        <w:t xml:space="preserve"> the recommendations of the Committee as well as other relevant decisions taken by the second meeting of the Parties. </w:t>
      </w:r>
    </w:p>
    <w:p w:rsidR="00F4157A" w:rsidRPr="00AB0950" w:rsidRDefault="00F4157A" w:rsidP="00F4157A">
      <w:pPr>
        <w:pStyle w:val="Para1"/>
        <w:numPr>
          <w:ilvl w:val="0"/>
          <w:numId w:val="2"/>
        </w:numPr>
        <w:suppressLineNumbers/>
        <w:tabs>
          <w:tab w:val="clear" w:pos="360"/>
        </w:tabs>
        <w:suppressAutoHyphens/>
        <w:rPr>
          <w:snapToGrid/>
          <w:kern w:val="22"/>
        </w:rPr>
      </w:pPr>
      <w:r>
        <w:rPr>
          <w:snapToGrid/>
          <w:kern w:val="22"/>
        </w:rPr>
        <w:t xml:space="preserve">The Committee may wish to reflect upon the decisions adopted at the second meeting of the Parties and how the recommendations of the Compliance Committee were considered by the meeting of the Parties. </w:t>
      </w:r>
    </w:p>
    <w:p w:rsidR="00F4157A" w:rsidRPr="00AB0950" w:rsidRDefault="00F4157A" w:rsidP="00F4157A">
      <w:pPr>
        <w:pStyle w:val="Heading1"/>
        <w:suppressLineNumbers/>
        <w:suppressAutoHyphens/>
        <w:spacing w:before="120"/>
        <w:ind w:left="2160" w:hanging="1440"/>
        <w:jc w:val="left"/>
        <w:rPr>
          <w:kern w:val="22"/>
        </w:rPr>
      </w:pPr>
      <w:r w:rsidRPr="00AB0950">
        <w:rPr>
          <w:kern w:val="22"/>
        </w:rPr>
        <w:t>ITEM 4.</w:t>
      </w:r>
      <w:r w:rsidRPr="00AB0950">
        <w:rPr>
          <w:kern w:val="22"/>
        </w:rPr>
        <w:tab/>
      </w:r>
      <w:r>
        <w:rPr>
          <w:kern w:val="22"/>
        </w:rPr>
        <w:t>Assessment and review and general issues of compliance</w:t>
      </w:r>
    </w:p>
    <w:p w:rsidR="00F4157A" w:rsidRDefault="00F4157A" w:rsidP="00F4157A">
      <w:pPr>
        <w:pStyle w:val="Para1"/>
        <w:numPr>
          <w:ilvl w:val="0"/>
          <w:numId w:val="2"/>
        </w:numPr>
        <w:suppressLineNumbers/>
        <w:tabs>
          <w:tab w:val="clear" w:pos="360"/>
        </w:tabs>
        <w:suppressAutoHyphens/>
        <w:rPr>
          <w:snapToGrid/>
          <w:kern w:val="22"/>
        </w:rPr>
      </w:pPr>
      <w:r>
        <w:rPr>
          <w:snapToGrid/>
          <w:kern w:val="22"/>
        </w:rPr>
        <w:t>Article 31 of the Nagoya Protocol addresses ‘assessment and review’ and provides that the meeting of the Parties to the Protocol shall undertake an evaluation of the effectiveness of the Protocol four years after its entry into force. In decision NP-2/4, the meeting of the Parties decided on the process for the first assessment and review of the Protocol and the elements to be included in the first assessment and review. As part of this, it requested the Compliance Committee to provide inputs in the form of information and findings on general issues of compliance and recommendations to assist in addressing challenges to the implementation of the Protocol (para</w:t>
      </w:r>
      <w:r w:rsidR="00904A96">
        <w:rPr>
          <w:snapToGrid/>
          <w:kern w:val="22"/>
        </w:rPr>
        <w:t>.</w:t>
      </w:r>
      <w:r>
        <w:rPr>
          <w:snapToGrid/>
          <w:kern w:val="22"/>
        </w:rPr>
        <w:t xml:space="preserve"> 5).</w:t>
      </w:r>
    </w:p>
    <w:p w:rsidR="00F4157A" w:rsidRDefault="00F4157A" w:rsidP="00F4157A">
      <w:pPr>
        <w:pStyle w:val="Para1"/>
        <w:numPr>
          <w:ilvl w:val="0"/>
          <w:numId w:val="2"/>
        </w:numPr>
        <w:suppressLineNumbers/>
        <w:tabs>
          <w:tab w:val="clear" w:pos="360"/>
        </w:tabs>
        <w:suppressAutoHyphens/>
        <w:rPr>
          <w:snapToGrid/>
          <w:kern w:val="22"/>
        </w:rPr>
      </w:pPr>
      <w:r>
        <w:rPr>
          <w:snapToGrid/>
          <w:kern w:val="22"/>
        </w:rPr>
        <w:t xml:space="preserve">To assist in this task, the Compliance Committee will have before it document CBD/ABS/CC/2/3, which will present </w:t>
      </w:r>
      <w:r w:rsidRPr="002327FA">
        <w:rPr>
          <w:snapToGrid/>
          <w:kern w:val="22"/>
        </w:rPr>
        <w:t xml:space="preserve">information on general issues of compliance </w:t>
      </w:r>
      <w:r>
        <w:rPr>
          <w:snapToGrid/>
          <w:kern w:val="22"/>
        </w:rPr>
        <w:t>based on information gathered from the interim national reports and the ABS Clearing-House. Information documents containing: (a) an analysis of information contained in the interim national reports and information published in the Access and Benefit-sharing Clearing-House, and (b) a statistical overview of the answers provided in the interim national reports will also be made available.</w:t>
      </w:r>
    </w:p>
    <w:p w:rsidR="00F4157A" w:rsidRPr="002327FA" w:rsidRDefault="00F4157A" w:rsidP="00F4157A">
      <w:pPr>
        <w:pStyle w:val="Para1"/>
        <w:numPr>
          <w:ilvl w:val="0"/>
          <w:numId w:val="2"/>
        </w:numPr>
        <w:suppressLineNumbers/>
        <w:tabs>
          <w:tab w:val="clear" w:pos="360"/>
        </w:tabs>
        <w:suppressAutoHyphens/>
        <w:rPr>
          <w:snapToGrid/>
          <w:kern w:val="22"/>
        </w:rPr>
      </w:pPr>
      <w:r w:rsidRPr="002327FA">
        <w:rPr>
          <w:snapToGrid/>
          <w:kern w:val="22"/>
        </w:rPr>
        <w:t xml:space="preserve">The Committee will be invited to consider document CBD/ABS/CC/2/3 and provide inputs to the assessment and review, which will be </w:t>
      </w:r>
      <w:proofErr w:type="gramStart"/>
      <w:r w:rsidRPr="002327FA">
        <w:rPr>
          <w:snapToGrid/>
          <w:kern w:val="22"/>
        </w:rPr>
        <w:t>taken into account</w:t>
      </w:r>
      <w:proofErr w:type="gramEnd"/>
      <w:r w:rsidRPr="002327FA">
        <w:rPr>
          <w:snapToGrid/>
          <w:kern w:val="22"/>
        </w:rPr>
        <w:t xml:space="preserve"> by the second meeting of the Subsidiary Body on Implementation. The Committee may also wish to make recommendations to the third meeting of the Parties to the Protocol.  </w:t>
      </w:r>
    </w:p>
    <w:p w:rsidR="00F4157A" w:rsidRDefault="00F4157A" w:rsidP="00F4157A">
      <w:pPr>
        <w:pStyle w:val="Para1"/>
        <w:numPr>
          <w:ilvl w:val="0"/>
          <w:numId w:val="2"/>
        </w:numPr>
        <w:suppressLineNumbers/>
        <w:tabs>
          <w:tab w:val="clear" w:pos="360"/>
        </w:tabs>
        <w:suppressAutoHyphens/>
        <w:rPr>
          <w:snapToGrid/>
          <w:kern w:val="22"/>
        </w:rPr>
      </w:pPr>
      <w:r>
        <w:rPr>
          <w:snapToGrid/>
          <w:kern w:val="22"/>
        </w:rPr>
        <w:t xml:space="preserve">It may also be recalled that, as requested in decision XIII/1 of the Conference of the Parties to the Convention, the Executive Secretary is preparing a proposal for a comprehensive and participatory preparatory process and timetable for the follow-up to the Strategic Plan for Biodiversity 2011-2020, taking into consideration that this work is to cover the Convention </w:t>
      </w:r>
      <w:proofErr w:type="gramStart"/>
      <w:r>
        <w:rPr>
          <w:snapToGrid/>
          <w:kern w:val="22"/>
        </w:rPr>
        <w:t>and also</w:t>
      </w:r>
      <w:proofErr w:type="gramEnd"/>
      <w:r>
        <w:rPr>
          <w:snapToGrid/>
          <w:kern w:val="22"/>
        </w:rPr>
        <w:t xml:space="preserve"> consider its Protocols, as appropriate.</w:t>
      </w:r>
    </w:p>
    <w:p w:rsidR="00F4157A" w:rsidRDefault="00F4157A" w:rsidP="00F4157A">
      <w:pPr>
        <w:pStyle w:val="Para1"/>
        <w:numPr>
          <w:ilvl w:val="0"/>
          <w:numId w:val="2"/>
        </w:numPr>
        <w:suppressLineNumbers/>
        <w:tabs>
          <w:tab w:val="clear" w:pos="360"/>
        </w:tabs>
        <w:suppressAutoHyphens/>
        <w:rPr>
          <w:snapToGrid/>
          <w:kern w:val="22"/>
        </w:rPr>
      </w:pPr>
      <w:r>
        <w:rPr>
          <w:snapToGrid/>
          <w:kern w:val="22"/>
        </w:rPr>
        <w:t>The Committee may wish to consider how its findings on general issues of compliance and recommendations to assist in addressing challenges to the implementation of the Protocol may be relevant to the development of the post-2020 Biodiversity Framework. It may also consider what role it could play in the process for the development of the post-2020 Biodiversity Framework.</w:t>
      </w:r>
    </w:p>
    <w:p w:rsidR="00F4157A" w:rsidRPr="00AB0950" w:rsidRDefault="00F4157A" w:rsidP="00F4157A">
      <w:pPr>
        <w:pStyle w:val="Heading1longmultiline"/>
        <w:suppressLineNumbers/>
        <w:tabs>
          <w:tab w:val="clear" w:pos="720"/>
        </w:tabs>
        <w:suppressAutoHyphens/>
        <w:spacing w:before="120"/>
        <w:ind w:left="0" w:firstLine="0"/>
        <w:jc w:val="center"/>
        <w:rPr>
          <w:kern w:val="22"/>
        </w:rPr>
      </w:pPr>
      <w:r w:rsidRPr="00AB0950">
        <w:rPr>
          <w:kern w:val="22"/>
        </w:rPr>
        <w:t xml:space="preserve">ITEM </w:t>
      </w:r>
      <w:r>
        <w:rPr>
          <w:kern w:val="22"/>
        </w:rPr>
        <w:t>5</w:t>
      </w:r>
      <w:r w:rsidRPr="00AB0950">
        <w:rPr>
          <w:kern w:val="22"/>
        </w:rPr>
        <w:t>.</w:t>
      </w:r>
      <w:r w:rsidRPr="00AB0950">
        <w:rPr>
          <w:kern w:val="22"/>
        </w:rPr>
        <w:tab/>
        <w:t>OTHER MATTERS</w:t>
      </w:r>
    </w:p>
    <w:p w:rsidR="00F4157A" w:rsidRPr="00AB0950" w:rsidRDefault="00F4157A" w:rsidP="00F4157A">
      <w:pPr>
        <w:pStyle w:val="Para1"/>
        <w:numPr>
          <w:ilvl w:val="0"/>
          <w:numId w:val="2"/>
        </w:numPr>
        <w:suppressLineNumbers/>
        <w:tabs>
          <w:tab w:val="clear" w:pos="360"/>
        </w:tabs>
        <w:suppressAutoHyphens/>
        <w:rPr>
          <w:snapToGrid/>
          <w:kern w:val="22"/>
        </w:rPr>
      </w:pPr>
      <w:r w:rsidRPr="00AB0950">
        <w:rPr>
          <w:snapToGrid/>
          <w:kern w:val="22"/>
        </w:rPr>
        <w:t>Under this item, members of the Compliance Committee may wish to raise and discuss any other matters of relevance to the Committee.</w:t>
      </w:r>
    </w:p>
    <w:p w:rsidR="00F4157A" w:rsidRPr="00AB0950" w:rsidRDefault="00F4157A" w:rsidP="00F4157A">
      <w:pPr>
        <w:pStyle w:val="Heading1"/>
        <w:suppressLineNumbers/>
        <w:suppressAutoHyphens/>
        <w:spacing w:before="120"/>
        <w:rPr>
          <w:kern w:val="22"/>
        </w:rPr>
      </w:pPr>
      <w:r w:rsidRPr="00AB0950">
        <w:rPr>
          <w:kern w:val="22"/>
        </w:rPr>
        <w:t xml:space="preserve">ITEM </w:t>
      </w:r>
      <w:r>
        <w:rPr>
          <w:kern w:val="22"/>
        </w:rPr>
        <w:t>6</w:t>
      </w:r>
      <w:r w:rsidRPr="00AB0950">
        <w:rPr>
          <w:kern w:val="22"/>
        </w:rPr>
        <w:t>.</w:t>
      </w:r>
      <w:r w:rsidRPr="00AB0950">
        <w:rPr>
          <w:kern w:val="22"/>
        </w:rPr>
        <w:tab/>
        <w:t>ADOPTION OF THE REPORT</w:t>
      </w:r>
    </w:p>
    <w:p w:rsidR="00F4157A" w:rsidRPr="00AB0950" w:rsidRDefault="00F4157A" w:rsidP="00F4157A">
      <w:pPr>
        <w:pStyle w:val="Para1"/>
        <w:numPr>
          <w:ilvl w:val="0"/>
          <w:numId w:val="2"/>
        </w:numPr>
        <w:suppressLineNumbers/>
        <w:tabs>
          <w:tab w:val="clear" w:pos="360"/>
        </w:tabs>
        <w:suppressAutoHyphens/>
        <w:rPr>
          <w:snapToGrid/>
          <w:kern w:val="22"/>
        </w:rPr>
      </w:pPr>
      <w:r w:rsidRPr="00AB0950">
        <w:rPr>
          <w:snapToGrid/>
          <w:kern w:val="22"/>
        </w:rPr>
        <w:t>The Committee will consider and adopt the report o</w:t>
      </w:r>
      <w:r>
        <w:rPr>
          <w:snapToGrid/>
          <w:kern w:val="22"/>
        </w:rPr>
        <w:t>f</w:t>
      </w:r>
      <w:r w:rsidRPr="00AB0950">
        <w:rPr>
          <w:snapToGrid/>
          <w:kern w:val="22"/>
        </w:rPr>
        <w:t xml:space="preserve"> the meeting, which will be submitted to the Conference of the Parties serving as the meeting of the Parties to the Nagoya Protocol at its </w:t>
      </w:r>
      <w:r>
        <w:rPr>
          <w:snapToGrid/>
          <w:kern w:val="22"/>
        </w:rPr>
        <w:t>third</w:t>
      </w:r>
      <w:r w:rsidRPr="00AB0950">
        <w:rPr>
          <w:snapToGrid/>
          <w:kern w:val="22"/>
        </w:rPr>
        <w:t xml:space="preserve"> meeting for its consideration.</w:t>
      </w:r>
    </w:p>
    <w:p w:rsidR="00F4157A" w:rsidRPr="00AB0950" w:rsidRDefault="00F4157A" w:rsidP="00F4157A">
      <w:pPr>
        <w:pStyle w:val="Heading1"/>
        <w:suppressLineNumbers/>
        <w:suppressAutoHyphens/>
        <w:spacing w:before="120"/>
        <w:rPr>
          <w:kern w:val="22"/>
        </w:rPr>
      </w:pPr>
      <w:r w:rsidRPr="00AB0950">
        <w:rPr>
          <w:kern w:val="22"/>
        </w:rPr>
        <w:t xml:space="preserve">ITEM </w:t>
      </w:r>
      <w:r>
        <w:rPr>
          <w:kern w:val="22"/>
        </w:rPr>
        <w:t>7</w:t>
      </w:r>
      <w:r w:rsidRPr="00AB0950">
        <w:rPr>
          <w:kern w:val="22"/>
        </w:rPr>
        <w:t>.</w:t>
      </w:r>
      <w:r w:rsidRPr="00AB0950">
        <w:rPr>
          <w:kern w:val="22"/>
        </w:rPr>
        <w:tab/>
        <w:t>CLOSURE OF the MEETING</w:t>
      </w:r>
    </w:p>
    <w:p w:rsidR="00F4157A" w:rsidRPr="001270B9" w:rsidRDefault="00F4157A" w:rsidP="00F4157A">
      <w:pPr>
        <w:pStyle w:val="Para1"/>
        <w:numPr>
          <w:ilvl w:val="0"/>
          <w:numId w:val="2"/>
        </w:numPr>
        <w:suppressLineNumbers/>
        <w:tabs>
          <w:tab w:val="clear" w:pos="360"/>
        </w:tabs>
        <w:suppressAutoHyphens/>
        <w:rPr>
          <w:snapToGrid/>
          <w:kern w:val="22"/>
        </w:rPr>
      </w:pPr>
      <w:r w:rsidRPr="00AB0950">
        <w:rPr>
          <w:snapToGrid/>
          <w:kern w:val="22"/>
        </w:rPr>
        <w:t xml:space="preserve">The </w:t>
      </w:r>
      <w:r>
        <w:rPr>
          <w:snapToGrid/>
          <w:kern w:val="22"/>
        </w:rPr>
        <w:t>second</w:t>
      </w:r>
      <w:r w:rsidRPr="00AB0950">
        <w:rPr>
          <w:snapToGrid/>
          <w:kern w:val="22"/>
        </w:rPr>
        <w:t xml:space="preserve"> meeting of the Compliance Committee is expected to close at 5 p.m. on </w:t>
      </w:r>
      <w:r>
        <w:rPr>
          <w:snapToGrid/>
          <w:kern w:val="22"/>
        </w:rPr>
        <w:t>Thursday</w:t>
      </w:r>
      <w:r w:rsidRPr="00AB0950">
        <w:rPr>
          <w:snapToGrid/>
          <w:kern w:val="22"/>
        </w:rPr>
        <w:t xml:space="preserve">, </w:t>
      </w:r>
      <w:r>
        <w:rPr>
          <w:snapToGrid/>
          <w:kern w:val="22"/>
        </w:rPr>
        <w:t>26</w:t>
      </w:r>
      <w:r w:rsidRPr="00AB0950">
        <w:rPr>
          <w:snapToGrid/>
          <w:kern w:val="22"/>
        </w:rPr>
        <w:t> April 201</w:t>
      </w:r>
      <w:r>
        <w:rPr>
          <w:snapToGrid/>
          <w:kern w:val="22"/>
        </w:rPr>
        <w:t>8</w:t>
      </w:r>
      <w:r w:rsidRPr="00AB0950">
        <w:rPr>
          <w:snapToGrid/>
          <w:kern w:val="22"/>
        </w:rPr>
        <w:t>.</w:t>
      </w:r>
    </w:p>
    <w:p w:rsidR="00F4157A" w:rsidRPr="00A95584" w:rsidRDefault="00F4157A" w:rsidP="00F4157A">
      <w:pPr>
        <w:pStyle w:val="Para1"/>
        <w:keepNext/>
        <w:numPr>
          <w:ilvl w:val="0"/>
          <w:numId w:val="0"/>
        </w:numPr>
        <w:suppressLineNumbers/>
        <w:suppressAutoHyphens/>
        <w:jc w:val="center"/>
        <w:outlineLvl w:val="2"/>
        <w:rPr>
          <w:i/>
          <w:snapToGrid/>
          <w:kern w:val="22"/>
        </w:rPr>
      </w:pPr>
      <w:r w:rsidRPr="00A95584">
        <w:rPr>
          <w:snapToGrid/>
          <w:kern w:val="22"/>
        </w:rPr>
        <w:br w:type="page"/>
      </w:r>
      <w:r w:rsidRPr="00A95584">
        <w:rPr>
          <w:i/>
          <w:snapToGrid/>
          <w:kern w:val="22"/>
        </w:rPr>
        <w:t>Annex I</w:t>
      </w:r>
    </w:p>
    <w:p w:rsidR="00F4157A" w:rsidRPr="00AB0950" w:rsidRDefault="00F4157A" w:rsidP="00F4157A">
      <w:pPr>
        <w:pStyle w:val="Heading1"/>
        <w:suppressLineNumbers/>
        <w:tabs>
          <w:tab w:val="clear" w:pos="720"/>
        </w:tabs>
        <w:suppressAutoHyphens/>
        <w:spacing w:before="120"/>
        <w:rPr>
          <w:kern w:val="22"/>
        </w:rPr>
        <w:sectPr w:rsidR="00F4157A" w:rsidRPr="00AB0950" w:rsidSect="00F4157A">
          <w:headerReference w:type="even" r:id="rId13"/>
          <w:headerReference w:type="default" r:id="rId14"/>
          <w:footerReference w:type="even" r:id="rId15"/>
          <w:footerReference w:type="default" r:id="rId16"/>
          <w:footerReference w:type="first" r:id="rId17"/>
          <w:pgSz w:w="12240" w:h="15840" w:code="1"/>
          <w:pgMar w:top="1021" w:right="1608" w:bottom="1134" w:left="1440" w:header="720" w:footer="720" w:gutter="0"/>
          <w:cols w:space="720"/>
          <w:noEndnote/>
          <w:titlePg/>
          <w:docGrid w:linePitch="299"/>
        </w:sectPr>
      </w:pPr>
      <w:r w:rsidRPr="009C7F0C">
        <w:rPr>
          <w:caps w:val="0"/>
          <w:kern w:val="22"/>
        </w:rPr>
        <w:t>PROPOSED ORGANIZATION OF WORK</w:t>
      </w:r>
    </w:p>
    <w:tbl>
      <w:tblPr>
        <w:tblW w:w="5000" w:type="pct"/>
        <w:jc w:val="center"/>
        <w:tblBorders>
          <w:top w:val="single" w:sz="12" w:space="0" w:color="000000"/>
          <w:bottom w:val="single" w:sz="12" w:space="0" w:color="000000"/>
        </w:tblBorders>
        <w:tblLayout w:type="fixed"/>
        <w:tblCellMar>
          <w:left w:w="115" w:type="dxa"/>
          <w:right w:w="115" w:type="dxa"/>
        </w:tblCellMar>
        <w:tblLook w:val="0000" w:firstRow="0" w:lastRow="0" w:firstColumn="0" w:lastColumn="0" w:noHBand="0" w:noVBand="0"/>
      </w:tblPr>
      <w:tblGrid>
        <w:gridCol w:w="2747"/>
        <w:gridCol w:w="6613"/>
      </w:tblGrid>
      <w:tr w:rsidR="00F4157A" w:rsidRPr="00AB0950" w:rsidTr="009C4E2A">
        <w:tblPrEx>
          <w:tblCellMar>
            <w:top w:w="0" w:type="dxa"/>
            <w:bottom w:w="0" w:type="dxa"/>
          </w:tblCellMar>
        </w:tblPrEx>
        <w:trPr>
          <w:trHeight w:val="40"/>
          <w:tblHeader/>
          <w:jc w:val="center"/>
        </w:trPr>
        <w:tc>
          <w:tcPr>
            <w:tcW w:w="2808" w:type="dxa"/>
            <w:tcBorders>
              <w:top w:val="single" w:sz="12" w:space="0" w:color="000000"/>
              <w:bottom w:val="single" w:sz="4" w:space="0" w:color="000000"/>
            </w:tcBorders>
          </w:tcPr>
          <w:p w:rsidR="00F4157A" w:rsidRPr="00AB0950" w:rsidRDefault="00F4157A" w:rsidP="009C4E2A">
            <w:pPr>
              <w:pStyle w:val="Heading2"/>
              <w:keepNext w:val="0"/>
              <w:suppressLineNumbers/>
              <w:suppressAutoHyphens/>
              <w:spacing w:after="0"/>
              <w:jc w:val="both"/>
              <w:rPr>
                <w:i w:val="0"/>
                <w:kern w:val="22"/>
                <w:szCs w:val="22"/>
              </w:rPr>
            </w:pPr>
            <w:r w:rsidRPr="00AB0950">
              <w:rPr>
                <w:i w:val="0"/>
                <w:kern w:val="22"/>
                <w:szCs w:val="22"/>
              </w:rPr>
              <w:t>Date and time</w:t>
            </w:r>
          </w:p>
        </w:tc>
        <w:tc>
          <w:tcPr>
            <w:tcW w:w="6768" w:type="dxa"/>
            <w:tcBorders>
              <w:top w:val="single" w:sz="12" w:space="0" w:color="000000"/>
              <w:bottom w:val="single" w:sz="4" w:space="0" w:color="000000"/>
            </w:tcBorders>
          </w:tcPr>
          <w:p w:rsidR="00F4157A" w:rsidRPr="00AB0950" w:rsidRDefault="00F4157A" w:rsidP="009C4E2A">
            <w:pPr>
              <w:pStyle w:val="Heading2"/>
              <w:keepNext w:val="0"/>
              <w:suppressLineNumbers/>
              <w:suppressAutoHyphens/>
              <w:spacing w:after="0"/>
              <w:rPr>
                <w:i w:val="0"/>
                <w:kern w:val="22"/>
                <w:szCs w:val="22"/>
              </w:rPr>
            </w:pPr>
            <w:r w:rsidRPr="00AB0950">
              <w:rPr>
                <w:i w:val="0"/>
                <w:kern w:val="22"/>
                <w:szCs w:val="22"/>
              </w:rPr>
              <w:t>Agenda item</w:t>
            </w:r>
          </w:p>
        </w:tc>
      </w:tr>
      <w:tr w:rsidR="00F4157A" w:rsidRPr="00AB0950" w:rsidTr="009C4E2A">
        <w:tblPrEx>
          <w:tblCellMar>
            <w:top w:w="0" w:type="dxa"/>
            <w:bottom w:w="0" w:type="dxa"/>
          </w:tblCellMar>
        </w:tblPrEx>
        <w:trPr>
          <w:cantSplit/>
          <w:jc w:val="center"/>
        </w:trPr>
        <w:tc>
          <w:tcPr>
            <w:tcW w:w="2808" w:type="dxa"/>
            <w:tcBorders>
              <w:top w:val="single" w:sz="4" w:space="0" w:color="000000"/>
              <w:bottom w:val="nil"/>
            </w:tcBorders>
          </w:tcPr>
          <w:p w:rsidR="00F4157A" w:rsidRPr="00AB0950" w:rsidRDefault="00F4157A" w:rsidP="009C4E2A">
            <w:pPr>
              <w:suppressLineNumbers/>
              <w:suppressAutoHyphens/>
              <w:spacing w:before="120"/>
              <w:rPr>
                <w:b/>
                <w:kern w:val="22"/>
                <w:szCs w:val="22"/>
              </w:rPr>
            </w:pPr>
            <w:r>
              <w:rPr>
                <w:b/>
                <w:kern w:val="22"/>
                <w:szCs w:val="22"/>
              </w:rPr>
              <w:t>24</w:t>
            </w:r>
            <w:r w:rsidRPr="00AB0950">
              <w:rPr>
                <w:b/>
                <w:kern w:val="22"/>
                <w:szCs w:val="22"/>
              </w:rPr>
              <w:t xml:space="preserve"> April 201</w:t>
            </w:r>
            <w:r>
              <w:rPr>
                <w:b/>
                <w:kern w:val="22"/>
                <w:szCs w:val="22"/>
              </w:rPr>
              <w:t>8</w:t>
            </w:r>
          </w:p>
        </w:tc>
        <w:tc>
          <w:tcPr>
            <w:tcW w:w="6768" w:type="dxa"/>
            <w:tcBorders>
              <w:top w:val="single" w:sz="4" w:space="0" w:color="000000"/>
              <w:bottom w:val="nil"/>
            </w:tcBorders>
          </w:tcPr>
          <w:p w:rsidR="00F4157A" w:rsidRPr="00AB0950" w:rsidRDefault="00F4157A" w:rsidP="009C4E2A">
            <w:pPr>
              <w:suppressLineNumbers/>
              <w:suppressAutoHyphens/>
              <w:spacing w:before="120"/>
              <w:jc w:val="left"/>
              <w:rPr>
                <w:kern w:val="22"/>
                <w:szCs w:val="22"/>
              </w:rPr>
            </w:pPr>
          </w:p>
        </w:tc>
      </w:tr>
      <w:tr w:rsidR="00F4157A" w:rsidRPr="00AB0950" w:rsidTr="009C4E2A">
        <w:tblPrEx>
          <w:tblCellMar>
            <w:top w:w="0" w:type="dxa"/>
            <w:bottom w:w="0" w:type="dxa"/>
          </w:tblCellMar>
        </w:tblPrEx>
        <w:trPr>
          <w:jc w:val="center"/>
        </w:trPr>
        <w:tc>
          <w:tcPr>
            <w:tcW w:w="2808" w:type="dxa"/>
            <w:tcBorders>
              <w:top w:val="nil"/>
              <w:bottom w:val="nil"/>
            </w:tcBorders>
          </w:tcPr>
          <w:p w:rsidR="00F4157A" w:rsidRPr="00AB0950" w:rsidRDefault="00F4157A" w:rsidP="009C4E2A">
            <w:pPr>
              <w:suppressLineNumbers/>
              <w:suppressAutoHyphens/>
              <w:spacing w:before="120"/>
              <w:rPr>
                <w:kern w:val="22"/>
                <w:szCs w:val="22"/>
              </w:rPr>
            </w:pPr>
            <w:r w:rsidRPr="00AB0950">
              <w:rPr>
                <w:kern w:val="22"/>
                <w:szCs w:val="22"/>
              </w:rPr>
              <w:t>9.30 a.m. to 10 a.m.</w:t>
            </w:r>
          </w:p>
        </w:tc>
        <w:tc>
          <w:tcPr>
            <w:tcW w:w="6768" w:type="dxa"/>
            <w:tcBorders>
              <w:top w:val="nil"/>
              <w:bottom w:val="nil"/>
            </w:tcBorders>
          </w:tcPr>
          <w:p w:rsidR="00F4157A" w:rsidRPr="00AB0950" w:rsidRDefault="00F4157A" w:rsidP="009C4E2A">
            <w:pPr>
              <w:suppressLineNumbers/>
              <w:tabs>
                <w:tab w:val="left" w:pos="458"/>
              </w:tabs>
              <w:suppressAutoHyphens/>
              <w:spacing w:before="120"/>
              <w:jc w:val="left"/>
              <w:rPr>
                <w:kern w:val="22"/>
                <w:szCs w:val="22"/>
              </w:rPr>
            </w:pPr>
            <w:r w:rsidRPr="00AB0950">
              <w:rPr>
                <w:kern w:val="22"/>
                <w:szCs w:val="22"/>
              </w:rPr>
              <w:t xml:space="preserve">1. </w:t>
            </w:r>
            <w:r w:rsidR="009449BD">
              <w:rPr>
                <w:kern w:val="22"/>
                <w:szCs w:val="22"/>
              </w:rPr>
              <w:tab/>
            </w:r>
            <w:r w:rsidRPr="00AB0950">
              <w:rPr>
                <w:kern w:val="22"/>
                <w:szCs w:val="22"/>
              </w:rPr>
              <w:t>Opening of the meeting</w:t>
            </w:r>
          </w:p>
          <w:p w:rsidR="00F4157A" w:rsidRPr="00AB0950" w:rsidRDefault="00F4157A" w:rsidP="009C4E2A">
            <w:pPr>
              <w:suppressLineNumbers/>
              <w:tabs>
                <w:tab w:val="left" w:pos="458"/>
              </w:tabs>
              <w:suppressAutoHyphens/>
              <w:spacing w:before="120"/>
              <w:jc w:val="left"/>
              <w:rPr>
                <w:kern w:val="22"/>
                <w:szCs w:val="22"/>
              </w:rPr>
            </w:pPr>
            <w:r w:rsidRPr="00AB0950">
              <w:rPr>
                <w:kern w:val="22"/>
                <w:szCs w:val="22"/>
              </w:rPr>
              <w:t xml:space="preserve">2. </w:t>
            </w:r>
            <w:r w:rsidR="009449BD">
              <w:rPr>
                <w:kern w:val="22"/>
                <w:szCs w:val="22"/>
              </w:rPr>
              <w:tab/>
            </w:r>
            <w:r w:rsidRPr="00AB0950">
              <w:rPr>
                <w:kern w:val="22"/>
                <w:szCs w:val="22"/>
              </w:rPr>
              <w:t>Organizational matters:</w:t>
            </w:r>
          </w:p>
          <w:p w:rsidR="00F4157A" w:rsidRPr="00AB0950" w:rsidRDefault="00F4157A" w:rsidP="009C4E2A">
            <w:pPr>
              <w:suppressLineNumbers/>
              <w:tabs>
                <w:tab w:val="left" w:pos="458"/>
              </w:tabs>
              <w:suppressAutoHyphens/>
              <w:spacing w:before="120"/>
              <w:jc w:val="left"/>
              <w:rPr>
                <w:kern w:val="22"/>
                <w:szCs w:val="22"/>
              </w:rPr>
            </w:pPr>
            <w:r w:rsidRPr="00AB0950">
              <w:rPr>
                <w:kern w:val="22"/>
                <w:szCs w:val="22"/>
              </w:rPr>
              <w:tab/>
              <w:t>2.1.  Election of officers</w:t>
            </w:r>
          </w:p>
          <w:p w:rsidR="00F4157A" w:rsidRPr="00AB0950" w:rsidRDefault="00F4157A" w:rsidP="009C4E2A">
            <w:pPr>
              <w:suppressLineNumbers/>
              <w:tabs>
                <w:tab w:val="left" w:pos="458"/>
              </w:tabs>
              <w:suppressAutoHyphens/>
              <w:spacing w:before="120"/>
              <w:jc w:val="left"/>
              <w:rPr>
                <w:kern w:val="22"/>
                <w:szCs w:val="22"/>
              </w:rPr>
            </w:pPr>
            <w:r w:rsidRPr="00AB0950">
              <w:rPr>
                <w:kern w:val="22"/>
                <w:szCs w:val="22"/>
              </w:rPr>
              <w:tab/>
              <w:t>2.2.  Adoption of the agenda</w:t>
            </w:r>
          </w:p>
          <w:p w:rsidR="00F4157A" w:rsidRPr="00AB0950" w:rsidRDefault="00F4157A" w:rsidP="009C4E2A">
            <w:pPr>
              <w:suppressLineNumbers/>
              <w:tabs>
                <w:tab w:val="left" w:pos="458"/>
              </w:tabs>
              <w:suppressAutoHyphens/>
              <w:spacing w:before="120"/>
              <w:jc w:val="left"/>
              <w:rPr>
                <w:kern w:val="22"/>
                <w:szCs w:val="22"/>
              </w:rPr>
            </w:pPr>
            <w:r w:rsidRPr="00AB0950">
              <w:rPr>
                <w:kern w:val="22"/>
                <w:szCs w:val="22"/>
              </w:rPr>
              <w:tab/>
              <w:t>2.3.  Organization of work</w:t>
            </w:r>
          </w:p>
        </w:tc>
      </w:tr>
      <w:tr w:rsidR="00F4157A" w:rsidRPr="00AB0950" w:rsidTr="009C4E2A">
        <w:tblPrEx>
          <w:tblCellMar>
            <w:top w:w="0" w:type="dxa"/>
            <w:bottom w:w="0" w:type="dxa"/>
          </w:tblCellMar>
        </w:tblPrEx>
        <w:trPr>
          <w:jc w:val="center"/>
        </w:trPr>
        <w:tc>
          <w:tcPr>
            <w:tcW w:w="2808" w:type="dxa"/>
            <w:tcBorders>
              <w:top w:val="nil"/>
              <w:bottom w:val="nil"/>
            </w:tcBorders>
          </w:tcPr>
          <w:p w:rsidR="00F4157A" w:rsidRPr="00AB0950" w:rsidRDefault="00F4157A" w:rsidP="009C4E2A">
            <w:pPr>
              <w:pStyle w:val="CommentText"/>
              <w:suppressLineNumbers/>
              <w:suppressAutoHyphens/>
              <w:spacing w:before="120" w:after="0"/>
              <w:rPr>
                <w:kern w:val="22"/>
                <w:szCs w:val="22"/>
              </w:rPr>
            </w:pPr>
            <w:r w:rsidRPr="00AB0950">
              <w:rPr>
                <w:kern w:val="22"/>
                <w:szCs w:val="22"/>
              </w:rPr>
              <w:t>10 a.m. to 12.30 p.m.</w:t>
            </w:r>
          </w:p>
        </w:tc>
        <w:tc>
          <w:tcPr>
            <w:tcW w:w="6768" w:type="dxa"/>
            <w:tcBorders>
              <w:top w:val="nil"/>
              <w:bottom w:val="nil"/>
            </w:tcBorders>
          </w:tcPr>
          <w:p w:rsidR="00F4157A" w:rsidRPr="00AB0950" w:rsidRDefault="00F4157A" w:rsidP="000B2BF0">
            <w:pPr>
              <w:suppressLineNumbers/>
              <w:suppressAutoHyphens/>
              <w:spacing w:before="120"/>
              <w:ind w:left="465" w:hanging="450"/>
              <w:jc w:val="left"/>
              <w:rPr>
                <w:kern w:val="22"/>
                <w:szCs w:val="22"/>
              </w:rPr>
            </w:pPr>
            <w:r w:rsidRPr="00AB0950">
              <w:rPr>
                <w:kern w:val="22"/>
                <w:szCs w:val="22"/>
              </w:rPr>
              <w:t xml:space="preserve">3. </w:t>
            </w:r>
            <w:r w:rsidR="009449BD">
              <w:rPr>
                <w:kern w:val="22"/>
                <w:szCs w:val="22"/>
              </w:rPr>
              <w:tab/>
            </w:r>
            <w:r>
              <w:rPr>
                <w:kern w:val="22"/>
                <w:szCs w:val="22"/>
              </w:rPr>
              <w:t>Review of the outcomes of the second meeting of the Parties to the Nagoya Protocol regarding items relevant to compliance</w:t>
            </w:r>
          </w:p>
        </w:tc>
      </w:tr>
      <w:tr w:rsidR="00F4157A" w:rsidRPr="00AB0950" w:rsidTr="009C4E2A">
        <w:tblPrEx>
          <w:tblCellMar>
            <w:top w:w="0" w:type="dxa"/>
            <w:bottom w:w="0" w:type="dxa"/>
          </w:tblCellMar>
        </w:tblPrEx>
        <w:trPr>
          <w:trHeight w:val="638"/>
          <w:jc w:val="center"/>
        </w:trPr>
        <w:tc>
          <w:tcPr>
            <w:tcW w:w="2808" w:type="dxa"/>
            <w:tcBorders>
              <w:top w:val="nil"/>
            </w:tcBorders>
          </w:tcPr>
          <w:p w:rsidR="00F4157A" w:rsidRPr="00AB0950" w:rsidRDefault="00F4157A" w:rsidP="009C4E2A">
            <w:pPr>
              <w:pStyle w:val="CommentText"/>
              <w:suppressLineNumbers/>
              <w:suppressAutoHyphens/>
              <w:spacing w:before="120" w:after="0" w:line="240" w:lineRule="auto"/>
              <w:rPr>
                <w:kern w:val="22"/>
                <w:szCs w:val="22"/>
              </w:rPr>
            </w:pPr>
            <w:r w:rsidRPr="00AB0950">
              <w:rPr>
                <w:kern w:val="22"/>
                <w:szCs w:val="22"/>
              </w:rPr>
              <w:t>2.30 to 5.30 p.m.</w:t>
            </w:r>
          </w:p>
        </w:tc>
        <w:tc>
          <w:tcPr>
            <w:tcW w:w="6768" w:type="dxa"/>
            <w:tcBorders>
              <w:top w:val="nil"/>
            </w:tcBorders>
          </w:tcPr>
          <w:p w:rsidR="00F4157A" w:rsidRDefault="00F4157A" w:rsidP="009C4E2A">
            <w:pPr>
              <w:suppressLineNumbers/>
              <w:tabs>
                <w:tab w:val="left" w:pos="458"/>
              </w:tabs>
              <w:suppressAutoHyphens/>
              <w:spacing w:before="120"/>
              <w:jc w:val="left"/>
              <w:rPr>
                <w:i/>
                <w:kern w:val="22"/>
                <w:szCs w:val="22"/>
              </w:rPr>
            </w:pPr>
            <w:r w:rsidRPr="00AB0950">
              <w:rPr>
                <w:iCs/>
                <w:kern w:val="22"/>
                <w:szCs w:val="22"/>
              </w:rPr>
              <w:t xml:space="preserve">Agenda item 3 </w:t>
            </w:r>
            <w:r w:rsidRPr="00AB0950">
              <w:rPr>
                <w:i/>
                <w:kern w:val="22"/>
                <w:szCs w:val="22"/>
              </w:rPr>
              <w:t>(continued)</w:t>
            </w:r>
          </w:p>
          <w:p w:rsidR="00F4157A" w:rsidRPr="001B644B" w:rsidRDefault="00F4157A" w:rsidP="009C4E2A">
            <w:pPr>
              <w:suppressLineNumbers/>
              <w:tabs>
                <w:tab w:val="left" w:pos="458"/>
              </w:tabs>
              <w:suppressAutoHyphens/>
              <w:spacing w:before="120"/>
              <w:jc w:val="left"/>
              <w:rPr>
                <w:kern w:val="22"/>
                <w:szCs w:val="22"/>
              </w:rPr>
            </w:pPr>
            <w:r>
              <w:rPr>
                <w:kern w:val="22"/>
                <w:szCs w:val="22"/>
              </w:rPr>
              <w:t xml:space="preserve">4. </w:t>
            </w:r>
            <w:r w:rsidR="009449BD">
              <w:rPr>
                <w:kern w:val="22"/>
                <w:szCs w:val="22"/>
              </w:rPr>
              <w:tab/>
            </w:r>
            <w:r>
              <w:rPr>
                <w:bCs/>
                <w:snapToGrid w:val="0"/>
                <w:kern w:val="22"/>
                <w:szCs w:val="22"/>
              </w:rPr>
              <w:t>Assessment and review and general issues of compliance</w:t>
            </w:r>
          </w:p>
        </w:tc>
      </w:tr>
      <w:tr w:rsidR="00F4157A" w:rsidRPr="00AB0950" w:rsidTr="009C4E2A">
        <w:tblPrEx>
          <w:tblCellMar>
            <w:top w:w="0" w:type="dxa"/>
            <w:bottom w:w="0" w:type="dxa"/>
          </w:tblCellMar>
        </w:tblPrEx>
        <w:trPr>
          <w:jc w:val="center"/>
        </w:trPr>
        <w:tc>
          <w:tcPr>
            <w:tcW w:w="2808" w:type="dxa"/>
          </w:tcPr>
          <w:p w:rsidR="00F4157A" w:rsidRPr="00AB0950" w:rsidRDefault="00F4157A" w:rsidP="009C4E2A">
            <w:pPr>
              <w:suppressLineNumbers/>
              <w:suppressAutoHyphens/>
              <w:spacing w:before="120" w:after="120"/>
              <w:rPr>
                <w:b/>
                <w:kern w:val="22"/>
                <w:szCs w:val="22"/>
              </w:rPr>
            </w:pPr>
            <w:r>
              <w:rPr>
                <w:b/>
                <w:kern w:val="22"/>
                <w:szCs w:val="22"/>
              </w:rPr>
              <w:t>25</w:t>
            </w:r>
            <w:r w:rsidRPr="00AB0950">
              <w:rPr>
                <w:b/>
                <w:kern w:val="22"/>
                <w:szCs w:val="22"/>
              </w:rPr>
              <w:t xml:space="preserve"> April 201</w:t>
            </w:r>
            <w:r>
              <w:rPr>
                <w:b/>
                <w:kern w:val="22"/>
                <w:szCs w:val="22"/>
              </w:rPr>
              <w:t>8</w:t>
            </w:r>
          </w:p>
        </w:tc>
        <w:tc>
          <w:tcPr>
            <w:tcW w:w="6768" w:type="dxa"/>
          </w:tcPr>
          <w:p w:rsidR="00F4157A" w:rsidRPr="00AB0950" w:rsidRDefault="00F4157A" w:rsidP="009C4E2A">
            <w:pPr>
              <w:suppressLineNumbers/>
              <w:tabs>
                <w:tab w:val="left" w:pos="509"/>
              </w:tabs>
              <w:suppressAutoHyphens/>
              <w:spacing w:before="120" w:after="120"/>
              <w:jc w:val="left"/>
              <w:rPr>
                <w:kern w:val="22"/>
                <w:szCs w:val="22"/>
              </w:rPr>
            </w:pPr>
          </w:p>
        </w:tc>
      </w:tr>
      <w:tr w:rsidR="00F4157A" w:rsidRPr="00AB0950" w:rsidTr="009C4E2A">
        <w:tblPrEx>
          <w:tblCellMar>
            <w:top w:w="0" w:type="dxa"/>
            <w:bottom w:w="0" w:type="dxa"/>
          </w:tblCellMar>
        </w:tblPrEx>
        <w:trPr>
          <w:jc w:val="center"/>
        </w:trPr>
        <w:tc>
          <w:tcPr>
            <w:tcW w:w="2808" w:type="dxa"/>
          </w:tcPr>
          <w:p w:rsidR="00F4157A" w:rsidRPr="00AB0950" w:rsidRDefault="00F4157A" w:rsidP="009C4E2A">
            <w:pPr>
              <w:suppressLineNumbers/>
              <w:suppressAutoHyphens/>
              <w:spacing w:before="120"/>
              <w:rPr>
                <w:i/>
                <w:kern w:val="22"/>
                <w:szCs w:val="22"/>
              </w:rPr>
            </w:pPr>
            <w:r w:rsidRPr="00AB0950">
              <w:rPr>
                <w:kern w:val="22"/>
                <w:szCs w:val="22"/>
              </w:rPr>
              <w:t>9.30 a.m. to 12.30 p.m.</w:t>
            </w:r>
          </w:p>
        </w:tc>
        <w:tc>
          <w:tcPr>
            <w:tcW w:w="6768" w:type="dxa"/>
          </w:tcPr>
          <w:p w:rsidR="00F4157A" w:rsidRPr="00AB0950" w:rsidRDefault="00F4157A" w:rsidP="009C4E2A">
            <w:pPr>
              <w:suppressLineNumbers/>
              <w:tabs>
                <w:tab w:val="left" w:pos="509"/>
              </w:tabs>
              <w:suppressAutoHyphens/>
              <w:spacing w:before="120"/>
              <w:jc w:val="left"/>
              <w:rPr>
                <w:kern w:val="22"/>
                <w:szCs w:val="22"/>
              </w:rPr>
            </w:pPr>
            <w:r w:rsidRPr="00AB0950">
              <w:rPr>
                <w:iCs/>
                <w:kern w:val="22"/>
                <w:szCs w:val="22"/>
              </w:rPr>
              <w:t xml:space="preserve">Agenda item 4 </w:t>
            </w:r>
            <w:r w:rsidRPr="00AB0950">
              <w:rPr>
                <w:i/>
                <w:kern w:val="22"/>
                <w:szCs w:val="22"/>
              </w:rPr>
              <w:t>(continued)</w:t>
            </w:r>
          </w:p>
        </w:tc>
      </w:tr>
      <w:tr w:rsidR="00F4157A" w:rsidRPr="00AB0950" w:rsidTr="009C4E2A">
        <w:tblPrEx>
          <w:tblCellMar>
            <w:top w:w="0" w:type="dxa"/>
            <w:bottom w:w="0" w:type="dxa"/>
          </w:tblCellMar>
        </w:tblPrEx>
        <w:trPr>
          <w:trHeight w:val="728"/>
          <w:jc w:val="center"/>
        </w:trPr>
        <w:tc>
          <w:tcPr>
            <w:tcW w:w="2808" w:type="dxa"/>
          </w:tcPr>
          <w:p w:rsidR="00F4157A" w:rsidRPr="00AB0950" w:rsidRDefault="00F4157A" w:rsidP="009C4E2A">
            <w:pPr>
              <w:suppressLineNumbers/>
              <w:suppressAutoHyphens/>
              <w:spacing w:before="120"/>
              <w:rPr>
                <w:i/>
                <w:kern w:val="22"/>
                <w:szCs w:val="22"/>
              </w:rPr>
            </w:pPr>
            <w:r w:rsidRPr="00AB0950">
              <w:rPr>
                <w:kern w:val="22"/>
                <w:szCs w:val="22"/>
              </w:rPr>
              <w:t>2.30 to 5.30 p.m.</w:t>
            </w:r>
          </w:p>
        </w:tc>
        <w:tc>
          <w:tcPr>
            <w:tcW w:w="6768" w:type="dxa"/>
            <w:vAlign w:val="center"/>
          </w:tcPr>
          <w:p w:rsidR="00F4157A" w:rsidRPr="00AB0950" w:rsidRDefault="00F4157A" w:rsidP="009C4E2A">
            <w:pPr>
              <w:pStyle w:val="Para1"/>
              <w:numPr>
                <w:ilvl w:val="0"/>
                <w:numId w:val="0"/>
              </w:numPr>
              <w:suppressLineNumbers/>
              <w:suppressAutoHyphens/>
              <w:spacing w:after="0"/>
              <w:jc w:val="left"/>
              <w:rPr>
                <w:i/>
                <w:snapToGrid/>
                <w:kern w:val="22"/>
                <w:szCs w:val="22"/>
              </w:rPr>
            </w:pPr>
            <w:r w:rsidRPr="00AB0950">
              <w:rPr>
                <w:iCs/>
                <w:snapToGrid/>
                <w:kern w:val="22"/>
                <w:szCs w:val="22"/>
              </w:rPr>
              <w:t xml:space="preserve">Agenda item 4 </w:t>
            </w:r>
            <w:r w:rsidRPr="00AB0950">
              <w:rPr>
                <w:i/>
                <w:snapToGrid/>
                <w:kern w:val="22"/>
                <w:szCs w:val="22"/>
              </w:rPr>
              <w:t>(continued)</w:t>
            </w:r>
          </w:p>
          <w:p w:rsidR="00F4157A" w:rsidRPr="00AB0950" w:rsidRDefault="00F4157A" w:rsidP="009C4E2A">
            <w:pPr>
              <w:pStyle w:val="Para1"/>
              <w:numPr>
                <w:ilvl w:val="0"/>
                <w:numId w:val="0"/>
              </w:numPr>
              <w:suppressLineNumbers/>
              <w:suppressAutoHyphens/>
              <w:spacing w:after="0"/>
              <w:jc w:val="left"/>
              <w:rPr>
                <w:snapToGrid/>
                <w:kern w:val="22"/>
                <w:szCs w:val="22"/>
              </w:rPr>
            </w:pPr>
          </w:p>
        </w:tc>
      </w:tr>
      <w:tr w:rsidR="00F4157A" w:rsidRPr="00AB0950" w:rsidTr="009C4E2A">
        <w:tblPrEx>
          <w:tblCellMar>
            <w:top w:w="0" w:type="dxa"/>
            <w:bottom w:w="0" w:type="dxa"/>
          </w:tblCellMar>
        </w:tblPrEx>
        <w:trPr>
          <w:cantSplit/>
          <w:jc w:val="center"/>
        </w:trPr>
        <w:tc>
          <w:tcPr>
            <w:tcW w:w="2808" w:type="dxa"/>
          </w:tcPr>
          <w:p w:rsidR="00F4157A" w:rsidRPr="00AB0950" w:rsidRDefault="00F4157A" w:rsidP="009C4E2A">
            <w:pPr>
              <w:suppressLineNumbers/>
              <w:suppressAutoHyphens/>
              <w:spacing w:before="120" w:after="120"/>
              <w:rPr>
                <w:b/>
                <w:kern w:val="22"/>
                <w:szCs w:val="22"/>
              </w:rPr>
            </w:pPr>
            <w:r>
              <w:rPr>
                <w:b/>
                <w:kern w:val="22"/>
                <w:szCs w:val="22"/>
              </w:rPr>
              <w:t>26</w:t>
            </w:r>
            <w:r w:rsidRPr="00AB0950">
              <w:rPr>
                <w:b/>
                <w:kern w:val="22"/>
                <w:szCs w:val="22"/>
              </w:rPr>
              <w:t xml:space="preserve"> April 201</w:t>
            </w:r>
            <w:r>
              <w:rPr>
                <w:b/>
                <w:kern w:val="22"/>
                <w:szCs w:val="22"/>
              </w:rPr>
              <w:t>8</w:t>
            </w:r>
          </w:p>
        </w:tc>
        <w:tc>
          <w:tcPr>
            <w:tcW w:w="6768" w:type="dxa"/>
          </w:tcPr>
          <w:p w:rsidR="00F4157A" w:rsidRPr="00AB0950" w:rsidRDefault="00F4157A" w:rsidP="009C4E2A">
            <w:pPr>
              <w:suppressLineNumbers/>
              <w:suppressAutoHyphens/>
              <w:spacing w:before="120" w:after="120"/>
              <w:jc w:val="left"/>
              <w:rPr>
                <w:kern w:val="22"/>
                <w:szCs w:val="22"/>
              </w:rPr>
            </w:pPr>
          </w:p>
        </w:tc>
      </w:tr>
      <w:tr w:rsidR="00F4157A" w:rsidRPr="00AB0950" w:rsidTr="009C4E2A">
        <w:tblPrEx>
          <w:tblCellMar>
            <w:top w:w="0" w:type="dxa"/>
            <w:bottom w:w="0" w:type="dxa"/>
          </w:tblCellMar>
        </w:tblPrEx>
        <w:trPr>
          <w:trHeight w:val="774"/>
          <w:jc w:val="center"/>
        </w:trPr>
        <w:tc>
          <w:tcPr>
            <w:tcW w:w="2808" w:type="dxa"/>
          </w:tcPr>
          <w:p w:rsidR="00F4157A" w:rsidRPr="00AB0950" w:rsidRDefault="00F4157A" w:rsidP="009C4E2A">
            <w:pPr>
              <w:suppressLineNumbers/>
              <w:suppressAutoHyphens/>
              <w:spacing w:before="120"/>
              <w:rPr>
                <w:kern w:val="22"/>
                <w:szCs w:val="22"/>
              </w:rPr>
            </w:pPr>
            <w:r w:rsidRPr="00AB0950">
              <w:rPr>
                <w:kern w:val="22"/>
                <w:szCs w:val="22"/>
              </w:rPr>
              <w:t>9.30 a.m. to 12.30 p.m.</w:t>
            </w:r>
          </w:p>
        </w:tc>
        <w:tc>
          <w:tcPr>
            <w:tcW w:w="6768" w:type="dxa"/>
          </w:tcPr>
          <w:p w:rsidR="00F4157A" w:rsidRPr="00AB0950" w:rsidRDefault="00F4157A" w:rsidP="009C4E2A">
            <w:pPr>
              <w:suppressLineNumbers/>
              <w:tabs>
                <w:tab w:val="left" w:pos="458"/>
              </w:tabs>
              <w:suppressAutoHyphens/>
              <w:spacing w:before="120"/>
              <w:jc w:val="left"/>
              <w:rPr>
                <w:kern w:val="22"/>
                <w:szCs w:val="22"/>
              </w:rPr>
            </w:pPr>
            <w:r>
              <w:rPr>
                <w:kern w:val="22"/>
                <w:szCs w:val="22"/>
              </w:rPr>
              <w:t>5</w:t>
            </w:r>
            <w:r w:rsidRPr="00AB0950">
              <w:rPr>
                <w:kern w:val="22"/>
                <w:szCs w:val="22"/>
              </w:rPr>
              <w:t xml:space="preserve">. </w:t>
            </w:r>
            <w:r w:rsidR="009449BD">
              <w:rPr>
                <w:kern w:val="22"/>
                <w:szCs w:val="22"/>
              </w:rPr>
              <w:tab/>
            </w:r>
            <w:r w:rsidRPr="00AB0950">
              <w:rPr>
                <w:kern w:val="22"/>
                <w:szCs w:val="22"/>
              </w:rPr>
              <w:t>Other matters</w:t>
            </w:r>
          </w:p>
        </w:tc>
      </w:tr>
      <w:tr w:rsidR="00F4157A" w:rsidRPr="00AB0950" w:rsidTr="009C4E2A">
        <w:tblPrEx>
          <w:tblCellMar>
            <w:top w:w="0" w:type="dxa"/>
            <w:bottom w:w="0" w:type="dxa"/>
          </w:tblCellMar>
        </w:tblPrEx>
        <w:trPr>
          <w:trHeight w:val="511"/>
          <w:jc w:val="center"/>
        </w:trPr>
        <w:tc>
          <w:tcPr>
            <w:tcW w:w="2808" w:type="dxa"/>
          </w:tcPr>
          <w:p w:rsidR="00F4157A" w:rsidRPr="00AB0950" w:rsidRDefault="00F4157A" w:rsidP="009C4E2A">
            <w:pPr>
              <w:suppressLineNumbers/>
              <w:suppressAutoHyphens/>
              <w:spacing w:before="120"/>
              <w:rPr>
                <w:kern w:val="22"/>
                <w:szCs w:val="22"/>
              </w:rPr>
            </w:pPr>
            <w:r w:rsidRPr="00AB0950">
              <w:rPr>
                <w:kern w:val="22"/>
                <w:szCs w:val="22"/>
              </w:rPr>
              <w:t>2.30 to 5:</w:t>
            </w:r>
            <w:r>
              <w:rPr>
                <w:kern w:val="22"/>
                <w:szCs w:val="22"/>
              </w:rPr>
              <w:t>0</w:t>
            </w:r>
            <w:r w:rsidRPr="00AB0950">
              <w:rPr>
                <w:kern w:val="22"/>
                <w:szCs w:val="22"/>
              </w:rPr>
              <w:t>0 p.m.</w:t>
            </w:r>
          </w:p>
        </w:tc>
        <w:tc>
          <w:tcPr>
            <w:tcW w:w="6768" w:type="dxa"/>
          </w:tcPr>
          <w:p w:rsidR="00F4157A" w:rsidRPr="00AB0950" w:rsidRDefault="00F4157A" w:rsidP="009C4E2A">
            <w:pPr>
              <w:suppressLineNumbers/>
              <w:tabs>
                <w:tab w:val="left" w:pos="458"/>
              </w:tabs>
              <w:suppressAutoHyphens/>
              <w:spacing w:before="120"/>
              <w:jc w:val="left"/>
              <w:rPr>
                <w:kern w:val="22"/>
                <w:szCs w:val="22"/>
              </w:rPr>
            </w:pPr>
            <w:r>
              <w:rPr>
                <w:kern w:val="22"/>
                <w:szCs w:val="22"/>
              </w:rPr>
              <w:t>6</w:t>
            </w:r>
            <w:r w:rsidRPr="00AB0950">
              <w:rPr>
                <w:kern w:val="22"/>
                <w:szCs w:val="22"/>
              </w:rPr>
              <w:t xml:space="preserve">. </w:t>
            </w:r>
            <w:r w:rsidR="009449BD">
              <w:rPr>
                <w:kern w:val="22"/>
                <w:szCs w:val="22"/>
              </w:rPr>
              <w:tab/>
            </w:r>
            <w:r w:rsidRPr="00AB0950">
              <w:rPr>
                <w:kern w:val="22"/>
                <w:szCs w:val="22"/>
              </w:rPr>
              <w:t>Adoption of the report</w:t>
            </w:r>
          </w:p>
          <w:p w:rsidR="00F4157A" w:rsidRPr="00AB0950" w:rsidRDefault="00F4157A" w:rsidP="009C4E2A">
            <w:pPr>
              <w:suppressLineNumbers/>
              <w:tabs>
                <w:tab w:val="left" w:pos="458"/>
              </w:tabs>
              <w:suppressAutoHyphens/>
              <w:spacing w:before="120"/>
              <w:jc w:val="left"/>
              <w:rPr>
                <w:kern w:val="22"/>
                <w:szCs w:val="22"/>
              </w:rPr>
            </w:pPr>
            <w:r>
              <w:rPr>
                <w:kern w:val="22"/>
                <w:szCs w:val="22"/>
              </w:rPr>
              <w:t>7</w:t>
            </w:r>
            <w:r w:rsidRPr="00AB0950">
              <w:rPr>
                <w:kern w:val="22"/>
                <w:szCs w:val="22"/>
              </w:rPr>
              <w:t xml:space="preserve">. </w:t>
            </w:r>
            <w:r w:rsidR="009449BD">
              <w:rPr>
                <w:kern w:val="22"/>
                <w:szCs w:val="22"/>
              </w:rPr>
              <w:tab/>
            </w:r>
            <w:r w:rsidRPr="00AB0950">
              <w:rPr>
                <w:kern w:val="22"/>
                <w:szCs w:val="22"/>
              </w:rPr>
              <w:t>Closure of the meeting</w:t>
            </w:r>
          </w:p>
        </w:tc>
      </w:tr>
    </w:tbl>
    <w:p w:rsidR="00F4157A" w:rsidRPr="00AB0950" w:rsidRDefault="00F4157A" w:rsidP="00F4157A">
      <w:pPr>
        <w:pStyle w:val="headingoneline"/>
        <w:suppressLineNumbers/>
        <w:suppressAutoHyphens/>
        <w:spacing w:before="0"/>
        <w:rPr>
          <w:b w:val="0"/>
          <w:kern w:val="22"/>
        </w:rPr>
        <w:sectPr w:rsidR="00F4157A" w:rsidRPr="00AB0950" w:rsidSect="00736BC2">
          <w:headerReference w:type="even" r:id="rId18"/>
          <w:headerReference w:type="default" r:id="rId19"/>
          <w:headerReference w:type="first" r:id="rId20"/>
          <w:type w:val="continuous"/>
          <w:pgSz w:w="12240" w:h="15840" w:code="1"/>
          <w:pgMar w:top="1021" w:right="1440" w:bottom="1134" w:left="1440" w:header="454" w:footer="720" w:gutter="0"/>
          <w:cols w:space="720"/>
        </w:sectPr>
      </w:pPr>
    </w:p>
    <w:p w:rsidR="00F4157A" w:rsidRPr="00AB0950" w:rsidRDefault="00F4157A" w:rsidP="00F4157A">
      <w:pPr>
        <w:pStyle w:val="headingoneline"/>
        <w:suppressLineNumbers/>
        <w:tabs>
          <w:tab w:val="clear" w:pos="567"/>
        </w:tabs>
        <w:suppressAutoHyphens/>
        <w:spacing w:before="0"/>
        <w:outlineLvl w:val="2"/>
        <w:rPr>
          <w:b w:val="0"/>
          <w:kern w:val="22"/>
        </w:rPr>
      </w:pPr>
      <w:r w:rsidRPr="00AB0950">
        <w:rPr>
          <w:b w:val="0"/>
          <w:kern w:val="22"/>
        </w:rPr>
        <w:t>Annex II</w:t>
      </w:r>
    </w:p>
    <w:p w:rsidR="00F4157A" w:rsidRPr="00AB0950" w:rsidRDefault="00F4157A" w:rsidP="00F4157A">
      <w:pPr>
        <w:pStyle w:val="HEADING"/>
        <w:suppressLineNumbers/>
        <w:suppressAutoHyphens/>
        <w:spacing w:before="120"/>
        <w:outlineLvl w:val="0"/>
        <w:rPr>
          <w:kern w:val="22"/>
        </w:rPr>
      </w:pPr>
      <w:r w:rsidRPr="009C7F0C">
        <w:rPr>
          <w:kern w:val="22"/>
        </w:rPr>
        <w:t>provisional LIST OF DOCUMENTS</w:t>
      </w:r>
    </w:p>
    <w:p w:rsidR="00F4157A" w:rsidRPr="00AB0950" w:rsidRDefault="00F4157A" w:rsidP="00F4157A">
      <w:pPr>
        <w:suppressLineNumbers/>
        <w:tabs>
          <w:tab w:val="left" w:pos="3960"/>
        </w:tabs>
        <w:suppressAutoHyphens/>
        <w:spacing w:before="120" w:after="120"/>
        <w:rPr>
          <w:kern w:val="22"/>
        </w:rPr>
      </w:pPr>
      <w:r w:rsidRPr="00AB0950">
        <w:rPr>
          <w:i/>
          <w:kern w:val="22"/>
        </w:rPr>
        <w:t>Symbol</w:t>
      </w:r>
      <w:r w:rsidRPr="00AB0950">
        <w:rPr>
          <w:kern w:val="22"/>
        </w:rPr>
        <w:tab/>
      </w:r>
      <w:r w:rsidRPr="00AB0950">
        <w:rPr>
          <w:i/>
          <w:kern w:val="22"/>
        </w:rPr>
        <w:t>Title</w:t>
      </w:r>
    </w:p>
    <w:p w:rsidR="00F4157A" w:rsidRPr="00AB0950" w:rsidRDefault="00F4157A" w:rsidP="000B2BF0">
      <w:pPr>
        <w:suppressLineNumbers/>
        <w:tabs>
          <w:tab w:val="left" w:pos="3960"/>
        </w:tabs>
        <w:suppressAutoHyphens/>
        <w:spacing w:before="120" w:after="120"/>
        <w:jc w:val="left"/>
        <w:rPr>
          <w:kern w:val="22"/>
        </w:rPr>
      </w:pPr>
      <w:r w:rsidRPr="00AB0950">
        <w:rPr>
          <w:kern w:val="22"/>
        </w:rPr>
        <w:t>CBD/ABS/CC/</w:t>
      </w:r>
      <w:r>
        <w:rPr>
          <w:kern w:val="22"/>
        </w:rPr>
        <w:t>2</w:t>
      </w:r>
      <w:r w:rsidRPr="00AB0950">
        <w:rPr>
          <w:kern w:val="22"/>
        </w:rPr>
        <w:t>/1</w:t>
      </w:r>
      <w:r w:rsidRPr="00AB0950">
        <w:rPr>
          <w:kern w:val="22"/>
        </w:rPr>
        <w:tab/>
        <w:t>Provisional agenda</w:t>
      </w:r>
    </w:p>
    <w:p w:rsidR="00F4157A" w:rsidRPr="00AB0950" w:rsidRDefault="00F4157A" w:rsidP="000B2BF0">
      <w:pPr>
        <w:suppressLineNumbers/>
        <w:tabs>
          <w:tab w:val="left" w:pos="3960"/>
        </w:tabs>
        <w:suppressAutoHyphens/>
        <w:spacing w:before="120" w:after="120"/>
        <w:jc w:val="left"/>
        <w:rPr>
          <w:kern w:val="22"/>
        </w:rPr>
      </w:pPr>
      <w:r w:rsidRPr="00AB0950">
        <w:rPr>
          <w:kern w:val="22"/>
        </w:rPr>
        <w:t>CBD/ABS/CC/</w:t>
      </w:r>
      <w:r>
        <w:rPr>
          <w:kern w:val="22"/>
        </w:rPr>
        <w:t>2</w:t>
      </w:r>
      <w:r w:rsidRPr="00AB0950">
        <w:rPr>
          <w:kern w:val="22"/>
        </w:rPr>
        <w:t>/1/Add.1</w:t>
      </w:r>
      <w:r w:rsidRPr="00AB0950">
        <w:rPr>
          <w:kern w:val="22"/>
        </w:rPr>
        <w:tab/>
        <w:t>Annotations to the provisional agenda</w:t>
      </w:r>
    </w:p>
    <w:p w:rsidR="00F4157A" w:rsidRPr="00AB0950" w:rsidRDefault="00F4157A" w:rsidP="000B2BF0">
      <w:pPr>
        <w:suppressLineNumbers/>
        <w:tabs>
          <w:tab w:val="left" w:pos="3960"/>
        </w:tabs>
        <w:suppressAutoHyphens/>
        <w:spacing w:before="120" w:after="120"/>
        <w:ind w:left="3960" w:hanging="3960"/>
        <w:jc w:val="left"/>
        <w:rPr>
          <w:kern w:val="22"/>
        </w:rPr>
      </w:pPr>
      <w:r w:rsidRPr="00AB0950">
        <w:rPr>
          <w:kern w:val="22"/>
        </w:rPr>
        <w:t>CBD/ABS/CC</w:t>
      </w:r>
      <w:r>
        <w:rPr>
          <w:kern w:val="22"/>
        </w:rPr>
        <w:t>/2</w:t>
      </w:r>
      <w:r w:rsidRPr="00AB0950">
        <w:rPr>
          <w:kern w:val="22"/>
        </w:rPr>
        <w:t>/2</w:t>
      </w:r>
      <w:r w:rsidRPr="00AB0950">
        <w:rPr>
          <w:kern w:val="22"/>
        </w:rPr>
        <w:tab/>
      </w:r>
      <w:r>
        <w:rPr>
          <w:kern w:val="22"/>
        </w:rPr>
        <w:t>Review of the outcomes of the second meeting of the Conference of the Parties serving as the meeting of the Parties to the Nagoya Protocol regarding items relevant to compliance</w:t>
      </w:r>
    </w:p>
    <w:p w:rsidR="00F4157A" w:rsidRPr="00AB0950" w:rsidRDefault="00F4157A" w:rsidP="000B2BF0">
      <w:pPr>
        <w:suppressLineNumbers/>
        <w:suppressAutoHyphens/>
        <w:spacing w:before="120" w:after="120"/>
        <w:ind w:left="3960" w:hanging="3960"/>
        <w:jc w:val="left"/>
        <w:rPr>
          <w:kern w:val="22"/>
        </w:rPr>
      </w:pPr>
      <w:r w:rsidRPr="00AB0950">
        <w:rPr>
          <w:kern w:val="22"/>
        </w:rPr>
        <w:t>CBD/A</w:t>
      </w:r>
      <w:r>
        <w:rPr>
          <w:kern w:val="22"/>
        </w:rPr>
        <w:t>BS/CC/2</w:t>
      </w:r>
      <w:r w:rsidRPr="00AB0950">
        <w:rPr>
          <w:kern w:val="22"/>
        </w:rPr>
        <w:t>/3</w:t>
      </w:r>
      <w:r w:rsidRPr="00AB0950">
        <w:rPr>
          <w:kern w:val="22"/>
        </w:rPr>
        <w:tab/>
      </w:r>
      <w:r>
        <w:rPr>
          <w:kern w:val="22"/>
        </w:rPr>
        <w:t>First assessment and review of the Nagoya Protocol and general issues of compliance</w:t>
      </w:r>
    </w:p>
    <w:p w:rsidR="00F4157A" w:rsidRPr="00AB0950" w:rsidRDefault="00F4157A" w:rsidP="000B2BF0">
      <w:pPr>
        <w:suppressLineNumbers/>
        <w:tabs>
          <w:tab w:val="left" w:pos="4040"/>
        </w:tabs>
        <w:suppressAutoHyphens/>
        <w:spacing w:before="120" w:after="120"/>
        <w:ind w:left="3960" w:hanging="3960"/>
        <w:jc w:val="left"/>
        <w:rPr>
          <w:kern w:val="22"/>
        </w:rPr>
      </w:pPr>
      <w:r>
        <w:rPr>
          <w:kern w:val="22"/>
        </w:rPr>
        <w:t>CBD/ABS/CC/2/INF/1</w:t>
      </w:r>
      <w:r>
        <w:rPr>
          <w:kern w:val="22"/>
        </w:rPr>
        <w:tab/>
        <w:t xml:space="preserve">Analysis of information contained in the interim national reports and information published </w:t>
      </w:r>
      <w:r w:rsidR="00E810E0">
        <w:rPr>
          <w:kern w:val="22"/>
        </w:rPr>
        <w:t xml:space="preserve">in </w:t>
      </w:r>
      <w:r>
        <w:rPr>
          <w:kern w:val="22"/>
        </w:rPr>
        <w:t>the Access and Benefit</w:t>
      </w:r>
      <w:r w:rsidR="009449BD">
        <w:rPr>
          <w:kern w:val="22"/>
        </w:rPr>
        <w:noBreakHyphen/>
      </w:r>
      <w:r>
        <w:rPr>
          <w:kern w:val="22"/>
        </w:rPr>
        <w:t>sharing Clearing-House</w:t>
      </w:r>
    </w:p>
    <w:p w:rsidR="00F4157A" w:rsidRPr="00AB0950" w:rsidRDefault="00F4157A" w:rsidP="000B2BF0">
      <w:pPr>
        <w:suppressLineNumbers/>
        <w:suppressAutoHyphens/>
        <w:spacing w:before="120" w:after="120"/>
        <w:ind w:left="3960" w:hanging="3960"/>
        <w:jc w:val="left"/>
        <w:rPr>
          <w:kern w:val="22"/>
        </w:rPr>
      </w:pPr>
      <w:r>
        <w:rPr>
          <w:kern w:val="22"/>
        </w:rPr>
        <w:t>CBD/ABS/CC/2/INF/2</w:t>
      </w:r>
      <w:r>
        <w:rPr>
          <w:kern w:val="22"/>
        </w:rPr>
        <w:tab/>
        <w:t>Statistical overview of the answers provided in the interim national reports on implementation of the Nagoya Protocol</w:t>
      </w:r>
    </w:p>
    <w:p w:rsidR="00B3369F" w:rsidRPr="00C9161D" w:rsidRDefault="00F4157A" w:rsidP="000B2BF0">
      <w:pPr>
        <w:pStyle w:val="Head2"/>
        <w:keepNext w:val="0"/>
        <w:suppressLineNumbers/>
        <w:suppressAutoHyphens/>
        <w:spacing w:before="120" w:after="120"/>
      </w:pPr>
      <w:r w:rsidRPr="00AB0950">
        <w:rPr>
          <w:kern w:val="22"/>
          <w:szCs w:val="22"/>
        </w:rPr>
        <w:t>__________</w:t>
      </w:r>
      <w:bookmarkStart w:id="1" w:name="_GoBack"/>
      <w:bookmarkEnd w:id="1"/>
    </w:p>
    <w:sectPr w:rsidR="00B3369F" w:rsidRPr="00C9161D" w:rsidSect="000B2BF0">
      <w:headerReference w:type="even" r:id="rId21"/>
      <w:headerReference w:type="default" r:id="rId22"/>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Default="00F4157A" w:rsidP="00D45FD2">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Default="00F4157A" w:rsidP="00D45FD2">
    <w:pPr>
      <w:pStyle w:val="Footer"/>
      <w:tabs>
        <w:tab w:val="left" w:pos="2225"/>
      </w:tabs>
      <w:ind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Default="00F4157A" w:rsidP="00D45FD2">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 w:id="1">
    <w:p w:rsidR="00F4157A" w:rsidRPr="001270B9" w:rsidRDefault="00F4157A" w:rsidP="009449BD">
      <w:pPr>
        <w:pStyle w:val="FootnoteText"/>
        <w:ind w:firstLine="0"/>
        <w:rPr>
          <w:lang w:val="en-CA"/>
        </w:rPr>
      </w:pPr>
      <w:r w:rsidRPr="000B2BF0">
        <w:rPr>
          <w:rStyle w:val="FootnoteReference"/>
          <w:rFonts w:eastAsiaTheme="majorEastAsia"/>
          <w:u w:val="none"/>
          <w:vertAlign w:val="superscript"/>
        </w:rPr>
        <w:footnoteRef/>
      </w:r>
      <w:r>
        <w:t xml:space="preserve"> S</w:t>
      </w:r>
      <w:r w:rsidRPr="001270B9">
        <w:rPr>
          <w:kern w:val="22"/>
        </w:rPr>
        <w:t xml:space="preserve">ee </w:t>
      </w:r>
      <w:proofErr w:type="gramStart"/>
      <w:r w:rsidRPr="001270B9">
        <w:rPr>
          <w:kern w:val="22"/>
        </w:rPr>
        <w:t>in particular paragraphs</w:t>
      </w:r>
      <w:proofErr w:type="gramEnd"/>
      <w:r w:rsidRPr="001270B9">
        <w:rPr>
          <w:kern w:val="22"/>
        </w:rPr>
        <w:t xml:space="preserve"> 18 to 26 of the report of the first meeting of the Committee</w:t>
      </w:r>
      <w:r>
        <w:rPr>
          <w:kern w:val="22"/>
        </w:rPr>
        <w:t>, UNEP/CBD/NP/COP-MOP/2/4.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Pr="000D023C" w:rsidRDefault="00F4157A" w:rsidP="00D45FD2">
    <w:pPr>
      <w:pStyle w:val="Footer"/>
      <w:suppressLineNumbers/>
      <w:tabs>
        <w:tab w:val="clear" w:pos="4320"/>
        <w:tab w:val="clear" w:pos="8640"/>
      </w:tabs>
      <w:suppressAutoHyphens/>
      <w:ind w:firstLine="0"/>
      <w:jc w:val="left"/>
      <w:rPr>
        <w:noProof/>
        <w:kern w:val="22"/>
        <w:szCs w:val="22"/>
      </w:rPr>
    </w:pPr>
    <w:r>
      <w:rPr>
        <w:noProof/>
        <w:kern w:val="22"/>
        <w:szCs w:val="22"/>
      </w:rPr>
      <w:t>CBD/ABS/CC/2</w:t>
    </w:r>
    <w:r w:rsidRPr="0010246B">
      <w:rPr>
        <w:noProof/>
        <w:kern w:val="22"/>
        <w:szCs w:val="22"/>
      </w:rPr>
      <w:t>/</w:t>
    </w:r>
    <w:r w:rsidRPr="00375B3C">
      <w:rPr>
        <w:noProof/>
        <w:kern w:val="22"/>
        <w:szCs w:val="22"/>
      </w:rPr>
      <w:t>1/</w:t>
    </w:r>
    <w:r w:rsidRPr="000D023C">
      <w:rPr>
        <w:noProof/>
        <w:kern w:val="22"/>
        <w:szCs w:val="22"/>
      </w:rPr>
      <w:t>Add.1</w:t>
    </w:r>
  </w:p>
  <w:p w:rsidR="00F4157A" w:rsidRPr="00D45FD2" w:rsidRDefault="00F4157A" w:rsidP="00D45FD2">
    <w:pPr>
      <w:pStyle w:val="Header"/>
      <w:tabs>
        <w:tab w:val="clear" w:pos="4320"/>
        <w:tab w:val="clear" w:pos="8640"/>
      </w:tabs>
      <w:rPr>
        <w:noProof/>
        <w:kern w:val="22"/>
      </w:rPr>
    </w:pPr>
    <w:r w:rsidRPr="00D45FD2">
      <w:rPr>
        <w:noProof/>
        <w:kern w:val="22"/>
      </w:rPr>
      <w:t xml:space="preserve">Page </w:t>
    </w:r>
    <w:r w:rsidRPr="00D45FD2">
      <w:rPr>
        <w:noProof/>
        <w:kern w:val="22"/>
      </w:rPr>
      <w:fldChar w:fldCharType="begin"/>
    </w:r>
    <w:r w:rsidRPr="00D45FD2">
      <w:rPr>
        <w:noProof/>
        <w:kern w:val="22"/>
      </w:rPr>
      <w:instrText xml:space="preserve"> PAGE   \* MERGEFORMAT </w:instrText>
    </w:r>
    <w:r w:rsidRPr="00D45FD2">
      <w:rPr>
        <w:noProof/>
        <w:kern w:val="22"/>
      </w:rPr>
      <w:fldChar w:fldCharType="separate"/>
    </w:r>
    <w:r w:rsidR="000B2BF0">
      <w:rPr>
        <w:noProof/>
        <w:kern w:val="22"/>
      </w:rPr>
      <w:t>4</w:t>
    </w:r>
    <w:r w:rsidRPr="00D45FD2">
      <w:rPr>
        <w:noProof/>
        <w:kern w:val="22"/>
      </w:rPr>
      <w:fldChar w:fldCharType="end"/>
    </w:r>
  </w:p>
  <w:p w:rsidR="00F4157A" w:rsidRPr="00D45FD2" w:rsidRDefault="00F4157A" w:rsidP="00D45FD2">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Pr="006012AB" w:rsidRDefault="00F4157A" w:rsidP="00D45FD2">
    <w:pPr>
      <w:pStyle w:val="Footer"/>
      <w:suppressLineNumbers/>
      <w:tabs>
        <w:tab w:val="clear" w:pos="4320"/>
        <w:tab w:val="clear" w:pos="8640"/>
      </w:tabs>
      <w:suppressAutoHyphens/>
      <w:ind w:firstLine="0"/>
      <w:rPr>
        <w:noProof/>
        <w:kern w:val="22"/>
        <w:szCs w:val="22"/>
      </w:rPr>
    </w:pPr>
    <w:r>
      <w:rPr>
        <w:noProof/>
        <w:kern w:val="22"/>
        <w:szCs w:val="22"/>
      </w:rPr>
      <w:t>CBD/ABS/CC/2</w:t>
    </w:r>
    <w:r w:rsidRPr="006012AB">
      <w:rPr>
        <w:noProof/>
        <w:kern w:val="22"/>
        <w:szCs w:val="22"/>
      </w:rPr>
      <w:t>/1/Add.1</w:t>
    </w:r>
  </w:p>
  <w:p w:rsidR="00F4157A" w:rsidRPr="006012AB" w:rsidRDefault="00F4157A" w:rsidP="00D45FD2">
    <w:pPr>
      <w:pStyle w:val="Header"/>
      <w:tabs>
        <w:tab w:val="clear" w:pos="4320"/>
        <w:tab w:val="clear" w:pos="8640"/>
      </w:tabs>
      <w:jc w:val="right"/>
      <w:rPr>
        <w:noProof/>
        <w:kern w:val="22"/>
      </w:rPr>
    </w:pPr>
    <w:r w:rsidRPr="006012AB">
      <w:rPr>
        <w:noProof/>
        <w:kern w:val="22"/>
      </w:rPr>
      <w:t xml:space="preserve">Page </w:t>
    </w:r>
    <w:r w:rsidRPr="006012AB">
      <w:rPr>
        <w:noProof/>
        <w:kern w:val="22"/>
      </w:rPr>
      <w:fldChar w:fldCharType="begin"/>
    </w:r>
    <w:r w:rsidRPr="006012AB">
      <w:rPr>
        <w:noProof/>
        <w:kern w:val="22"/>
      </w:rPr>
      <w:instrText xml:space="preserve"> PAGE   \* MERGEFORMAT </w:instrText>
    </w:r>
    <w:r w:rsidRPr="006012AB">
      <w:rPr>
        <w:noProof/>
        <w:kern w:val="22"/>
      </w:rPr>
      <w:fldChar w:fldCharType="separate"/>
    </w:r>
    <w:r w:rsidR="000B2BF0">
      <w:rPr>
        <w:noProof/>
        <w:kern w:val="22"/>
      </w:rPr>
      <w:t>3</w:t>
    </w:r>
    <w:r w:rsidRPr="006012AB">
      <w:rPr>
        <w:noProof/>
        <w:kern w:val="22"/>
      </w:rPr>
      <w:fldChar w:fldCharType="end"/>
    </w:r>
  </w:p>
  <w:p w:rsidR="00F4157A" w:rsidRPr="001B42F2" w:rsidRDefault="00F4157A" w:rsidP="00D45FD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Default="00F4157A">
    <w:pPr>
      <w:pStyle w:val="Header"/>
    </w:pPr>
    <w:r w:rsidRPr="006E50A9">
      <w:t>UNEP/CBD/BS/CC/11/1/Add.1</w:t>
    </w:r>
  </w:p>
  <w:p w:rsidR="00F4157A" w:rsidRDefault="00F4157A">
    <w:pPr>
      <w:pStyle w:val="Header"/>
      <w:rPr>
        <w:rStyle w:val="PageNumber"/>
        <w:rFonts w:eastAsiaTheme="majorEastAsia"/>
      </w:rPr>
    </w:pPr>
    <w: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6</w:t>
    </w:r>
    <w:r>
      <w:rPr>
        <w:rStyle w:val="PageNumber"/>
        <w:rFonts w:eastAsiaTheme="majorEastAsia"/>
      </w:rPr>
      <w:fldChar w:fldCharType="end"/>
    </w:r>
  </w:p>
  <w:p w:rsidR="00F4157A" w:rsidRDefault="00F41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Default="00F4157A" w:rsidP="00C54B59">
    <w:pPr>
      <w:pStyle w:val="Header"/>
      <w:tabs>
        <w:tab w:val="clear" w:pos="4320"/>
      </w:tabs>
      <w:jc w:val="right"/>
    </w:pPr>
    <w:r w:rsidRPr="00404634">
      <w:t>UNEP/CBD/BS/CC/2015/1/1/Add.1</w:t>
    </w:r>
  </w:p>
  <w:p w:rsidR="00F4157A" w:rsidRDefault="00F4157A" w:rsidP="00C54B59">
    <w:pPr>
      <w:pStyle w:val="Header"/>
      <w:tabs>
        <w:tab w:val="clear" w:pos="4320"/>
      </w:tabs>
      <w:jc w:val="right"/>
      <w:rPr>
        <w:rStyle w:val="PageNumber"/>
        <w:rFonts w:eastAsiaTheme="majorEastAsia"/>
      </w:rPr>
    </w:pPr>
    <w: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5</w:t>
    </w:r>
    <w:r>
      <w:rPr>
        <w:rStyle w:val="PageNumber"/>
        <w:rFonts w:eastAsiaTheme="majorEastAsia"/>
      </w:rPr>
      <w:fldChar w:fldCharType="end"/>
    </w:r>
  </w:p>
  <w:p w:rsidR="00F4157A" w:rsidRDefault="00F4157A" w:rsidP="00C54B59">
    <w:pPr>
      <w:pStyle w:val="Header"/>
      <w:tabs>
        <w:tab w:val="left" w:pos="6379"/>
        <w:tab w:val="left" w:pos="6480"/>
        <w:tab w:val="left" w:pos="7088"/>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57A" w:rsidRDefault="00F415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F4157A" w:rsidP="00534681">
        <w:pPr>
          <w:pStyle w:val="Header"/>
        </w:pPr>
        <w:r>
          <w:t>CBD/ABS/CC/2/1/Add.1</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9449BD">
      <w:rPr>
        <w:noProof/>
      </w:rPr>
      <w:t>6</w:t>
    </w:r>
    <w:r>
      <w:rPr>
        <w:noProof/>
      </w:rPr>
      <w:fldChar w:fldCharType="end"/>
    </w:r>
  </w:p>
  <w:p w:rsidR="00534681" w:rsidRDefault="005346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F4157A" w:rsidP="009505C9">
        <w:pPr>
          <w:pStyle w:val="Header"/>
          <w:jc w:val="right"/>
        </w:pPr>
        <w:r>
          <w:t>CBD/ABS/CC/2/1/Add.1</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0B2BF0">
      <w:rPr>
        <w:noProof/>
      </w:rPr>
      <w:t>5</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B2BF0"/>
    <w:rsid w:val="000E673A"/>
    <w:rsid w:val="000F74F5"/>
    <w:rsid w:val="00105372"/>
    <w:rsid w:val="00131E7A"/>
    <w:rsid w:val="00172AF6"/>
    <w:rsid w:val="00176CEE"/>
    <w:rsid w:val="001C083C"/>
    <w:rsid w:val="00372F74"/>
    <w:rsid w:val="00415390"/>
    <w:rsid w:val="004644C2"/>
    <w:rsid w:val="00534681"/>
    <w:rsid w:val="005B5386"/>
    <w:rsid w:val="00633D67"/>
    <w:rsid w:val="00660370"/>
    <w:rsid w:val="00717D88"/>
    <w:rsid w:val="007942D3"/>
    <w:rsid w:val="007B6C09"/>
    <w:rsid w:val="007C4DDE"/>
    <w:rsid w:val="007E09DA"/>
    <w:rsid w:val="008178B6"/>
    <w:rsid w:val="00904A96"/>
    <w:rsid w:val="009449BD"/>
    <w:rsid w:val="009505C9"/>
    <w:rsid w:val="00B3369F"/>
    <w:rsid w:val="00C9161D"/>
    <w:rsid w:val="00CA69C8"/>
    <w:rsid w:val="00CF1848"/>
    <w:rsid w:val="00D6416B"/>
    <w:rsid w:val="00D76A18"/>
    <w:rsid w:val="00DD118C"/>
    <w:rsid w:val="00E66235"/>
    <w:rsid w:val="00E810E0"/>
    <w:rsid w:val="00E83C24"/>
    <w:rsid w:val="00EE1719"/>
    <w:rsid w:val="00F34607"/>
    <w:rsid w:val="00F4157A"/>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7470F9"/>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Head2">
    <w:name w:val="Head2"/>
    <w:basedOn w:val="Normal"/>
    <w:rsid w:val="00F4157A"/>
    <w:pPr>
      <w:keepNext/>
      <w:jc w:val="center"/>
    </w:pPr>
  </w:style>
  <w:style w:type="paragraph" w:customStyle="1" w:styleId="headingoneline">
    <w:name w:val="headingoneline"/>
    <w:basedOn w:val="Normal"/>
    <w:next w:val="Normal"/>
    <w:rsid w:val="00F4157A"/>
    <w:pPr>
      <w:keepNext/>
      <w:tabs>
        <w:tab w:val="left" w:pos="567"/>
      </w:tabs>
      <w:spacing w:before="120" w:after="120"/>
      <w:jc w:val="center"/>
    </w:pPr>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cbd.int/meetings/ABSCC-02"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00EAC-5C89-4B8B-9F26-CD949A1C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CBD/ABS/CC/2/1/Add.1</dc:subject>
  <dc:creator>SCBD</dc:creator>
  <cp:lastModifiedBy>veronique lefebvre</cp:lastModifiedBy>
  <cp:revision>3</cp:revision>
  <dcterms:created xsi:type="dcterms:W3CDTF">2018-03-16T21:00:00Z</dcterms:created>
  <dcterms:modified xsi:type="dcterms:W3CDTF">2018-03-19T20:08:00Z</dcterms:modified>
  <cp:contentStatus>GENERAL</cp:contentStatus>
</cp:coreProperties>
</file>